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2EEBD9">
      <w:pPr>
        <w:adjustRightInd w:val="0"/>
        <w:snapToGrid w:val="0"/>
        <w:spacing w:line="288" w:lineRule="auto"/>
        <w:rPr>
          <w:rFonts w:ascii="楷体" w:hAnsi="楷体" w:eastAsia="楷体" w:cs="Times New Roman"/>
          <w:b/>
          <w:spacing w:val="-6"/>
          <w:sz w:val="44"/>
          <w:szCs w:val="44"/>
          <w:highlight w:val="none"/>
        </w:rPr>
      </w:pPr>
      <w:bookmarkStart w:id="65" w:name="_GoBack"/>
    </w:p>
    <w:p w14:paraId="0E1AD0DB">
      <w:pPr>
        <w:adjustRightInd w:val="0"/>
        <w:snapToGrid w:val="0"/>
        <w:spacing w:line="288" w:lineRule="auto"/>
        <w:rPr>
          <w:rFonts w:ascii="楷体" w:hAnsi="楷体" w:eastAsia="楷体" w:cs="Times New Roman"/>
          <w:b/>
          <w:spacing w:val="-6"/>
          <w:sz w:val="44"/>
          <w:szCs w:val="44"/>
          <w:highlight w:val="none"/>
        </w:rPr>
      </w:pPr>
    </w:p>
    <w:p w14:paraId="35CB200D">
      <w:pPr>
        <w:adjustRightInd w:val="0"/>
        <w:snapToGrid w:val="0"/>
        <w:spacing w:line="288" w:lineRule="auto"/>
        <w:rPr>
          <w:rFonts w:ascii="楷体" w:hAnsi="楷体" w:eastAsia="楷体" w:cs="Times New Roman"/>
          <w:b/>
          <w:spacing w:val="-6"/>
          <w:sz w:val="44"/>
          <w:szCs w:val="44"/>
          <w:highlight w:val="none"/>
        </w:rPr>
      </w:pPr>
    </w:p>
    <w:p w14:paraId="4C9958EE">
      <w:pPr>
        <w:adjustRightInd w:val="0"/>
        <w:snapToGrid w:val="0"/>
        <w:spacing w:line="288" w:lineRule="auto"/>
        <w:jc w:val="center"/>
        <w:rPr>
          <w:rFonts w:ascii="楷体" w:hAnsi="楷体" w:eastAsia="楷体" w:cs="楷体"/>
          <w:b/>
          <w:bCs/>
          <w:sz w:val="48"/>
          <w:szCs w:val="48"/>
          <w:highlight w:val="none"/>
        </w:rPr>
      </w:pPr>
      <w:r>
        <w:rPr>
          <w:rFonts w:hint="eastAsia" w:ascii="楷体" w:hAnsi="楷体" w:eastAsia="楷体" w:cs="楷体"/>
          <w:b/>
          <w:bCs/>
          <w:sz w:val="48"/>
          <w:szCs w:val="48"/>
          <w:highlight w:val="none"/>
        </w:rPr>
        <w:t>浙江交通职业技术学院</w:t>
      </w:r>
    </w:p>
    <w:p w14:paraId="31F583DE">
      <w:pPr>
        <w:adjustRightInd w:val="0"/>
        <w:snapToGrid w:val="0"/>
        <w:spacing w:line="288" w:lineRule="auto"/>
        <w:jc w:val="center"/>
        <w:rPr>
          <w:rFonts w:ascii="楷体" w:hAnsi="楷体" w:eastAsia="楷体" w:cs="楷体"/>
          <w:b/>
          <w:bCs/>
          <w:sz w:val="48"/>
          <w:szCs w:val="48"/>
          <w:highlight w:val="none"/>
        </w:rPr>
      </w:pPr>
      <w:r>
        <w:rPr>
          <w:rFonts w:hint="eastAsia" w:ascii="楷体" w:hAnsi="楷体" w:eastAsia="楷体" w:cs="楷体"/>
          <w:b/>
          <w:bCs/>
          <w:sz w:val="48"/>
          <w:szCs w:val="48"/>
          <w:highlight w:val="none"/>
        </w:rPr>
        <w:t>长兴校区局部修缮项目</w:t>
      </w:r>
    </w:p>
    <w:p w14:paraId="32D0BA95">
      <w:pPr>
        <w:adjustRightInd w:val="0"/>
        <w:snapToGrid w:val="0"/>
        <w:spacing w:line="288" w:lineRule="auto"/>
        <w:jc w:val="center"/>
        <w:rPr>
          <w:rFonts w:ascii="楷体" w:hAnsi="楷体" w:eastAsia="楷体" w:cs="楷体"/>
          <w:b/>
          <w:bCs/>
          <w:sz w:val="48"/>
          <w:szCs w:val="48"/>
          <w:highlight w:val="none"/>
        </w:rPr>
      </w:pPr>
    </w:p>
    <w:p w14:paraId="0C92C54B">
      <w:pPr>
        <w:adjustRightInd w:val="0"/>
        <w:snapToGrid w:val="0"/>
        <w:spacing w:line="288" w:lineRule="auto"/>
        <w:jc w:val="center"/>
        <w:rPr>
          <w:rFonts w:ascii="楷体" w:hAnsi="楷体" w:eastAsia="楷体" w:cs="楷体"/>
          <w:b/>
          <w:bCs/>
          <w:sz w:val="48"/>
          <w:szCs w:val="48"/>
          <w:highlight w:val="none"/>
        </w:rPr>
      </w:pPr>
    </w:p>
    <w:p w14:paraId="75A77595">
      <w:pPr>
        <w:adjustRightInd w:val="0"/>
        <w:snapToGrid w:val="0"/>
        <w:spacing w:line="288" w:lineRule="auto"/>
        <w:jc w:val="center"/>
        <w:rPr>
          <w:rFonts w:ascii="楷体" w:hAnsi="楷体" w:eastAsia="楷体" w:cs="楷体"/>
          <w:b/>
          <w:bCs/>
          <w:sz w:val="72"/>
          <w:szCs w:val="72"/>
          <w:highlight w:val="none"/>
        </w:rPr>
      </w:pPr>
      <w:r>
        <w:rPr>
          <w:rFonts w:hint="eastAsia" w:ascii="楷体" w:hAnsi="楷体" w:eastAsia="楷体" w:cs="楷体"/>
          <w:b/>
          <w:bCs/>
          <w:sz w:val="72"/>
          <w:szCs w:val="72"/>
          <w:highlight w:val="none"/>
        </w:rPr>
        <w:t>磋商文件</w:t>
      </w:r>
    </w:p>
    <w:p w14:paraId="3456BCD5">
      <w:pPr>
        <w:adjustRightInd w:val="0"/>
        <w:snapToGrid w:val="0"/>
        <w:spacing w:line="288" w:lineRule="auto"/>
        <w:jc w:val="center"/>
        <w:rPr>
          <w:rFonts w:ascii="楷体" w:hAnsi="楷体" w:eastAsia="楷体" w:cs="楷体"/>
          <w:b/>
          <w:bCs/>
          <w:sz w:val="36"/>
          <w:szCs w:val="36"/>
          <w:highlight w:val="none"/>
        </w:rPr>
      </w:pPr>
      <w:r>
        <w:rPr>
          <w:rFonts w:hint="eastAsia" w:ascii="楷体" w:hAnsi="楷体" w:eastAsia="楷体" w:cs="楷体"/>
          <w:b/>
          <w:bCs/>
          <w:sz w:val="36"/>
          <w:szCs w:val="36"/>
          <w:highlight w:val="none"/>
        </w:rPr>
        <w:t>（线上电子交易）</w:t>
      </w:r>
    </w:p>
    <w:p w14:paraId="7E96F9D6">
      <w:pPr>
        <w:adjustRightInd w:val="0"/>
        <w:snapToGrid w:val="0"/>
        <w:spacing w:line="288" w:lineRule="auto"/>
        <w:jc w:val="center"/>
        <w:rPr>
          <w:rFonts w:ascii="楷体" w:hAnsi="楷体" w:eastAsia="楷体" w:cs="楷体"/>
          <w:b/>
          <w:bCs/>
          <w:sz w:val="36"/>
          <w:szCs w:val="36"/>
          <w:highlight w:val="none"/>
        </w:rPr>
      </w:pPr>
    </w:p>
    <w:p w14:paraId="00FB8B5F">
      <w:pPr>
        <w:adjustRightInd w:val="0"/>
        <w:snapToGrid w:val="0"/>
        <w:spacing w:line="288" w:lineRule="auto"/>
        <w:jc w:val="center"/>
        <w:rPr>
          <w:rFonts w:ascii="楷体" w:hAnsi="楷体" w:eastAsia="楷体" w:cs="楷体"/>
          <w:b/>
          <w:bCs/>
          <w:sz w:val="36"/>
          <w:szCs w:val="36"/>
          <w:highlight w:val="none"/>
        </w:rPr>
      </w:pPr>
    </w:p>
    <w:p w14:paraId="4D1E5C1B">
      <w:pPr>
        <w:adjustRightInd w:val="0"/>
        <w:snapToGrid w:val="0"/>
        <w:spacing w:line="288" w:lineRule="auto"/>
        <w:rPr>
          <w:rFonts w:ascii="楷体" w:hAnsi="楷体" w:eastAsia="楷体" w:cs="楷体"/>
          <w:b/>
          <w:bCs/>
          <w:sz w:val="30"/>
          <w:szCs w:val="30"/>
          <w:highlight w:val="none"/>
        </w:rPr>
      </w:pPr>
      <w:r>
        <w:rPr>
          <w:rFonts w:hint="eastAsia" w:ascii="楷体" w:hAnsi="楷体" w:eastAsia="楷体" w:cs="楷体"/>
          <w:b/>
          <w:bCs/>
          <w:sz w:val="30"/>
          <w:szCs w:val="30"/>
          <w:highlight w:val="none"/>
        </w:rPr>
        <w:t>项目名称：</w:t>
      </w:r>
      <w:bookmarkStart w:id="0" w:name="OLE_LINK1"/>
      <w:r>
        <w:rPr>
          <w:rFonts w:hint="eastAsia" w:ascii="楷体" w:hAnsi="楷体" w:eastAsia="楷体" w:cs="楷体"/>
          <w:b/>
          <w:bCs/>
          <w:sz w:val="30"/>
          <w:szCs w:val="30"/>
          <w:highlight w:val="none"/>
        </w:rPr>
        <w:t>长兴校区局部修缮项目</w:t>
      </w:r>
      <w:bookmarkEnd w:id="0"/>
    </w:p>
    <w:p w14:paraId="20C0522D">
      <w:pPr>
        <w:adjustRightInd w:val="0"/>
        <w:snapToGrid w:val="0"/>
        <w:spacing w:line="288" w:lineRule="auto"/>
        <w:rPr>
          <w:rFonts w:ascii="楷体" w:hAnsi="楷体" w:eastAsia="楷体" w:cs="楷体"/>
          <w:b/>
          <w:bCs/>
          <w:sz w:val="30"/>
          <w:szCs w:val="30"/>
          <w:highlight w:val="none"/>
        </w:rPr>
      </w:pPr>
      <w:r>
        <w:rPr>
          <w:rFonts w:hint="eastAsia" w:ascii="楷体" w:hAnsi="楷体" w:eastAsia="楷体" w:cs="楷体"/>
          <w:b/>
          <w:bCs/>
          <w:sz w:val="30"/>
          <w:szCs w:val="30"/>
          <w:highlight w:val="none"/>
        </w:rPr>
        <w:t xml:space="preserve">项目编号：QSZB-Z(G)-C24372(CS)   </w:t>
      </w:r>
    </w:p>
    <w:p w14:paraId="0D1D498A">
      <w:pPr>
        <w:adjustRightInd w:val="0"/>
        <w:snapToGrid w:val="0"/>
        <w:spacing w:line="288" w:lineRule="auto"/>
        <w:rPr>
          <w:rFonts w:ascii="楷体" w:hAnsi="楷体" w:eastAsia="楷体" w:cs="楷体"/>
          <w:b/>
          <w:bCs/>
          <w:sz w:val="30"/>
          <w:szCs w:val="30"/>
          <w:highlight w:val="none"/>
        </w:rPr>
      </w:pPr>
      <w:r>
        <w:rPr>
          <w:rFonts w:hint="eastAsia" w:ascii="楷体" w:hAnsi="楷体" w:eastAsia="楷体" w:cs="楷体"/>
          <w:b/>
          <w:bCs/>
          <w:sz w:val="30"/>
          <w:szCs w:val="30"/>
          <w:highlight w:val="none"/>
        </w:rPr>
        <w:t>采 购 人：浙江交通职业技术学院</w:t>
      </w:r>
    </w:p>
    <w:p w14:paraId="379AE7A9">
      <w:pPr>
        <w:adjustRightInd w:val="0"/>
        <w:snapToGrid w:val="0"/>
        <w:spacing w:line="288" w:lineRule="auto"/>
        <w:rPr>
          <w:rFonts w:ascii="楷体" w:hAnsi="楷体" w:eastAsia="楷体" w:cs="楷体"/>
          <w:b/>
          <w:bCs/>
          <w:sz w:val="30"/>
          <w:szCs w:val="30"/>
          <w:highlight w:val="none"/>
        </w:rPr>
      </w:pPr>
      <w:r>
        <w:rPr>
          <w:rFonts w:hint="eastAsia" w:ascii="楷体" w:hAnsi="楷体" w:eastAsia="楷体" w:cs="楷体"/>
          <w:b/>
          <w:bCs/>
          <w:sz w:val="30"/>
          <w:szCs w:val="30"/>
          <w:highlight w:val="none"/>
        </w:rPr>
        <w:t>采购代理机构：浙江求是招标代理有限公司</w:t>
      </w:r>
    </w:p>
    <w:p w14:paraId="4CB5FE88">
      <w:pPr>
        <w:adjustRightInd w:val="0"/>
        <w:snapToGrid w:val="0"/>
        <w:spacing w:line="288" w:lineRule="auto"/>
        <w:rPr>
          <w:rFonts w:ascii="楷体" w:hAnsi="楷体" w:eastAsia="楷体" w:cs="楷体"/>
          <w:b/>
          <w:bCs/>
          <w:sz w:val="30"/>
          <w:szCs w:val="30"/>
          <w:highlight w:val="none"/>
        </w:rPr>
      </w:pPr>
      <w:r>
        <w:rPr>
          <w:rFonts w:hint="eastAsia" w:ascii="楷体" w:hAnsi="楷体" w:eastAsia="楷体" w:cs="楷体"/>
          <w:b/>
          <w:bCs/>
          <w:sz w:val="30"/>
          <w:szCs w:val="30"/>
          <w:highlight w:val="none"/>
        </w:rPr>
        <w:t>采购计划文号：</w:t>
      </w:r>
      <w:bookmarkStart w:id="1" w:name="OLE_LINK2"/>
      <w:r>
        <w:rPr>
          <w:rFonts w:hint="eastAsia" w:ascii="楷体" w:hAnsi="楷体" w:eastAsia="楷体" w:cs="楷体"/>
          <w:b/>
          <w:bCs/>
          <w:sz w:val="30"/>
          <w:szCs w:val="30"/>
          <w:highlight w:val="none"/>
        </w:rPr>
        <w:fldChar w:fldCharType="begin"/>
      </w:r>
      <w:r>
        <w:rPr>
          <w:rFonts w:hint="eastAsia" w:ascii="楷体" w:hAnsi="楷体" w:eastAsia="楷体" w:cs="楷体"/>
          <w:b/>
          <w:bCs/>
          <w:sz w:val="30"/>
          <w:szCs w:val="30"/>
          <w:highlight w:val="none"/>
        </w:rPr>
        <w:instrText xml:space="preserve"> HYPERLINK "https://pay.zcygov.cn/purchaseplan_front/" \l "/plan/list/view?id=1000000000014666658" \t "https://www.zcygov.cn/delegation-order/_procurement_/order/orderInfo/detail/_blank" </w:instrText>
      </w:r>
      <w:r>
        <w:rPr>
          <w:rFonts w:hint="eastAsia" w:ascii="楷体" w:hAnsi="楷体" w:eastAsia="楷体" w:cs="楷体"/>
          <w:b/>
          <w:bCs/>
          <w:sz w:val="30"/>
          <w:szCs w:val="30"/>
          <w:highlight w:val="none"/>
        </w:rPr>
        <w:fldChar w:fldCharType="separate"/>
      </w:r>
      <w:r>
        <w:rPr>
          <w:rFonts w:hint="eastAsia" w:ascii="楷体" w:hAnsi="楷体" w:eastAsia="楷体" w:cs="楷体"/>
          <w:b/>
          <w:bCs/>
          <w:sz w:val="30"/>
          <w:szCs w:val="30"/>
          <w:highlight w:val="none"/>
        </w:rPr>
        <w:t>[2024]70026号</w:t>
      </w:r>
      <w:r>
        <w:rPr>
          <w:rFonts w:hint="eastAsia" w:ascii="楷体" w:hAnsi="楷体" w:eastAsia="楷体" w:cs="楷体"/>
          <w:b/>
          <w:bCs/>
          <w:sz w:val="30"/>
          <w:szCs w:val="30"/>
          <w:highlight w:val="none"/>
        </w:rPr>
        <w:fldChar w:fldCharType="end"/>
      </w:r>
      <w:r>
        <w:rPr>
          <w:rFonts w:hint="eastAsia" w:ascii="楷体" w:hAnsi="楷体" w:eastAsia="楷体" w:cs="楷体"/>
          <w:b/>
          <w:bCs/>
          <w:sz w:val="30"/>
          <w:szCs w:val="30"/>
          <w:highlight w:val="none"/>
        </w:rPr>
        <w:t>、</w:t>
      </w:r>
      <w:r>
        <w:rPr>
          <w:highlight w:val="none"/>
        </w:rPr>
        <w:fldChar w:fldCharType="begin"/>
      </w:r>
      <w:r>
        <w:rPr>
          <w:highlight w:val="none"/>
        </w:rPr>
        <w:instrText xml:space="preserve"> HYPERLINK "https://pay.zcygov.cn/purchaseplan_front/" \l "/plan/list/view?id=1000000000014666658" \t "https://www.zcygov.cn/delegation-order/_procurement_/order/orderInfo/detail/_blank" </w:instrText>
      </w:r>
      <w:r>
        <w:rPr>
          <w:highlight w:val="none"/>
        </w:rPr>
        <w:fldChar w:fldCharType="separate"/>
      </w:r>
      <w:r>
        <w:rPr>
          <w:rFonts w:hint="eastAsia" w:ascii="楷体" w:hAnsi="楷体" w:eastAsia="楷体" w:cs="楷体"/>
          <w:b/>
          <w:bCs/>
          <w:sz w:val="30"/>
          <w:szCs w:val="30"/>
          <w:highlight w:val="none"/>
        </w:rPr>
        <w:t>[2024]70027号</w:t>
      </w:r>
      <w:r>
        <w:rPr>
          <w:rFonts w:hint="eastAsia" w:ascii="楷体" w:hAnsi="楷体" w:eastAsia="楷体" w:cs="楷体"/>
          <w:b/>
          <w:bCs/>
          <w:sz w:val="30"/>
          <w:szCs w:val="30"/>
          <w:highlight w:val="none"/>
        </w:rPr>
        <w:fldChar w:fldCharType="end"/>
      </w:r>
      <w:bookmarkEnd w:id="1"/>
    </w:p>
    <w:p w14:paraId="7CF293D3">
      <w:pPr>
        <w:widowControl/>
        <w:adjustRightInd w:val="0"/>
        <w:snapToGrid w:val="0"/>
        <w:spacing w:line="288" w:lineRule="auto"/>
        <w:jc w:val="left"/>
        <w:rPr>
          <w:rFonts w:ascii="楷体" w:hAnsi="楷体" w:eastAsia="楷体" w:cs="楷体"/>
          <w:b/>
          <w:bCs/>
          <w:sz w:val="30"/>
          <w:szCs w:val="30"/>
          <w:highlight w:val="none"/>
        </w:rPr>
      </w:pPr>
      <w:r>
        <w:rPr>
          <w:rFonts w:ascii="楷体" w:hAnsi="楷体" w:eastAsia="楷体" w:cs="楷体"/>
          <w:b/>
          <w:bCs/>
          <w:sz w:val="30"/>
          <w:szCs w:val="30"/>
          <w:highlight w:val="none"/>
        </w:rPr>
        <w:br w:type="page"/>
      </w:r>
    </w:p>
    <w:p w14:paraId="011DFF7D">
      <w:pPr>
        <w:adjustRightInd w:val="0"/>
        <w:snapToGrid w:val="0"/>
        <w:spacing w:line="288" w:lineRule="auto"/>
        <w:rPr>
          <w:rFonts w:ascii="楷体" w:hAnsi="楷体" w:eastAsia="楷体" w:cs="楷体"/>
          <w:b/>
          <w:bCs/>
          <w:sz w:val="30"/>
          <w:szCs w:val="30"/>
          <w:highlight w:val="none"/>
        </w:rPr>
      </w:pPr>
    </w:p>
    <w:p w14:paraId="76DF1F5F">
      <w:pPr>
        <w:adjustRightInd w:val="0"/>
        <w:snapToGrid w:val="0"/>
        <w:spacing w:line="288" w:lineRule="auto"/>
        <w:jc w:val="center"/>
        <w:outlineLvl w:val="0"/>
        <w:rPr>
          <w:rFonts w:ascii="楷体" w:hAnsi="楷体" w:eastAsia="楷体" w:cs="楷体"/>
          <w:b/>
          <w:bCs/>
          <w:sz w:val="48"/>
          <w:szCs w:val="48"/>
          <w:highlight w:val="none"/>
        </w:rPr>
      </w:pPr>
      <w:r>
        <w:rPr>
          <w:rFonts w:hint="eastAsia" w:ascii="楷体" w:hAnsi="楷体" w:eastAsia="楷体" w:cs="楷体"/>
          <w:b/>
          <w:bCs/>
          <w:sz w:val="48"/>
          <w:szCs w:val="48"/>
          <w:highlight w:val="none"/>
        </w:rPr>
        <w:t xml:space="preserve">目 </w:t>
      </w:r>
      <w:r>
        <w:rPr>
          <w:rFonts w:ascii="楷体" w:hAnsi="楷体" w:eastAsia="楷体" w:cs="楷体"/>
          <w:b/>
          <w:bCs/>
          <w:sz w:val="48"/>
          <w:szCs w:val="48"/>
          <w:highlight w:val="none"/>
        </w:rPr>
        <w:t xml:space="preserve"> </w:t>
      </w:r>
      <w:r>
        <w:rPr>
          <w:rFonts w:hint="eastAsia" w:ascii="楷体" w:hAnsi="楷体" w:eastAsia="楷体" w:cs="楷体"/>
          <w:b/>
          <w:bCs/>
          <w:sz w:val="48"/>
          <w:szCs w:val="48"/>
          <w:highlight w:val="none"/>
        </w:rPr>
        <w:t>录</w:t>
      </w:r>
    </w:p>
    <w:p w14:paraId="68C36BDB">
      <w:pPr>
        <w:adjustRightInd w:val="0"/>
        <w:snapToGrid w:val="0"/>
        <w:spacing w:line="288" w:lineRule="auto"/>
        <w:rPr>
          <w:rFonts w:ascii="楷体" w:hAnsi="楷体" w:eastAsia="楷体" w:cs="楷体"/>
          <w:b/>
          <w:bCs/>
          <w:sz w:val="30"/>
          <w:szCs w:val="30"/>
          <w:highlight w:val="none"/>
        </w:rPr>
      </w:pPr>
    </w:p>
    <w:p w14:paraId="2C0DAEF7">
      <w:pPr>
        <w:adjustRightInd w:val="0"/>
        <w:snapToGrid w:val="0"/>
        <w:spacing w:line="288" w:lineRule="auto"/>
        <w:ind w:firstLine="708" w:firstLineChars="235"/>
        <w:rPr>
          <w:rFonts w:ascii="楷体" w:hAnsi="楷体" w:eastAsia="楷体" w:cs="楷体"/>
          <w:b/>
          <w:bCs/>
          <w:sz w:val="30"/>
          <w:szCs w:val="30"/>
          <w:highlight w:val="none"/>
        </w:rPr>
      </w:pPr>
      <w:r>
        <w:rPr>
          <w:rFonts w:hint="eastAsia" w:ascii="楷体" w:hAnsi="楷体" w:eastAsia="楷体" w:cs="楷体"/>
          <w:b/>
          <w:bCs/>
          <w:sz w:val="30"/>
          <w:szCs w:val="30"/>
          <w:highlight w:val="none"/>
        </w:rPr>
        <w:t>第一章  采购邀请</w:t>
      </w:r>
    </w:p>
    <w:p w14:paraId="23FDFD9E">
      <w:pPr>
        <w:adjustRightInd w:val="0"/>
        <w:snapToGrid w:val="0"/>
        <w:spacing w:line="288" w:lineRule="auto"/>
        <w:ind w:firstLine="708" w:firstLineChars="235"/>
        <w:rPr>
          <w:rFonts w:ascii="楷体" w:hAnsi="楷体" w:eastAsia="楷体" w:cs="楷体"/>
          <w:b/>
          <w:bCs/>
          <w:sz w:val="30"/>
          <w:szCs w:val="30"/>
          <w:highlight w:val="none"/>
        </w:rPr>
      </w:pPr>
      <w:r>
        <w:rPr>
          <w:rFonts w:hint="eastAsia" w:ascii="楷体" w:hAnsi="楷体" w:eastAsia="楷体" w:cs="楷体"/>
          <w:b/>
          <w:bCs/>
          <w:sz w:val="30"/>
          <w:szCs w:val="30"/>
          <w:highlight w:val="none"/>
        </w:rPr>
        <w:t>第二章  采购需求</w:t>
      </w:r>
    </w:p>
    <w:p w14:paraId="61F75F9A">
      <w:pPr>
        <w:adjustRightInd w:val="0"/>
        <w:snapToGrid w:val="0"/>
        <w:spacing w:line="288" w:lineRule="auto"/>
        <w:ind w:firstLine="708" w:firstLineChars="235"/>
        <w:rPr>
          <w:rFonts w:ascii="楷体" w:hAnsi="楷体" w:eastAsia="楷体" w:cs="楷体"/>
          <w:b/>
          <w:bCs/>
          <w:sz w:val="30"/>
          <w:szCs w:val="30"/>
          <w:highlight w:val="none"/>
        </w:rPr>
      </w:pPr>
      <w:r>
        <w:rPr>
          <w:rFonts w:hint="eastAsia" w:ascii="楷体" w:hAnsi="楷体" w:eastAsia="楷体" w:cs="楷体"/>
          <w:b/>
          <w:bCs/>
          <w:sz w:val="30"/>
          <w:szCs w:val="30"/>
          <w:highlight w:val="none"/>
        </w:rPr>
        <w:t>第三章  供应商须知</w:t>
      </w:r>
    </w:p>
    <w:p w14:paraId="6A1B828A">
      <w:pPr>
        <w:adjustRightInd w:val="0"/>
        <w:snapToGrid w:val="0"/>
        <w:spacing w:line="288" w:lineRule="auto"/>
        <w:ind w:firstLine="708" w:firstLineChars="235"/>
        <w:rPr>
          <w:rFonts w:ascii="楷体" w:hAnsi="楷体" w:eastAsia="楷体" w:cs="楷体"/>
          <w:b/>
          <w:bCs/>
          <w:sz w:val="30"/>
          <w:szCs w:val="30"/>
          <w:highlight w:val="none"/>
        </w:rPr>
      </w:pPr>
      <w:r>
        <w:rPr>
          <w:rFonts w:hint="eastAsia" w:ascii="楷体" w:hAnsi="楷体" w:eastAsia="楷体" w:cs="楷体"/>
          <w:b/>
          <w:bCs/>
          <w:sz w:val="30"/>
          <w:szCs w:val="30"/>
          <w:highlight w:val="none"/>
        </w:rPr>
        <w:t>第四章  评审方法和评审标准</w:t>
      </w:r>
    </w:p>
    <w:p w14:paraId="3C6BE20B">
      <w:pPr>
        <w:adjustRightInd w:val="0"/>
        <w:snapToGrid w:val="0"/>
        <w:spacing w:line="288" w:lineRule="auto"/>
        <w:ind w:firstLine="708" w:firstLineChars="235"/>
        <w:rPr>
          <w:rFonts w:ascii="楷体" w:hAnsi="楷体" w:eastAsia="楷体" w:cs="楷体"/>
          <w:b/>
          <w:bCs/>
          <w:sz w:val="30"/>
          <w:szCs w:val="30"/>
          <w:highlight w:val="none"/>
        </w:rPr>
      </w:pPr>
      <w:r>
        <w:rPr>
          <w:rFonts w:hint="eastAsia" w:ascii="楷体" w:hAnsi="楷体" w:eastAsia="楷体" w:cs="楷体"/>
          <w:b/>
          <w:bCs/>
          <w:sz w:val="30"/>
          <w:szCs w:val="30"/>
          <w:highlight w:val="none"/>
        </w:rPr>
        <w:t>第五章  拟签订的合同文本</w:t>
      </w:r>
    </w:p>
    <w:p w14:paraId="11CB87C8">
      <w:pPr>
        <w:adjustRightInd w:val="0"/>
        <w:snapToGrid w:val="0"/>
        <w:spacing w:line="288" w:lineRule="auto"/>
        <w:ind w:firstLine="708" w:firstLineChars="235"/>
        <w:rPr>
          <w:rFonts w:ascii="楷体" w:hAnsi="楷体" w:eastAsia="楷体" w:cs="楷体"/>
          <w:b/>
          <w:bCs/>
          <w:sz w:val="30"/>
          <w:szCs w:val="30"/>
          <w:highlight w:val="none"/>
        </w:rPr>
      </w:pPr>
      <w:r>
        <w:rPr>
          <w:rFonts w:hint="eastAsia" w:ascii="楷体" w:hAnsi="楷体" w:eastAsia="楷体" w:cs="楷体"/>
          <w:b/>
          <w:bCs/>
          <w:sz w:val="30"/>
          <w:szCs w:val="30"/>
          <w:highlight w:val="none"/>
        </w:rPr>
        <w:t>第六章  响应文件格式</w:t>
      </w:r>
    </w:p>
    <w:p w14:paraId="4824B795">
      <w:pPr>
        <w:widowControl/>
        <w:jc w:val="left"/>
        <w:rPr>
          <w:highlight w:val="none"/>
        </w:rPr>
      </w:pPr>
    </w:p>
    <w:p w14:paraId="7945E3F4">
      <w:pPr>
        <w:widowControl/>
        <w:jc w:val="left"/>
        <w:rPr>
          <w:highlight w:val="none"/>
        </w:rPr>
        <w:sectPr>
          <w:headerReference r:id="rId3" w:type="default"/>
          <w:footerReference r:id="rId4" w:type="default"/>
          <w:pgSz w:w="11906" w:h="16838"/>
          <w:pgMar w:top="1247" w:right="1247" w:bottom="1247" w:left="1247" w:header="142" w:footer="725" w:gutter="0"/>
          <w:pgNumType w:start="1"/>
          <w:cols w:space="425" w:num="1"/>
          <w:docGrid w:type="lines" w:linePitch="312" w:charSpace="0"/>
        </w:sectPr>
      </w:pPr>
    </w:p>
    <w:p w14:paraId="77E0EBE9">
      <w:pPr>
        <w:adjustRightInd w:val="0"/>
        <w:snapToGrid w:val="0"/>
        <w:spacing w:line="288" w:lineRule="auto"/>
        <w:jc w:val="center"/>
        <w:outlineLvl w:val="0"/>
        <w:rPr>
          <w:rFonts w:cs="楷体"/>
          <w:sz w:val="21"/>
          <w:szCs w:val="21"/>
          <w:highlight w:val="none"/>
        </w:rPr>
      </w:pPr>
      <w:r>
        <w:rPr>
          <w:rFonts w:hint="eastAsia"/>
          <w:b/>
          <w:bCs/>
          <w:sz w:val="32"/>
          <w:szCs w:val="32"/>
          <w:highlight w:val="none"/>
        </w:rPr>
        <w:t xml:space="preserve">第一章 </w:t>
      </w:r>
      <w:r>
        <w:rPr>
          <w:b/>
          <w:bCs/>
          <w:sz w:val="32"/>
          <w:szCs w:val="32"/>
          <w:highlight w:val="none"/>
        </w:rPr>
        <w:t xml:space="preserve"> </w:t>
      </w:r>
      <w:r>
        <w:rPr>
          <w:rFonts w:hint="eastAsia"/>
          <w:b/>
          <w:bCs/>
          <w:sz w:val="32"/>
          <w:szCs w:val="32"/>
          <w:highlight w:val="none"/>
        </w:rPr>
        <w:t>采购邀请</w:t>
      </w:r>
    </w:p>
    <w:p w14:paraId="0AC7407C">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b/>
          <w:sz w:val="21"/>
          <w:szCs w:val="21"/>
          <w:highlight w:val="none"/>
        </w:rPr>
      </w:pPr>
      <w:r>
        <w:rPr>
          <w:rFonts w:hint="eastAsia"/>
          <w:b/>
          <w:sz w:val="21"/>
          <w:szCs w:val="21"/>
          <w:highlight w:val="none"/>
        </w:rPr>
        <w:t>项目概况</w:t>
      </w:r>
    </w:p>
    <w:p w14:paraId="19018BD2">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b/>
          <w:sz w:val="21"/>
          <w:szCs w:val="21"/>
          <w:highlight w:val="none"/>
        </w:rPr>
      </w:pPr>
      <w:r>
        <w:rPr>
          <w:rFonts w:hint="eastAsia"/>
          <w:b/>
          <w:sz w:val="21"/>
          <w:szCs w:val="21"/>
          <w:highlight w:val="none"/>
          <w:u w:val="single"/>
        </w:rPr>
        <w:t xml:space="preserve"> 长兴校区局部修缮项目 </w:t>
      </w:r>
      <w:r>
        <w:rPr>
          <w:rFonts w:hint="eastAsia"/>
          <w:b/>
          <w:sz w:val="21"/>
          <w:szCs w:val="21"/>
          <w:highlight w:val="none"/>
        </w:rPr>
        <w:t>采购项目的潜在供应商应在</w:t>
      </w:r>
      <w:r>
        <w:rPr>
          <w:rFonts w:hint="eastAsia"/>
          <w:b/>
          <w:sz w:val="21"/>
          <w:szCs w:val="21"/>
          <w:highlight w:val="none"/>
          <w:u w:val="single"/>
        </w:rPr>
        <w:t xml:space="preserve"> 政府采购云平台（https://www.zcygov.cn） </w:t>
      </w:r>
      <w:r>
        <w:rPr>
          <w:rFonts w:hint="eastAsia"/>
          <w:b/>
          <w:sz w:val="21"/>
          <w:szCs w:val="21"/>
          <w:highlight w:val="none"/>
        </w:rPr>
        <w:t>获取（下载）采购文件，并于</w:t>
      </w:r>
      <w:r>
        <w:rPr>
          <w:rFonts w:hint="eastAsia"/>
          <w:b/>
          <w:sz w:val="21"/>
          <w:szCs w:val="21"/>
          <w:highlight w:val="none"/>
          <w:u w:val="single"/>
        </w:rPr>
        <w:t xml:space="preserve"> </w:t>
      </w:r>
      <w:r>
        <w:rPr>
          <w:rFonts w:hint="eastAsia"/>
          <w:b/>
          <w:sz w:val="21"/>
          <w:szCs w:val="21"/>
          <w:highlight w:val="none"/>
          <w:u w:val="single"/>
          <w:lang w:eastAsia="zh-CN"/>
        </w:rPr>
        <w:t>2024年11月8日9:30:00</w:t>
      </w:r>
      <w:r>
        <w:rPr>
          <w:rFonts w:hint="eastAsia"/>
          <w:b/>
          <w:sz w:val="21"/>
          <w:szCs w:val="21"/>
          <w:highlight w:val="none"/>
          <w:u w:val="single"/>
        </w:rPr>
        <w:t xml:space="preserve"> </w:t>
      </w:r>
      <w:r>
        <w:rPr>
          <w:rFonts w:hint="eastAsia"/>
          <w:b/>
          <w:bCs/>
          <w:sz w:val="21"/>
          <w:szCs w:val="21"/>
          <w:highlight w:val="none"/>
        </w:rPr>
        <w:t>（北京时间）前提交（上传）响应文件</w:t>
      </w:r>
      <w:r>
        <w:rPr>
          <w:rFonts w:hint="eastAsia"/>
          <w:b/>
          <w:sz w:val="21"/>
          <w:szCs w:val="21"/>
          <w:highlight w:val="none"/>
        </w:rPr>
        <w:t>。</w:t>
      </w:r>
    </w:p>
    <w:p w14:paraId="6B5DC8A9">
      <w:pPr>
        <w:adjustRightInd w:val="0"/>
        <w:snapToGrid w:val="0"/>
        <w:spacing w:line="288" w:lineRule="auto"/>
        <w:rPr>
          <w:b/>
          <w:sz w:val="21"/>
          <w:szCs w:val="21"/>
          <w:highlight w:val="none"/>
        </w:rPr>
      </w:pPr>
      <w:bookmarkStart w:id="2" w:name="_Toc28359002"/>
      <w:bookmarkStart w:id="3" w:name="_Toc35393790"/>
      <w:bookmarkStart w:id="4" w:name="_Toc35393621"/>
      <w:bookmarkStart w:id="5" w:name="_Toc28359079"/>
      <w:bookmarkStart w:id="6" w:name="_Hlk24379207"/>
      <w:r>
        <w:rPr>
          <w:rFonts w:hint="eastAsia"/>
          <w:b/>
          <w:sz w:val="21"/>
          <w:szCs w:val="21"/>
          <w:highlight w:val="none"/>
        </w:rPr>
        <w:t>一、项目基本情况</w:t>
      </w:r>
      <w:bookmarkEnd w:id="2"/>
      <w:bookmarkEnd w:id="3"/>
      <w:bookmarkEnd w:id="4"/>
      <w:bookmarkEnd w:id="5"/>
    </w:p>
    <w:p w14:paraId="07E7DF47">
      <w:pPr>
        <w:adjustRightInd w:val="0"/>
        <w:snapToGrid w:val="0"/>
        <w:spacing w:line="288" w:lineRule="auto"/>
        <w:ind w:firstLine="420" w:firstLineChars="200"/>
        <w:rPr>
          <w:sz w:val="21"/>
          <w:szCs w:val="21"/>
          <w:highlight w:val="none"/>
        </w:rPr>
      </w:pPr>
      <w:r>
        <w:rPr>
          <w:rFonts w:hint="eastAsia"/>
          <w:sz w:val="21"/>
          <w:szCs w:val="21"/>
          <w:highlight w:val="none"/>
        </w:rPr>
        <w:t>1</w:t>
      </w:r>
      <w:r>
        <w:rPr>
          <w:sz w:val="21"/>
          <w:szCs w:val="21"/>
          <w:highlight w:val="none"/>
        </w:rPr>
        <w:t>.</w:t>
      </w:r>
      <w:r>
        <w:rPr>
          <w:rFonts w:hint="eastAsia"/>
          <w:sz w:val="21"/>
          <w:szCs w:val="21"/>
          <w:highlight w:val="none"/>
        </w:rPr>
        <w:t>项目编号：</w:t>
      </w:r>
      <w:r>
        <w:rPr>
          <w:rFonts w:hint="eastAsia"/>
          <w:bCs/>
          <w:sz w:val="21"/>
          <w:szCs w:val="21"/>
          <w:highlight w:val="none"/>
        </w:rPr>
        <w:t xml:space="preserve">QSZB-Z(G)-C24372(CS)   </w:t>
      </w:r>
    </w:p>
    <w:p w14:paraId="656D5F36">
      <w:pPr>
        <w:adjustRightInd w:val="0"/>
        <w:snapToGrid w:val="0"/>
        <w:spacing w:line="288" w:lineRule="auto"/>
        <w:ind w:firstLine="420" w:firstLineChars="200"/>
        <w:rPr>
          <w:sz w:val="21"/>
          <w:szCs w:val="21"/>
          <w:highlight w:val="none"/>
        </w:rPr>
      </w:pPr>
      <w:r>
        <w:rPr>
          <w:sz w:val="21"/>
          <w:szCs w:val="21"/>
          <w:highlight w:val="none"/>
        </w:rPr>
        <w:t>2.</w:t>
      </w:r>
      <w:r>
        <w:rPr>
          <w:rFonts w:hint="eastAsia"/>
          <w:sz w:val="21"/>
          <w:szCs w:val="21"/>
          <w:highlight w:val="none"/>
        </w:rPr>
        <w:t>项目名称：长兴校区局部修缮项目</w:t>
      </w:r>
    </w:p>
    <w:p w14:paraId="2FEA9234">
      <w:pPr>
        <w:adjustRightInd w:val="0"/>
        <w:snapToGrid w:val="0"/>
        <w:spacing w:line="288" w:lineRule="auto"/>
        <w:ind w:firstLine="420" w:firstLineChars="200"/>
        <w:rPr>
          <w:sz w:val="21"/>
          <w:szCs w:val="21"/>
          <w:highlight w:val="none"/>
        </w:rPr>
      </w:pPr>
      <w:r>
        <w:rPr>
          <w:sz w:val="21"/>
          <w:szCs w:val="21"/>
          <w:highlight w:val="none"/>
        </w:rPr>
        <w:t>3.</w:t>
      </w:r>
      <w:r>
        <w:rPr>
          <w:rFonts w:hint="eastAsia"/>
          <w:sz w:val="21"/>
          <w:szCs w:val="21"/>
          <w:highlight w:val="none"/>
        </w:rPr>
        <w:t>采购方式：竞争性磋商</w:t>
      </w:r>
    </w:p>
    <w:bookmarkEnd w:id="6"/>
    <w:p w14:paraId="54F7AAD5">
      <w:pPr>
        <w:adjustRightInd w:val="0"/>
        <w:snapToGrid w:val="0"/>
        <w:spacing w:line="288" w:lineRule="auto"/>
        <w:ind w:firstLine="420" w:firstLineChars="200"/>
        <w:rPr>
          <w:sz w:val="21"/>
          <w:szCs w:val="21"/>
          <w:highlight w:val="none"/>
        </w:rPr>
      </w:pPr>
      <w:r>
        <w:rPr>
          <w:sz w:val="21"/>
          <w:szCs w:val="21"/>
          <w:highlight w:val="none"/>
        </w:rPr>
        <w:t>4.</w:t>
      </w:r>
      <w:r>
        <w:rPr>
          <w:rFonts w:hint="eastAsia"/>
          <w:sz w:val="21"/>
          <w:szCs w:val="21"/>
          <w:highlight w:val="none"/>
        </w:rPr>
        <w:t>预算金额：16万元</w:t>
      </w:r>
    </w:p>
    <w:p w14:paraId="3C619455">
      <w:pPr>
        <w:adjustRightInd w:val="0"/>
        <w:snapToGrid w:val="0"/>
        <w:spacing w:line="288" w:lineRule="auto"/>
        <w:ind w:firstLine="420" w:firstLineChars="200"/>
        <w:rPr>
          <w:sz w:val="21"/>
          <w:szCs w:val="21"/>
          <w:highlight w:val="none"/>
        </w:rPr>
      </w:pPr>
      <w:r>
        <w:rPr>
          <w:sz w:val="21"/>
          <w:szCs w:val="21"/>
          <w:highlight w:val="none"/>
        </w:rPr>
        <w:t>5.</w:t>
      </w:r>
      <w:r>
        <w:rPr>
          <w:rFonts w:hint="eastAsia"/>
          <w:sz w:val="21"/>
          <w:szCs w:val="21"/>
          <w:highlight w:val="none"/>
        </w:rPr>
        <w:t>最高限价：16万元</w:t>
      </w:r>
    </w:p>
    <w:p w14:paraId="06844A63">
      <w:pPr>
        <w:adjustRightInd w:val="0"/>
        <w:snapToGrid w:val="0"/>
        <w:spacing w:line="288" w:lineRule="auto"/>
        <w:ind w:firstLine="420" w:firstLineChars="200"/>
        <w:rPr>
          <w:spacing w:val="-6"/>
          <w:sz w:val="21"/>
          <w:szCs w:val="21"/>
          <w:highlight w:val="none"/>
        </w:rPr>
      </w:pPr>
      <w:r>
        <w:rPr>
          <w:sz w:val="21"/>
          <w:szCs w:val="21"/>
          <w:highlight w:val="none"/>
        </w:rPr>
        <w:t>6.</w:t>
      </w:r>
      <w:r>
        <w:rPr>
          <w:rFonts w:hint="eastAsia"/>
          <w:sz w:val="21"/>
          <w:szCs w:val="21"/>
          <w:highlight w:val="none"/>
        </w:rPr>
        <w:t>合同履约期限：</w:t>
      </w:r>
      <w:r>
        <w:rPr>
          <w:rFonts w:hint="eastAsia"/>
          <w:sz w:val="21"/>
          <w:szCs w:val="21"/>
          <w:highlight w:val="none"/>
        </w:rPr>
        <w:t>工期25日历天</w:t>
      </w:r>
    </w:p>
    <w:p w14:paraId="1C2672B6">
      <w:pPr>
        <w:adjustRightInd w:val="0"/>
        <w:snapToGrid w:val="0"/>
        <w:spacing w:line="288" w:lineRule="auto"/>
        <w:ind w:firstLine="420" w:firstLineChars="200"/>
        <w:rPr>
          <w:sz w:val="21"/>
          <w:szCs w:val="21"/>
          <w:highlight w:val="none"/>
        </w:rPr>
      </w:pPr>
      <w:r>
        <w:rPr>
          <w:sz w:val="21"/>
          <w:szCs w:val="21"/>
          <w:highlight w:val="none"/>
        </w:rPr>
        <w:t>7.</w:t>
      </w:r>
      <w:r>
        <w:rPr>
          <w:rFonts w:hint="eastAsia"/>
          <w:sz w:val="21"/>
          <w:szCs w:val="21"/>
          <w:highlight w:val="none"/>
        </w:rPr>
        <w:t>本项目（是）接受联合体响应。</w:t>
      </w:r>
    </w:p>
    <w:p w14:paraId="0A0B732E">
      <w:pPr>
        <w:adjustRightInd w:val="0"/>
        <w:snapToGrid w:val="0"/>
        <w:spacing w:line="288" w:lineRule="auto"/>
        <w:ind w:firstLine="420" w:firstLineChars="200"/>
        <w:rPr>
          <w:sz w:val="21"/>
          <w:szCs w:val="21"/>
          <w:highlight w:val="none"/>
        </w:rPr>
      </w:pPr>
      <w:r>
        <w:rPr>
          <w:sz w:val="21"/>
          <w:szCs w:val="21"/>
          <w:highlight w:val="none"/>
        </w:rPr>
        <w:t>8.</w:t>
      </w:r>
      <w:r>
        <w:rPr>
          <w:rFonts w:hint="eastAsia"/>
          <w:sz w:val="21"/>
          <w:szCs w:val="21"/>
          <w:highlight w:val="none"/>
        </w:rPr>
        <w:t>采购需求：</w:t>
      </w:r>
    </w:p>
    <w:tbl>
      <w:tblPr>
        <w:tblStyle w:val="32"/>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838"/>
        <w:gridCol w:w="903"/>
        <w:gridCol w:w="905"/>
        <w:gridCol w:w="3982"/>
      </w:tblGrid>
      <w:tr w14:paraId="11B79A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9" w:hRule="atLeast"/>
        </w:trPr>
        <w:tc>
          <w:tcPr>
            <w:tcW w:w="1993" w:type="pct"/>
            <w:tcBorders>
              <w:right w:val="single" w:color="auto" w:sz="4" w:space="0"/>
              <w:tl2br w:val="nil"/>
              <w:tr2bl w:val="nil"/>
            </w:tcBorders>
            <w:vAlign w:val="center"/>
          </w:tcPr>
          <w:p w14:paraId="744E74FD">
            <w:pPr>
              <w:adjustRightInd w:val="0"/>
              <w:snapToGrid w:val="0"/>
              <w:spacing w:line="288" w:lineRule="auto"/>
              <w:jc w:val="center"/>
              <w:rPr>
                <w:b/>
                <w:bCs/>
                <w:sz w:val="21"/>
                <w:szCs w:val="21"/>
                <w:highlight w:val="none"/>
              </w:rPr>
            </w:pPr>
            <w:r>
              <w:rPr>
                <w:rFonts w:hint="eastAsia"/>
                <w:b/>
                <w:bCs/>
                <w:sz w:val="21"/>
                <w:szCs w:val="21"/>
                <w:highlight w:val="none"/>
              </w:rPr>
              <w:t>名称</w:t>
            </w:r>
          </w:p>
        </w:tc>
        <w:tc>
          <w:tcPr>
            <w:tcW w:w="469" w:type="pct"/>
            <w:tcBorders>
              <w:tl2br w:val="nil"/>
              <w:tr2bl w:val="nil"/>
            </w:tcBorders>
            <w:vAlign w:val="center"/>
          </w:tcPr>
          <w:p w14:paraId="00EB007B">
            <w:pPr>
              <w:adjustRightInd w:val="0"/>
              <w:snapToGrid w:val="0"/>
              <w:spacing w:line="288" w:lineRule="auto"/>
              <w:jc w:val="center"/>
              <w:rPr>
                <w:b/>
                <w:bCs/>
                <w:sz w:val="21"/>
                <w:szCs w:val="21"/>
                <w:highlight w:val="none"/>
              </w:rPr>
            </w:pPr>
            <w:r>
              <w:rPr>
                <w:rFonts w:hint="eastAsia"/>
                <w:b/>
                <w:bCs/>
                <w:sz w:val="21"/>
                <w:szCs w:val="21"/>
                <w:highlight w:val="none"/>
              </w:rPr>
              <w:t>数量</w:t>
            </w:r>
          </w:p>
        </w:tc>
        <w:tc>
          <w:tcPr>
            <w:tcW w:w="470" w:type="pct"/>
            <w:tcBorders>
              <w:tl2br w:val="nil"/>
              <w:tr2bl w:val="nil"/>
            </w:tcBorders>
            <w:vAlign w:val="center"/>
          </w:tcPr>
          <w:p w14:paraId="527E17D2">
            <w:pPr>
              <w:adjustRightInd w:val="0"/>
              <w:snapToGrid w:val="0"/>
              <w:spacing w:line="288" w:lineRule="auto"/>
              <w:jc w:val="center"/>
              <w:rPr>
                <w:b/>
                <w:bCs/>
                <w:sz w:val="21"/>
                <w:szCs w:val="21"/>
                <w:highlight w:val="none"/>
              </w:rPr>
            </w:pPr>
            <w:r>
              <w:rPr>
                <w:rFonts w:hint="eastAsia"/>
                <w:b/>
                <w:bCs/>
                <w:sz w:val="21"/>
                <w:szCs w:val="21"/>
                <w:highlight w:val="none"/>
              </w:rPr>
              <w:t>单位</w:t>
            </w:r>
          </w:p>
        </w:tc>
        <w:tc>
          <w:tcPr>
            <w:tcW w:w="2068" w:type="pct"/>
            <w:tcBorders>
              <w:right w:val="single" w:color="auto" w:sz="4" w:space="0"/>
              <w:tl2br w:val="nil"/>
              <w:tr2bl w:val="nil"/>
            </w:tcBorders>
            <w:vAlign w:val="center"/>
          </w:tcPr>
          <w:p w14:paraId="4A64A26A">
            <w:pPr>
              <w:adjustRightInd w:val="0"/>
              <w:snapToGrid w:val="0"/>
              <w:spacing w:line="288" w:lineRule="auto"/>
              <w:jc w:val="center"/>
              <w:rPr>
                <w:b/>
                <w:bCs/>
                <w:sz w:val="21"/>
                <w:szCs w:val="21"/>
                <w:highlight w:val="none"/>
              </w:rPr>
            </w:pPr>
            <w:r>
              <w:rPr>
                <w:rFonts w:hint="eastAsia"/>
                <w:b/>
                <w:bCs/>
                <w:sz w:val="21"/>
                <w:szCs w:val="21"/>
                <w:highlight w:val="none"/>
              </w:rPr>
              <w:t>简要技术需求或服务要求</w:t>
            </w:r>
          </w:p>
        </w:tc>
      </w:tr>
      <w:tr w14:paraId="7EFE67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993" w:type="pct"/>
            <w:tcBorders>
              <w:right w:val="single" w:color="auto" w:sz="4" w:space="0"/>
              <w:tl2br w:val="nil"/>
              <w:tr2bl w:val="nil"/>
            </w:tcBorders>
            <w:vAlign w:val="center"/>
          </w:tcPr>
          <w:p w14:paraId="4BB37EA2">
            <w:pPr>
              <w:adjustRightInd w:val="0"/>
              <w:snapToGrid w:val="0"/>
              <w:spacing w:line="288" w:lineRule="auto"/>
              <w:jc w:val="center"/>
              <w:rPr>
                <w:bCs/>
                <w:sz w:val="21"/>
                <w:szCs w:val="21"/>
                <w:highlight w:val="none"/>
              </w:rPr>
            </w:pPr>
            <w:r>
              <w:rPr>
                <w:rFonts w:hint="eastAsia"/>
                <w:bCs/>
                <w:sz w:val="21"/>
                <w:szCs w:val="21"/>
                <w:highlight w:val="none"/>
              </w:rPr>
              <w:t>长兴校区局部修缮项目</w:t>
            </w:r>
          </w:p>
        </w:tc>
        <w:tc>
          <w:tcPr>
            <w:tcW w:w="469" w:type="pct"/>
            <w:tcBorders>
              <w:tl2br w:val="nil"/>
              <w:tr2bl w:val="nil"/>
            </w:tcBorders>
            <w:vAlign w:val="center"/>
          </w:tcPr>
          <w:p w14:paraId="400DE185">
            <w:pPr>
              <w:adjustRightInd w:val="0"/>
              <w:snapToGrid w:val="0"/>
              <w:spacing w:line="288" w:lineRule="auto"/>
              <w:jc w:val="center"/>
              <w:rPr>
                <w:bCs/>
                <w:sz w:val="21"/>
                <w:szCs w:val="21"/>
                <w:highlight w:val="none"/>
              </w:rPr>
            </w:pPr>
            <w:r>
              <w:rPr>
                <w:rFonts w:hint="eastAsia"/>
                <w:bCs/>
                <w:sz w:val="21"/>
                <w:szCs w:val="21"/>
                <w:highlight w:val="none"/>
              </w:rPr>
              <w:t>1</w:t>
            </w:r>
          </w:p>
        </w:tc>
        <w:tc>
          <w:tcPr>
            <w:tcW w:w="470" w:type="pct"/>
            <w:tcBorders>
              <w:tl2br w:val="nil"/>
              <w:tr2bl w:val="nil"/>
            </w:tcBorders>
            <w:vAlign w:val="center"/>
          </w:tcPr>
          <w:p w14:paraId="6F918EE5">
            <w:pPr>
              <w:adjustRightInd w:val="0"/>
              <w:snapToGrid w:val="0"/>
              <w:spacing w:line="288" w:lineRule="auto"/>
              <w:jc w:val="center"/>
              <w:rPr>
                <w:bCs/>
                <w:sz w:val="21"/>
                <w:szCs w:val="21"/>
                <w:highlight w:val="none"/>
              </w:rPr>
            </w:pPr>
            <w:r>
              <w:rPr>
                <w:rFonts w:hint="eastAsia"/>
                <w:bCs/>
                <w:sz w:val="21"/>
                <w:szCs w:val="21"/>
                <w:highlight w:val="none"/>
              </w:rPr>
              <w:t>项</w:t>
            </w:r>
          </w:p>
        </w:tc>
        <w:tc>
          <w:tcPr>
            <w:tcW w:w="2068" w:type="pct"/>
            <w:tcBorders>
              <w:right w:val="single" w:color="auto" w:sz="4" w:space="0"/>
              <w:tl2br w:val="nil"/>
              <w:tr2bl w:val="nil"/>
            </w:tcBorders>
            <w:vAlign w:val="center"/>
          </w:tcPr>
          <w:p w14:paraId="3E23D064">
            <w:pPr>
              <w:adjustRightInd w:val="0"/>
              <w:snapToGrid w:val="0"/>
              <w:spacing w:line="288" w:lineRule="auto"/>
              <w:jc w:val="left"/>
              <w:rPr>
                <w:bCs/>
                <w:sz w:val="21"/>
                <w:szCs w:val="21"/>
                <w:highlight w:val="none"/>
              </w:rPr>
            </w:pPr>
            <w:r>
              <w:rPr>
                <w:rFonts w:hint="eastAsia"/>
                <w:bCs/>
                <w:sz w:val="21"/>
                <w:szCs w:val="21"/>
                <w:highlight w:val="none"/>
              </w:rPr>
              <w:t>本项目为长兴校区局部修缮项目项目，主要内容包括看台下部空间利用改造，湖面隔离网格栅，体育馆二层卫生间改造等，具体详见工程量清单。</w:t>
            </w:r>
          </w:p>
        </w:tc>
      </w:tr>
    </w:tbl>
    <w:p w14:paraId="00C4CFBF">
      <w:pPr>
        <w:adjustRightInd w:val="0"/>
        <w:snapToGrid w:val="0"/>
        <w:spacing w:line="288" w:lineRule="auto"/>
        <w:rPr>
          <w:b/>
          <w:sz w:val="21"/>
          <w:szCs w:val="21"/>
          <w:highlight w:val="none"/>
        </w:rPr>
      </w:pPr>
      <w:bookmarkStart w:id="7" w:name="_Toc35393791"/>
      <w:bookmarkStart w:id="8" w:name="_Toc35393622"/>
      <w:bookmarkStart w:id="9" w:name="_Toc28359080"/>
      <w:bookmarkStart w:id="10" w:name="_Toc28359003"/>
      <w:r>
        <w:rPr>
          <w:rFonts w:hint="eastAsia"/>
          <w:b/>
          <w:sz w:val="21"/>
          <w:szCs w:val="21"/>
          <w:highlight w:val="none"/>
        </w:rPr>
        <w:t>二、申请人的资格要求：</w:t>
      </w:r>
      <w:bookmarkEnd w:id="7"/>
      <w:bookmarkEnd w:id="8"/>
      <w:bookmarkEnd w:id="9"/>
      <w:bookmarkEnd w:id="10"/>
    </w:p>
    <w:p w14:paraId="19627A7A">
      <w:pPr>
        <w:adjustRightInd w:val="0"/>
        <w:snapToGrid w:val="0"/>
        <w:spacing w:line="288" w:lineRule="auto"/>
        <w:ind w:firstLine="420" w:firstLineChars="200"/>
        <w:rPr>
          <w:rFonts w:cs="Times New Roman"/>
          <w:bCs/>
          <w:sz w:val="21"/>
          <w:szCs w:val="21"/>
          <w:highlight w:val="none"/>
        </w:rPr>
      </w:pPr>
      <w:bookmarkStart w:id="11" w:name="_Toc28359081"/>
      <w:bookmarkStart w:id="12" w:name="_Toc28359004"/>
      <w:r>
        <w:rPr>
          <w:rFonts w:hint="eastAsia" w:cs="Times New Roman"/>
          <w:bCs/>
          <w:sz w:val="21"/>
          <w:szCs w:val="21"/>
          <w:highlight w:val="none"/>
        </w:rPr>
        <w:t>1.满足《中华人民共和国政府采购法》第二十二条规定，未被“信用中国”（</w:t>
      </w:r>
      <w:r>
        <w:rPr>
          <w:rFonts w:cs="Times New Roman"/>
          <w:bCs/>
          <w:sz w:val="21"/>
          <w:szCs w:val="21"/>
          <w:highlight w:val="none"/>
        </w:rPr>
        <w:t>www.creditchina.gov.cn</w:t>
      </w:r>
      <w:r>
        <w:rPr>
          <w:rFonts w:hint="eastAsia" w:cs="Times New Roman"/>
          <w:bCs/>
          <w:sz w:val="21"/>
          <w:szCs w:val="21"/>
          <w:highlight w:val="none"/>
        </w:rPr>
        <w:t>）</w:t>
      </w:r>
      <w:r>
        <w:rPr>
          <w:rFonts w:cs="Times New Roman"/>
          <w:bCs/>
          <w:sz w:val="21"/>
          <w:szCs w:val="21"/>
          <w:highlight w:val="none"/>
        </w:rPr>
        <w:t>、中国政府采购网（www.ccgp.gov.cn）列入失信被执行人、重大税收违法案件当事人名单、政府采购严重违法失信行为记录名单。</w:t>
      </w:r>
    </w:p>
    <w:p w14:paraId="7201549D">
      <w:pPr>
        <w:adjustRightInd w:val="0"/>
        <w:snapToGrid w:val="0"/>
        <w:spacing w:line="288" w:lineRule="auto"/>
        <w:ind w:firstLine="422" w:firstLineChars="200"/>
        <w:rPr>
          <w:rFonts w:cs="Times New Roman"/>
          <w:b/>
          <w:bCs/>
          <w:sz w:val="21"/>
          <w:szCs w:val="21"/>
          <w:highlight w:val="none"/>
        </w:rPr>
      </w:pPr>
      <w:r>
        <w:rPr>
          <w:rFonts w:hint="eastAsia" w:cs="Times New Roman"/>
          <w:b/>
          <w:bCs/>
          <w:sz w:val="21"/>
          <w:szCs w:val="21"/>
          <w:highlight w:val="none"/>
        </w:rPr>
        <w:t>2.落实政府采购政策需满足的资格要求：本项目整体专门面向中小企业采购。</w:t>
      </w:r>
    </w:p>
    <w:p w14:paraId="3817FC84">
      <w:pPr>
        <w:adjustRightInd w:val="0"/>
        <w:snapToGrid w:val="0"/>
        <w:spacing w:line="288" w:lineRule="auto"/>
        <w:ind w:firstLine="422" w:firstLineChars="200"/>
        <w:rPr>
          <w:rFonts w:cs="Times New Roman"/>
          <w:b/>
          <w:bCs/>
          <w:sz w:val="21"/>
          <w:szCs w:val="21"/>
          <w:highlight w:val="none"/>
        </w:rPr>
      </w:pPr>
      <w:r>
        <w:rPr>
          <w:rFonts w:cs="Times New Roman"/>
          <w:b/>
          <w:bCs/>
          <w:sz w:val="21"/>
          <w:szCs w:val="21"/>
          <w:highlight w:val="none"/>
        </w:rPr>
        <w:t>工程由中小企业承建，即工程施工单位为中小企业；</w:t>
      </w:r>
    </w:p>
    <w:p w14:paraId="0B3F1E5C">
      <w:pPr>
        <w:adjustRightInd w:val="0"/>
        <w:snapToGrid w:val="0"/>
        <w:spacing w:line="288" w:lineRule="auto"/>
        <w:ind w:firstLine="422" w:firstLineChars="200"/>
        <w:rPr>
          <w:rFonts w:cs="Times New Roman"/>
          <w:b/>
          <w:bCs/>
          <w:sz w:val="21"/>
          <w:szCs w:val="21"/>
          <w:highlight w:val="none"/>
        </w:rPr>
      </w:pPr>
      <w:r>
        <w:rPr>
          <w:rFonts w:hint="eastAsia" w:cs="Times New Roman"/>
          <w:b/>
          <w:bCs/>
          <w:sz w:val="21"/>
          <w:szCs w:val="21"/>
          <w:highlight w:val="none"/>
        </w:rPr>
        <w:t>监狱企业、残疾人福利性单位视同小型、微型企业；</w:t>
      </w:r>
    </w:p>
    <w:p w14:paraId="0F7C7110">
      <w:pPr>
        <w:adjustRightInd w:val="0"/>
        <w:snapToGrid w:val="0"/>
        <w:spacing w:line="288" w:lineRule="auto"/>
        <w:ind w:firstLine="422" w:firstLineChars="200"/>
        <w:rPr>
          <w:rFonts w:cs="Times New Roman"/>
          <w:b/>
          <w:bCs/>
          <w:sz w:val="21"/>
          <w:szCs w:val="21"/>
          <w:highlight w:val="none"/>
        </w:rPr>
      </w:pPr>
      <w:r>
        <w:rPr>
          <w:rFonts w:hint="eastAsia" w:cs="Times New Roman"/>
          <w:b/>
          <w:bCs/>
          <w:sz w:val="21"/>
          <w:szCs w:val="21"/>
          <w:highlight w:val="none"/>
        </w:rPr>
        <w:t>本项目属性为：</w:t>
      </w:r>
      <w:r>
        <w:rPr>
          <w:rFonts w:cs="Times New Roman"/>
          <w:b/>
          <w:bCs/>
          <w:sz w:val="21"/>
          <w:szCs w:val="21"/>
          <w:highlight w:val="none"/>
        </w:rPr>
        <w:t>工程</w:t>
      </w:r>
    </w:p>
    <w:p w14:paraId="340A2AC9">
      <w:pPr>
        <w:adjustRightInd w:val="0"/>
        <w:snapToGrid w:val="0"/>
        <w:spacing w:line="288" w:lineRule="auto"/>
        <w:ind w:firstLine="422" w:firstLineChars="200"/>
        <w:rPr>
          <w:rFonts w:cs="Times New Roman"/>
          <w:b/>
          <w:bCs/>
          <w:sz w:val="21"/>
          <w:szCs w:val="21"/>
          <w:highlight w:val="none"/>
        </w:rPr>
      </w:pPr>
      <w:r>
        <w:rPr>
          <w:rFonts w:hint="eastAsia" w:cs="Times New Roman"/>
          <w:b/>
          <w:bCs/>
          <w:sz w:val="21"/>
          <w:szCs w:val="21"/>
          <w:highlight w:val="none"/>
        </w:rPr>
        <w:t>采购标的对应的中小企业划分标准所属行业：建筑业。</w:t>
      </w:r>
    </w:p>
    <w:p w14:paraId="05182ECD">
      <w:pPr>
        <w:adjustRightInd w:val="0"/>
        <w:snapToGrid w:val="0"/>
        <w:spacing w:line="288" w:lineRule="auto"/>
        <w:ind w:firstLine="422" w:firstLineChars="200"/>
        <w:rPr>
          <w:rFonts w:cs="Times New Roman"/>
          <w:b/>
          <w:bCs/>
          <w:sz w:val="21"/>
          <w:szCs w:val="21"/>
          <w:highlight w:val="none"/>
        </w:rPr>
      </w:pPr>
      <w:r>
        <w:rPr>
          <w:rFonts w:hint="eastAsia" w:cs="Times New Roman"/>
          <w:b/>
          <w:bCs/>
          <w:sz w:val="21"/>
          <w:szCs w:val="21"/>
          <w:highlight w:val="none"/>
        </w:rPr>
        <w:t>中小企业划型标准：营业收入</w:t>
      </w:r>
      <w:r>
        <w:rPr>
          <w:rFonts w:cs="Times New Roman"/>
          <w:b/>
          <w:bCs/>
          <w:sz w:val="21"/>
          <w:szCs w:val="21"/>
          <w:highlight w:val="none"/>
        </w:rPr>
        <w:t>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0BC8106B">
      <w:pPr>
        <w:adjustRightInd w:val="0"/>
        <w:snapToGrid w:val="0"/>
        <w:spacing w:line="288" w:lineRule="auto"/>
        <w:ind w:firstLine="420" w:firstLineChars="200"/>
        <w:rPr>
          <w:sz w:val="21"/>
          <w:szCs w:val="21"/>
          <w:highlight w:val="none"/>
        </w:rPr>
      </w:pPr>
      <w:r>
        <w:rPr>
          <w:rFonts w:hint="eastAsia"/>
          <w:sz w:val="21"/>
          <w:szCs w:val="21"/>
          <w:highlight w:val="none"/>
        </w:rPr>
        <w:t>3.本项目的特定资格要求：（</w:t>
      </w:r>
      <w:r>
        <w:rPr>
          <w:sz w:val="21"/>
          <w:szCs w:val="21"/>
          <w:highlight w:val="none"/>
        </w:rPr>
        <w:t>1）</w:t>
      </w:r>
      <w:r>
        <w:rPr>
          <w:rFonts w:hint="eastAsia"/>
          <w:sz w:val="21"/>
          <w:szCs w:val="21"/>
          <w:highlight w:val="none"/>
        </w:rPr>
        <w:t>具有建筑工程施工总承包三级及以上资质；（2）供应商具有有效期内的企业安全生产许可证。</w:t>
      </w:r>
    </w:p>
    <w:p w14:paraId="152A9737">
      <w:pPr>
        <w:adjustRightInd w:val="0"/>
        <w:snapToGrid w:val="0"/>
        <w:spacing w:line="288" w:lineRule="auto"/>
        <w:rPr>
          <w:b/>
          <w:sz w:val="21"/>
          <w:szCs w:val="21"/>
          <w:highlight w:val="none"/>
        </w:rPr>
      </w:pPr>
      <w:bookmarkStart w:id="13" w:name="_Toc35393792"/>
      <w:bookmarkStart w:id="14" w:name="_Toc35393623"/>
      <w:r>
        <w:rPr>
          <w:rFonts w:hint="eastAsia"/>
          <w:b/>
          <w:sz w:val="21"/>
          <w:szCs w:val="21"/>
          <w:highlight w:val="none"/>
        </w:rPr>
        <w:t>三、获取（下载）采购文件</w:t>
      </w:r>
      <w:bookmarkEnd w:id="11"/>
      <w:bookmarkEnd w:id="12"/>
      <w:bookmarkEnd w:id="13"/>
      <w:bookmarkEnd w:id="14"/>
    </w:p>
    <w:p w14:paraId="1DF7D141">
      <w:pPr>
        <w:adjustRightInd w:val="0"/>
        <w:snapToGrid w:val="0"/>
        <w:spacing w:line="288" w:lineRule="auto"/>
        <w:ind w:firstLine="420" w:firstLineChars="200"/>
        <w:rPr>
          <w:sz w:val="21"/>
          <w:szCs w:val="21"/>
          <w:highlight w:val="none"/>
        </w:rPr>
      </w:pPr>
      <w:bookmarkStart w:id="15" w:name="_Toc28359005"/>
      <w:bookmarkStart w:id="16" w:name="_Toc35393624"/>
      <w:bookmarkStart w:id="17" w:name="_Toc35393793"/>
      <w:bookmarkStart w:id="18" w:name="_Toc28359082"/>
      <w:r>
        <w:rPr>
          <w:rFonts w:hint="eastAsia"/>
          <w:sz w:val="21"/>
          <w:szCs w:val="21"/>
          <w:highlight w:val="none"/>
        </w:rPr>
        <w:t>时间：</w:t>
      </w:r>
      <w:r>
        <w:rPr>
          <w:rFonts w:hint="eastAsia"/>
          <w:sz w:val="21"/>
          <w:szCs w:val="21"/>
          <w:highlight w:val="none"/>
          <w:lang w:eastAsia="zh-CN"/>
        </w:rPr>
        <w:t>2024年10月28日至2024年11月8日</w:t>
      </w:r>
      <w:r>
        <w:rPr>
          <w:rFonts w:hint="eastAsia"/>
          <w:sz w:val="21"/>
          <w:szCs w:val="21"/>
          <w:highlight w:val="none"/>
        </w:rPr>
        <w:t>，每天上午00:00至12:00，下午12:00至23:59（北京时间，线上获取法定节假日均可，线下获取文件法定节假日除外）</w:t>
      </w:r>
    </w:p>
    <w:p w14:paraId="47236DE6">
      <w:pPr>
        <w:adjustRightInd w:val="0"/>
        <w:snapToGrid w:val="0"/>
        <w:spacing w:line="288" w:lineRule="auto"/>
        <w:ind w:firstLine="420" w:firstLineChars="200"/>
        <w:rPr>
          <w:sz w:val="21"/>
          <w:szCs w:val="21"/>
          <w:highlight w:val="none"/>
        </w:rPr>
      </w:pPr>
      <w:r>
        <w:rPr>
          <w:rFonts w:hint="eastAsia"/>
          <w:sz w:val="21"/>
          <w:szCs w:val="21"/>
          <w:highlight w:val="none"/>
        </w:rPr>
        <w:t>地点（网址）：政府采购云平台（</w:t>
      </w:r>
      <w:r>
        <w:rPr>
          <w:sz w:val="21"/>
          <w:szCs w:val="21"/>
          <w:highlight w:val="none"/>
        </w:rPr>
        <w:t>https://www.zcygov.cn</w:t>
      </w:r>
      <w:r>
        <w:rPr>
          <w:rFonts w:hint="eastAsia"/>
          <w:sz w:val="21"/>
          <w:szCs w:val="21"/>
          <w:highlight w:val="none"/>
        </w:rPr>
        <w:t>）</w:t>
      </w:r>
    </w:p>
    <w:p w14:paraId="353BEEBE">
      <w:pPr>
        <w:adjustRightInd w:val="0"/>
        <w:snapToGrid w:val="0"/>
        <w:spacing w:line="288" w:lineRule="auto"/>
        <w:ind w:firstLine="420" w:firstLineChars="200"/>
        <w:rPr>
          <w:sz w:val="21"/>
          <w:szCs w:val="21"/>
          <w:highlight w:val="none"/>
        </w:rPr>
      </w:pPr>
      <w:r>
        <w:rPr>
          <w:rFonts w:hint="eastAsia"/>
          <w:sz w:val="21"/>
          <w:szCs w:val="21"/>
          <w:highlight w:val="none"/>
        </w:rPr>
        <w:t>方式：供应商登录政采云平台（</w:t>
      </w:r>
      <w:r>
        <w:rPr>
          <w:sz w:val="21"/>
          <w:szCs w:val="21"/>
          <w:highlight w:val="none"/>
        </w:rPr>
        <w:t>https://www.zcygov.cn</w:t>
      </w:r>
      <w:r>
        <w:rPr>
          <w:rFonts w:hint="eastAsia"/>
          <w:sz w:val="21"/>
          <w:szCs w:val="21"/>
          <w:highlight w:val="none"/>
        </w:rPr>
        <w:t>）</w:t>
      </w:r>
      <w:r>
        <w:rPr>
          <w:sz w:val="21"/>
          <w:szCs w:val="21"/>
          <w:highlight w:val="none"/>
        </w:rPr>
        <w:t>在线申请获取采购文件（进入“项目采购”应用，在获取采购文件菜单中选择项目，申请获取采购文件）</w:t>
      </w:r>
    </w:p>
    <w:p w14:paraId="5742AEDC">
      <w:pPr>
        <w:adjustRightInd w:val="0"/>
        <w:snapToGrid w:val="0"/>
        <w:spacing w:line="288" w:lineRule="auto"/>
        <w:ind w:firstLine="420" w:firstLineChars="200"/>
        <w:rPr>
          <w:sz w:val="21"/>
          <w:szCs w:val="21"/>
          <w:highlight w:val="none"/>
        </w:rPr>
      </w:pPr>
      <w:r>
        <w:rPr>
          <w:rFonts w:hint="eastAsia"/>
          <w:sz w:val="21"/>
          <w:szCs w:val="21"/>
          <w:highlight w:val="none"/>
        </w:rPr>
        <w:t>售价（元）：0</w:t>
      </w:r>
    </w:p>
    <w:p w14:paraId="343B24D6">
      <w:pPr>
        <w:adjustRightInd w:val="0"/>
        <w:snapToGrid w:val="0"/>
        <w:spacing w:line="288" w:lineRule="auto"/>
        <w:rPr>
          <w:b/>
          <w:sz w:val="21"/>
          <w:szCs w:val="21"/>
          <w:highlight w:val="none"/>
        </w:rPr>
      </w:pPr>
      <w:r>
        <w:rPr>
          <w:rFonts w:hint="eastAsia"/>
          <w:b/>
          <w:sz w:val="21"/>
          <w:szCs w:val="21"/>
          <w:highlight w:val="none"/>
        </w:rPr>
        <w:t>四、</w:t>
      </w:r>
      <w:bookmarkEnd w:id="15"/>
      <w:bookmarkEnd w:id="16"/>
      <w:bookmarkEnd w:id="17"/>
      <w:bookmarkEnd w:id="18"/>
      <w:r>
        <w:rPr>
          <w:rFonts w:hint="eastAsia"/>
          <w:b/>
          <w:sz w:val="21"/>
          <w:szCs w:val="21"/>
          <w:highlight w:val="none"/>
        </w:rPr>
        <w:t>响应文件提交（上传）</w:t>
      </w:r>
    </w:p>
    <w:p w14:paraId="5C00E355">
      <w:pPr>
        <w:adjustRightInd w:val="0"/>
        <w:snapToGrid w:val="0"/>
        <w:spacing w:line="288" w:lineRule="auto"/>
        <w:ind w:firstLine="420" w:firstLineChars="200"/>
        <w:rPr>
          <w:bCs/>
          <w:sz w:val="21"/>
          <w:szCs w:val="21"/>
          <w:highlight w:val="none"/>
        </w:rPr>
      </w:pPr>
      <w:r>
        <w:rPr>
          <w:rFonts w:hint="eastAsia"/>
          <w:bCs/>
          <w:sz w:val="21"/>
          <w:szCs w:val="21"/>
          <w:highlight w:val="none"/>
        </w:rPr>
        <w:t>截止时间：</w:t>
      </w:r>
      <w:r>
        <w:rPr>
          <w:rFonts w:hint="eastAsia"/>
          <w:bCs/>
          <w:sz w:val="21"/>
          <w:szCs w:val="21"/>
          <w:highlight w:val="none"/>
          <w:lang w:eastAsia="zh-CN"/>
        </w:rPr>
        <w:t>2024年11月8日9:30:00</w:t>
      </w:r>
      <w:r>
        <w:rPr>
          <w:rFonts w:hint="eastAsia"/>
          <w:bCs/>
          <w:sz w:val="21"/>
          <w:szCs w:val="21"/>
          <w:highlight w:val="none"/>
        </w:rPr>
        <w:t>（北京时间）</w:t>
      </w:r>
    </w:p>
    <w:p w14:paraId="291E198F">
      <w:pPr>
        <w:adjustRightInd w:val="0"/>
        <w:snapToGrid w:val="0"/>
        <w:spacing w:line="288" w:lineRule="auto"/>
        <w:ind w:firstLine="420" w:firstLineChars="200"/>
        <w:rPr>
          <w:bCs/>
          <w:sz w:val="21"/>
          <w:szCs w:val="21"/>
          <w:highlight w:val="none"/>
        </w:rPr>
      </w:pPr>
      <w:r>
        <w:rPr>
          <w:rFonts w:hint="eastAsia"/>
          <w:bCs/>
          <w:sz w:val="21"/>
          <w:szCs w:val="21"/>
          <w:highlight w:val="none"/>
        </w:rPr>
        <w:t>地点</w:t>
      </w:r>
      <w:r>
        <w:rPr>
          <w:rFonts w:hint="eastAsia"/>
          <w:sz w:val="21"/>
          <w:szCs w:val="21"/>
          <w:highlight w:val="none"/>
        </w:rPr>
        <w:t>（网址）：政府采购云平台（https://www.zcygov.cn）</w:t>
      </w:r>
    </w:p>
    <w:p w14:paraId="02C74916">
      <w:pPr>
        <w:adjustRightInd w:val="0"/>
        <w:snapToGrid w:val="0"/>
        <w:spacing w:line="288" w:lineRule="auto"/>
        <w:rPr>
          <w:b/>
          <w:sz w:val="21"/>
          <w:szCs w:val="21"/>
          <w:highlight w:val="none"/>
        </w:rPr>
      </w:pPr>
      <w:bookmarkStart w:id="19" w:name="_Toc35393625"/>
      <w:bookmarkStart w:id="20" w:name="_Toc28359007"/>
      <w:bookmarkStart w:id="21" w:name="_Toc35393794"/>
      <w:bookmarkStart w:id="22" w:name="_Toc28359084"/>
      <w:r>
        <w:rPr>
          <w:rFonts w:hint="eastAsia"/>
          <w:b/>
          <w:sz w:val="21"/>
          <w:szCs w:val="21"/>
          <w:highlight w:val="none"/>
        </w:rPr>
        <w:t>五、响应文件开启</w:t>
      </w:r>
    </w:p>
    <w:p w14:paraId="324B8512">
      <w:pPr>
        <w:adjustRightInd w:val="0"/>
        <w:snapToGrid w:val="0"/>
        <w:spacing w:line="288" w:lineRule="auto"/>
        <w:ind w:firstLine="420" w:firstLineChars="200"/>
        <w:rPr>
          <w:bCs/>
          <w:sz w:val="21"/>
          <w:szCs w:val="21"/>
          <w:highlight w:val="none"/>
        </w:rPr>
      </w:pPr>
      <w:r>
        <w:rPr>
          <w:rFonts w:hint="eastAsia"/>
          <w:bCs/>
          <w:sz w:val="21"/>
          <w:szCs w:val="21"/>
          <w:highlight w:val="none"/>
        </w:rPr>
        <w:t>开启时间：</w:t>
      </w:r>
      <w:r>
        <w:rPr>
          <w:rFonts w:hint="eastAsia"/>
          <w:bCs/>
          <w:sz w:val="21"/>
          <w:szCs w:val="21"/>
          <w:highlight w:val="none"/>
          <w:lang w:eastAsia="zh-CN"/>
        </w:rPr>
        <w:t>2024年11月8日9:30:00</w:t>
      </w:r>
      <w:r>
        <w:rPr>
          <w:rFonts w:hint="eastAsia"/>
          <w:bCs/>
          <w:sz w:val="21"/>
          <w:szCs w:val="21"/>
          <w:highlight w:val="none"/>
        </w:rPr>
        <w:t>（北京时间）</w:t>
      </w:r>
    </w:p>
    <w:p w14:paraId="163CC03C">
      <w:pPr>
        <w:adjustRightInd w:val="0"/>
        <w:snapToGrid w:val="0"/>
        <w:spacing w:line="288" w:lineRule="auto"/>
        <w:ind w:firstLine="420" w:firstLineChars="200"/>
        <w:rPr>
          <w:rFonts w:hint="eastAsia" w:eastAsia="宋体"/>
          <w:bCs/>
          <w:sz w:val="21"/>
          <w:szCs w:val="21"/>
          <w:highlight w:val="none"/>
          <w:lang w:eastAsia="zh-CN"/>
        </w:rPr>
      </w:pPr>
      <w:r>
        <w:rPr>
          <w:rFonts w:hint="eastAsia"/>
          <w:bCs/>
          <w:sz w:val="21"/>
          <w:szCs w:val="21"/>
          <w:highlight w:val="none"/>
        </w:rPr>
        <w:t>地点</w:t>
      </w:r>
      <w:r>
        <w:rPr>
          <w:rFonts w:hint="eastAsia"/>
          <w:sz w:val="21"/>
          <w:szCs w:val="21"/>
          <w:highlight w:val="none"/>
        </w:rPr>
        <w:t>（网址）：政府采购云平台（https://www.zcygov.cn）</w:t>
      </w:r>
      <w:r>
        <w:rPr>
          <w:rFonts w:hint="eastAsia" w:cs="Times New Roman"/>
          <w:sz w:val="21"/>
          <w:szCs w:val="21"/>
          <w:highlight w:val="none"/>
        </w:rPr>
        <w:t>/</w:t>
      </w:r>
      <w:r>
        <w:rPr>
          <w:rFonts w:hint="eastAsia" w:cs="Times New Roman"/>
          <w:sz w:val="21"/>
          <w:szCs w:val="21"/>
          <w:highlight w:val="none"/>
          <w:lang w:eastAsia="zh-CN"/>
        </w:rPr>
        <w:t>杭州市西湖区玉古路173号中田大厦16楼（求是招标会议室8）</w:t>
      </w:r>
    </w:p>
    <w:p w14:paraId="33A78D39">
      <w:pPr>
        <w:adjustRightInd w:val="0"/>
        <w:snapToGrid w:val="0"/>
        <w:spacing w:line="288" w:lineRule="auto"/>
        <w:rPr>
          <w:b/>
          <w:sz w:val="21"/>
          <w:szCs w:val="21"/>
          <w:highlight w:val="none"/>
        </w:rPr>
      </w:pPr>
      <w:r>
        <w:rPr>
          <w:rFonts w:hint="eastAsia"/>
          <w:b/>
          <w:sz w:val="21"/>
          <w:szCs w:val="21"/>
          <w:highlight w:val="none"/>
        </w:rPr>
        <w:t>六、公告期限</w:t>
      </w:r>
      <w:bookmarkEnd w:id="19"/>
      <w:bookmarkEnd w:id="20"/>
      <w:bookmarkEnd w:id="21"/>
      <w:bookmarkEnd w:id="22"/>
    </w:p>
    <w:p w14:paraId="3DE18BDD">
      <w:pPr>
        <w:adjustRightInd w:val="0"/>
        <w:snapToGrid w:val="0"/>
        <w:spacing w:line="288" w:lineRule="auto"/>
        <w:ind w:firstLine="420" w:firstLineChars="200"/>
        <w:rPr>
          <w:kern w:val="0"/>
          <w:sz w:val="21"/>
          <w:szCs w:val="21"/>
          <w:highlight w:val="none"/>
        </w:rPr>
      </w:pPr>
      <w:r>
        <w:rPr>
          <w:rFonts w:hint="eastAsia"/>
          <w:kern w:val="0"/>
          <w:sz w:val="21"/>
          <w:szCs w:val="21"/>
          <w:highlight w:val="none"/>
        </w:rPr>
        <w:t>自本公告发布之日起3个工作日。</w:t>
      </w:r>
    </w:p>
    <w:p w14:paraId="10BF740E">
      <w:pPr>
        <w:adjustRightInd w:val="0"/>
        <w:snapToGrid w:val="0"/>
        <w:spacing w:line="288" w:lineRule="auto"/>
        <w:rPr>
          <w:b/>
          <w:sz w:val="21"/>
          <w:szCs w:val="21"/>
          <w:highlight w:val="none"/>
        </w:rPr>
      </w:pPr>
      <w:bookmarkStart w:id="23" w:name="_Toc35393795"/>
      <w:bookmarkStart w:id="24" w:name="_Toc35393626"/>
      <w:r>
        <w:rPr>
          <w:rFonts w:hint="eastAsia"/>
          <w:b/>
          <w:sz w:val="21"/>
          <w:szCs w:val="21"/>
          <w:highlight w:val="none"/>
        </w:rPr>
        <w:t>七、其他补充事宜</w:t>
      </w:r>
      <w:bookmarkEnd w:id="23"/>
      <w:bookmarkEnd w:id="24"/>
    </w:p>
    <w:p w14:paraId="1BD3FD9A">
      <w:pPr>
        <w:adjustRightInd w:val="0"/>
        <w:snapToGrid w:val="0"/>
        <w:spacing w:line="288" w:lineRule="auto"/>
        <w:ind w:firstLine="420" w:firstLineChars="200"/>
        <w:rPr>
          <w:rFonts w:cs="Times New Roman"/>
          <w:sz w:val="21"/>
          <w:szCs w:val="21"/>
          <w:highlight w:val="none"/>
        </w:rPr>
      </w:pPr>
      <w:bookmarkStart w:id="25" w:name="_Hlk97039575"/>
      <w:bookmarkStart w:id="26" w:name="_Toc28359008"/>
      <w:bookmarkStart w:id="27" w:name="_Toc35393627"/>
      <w:bookmarkStart w:id="28" w:name="_Toc28359085"/>
      <w:bookmarkStart w:id="29" w:name="_Toc35393796"/>
      <w:r>
        <w:rPr>
          <w:rFonts w:cs="Times New Roman"/>
          <w:sz w:val="21"/>
          <w:szCs w:val="21"/>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2EB4BF7C">
      <w:pPr>
        <w:adjustRightInd w:val="0"/>
        <w:snapToGrid w:val="0"/>
        <w:spacing w:line="288" w:lineRule="auto"/>
        <w:ind w:firstLine="420" w:firstLineChars="200"/>
        <w:rPr>
          <w:rFonts w:cs="Times New Roman"/>
          <w:sz w:val="21"/>
          <w:szCs w:val="21"/>
          <w:highlight w:val="none"/>
        </w:rPr>
      </w:pPr>
      <w:r>
        <w:rPr>
          <w:rFonts w:cs="Times New Roman"/>
          <w:sz w:val="21"/>
          <w:szCs w:val="21"/>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722B6E9">
      <w:pPr>
        <w:adjustRightInd w:val="0"/>
        <w:snapToGrid w:val="0"/>
        <w:spacing w:line="288" w:lineRule="auto"/>
        <w:ind w:firstLine="420" w:firstLineChars="200"/>
        <w:rPr>
          <w:rFonts w:cs="Times New Roman"/>
          <w:sz w:val="21"/>
          <w:szCs w:val="21"/>
          <w:highlight w:val="none"/>
        </w:rPr>
      </w:pPr>
      <w:r>
        <w:rPr>
          <w:rFonts w:cs="Times New Roman"/>
          <w:sz w:val="21"/>
          <w:szCs w:val="21"/>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9CFF1B2">
      <w:pPr>
        <w:adjustRightInd w:val="0"/>
        <w:snapToGrid w:val="0"/>
        <w:spacing w:line="288" w:lineRule="auto"/>
        <w:ind w:firstLine="420" w:firstLineChars="200"/>
        <w:rPr>
          <w:rFonts w:cs="Times New Roman"/>
          <w:sz w:val="21"/>
          <w:szCs w:val="21"/>
          <w:highlight w:val="none"/>
        </w:rPr>
      </w:pPr>
      <w:r>
        <w:rPr>
          <w:rFonts w:cs="Times New Roman"/>
          <w:sz w:val="21"/>
          <w:szCs w:val="21"/>
          <w:highlight w:val="none"/>
        </w:rPr>
        <w:t>4.其他事项：</w:t>
      </w:r>
    </w:p>
    <w:p w14:paraId="79780676">
      <w:pPr>
        <w:adjustRightInd w:val="0"/>
        <w:snapToGrid w:val="0"/>
        <w:spacing w:line="288" w:lineRule="auto"/>
        <w:ind w:firstLine="420" w:firstLineChars="200"/>
        <w:rPr>
          <w:rFonts w:cs="Times New Roman"/>
          <w:sz w:val="21"/>
          <w:szCs w:val="21"/>
          <w:highlight w:val="none"/>
        </w:rPr>
      </w:pPr>
      <w:r>
        <w:rPr>
          <w:rFonts w:cs="Times New Roman"/>
          <w:sz w:val="21"/>
          <w:szCs w:val="21"/>
          <w:highlight w:val="none"/>
        </w:rPr>
        <w:t>（</w:t>
      </w:r>
      <w:r>
        <w:rPr>
          <w:rFonts w:hint="eastAsia" w:cs="Times New Roman"/>
          <w:sz w:val="21"/>
          <w:szCs w:val="21"/>
          <w:highlight w:val="none"/>
        </w:rPr>
        <w:t>1</w:t>
      </w:r>
      <w:r>
        <w:rPr>
          <w:rFonts w:cs="Times New Roman"/>
          <w:sz w:val="21"/>
          <w:szCs w:val="21"/>
          <w:highlight w:val="none"/>
        </w:rPr>
        <w:t>）需要落实的政府采购政策：包括节约资源、保护环境、</w:t>
      </w:r>
      <w:r>
        <w:rPr>
          <w:rFonts w:hint="eastAsia" w:cs="Times New Roman"/>
          <w:sz w:val="21"/>
          <w:szCs w:val="21"/>
          <w:highlight w:val="none"/>
        </w:rPr>
        <w:t>支持科技创新、</w:t>
      </w:r>
      <w:r>
        <w:rPr>
          <w:rFonts w:cs="Times New Roman"/>
          <w:sz w:val="21"/>
          <w:szCs w:val="21"/>
          <w:highlight w:val="none"/>
        </w:rPr>
        <w:t>促进中小企业发展等。详见磋商文件的第</w:t>
      </w:r>
      <w:r>
        <w:rPr>
          <w:rFonts w:hint="eastAsia" w:cs="Times New Roman"/>
          <w:sz w:val="21"/>
          <w:szCs w:val="21"/>
          <w:highlight w:val="none"/>
        </w:rPr>
        <w:t>三章-采购项目需要落实的政府采购政策</w:t>
      </w:r>
      <w:r>
        <w:rPr>
          <w:rFonts w:cs="Times New Roman"/>
          <w:sz w:val="21"/>
          <w:szCs w:val="21"/>
          <w:highlight w:val="none"/>
        </w:rPr>
        <w:t>。</w:t>
      </w:r>
    </w:p>
    <w:bookmarkEnd w:id="25"/>
    <w:p w14:paraId="0C9CE40B">
      <w:pPr>
        <w:adjustRightInd w:val="0"/>
        <w:snapToGrid w:val="0"/>
        <w:spacing w:line="288" w:lineRule="auto"/>
        <w:ind w:firstLine="420" w:firstLineChars="200"/>
        <w:rPr>
          <w:bCs/>
          <w:sz w:val="21"/>
          <w:szCs w:val="21"/>
          <w:highlight w:val="none"/>
        </w:rPr>
      </w:pPr>
      <w:r>
        <w:rPr>
          <w:rFonts w:hint="eastAsia" w:cs="Times New Roman"/>
          <w:sz w:val="21"/>
          <w:szCs w:val="21"/>
          <w:highlight w:val="none"/>
        </w:rPr>
        <w:t>▲</w:t>
      </w:r>
      <w:bookmarkStart w:id="30" w:name="_Hlk92271072"/>
      <w:r>
        <w:rPr>
          <w:rFonts w:hint="eastAsia" w:cs="Times New Roman"/>
          <w:sz w:val="21"/>
          <w:szCs w:val="21"/>
          <w:highlight w:val="none"/>
        </w:rPr>
        <w:t>（2）</w:t>
      </w:r>
      <w:r>
        <w:rPr>
          <w:rFonts w:cs="Times New Roman"/>
          <w:sz w:val="21"/>
          <w:szCs w:val="21"/>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30"/>
    </w:p>
    <w:p w14:paraId="79E5212E">
      <w:pPr>
        <w:adjustRightInd w:val="0"/>
        <w:snapToGrid w:val="0"/>
        <w:spacing w:line="288" w:lineRule="auto"/>
        <w:rPr>
          <w:b/>
          <w:sz w:val="21"/>
          <w:szCs w:val="21"/>
          <w:highlight w:val="none"/>
        </w:rPr>
      </w:pPr>
      <w:r>
        <w:rPr>
          <w:rFonts w:hint="eastAsia"/>
          <w:b/>
          <w:sz w:val="21"/>
          <w:szCs w:val="21"/>
          <w:highlight w:val="none"/>
        </w:rPr>
        <w:t>八、凡对本次采购提出询问、质疑、投诉请按以下方式联系</w:t>
      </w:r>
      <w:bookmarkEnd w:id="26"/>
      <w:bookmarkEnd w:id="27"/>
      <w:bookmarkEnd w:id="28"/>
      <w:bookmarkEnd w:id="29"/>
    </w:p>
    <w:p w14:paraId="6636E1D6">
      <w:pPr>
        <w:adjustRightInd w:val="0"/>
        <w:snapToGrid w:val="0"/>
        <w:spacing w:line="288" w:lineRule="auto"/>
        <w:ind w:firstLine="424" w:firstLineChars="202"/>
        <w:rPr>
          <w:sz w:val="21"/>
          <w:szCs w:val="21"/>
          <w:highlight w:val="none"/>
        </w:rPr>
      </w:pPr>
      <w:r>
        <w:rPr>
          <w:sz w:val="21"/>
          <w:szCs w:val="21"/>
          <w:highlight w:val="none"/>
        </w:rPr>
        <w:t>1.采购人信息</w:t>
      </w:r>
    </w:p>
    <w:p w14:paraId="6282BFF5">
      <w:pPr>
        <w:adjustRightInd w:val="0"/>
        <w:snapToGrid w:val="0"/>
        <w:spacing w:line="288" w:lineRule="auto"/>
        <w:ind w:firstLine="424" w:firstLineChars="202"/>
        <w:rPr>
          <w:sz w:val="21"/>
          <w:szCs w:val="21"/>
          <w:highlight w:val="none"/>
        </w:rPr>
      </w:pPr>
      <w:r>
        <w:rPr>
          <w:rFonts w:hint="eastAsia"/>
          <w:sz w:val="21"/>
          <w:szCs w:val="21"/>
          <w:highlight w:val="none"/>
        </w:rPr>
        <w:t>名称：浙江交通职业技术学院</w:t>
      </w:r>
    </w:p>
    <w:p w14:paraId="4D0B0573">
      <w:pPr>
        <w:adjustRightInd w:val="0"/>
        <w:snapToGrid w:val="0"/>
        <w:spacing w:line="288" w:lineRule="auto"/>
        <w:ind w:firstLine="424" w:firstLineChars="202"/>
        <w:rPr>
          <w:sz w:val="21"/>
          <w:szCs w:val="21"/>
          <w:highlight w:val="none"/>
        </w:rPr>
      </w:pPr>
      <w:r>
        <w:rPr>
          <w:rFonts w:hint="eastAsia"/>
          <w:sz w:val="21"/>
          <w:szCs w:val="21"/>
          <w:highlight w:val="none"/>
        </w:rPr>
        <w:t>地址：杭州市余杭区古墩路</w:t>
      </w:r>
      <w:r>
        <w:rPr>
          <w:sz w:val="21"/>
          <w:szCs w:val="21"/>
          <w:highlight w:val="none"/>
        </w:rPr>
        <w:t>1516号</w:t>
      </w:r>
    </w:p>
    <w:p w14:paraId="3ADCF8C0">
      <w:pPr>
        <w:adjustRightInd w:val="0"/>
        <w:snapToGrid w:val="0"/>
        <w:spacing w:line="288" w:lineRule="auto"/>
        <w:ind w:firstLine="424" w:firstLineChars="202"/>
        <w:rPr>
          <w:sz w:val="21"/>
          <w:szCs w:val="21"/>
          <w:highlight w:val="none"/>
        </w:rPr>
      </w:pPr>
      <w:r>
        <w:rPr>
          <w:rFonts w:hint="eastAsia"/>
          <w:sz w:val="21"/>
          <w:szCs w:val="21"/>
          <w:highlight w:val="none"/>
        </w:rPr>
        <w:t>传真：</w:t>
      </w:r>
      <w:r>
        <w:rPr>
          <w:sz w:val="21"/>
          <w:szCs w:val="21"/>
          <w:highlight w:val="none"/>
        </w:rPr>
        <w:t>/</w:t>
      </w:r>
    </w:p>
    <w:p w14:paraId="4A3FADC6">
      <w:pPr>
        <w:adjustRightInd w:val="0"/>
        <w:snapToGrid w:val="0"/>
        <w:spacing w:line="288" w:lineRule="auto"/>
        <w:ind w:firstLine="424" w:firstLineChars="202"/>
        <w:rPr>
          <w:sz w:val="21"/>
          <w:szCs w:val="21"/>
          <w:highlight w:val="none"/>
        </w:rPr>
      </w:pPr>
      <w:r>
        <w:rPr>
          <w:rFonts w:hint="eastAsia"/>
          <w:sz w:val="21"/>
          <w:szCs w:val="21"/>
          <w:highlight w:val="none"/>
        </w:rPr>
        <w:t>项目联系人（询问）：徐老师</w:t>
      </w:r>
    </w:p>
    <w:p w14:paraId="07FA5E79">
      <w:pPr>
        <w:adjustRightInd w:val="0"/>
        <w:snapToGrid w:val="0"/>
        <w:spacing w:line="288" w:lineRule="auto"/>
        <w:ind w:firstLine="424" w:firstLineChars="202"/>
        <w:rPr>
          <w:sz w:val="21"/>
          <w:szCs w:val="21"/>
          <w:highlight w:val="none"/>
        </w:rPr>
      </w:pPr>
      <w:r>
        <w:rPr>
          <w:rFonts w:hint="eastAsia"/>
          <w:sz w:val="21"/>
          <w:szCs w:val="21"/>
          <w:highlight w:val="none"/>
        </w:rPr>
        <w:t>项目联系方式（询问）：0571-</w:t>
      </w:r>
      <w:r>
        <w:rPr>
          <w:sz w:val="21"/>
          <w:szCs w:val="21"/>
          <w:highlight w:val="none"/>
        </w:rPr>
        <w:t>88481917</w:t>
      </w:r>
    </w:p>
    <w:p w14:paraId="2B06FDC2">
      <w:pPr>
        <w:adjustRightInd w:val="0"/>
        <w:snapToGrid w:val="0"/>
        <w:spacing w:line="288" w:lineRule="auto"/>
        <w:ind w:firstLine="424" w:firstLineChars="202"/>
        <w:rPr>
          <w:sz w:val="21"/>
          <w:szCs w:val="21"/>
          <w:highlight w:val="none"/>
        </w:rPr>
      </w:pPr>
      <w:r>
        <w:rPr>
          <w:rFonts w:hint="eastAsia"/>
          <w:sz w:val="21"/>
          <w:szCs w:val="21"/>
          <w:highlight w:val="none"/>
        </w:rPr>
        <w:t>质疑联系人：李老师</w:t>
      </w:r>
    </w:p>
    <w:p w14:paraId="4641BEFD">
      <w:pPr>
        <w:adjustRightInd w:val="0"/>
        <w:snapToGrid w:val="0"/>
        <w:spacing w:line="288" w:lineRule="auto"/>
        <w:ind w:firstLine="424" w:firstLineChars="202"/>
        <w:rPr>
          <w:sz w:val="21"/>
          <w:szCs w:val="21"/>
          <w:highlight w:val="none"/>
        </w:rPr>
      </w:pPr>
      <w:r>
        <w:rPr>
          <w:rFonts w:hint="eastAsia"/>
          <w:sz w:val="21"/>
          <w:szCs w:val="21"/>
          <w:highlight w:val="none"/>
        </w:rPr>
        <w:t>质疑联系方式：</w:t>
      </w:r>
      <w:r>
        <w:rPr>
          <w:sz w:val="21"/>
          <w:szCs w:val="21"/>
          <w:highlight w:val="none"/>
        </w:rPr>
        <w:t>0571-88481917</w:t>
      </w:r>
    </w:p>
    <w:p w14:paraId="6348BCA3">
      <w:pPr>
        <w:adjustRightInd w:val="0"/>
        <w:snapToGrid w:val="0"/>
        <w:spacing w:line="288" w:lineRule="auto"/>
        <w:ind w:firstLine="424" w:firstLineChars="202"/>
        <w:rPr>
          <w:sz w:val="21"/>
          <w:szCs w:val="21"/>
          <w:highlight w:val="none"/>
        </w:rPr>
      </w:pPr>
    </w:p>
    <w:p w14:paraId="7879930D">
      <w:pPr>
        <w:adjustRightInd w:val="0"/>
        <w:snapToGrid w:val="0"/>
        <w:spacing w:line="288" w:lineRule="auto"/>
        <w:ind w:firstLine="424" w:firstLineChars="202"/>
        <w:rPr>
          <w:sz w:val="21"/>
          <w:szCs w:val="21"/>
          <w:highlight w:val="none"/>
        </w:rPr>
      </w:pPr>
      <w:r>
        <w:rPr>
          <w:sz w:val="21"/>
          <w:szCs w:val="21"/>
          <w:highlight w:val="none"/>
        </w:rPr>
        <w:t>2.采购代理机构信息</w:t>
      </w:r>
    </w:p>
    <w:p w14:paraId="6B0B51C1">
      <w:pPr>
        <w:adjustRightInd w:val="0"/>
        <w:snapToGrid w:val="0"/>
        <w:spacing w:line="288" w:lineRule="auto"/>
        <w:ind w:firstLine="424" w:firstLineChars="202"/>
        <w:rPr>
          <w:sz w:val="21"/>
          <w:szCs w:val="21"/>
          <w:highlight w:val="none"/>
        </w:rPr>
      </w:pPr>
      <w:r>
        <w:rPr>
          <w:rFonts w:hint="eastAsia"/>
          <w:sz w:val="21"/>
          <w:szCs w:val="21"/>
          <w:highlight w:val="none"/>
        </w:rPr>
        <w:t>名称：浙江求是招标代理有限公司</w:t>
      </w:r>
    </w:p>
    <w:p w14:paraId="2C4C5904">
      <w:pPr>
        <w:adjustRightInd w:val="0"/>
        <w:snapToGrid w:val="0"/>
        <w:spacing w:line="288" w:lineRule="auto"/>
        <w:ind w:firstLine="424" w:firstLineChars="202"/>
        <w:rPr>
          <w:sz w:val="21"/>
          <w:szCs w:val="21"/>
          <w:highlight w:val="none"/>
        </w:rPr>
      </w:pPr>
      <w:r>
        <w:rPr>
          <w:rFonts w:hint="eastAsia"/>
          <w:sz w:val="21"/>
          <w:szCs w:val="21"/>
          <w:highlight w:val="none"/>
        </w:rPr>
        <w:t>地址：杭州市西湖区玉古路</w:t>
      </w:r>
      <w:r>
        <w:rPr>
          <w:sz w:val="21"/>
          <w:szCs w:val="21"/>
          <w:highlight w:val="none"/>
        </w:rPr>
        <w:t>173号中田大厦21楼</w:t>
      </w:r>
    </w:p>
    <w:p w14:paraId="07FFCAB2">
      <w:pPr>
        <w:adjustRightInd w:val="0"/>
        <w:snapToGrid w:val="0"/>
        <w:spacing w:line="288" w:lineRule="auto"/>
        <w:ind w:firstLine="424" w:firstLineChars="202"/>
        <w:rPr>
          <w:sz w:val="21"/>
          <w:szCs w:val="21"/>
          <w:highlight w:val="none"/>
        </w:rPr>
      </w:pPr>
      <w:r>
        <w:rPr>
          <w:rFonts w:hint="eastAsia"/>
          <w:sz w:val="21"/>
          <w:szCs w:val="21"/>
          <w:highlight w:val="none"/>
        </w:rPr>
        <w:t>传真：</w:t>
      </w:r>
      <w:r>
        <w:rPr>
          <w:sz w:val="21"/>
          <w:szCs w:val="21"/>
          <w:highlight w:val="none"/>
        </w:rPr>
        <w:t>/</w:t>
      </w:r>
    </w:p>
    <w:p w14:paraId="7B0FB2C7">
      <w:pPr>
        <w:adjustRightInd w:val="0"/>
        <w:snapToGrid w:val="0"/>
        <w:spacing w:line="288" w:lineRule="auto"/>
        <w:ind w:firstLine="424" w:firstLineChars="202"/>
        <w:rPr>
          <w:sz w:val="21"/>
          <w:szCs w:val="21"/>
          <w:highlight w:val="none"/>
        </w:rPr>
      </w:pPr>
      <w:r>
        <w:rPr>
          <w:rFonts w:hint="eastAsia"/>
          <w:sz w:val="21"/>
          <w:szCs w:val="21"/>
          <w:highlight w:val="none"/>
        </w:rPr>
        <w:t>项目联系人（询问）：陈培特、李聪、温瑶、陈丹妮、杜伟波</w:t>
      </w:r>
    </w:p>
    <w:p w14:paraId="244A6B44">
      <w:pPr>
        <w:adjustRightInd w:val="0"/>
        <w:snapToGrid w:val="0"/>
        <w:spacing w:line="288" w:lineRule="auto"/>
        <w:ind w:firstLine="424" w:firstLineChars="202"/>
        <w:rPr>
          <w:sz w:val="21"/>
          <w:szCs w:val="21"/>
          <w:highlight w:val="none"/>
        </w:rPr>
      </w:pPr>
      <w:r>
        <w:rPr>
          <w:rFonts w:hint="eastAsia"/>
          <w:sz w:val="21"/>
          <w:szCs w:val="21"/>
          <w:highlight w:val="none"/>
        </w:rPr>
        <w:t>项目联系方式（询问）：0571-87666115</w:t>
      </w:r>
    </w:p>
    <w:p w14:paraId="5601C3A1">
      <w:pPr>
        <w:adjustRightInd w:val="0"/>
        <w:snapToGrid w:val="0"/>
        <w:spacing w:line="288" w:lineRule="auto"/>
        <w:ind w:firstLine="424" w:firstLineChars="202"/>
        <w:rPr>
          <w:sz w:val="21"/>
          <w:szCs w:val="21"/>
          <w:highlight w:val="none"/>
        </w:rPr>
      </w:pPr>
      <w:r>
        <w:rPr>
          <w:rFonts w:hint="eastAsia"/>
          <w:sz w:val="21"/>
          <w:szCs w:val="21"/>
          <w:highlight w:val="none"/>
        </w:rPr>
        <w:t>质疑联系人：周安琪</w:t>
      </w:r>
    </w:p>
    <w:p w14:paraId="1CBACC9C">
      <w:pPr>
        <w:adjustRightInd w:val="0"/>
        <w:snapToGrid w:val="0"/>
        <w:spacing w:line="288" w:lineRule="auto"/>
        <w:ind w:firstLine="424" w:firstLineChars="202"/>
        <w:rPr>
          <w:sz w:val="21"/>
          <w:szCs w:val="21"/>
          <w:highlight w:val="none"/>
        </w:rPr>
      </w:pPr>
      <w:r>
        <w:rPr>
          <w:rFonts w:hint="eastAsia"/>
          <w:sz w:val="21"/>
          <w:szCs w:val="21"/>
          <w:highlight w:val="none"/>
        </w:rPr>
        <w:t>质疑联系方式：</w:t>
      </w:r>
      <w:r>
        <w:rPr>
          <w:sz w:val="21"/>
          <w:szCs w:val="21"/>
          <w:highlight w:val="none"/>
        </w:rPr>
        <w:t>0571-81110356</w:t>
      </w:r>
    </w:p>
    <w:p w14:paraId="45483D56">
      <w:pPr>
        <w:adjustRightInd w:val="0"/>
        <w:snapToGrid w:val="0"/>
        <w:spacing w:line="288" w:lineRule="auto"/>
        <w:ind w:firstLine="424" w:firstLineChars="202"/>
        <w:rPr>
          <w:sz w:val="21"/>
          <w:szCs w:val="21"/>
          <w:highlight w:val="none"/>
        </w:rPr>
      </w:pPr>
      <w:r>
        <w:rPr>
          <w:rFonts w:hint="eastAsia"/>
          <w:sz w:val="21"/>
          <w:szCs w:val="21"/>
          <w:highlight w:val="none"/>
        </w:rPr>
        <w:t>质疑邮箱：</w:t>
      </w:r>
      <w:r>
        <w:rPr>
          <w:sz w:val="21"/>
          <w:szCs w:val="21"/>
          <w:highlight w:val="none"/>
        </w:rPr>
        <w:t>jdkh@qszb.net</w:t>
      </w:r>
    </w:p>
    <w:p w14:paraId="7F65DCB6">
      <w:pPr>
        <w:adjustRightInd w:val="0"/>
        <w:snapToGrid w:val="0"/>
        <w:spacing w:line="288" w:lineRule="auto"/>
        <w:ind w:firstLine="424" w:firstLineChars="202"/>
        <w:rPr>
          <w:rFonts w:cs="Times New Roman"/>
          <w:sz w:val="21"/>
          <w:szCs w:val="21"/>
          <w:highlight w:val="none"/>
        </w:rPr>
      </w:pPr>
    </w:p>
    <w:p w14:paraId="01D13578">
      <w:pPr>
        <w:adjustRightInd w:val="0"/>
        <w:snapToGrid w:val="0"/>
        <w:spacing w:line="288" w:lineRule="auto"/>
        <w:ind w:firstLine="425" w:firstLineChars="215"/>
        <w:rPr>
          <w:rFonts w:cs="Times New Roman"/>
          <w:spacing w:val="-6"/>
          <w:sz w:val="21"/>
          <w:szCs w:val="21"/>
          <w:highlight w:val="none"/>
        </w:rPr>
      </w:pPr>
      <w:r>
        <w:rPr>
          <w:rFonts w:cs="Times New Roman"/>
          <w:spacing w:val="-6"/>
          <w:sz w:val="21"/>
          <w:szCs w:val="21"/>
          <w:highlight w:val="none"/>
        </w:rPr>
        <w:t>3.同级政府采购监督管理部门</w:t>
      </w:r>
    </w:p>
    <w:p w14:paraId="51FD001A">
      <w:pPr>
        <w:adjustRightInd w:val="0"/>
        <w:snapToGrid w:val="0"/>
        <w:spacing w:line="288" w:lineRule="auto"/>
        <w:ind w:firstLine="425" w:firstLineChars="215"/>
        <w:rPr>
          <w:rFonts w:cs="Times New Roman"/>
          <w:spacing w:val="-6"/>
          <w:sz w:val="21"/>
          <w:szCs w:val="21"/>
          <w:highlight w:val="none"/>
        </w:rPr>
      </w:pPr>
      <w:r>
        <w:rPr>
          <w:rFonts w:cs="Times New Roman"/>
          <w:spacing w:val="-6"/>
          <w:sz w:val="21"/>
          <w:szCs w:val="21"/>
          <w:highlight w:val="none"/>
        </w:rPr>
        <w:t>名称：浙江省财政厅政府采购监管处、浙江省政府采购行政裁决服务中心（杭州）</w:t>
      </w:r>
    </w:p>
    <w:p w14:paraId="71F9D889">
      <w:pPr>
        <w:adjustRightInd w:val="0"/>
        <w:snapToGrid w:val="0"/>
        <w:spacing w:line="288" w:lineRule="auto"/>
        <w:ind w:firstLine="425" w:firstLineChars="215"/>
        <w:rPr>
          <w:rFonts w:cs="Times New Roman"/>
          <w:spacing w:val="-6"/>
          <w:sz w:val="21"/>
          <w:szCs w:val="21"/>
          <w:highlight w:val="none"/>
        </w:rPr>
      </w:pPr>
      <w:r>
        <w:rPr>
          <w:rFonts w:cs="Times New Roman"/>
          <w:spacing w:val="-6"/>
          <w:sz w:val="21"/>
          <w:szCs w:val="21"/>
          <w:highlight w:val="none"/>
        </w:rPr>
        <w:t>地址：杭州市上城区四季青街道新业路市民之家G03办公室</w:t>
      </w:r>
    </w:p>
    <w:p w14:paraId="18F4F09D">
      <w:pPr>
        <w:adjustRightInd w:val="0"/>
        <w:snapToGrid w:val="0"/>
        <w:spacing w:line="288" w:lineRule="auto"/>
        <w:ind w:firstLine="425" w:firstLineChars="215"/>
        <w:rPr>
          <w:rFonts w:cs="Times New Roman"/>
          <w:spacing w:val="-6"/>
          <w:sz w:val="21"/>
          <w:szCs w:val="21"/>
          <w:highlight w:val="none"/>
        </w:rPr>
      </w:pPr>
      <w:r>
        <w:rPr>
          <w:rFonts w:cs="Times New Roman"/>
          <w:spacing w:val="-6"/>
          <w:sz w:val="21"/>
          <w:szCs w:val="21"/>
          <w:highlight w:val="none"/>
        </w:rPr>
        <w:t>传真：/</w:t>
      </w:r>
    </w:p>
    <w:p w14:paraId="07BF7FCB">
      <w:pPr>
        <w:adjustRightInd w:val="0"/>
        <w:snapToGrid w:val="0"/>
        <w:spacing w:line="288" w:lineRule="auto"/>
        <w:ind w:firstLine="425" w:firstLineChars="215"/>
        <w:rPr>
          <w:rFonts w:cs="Times New Roman"/>
          <w:spacing w:val="-6"/>
          <w:sz w:val="21"/>
          <w:szCs w:val="21"/>
          <w:highlight w:val="none"/>
        </w:rPr>
      </w:pPr>
      <w:r>
        <w:rPr>
          <w:rFonts w:cs="Times New Roman"/>
          <w:spacing w:val="-6"/>
          <w:sz w:val="21"/>
          <w:szCs w:val="21"/>
          <w:highlight w:val="none"/>
        </w:rPr>
        <w:t>联系人：朱女士、王女士</w:t>
      </w:r>
    </w:p>
    <w:p w14:paraId="58965088">
      <w:pPr>
        <w:adjustRightInd w:val="0"/>
        <w:snapToGrid w:val="0"/>
        <w:spacing w:line="288" w:lineRule="auto"/>
        <w:ind w:firstLine="425" w:firstLineChars="215"/>
        <w:rPr>
          <w:rFonts w:cs="Times New Roman"/>
          <w:spacing w:val="-6"/>
          <w:sz w:val="21"/>
          <w:szCs w:val="21"/>
          <w:highlight w:val="none"/>
        </w:rPr>
      </w:pPr>
      <w:r>
        <w:rPr>
          <w:rFonts w:cs="Times New Roman"/>
          <w:spacing w:val="-6"/>
          <w:sz w:val="21"/>
          <w:szCs w:val="21"/>
          <w:highlight w:val="none"/>
        </w:rPr>
        <w:t>监督投诉电话：0571-85252453</w:t>
      </w:r>
    </w:p>
    <w:p w14:paraId="199C5DAE">
      <w:pPr>
        <w:adjustRightInd w:val="0"/>
        <w:snapToGrid w:val="0"/>
        <w:spacing w:line="288" w:lineRule="auto"/>
        <w:ind w:firstLine="425" w:firstLineChars="215"/>
        <w:rPr>
          <w:rFonts w:cs="Times New Roman"/>
          <w:spacing w:val="-6"/>
          <w:sz w:val="21"/>
          <w:szCs w:val="21"/>
          <w:highlight w:val="none"/>
        </w:rPr>
      </w:pPr>
      <w:r>
        <w:rPr>
          <w:rFonts w:cs="Times New Roman"/>
          <w:spacing w:val="-6"/>
          <w:sz w:val="21"/>
          <w:szCs w:val="21"/>
          <w:highlight w:val="none"/>
        </w:rPr>
        <w:t>政策咨询：何一平、冯华，0571-87058424、87055741</w:t>
      </w:r>
    </w:p>
    <w:p w14:paraId="1EC2A1BF">
      <w:pPr>
        <w:adjustRightInd w:val="0"/>
        <w:snapToGrid w:val="0"/>
        <w:spacing w:line="288" w:lineRule="auto"/>
        <w:ind w:firstLine="425" w:firstLineChars="215"/>
        <w:rPr>
          <w:rFonts w:cs="Times New Roman"/>
          <w:spacing w:val="-6"/>
          <w:sz w:val="21"/>
          <w:szCs w:val="21"/>
          <w:highlight w:val="none"/>
        </w:rPr>
      </w:pPr>
      <w:r>
        <w:rPr>
          <w:rFonts w:cs="Times New Roman"/>
          <w:spacing w:val="-6"/>
          <w:sz w:val="21"/>
          <w:szCs w:val="21"/>
          <w:highlight w:val="none"/>
        </w:rPr>
        <w:t>预算金额未达100万元的采购项目，由采购人处理采购争议。</w:t>
      </w:r>
    </w:p>
    <w:p w14:paraId="2BC3E572">
      <w:pPr>
        <w:adjustRightInd w:val="0"/>
        <w:snapToGrid w:val="0"/>
        <w:spacing w:line="288" w:lineRule="auto"/>
        <w:rPr>
          <w:rFonts w:cs="Times New Roman"/>
          <w:spacing w:val="-6"/>
          <w:sz w:val="21"/>
          <w:szCs w:val="21"/>
          <w:highlight w:val="none"/>
        </w:rPr>
      </w:pPr>
    </w:p>
    <w:p w14:paraId="1545FDB7">
      <w:pPr>
        <w:adjustRightInd w:val="0"/>
        <w:snapToGrid w:val="0"/>
        <w:spacing w:line="288" w:lineRule="auto"/>
        <w:ind w:firstLine="420" w:firstLineChars="200"/>
        <w:rPr>
          <w:rFonts w:cs="Times New Roman"/>
          <w:sz w:val="21"/>
          <w:szCs w:val="21"/>
          <w:highlight w:val="none"/>
        </w:rPr>
      </w:pPr>
      <w:r>
        <w:rPr>
          <w:rFonts w:hint="eastAsia" w:cs="Times New Roman"/>
          <w:sz w:val="21"/>
          <w:szCs w:val="21"/>
          <w:highlight w:val="none"/>
        </w:rPr>
        <w:t>若对项目采购电子交易系统操作有疑问，可登录政采云（</w:t>
      </w:r>
      <w:r>
        <w:rPr>
          <w:rFonts w:cs="Times New Roman"/>
          <w:sz w:val="21"/>
          <w:szCs w:val="21"/>
          <w:highlight w:val="none"/>
        </w:rPr>
        <w:t>https://www.zcygov.cn/），点击右侧咨询小采，获取采小蜜智能服务管家帮助，或拨打政采云服务热线95763获取热线服务帮助。</w:t>
      </w:r>
    </w:p>
    <w:p w14:paraId="39230AE8">
      <w:pPr>
        <w:adjustRightInd w:val="0"/>
        <w:snapToGrid w:val="0"/>
        <w:spacing w:line="288" w:lineRule="auto"/>
        <w:ind w:firstLine="420" w:firstLineChars="200"/>
        <w:rPr>
          <w:rFonts w:cs="Times New Roman"/>
          <w:sz w:val="21"/>
          <w:szCs w:val="21"/>
          <w:highlight w:val="none"/>
        </w:rPr>
      </w:pPr>
      <w:r>
        <w:rPr>
          <w:rFonts w:cs="Times New Roman"/>
          <w:sz w:val="21"/>
          <w:szCs w:val="21"/>
          <w:highlight w:val="none"/>
        </w:rPr>
        <w:t>CA问题联系电话（人工）：汇信CA 400-888-4636；天谷CA 400-087-8198。</w:t>
      </w:r>
    </w:p>
    <w:p w14:paraId="10662D51">
      <w:pPr>
        <w:adjustRightInd w:val="0"/>
        <w:snapToGrid w:val="0"/>
        <w:spacing w:line="288" w:lineRule="auto"/>
        <w:rPr>
          <w:sz w:val="21"/>
          <w:szCs w:val="21"/>
          <w:highlight w:val="none"/>
        </w:rPr>
      </w:pPr>
      <w:r>
        <w:rPr>
          <w:rFonts w:hint="eastAsia"/>
          <w:sz w:val="21"/>
          <w:szCs w:val="21"/>
          <w:highlight w:val="none"/>
        </w:rPr>
        <w:br w:type="page"/>
      </w:r>
    </w:p>
    <w:p w14:paraId="3AE53765">
      <w:pPr>
        <w:adjustRightInd w:val="0"/>
        <w:snapToGrid w:val="0"/>
        <w:spacing w:line="288" w:lineRule="auto"/>
        <w:jc w:val="center"/>
        <w:outlineLvl w:val="0"/>
        <w:rPr>
          <w:b/>
          <w:bCs/>
          <w:sz w:val="32"/>
          <w:szCs w:val="32"/>
          <w:highlight w:val="none"/>
        </w:rPr>
      </w:pPr>
      <w:r>
        <w:rPr>
          <w:rFonts w:hint="eastAsia"/>
          <w:b/>
          <w:bCs/>
          <w:sz w:val="32"/>
          <w:szCs w:val="32"/>
          <w:highlight w:val="none"/>
        </w:rPr>
        <w:t>第二章  采购需求</w:t>
      </w:r>
    </w:p>
    <w:p w14:paraId="068AF5A9">
      <w:pPr>
        <w:adjustRightInd w:val="0"/>
        <w:snapToGrid w:val="0"/>
        <w:spacing w:line="288" w:lineRule="auto"/>
        <w:jc w:val="left"/>
        <w:outlineLvl w:val="1"/>
        <w:rPr>
          <w:b/>
          <w:bCs/>
          <w:sz w:val="21"/>
          <w:szCs w:val="21"/>
          <w:highlight w:val="none"/>
        </w:rPr>
      </w:pPr>
      <w:r>
        <w:rPr>
          <w:rFonts w:hint="eastAsia"/>
          <w:b/>
          <w:bCs/>
          <w:sz w:val="21"/>
          <w:szCs w:val="21"/>
          <w:highlight w:val="none"/>
        </w:rPr>
        <w:t>一、为落实政府采购政策需满足的要求：</w:t>
      </w:r>
    </w:p>
    <w:tbl>
      <w:tblPr>
        <w:tblStyle w:val="3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8"/>
        <w:gridCol w:w="3302"/>
        <w:gridCol w:w="5608"/>
      </w:tblGrid>
      <w:tr w14:paraId="30AB1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373" w:type="pct"/>
            <w:vAlign w:val="center"/>
          </w:tcPr>
          <w:p w14:paraId="1BFF1150">
            <w:pPr>
              <w:adjustRightInd w:val="0"/>
              <w:snapToGrid w:val="0"/>
              <w:spacing w:line="288" w:lineRule="auto"/>
              <w:jc w:val="center"/>
              <w:rPr>
                <w:b/>
                <w:bCs/>
                <w:sz w:val="21"/>
                <w:szCs w:val="21"/>
                <w:highlight w:val="none"/>
              </w:rPr>
            </w:pPr>
            <w:bookmarkStart w:id="31" w:name="_Hlk45005599"/>
            <w:r>
              <w:rPr>
                <w:rFonts w:hint="eastAsia"/>
                <w:b/>
                <w:bCs/>
                <w:sz w:val="21"/>
                <w:szCs w:val="21"/>
                <w:highlight w:val="none"/>
              </w:rPr>
              <w:t>序号</w:t>
            </w:r>
          </w:p>
        </w:tc>
        <w:tc>
          <w:tcPr>
            <w:tcW w:w="1715" w:type="pct"/>
            <w:vAlign w:val="center"/>
          </w:tcPr>
          <w:p w14:paraId="2347F764">
            <w:pPr>
              <w:adjustRightInd w:val="0"/>
              <w:snapToGrid w:val="0"/>
              <w:spacing w:line="288" w:lineRule="auto"/>
              <w:jc w:val="center"/>
              <w:rPr>
                <w:b/>
                <w:bCs/>
                <w:sz w:val="21"/>
                <w:szCs w:val="21"/>
                <w:highlight w:val="none"/>
              </w:rPr>
            </w:pPr>
            <w:r>
              <w:rPr>
                <w:rFonts w:hint="eastAsia"/>
                <w:b/>
                <w:bCs/>
                <w:sz w:val="21"/>
                <w:szCs w:val="21"/>
                <w:highlight w:val="none"/>
              </w:rPr>
              <w:t>政策名称</w:t>
            </w:r>
          </w:p>
        </w:tc>
        <w:tc>
          <w:tcPr>
            <w:tcW w:w="2912" w:type="pct"/>
            <w:vAlign w:val="center"/>
          </w:tcPr>
          <w:p w14:paraId="1AEA7C31">
            <w:pPr>
              <w:adjustRightInd w:val="0"/>
              <w:snapToGrid w:val="0"/>
              <w:spacing w:line="288" w:lineRule="auto"/>
              <w:jc w:val="left"/>
              <w:rPr>
                <w:b/>
                <w:bCs/>
                <w:sz w:val="21"/>
                <w:szCs w:val="21"/>
                <w:highlight w:val="none"/>
              </w:rPr>
            </w:pPr>
            <w:r>
              <w:rPr>
                <w:rFonts w:hint="eastAsia"/>
                <w:b/>
                <w:bCs/>
                <w:sz w:val="21"/>
                <w:szCs w:val="21"/>
                <w:highlight w:val="none"/>
              </w:rPr>
              <w:t>内容</w:t>
            </w:r>
          </w:p>
        </w:tc>
      </w:tr>
      <w:tr w14:paraId="7180C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373" w:type="pct"/>
            <w:vAlign w:val="center"/>
          </w:tcPr>
          <w:p w14:paraId="2E3E7540">
            <w:pPr>
              <w:adjustRightInd w:val="0"/>
              <w:snapToGrid w:val="0"/>
              <w:spacing w:line="288" w:lineRule="auto"/>
              <w:jc w:val="center"/>
              <w:rPr>
                <w:b/>
                <w:bCs/>
                <w:sz w:val="21"/>
                <w:szCs w:val="21"/>
                <w:highlight w:val="none"/>
              </w:rPr>
            </w:pPr>
            <w:r>
              <w:rPr>
                <w:rFonts w:hint="eastAsia"/>
                <w:sz w:val="21"/>
                <w:szCs w:val="21"/>
                <w:highlight w:val="none"/>
              </w:rPr>
              <w:t>1</w:t>
            </w:r>
          </w:p>
        </w:tc>
        <w:tc>
          <w:tcPr>
            <w:tcW w:w="1715" w:type="pct"/>
            <w:vAlign w:val="center"/>
          </w:tcPr>
          <w:p w14:paraId="2D24F0AB">
            <w:pPr>
              <w:adjustRightInd w:val="0"/>
              <w:snapToGrid w:val="0"/>
              <w:spacing w:line="288" w:lineRule="auto"/>
              <w:jc w:val="center"/>
              <w:rPr>
                <w:b/>
                <w:bCs/>
                <w:sz w:val="21"/>
                <w:szCs w:val="21"/>
                <w:highlight w:val="none"/>
              </w:rPr>
            </w:pPr>
            <w:r>
              <w:rPr>
                <w:rFonts w:hint="eastAsia"/>
                <w:sz w:val="21"/>
                <w:szCs w:val="21"/>
                <w:highlight w:val="none"/>
              </w:rPr>
              <w:t>政府采购进口产品</w:t>
            </w:r>
          </w:p>
        </w:tc>
        <w:tc>
          <w:tcPr>
            <w:tcW w:w="2912" w:type="pct"/>
            <w:vAlign w:val="center"/>
          </w:tcPr>
          <w:p w14:paraId="7D31907B">
            <w:pPr>
              <w:adjustRightInd w:val="0"/>
              <w:snapToGrid w:val="0"/>
              <w:spacing w:line="288" w:lineRule="auto"/>
              <w:jc w:val="left"/>
              <w:rPr>
                <w:b/>
                <w:bCs/>
                <w:sz w:val="21"/>
                <w:szCs w:val="21"/>
                <w:highlight w:val="none"/>
              </w:rPr>
            </w:pPr>
            <w:r>
              <w:rPr>
                <w:rFonts w:hint="eastAsia"/>
                <w:sz w:val="21"/>
                <w:szCs w:val="21"/>
                <w:highlight w:val="none"/>
              </w:rPr>
              <w:t>不允许采购进口产品</w:t>
            </w:r>
          </w:p>
        </w:tc>
      </w:tr>
      <w:tr w14:paraId="1BD7B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373" w:type="pct"/>
            <w:vAlign w:val="center"/>
          </w:tcPr>
          <w:p w14:paraId="7352FA58">
            <w:pPr>
              <w:adjustRightInd w:val="0"/>
              <w:snapToGrid w:val="0"/>
              <w:spacing w:line="288" w:lineRule="auto"/>
              <w:jc w:val="center"/>
              <w:rPr>
                <w:b/>
                <w:bCs/>
                <w:sz w:val="21"/>
                <w:szCs w:val="21"/>
                <w:highlight w:val="none"/>
              </w:rPr>
            </w:pPr>
            <w:r>
              <w:rPr>
                <w:rFonts w:hint="eastAsia"/>
                <w:sz w:val="21"/>
                <w:szCs w:val="21"/>
                <w:highlight w:val="none"/>
              </w:rPr>
              <w:t>2</w:t>
            </w:r>
          </w:p>
        </w:tc>
        <w:tc>
          <w:tcPr>
            <w:tcW w:w="1715" w:type="pct"/>
            <w:vAlign w:val="center"/>
          </w:tcPr>
          <w:p w14:paraId="515AF848">
            <w:pPr>
              <w:adjustRightInd w:val="0"/>
              <w:snapToGrid w:val="0"/>
              <w:spacing w:line="288" w:lineRule="auto"/>
              <w:jc w:val="center"/>
              <w:rPr>
                <w:b/>
                <w:bCs/>
                <w:sz w:val="21"/>
                <w:szCs w:val="21"/>
                <w:highlight w:val="none"/>
              </w:rPr>
            </w:pPr>
            <w:r>
              <w:rPr>
                <w:rFonts w:hint="eastAsia"/>
                <w:sz w:val="21"/>
                <w:szCs w:val="21"/>
                <w:highlight w:val="none"/>
              </w:rPr>
              <w:t>政府强制采购节能产品</w:t>
            </w:r>
          </w:p>
        </w:tc>
        <w:tc>
          <w:tcPr>
            <w:tcW w:w="2912" w:type="pct"/>
            <w:vAlign w:val="center"/>
          </w:tcPr>
          <w:p w14:paraId="29F3B4CE">
            <w:pPr>
              <w:adjustRightInd w:val="0"/>
              <w:snapToGrid w:val="0"/>
              <w:spacing w:line="288" w:lineRule="auto"/>
              <w:jc w:val="left"/>
              <w:rPr>
                <w:sz w:val="21"/>
                <w:szCs w:val="21"/>
                <w:highlight w:val="none"/>
              </w:rPr>
            </w:pPr>
            <w:r>
              <w:rPr>
                <w:rFonts w:hint="eastAsia"/>
                <w:sz w:val="21"/>
                <w:szCs w:val="21"/>
                <w:highlight w:val="none"/>
              </w:rPr>
              <w:t>▲政府强制采购的节能产品品目清单范围内的产品，供应商需在响应文件中提供国家确定的认证机构出具的、有效的节能产品认证证书。</w:t>
            </w:r>
          </w:p>
          <w:p w14:paraId="056C03BA">
            <w:pPr>
              <w:adjustRightInd w:val="0"/>
              <w:snapToGrid w:val="0"/>
              <w:spacing w:line="288" w:lineRule="auto"/>
              <w:jc w:val="left"/>
              <w:rPr>
                <w:b/>
                <w:bCs/>
                <w:sz w:val="21"/>
                <w:szCs w:val="21"/>
                <w:highlight w:val="none"/>
              </w:rPr>
            </w:pPr>
            <w:r>
              <w:rPr>
                <w:rFonts w:hint="eastAsia"/>
                <w:sz w:val="21"/>
                <w:szCs w:val="21"/>
                <w:highlight w:val="none"/>
              </w:rPr>
              <w:t>详见磋商文件第六章“商务和技术文件”政府强制采购的节能产品清单范围详见附件：节能产品政府采购品目清单，如有冲突，以节能产品政府采购品目清单为准。</w:t>
            </w:r>
          </w:p>
        </w:tc>
      </w:tr>
      <w:tr w14:paraId="05128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373" w:type="pct"/>
            <w:vAlign w:val="center"/>
          </w:tcPr>
          <w:p w14:paraId="3D5E0C1E">
            <w:pPr>
              <w:adjustRightInd w:val="0"/>
              <w:snapToGrid w:val="0"/>
              <w:spacing w:line="288" w:lineRule="auto"/>
              <w:jc w:val="center"/>
              <w:rPr>
                <w:b/>
                <w:bCs/>
                <w:sz w:val="21"/>
                <w:szCs w:val="21"/>
                <w:highlight w:val="none"/>
              </w:rPr>
            </w:pPr>
            <w:r>
              <w:rPr>
                <w:rFonts w:hint="eastAsia"/>
                <w:sz w:val="21"/>
                <w:szCs w:val="21"/>
                <w:highlight w:val="none"/>
              </w:rPr>
              <w:t>3</w:t>
            </w:r>
          </w:p>
        </w:tc>
        <w:tc>
          <w:tcPr>
            <w:tcW w:w="1715" w:type="pct"/>
            <w:vAlign w:val="center"/>
          </w:tcPr>
          <w:p w14:paraId="5C039F75">
            <w:pPr>
              <w:adjustRightInd w:val="0"/>
              <w:snapToGrid w:val="0"/>
              <w:spacing w:line="288" w:lineRule="auto"/>
              <w:jc w:val="center"/>
              <w:rPr>
                <w:b/>
                <w:bCs/>
                <w:sz w:val="21"/>
                <w:szCs w:val="21"/>
                <w:highlight w:val="none"/>
              </w:rPr>
            </w:pPr>
            <w:r>
              <w:rPr>
                <w:rFonts w:hint="eastAsia"/>
                <w:sz w:val="21"/>
                <w:szCs w:val="21"/>
                <w:highlight w:val="none"/>
              </w:rPr>
              <w:t>政府优先采购节能、环保产品</w:t>
            </w:r>
          </w:p>
        </w:tc>
        <w:tc>
          <w:tcPr>
            <w:tcW w:w="2912" w:type="pct"/>
            <w:vAlign w:val="center"/>
          </w:tcPr>
          <w:p w14:paraId="12092D10">
            <w:pPr>
              <w:adjustRightInd w:val="0"/>
              <w:snapToGrid w:val="0"/>
              <w:spacing w:line="288" w:lineRule="auto"/>
              <w:jc w:val="left"/>
              <w:rPr>
                <w:b/>
                <w:bCs/>
                <w:sz w:val="21"/>
                <w:szCs w:val="21"/>
                <w:highlight w:val="none"/>
              </w:rPr>
            </w:pPr>
            <w:r>
              <w:rPr>
                <w:rFonts w:hint="eastAsia"/>
                <w:sz w:val="21"/>
                <w:szCs w:val="21"/>
                <w:highlight w:val="none"/>
              </w:rPr>
              <w:t>提供材料详见磋商文件第六章“商务和技术文件”</w:t>
            </w:r>
          </w:p>
        </w:tc>
      </w:tr>
      <w:tr w14:paraId="22351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373" w:type="pct"/>
            <w:vAlign w:val="center"/>
          </w:tcPr>
          <w:p w14:paraId="329171B5">
            <w:pPr>
              <w:adjustRightInd w:val="0"/>
              <w:snapToGrid w:val="0"/>
              <w:spacing w:line="288" w:lineRule="auto"/>
              <w:jc w:val="center"/>
              <w:rPr>
                <w:sz w:val="21"/>
                <w:szCs w:val="21"/>
                <w:highlight w:val="none"/>
              </w:rPr>
            </w:pPr>
            <w:r>
              <w:rPr>
                <w:rFonts w:hint="eastAsia"/>
                <w:sz w:val="21"/>
                <w:szCs w:val="21"/>
                <w:highlight w:val="none"/>
              </w:rPr>
              <w:t>4</w:t>
            </w:r>
          </w:p>
        </w:tc>
        <w:tc>
          <w:tcPr>
            <w:tcW w:w="1715" w:type="pct"/>
            <w:vAlign w:val="center"/>
          </w:tcPr>
          <w:p w14:paraId="10C3FB35">
            <w:pPr>
              <w:adjustRightInd w:val="0"/>
              <w:snapToGrid w:val="0"/>
              <w:spacing w:line="288" w:lineRule="auto"/>
              <w:jc w:val="center"/>
              <w:rPr>
                <w:sz w:val="21"/>
                <w:szCs w:val="18"/>
                <w:highlight w:val="none"/>
              </w:rPr>
            </w:pPr>
            <w:r>
              <w:rPr>
                <w:rFonts w:hint="eastAsia"/>
                <w:sz w:val="21"/>
                <w:szCs w:val="18"/>
                <w:highlight w:val="none"/>
              </w:rPr>
              <w:t>政府采购支持科技创新</w:t>
            </w:r>
          </w:p>
        </w:tc>
        <w:tc>
          <w:tcPr>
            <w:tcW w:w="2912" w:type="pct"/>
            <w:vAlign w:val="center"/>
          </w:tcPr>
          <w:p w14:paraId="4988DA8C">
            <w:pPr>
              <w:adjustRightInd w:val="0"/>
              <w:snapToGrid w:val="0"/>
              <w:spacing w:line="288" w:lineRule="auto"/>
              <w:jc w:val="left"/>
              <w:rPr>
                <w:sz w:val="21"/>
                <w:szCs w:val="18"/>
                <w:highlight w:val="none"/>
              </w:rPr>
            </w:pPr>
            <w:r>
              <w:rPr>
                <w:rFonts w:hint="eastAsia"/>
                <w:sz w:val="21"/>
                <w:szCs w:val="21"/>
                <w:highlight w:val="none"/>
              </w:rPr>
              <w:t>提供材料详见磋商文件第六章“商务和技术文件”</w:t>
            </w:r>
          </w:p>
        </w:tc>
      </w:tr>
      <w:tr w14:paraId="0CF91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373" w:type="pct"/>
            <w:vAlign w:val="center"/>
          </w:tcPr>
          <w:p w14:paraId="69207DBF">
            <w:pPr>
              <w:adjustRightInd w:val="0"/>
              <w:snapToGrid w:val="0"/>
              <w:spacing w:line="288" w:lineRule="auto"/>
              <w:jc w:val="center"/>
              <w:rPr>
                <w:b/>
                <w:bCs/>
                <w:sz w:val="21"/>
                <w:szCs w:val="21"/>
                <w:highlight w:val="none"/>
              </w:rPr>
            </w:pPr>
            <w:r>
              <w:rPr>
                <w:rFonts w:hint="eastAsia"/>
                <w:sz w:val="21"/>
                <w:szCs w:val="21"/>
                <w:highlight w:val="none"/>
              </w:rPr>
              <w:t>5</w:t>
            </w:r>
          </w:p>
        </w:tc>
        <w:tc>
          <w:tcPr>
            <w:tcW w:w="1715" w:type="pct"/>
            <w:vAlign w:val="center"/>
          </w:tcPr>
          <w:p w14:paraId="1E84F8B5">
            <w:pPr>
              <w:adjustRightInd w:val="0"/>
              <w:snapToGrid w:val="0"/>
              <w:spacing w:line="288" w:lineRule="auto"/>
              <w:jc w:val="center"/>
              <w:rPr>
                <w:sz w:val="21"/>
                <w:szCs w:val="21"/>
                <w:highlight w:val="none"/>
              </w:rPr>
            </w:pPr>
            <w:r>
              <w:rPr>
                <w:rFonts w:hint="eastAsia"/>
                <w:sz w:val="21"/>
                <w:szCs w:val="21"/>
                <w:highlight w:val="none"/>
              </w:rPr>
              <w:t>政府采购促进中小企业发展</w:t>
            </w:r>
          </w:p>
        </w:tc>
        <w:tc>
          <w:tcPr>
            <w:tcW w:w="2912" w:type="pct"/>
            <w:vAlign w:val="center"/>
          </w:tcPr>
          <w:p w14:paraId="6E45F5F1">
            <w:pPr>
              <w:adjustRightInd w:val="0"/>
              <w:snapToGrid w:val="0"/>
              <w:spacing w:line="288" w:lineRule="auto"/>
              <w:jc w:val="left"/>
              <w:rPr>
                <w:sz w:val="21"/>
                <w:szCs w:val="21"/>
                <w:highlight w:val="none"/>
              </w:rPr>
            </w:pPr>
            <w:r>
              <w:rPr>
                <w:rFonts w:hint="eastAsia"/>
                <w:sz w:val="21"/>
                <w:szCs w:val="21"/>
                <w:highlight w:val="none"/>
              </w:rPr>
              <w:t>提供材料详见磋商文件第六章“资格文件”</w:t>
            </w:r>
          </w:p>
        </w:tc>
      </w:tr>
      <w:tr w14:paraId="1E5BB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373" w:type="pct"/>
            <w:vAlign w:val="center"/>
          </w:tcPr>
          <w:p w14:paraId="4ABEF3A3">
            <w:pPr>
              <w:adjustRightInd w:val="0"/>
              <w:snapToGrid w:val="0"/>
              <w:spacing w:line="288" w:lineRule="auto"/>
              <w:jc w:val="center"/>
              <w:rPr>
                <w:sz w:val="21"/>
                <w:szCs w:val="21"/>
                <w:highlight w:val="none"/>
              </w:rPr>
            </w:pPr>
            <w:r>
              <w:rPr>
                <w:rFonts w:hint="eastAsia"/>
                <w:sz w:val="21"/>
                <w:szCs w:val="21"/>
                <w:highlight w:val="none"/>
              </w:rPr>
              <w:t>6</w:t>
            </w:r>
          </w:p>
        </w:tc>
        <w:tc>
          <w:tcPr>
            <w:tcW w:w="1715" w:type="pct"/>
            <w:vAlign w:val="center"/>
          </w:tcPr>
          <w:p w14:paraId="1A95989F">
            <w:pPr>
              <w:adjustRightInd w:val="0"/>
              <w:snapToGrid w:val="0"/>
              <w:spacing w:line="288" w:lineRule="auto"/>
              <w:jc w:val="center"/>
              <w:rPr>
                <w:sz w:val="21"/>
                <w:szCs w:val="21"/>
                <w:highlight w:val="none"/>
              </w:rPr>
            </w:pPr>
            <w:r>
              <w:rPr>
                <w:rFonts w:hint="eastAsia"/>
                <w:sz w:val="21"/>
                <w:szCs w:val="21"/>
                <w:highlight w:val="none"/>
              </w:rPr>
              <w:t>政府采购支持监狱企业发展</w:t>
            </w:r>
          </w:p>
        </w:tc>
        <w:tc>
          <w:tcPr>
            <w:tcW w:w="2912" w:type="pct"/>
            <w:vAlign w:val="center"/>
          </w:tcPr>
          <w:p w14:paraId="780CCE85">
            <w:pPr>
              <w:adjustRightInd w:val="0"/>
              <w:snapToGrid w:val="0"/>
              <w:spacing w:line="288" w:lineRule="auto"/>
              <w:jc w:val="left"/>
              <w:rPr>
                <w:rFonts w:cs="Times New Roman"/>
                <w:b/>
                <w:bCs/>
                <w:sz w:val="21"/>
                <w:szCs w:val="21"/>
                <w:highlight w:val="none"/>
              </w:rPr>
            </w:pPr>
            <w:r>
              <w:rPr>
                <w:rFonts w:hint="eastAsia"/>
                <w:sz w:val="21"/>
                <w:szCs w:val="21"/>
                <w:highlight w:val="none"/>
              </w:rPr>
              <w:t>提供材料详见磋商文件第六章“资格文件”</w:t>
            </w:r>
          </w:p>
        </w:tc>
      </w:tr>
      <w:tr w14:paraId="0E25B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373" w:type="pct"/>
            <w:vAlign w:val="center"/>
          </w:tcPr>
          <w:p w14:paraId="40A61E9D">
            <w:pPr>
              <w:adjustRightInd w:val="0"/>
              <w:snapToGrid w:val="0"/>
              <w:spacing w:line="288" w:lineRule="auto"/>
              <w:jc w:val="center"/>
              <w:rPr>
                <w:sz w:val="21"/>
                <w:szCs w:val="21"/>
                <w:highlight w:val="none"/>
              </w:rPr>
            </w:pPr>
            <w:r>
              <w:rPr>
                <w:rFonts w:hint="eastAsia"/>
                <w:sz w:val="21"/>
                <w:szCs w:val="21"/>
                <w:highlight w:val="none"/>
              </w:rPr>
              <w:t>7</w:t>
            </w:r>
          </w:p>
        </w:tc>
        <w:tc>
          <w:tcPr>
            <w:tcW w:w="1715" w:type="pct"/>
            <w:vAlign w:val="center"/>
          </w:tcPr>
          <w:p w14:paraId="3FF148E6">
            <w:pPr>
              <w:adjustRightInd w:val="0"/>
              <w:snapToGrid w:val="0"/>
              <w:spacing w:line="288" w:lineRule="auto"/>
              <w:jc w:val="center"/>
              <w:rPr>
                <w:sz w:val="21"/>
                <w:szCs w:val="21"/>
                <w:highlight w:val="none"/>
              </w:rPr>
            </w:pPr>
            <w:r>
              <w:rPr>
                <w:rFonts w:hint="eastAsia"/>
                <w:sz w:val="21"/>
                <w:szCs w:val="21"/>
                <w:highlight w:val="none"/>
              </w:rPr>
              <w:t>政府采购促进残疾人就业</w:t>
            </w:r>
          </w:p>
        </w:tc>
        <w:tc>
          <w:tcPr>
            <w:tcW w:w="2912" w:type="pct"/>
            <w:vAlign w:val="center"/>
          </w:tcPr>
          <w:p w14:paraId="26866D8F">
            <w:pPr>
              <w:adjustRightInd w:val="0"/>
              <w:snapToGrid w:val="0"/>
              <w:spacing w:line="288" w:lineRule="auto"/>
              <w:jc w:val="left"/>
              <w:rPr>
                <w:sz w:val="21"/>
                <w:szCs w:val="21"/>
                <w:highlight w:val="none"/>
              </w:rPr>
            </w:pPr>
            <w:r>
              <w:rPr>
                <w:rFonts w:hint="eastAsia"/>
                <w:sz w:val="21"/>
                <w:szCs w:val="21"/>
                <w:highlight w:val="none"/>
              </w:rPr>
              <w:t>提供材料详见磋商文件第六章“资格文件”</w:t>
            </w:r>
          </w:p>
        </w:tc>
      </w:tr>
      <w:bookmarkEnd w:id="31"/>
    </w:tbl>
    <w:p w14:paraId="58EF1373">
      <w:pPr>
        <w:adjustRightInd w:val="0"/>
        <w:snapToGrid w:val="0"/>
        <w:spacing w:line="288" w:lineRule="auto"/>
        <w:jc w:val="left"/>
        <w:rPr>
          <w:sz w:val="21"/>
          <w:szCs w:val="21"/>
          <w:highlight w:val="none"/>
        </w:rPr>
      </w:pPr>
    </w:p>
    <w:p w14:paraId="66CA0289">
      <w:pPr>
        <w:adjustRightInd w:val="0"/>
        <w:snapToGrid w:val="0"/>
        <w:spacing w:line="288" w:lineRule="auto"/>
        <w:outlineLvl w:val="1"/>
        <w:rPr>
          <w:b/>
          <w:bCs/>
          <w:sz w:val="21"/>
          <w:szCs w:val="21"/>
          <w:highlight w:val="none"/>
        </w:rPr>
      </w:pPr>
      <w:r>
        <w:rPr>
          <w:rFonts w:hint="eastAsia"/>
          <w:b/>
          <w:bCs/>
          <w:sz w:val="21"/>
          <w:szCs w:val="21"/>
          <w:highlight w:val="none"/>
        </w:rPr>
        <w:t>二、采购内容及需求：</w:t>
      </w:r>
    </w:p>
    <w:p w14:paraId="6ED020DA">
      <w:pPr>
        <w:pStyle w:val="48"/>
        <w:numPr>
          <w:ilvl w:val="0"/>
          <w:numId w:val="4"/>
        </w:numPr>
        <w:spacing w:line="288" w:lineRule="auto"/>
        <w:ind w:hanging="442" w:firstLineChars="0"/>
        <w:outlineLvl w:val="2"/>
        <w:rPr>
          <w:b/>
          <w:bCs/>
          <w:sz w:val="21"/>
          <w:szCs w:val="21"/>
          <w:highlight w:val="none"/>
        </w:rPr>
      </w:pPr>
      <w:r>
        <w:rPr>
          <w:b/>
          <w:bCs/>
          <w:sz w:val="21"/>
          <w:szCs w:val="21"/>
          <w:highlight w:val="none"/>
        </w:rPr>
        <w:t>项目概况</w:t>
      </w:r>
    </w:p>
    <w:p w14:paraId="4189384B">
      <w:pPr>
        <w:spacing w:line="288" w:lineRule="auto"/>
        <w:ind w:firstLine="495"/>
        <w:rPr>
          <w:bCs/>
          <w:sz w:val="21"/>
          <w:szCs w:val="21"/>
          <w:highlight w:val="none"/>
        </w:rPr>
      </w:pPr>
      <w:r>
        <w:rPr>
          <w:bCs/>
          <w:sz w:val="21"/>
          <w:szCs w:val="21"/>
          <w:highlight w:val="none"/>
        </w:rPr>
        <w:t>1、浙江交通职业技术学院</w:t>
      </w:r>
      <w:r>
        <w:rPr>
          <w:rFonts w:hint="eastAsia"/>
          <w:bCs/>
          <w:sz w:val="21"/>
          <w:szCs w:val="21"/>
          <w:highlight w:val="none"/>
        </w:rPr>
        <w:t>长兴校区局部修缮项目</w:t>
      </w:r>
      <w:r>
        <w:rPr>
          <w:bCs/>
          <w:sz w:val="21"/>
          <w:szCs w:val="21"/>
          <w:highlight w:val="none"/>
        </w:rPr>
        <w:t>。</w:t>
      </w:r>
    </w:p>
    <w:p w14:paraId="48415AB4">
      <w:pPr>
        <w:spacing w:line="288" w:lineRule="auto"/>
        <w:ind w:firstLine="495"/>
        <w:rPr>
          <w:bCs/>
          <w:sz w:val="21"/>
          <w:szCs w:val="21"/>
          <w:highlight w:val="none"/>
        </w:rPr>
      </w:pPr>
      <w:r>
        <w:rPr>
          <w:bCs/>
          <w:sz w:val="21"/>
          <w:szCs w:val="21"/>
          <w:highlight w:val="none"/>
        </w:rPr>
        <w:t>2、实施地点：浙江交通职业技术学院。</w:t>
      </w:r>
    </w:p>
    <w:p w14:paraId="0E4193D8">
      <w:pPr>
        <w:pStyle w:val="48"/>
        <w:numPr>
          <w:ilvl w:val="0"/>
          <w:numId w:val="4"/>
        </w:numPr>
        <w:spacing w:line="288" w:lineRule="auto"/>
        <w:ind w:hanging="442" w:firstLineChars="0"/>
        <w:outlineLvl w:val="2"/>
        <w:rPr>
          <w:b/>
          <w:bCs/>
          <w:sz w:val="21"/>
          <w:szCs w:val="21"/>
          <w:highlight w:val="none"/>
        </w:rPr>
      </w:pPr>
      <w:r>
        <w:rPr>
          <w:b/>
          <w:bCs/>
          <w:sz w:val="21"/>
          <w:szCs w:val="21"/>
          <w:highlight w:val="none"/>
        </w:rPr>
        <w:t>承包方式</w:t>
      </w:r>
    </w:p>
    <w:p w14:paraId="04D180E4">
      <w:pPr>
        <w:spacing w:line="288" w:lineRule="auto"/>
        <w:ind w:firstLine="495"/>
        <w:rPr>
          <w:sz w:val="21"/>
          <w:szCs w:val="21"/>
          <w:highlight w:val="none"/>
        </w:rPr>
      </w:pPr>
      <w:r>
        <w:rPr>
          <w:sz w:val="21"/>
          <w:szCs w:val="21"/>
          <w:highlight w:val="none"/>
        </w:rPr>
        <w:t>1、供应商对本项目要求的全部工作、质量、安全、文明服务等实行全面承包。</w:t>
      </w:r>
    </w:p>
    <w:p w14:paraId="744A5FE0">
      <w:pPr>
        <w:spacing w:line="288" w:lineRule="auto"/>
        <w:ind w:firstLine="495"/>
        <w:rPr>
          <w:sz w:val="21"/>
          <w:szCs w:val="21"/>
          <w:highlight w:val="none"/>
        </w:rPr>
      </w:pPr>
      <w:r>
        <w:rPr>
          <w:sz w:val="21"/>
          <w:szCs w:val="21"/>
          <w:highlight w:val="none"/>
        </w:rPr>
        <w:t>2、为减少改造工程对采购人正常工作的影响，施工期间需要按采购人要求进行安全围护施工或临时调整施工时间等，供应商考虑应充分考虑施工作业环境或二次进场施工的种种不利因素，并将所需费用包含在磋商报价中。</w:t>
      </w:r>
    </w:p>
    <w:p w14:paraId="644D054A">
      <w:pPr>
        <w:spacing w:line="288" w:lineRule="auto"/>
        <w:ind w:firstLine="495"/>
        <w:jc w:val="left"/>
        <w:rPr>
          <w:sz w:val="21"/>
          <w:szCs w:val="21"/>
          <w:highlight w:val="none"/>
        </w:rPr>
      </w:pPr>
      <w:r>
        <w:rPr>
          <w:sz w:val="21"/>
          <w:szCs w:val="21"/>
          <w:highlight w:val="none"/>
        </w:rPr>
        <w:t>3、采购人不组织集中现场踏勘，供应商应自行对现场和周围环境进行踏勘和了解，以获取有关编制响应文件和签署合同所需的各种资料。</w:t>
      </w:r>
    </w:p>
    <w:p w14:paraId="79D0DDE4">
      <w:pPr>
        <w:pStyle w:val="48"/>
        <w:numPr>
          <w:ilvl w:val="0"/>
          <w:numId w:val="4"/>
        </w:numPr>
        <w:spacing w:line="288" w:lineRule="auto"/>
        <w:ind w:hanging="442" w:firstLineChars="0"/>
        <w:outlineLvl w:val="2"/>
        <w:rPr>
          <w:b/>
          <w:bCs/>
          <w:sz w:val="21"/>
          <w:szCs w:val="21"/>
          <w:highlight w:val="none"/>
        </w:rPr>
      </w:pPr>
      <w:r>
        <w:rPr>
          <w:b/>
          <w:bCs/>
          <w:sz w:val="21"/>
          <w:szCs w:val="21"/>
          <w:highlight w:val="none"/>
        </w:rPr>
        <w:t>工程量清单</w:t>
      </w:r>
      <w:r>
        <w:rPr>
          <w:rFonts w:hint="eastAsia"/>
          <w:b/>
          <w:bCs/>
          <w:sz w:val="21"/>
          <w:szCs w:val="21"/>
          <w:highlight w:val="none"/>
        </w:rPr>
        <w:t>——另附</w:t>
      </w:r>
    </w:p>
    <w:p w14:paraId="5CDD7740">
      <w:pPr>
        <w:pStyle w:val="48"/>
        <w:numPr>
          <w:ilvl w:val="0"/>
          <w:numId w:val="4"/>
        </w:numPr>
        <w:spacing w:line="288" w:lineRule="auto"/>
        <w:ind w:hanging="442" w:firstLineChars="0"/>
        <w:outlineLvl w:val="2"/>
        <w:rPr>
          <w:b/>
          <w:bCs/>
          <w:sz w:val="21"/>
          <w:szCs w:val="21"/>
          <w:highlight w:val="none"/>
        </w:rPr>
      </w:pPr>
      <w:r>
        <w:rPr>
          <w:b/>
          <w:bCs/>
          <w:sz w:val="21"/>
          <w:szCs w:val="21"/>
          <w:highlight w:val="none"/>
        </w:rPr>
        <w:t>商务要求</w:t>
      </w:r>
    </w:p>
    <w:p w14:paraId="3734C32B">
      <w:pPr>
        <w:spacing w:line="288" w:lineRule="auto"/>
        <w:ind w:left="1" w:firstLine="420" w:firstLineChars="200"/>
        <w:rPr>
          <w:sz w:val="21"/>
          <w:szCs w:val="21"/>
          <w:highlight w:val="none"/>
        </w:rPr>
      </w:pPr>
      <w:r>
        <w:rPr>
          <w:sz w:val="21"/>
          <w:szCs w:val="21"/>
          <w:highlight w:val="none"/>
        </w:rPr>
        <w:t>1、工期：</w:t>
      </w:r>
      <w:r>
        <w:rPr>
          <w:rFonts w:hint="eastAsia"/>
          <w:sz w:val="21"/>
          <w:szCs w:val="21"/>
          <w:highlight w:val="none"/>
        </w:rPr>
        <w:t>25日历天。</w:t>
      </w:r>
    </w:p>
    <w:p w14:paraId="7E301831">
      <w:pPr>
        <w:spacing w:line="288" w:lineRule="auto"/>
        <w:ind w:firstLine="420" w:firstLineChars="200"/>
        <w:rPr>
          <w:sz w:val="21"/>
          <w:szCs w:val="21"/>
          <w:highlight w:val="none"/>
        </w:rPr>
      </w:pPr>
      <w:r>
        <w:rPr>
          <w:sz w:val="21"/>
          <w:szCs w:val="21"/>
          <w:highlight w:val="none"/>
        </w:rPr>
        <w:t>2、质保期：验收合格之日起</w:t>
      </w:r>
      <w:r>
        <w:rPr>
          <w:rFonts w:hint="eastAsia"/>
          <w:sz w:val="21"/>
          <w:szCs w:val="21"/>
          <w:highlight w:val="none"/>
        </w:rPr>
        <w:t>，</w:t>
      </w:r>
      <w:r>
        <w:rPr>
          <w:sz w:val="21"/>
          <w:szCs w:val="21"/>
          <w:highlight w:val="none"/>
        </w:rPr>
        <w:t>详见工程质量保修书。</w:t>
      </w:r>
    </w:p>
    <w:p w14:paraId="161D0C42">
      <w:pPr>
        <w:snapToGrid w:val="0"/>
        <w:spacing w:line="288" w:lineRule="auto"/>
        <w:ind w:firstLine="420" w:firstLineChars="200"/>
        <w:rPr>
          <w:sz w:val="21"/>
          <w:szCs w:val="21"/>
          <w:highlight w:val="none"/>
        </w:rPr>
      </w:pPr>
      <w:r>
        <w:rPr>
          <w:rFonts w:hint="eastAsia"/>
          <w:sz w:val="21"/>
          <w:szCs w:val="21"/>
          <w:highlight w:val="none"/>
        </w:rPr>
        <w:t>3</w:t>
      </w:r>
      <w:r>
        <w:rPr>
          <w:sz w:val="21"/>
          <w:szCs w:val="21"/>
          <w:highlight w:val="none"/>
        </w:rPr>
        <w:t>、质量目标：工程质量达到国家规定的验收合格标准，确保一次性验收合格。</w:t>
      </w:r>
    </w:p>
    <w:p w14:paraId="736C0E93">
      <w:pPr>
        <w:spacing w:line="288" w:lineRule="auto"/>
        <w:ind w:firstLine="411" w:firstLineChars="196"/>
        <w:rPr>
          <w:bCs/>
          <w:sz w:val="21"/>
          <w:szCs w:val="21"/>
          <w:highlight w:val="none"/>
        </w:rPr>
      </w:pPr>
      <w:r>
        <w:rPr>
          <w:bCs/>
          <w:sz w:val="21"/>
          <w:szCs w:val="21"/>
          <w:highlight w:val="none"/>
        </w:rPr>
        <w:t>4</w:t>
      </w:r>
      <w:r>
        <w:rPr>
          <w:rFonts w:hint="eastAsia"/>
          <w:bCs/>
          <w:sz w:val="21"/>
          <w:szCs w:val="21"/>
          <w:highlight w:val="none"/>
        </w:rPr>
        <w:t>、承包人在施工期间应按学校规章制度要求执行，实行严控管理，所有人员非审批不得擅自进入学校不能进入的相关区域。</w:t>
      </w:r>
    </w:p>
    <w:p w14:paraId="13780C00">
      <w:pPr>
        <w:spacing w:line="288" w:lineRule="auto"/>
        <w:ind w:firstLine="411" w:firstLineChars="196"/>
        <w:rPr>
          <w:bCs/>
          <w:sz w:val="21"/>
          <w:szCs w:val="21"/>
          <w:highlight w:val="none"/>
        </w:rPr>
      </w:pPr>
      <w:r>
        <w:rPr>
          <w:rFonts w:hint="eastAsia"/>
          <w:bCs/>
          <w:sz w:val="21"/>
          <w:szCs w:val="21"/>
          <w:highlight w:val="none"/>
        </w:rPr>
        <w:t>5、付款方式：详见“合同主要条款”中的“合同款的支付”。</w:t>
      </w:r>
    </w:p>
    <w:p w14:paraId="7F71135E">
      <w:pPr>
        <w:pStyle w:val="48"/>
        <w:numPr>
          <w:ilvl w:val="0"/>
          <w:numId w:val="4"/>
        </w:numPr>
        <w:spacing w:line="288" w:lineRule="auto"/>
        <w:ind w:hanging="442" w:firstLineChars="0"/>
        <w:outlineLvl w:val="2"/>
        <w:rPr>
          <w:b/>
          <w:bCs/>
          <w:sz w:val="21"/>
          <w:szCs w:val="21"/>
          <w:highlight w:val="none"/>
        </w:rPr>
      </w:pPr>
      <w:r>
        <w:rPr>
          <w:b/>
          <w:bCs/>
          <w:sz w:val="21"/>
          <w:szCs w:val="21"/>
          <w:highlight w:val="none"/>
        </w:rPr>
        <w:t>材料设备质量要求</w:t>
      </w:r>
    </w:p>
    <w:p w14:paraId="30010645">
      <w:pPr>
        <w:autoSpaceDE w:val="0"/>
        <w:autoSpaceDN w:val="0"/>
        <w:spacing w:line="288" w:lineRule="auto"/>
        <w:ind w:firstLine="420" w:firstLineChars="200"/>
        <w:jc w:val="left"/>
        <w:textAlignment w:val="bottom"/>
        <w:rPr>
          <w:sz w:val="21"/>
          <w:szCs w:val="21"/>
          <w:highlight w:val="none"/>
        </w:rPr>
      </w:pPr>
      <w:r>
        <w:rPr>
          <w:sz w:val="21"/>
          <w:szCs w:val="21"/>
          <w:highlight w:val="none"/>
        </w:rPr>
        <w:t>5.1、材料设备选择</w:t>
      </w:r>
    </w:p>
    <w:p w14:paraId="325A4821">
      <w:pPr>
        <w:autoSpaceDE w:val="0"/>
        <w:autoSpaceDN w:val="0"/>
        <w:spacing w:line="288" w:lineRule="auto"/>
        <w:ind w:firstLine="420" w:firstLineChars="200"/>
        <w:jc w:val="left"/>
        <w:textAlignment w:val="bottom"/>
        <w:rPr>
          <w:sz w:val="21"/>
          <w:szCs w:val="21"/>
          <w:highlight w:val="none"/>
        </w:rPr>
      </w:pPr>
      <w:r>
        <w:rPr>
          <w:sz w:val="21"/>
          <w:szCs w:val="21"/>
          <w:highlight w:val="none"/>
        </w:rPr>
        <w:t>（1）本磋商文件涉及的主要材料设备及零星材料，各供应商须自行选材并报价，清单中须注明所选用品牌。所有材料设备要求采用有一定生产规模和市场信誉好的制造商的合格产品，产品需经发包人和发包人委托的监理单位确认后方可采购，严禁选择不合设计要求的低档材料进行报价及组织施工实施。</w:t>
      </w:r>
    </w:p>
    <w:p w14:paraId="4C8DE345">
      <w:pPr>
        <w:autoSpaceDE w:val="0"/>
        <w:autoSpaceDN w:val="0"/>
        <w:spacing w:line="288" w:lineRule="auto"/>
        <w:ind w:firstLine="420" w:firstLineChars="200"/>
        <w:jc w:val="left"/>
        <w:textAlignment w:val="bottom"/>
        <w:rPr>
          <w:sz w:val="21"/>
          <w:szCs w:val="21"/>
          <w:highlight w:val="none"/>
        </w:rPr>
      </w:pPr>
      <w:r>
        <w:rPr>
          <w:rFonts w:hint="eastAsia"/>
          <w:sz w:val="21"/>
          <w:szCs w:val="21"/>
          <w:highlight w:val="none"/>
        </w:rPr>
        <w:t>（2）选样：供应商在合同签订后按工程量清单及图纸要求的内容提供选样，采购人定样后封样，作为材料进场验收的依据。</w:t>
      </w:r>
    </w:p>
    <w:p w14:paraId="7A549A44">
      <w:pPr>
        <w:autoSpaceDE w:val="0"/>
        <w:autoSpaceDN w:val="0"/>
        <w:spacing w:line="288" w:lineRule="auto"/>
        <w:ind w:firstLine="420" w:firstLineChars="200"/>
        <w:jc w:val="left"/>
        <w:textAlignment w:val="bottom"/>
        <w:rPr>
          <w:sz w:val="21"/>
          <w:szCs w:val="21"/>
          <w:highlight w:val="none"/>
        </w:rPr>
      </w:pPr>
      <w:r>
        <w:rPr>
          <w:sz w:val="21"/>
          <w:szCs w:val="21"/>
          <w:highlight w:val="none"/>
        </w:rPr>
        <w:t>5.2、材料的质量保证</w:t>
      </w:r>
    </w:p>
    <w:p w14:paraId="1AAF187E">
      <w:pPr>
        <w:autoSpaceDE w:val="0"/>
        <w:autoSpaceDN w:val="0"/>
        <w:spacing w:line="288" w:lineRule="auto"/>
        <w:ind w:firstLine="420" w:firstLineChars="200"/>
        <w:jc w:val="left"/>
        <w:textAlignment w:val="bottom"/>
        <w:rPr>
          <w:sz w:val="21"/>
          <w:szCs w:val="21"/>
          <w:highlight w:val="none"/>
        </w:rPr>
      </w:pPr>
      <w:r>
        <w:rPr>
          <w:sz w:val="21"/>
          <w:szCs w:val="21"/>
          <w:highlight w:val="none"/>
        </w:rPr>
        <w:t>（1）在保修期内，承包人对有缺陷的部位必须无偿地给予修理与更换，并承担一切由此引起的对发包人或使用单位的直接损失，除非该缺陷是由于人为破坏或合同规定的不可抗因素造成的损坏。</w:t>
      </w:r>
    </w:p>
    <w:p w14:paraId="4A4B61EE">
      <w:pPr>
        <w:autoSpaceDE w:val="0"/>
        <w:autoSpaceDN w:val="0"/>
        <w:spacing w:line="288" w:lineRule="auto"/>
        <w:ind w:firstLine="420" w:firstLineChars="200"/>
        <w:jc w:val="left"/>
        <w:textAlignment w:val="bottom"/>
        <w:rPr>
          <w:sz w:val="21"/>
          <w:szCs w:val="21"/>
          <w:highlight w:val="none"/>
        </w:rPr>
      </w:pPr>
      <w:r>
        <w:rPr>
          <w:sz w:val="21"/>
          <w:szCs w:val="21"/>
          <w:highlight w:val="none"/>
        </w:rPr>
        <w:t>（2）承包人必须对所承包的工程的质量负全部责任，其责任不因产品制造商提供的保证书而减轻或更改。</w:t>
      </w:r>
    </w:p>
    <w:p w14:paraId="48F8BE3A">
      <w:pPr>
        <w:autoSpaceDE w:val="0"/>
        <w:autoSpaceDN w:val="0"/>
        <w:spacing w:line="288" w:lineRule="auto"/>
        <w:ind w:firstLine="420" w:firstLineChars="200"/>
        <w:jc w:val="left"/>
        <w:textAlignment w:val="bottom"/>
        <w:rPr>
          <w:sz w:val="21"/>
          <w:szCs w:val="21"/>
          <w:highlight w:val="none"/>
        </w:rPr>
      </w:pPr>
      <w:r>
        <w:rPr>
          <w:sz w:val="21"/>
          <w:szCs w:val="21"/>
          <w:highlight w:val="none"/>
        </w:rPr>
        <w:t>（3）材料检验按政府部门相关规定的见证取样和送检规定的程序进行。凡检验结果证明其有害物质含量指标超标的产品不得在工程上使用。</w:t>
      </w:r>
    </w:p>
    <w:p w14:paraId="09A69DF3">
      <w:pPr>
        <w:autoSpaceDE w:val="0"/>
        <w:autoSpaceDN w:val="0"/>
        <w:spacing w:line="288" w:lineRule="auto"/>
        <w:ind w:firstLine="420" w:firstLineChars="200"/>
        <w:jc w:val="left"/>
        <w:textAlignment w:val="bottom"/>
        <w:rPr>
          <w:sz w:val="21"/>
          <w:szCs w:val="21"/>
          <w:highlight w:val="none"/>
        </w:rPr>
      </w:pPr>
      <w:r>
        <w:rPr>
          <w:sz w:val="21"/>
          <w:szCs w:val="21"/>
          <w:highlight w:val="none"/>
        </w:rPr>
        <w:t>5.3、供应要求</w:t>
      </w:r>
    </w:p>
    <w:p w14:paraId="580635D0">
      <w:pPr>
        <w:autoSpaceDE w:val="0"/>
        <w:autoSpaceDN w:val="0"/>
        <w:spacing w:line="288" w:lineRule="auto"/>
        <w:ind w:firstLine="420" w:firstLineChars="200"/>
        <w:jc w:val="left"/>
        <w:textAlignment w:val="bottom"/>
        <w:rPr>
          <w:sz w:val="21"/>
          <w:szCs w:val="21"/>
          <w:highlight w:val="none"/>
        </w:rPr>
      </w:pPr>
      <w:r>
        <w:rPr>
          <w:sz w:val="21"/>
          <w:szCs w:val="21"/>
          <w:highlight w:val="none"/>
        </w:rPr>
        <w:t>（1）本次采购范围内的建筑施工材料均由承包人根据本磋商文件、设计图纸和国家有关规定的具体要求进行采购、运输、检验、保管，但采购人保留变更和指定材料的权利；所有建筑材料须有产品合格证，质量保证书、国家规定的认证证书、报告。</w:t>
      </w:r>
    </w:p>
    <w:p w14:paraId="014B51CB">
      <w:pPr>
        <w:autoSpaceDE w:val="0"/>
        <w:autoSpaceDN w:val="0"/>
        <w:spacing w:line="288" w:lineRule="auto"/>
        <w:ind w:firstLine="420" w:firstLineChars="200"/>
        <w:jc w:val="left"/>
        <w:textAlignment w:val="bottom"/>
        <w:rPr>
          <w:sz w:val="21"/>
          <w:szCs w:val="21"/>
          <w:highlight w:val="none"/>
        </w:rPr>
      </w:pPr>
      <w:r>
        <w:rPr>
          <w:rFonts w:hint="eastAsia"/>
          <w:sz w:val="21"/>
          <w:szCs w:val="21"/>
          <w:highlight w:val="none"/>
        </w:rPr>
        <w:t>（2）</w:t>
      </w:r>
      <w:r>
        <w:rPr>
          <w:sz w:val="21"/>
          <w:szCs w:val="21"/>
          <w:highlight w:val="none"/>
        </w:rPr>
        <w:t>由承包人采购的主要材料设备，当承包人选定的产品质量达不到设计要求和预期质量目标时，采购人保留更换的权利，且成交价不予调整。</w:t>
      </w:r>
    </w:p>
    <w:p w14:paraId="418D9B6F">
      <w:pPr>
        <w:pStyle w:val="48"/>
        <w:numPr>
          <w:ilvl w:val="0"/>
          <w:numId w:val="4"/>
        </w:numPr>
        <w:spacing w:line="288" w:lineRule="auto"/>
        <w:ind w:hanging="442" w:firstLineChars="0"/>
        <w:outlineLvl w:val="2"/>
        <w:rPr>
          <w:b/>
          <w:bCs/>
          <w:sz w:val="21"/>
          <w:szCs w:val="21"/>
          <w:highlight w:val="none"/>
        </w:rPr>
      </w:pPr>
      <w:r>
        <w:rPr>
          <w:b/>
          <w:bCs/>
          <w:sz w:val="21"/>
          <w:szCs w:val="21"/>
          <w:highlight w:val="none"/>
        </w:rPr>
        <w:t>工程管理的要求</w:t>
      </w:r>
    </w:p>
    <w:p w14:paraId="7090BE20">
      <w:pPr>
        <w:autoSpaceDE w:val="0"/>
        <w:autoSpaceDN w:val="0"/>
        <w:spacing w:line="288" w:lineRule="auto"/>
        <w:ind w:firstLine="420" w:firstLineChars="200"/>
        <w:jc w:val="left"/>
        <w:textAlignment w:val="bottom"/>
        <w:rPr>
          <w:sz w:val="21"/>
          <w:szCs w:val="21"/>
          <w:highlight w:val="none"/>
        </w:rPr>
      </w:pPr>
      <w:r>
        <w:rPr>
          <w:sz w:val="21"/>
          <w:szCs w:val="21"/>
          <w:highlight w:val="none"/>
        </w:rPr>
        <w:t>6.1采购范围内的工程项目，未经发包人同意一律不得分包。一经发现立即取消承包资格，作违约处理，并承担由此引起的一切经济损失。</w:t>
      </w:r>
    </w:p>
    <w:p w14:paraId="7BDABDE5">
      <w:pPr>
        <w:autoSpaceDE w:val="0"/>
        <w:autoSpaceDN w:val="0"/>
        <w:spacing w:line="288" w:lineRule="auto"/>
        <w:ind w:firstLine="420" w:firstLineChars="200"/>
        <w:jc w:val="left"/>
        <w:textAlignment w:val="bottom"/>
        <w:rPr>
          <w:sz w:val="21"/>
          <w:szCs w:val="21"/>
          <w:highlight w:val="none"/>
        </w:rPr>
      </w:pPr>
      <w:r>
        <w:rPr>
          <w:sz w:val="21"/>
          <w:szCs w:val="21"/>
          <w:highlight w:val="none"/>
        </w:rPr>
        <w:t>6.2承包人应严格按已确认设计图纸和施工技术方案组织施工，并无条件地接受发包人委托的监理单位对施工质量的监督和管理。</w:t>
      </w:r>
    </w:p>
    <w:p w14:paraId="11B3E62B">
      <w:pPr>
        <w:autoSpaceDE w:val="0"/>
        <w:autoSpaceDN w:val="0"/>
        <w:spacing w:line="288" w:lineRule="auto"/>
        <w:ind w:firstLine="485" w:firstLineChars="231"/>
        <w:jc w:val="left"/>
        <w:textAlignment w:val="bottom"/>
        <w:rPr>
          <w:sz w:val="21"/>
          <w:szCs w:val="21"/>
          <w:highlight w:val="none"/>
        </w:rPr>
      </w:pPr>
      <w:r>
        <w:rPr>
          <w:sz w:val="21"/>
          <w:szCs w:val="21"/>
          <w:highlight w:val="none"/>
        </w:rPr>
        <w:t>6.3 供应商在磋商文件中的承诺的管理人员未经发包人同意，承包人不得调换和撤离，并按工程进度及时到位。发包人有权要求施工单位撤换工作不负责任、管理不力、贻误项目完成时间和造成严重的安全事故和工程质量事故、违法乱纪的专业技术、管理人员直至技术负责人，直至发包人满意为止。如相应资质的专业技术人员未按要求到位，视作违约，发包人有权单方面终止合同。</w:t>
      </w:r>
    </w:p>
    <w:p w14:paraId="3D91A95B">
      <w:pPr>
        <w:pStyle w:val="48"/>
        <w:numPr>
          <w:ilvl w:val="0"/>
          <w:numId w:val="4"/>
        </w:numPr>
        <w:spacing w:line="288" w:lineRule="auto"/>
        <w:ind w:hanging="442" w:firstLineChars="0"/>
        <w:outlineLvl w:val="2"/>
        <w:rPr>
          <w:b/>
          <w:bCs/>
          <w:sz w:val="21"/>
          <w:szCs w:val="21"/>
          <w:highlight w:val="none"/>
        </w:rPr>
      </w:pPr>
      <w:r>
        <w:rPr>
          <w:b/>
          <w:bCs/>
          <w:sz w:val="21"/>
          <w:szCs w:val="21"/>
          <w:highlight w:val="none"/>
        </w:rPr>
        <w:t>验收要求</w:t>
      </w:r>
    </w:p>
    <w:p w14:paraId="181AE892">
      <w:pPr>
        <w:widowControl/>
        <w:spacing w:line="288" w:lineRule="auto"/>
        <w:ind w:firstLine="420" w:firstLineChars="200"/>
        <w:jc w:val="left"/>
        <w:textAlignment w:val="center"/>
        <w:rPr>
          <w:sz w:val="21"/>
          <w:szCs w:val="21"/>
          <w:highlight w:val="none"/>
        </w:rPr>
      </w:pPr>
      <w:r>
        <w:rPr>
          <w:sz w:val="21"/>
          <w:szCs w:val="21"/>
          <w:highlight w:val="none"/>
        </w:rPr>
        <w:t>供应商按清单及图纸要求进行施工，直至通过采购人组织的验收，验收过程中，如有不满足磋商文件规定要求及不符合国家相关规范要求的，由供应商负责整改，费用自负。</w:t>
      </w:r>
    </w:p>
    <w:p w14:paraId="5B58DAB7">
      <w:pPr>
        <w:pStyle w:val="48"/>
        <w:numPr>
          <w:ilvl w:val="0"/>
          <w:numId w:val="4"/>
        </w:numPr>
        <w:spacing w:line="288" w:lineRule="auto"/>
        <w:ind w:hanging="442" w:firstLineChars="0"/>
        <w:outlineLvl w:val="2"/>
        <w:rPr>
          <w:b/>
          <w:bCs/>
          <w:sz w:val="21"/>
          <w:szCs w:val="21"/>
          <w:highlight w:val="none"/>
        </w:rPr>
      </w:pPr>
      <w:bookmarkStart w:id="32" w:name="_Toc230073619"/>
      <w:r>
        <w:rPr>
          <w:b/>
          <w:bCs/>
          <w:sz w:val="21"/>
          <w:szCs w:val="21"/>
          <w:highlight w:val="none"/>
        </w:rPr>
        <w:t>发包方式</w:t>
      </w:r>
      <w:bookmarkEnd w:id="32"/>
    </w:p>
    <w:p w14:paraId="7ACB88BA">
      <w:pPr>
        <w:snapToGrid w:val="0"/>
        <w:spacing w:line="288" w:lineRule="auto"/>
        <w:ind w:firstLine="420" w:firstLineChars="200"/>
        <w:rPr>
          <w:sz w:val="21"/>
          <w:szCs w:val="21"/>
          <w:highlight w:val="none"/>
        </w:rPr>
      </w:pPr>
      <w:r>
        <w:rPr>
          <w:sz w:val="21"/>
          <w:szCs w:val="21"/>
          <w:highlight w:val="none"/>
        </w:rPr>
        <w:t>包工包料、保质量、包工期、包安全文明施工总承包。</w:t>
      </w:r>
    </w:p>
    <w:p w14:paraId="6D493723">
      <w:pPr>
        <w:pStyle w:val="48"/>
        <w:numPr>
          <w:ilvl w:val="0"/>
          <w:numId w:val="4"/>
        </w:numPr>
        <w:spacing w:line="288" w:lineRule="auto"/>
        <w:ind w:hanging="442" w:firstLineChars="0"/>
        <w:outlineLvl w:val="2"/>
        <w:rPr>
          <w:b/>
          <w:bCs/>
          <w:sz w:val="21"/>
          <w:szCs w:val="21"/>
          <w:highlight w:val="none"/>
        </w:rPr>
      </w:pPr>
      <w:r>
        <w:rPr>
          <w:b/>
          <w:bCs/>
          <w:sz w:val="21"/>
          <w:szCs w:val="21"/>
          <w:highlight w:val="none"/>
        </w:rPr>
        <w:t>其他需求</w:t>
      </w:r>
    </w:p>
    <w:p w14:paraId="2CD52563">
      <w:pPr>
        <w:spacing w:line="288" w:lineRule="auto"/>
        <w:ind w:firstLine="411" w:firstLineChars="196"/>
        <w:rPr>
          <w:sz w:val="21"/>
          <w:szCs w:val="21"/>
          <w:highlight w:val="none"/>
        </w:rPr>
      </w:pPr>
      <w:r>
        <w:rPr>
          <w:sz w:val="21"/>
          <w:szCs w:val="21"/>
          <w:highlight w:val="none"/>
        </w:rPr>
        <w:t>1、请提供针对本项目的施工总体方案；</w:t>
      </w:r>
    </w:p>
    <w:p w14:paraId="0808218F">
      <w:pPr>
        <w:spacing w:line="288" w:lineRule="auto"/>
        <w:ind w:firstLine="411" w:firstLineChars="196"/>
        <w:rPr>
          <w:sz w:val="21"/>
          <w:szCs w:val="21"/>
          <w:highlight w:val="none"/>
        </w:rPr>
      </w:pPr>
      <w:r>
        <w:rPr>
          <w:sz w:val="21"/>
          <w:szCs w:val="21"/>
          <w:highlight w:val="none"/>
        </w:rPr>
        <w:t>2、请提供针对本</w:t>
      </w:r>
      <w:r>
        <w:rPr>
          <w:rFonts w:hint="eastAsia"/>
          <w:sz w:val="21"/>
          <w:szCs w:val="21"/>
          <w:highlight w:val="none"/>
        </w:rPr>
        <w:t>项目特殊施工环境采取</w:t>
      </w:r>
      <w:r>
        <w:rPr>
          <w:sz w:val="21"/>
          <w:szCs w:val="21"/>
          <w:highlight w:val="none"/>
        </w:rPr>
        <w:t>的施工方案；</w:t>
      </w:r>
    </w:p>
    <w:p w14:paraId="3AFC0F37">
      <w:pPr>
        <w:spacing w:line="288" w:lineRule="auto"/>
        <w:ind w:firstLine="411" w:firstLineChars="196"/>
        <w:rPr>
          <w:sz w:val="21"/>
          <w:szCs w:val="21"/>
          <w:highlight w:val="none"/>
        </w:rPr>
      </w:pPr>
      <w:r>
        <w:rPr>
          <w:sz w:val="21"/>
          <w:szCs w:val="21"/>
          <w:highlight w:val="none"/>
        </w:rPr>
        <w:t>3、其提供本项目投入的施工机械设备和检测设备情况介绍；</w:t>
      </w:r>
    </w:p>
    <w:p w14:paraId="72E08785">
      <w:pPr>
        <w:spacing w:line="288" w:lineRule="auto"/>
        <w:ind w:firstLine="411" w:firstLineChars="196"/>
        <w:rPr>
          <w:sz w:val="21"/>
          <w:szCs w:val="21"/>
          <w:highlight w:val="none"/>
        </w:rPr>
      </w:pPr>
      <w:r>
        <w:rPr>
          <w:sz w:val="21"/>
          <w:szCs w:val="21"/>
          <w:highlight w:val="none"/>
        </w:rPr>
        <w:t>4、请提供本项目各专业工种的配置和劳动力的投入情况介绍及劳动力安排组织与管理措施；</w:t>
      </w:r>
    </w:p>
    <w:p w14:paraId="2ABBF1A7">
      <w:pPr>
        <w:spacing w:line="288" w:lineRule="auto"/>
        <w:ind w:firstLine="411" w:firstLineChars="196"/>
        <w:rPr>
          <w:sz w:val="21"/>
          <w:szCs w:val="21"/>
          <w:highlight w:val="none"/>
        </w:rPr>
      </w:pPr>
      <w:r>
        <w:rPr>
          <w:sz w:val="21"/>
          <w:szCs w:val="21"/>
          <w:highlight w:val="none"/>
        </w:rPr>
        <w:t>5、</w:t>
      </w:r>
      <w:r>
        <w:rPr>
          <w:rFonts w:hint="eastAsia"/>
          <w:sz w:val="21"/>
          <w:szCs w:val="21"/>
          <w:highlight w:val="none"/>
        </w:rPr>
        <w:t>请提供针对本项目的施工进度安排；</w:t>
      </w:r>
    </w:p>
    <w:p w14:paraId="073262B9">
      <w:pPr>
        <w:spacing w:line="288" w:lineRule="auto"/>
        <w:ind w:firstLine="420" w:firstLineChars="200"/>
        <w:rPr>
          <w:sz w:val="21"/>
          <w:szCs w:val="21"/>
          <w:highlight w:val="none"/>
        </w:rPr>
      </w:pPr>
      <w:r>
        <w:rPr>
          <w:rFonts w:hint="eastAsia"/>
          <w:sz w:val="21"/>
          <w:szCs w:val="21"/>
          <w:highlight w:val="none"/>
        </w:rPr>
        <w:t>6、</w:t>
      </w:r>
      <w:r>
        <w:rPr>
          <w:sz w:val="21"/>
          <w:szCs w:val="21"/>
          <w:highlight w:val="none"/>
        </w:rPr>
        <w:t>请提供针对本项目的工期承诺、</w:t>
      </w:r>
      <w:r>
        <w:rPr>
          <w:rFonts w:hint="eastAsia"/>
          <w:sz w:val="21"/>
          <w:szCs w:val="21"/>
          <w:highlight w:val="none"/>
        </w:rPr>
        <w:t>工期履约的保证</w:t>
      </w:r>
      <w:r>
        <w:rPr>
          <w:sz w:val="21"/>
          <w:szCs w:val="21"/>
          <w:highlight w:val="none"/>
        </w:rPr>
        <w:t>措施；</w:t>
      </w:r>
    </w:p>
    <w:p w14:paraId="3301F886">
      <w:pPr>
        <w:spacing w:line="288" w:lineRule="auto"/>
        <w:ind w:firstLine="411" w:firstLineChars="196"/>
        <w:rPr>
          <w:sz w:val="21"/>
          <w:szCs w:val="21"/>
          <w:highlight w:val="none"/>
        </w:rPr>
      </w:pPr>
      <w:r>
        <w:rPr>
          <w:rFonts w:hint="eastAsia"/>
          <w:sz w:val="21"/>
          <w:szCs w:val="21"/>
          <w:highlight w:val="none"/>
        </w:rPr>
        <w:t>7</w:t>
      </w:r>
      <w:r>
        <w:rPr>
          <w:sz w:val="21"/>
          <w:szCs w:val="21"/>
          <w:highlight w:val="none"/>
        </w:rPr>
        <w:t>、请提供针对本项目的安全、文明施工的保证措施；</w:t>
      </w:r>
    </w:p>
    <w:p w14:paraId="6DA7F1B0">
      <w:pPr>
        <w:spacing w:line="288" w:lineRule="auto"/>
        <w:ind w:firstLine="411" w:firstLineChars="196"/>
        <w:rPr>
          <w:sz w:val="21"/>
          <w:szCs w:val="21"/>
          <w:highlight w:val="none"/>
        </w:rPr>
      </w:pPr>
      <w:r>
        <w:rPr>
          <w:rFonts w:hint="eastAsia"/>
          <w:sz w:val="21"/>
          <w:szCs w:val="21"/>
          <w:highlight w:val="none"/>
        </w:rPr>
        <w:t>8</w:t>
      </w:r>
      <w:r>
        <w:rPr>
          <w:sz w:val="21"/>
          <w:szCs w:val="21"/>
          <w:highlight w:val="none"/>
        </w:rPr>
        <w:t>、请提供确保工程质量的技术组织措施方案；</w:t>
      </w:r>
    </w:p>
    <w:p w14:paraId="5EEFD1F0">
      <w:pPr>
        <w:spacing w:line="288" w:lineRule="auto"/>
        <w:ind w:firstLine="411" w:firstLineChars="196"/>
        <w:rPr>
          <w:sz w:val="21"/>
          <w:szCs w:val="21"/>
          <w:highlight w:val="none"/>
        </w:rPr>
      </w:pPr>
      <w:r>
        <w:rPr>
          <w:rFonts w:hint="eastAsia"/>
          <w:sz w:val="21"/>
          <w:szCs w:val="21"/>
          <w:highlight w:val="none"/>
        </w:rPr>
        <w:t>9</w:t>
      </w:r>
      <w:r>
        <w:rPr>
          <w:sz w:val="21"/>
          <w:szCs w:val="21"/>
          <w:highlight w:val="none"/>
        </w:rPr>
        <w:t>、请提供针对本项目的选用材料品牌和质量保证措施介绍；</w:t>
      </w:r>
    </w:p>
    <w:p w14:paraId="3155DEB2">
      <w:pPr>
        <w:spacing w:line="288" w:lineRule="auto"/>
        <w:ind w:firstLine="411" w:firstLineChars="196"/>
        <w:rPr>
          <w:sz w:val="21"/>
          <w:szCs w:val="21"/>
          <w:highlight w:val="none"/>
        </w:rPr>
      </w:pPr>
      <w:r>
        <w:rPr>
          <w:rFonts w:hint="eastAsia"/>
          <w:sz w:val="21"/>
          <w:szCs w:val="21"/>
          <w:highlight w:val="none"/>
        </w:rPr>
        <w:t>10</w:t>
      </w:r>
      <w:r>
        <w:rPr>
          <w:sz w:val="21"/>
          <w:szCs w:val="21"/>
          <w:highlight w:val="none"/>
        </w:rPr>
        <w:t>、请提供针对本项目的施工突发情况的应急预案；</w:t>
      </w:r>
    </w:p>
    <w:p w14:paraId="464D2BD4">
      <w:pPr>
        <w:spacing w:line="288" w:lineRule="auto"/>
        <w:ind w:firstLine="420" w:firstLineChars="200"/>
        <w:rPr>
          <w:b/>
          <w:sz w:val="21"/>
          <w:szCs w:val="21"/>
          <w:highlight w:val="none"/>
        </w:rPr>
      </w:pPr>
      <w:r>
        <w:rPr>
          <w:rFonts w:hint="eastAsia"/>
          <w:sz w:val="21"/>
          <w:szCs w:val="21"/>
          <w:highlight w:val="none"/>
        </w:rPr>
        <w:t>11</w:t>
      </w:r>
      <w:r>
        <w:rPr>
          <w:sz w:val="21"/>
          <w:szCs w:val="21"/>
          <w:highlight w:val="none"/>
        </w:rPr>
        <w:t>、请提供工程交付使用后的保修服务和其它服务承诺。</w:t>
      </w:r>
    </w:p>
    <w:p w14:paraId="199743B4">
      <w:pPr>
        <w:adjustRightInd w:val="0"/>
        <w:snapToGrid w:val="0"/>
        <w:spacing w:line="288" w:lineRule="auto"/>
        <w:rPr>
          <w:rFonts w:cs="Times New Roman"/>
          <w:b/>
          <w:bCs/>
          <w:sz w:val="21"/>
          <w:szCs w:val="21"/>
          <w:highlight w:val="none"/>
        </w:rPr>
      </w:pPr>
    </w:p>
    <w:p w14:paraId="5B0D0224">
      <w:pPr>
        <w:widowControl/>
        <w:adjustRightInd w:val="0"/>
        <w:snapToGrid w:val="0"/>
        <w:spacing w:line="288" w:lineRule="auto"/>
        <w:jc w:val="left"/>
        <w:rPr>
          <w:rFonts w:cs="Times New Roman"/>
          <w:sz w:val="21"/>
          <w:szCs w:val="21"/>
          <w:highlight w:val="none"/>
        </w:rPr>
      </w:pPr>
      <w:r>
        <w:rPr>
          <w:rFonts w:cs="Times New Roman"/>
          <w:sz w:val="21"/>
          <w:szCs w:val="21"/>
          <w:highlight w:val="none"/>
        </w:rPr>
        <w:br w:type="page"/>
      </w:r>
    </w:p>
    <w:p w14:paraId="1D18104C">
      <w:pPr>
        <w:adjustRightInd w:val="0"/>
        <w:snapToGrid w:val="0"/>
        <w:spacing w:line="288" w:lineRule="auto"/>
        <w:jc w:val="center"/>
        <w:outlineLvl w:val="0"/>
        <w:rPr>
          <w:b/>
          <w:bCs/>
          <w:sz w:val="32"/>
          <w:szCs w:val="32"/>
          <w:highlight w:val="none"/>
        </w:rPr>
      </w:pPr>
      <w:r>
        <w:rPr>
          <w:rFonts w:hint="eastAsia"/>
          <w:b/>
          <w:bCs/>
          <w:sz w:val="32"/>
          <w:szCs w:val="32"/>
          <w:highlight w:val="none"/>
        </w:rPr>
        <w:t>第三章  供应商须知</w:t>
      </w:r>
    </w:p>
    <w:p w14:paraId="3F35F8B2">
      <w:pPr>
        <w:adjustRightInd w:val="0"/>
        <w:snapToGrid w:val="0"/>
        <w:spacing w:line="288" w:lineRule="auto"/>
        <w:jc w:val="center"/>
        <w:outlineLvl w:val="1"/>
        <w:rPr>
          <w:b/>
          <w:bCs/>
          <w:sz w:val="21"/>
          <w:szCs w:val="21"/>
          <w:highlight w:val="none"/>
        </w:rPr>
      </w:pPr>
      <w:r>
        <w:rPr>
          <w:rFonts w:hint="eastAsia"/>
          <w:b/>
          <w:bCs/>
          <w:sz w:val="21"/>
          <w:szCs w:val="21"/>
          <w:highlight w:val="none"/>
        </w:rPr>
        <w:t>供应商须知前附表</w:t>
      </w:r>
    </w:p>
    <w:tbl>
      <w:tblPr>
        <w:tblStyle w:val="32"/>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2410"/>
        <w:gridCol w:w="5954"/>
      </w:tblGrid>
      <w:tr w14:paraId="7EB58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4928A47">
            <w:pPr>
              <w:adjustRightInd w:val="0"/>
              <w:snapToGrid w:val="0"/>
              <w:spacing w:line="288" w:lineRule="auto"/>
              <w:jc w:val="center"/>
              <w:rPr>
                <w:b/>
                <w:bCs/>
                <w:sz w:val="21"/>
                <w:szCs w:val="21"/>
                <w:highlight w:val="none"/>
              </w:rPr>
            </w:pPr>
            <w:r>
              <w:rPr>
                <w:rFonts w:hint="eastAsia"/>
                <w:b/>
                <w:bCs/>
                <w:sz w:val="21"/>
                <w:szCs w:val="21"/>
                <w:highlight w:val="none"/>
              </w:rPr>
              <w:t>条款号</w:t>
            </w:r>
          </w:p>
        </w:tc>
        <w:tc>
          <w:tcPr>
            <w:tcW w:w="2410" w:type="dxa"/>
            <w:vAlign w:val="center"/>
          </w:tcPr>
          <w:p w14:paraId="54CF6F74">
            <w:pPr>
              <w:adjustRightInd w:val="0"/>
              <w:snapToGrid w:val="0"/>
              <w:spacing w:line="288" w:lineRule="auto"/>
              <w:jc w:val="center"/>
              <w:rPr>
                <w:b/>
                <w:bCs/>
                <w:sz w:val="21"/>
                <w:szCs w:val="21"/>
                <w:highlight w:val="none"/>
              </w:rPr>
            </w:pPr>
            <w:r>
              <w:rPr>
                <w:rFonts w:hint="eastAsia"/>
                <w:b/>
                <w:bCs/>
                <w:sz w:val="21"/>
                <w:szCs w:val="21"/>
                <w:highlight w:val="none"/>
              </w:rPr>
              <w:t>内容</w:t>
            </w:r>
          </w:p>
        </w:tc>
        <w:tc>
          <w:tcPr>
            <w:tcW w:w="5954" w:type="dxa"/>
            <w:vAlign w:val="center"/>
          </w:tcPr>
          <w:p w14:paraId="34F38EAE">
            <w:pPr>
              <w:adjustRightInd w:val="0"/>
              <w:snapToGrid w:val="0"/>
              <w:spacing w:line="288" w:lineRule="auto"/>
              <w:jc w:val="center"/>
              <w:rPr>
                <w:b/>
                <w:bCs/>
                <w:sz w:val="21"/>
                <w:szCs w:val="21"/>
                <w:highlight w:val="none"/>
              </w:rPr>
            </w:pPr>
            <w:r>
              <w:rPr>
                <w:rFonts w:hint="eastAsia"/>
                <w:b/>
                <w:bCs/>
                <w:sz w:val="21"/>
                <w:szCs w:val="21"/>
                <w:highlight w:val="none"/>
              </w:rPr>
              <w:t>说明与要求</w:t>
            </w:r>
          </w:p>
        </w:tc>
      </w:tr>
      <w:tr w14:paraId="761F0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4CA7763">
            <w:pPr>
              <w:adjustRightInd w:val="0"/>
              <w:snapToGrid w:val="0"/>
              <w:spacing w:line="288" w:lineRule="auto"/>
              <w:jc w:val="center"/>
              <w:rPr>
                <w:sz w:val="21"/>
                <w:szCs w:val="21"/>
                <w:highlight w:val="none"/>
              </w:rPr>
            </w:pPr>
            <w:r>
              <w:rPr>
                <w:rFonts w:hint="eastAsia"/>
                <w:sz w:val="21"/>
                <w:szCs w:val="21"/>
                <w:highlight w:val="none"/>
              </w:rPr>
              <w:t>（一）</w:t>
            </w:r>
          </w:p>
        </w:tc>
        <w:tc>
          <w:tcPr>
            <w:tcW w:w="2410" w:type="dxa"/>
            <w:vAlign w:val="center"/>
          </w:tcPr>
          <w:p w14:paraId="3652DDC4">
            <w:pPr>
              <w:adjustRightInd w:val="0"/>
              <w:snapToGrid w:val="0"/>
              <w:spacing w:line="288" w:lineRule="auto"/>
              <w:jc w:val="center"/>
              <w:rPr>
                <w:sz w:val="21"/>
                <w:szCs w:val="21"/>
                <w:highlight w:val="none"/>
              </w:rPr>
            </w:pPr>
            <w:r>
              <w:rPr>
                <w:rFonts w:hint="eastAsia"/>
                <w:sz w:val="21"/>
                <w:szCs w:val="21"/>
                <w:highlight w:val="none"/>
              </w:rPr>
              <w:t>适用范围</w:t>
            </w:r>
          </w:p>
        </w:tc>
        <w:tc>
          <w:tcPr>
            <w:tcW w:w="5954" w:type="dxa"/>
            <w:vAlign w:val="center"/>
          </w:tcPr>
          <w:p w14:paraId="24128903">
            <w:pPr>
              <w:adjustRightInd w:val="0"/>
              <w:snapToGrid w:val="0"/>
              <w:spacing w:line="288" w:lineRule="auto"/>
              <w:rPr>
                <w:sz w:val="21"/>
                <w:szCs w:val="21"/>
                <w:highlight w:val="none"/>
              </w:rPr>
            </w:pPr>
            <w:r>
              <w:rPr>
                <w:rFonts w:hint="eastAsia"/>
                <w:sz w:val="21"/>
                <w:szCs w:val="21"/>
                <w:highlight w:val="none"/>
              </w:rPr>
              <w:t>本磋商文件适用于浙江交通职业技术学院长兴校区局部修缮项目的磋商、评审、成交、验收、合同履约、付款等（法律、法规另有规定的，从其规定）。</w:t>
            </w:r>
          </w:p>
        </w:tc>
      </w:tr>
      <w:tr w14:paraId="322B8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F283E58">
            <w:pPr>
              <w:adjustRightInd w:val="0"/>
              <w:snapToGrid w:val="0"/>
              <w:spacing w:line="288" w:lineRule="auto"/>
              <w:jc w:val="center"/>
              <w:rPr>
                <w:sz w:val="21"/>
                <w:szCs w:val="21"/>
                <w:highlight w:val="none"/>
              </w:rPr>
            </w:pPr>
            <w:r>
              <w:rPr>
                <w:rFonts w:hint="eastAsia"/>
                <w:sz w:val="21"/>
                <w:szCs w:val="21"/>
                <w:highlight w:val="none"/>
              </w:rPr>
              <w:t>（二）</w:t>
            </w:r>
          </w:p>
        </w:tc>
        <w:tc>
          <w:tcPr>
            <w:tcW w:w="2410" w:type="dxa"/>
            <w:vAlign w:val="center"/>
          </w:tcPr>
          <w:p w14:paraId="65EC80D2">
            <w:pPr>
              <w:adjustRightInd w:val="0"/>
              <w:snapToGrid w:val="0"/>
              <w:spacing w:line="288" w:lineRule="auto"/>
              <w:jc w:val="center"/>
              <w:rPr>
                <w:sz w:val="21"/>
                <w:szCs w:val="21"/>
                <w:highlight w:val="none"/>
              </w:rPr>
            </w:pPr>
            <w:r>
              <w:rPr>
                <w:rFonts w:hint="eastAsia"/>
                <w:sz w:val="21"/>
                <w:szCs w:val="21"/>
                <w:highlight w:val="none"/>
              </w:rPr>
              <w:t>采购方式</w:t>
            </w:r>
          </w:p>
        </w:tc>
        <w:tc>
          <w:tcPr>
            <w:tcW w:w="5954" w:type="dxa"/>
            <w:vAlign w:val="center"/>
          </w:tcPr>
          <w:p w14:paraId="3D16E3BD">
            <w:pPr>
              <w:adjustRightInd w:val="0"/>
              <w:snapToGrid w:val="0"/>
              <w:spacing w:line="288" w:lineRule="auto"/>
              <w:rPr>
                <w:sz w:val="21"/>
                <w:szCs w:val="21"/>
                <w:highlight w:val="none"/>
              </w:rPr>
            </w:pPr>
            <w:r>
              <w:rPr>
                <w:rFonts w:hint="eastAsia"/>
                <w:sz w:val="21"/>
                <w:szCs w:val="21"/>
                <w:highlight w:val="none"/>
              </w:rPr>
              <w:t>本次采购采用竞争性磋商（线上电子交易）方式进行。</w:t>
            </w:r>
          </w:p>
        </w:tc>
      </w:tr>
      <w:tr w14:paraId="571A2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4C241A17">
            <w:pPr>
              <w:adjustRightInd w:val="0"/>
              <w:snapToGrid w:val="0"/>
              <w:spacing w:line="288" w:lineRule="auto"/>
              <w:jc w:val="center"/>
              <w:rPr>
                <w:sz w:val="21"/>
                <w:szCs w:val="21"/>
                <w:highlight w:val="none"/>
              </w:rPr>
            </w:pPr>
            <w:r>
              <w:rPr>
                <w:rFonts w:hint="eastAsia"/>
                <w:sz w:val="21"/>
                <w:szCs w:val="21"/>
                <w:highlight w:val="none"/>
              </w:rPr>
              <w:t>（三）</w:t>
            </w:r>
          </w:p>
        </w:tc>
        <w:tc>
          <w:tcPr>
            <w:tcW w:w="2410" w:type="dxa"/>
            <w:vAlign w:val="center"/>
          </w:tcPr>
          <w:p w14:paraId="2009BDE6">
            <w:pPr>
              <w:adjustRightInd w:val="0"/>
              <w:snapToGrid w:val="0"/>
              <w:spacing w:line="288" w:lineRule="auto"/>
              <w:jc w:val="center"/>
              <w:rPr>
                <w:sz w:val="21"/>
                <w:szCs w:val="21"/>
                <w:highlight w:val="none"/>
              </w:rPr>
            </w:pPr>
            <w:r>
              <w:rPr>
                <w:rFonts w:hint="eastAsia"/>
                <w:sz w:val="21"/>
                <w:szCs w:val="21"/>
                <w:highlight w:val="none"/>
              </w:rPr>
              <w:t>建设地点</w:t>
            </w:r>
          </w:p>
        </w:tc>
        <w:tc>
          <w:tcPr>
            <w:tcW w:w="5954" w:type="dxa"/>
            <w:vAlign w:val="center"/>
          </w:tcPr>
          <w:p w14:paraId="30C6D65B">
            <w:pPr>
              <w:adjustRightInd w:val="0"/>
              <w:snapToGrid w:val="0"/>
              <w:spacing w:line="288" w:lineRule="auto"/>
              <w:rPr>
                <w:sz w:val="21"/>
                <w:szCs w:val="21"/>
                <w:highlight w:val="none"/>
              </w:rPr>
            </w:pPr>
            <w:r>
              <w:rPr>
                <w:rFonts w:hint="eastAsia"/>
                <w:sz w:val="21"/>
                <w:szCs w:val="21"/>
                <w:highlight w:val="none"/>
              </w:rPr>
              <w:t>浙江交通职业技术学院</w:t>
            </w:r>
          </w:p>
        </w:tc>
      </w:tr>
      <w:tr w14:paraId="72F63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20F9C1C5">
            <w:pPr>
              <w:adjustRightInd w:val="0"/>
              <w:snapToGrid w:val="0"/>
              <w:spacing w:line="288" w:lineRule="auto"/>
              <w:jc w:val="center"/>
              <w:rPr>
                <w:sz w:val="21"/>
                <w:szCs w:val="21"/>
                <w:highlight w:val="none"/>
              </w:rPr>
            </w:pPr>
            <w:r>
              <w:rPr>
                <w:rFonts w:hint="eastAsia"/>
                <w:sz w:val="21"/>
                <w:szCs w:val="21"/>
                <w:highlight w:val="none"/>
              </w:rPr>
              <w:t>（四）</w:t>
            </w:r>
          </w:p>
        </w:tc>
        <w:tc>
          <w:tcPr>
            <w:tcW w:w="2410" w:type="dxa"/>
            <w:vAlign w:val="center"/>
          </w:tcPr>
          <w:p w14:paraId="288B560B">
            <w:pPr>
              <w:adjustRightInd w:val="0"/>
              <w:snapToGrid w:val="0"/>
              <w:spacing w:line="288" w:lineRule="auto"/>
              <w:jc w:val="center"/>
              <w:rPr>
                <w:sz w:val="21"/>
                <w:szCs w:val="21"/>
                <w:highlight w:val="none"/>
              </w:rPr>
            </w:pPr>
            <w:r>
              <w:rPr>
                <w:rFonts w:hint="eastAsia"/>
                <w:sz w:val="21"/>
                <w:szCs w:val="21"/>
                <w:highlight w:val="none"/>
              </w:rPr>
              <w:t>建设规模</w:t>
            </w:r>
          </w:p>
        </w:tc>
        <w:tc>
          <w:tcPr>
            <w:tcW w:w="5954" w:type="dxa"/>
            <w:vAlign w:val="center"/>
          </w:tcPr>
          <w:p w14:paraId="0470B5AC">
            <w:pPr>
              <w:adjustRightInd w:val="0"/>
              <w:snapToGrid w:val="0"/>
              <w:spacing w:line="288" w:lineRule="auto"/>
              <w:rPr>
                <w:sz w:val="21"/>
                <w:szCs w:val="21"/>
                <w:highlight w:val="none"/>
              </w:rPr>
            </w:pPr>
            <w:r>
              <w:rPr>
                <w:rFonts w:hint="eastAsia"/>
                <w:sz w:val="21"/>
                <w:szCs w:val="21"/>
                <w:highlight w:val="none"/>
              </w:rPr>
              <w:t>详见竞争性磋商文件、工程量清单、图纸</w:t>
            </w:r>
          </w:p>
        </w:tc>
      </w:tr>
      <w:tr w14:paraId="4F113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6B2F81D0">
            <w:pPr>
              <w:adjustRightInd w:val="0"/>
              <w:snapToGrid w:val="0"/>
              <w:spacing w:line="288" w:lineRule="auto"/>
              <w:jc w:val="center"/>
              <w:rPr>
                <w:sz w:val="21"/>
                <w:szCs w:val="21"/>
                <w:highlight w:val="none"/>
              </w:rPr>
            </w:pPr>
            <w:r>
              <w:rPr>
                <w:rFonts w:hint="eastAsia"/>
                <w:sz w:val="21"/>
                <w:szCs w:val="21"/>
                <w:highlight w:val="none"/>
              </w:rPr>
              <w:t>（五）</w:t>
            </w:r>
          </w:p>
        </w:tc>
        <w:tc>
          <w:tcPr>
            <w:tcW w:w="2410" w:type="dxa"/>
            <w:vAlign w:val="center"/>
          </w:tcPr>
          <w:p w14:paraId="1893FAAE">
            <w:pPr>
              <w:adjustRightInd w:val="0"/>
              <w:snapToGrid w:val="0"/>
              <w:spacing w:line="288" w:lineRule="auto"/>
              <w:jc w:val="center"/>
              <w:rPr>
                <w:sz w:val="21"/>
                <w:szCs w:val="21"/>
                <w:highlight w:val="none"/>
              </w:rPr>
            </w:pPr>
            <w:r>
              <w:rPr>
                <w:rFonts w:hint="eastAsia"/>
                <w:sz w:val="21"/>
                <w:szCs w:val="21"/>
                <w:highlight w:val="none"/>
              </w:rPr>
              <w:t>承包方式</w:t>
            </w:r>
          </w:p>
        </w:tc>
        <w:tc>
          <w:tcPr>
            <w:tcW w:w="5954" w:type="dxa"/>
            <w:vAlign w:val="center"/>
          </w:tcPr>
          <w:p w14:paraId="0004B144">
            <w:pPr>
              <w:adjustRightInd w:val="0"/>
              <w:snapToGrid w:val="0"/>
              <w:spacing w:line="288" w:lineRule="auto"/>
              <w:rPr>
                <w:sz w:val="21"/>
                <w:szCs w:val="21"/>
                <w:highlight w:val="none"/>
              </w:rPr>
            </w:pPr>
            <w:r>
              <w:rPr>
                <w:bCs/>
                <w:sz w:val="21"/>
                <w:szCs w:val="21"/>
                <w:highlight w:val="none"/>
              </w:rPr>
              <w:t>包工包料、保质量、包工期、包安全文明施工总承包</w:t>
            </w:r>
          </w:p>
        </w:tc>
      </w:tr>
      <w:tr w14:paraId="2D46C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63B20B33">
            <w:pPr>
              <w:adjustRightInd w:val="0"/>
              <w:snapToGrid w:val="0"/>
              <w:spacing w:line="288" w:lineRule="auto"/>
              <w:jc w:val="center"/>
              <w:rPr>
                <w:sz w:val="21"/>
                <w:szCs w:val="21"/>
                <w:highlight w:val="none"/>
              </w:rPr>
            </w:pPr>
            <w:r>
              <w:rPr>
                <w:rFonts w:hint="eastAsia"/>
                <w:sz w:val="21"/>
                <w:szCs w:val="21"/>
                <w:highlight w:val="none"/>
              </w:rPr>
              <w:t>（六）</w:t>
            </w:r>
          </w:p>
        </w:tc>
        <w:tc>
          <w:tcPr>
            <w:tcW w:w="2410" w:type="dxa"/>
            <w:vAlign w:val="center"/>
          </w:tcPr>
          <w:p w14:paraId="40648768">
            <w:pPr>
              <w:adjustRightInd w:val="0"/>
              <w:snapToGrid w:val="0"/>
              <w:spacing w:line="288" w:lineRule="auto"/>
              <w:jc w:val="center"/>
              <w:rPr>
                <w:sz w:val="21"/>
                <w:szCs w:val="21"/>
                <w:highlight w:val="none"/>
              </w:rPr>
            </w:pPr>
            <w:r>
              <w:rPr>
                <w:rFonts w:hint="eastAsia"/>
                <w:sz w:val="21"/>
                <w:szCs w:val="21"/>
                <w:highlight w:val="none"/>
              </w:rPr>
              <w:t>质量要求</w:t>
            </w:r>
          </w:p>
        </w:tc>
        <w:tc>
          <w:tcPr>
            <w:tcW w:w="5954" w:type="dxa"/>
            <w:vAlign w:val="center"/>
          </w:tcPr>
          <w:p w14:paraId="6BAB7F7D">
            <w:pPr>
              <w:adjustRightInd w:val="0"/>
              <w:snapToGrid w:val="0"/>
              <w:spacing w:line="288" w:lineRule="auto"/>
              <w:rPr>
                <w:sz w:val="21"/>
                <w:szCs w:val="21"/>
                <w:highlight w:val="none"/>
              </w:rPr>
            </w:pPr>
            <w:r>
              <w:rPr>
                <w:rFonts w:hint="eastAsia"/>
                <w:sz w:val="21"/>
                <w:szCs w:val="21"/>
                <w:highlight w:val="none"/>
              </w:rPr>
              <w:t>符合（工程施工质量验收规范）合格标准</w:t>
            </w:r>
          </w:p>
        </w:tc>
      </w:tr>
      <w:tr w14:paraId="157E8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08119AF">
            <w:pPr>
              <w:adjustRightInd w:val="0"/>
              <w:snapToGrid w:val="0"/>
              <w:spacing w:line="288" w:lineRule="auto"/>
              <w:jc w:val="center"/>
              <w:rPr>
                <w:sz w:val="21"/>
                <w:szCs w:val="21"/>
                <w:highlight w:val="none"/>
              </w:rPr>
            </w:pPr>
            <w:r>
              <w:rPr>
                <w:rFonts w:hint="eastAsia"/>
                <w:sz w:val="21"/>
                <w:szCs w:val="21"/>
                <w:highlight w:val="none"/>
              </w:rPr>
              <w:t>（七）</w:t>
            </w:r>
          </w:p>
        </w:tc>
        <w:tc>
          <w:tcPr>
            <w:tcW w:w="2410" w:type="dxa"/>
            <w:vAlign w:val="center"/>
          </w:tcPr>
          <w:p w14:paraId="43C315C2">
            <w:pPr>
              <w:adjustRightInd w:val="0"/>
              <w:snapToGrid w:val="0"/>
              <w:spacing w:line="288" w:lineRule="auto"/>
              <w:jc w:val="center"/>
              <w:rPr>
                <w:sz w:val="21"/>
                <w:szCs w:val="21"/>
                <w:highlight w:val="none"/>
              </w:rPr>
            </w:pPr>
            <w:r>
              <w:rPr>
                <w:rFonts w:hint="eastAsia"/>
                <w:sz w:val="21"/>
                <w:szCs w:val="21"/>
                <w:highlight w:val="none"/>
              </w:rPr>
              <w:t>招标范围</w:t>
            </w:r>
          </w:p>
        </w:tc>
        <w:tc>
          <w:tcPr>
            <w:tcW w:w="5954" w:type="dxa"/>
            <w:vAlign w:val="center"/>
          </w:tcPr>
          <w:p w14:paraId="2E267C62">
            <w:pPr>
              <w:adjustRightInd w:val="0"/>
              <w:snapToGrid w:val="0"/>
              <w:spacing w:line="288" w:lineRule="auto"/>
              <w:rPr>
                <w:sz w:val="21"/>
                <w:szCs w:val="21"/>
                <w:highlight w:val="none"/>
              </w:rPr>
            </w:pPr>
            <w:r>
              <w:rPr>
                <w:rFonts w:hint="eastAsia"/>
                <w:sz w:val="21"/>
                <w:szCs w:val="21"/>
                <w:highlight w:val="none"/>
              </w:rPr>
              <w:t>详见竞争性磋商文件、工程量清单、图纸</w:t>
            </w:r>
          </w:p>
        </w:tc>
      </w:tr>
      <w:tr w14:paraId="1A9B3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32B3D32F">
            <w:pPr>
              <w:adjustRightInd w:val="0"/>
              <w:snapToGrid w:val="0"/>
              <w:spacing w:line="288" w:lineRule="auto"/>
              <w:jc w:val="center"/>
              <w:rPr>
                <w:sz w:val="21"/>
                <w:szCs w:val="21"/>
                <w:highlight w:val="none"/>
              </w:rPr>
            </w:pPr>
            <w:r>
              <w:rPr>
                <w:rFonts w:hint="eastAsia"/>
                <w:sz w:val="21"/>
                <w:szCs w:val="21"/>
                <w:highlight w:val="none"/>
              </w:rPr>
              <w:t>（八）</w:t>
            </w:r>
          </w:p>
        </w:tc>
        <w:tc>
          <w:tcPr>
            <w:tcW w:w="2410" w:type="dxa"/>
            <w:vAlign w:val="center"/>
          </w:tcPr>
          <w:p w14:paraId="37B9785C">
            <w:pPr>
              <w:adjustRightInd w:val="0"/>
              <w:snapToGrid w:val="0"/>
              <w:spacing w:line="288" w:lineRule="auto"/>
              <w:jc w:val="center"/>
              <w:rPr>
                <w:sz w:val="21"/>
                <w:szCs w:val="21"/>
                <w:highlight w:val="none"/>
              </w:rPr>
            </w:pPr>
            <w:r>
              <w:rPr>
                <w:rFonts w:hint="eastAsia"/>
                <w:sz w:val="21"/>
                <w:szCs w:val="21"/>
                <w:highlight w:val="none"/>
              </w:rPr>
              <w:t>资金来源</w:t>
            </w:r>
          </w:p>
        </w:tc>
        <w:tc>
          <w:tcPr>
            <w:tcW w:w="5954" w:type="dxa"/>
            <w:vAlign w:val="center"/>
          </w:tcPr>
          <w:p w14:paraId="614B236F">
            <w:pPr>
              <w:adjustRightInd w:val="0"/>
              <w:snapToGrid w:val="0"/>
              <w:spacing w:line="288" w:lineRule="auto"/>
              <w:rPr>
                <w:sz w:val="21"/>
                <w:szCs w:val="21"/>
                <w:highlight w:val="none"/>
              </w:rPr>
            </w:pPr>
            <w:r>
              <w:rPr>
                <w:rFonts w:hint="eastAsia"/>
                <w:sz w:val="21"/>
                <w:szCs w:val="21"/>
                <w:highlight w:val="none"/>
              </w:rPr>
              <w:t>财政资金</w:t>
            </w:r>
          </w:p>
        </w:tc>
      </w:tr>
      <w:tr w14:paraId="0B09E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4F2C023F">
            <w:pPr>
              <w:adjustRightInd w:val="0"/>
              <w:snapToGrid w:val="0"/>
              <w:spacing w:line="288" w:lineRule="auto"/>
              <w:jc w:val="center"/>
              <w:rPr>
                <w:sz w:val="21"/>
                <w:szCs w:val="21"/>
                <w:highlight w:val="none"/>
              </w:rPr>
            </w:pPr>
            <w:r>
              <w:rPr>
                <w:rFonts w:hint="eastAsia"/>
                <w:sz w:val="21"/>
                <w:szCs w:val="21"/>
                <w:highlight w:val="none"/>
              </w:rPr>
              <w:t>（九）</w:t>
            </w:r>
          </w:p>
        </w:tc>
        <w:tc>
          <w:tcPr>
            <w:tcW w:w="2410" w:type="dxa"/>
            <w:vAlign w:val="center"/>
          </w:tcPr>
          <w:p w14:paraId="665F1B6D">
            <w:pPr>
              <w:adjustRightInd w:val="0"/>
              <w:snapToGrid w:val="0"/>
              <w:spacing w:line="288" w:lineRule="auto"/>
              <w:jc w:val="center"/>
              <w:rPr>
                <w:sz w:val="21"/>
                <w:szCs w:val="21"/>
                <w:highlight w:val="none"/>
              </w:rPr>
            </w:pPr>
            <w:r>
              <w:rPr>
                <w:rFonts w:hint="eastAsia"/>
                <w:sz w:val="21"/>
                <w:szCs w:val="21"/>
                <w:highlight w:val="none"/>
              </w:rPr>
              <w:t>资格审查方法</w:t>
            </w:r>
          </w:p>
        </w:tc>
        <w:tc>
          <w:tcPr>
            <w:tcW w:w="5954" w:type="dxa"/>
            <w:vAlign w:val="center"/>
          </w:tcPr>
          <w:p w14:paraId="69AC1E0E">
            <w:pPr>
              <w:adjustRightInd w:val="0"/>
              <w:snapToGrid w:val="0"/>
              <w:spacing w:line="288" w:lineRule="auto"/>
              <w:rPr>
                <w:sz w:val="21"/>
                <w:szCs w:val="21"/>
                <w:highlight w:val="none"/>
              </w:rPr>
            </w:pPr>
            <w:r>
              <w:rPr>
                <w:rFonts w:hint="eastAsia"/>
                <w:sz w:val="21"/>
                <w:szCs w:val="21"/>
                <w:highlight w:val="none"/>
              </w:rPr>
              <w:t>采用资格后审</w:t>
            </w:r>
          </w:p>
        </w:tc>
      </w:tr>
      <w:tr w14:paraId="39230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65A90AD">
            <w:pPr>
              <w:adjustRightInd w:val="0"/>
              <w:snapToGrid w:val="0"/>
              <w:spacing w:line="288" w:lineRule="auto"/>
              <w:jc w:val="center"/>
              <w:rPr>
                <w:sz w:val="21"/>
                <w:szCs w:val="21"/>
                <w:highlight w:val="none"/>
              </w:rPr>
            </w:pPr>
            <w:r>
              <w:rPr>
                <w:rFonts w:hint="eastAsia"/>
                <w:sz w:val="21"/>
                <w:szCs w:val="21"/>
                <w:highlight w:val="none"/>
              </w:rPr>
              <w:t>（十）</w:t>
            </w:r>
          </w:p>
        </w:tc>
        <w:tc>
          <w:tcPr>
            <w:tcW w:w="2410" w:type="dxa"/>
            <w:vAlign w:val="center"/>
          </w:tcPr>
          <w:p w14:paraId="2B6CE95B">
            <w:pPr>
              <w:adjustRightInd w:val="0"/>
              <w:snapToGrid w:val="0"/>
              <w:spacing w:line="288" w:lineRule="auto"/>
              <w:jc w:val="center"/>
              <w:rPr>
                <w:sz w:val="21"/>
                <w:szCs w:val="21"/>
                <w:highlight w:val="none"/>
              </w:rPr>
            </w:pPr>
            <w:r>
              <w:rPr>
                <w:rFonts w:hint="eastAsia"/>
                <w:sz w:val="21"/>
                <w:szCs w:val="21"/>
                <w:highlight w:val="none"/>
              </w:rPr>
              <w:t>工程量清单计价方式</w:t>
            </w:r>
          </w:p>
        </w:tc>
        <w:tc>
          <w:tcPr>
            <w:tcW w:w="5954" w:type="dxa"/>
            <w:vAlign w:val="center"/>
          </w:tcPr>
          <w:p w14:paraId="0C411DDB">
            <w:pPr>
              <w:adjustRightInd w:val="0"/>
              <w:snapToGrid w:val="0"/>
              <w:spacing w:line="288" w:lineRule="auto"/>
              <w:rPr>
                <w:sz w:val="21"/>
                <w:szCs w:val="21"/>
                <w:highlight w:val="none"/>
              </w:rPr>
            </w:pPr>
            <w:r>
              <w:rPr>
                <w:rFonts w:hint="eastAsia"/>
                <w:sz w:val="21"/>
                <w:szCs w:val="21"/>
                <w:highlight w:val="none"/>
              </w:rPr>
              <w:t>按工程量清单报价</w:t>
            </w:r>
          </w:p>
        </w:tc>
      </w:tr>
      <w:tr w14:paraId="354F2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0BEA25E">
            <w:pPr>
              <w:adjustRightInd w:val="0"/>
              <w:snapToGrid w:val="0"/>
              <w:spacing w:line="288" w:lineRule="auto"/>
              <w:jc w:val="center"/>
              <w:rPr>
                <w:sz w:val="21"/>
                <w:szCs w:val="21"/>
                <w:highlight w:val="none"/>
              </w:rPr>
            </w:pPr>
            <w:r>
              <w:rPr>
                <w:rFonts w:hint="eastAsia"/>
                <w:sz w:val="21"/>
                <w:szCs w:val="21"/>
                <w:highlight w:val="none"/>
              </w:rPr>
              <w:t>（十一）</w:t>
            </w:r>
          </w:p>
        </w:tc>
        <w:tc>
          <w:tcPr>
            <w:tcW w:w="2410" w:type="dxa"/>
            <w:vAlign w:val="center"/>
          </w:tcPr>
          <w:p w14:paraId="7C67AA24">
            <w:pPr>
              <w:pStyle w:val="17"/>
              <w:spacing w:line="288" w:lineRule="auto"/>
              <w:jc w:val="center"/>
              <w:rPr>
                <w:rFonts w:ascii="宋体" w:hAnsi="宋体" w:eastAsia="宋体" w:cs="宋体"/>
                <w:sz w:val="21"/>
                <w:szCs w:val="21"/>
                <w:highlight w:val="none"/>
              </w:rPr>
            </w:pPr>
            <w:r>
              <w:rPr>
                <w:rFonts w:hint="eastAsia" w:ascii="宋体" w:hAnsi="宋体" w:eastAsia="宋体" w:cs="宋体"/>
                <w:sz w:val="21"/>
                <w:szCs w:val="21"/>
                <w:highlight w:val="none"/>
              </w:rPr>
              <w:t>投标预备会（答疑会）</w:t>
            </w:r>
          </w:p>
        </w:tc>
        <w:tc>
          <w:tcPr>
            <w:tcW w:w="5954" w:type="dxa"/>
            <w:vAlign w:val="center"/>
          </w:tcPr>
          <w:p w14:paraId="2FF7178C">
            <w:pPr>
              <w:adjustRightInd w:val="0"/>
              <w:snapToGrid w:val="0"/>
              <w:spacing w:line="288" w:lineRule="auto"/>
              <w:rPr>
                <w:sz w:val="21"/>
                <w:szCs w:val="21"/>
                <w:highlight w:val="none"/>
              </w:rPr>
            </w:pPr>
            <w:r>
              <w:rPr>
                <w:rFonts w:hint="eastAsia"/>
                <w:sz w:val="21"/>
                <w:szCs w:val="21"/>
                <w:highlight w:val="none"/>
              </w:rPr>
              <w:t>本项目不进行集中答疑，无投标预备会。</w:t>
            </w:r>
          </w:p>
        </w:tc>
      </w:tr>
      <w:tr w14:paraId="228E8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37DA8F3D">
            <w:pPr>
              <w:adjustRightInd w:val="0"/>
              <w:snapToGrid w:val="0"/>
              <w:spacing w:line="288" w:lineRule="auto"/>
              <w:jc w:val="center"/>
              <w:rPr>
                <w:sz w:val="21"/>
                <w:szCs w:val="21"/>
                <w:highlight w:val="none"/>
              </w:rPr>
            </w:pPr>
            <w:r>
              <w:rPr>
                <w:rFonts w:hint="eastAsia"/>
                <w:sz w:val="21"/>
                <w:szCs w:val="21"/>
                <w:highlight w:val="none"/>
              </w:rPr>
              <w:t>（十二）</w:t>
            </w:r>
          </w:p>
        </w:tc>
        <w:tc>
          <w:tcPr>
            <w:tcW w:w="2410" w:type="dxa"/>
            <w:vAlign w:val="center"/>
          </w:tcPr>
          <w:p w14:paraId="56B5DF51">
            <w:pPr>
              <w:adjustRightInd w:val="0"/>
              <w:snapToGrid w:val="0"/>
              <w:spacing w:line="288" w:lineRule="auto"/>
              <w:jc w:val="center"/>
              <w:rPr>
                <w:sz w:val="21"/>
                <w:szCs w:val="21"/>
                <w:highlight w:val="none"/>
              </w:rPr>
            </w:pPr>
            <w:r>
              <w:rPr>
                <w:rFonts w:hint="eastAsia"/>
                <w:sz w:val="21"/>
                <w:szCs w:val="21"/>
                <w:highlight w:val="none"/>
              </w:rPr>
              <w:t>竞争性磋商委托</w:t>
            </w:r>
          </w:p>
        </w:tc>
        <w:tc>
          <w:tcPr>
            <w:tcW w:w="5954" w:type="dxa"/>
            <w:vAlign w:val="center"/>
          </w:tcPr>
          <w:p w14:paraId="1A44FD32">
            <w:pPr>
              <w:adjustRightInd w:val="0"/>
              <w:snapToGrid w:val="0"/>
              <w:spacing w:line="288" w:lineRule="auto"/>
              <w:rPr>
                <w:rFonts w:cstheme="minorBidi"/>
                <w:sz w:val="21"/>
                <w:szCs w:val="21"/>
                <w:highlight w:val="none"/>
              </w:rPr>
            </w:pPr>
            <w:r>
              <w:rPr>
                <w:rFonts w:hint="eastAsia" w:cstheme="minorBidi"/>
                <w:sz w:val="21"/>
                <w:szCs w:val="21"/>
                <w:highlight w:val="none"/>
              </w:rPr>
              <w:t>▲1</w:t>
            </w:r>
            <w:r>
              <w:rPr>
                <w:rFonts w:cstheme="minorBidi"/>
                <w:sz w:val="21"/>
                <w:szCs w:val="21"/>
                <w:highlight w:val="none"/>
              </w:rPr>
              <w:t>.供应商代表是法定代表人</w:t>
            </w:r>
            <w:r>
              <w:rPr>
                <w:rFonts w:hint="eastAsia" w:cstheme="minorBidi"/>
                <w:sz w:val="21"/>
                <w:szCs w:val="21"/>
                <w:highlight w:val="none"/>
              </w:rPr>
              <w:t>（单位负责人、自然人本人）的，须提供本人身份证明。</w:t>
            </w:r>
          </w:p>
          <w:p w14:paraId="63B227AD">
            <w:pPr>
              <w:adjustRightInd w:val="0"/>
              <w:snapToGrid w:val="0"/>
              <w:spacing w:line="288" w:lineRule="auto"/>
              <w:rPr>
                <w:rFonts w:cstheme="minorBidi"/>
                <w:sz w:val="21"/>
                <w:szCs w:val="21"/>
                <w:highlight w:val="none"/>
              </w:rPr>
            </w:pPr>
            <w:r>
              <w:rPr>
                <w:rFonts w:hint="eastAsia" w:cstheme="minorBidi"/>
                <w:sz w:val="21"/>
                <w:szCs w:val="21"/>
                <w:highlight w:val="none"/>
              </w:rPr>
              <w:t>▲</w:t>
            </w:r>
            <w:r>
              <w:rPr>
                <w:rFonts w:cstheme="minorBidi"/>
                <w:sz w:val="21"/>
                <w:szCs w:val="21"/>
                <w:highlight w:val="none"/>
              </w:rPr>
              <w:t>2</w:t>
            </w:r>
            <w:r>
              <w:rPr>
                <w:rFonts w:hint="eastAsia" w:cstheme="minorBidi"/>
                <w:sz w:val="21"/>
                <w:szCs w:val="21"/>
                <w:highlight w:val="none"/>
              </w:rPr>
              <w:t>.</w:t>
            </w:r>
            <w:r>
              <w:rPr>
                <w:rFonts w:cstheme="minorBidi"/>
                <w:sz w:val="21"/>
                <w:szCs w:val="21"/>
                <w:highlight w:val="none"/>
              </w:rPr>
              <w:t>供应商代表不是法定代表人</w:t>
            </w:r>
            <w:r>
              <w:rPr>
                <w:rFonts w:hint="eastAsia" w:cstheme="minorBidi"/>
                <w:sz w:val="21"/>
                <w:szCs w:val="21"/>
                <w:highlight w:val="none"/>
              </w:rPr>
              <w:t>（单位负责人、自然人本人）的</w:t>
            </w:r>
            <w:r>
              <w:rPr>
                <w:rFonts w:cstheme="minorBidi"/>
                <w:sz w:val="21"/>
                <w:szCs w:val="21"/>
                <w:highlight w:val="none"/>
              </w:rPr>
              <w:t>，须提供</w:t>
            </w:r>
            <w:r>
              <w:rPr>
                <w:rFonts w:cstheme="minorBidi"/>
                <w:bCs/>
                <w:sz w:val="21"/>
                <w:szCs w:val="21"/>
                <w:highlight w:val="none"/>
              </w:rPr>
              <w:t>授权</w:t>
            </w:r>
            <w:r>
              <w:rPr>
                <w:rFonts w:hint="eastAsia" w:cstheme="minorBidi"/>
                <w:bCs/>
                <w:sz w:val="21"/>
                <w:szCs w:val="21"/>
                <w:highlight w:val="none"/>
              </w:rPr>
              <w:t>委托</w:t>
            </w:r>
            <w:r>
              <w:rPr>
                <w:rFonts w:cstheme="minorBidi"/>
                <w:bCs/>
                <w:sz w:val="21"/>
                <w:szCs w:val="21"/>
                <w:highlight w:val="none"/>
              </w:rPr>
              <w:t>书</w:t>
            </w:r>
            <w:r>
              <w:rPr>
                <w:rFonts w:hint="eastAsia" w:cstheme="minorBidi"/>
                <w:sz w:val="21"/>
                <w:szCs w:val="21"/>
                <w:highlight w:val="none"/>
              </w:rPr>
              <w:t>（格式详见磋商文件第六章）和授权代表社保缴纳证明（</w:t>
            </w:r>
            <w:r>
              <w:rPr>
                <w:rFonts w:cstheme="minorBidi"/>
                <w:sz w:val="21"/>
                <w:szCs w:val="21"/>
                <w:highlight w:val="none"/>
              </w:rPr>
              <w:t>2023年1月（含）以后任意一月）；</w:t>
            </w:r>
          </w:p>
          <w:p w14:paraId="44A900BF">
            <w:pPr>
              <w:adjustRightInd w:val="0"/>
              <w:snapToGrid w:val="0"/>
              <w:spacing w:line="288" w:lineRule="auto"/>
              <w:rPr>
                <w:sz w:val="21"/>
                <w:szCs w:val="21"/>
                <w:highlight w:val="none"/>
              </w:rPr>
            </w:pPr>
            <w:r>
              <w:rPr>
                <w:rFonts w:hint="eastAsia" w:cstheme="minorBidi"/>
                <w:sz w:val="21"/>
                <w:szCs w:val="21"/>
                <w:highlight w:val="none"/>
              </w:rPr>
              <w:t>▲</w:t>
            </w:r>
            <w:r>
              <w:rPr>
                <w:rFonts w:cstheme="minorBidi"/>
                <w:sz w:val="21"/>
                <w:szCs w:val="21"/>
                <w:highlight w:val="none"/>
              </w:rPr>
              <w:t>3.</w:t>
            </w:r>
            <w:r>
              <w:rPr>
                <w:rFonts w:hint="eastAsia" w:cstheme="minorBidi"/>
                <w:sz w:val="21"/>
                <w:szCs w:val="21"/>
                <w:highlight w:val="none"/>
              </w:rPr>
              <w:t>供应商委派不在本单位缴纳社保的人员作为授权代表的，应当在响应文件中，说明具体原因、授权代表缴纳社保的单位，并附列该授权代表缴纳社保清单。</w:t>
            </w:r>
          </w:p>
        </w:tc>
      </w:tr>
      <w:tr w14:paraId="40B64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0826415">
            <w:pPr>
              <w:adjustRightInd w:val="0"/>
              <w:snapToGrid w:val="0"/>
              <w:spacing w:line="288" w:lineRule="auto"/>
              <w:jc w:val="center"/>
              <w:rPr>
                <w:sz w:val="21"/>
                <w:szCs w:val="21"/>
                <w:highlight w:val="none"/>
              </w:rPr>
            </w:pPr>
            <w:r>
              <w:rPr>
                <w:rFonts w:hint="eastAsia"/>
                <w:sz w:val="21"/>
                <w:szCs w:val="21"/>
                <w:highlight w:val="none"/>
              </w:rPr>
              <w:t>（十三）</w:t>
            </w:r>
          </w:p>
        </w:tc>
        <w:tc>
          <w:tcPr>
            <w:tcW w:w="2410" w:type="dxa"/>
            <w:vAlign w:val="center"/>
          </w:tcPr>
          <w:p w14:paraId="35466CCB">
            <w:pPr>
              <w:adjustRightInd w:val="0"/>
              <w:snapToGrid w:val="0"/>
              <w:spacing w:line="288" w:lineRule="auto"/>
              <w:jc w:val="center"/>
              <w:rPr>
                <w:sz w:val="21"/>
                <w:szCs w:val="21"/>
                <w:highlight w:val="none"/>
              </w:rPr>
            </w:pPr>
            <w:r>
              <w:rPr>
                <w:rFonts w:hint="eastAsia"/>
                <w:sz w:val="21"/>
                <w:szCs w:val="21"/>
                <w:highlight w:val="none"/>
              </w:rPr>
              <w:t>磋商费用</w:t>
            </w:r>
          </w:p>
        </w:tc>
        <w:tc>
          <w:tcPr>
            <w:tcW w:w="5954" w:type="dxa"/>
            <w:vAlign w:val="center"/>
          </w:tcPr>
          <w:p w14:paraId="69C8888D">
            <w:pPr>
              <w:adjustRightInd w:val="0"/>
              <w:snapToGrid w:val="0"/>
              <w:spacing w:line="288" w:lineRule="auto"/>
              <w:rPr>
                <w:sz w:val="21"/>
                <w:szCs w:val="21"/>
                <w:highlight w:val="none"/>
              </w:rPr>
            </w:pPr>
            <w:r>
              <w:rPr>
                <w:rFonts w:hint="eastAsia"/>
                <w:sz w:val="21"/>
                <w:szCs w:val="21"/>
                <w:highlight w:val="none"/>
              </w:rPr>
              <w:t>1.不论磋商结果如何，供应商均应自行承担所有与磋商有关的全部费用；</w:t>
            </w:r>
          </w:p>
          <w:p w14:paraId="4D2B7D23">
            <w:pPr>
              <w:adjustRightInd w:val="0"/>
              <w:snapToGrid w:val="0"/>
              <w:spacing w:line="288" w:lineRule="auto"/>
              <w:rPr>
                <w:sz w:val="21"/>
                <w:szCs w:val="21"/>
                <w:highlight w:val="none"/>
              </w:rPr>
            </w:pPr>
            <w:r>
              <w:rPr>
                <w:rFonts w:hint="eastAsia"/>
                <w:sz w:val="21"/>
                <w:szCs w:val="21"/>
                <w:highlight w:val="none"/>
              </w:rPr>
              <w:t>2.成交供应商在成交通知书发出之日起七个工作日内，向采购代理机构交纳代理服务费；</w:t>
            </w:r>
          </w:p>
          <w:p w14:paraId="186C817B">
            <w:pPr>
              <w:adjustRightInd w:val="0"/>
              <w:snapToGrid w:val="0"/>
              <w:spacing w:line="288" w:lineRule="auto"/>
              <w:rPr>
                <w:sz w:val="21"/>
                <w:szCs w:val="21"/>
                <w:highlight w:val="none"/>
              </w:rPr>
            </w:pPr>
            <w:r>
              <w:rPr>
                <w:rFonts w:hint="eastAsia"/>
                <w:sz w:val="21"/>
                <w:szCs w:val="21"/>
                <w:highlight w:val="none"/>
              </w:rPr>
              <w:t>3.成交供应商逾期支付代理服务费，须承担代理服务费每日百分之三的违约金，逾期十日未支付的，采购代理机构有权向杭州仲裁委员会对成交供应商提起仲裁，仲裁费用（包括仲裁受理费和仲裁处理费）均由成交供应商承担。</w:t>
            </w:r>
          </w:p>
          <w:p w14:paraId="15B01664">
            <w:pPr>
              <w:adjustRightInd w:val="0"/>
              <w:snapToGrid w:val="0"/>
              <w:spacing w:line="288" w:lineRule="auto"/>
              <w:rPr>
                <w:sz w:val="21"/>
                <w:szCs w:val="21"/>
                <w:highlight w:val="none"/>
              </w:rPr>
            </w:pPr>
            <w:bookmarkStart w:id="33" w:name="_Hlk71808378"/>
            <w:r>
              <w:rPr>
                <w:rFonts w:hint="eastAsia"/>
                <w:sz w:val="21"/>
                <w:szCs w:val="21"/>
                <w:highlight w:val="none"/>
              </w:rPr>
              <w:t>4</w:t>
            </w:r>
            <w:r>
              <w:rPr>
                <w:sz w:val="21"/>
                <w:szCs w:val="21"/>
                <w:highlight w:val="none"/>
              </w:rPr>
              <w:t>.</w:t>
            </w:r>
            <w:r>
              <w:rPr>
                <w:rFonts w:hint="eastAsia"/>
                <w:sz w:val="21"/>
                <w:szCs w:val="21"/>
                <w:highlight w:val="none"/>
              </w:rPr>
              <w:t>代理服务费收费标准（差额累进）：</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6"/>
              <w:gridCol w:w="2569"/>
            </w:tblGrid>
            <w:tr w14:paraId="7B295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2286" w:type="dxa"/>
                  <w:vAlign w:val="center"/>
                </w:tcPr>
                <w:p w14:paraId="1F57B17A">
                  <w:pPr>
                    <w:adjustRightInd w:val="0"/>
                    <w:snapToGrid w:val="0"/>
                    <w:spacing w:line="288" w:lineRule="auto"/>
                    <w:jc w:val="center"/>
                    <w:rPr>
                      <w:b/>
                      <w:bCs/>
                      <w:kern w:val="0"/>
                      <w:sz w:val="21"/>
                      <w:szCs w:val="21"/>
                      <w:highlight w:val="none"/>
                    </w:rPr>
                  </w:pPr>
                  <w:r>
                    <w:rPr>
                      <w:rFonts w:hint="eastAsia"/>
                      <w:b/>
                      <w:bCs/>
                      <w:kern w:val="0"/>
                      <w:sz w:val="21"/>
                      <w:szCs w:val="21"/>
                      <w:highlight w:val="none"/>
                    </w:rPr>
                    <w:t>成交金额（万元）</w:t>
                  </w:r>
                </w:p>
              </w:tc>
              <w:tc>
                <w:tcPr>
                  <w:tcW w:w="2569" w:type="dxa"/>
                  <w:vAlign w:val="center"/>
                </w:tcPr>
                <w:p w14:paraId="0240632D">
                  <w:pPr>
                    <w:adjustRightInd w:val="0"/>
                    <w:snapToGrid w:val="0"/>
                    <w:spacing w:line="288" w:lineRule="auto"/>
                    <w:jc w:val="center"/>
                    <w:rPr>
                      <w:b/>
                      <w:bCs/>
                      <w:kern w:val="0"/>
                      <w:sz w:val="21"/>
                      <w:szCs w:val="21"/>
                      <w:highlight w:val="none"/>
                    </w:rPr>
                  </w:pPr>
                  <w:r>
                    <w:rPr>
                      <w:rFonts w:hint="eastAsia"/>
                      <w:b/>
                      <w:bCs/>
                      <w:kern w:val="0"/>
                      <w:sz w:val="21"/>
                      <w:szCs w:val="21"/>
                      <w:highlight w:val="none"/>
                    </w:rPr>
                    <w:t>收费标准（费率，%）</w:t>
                  </w:r>
                </w:p>
              </w:tc>
            </w:tr>
            <w:tr w14:paraId="3A0D0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86" w:type="dxa"/>
                  <w:vAlign w:val="center"/>
                </w:tcPr>
                <w:p w14:paraId="7D11EA8F">
                  <w:pPr>
                    <w:adjustRightInd w:val="0"/>
                    <w:snapToGrid w:val="0"/>
                    <w:spacing w:line="288" w:lineRule="auto"/>
                    <w:jc w:val="center"/>
                    <w:rPr>
                      <w:kern w:val="0"/>
                      <w:sz w:val="21"/>
                      <w:szCs w:val="21"/>
                      <w:highlight w:val="none"/>
                    </w:rPr>
                  </w:pPr>
                  <w:r>
                    <w:rPr>
                      <w:rFonts w:hint="eastAsia"/>
                      <w:kern w:val="0"/>
                      <w:sz w:val="21"/>
                      <w:szCs w:val="21"/>
                      <w:highlight w:val="none"/>
                    </w:rPr>
                    <w:t>100以下</w:t>
                  </w:r>
                </w:p>
              </w:tc>
              <w:tc>
                <w:tcPr>
                  <w:tcW w:w="2569" w:type="dxa"/>
                  <w:vAlign w:val="center"/>
                </w:tcPr>
                <w:p w14:paraId="336065F6">
                  <w:pPr>
                    <w:adjustRightInd w:val="0"/>
                    <w:snapToGrid w:val="0"/>
                    <w:spacing w:line="288" w:lineRule="auto"/>
                    <w:jc w:val="center"/>
                    <w:rPr>
                      <w:kern w:val="0"/>
                      <w:sz w:val="21"/>
                      <w:szCs w:val="21"/>
                      <w:highlight w:val="none"/>
                    </w:rPr>
                  </w:pPr>
                  <w:r>
                    <w:rPr>
                      <w:kern w:val="0"/>
                      <w:sz w:val="21"/>
                      <w:szCs w:val="21"/>
                      <w:highlight w:val="none"/>
                    </w:rPr>
                    <w:t>0.7%</w:t>
                  </w:r>
                </w:p>
                <w:p w14:paraId="14346B82">
                  <w:pPr>
                    <w:adjustRightInd w:val="0"/>
                    <w:snapToGrid w:val="0"/>
                    <w:spacing w:line="288" w:lineRule="auto"/>
                    <w:jc w:val="center"/>
                    <w:rPr>
                      <w:kern w:val="0"/>
                      <w:sz w:val="21"/>
                      <w:szCs w:val="21"/>
                      <w:highlight w:val="none"/>
                    </w:rPr>
                  </w:pPr>
                  <w:r>
                    <w:rPr>
                      <w:rFonts w:hint="eastAsia"/>
                      <w:kern w:val="0"/>
                      <w:sz w:val="21"/>
                      <w:szCs w:val="21"/>
                      <w:highlight w:val="none"/>
                    </w:rPr>
                    <w:t>（不足</w:t>
                  </w:r>
                  <w:r>
                    <w:rPr>
                      <w:kern w:val="0"/>
                      <w:sz w:val="21"/>
                      <w:szCs w:val="21"/>
                      <w:highlight w:val="none"/>
                    </w:rPr>
                    <w:t>3000元按3000元计）</w:t>
                  </w:r>
                </w:p>
              </w:tc>
            </w:tr>
            <w:tr w14:paraId="71CFB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86" w:type="dxa"/>
                  <w:vAlign w:val="center"/>
                </w:tcPr>
                <w:p w14:paraId="208EB2AE">
                  <w:pPr>
                    <w:adjustRightInd w:val="0"/>
                    <w:snapToGrid w:val="0"/>
                    <w:spacing w:line="288" w:lineRule="auto"/>
                    <w:jc w:val="center"/>
                    <w:rPr>
                      <w:kern w:val="0"/>
                      <w:sz w:val="21"/>
                      <w:szCs w:val="21"/>
                      <w:highlight w:val="none"/>
                    </w:rPr>
                  </w:pPr>
                  <w:r>
                    <w:rPr>
                      <w:kern w:val="0"/>
                      <w:sz w:val="21"/>
                      <w:szCs w:val="21"/>
                      <w:highlight w:val="none"/>
                    </w:rPr>
                    <w:t>100-500</w:t>
                  </w:r>
                </w:p>
              </w:tc>
              <w:tc>
                <w:tcPr>
                  <w:tcW w:w="2569" w:type="dxa"/>
                  <w:vAlign w:val="center"/>
                </w:tcPr>
                <w:p w14:paraId="1D69758F">
                  <w:pPr>
                    <w:adjustRightInd w:val="0"/>
                    <w:snapToGrid w:val="0"/>
                    <w:spacing w:line="288" w:lineRule="auto"/>
                    <w:jc w:val="center"/>
                    <w:rPr>
                      <w:kern w:val="0"/>
                      <w:sz w:val="21"/>
                      <w:szCs w:val="21"/>
                      <w:highlight w:val="none"/>
                    </w:rPr>
                  </w:pPr>
                  <w:r>
                    <w:rPr>
                      <w:kern w:val="0"/>
                      <w:sz w:val="21"/>
                      <w:szCs w:val="21"/>
                      <w:highlight w:val="none"/>
                    </w:rPr>
                    <w:t>0.49%</w:t>
                  </w:r>
                </w:p>
              </w:tc>
            </w:tr>
            <w:bookmarkEnd w:id="33"/>
          </w:tbl>
          <w:p w14:paraId="4900D9F4">
            <w:pPr>
              <w:adjustRightInd w:val="0"/>
              <w:snapToGrid w:val="0"/>
              <w:spacing w:line="288" w:lineRule="auto"/>
              <w:rPr>
                <w:sz w:val="21"/>
                <w:szCs w:val="21"/>
                <w:highlight w:val="none"/>
              </w:rPr>
            </w:pPr>
          </w:p>
        </w:tc>
      </w:tr>
      <w:tr w14:paraId="71995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2C9C8D1D">
            <w:pPr>
              <w:adjustRightInd w:val="0"/>
              <w:snapToGrid w:val="0"/>
              <w:spacing w:line="288" w:lineRule="auto"/>
              <w:jc w:val="center"/>
              <w:rPr>
                <w:sz w:val="21"/>
                <w:szCs w:val="21"/>
                <w:highlight w:val="none"/>
              </w:rPr>
            </w:pPr>
            <w:r>
              <w:rPr>
                <w:sz w:val="21"/>
                <w:szCs w:val="21"/>
                <w:highlight w:val="none"/>
              </w:rPr>
              <w:t>（</w:t>
            </w:r>
            <w:r>
              <w:rPr>
                <w:rFonts w:hint="eastAsia"/>
                <w:sz w:val="21"/>
                <w:szCs w:val="21"/>
                <w:highlight w:val="none"/>
              </w:rPr>
              <w:t>十四</w:t>
            </w:r>
            <w:r>
              <w:rPr>
                <w:sz w:val="21"/>
                <w:szCs w:val="21"/>
                <w:highlight w:val="none"/>
              </w:rPr>
              <w:t>）</w:t>
            </w:r>
          </w:p>
        </w:tc>
        <w:tc>
          <w:tcPr>
            <w:tcW w:w="2410" w:type="dxa"/>
            <w:vAlign w:val="center"/>
          </w:tcPr>
          <w:p w14:paraId="0CDE58A5">
            <w:pPr>
              <w:adjustRightInd w:val="0"/>
              <w:snapToGrid w:val="0"/>
              <w:spacing w:line="288" w:lineRule="auto"/>
              <w:jc w:val="center"/>
              <w:rPr>
                <w:sz w:val="21"/>
                <w:szCs w:val="21"/>
                <w:highlight w:val="none"/>
              </w:rPr>
            </w:pPr>
            <w:r>
              <w:rPr>
                <w:rFonts w:hint="eastAsia" w:cs="Times New Roman"/>
                <w:spacing w:val="-6"/>
                <w:sz w:val="21"/>
                <w:szCs w:val="21"/>
                <w:highlight w:val="none"/>
              </w:rPr>
              <w:t>磋商保证金（元）</w:t>
            </w:r>
          </w:p>
        </w:tc>
        <w:tc>
          <w:tcPr>
            <w:tcW w:w="5954" w:type="dxa"/>
            <w:vAlign w:val="center"/>
          </w:tcPr>
          <w:p w14:paraId="48FB73E1">
            <w:pPr>
              <w:adjustRightInd w:val="0"/>
              <w:snapToGrid w:val="0"/>
              <w:spacing w:line="288" w:lineRule="auto"/>
              <w:rPr>
                <w:sz w:val="21"/>
                <w:szCs w:val="21"/>
                <w:highlight w:val="none"/>
              </w:rPr>
            </w:pPr>
            <w:r>
              <w:rPr>
                <w:rFonts w:hint="eastAsia" w:cs="Times New Roman"/>
                <w:spacing w:val="-6"/>
                <w:sz w:val="21"/>
                <w:szCs w:val="21"/>
                <w:highlight w:val="none"/>
              </w:rPr>
              <w:t>无。</w:t>
            </w:r>
          </w:p>
        </w:tc>
      </w:tr>
      <w:tr w14:paraId="17F2B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220201C9">
            <w:pPr>
              <w:adjustRightInd w:val="0"/>
              <w:snapToGrid w:val="0"/>
              <w:spacing w:line="288" w:lineRule="auto"/>
              <w:jc w:val="center"/>
              <w:rPr>
                <w:sz w:val="21"/>
                <w:szCs w:val="21"/>
                <w:highlight w:val="none"/>
              </w:rPr>
            </w:pPr>
            <w:r>
              <w:rPr>
                <w:rFonts w:hint="eastAsia"/>
                <w:sz w:val="21"/>
                <w:szCs w:val="21"/>
                <w:highlight w:val="none"/>
              </w:rPr>
              <w:t>（十五）</w:t>
            </w:r>
          </w:p>
        </w:tc>
        <w:tc>
          <w:tcPr>
            <w:tcW w:w="2410" w:type="dxa"/>
            <w:vAlign w:val="center"/>
          </w:tcPr>
          <w:p w14:paraId="420B45F9">
            <w:pPr>
              <w:adjustRightInd w:val="0"/>
              <w:snapToGrid w:val="0"/>
              <w:spacing w:line="288" w:lineRule="auto"/>
              <w:jc w:val="center"/>
              <w:rPr>
                <w:sz w:val="21"/>
                <w:szCs w:val="21"/>
                <w:highlight w:val="none"/>
              </w:rPr>
            </w:pPr>
            <w:r>
              <w:rPr>
                <w:rFonts w:hint="eastAsia"/>
                <w:sz w:val="21"/>
                <w:szCs w:val="21"/>
                <w:highlight w:val="none"/>
              </w:rPr>
              <w:t>联合体响应</w:t>
            </w:r>
          </w:p>
        </w:tc>
        <w:tc>
          <w:tcPr>
            <w:tcW w:w="5954" w:type="dxa"/>
            <w:vAlign w:val="center"/>
          </w:tcPr>
          <w:p w14:paraId="45884603">
            <w:pPr>
              <w:adjustRightInd w:val="0"/>
              <w:snapToGrid w:val="0"/>
              <w:spacing w:line="288" w:lineRule="auto"/>
              <w:rPr>
                <w:sz w:val="21"/>
                <w:szCs w:val="21"/>
                <w:highlight w:val="none"/>
              </w:rPr>
            </w:pPr>
            <w:r>
              <w:rPr>
                <w:rFonts w:hint="eastAsia"/>
                <w:sz w:val="21"/>
                <w:szCs w:val="21"/>
                <w:highlight w:val="none"/>
              </w:rPr>
              <w:t>本项目（是）接受联合体响应。</w:t>
            </w:r>
          </w:p>
        </w:tc>
      </w:tr>
      <w:tr w14:paraId="582B1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49B5DE9">
            <w:pPr>
              <w:adjustRightInd w:val="0"/>
              <w:snapToGrid w:val="0"/>
              <w:spacing w:line="288" w:lineRule="auto"/>
              <w:jc w:val="center"/>
              <w:rPr>
                <w:sz w:val="21"/>
                <w:szCs w:val="21"/>
                <w:highlight w:val="none"/>
              </w:rPr>
            </w:pPr>
            <w:r>
              <w:rPr>
                <w:rFonts w:hint="eastAsia"/>
                <w:sz w:val="21"/>
                <w:szCs w:val="21"/>
                <w:highlight w:val="none"/>
              </w:rPr>
              <w:t>（十六）</w:t>
            </w:r>
          </w:p>
        </w:tc>
        <w:tc>
          <w:tcPr>
            <w:tcW w:w="2410" w:type="dxa"/>
            <w:vAlign w:val="center"/>
          </w:tcPr>
          <w:p w14:paraId="676E9114">
            <w:pPr>
              <w:adjustRightInd w:val="0"/>
              <w:snapToGrid w:val="0"/>
              <w:spacing w:line="288" w:lineRule="auto"/>
              <w:jc w:val="center"/>
              <w:rPr>
                <w:sz w:val="21"/>
                <w:szCs w:val="21"/>
                <w:highlight w:val="none"/>
              </w:rPr>
            </w:pPr>
            <w:r>
              <w:rPr>
                <w:rFonts w:hint="eastAsia"/>
                <w:sz w:val="21"/>
                <w:szCs w:val="21"/>
                <w:highlight w:val="none"/>
              </w:rPr>
              <w:t>转包与分包</w:t>
            </w:r>
          </w:p>
        </w:tc>
        <w:tc>
          <w:tcPr>
            <w:tcW w:w="5954" w:type="dxa"/>
            <w:vAlign w:val="center"/>
          </w:tcPr>
          <w:p w14:paraId="17C09984">
            <w:pPr>
              <w:adjustRightInd w:val="0"/>
              <w:snapToGrid w:val="0"/>
              <w:spacing w:line="288" w:lineRule="auto"/>
              <w:rPr>
                <w:sz w:val="21"/>
                <w:szCs w:val="21"/>
                <w:highlight w:val="none"/>
              </w:rPr>
            </w:pPr>
            <w:r>
              <w:rPr>
                <w:rFonts w:hint="eastAsia"/>
                <w:sz w:val="21"/>
                <w:szCs w:val="21"/>
                <w:highlight w:val="none"/>
              </w:rPr>
              <w:t>1.本项目不允许转包；</w:t>
            </w:r>
          </w:p>
          <w:p w14:paraId="52CE09FC">
            <w:pPr>
              <w:adjustRightInd w:val="0"/>
              <w:snapToGrid w:val="0"/>
              <w:spacing w:line="288" w:lineRule="auto"/>
              <w:rPr>
                <w:sz w:val="21"/>
                <w:szCs w:val="21"/>
                <w:highlight w:val="none"/>
              </w:rPr>
            </w:pPr>
            <w:r>
              <w:rPr>
                <w:sz w:val="21"/>
                <w:szCs w:val="21"/>
                <w:highlight w:val="none"/>
              </w:rPr>
              <w:t>2.</w:t>
            </w:r>
            <w:r>
              <w:rPr>
                <w:rFonts w:hint="eastAsia"/>
                <w:sz w:val="21"/>
                <w:szCs w:val="21"/>
                <w:highlight w:val="none"/>
              </w:rPr>
              <w:t>本项目</w:t>
            </w:r>
            <w:r>
              <w:rPr>
                <w:rFonts w:hint="eastAsia"/>
                <w:b/>
                <w:bCs/>
                <w:sz w:val="21"/>
                <w:szCs w:val="21"/>
                <w:highlight w:val="none"/>
                <w:u w:val="single"/>
              </w:rPr>
              <w:t>允许</w:t>
            </w:r>
            <w:r>
              <w:rPr>
                <w:rFonts w:hint="eastAsia"/>
                <w:sz w:val="21"/>
                <w:szCs w:val="21"/>
                <w:highlight w:val="none"/>
              </w:rPr>
              <w:t>分包，</w:t>
            </w:r>
            <w:r>
              <w:rPr>
                <w:sz w:val="21"/>
                <w:szCs w:val="21"/>
                <w:highlight w:val="none"/>
              </w:rPr>
              <w:t>可以分包履行的（非主体、非关键性的工作）具体内容、金额或者比例：</w:t>
            </w:r>
            <w:r>
              <w:rPr>
                <w:rFonts w:hint="eastAsia"/>
                <w:sz w:val="21"/>
                <w:szCs w:val="21"/>
                <w:highlight w:val="none"/>
                <w:u w:val="single"/>
              </w:rPr>
              <w:t xml:space="preserve">  余方外运</w:t>
            </w:r>
            <w:r>
              <w:rPr>
                <w:sz w:val="21"/>
                <w:szCs w:val="21"/>
                <w:highlight w:val="none"/>
                <w:u w:val="single"/>
              </w:rPr>
              <w:t xml:space="preserve">        。</w:t>
            </w:r>
          </w:p>
          <w:p w14:paraId="4561E8C1">
            <w:pPr>
              <w:adjustRightInd w:val="0"/>
              <w:snapToGrid w:val="0"/>
              <w:spacing w:line="288" w:lineRule="auto"/>
              <w:jc w:val="left"/>
              <w:rPr>
                <w:sz w:val="21"/>
                <w:szCs w:val="21"/>
                <w:highlight w:val="none"/>
              </w:rPr>
            </w:pPr>
            <w:r>
              <w:rPr>
                <w:rFonts w:hint="eastAsia"/>
                <w:sz w:val="21"/>
                <w:szCs w:val="21"/>
                <w:highlight w:val="none"/>
              </w:rPr>
              <w:t>说明：供应商根据磋商文件的规定和采购项目的实际情况，拟在成交后将成交项目的非主体、非关键性工作分包的，应当在响应文件中载明分包承担主体，分包承担主体应当具备相应资质条件且不得再次分包。</w:t>
            </w:r>
          </w:p>
        </w:tc>
      </w:tr>
      <w:tr w14:paraId="6FE0F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8108C50">
            <w:pPr>
              <w:adjustRightInd w:val="0"/>
              <w:snapToGrid w:val="0"/>
              <w:spacing w:line="288" w:lineRule="auto"/>
              <w:jc w:val="center"/>
              <w:rPr>
                <w:sz w:val="21"/>
                <w:szCs w:val="21"/>
                <w:highlight w:val="none"/>
              </w:rPr>
            </w:pPr>
            <w:r>
              <w:rPr>
                <w:rFonts w:hint="eastAsia"/>
                <w:sz w:val="21"/>
                <w:szCs w:val="21"/>
                <w:highlight w:val="none"/>
              </w:rPr>
              <w:t>（十七）</w:t>
            </w:r>
          </w:p>
        </w:tc>
        <w:tc>
          <w:tcPr>
            <w:tcW w:w="2410" w:type="dxa"/>
            <w:vAlign w:val="center"/>
          </w:tcPr>
          <w:p w14:paraId="7DE3A0C4">
            <w:pPr>
              <w:adjustRightInd w:val="0"/>
              <w:snapToGrid w:val="0"/>
              <w:spacing w:line="288" w:lineRule="auto"/>
              <w:jc w:val="center"/>
              <w:rPr>
                <w:sz w:val="21"/>
                <w:szCs w:val="21"/>
                <w:highlight w:val="none"/>
              </w:rPr>
            </w:pPr>
            <w:r>
              <w:rPr>
                <w:rFonts w:hint="eastAsia"/>
                <w:b/>
                <w:bCs/>
                <w:sz w:val="21"/>
                <w:szCs w:val="21"/>
                <w:highlight w:val="none"/>
              </w:rPr>
              <w:t>信用记录</w:t>
            </w:r>
          </w:p>
        </w:tc>
        <w:tc>
          <w:tcPr>
            <w:tcW w:w="5954" w:type="dxa"/>
            <w:vAlign w:val="center"/>
          </w:tcPr>
          <w:p w14:paraId="209B78E4">
            <w:pPr>
              <w:adjustRightInd w:val="0"/>
              <w:snapToGrid w:val="0"/>
              <w:spacing w:line="288" w:lineRule="auto"/>
              <w:rPr>
                <w:bCs/>
                <w:sz w:val="21"/>
                <w:szCs w:val="21"/>
                <w:highlight w:val="none"/>
              </w:rPr>
            </w:pPr>
            <w:bookmarkStart w:id="34" w:name="_Hlk71808489"/>
            <w:r>
              <w:rPr>
                <w:rFonts w:hint="eastAsia"/>
                <w:bCs/>
                <w:sz w:val="21"/>
                <w:szCs w:val="21"/>
                <w:highlight w:val="none"/>
              </w:rPr>
              <w:t>根据财库[2016]125号《关于在政府采购活动中查询及使用信用记录有关问题的通知》要求，采购代理机构会对供应商信用记录进行查询并甄别。信用</w:t>
            </w:r>
            <w:r>
              <w:rPr>
                <w:rFonts w:hint="eastAsia"/>
                <w:sz w:val="21"/>
                <w:szCs w:val="21"/>
                <w:highlight w:val="none"/>
              </w:rPr>
              <w:t>信息查询的截止时点：响应截止时间；</w:t>
            </w:r>
          </w:p>
          <w:p w14:paraId="077975B5">
            <w:pPr>
              <w:adjustRightInd w:val="0"/>
              <w:snapToGrid w:val="0"/>
              <w:spacing w:line="288" w:lineRule="auto"/>
              <w:rPr>
                <w:sz w:val="21"/>
                <w:szCs w:val="21"/>
                <w:highlight w:val="none"/>
              </w:rPr>
            </w:pPr>
            <w:r>
              <w:rPr>
                <w:rFonts w:hint="eastAsia"/>
                <w:sz w:val="21"/>
                <w:szCs w:val="21"/>
                <w:highlight w:val="none"/>
              </w:rPr>
              <w:t>（</w:t>
            </w:r>
            <w:r>
              <w:rPr>
                <w:sz w:val="21"/>
                <w:szCs w:val="21"/>
                <w:highlight w:val="none"/>
              </w:rPr>
              <w:t>1</w:t>
            </w:r>
            <w:r>
              <w:rPr>
                <w:rFonts w:hint="eastAsia"/>
                <w:sz w:val="21"/>
                <w:szCs w:val="21"/>
                <w:highlight w:val="none"/>
              </w:rPr>
              <w:t>）查询渠道：“信用中国”（www.creditchina.gov.cn）、“中国政府采购网”（www.ccgp.gov.cn）；</w:t>
            </w:r>
          </w:p>
          <w:p w14:paraId="59A5610B">
            <w:pPr>
              <w:adjustRightInd w:val="0"/>
              <w:snapToGrid w:val="0"/>
              <w:spacing w:line="288" w:lineRule="auto"/>
              <w:rPr>
                <w:sz w:val="21"/>
                <w:szCs w:val="21"/>
                <w:highlight w:val="none"/>
              </w:rPr>
            </w:pPr>
            <w:r>
              <w:rPr>
                <w:rFonts w:hint="eastAsia"/>
                <w:sz w:val="21"/>
                <w:szCs w:val="21"/>
                <w:highlight w:val="none"/>
              </w:rPr>
              <w:t>（</w:t>
            </w:r>
            <w:r>
              <w:rPr>
                <w:sz w:val="21"/>
                <w:szCs w:val="21"/>
                <w:highlight w:val="none"/>
              </w:rPr>
              <w:t>2</w:t>
            </w:r>
            <w:r>
              <w:rPr>
                <w:rFonts w:hint="eastAsia"/>
                <w:sz w:val="21"/>
                <w:szCs w:val="21"/>
                <w:highlight w:val="none"/>
              </w:rPr>
              <w:t>）信用信息查询记录和证据留存具体方式：采购代理机构经办人和监督人员将查询网页打印、签名与其他采购文件一并保存；</w:t>
            </w:r>
          </w:p>
          <w:p w14:paraId="3888B6FE">
            <w:pPr>
              <w:adjustRightInd w:val="0"/>
              <w:snapToGrid w:val="0"/>
              <w:spacing w:line="288" w:lineRule="auto"/>
              <w:rPr>
                <w:sz w:val="21"/>
                <w:szCs w:val="21"/>
                <w:highlight w:val="none"/>
              </w:rPr>
            </w:pPr>
            <w:r>
              <w:rPr>
                <w:rFonts w:hint="eastAsia"/>
                <w:sz w:val="21"/>
                <w:szCs w:val="21"/>
                <w:highlight w:val="none"/>
              </w:rPr>
              <w:t>（</w:t>
            </w:r>
            <w:r>
              <w:rPr>
                <w:sz w:val="21"/>
                <w:szCs w:val="21"/>
                <w:highlight w:val="none"/>
              </w:rPr>
              <w:t>3</w:t>
            </w:r>
            <w:r>
              <w:rPr>
                <w:rFonts w:hint="eastAsia"/>
                <w:bCs/>
                <w:sz w:val="21"/>
                <w:szCs w:val="21"/>
                <w:highlight w:val="none"/>
              </w:rPr>
              <w:t>）信用信息的使用规则：供应商被列入失信被执行人、重大税收违法案件当事人名单、政府采购严重违法失信行为记录名单的，拒绝其参与政府采购活动。</w:t>
            </w:r>
            <w:bookmarkEnd w:id="34"/>
          </w:p>
        </w:tc>
      </w:tr>
      <w:tr w14:paraId="07A7E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24D08B6D">
            <w:pPr>
              <w:adjustRightInd w:val="0"/>
              <w:snapToGrid w:val="0"/>
              <w:spacing w:line="288" w:lineRule="auto"/>
              <w:jc w:val="center"/>
              <w:rPr>
                <w:sz w:val="21"/>
                <w:szCs w:val="21"/>
                <w:highlight w:val="none"/>
              </w:rPr>
            </w:pPr>
            <w:r>
              <w:rPr>
                <w:rFonts w:hint="eastAsia"/>
                <w:sz w:val="21"/>
                <w:szCs w:val="21"/>
                <w:highlight w:val="none"/>
              </w:rPr>
              <w:t>（十八）</w:t>
            </w:r>
          </w:p>
        </w:tc>
        <w:tc>
          <w:tcPr>
            <w:tcW w:w="2410" w:type="dxa"/>
            <w:vAlign w:val="center"/>
          </w:tcPr>
          <w:p w14:paraId="6F81AC09">
            <w:pPr>
              <w:adjustRightInd w:val="0"/>
              <w:snapToGrid w:val="0"/>
              <w:spacing w:line="288" w:lineRule="auto"/>
              <w:jc w:val="center"/>
              <w:rPr>
                <w:sz w:val="21"/>
                <w:szCs w:val="21"/>
                <w:highlight w:val="none"/>
              </w:rPr>
            </w:pPr>
            <w:r>
              <w:rPr>
                <w:rFonts w:hint="eastAsia"/>
                <w:sz w:val="21"/>
                <w:szCs w:val="21"/>
                <w:highlight w:val="none"/>
              </w:rPr>
              <w:t>资格审查要求的资格证明材料</w:t>
            </w:r>
          </w:p>
        </w:tc>
        <w:tc>
          <w:tcPr>
            <w:tcW w:w="5954" w:type="dxa"/>
            <w:vAlign w:val="center"/>
          </w:tcPr>
          <w:p w14:paraId="5CB1D47F">
            <w:pPr>
              <w:adjustRightInd w:val="0"/>
              <w:snapToGrid w:val="0"/>
              <w:spacing w:line="288" w:lineRule="auto"/>
              <w:rPr>
                <w:b/>
                <w:bCs/>
                <w:sz w:val="21"/>
                <w:szCs w:val="21"/>
                <w:highlight w:val="none"/>
              </w:rPr>
            </w:pPr>
            <w:r>
              <w:rPr>
                <w:rFonts w:hint="eastAsia"/>
                <w:b/>
                <w:bCs/>
                <w:sz w:val="21"/>
                <w:szCs w:val="21"/>
                <w:highlight w:val="none"/>
              </w:rPr>
              <w:t>资格审查要求的资格证明材料(均需加盖公章)：</w:t>
            </w:r>
          </w:p>
          <w:p w14:paraId="2D31F676">
            <w:pPr>
              <w:adjustRightInd w:val="0"/>
              <w:snapToGrid w:val="0"/>
              <w:spacing w:line="288" w:lineRule="auto"/>
              <w:rPr>
                <w:sz w:val="21"/>
                <w:szCs w:val="21"/>
                <w:highlight w:val="none"/>
              </w:rPr>
            </w:pPr>
            <w:r>
              <w:rPr>
                <w:rFonts w:hint="eastAsia"/>
                <w:sz w:val="21"/>
                <w:szCs w:val="21"/>
                <w:highlight w:val="none"/>
              </w:rPr>
              <w:t>（1）有效的法人或者其他组织的营业执照等证明文件，自然人的身份证明</w:t>
            </w:r>
          </w:p>
          <w:p w14:paraId="70C8DD0A">
            <w:pPr>
              <w:adjustRightInd w:val="0"/>
              <w:snapToGrid w:val="0"/>
              <w:spacing w:line="288" w:lineRule="auto"/>
              <w:rPr>
                <w:rFonts w:cs="Times New Roman"/>
                <w:sz w:val="21"/>
                <w:szCs w:val="21"/>
                <w:highlight w:val="none"/>
              </w:rPr>
            </w:pPr>
            <w:r>
              <w:rPr>
                <w:rFonts w:hint="eastAsia" w:cs="Times New Roman"/>
                <w:sz w:val="21"/>
                <w:szCs w:val="21"/>
                <w:highlight w:val="none"/>
              </w:rPr>
              <w:t>（</w:t>
            </w:r>
            <w:r>
              <w:rPr>
                <w:rFonts w:cs="Times New Roman"/>
                <w:sz w:val="21"/>
                <w:szCs w:val="21"/>
                <w:highlight w:val="none"/>
              </w:rPr>
              <w:t>2）</w:t>
            </w:r>
            <w:r>
              <w:rPr>
                <w:rFonts w:hint="eastAsia" w:cs="Times New Roman"/>
                <w:sz w:val="21"/>
                <w:szCs w:val="21"/>
                <w:highlight w:val="none"/>
              </w:rPr>
              <w:t>符合参加政府采购活动应当具备的一般条件的承诺函</w:t>
            </w:r>
          </w:p>
          <w:p w14:paraId="64D4B01B">
            <w:pPr>
              <w:adjustRightInd w:val="0"/>
              <w:snapToGrid w:val="0"/>
              <w:spacing w:line="288" w:lineRule="auto"/>
              <w:rPr>
                <w:rFonts w:cs="Times New Roman"/>
                <w:sz w:val="21"/>
                <w:szCs w:val="21"/>
                <w:highlight w:val="none"/>
              </w:rPr>
            </w:pPr>
            <w:r>
              <w:rPr>
                <w:rFonts w:hint="eastAsia" w:cs="Times New Roman"/>
                <w:sz w:val="21"/>
                <w:szCs w:val="21"/>
                <w:highlight w:val="none"/>
              </w:rPr>
              <w:t>（</w:t>
            </w:r>
            <w:r>
              <w:rPr>
                <w:rFonts w:cs="Times New Roman"/>
                <w:sz w:val="21"/>
                <w:szCs w:val="21"/>
                <w:highlight w:val="none"/>
              </w:rPr>
              <w:t>3）落实政府采购政策需满足的资格要求：</w:t>
            </w:r>
          </w:p>
          <w:p w14:paraId="4E74F62A">
            <w:pPr>
              <w:adjustRightInd w:val="0"/>
              <w:snapToGrid w:val="0"/>
              <w:spacing w:line="288" w:lineRule="auto"/>
              <w:ind w:left="480" w:leftChars="200"/>
              <w:rPr>
                <w:rFonts w:cs="Times New Roman"/>
                <w:sz w:val="21"/>
                <w:szCs w:val="21"/>
                <w:highlight w:val="none"/>
              </w:rPr>
            </w:pPr>
            <w:r>
              <w:rPr>
                <w:rFonts w:hint="eastAsia" w:cs="Times New Roman"/>
                <w:sz w:val="21"/>
                <w:szCs w:val="21"/>
                <w:highlight w:val="none"/>
              </w:rPr>
              <w:t>中小企业声明函（若属于中小企业）</w:t>
            </w:r>
          </w:p>
          <w:p w14:paraId="78149AD9">
            <w:pPr>
              <w:adjustRightInd w:val="0"/>
              <w:snapToGrid w:val="0"/>
              <w:spacing w:line="288" w:lineRule="auto"/>
              <w:ind w:left="480" w:leftChars="200"/>
              <w:rPr>
                <w:rFonts w:cs="Times New Roman"/>
                <w:sz w:val="21"/>
                <w:szCs w:val="21"/>
                <w:highlight w:val="none"/>
              </w:rPr>
            </w:pPr>
            <w:r>
              <w:rPr>
                <w:rFonts w:hint="eastAsia" w:cs="Times New Roman"/>
                <w:sz w:val="21"/>
                <w:szCs w:val="21"/>
                <w:highlight w:val="none"/>
              </w:rPr>
              <w:t>属于监狱企业的证明文件（若属于监狱企业）</w:t>
            </w:r>
          </w:p>
          <w:p w14:paraId="49855EC2">
            <w:pPr>
              <w:adjustRightInd w:val="0"/>
              <w:snapToGrid w:val="0"/>
              <w:spacing w:line="288" w:lineRule="auto"/>
              <w:ind w:left="480" w:leftChars="200"/>
              <w:rPr>
                <w:rFonts w:cs="Times New Roman"/>
                <w:sz w:val="21"/>
                <w:szCs w:val="21"/>
                <w:highlight w:val="none"/>
              </w:rPr>
            </w:pPr>
            <w:r>
              <w:rPr>
                <w:rFonts w:hint="eastAsia" w:cs="Times New Roman"/>
                <w:sz w:val="21"/>
                <w:szCs w:val="21"/>
                <w:highlight w:val="none"/>
              </w:rPr>
              <w:t>残疾人福利性单位声明函（若属于残疾人福利性单位）</w:t>
            </w:r>
          </w:p>
          <w:p w14:paraId="1C910FEC">
            <w:pPr>
              <w:adjustRightInd w:val="0"/>
              <w:snapToGrid w:val="0"/>
              <w:spacing w:line="288" w:lineRule="auto"/>
              <w:rPr>
                <w:rFonts w:cs="Times New Roman"/>
                <w:sz w:val="21"/>
                <w:szCs w:val="21"/>
                <w:highlight w:val="none"/>
              </w:rPr>
            </w:pPr>
            <w:r>
              <w:rPr>
                <w:rFonts w:hint="eastAsia" w:cs="Times New Roman"/>
                <w:sz w:val="21"/>
                <w:szCs w:val="21"/>
                <w:highlight w:val="none"/>
              </w:rPr>
              <w:t>（</w:t>
            </w:r>
            <w:r>
              <w:rPr>
                <w:rFonts w:cs="Times New Roman"/>
                <w:sz w:val="21"/>
                <w:szCs w:val="21"/>
                <w:highlight w:val="none"/>
              </w:rPr>
              <w:t>4）</w:t>
            </w:r>
            <w:r>
              <w:rPr>
                <w:rFonts w:hint="eastAsia" w:cs="Times New Roman"/>
                <w:sz w:val="21"/>
                <w:szCs w:val="21"/>
                <w:highlight w:val="none"/>
              </w:rPr>
              <w:t>本项目的特定资格要求</w:t>
            </w:r>
            <w:r>
              <w:rPr>
                <w:rFonts w:cs="Times New Roman"/>
                <w:sz w:val="21"/>
                <w:szCs w:val="21"/>
                <w:highlight w:val="none"/>
              </w:rPr>
              <w:t>证明材料：</w:t>
            </w:r>
          </w:p>
          <w:p w14:paraId="041C833D">
            <w:pPr>
              <w:adjustRightInd w:val="0"/>
              <w:snapToGrid w:val="0"/>
              <w:spacing w:line="288" w:lineRule="auto"/>
              <w:ind w:left="480" w:leftChars="200"/>
              <w:rPr>
                <w:rFonts w:cs="Times New Roman"/>
                <w:sz w:val="21"/>
                <w:szCs w:val="21"/>
                <w:highlight w:val="none"/>
              </w:rPr>
            </w:pPr>
            <w:r>
              <w:rPr>
                <w:rFonts w:cs="Times New Roman"/>
                <w:sz w:val="21"/>
                <w:szCs w:val="21"/>
                <w:highlight w:val="none"/>
              </w:rPr>
              <w:t>1）</w:t>
            </w:r>
            <w:r>
              <w:rPr>
                <w:rFonts w:hint="eastAsia" w:cs="Times New Roman"/>
                <w:sz w:val="21"/>
                <w:szCs w:val="21"/>
                <w:highlight w:val="none"/>
              </w:rPr>
              <w:t>具有建筑工程施工总承包三级及以上资质</w:t>
            </w:r>
            <w:r>
              <w:rPr>
                <w:rFonts w:cs="Times New Roman"/>
                <w:sz w:val="21"/>
                <w:szCs w:val="21"/>
                <w:highlight w:val="none"/>
              </w:rPr>
              <w:t>；</w:t>
            </w:r>
          </w:p>
          <w:p w14:paraId="54E37EF8">
            <w:pPr>
              <w:adjustRightInd w:val="0"/>
              <w:snapToGrid w:val="0"/>
              <w:spacing w:line="288" w:lineRule="auto"/>
              <w:ind w:left="480" w:leftChars="200"/>
              <w:rPr>
                <w:rFonts w:cs="Times New Roman"/>
                <w:sz w:val="21"/>
                <w:szCs w:val="21"/>
                <w:highlight w:val="none"/>
              </w:rPr>
            </w:pPr>
            <w:r>
              <w:rPr>
                <w:rFonts w:cs="Times New Roman"/>
                <w:sz w:val="21"/>
                <w:szCs w:val="21"/>
                <w:highlight w:val="none"/>
              </w:rPr>
              <w:t>2）供应商具有有效期内的企业安全生产许可证。</w:t>
            </w:r>
          </w:p>
          <w:p w14:paraId="368AD8B2">
            <w:pPr>
              <w:adjustRightInd w:val="0"/>
              <w:snapToGrid w:val="0"/>
              <w:spacing w:line="288" w:lineRule="auto"/>
              <w:rPr>
                <w:b/>
                <w:bCs/>
                <w:sz w:val="21"/>
                <w:szCs w:val="21"/>
                <w:highlight w:val="none"/>
              </w:rPr>
            </w:pPr>
            <w:r>
              <w:rPr>
                <w:rFonts w:hint="eastAsia" w:cs="Times New Roman"/>
                <w:sz w:val="21"/>
                <w:szCs w:val="21"/>
                <w:highlight w:val="none"/>
              </w:rPr>
              <w:t>（5）联合协议（以联合体形式响应的，提供联合协议，格式详见附件2）</w:t>
            </w:r>
          </w:p>
        </w:tc>
      </w:tr>
      <w:tr w14:paraId="5795E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06308FC">
            <w:pPr>
              <w:adjustRightInd w:val="0"/>
              <w:snapToGrid w:val="0"/>
              <w:spacing w:line="288" w:lineRule="auto"/>
              <w:jc w:val="center"/>
              <w:rPr>
                <w:sz w:val="21"/>
                <w:szCs w:val="21"/>
                <w:highlight w:val="none"/>
              </w:rPr>
            </w:pPr>
            <w:r>
              <w:rPr>
                <w:rFonts w:hint="eastAsia"/>
                <w:sz w:val="21"/>
                <w:szCs w:val="21"/>
                <w:highlight w:val="none"/>
              </w:rPr>
              <w:t>（十九）</w:t>
            </w:r>
          </w:p>
        </w:tc>
        <w:tc>
          <w:tcPr>
            <w:tcW w:w="2410" w:type="dxa"/>
            <w:vAlign w:val="center"/>
          </w:tcPr>
          <w:p w14:paraId="025C9D38">
            <w:pPr>
              <w:adjustRightInd w:val="0"/>
              <w:snapToGrid w:val="0"/>
              <w:spacing w:line="288" w:lineRule="auto"/>
              <w:jc w:val="center"/>
              <w:rPr>
                <w:sz w:val="21"/>
                <w:szCs w:val="21"/>
                <w:highlight w:val="none"/>
              </w:rPr>
            </w:pPr>
            <w:r>
              <w:rPr>
                <w:rFonts w:hint="eastAsia"/>
                <w:b/>
                <w:bCs/>
                <w:sz w:val="21"/>
                <w:szCs w:val="21"/>
                <w:highlight w:val="none"/>
              </w:rPr>
              <w:t>响应文件份数</w:t>
            </w:r>
          </w:p>
        </w:tc>
        <w:tc>
          <w:tcPr>
            <w:tcW w:w="5954" w:type="dxa"/>
            <w:vAlign w:val="center"/>
          </w:tcPr>
          <w:p w14:paraId="36080F83">
            <w:pPr>
              <w:adjustRightInd w:val="0"/>
              <w:snapToGrid w:val="0"/>
              <w:spacing w:line="288" w:lineRule="auto"/>
              <w:ind w:firstLine="422" w:firstLineChars="200"/>
              <w:jc w:val="left"/>
              <w:rPr>
                <w:b/>
                <w:bCs/>
                <w:sz w:val="21"/>
                <w:szCs w:val="21"/>
                <w:highlight w:val="none"/>
              </w:rPr>
            </w:pPr>
            <w:r>
              <w:rPr>
                <w:rFonts w:hint="eastAsia"/>
                <w:b/>
                <w:bCs/>
                <w:sz w:val="21"/>
                <w:szCs w:val="21"/>
                <w:highlight w:val="none"/>
              </w:rPr>
              <w:t>电子加密响应文件：政府采购云平台在线上传一份；备份响应文件：密封包装后EMS或顺丰邮寄形式递交一份（邮寄地址：杭州市西湖区玉古路173号中田大厦21楼H室，浙江求是招标代理有限公司（陈培特）收，电话：0571-87666115，寄出后将（快递单号、项目名称、公司名称、联系方式等相关信息）发至：zb03@qszb.net，以便查收）。</w:t>
            </w:r>
          </w:p>
          <w:p w14:paraId="6E47E7D6">
            <w:pPr>
              <w:adjustRightInd w:val="0"/>
              <w:snapToGrid w:val="0"/>
              <w:spacing w:line="288" w:lineRule="auto"/>
              <w:ind w:firstLine="422" w:firstLineChars="200"/>
              <w:jc w:val="left"/>
              <w:rPr>
                <w:b/>
                <w:bCs/>
                <w:sz w:val="21"/>
                <w:szCs w:val="21"/>
                <w:highlight w:val="none"/>
              </w:rPr>
            </w:pPr>
            <w:r>
              <w:rPr>
                <w:rFonts w:hint="eastAsia"/>
                <w:b/>
                <w:bCs/>
                <w:sz w:val="21"/>
                <w:szCs w:val="21"/>
                <w:highlight w:val="none"/>
              </w:rPr>
              <w:t>特别说明：双休日和法定节假日不收件，供应商自行承担邮寄风险。</w:t>
            </w:r>
          </w:p>
        </w:tc>
      </w:tr>
      <w:tr w14:paraId="0195B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2CA6093C">
            <w:pPr>
              <w:adjustRightInd w:val="0"/>
              <w:snapToGrid w:val="0"/>
              <w:spacing w:line="288" w:lineRule="auto"/>
              <w:jc w:val="center"/>
              <w:rPr>
                <w:sz w:val="21"/>
                <w:szCs w:val="21"/>
                <w:highlight w:val="none"/>
              </w:rPr>
            </w:pPr>
            <w:r>
              <w:rPr>
                <w:rFonts w:hint="eastAsia"/>
                <w:sz w:val="21"/>
                <w:szCs w:val="21"/>
                <w:highlight w:val="none"/>
              </w:rPr>
              <w:t>（二十）</w:t>
            </w:r>
          </w:p>
        </w:tc>
        <w:tc>
          <w:tcPr>
            <w:tcW w:w="2410" w:type="dxa"/>
            <w:vAlign w:val="center"/>
          </w:tcPr>
          <w:p w14:paraId="78BD1E35">
            <w:pPr>
              <w:adjustRightInd w:val="0"/>
              <w:snapToGrid w:val="0"/>
              <w:spacing w:line="288" w:lineRule="auto"/>
              <w:jc w:val="center"/>
              <w:rPr>
                <w:sz w:val="21"/>
                <w:szCs w:val="21"/>
                <w:highlight w:val="none"/>
              </w:rPr>
            </w:pPr>
            <w:r>
              <w:rPr>
                <w:rFonts w:hint="eastAsia"/>
                <w:b/>
                <w:bCs/>
                <w:sz w:val="21"/>
                <w:szCs w:val="21"/>
                <w:highlight w:val="none"/>
              </w:rPr>
              <w:t>磋商报价</w:t>
            </w:r>
          </w:p>
        </w:tc>
        <w:tc>
          <w:tcPr>
            <w:tcW w:w="5954" w:type="dxa"/>
            <w:vAlign w:val="center"/>
          </w:tcPr>
          <w:p w14:paraId="0A3CC82D">
            <w:pPr>
              <w:adjustRightInd w:val="0"/>
              <w:snapToGrid w:val="0"/>
              <w:spacing w:line="288" w:lineRule="auto"/>
              <w:rPr>
                <w:sz w:val="21"/>
                <w:szCs w:val="21"/>
                <w:highlight w:val="none"/>
              </w:rPr>
            </w:pPr>
            <w:r>
              <w:rPr>
                <w:rFonts w:hint="eastAsia"/>
                <w:sz w:val="21"/>
                <w:szCs w:val="21"/>
                <w:highlight w:val="none"/>
              </w:rPr>
              <w:t>1</w:t>
            </w:r>
            <w:r>
              <w:rPr>
                <w:sz w:val="21"/>
                <w:szCs w:val="21"/>
                <w:highlight w:val="none"/>
              </w:rPr>
              <w:t>.</w:t>
            </w:r>
            <w:r>
              <w:rPr>
                <w:rFonts w:hint="eastAsia"/>
                <w:sz w:val="21"/>
                <w:szCs w:val="21"/>
                <w:highlight w:val="none"/>
              </w:rPr>
              <w:t>报价应按磋商文件要求的格式编制、填写报价内容（可自行增行），未按磋商文件要求编制、填写的响应文件可能被拒绝；</w:t>
            </w:r>
          </w:p>
          <w:p w14:paraId="58D80FA2">
            <w:pPr>
              <w:adjustRightInd w:val="0"/>
              <w:snapToGrid w:val="0"/>
              <w:spacing w:line="288" w:lineRule="auto"/>
              <w:rPr>
                <w:sz w:val="21"/>
                <w:szCs w:val="21"/>
                <w:highlight w:val="none"/>
              </w:rPr>
            </w:pPr>
            <w:r>
              <w:rPr>
                <w:sz w:val="21"/>
                <w:szCs w:val="21"/>
                <w:highlight w:val="none"/>
              </w:rPr>
              <w:t>2</w:t>
            </w:r>
            <w:r>
              <w:rPr>
                <w:rFonts w:hint="eastAsia"/>
                <w:sz w:val="21"/>
                <w:szCs w:val="21"/>
                <w:highlight w:val="none"/>
              </w:rPr>
              <w:t>.本次磋商采用人民币报价；</w:t>
            </w:r>
          </w:p>
          <w:p w14:paraId="73DC96E9">
            <w:pPr>
              <w:adjustRightInd w:val="0"/>
              <w:snapToGrid w:val="0"/>
              <w:spacing w:line="288" w:lineRule="auto"/>
              <w:rPr>
                <w:sz w:val="21"/>
                <w:szCs w:val="21"/>
                <w:highlight w:val="none"/>
              </w:rPr>
            </w:pPr>
            <w:r>
              <w:rPr>
                <w:rFonts w:hint="eastAsia"/>
                <w:sz w:val="21"/>
                <w:szCs w:val="21"/>
                <w:highlight w:val="none"/>
              </w:rPr>
              <w:t>3.最后磋商报价是履行合同的最终价格，有关本项目实施所涉及的一切费用均计入报价。</w:t>
            </w:r>
            <w:r>
              <w:rPr>
                <w:rFonts w:hint="eastAsia"/>
                <w:color w:val="FF0000"/>
                <w:sz w:val="21"/>
                <w:szCs w:val="21"/>
                <w:highlight w:val="none"/>
              </w:rPr>
              <w:t>总价不为零，分项报价中部分产品、服务单价为零的，视作已包含在总价中。</w:t>
            </w:r>
          </w:p>
          <w:p w14:paraId="70965969">
            <w:pPr>
              <w:adjustRightInd w:val="0"/>
              <w:snapToGrid w:val="0"/>
              <w:spacing w:line="288" w:lineRule="auto"/>
              <w:rPr>
                <w:sz w:val="21"/>
                <w:szCs w:val="21"/>
                <w:highlight w:val="none"/>
              </w:rPr>
            </w:pPr>
            <w:r>
              <w:rPr>
                <w:rFonts w:hint="eastAsia"/>
                <w:sz w:val="21"/>
                <w:szCs w:val="21"/>
                <w:highlight w:val="none"/>
              </w:rPr>
              <w:t>▲4.采购人将以合同形式有偿取得货物、工程和服务，不接受供应商给予的赠品、回扣或者与采购无关的其他商品、服务。</w:t>
            </w:r>
          </w:p>
          <w:p w14:paraId="52F0F938">
            <w:pPr>
              <w:adjustRightInd w:val="0"/>
              <w:snapToGrid w:val="0"/>
              <w:spacing w:line="288" w:lineRule="auto"/>
              <w:rPr>
                <w:sz w:val="21"/>
                <w:szCs w:val="21"/>
                <w:highlight w:val="none"/>
              </w:rPr>
            </w:pPr>
            <w:r>
              <w:rPr>
                <w:rFonts w:hint="eastAsia"/>
                <w:color w:val="FF0000"/>
                <w:sz w:val="21"/>
                <w:szCs w:val="21"/>
                <w:highlight w:val="none"/>
              </w:rPr>
              <w:t>5.供应商不得进行影响产品质量或者诚信履约的恶意报价。供应商报价低于项目预算50%的，应当在报价文件中提供书面说明，详细阐述不影响产品质量或者诚信履约的具体原因。</w:t>
            </w:r>
          </w:p>
        </w:tc>
      </w:tr>
      <w:tr w14:paraId="0A7CD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68C28FD4">
            <w:pPr>
              <w:adjustRightInd w:val="0"/>
              <w:snapToGrid w:val="0"/>
              <w:spacing w:line="288" w:lineRule="auto"/>
              <w:jc w:val="center"/>
              <w:rPr>
                <w:sz w:val="21"/>
                <w:szCs w:val="21"/>
                <w:highlight w:val="none"/>
              </w:rPr>
            </w:pPr>
            <w:r>
              <w:rPr>
                <w:rFonts w:hint="eastAsia"/>
                <w:sz w:val="21"/>
                <w:szCs w:val="21"/>
                <w:highlight w:val="none"/>
              </w:rPr>
              <w:t>（二十一）</w:t>
            </w:r>
          </w:p>
        </w:tc>
        <w:tc>
          <w:tcPr>
            <w:tcW w:w="2410" w:type="dxa"/>
            <w:vAlign w:val="center"/>
          </w:tcPr>
          <w:p w14:paraId="0B14A2F1">
            <w:pPr>
              <w:adjustRightInd w:val="0"/>
              <w:snapToGrid w:val="0"/>
              <w:spacing w:line="288" w:lineRule="auto"/>
              <w:jc w:val="center"/>
              <w:rPr>
                <w:sz w:val="21"/>
                <w:szCs w:val="21"/>
                <w:highlight w:val="none"/>
              </w:rPr>
            </w:pPr>
            <w:r>
              <w:rPr>
                <w:rFonts w:hint="eastAsia"/>
                <w:b/>
                <w:bCs/>
                <w:sz w:val="21"/>
                <w:szCs w:val="21"/>
                <w:highlight w:val="none"/>
              </w:rPr>
              <w:t>响应有效期</w:t>
            </w:r>
          </w:p>
        </w:tc>
        <w:tc>
          <w:tcPr>
            <w:tcW w:w="5954" w:type="dxa"/>
            <w:vAlign w:val="center"/>
          </w:tcPr>
          <w:p w14:paraId="31BBBE36">
            <w:pPr>
              <w:adjustRightInd w:val="0"/>
              <w:snapToGrid w:val="0"/>
              <w:spacing w:line="288" w:lineRule="auto"/>
              <w:rPr>
                <w:sz w:val="21"/>
                <w:szCs w:val="21"/>
                <w:highlight w:val="none"/>
              </w:rPr>
            </w:pPr>
            <w:r>
              <w:rPr>
                <w:rFonts w:hint="eastAsia"/>
                <w:sz w:val="21"/>
                <w:szCs w:val="21"/>
                <w:highlight w:val="none"/>
              </w:rPr>
              <w:t>▲从提交响应文件的截止之日起90天。在原响应有效期满之前，如果出现特殊情况，采购人或采购代理机构以书面形式通知供应商延长响应有效期。</w:t>
            </w:r>
          </w:p>
        </w:tc>
      </w:tr>
      <w:tr w14:paraId="25B75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314E460">
            <w:pPr>
              <w:adjustRightInd w:val="0"/>
              <w:snapToGrid w:val="0"/>
              <w:spacing w:line="288" w:lineRule="auto"/>
              <w:jc w:val="center"/>
              <w:rPr>
                <w:sz w:val="21"/>
                <w:szCs w:val="21"/>
                <w:highlight w:val="none"/>
              </w:rPr>
            </w:pPr>
            <w:r>
              <w:rPr>
                <w:rFonts w:hint="eastAsia"/>
                <w:sz w:val="21"/>
                <w:szCs w:val="21"/>
                <w:highlight w:val="none"/>
              </w:rPr>
              <w:t>（二十二）</w:t>
            </w:r>
          </w:p>
        </w:tc>
        <w:tc>
          <w:tcPr>
            <w:tcW w:w="2410" w:type="dxa"/>
            <w:vAlign w:val="center"/>
          </w:tcPr>
          <w:p w14:paraId="038A3EA6">
            <w:pPr>
              <w:adjustRightInd w:val="0"/>
              <w:snapToGrid w:val="0"/>
              <w:spacing w:line="288" w:lineRule="auto"/>
              <w:jc w:val="center"/>
              <w:rPr>
                <w:sz w:val="21"/>
                <w:szCs w:val="21"/>
                <w:highlight w:val="none"/>
              </w:rPr>
            </w:pPr>
            <w:r>
              <w:rPr>
                <w:rFonts w:hint="eastAsia"/>
                <w:sz w:val="21"/>
                <w:szCs w:val="21"/>
                <w:highlight w:val="none"/>
              </w:rPr>
              <w:t>评审方法和评审标准</w:t>
            </w:r>
          </w:p>
        </w:tc>
        <w:tc>
          <w:tcPr>
            <w:tcW w:w="5954" w:type="dxa"/>
            <w:vAlign w:val="center"/>
          </w:tcPr>
          <w:p w14:paraId="69921EE0">
            <w:pPr>
              <w:adjustRightInd w:val="0"/>
              <w:snapToGrid w:val="0"/>
              <w:spacing w:line="288" w:lineRule="auto"/>
              <w:rPr>
                <w:sz w:val="21"/>
                <w:szCs w:val="21"/>
                <w:highlight w:val="none"/>
              </w:rPr>
            </w:pPr>
            <w:r>
              <w:rPr>
                <w:sz w:val="21"/>
                <w:szCs w:val="21"/>
                <w:highlight w:val="none"/>
              </w:rPr>
              <w:t>详见“</w:t>
            </w:r>
            <w:r>
              <w:rPr>
                <w:rFonts w:hint="eastAsia"/>
                <w:sz w:val="21"/>
                <w:szCs w:val="21"/>
                <w:highlight w:val="none"/>
              </w:rPr>
              <w:t>第四章  评审方法和评审标准</w:t>
            </w:r>
            <w:r>
              <w:rPr>
                <w:sz w:val="21"/>
                <w:szCs w:val="21"/>
                <w:highlight w:val="none"/>
              </w:rPr>
              <w:t>”</w:t>
            </w:r>
            <w:r>
              <w:rPr>
                <w:rFonts w:hint="eastAsia"/>
                <w:sz w:val="21"/>
                <w:szCs w:val="21"/>
                <w:highlight w:val="none"/>
              </w:rPr>
              <w:t>。</w:t>
            </w:r>
          </w:p>
        </w:tc>
      </w:tr>
      <w:tr w14:paraId="6DA67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57F9379">
            <w:pPr>
              <w:adjustRightInd w:val="0"/>
              <w:snapToGrid w:val="0"/>
              <w:spacing w:line="288" w:lineRule="auto"/>
              <w:jc w:val="center"/>
              <w:rPr>
                <w:sz w:val="21"/>
                <w:szCs w:val="21"/>
                <w:highlight w:val="none"/>
              </w:rPr>
            </w:pPr>
            <w:r>
              <w:rPr>
                <w:rFonts w:hint="eastAsia"/>
                <w:sz w:val="21"/>
                <w:szCs w:val="21"/>
                <w:highlight w:val="none"/>
              </w:rPr>
              <w:t>（二十三）</w:t>
            </w:r>
          </w:p>
        </w:tc>
        <w:tc>
          <w:tcPr>
            <w:tcW w:w="2410" w:type="dxa"/>
            <w:vAlign w:val="center"/>
          </w:tcPr>
          <w:p w14:paraId="0A494A4C">
            <w:pPr>
              <w:adjustRightInd w:val="0"/>
              <w:snapToGrid w:val="0"/>
              <w:spacing w:line="288" w:lineRule="auto"/>
              <w:jc w:val="center"/>
              <w:rPr>
                <w:sz w:val="21"/>
                <w:szCs w:val="21"/>
                <w:highlight w:val="none"/>
              </w:rPr>
            </w:pPr>
            <w:r>
              <w:rPr>
                <w:rFonts w:hint="eastAsia"/>
                <w:sz w:val="21"/>
                <w:szCs w:val="21"/>
                <w:highlight w:val="none"/>
              </w:rPr>
              <w:t>评审结果公示</w:t>
            </w:r>
          </w:p>
        </w:tc>
        <w:tc>
          <w:tcPr>
            <w:tcW w:w="5954" w:type="dxa"/>
            <w:vAlign w:val="center"/>
          </w:tcPr>
          <w:p w14:paraId="38B40812">
            <w:pPr>
              <w:adjustRightInd w:val="0"/>
              <w:snapToGrid w:val="0"/>
              <w:spacing w:line="288" w:lineRule="auto"/>
              <w:jc w:val="left"/>
              <w:rPr>
                <w:sz w:val="21"/>
                <w:szCs w:val="21"/>
                <w:highlight w:val="none"/>
              </w:rPr>
            </w:pPr>
            <w:r>
              <w:rPr>
                <w:rFonts w:hint="eastAsia"/>
                <w:sz w:val="21"/>
                <w:szCs w:val="21"/>
                <w:highlight w:val="none"/>
              </w:rPr>
              <w:t>评审结果公示媒体：浙江政府采购网（http://zfcg.czt.zj.gov.cn）。</w:t>
            </w:r>
          </w:p>
        </w:tc>
      </w:tr>
      <w:tr w14:paraId="68046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26751748">
            <w:pPr>
              <w:adjustRightInd w:val="0"/>
              <w:snapToGrid w:val="0"/>
              <w:spacing w:line="288" w:lineRule="auto"/>
              <w:jc w:val="center"/>
              <w:rPr>
                <w:sz w:val="21"/>
                <w:szCs w:val="21"/>
                <w:highlight w:val="none"/>
              </w:rPr>
            </w:pPr>
            <w:r>
              <w:rPr>
                <w:rFonts w:hint="eastAsia"/>
                <w:sz w:val="21"/>
                <w:szCs w:val="21"/>
                <w:highlight w:val="none"/>
              </w:rPr>
              <w:t>（二十四）</w:t>
            </w:r>
          </w:p>
        </w:tc>
        <w:tc>
          <w:tcPr>
            <w:tcW w:w="2410" w:type="dxa"/>
            <w:vAlign w:val="center"/>
          </w:tcPr>
          <w:p w14:paraId="750AF1A8">
            <w:pPr>
              <w:adjustRightInd w:val="0"/>
              <w:snapToGrid w:val="0"/>
              <w:spacing w:line="288" w:lineRule="auto"/>
              <w:jc w:val="center"/>
              <w:rPr>
                <w:sz w:val="21"/>
                <w:szCs w:val="21"/>
                <w:highlight w:val="none"/>
              </w:rPr>
            </w:pPr>
            <w:r>
              <w:rPr>
                <w:rFonts w:hint="eastAsia"/>
                <w:sz w:val="21"/>
                <w:szCs w:val="21"/>
                <w:highlight w:val="none"/>
              </w:rPr>
              <w:t>签订合同</w:t>
            </w:r>
          </w:p>
        </w:tc>
        <w:tc>
          <w:tcPr>
            <w:tcW w:w="5954" w:type="dxa"/>
            <w:vAlign w:val="center"/>
          </w:tcPr>
          <w:p w14:paraId="3FE5A554">
            <w:pPr>
              <w:adjustRightInd w:val="0"/>
              <w:snapToGrid w:val="0"/>
              <w:spacing w:line="288" w:lineRule="auto"/>
              <w:rPr>
                <w:sz w:val="21"/>
                <w:szCs w:val="21"/>
                <w:highlight w:val="none"/>
              </w:rPr>
            </w:pPr>
            <w:r>
              <w:rPr>
                <w:rFonts w:hint="eastAsia"/>
                <w:sz w:val="21"/>
                <w:szCs w:val="21"/>
                <w:highlight w:val="none"/>
              </w:rPr>
              <w:t>成交通知书发出之日起30日内。</w:t>
            </w:r>
          </w:p>
        </w:tc>
      </w:tr>
    </w:tbl>
    <w:p w14:paraId="0BB8AA7E">
      <w:pPr>
        <w:rPr>
          <w:b/>
          <w:bCs/>
          <w:sz w:val="21"/>
          <w:szCs w:val="21"/>
          <w:highlight w:val="none"/>
        </w:rPr>
      </w:pPr>
      <w:r>
        <w:rPr>
          <w:rFonts w:hint="eastAsia"/>
          <w:b/>
          <w:bCs/>
          <w:sz w:val="21"/>
          <w:szCs w:val="21"/>
          <w:highlight w:val="none"/>
        </w:rPr>
        <w:br w:type="page"/>
      </w:r>
    </w:p>
    <w:p w14:paraId="46715633">
      <w:pPr>
        <w:adjustRightInd w:val="0"/>
        <w:snapToGrid w:val="0"/>
        <w:spacing w:line="288" w:lineRule="auto"/>
        <w:jc w:val="center"/>
        <w:outlineLvl w:val="1"/>
        <w:rPr>
          <w:b/>
          <w:bCs/>
          <w:sz w:val="21"/>
          <w:szCs w:val="21"/>
          <w:highlight w:val="none"/>
        </w:rPr>
      </w:pPr>
      <w:r>
        <w:rPr>
          <w:rFonts w:hint="eastAsia"/>
          <w:b/>
          <w:bCs/>
          <w:sz w:val="21"/>
          <w:szCs w:val="21"/>
          <w:highlight w:val="none"/>
        </w:rPr>
        <w:t>一、总则</w:t>
      </w:r>
    </w:p>
    <w:p w14:paraId="0504C5BC">
      <w:pPr>
        <w:adjustRightInd w:val="0"/>
        <w:snapToGrid w:val="0"/>
        <w:spacing w:line="288" w:lineRule="auto"/>
        <w:ind w:firstLine="420" w:firstLineChars="200"/>
        <w:rPr>
          <w:sz w:val="21"/>
          <w:szCs w:val="21"/>
          <w:highlight w:val="none"/>
        </w:rPr>
      </w:pPr>
      <w:bookmarkStart w:id="35" w:name="_Hlk97039780"/>
      <w:r>
        <w:rPr>
          <w:rFonts w:hint="eastAsia"/>
          <w:sz w:val="21"/>
          <w:szCs w:val="21"/>
          <w:highlight w:val="none"/>
        </w:rPr>
        <w:t>供应商应仔细阅读磋商文件的所有内容，按照磋商文件的要求提交响应文件，并对所提供的全部资料的真实性承担法律责任。</w:t>
      </w:r>
    </w:p>
    <w:bookmarkEnd w:id="35"/>
    <w:p w14:paraId="232283A8">
      <w:pPr>
        <w:adjustRightInd w:val="0"/>
        <w:snapToGrid w:val="0"/>
        <w:spacing w:line="288" w:lineRule="auto"/>
        <w:rPr>
          <w:b/>
          <w:bCs/>
          <w:sz w:val="21"/>
          <w:szCs w:val="21"/>
          <w:highlight w:val="none"/>
        </w:rPr>
      </w:pPr>
      <w:r>
        <w:rPr>
          <w:rFonts w:hint="eastAsia"/>
          <w:b/>
          <w:bCs/>
          <w:sz w:val="21"/>
          <w:szCs w:val="21"/>
          <w:highlight w:val="none"/>
        </w:rPr>
        <w:t>（一）适用范围</w:t>
      </w:r>
    </w:p>
    <w:p w14:paraId="7E218D02">
      <w:pPr>
        <w:adjustRightInd w:val="0"/>
        <w:snapToGrid w:val="0"/>
        <w:spacing w:line="288" w:lineRule="auto"/>
        <w:ind w:firstLine="420" w:firstLineChars="200"/>
        <w:rPr>
          <w:sz w:val="21"/>
          <w:szCs w:val="21"/>
          <w:highlight w:val="none"/>
        </w:rPr>
      </w:pPr>
      <w:r>
        <w:rPr>
          <w:rFonts w:hint="eastAsia"/>
          <w:sz w:val="21"/>
          <w:szCs w:val="21"/>
          <w:highlight w:val="none"/>
        </w:rPr>
        <w:t>本磋商文件适用于浙江交通职业技术学院长兴校区局部修缮项目的磋商、评审、成交、验收、合同履约、付款等（法律、法规另有规定的，从其规定）。</w:t>
      </w:r>
    </w:p>
    <w:p w14:paraId="682B82C8">
      <w:pPr>
        <w:adjustRightInd w:val="0"/>
        <w:snapToGrid w:val="0"/>
        <w:spacing w:line="288" w:lineRule="auto"/>
        <w:rPr>
          <w:b/>
          <w:bCs/>
          <w:sz w:val="21"/>
          <w:szCs w:val="21"/>
          <w:highlight w:val="none"/>
        </w:rPr>
      </w:pPr>
      <w:r>
        <w:rPr>
          <w:rFonts w:hint="eastAsia"/>
          <w:b/>
          <w:bCs/>
          <w:sz w:val="21"/>
          <w:szCs w:val="21"/>
          <w:highlight w:val="none"/>
        </w:rPr>
        <w:t>（二）定义</w:t>
      </w:r>
    </w:p>
    <w:p w14:paraId="684512A3">
      <w:pPr>
        <w:adjustRightInd w:val="0"/>
        <w:snapToGrid w:val="0"/>
        <w:spacing w:line="288" w:lineRule="auto"/>
        <w:ind w:firstLine="420" w:firstLineChars="200"/>
        <w:rPr>
          <w:sz w:val="21"/>
          <w:szCs w:val="21"/>
          <w:highlight w:val="none"/>
        </w:rPr>
      </w:pPr>
      <w:r>
        <w:rPr>
          <w:rFonts w:hint="eastAsia"/>
          <w:sz w:val="21"/>
          <w:szCs w:val="21"/>
          <w:highlight w:val="none"/>
        </w:rPr>
        <w:t>1.“采购人”系指浙江交通职业技术学院；</w:t>
      </w:r>
    </w:p>
    <w:p w14:paraId="3CE8EB34">
      <w:pPr>
        <w:adjustRightInd w:val="0"/>
        <w:snapToGrid w:val="0"/>
        <w:spacing w:line="288" w:lineRule="auto"/>
        <w:ind w:firstLine="420" w:firstLineChars="200"/>
        <w:rPr>
          <w:sz w:val="21"/>
          <w:szCs w:val="21"/>
          <w:highlight w:val="none"/>
        </w:rPr>
      </w:pPr>
      <w:r>
        <w:rPr>
          <w:rFonts w:hint="eastAsia"/>
          <w:sz w:val="21"/>
          <w:szCs w:val="21"/>
          <w:highlight w:val="none"/>
        </w:rPr>
        <w:t>2.“采购代理机构”系指组织本次竞争性磋商的浙江求是招标代理有限公司；</w:t>
      </w:r>
    </w:p>
    <w:p w14:paraId="4E940A9F">
      <w:pPr>
        <w:adjustRightInd w:val="0"/>
        <w:snapToGrid w:val="0"/>
        <w:spacing w:line="288" w:lineRule="auto"/>
        <w:ind w:firstLine="420" w:firstLineChars="200"/>
        <w:rPr>
          <w:sz w:val="21"/>
          <w:szCs w:val="21"/>
          <w:highlight w:val="none"/>
        </w:rPr>
      </w:pPr>
      <w:r>
        <w:rPr>
          <w:rFonts w:hint="eastAsia"/>
          <w:sz w:val="21"/>
          <w:szCs w:val="21"/>
          <w:highlight w:val="none"/>
        </w:rPr>
        <w:t>3.“供应商”系指响应磋商、参加竞争的法人、其他组织或者自然人；</w:t>
      </w:r>
    </w:p>
    <w:p w14:paraId="206862B6">
      <w:pPr>
        <w:adjustRightInd w:val="0"/>
        <w:snapToGrid w:val="0"/>
        <w:spacing w:line="288" w:lineRule="auto"/>
        <w:ind w:firstLine="420" w:firstLineChars="200"/>
        <w:rPr>
          <w:sz w:val="21"/>
          <w:szCs w:val="21"/>
          <w:highlight w:val="none"/>
        </w:rPr>
      </w:pPr>
      <w:r>
        <w:rPr>
          <w:rFonts w:hint="eastAsia"/>
          <w:sz w:val="21"/>
          <w:szCs w:val="21"/>
          <w:highlight w:val="none"/>
        </w:rPr>
        <w:t>4.“书面形式”包括合同书、信件和数据电文(包括电报、电传、传真、电子数据交换和电子邮件)等可以有形地表现所载内容的形式；</w:t>
      </w:r>
    </w:p>
    <w:p w14:paraId="5F9F97A3">
      <w:pPr>
        <w:adjustRightInd w:val="0"/>
        <w:snapToGrid w:val="0"/>
        <w:spacing w:line="288" w:lineRule="auto"/>
        <w:ind w:firstLine="420" w:firstLineChars="200"/>
        <w:rPr>
          <w:sz w:val="21"/>
          <w:szCs w:val="21"/>
          <w:highlight w:val="none"/>
        </w:rPr>
      </w:pPr>
      <w:bookmarkStart w:id="36" w:name="_Hlk97039762"/>
      <w:r>
        <w:rPr>
          <w:rFonts w:hint="eastAsia"/>
          <w:sz w:val="21"/>
          <w:szCs w:val="21"/>
          <w:highlight w:val="none"/>
        </w:rPr>
        <w:t>5.“电子加密响应文件”系指通过政采云电子交易客户端（政采云响应客户端）完成响应文件编制后生成并加密的数据电文形式的响应文件（文件扩展名为.jmbs），“备份响应文件”系指与“电子加密响应文件”同时生成的数据电文形式的电子文件（文件扩展名为.bfbs）；</w:t>
      </w:r>
    </w:p>
    <w:p w14:paraId="088938E9">
      <w:pPr>
        <w:adjustRightInd w:val="0"/>
        <w:snapToGrid w:val="0"/>
        <w:spacing w:line="288" w:lineRule="auto"/>
        <w:ind w:firstLine="420" w:firstLineChars="200"/>
        <w:jc w:val="left"/>
        <w:rPr>
          <w:rFonts w:cs="Times New Roman"/>
          <w:sz w:val="21"/>
          <w:szCs w:val="21"/>
          <w:highlight w:val="none"/>
        </w:rPr>
      </w:pPr>
      <w:r>
        <w:rPr>
          <w:rFonts w:cs="Times New Roman"/>
          <w:sz w:val="21"/>
          <w:szCs w:val="21"/>
          <w:highlight w:val="none"/>
        </w:rPr>
        <w:t>“电子签名”系指数据电文中以电子形式所含、所附用于识别签名人身份并表明签名人认可其中内容的数据；</w:t>
      </w:r>
      <w:r>
        <w:rPr>
          <w:rFonts w:hint="eastAsia" w:cs="Times New Roman"/>
          <w:sz w:val="21"/>
          <w:szCs w:val="21"/>
          <w:highlight w:val="none"/>
        </w:rPr>
        <w:t>“公章”系指单位法定名称章。因特殊原因需要使用冠以法定名称的业务专用章的，响应时须提供《业务专用章使用说明函》（附件1）。</w:t>
      </w:r>
    </w:p>
    <w:p w14:paraId="1358FD51">
      <w:pPr>
        <w:adjustRightInd w:val="0"/>
        <w:snapToGrid w:val="0"/>
        <w:spacing w:line="288" w:lineRule="auto"/>
        <w:ind w:firstLine="396" w:firstLineChars="200"/>
        <w:jc w:val="left"/>
        <w:rPr>
          <w:rFonts w:cs="Times New Roman"/>
          <w:spacing w:val="-6"/>
          <w:sz w:val="21"/>
          <w:szCs w:val="21"/>
          <w:highlight w:val="none"/>
        </w:rPr>
      </w:pPr>
      <w:r>
        <w:rPr>
          <w:rFonts w:hint="eastAsia" w:cs="Times New Roman"/>
          <w:spacing w:val="-6"/>
          <w:sz w:val="21"/>
          <w:szCs w:val="21"/>
          <w:highlight w:val="none"/>
        </w:rPr>
        <w:t>磋商文件对响应文件签署、盖章的要求适用于电子签名。</w:t>
      </w:r>
    </w:p>
    <w:bookmarkEnd w:id="36"/>
    <w:p w14:paraId="57FAC884">
      <w:pPr>
        <w:adjustRightInd w:val="0"/>
        <w:snapToGrid w:val="0"/>
        <w:spacing w:line="288" w:lineRule="auto"/>
        <w:ind w:firstLine="420" w:firstLineChars="200"/>
        <w:rPr>
          <w:sz w:val="21"/>
          <w:szCs w:val="21"/>
          <w:highlight w:val="none"/>
        </w:rPr>
      </w:pPr>
      <w:r>
        <w:rPr>
          <w:sz w:val="21"/>
          <w:szCs w:val="21"/>
          <w:highlight w:val="none"/>
        </w:rPr>
        <w:t>6</w:t>
      </w:r>
      <w:r>
        <w:rPr>
          <w:rFonts w:hint="eastAsia"/>
          <w:sz w:val="21"/>
          <w:szCs w:val="21"/>
          <w:highlight w:val="none"/>
        </w:rPr>
        <w:t>.“▲”系指实质性要求条款，供应商应当做出实质性响应。</w:t>
      </w:r>
    </w:p>
    <w:p w14:paraId="4AEB63B8">
      <w:pPr>
        <w:adjustRightInd w:val="0"/>
        <w:snapToGrid w:val="0"/>
        <w:spacing w:line="288" w:lineRule="auto"/>
        <w:rPr>
          <w:b/>
          <w:bCs/>
          <w:sz w:val="21"/>
          <w:szCs w:val="21"/>
          <w:highlight w:val="none"/>
        </w:rPr>
      </w:pPr>
      <w:r>
        <w:rPr>
          <w:rFonts w:hint="eastAsia"/>
          <w:b/>
          <w:bCs/>
          <w:sz w:val="21"/>
          <w:szCs w:val="21"/>
          <w:highlight w:val="none"/>
        </w:rPr>
        <w:t>（三）采购方式</w:t>
      </w:r>
    </w:p>
    <w:p w14:paraId="435D55AC">
      <w:pPr>
        <w:adjustRightInd w:val="0"/>
        <w:snapToGrid w:val="0"/>
        <w:spacing w:line="288" w:lineRule="auto"/>
        <w:ind w:firstLine="420" w:firstLineChars="200"/>
        <w:rPr>
          <w:sz w:val="21"/>
          <w:szCs w:val="21"/>
          <w:highlight w:val="none"/>
        </w:rPr>
      </w:pPr>
      <w:r>
        <w:rPr>
          <w:rFonts w:hint="eastAsia"/>
          <w:sz w:val="21"/>
          <w:szCs w:val="21"/>
          <w:highlight w:val="none"/>
        </w:rPr>
        <w:t>本次采购采用竞争性磋商（线上电子交易）方式进行。</w:t>
      </w:r>
    </w:p>
    <w:p w14:paraId="6EAC7A6D">
      <w:pPr>
        <w:adjustRightInd w:val="0"/>
        <w:snapToGrid w:val="0"/>
        <w:spacing w:line="288" w:lineRule="auto"/>
        <w:rPr>
          <w:b/>
          <w:bCs/>
          <w:sz w:val="21"/>
          <w:szCs w:val="21"/>
          <w:highlight w:val="none"/>
        </w:rPr>
      </w:pPr>
      <w:r>
        <w:rPr>
          <w:rFonts w:hint="eastAsia"/>
          <w:b/>
          <w:bCs/>
          <w:sz w:val="21"/>
          <w:szCs w:val="21"/>
          <w:highlight w:val="none"/>
        </w:rPr>
        <w:t>（四）竞争性磋商委托</w:t>
      </w:r>
    </w:p>
    <w:p w14:paraId="69E1AAB8">
      <w:pPr>
        <w:adjustRightInd w:val="0"/>
        <w:snapToGrid w:val="0"/>
        <w:spacing w:line="288" w:lineRule="auto"/>
        <w:ind w:firstLine="420" w:firstLineChars="200"/>
        <w:rPr>
          <w:sz w:val="21"/>
          <w:szCs w:val="21"/>
          <w:highlight w:val="none"/>
        </w:rPr>
      </w:pPr>
      <w:r>
        <w:rPr>
          <w:rFonts w:hint="eastAsia"/>
          <w:sz w:val="21"/>
          <w:szCs w:val="21"/>
          <w:highlight w:val="none"/>
        </w:rPr>
        <w:t>▲</w:t>
      </w:r>
      <w:r>
        <w:rPr>
          <w:sz w:val="21"/>
          <w:szCs w:val="21"/>
          <w:highlight w:val="none"/>
        </w:rPr>
        <w:t>1.供应商代表是法定代表人（单位负责人、自然人本人）的，须提供本人身份证明。</w:t>
      </w:r>
    </w:p>
    <w:p w14:paraId="115F5041">
      <w:pPr>
        <w:adjustRightInd w:val="0"/>
        <w:snapToGrid w:val="0"/>
        <w:spacing w:line="288" w:lineRule="auto"/>
        <w:ind w:firstLine="420" w:firstLineChars="200"/>
        <w:rPr>
          <w:sz w:val="21"/>
          <w:szCs w:val="21"/>
          <w:highlight w:val="none"/>
        </w:rPr>
      </w:pPr>
      <w:r>
        <w:rPr>
          <w:rFonts w:hint="eastAsia"/>
          <w:sz w:val="21"/>
          <w:szCs w:val="21"/>
          <w:highlight w:val="none"/>
        </w:rPr>
        <w:t>▲</w:t>
      </w:r>
      <w:r>
        <w:rPr>
          <w:sz w:val="21"/>
          <w:szCs w:val="21"/>
          <w:highlight w:val="none"/>
        </w:rPr>
        <w:t>2.供应商代表不是法定代表人（单位负责人、自然人本人）的，须提供授权委托书（格式详见磋商文件第六章）</w:t>
      </w:r>
      <w:r>
        <w:rPr>
          <w:rFonts w:hint="eastAsia"/>
          <w:sz w:val="21"/>
          <w:szCs w:val="21"/>
          <w:highlight w:val="none"/>
        </w:rPr>
        <w:t>和授权代表社保缴纳证明（</w:t>
      </w:r>
      <w:r>
        <w:rPr>
          <w:sz w:val="21"/>
          <w:szCs w:val="21"/>
          <w:highlight w:val="none"/>
        </w:rPr>
        <w:t>2023年1月（含）以后任意一月）；</w:t>
      </w:r>
    </w:p>
    <w:p w14:paraId="10968750">
      <w:pPr>
        <w:adjustRightInd w:val="0"/>
        <w:snapToGrid w:val="0"/>
        <w:spacing w:line="288" w:lineRule="auto"/>
        <w:ind w:firstLine="420" w:firstLineChars="200"/>
        <w:rPr>
          <w:sz w:val="21"/>
          <w:szCs w:val="21"/>
          <w:highlight w:val="none"/>
        </w:rPr>
      </w:pPr>
      <w:r>
        <w:rPr>
          <w:rFonts w:hint="eastAsia"/>
          <w:sz w:val="21"/>
          <w:szCs w:val="21"/>
          <w:highlight w:val="none"/>
        </w:rPr>
        <w:t>▲</w:t>
      </w:r>
      <w:r>
        <w:rPr>
          <w:sz w:val="21"/>
          <w:szCs w:val="21"/>
          <w:highlight w:val="none"/>
        </w:rPr>
        <w:t>3.供应商委派不在本单位缴纳社保的人员作为授权代表的，应当在响应文件中，说明具体原因、授权代表缴纳社保的单位，并附列该授权代表缴纳社保清单。</w:t>
      </w:r>
    </w:p>
    <w:p w14:paraId="79D1B64A">
      <w:pPr>
        <w:adjustRightInd w:val="0"/>
        <w:snapToGrid w:val="0"/>
        <w:spacing w:line="288" w:lineRule="auto"/>
        <w:rPr>
          <w:b/>
          <w:bCs/>
          <w:sz w:val="21"/>
          <w:szCs w:val="21"/>
          <w:highlight w:val="none"/>
        </w:rPr>
      </w:pPr>
      <w:r>
        <w:rPr>
          <w:rFonts w:hint="eastAsia"/>
          <w:b/>
          <w:bCs/>
          <w:sz w:val="21"/>
          <w:szCs w:val="21"/>
          <w:highlight w:val="none"/>
        </w:rPr>
        <w:t>（五）磋商费用</w:t>
      </w:r>
    </w:p>
    <w:p w14:paraId="7D4B37DB">
      <w:pPr>
        <w:adjustRightInd w:val="0"/>
        <w:snapToGrid w:val="0"/>
        <w:spacing w:line="288" w:lineRule="auto"/>
        <w:ind w:firstLine="420" w:firstLineChars="200"/>
        <w:rPr>
          <w:sz w:val="21"/>
          <w:szCs w:val="21"/>
          <w:highlight w:val="none"/>
        </w:rPr>
      </w:pPr>
      <w:r>
        <w:rPr>
          <w:rFonts w:hint="eastAsia"/>
          <w:sz w:val="21"/>
          <w:szCs w:val="21"/>
          <w:highlight w:val="none"/>
        </w:rPr>
        <w:t>1.不论磋商结果如何，供应商均应自行承担所有与磋商有关的全部费用；</w:t>
      </w:r>
    </w:p>
    <w:p w14:paraId="49AAB9E1">
      <w:pPr>
        <w:adjustRightInd w:val="0"/>
        <w:snapToGrid w:val="0"/>
        <w:spacing w:line="288" w:lineRule="auto"/>
        <w:ind w:firstLine="420" w:firstLineChars="200"/>
        <w:rPr>
          <w:sz w:val="21"/>
          <w:szCs w:val="21"/>
          <w:highlight w:val="none"/>
        </w:rPr>
      </w:pPr>
      <w:r>
        <w:rPr>
          <w:rFonts w:hint="eastAsia"/>
          <w:sz w:val="21"/>
          <w:szCs w:val="21"/>
          <w:highlight w:val="none"/>
        </w:rPr>
        <w:t>2.成交供应商在成交通知书发出之日起七个工作日内，向采购代理机构交纳代理服务费；</w:t>
      </w:r>
    </w:p>
    <w:p w14:paraId="35A9C72D">
      <w:pPr>
        <w:adjustRightInd w:val="0"/>
        <w:snapToGrid w:val="0"/>
        <w:spacing w:line="288" w:lineRule="auto"/>
        <w:ind w:firstLine="420" w:firstLineChars="200"/>
        <w:rPr>
          <w:sz w:val="21"/>
          <w:szCs w:val="21"/>
          <w:highlight w:val="none"/>
        </w:rPr>
      </w:pPr>
      <w:r>
        <w:rPr>
          <w:rFonts w:hint="eastAsia"/>
          <w:sz w:val="21"/>
          <w:szCs w:val="21"/>
          <w:highlight w:val="none"/>
        </w:rPr>
        <w:t>3.成交供应商逾期支付代理服务费，须承担代理服务费每日百分之三的违约金，逾期十日未支付的，采购代理机构有权向杭州仲裁委员会对成交供应商提起仲裁，仲裁费用（包括仲裁受理费和仲裁处理费）均由成交供应商承担。</w:t>
      </w:r>
    </w:p>
    <w:p w14:paraId="4D4AEC67">
      <w:pPr>
        <w:adjustRightInd w:val="0"/>
        <w:snapToGrid w:val="0"/>
        <w:spacing w:line="288" w:lineRule="auto"/>
        <w:ind w:firstLine="420" w:firstLineChars="200"/>
        <w:rPr>
          <w:sz w:val="21"/>
          <w:szCs w:val="21"/>
          <w:highlight w:val="none"/>
        </w:rPr>
      </w:pPr>
      <w:r>
        <w:rPr>
          <w:rFonts w:hint="eastAsia"/>
          <w:sz w:val="21"/>
          <w:szCs w:val="21"/>
          <w:highlight w:val="none"/>
        </w:rPr>
        <w:t>4</w:t>
      </w:r>
      <w:r>
        <w:rPr>
          <w:sz w:val="21"/>
          <w:szCs w:val="21"/>
          <w:highlight w:val="none"/>
        </w:rPr>
        <w:t>.</w:t>
      </w:r>
      <w:r>
        <w:rPr>
          <w:rFonts w:hint="eastAsia"/>
          <w:sz w:val="21"/>
          <w:szCs w:val="21"/>
          <w:highlight w:val="none"/>
        </w:rPr>
        <w:t>代理服务费收费标准（差额累进）：</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7"/>
        <w:gridCol w:w="3857"/>
      </w:tblGrid>
      <w:tr w14:paraId="705BB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17" w:type="dxa"/>
            <w:vAlign w:val="center"/>
          </w:tcPr>
          <w:p w14:paraId="4E5C0A34">
            <w:pPr>
              <w:adjustRightInd w:val="0"/>
              <w:snapToGrid w:val="0"/>
              <w:spacing w:line="288" w:lineRule="auto"/>
              <w:jc w:val="center"/>
              <w:rPr>
                <w:b/>
                <w:bCs/>
                <w:kern w:val="0"/>
                <w:sz w:val="21"/>
                <w:szCs w:val="21"/>
                <w:highlight w:val="none"/>
              </w:rPr>
            </w:pPr>
            <w:r>
              <w:rPr>
                <w:rFonts w:hint="eastAsia"/>
                <w:b/>
                <w:bCs/>
                <w:kern w:val="0"/>
                <w:sz w:val="21"/>
                <w:szCs w:val="21"/>
                <w:highlight w:val="none"/>
              </w:rPr>
              <w:t>成交金额（万元）</w:t>
            </w:r>
          </w:p>
        </w:tc>
        <w:tc>
          <w:tcPr>
            <w:tcW w:w="3857" w:type="dxa"/>
            <w:vAlign w:val="center"/>
          </w:tcPr>
          <w:p w14:paraId="3C003E1D">
            <w:pPr>
              <w:adjustRightInd w:val="0"/>
              <w:snapToGrid w:val="0"/>
              <w:spacing w:line="288" w:lineRule="auto"/>
              <w:jc w:val="center"/>
              <w:rPr>
                <w:b/>
                <w:bCs/>
                <w:kern w:val="0"/>
                <w:sz w:val="21"/>
                <w:szCs w:val="21"/>
                <w:highlight w:val="none"/>
              </w:rPr>
            </w:pPr>
            <w:r>
              <w:rPr>
                <w:rFonts w:hint="eastAsia"/>
                <w:b/>
                <w:bCs/>
                <w:kern w:val="0"/>
                <w:sz w:val="21"/>
                <w:szCs w:val="21"/>
                <w:highlight w:val="none"/>
              </w:rPr>
              <w:t>收费标准（费率，%）</w:t>
            </w:r>
          </w:p>
        </w:tc>
      </w:tr>
      <w:tr w14:paraId="02458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17" w:type="dxa"/>
            <w:vAlign w:val="center"/>
          </w:tcPr>
          <w:p w14:paraId="09279347">
            <w:pPr>
              <w:adjustRightInd w:val="0"/>
              <w:snapToGrid w:val="0"/>
              <w:spacing w:line="288" w:lineRule="auto"/>
              <w:jc w:val="center"/>
              <w:rPr>
                <w:kern w:val="0"/>
                <w:sz w:val="21"/>
                <w:szCs w:val="21"/>
                <w:highlight w:val="none"/>
              </w:rPr>
            </w:pPr>
            <w:r>
              <w:rPr>
                <w:rFonts w:hint="eastAsia"/>
                <w:kern w:val="0"/>
                <w:sz w:val="21"/>
                <w:szCs w:val="21"/>
                <w:highlight w:val="none"/>
              </w:rPr>
              <w:t>100以下</w:t>
            </w:r>
          </w:p>
        </w:tc>
        <w:tc>
          <w:tcPr>
            <w:tcW w:w="3857" w:type="dxa"/>
            <w:vAlign w:val="center"/>
          </w:tcPr>
          <w:p w14:paraId="4E49AE15">
            <w:pPr>
              <w:adjustRightInd w:val="0"/>
              <w:snapToGrid w:val="0"/>
              <w:spacing w:line="288" w:lineRule="auto"/>
              <w:jc w:val="center"/>
              <w:rPr>
                <w:kern w:val="0"/>
                <w:sz w:val="21"/>
                <w:szCs w:val="21"/>
                <w:highlight w:val="none"/>
              </w:rPr>
            </w:pPr>
            <w:r>
              <w:rPr>
                <w:kern w:val="0"/>
                <w:sz w:val="21"/>
                <w:szCs w:val="21"/>
                <w:highlight w:val="none"/>
              </w:rPr>
              <w:t>0.7%</w:t>
            </w:r>
          </w:p>
          <w:p w14:paraId="7BA84AAB">
            <w:pPr>
              <w:adjustRightInd w:val="0"/>
              <w:snapToGrid w:val="0"/>
              <w:spacing w:line="288" w:lineRule="auto"/>
              <w:jc w:val="center"/>
              <w:rPr>
                <w:kern w:val="0"/>
                <w:sz w:val="21"/>
                <w:szCs w:val="21"/>
                <w:highlight w:val="none"/>
              </w:rPr>
            </w:pPr>
            <w:r>
              <w:rPr>
                <w:rFonts w:hint="eastAsia"/>
                <w:kern w:val="0"/>
                <w:sz w:val="21"/>
                <w:szCs w:val="21"/>
                <w:highlight w:val="none"/>
              </w:rPr>
              <w:t>（不足</w:t>
            </w:r>
            <w:r>
              <w:rPr>
                <w:kern w:val="0"/>
                <w:sz w:val="21"/>
                <w:szCs w:val="21"/>
                <w:highlight w:val="none"/>
              </w:rPr>
              <w:t>3000元按3000元计）</w:t>
            </w:r>
          </w:p>
        </w:tc>
      </w:tr>
      <w:tr w14:paraId="2F3FD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17" w:type="dxa"/>
            <w:vAlign w:val="center"/>
          </w:tcPr>
          <w:p w14:paraId="40BF2F3A">
            <w:pPr>
              <w:adjustRightInd w:val="0"/>
              <w:snapToGrid w:val="0"/>
              <w:spacing w:line="288" w:lineRule="auto"/>
              <w:jc w:val="center"/>
              <w:rPr>
                <w:kern w:val="0"/>
                <w:sz w:val="21"/>
                <w:szCs w:val="21"/>
                <w:highlight w:val="none"/>
              </w:rPr>
            </w:pPr>
            <w:r>
              <w:rPr>
                <w:kern w:val="0"/>
                <w:sz w:val="21"/>
                <w:szCs w:val="21"/>
                <w:highlight w:val="none"/>
              </w:rPr>
              <w:t>100-500</w:t>
            </w:r>
          </w:p>
        </w:tc>
        <w:tc>
          <w:tcPr>
            <w:tcW w:w="3857" w:type="dxa"/>
            <w:vAlign w:val="center"/>
          </w:tcPr>
          <w:p w14:paraId="01839034">
            <w:pPr>
              <w:adjustRightInd w:val="0"/>
              <w:snapToGrid w:val="0"/>
              <w:spacing w:line="288" w:lineRule="auto"/>
              <w:jc w:val="center"/>
              <w:rPr>
                <w:kern w:val="0"/>
                <w:sz w:val="21"/>
                <w:szCs w:val="21"/>
                <w:highlight w:val="none"/>
              </w:rPr>
            </w:pPr>
            <w:r>
              <w:rPr>
                <w:kern w:val="0"/>
                <w:sz w:val="21"/>
                <w:szCs w:val="21"/>
                <w:highlight w:val="none"/>
              </w:rPr>
              <w:t>0.49%</w:t>
            </w:r>
          </w:p>
        </w:tc>
      </w:tr>
    </w:tbl>
    <w:p w14:paraId="3EB4541F">
      <w:pPr>
        <w:adjustRightInd w:val="0"/>
        <w:snapToGrid w:val="0"/>
        <w:spacing w:line="288" w:lineRule="auto"/>
        <w:ind w:firstLine="420" w:firstLineChars="200"/>
        <w:rPr>
          <w:sz w:val="21"/>
          <w:szCs w:val="21"/>
          <w:highlight w:val="none"/>
        </w:rPr>
      </w:pPr>
      <w:r>
        <w:rPr>
          <w:rFonts w:hint="eastAsia"/>
          <w:sz w:val="21"/>
          <w:szCs w:val="21"/>
          <w:highlight w:val="none"/>
        </w:rPr>
        <w:t>5.磋商保证金（元）：无</w:t>
      </w:r>
    </w:p>
    <w:p w14:paraId="270C0BFB">
      <w:pPr>
        <w:adjustRightInd w:val="0"/>
        <w:snapToGrid w:val="0"/>
        <w:spacing w:line="288" w:lineRule="auto"/>
        <w:rPr>
          <w:b/>
          <w:bCs/>
          <w:sz w:val="21"/>
          <w:szCs w:val="21"/>
          <w:highlight w:val="none"/>
        </w:rPr>
      </w:pPr>
      <w:r>
        <w:rPr>
          <w:rFonts w:hint="eastAsia"/>
          <w:b/>
          <w:bCs/>
          <w:sz w:val="21"/>
          <w:szCs w:val="21"/>
          <w:highlight w:val="none"/>
        </w:rPr>
        <w:t>（六）联合体响应</w:t>
      </w:r>
    </w:p>
    <w:p w14:paraId="14346EC2">
      <w:pPr>
        <w:adjustRightInd w:val="0"/>
        <w:snapToGrid w:val="0"/>
        <w:spacing w:line="288" w:lineRule="auto"/>
        <w:ind w:firstLine="420" w:firstLineChars="200"/>
        <w:rPr>
          <w:sz w:val="21"/>
          <w:szCs w:val="21"/>
          <w:highlight w:val="none"/>
        </w:rPr>
      </w:pPr>
      <w:r>
        <w:rPr>
          <w:rFonts w:hint="eastAsia"/>
          <w:sz w:val="21"/>
          <w:szCs w:val="21"/>
          <w:highlight w:val="none"/>
        </w:rPr>
        <w:t>本项目（是）接受联合体响应。</w:t>
      </w:r>
    </w:p>
    <w:p w14:paraId="3A89C266">
      <w:pPr>
        <w:spacing w:line="288" w:lineRule="auto"/>
        <w:ind w:firstLine="420" w:firstLineChars="200"/>
        <w:rPr>
          <w:rFonts w:cs="Times New Roman"/>
          <w:sz w:val="21"/>
          <w:szCs w:val="22"/>
          <w:highlight w:val="none"/>
        </w:rPr>
      </w:pPr>
      <w:bookmarkStart w:id="37" w:name="_Hlk104288918"/>
      <w:r>
        <w:rPr>
          <w:rFonts w:hint="eastAsia" w:cs="Times New Roman"/>
          <w:sz w:val="21"/>
          <w:szCs w:val="22"/>
          <w:highlight w:val="none"/>
        </w:rPr>
        <w:t>两个以上的自然人、法人或者其他组织可以组成一个联合体，以一个供应商的身份共同参加政府采购。</w:t>
      </w:r>
    </w:p>
    <w:p w14:paraId="51F38631">
      <w:pPr>
        <w:adjustRightInd w:val="0"/>
        <w:snapToGrid w:val="0"/>
        <w:spacing w:line="288" w:lineRule="auto"/>
        <w:ind w:firstLine="420" w:firstLineChars="200"/>
        <w:rPr>
          <w:sz w:val="21"/>
          <w:szCs w:val="21"/>
          <w:highlight w:val="none"/>
        </w:rPr>
      </w:pPr>
      <w:r>
        <w:rPr>
          <w:rFonts w:hint="eastAsia" w:cs="Times New Roman"/>
          <w:sz w:val="21"/>
          <w:szCs w:val="22"/>
          <w:highlight w:val="none"/>
        </w:rPr>
        <w:t>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bookmarkEnd w:id="37"/>
    </w:p>
    <w:p w14:paraId="066FD60E">
      <w:pPr>
        <w:adjustRightInd w:val="0"/>
        <w:snapToGrid w:val="0"/>
        <w:spacing w:line="288" w:lineRule="auto"/>
        <w:rPr>
          <w:b/>
          <w:bCs/>
          <w:sz w:val="21"/>
          <w:szCs w:val="21"/>
          <w:highlight w:val="none"/>
        </w:rPr>
      </w:pPr>
      <w:r>
        <w:rPr>
          <w:rFonts w:hint="eastAsia"/>
          <w:b/>
          <w:bCs/>
          <w:sz w:val="21"/>
          <w:szCs w:val="21"/>
          <w:highlight w:val="none"/>
        </w:rPr>
        <w:t>（七）转包与分包</w:t>
      </w:r>
    </w:p>
    <w:p w14:paraId="0B7378CF">
      <w:pPr>
        <w:adjustRightInd w:val="0"/>
        <w:snapToGrid w:val="0"/>
        <w:spacing w:line="288" w:lineRule="auto"/>
        <w:ind w:firstLine="420" w:firstLineChars="200"/>
        <w:rPr>
          <w:sz w:val="21"/>
          <w:szCs w:val="21"/>
          <w:highlight w:val="none"/>
        </w:rPr>
      </w:pPr>
      <w:r>
        <w:rPr>
          <w:rFonts w:hint="eastAsia"/>
          <w:sz w:val="21"/>
          <w:szCs w:val="21"/>
          <w:highlight w:val="none"/>
        </w:rPr>
        <w:t>1.本项目不允许转包；</w:t>
      </w:r>
    </w:p>
    <w:p w14:paraId="67EE46A2">
      <w:pPr>
        <w:adjustRightInd w:val="0"/>
        <w:snapToGrid w:val="0"/>
        <w:spacing w:line="288" w:lineRule="auto"/>
        <w:ind w:firstLine="420" w:firstLineChars="200"/>
        <w:rPr>
          <w:sz w:val="21"/>
          <w:szCs w:val="21"/>
          <w:highlight w:val="none"/>
          <w:u w:val="single"/>
        </w:rPr>
      </w:pPr>
      <w:r>
        <w:rPr>
          <w:sz w:val="21"/>
          <w:szCs w:val="21"/>
          <w:highlight w:val="none"/>
        </w:rPr>
        <w:t>2.</w:t>
      </w:r>
      <w:r>
        <w:rPr>
          <w:rFonts w:hint="eastAsia"/>
          <w:sz w:val="21"/>
          <w:szCs w:val="21"/>
          <w:highlight w:val="none"/>
        </w:rPr>
        <w:t>本项目</w:t>
      </w:r>
      <w:r>
        <w:rPr>
          <w:rFonts w:hint="eastAsia"/>
          <w:b/>
          <w:bCs/>
          <w:sz w:val="21"/>
          <w:szCs w:val="21"/>
          <w:highlight w:val="none"/>
          <w:u w:val="single"/>
        </w:rPr>
        <w:t>允许</w:t>
      </w:r>
      <w:r>
        <w:rPr>
          <w:rFonts w:hint="eastAsia"/>
          <w:sz w:val="21"/>
          <w:szCs w:val="21"/>
          <w:highlight w:val="none"/>
        </w:rPr>
        <w:t>分包，</w:t>
      </w:r>
      <w:r>
        <w:rPr>
          <w:sz w:val="21"/>
          <w:szCs w:val="21"/>
          <w:highlight w:val="none"/>
        </w:rPr>
        <w:t>可以分包履行的（非主体、非关键性的工作）具体内容、金额或者比例</w:t>
      </w:r>
      <w:r>
        <w:rPr>
          <w:rFonts w:hint="eastAsia"/>
          <w:sz w:val="21"/>
          <w:szCs w:val="21"/>
          <w:highlight w:val="none"/>
        </w:rPr>
        <w:t>：</w:t>
      </w:r>
      <w:r>
        <w:rPr>
          <w:rFonts w:hint="eastAsia"/>
          <w:sz w:val="21"/>
          <w:szCs w:val="21"/>
          <w:highlight w:val="none"/>
          <w:u w:val="single"/>
        </w:rPr>
        <w:t>余方外运</w:t>
      </w:r>
      <w:r>
        <w:rPr>
          <w:sz w:val="21"/>
          <w:szCs w:val="21"/>
          <w:highlight w:val="none"/>
          <w:u w:val="single"/>
        </w:rPr>
        <w:t xml:space="preserve">  。</w:t>
      </w:r>
    </w:p>
    <w:p w14:paraId="3B189FDA">
      <w:pPr>
        <w:adjustRightInd w:val="0"/>
        <w:snapToGrid w:val="0"/>
        <w:spacing w:line="288" w:lineRule="auto"/>
        <w:ind w:firstLine="420" w:firstLineChars="200"/>
        <w:rPr>
          <w:sz w:val="21"/>
          <w:szCs w:val="21"/>
          <w:highlight w:val="none"/>
        </w:rPr>
      </w:pPr>
      <w:r>
        <w:rPr>
          <w:rFonts w:hint="eastAsia"/>
          <w:sz w:val="21"/>
          <w:szCs w:val="21"/>
          <w:highlight w:val="none"/>
        </w:rPr>
        <w:t>说明：供应商根据磋商文件的规定和采购项目的实际情况，拟在成交后将成交项目的非主体、非关键性工作分包的，应当在响应文件中载明分包承担主体，分包承担主体应当具备相应资质条件且不得再次分包。</w:t>
      </w:r>
    </w:p>
    <w:p w14:paraId="3AB9305C">
      <w:pPr>
        <w:adjustRightInd w:val="0"/>
        <w:snapToGrid w:val="0"/>
        <w:spacing w:line="288" w:lineRule="auto"/>
        <w:rPr>
          <w:b/>
          <w:bCs/>
          <w:sz w:val="21"/>
          <w:szCs w:val="21"/>
          <w:highlight w:val="none"/>
        </w:rPr>
      </w:pPr>
      <w:r>
        <w:rPr>
          <w:rFonts w:hint="eastAsia"/>
          <w:b/>
          <w:bCs/>
          <w:sz w:val="21"/>
          <w:szCs w:val="21"/>
          <w:highlight w:val="none"/>
        </w:rPr>
        <w:t>（八）质疑和投诉</w:t>
      </w:r>
    </w:p>
    <w:p w14:paraId="6D80FBCE">
      <w:pPr>
        <w:adjustRightInd w:val="0"/>
        <w:snapToGrid w:val="0"/>
        <w:spacing w:line="288" w:lineRule="auto"/>
        <w:ind w:firstLine="396" w:firstLineChars="200"/>
        <w:jc w:val="left"/>
        <w:rPr>
          <w:rFonts w:cs="Times New Roman"/>
          <w:spacing w:val="-6"/>
          <w:sz w:val="21"/>
          <w:szCs w:val="21"/>
          <w:highlight w:val="none"/>
        </w:rPr>
      </w:pPr>
      <w:bookmarkStart w:id="38" w:name="_Hlk92273406"/>
      <w:bookmarkStart w:id="39" w:name="_Hlk71884065"/>
      <w:r>
        <w:rPr>
          <w:rFonts w:hint="eastAsia" w:cs="Times New Roman"/>
          <w:spacing w:val="-6"/>
          <w:sz w:val="21"/>
          <w:szCs w:val="21"/>
          <w:highlight w:val="none"/>
        </w:rPr>
        <w:t>1</w:t>
      </w:r>
      <w:r>
        <w:rPr>
          <w:rFonts w:cs="Times New Roman"/>
          <w:spacing w:val="-6"/>
          <w:sz w:val="21"/>
          <w:szCs w:val="21"/>
          <w:highlight w:val="none"/>
        </w:rPr>
        <w:t>.</w:t>
      </w:r>
      <w:r>
        <w:rPr>
          <w:rFonts w:hint="eastAsia" w:cs="Times New Roman"/>
          <w:spacing w:val="-6"/>
          <w:sz w:val="21"/>
          <w:szCs w:val="21"/>
          <w:highlight w:val="none"/>
        </w:rPr>
        <w:t>供应商认为采购文件、采购过程、中标或者成交结果使自己的权益受到损害的，可以在知道或者应知其权益受到损害之日起</w:t>
      </w:r>
      <w:r>
        <w:rPr>
          <w:rFonts w:cs="Times New Roman"/>
          <w:spacing w:val="-6"/>
          <w:sz w:val="21"/>
          <w:szCs w:val="21"/>
          <w:highlight w:val="none"/>
        </w:rPr>
        <w:t>7个工作日内，以书面形式向采购人、采购代理机构提出质疑。</w:t>
      </w:r>
      <w:r>
        <w:rPr>
          <w:rFonts w:hint="eastAsia" w:cs="Times New Roman"/>
          <w:spacing w:val="-6"/>
          <w:sz w:val="21"/>
          <w:szCs w:val="21"/>
          <w:highlight w:val="none"/>
        </w:rPr>
        <w:t>质疑供应商对采购人、采购代理机构的答复不满意，或者采购人、采购代理机构未在规定时间内作出答复的，可以在答复期满后</w:t>
      </w:r>
      <w:r>
        <w:rPr>
          <w:rFonts w:cs="Times New Roman"/>
          <w:spacing w:val="-6"/>
          <w:sz w:val="21"/>
          <w:szCs w:val="21"/>
          <w:highlight w:val="none"/>
        </w:rPr>
        <w:t>15个工作日内向</w:t>
      </w:r>
      <w:r>
        <w:rPr>
          <w:rFonts w:hint="eastAsia" w:cs="Times New Roman"/>
          <w:spacing w:val="-6"/>
          <w:sz w:val="21"/>
          <w:szCs w:val="21"/>
          <w:highlight w:val="none"/>
        </w:rPr>
        <w:t>本级财政部门</w:t>
      </w:r>
      <w:r>
        <w:rPr>
          <w:rFonts w:cs="Times New Roman"/>
          <w:spacing w:val="-6"/>
          <w:sz w:val="21"/>
          <w:szCs w:val="21"/>
          <w:highlight w:val="none"/>
        </w:rPr>
        <w:t>提起投诉。</w:t>
      </w:r>
      <w:bookmarkEnd w:id="38"/>
    </w:p>
    <w:p w14:paraId="08490B7F">
      <w:pPr>
        <w:adjustRightInd w:val="0"/>
        <w:snapToGrid w:val="0"/>
        <w:spacing w:line="288" w:lineRule="auto"/>
        <w:ind w:firstLine="422" w:firstLineChars="200"/>
        <w:rPr>
          <w:b/>
          <w:bCs/>
          <w:sz w:val="21"/>
          <w:szCs w:val="21"/>
          <w:highlight w:val="none"/>
        </w:rPr>
      </w:pPr>
      <w:r>
        <w:rPr>
          <w:rFonts w:hint="eastAsia"/>
          <w:b/>
          <w:bCs/>
          <w:sz w:val="21"/>
          <w:szCs w:val="21"/>
          <w:highlight w:val="none"/>
        </w:rPr>
        <w:t>2.供应商提出质疑应当提交质疑函和必要的证明材料，质疑函范本、投诉书范本请到浙江政府采购网下载专区</w:t>
      </w:r>
      <w:r>
        <w:rPr>
          <w:b/>
          <w:bCs/>
          <w:sz w:val="21"/>
          <w:szCs w:val="21"/>
          <w:highlight w:val="none"/>
        </w:rPr>
        <w:t>下载。</w:t>
      </w:r>
      <w:r>
        <w:rPr>
          <w:rFonts w:hint="eastAsia"/>
          <w:b/>
          <w:bCs/>
          <w:sz w:val="21"/>
          <w:szCs w:val="21"/>
          <w:highlight w:val="none"/>
        </w:rPr>
        <w:t>质疑函应当包括下列内容：</w:t>
      </w:r>
    </w:p>
    <w:p w14:paraId="754AABC6">
      <w:pPr>
        <w:adjustRightInd w:val="0"/>
        <w:snapToGrid w:val="0"/>
        <w:spacing w:line="288" w:lineRule="auto"/>
        <w:ind w:firstLine="420" w:firstLineChars="200"/>
        <w:rPr>
          <w:sz w:val="21"/>
          <w:szCs w:val="21"/>
          <w:highlight w:val="none"/>
        </w:rPr>
      </w:pPr>
      <w:r>
        <w:rPr>
          <w:rFonts w:hint="eastAsia"/>
          <w:sz w:val="21"/>
          <w:szCs w:val="21"/>
          <w:highlight w:val="none"/>
        </w:rPr>
        <w:t>（1）供应商的姓名或者名称、地址、邮编、联系人及联系电话；</w:t>
      </w:r>
    </w:p>
    <w:p w14:paraId="4CACC450">
      <w:pPr>
        <w:adjustRightInd w:val="0"/>
        <w:snapToGrid w:val="0"/>
        <w:spacing w:line="288" w:lineRule="auto"/>
        <w:ind w:firstLine="420" w:firstLineChars="200"/>
        <w:rPr>
          <w:sz w:val="21"/>
          <w:szCs w:val="21"/>
          <w:highlight w:val="none"/>
        </w:rPr>
      </w:pPr>
      <w:r>
        <w:rPr>
          <w:rFonts w:hint="eastAsia"/>
          <w:sz w:val="21"/>
          <w:szCs w:val="21"/>
          <w:highlight w:val="none"/>
        </w:rPr>
        <w:t>（2）质疑项目的名称、编号；</w:t>
      </w:r>
    </w:p>
    <w:p w14:paraId="1AF414CB">
      <w:pPr>
        <w:adjustRightInd w:val="0"/>
        <w:snapToGrid w:val="0"/>
        <w:spacing w:line="288" w:lineRule="auto"/>
        <w:ind w:firstLine="420" w:firstLineChars="200"/>
        <w:rPr>
          <w:sz w:val="21"/>
          <w:szCs w:val="21"/>
          <w:highlight w:val="none"/>
        </w:rPr>
      </w:pPr>
      <w:r>
        <w:rPr>
          <w:rFonts w:hint="eastAsia"/>
          <w:sz w:val="21"/>
          <w:szCs w:val="21"/>
          <w:highlight w:val="none"/>
        </w:rPr>
        <w:t>（3）具体、明确的质疑事项和与质疑事项相关的请求；</w:t>
      </w:r>
    </w:p>
    <w:p w14:paraId="20CE8085">
      <w:pPr>
        <w:adjustRightInd w:val="0"/>
        <w:snapToGrid w:val="0"/>
        <w:spacing w:line="288" w:lineRule="auto"/>
        <w:ind w:firstLine="420" w:firstLineChars="200"/>
        <w:rPr>
          <w:sz w:val="21"/>
          <w:szCs w:val="21"/>
          <w:highlight w:val="none"/>
        </w:rPr>
      </w:pPr>
      <w:r>
        <w:rPr>
          <w:rFonts w:hint="eastAsia"/>
          <w:sz w:val="21"/>
          <w:szCs w:val="21"/>
          <w:highlight w:val="none"/>
        </w:rPr>
        <w:t>（4）事实依据；</w:t>
      </w:r>
    </w:p>
    <w:p w14:paraId="2D2540D0">
      <w:pPr>
        <w:adjustRightInd w:val="0"/>
        <w:snapToGrid w:val="0"/>
        <w:spacing w:line="288" w:lineRule="auto"/>
        <w:ind w:firstLine="420" w:firstLineChars="200"/>
        <w:rPr>
          <w:sz w:val="21"/>
          <w:szCs w:val="21"/>
          <w:highlight w:val="none"/>
        </w:rPr>
      </w:pPr>
      <w:r>
        <w:rPr>
          <w:rFonts w:hint="eastAsia"/>
          <w:sz w:val="21"/>
          <w:szCs w:val="21"/>
          <w:highlight w:val="none"/>
        </w:rPr>
        <w:t>（5）必要的法律依据；</w:t>
      </w:r>
    </w:p>
    <w:p w14:paraId="093444E1">
      <w:pPr>
        <w:adjustRightInd w:val="0"/>
        <w:snapToGrid w:val="0"/>
        <w:spacing w:line="288" w:lineRule="auto"/>
        <w:ind w:firstLine="420" w:firstLineChars="200"/>
        <w:rPr>
          <w:sz w:val="21"/>
          <w:szCs w:val="21"/>
          <w:highlight w:val="none"/>
        </w:rPr>
      </w:pPr>
      <w:r>
        <w:rPr>
          <w:rFonts w:hint="eastAsia"/>
          <w:sz w:val="21"/>
          <w:szCs w:val="21"/>
          <w:highlight w:val="none"/>
        </w:rPr>
        <w:t>（6）提出质疑的日期。</w:t>
      </w:r>
    </w:p>
    <w:p w14:paraId="354332FF">
      <w:pPr>
        <w:adjustRightInd w:val="0"/>
        <w:snapToGrid w:val="0"/>
        <w:spacing w:line="288" w:lineRule="auto"/>
        <w:ind w:firstLine="420" w:firstLineChars="200"/>
        <w:rPr>
          <w:sz w:val="21"/>
          <w:szCs w:val="21"/>
          <w:highlight w:val="none"/>
        </w:rPr>
      </w:pPr>
      <w:r>
        <w:rPr>
          <w:rFonts w:hint="eastAsia"/>
          <w:sz w:val="21"/>
          <w:szCs w:val="21"/>
          <w:highlight w:val="none"/>
        </w:rPr>
        <w:t>供应商为自然人的，应当由本人签名；供应商为法人或者其他组织的，应当由法定代表人、主要负责人，或者其授权代表签名或者盖章，并加盖公章。</w:t>
      </w:r>
    </w:p>
    <w:p w14:paraId="6E083082">
      <w:pPr>
        <w:adjustRightInd w:val="0"/>
        <w:snapToGrid w:val="0"/>
        <w:spacing w:line="288" w:lineRule="auto"/>
        <w:ind w:firstLine="420" w:firstLineChars="200"/>
        <w:rPr>
          <w:b/>
          <w:bCs/>
          <w:sz w:val="21"/>
          <w:szCs w:val="21"/>
          <w:highlight w:val="none"/>
        </w:rPr>
      </w:pPr>
      <w:r>
        <w:rPr>
          <w:rFonts w:hint="eastAsia"/>
          <w:sz w:val="21"/>
          <w:szCs w:val="21"/>
          <w:highlight w:val="none"/>
        </w:rPr>
        <w:t>3.提出质疑的供应商应当是参与本项目磋商响应活动的供应商。</w:t>
      </w:r>
      <w:r>
        <w:rPr>
          <w:rFonts w:hint="eastAsia"/>
          <w:b/>
          <w:bCs/>
          <w:sz w:val="21"/>
          <w:szCs w:val="21"/>
          <w:highlight w:val="none"/>
        </w:rPr>
        <w:t>供应商在法定质疑期内应一次性提出针对同一采购程序环节的质疑。</w:t>
      </w:r>
    </w:p>
    <w:p w14:paraId="4B39DD31">
      <w:pPr>
        <w:adjustRightInd w:val="0"/>
        <w:snapToGrid w:val="0"/>
        <w:spacing w:line="288" w:lineRule="auto"/>
        <w:ind w:firstLine="420" w:firstLineChars="200"/>
        <w:rPr>
          <w:sz w:val="21"/>
          <w:szCs w:val="21"/>
          <w:highlight w:val="none"/>
        </w:rPr>
      </w:pPr>
      <w:r>
        <w:rPr>
          <w:rFonts w:hint="eastAsia"/>
          <w:sz w:val="21"/>
          <w:szCs w:val="21"/>
          <w:highlight w:val="none"/>
        </w:rPr>
        <w:t>4.根据《政府采购质疑和投诉办法》第三十七条的规定，投诉人在全国范围12个月内三次以上投诉查无实据的，由财政部门列入不良行为记录名单。</w:t>
      </w:r>
    </w:p>
    <w:p w14:paraId="05E78549">
      <w:pPr>
        <w:adjustRightInd w:val="0"/>
        <w:snapToGrid w:val="0"/>
        <w:spacing w:line="288" w:lineRule="auto"/>
        <w:ind w:firstLine="420" w:firstLineChars="200"/>
        <w:rPr>
          <w:sz w:val="21"/>
          <w:szCs w:val="21"/>
          <w:highlight w:val="none"/>
        </w:rPr>
      </w:pPr>
      <w:r>
        <w:rPr>
          <w:rFonts w:hint="eastAsia"/>
          <w:sz w:val="21"/>
          <w:szCs w:val="21"/>
          <w:highlight w:val="none"/>
        </w:rPr>
        <w:t>投诉人有下列行为之一的，属于虚假、恶意投诉，由财政部门列入不良行为记录名单，禁止其1至3年内参加政府采购活动：</w:t>
      </w:r>
    </w:p>
    <w:p w14:paraId="1DF0E4E3">
      <w:pPr>
        <w:adjustRightInd w:val="0"/>
        <w:snapToGrid w:val="0"/>
        <w:spacing w:line="288" w:lineRule="auto"/>
        <w:ind w:firstLine="420" w:firstLineChars="200"/>
        <w:rPr>
          <w:sz w:val="21"/>
          <w:szCs w:val="21"/>
          <w:highlight w:val="none"/>
        </w:rPr>
      </w:pPr>
      <w:r>
        <w:rPr>
          <w:rFonts w:hint="eastAsia"/>
          <w:sz w:val="21"/>
          <w:szCs w:val="21"/>
          <w:highlight w:val="none"/>
        </w:rPr>
        <w:t>（1）捏造事实；</w:t>
      </w:r>
    </w:p>
    <w:p w14:paraId="3D89A81D">
      <w:pPr>
        <w:adjustRightInd w:val="0"/>
        <w:snapToGrid w:val="0"/>
        <w:spacing w:line="288" w:lineRule="auto"/>
        <w:ind w:firstLine="420" w:firstLineChars="200"/>
        <w:rPr>
          <w:sz w:val="21"/>
          <w:szCs w:val="21"/>
          <w:highlight w:val="none"/>
        </w:rPr>
      </w:pPr>
      <w:r>
        <w:rPr>
          <w:rFonts w:hint="eastAsia"/>
          <w:sz w:val="21"/>
          <w:szCs w:val="21"/>
          <w:highlight w:val="none"/>
        </w:rPr>
        <w:t>（2）提供虚假材料；</w:t>
      </w:r>
    </w:p>
    <w:p w14:paraId="65033D98">
      <w:pPr>
        <w:adjustRightInd w:val="0"/>
        <w:snapToGrid w:val="0"/>
        <w:spacing w:line="288" w:lineRule="auto"/>
        <w:ind w:firstLine="420" w:firstLineChars="200"/>
        <w:rPr>
          <w:sz w:val="21"/>
          <w:szCs w:val="21"/>
          <w:highlight w:val="none"/>
        </w:rPr>
      </w:pPr>
      <w:r>
        <w:rPr>
          <w:rFonts w:hint="eastAsia"/>
          <w:sz w:val="21"/>
          <w:szCs w:val="21"/>
          <w:highlight w:val="none"/>
        </w:rPr>
        <w:t>（3）以非法手段取得证明材料。证据来源的合法性存在明显疑问，投诉人无法证明其取得方式合法的，视为以非法手段取得证明材料。</w:t>
      </w:r>
    </w:p>
    <w:bookmarkEnd w:id="39"/>
    <w:p w14:paraId="485EE0FC">
      <w:pPr>
        <w:adjustRightInd w:val="0"/>
        <w:snapToGrid w:val="0"/>
        <w:spacing w:line="288" w:lineRule="auto"/>
        <w:rPr>
          <w:b/>
          <w:spacing w:val="-6"/>
          <w:kern w:val="0"/>
          <w:sz w:val="21"/>
          <w:szCs w:val="21"/>
          <w:highlight w:val="none"/>
        </w:rPr>
      </w:pPr>
      <w:bookmarkStart w:id="40" w:name="_Hlk92273111"/>
      <w:r>
        <w:rPr>
          <w:b/>
          <w:spacing w:val="-6"/>
          <w:kern w:val="0"/>
          <w:sz w:val="21"/>
          <w:szCs w:val="21"/>
          <w:highlight w:val="none"/>
        </w:rPr>
        <w:t>（</w:t>
      </w:r>
      <w:r>
        <w:rPr>
          <w:rFonts w:hint="eastAsia"/>
          <w:b/>
          <w:spacing w:val="-6"/>
          <w:kern w:val="0"/>
          <w:sz w:val="21"/>
          <w:szCs w:val="21"/>
          <w:highlight w:val="none"/>
        </w:rPr>
        <w:t>九</w:t>
      </w:r>
      <w:r>
        <w:rPr>
          <w:b/>
          <w:spacing w:val="-6"/>
          <w:kern w:val="0"/>
          <w:sz w:val="21"/>
          <w:szCs w:val="21"/>
          <w:highlight w:val="none"/>
        </w:rPr>
        <w:t>）</w:t>
      </w:r>
      <w:r>
        <w:rPr>
          <w:rFonts w:hint="eastAsia"/>
          <w:b/>
          <w:spacing w:val="-6"/>
          <w:kern w:val="0"/>
          <w:sz w:val="21"/>
          <w:szCs w:val="21"/>
          <w:highlight w:val="none"/>
        </w:rPr>
        <w:t>采购项目需要落实的政府采购政策</w:t>
      </w:r>
    </w:p>
    <w:p w14:paraId="7AEA0B8B">
      <w:pPr>
        <w:adjustRightInd w:val="0"/>
        <w:snapToGrid w:val="0"/>
        <w:spacing w:line="288" w:lineRule="auto"/>
        <w:ind w:firstLine="398" w:firstLineChars="200"/>
        <w:jc w:val="left"/>
        <w:rPr>
          <w:rFonts w:cs="Times New Roman"/>
          <w:spacing w:val="-6"/>
          <w:sz w:val="21"/>
          <w:szCs w:val="21"/>
          <w:highlight w:val="none"/>
        </w:rPr>
      </w:pPr>
      <w:r>
        <w:rPr>
          <w:rFonts w:hint="eastAsia" w:cs="Times New Roman"/>
          <w:b/>
          <w:bCs/>
          <w:spacing w:val="-6"/>
          <w:sz w:val="21"/>
          <w:szCs w:val="21"/>
          <w:highlight w:val="none"/>
        </w:rPr>
        <w:t>1</w:t>
      </w:r>
      <w:r>
        <w:rPr>
          <w:rFonts w:cs="Times New Roman"/>
          <w:b/>
          <w:bCs/>
          <w:spacing w:val="-6"/>
          <w:sz w:val="21"/>
          <w:szCs w:val="21"/>
          <w:highlight w:val="none"/>
        </w:rPr>
        <w:t>.</w:t>
      </w:r>
      <w:r>
        <w:rPr>
          <w:rFonts w:cs="Times New Roman"/>
          <w:spacing w:val="-6"/>
          <w:sz w:val="21"/>
          <w:szCs w:val="21"/>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7FC9D831">
      <w:pPr>
        <w:adjustRightInd w:val="0"/>
        <w:snapToGrid w:val="0"/>
        <w:spacing w:line="288" w:lineRule="auto"/>
        <w:ind w:firstLine="398" w:firstLineChars="200"/>
        <w:jc w:val="left"/>
        <w:rPr>
          <w:rFonts w:cs="Times New Roman"/>
          <w:b/>
          <w:bCs/>
          <w:spacing w:val="-6"/>
          <w:sz w:val="21"/>
          <w:szCs w:val="21"/>
          <w:highlight w:val="none"/>
        </w:rPr>
      </w:pPr>
      <w:r>
        <w:rPr>
          <w:rFonts w:cs="Times New Roman"/>
          <w:b/>
          <w:bCs/>
          <w:spacing w:val="-6"/>
          <w:sz w:val="21"/>
          <w:szCs w:val="21"/>
          <w:highlight w:val="none"/>
        </w:rPr>
        <w:t>2.支持绿色发展</w:t>
      </w:r>
    </w:p>
    <w:p w14:paraId="7D77C403">
      <w:pPr>
        <w:adjustRightInd w:val="0"/>
        <w:snapToGrid w:val="0"/>
        <w:spacing w:line="288" w:lineRule="auto"/>
        <w:ind w:firstLine="396" w:firstLineChars="200"/>
        <w:jc w:val="left"/>
        <w:rPr>
          <w:rFonts w:cs="Times New Roman"/>
          <w:spacing w:val="-6"/>
          <w:sz w:val="21"/>
          <w:szCs w:val="21"/>
          <w:highlight w:val="none"/>
        </w:rPr>
      </w:pPr>
      <w:r>
        <w:rPr>
          <w:rFonts w:cs="Times New Roman"/>
          <w:spacing w:val="-6"/>
          <w:sz w:val="21"/>
          <w:szCs w:val="21"/>
          <w:highlight w:val="none"/>
        </w:rPr>
        <w:t>采购人拟采购的产品属于品目清单范围的，采购人及其委托的采购代理机构将依据国家确定的认证机构出具的、有效的节能产品、环境标志产品认证证书，对获得证书的产品实施政府优先采购或强制采购。供应商须按磋商文件要求提供相关产品认证证书。</w:t>
      </w:r>
    </w:p>
    <w:p w14:paraId="76A79CCD">
      <w:pPr>
        <w:adjustRightInd w:val="0"/>
        <w:snapToGrid w:val="0"/>
        <w:spacing w:line="288" w:lineRule="auto"/>
        <w:ind w:firstLine="396" w:firstLineChars="200"/>
        <w:jc w:val="left"/>
        <w:rPr>
          <w:rFonts w:cs="Times New Roman"/>
          <w:spacing w:val="-6"/>
          <w:sz w:val="21"/>
          <w:szCs w:val="21"/>
          <w:highlight w:val="none"/>
          <w:u w:val="single"/>
        </w:rPr>
      </w:pPr>
      <w:r>
        <w:rPr>
          <w:rFonts w:cs="Times New Roman"/>
          <w:spacing w:val="-6"/>
          <w:sz w:val="21"/>
          <w:szCs w:val="21"/>
          <w:highlight w:val="none"/>
          <w:u w:val="single"/>
        </w:rPr>
        <w:t>▲采购人拟采购的产品属于政府强制采购的节能产品品目清单范围的，供应商未按磋商文件要求提供国家确定的认证机构出具的、有效的节能产品认证证书的，</w:t>
      </w:r>
      <w:r>
        <w:rPr>
          <w:rFonts w:hint="eastAsia" w:cs="Times New Roman"/>
          <w:spacing w:val="-6"/>
          <w:sz w:val="21"/>
          <w:szCs w:val="21"/>
          <w:highlight w:val="none"/>
          <w:u w:val="single"/>
        </w:rPr>
        <w:t>响应</w:t>
      </w:r>
      <w:r>
        <w:rPr>
          <w:rFonts w:cs="Times New Roman"/>
          <w:spacing w:val="-6"/>
          <w:sz w:val="21"/>
          <w:szCs w:val="21"/>
          <w:highlight w:val="none"/>
          <w:u w:val="single"/>
        </w:rPr>
        <w:t>无效。</w:t>
      </w:r>
    </w:p>
    <w:p w14:paraId="17374C1A">
      <w:pPr>
        <w:adjustRightInd w:val="0"/>
        <w:snapToGrid w:val="0"/>
        <w:spacing w:line="288" w:lineRule="auto"/>
        <w:ind w:firstLine="396" w:firstLineChars="200"/>
        <w:jc w:val="left"/>
        <w:rPr>
          <w:rFonts w:cs="Times New Roman"/>
          <w:spacing w:val="-6"/>
          <w:sz w:val="21"/>
          <w:szCs w:val="21"/>
          <w:highlight w:val="none"/>
        </w:rPr>
      </w:pPr>
      <w:r>
        <w:rPr>
          <w:rFonts w:cs="Times New Roman"/>
          <w:spacing w:val="-6"/>
          <w:sz w:val="21"/>
          <w:szCs w:val="21"/>
          <w:highlight w:val="none"/>
        </w:rPr>
        <w:t>修缮、装修类项目采购建材的，采购人应将绿色建筑和绿色建材性能、指标等作为实质性条件纳入磋商文件和合同。</w:t>
      </w:r>
    </w:p>
    <w:p w14:paraId="3F6F3D03">
      <w:pPr>
        <w:adjustRightInd w:val="0"/>
        <w:snapToGrid w:val="0"/>
        <w:spacing w:line="288" w:lineRule="auto"/>
        <w:ind w:firstLine="396" w:firstLineChars="200"/>
        <w:jc w:val="left"/>
        <w:rPr>
          <w:rFonts w:cs="Times New Roman"/>
          <w:spacing w:val="-6"/>
          <w:sz w:val="21"/>
          <w:szCs w:val="21"/>
          <w:highlight w:val="none"/>
        </w:rPr>
      </w:pPr>
      <w:r>
        <w:rPr>
          <w:rFonts w:cs="Times New Roman"/>
          <w:spacing w:val="-6"/>
          <w:sz w:val="21"/>
          <w:szCs w:val="21"/>
          <w:highlight w:val="none"/>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29848571">
      <w:pPr>
        <w:adjustRightInd w:val="0"/>
        <w:snapToGrid w:val="0"/>
        <w:spacing w:line="288" w:lineRule="auto"/>
        <w:ind w:firstLine="398" w:firstLineChars="200"/>
        <w:jc w:val="left"/>
        <w:rPr>
          <w:rFonts w:cs="Times New Roman"/>
          <w:b/>
          <w:bCs/>
          <w:spacing w:val="-6"/>
          <w:sz w:val="21"/>
          <w:szCs w:val="21"/>
          <w:highlight w:val="none"/>
        </w:rPr>
      </w:pPr>
      <w:r>
        <w:rPr>
          <w:rFonts w:cs="Times New Roman"/>
          <w:b/>
          <w:bCs/>
          <w:spacing w:val="-6"/>
          <w:sz w:val="21"/>
          <w:szCs w:val="21"/>
          <w:highlight w:val="none"/>
        </w:rPr>
        <w:t>3.支持科技创新</w:t>
      </w:r>
      <w:r>
        <w:rPr>
          <w:rFonts w:hint="eastAsia" w:cs="Times New Roman"/>
          <w:b/>
          <w:bCs/>
          <w:spacing w:val="-6"/>
          <w:sz w:val="21"/>
          <w:szCs w:val="21"/>
          <w:highlight w:val="none"/>
        </w:rPr>
        <w:t>（不适用）</w:t>
      </w:r>
    </w:p>
    <w:p w14:paraId="5C00025C">
      <w:pPr>
        <w:adjustRightInd w:val="0"/>
        <w:snapToGrid w:val="0"/>
        <w:spacing w:line="288" w:lineRule="auto"/>
        <w:ind w:firstLine="396" w:firstLineChars="200"/>
        <w:jc w:val="left"/>
        <w:rPr>
          <w:rFonts w:cs="Times New Roman"/>
          <w:spacing w:val="-6"/>
          <w:sz w:val="21"/>
          <w:szCs w:val="21"/>
          <w:highlight w:val="none"/>
        </w:rPr>
      </w:pPr>
      <w:r>
        <w:rPr>
          <w:rFonts w:hint="eastAsia" w:cs="Times New Roman"/>
          <w:spacing w:val="-6"/>
          <w:sz w:val="21"/>
          <w:szCs w:val="21"/>
          <w:highlight w:val="none"/>
        </w:rPr>
        <w:t>优先推荐专精特新中小企业、创新产品参加政府采购活动。对省级以上主管部门认定的首台套产品，自纳入《省推广应用指导目录》起三年内参加政府采购活动，视同已具备相应销售业绩，业绩分为满分。</w:t>
      </w:r>
      <w:bookmarkStart w:id="41" w:name="_Hlk106875293"/>
    </w:p>
    <w:bookmarkEnd w:id="41"/>
    <w:p w14:paraId="07677A1D">
      <w:pPr>
        <w:adjustRightInd w:val="0"/>
        <w:snapToGrid w:val="0"/>
        <w:spacing w:line="288" w:lineRule="auto"/>
        <w:ind w:firstLine="398" w:firstLineChars="200"/>
        <w:jc w:val="left"/>
        <w:rPr>
          <w:rFonts w:cs="Times New Roman"/>
          <w:b/>
          <w:bCs/>
          <w:spacing w:val="-6"/>
          <w:sz w:val="21"/>
          <w:szCs w:val="21"/>
          <w:highlight w:val="none"/>
        </w:rPr>
      </w:pPr>
      <w:r>
        <w:rPr>
          <w:rFonts w:cs="Times New Roman"/>
          <w:b/>
          <w:bCs/>
          <w:spacing w:val="-6"/>
          <w:sz w:val="21"/>
          <w:szCs w:val="21"/>
          <w:highlight w:val="none"/>
        </w:rPr>
        <w:t>4.支持中小企业发展</w:t>
      </w:r>
    </w:p>
    <w:p w14:paraId="27C45339">
      <w:pPr>
        <w:adjustRightInd w:val="0"/>
        <w:snapToGrid w:val="0"/>
        <w:spacing w:line="288" w:lineRule="auto"/>
        <w:ind w:firstLine="396" w:firstLineChars="200"/>
        <w:jc w:val="left"/>
        <w:rPr>
          <w:rFonts w:cs="Times New Roman"/>
          <w:spacing w:val="-6"/>
          <w:sz w:val="21"/>
          <w:szCs w:val="21"/>
          <w:highlight w:val="none"/>
        </w:rPr>
      </w:pPr>
      <w:r>
        <w:rPr>
          <w:rFonts w:cs="Times New Roman"/>
          <w:spacing w:val="-6"/>
          <w:sz w:val="21"/>
          <w:szCs w:val="21"/>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31B97D63">
      <w:pPr>
        <w:adjustRightInd w:val="0"/>
        <w:snapToGrid w:val="0"/>
        <w:spacing w:line="288" w:lineRule="auto"/>
        <w:ind w:firstLine="396" w:firstLineChars="200"/>
        <w:jc w:val="left"/>
        <w:rPr>
          <w:rFonts w:cs="Times New Roman"/>
          <w:spacing w:val="-6"/>
          <w:sz w:val="21"/>
          <w:szCs w:val="21"/>
          <w:highlight w:val="none"/>
        </w:rPr>
      </w:pPr>
      <w:r>
        <w:rPr>
          <w:rFonts w:hint="eastAsia" w:cs="Times New Roman"/>
          <w:spacing w:val="-6"/>
          <w:sz w:val="21"/>
          <w:szCs w:val="21"/>
          <w:highlight w:val="none"/>
        </w:rPr>
        <w:t>符合中小企业划分标准的个体工商户，在政府采购活动中视同中小企业。</w:t>
      </w:r>
    </w:p>
    <w:p w14:paraId="340C03FA">
      <w:pPr>
        <w:adjustRightInd w:val="0"/>
        <w:snapToGrid w:val="0"/>
        <w:spacing w:line="288" w:lineRule="auto"/>
        <w:ind w:firstLine="396" w:firstLineChars="200"/>
        <w:jc w:val="left"/>
        <w:rPr>
          <w:rFonts w:cs="Times New Roman"/>
          <w:spacing w:val="-6"/>
          <w:sz w:val="21"/>
          <w:szCs w:val="21"/>
          <w:highlight w:val="none"/>
        </w:rPr>
      </w:pPr>
      <w:r>
        <w:rPr>
          <w:rFonts w:cs="Times New Roman"/>
          <w:spacing w:val="-6"/>
          <w:sz w:val="21"/>
          <w:szCs w:val="21"/>
          <w:highlight w:val="none"/>
        </w:rPr>
        <w:t>在政府采购活动中，供应商提供的货物、工程或者服务符合下列情形的，享受中小企业扶持政策：</w:t>
      </w:r>
    </w:p>
    <w:p w14:paraId="4C014C76">
      <w:pPr>
        <w:adjustRightInd w:val="0"/>
        <w:snapToGrid w:val="0"/>
        <w:spacing w:line="288" w:lineRule="auto"/>
        <w:ind w:firstLine="396" w:firstLineChars="200"/>
        <w:jc w:val="left"/>
        <w:rPr>
          <w:rFonts w:cs="Times New Roman"/>
          <w:spacing w:val="-6"/>
          <w:sz w:val="21"/>
          <w:szCs w:val="21"/>
          <w:highlight w:val="none"/>
        </w:rPr>
      </w:pPr>
      <w:r>
        <w:rPr>
          <w:rFonts w:cs="Times New Roman"/>
          <w:spacing w:val="-6"/>
          <w:sz w:val="21"/>
          <w:szCs w:val="21"/>
          <w:highlight w:val="none"/>
        </w:rPr>
        <w:t>在货物采购项目中，货物由中小企业制造，即货物由中小企业生产且使用该中小企业商号或者注册商标；在工程采购项目中，工程由中小企业承建，即工程施工单位为中小企业；在服务采购项目中，服务由中小企业承接，即提供服务的人员为中小企业依照《中华人民共和国劳动合同法》订立劳动合同的从业人员。</w:t>
      </w:r>
    </w:p>
    <w:p w14:paraId="68DF1F02">
      <w:pPr>
        <w:adjustRightInd w:val="0"/>
        <w:snapToGrid w:val="0"/>
        <w:spacing w:line="288" w:lineRule="auto"/>
        <w:ind w:firstLine="396" w:firstLineChars="200"/>
        <w:jc w:val="left"/>
        <w:rPr>
          <w:rFonts w:cs="Times New Roman"/>
          <w:spacing w:val="-6"/>
          <w:sz w:val="21"/>
          <w:szCs w:val="21"/>
          <w:highlight w:val="none"/>
        </w:rPr>
      </w:pPr>
      <w:r>
        <w:rPr>
          <w:rFonts w:hint="eastAsia" w:cs="Times New Roman"/>
          <w:spacing w:val="-6"/>
          <w:sz w:val="21"/>
          <w:szCs w:val="21"/>
          <w:highlight w:val="none"/>
        </w:rPr>
        <w:t>在货物采购项目中，供应商提供的货物既有中小企业制造货物，也有大型企业制造货物的，不享受中小企业扶持政策。</w:t>
      </w:r>
    </w:p>
    <w:p w14:paraId="52B58F41">
      <w:pPr>
        <w:adjustRightInd w:val="0"/>
        <w:snapToGrid w:val="0"/>
        <w:spacing w:line="288" w:lineRule="auto"/>
        <w:ind w:firstLine="396" w:firstLineChars="200"/>
        <w:jc w:val="left"/>
        <w:rPr>
          <w:rFonts w:cs="Times New Roman"/>
          <w:spacing w:val="-6"/>
          <w:sz w:val="21"/>
          <w:szCs w:val="21"/>
          <w:highlight w:val="none"/>
        </w:rPr>
      </w:pPr>
      <w:r>
        <w:rPr>
          <w:rFonts w:hint="eastAsia" w:cs="Times New Roman"/>
          <w:spacing w:val="-6"/>
          <w:sz w:val="21"/>
          <w:szCs w:val="21"/>
          <w:highlight w:val="none"/>
        </w:rPr>
        <w:t>以联合体形式参加政府采购活动，联合体各方均为中小企业的，联合体视同中小企业。其中，联合体各方均为小微企业的，联合体视同小微企业。</w:t>
      </w:r>
    </w:p>
    <w:p w14:paraId="1A45904D">
      <w:pPr>
        <w:adjustRightInd w:val="0"/>
        <w:snapToGrid w:val="0"/>
        <w:spacing w:line="288" w:lineRule="auto"/>
        <w:ind w:firstLine="396" w:firstLineChars="200"/>
        <w:jc w:val="left"/>
        <w:rPr>
          <w:rFonts w:cs="Times New Roman"/>
          <w:spacing w:val="-6"/>
          <w:sz w:val="21"/>
          <w:szCs w:val="21"/>
          <w:highlight w:val="none"/>
          <w:u w:val="single"/>
        </w:rPr>
      </w:pPr>
      <w:r>
        <w:rPr>
          <w:rFonts w:cs="Times New Roman"/>
          <w:spacing w:val="-6"/>
          <w:sz w:val="21"/>
          <w:szCs w:val="21"/>
          <w:highlight w:val="none"/>
          <w:u w:val="single"/>
        </w:rPr>
        <w:t>符合《关于促进残疾人就业政府采购政策的通知》（财库〔2017〕141号）规定的条件并提供《残疾人福利性单位声明函》的残疾人福利性单位视同小型、微型企业；</w:t>
      </w:r>
    </w:p>
    <w:p w14:paraId="79BD8BB9">
      <w:pPr>
        <w:adjustRightInd w:val="0"/>
        <w:snapToGrid w:val="0"/>
        <w:spacing w:line="288" w:lineRule="auto"/>
        <w:ind w:firstLine="396" w:firstLineChars="200"/>
        <w:jc w:val="left"/>
        <w:rPr>
          <w:rFonts w:cs="Times New Roman"/>
          <w:spacing w:val="-6"/>
          <w:sz w:val="21"/>
          <w:szCs w:val="21"/>
          <w:highlight w:val="none"/>
          <w:u w:val="single"/>
        </w:rPr>
      </w:pPr>
      <w:r>
        <w:rPr>
          <w:rFonts w:cs="Times New Roman"/>
          <w:spacing w:val="-6"/>
          <w:sz w:val="21"/>
          <w:szCs w:val="21"/>
          <w:highlight w:val="none"/>
          <w:u w:val="single"/>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77A6296C">
      <w:pPr>
        <w:adjustRightInd w:val="0"/>
        <w:snapToGrid w:val="0"/>
        <w:spacing w:line="288" w:lineRule="auto"/>
        <w:ind w:firstLine="396" w:firstLineChars="200"/>
        <w:jc w:val="left"/>
        <w:rPr>
          <w:rFonts w:cs="Times New Roman"/>
          <w:spacing w:val="-6"/>
          <w:sz w:val="21"/>
          <w:szCs w:val="21"/>
          <w:highlight w:val="none"/>
        </w:rPr>
      </w:pPr>
      <w:r>
        <w:rPr>
          <w:rFonts w:cs="Times New Roman"/>
          <w:spacing w:val="-6"/>
          <w:sz w:val="21"/>
          <w:szCs w:val="21"/>
          <w:highlight w:val="none"/>
        </w:rPr>
        <w:t>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14:paraId="3C8FFFC2">
      <w:pPr>
        <w:adjustRightInd w:val="0"/>
        <w:snapToGrid w:val="0"/>
        <w:spacing w:line="288" w:lineRule="auto"/>
        <w:ind w:firstLine="396" w:firstLineChars="200"/>
        <w:jc w:val="left"/>
        <w:rPr>
          <w:rFonts w:cs="Times New Roman"/>
          <w:spacing w:val="-6"/>
          <w:sz w:val="21"/>
          <w:szCs w:val="21"/>
          <w:highlight w:val="none"/>
        </w:rPr>
      </w:pPr>
      <w:r>
        <w:rPr>
          <w:rFonts w:cs="Times New Roman"/>
          <w:spacing w:val="-6"/>
          <w:sz w:val="21"/>
          <w:szCs w:val="21"/>
          <w:highlight w:val="none"/>
        </w:rPr>
        <w:t>中小企业享受扶持政策获得政府采购合同的，小微企业不得将合同分包给大中型企业，中型企业不得将合同分包给大型企业。</w:t>
      </w:r>
      <w:bookmarkEnd w:id="40"/>
    </w:p>
    <w:p w14:paraId="7B538220">
      <w:pPr>
        <w:adjustRightInd w:val="0"/>
        <w:snapToGrid w:val="0"/>
        <w:spacing w:line="288" w:lineRule="auto"/>
        <w:ind w:firstLine="396" w:firstLineChars="200"/>
        <w:jc w:val="left"/>
        <w:rPr>
          <w:rFonts w:cs="Times New Roman"/>
          <w:spacing w:val="-6"/>
          <w:sz w:val="21"/>
          <w:szCs w:val="21"/>
          <w:highlight w:val="none"/>
        </w:rPr>
      </w:pPr>
      <w:r>
        <w:rPr>
          <w:rFonts w:hint="eastAsia" w:cs="Times New Roman"/>
          <w:spacing w:val="-6"/>
          <w:sz w:val="21"/>
          <w:szCs w:val="21"/>
          <w:highlight w:val="none"/>
        </w:rPr>
        <w:t>除财库</w:t>
      </w:r>
      <w:r>
        <w:rPr>
          <w:rFonts w:cs="Times New Roman"/>
          <w:spacing w:val="-6"/>
          <w:sz w:val="21"/>
          <w:szCs w:val="21"/>
          <w:highlight w:val="none"/>
        </w:rPr>
        <w:t>《政府采购促进中小企业发展管理办法》</w:t>
      </w:r>
      <w:r>
        <w:rPr>
          <w:rFonts w:hint="eastAsia" w:cs="Times New Roman"/>
          <w:spacing w:val="-6"/>
          <w:sz w:val="21"/>
          <w:szCs w:val="21"/>
          <w:highlight w:val="none"/>
        </w:rPr>
        <w:t>（财库〔</w:t>
      </w:r>
      <w:r>
        <w:rPr>
          <w:rFonts w:cs="Times New Roman"/>
          <w:spacing w:val="-6"/>
          <w:sz w:val="21"/>
          <w:szCs w:val="21"/>
          <w:highlight w:val="none"/>
        </w:rPr>
        <w:t>2020〕46号</w:t>
      </w:r>
      <w:r>
        <w:rPr>
          <w:rFonts w:hint="eastAsia" w:cs="Times New Roman"/>
          <w:spacing w:val="-6"/>
          <w:sz w:val="21"/>
          <w:szCs w:val="21"/>
          <w:highlight w:val="none"/>
        </w:rPr>
        <w:t>）、</w:t>
      </w:r>
      <w:r>
        <w:rPr>
          <w:rFonts w:cs="Times New Roman"/>
          <w:spacing w:val="-6"/>
          <w:sz w:val="21"/>
          <w:szCs w:val="21"/>
          <w:highlight w:val="none"/>
        </w:rPr>
        <w:t>《关于促进残疾人就业政府采购政策的通知》（财库〔2017〕141号）</w:t>
      </w:r>
      <w:r>
        <w:rPr>
          <w:rFonts w:hint="eastAsia" w:cs="Times New Roman"/>
          <w:spacing w:val="-6"/>
          <w:sz w:val="21"/>
          <w:szCs w:val="21"/>
          <w:highlight w:val="none"/>
        </w:rPr>
        <w:t>、</w:t>
      </w:r>
      <w:r>
        <w:rPr>
          <w:rFonts w:cs="Times New Roman"/>
          <w:spacing w:val="-6"/>
          <w:sz w:val="21"/>
          <w:szCs w:val="21"/>
          <w:highlight w:val="none"/>
        </w:rPr>
        <w:t>《关于政府采购支持监狱企业发展有关问题的通知》（财库[2014]68号）规定企业类型以外的供应商不享受中小企业扶持政策</w:t>
      </w:r>
      <w:r>
        <w:rPr>
          <w:rFonts w:hint="eastAsia" w:cs="Times New Roman"/>
          <w:spacing w:val="-6"/>
          <w:sz w:val="21"/>
          <w:szCs w:val="21"/>
          <w:highlight w:val="none"/>
        </w:rPr>
        <w:t>。</w:t>
      </w:r>
    </w:p>
    <w:p w14:paraId="4DB3FEDC">
      <w:pPr>
        <w:adjustRightInd w:val="0"/>
        <w:snapToGrid w:val="0"/>
        <w:spacing w:line="288" w:lineRule="auto"/>
        <w:rPr>
          <w:sz w:val="21"/>
          <w:szCs w:val="21"/>
          <w:highlight w:val="none"/>
        </w:rPr>
      </w:pPr>
      <w:r>
        <w:rPr>
          <w:rFonts w:hint="eastAsia"/>
          <w:sz w:val="21"/>
          <w:szCs w:val="21"/>
          <w:highlight w:val="none"/>
        </w:rPr>
        <w:br w:type="page"/>
      </w:r>
    </w:p>
    <w:p w14:paraId="0D4513DE">
      <w:pPr>
        <w:adjustRightInd w:val="0"/>
        <w:snapToGrid w:val="0"/>
        <w:spacing w:line="288" w:lineRule="auto"/>
        <w:jc w:val="center"/>
        <w:outlineLvl w:val="1"/>
        <w:rPr>
          <w:b/>
          <w:bCs/>
          <w:sz w:val="21"/>
          <w:szCs w:val="21"/>
          <w:highlight w:val="none"/>
        </w:rPr>
      </w:pPr>
      <w:r>
        <w:rPr>
          <w:rFonts w:hint="eastAsia"/>
          <w:b/>
          <w:bCs/>
          <w:sz w:val="21"/>
          <w:szCs w:val="21"/>
          <w:highlight w:val="none"/>
        </w:rPr>
        <w:t>二、磋商文件</w:t>
      </w:r>
    </w:p>
    <w:p w14:paraId="2E17EC3D">
      <w:pPr>
        <w:adjustRightInd w:val="0"/>
        <w:snapToGrid w:val="0"/>
        <w:spacing w:line="288" w:lineRule="auto"/>
        <w:rPr>
          <w:b/>
          <w:bCs/>
          <w:sz w:val="21"/>
          <w:szCs w:val="21"/>
          <w:highlight w:val="none"/>
        </w:rPr>
      </w:pPr>
      <w:r>
        <w:rPr>
          <w:rFonts w:hint="eastAsia"/>
          <w:b/>
          <w:bCs/>
          <w:sz w:val="21"/>
          <w:szCs w:val="21"/>
          <w:highlight w:val="none"/>
        </w:rPr>
        <w:t>（一）磋商文件的构成</w:t>
      </w:r>
    </w:p>
    <w:p w14:paraId="66CEA9AA">
      <w:pPr>
        <w:adjustRightInd w:val="0"/>
        <w:snapToGrid w:val="0"/>
        <w:spacing w:line="288" w:lineRule="auto"/>
        <w:ind w:firstLine="420" w:firstLineChars="200"/>
        <w:rPr>
          <w:sz w:val="21"/>
          <w:szCs w:val="21"/>
          <w:highlight w:val="none"/>
        </w:rPr>
      </w:pPr>
      <w:r>
        <w:rPr>
          <w:rFonts w:hint="eastAsia"/>
          <w:sz w:val="21"/>
          <w:szCs w:val="21"/>
          <w:highlight w:val="none"/>
        </w:rPr>
        <w:t>本磋商文件由以下部分组成：</w:t>
      </w:r>
    </w:p>
    <w:p w14:paraId="214FBFDE">
      <w:pPr>
        <w:adjustRightInd w:val="0"/>
        <w:snapToGrid w:val="0"/>
        <w:spacing w:line="288" w:lineRule="auto"/>
        <w:ind w:firstLine="420" w:firstLineChars="200"/>
        <w:rPr>
          <w:sz w:val="21"/>
          <w:szCs w:val="21"/>
          <w:highlight w:val="none"/>
        </w:rPr>
      </w:pPr>
      <w:r>
        <w:rPr>
          <w:rFonts w:hint="eastAsia"/>
          <w:sz w:val="21"/>
          <w:szCs w:val="21"/>
          <w:highlight w:val="none"/>
        </w:rPr>
        <w:t>1.采购邀请</w:t>
      </w:r>
    </w:p>
    <w:p w14:paraId="0B806AB6">
      <w:pPr>
        <w:adjustRightInd w:val="0"/>
        <w:snapToGrid w:val="0"/>
        <w:spacing w:line="288" w:lineRule="auto"/>
        <w:ind w:firstLine="420" w:firstLineChars="200"/>
        <w:rPr>
          <w:sz w:val="21"/>
          <w:szCs w:val="21"/>
          <w:highlight w:val="none"/>
        </w:rPr>
      </w:pPr>
      <w:r>
        <w:rPr>
          <w:rFonts w:hint="eastAsia"/>
          <w:sz w:val="21"/>
          <w:szCs w:val="21"/>
          <w:highlight w:val="none"/>
        </w:rPr>
        <w:t>2.采购需求</w:t>
      </w:r>
    </w:p>
    <w:p w14:paraId="588A9165">
      <w:pPr>
        <w:adjustRightInd w:val="0"/>
        <w:snapToGrid w:val="0"/>
        <w:spacing w:line="288" w:lineRule="auto"/>
        <w:ind w:firstLine="420" w:firstLineChars="200"/>
        <w:rPr>
          <w:sz w:val="21"/>
          <w:szCs w:val="21"/>
          <w:highlight w:val="none"/>
        </w:rPr>
      </w:pPr>
      <w:r>
        <w:rPr>
          <w:rFonts w:hint="eastAsia"/>
          <w:sz w:val="21"/>
          <w:szCs w:val="21"/>
          <w:highlight w:val="none"/>
        </w:rPr>
        <w:t>3.供应商须知</w:t>
      </w:r>
    </w:p>
    <w:p w14:paraId="56F8C241">
      <w:pPr>
        <w:adjustRightInd w:val="0"/>
        <w:snapToGrid w:val="0"/>
        <w:spacing w:line="288" w:lineRule="auto"/>
        <w:ind w:firstLine="420" w:firstLineChars="200"/>
        <w:rPr>
          <w:sz w:val="21"/>
          <w:szCs w:val="21"/>
          <w:highlight w:val="none"/>
        </w:rPr>
      </w:pPr>
      <w:r>
        <w:rPr>
          <w:rFonts w:hint="eastAsia"/>
          <w:sz w:val="21"/>
          <w:szCs w:val="21"/>
          <w:highlight w:val="none"/>
        </w:rPr>
        <w:t>4.评审方法和评审标准</w:t>
      </w:r>
    </w:p>
    <w:p w14:paraId="20412D67">
      <w:pPr>
        <w:adjustRightInd w:val="0"/>
        <w:snapToGrid w:val="0"/>
        <w:spacing w:line="288" w:lineRule="auto"/>
        <w:ind w:firstLine="420" w:firstLineChars="200"/>
        <w:rPr>
          <w:sz w:val="21"/>
          <w:szCs w:val="21"/>
          <w:highlight w:val="none"/>
        </w:rPr>
      </w:pPr>
      <w:r>
        <w:rPr>
          <w:rFonts w:hint="eastAsia"/>
          <w:sz w:val="21"/>
          <w:szCs w:val="21"/>
          <w:highlight w:val="none"/>
        </w:rPr>
        <w:t>5.拟签订的合同文本</w:t>
      </w:r>
    </w:p>
    <w:p w14:paraId="7F779092">
      <w:pPr>
        <w:adjustRightInd w:val="0"/>
        <w:snapToGrid w:val="0"/>
        <w:spacing w:line="288" w:lineRule="auto"/>
        <w:ind w:firstLine="420" w:firstLineChars="200"/>
        <w:rPr>
          <w:sz w:val="21"/>
          <w:szCs w:val="21"/>
          <w:highlight w:val="none"/>
        </w:rPr>
      </w:pPr>
      <w:r>
        <w:rPr>
          <w:rFonts w:hint="eastAsia"/>
          <w:sz w:val="21"/>
          <w:szCs w:val="21"/>
          <w:highlight w:val="none"/>
        </w:rPr>
        <w:t>6.响应文件格式</w:t>
      </w:r>
    </w:p>
    <w:p w14:paraId="28F22E2C">
      <w:pPr>
        <w:adjustRightInd w:val="0"/>
        <w:snapToGrid w:val="0"/>
        <w:spacing w:line="288" w:lineRule="auto"/>
        <w:ind w:firstLine="420" w:firstLineChars="200"/>
        <w:rPr>
          <w:sz w:val="21"/>
          <w:szCs w:val="21"/>
          <w:highlight w:val="none"/>
        </w:rPr>
      </w:pPr>
      <w:r>
        <w:rPr>
          <w:rFonts w:hint="eastAsia"/>
          <w:sz w:val="21"/>
          <w:szCs w:val="21"/>
          <w:highlight w:val="none"/>
        </w:rPr>
        <w:t>7.本项目磋商文件的澄清、答复、修改、补充的内容</w:t>
      </w:r>
    </w:p>
    <w:p w14:paraId="6DE20EA5">
      <w:pPr>
        <w:adjustRightInd w:val="0"/>
        <w:snapToGrid w:val="0"/>
        <w:spacing w:line="288" w:lineRule="auto"/>
        <w:rPr>
          <w:b/>
          <w:bCs/>
          <w:sz w:val="21"/>
          <w:szCs w:val="21"/>
          <w:highlight w:val="none"/>
        </w:rPr>
      </w:pPr>
      <w:r>
        <w:rPr>
          <w:rFonts w:hint="eastAsia"/>
          <w:b/>
          <w:bCs/>
          <w:sz w:val="21"/>
          <w:szCs w:val="21"/>
          <w:highlight w:val="none"/>
        </w:rPr>
        <w:t>（二）供应商的风险</w:t>
      </w:r>
    </w:p>
    <w:p w14:paraId="1458C6C8">
      <w:pPr>
        <w:adjustRightInd w:val="0"/>
        <w:snapToGrid w:val="0"/>
        <w:spacing w:line="288" w:lineRule="auto"/>
        <w:ind w:firstLine="420" w:firstLineChars="200"/>
        <w:rPr>
          <w:sz w:val="21"/>
          <w:szCs w:val="21"/>
          <w:highlight w:val="none"/>
        </w:rPr>
      </w:pPr>
      <w:r>
        <w:rPr>
          <w:rFonts w:hint="eastAsia"/>
          <w:sz w:val="21"/>
          <w:szCs w:val="21"/>
          <w:highlight w:val="none"/>
        </w:rPr>
        <w:t>供应商没有按照磋商文件要求提供全部资料，或者供应商没有对磋商文件在各方面作出实质性响应是供应商的风险，并可能导致其响应被拒绝。</w:t>
      </w:r>
    </w:p>
    <w:p w14:paraId="2CCE9D6E">
      <w:pPr>
        <w:adjustRightInd w:val="0"/>
        <w:snapToGrid w:val="0"/>
        <w:spacing w:line="288" w:lineRule="auto"/>
        <w:rPr>
          <w:b/>
          <w:bCs/>
          <w:sz w:val="21"/>
          <w:szCs w:val="21"/>
          <w:highlight w:val="none"/>
        </w:rPr>
      </w:pPr>
      <w:r>
        <w:rPr>
          <w:rFonts w:hint="eastAsia"/>
          <w:b/>
          <w:bCs/>
          <w:sz w:val="21"/>
          <w:szCs w:val="21"/>
          <w:highlight w:val="none"/>
        </w:rPr>
        <w:t>（三）磋商文件的澄清与修改</w:t>
      </w:r>
    </w:p>
    <w:p w14:paraId="0D7A5656">
      <w:pPr>
        <w:adjustRightInd w:val="0"/>
        <w:snapToGrid w:val="0"/>
        <w:spacing w:line="288" w:lineRule="auto"/>
        <w:ind w:firstLine="420" w:firstLineChars="200"/>
        <w:rPr>
          <w:sz w:val="21"/>
          <w:szCs w:val="21"/>
          <w:highlight w:val="none"/>
        </w:rPr>
      </w:pPr>
      <w:r>
        <w:rPr>
          <w:rFonts w:hint="eastAsia"/>
          <w:sz w:val="21"/>
          <w:szCs w:val="21"/>
          <w:highlight w:val="none"/>
        </w:rPr>
        <w:t>1.提交首次响应文件截止之日前，采购人、采购代理机构可以对已发出的磋商文件进行必要的澄清或者修改，澄清或者修改的内容作为磋商文件的组成部分。</w:t>
      </w:r>
    </w:p>
    <w:p w14:paraId="294EDEC3">
      <w:pPr>
        <w:adjustRightInd w:val="0"/>
        <w:snapToGrid w:val="0"/>
        <w:spacing w:line="288" w:lineRule="auto"/>
        <w:ind w:firstLine="420" w:firstLineChars="200"/>
        <w:rPr>
          <w:sz w:val="21"/>
          <w:szCs w:val="21"/>
          <w:highlight w:val="none"/>
        </w:rPr>
      </w:pPr>
      <w:r>
        <w:rPr>
          <w:rFonts w:hint="eastAsia"/>
          <w:sz w:val="21"/>
          <w:szCs w:val="21"/>
          <w:highlight w:val="none"/>
        </w:rPr>
        <w:t>澄清或者修改的内容可能影响响应文件编制的，采购人、采购代理机构会在提交首次响应文件截止时间至少5日前，以书面形式通知所有获取磋商文件的供应商；不足5日的，采购人、采购代理机构会顺延提交首次响应文件截止时间。</w:t>
      </w:r>
    </w:p>
    <w:p w14:paraId="51C4972F">
      <w:pPr>
        <w:adjustRightInd w:val="0"/>
        <w:snapToGrid w:val="0"/>
        <w:spacing w:line="288" w:lineRule="auto"/>
        <w:ind w:firstLine="420" w:firstLineChars="200"/>
        <w:rPr>
          <w:sz w:val="21"/>
          <w:szCs w:val="21"/>
          <w:highlight w:val="none"/>
        </w:rPr>
      </w:pPr>
      <w:r>
        <w:rPr>
          <w:rFonts w:hint="eastAsia"/>
          <w:sz w:val="21"/>
          <w:szCs w:val="21"/>
          <w:highlight w:val="none"/>
        </w:rPr>
        <w:t>2.磋商文件的修改将以书面形式通知所有获取磋商文件的供应商，并对其具有约束力。供应商在收到上述通知后，应立即向采购代理机构回函确认。若无书面回函确认，视同供应商已收到磋商文件修改的通知，并受其约束。</w:t>
      </w:r>
    </w:p>
    <w:p w14:paraId="7DE8D6B0">
      <w:pPr>
        <w:adjustRightInd w:val="0"/>
        <w:snapToGrid w:val="0"/>
        <w:spacing w:line="288" w:lineRule="auto"/>
        <w:ind w:firstLine="420" w:firstLineChars="200"/>
        <w:rPr>
          <w:sz w:val="21"/>
          <w:szCs w:val="21"/>
          <w:highlight w:val="none"/>
        </w:rPr>
      </w:pPr>
      <w:r>
        <w:rPr>
          <w:rFonts w:hint="eastAsia"/>
          <w:sz w:val="21"/>
          <w:szCs w:val="21"/>
          <w:highlight w:val="none"/>
        </w:rPr>
        <w:t>3.磋商文件澄清、答复、修改、补充的内容为磋商文件的组成部分。当磋商文件与磋商文件的答复、澄清、修改、补充通知就同一内容的表述不一致时，以最后发出的书面形式文件为准。</w:t>
      </w:r>
    </w:p>
    <w:p w14:paraId="68811E5D">
      <w:pPr>
        <w:adjustRightInd w:val="0"/>
        <w:snapToGrid w:val="0"/>
        <w:spacing w:line="288" w:lineRule="auto"/>
        <w:ind w:firstLine="420" w:firstLineChars="200"/>
        <w:rPr>
          <w:sz w:val="21"/>
          <w:szCs w:val="21"/>
          <w:highlight w:val="none"/>
        </w:rPr>
      </w:pPr>
      <w:r>
        <w:rPr>
          <w:rFonts w:hint="eastAsia"/>
          <w:sz w:val="21"/>
          <w:szCs w:val="21"/>
          <w:highlight w:val="none"/>
        </w:rPr>
        <w:t>4.磋商文件的澄清、答复、修改或补充都应该通过本采购代理机构以法定形式发布，采购人非通过本机构，不得擅自澄清、答复、修改或补充磋商文件。</w:t>
      </w:r>
    </w:p>
    <w:p w14:paraId="3C76BC83">
      <w:pPr>
        <w:adjustRightInd w:val="0"/>
        <w:snapToGrid w:val="0"/>
        <w:spacing w:line="288" w:lineRule="auto"/>
        <w:rPr>
          <w:sz w:val="21"/>
          <w:szCs w:val="21"/>
          <w:highlight w:val="none"/>
        </w:rPr>
      </w:pPr>
      <w:r>
        <w:rPr>
          <w:rFonts w:hint="eastAsia"/>
          <w:sz w:val="21"/>
          <w:szCs w:val="21"/>
          <w:highlight w:val="none"/>
        </w:rPr>
        <w:br w:type="page"/>
      </w:r>
    </w:p>
    <w:p w14:paraId="322AC88E">
      <w:pPr>
        <w:adjustRightInd w:val="0"/>
        <w:snapToGrid w:val="0"/>
        <w:spacing w:line="288" w:lineRule="auto"/>
        <w:jc w:val="center"/>
        <w:outlineLvl w:val="1"/>
        <w:rPr>
          <w:b/>
          <w:bCs/>
          <w:sz w:val="21"/>
          <w:szCs w:val="21"/>
          <w:highlight w:val="none"/>
        </w:rPr>
      </w:pPr>
      <w:r>
        <w:rPr>
          <w:rFonts w:hint="eastAsia"/>
          <w:b/>
          <w:bCs/>
          <w:sz w:val="21"/>
          <w:szCs w:val="21"/>
          <w:highlight w:val="none"/>
        </w:rPr>
        <w:t>三、响应文件的编制</w:t>
      </w:r>
    </w:p>
    <w:p w14:paraId="2E5CB6B2">
      <w:pPr>
        <w:adjustRightInd w:val="0"/>
        <w:snapToGrid w:val="0"/>
        <w:spacing w:line="288" w:lineRule="auto"/>
        <w:rPr>
          <w:b/>
          <w:bCs/>
          <w:sz w:val="21"/>
          <w:szCs w:val="21"/>
          <w:highlight w:val="none"/>
        </w:rPr>
      </w:pPr>
      <w:r>
        <w:rPr>
          <w:rFonts w:hint="eastAsia"/>
          <w:b/>
          <w:bCs/>
          <w:sz w:val="21"/>
          <w:szCs w:val="21"/>
          <w:highlight w:val="none"/>
        </w:rPr>
        <w:t>（一）响应文件的组成</w:t>
      </w:r>
    </w:p>
    <w:p w14:paraId="35D98C9A">
      <w:pPr>
        <w:adjustRightInd w:val="0"/>
        <w:snapToGrid w:val="0"/>
        <w:spacing w:line="288" w:lineRule="auto"/>
        <w:ind w:firstLine="396" w:firstLineChars="200"/>
        <w:jc w:val="left"/>
        <w:rPr>
          <w:rFonts w:cs="Times New Roman"/>
          <w:spacing w:val="-6"/>
          <w:sz w:val="21"/>
          <w:szCs w:val="21"/>
          <w:highlight w:val="none"/>
        </w:rPr>
      </w:pPr>
      <w:r>
        <w:rPr>
          <w:rFonts w:hint="eastAsia" w:cs="Times New Roman"/>
          <w:spacing w:val="-6"/>
          <w:sz w:val="21"/>
          <w:szCs w:val="21"/>
          <w:highlight w:val="none"/>
        </w:rPr>
        <w:t>响应文件（电子加密响应文件）由</w:t>
      </w:r>
      <w:r>
        <w:rPr>
          <w:rFonts w:hint="eastAsia" w:cs="Times New Roman"/>
          <w:b/>
          <w:spacing w:val="-6"/>
          <w:sz w:val="21"/>
          <w:szCs w:val="21"/>
          <w:highlight w:val="none"/>
        </w:rPr>
        <w:t>资格文件、报价文件、商务和技术文件三部分</w:t>
      </w:r>
      <w:r>
        <w:rPr>
          <w:rFonts w:hint="eastAsia" w:cs="Times New Roman"/>
          <w:bCs/>
          <w:spacing w:val="-6"/>
          <w:sz w:val="21"/>
          <w:szCs w:val="21"/>
          <w:highlight w:val="none"/>
        </w:rPr>
        <w:t>组成（格式详见磋商文件第六章）。供应商应将响应文件各部分</w:t>
      </w:r>
      <w:r>
        <w:rPr>
          <w:rFonts w:hint="eastAsia" w:cs="Times New Roman"/>
          <w:b/>
          <w:spacing w:val="-6"/>
          <w:sz w:val="21"/>
          <w:szCs w:val="21"/>
          <w:highlight w:val="none"/>
        </w:rPr>
        <w:t>分别上传</w:t>
      </w:r>
      <w:r>
        <w:rPr>
          <w:rFonts w:hint="eastAsia" w:cs="Times New Roman"/>
          <w:bCs/>
          <w:spacing w:val="-6"/>
          <w:sz w:val="21"/>
          <w:szCs w:val="21"/>
          <w:highlight w:val="none"/>
        </w:rPr>
        <w:t>至政府采购云平台指定位置。</w:t>
      </w:r>
    </w:p>
    <w:p w14:paraId="75F3C3C9">
      <w:pPr>
        <w:adjustRightInd w:val="0"/>
        <w:snapToGrid w:val="0"/>
        <w:spacing w:line="288" w:lineRule="auto"/>
        <w:ind w:firstLine="396" w:firstLineChars="200"/>
        <w:jc w:val="left"/>
        <w:rPr>
          <w:rFonts w:cs="Times New Roman"/>
          <w:spacing w:val="-6"/>
          <w:sz w:val="21"/>
          <w:szCs w:val="21"/>
          <w:highlight w:val="none"/>
        </w:rPr>
      </w:pPr>
      <w:bookmarkStart w:id="42" w:name="_Hlk97039967"/>
      <w:r>
        <w:rPr>
          <w:rFonts w:hint="eastAsia" w:cs="Times New Roman"/>
          <w:spacing w:val="-6"/>
          <w:sz w:val="21"/>
          <w:szCs w:val="21"/>
          <w:highlight w:val="none"/>
        </w:rPr>
        <w:t>响应文件组成：详见“第六章</w:t>
      </w:r>
      <w:r>
        <w:rPr>
          <w:rFonts w:cs="Times New Roman"/>
          <w:spacing w:val="-6"/>
          <w:sz w:val="21"/>
          <w:szCs w:val="21"/>
          <w:highlight w:val="none"/>
        </w:rPr>
        <w:t xml:space="preserve">  </w:t>
      </w:r>
      <w:r>
        <w:rPr>
          <w:rFonts w:hint="eastAsia" w:cs="Times New Roman"/>
          <w:spacing w:val="-6"/>
          <w:sz w:val="21"/>
          <w:szCs w:val="21"/>
          <w:highlight w:val="none"/>
        </w:rPr>
        <w:t>响应</w:t>
      </w:r>
      <w:r>
        <w:rPr>
          <w:rFonts w:cs="Times New Roman"/>
          <w:spacing w:val="-6"/>
          <w:sz w:val="21"/>
          <w:szCs w:val="21"/>
          <w:highlight w:val="none"/>
        </w:rPr>
        <w:t>文件格式</w:t>
      </w:r>
      <w:r>
        <w:rPr>
          <w:rFonts w:hint="eastAsia" w:cs="Times New Roman"/>
          <w:spacing w:val="-6"/>
          <w:sz w:val="21"/>
          <w:szCs w:val="21"/>
          <w:highlight w:val="none"/>
        </w:rPr>
        <w:t>”目录</w:t>
      </w:r>
    </w:p>
    <w:bookmarkEnd w:id="42"/>
    <w:p w14:paraId="23AB000A">
      <w:pPr>
        <w:adjustRightInd w:val="0"/>
        <w:snapToGrid w:val="0"/>
        <w:spacing w:line="288" w:lineRule="auto"/>
        <w:rPr>
          <w:b/>
          <w:bCs/>
          <w:sz w:val="21"/>
          <w:szCs w:val="21"/>
          <w:highlight w:val="none"/>
        </w:rPr>
      </w:pPr>
      <w:r>
        <w:rPr>
          <w:rFonts w:hint="eastAsia"/>
          <w:b/>
          <w:bCs/>
          <w:sz w:val="21"/>
          <w:szCs w:val="21"/>
          <w:highlight w:val="none"/>
        </w:rPr>
        <w:t>（二）响应文件的签署和份数</w:t>
      </w:r>
    </w:p>
    <w:p w14:paraId="722D4996">
      <w:pPr>
        <w:adjustRightInd w:val="0"/>
        <w:snapToGrid w:val="0"/>
        <w:spacing w:line="288" w:lineRule="auto"/>
        <w:ind w:firstLine="420" w:firstLineChars="200"/>
        <w:rPr>
          <w:sz w:val="21"/>
          <w:szCs w:val="21"/>
          <w:highlight w:val="none"/>
        </w:rPr>
      </w:pPr>
      <w:r>
        <w:rPr>
          <w:rFonts w:hint="eastAsia"/>
          <w:sz w:val="21"/>
          <w:szCs w:val="21"/>
          <w:highlight w:val="none"/>
        </w:rPr>
        <w:t>1.供应商应按照磋商文件和政府采购云平台的要求，根据响应文件的组成规定的内容及顺序通过政采云电子交易客户端（政采云响应客户端）编制加密响应文件，响应文件内容不完整、编排混乱导致响应文件被误读、漏读或者查找不到相关内容的，是供应商的责任。</w:t>
      </w:r>
    </w:p>
    <w:p w14:paraId="4E6CE40C">
      <w:pPr>
        <w:adjustRightInd w:val="0"/>
        <w:snapToGrid w:val="0"/>
        <w:spacing w:line="288" w:lineRule="auto"/>
        <w:ind w:firstLine="420" w:firstLineChars="200"/>
        <w:rPr>
          <w:sz w:val="21"/>
          <w:szCs w:val="21"/>
          <w:highlight w:val="none"/>
        </w:rPr>
      </w:pPr>
      <w:r>
        <w:rPr>
          <w:rFonts w:hint="eastAsia"/>
          <w:sz w:val="21"/>
          <w:szCs w:val="21"/>
          <w:highlight w:val="none"/>
        </w:rPr>
        <w:t>2.响应文件须由供应商在规定位置加盖公章</w:t>
      </w:r>
      <w:bookmarkStart w:id="43" w:name="_Hlk96329193"/>
      <w:r>
        <w:rPr>
          <w:rFonts w:hint="eastAsia"/>
          <w:sz w:val="21"/>
          <w:szCs w:val="21"/>
          <w:highlight w:val="none"/>
        </w:rPr>
        <w:t>，供应商应写全称。</w:t>
      </w:r>
      <w:bookmarkEnd w:id="43"/>
    </w:p>
    <w:p w14:paraId="42757135">
      <w:pPr>
        <w:adjustRightInd w:val="0"/>
        <w:snapToGrid w:val="0"/>
        <w:spacing w:line="288" w:lineRule="auto"/>
        <w:ind w:firstLine="420" w:firstLineChars="200"/>
        <w:rPr>
          <w:sz w:val="21"/>
          <w:szCs w:val="21"/>
          <w:highlight w:val="none"/>
        </w:rPr>
      </w:pPr>
      <w:r>
        <w:rPr>
          <w:rFonts w:hint="eastAsia"/>
          <w:sz w:val="21"/>
          <w:szCs w:val="21"/>
          <w:highlight w:val="none"/>
        </w:rPr>
        <w:t>3.响应文件不得涂改，若有修改错漏处，须由供应商加盖公章，或者由供应商代表签名。响应文件因字迹潦草或表达不清所引起的后果由供应商负责。</w:t>
      </w:r>
    </w:p>
    <w:p w14:paraId="2E84D7B8">
      <w:pPr>
        <w:adjustRightInd w:val="0"/>
        <w:snapToGrid w:val="0"/>
        <w:spacing w:line="288" w:lineRule="auto"/>
        <w:ind w:firstLine="422" w:firstLineChars="200"/>
        <w:rPr>
          <w:b/>
          <w:bCs/>
          <w:sz w:val="21"/>
          <w:szCs w:val="21"/>
          <w:highlight w:val="none"/>
        </w:rPr>
      </w:pPr>
      <w:r>
        <w:rPr>
          <w:rFonts w:hint="eastAsia"/>
          <w:b/>
          <w:bCs/>
          <w:sz w:val="21"/>
          <w:szCs w:val="21"/>
          <w:highlight w:val="none"/>
        </w:rPr>
        <w:t>4.响应文件份数：</w:t>
      </w:r>
    </w:p>
    <w:p w14:paraId="3954830A">
      <w:pPr>
        <w:adjustRightInd w:val="0"/>
        <w:snapToGrid w:val="0"/>
        <w:spacing w:line="288" w:lineRule="auto"/>
        <w:ind w:firstLine="422" w:firstLineChars="200"/>
        <w:rPr>
          <w:b/>
          <w:bCs/>
          <w:sz w:val="21"/>
          <w:szCs w:val="21"/>
          <w:highlight w:val="none"/>
        </w:rPr>
      </w:pPr>
      <w:r>
        <w:rPr>
          <w:rFonts w:hint="eastAsia"/>
          <w:b/>
          <w:bCs/>
          <w:sz w:val="21"/>
          <w:szCs w:val="21"/>
          <w:highlight w:val="none"/>
        </w:rPr>
        <w:t>电子加密响应文件：政府采购云平台在线上传一份；备份响应文件：密封包装后EMS或顺丰邮寄形式递交一份（邮寄地址：杭州市西湖区玉古路173号中田大厦21楼H室，浙江求是招标代理有限公司（陈培特）收，电话：0571-87666115，寄出后将（快递单号、项目名称、公司名称、联系方式等相关信息）发至：zb03@qszb.net，以便查收）。</w:t>
      </w:r>
    </w:p>
    <w:p w14:paraId="7A33DE43">
      <w:pPr>
        <w:adjustRightInd w:val="0"/>
        <w:snapToGrid w:val="0"/>
        <w:spacing w:line="288" w:lineRule="auto"/>
        <w:ind w:firstLine="422" w:firstLineChars="200"/>
        <w:rPr>
          <w:b/>
          <w:bCs/>
          <w:sz w:val="21"/>
          <w:szCs w:val="21"/>
          <w:highlight w:val="none"/>
        </w:rPr>
      </w:pPr>
      <w:r>
        <w:rPr>
          <w:rFonts w:hint="eastAsia"/>
          <w:b/>
          <w:bCs/>
          <w:sz w:val="21"/>
          <w:szCs w:val="21"/>
          <w:highlight w:val="none"/>
        </w:rPr>
        <w:t>特别说明：双休日和法定节假日不收件，供应商自行承担邮寄风险。</w:t>
      </w:r>
    </w:p>
    <w:p w14:paraId="32E2A30E">
      <w:pPr>
        <w:adjustRightInd w:val="0"/>
        <w:snapToGrid w:val="0"/>
        <w:spacing w:line="288" w:lineRule="auto"/>
        <w:rPr>
          <w:b/>
          <w:bCs/>
          <w:sz w:val="21"/>
          <w:szCs w:val="21"/>
          <w:highlight w:val="none"/>
        </w:rPr>
      </w:pPr>
      <w:r>
        <w:rPr>
          <w:rFonts w:hint="eastAsia"/>
          <w:b/>
          <w:bCs/>
          <w:sz w:val="21"/>
          <w:szCs w:val="21"/>
          <w:highlight w:val="none"/>
        </w:rPr>
        <w:t>（三）响应文件的上传、递交、修改和撤回</w:t>
      </w:r>
    </w:p>
    <w:p w14:paraId="3B962D86">
      <w:pPr>
        <w:adjustRightInd w:val="0"/>
        <w:snapToGrid w:val="0"/>
        <w:spacing w:line="288" w:lineRule="auto"/>
        <w:ind w:firstLine="420" w:firstLineChars="200"/>
        <w:rPr>
          <w:sz w:val="21"/>
          <w:szCs w:val="21"/>
          <w:highlight w:val="none"/>
        </w:rPr>
      </w:pPr>
      <w:r>
        <w:rPr>
          <w:rFonts w:hint="eastAsia"/>
          <w:sz w:val="21"/>
          <w:szCs w:val="21"/>
          <w:highlight w:val="none"/>
        </w:rPr>
        <w:t>1.响应文件的上传、递交：</w:t>
      </w:r>
    </w:p>
    <w:p w14:paraId="0B5D3491">
      <w:pPr>
        <w:adjustRightInd w:val="0"/>
        <w:snapToGrid w:val="0"/>
        <w:spacing w:line="288" w:lineRule="auto"/>
        <w:ind w:firstLine="420" w:firstLineChars="200"/>
        <w:rPr>
          <w:sz w:val="21"/>
          <w:szCs w:val="21"/>
          <w:highlight w:val="none"/>
        </w:rPr>
      </w:pPr>
      <w:r>
        <w:rPr>
          <w:rFonts w:hint="eastAsia"/>
          <w:sz w:val="21"/>
          <w:szCs w:val="21"/>
          <w:highlight w:val="none"/>
        </w:rPr>
        <w:t>（1）电子加密响应文件的上传：</w:t>
      </w:r>
    </w:p>
    <w:p w14:paraId="11B64BB6">
      <w:pPr>
        <w:adjustRightInd w:val="0"/>
        <w:snapToGrid w:val="0"/>
        <w:spacing w:line="288" w:lineRule="auto"/>
        <w:ind w:firstLine="420" w:firstLineChars="200"/>
        <w:rPr>
          <w:sz w:val="21"/>
          <w:szCs w:val="21"/>
          <w:highlight w:val="none"/>
        </w:rPr>
      </w:pPr>
      <w:r>
        <w:rPr>
          <w:rFonts w:hint="eastAsia"/>
          <w:sz w:val="21"/>
          <w:szCs w:val="21"/>
          <w:highlight w:val="none"/>
        </w:rPr>
        <w:t>▲a.供应商应在响应文件提交截止时间前将电子加密响应文件成功上传至政府采购云平台，否则响应无效；</w:t>
      </w:r>
    </w:p>
    <w:p w14:paraId="19833EF7">
      <w:pPr>
        <w:adjustRightInd w:val="0"/>
        <w:snapToGrid w:val="0"/>
        <w:spacing w:line="288" w:lineRule="auto"/>
        <w:ind w:firstLine="420" w:firstLineChars="200"/>
        <w:rPr>
          <w:sz w:val="21"/>
          <w:szCs w:val="21"/>
          <w:highlight w:val="none"/>
        </w:rPr>
      </w:pPr>
      <w:r>
        <w:rPr>
          <w:rFonts w:hint="eastAsia"/>
          <w:sz w:val="21"/>
          <w:szCs w:val="21"/>
          <w:highlight w:val="none"/>
        </w:rPr>
        <w:t>b.电子加密响应文件成功上传后，供应商可自行打印响应文件接收回执。</w:t>
      </w:r>
    </w:p>
    <w:p w14:paraId="5B1345E6">
      <w:pPr>
        <w:adjustRightInd w:val="0"/>
        <w:snapToGrid w:val="0"/>
        <w:spacing w:line="288" w:lineRule="auto"/>
        <w:ind w:firstLine="420" w:firstLineChars="200"/>
        <w:rPr>
          <w:sz w:val="21"/>
          <w:szCs w:val="21"/>
          <w:highlight w:val="none"/>
        </w:rPr>
      </w:pPr>
      <w:r>
        <w:rPr>
          <w:rFonts w:hint="eastAsia"/>
          <w:sz w:val="21"/>
          <w:szCs w:val="21"/>
          <w:highlight w:val="none"/>
        </w:rPr>
        <w:t>（2）备份响应文件的密封包装、递交：</w:t>
      </w:r>
    </w:p>
    <w:p w14:paraId="0D6D5CED">
      <w:pPr>
        <w:adjustRightInd w:val="0"/>
        <w:snapToGrid w:val="0"/>
        <w:spacing w:line="288" w:lineRule="auto"/>
        <w:ind w:firstLine="420" w:firstLineChars="200"/>
        <w:rPr>
          <w:sz w:val="21"/>
          <w:szCs w:val="21"/>
          <w:highlight w:val="none"/>
        </w:rPr>
      </w:pPr>
      <w:r>
        <w:rPr>
          <w:rFonts w:hint="eastAsia"/>
          <w:sz w:val="21"/>
          <w:szCs w:val="21"/>
          <w:highlight w:val="none"/>
        </w:rPr>
        <w:t>a.供应商在政府采购云平台完成电子加密响应文件的上传后，可以EMS或顺丰邮寄形式在响应文件提交截止时间前递交以介质（U盘）存储的数据电文形式的备份响应文件；</w:t>
      </w:r>
    </w:p>
    <w:p w14:paraId="3792B7CE">
      <w:pPr>
        <w:adjustRightInd w:val="0"/>
        <w:snapToGrid w:val="0"/>
        <w:spacing w:line="288" w:lineRule="auto"/>
        <w:ind w:firstLine="420" w:firstLineChars="200"/>
        <w:rPr>
          <w:sz w:val="21"/>
          <w:szCs w:val="21"/>
          <w:highlight w:val="none"/>
        </w:rPr>
      </w:pPr>
      <w:r>
        <w:rPr>
          <w:rFonts w:hint="eastAsia"/>
          <w:sz w:val="21"/>
          <w:szCs w:val="21"/>
          <w:highlight w:val="none"/>
        </w:rPr>
        <w:t>b.备份响应文件应当密封包装并在包装上标注响应项目名称、供应商名称并加盖公章（非电子签章），供应商逾期送达或者未密封包装的备份响应文件采购代理机构将予以拒收；</w:t>
      </w:r>
    </w:p>
    <w:p w14:paraId="12A22D29">
      <w:pPr>
        <w:adjustRightInd w:val="0"/>
        <w:snapToGrid w:val="0"/>
        <w:spacing w:line="288" w:lineRule="auto"/>
        <w:ind w:firstLine="420" w:firstLineChars="200"/>
        <w:rPr>
          <w:sz w:val="21"/>
          <w:szCs w:val="21"/>
          <w:highlight w:val="none"/>
        </w:rPr>
      </w:pPr>
      <w:r>
        <w:rPr>
          <w:rFonts w:hint="eastAsia"/>
          <w:sz w:val="21"/>
          <w:szCs w:val="21"/>
          <w:highlight w:val="none"/>
        </w:rPr>
        <w:t>▲c.通过政府采购云平台成功上传的电子加密响应文件已按时解密的，备份响应文件自动失效。</w:t>
      </w:r>
    </w:p>
    <w:p w14:paraId="72AB30C5">
      <w:pPr>
        <w:adjustRightInd w:val="0"/>
        <w:snapToGrid w:val="0"/>
        <w:spacing w:line="288" w:lineRule="auto"/>
        <w:ind w:firstLine="396" w:firstLineChars="200"/>
        <w:jc w:val="left"/>
        <w:rPr>
          <w:rFonts w:cs="Times New Roman"/>
          <w:spacing w:val="-6"/>
          <w:sz w:val="21"/>
          <w:szCs w:val="21"/>
          <w:highlight w:val="none"/>
        </w:rPr>
      </w:pPr>
      <w:r>
        <w:rPr>
          <w:rFonts w:hint="eastAsia" w:cs="Times New Roman"/>
          <w:spacing w:val="-6"/>
          <w:sz w:val="21"/>
          <w:szCs w:val="21"/>
          <w:highlight w:val="none"/>
        </w:rPr>
        <w:t>▲d.供应商仅递交备份响应文件而未将电子加密响应文件成功上传至政府采购云平台的，响应无效。</w:t>
      </w:r>
    </w:p>
    <w:p w14:paraId="2C7ADC38">
      <w:pPr>
        <w:adjustRightInd w:val="0"/>
        <w:snapToGrid w:val="0"/>
        <w:spacing w:line="288" w:lineRule="auto"/>
        <w:ind w:firstLine="420" w:firstLineChars="200"/>
        <w:rPr>
          <w:sz w:val="21"/>
          <w:szCs w:val="21"/>
          <w:highlight w:val="none"/>
        </w:rPr>
      </w:pPr>
      <w:r>
        <w:rPr>
          <w:rFonts w:hint="eastAsia"/>
          <w:sz w:val="21"/>
          <w:szCs w:val="21"/>
          <w:highlight w:val="none"/>
        </w:rPr>
        <w:t>2.供应商应当在响应文件提交截止时间前完成响应文件的上传、递交，并可以补充、修改或者撤回响应文件。补充或者修改响应文件的，应当先行撤回原文件，补充、修改后重新上传、递交。响应文件提交截止时间前未完成上传、递交的，视为撤回响应文件。响应文件提交截止时间后上传、递交的响应文件，政府采购云平台及采购代理机构将予以拒收。</w:t>
      </w:r>
    </w:p>
    <w:p w14:paraId="005F247E">
      <w:pPr>
        <w:adjustRightInd w:val="0"/>
        <w:snapToGrid w:val="0"/>
        <w:spacing w:line="288" w:lineRule="auto"/>
        <w:ind w:firstLine="420" w:firstLineChars="200"/>
        <w:rPr>
          <w:sz w:val="21"/>
          <w:szCs w:val="21"/>
          <w:highlight w:val="none"/>
        </w:rPr>
      </w:pPr>
      <w:r>
        <w:rPr>
          <w:sz w:val="21"/>
          <w:szCs w:val="21"/>
          <w:highlight w:val="none"/>
        </w:rPr>
        <w:t>3.</w:t>
      </w:r>
      <w:r>
        <w:rPr>
          <w:rFonts w:hint="eastAsia"/>
          <w:sz w:val="21"/>
          <w:szCs w:val="21"/>
          <w:highlight w:val="none"/>
        </w:rPr>
        <w:t>供应商</w:t>
      </w:r>
      <w:r>
        <w:rPr>
          <w:sz w:val="21"/>
          <w:szCs w:val="21"/>
          <w:highlight w:val="none"/>
        </w:rPr>
        <w:t>因未在线参加开标而导致电子加密</w:t>
      </w:r>
      <w:r>
        <w:rPr>
          <w:rFonts w:hint="eastAsia"/>
          <w:sz w:val="21"/>
          <w:szCs w:val="21"/>
          <w:highlight w:val="none"/>
        </w:rPr>
        <w:t>响应</w:t>
      </w:r>
      <w:r>
        <w:rPr>
          <w:sz w:val="21"/>
          <w:szCs w:val="21"/>
          <w:highlight w:val="none"/>
        </w:rPr>
        <w:t>文件无法按时解密等一切后果由</w:t>
      </w:r>
      <w:r>
        <w:rPr>
          <w:rFonts w:hint="eastAsia"/>
          <w:sz w:val="21"/>
          <w:szCs w:val="21"/>
          <w:highlight w:val="none"/>
        </w:rPr>
        <w:t>供应商</w:t>
      </w:r>
      <w:r>
        <w:rPr>
          <w:sz w:val="21"/>
          <w:szCs w:val="21"/>
          <w:highlight w:val="none"/>
        </w:rPr>
        <w:t>自行承担。</w:t>
      </w:r>
    </w:p>
    <w:p w14:paraId="5D07A893">
      <w:pPr>
        <w:adjustRightInd w:val="0"/>
        <w:snapToGrid w:val="0"/>
        <w:spacing w:line="288" w:lineRule="auto"/>
        <w:ind w:firstLine="420" w:firstLineChars="200"/>
        <w:rPr>
          <w:sz w:val="21"/>
          <w:szCs w:val="21"/>
          <w:highlight w:val="none"/>
        </w:rPr>
      </w:pPr>
      <w:r>
        <w:rPr>
          <w:sz w:val="21"/>
          <w:szCs w:val="21"/>
          <w:highlight w:val="none"/>
        </w:rPr>
        <w:t>4.</w:t>
      </w:r>
      <w:r>
        <w:rPr>
          <w:rFonts w:hint="eastAsia"/>
          <w:sz w:val="21"/>
          <w:szCs w:val="21"/>
          <w:highlight w:val="none"/>
        </w:rPr>
        <w:t>供应商</w:t>
      </w:r>
      <w:r>
        <w:rPr>
          <w:sz w:val="21"/>
          <w:szCs w:val="21"/>
          <w:highlight w:val="none"/>
        </w:rPr>
        <w:t>应按照</w:t>
      </w:r>
      <w:r>
        <w:rPr>
          <w:rFonts w:hint="eastAsia"/>
          <w:sz w:val="21"/>
          <w:szCs w:val="21"/>
          <w:highlight w:val="none"/>
        </w:rPr>
        <w:t>磋商</w:t>
      </w:r>
      <w:r>
        <w:rPr>
          <w:sz w:val="21"/>
          <w:szCs w:val="21"/>
          <w:highlight w:val="none"/>
        </w:rPr>
        <w:t>文件和政府采购云平台的要求，根据</w:t>
      </w:r>
      <w:r>
        <w:rPr>
          <w:rFonts w:hint="eastAsia"/>
          <w:sz w:val="21"/>
          <w:szCs w:val="21"/>
          <w:highlight w:val="none"/>
        </w:rPr>
        <w:t>响应</w:t>
      </w:r>
      <w:r>
        <w:rPr>
          <w:sz w:val="21"/>
          <w:szCs w:val="21"/>
          <w:highlight w:val="none"/>
        </w:rPr>
        <w:t>文件的组成规定的内容及顺序通过政采云电子交易客户端（政采云响应客户端）编制加密</w:t>
      </w:r>
      <w:r>
        <w:rPr>
          <w:rFonts w:hint="eastAsia"/>
          <w:sz w:val="21"/>
          <w:szCs w:val="21"/>
          <w:highlight w:val="none"/>
        </w:rPr>
        <w:t>响应</w:t>
      </w:r>
      <w:r>
        <w:rPr>
          <w:sz w:val="21"/>
          <w:szCs w:val="21"/>
          <w:highlight w:val="none"/>
        </w:rPr>
        <w:t>文件。</w:t>
      </w:r>
    </w:p>
    <w:p w14:paraId="09DAEF17">
      <w:pPr>
        <w:adjustRightInd w:val="0"/>
        <w:snapToGrid w:val="0"/>
        <w:spacing w:line="288" w:lineRule="auto"/>
        <w:ind w:firstLine="422" w:firstLineChars="200"/>
        <w:rPr>
          <w:b/>
          <w:bCs/>
          <w:sz w:val="21"/>
          <w:szCs w:val="21"/>
          <w:highlight w:val="none"/>
        </w:rPr>
      </w:pPr>
      <w:r>
        <w:rPr>
          <w:rFonts w:hint="eastAsia"/>
          <w:b/>
          <w:bCs/>
          <w:sz w:val="21"/>
          <w:szCs w:val="21"/>
          <w:highlight w:val="none"/>
        </w:rPr>
        <w:t>备注：</w:t>
      </w:r>
    </w:p>
    <w:p w14:paraId="2F13057F">
      <w:pPr>
        <w:adjustRightInd w:val="0"/>
        <w:snapToGrid w:val="0"/>
        <w:spacing w:line="288" w:lineRule="auto"/>
        <w:ind w:firstLine="422" w:firstLineChars="200"/>
        <w:rPr>
          <w:b/>
          <w:bCs/>
          <w:sz w:val="21"/>
          <w:szCs w:val="21"/>
          <w:highlight w:val="none"/>
        </w:rPr>
      </w:pPr>
      <w:r>
        <w:rPr>
          <w:rFonts w:hint="eastAsia"/>
          <w:b/>
          <w:bCs/>
          <w:sz w:val="21"/>
          <w:szCs w:val="21"/>
          <w:highlight w:val="none"/>
        </w:rPr>
        <w:t>供应商可通过浙江省“电子交易/不见面开评标”学习专题提前进行专题学习，熟悉操作，避免影响采购活动（https://edu.zcygov.cn/luban/e-biding）。</w:t>
      </w:r>
    </w:p>
    <w:p w14:paraId="07C69F33">
      <w:pPr>
        <w:adjustRightInd w:val="0"/>
        <w:snapToGrid w:val="0"/>
        <w:spacing w:line="288" w:lineRule="auto"/>
        <w:rPr>
          <w:b/>
          <w:bCs/>
          <w:sz w:val="21"/>
          <w:szCs w:val="21"/>
          <w:highlight w:val="none"/>
        </w:rPr>
      </w:pPr>
      <w:r>
        <w:rPr>
          <w:rFonts w:hint="eastAsia"/>
          <w:b/>
          <w:bCs/>
          <w:sz w:val="21"/>
          <w:szCs w:val="21"/>
          <w:highlight w:val="none"/>
        </w:rPr>
        <w:t>（四）响应文件的语言及计量</w:t>
      </w:r>
    </w:p>
    <w:p w14:paraId="69D614A2">
      <w:pPr>
        <w:adjustRightInd w:val="0"/>
        <w:snapToGrid w:val="0"/>
        <w:spacing w:line="288" w:lineRule="auto"/>
        <w:ind w:firstLine="420" w:firstLineChars="200"/>
        <w:rPr>
          <w:sz w:val="21"/>
          <w:szCs w:val="21"/>
          <w:highlight w:val="none"/>
        </w:rPr>
      </w:pPr>
      <w:r>
        <w:rPr>
          <w:rFonts w:hint="eastAsia"/>
          <w:sz w:val="21"/>
          <w:szCs w:val="21"/>
          <w:highlight w:val="none"/>
        </w:rPr>
        <w:t>响应文件以及供应商与采购人或采购代理机构就有关磋商响应事宜的所有来往函电，均应以中文汉语书写。除签名、盖章、专用名称等特殊情形外，以中文汉语以外的文字表述的响应文件视同未提供（有中文汉语说明的除外）。</w:t>
      </w:r>
    </w:p>
    <w:p w14:paraId="54E27207">
      <w:pPr>
        <w:adjustRightInd w:val="0"/>
        <w:snapToGrid w:val="0"/>
        <w:spacing w:line="288" w:lineRule="auto"/>
        <w:rPr>
          <w:b/>
          <w:bCs/>
          <w:sz w:val="21"/>
          <w:szCs w:val="21"/>
          <w:highlight w:val="none"/>
        </w:rPr>
      </w:pPr>
      <w:r>
        <w:rPr>
          <w:rFonts w:hint="eastAsia"/>
          <w:b/>
          <w:bCs/>
          <w:sz w:val="21"/>
          <w:szCs w:val="21"/>
          <w:highlight w:val="none"/>
        </w:rPr>
        <w:t>（五）磋商报价</w:t>
      </w:r>
    </w:p>
    <w:p w14:paraId="0E3D54F5">
      <w:pPr>
        <w:adjustRightInd w:val="0"/>
        <w:snapToGrid w:val="0"/>
        <w:spacing w:line="288" w:lineRule="auto"/>
        <w:ind w:firstLine="420" w:firstLineChars="200"/>
        <w:rPr>
          <w:sz w:val="21"/>
          <w:szCs w:val="21"/>
          <w:highlight w:val="none"/>
        </w:rPr>
      </w:pPr>
      <w:r>
        <w:rPr>
          <w:sz w:val="21"/>
          <w:szCs w:val="21"/>
          <w:highlight w:val="none"/>
        </w:rPr>
        <w:t>1.报价应按磋商文件要求的格式编制、填写报价内容（可自行增行），未按磋商文件要求编制、填写的响应文件可能被拒绝；</w:t>
      </w:r>
    </w:p>
    <w:p w14:paraId="61F0E962">
      <w:pPr>
        <w:adjustRightInd w:val="0"/>
        <w:snapToGrid w:val="0"/>
        <w:spacing w:line="288" w:lineRule="auto"/>
        <w:ind w:firstLine="420" w:firstLineChars="200"/>
        <w:rPr>
          <w:sz w:val="21"/>
          <w:szCs w:val="21"/>
          <w:highlight w:val="none"/>
        </w:rPr>
      </w:pPr>
      <w:r>
        <w:rPr>
          <w:sz w:val="21"/>
          <w:szCs w:val="21"/>
          <w:highlight w:val="none"/>
        </w:rPr>
        <w:t>2.本次磋商采用人民币报价；</w:t>
      </w:r>
    </w:p>
    <w:p w14:paraId="72363F26">
      <w:pPr>
        <w:adjustRightInd w:val="0"/>
        <w:snapToGrid w:val="0"/>
        <w:spacing w:line="288" w:lineRule="auto"/>
        <w:ind w:firstLine="420" w:firstLineChars="200"/>
        <w:rPr>
          <w:sz w:val="21"/>
          <w:szCs w:val="21"/>
          <w:highlight w:val="none"/>
        </w:rPr>
      </w:pPr>
      <w:r>
        <w:rPr>
          <w:rFonts w:hint="eastAsia"/>
          <w:sz w:val="21"/>
          <w:szCs w:val="21"/>
          <w:highlight w:val="none"/>
        </w:rPr>
        <w:t>3.最后磋商报价是履行合同的最终价格，有关本项目实施所涉及的一切费用均计入报价。总价不为零，分项报价中部分产品、服务单价为零的，视作已包含在总价中。</w:t>
      </w:r>
    </w:p>
    <w:p w14:paraId="262179E3">
      <w:pPr>
        <w:adjustRightInd w:val="0"/>
        <w:snapToGrid w:val="0"/>
        <w:spacing w:line="288" w:lineRule="auto"/>
        <w:ind w:firstLine="420" w:firstLineChars="200"/>
        <w:rPr>
          <w:sz w:val="21"/>
          <w:szCs w:val="21"/>
          <w:highlight w:val="none"/>
        </w:rPr>
      </w:pPr>
      <w:r>
        <w:rPr>
          <w:rFonts w:hint="eastAsia"/>
          <w:sz w:val="21"/>
          <w:szCs w:val="21"/>
          <w:highlight w:val="none"/>
        </w:rPr>
        <w:t>▲4.采购人将以合同形式有偿取得货物、工程和服务，不接受供应商给予的赠品、回扣或者与采购无关的其他商品、服务。</w:t>
      </w:r>
    </w:p>
    <w:p w14:paraId="6D4DAE49">
      <w:pPr>
        <w:adjustRightInd w:val="0"/>
        <w:snapToGrid w:val="0"/>
        <w:spacing w:line="288" w:lineRule="auto"/>
        <w:ind w:firstLine="420" w:firstLineChars="200"/>
        <w:rPr>
          <w:sz w:val="21"/>
          <w:szCs w:val="21"/>
          <w:highlight w:val="none"/>
        </w:rPr>
      </w:pPr>
      <w:r>
        <w:rPr>
          <w:rFonts w:hint="eastAsia"/>
          <w:sz w:val="21"/>
          <w:szCs w:val="21"/>
          <w:highlight w:val="none"/>
        </w:rPr>
        <w:t>供应商不得进行影响产品质量或者诚信履约的恶意报价。供应商报价低于项目预算50%的，应当在报价文件中提供书面说明，详细阐述不影响产品质量或者诚信履约的具体原因。</w:t>
      </w:r>
    </w:p>
    <w:p w14:paraId="582428E5">
      <w:pPr>
        <w:adjustRightInd w:val="0"/>
        <w:snapToGrid w:val="0"/>
        <w:spacing w:line="288" w:lineRule="auto"/>
        <w:rPr>
          <w:b/>
          <w:bCs/>
          <w:sz w:val="21"/>
          <w:szCs w:val="21"/>
          <w:highlight w:val="none"/>
        </w:rPr>
      </w:pPr>
      <w:r>
        <w:rPr>
          <w:rFonts w:hint="eastAsia"/>
          <w:b/>
          <w:bCs/>
          <w:sz w:val="21"/>
          <w:szCs w:val="21"/>
          <w:highlight w:val="none"/>
        </w:rPr>
        <w:t>（六）响应有效期</w:t>
      </w:r>
    </w:p>
    <w:p w14:paraId="7E41B520">
      <w:pPr>
        <w:adjustRightInd w:val="0"/>
        <w:snapToGrid w:val="0"/>
        <w:spacing w:line="288" w:lineRule="auto"/>
        <w:ind w:firstLine="420" w:firstLineChars="200"/>
        <w:rPr>
          <w:sz w:val="21"/>
          <w:szCs w:val="21"/>
          <w:highlight w:val="none"/>
        </w:rPr>
      </w:pPr>
      <w:r>
        <w:rPr>
          <w:rFonts w:hint="eastAsia"/>
          <w:sz w:val="21"/>
          <w:szCs w:val="21"/>
          <w:highlight w:val="none"/>
        </w:rPr>
        <w:t>▲从提交响应文件的截止之日起90天。在原响应有效期满之前，如果出现特殊情况，采购人或采购代理机构以书面形式通知供应商延长响应有效期。</w:t>
      </w:r>
    </w:p>
    <w:p w14:paraId="39CE87F5">
      <w:pPr>
        <w:widowControl/>
        <w:adjustRightInd w:val="0"/>
        <w:snapToGrid w:val="0"/>
        <w:spacing w:line="288" w:lineRule="auto"/>
        <w:jc w:val="left"/>
        <w:rPr>
          <w:b/>
          <w:bCs/>
          <w:sz w:val="21"/>
          <w:szCs w:val="21"/>
          <w:highlight w:val="none"/>
        </w:rPr>
      </w:pPr>
      <w:r>
        <w:rPr>
          <w:b/>
          <w:bCs/>
          <w:sz w:val="21"/>
          <w:szCs w:val="21"/>
          <w:highlight w:val="none"/>
        </w:rPr>
        <w:br w:type="page"/>
      </w:r>
    </w:p>
    <w:p w14:paraId="43429B3E">
      <w:pPr>
        <w:adjustRightInd w:val="0"/>
        <w:snapToGrid w:val="0"/>
        <w:spacing w:line="288" w:lineRule="auto"/>
        <w:jc w:val="center"/>
        <w:outlineLvl w:val="1"/>
        <w:rPr>
          <w:b/>
          <w:bCs/>
          <w:sz w:val="21"/>
          <w:szCs w:val="21"/>
          <w:highlight w:val="none"/>
        </w:rPr>
      </w:pPr>
      <w:r>
        <w:rPr>
          <w:rFonts w:hint="eastAsia"/>
          <w:b/>
          <w:bCs/>
          <w:sz w:val="21"/>
          <w:szCs w:val="21"/>
          <w:highlight w:val="none"/>
        </w:rPr>
        <w:t>四、响应无效的情形</w:t>
      </w:r>
    </w:p>
    <w:p w14:paraId="6D4A802C">
      <w:pPr>
        <w:adjustRightInd w:val="0"/>
        <w:snapToGrid w:val="0"/>
        <w:spacing w:line="288" w:lineRule="auto"/>
        <w:ind w:firstLine="420" w:firstLineChars="200"/>
        <w:rPr>
          <w:sz w:val="21"/>
          <w:szCs w:val="21"/>
          <w:highlight w:val="none"/>
        </w:rPr>
      </w:pPr>
      <w:bookmarkStart w:id="44" w:name="_Hlk97039899"/>
      <w:r>
        <w:rPr>
          <w:rFonts w:hint="eastAsia"/>
          <w:sz w:val="21"/>
          <w:szCs w:val="21"/>
          <w:highlight w:val="none"/>
        </w:rPr>
        <w:t>未响应磋商文件“▲”标记条款要求的，响应无效。</w:t>
      </w:r>
    </w:p>
    <w:bookmarkEnd w:id="44"/>
    <w:p w14:paraId="5E241257">
      <w:pPr>
        <w:adjustRightInd w:val="0"/>
        <w:snapToGrid w:val="0"/>
        <w:spacing w:line="288" w:lineRule="auto"/>
        <w:ind w:firstLine="422" w:firstLineChars="200"/>
        <w:rPr>
          <w:b/>
          <w:bCs/>
          <w:sz w:val="21"/>
          <w:szCs w:val="21"/>
          <w:highlight w:val="none"/>
        </w:rPr>
      </w:pPr>
      <w:r>
        <w:rPr>
          <w:rFonts w:hint="eastAsia"/>
          <w:b/>
          <w:bCs/>
          <w:sz w:val="21"/>
          <w:szCs w:val="21"/>
          <w:highlight w:val="none"/>
        </w:rPr>
        <w:t>1.在资格审查时，如发现下列情形之一的，响应文件将被视为无效：</w:t>
      </w:r>
    </w:p>
    <w:p w14:paraId="28E08546">
      <w:pPr>
        <w:adjustRightInd w:val="0"/>
        <w:snapToGrid w:val="0"/>
        <w:spacing w:line="288" w:lineRule="auto"/>
        <w:ind w:firstLine="420" w:firstLineChars="200"/>
        <w:rPr>
          <w:sz w:val="21"/>
          <w:szCs w:val="21"/>
          <w:highlight w:val="none"/>
        </w:rPr>
      </w:pPr>
      <w:r>
        <w:rPr>
          <w:rFonts w:hint="eastAsia"/>
          <w:sz w:val="21"/>
          <w:szCs w:val="21"/>
          <w:highlight w:val="none"/>
        </w:rPr>
        <w:t>（1）资格证明材料不全的，或者不符合磋商文件要求的；</w:t>
      </w:r>
    </w:p>
    <w:p w14:paraId="486596F6">
      <w:pPr>
        <w:adjustRightInd w:val="0"/>
        <w:snapToGrid w:val="0"/>
        <w:spacing w:line="288" w:lineRule="auto"/>
        <w:ind w:firstLine="420" w:firstLineChars="200"/>
        <w:rPr>
          <w:sz w:val="21"/>
          <w:szCs w:val="21"/>
          <w:highlight w:val="none"/>
        </w:rPr>
      </w:pPr>
      <w:r>
        <w:rPr>
          <w:rFonts w:hint="eastAsia"/>
          <w:sz w:val="21"/>
          <w:szCs w:val="21"/>
          <w:highlight w:val="none"/>
        </w:rPr>
        <w:t>（</w:t>
      </w:r>
      <w:r>
        <w:rPr>
          <w:sz w:val="21"/>
          <w:szCs w:val="21"/>
          <w:highlight w:val="none"/>
        </w:rPr>
        <w:t>2</w:t>
      </w:r>
      <w:r>
        <w:rPr>
          <w:rFonts w:hint="eastAsia"/>
          <w:sz w:val="21"/>
          <w:szCs w:val="21"/>
          <w:highlight w:val="none"/>
        </w:rPr>
        <w:t>）供应商不具备磋商文件中规定的资格要求的；</w:t>
      </w:r>
    </w:p>
    <w:p w14:paraId="7C5D2E9C">
      <w:pPr>
        <w:adjustRightInd w:val="0"/>
        <w:snapToGrid w:val="0"/>
        <w:spacing w:line="288" w:lineRule="auto"/>
        <w:ind w:firstLine="420" w:firstLineChars="200"/>
        <w:rPr>
          <w:sz w:val="21"/>
          <w:szCs w:val="21"/>
          <w:highlight w:val="none"/>
        </w:rPr>
      </w:pPr>
      <w:bookmarkStart w:id="45" w:name="_Hlk97039841"/>
      <w:r>
        <w:rPr>
          <w:rFonts w:hint="eastAsia"/>
          <w:sz w:val="21"/>
          <w:szCs w:val="21"/>
          <w:highlight w:val="none"/>
        </w:rPr>
        <w:t>（3）资格文件未按要求签署、盖章的。</w:t>
      </w:r>
    </w:p>
    <w:p w14:paraId="1DD20F4F">
      <w:pPr>
        <w:adjustRightInd w:val="0"/>
        <w:snapToGrid w:val="0"/>
        <w:spacing w:line="288" w:lineRule="auto"/>
        <w:ind w:firstLine="420" w:firstLineChars="200"/>
        <w:rPr>
          <w:sz w:val="21"/>
          <w:szCs w:val="21"/>
          <w:highlight w:val="none"/>
        </w:rPr>
      </w:pPr>
      <w:r>
        <w:rPr>
          <w:rFonts w:hint="eastAsia"/>
          <w:sz w:val="21"/>
          <w:szCs w:val="21"/>
          <w:highlight w:val="none"/>
        </w:rPr>
        <w:t>（</w:t>
      </w:r>
      <w:r>
        <w:rPr>
          <w:sz w:val="21"/>
          <w:szCs w:val="21"/>
          <w:highlight w:val="none"/>
        </w:rPr>
        <w:t>4）预留份额专门面向中小企业采购的项目（包括整体、联合体、分包形式），供应商提供《中小企业声明函》内容不实的；《中小企业声明函》填写不全（从业人员、营业收入、资产总额在中小企业划型标准规定中不涉及的除外），或未按照《中小企业声明函》要求填写的。</w:t>
      </w:r>
    </w:p>
    <w:bookmarkEnd w:id="45"/>
    <w:p w14:paraId="1EA20E43">
      <w:pPr>
        <w:adjustRightInd w:val="0"/>
        <w:snapToGrid w:val="0"/>
        <w:spacing w:line="288" w:lineRule="auto"/>
        <w:ind w:firstLine="422" w:firstLineChars="200"/>
        <w:rPr>
          <w:b/>
          <w:bCs/>
          <w:sz w:val="21"/>
          <w:szCs w:val="21"/>
          <w:highlight w:val="none"/>
        </w:rPr>
      </w:pPr>
      <w:r>
        <w:rPr>
          <w:rFonts w:hint="eastAsia"/>
          <w:b/>
          <w:bCs/>
          <w:sz w:val="21"/>
          <w:szCs w:val="21"/>
          <w:highlight w:val="none"/>
        </w:rPr>
        <w:t>2.在符合性审查、商务和技术评审时，如发现下列情形之一的，响应文件将被视为无效：</w:t>
      </w:r>
    </w:p>
    <w:p w14:paraId="4A09DB88">
      <w:pPr>
        <w:adjustRightInd w:val="0"/>
        <w:snapToGrid w:val="0"/>
        <w:spacing w:line="288" w:lineRule="auto"/>
        <w:ind w:firstLine="420" w:firstLineChars="200"/>
        <w:jc w:val="left"/>
        <w:rPr>
          <w:sz w:val="21"/>
          <w:szCs w:val="21"/>
          <w:highlight w:val="none"/>
        </w:rPr>
      </w:pPr>
      <w:r>
        <w:rPr>
          <w:rFonts w:hint="eastAsia"/>
          <w:sz w:val="21"/>
          <w:szCs w:val="21"/>
          <w:highlight w:val="none"/>
        </w:rPr>
        <w:t>（1）商务和技术文件未按要求签署、盖章的；</w:t>
      </w:r>
    </w:p>
    <w:p w14:paraId="7737DD46">
      <w:pPr>
        <w:adjustRightInd w:val="0"/>
        <w:snapToGrid w:val="0"/>
        <w:spacing w:line="288" w:lineRule="auto"/>
        <w:ind w:firstLine="420" w:firstLineChars="200"/>
        <w:jc w:val="left"/>
        <w:rPr>
          <w:sz w:val="21"/>
          <w:szCs w:val="21"/>
          <w:highlight w:val="none"/>
        </w:rPr>
      </w:pPr>
      <w:r>
        <w:rPr>
          <w:rFonts w:hint="eastAsia"/>
          <w:sz w:val="21"/>
          <w:szCs w:val="21"/>
          <w:highlight w:val="none"/>
        </w:rPr>
        <w:t>（2）未提供或未按要求提供响应函、授权委托书、项目经理无在建工程声明函；</w:t>
      </w:r>
    </w:p>
    <w:p w14:paraId="3530C3B6">
      <w:pPr>
        <w:adjustRightInd w:val="0"/>
        <w:snapToGrid w:val="0"/>
        <w:spacing w:line="288" w:lineRule="auto"/>
        <w:ind w:firstLine="420" w:firstLineChars="200"/>
        <w:jc w:val="left"/>
        <w:rPr>
          <w:sz w:val="21"/>
          <w:szCs w:val="21"/>
          <w:highlight w:val="none"/>
        </w:rPr>
      </w:pPr>
      <w:r>
        <w:rPr>
          <w:rFonts w:hint="eastAsia"/>
          <w:sz w:val="21"/>
          <w:szCs w:val="21"/>
          <w:highlight w:val="none"/>
        </w:rPr>
        <w:t>（3）</w:t>
      </w:r>
      <w:r>
        <w:rPr>
          <w:sz w:val="21"/>
          <w:szCs w:val="21"/>
          <w:highlight w:val="none"/>
        </w:rPr>
        <w:t>委托授权代表参加</w:t>
      </w:r>
      <w:r>
        <w:rPr>
          <w:rFonts w:hint="eastAsia"/>
          <w:sz w:val="21"/>
          <w:szCs w:val="21"/>
          <w:highlight w:val="none"/>
        </w:rPr>
        <w:t>采购活动</w:t>
      </w:r>
      <w:r>
        <w:rPr>
          <w:sz w:val="21"/>
          <w:szCs w:val="21"/>
          <w:highlight w:val="none"/>
        </w:rPr>
        <w:t>但未提供符合要求的授权代表社保缴纳证明</w:t>
      </w:r>
      <w:r>
        <w:rPr>
          <w:rFonts w:hint="eastAsia"/>
          <w:sz w:val="21"/>
          <w:szCs w:val="21"/>
          <w:highlight w:val="none"/>
        </w:rPr>
        <w:t>；</w:t>
      </w:r>
    </w:p>
    <w:p w14:paraId="2AD0EB92">
      <w:pPr>
        <w:adjustRightInd w:val="0"/>
        <w:snapToGrid w:val="0"/>
        <w:spacing w:line="288" w:lineRule="auto"/>
        <w:ind w:firstLine="420" w:firstLineChars="200"/>
        <w:jc w:val="left"/>
        <w:rPr>
          <w:sz w:val="21"/>
          <w:szCs w:val="21"/>
          <w:highlight w:val="none"/>
        </w:rPr>
      </w:pPr>
      <w:r>
        <w:rPr>
          <w:rFonts w:hint="eastAsia"/>
          <w:sz w:val="21"/>
          <w:szCs w:val="21"/>
          <w:highlight w:val="none"/>
        </w:rPr>
        <w:t>（4）未提供或未如实提供采购需求偏离表的；</w:t>
      </w:r>
    </w:p>
    <w:p w14:paraId="2BE9FA56">
      <w:pPr>
        <w:adjustRightInd w:val="0"/>
        <w:snapToGrid w:val="0"/>
        <w:spacing w:line="288" w:lineRule="auto"/>
        <w:ind w:firstLine="420" w:firstLineChars="200"/>
        <w:jc w:val="left"/>
        <w:rPr>
          <w:sz w:val="21"/>
          <w:szCs w:val="21"/>
          <w:highlight w:val="none"/>
        </w:rPr>
      </w:pPr>
      <w:r>
        <w:rPr>
          <w:rFonts w:hint="eastAsia"/>
          <w:sz w:val="21"/>
          <w:szCs w:val="21"/>
          <w:highlight w:val="none"/>
        </w:rPr>
        <w:t>（5）明显不符合磋商文件要求，</w:t>
      </w:r>
      <w:r>
        <w:rPr>
          <w:rFonts w:hint="eastAsia"/>
          <w:spacing w:val="-6"/>
          <w:sz w:val="21"/>
          <w:szCs w:val="21"/>
          <w:highlight w:val="none"/>
        </w:rPr>
        <w:t>视为采购人不能接受的附加条件；</w:t>
      </w:r>
    </w:p>
    <w:p w14:paraId="4A3574DB">
      <w:pPr>
        <w:adjustRightInd w:val="0"/>
        <w:snapToGrid w:val="0"/>
        <w:spacing w:line="288" w:lineRule="auto"/>
        <w:ind w:firstLine="420" w:firstLineChars="200"/>
        <w:jc w:val="left"/>
        <w:rPr>
          <w:sz w:val="21"/>
          <w:szCs w:val="21"/>
          <w:highlight w:val="none"/>
        </w:rPr>
      </w:pPr>
      <w:r>
        <w:rPr>
          <w:rFonts w:hint="eastAsia"/>
          <w:sz w:val="21"/>
          <w:szCs w:val="21"/>
          <w:highlight w:val="none"/>
        </w:rPr>
        <w:t>（</w:t>
      </w:r>
      <w:r>
        <w:rPr>
          <w:sz w:val="21"/>
          <w:szCs w:val="21"/>
          <w:highlight w:val="none"/>
        </w:rPr>
        <w:t>6</w:t>
      </w:r>
      <w:r>
        <w:rPr>
          <w:rFonts w:hint="eastAsia"/>
          <w:sz w:val="21"/>
          <w:szCs w:val="21"/>
          <w:highlight w:val="none"/>
        </w:rPr>
        <w:t>）响应技术方案不明确，存在一个或一个以上备选（替代）响应方案的；</w:t>
      </w:r>
    </w:p>
    <w:p w14:paraId="7FD0D790">
      <w:pPr>
        <w:adjustRightInd w:val="0"/>
        <w:snapToGrid w:val="0"/>
        <w:spacing w:line="288" w:lineRule="auto"/>
        <w:ind w:firstLine="420" w:firstLineChars="200"/>
        <w:jc w:val="left"/>
        <w:rPr>
          <w:sz w:val="21"/>
          <w:szCs w:val="21"/>
          <w:highlight w:val="none"/>
        </w:rPr>
      </w:pPr>
      <w:r>
        <w:rPr>
          <w:rFonts w:hint="eastAsia"/>
          <w:sz w:val="21"/>
          <w:szCs w:val="21"/>
          <w:highlight w:val="none"/>
        </w:rPr>
        <w:t>（</w:t>
      </w:r>
      <w:r>
        <w:rPr>
          <w:sz w:val="21"/>
          <w:szCs w:val="21"/>
          <w:highlight w:val="none"/>
        </w:rPr>
        <w:t>7</w:t>
      </w:r>
      <w:r>
        <w:rPr>
          <w:rFonts w:hint="eastAsia"/>
          <w:sz w:val="21"/>
          <w:szCs w:val="21"/>
          <w:highlight w:val="none"/>
        </w:rPr>
        <w:t>）响应文件含有采购人不能接受的附加条件的；</w:t>
      </w:r>
    </w:p>
    <w:p w14:paraId="09EA9FA2">
      <w:pPr>
        <w:adjustRightInd w:val="0"/>
        <w:snapToGrid w:val="0"/>
        <w:spacing w:line="288" w:lineRule="auto"/>
        <w:ind w:firstLine="420" w:firstLineChars="200"/>
        <w:jc w:val="left"/>
        <w:rPr>
          <w:sz w:val="21"/>
          <w:szCs w:val="21"/>
          <w:highlight w:val="none"/>
        </w:rPr>
      </w:pPr>
      <w:r>
        <w:rPr>
          <w:rFonts w:hint="eastAsia"/>
          <w:sz w:val="21"/>
          <w:szCs w:val="21"/>
          <w:highlight w:val="none"/>
        </w:rPr>
        <w:t>（</w:t>
      </w:r>
      <w:r>
        <w:rPr>
          <w:sz w:val="21"/>
          <w:szCs w:val="21"/>
          <w:highlight w:val="none"/>
        </w:rPr>
        <w:t>8</w:t>
      </w:r>
      <w:r>
        <w:rPr>
          <w:rFonts w:hint="eastAsia"/>
          <w:sz w:val="21"/>
          <w:szCs w:val="21"/>
          <w:highlight w:val="none"/>
        </w:rPr>
        <w:t>）法律、法规和磋商文件规定的其他无效情形。</w:t>
      </w:r>
    </w:p>
    <w:p w14:paraId="08FAC81F">
      <w:pPr>
        <w:adjustRightInd w:val="0"/>
        <w:snapToGrid w:val="0"/>
        <w:spacing w:line="288" w:lineRule="auto"/>
        <w:ind w:firstLine="422" w:firstLineChars="200"/>
        <w:jc w:val="left"/>
        <w:rPr>
          <w:b/>
          <w:bCs/>
          <w:sz w:val="21"/>
          <w:szCs w:val="21"/>
          <w:highlight w:val="none"/>
        </w:rPr>
      </w:pPr>
      <w:r>
        <w:rPr>
          <w:rFonts w:hint="eastAsia"/>
          <w:b/>
          <w:bCs/>
          <w:sz w:val="21"/>
          <w:szCs w:val="21"/>
          <w:highlight w:val="none"/>
        </w:rPr>
        <w:t>3.在报价评审时，如发现下列情形之一的，响应文件将被视为无效：（响应报价评审是指对响应方的工程量清单的范围、数量、报价进行全面审核和对比分析。重点列出投标报价相对于法律法规和采购文件的重大偏差和有无严重的不平衡报价，通过质询、判断作出书面评审意见。）</w:t>
      </w:r>
    </w:p>
    <w:p w14:paraId="17DBFE91">
      <w:pPr>
        <w:adjustRightInd w:val="0"/>
        <w:snapToGrid w:val="0"/>
        <w:spacing w:line="288" w:lineRule="auto"/>
        <w:ind w:firstLine="420" w:firstLineChars="200"/>
        <w:jc w:val="left"/>
        <w:rPr>
          <w:sz w:val="21"/>
          <w:szCs w:val="21"/>
          <w:highlight w:val="none"/>
        </w:rPr>
      </w:pPr>
      <w:r>
        <w:rPr>
          <w:rFonts w:hint="eastAsia"/>
          <w:sz w:val="21"/>
          <w:szCs w:val="21"/>
          <w:highlight w:val="none"/>
        </w:rPr>
        <w:t>（1）最后报价超过磋商文件中规定的预算金额或最高限价的；</w:t>
      </w:r>
    </w:p>
    <w:p w14:paraId="6DC1C814">
      <w:pPr>
        <w:adjustRightInd w:val="0"/>
        <w:snapToGrid w:val="0"/>
        <w:spacing w:line="288" w:lineRule="auto"/>
        <w:ind w:firstLine="420" w:firstLineChars="200"/>
        <w:rPr>
          <w:sz w:val="21"/>
          <w:szCs w:val="21"/>
          <w:highlight w:val="none"/>
        </w:rPr>
      </w:pPr>
      <w:r>
        <w:rPr>
          <w:rFonts w:hint="eastAsia"/>
          <w:sz w:val="21"/>
          <w:szCs w:val="21"/>
          <w:highlight w:val="none"/>
        </w:rPr>
        <w:t>（2）最后报价具有选择性的。</w:t>
      </w:r>
    </w:p>
    <w:p w14:paraId="3E25AB71">
      <w:pPr>
        <w:adjustRightInd w:val="0"/>
        <w:snapToGrid w:val="0"/>
        <w:spacing w:line="288" w:lineRule="auto"/>
        <w:ind w:firstLine="420" w:firstLineChars="200"/>
        <w:rPr>
          <w:sz w:val="21"/>
          <w:szCs w:val="21"/>
          <w:highlight w:val="none"/>
        </w:rPr>
      </w:pPr>
      <w:r>
        <w:rPr>
          <w:rFonts w:hint="eastAsia"/>
          <w:sz w:val="21"/>
          <w:szCs w:val="21"/>
          <w:highlight w:val="none"/>
        </w:rPr>
        <w:t>（</w:t>
      </w:r>
      <w:r>
        <w:rPr>
          <w:sz w:val="21"/>
          <w:szCs w:val="21"/>
          <w:highlight w:val="none"/>
        </w:rPr>
        <w:t>3）</w:t>
      </w:r>
      <w:r>
        <w:rPr>
          <w:rFonts w:hint="eastAsia"/>
          <w:sz w:val="21"/>
          <w:szCs w:val="21"/>
          <w:highlight w:val="none"/>
        </w:rPr>
        <w:t>报价文件</w:t>
      </w:r>
      <w:r>
        <w:rPr>
          <w:sz w:val="21"/>
          <w:szCs w:val="21"/>
          <w:highlight w:val="none"/>
        </w:rPr>
        <w:t>没有编制人员签字、盖章的，或盖章无效的，或存在弄虚作假情况的；</w:t>
      </w:r>
    </w:p>
    <w:p w14:paraId="462ED169">
      <w:pPr>
        <w:adjustRightInd w:val="0"/>
        <w:snapToGrid w:val="0"/>
        <w:spacing w:line="288" w:lineRule="auto"/>
        <w:ind w:firstLine="420" w:firstLineChars="200"/>
        <w:rPr>
          <w:sz w:val="21"/>
          <w:szCs w:val="21"/>
          <w:highlight w:val="none"/>
        </w:rPr>
      </w:pPr>
      <w:r>
        <w:rPr>
          <w:rFonts w:hint="eastAsia"/>
          <w:sz w:val="21"/>
          <w:szCs w:val="21"/>
          <w:highlight w:val="none"/>
        </w:rPr>
        <w:t>（</w:t>
      </w:r>
      <w:r>
        <w:rPr>
          <w:sz w:val="21"/>
          <w:szCs w:val="21"/>
          <w:highlight w:val="none"/>
        </w:rPr>
        <w:t>4）改变竞争性磋商文件提供的工程量清单（项目编码、计量单位、工程数量、项目特征描述等）的；</w:t>
      </w:r>
    </w:p>
    <w:p w14:paraId="0D248E4D">
      <w:pPr>
        <w:adjustRightInd w:val="0"/>
        <w:snapToGrid w:val="0"/>
        <w:spacing w:line="288" w:lineRule="auto"/>
        <w:ind w:firstLine="420" w:firstLineChars="200"/>
        <w:rPr>
          <w:sz w:val="21"/>
          <w:szCs w:val="21"/>
          <w:highlight w:val="none"/>
        </w:rPr>
      </w:pPr>
      <w:r>
        <w:rPr>
          <w:rFonts w:hint="eastAsia"/>
          <w:sz w:val="21"/>
          <w:szCs w:val="21"/>
          <w:highlight w:val="none"/>
        </w:rPr>
        <w:t>（</w:t>
      </w:r>
      <w:r>
        <w:rPr>
          <w:sz w:val="21"/>
          <w:szCs w:val="21"/>
          <w:highlight w:val="none"/>
        </w:rPr>
        <w:t>5）</w:t>
      </w:r>
      <w:r>
        <w:rPr>
          <w:rFonts w:hint="eastAsia"/>
          <w:sz w:val="21"/>
          <w:szCs w:val="21"/>
          <w:highlight w:val="none"/>
        </w:rPr>
        <w:t>供应商</w:t>
      </w:r>
      <w:r>
        <w:rPr>
          <w:sz w:val="21"/>
          <w:szCs w:val="21"/>
          <w:highlight w:val="none"/>
        </w:rPr>
        <w:t>拒绝按磋商小组要求提供报价分析说明和证明材料的；</w:t>
      </w:r>
    </w:p>
    <w:p w14:paraId="4E73DBB1">
      <w:pPr>
        <w:adjustRightInd w:val="0"/>
        <w:snapToGrid w:val="0"/>
        <w:spacing w:line="288" w:lineRule="auto"/>
        <w:ind w:firstLine="420" w:firstLineChars="200"/>
        <w:rPr>
          <w:sz w:val="21"/>
          <w:szCs w:val="21"/>
          <w:highlight w:val="none"/>
        </w:rPr>
      </w:pPr>
      <w:r>
        <w:rPr>
          <w:rFonts w:hint="eastAsia"/>
          <w:sz w:val="21"/>
          <w:szCs w:val="21"/>
          <w:highlight w:val="none"/>
        </w:rPr>
        <w:t>（</w:t>
      </w:r>
      <w:r>
        <w:rPr>
          <w:sz w:val="21"/>
          <w:szCs w:val="21"/>
          <w:highlight w:val="none"/>
        </w:rPr>
        <w:t>6）工程量清单报价与工、料、机报价及对应的报价分析不相符的，或与本项目的施工组织设计及施工方案明显不匹配的，经磋商小组书面质询，</w:t>
      </w:r>
      <w:r>
        <w:rPr>
          <w:rFonts w:hint="eastAsia"/>
          <w:sz w:val="21"/>
          <w:szCs w:val="21"/>
          <w:highlight w:val="none"/>
        </w:rPr>
        <w:t>供应商</w:t>
      </w:r>
      <w:r>
        <w:rPr>
          <w:sz w:val="21"/>
          <w:szCs w:val="21"/>
          <w:highlight w:val="none"/>
        </w:rPr>
        <w:t>不能说明理由或磋商小组认定其理由不成立的；</w:t>
      </w:r>
    </w:p>
    <w:p w14:paraId="4DBFE639">
      <w:pPr>
        <w:adjustRightInd w:val="0"/>
        <w:snapToGrid w:val="0"/>
        <w:spacing w:line="288" w:lineRule="auto"/>
        <w:ind w:firstLine="420" w:firstLineChars="200"/>
        <w:rPr>
          <w:sz w:val="21"/>
          <w:szCs w:val="21"/>
          <w:highlight w:val="none"/>
        </w:rPr>
      </w:pPr>
      <w:r>
        <w:rPr>
          <w:rFonts w:hint="eastAsia"/>
          <w:sz w:val="21"/>
          <w:szCs w:val="21"/>
          <w:highlight w:val="none"/>
        </w:rPr>
        <w:t>（</w:t>
      </w:r>
      <w:r>
        <w:rPr>
          <w:sz w:val="21"/>
          <w:szCs w:val="21"/>
          <w:highlight w:val="none"/>
        </w:rPr>
        <w:t>7）当磋商小组发现其错误达到或超过原总报价0.5%时,将认定其响应文件质量较差,其错误不予修正,作</w:t>
      </w:r>
      <w:r>
        <w:rPr>
          <w:rFonts w:hint="eastAsia"/>
          <w:sz w:val="21"/>
          <w:szCs w:val="21"/>
          <w:highlight w:val="none"/>
        </w:rPr>
        <w:t>响应文件无效</w:t>
      </w:r>
      <w:r>
        <w:rPr>
          <w:sz w:val="21"/>
          <w:szCs w:val="21"/>
          <w:highlight w:val="none"/>
        </w:rPr>
        <w:t>处理；</w:t>
      </w:r>
    </w:p>
    <w:p w14:paraId="55EFF924">
      <w:pPr>
        <w:adjustRightInd w:val="0"/>
        <w:snapToGrid w:val="0"/>
        <w:spacing w:line="288" w:lineRule="auto"/>
        <w:ind w:firstLine="420" w:firstLineChars="200"/>
        <w:rPr>
          <w:sz w:val="21"/>
          <w:szCs w:val="21"/>
          <w:highlight w:val="none"/>
        </w:rPr>
      </w:pPr>
      <w:r>
        <w:rPr>
          <w:rFonts w:hint="eastAsia"/>
          <w:sz w:val="21"/>
          <w:szCs w:val="21"/>
          <w:highlight w:val="none"/>
        </w:rPr>
        <w:t>（</w:t>
      </w:r>
      <w:r>
        <w:rPr>
          <w:sz w:val="21"/>
          <w:szCs w:val="21"/>
          <w:highlight w:val="none"/>
        </w:rPr>
        <w:t>8）供应商根据国家法律法规及自身缴纳规费的实际情况，自主确定其投标费率，但在规费政策平稳过渡期内不得低于标准费率的30%；</w:t>
      </w:r>
    </w:p>
    <w:p w14:paraId="7235AB26">
      <w:pPr>
        <w:adjustRightInd w:val="0"/>
        <w:snapToGrid w:val="0"/>
        <w:spacing w:line="288" w:lineRule="auto"/>
        <w:ind w:firstLine="420" w:firstLineChars="200"/>
        <w:rPr>
          <w:sz w:val="21"/>
          <w:szCs w:val="21"/>
          <w:highlight w:val="none"/>
        </w:rPr>
      </w:pPr>
      <w:r>
        <w:rPr>
          <w:rFonts w:hint="eastAsia"/>
          <w:sz w:val="21"/>
          <w:szCs w:val="21"/>
          <w:highlight w:val="none"/>
        </w:rPr>
        <w:t>（</w:t>
      </w:r>
      <w:r>
        <w:rPr>
          <w:sz w:val="21"/>
          <w:szCs w:val="21"/>
          <w:highlight w:val="none"/>
        </w:rPr>
        <w:t>9）法律、法规、规章及现行招投标管理规定必须</w:t>
      </w:r>
      <w:r>
        <w:rPr>
          <w:rFonts w:hint="eastAsia"/>
          <w:sz w:val="21"/>
          <w:szCs w:val="21"/>
          <w:highlight w:val="none"/>
        </w:rPr>
        <w:t>无效</w:t>
      </w:r>
      <w:r>
        <w:rPr>
          <w:sz w:val="21"/>
          <w:szCs w:val="21"/>
          <w:highlight w:val="none"/>
        </w:rPr>
        <w:t>的。</w:t>
      </w:r>
    </w:p>
    <w:p w14:paraId="0FF3BF2D">
      <w:pPr>
        <w:widowControl/>
        <w:adjustRightInd w:val="0"/>
        <w:snapToGrid w:val="0"/>
        <w:spacing w:line="288" w:lineRule="auto"/>
        <w:ind w:firstLine="396" w:firstLineChars="200"/>
        <w:jc w:val="left"/>
        <w:rPr>
          <w:rFonts w:cs="Times New Roman"/>
          <w:spacing w:val="-6"/>
          <w:sz w:val="21"/>
          <w:szCs w:val="21"/>
          <w:highlight w:val="none"/>
        </w:rPr>
      </w:pPr>
      <w:r>
        <w:rPr>
          <w:rFonts w:hint="eastAsia" w:cs="Times New Roman"/>
          <w:spacing w:val="-6"/>
          <w:sz w:val="21"/>
          <w:szCs w:val="21"/>
          <w:highlight w:val="none"/>
        </w:rPr>
        <w:t>特别说明：磋商小组认为供应商的最后报价明显低于其他供应商最后报价，有可能影响产品质量或者不能诚信履约的，应当要求其在评审现场合理的时间内提供书面说明，必要时提交相关证明材料；供应商不能证明其最后报价合理性的，磋商小组应当将其作为无效响应处理。</w:t>
      </w:r>
    </w:p>
    <w:p w14:paraId="14F9EA41">
      <w:pPr>
        <w:adjustRightInd w:val="0"/>
        <w:snapToGrid w:val="0"/>
        <w:spacing w:line="288" w:lineRule="auto"/>
        <w:ind w:firstLine="422" w:firstLineChars="200"/>
        <w:rPr>
          <w:b/>
          <w:bCs/>
          <w:sz w:val="21"/>
          <w:szCs w:val="21"/>
          <w:highlight w:val="none"/>
        </w:rPr>
      </w:pPr>
      <w:r>
        <w:rPr>
          <w:rFonts w:hint="eastAsia"/>
          <w:b/>
          <w:bCs/>
          <w:sz w:val="21"/>
          <w:szCs w:val="21"/>
          <w:highlight w:val="none"/>
        </w:rPr>
        <w:t>4.有下列情形之一的，视为供应商串通，其响应无效：</w:t>
      </w:r>
    </w:p>
    <w:p w14:paraId="529C8F56">
      <w:pPr>
        <w:adjustRightInd w:val="0"/>
        <w:snapToGrid w:val="0"/>
        <w:spacing w:line="288" w:lineRule="auto"/>
        <w:ind w:firstLine="420" w:firstLineChars="200"/>
        <w:rPr>
          <w:sz w:val="21"/>
          <w:szCs w:val="21"/>
          <w:highlight w:val="none"/>
        </w:rPr>
      </w:pPr>
      <w:r>
        <w:rPr>
          <w:rFonts w:hint="eastAsia"/>
          <w:sz w:val="21"/>
          <w:szCs w:val="21"/>
          <w:highlight w:val="none"/>
        </w:rPr>
        <w:t>（1）不同供应商的响应文件由同一单位或者个人编制；</w:t>
      </w:r>
    </w:p>
    <w:p w14:paraId="5B33BA45">
      <w:pPr>
        <w:adjustRightInd w:val="0"/>
        <w:snapToGrid w:val="0"/>
        <w:spacing w:line="288" w:lineRule="auto"/>
        <w:ind w:firstLine="420" w:firstLineChars="200"/>
        <w:rPr>
          <w:sz w:val="21"/>
          <w:szCs w:val="21"/>
          <w:highlight w:val="none"/>
        </w:rPr>
      </w:pPr>
      <w:r>
        <w:rPr>
          <w:rFonts w:hint="eastAsia"/>
          <w:sz w:val="21"/>
          <w:szCs w:val="21"/>
          <w:highlight w:val="none"/>
        </w:rPr>
        <w:t>（2）不同供应商委托同一单位或者个人办理磋商事宜；</w:t>
      </w:r>
    </w:p>
    <w:p w14:paraId="6A7DD5B6">
      <w:pPr>
        <w:adjustRightInd w:val="0"/>
        <w:snapToGrid w:val="0"/>
        <w:spacing w:line="288" w:lineRule="auto"/>
        <w:ind w:firstLine="420" w:firstLineChars="200"/>
        <w:rPr>
          <w:sz w:val="21"/>
          <w:szCs w:val="21"/>
          <w:highlight w:val="none"/>
        </w:rPr>
      </w:pPr>
      <w:r>
        <w:rPr>
          <w:rFonts w:hint="eastAsia"/>
          <w:sz w:val="21"/>
          <w:szCs w:val="21"/>
          <w:highlight w:val="none"/>
        </w:rPr>
        <w:t>（3）不同供应商的响应文件载明的项目管理成员或者联系人员为同一人；</w:t>
      </w:r>
    </w:p>
    <w:p w14:paraId="787C8F7D">
      <w:pPr>
        <w:adjustRightInd w:val="0"/>
        <w:snapToGrid w:val="0"/>
        <w:spacing w:line="288" w:lineRule="auto"/>
        <w:ind w:firstLine="420" w:firstLineChars="200"/>
        <w:rPr>
          <w:sz w:val="21"/>
          <w:szCs w:val="21"/>
          <w:highlight w:val="none"/>
        </w:rPr>
      </w:pPr>
      <w:r>
        <w:rPr>
          <w:rFonts w:hint="eastAsia"/>
          <w:sz w:val="21"/>
          <w:szCs w:val="21"/>
          <w:highlight w:val="none"/>
        </w:rPr>
        <w:t>（4）不同供应商的响应文件异常一致或者最后报价呈规律性差异；</w:t>
      </w:r>
    </w:p>
    <w:p w14:paraId="5D99AF96">
      <w:pPr>
        <w:adjustRightInd w:val="0"/>
        <w:snapToGrid w:val="0"/>
        <w:spacing w:line="288" w:lineRule="auto"/>
        <w:ind w:firstLine="420" w:firstLineChars="200"/>
        <w:rPr>
          <w:sz w:val="21"/>
          <w:szCs w:val="21"/>
          <w:highlight w:val="none"/>
        </w:rPr>
      </w:pPr>
      <w:r>
        <w:rPr>
          <w:rFonts w:hint="eastAsia"/>
          <w:sz w:val="21"/>
          <w:szCs w:val="21"/>
          <w:highlight w:val="none"/>
        </w:rPr>
        <w:t>（5）不同供应商的响应文件相互混装。</w:t>
      </w:r>
      <w:r>
        <w:rPr>
          <w:rFonts w:hint="eastAsia"/>
          <w:sz w:val="21"/>
          <w:szCs w:val="21"/>
          <w:highlight w:val="none"/>
        </w:rPr>
        <w:br w:type="page"/>
      </w:r>
    </w:p>
    <w:p w14:paraId="6BF1ED06">
      <w:pPr>
        <w:adjustRightInd w:val="0"/>
        <w:snapToGrid w:val="0"/>
        <w:spacing w:line="288" w:lineRule="auto"/>
        <w:jc w:val="center"/>
        <w:outlineLvl w:val="1"/>
        <w:rPr>
          <w:b/>
          <w:bCs/>
          <w:sz w:val="21"/>
          <w:szCs w:val="21"/>
          <w:highlight w:val="none"/>
        </w:rPr>
      </w:pPr>
      <w:r>
        <w:rPr>
          <w:rFonts w:hint="eastAsia"/>
          <w:b/>
          <w:bCs/>
          <w:sz w:val="21"/>
          <w:szCs w:val="21"/>
          <w:highlight w:val="none"/>
        </w:rPr>
        <w:t>五、响应文件开启</w:t>
      </w:r>
    </w:p>
    <w:p w14:paraId="3B1EEFB9">
      <w:pPr>
        <w:autoSpaceDE w:val="0"/>
        <w:autoSpaceDN w:val="0"/>
        <w:adjustRightInd w:val="0"/>
        <w:snapToGrid w:val="0"/>
        <w:spacing w:line="288" w:lineRule="auto"/>
        <w:ind w:firstLine="422" w:firstLineChars="201"/>
        <w:rPr>
          <w:rFonts w:cs="仿宋_GB2312"/>
          <w:kern w:val="0"/>
          <w:sz w:val="21"/>
          <w:szCs w:val="21"/>
          <w:highlight w:val="none"/>
        </w:rPr>
      </w:pPr>
      <w:r>
        <w:rPr>
          <w:rFonts w:cs="仿宋_GB2312"/>
          <w:kern w:val="0"/>
          <w:sz w:val="21"/>
          <w:szCs w:val="21"/>
          <w:highlight w:val="none"/>
        </w:rPr>
        <w:t>采购</w:t>
      </w:r>
      <w:r>
        <w:rPr>
          <w:rFonts w:hint="eastAsia" w:cs="仿宋_GB2312"/>
          <w:kern w:val="0"/>
          <w:sz w:val="21"/>
          <w:szCs w:val="21"/>
          <w:highlight w:val="none"/>
        </w:rPr>
        <w:t>代理</w:t>
      </w:r>
      <w:r>
        <w:rPr>
          <w:rFonts w:cs="仿宋_GB2312"/>
          <w:kern w:val="0"/>
          <w:sz w:val="21"/>
          <w:szCs w:val="21"/>
          <w:highlight w:val="none"/>
        </w:rPr>
        <w:t>机构按照磋商文件规定的时间通过电子交易平台组织开启，所有供应商均应当准时在线参加。供应商不足3家的，不得开启。</w:t>
      </w:r>
    </w:p>
    <w:p w14:paraId="2CDF5F74">
      <w:pPr>
        <w:autoSpaceDE w:val="0"/>
        <w:autoSpaceDN w:val="0"/>
        <w:adjustRightInd w:val="0"/>
        <w:snapToGrid w:val="0"/>
        <w:spacing w:line="288" w:lineRule="auto"/>
        <w:ind w:firstLine="422" w:firstLineChars="201"/>
        <w:rPr>
          <w:rFonts w:cs="仿宋_GB2312"/>
          <w:kern w:val="0"/>
          <w:sz w:val="21"/>
          <w:szCs w:val="21"/>
          <w:highlight w:val="none"/>
        </w:rPr>
      </w:pPr>
      <w:r>
        <w:rPr>
          <w:rFonts w:cs="仿宋_GB2312"/>
          <w:kern w:val="0"/>
          <w:sz w:val="21"/>
          <w:szCs w:val="21"/>
          <w:highlight w:val="none"/>
        </w:rPr>
        <w:t>开启时，电子交易平台按开启时间自动提取所有响应文件。</w:t>
      </w:r>
      <w:r>
        <w:rPr>
          <w:rFonts w:hint="eastAsia" w:cs="仿宋_GB2312"/>
          <w:kern w:val="0"/>
          <w:sz w:val="21"/>
          <w:szCs w:val="21"/>
          <w:highlight w:val="none"/>
        </w:rPr>
        <w:t>采购人或代理</w:t>
      </w:r>
      <w:r>
        <w:rPr>
          <w:rFonts w:cs="仿宋_GB2312"/>
          <w:kern w:val="0"/>
          <w:sz w:val="21"/>
          <w:szCs w:val="21"/>
          <w:highlight w:val="none"/>
        </w:rPr>
        <w:t>机构依托电子交易平台发起开始解密指令，供应商按照平台提示和磋商文件的规定在半小时内完成在线解密。</w:t>
      </w:r>
    </w:p>
    <w:p w14:paraId="105DB76A">
      <w:pPr>
        <w:adjustRightInd w:val="0"/>
        <w:snapToGrid w:val="0"/>
        <w:spacing w:line="288" w:lineRule="auto"/>
        <w:ind w:firstLine="422" w:firstLineChars="200"/>
        <w:rPr>
          <w:rFonts w:cs="仿宋_GB2312"/>
          <w:b/>
          <w:sz w:val="21"/>
          <w:szCs w:val="21"/>
          <w:highlight w:val="none"/>
        </w:rPr>
      </w:pPr>
      <w:r>
        <w:rPr>
          <w:rFonts w:hint="eastAsia" w:cs="仿宋_GB2312"/>
          <w:b/>
          <w:sz w:val="21"/>
          <w:szCs w:val="21"/>
          <w:highlight w:val="none"/>
        </w:rPr>
        <w:t>响应文件未按时解密，供应商提供了备份响应文件的，以备份响应文件作为依据，否则视为响应文件撤回。响应文件已按时解密的，备份响应文件自动失效。</w:t>
      </w:r>
    </w:p>
    <w:p w14:paraId="765221EA">
      <w:pPr>
        <w:adjustRightInd w:val="0"/>
        <w:snapToGrid w:val="0"/>
        <w:spacing w:line="288" w:lineRule="auto"/>
        <w:ind w:firstLine="398" w:firstLineChars="200"/>
        <w:rPr>
          <w:rFonts w:cs="Times New Roman"/>
          <w:b/>
          <w:bCs/>
          <w:spacing w:val="-6"/>
          <w:sz w:val="21"/>
          <w:szCs w:val="21"/>
          <w:highlight w:val="none"/>
        </w:rPr>
      </w:pPr>
    </w:p>
    <w:p w14:paraId="47EC07FE">
      <w:pPr>
        <w:adjustRightInd w:val="0"/>
        <w:snapToGrid w:val="0"/>
        <w:spacing w:line="288" w:lineRule="auto"/>
        <w:ind w:firstLine="398" w:firstLineChars="200"/>
        <w:rPr>
          <w:rFonts w:cs="Times New Roman"/>
          <w:b/>
          <w:bCs/>
          <w:spacing w:val="-6"/>
          <w:sz w:val="21"/>
          <w:szCs w:val="21"/>
          <w:highlight w:val="none"/>
        </w:rPr>
      </w:pPr>
      <w:r>
        <w:rPr>
          <w:rFonts w:hint="eastAsia" w:cs="Times New Roman"/>
          <w:b/>
          <w:bCs/>
          <w:spacing w:val="-6"/>
          <w:sz w:val="21"/>
          <w:szCs w:val="21"/>
          <w:highlight w:val="none"/>
        </w:rPr>
        <w:t>特别说明：如遇政府采购云平台电子化开启或评审程序调整的，按调整后程序执行。</w:t>
      </w:r>
    </w:p>
    <w:p w14:paraId="44FB6A06">
      <w:pPr>
        <w:adjustRightInd w:val="0"/>
        <w:snapToGrid w:val="0"/>
        <w:spacing w:line="288" w:lineRule="auto"/>
        <w:rPr>
          <w:sz w:val="21"/>
          <w:szCs w:val="21"/>
          <w:highlight w:val="none"/>
        </w:rPr>
      </w:pPr>
      <w:r>
        <w:rPr>
          <w:rFonts w:hint="eastAsia"/>
          <w:sz w:val="21"/>
          <w:szCs w:val="21"/>
          <w:highlight w:val="none"/>
        </w:rPr>
        <w:br w:type="page"/>
      </w:r>
    </w:p>
    <w:p w14:paraId="7C1F3E58">
      <w:pPr>
        <w:adjustRightInd w:val="0"/>
        <w:snapToGrid w:val="0"/>
        <w:spacing w:line="288" w:lineRule="auto"/>
        <w:jc w:val="center"/>
        <w:outlineLvl w:val="1"/>
        <w:rPr>
          <w:b/>
          <w:bCs/>
          <w:sz w:val="21"/>
          <w:szCs w:val="21"/>
          <w:highlight w:val="none"/>
        </w:rPr>
      </w:pPr>
      <w:r>
        <w:rPr>
          <w:rFonts w:hint="eastAsia"/>
          <w:b/>
          <w:bCs/>
          <w:sz w:val="21"/>
          <w:szCs w:val="21"/>
          <w:highlight w:val="none"/>
        </w:rPr>
        <w:t>六、评审程序</w:t>
      </w:r>
    </w:p>
    <w:p w14:paraId="55A7B1D3">
      <w:pPr>
        <w:adjustRightInd w:val="0"/>
        <w:snapToGrid w:val="0"/>
        <w:spacing w:line="288" w:lineRule="auto"/>
        <w:ind w:firstLine="420" w:firstLineChars="200"/>
        <w:rPr>
          <w:kern w:val="0"/>
          <w:sz w:val="21"/>
          <w:szCs w:val="21"/>
          <w:highlight w:val="none"/>
        </w:rPr>
      </w:pPr>
      <w:r>
        <w:rPr>
          <w:rFonts w:hint="eastAsia"/>
          <w:kern w:val="0"/>
          <w:sz w:val="21"/>
          <w:szCs w:val="21"/>
          <w:highlight w:val="none"/>
        </w:rPr>
        <w:t>磋商小组成员应当按照客观、公正、审慎的原则，根据磋商文件规定的评审程序、评审方法和评审标准进行独立评审。未实质性响应磋商文件的响应文件按无效响应处理，磋商小组应当告知提交响应文件的供应商。</w:t>
      </w:r>
    </w:p>
    <w:p w14:paraId="1D5DCF3C">
      <w:pPr>
        <w:adjustRightInd w:val="0"/>
        <w:snapToGrid w:val="0"/>
        <w:spacing w:line="288" w:lineRule="auto"/>
        <w:ind w:firstLine="420" w:firstLineChars="200"/>
        <w:rPr>
          <w:kern w:val="0"/>
          <w:sz w:val="21"/>
          <w:szCs w:val="21"/>
          <w:highlight w:val="none"/>
        </w:rPr>
      </w:pPr>
      <w:r>
        <w:rPr>
          <w:rFonts w:hint="eastAsia"/>
          <w:kern w:val="0"/>
          <w:sz w:val="21"/>
          <w:szCs w:val="21"/>
          <w:highlight w:val="none"/>
        </w:rPr>
        <w:t>磋商文件内容违反国家有关强制性规定的，磋商小组应当停止评审并向采购人或者采购代理机构说明情况。</w:t>
      </w:r>
    </w:p>
    <w:p w14:paraId="32E3F3A2">
      <w:pPr>
        <w:widowControl/>
        <w:adjustRightInd w:val="0"/>
        <w:snapToGrid w:val="0"/>
        <w:spacing w:line="288" w:lineRule="auto"/>
        <w:ind w:firstLine="424" w:firstLineChars="201"/>
        <w:jc w:val="left"/>
        <w:rPr>
          <w:rFonts w:cs="仿宋_GB2312"/>
          <w:b/>
          <w:sz w:val="21"/>
          <w:szCs w:val="21"/>
          <w:highlight w:val="none"/>
        </w:rPr>
      </w:pPr>
      <w:r>
        <w:rPr>
          <w:rFonts w:hint="eastAsia" w:cs="仿宋_GB2312"/>
          <w:b/>
          <w:sz w:val="21"/>
          <w:szCs w:val="21"/>
          <w:highlight w:val="none"/>
        </w:rPr>
        <w:t>（一）</w:t>
      </w:r>
      <w:r>
        <w:rPr>
          <w:rFonts w:cs="仿宋_GB2312"/>
          <w:b/>
          <w:sz w:val="21"/>
          <w:szCs w:val="21"/>
          <w:highlight w:val="none"/>
        </w:rPr>
        <w:t>资格审查</w:t>
      </w:r>
    </w:p>
    <w:p w14:paraId="6E066896">
      <w:pPr>
        <w:adjustRightInd w:val="0"/>
        <w:snapToGrid w:val="0"/>
        <w:spacing w:line="288" w:lineRule="auto"/>
        <w:ind w:firstLine="422" w:firstLineChars="201"/>
        <w:rPr>
          <w:rFonts w:cs="仿宋_GB2312"/>
          <w:sz w:val="21"/>
          <w:szCs w:val="21"/>
          <w:highlight w:val="none"/>
        </w:rPr>
      </w:pPr>
      <w:r>
        <w:rPr>
          <w:rFonts w:cs="Arial"/>
          <w:kern w:val="0"/>
          <w:sz w:val="21"/>
          <w:szCs w:val="21"/>
          <w:highlight w:val="none"/>
        </w:rPr>
        <w:t>开启后，</w:t>
      </w:r>
      <w:r>
        <w:rPr>
          <w:rFonts w:hint="eastAsia" w:cs="仿宋_GB2312"/>
          <w:sz w:val="21"/>
          <w:szCs w:val="21"/>
          <w:highlight w:val="none"/>
        </w:rPr>
        <w:t>磋商小组依据法律法规和磋商文件的规定，对供应商的资格条件进行审查。</w:t>
      </w:r>
    </w:p>
    <w:p w14:paraId="06E7416D">
      <w:pPr>
        <w:adjustRightInd w:val="0"/>
        <w:snapToGrid w:val="0"/>
        <w:spacing w:line="288" w:lineRule="auto"/>
        <w:ind w:firstLine="422" w:firstLineChars="201"/>
        <w:rPr>
          <w:rFonts w:cs="仿宋_GB2312"/>
          <w:sz w:val="21"/>
          <w:szCs w:val="21"/>
          <w:highlight w:val="none"/>
        </w:rPr>
      </w:pPr>
      <w:r>
        <w:rPr>
          <w:rFonts w:cs="仿宋_GB2312"/>
          <w:sz w:val="21"/>
          <w:szCs w:val="21"/>
          <w:highlight w:val="none"/>
        </w:rPr>
        <w:t>对未通过资格审查的供应商，</w:t>
      </w:r>
      <w:r>
        <w:rPr>
          <w:rFonts w:hint="eastAsia" w:cs="仿宋_GB2312"/>
          <w:sz w:val="21"/>
          <w:szCs w:val="21"/>
          <w:highlight w:val="none"/>
        </w:rPr>
        <w:t>磋商小组</w:t>
      </w:r>
      <w:r>
        <w:rPr>
          <w:rFonts w:cs="仿宋_GB2312"/>
          <w:sz w:val="21"/>
          <w:szCs w:val="21"/>
          <w:highlight w:val="none"/>
        </w:rPr>
        <w:t>告知其未通过的原因。</w:t>
      </w:r>
    </w:p>
    <w:p w14:paraId="70C59AAF">
      <w:pPr>
        <w:adjustRightInd w:val="0"/>
        <w:snapToGrid w:val="0"/>
        <w:spacing w:line="288" w:lineRule="auto"/>
        <w:ind w:firstLine="422" w:firstLineChars="201"/>
        <w:rPr>
          <w:rFonts w:cs="仿宋_GB2312"/>
          <w:sz w:val="21"/>
          <w:szCs w:val="21"/>
          <w:highlight w:val="none"/>
        </w:rPr>
      </w:pPr>
      <w:r>
        <w:rPr>
          <w:rFonts w:cs="仿宋_GB2312"/>
          <w:sz w:val="21"/>
          <w:szCs w:val="21"/>
          <w:highlight w:val="none"/>
        </w:rPr>
        <w:t>通过资格审查的供应商不足3家的，不再</w:t>
      </w:r>
      <w:r>
        <w:rPr>
          <w:rFonts w:hint="eastAsia" w:cs="仿宋_GB2312"/>
          <w:sz w:val="21"/>
          <w:szCs w:val="21"/>
          <w:highlight w:val="none"/>
        </w:rPr>
        <w:t>评审</w:t>
      </w:r>
      <w:r>
        <w:rPr>
          <w:rFonts w:cs="仿宋_GB2312"/>
          <w:sz w:val="21"/>
          <w:szCs w:val="21"/>
          <w:highlight w:val="none"/>
        </w:rPr>
        <w:t>。</w:t>
      </w:r>
    </w:p>
    <w:p w14:paraId="67CC0C3B">
      <w:pPr>
        <w:adjustRightInd w:val="0"/>
        <w:snapToGrid w:val="0"/>
        <w:spacing w:line="288" w:lineRule="auto"/>
        <w:ind w:firstLine="424" w:firstLineChars="201"/>
        <w:rPr>
          <w:rFonts w:cs="仿宋_GB2312"/>
          <w:b/>
          <w:sz w:val="21"/>
          <w:szCs w:val="21"/>
          <w:highlight w:val="none"/>
        </w:rPr>
      </w:pPr>
      <w:r>
        <w:rPr>
          <w:rFonts w:hint="eastAsia" w:cs="仿宋_GB2312"/>
          <w:b/>
          <w:sz w:val="21"/>
          <w:szCs w:val="21"/>
          <w:highlight w:val="none"/>
        </w:rPr>
        <w:t>（二）</w:t>
      </w:r>
      <w:r>
        <w:rPr>
          <w:rFonts w:cs="仿宋_GB2312"/>
          <w:b/>
          <w:sz w:val="21"/>
          <w:szCs w:val="21"/>
          <w:highlight w:val="none"/>
        </w:rPr>
        <w:t>信用信息查询</w:t>
      </w:r>
    </w:p>
    <w:p w14:paraId="19FE1990">
      <w:pPr>
        <w:adjustRightInd w:val="0"/>
        <w:snapToGrid w:val="0"/>
        <w:spacing w:line="288" w:lineRule="auto"/>
        <w:ind w:firstLine="420" w:firstLineChars="200"/>
        <w:rPr>
          <w:sz w:val="21"/>
          <w:szCs w:val="21"/>
          <w:highlight w:val="none"/>
        </w:rPr>
      </w:pPr>
      <w:r>
        <w:rPr>
          <w:rFonts w:hint="eastAsia"/>
          <w:sz w:val="21"/>
          <w:szCs w:val="21"/>
          <w:highlight w:val="none"/>
        </w:rPr>
        <w:t>根据财库</w:t>
      </w:r>
      <w:r>
        <w:rPr>
          <w:sz w:val="21"/>
          <w:szCs w:val="21"/>
          <w:highlight w:val="none"/>
        </w:rPr>
        <w:t>[2016]125号《关于在政府采购活动中查询及使用信用记录有关问题的通知》要求，采购代理机构会对供应商信用记录进行查询并甄别。信用信息查询的截止时点：响应截止时间；</w:t>
      </w:r>
    </w:p>
    <w:p w14:paraId="442772E4">
      <w:pPr>
        <w:adjustRightInd w:val="0"/>
        <w:snapToGrid w:val="0"/>
        <w:spacing w:line="288" w:lineRule="auto"/>
        <w:ind w:firstLine="420" w:firstLineChars="200"/>
        <w:rPr>
          <w:sz w:val="21"/>
          <w:szCs w:val="21"/>
          <w:highlight w:val="none"/>
        </w:rPr>
      </w:pPr>
      <w:r>
        <w:rPr>
          <w:rFonts w:hint="eastAsia"/>
          <w:sz w:val="21"/>
          <w:szCs w:val="21"/>
          <w:highlight w:val="none"/>
        </w:rPr>
        <w:t>（</w:t>
      </w:r>
      <w:r>
        <w:rPr>
          <w:sz w:val="21"/>
          <w:szCs w:val="21"/>
          <w:highlight w:val="none"/>
        </w:rPr>
        <w:t>1</w:t>
      </w:r>
      <w:r>
        <w:rPr>
          <w:rFonts w:hint="eastAsia"/>
          <w:sz w:val="21"/>
          <w:szCs w:val="21"/>
          <w:highlight w:val="none"/>
        </w:rPr>
        <w:t>）查询渠道：“信用中国”（www.creditchina.gov.cn）、“中国政府采购网”（www.ccgp.gov.cn）；</w:t>
      </w:r>
    </w:p>
    <w:p w14:paraId="386F7CE8">
      <w:pPr>
        <w:adjustRightInd w:val="0"/>
        <w:snapToGrid w:val="0"/>
        <w:spacing w:line="288" w:lineRule="auto"/>
        <w:ind w:firstLine="420" w:firstLineChars="200"/>
        <w:rPr>
          <w:sz w:val="21"/>
          <w:szCs w:val="21"/>
          <w:highlight w:val="none"/>
        </w:rPr>
      </w:pPr>
      <w:r>
        <w:rPr>
          <w:rFonts w:hint="eastAsia"/>
          <w:sz w:val="21"/>
          <w:szCs w:val="21"/>
          <w:highlight w:val="none"/>
        </w:rPr>
        <w:t>（</w:t>
      </w:r>
      <w:r>
        <w:rPr>
          <w:sz w:val="21"/>
          <w:szCs w:val="21"/>
          <w:highlight w:val="none"/>
        </w:rPr>
        <w:t>2</w:t>
      </w:r>
      <w:r>
        <w:rPr>
          <w:rFonts w:hint="eastAsia"/>
          <w:sz w:val="21"/>
          <w:szCs w:val="21"/>
          <w:highlight w:val="none"/>
        </w:rPr>
        <w:t>）信用信息查询记录和证据留存具体方式：采购代理机构经办人和监督人员将查询网页打印、签名与其他采购文件一并保存；</w:t>
      </w:r>
    </w:p>
    <w:p w14:paraId="28178F39">
      <w:pPr>
        <w:adjustRightInd w:val="0"/>
        <w:snapToGrid w:val="0"/>
        <w:spacing w:line="288" w:lineRule="auto"/>
        <w:ind w:firstLine="422" w:firstLineChars="201"/>
        <w:rPr>
          <w:bCs/>
          <w:sz w:val="21"/>
          <w:szCs w:val="21"/>
          <w:highlight w:val="none"/>
        </w:rPr>
      </w:pPr>
      <w:r>
        <w:rPr>
          <w:rFonts w:hint="eastAsia"/>
          <w:sz w:val="21"/>
          <w:szCs w:val="21"/>
          <w:highlight w:val="none"/>
        </w:rPr>
        <w:t>（</w:t>
      </w:r>
      <w:r>
        <w:rPr>
          <w:sz w:val="21"/>
          <w:szCs w:val="21"/>
          <w:highlight w:val="none"/>
        </w:rPr>
        <w:t>3</w:t>
      </w:r>
      <w:r>
        <w:rPr>
          <w:rFonts w:hint="eastAsia"/>
          <w:bCs/>
          <w:sz w:val="21"/>
          <w:szCs w:val="21"/>
          <w:highlight w:val="none"/>
        </w:rPr>
        <w:t>）信用信息的使用规则：供应商被列入失信被执行人、重大税收违法案件当事人名单、政府采购严重违法失信行为记录名单的，拒绝其参与政府采购活动。</w:t>
      </w:r>
    </w:p>
    <w:p w14:paraId="2ADE475D">
      <w:pPr>
        <w:adjustRightInd w:val="0"/>
        <w:snapToGrid w:val="0"/>
        <w:spacing w:line="288" w:lineRule="auto"/>
        <w:ind w:firstLine="422" w:firstLineChars="201"/>
        <w:rPr>
          <w:kern w:val="0"/>
          <w:sz w:val="21"/>
          <w:szCs w:val="21"/>
          <w:highlight w:val="none"/>
        </w:rPr>
      </w:pPr>
      <w:r>
        <w:rPr>
          <w:rFonts w:cs="Arial"/>
          <w:kern w:val="0"/>
          <w:sz w:val="21"/>
          <w:szCs w:val="21"/>
          <w:highlight w:val="none"/>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cs="仿宋_GB2312"/>
          <w:sz w:val="21"/>
          <w:szCs w:val="21"/>
          <w:highlight w:val="none"/>
        </w:rPr>
        <w:t>。</w:t>
      </w:r>
    </w:p>
    <w:p w14:paraId="2C648378">
      <w:pPr>
        <w:adjustRightInd w:val="0"/>
        <w:snapToGrid w:val="0"/>
        <w:spacing w:line="288" w:lineRule="auto"/>
        <w:ind w:firstLine="426" w:firstLineChars="202"/>
        <w:rPr>
          <w:rFonts w:cs="Arial"/>
          <w:b/>
          <w:kern w:val="0"/>
          <w:sz w:val="21"/>
          <w:szCs w:val="21"/>
          <w:highlight w:val="none"/>
        </w:rPr>
      </w:pPr>
      <w:r>
        <w:rPr>
          <w:rFonts w:hint="eastAsia" w:cs="Arial"/>
          <w:b/>
          <w:kern w:val="0"/>
          <w:sz w:val="21"/>
          <w:szCs w:val="21"/>
          <w:highlight w:val="none"/>
        </w:rPr>
        <w:t>（三）</w:t>
      </w:r>
      <w:r>
        <w:rPr>
          <w:rFonts w:cs="Arial"/>
          <w:b/>
          <w:kern w:val="0"/>
          <w:sz w:val="21"/>
          <w:szCs w:val="21"/>
          <w:highlight w:val="none"/>
        </w:rPr>
        <w:t>符合性审查</w:t>
      </w:r>
    </w:p>
    <w:p w14:paraId="27144D6A">
      <w:pPr>
        <w:adjustRightInd w:val="0"/>
        <w:snapToGrid w:val="0"/>
        <w:spacing w:line="288" w:lineRule="auto"/>
        <w:ind w:firstLine="424" w:firstLineChars="202"/>
        <w:rPr>
          <w:rFonts w:cs="Arial"/>
          <w:kern w:val="0"/>
          <w:sz w:val="21"/>
          <w:szCs w:val="21"/>
          <w:highlight w:val="none"/>
        </w:rPr>
      </w:pPr>
      <w:r>
        <w:rPr>
          <w:rFonts w:cs="Arial"/>
          <w:kern w:val="0"/>
          <w:sz w:val="21"/>
          <w:szCs w:val="21"/>
          <w:highlight w:val="none"/>
        </w:rPr>
        <w:t>磋商小组对符合资格的</w:t>
      </w:r>
      <w:r>
        <w:rPr>
          <w:rFonts w:hint="eastAsia" w:cs="Arial"/>
          <w:kern w:val="0"/>
          <w:sz w:val="21"/>
          <w:szCs w:val="21"/>
          <w:highlight w:val="none"/>
        </w:rPr>
        <w:t>供应商</w:t>
      </w:r>
      <w:r>
        <w:rPr>
          <w:rFonts w:cs="Arial"/>
          <w:kern w:val="0"/>
          <w:sz w:val="21"/>
          <w:szCs w:val="21"/>
          <w:highlight w:val="none"/>
        </w:rPr>
        <w:t>的</w:t>
      </w:r>
      <w:r>
        <w:rPr>
          <w:rFonts w:hint="eastAsia" w:cs="Arial"/>
          <w:kern w:val="0"/>
          <w:sz w:val="21"/>
          <w:szCs w:val="21"/>
          <w:highlight w:val="none"/>
        </w:rPr>
        <w:t>响应</w:t>
      </w:r>
      <w:r>
        <w:rPr>
          <w:rFonts w:cs="Arial"/>
          <w:kern w:val="0"/>
          <w:sz w:val="21"/>
          <w:szCs w:val="21"/>
          <w:highlight w:val="none"/>
        </w:rPr>
        <w:t>文件进行符合性审查，以确定其是否满足磋商文件的实质性要求。</w:t>
      </w:r>
    </w:p>
    <w:p w14:paraId="50EAA589">
      <w:pPr>
        <w:adjustRightInd w:val="0"/>
        <w:snapToGrid w:val="0"/>
        <w:spacing w:line="288" w:lineRule="auto"/>
        <w:ind w:firstLine="426" w:firstLineChars="202"/>
        <w:rPr>
          <w:rFonts w:cs="Arial"/>
          <w:b/>
          <w:bCs/>
          <w:kern w:val="0"/>
          <w:sz w:val="21"/>
          <w:szCs w:val="21"/>
          <w:highlight w:val="none"/>
        </w:rPr>
      </w:pPr>
      <w:r>
        <w:rPr>
          <w:rFonts w:hint="eastAsia" w:cs="Arial"/>
          <w:b/>
          <w:bCs/>
          <w:kern w:val="0"/>
          <w:sz w:val="21"/>
          <w:szCs w:val="21"/>
          <w:highlight w:val="none"/>
        </w:rPr>
        <w:t>（四）磋商</w:t>
      </w:r>
    </w:p>
    <w:p w14:paraId="54DD644A">
      <w:pPr>
        <w:adjustRightInd w:val="0"/>
        <w:snapToGrid w:val="0"/>
        <w:spacing w:line="288" w:lineRule="auto"/>
        <w:ind w:firstLine="424" w:firstLineChars="202"/>
        <w:rPr>
          <w:rFonts w:cs="Arial"/>
          <w:kern w:val="0"/>
          <w:sz w:val="21"/>
          <w:szCs w:val="21"/>
          <w:highlight w:val="none"/>
        </w:rPr>
      </w:pPr>
      <w:r>
        <w:rPr>
          <w:rFonts w:hint="eastAsia" w:cs="Arial"/>
          <w:kern w:val="0"/>
          <w:sz w:val="21"/>
          <w:szCs w:val="21"/>
          <w:highlight w:val="none"/>
        </w:rPr>
        <w:t>磋商小组所有成员应当集中与单一供应商分别进行磋商，并给予所有参加磋商的供应商平等的磋商机会。</w:t>
      </w:r>
    </w:p>
    <w:p w14:paraId="4C5D5DD3">
      <w:pPr>
        <w:adjustRightInd w:val="0"/>
        <w:snapToGrid w:val="0"/>
        <w:spacing w:line="288" w:lineRule="auto"/>
        <w:ind w:firstLine="424" w:firstLineChars="202"/>
        <w:rPr>
          <w:rFonts w:cs="Arial"/>
          <w:kern w:val="0"/>
          <w:sz w:val="21"/>
          <w:szCs w:val="21"/>
          <w:highlight w:val="none"/>
        </w:rPr>
      </w:pPr>
      <w:r>
        <w:rPr>
          <w:rFonts w:hint="eastAsia" w:cs="Arial"/>
          <w:kern w:val="0"/>
          <w:sz w:val="21"/>
          <w:szCs w:val="21"/>
          <w:highlight w:val="none"/>
        </w:rPr>
        <w:t>在磋商过程中，磋商小组可以根据磋商文件和磋商情况实质性变动采购需求中的技术、服务要求以及合同草案条款，但不得变动磋商文件中的其他内容。实质性变动的内容，须经采购人代表确认。</w:t>
      </w:r>
    </w:p>
    <w:p w14:paraId="34E5338E">
      <w:pPr>
        <w:adjustRightInd w:val="0"/>
        <w:snapToGrid w:val="0"/>
        <w:spacing w:line="288" w:lineRule="auto"/>
        <w:ind w:firstLine="424" w:firstLineChars="202"/>
        <w:rPr>
          <w:rFonts w:cs="Arial"/>
          <w:kern w:val="0"/>
          <w:sz w:val="21"/>
          <w:szCs w:val="21"/>
          <w:highlight w:val="none"/>
        </w:rPr>
      </w:pPr>
      <w:r>
        <w:rPr>
          <w:rFonts w:hint="eastAsia" w:cs="Arial"/>
          <w:kern w:val="0"/>
          <w:sz w:val="21"/>
          <w:szCs w:val="21"/>
          <w:highlight w:val="none"/>
        </w:rPr>
        <w:t>对磋商文件作出的实质性变动是磋商文件的有效组成部分，磋商小组</w:t>
      </w:r>
      <w:r>
        <w:rPr>
          <w:rFonts w:hint="eastAsia"/>
          <w:kern w:val="0"/>
          <w:sz w:val="21"/>
          <w:szCs w:val="21"/>
          <w:highlight w:val="none"/>
        </w:rPr>
        <w:t>通过政府采购云平台</w:t>
      </w:r>
      <w:r>
        <w:rPr>
          <w:rFonts w:hint="eastAsia" w:cs="Arial"/>
          <w:kern w:val="0"/>
          <w:sz w:val="21"/>
          <w:szCs w:val="21"/>
          <w:highlight w:val="none"/>
        </w:rPr>
        <w:t>以书面形式同时通知所有参加磋商的供应商。</w:t>
      </w:r>
    </w:p>
    <w:p w14:paraId="57F7A880">
      <w:pPr>
        <w:adjustRightInd w:val="0"/>
        <w:snapToGrid w:val="0"/>
        <w:spacing w:line="288" w:lineRule="auto"/>
        <w:ind w:firstLine="424" w:firstLineChars="202"/>
        <w:rPr>
          <w:rFonts w:cs="Arial"/>
          <w:kern w:val="0"/>
          <w:sz w:val="21"/>
          <w:szCs w:val="21"/>
          <w:highlight w:val="none"/>
        </w:rPr>
      </w:pPr>
      <w:r>
        <w:rPr>
          <w:rFonts w:hint="eastAsia" w:cs="Arial"/>
          <w:kern w:val="0"/>
          <w:sz w:val="21"/>
          <w:szCs w:val="21"/>
          <w:highlight w:val="none"/>
        </w:rPr>
        <w:t>供应商应当按照磋商文件的变动情况和磋商小组的要求</w:t>
      </w:r>
      <w:r>
        <w:rPr>
          <w:rFonts w:hint="eastAsia"/>
          <w:kern w:val="0"/>
          <w:sz w:val="21"/>
          <w:szCs w:val="21"/>
          <w:highlight w:val="none"/>
        </w:rPr>
        <w:t>通过政府采购云平台</w:t>
      </w:r>
      <w:r>
        <w:rPr>
          <w:rFonts w:hint="eastAsia" w:cs="Arial"/>
          <w:kern w:val="0"/>
          <w:sz w:val="21"/>
          <w:szCs w:val="21"/>
          <w:highlight w:val="none"/>
        </w:rPr>
        <w:t>提交磋商记录，并由供应商代表签名或者加盖公章。</w:t>
      </w:r>
    </w:p>
    <w:p w14:paraId="53080F24">
      <w:pPr>
        <w:adjustRightInd w:val="0"/>
        <w:snapToGrid w:val="0"/>
        <w:spacing w:line="288" w:lineRule="auto"/>
        <w:ind w:firstLine="420" w:firstLineChars="200"/>
        <w:rPr>
          <w:kern w:val="0"/>
          <w:sz w:val="21"/>
          <w:szCs w:val="21"/>
          <w:highlight w:val="none"/>
        </w:rPr>
      </w:pPr>
      <w:r>
        <w:rPr>
          <w:rFonts w:hint="eastAsia"/>
          <w:kern w:val="0"/>
          <w:sz w:val="21"/>
          <w:szCs w:val="21"/>
          <w:highlight w:val="none"/>
        </w:rPr>
        <w:t>供应商的磋商内容无法通过政府采购云平台上传的，可在规定时间内（不少于半小时）通过指定的电子邮箱（</w:t>
      </w:r>
      <w:r>
        <w:rPr>
          <w:kern w:val="0"/>
          <w:sz w:val="21"/>
          <w:szCs w:val="21"/>
          <w:highlight w:val="none"/>
        </w:rPr>
        <w:t>zb03@qszb.net）或传真号码（0571-87666116）提交。</w:t>
      </w:r>
    </w:p>
    <w:p w14:paraId="7739AD58">
      <w:pPr>
        <w:adjustRightInd w:val="0"/>
        <w:snapToGrid w:val="0"/>
        <w:spacing w:line="288" w:lineRule="auto"/>
        <w:ind w:firstLine="426" w:firstLineChars="202"/>
        <w:rPr>
          <w:rFonts w:cs="Arial"/>
          <w:b/>
          <w:bCs/>
          <w:kern w:val="0"/>
          <w:sz w:val="21"/>
          <w:szCs w:val="21"/>
          <w:highlight w:val="none"/>
        </w:rPr>
      </w:pPr>
      <w:r>
        <w:rPr>
          <w:rFonts w:hint="eastAsia" w:cs="Arial"/>
          <w:b/>
          <w:bCs/>
          <w:kern w:val="0"/>
          <w:sz w:val="21"/>
          <w:szCs w:val="21"/>
          <w:highlight w:val="none"/>
        </w:rPr>
        <w:t>（五）最后报价</w:t>
      </w:r>
    </w:p>
    <w:p w14:paraId="7ABBFDEE">
      <w:pPr>
        <w:adjustRightInd w:val="0"/>
        <w:snapToGrid w:val="0"/>
        <w:spacing w:line="288" w:lineRule="auto"/>
        <w:ind w:firstLine="424" w:firstLineChars="202"/>
        <w:rPr>
          <w:rFonts w:cs="Arial"/>
          <w:kern w:val="0"/>
          <w:sz w:val="21"/>
          <w:szCs w:val="21"/>
          <w:highlight w:val="none"/>
        </w:rPr>
      </w:pPr>
      <w:r>
        <w:rPr>
          <w:rFonts w:hint="eastAsia" w:cs="Arial"/>
          <w:kern w:val="0"/>
          <w:sz w:val="21"/>
          <w:szCs w:val="21"/>
          <w:highlight w:val="none"/>
        </w:rPr>
        <w:t>磋商文件能够详细列明采购标的的技术、服务要求的，磋商结束后，磋商小组应当要求所有实质性响应的供应商在规定时间内提交最后报价，提交最后报价的供应商不得少于</w:t>
      </w:r>
      <w:r>
        <w:rPr>
          <w:rFonts w:cs="Arial"/>
          <w:kern w:val="0"/>
          <w:sz w:val="21"/>
          <w:szCs w:val="21"/>
          <w:highlight w:val="none"/>
        </w:rPr>
        <w:t>3家。</w:t>
      </w:r>
    </w:p>
    <w:p w14:paraId="19098222">
      <w:pPr>
        <w:adjustRightInd w:val="0"/>
        <w:snapToGrid w:val="0"/>
        <w:spacing w:line="288" w:lineRule="auto"/>
        <w:ind w:firstLine="424" w:firstLineChars="202"/>
        <w:rPr>
          <w:rFonts w:cs="Arial"/>
          <w:kern w:val="0"/>
          <w:sz w:val="21"/>
          <w:szCs w:val="21"/>
          <w:highlight w:val="none"/>
        </w:rPr>
      </w:pPr>
      <w:r>
        <w:rPr>
          <w:rFonts w:hint="eastAsia" w:cs="Arial"/>
          <w:kern w:val="0"/>
          <w:sz w:val="21"/>
          <w:szCs w:val="21"/>
          <w:highlight w:val="none"/>
        </w:rPr>
        <w:t>磋商文件不能详细列明采购标的的技术、服务要求，需经磋商由供应商提供最终设计方案或解决方案的，磋商结束后，磋商小组应当按照少数服从多数的原则投票推荐</w:t>
      </w:r>
      <w:r>
        <w:rPr>
          <w:rFonts w:cs="Arial"/>
          <w:kern w:val="0"/>
          <w:sz w:val="21"/>
          <w:szCs w:val="21"/>
          <w:highlight w:val="none"/>
        </w:rPr>
        <w:t>3家以上供应商的设计方案或者解决方案，并要求其在规定时间内提交最后报价。</w:t>
      </w:r>
    </w:p>
    <w:p w14:paraId="1CD210C5">
      <w:pPr>
        <w:adjustRightInd w:val="0"/>
        <w:snapToGrid w:val="0"/>
        <w:spacing w:line="288" w:lineRule="auto"/>
        <w:ind w:firstLine="424" w:firstLineChars="202"/>
        <w:rPr>
          <w:rFonts w:cs="Arial"/>
          <w:kern w:val="0"/>
          <w:sz w:val="21"/>
          <w:szCs w:val="21"/>
          <w:highlight w:val="none"/>
        </w:rPr>
      </w:pPr>
      <w:r>
        <w:rPr>
          <w:rFonts w:hint="eastAsia" w:cs="Arial"/>
          <w:kern w:val="0"/>
          <w:sz w:val="21"/>
          <w:szCs w:val="21"/>
          <w:highlight w:val="none"/>
        </w:rPr>
        <w:t>最后报价是供应商响应文件的有效组成部分。符合《政府采购竞争性磋商采购方式管理暂行办法》（财库〔</w:t>
      </w:r>
      <w:r>
        <w:rPr>
          <w:rFonts w:cs="Arial"/>
          <w:kern w:val="0"/>
          <w:sz w:val="21"/>
          <w:szCs w:val="21"/>
          <w:highlight w:val="none"/>
        </w:rPr>
        <w:t>2014〕214号</w:t>
      </w:r>
      <w:r>
        <w:rPr>
          <w:rFonts w:hint="eastAsia" w:cs="Arial"/>
          <w:kern w:val="0"/>
          <w:sz w:val="21"/>
          <w:szCs w:val="21"/>
          <w:highlight w:val="none"/>
        </w:rPr>
        <w:t>）第三条第四项情形的，提交最后报价的供应商可以为</w:t>
      </w:r>
      <w:r>
        <w:rPr>
          <w:rFonts w:cs="Arial"/>
          <w:kern w:val="0"/>
          <w:sz w:val="21"/>
          <w:szCs w:val="21"/>
          <w:highlight w:val="none"/>
        </w:rPr>
        <w:t>2家。</w:t>
      </w:r>
    </w:p>
    <w:p w14:paraId="41DA14CE">
      <w:pPr>
        <w:adjustRightInd w:val="0"/>
        <w:snapToGrid w:val="0"/>
        <w:spacing w:line="288" w:lineRule="auto"/>
        <w:ind w:firstLine="426" w:firstLineChars="202"/>
        <w:rPr>
          <w:rFonts w:cs="Arial"/>
          <w:b/>
          <w:kern w:val="0"/>
          <w:sz w:val="21"/>
          <w:szCs w:val="21"/>
          <w:highlight w:val="none"/>
        </w:rPr>
      </w:pPr>
      <w:r>
        <w:rPr>
          <w:rFonts w:hint="eastAsia" w:cs="Arial"/>
          <w:b/>
          <w:kern w:val="0"/>
          <w:sz w:val="21"/>
          <w:szCs w:val="21"/>
          <w:highlight w:val="none"/>
        </w:rPr>
        <w:t>（六）综合评分</w:t>
      </w:r>
    </w:p>
    <w:p w14:paraId="665D085D">
      <w:pPr>
        <w:adjustRightInd w:val="0"/>
        <w:snapToGrid w:val="0"/>
        <w:spacing w:line="288" w:lineRule="auto"/>
        <w:ind w:firstLine="424" w:firstLineChars="202"/>
        <w:rPr>
          <w:rFonts w:cs="Arial"/>
          <w:kern w:val="0"/>
          <w:sz w:val="21"/>
          <w:szCs w:val="21"/>
          <w:highlight w:val="none"/>
        </w:rPr>
      </w:pPr>
      <w:r>
        <w:rPr>
          <w:rFonts w:hint="eastAsia" w:cs="Arial"/>
          <w:kern w:val="0"/>
          <w:sz w:val="21"/>
          <w:szCs w:val="21"/>
          <w:highlight w:val="none"/>
        </w:rPr>
        <w:t>经磋商确定最终采购需求和提交最后报价的供应商后，由磋商小组采用</w:t>
      </w:r>
      <w:r>
        <w:rPr>
          <w:rFonts w:hint="eastAsia" w:cs="Arial"/>
          <w:b/>
          <w:bCs/>
          <w:kern w:val="0"/>
          <w:sz w:val="21"/>
          <w:szCs w:val="21"/>
          <w:highlight w:val="none"/>
        </w:rPr>
        <w:t>综合评分法</w:t>
      </w:r>
      <w:r>
        <w:rPr>
          <w:rFonts w:hint="eastAsia" w:cs="Arial"/>
          <w:kern w:val="0"/>
          <w:sz w:val="21"/>
          <w:szCs w:val="21"/>
          <w:highlight w:val="none"/>
        </w:rPr>
        <w:t>对提交最后报价的供应商的响应文件和最后报价进行综合评分。</w:t>
      </w:r>
    </w:p>
    <w:p w14:paraId="1A16B659">
      <w:pPr>
        <w:adjustRightInd w:val="0"/>
        <w:snapToGrid w:val="0"/>
        <w:spacing w:line="288" w:lineRule="auto"/>
        <w:ind w:firstLine="424" w:firstLineChars="202"/>
        <w:rPr>
          <w:rFonts w:cs="Arial"/>
          <w:kern w:val="0"/>
          <w:sz w:val="21"/>
          <w:szCs w:val="21"/>
          <w:highlight w:val="none"/>
        </w:rPr>
      </w:pPr>
      <w:r>
        <w:rPr>
          <w:rFonts w:hint="eastAsia" w:cs="Arial"/>
          <w:kern w:val="0"/>
          <w:sz w:val="21"/>
          <w:szCs w:val="21"/>
          <w:highlight w:val="none"/>
        </w:rPr>
        <w:t>综合评分法，是指响应文件满足磋商文件全部实质性要求且按评审因素的量化指标评审得分最高的供应商为成交候选供应商的评审方法。</w:t>
      </w:r>
    </w:p>
    <w:p w14:paraId="745E30A5">
      <w:pPr>
        <w:adjustRightInd w:val="0"/>
        <w:snapToGrid w:val="0"/>
        <w:spacing w:line="288" w:lineRule="auto"/>
        <w:ind w:firstLine="426" w:firstLineChars="202"/>
        <w:rPr>
          <w:rFonts w:cs="Arial"/>
          <w:b/>
          <w:kern w:val="0"/>
          <w:sz w:val="21"/>
          <w:szCs w:val="21"/>
          <w:highlight w:val="none"/>
        </w:rPr>
      </w:pPr>
      <w:r>
        <w:rPr>
          <w:rFonts w:hint="eastAsia" w:cs="Arial"/>
          <w:b/>
          <w:kern w:val="0"/>
          <w:sz w:val="21"/>
          <w:szCs w:val="21"/>
          <w:highlight w:val="none"/>
        </w:rPr>
        <w:t>（七）</w:t>
      </w:r>
      <w:r>
        <w:rPr>
          <w:rFonts w:cs="Arial"/>
          <w:b/>
          <w:kern w:val="0"/>
          <w:sz w:val="21"/>
          <w:szCs w:val="21"/>
          <w:highlight w:val="none"/>
        </w:rPr>
        <w:t>汇总商务技术得分</w:t>
      </w:r>
    </w:p>
    <w:p w14:paraId="5C7D329C">
      <w:pPr>
        <w:adjustRightInd w:val="0"/>
        <w:snapToGrid w:val="0"/>
        <w:spacing w:line="288" w:lineRule="auto"/>
        <w:ind w:firstLine="424" w:firstLineChars="202"/>
        <w:rPr>
          <w:rFonts w:cs="Arial"/>
          <w:kern w:val="0"/>
          <w:sz w:val="21"/>
          <w:szCs w:val="21"/>
          <w:highlight w:val="none"/>
        </w:rPr>
      </w:pPr>
      <w:r>
        <w:rPr>
          <w:rFonts w:hint="eastAsia" w:cs="Arial"/>
          <w:kern w:val="0"/>
          <w:sz w:val="21"/>
          <w:szCs w:val="21"/>
          <w:highlight w:val="none"/>
        </w:rPr>
        <w:t>磋商小组各成员独立对进入最后报价的供应商的商务和技术文件进行评价，并汇总商务技术得分情况。</w:t>
      </w:r>
    </w:p>
    <w:p w14:paraId="4A0B7080">
      <w:pPr>
        <w:adjustRightInd w:val="0"/>
        <w:snapToGrid w:val="0"/>
        <w:spacing w:line="288" w:lineRule="auto"/>
        <w:ind w:firstLine="424" w:firstLineChars="202"/>
        <w:rPr>
          <w:rFonts w:cs="Arial"/>
          <w:kern w:val="0"/>
          <w:sz w:val="21"/>
          <w:szCs w:val="21"/>
          <w:highlight w:val="none"/>
        </w:rPr>
      </w:pPr>
      <w:bookmarkStart w:id="46" w:name="_Hlk94088579"/>
      <w:r>
        <w:rPr>
          <w:rFonts w:hint="eastAsia" w:cs="Arial"/>
          <w:kern w:val="0"/>
          <w:sz w:val="21"/>
          <w:szCs w:val="21"/>
          <w:highlight w:val="none"/>
        </w:rPr>
        <w:t>现场监督员如发现分值汇总计算错误、分项评分超出评分标准范围、客观评分不一致以及存在评分畸高、畸低情形的，应由相关人员当场改正或作出说明；拒不改正又不作说明的，由现场监督员如实记载后存入项目档案资料。</w:t>
      </w:r>
    </w:p>
    <w:bookmarkEnd w:id="46"/>
    <w:p w14:paraId="33E7B292">
      <w:pPr>
        <w:adjustRightInd w:val="0"/>
        <w:snapToGrid w:val="0"/>
        <w:spacing w:line="288" w:lineRule="auto"/>
        <w:ind w:firstLine="426" w:firstLineChars="202"/>
        <w:rPr>
          <w:rFonts w:cs="Arial"/>
          <w:b/>
          <w:kern w:val="0"/>
          <w:sz w:val="21"/>
          <w:szCs w:val="21"/>
          <w:highlight w:val="none"/>
        </w:rPr>
      </w:pPr>
      <w:r>
        <w:rPr>
          <w:rFonts w:hint="eastAsia" w:cs="Arial"/>
          <w:b/>
          <w:kern w:val="0"/>
          <w:sz w:val="21"/>
          <w:szCs w:val="21"/>
          <w:highlight w:val="none"/>
        </w:rPr>
        <w:t>（八）排序与推荐</w:t>
      </w:r>
    </w:p>
    <w:p w14:paraId="5ABA5D3C">
      <w:pPr>
        <w:adjustRightInd w:val="0"/>
        <w:snapToGrid w:val="0"/>
        <w:spacing w:line="288" w:lineRule="auto"/>
        <w:ind w:firstLine="424" w:firstLineChars="202"/>
        <w:rPr>
          <w:rFonts w:cs="Arial"/>
          <w:kern w:val="0"/>
          <w:sz w:val="21"/>
          <w:szCs w:val="21"/>
          <w:highlight w:val="none"/>
        </w:rPr>
      </w:pPr>
      <w:r>
        <w:rPr>
          <w:rFonts w:hint="eastAsia" w:cs="Arial"/>
          <w:kern w:val="0"/>
          <w:sz w:val="21"/>
          <w:szCs w:val="21"/>
          <w:highlight w:val="none"/>
        </w:rPr>
        <w:t>磋商小组应当根据综合评分情况，按照评审得分由高到低顺序推荐</w:t>
      </w:r>
      <w:r>
        <w:rPr>
          <w:rFonts w:cs="Arial"/>
          <w:kern w:val="0"/>
          <w:sz w:val="21"/>
          <w:szCs w:val="21"/>
          <w:highlight w:val="none"/>
        </w:rPr>
        <w:t>3名以上成交候选供应商，并编写评审报告。符合</w:t>
      </w:r>
      <w:r>
        <w:rPr>
          <w:rFonts w:hint="eastAsia" w:cs="Arial"/>
          <w:kern w:val="0"/>
          <w:sz w:val="21"/>
          <w:szCs w:val="21"/>
          <w:highlight w:val="none"/>
        </w:rPr>
        <w:t>《政府采购竞争性磋商采购方式管理暂行办法》（财库〔</w:t>
      </w:r>
      <w:r>
        <w:rPr>
          <w:rFonts w:cs="Arial"/>
          <w:kern w:val="0"/>
          <w:sz w:val="21"/>
          <w:szCs w:val="21"/>
          <w:highlight w:val="none"/>
        </w:rPr>
        <w:t>2014〕214号</w:t>
      </w:r>
      <w:r>
        <w:rPr>
          <w:rFonts w:hint="eastAsia" w:cs="Arial"/>
          <w:kern w:val="0"/>
          <w:sz w:val="21"/>
          <w:szCs w:val="21"/>
          <w:highlight w:val="none"/>
        </w:rPr>
        <w:t>）</w:t>
      </w:r>
      <w:r>
        <w:rPr>
          <w:rFonts w:cs="Arial"/>
          <w:kern w:val="0"/>
          <w:sz w:val="21"/>
          <w:szCs w:val="21"/>
          <w:highlight w:val="none"/>
        </w:rPr>
        <w:t>第二十一条第三款情形的，可以推荐2家成交候选供应商。评审得分相同的，按照最后报价由低到高的顺序推荐。评审得分且最后报价相同的，按照技术指标优劣顺序推荐。</w:t>
      </w:r>
    </w:p>
    <w:p w14:paraId="3A97AA9A">
      <w:pPr>
        <w:adjustRightInd w:val="0"/>
        <w:snapToGrid w:val="0"/>
        <w:spacing w:line="288" w:lineRule="auto"/>
        <w:ind w:firstLine="426" w:firstLineChars="202"/>
        <w:rPr>
          <w:rFonts w:cs="Arial"/>
          <w:b/>
          <w:kern w:val="0"/>
          <w:sz w:val="21"/>
          <w:szCs w:val="21"/>
          <w:highlight w:val="none"/>
        </w:rPr>
      </w:pPr>
      <w:r>
        <w:rPr>
          <w:rFonts w:hint="eastAsia" w:cs="Arial"/>
          <w:b/>
          <w:kern w:val="0"/>
          <w:sz w:val="21"/>
          <w:szCs w:val="21"/>
          <w:highlight w:val="none"/>
        </w:rPr>
        <w:t>（九）</w:t>
      </w:r>
      <w:r>
        <w:rPr>
          <w:rFonts w:cs="Arial"/>
          <w:b/>
          <w:kern w:val="0"/>
          <w:sz w:val="21"/>
          <w:szCs w:val="21"/>
          <w:highlight w:val="none"/>
        </w:rPr>
        <w:t>编写</w:t>
      </w:r>
      <w:r>
        <w:rPr>
          <w:rFonts w:hint="eastAsia" w:cs="Arial"/>
          <w:b/>
          <w:kern w:val="0"/>
          <w:sz w:val="21"/>
          <w:szCs w:val="21"/>
          <w:highlight w:val="none"/>
        </w:rPr>
        <w:t>评审</w:t>
      </w:r>
      <w:r>
        <w:rPr>
          <w:rFonts w:cs="Arial"/>
          <w:b/>
          <w:kern w:val="0"/>
          <w:sz w:val="21"/>
          <w:szCs w:val="21"/>
          <w:highlight w:val="none"/>
        </w:rPr>
        <w:t>报告</w:t>
      </w:r>
    </w:p>
    <w:p w14:paraId="6778ADAF">
      <w:pPr>
        <w:adjustRightInd w:val="0"/>
        <w:snapToGrid w:val="0"/>
        <w:spacing w:line="288" w:lineRule="auto"/>
        <w:ind w:firstLine="424" w:firstLineChars="202"/>
        <w:rPr>
          <w:rFonts w:cs="Arial"/>
          <w:kern w:val="0"/>
          <w:sz w:val="21"/>
          <w:szCs w:val="21"/>
          <w:highlight w:val="none"/>
        </w:rPr>
      </w:pPr>
      <w:r>
        <w:rPr>
          <w:rFonts w:hint="eastAsia" w:cs="Arial"/>
          <w:kern w:val="0"/>
          <w:sz w:val="21"/>
          <w:szCs w:val="21"/>
          <w:highlight w:val="none"/>
        </w:rPr>
        <w:t>评审报告应当由磋商小组全体人员签名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名又不书面说明其不同意见和理由的，视为同意评审报告。</w:t>
      </w:r>
    </w:p>
    <w:p w14:paraId="1BAC0751">
      <w:pPr>
        <w:adjustRightInd w:val="0"/>
        <w:snapToGrid w:val="0"/>
        <w:spacing w:line="288" w:lineRule="auto"/>
        <w:ind w:firstLine="426" w:firstLineChars="202"/>
        <w:rPr>
          <w:b/>
          <w:bCs/>
          <w:sz w:val="21"/>
          <w:szCs w:val="21"/>
          <w:highlight w:val="none"/>
        </w:rPr>
      </w:pPr>
      <w:r>
        <w:rPr>
          <w:rFonts w:hint="eastAsia" w:cs="Arial"/>
          <w:b/>
          <w:kern w:val="0"/>
          <w:sz w:val="21"/>
          <w:szCs w:val="21"/>
          <w:highlight w:val="none"/>
        </w:rPr>
        <w:t>（十）补充说明</w:t>
      </w:r>
    </w:p>
    <w:p w14:paraId="31A161C1">
      <w:pPr>
        <w:adjustRightInd w:val="0"/>
        <w:snapToGrid w:val="0"/>
        <w:spacing w:line="288" w:lineRule="auto"/>
        <w:ind w:firstLine="420" w:firstLineChars="200"/>
        <w:rPr>
          <w:sz w:val="21"/>
          <w:szCs w:val="21"/>
          <w:highlight w:val="none"/>
        </w:rPr>
      </w:pPr>
      <w:r>
        <w:rPr>
          <w:rFonts w:hint="eastAsia"/>
          <w:sz w:val="21"/>
          <w:szCs w:val="21"/>
          <w:highlight w:val="none"/>
        </w:rPr>
        <w:t>采用竞争性磋商采购方式采购的政府购买服务项目（含政府和社会资本合作项目），在采购过程中符合要求的供应商（社会资本）只有2家的，竞争性磋商采购活动可以继续进行。</w:t>
      </w:r>
    </w:p>
    <w:p w14:paraId="172FECDA">
      <w:pPr>
        <w:widowControl/>
        <w:adjustRightInd w:val="0"/>
        <w:snapToGrid w:val="0"/>
        <w:spacing w:line="288" w:lineRule="auto"/>
        <w:jc w:val="left"/>
        <w:rPr>
          <w:rFonts w:cs="Times New Roman"/>
          <w:b/>
          <w:spacing w:val="-6"/>
          <w:sz w:val="21"/>
          <w:szCs w:val="21"/>
          <w:highlight w:val="none"/>
        </w:rPr>
      </w:pPr>
      <w:r>
        <w:rPr>
          <w:rFonts w:cs="Times New Roman"/>
          <w:b/>
          <w:spacing w:val="-6"/>
          <w:sz w:val="21"/>
          <w:szCs w:val="21"/>
          <w:highlight w:val="none"/>
        </w:rPr>
        <w:br w:type="page"/>
      </w:r>
    </w:p>
    <w:p w14:paraId="249E2277">
      <w:pPr>
        <w:adjustRightInd w:val="0"/>
        <w:snapToGrid w:val="0"/>
        <w:spacing w:line="288" w:lineRule="auto"/>
        <w:jc w:val="center"/>
        <w:outlineLvl w:val="1"/>
        <w:rPr>
          <w:rFonts w:cs="Times New Roman"/>
          <w:b/>
          <w:spacing w:val="-6"/>
          <w:sz w:val="21"/>
          <w:szCs w:val="21"/>
          <w:highlight w:val="none"/>
        </w:rPr>
      </w:pPr>
      <w:r>
        <w:rPr>
          <w:rFonts w:hint="eastAsia" w:cs="Times New Roman"/>
          <w:b/>
          <w:spacing w:val="-6"/>
          <w:sz w:val="21"/>
          <w:szCs w:val="21"/>
          <w:highlight w:val="none"/>
        </w:rPr>
        <w:t>七、成交与合同</w:t>
      </w:r>
    </w:p>
    <w:p w14:paraId="619CFCB4">
      <w:pPr>
        <w:adjustRightInd w:val="0"/>
        <w:snapToGrid w:val="0"/>
        <w:spacing w:line="288" w:lineRule="auto"/>
        <w:rPr>
          <w:b/>
          <w:bCs/>
          <w:sz w:val="21"/>
          <w:szCs w:val="21"/>
          <w:highlight w:val="none"/>
        </w:rPr>
      </w:pPr>
      <w:r>
        <w:rPr>
          <w:rFonts w:hint="eastAsia"/>
          <w:b/>
          <w:bCs/>
          <w:sz w:val="21"/>
          <w:szCs w:val="21"/>
          <w:highlight w:val="none"/>
        </w:rPr>
        <w:t>（一）成交</w:t>
      </w:r>
    </w:p>
    <w:p w14:paraId="5E977E8C">
      <w:pPr>
        <w:adjustRightInd w:val="0"/>
        <w:snapToGrid w:val="0"/>
        <w:spacing w:line="288" w:lineRule="auto"/>
        <w:ind w:firstLine="420" w:firstLineChars="200"/>
        <w:rPr>
          <w:sz w:val="21"/>
          <w:szCs w:val="21"/>
          <w:highlight w:val="none"/>
        </w:rPr>
      </w:pPr>
      <w:r>
        <w:rPr>
          <w:rFonts w:hint="eastAsia"/>
          <w:sz w:val="21"/>
          <w:szCs w:val="21"/>
          <w:highlight w:val="none"/>
        </w:rPr>
        <w:t>1.采购代理机构在评审结束后2个工作日内将评审报告送采购人确认。采购人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74DEB60B">
      <w:pPr>
        <w:adjustRightInd w:val="0"/>
        <w:snapToGrid w:val="0"/>
        <w:spacing w:line="288" w:lineRule="auto"/>
        <w:ind w:firstLine="420" w:firstLineChars="200"/>
        <w:rPr>
          <w:sz w:val="21"/>
          <w:szCs w:val="21"/>
          <w:highlight w:val="none"/>
        </w:rPr>
      </w:pPr>
      <w:r>
        <w:rPr>
          <w:rFonts w:hint="eastAsia"/>
          <w:sz w:val="21"/>
          <w:szCs w:val="21"/>
          <w:highlight w:val="none"/>
        </w:rPr>
        <w:t>2.采购代理机构在成交供应商确定后</w:t>
      </w:r>
      <w:r>
        <w:rPr>
          <w:sz w:val="21"/>
          <w:szCs w:val="21"/>
          <w:highlight w:val="none"/>
        </w:rPr>
        <w:t>2个工作日内公告成交结果，同时向成交供应商发出成交通知书，并将磋商文件随成交结果同时公告。</w:t>
      </w:r>
    </w:p>
    <w:p w14:paraId="1EFAC77F">
      <w:pPr>
        <w:adjustRightInd w:val="0"/>
        <w:snapToGrid w:val="0"/>
        <w:spacing w:line="288" w:lineRule="auto"/>
        <w:ind w:firstLine="420" w:firstLineChars="200"/>
        <w:rPr>
          <w:b/>
          <w:bCs/>
          <w:sz w:val="21"/>
          <w:szCs w:val="21"/>
          <w:highlight w:val="none"/>
        </w:rPr>
      </w:pPr>
      <w:r>
        <w:rPr>
          <w:rFonts w:hint="eastAsia"/>
          <w:sz w:val="21"/>
          <w:szCs w:val="21"/>
          <w:highlight w:val="none"/>
        </w:rPr>
        <w:t>3</w:t>
      </w:r>
      <w:r>
        <w:rPr>
          <w:sz w:val="21"/>
          <w:szCs w:val="21"/>
          <w:highlight w:val="none"/>
        </w:rPr>
        <w:t>.</w:t>
      </w:r>
      <w:r>
        <w:rPr>
          <w:rFonts w:hint="eastAsia"/>
          <w:sz w:val="21"/>
          <w:szCs w:val="21"/>
          <w:highlight w:val="none"/>
        </w:rPr>
        <w:t>评审结果公示媒体：浙江政府采购网（http://zfcg.czt.zj.gov.cn）。</w:t>
      </w:r>
    </w:p>
    <w:p w14:paraId="15C42496">
      <w:pPr>
        <w:adjustRightInd w:val="0"/>
        <w:snapToGrid w:val="0"/>
        <w:spacing w:line="288" w:lineRule="auto"/>
        <w:jc w:val="left"/>
        <w:rPr>
          <w:b/>
          <w:bCs/>
          <w:sz w:val="21"/>
          <w:szCs w:val="21"/>
          <w:highlight w:val="none"/>
        </w:rPr>
      </w:pPr>
      <w:r>
        <w:rPr>
          <w:rFonts w:hint="eastAsia"/>
          <w:b/>
          <w:bCs/>
          <w:sz w:val="21"/>
          <w:szCs w:val="21"/>
          <w:highlight w:val="none"/>
        </w:rPr>
        <w:t>（二）合同授予</w:t>
      </w:r>
    </w:p>
    <w:p w14:paraId="20BC52FB">
      <w:pPr>
        <w:adjustRightInd w:val="0"/>
        <w:snapToGrid w:val="0"/>
        <w:spacing w:line="288" w:lineRule="auto"/>
        <w:ind w:firstLine="420" w:firstLineChars="200"/>
        <w:jc w:val="left"/>
        <w:rPr>
          <w:sz w:val="21"/>
          <w:szCs w:val="21"/>
          <w:highlight w:val="none"/>
        </w:rPr>
      </w:pPr>
      <w:r>
        <w:rPr>
          <w:rFonts w:hint="eastAsia"/>
          <w:sz w:val="21"/>
          <w:szCs w:val="21"/>
          <w:highlight w:val="none"/>
        </w:rPr>
        <w:t>1.采购人与成交供应商应当在成交通知书发出之日起30日内，按照采购文件确定的合同文本以及采购标的、规格型号、采购金额、采购数量、技术和服务要求等事项签订政府采购合同。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14:paraId="73C81B68">
      <w:pPr>
        <w:adjustRightInd w:val="0"/>
        <w:snapToGrid w:val="0"/>
        <w:spacing w:line="288" w:lineRule="auto"/>
        <w:ind w:firstLine="420" w:firstLineChars="200"/>
        <w:jc w:val="left"/>
        <w:rPr>
          <w:sz w:val="21"/>
          <w:szCs w:val="21"/>
          <w:highlight w:val="none"/>
        </w:rPr>
      </w:pPr>
      <w:r>
        <w:rPr>
          <w:rFonts w:hint="eastAsia"/>
          <w:sz w:val="21"/>
          <w:szCs w:val="21"/>
          <w:highlight w:val="none"/>
        </w:rPr>
        <w:t>2.成交后无正当理由拒不与采购人签订政府采购合同，将被取消成交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14:paraId="5ED055C6">
      <w:pPr>
        <w:adjustRightInd w:val="0"/>
        <w:snapToGrid w:val="0"/>
        <w:spacing w:line="288" w:lineRule="auto"/>
        <w:rPr>
          <w:sz w:val="21"/>
          <w:szCs w:val="21"/>
          <w:highlight w:val="none"/>
        </w:rPr>
      </w:pPr>
    </w:p>
    <w:p w14:paraId="79776378">
      <w:pPr>
        <w:adjustRightInd w:val="0"/>
        <w:snapToGrid w:val="0"/>
        <w:spacing w:line="288" w:lineRule="auto"/>
        <w:jc w:val="center"/>
        <w:outlineLvl w:val="1"/>
        <w:rPr>
          <w:rFonts w:cs="Times New Roman"/>
          <w:b/>
          <w:spacing w:val="-6"/>
          <w:sz w:val="21"/>
          <w:szCs w:val="21"/>
          <w:highlight w:val="none"/>
        </w:rPr>
      </w:pPr>
      <w:r>
        <w:rPr>
          <w:rFonts w:hint="eastAsia" w:cs="Times New Roman"/>
          <w:b/>
          <w:spacing w:val="-6"/>
          <w:sz w:val="21"/>
          <w:szCs w:val="21"/>
          <w:highlight w:val="none"/>
        </w:rPr>
        <w:t>八、</w:t>
      </w:r>
      <w:r>
        <w:rPr>
          <w:rFonts w:cs="Times New Roman"/>
          <w:b/>
          <w:spacing w:val="-6"/>
          <w:sz w:val="21"/>
          <w:szCs w:val="21"/>
          <w:highlight w:val="none"/>
        </w:rPr>
        <w:t>验</w:t>
      </w:r>
      <w:r>
        <w:rPr>
          <w:rFonts w:hint="eastAsia" w:cs="Times New Roman"/>
          <w:b/>
          <w:spacing w:val="-6"/>
          <w:sz w:val="21"/>
          <w:szCs w:val="21"/>
          <w:highlight w:val="none"/>
        </w:rPr>
        <w:t xml:space="preserve"> </w:t>
      </w:r>
      <w:r>
        <w:rPr>
          <w:rFonts w:cs="Times New Roman"/>
          <w:b/>
          <w:spacing w:val="-6"/>
          <w:sz w:val="21"/>
          <w:szCs w:val="21"/>
          <w:highlight w:val="none"/>
        </w:rPr>
        <w:t xml:space="preserve"> 收</w:t>
      </w:r>
    </w:p>
    <w:p w14:paraId="742FEAED">
      <w:pPr>
        <w:tabs>
          <w:tab w:val="left" w:pos="0"/>
        </w:tabs>
        <w:adjustRightInd w:val="0"/>
        <w:snapToGrid w:val="0"/>
        <w:spacing w:line="288" w:lineRule="auto"/>
        <w:ind w:firstLine="422" w:firstLineChars="201"/>
        <w:rPr>
          <w:rFonts w:cs="Helvetica"/>
          <w:kern w:val="0"/>
          <w:sz w:val="21"/>
          <w:szCs w:val="21"/>
          <w:highlight w:val="none"/>
        </w:rPr>
      </w:pPr>
      <w:r>
        <w:rPr>
          <w:rFonts w:cs="Helvetica"/>
          <w:kern w:val="0"/>
          <w:sz w:val="21"/>
          <w:szCs w:val="21"/>
          <w:highlight w:val="none"/>
        </w:rPr>
        <w:t>采购人组织对供应商履约的验收。大型或者复杂的政府采购项目，应当邀请国家认可的质量检测机构参加验收工作。验收方成员应当在验收书上签名，并承担相应的法律责任。如果发现与合同中要求不符，供应商须承担由此发生的一切损失和费用，并接受相应的处理。</w:t>
      </w:r>
    </w:p>
    <w:p w14:paraId="6D547B82">
      <w:pPr>
        <w:tabs>
          <w:tab w:val="left" w:pos="0"/>
        </w:tabs>
        <w:adjustRightInd w:val="0"/>
        <w:snapToGrid w:val="0"/>
        <w:spacing w:line="288" w:lineRule="auto"/>
        <w:ind w:firstLine="422" w:firstLineChars="201"/>
        <w:rPr>
          <w:rFonts w:cs="Helvetica"/>
          <w:kern w:val="0"/>
          <w:sz w:val="21"/>
          <w:szCs w:val="21"/>
          <w:highlight w:val="none"/>
        </w:rPr>
      </w:pPr>
      <w:r>
        <w:rPr>
          <w:rFonts w:cs="Helvetica"/>
          <w:kern w:val="0"/>
          <w:sz w:val="21"/>
          <w:szCs w:val="21"/>
          <w:highlight w:val="none"/>
        </w:rPr>
        <w:t>采购人可以邀请参加本项目的其他供应商或者第三方机构参与验收。参与验收的供应商或者第三方机构的意见作为</w:t>
      </w:r>
      <w:r>
        <w:rPr>
          <w:rFonts w:hint="eastAsia" w:cs="Helvetica"/>
          <w:kern w:val="0"/>
          <w:sz w:val="21"/>
          <w:szCs w:val="21"/>
          <w:highlight w:val="none"/>
        </w:rPr>
        <w:t>验收书的参考资料一并存档。</w:t>
      </w:r>
    </w:p>
    <w:p w14:paraId="5D131C57">
      <w:pPr>
        <w:tabs>
          <w:tab w:val="left" w:pos="0"/>
        </w:tabs>
        <w:adjustRightInd w:val="0"/>
        <w:snapToGrid w:val="0"/>
        <w:spacing w:line="288" w:lineRule="auto"/>
        <w:ind w:firstLine="422" w:firstLineChars="201"/>
        <w:rPr>
          <w:rFonts w:cs="Helvetica"/>
          <w:kern w:val="0"/>
          <w:sz w:val="21"/>
          <w:szCs w:val="21"/>
          <w:highlight w:val="none"/>
        </w:rPr>
      </w:pPr>
      <w:r>
        <w:rPr>
          <w:rFonts w:cs="Helvetica"/>
          <w:kern w:val="0"/>
          <w:sz w:val="21"/>
          <w:szCs w:val="21"/>
          <w:highlight w:val="none"/>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1332805">
      <w:pPr>
        <w:tabs>
          <w:tab w:val="left" w:pos="0"/>
        </w:tabs>
        <w:adjustRightInd w:val="0"/>
        <w:snapToGrid w:val="0"/>
        <w:spacing w:line="288" w:lineRule="auto"/>
        <w:ind w:firstLine="422" w:firstLineChars="201"/>
        <w:rPr>
          <w:rFonts w:cs="Helvetica"/>
          <w:kern w:val="0"/>
          <w:sz w:val="21"/>
          <w:szCs w:val="21"/>
          <w:highlight w:val="none"/>
        </w:rPr>
      </w:pPr>
      <w:r>
        <w:rPr>
          <w:rFonts w:cs="Helvetica"/>
          <w:kern w:val="0"/>
          <w:sz w:val="21"/>
          <w:szCs w:val="21"/>
          <w:highlight w:val="none"/>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62932FAA">
      <w:pPr>
        <w:adjustRightInd w:val="0"/>
        <w:snapToGrid w:val="0"/>
        <w:spacing w:line="288" w:lineRule="auto"/>
        <w:rPr>
          <w:sz w:val="21"/>
          <w:szCs w:val="21"/>
          <w:highlight w:val="none"/>
        </w:rPr>
      </w:pPr>
    </w:p>
    <w:p w14:paraId="43988385">
      <w:pPr>
        <w:adjustRightInd w:val="0"/>
        <w:snapToGrid w:val="0"/>
        <w:spacing w:line="288" w:lineRule="auto"/>
        <w:jc w:val="center"/>
        <w:outlineLvl w:val="1"/>
        <w:rPr>
          <w:b/>
          <w:bCs/>
          <w:sz w:val="21"/>
          <w:szCs w:val="21"/>
          <w:highlight w:val="none"/>
        </w:rPr>
      </w:pPr>
      <w:r>
        <w:rPr>
          <w:rFonts w:hint="eastAsia"/>
          <w:b/>
          <w:bCs/>
          <w:sz w:val="21"/>
          <w:szCs w:val="21"/>
          <w:highlight w:val="none"/>
        </w:rPr>
        <w:t>九、可中止电子交易活动的情形</w:t>
      </w:r>
    </w:p>
    <w:p w14:paraId="4CFA5B55">
      <w:pPr>
        <w:adjustRightInd w:val="0"/>
        <w:snapToGrid w:val="0"/>
        <w:spacing w:line="288" w:lineRule="auto"/>
        <w:ind w:firstLine="420" w:firstLineChars="200"/>
        <w:rPr>
          <w:sz w:val="21"/>
          <w:szCs w:val="21"/>
          <w:highlight w:val="none"/>
        </w:rPr>
      </w:pPr>
      <w:r>
        <w:rPr>
          <w:rFonts w:hint="eastAsia"/>
          <w:sz w:val="21"/>
          <w:szCs w:val="21"/>
          <w:highlight w:val="none"/>
        </w:rPr>
        <w:t>采购过程中出现以下情形，导致电子交易平台无法正常运行，或者无法保证电子交易的公平、公正和安全时，采购代理机构可中止电子交易活动：</w:t>
      </w:r>
    </w:p>
    <w:p w14:paraId="3B8EB9CD">
      <w:pPr>
        <w:adjustRightInd w:val="0"/>
        <w:snapToGrid w:val="0"/>
        <w:spacing w:line="288" w:lineRule="auto"/>
        <w:ind w:firstLine="420" w:firstLineChars="200"/>
        <w:rPr>
          <w:sz w:val="21"/>
          <w:szCs w:val="21"/>
          <w:highlight w:val="none"/>
        </w:rPr>
      </w:pPr>
      <w:r>
        <w:rPr>
          <w:rFonts w:hint="eastAsia"/>
          <w:sz w:val="21"/>
          <w:szCs w:val="21"/>
          <w:highlight w:val="none"/>
        </w:rPr>
        <w:t>1.电子交易平台发生故障而无法登录访问的；</w:t>
      </w:r>
    </w:p>
    <w:p w14:paraId="6D7AB2DB">
      <w:pPr>
        <w:adjustRightInd w:val="0"/>
        <w:snapToGrid w:val="0"/>
        <w:spacing w:line="288" w:lineRule="auto"/>
        <w:ind w:firstLine="420" w:firstLineChars="200"/>
        <w:rPr>
          <w:sz w:val="21"/>
          <w:szCs w:val="21"/>
          <w:highlight w:val="none"/>
        </w:rPr>
      </w:pPr>
      <w:r>
        <w:rPr>
          <w:rFonts w:hint="eastAsia"/>
          <w:sz w:val="21"/>
          <w:szCs w:val="21"/>
          <w:highlight w:val="none"/>
        </w:rPr>
        <w:t>2.电子交易平台应用或数据库出现错误，不能进行正常操作的；</w:t>
      </w:r>
    </w:p>
    <w:p w14:paraId="172C5D0B">
      <w:pPr>
        <w:adjustRightInd w:val="0"/>
        <w:snapToGrid w:val="0"/>
        <w:spacing w:line="288" w:lineRule="auto"/>
        <w:ind w:firstLine="420" w:firstLineChars="200"/>
        <w:rPr>
          <w:sz w:val="21"/>
          <w:szCs w:val="21"/>
          <w:highlight w:val="none"/>
        </w:rPr>
      </w:pPr>
      <w:r>
        <w:rPr>
          <w:rFonts w:hint="eastAsia"/>
          <w:sz w:val="21"/>
          <w:szCs w:val="21"/>
          <w:highlight w:val="none"/>
        </w:rPr>
        <w:t>3.电子交易平台发现严重安全漏洞，有潜在泄密危险的；</w:t>
      </w:r>
    </w:p>
    <w:p w14:paraId="1BFA2E9D">
      <w:pPr>
        <w:adjustRightInd w:val="0"/>
        <w:snapToGrid w:val="0"/>
        <w:spacing w:line="288" w:lineRule="auto"/>
        <w:ind w:firstLine="420" w:firstLineChars="200"/>
        <w:rPr>
          <w:sz w:val="21"/>
          <w:szCs w:val="21"/>
          <w:highlight w:val="none"/>
        </w:rPr>
      </w:pPr>
      <w:r>
        <w:rPr>
          <w:rFonts w:hint="eastAsia"/>
          <w:sz w:val="21"/>
          <w:szCs w:val="21"/>
          <w:highlight w:val="none"/>
        </w:rPr>
        <w:t>4.病毒发作导致不能进行正常操作的；</w:t>
      </w:r>
    </w:p>
    <w:p w14:paraId="67DAF8AD">
      <w:pPr>
        <w:adjustRightInd w:val="0"/>
        <w:snapToGrid w:val="0"/>
        <w:spacing w:line="288" w:lineRule="auto"/>
        <w:ind w:firstLine="420" w:firstLineChars="200"/>
        <w:rPr>
          <w:sz w:val="21"/>
          <w:szCs w:val="21"/>
          <w:highlight w:val="none"/>
        </w:rPr>
      </w:pPr>
      <w:r>
        <w:rPr>
          <w:rFonts w:hint="eastAsia"/>
          <w:sz w:val="21"/>
          <w:szCs w:val="21"/>
          <w:highlight w:val="none"/>
        </w:rPr>
        <w:t>5.其他无法保证电子交易的公平、公正和安全的情况。</w:t>
      </w:r>
    </w:p>
    <w:p w14:paraId="5682F52A">
      <w:pPr>
        <w:adjustRightInd w:val="0"/>
        <w:snapToGrid w:val="0"/>
        <w:spacing w:line="288" w:lineRule="auto"/>
        <w:ind w:firstLine="420" w:firstLineChars="200"/>
        <w:rPr>
          <w:sz w:val="21"/>
          <w:szCs w:val="21"/>
          <w:highlight w:val="none"/>
        </w:rPr>
      </w:pPr>
      <w:r>
        <w:rPr>
          <w:rFonts w:hint="eastAsia"/>
          <w:sz w:val="21"/>
          <w:szCs w:val="21"/>
          <w:highlight w:val="none"/>
        </w:rPr>
        <w:t>出现前款规定情形，不影响采购公平、公正性的，采购代理机构可以待上述情形消除后继续组织电子交易活动；影响或可能影响采购公平、公正性的，应当重新采购。</w:t>
      </w:r>
      <w:r>
        <w:rPr>
          <w:rFonts w:hint="eastAsia"/>
          <w:sz w:val="21"/>
          <w:szCs w:val="21"/>
          <w:highlight w:val="none"/>
        </w:rPr>
        <w:br w:type="page"/>
      </w:r>
    </w:p>
    <w:p w14:paraId="790430CF">
      <w:pPr>
        <w:adjustRightInd w:val="0"/>
        <w:snapToGrid w:val="0"/>
        <w:spacing w:line="288" w:lineRule="auto"/>
        <w:jc w:val="center"/>
        <w:outlineLvl w:val="0"/>
        <w:rPr>
          <w:b/>
          <w:bCs/>
          <w:sz w:val="32"/>
          <w:szCs w:val="32"/>
          <w:highlight w:val="none"/>
        </w:rPr>
      </w:pPr>
      <w:r>
        <w:rPr>
          <w:rFonts w:hint="eastAsia"/>
          <w:b/>
          <w:bCs/>
          <w:sz w:val="32"/>
          <w:szCs w:val="32"/>
          <w:highlight w:val="none"/>
        </w:rPr>
        <w:t>第四章  评审方法和评审标准</w:t>
      </w:r>
    </w:p>
    <w:p w14:paraId="30D16C43">
      <w:pPr>
        <w:adjustRightInd w:val="0"/>
        <w:snapToGrid w:val="0"/>
        <w:spacing w:line="288" w:lineRule="auto"/>
        <w:rPr>
          <w:b/>
          <w:bCs/>
          <w:sz w:val="21"/>
          <w:szCs w:val="21"/>
          <w:highlight w:val="none"/>
        </w:rPr>
      </w:pPr>
      <w:r>
        <w:rPr>
          <w:rFonts w:hint="eastAsia"/>
          <w:b/>
          <w:bCs/>
          <w:sz w:val="21"/>
          <w:szCs w:val="21"/>
          <w:highlight w:val="none"/>
        </w:rPr>
        <w:t>一、评审方法</w:t>
      </w:r>
    </w:p>
    <w:p w14:paraId="6D3311F1">
      <w:pPr>
        <w:adjustRightInd w:val="0"/>
        <w:snapToGrid w:val="0"/>
        <w:spacing w:line="288" w:lineRule="auto"/>
        <w:ind w:firstLine="420" w:firstLineChars="200"/>
        <w:rPr>
          <w:sz w:val="21"/>
          <w:szCs w:val="21"/>
          <w:highlight w:val="none"/>
        </w:rPr>
      </w:pPr>
      <w:r>
        <w:rPr>
          <w:rFonts w:hint="eastAsia"/>
          <w:sz w:val="21"/>
          <w:szCs w:val="21"/>
          <w:highlight w:val="none"/>
        </w:rPr>
        <w:t>本次评审采用综合评分法，总分为100分。评分过程中采用四舍五入法，并保留小数2位。</w:t>
      </w:r>
    </w:p>
    <w:p w14:paraId="5B442EF4">
      <w:pPr>
        <w:adjustRightInd w:val="0"/>
        <w:snapToGrid w:val="0"/>
        <w:spacing w:line="288" w:lineRule="auto"/>
        <w:ind w:firstLine="420" w:firstLineChars="200"/>
        <w:rPr>
          <w:sz w:val="21"/>
          <w:szCs w:val="21"/>
          <w:highlight w:val="none"/>
        </w:rPr>
      </w:pPr>
      <w:r>
        <w:rPr>
          <w:rFonts w:hint="eastAsia"/>
          <w:sz w:val="21"/>
          <w:szCs w:val="21"/>
          <w:highlight w:val="none"/>
        </w:rPr>
        <w:t>供应商评审综合得分=商务分+技术分+价格分</w:t>
      </w:r>
    </w:p>
    <w:p w14:paraId="61CA2FC3">
      <w:pPr>
        <w:adjustRightInd w:val="0"/>
        <w:snapToGrid w:val="0"/>
        <w:spacing w:line="288" w:lineRule="auto"/>
        <w:ind w:firstLine="420" w:firstLineChars="200"/>
        <w:rPr>
          <w:sz w:val="21"/>
          <w:szCs w:val="21"/>
          <w:highlight w:val="none"/>
        </w:rPr>
      </w:pPr>
      <w:r>
        <w:rPr>
          <w:rFonts w:hint="eastAsia"/>
          <w:sz w:val="21"/>
          <w:szCs w:val="21"/>
          <w:highlight w:val="none"/>
        </w:rPr>
        <w:t>商务分、技术分按照磋商小组成员的独立评分结果的算术平均分计算，计算公式为：商务分、技术分=（磋商小组所有成员评分合计数）/（磋商小组组成人员数）。项目评审过程中，不得去掉最后报价中的最高报价和最低报价。</w:t>
      </w:r>
    </w:p>
    <w:p w14:paraId="249745FA">
      <w:pPr>
        <w:adjustRightInd w:val="0"/>
        <w:snapToGrid w:val="0"/>
        <w:spacing w:line="288" w:lineRule="auto"/>
        <w:rPr>
          <w:b/>
          <w:bCs/>
          <w:sz w:val="21"/>
          <w:szCs w:val="21"/>
          <w:highlight w:val="none"/>
        </w:rPr>
      </w:pPr>
      <w:r>
        <w:rPr>
          <w:rFonts w:hint="eastAsia"/>
          <w:b/>
          <w:bCs/>
          <w:sz w:val="21"/>
          <w:szCs w:val="21"/>
          <w:highlight w:val="none"/>
        </w:rPr>
        <w:t>二、评审标准</w:t>
      </w:r>
    </w:p>
    <w:tbl>
      <w:tblPr>
        <w:tblStyle w:val="3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8"/>
        <w:gridCol w:w="780"/>
        <w:gridCol w:w="7130"/>
      </w:tblGrid>
      <w:tr w14:paraId="556DA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2" w:type="pct"/>
            <w:tcBorders>
              <w:top w:val="single" w:color="auto" w:sz="4" w:space="0"/>
              <w:left w:val="single" w:color="auto" w:sz="4" w:space="0"/>
              <w:bottom w:val="single" w:color="auto" w:sz="4" w:space="0"/>
              <w:right w:val="single" w:color="auto" w:sz="4" w:space="0"/>
            </w:tcBorders>
            <w:vAlign w:val="center"/>
          </w:tcPr>
          <w:p w14:paraId="5A643E24">
            <w:pPr>
              <w:spacing w:line="288" w:lineRule="auto"/>
              <w:jc w:val="center"/>
              <w:rPr>
                <w:b/>
                <w:bCs/>
                <w:sz w:val="21"/>
                <w:szCs w:val="21"/>
                <w:highlight w:val="none"/>
              </w:rPr>
            </w:pPr>
            <w:r>
              <w:rPr>
                <w:rFonts w:hint="eastAsia"/>
                <w:b/>
                <w:bCs/>
                <w:sz w:val="21"/>
                <w:szCs w:val="21"/>
                <w:highlight w:val="none"/>
              </w:rPr>
              <w:t>评审因素</w:t>
            </w:r>
          </w:p>
        </w:tc>
        <w:tc>
          <w:tcPr>
            <w:tcW w:w="405" w:type="pct"/>
            <w:tcBorders>
              <w:top w:val="single" w:color="auto" w:sz="4" w:space="0"/>
              <w:left w:val="single" w:color="auto" w:sz="4" w:space="0"/>
              <w:bottom w:val="single" w:color="auto" w:sz="4" w:space="0"/>
              <w:right w:val="single" w:color="auto" w:sz="4" w:space="0"/>
            </w:tcBorders>
            <w:vAlign w:val="center"/>
          </w:tcPr>
          <w:p w14:paraId="52B0DF5E">
            <w:pPr>
              <w:spacing w:line="288" w:lineRule="auto"/>
              <w:jc w:val="center"/>
              <w:rPr>
                <w:b/>
                <w:bCs/>
                <w:sz w:val="21"/>
                <w:szCs w:val="21"/>
                <w:highlight w:val="none"/>
              </w:rPr>
            </w:pPr>
            <w:r>
              <w:rPr>
                <w:rFonts w:hint="eastAsia"/>
                <w:b/>
                <w:bCs/>
                <w:sz w:val="21"/>
                <w:szCs w:val="21"/>
                <w:highlight w:val="none"/>
              </w:rPr>
              <w:t>分值</w:t>
            </w:r>
          </w:p>
        </w:tc>
        <w:tc>
          <w:tcPr>
            <w:tcW w:w="3702" w:type="pct"/>
            <w:tcBorders>
              <w:top w:val="single" w:color="auto" w:sz="4" w:space="0"/>
              <w:left w:val="single" w:color="auto" w:sz="4" w:space="0"/>
              <w:bottom w:val="single" w:color="auto" w:sz="4" w:space="0"/>
              <w:right w:val="single" w:color="auto" w:sz="4" w:space="0"/>
            </w:tcBorders>
            <w:vAlign w:val="center"/>
          </w:tcPr>
          <w:p w14:paraId="6675EF64">
            <w:pPr>
              <w:spacing w:line="288" w:lineRule="auto"/>
              <w:jc w:val="center"/>
              <w:rPr>
                <w:b/>
                <w:bCs/>
                <w:sz w:val="21"/>
                <w:szCs w:val="21"/>
                <w:highlight w:val="none"/>
              </w:rPr>
            </w:pPr>
            <w:r>
              <w:rPr>
                <w:rFonts w:hint="eastAsia"/>
                <w:b/>
                <w:bCs/>
                <w:sz w:val="21"/>
                <w:szCs w:val="21"/>
                <w:highlight w:val="none"/>
              </w:rPr>
              <w:t>评分细则</w:t>
            </w:r>
          </w:p>
        </w:tc>
      </w:tr>
      <w:tr w14:paraId="00889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0" w:type="pct"/>
            <w:gridSpan w:val="3"/>
            <w:tcBorders>
              <w:top w:val="single" w:color="auto" w:sz="4" w:space="0"/>
              <w:left w:val="single" w:color="auto" w:sz="4" w:space="0"/>
              <w:bottom w:val="single" w:color="auto" w:sz="4" w:space="0"/>
              <w:right w:val="single" w:color="auto" w:sz="4" w:space="0"/>
            </w:tcBorders>
            <w:vAlign w:val="center"/>
          </w:tcPr>
          <w:p w14:paraId="6B6443C4">
            <w:pPr>
              <w:spacing w:line="288" w:lineRule="auto"/>
              <w:rPr>
                <w:b/>
                <w:bCs/>
                <w:sz w:val="21"/>
                <w:szCs w:val="21"/>
                <w:highlight w:val="none"/>
              </w:rPr>
            </w:pPr>
            <w:r>
              <w:rPr>
                <w:rFonts w:hint="eastAsia"/>
                <w:b/>
                <w:bCs/>
                <w:sz w:val="21"/>
                <w:szCs w:val="21"/>
                <w:highlight w:val="none"/>
              </w:rPr>
              <w:t>价格分</w:t>
            </w:r>
          </w:p>
        </w:tc>
      </w:tr>
      <w:tr w14:paraId="0E007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2" w:type="pct"/>
            <w:tcBorders>
              <w:top w:val="single" w:color="auto" w:sz="4" w:space="0"/>
              <w:left w:val="single" w:color="auto" w:sz="4" w:space="0"/>
              <w:bottom w:val="single" w:color="auto" w:sz="4" w:space="0"/>
              <w:right w:val="single" w:color="auto" w:sz="4" w:space="0"/>
            </w:tcBorders>
            <w:vAlign w:val="center"/>
          </w:tcPr>
          <w:p w14:paraId="135B188A">
            <w:pPr>
              <w:pStyle w:val="14"/>
              <w:spacing w:line="288" w:lineRule="auto"/>
              <w:ind w:firstLine="0"/>
              <w:jc w:val="center"/>
              <w:rPr>
                <w:rFonts w:hAnsi="宋体"/>
                <w:b/>
                <w:bCs/>
                <w:spacing w:val="-6"/>
                <w:sz w:val="21"/>
                <w:szCs w:val="21"/>
                <w:highlight w:val="none"/>
              </w:rPr>
            </w:pPr>
            <w:r>
              <w:rPr>
                <w:rFonts w:hint="eastAsia" w:hAnsi="宋体"/>
                <w:b/>
                <w:bCs/>
                <w:spacing w:val="-6"/>
                <w:sz w:val="21"/>
                <w:szCs w:val="21"/>
                <w:highlight w:val="none"/>
              </w:rPr>
              <w:t>最后磋商报价</w:t>
            </w:r>
          </w:p>
        </w:tc>
        <w:tc>
          <w:tcPr>
            <w:tcW w:w="405" w:type="pct"/>
            <w:tcBorders>
              <w:top w:val="single" w:color="auto" w:sz="4" w:space="0"/>
              <w:left w:val="single" w:color="auto" w:sz="4" w:space="0"/>
              <w:bottom w:val="single" w:color="auto" w:sz="4" w:space="0"/>
              <w:right w:val="single" w:color="auto" w:sz="4" w:space="0"/>
            </w:tcBorders>
            <w:vAlign w:val="center"/>
          </w:tcPr>
          <w:p w14:paraId="28C929B9">
            <w:pPr>
              <w:spacing w:line="288" w:lineRule="auto"/>
              <w:jc w:val="center"/>
              <w:rPr>
                <w:b/>
                <w:bCs/>
                <w:spacing w:val="-6"/>
                <w:sz w:val="21"/>
                <w:szCs w:val="21"/>
                <w:highlight w:val="none"/>
              </w:rPr>
            </w:pPr>
            <w:r>
              <w:rPr>
                <w:rFonts w:hint="eastAsia"/>
                <w:b/>
                <w:bCs/>
                <w:spacing w:val="-6"/>
                <w:sz w:val="21"/>
                <w:szCs w:val="21"/>
                <w:highlight w:val="none"/>
              </w:rPr>
              <w:t>30</w:t>
            </w:r>
          </w:p>
        </w:tc>
        <w:tc>
          <w:tcPr>
            <w:tcW w:w="3702" w:type="pct"/>
            <w:tcBorders>
              <w:top w:val="single" w:color="auto" w:sz="4" w:space="0"/>
              <w:left w:val="single" w:color="auto" w:sz="4" w:space="0"/>
              <w:bottom w:val="single" w:color="auto" w:sz="4" w:space="0"/>
              <w:right w:val="single" w:color="auto" w:sz="4" w:space="0"/>
            </w:tcBorders>
            <w:vAlign w:val="center"/>
          </w:tcPr>
          <w:p w14:paraId="4852570A">
            <w:pPr>
              <w:pStyle w:val="14"/>
              <w:spacing w:line="288" w:lineRule="auto"/>
              <w:ind w:firstLine="0"/>
              <w:rPr>
                <w:rFonts w:hAnsi="宋体"/>
                <w:spacing w:val="-6"/>
                <w:sz w:val="21"/>
                <w:szCs w:val="21"/>
                <w:highlight w:val="none"/>
              </w:rPr>
            </w:pPr>
            <w:r>
              <w:rPr>
                <w:rFonts w:hint="eastAsia" w:hAnsi="宋体"/>
                <w:spacing w:val="-6"/>
                <w:sz w:val="21"/>
                <w:szCs w:val="21"/>
                <w:highlight w:val="none"/>
              </w:rPr>
              <w:t>价格分统一采用低价优先法计算，即满足磋商文件要求且最后报价最低的供应商的价格为磋商基准价，其价格分为满分。其他供应商的价格分统一按照下列公式计算：</w:t>
            </w:r>
          </w:p>
          <w:p w14:paraId="19E1FF00">
            <w:pPr>
              <w:pStyle w:val="14"/>
              <w:spacing w:line="288" w:lineRule="auto"/>
              <w:ind w:firstLine="0"/>
              <w:rPr>
                <w:rFonts w:hAnsi="宋体"/>
                <w:spacing w:val="-6"/>
                <w:sz w:val="21"/>
                <w:szCs w:val="21"/>
                <w:highlight w:val="none"/>
              </w:rPr>
            </w:pPr>
            <w:r>
              <w:rPr>
                <w:rFonts w:hint="eastAsia" w:hAnsi="宋体"/>
                <w:spacing w:val="-6"/>
                <w:sz w:val="21"/>
                <w:szCs w:val="21"/>
                <w:highlight w:val="none"/>
              </w:rPr>
              <w:t>磋商报价得分=（磋商基准价/最后磋商报价）×30%×100</w:t>
            </w:r>
          </w:p>
        </w:tc>
      </w:tr>
      <w:tr w14:paraId="628F5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0" w:type="pct"/>
            <w:gridSpan w:val="3"/>
            <w:tcBorders>
              <w:top w:val="single" w:color="auto" w:sz="4" w:space="0"/>
              <w:left w:val="single" w:color="auto" w:sz="4" w:space="0"/>
              <w:bottom w:val="single" w:color="auto" w:sz="4" w:space="0"/>
              <w:right w:val="single" w:color="auto" w:sz="4" w:space="0"/>
            </w:tcBorders>
            <w:vAlign w:val="center"/>
          </w:tcPr>
          <w:p w14:paraId="42A58295">
            <w:pPr>
              <w:spacing w:line="288" w:lineRule="auto"/>
              <w:rPr>
                <w:b/>
                <w:bCs/>
                <w:sz w:val="21"/>
                <w:szCs w:val="21"/>
                <w:highlight w:val="none"/>
              </w:rPr>
            </w:pPr>
            <w:r>
              <w:rPr>
                <w:rFonts w:hint="eastAsia"/>
                <w:b/>
                <w:bCs/>
                <w:sz w:val="21"/>
                <w:szCs w:val="21"/>
                <w:highlight w:val="none"/>
              </w:rPr>
              <w:t>商务分</w:t>
            </w:r>
          </w:p>
        </w:tc>
      </w:tr>
      <w:tr w14:paraId="2980D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2" w:type="pct"/>
            <w:tcBorders>
              <w:top w:val="single" w:color="auto" w:sz="4" w:space="0"/>
              <w:left w:val="single" w:color="auto" w:sz="4" w:space="0"/>
              <w:bottom w:val="single" w:color="auto" w:sz="4" w:space="0"/>
              <w:right w:val="single" w:color="auto" w:sz="4" w:space="0"/>
            </w:tcBorders>
            <w:vAlign w:val="center"/>
          </w:tcPr>
          <w:p w14:paraId="30699FBA">
            <w:pPr>
              <w:spacing w:line="288" w:lineRule="auto"/>
              <w:jc w:val="center"/>
              <w:rPr>
                <w:b/>
                <w:bCs/>
                <w:sz w:val="21"/>
                <w:szCs w:val="21"/>
                <w:highlight w:val="none"/>
              </w:rPr>
            </w:pPr>
            <w:r>
              <w:rPr>
                <w:rFonts w:hint="eastAsia"/>
                <w:b/>
                <w:bCs/>
                <w:sz w:val="21"/>
                <w:szCs w:val="21"/>
                <w:highlight w:val="none"/>
              </w:rPr>
              <w:t>业绩</w:t>
            </w:r>
          </w:p>
        </w:tc>
        <w:tc>
          <w:tcPr>
            <w:tcW w:w="405" w:type="pct"/>
            <w:tcBorders>
              <w:top w:val="single" w:color="auto" w:sz="4" w:space="0"/>
              <w:left w:val="single" w:color="auto" w:sz="4" w:space="0"/>
              <w:bottom w:val="single" w:color="auto" w:sz="4" w:space="0"/>
              <w:right w:val="single" w:color="auto" w:sz="4" w:space="0"/>
            </w:tcBorders>
            <w:vAlign w:val="center"/>
          </w:tcPr>
          <w:p w14:paraId="5F2171B1">
            <w:pPr>
              <w:spacing w:line="288" w:lineRule="auto"/>
              <w:jc w:val="center"/>
              <w:rPr>
                <w:b/>
                <w:bCs/>
                <w:sz w:val="21"/>
                <w:szCs w:val="21"/>
                <w:highlight w:val="none"/>
              </w:rPr>
            </w:pPr>
            <w:r>
              <w:rPr>
                <w:rFonts w:hint="eastAsia"/>
                <w:b/>
                <w:bCs/>
                <w:sz w:val="21"/>
                <w:szCs w:val="21"/>
                <w:highlight w:val="none"/>
              </w:rPr>
              <w:t>1.5</w:t>
            </w:r>
          </w:p>
        </w:tc>
        <w:tc>
          <w:tcPr>
            <w:tcW w:w="3702" w:type="pct"/>
            <w:tcBorders>
              <w:top w:val="single" w:color="auto" w:sz="4" w:space="0"/>
              <w:left w:val="single" w:color="auto" w:sz="4" w:space="0"/>
              <w:bottom w:val="single" w:color="auto" w:sz="4" w:space="0"/>
              <w:right w:val="single" w:color="auto" w:sz="4" w:space="0"/>
            </w:tcBorders>
            <w:vAlign w:val="center"/>
          </w:tcPr>
          <w:p w14:paraId="21138C50">
            <w:pPr>
              <w:spacing w:line="288" w:lineRule="auto"/>
              <w:rPr>
                <w:sz w:val="21"/>
                <w:szCs w:val="21"/>
                <w:highlight w:val="none"/>
              </w:rPr>
            </w:pPr>
            <w:r>
              <w:rPr>
                <w:rFonts w:hint="eastAsia"/>
                <w:sz w:val="21"/>
                <w:szCs w:val="21"/>
                <w:highlight w:val="none"/>
              </w:rPr>
              <w:t>【客观分】</w:t>
            </w:r>
          </w:p>
          <w:p w14:paraId="05FA99F4">
            <w:pPr>
              <w:spacing w:line="288" w:lineRule="auto"/>
              <w:rPr>
                <w:sz w:val="21"/>
                <w:szCs w:val="21"/>
                <w:highlight w:val="none"/>
              </w:rPr>
            </w:pPr>
            <w:r>
              <w:rPr>
                <w:rFonts w:hint="eastAsia"/>
                <w:sz w:val="21"/>
                <w:szCs w:val="21"/>
                <w:highlight w:val="none"/>
              </w:rPr>
              <w:t>202</w:t>
            </w:r>
            <w:r>
              <w:rPr>
                <w:sz w:val="21"/>
                <w:szCs w:val="21"/>
                <w:highlight w:val="none"/>
              </w:rPr>
              <w:t>1</w:t>
            </w:r>
            <w:r>
              <w:rPr>
                <w:rFonts w:hint="eastAsia"/>
                <w:sz w:val="21"/>
                <w:szCs w:val="21"/>
                <w:highlight w:val="none"/>
              </w:rPr>
              <w:t>年1月1日以来（以合同最终签署时间为准）具有类似项目业绩的，每提供一个业绩证明材料得0.5分，得分不超过1.5分。</w:t>
            </w:r>
          </w:p>
          <w:p w14:paraId="79F0E4A7">
            <w:pPr>
              <w:spacing w:line="288" w:lineRule="auto"/>
              <w:rPr>
                <w:sz w:val="21"/>
                <w:szCs w:val="21"/>
                <w:highlight w:val="none"/>
              </w:rPr>
            </w:pPr>
            <w:r>
              <w:rPr>
                <w:rFonts w:hint="eastAsia"/>
                <w:sz w:val="21"/>
                <w:szCs w:val="21"/>
                <w:highlight w:val="none"/>
              </w:rPr>
              <w:t>备注：须提供合同扫描件加盖单位公章。未按要求提供不得分。</w:t>
            </w:r>
            <w:r>
              <w:rPr>
                <w:rFonts w:hint="eastAsia"/>
                <w:b/>
                <w:bCs/>
                <w:sz w:val="21"/>
                <w:szCs w:val="21"/>
                <w:highlight w:val="none"/>
              </w:rPr>
              <w:t>供应商业绩和项目负责人业绩不重复计分（供应商提供合同须注明：供应商业绩证明材料或项目负责人业绩证明材料。未注明或无法判断的，按先供应商业绩，后项目负责人业绩计分）。</w:t>
            </w:r>
          </w:p>
        </w:tc>
      </w:tr>
      <w:tr w14:paraId="03D23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8" w:type="dxa"/>
            <w:tcBorders>
              <w:top w:val="single" w:color="auto" w:sz="4" w:space="0"/>
              <w:left w:val="single" w:color="auto" w:sz="4" w:space="0"/>
              <w:bottom w:val="single" w:color="auto" w:sz="4" w:space="0"/>
              <w:right w:val="single" w:color="auto" w:sz="4" w:space="0"/>
            </w:tcBorders>
            <w:vAlign w:val="center"/>
          </w:tcPr>
          <w:p w14:paraId="4DF7DE97">
            <w:pPr>
              <w:spacing w:line="288" w:lineRule="auto"/>
              <w:rPr>
                <w:b/>
                <w:bCs/>
                <w:sz w:val="21"/>
                <w:szCs w:val="21"/>
                <w:highlight w:val="none"/>
              </w:rPr>
            </w:pPr>
            <w:r>
              <w:rPr>
                <w:rFonts w:hint="eastAsia"/>
                <w:b/>
                <w:bCs/>
                <w:sz w:val="21"/>
                <w:szCs w:val="21"/>
                <w:highlight w:val="none"/>
              </w:rPr>
              <w:t>政府采购政策</w:t>
            </w:r>
          </w:p>
        </w:tc>
        <w:tc>
          <w:tcPr>
            <w:tcW w:w="780" w:type="dxa"/>
            <w:tcBorders>
              <w:top w:val="single" w:color="auto" w:sz="4" w:space="0"/>
              <w:left w:val="single" w:color="auto" w:sz="4" w:space="0"/>
              <w:bottom w:val="single" w:color="auto" w:sz="4" w:space="0"/>
              <w:right w:val="single" w:color="auto" w:sz="4" w:space="0"/>
            </w:tcBorders>
            <w:vAlign w:val="center"/>
          </w:tcPr>
          <w:p w14:paraId="3923286A">
            <w:pPr>
              <w:spacing w:line="288" w:lineRule="auto"/>
              <w:rPr>
                <w:b/>
                <w:bCs/>
                <w:sz w:val="21"/>
                <w:szCs w:val="21"/>
                <w:highlight w:val="none"/>
              </w:rPr>
            </w:pPr>
            <w:r>
              <w:rPr>
                <w:rFonts w:hint="eastAsia"/>
                <w:b/>
                <w:bCs/>
                <w:sz w:val="21"/>
                <w:szCs w:val="21"/>
                <w:highlight w:val="none"/>
              </w:rPr>
              <w:t>2</w:t>
            </w:r>
          </w:p>
        </w:tc>
        <w:tc>
          <w:tcPr>
            <w:tcW w:w="7130" w:type="dxa"/>
            <w:tcBorders>
              <w:top w:val="single" w:color="auto" w:sz="4" w:space="0"/>
              <w:left w:val="single" w:color="auto" w:sz="4" w:space="0"/>
              <w:bottom w:val="single" w:color="auto" w:sz="4" w:space="0"/>
              <w:right w:val="single" w:color="auto" w:sz="4" w:space="0"/>
            </w:tcBorders>
            <w:vAlign w:val="center"/>
          </w:tcPr>
          <w:p w14:paraId="14D23105">
            <w:pPr>
              <w:spacing w:line="288" w:lineRule="auto"/>
              <w:rPr>
                <w:sz w:val="21"/>
                <w:szCs w:val="21"/>
                <w:highlight w:val="none"/>
              </w:rPr>
            </w:pPr>
            <w:r>
              <w:rPr>
                <w:rFonts w:hint="eastAsia"/>
                <w:sz w:val="21"/>
                <w:szCs w:val="21"/>
                <w:highlight w:val="none"/>
              </w:rPr>
              <w:t>【客观分】</w:t>
            </w:r>
          </w:p>
          <w:p w14:paraId="5EAF3D5E">
            <w:pPr>
              <w:spacing w:line="288" w:lineRule="auto"/>
              <w:rPr>
                <w:sz w:val="21"/>
                <w:szCs w:val="21"/>
                <w:highlight w:val="none"/>
              </w:rPr>
            </w:pPr>
            <w:r>
              <w:rPr>
                <w:rFonts w:hint="eastAsia"/>
                <w:sz w:val="21"/>
                <w:szCs w:val="21"/>
                <w:highlight w:val="none"/>
              </w:rPr>
              <w:t>维修改造产品有一项列入财政部、生态环境部发布的环境标志产品品目清单的，提供国家市场监督管理总局公布的《参与实施政府采购环境标志产品认证机构名录》内的认证机构出具的、处于有效期之内的环境标志产品认证证书，得1分，最高得2分。</w:t>
            </w:r>
          </w:p>
        </w:tc>
      </w:tr>
      <w:tr w14:paraId="1B04D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0" w:type="pct"/>
            <w:gridSpan w:val="3"/>
            <w:tcBorders>
              <w:top w:val="single" w:color="auto" w:sz="4" w:space="0"/>
              <w:left w:val="single" w:color="auto" w:sz="4" w:space="0"/>
              <w:bottom w:val="single" w:color="auto" w:sz="4" w:space="0"/>
              <w:right w:val="single" w:color="auto" w:sz="4" w:space="0"/>
            </w:tcBorders>
            <w:vAlign w:val="center"/>
          </w:tcPr>
          <w:p w14:paraId="32204507">
            <w:pPr>
              <w:spacing w:line="288" w:lineRule="auto"/>
              <w:rPr>
                <w:b/>
                <w:bCs/>
                <w:sz w:val="21"/>
                <w:szCs w:val="21"/>
                <w:highlight w:val="none"/>
              </w:rPr>
            </w:pPr>
            <w:r>
              <w:rPr>
                <w:rFonts w:hint="eastAsia"/>
                <w:b/>
                <w:bCs/>
                <w:sz w:val="21"/>
                <w:szCs w:val="21"/>
                <w:highlight w:val="none"/>
              </w:rPr>
              <w:t>技术分</w:t>
            </w:r>
          </w:p>
        </w:tc>
      </w:tr>
      <w:tr w14:paraId="0C66E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2" w:type="pct"/>
            <w:vMerge w:val="restart"/>
            <w:tcBorders>
              <w:top w:val="single" w:color="auto" w:sz="4" w:space="0"/>
              <w:left w:val="single" w:color="auto" w:sz="4" w:space="0"/>
              <w:bottom w:val="single" w:color="auto" w:sz="4" w:space="0"/>
              <w:right w:val="single" w:color="auto" w:sz="4" w:space="0"/>
            </w:tcBorders>
            <w:vAlign w:val="center"/>
          </w:tcPr>
          <w:p w14:paraId="24A5298A">
            <w:pPr>
              <w:spacing w:line="288" w:lineRule="auto"/>
              <w:jc w:val="center"/>
              <w:rPr>
                <w:b/>
                <w:bCs/>
                <w:sz w:val="21"/>
                <w:szCs w:val="21"/>
                <w:highlight w:val="none"/>
              </w:rPr>
            </w:pPr>
            <w:r>
              <w:rPr>
                <w:rFonts w:hint="eastAsia"/>
                <w:b/>
                <w:bCs/>
                <w:sz w:val="21"/>
                <w:szCs w:val="21"/>
                <w:highlight w:val="none"/>
              </w:rPr>
              <w:t>技术方案</w:t>
            </w:r>
          </w:p>
        </w:tc>
        <w:tc>
          <w:tcPr>
            <w:tcW w:w="405" w:type="pct"/>
            <w:tcBorders>
              <w:top w:val="single" w:color="auto" w:sz="4" w:space="0"/>
              <w:left w:val="single" w:color="auto" w:sz="4" w:space="0"/>
              <w:bottom w:val="single" w:color="auto" w:sz="4" w:space="0"/>
              <w:right w:val="single" w:color="auto" w:sz="4" w:space="0"/>
            </w:tcBorders>
            <w:vAlign w:val="center"/>
          </w:tcPr>
          <w:p w14:paraId="6F375D16">
            <w:pPr>
              <w:spacing w:line="288" w:lineRule="auto"/>
              <w:jc w:val="center"/>
              <w:rPr>
                <w:b/>
                <w:bCs/>
                <w:sz w:val="21"/>
                <w:szCs w:val="21"/>
                <w:highlight w:val="none"/>
              </w:rPr>
            </w:pPr>
            <w:r>
              <w:rPr>
                <w:rFonts w:hint="eastAsia"/>
                <w:b/>
                <w:bCs/>
                <w:sz w:val="21"/>
                <w:szCs w:val="21"/>
                <w:highlight w:val="none"/>
              </w:rPr>
              <w:t>5</w:t>
            </w:r>
          </w:p>
        </w:tc>
        <w:tc>
          <w:tcPr>
            <w:tcW w:w="3702" w:type="pct"/>
            <w:tcBorders>
              <w:top w:val="single" w:color="auto" w:sz="4" w:space="0"/>
              <w:left w:val="single" w:color="auto" w:sz="4" w:space="0"/>
              <w:bottom w:val="single" w:color="auto" w:sz="4" w:space="0"/>
              <w:right w:val="single" w:color="auto" w:sz="4" w:space="0"/>
            </w:tcBorders>
            <w:vAlign w:val="center"/>
          </w:tcPr>
          <w:p w14:paraId="39FAF98C">
            <w:pPr>
              <w:widowControl/>
              <w:spacing w:line="288" w:lineRule="auto"/>
              <w:jc w:val="left"/>
              <w:rPr>
                <w:bCs/>
                <w:sz w:val="21"/>
                <w:szCs w:val="21"/>
                <w:highlight w:val="none"/>
              </w:rPr>
            </w:pPr>
            <w:r>
              <w:rPr>
                <w:rFonts w:hint="eastAsia"/>
                <w:bCs/>
                <w:sz w:val="21"/>
                <w:szCs w:val="21"/>
                <w:highlight w:val="none"/>
              </w:rPr>
              <w:t>【主观分】</w:t>
            </w:r>
          </w:p>
          <w:p w14:paraId="6C4440B4">
            <w:pPr>
              <w:widowControl/>
              <w:spacing w:line="288" w:lineRule="auto"/>
              <w:jc w:val="left"/>
              <w:rPr>
                <w:bCs/>
                <w:sz w:val="21"/>
                <w:szCs w:val="21"/>
                <w:highlight w:val="none"/>
              </w:rPr>
            </w:pPr>
            <w:r>
              <w:rPr>
                <w:rFonts w:hint="eastAsia"/>
                <w:bCs/>
                <w:sz w:val="21"/>
                <w:szCs w:val="21"/>
                <w:highlight w:val="none"/>
              </w:rPr>
              <w:t>施工总体方案全面、合理、针对性强。</w:t>
            </w:r>
          </w:p>
          <w:p w14:paraId="11733939">
            <w:pPr>
              <w:spacing w:line="288" w:lineRule="auto"/>
              <w:rPr>
                <w:sz w:val="21"/>
                <w:szCs w:val="21"/>
                <w:highlight w:val="none"/>
              </w:rPr>
            </w:pPr>
            <w:r>
              <w:rPr>
                <w:rFonts w:hint="eastAsia"/>
                <w:bCs/>
                <w:sz w:val="21"/>
                <w:szCs w:val="21"/>
                <w:highlight w:val="none"/>
              </w:rPr>
              <w:t>（评分范围：5,</w:t>
            </w:r>
            <w:r>
              <w:rPr>
                <w:bCs/>
                <w:sz w:val="21"/>
                <w:szCs w:val="21"/>
                <w:highlight w:val="none"/>
              </w:rPr>
              <w:t>4</w:t>
            </w:r>
            <w:r>
              <w:rPr>
                <w:rFonts w:hint="eastAsia"/>
                <w:bCs/>
                <w:sz w:val="21"/>
                <w:szCs w:val="21"/>
                <w:highlight w:val="none"/>
              </w:rPr>
              <w:t>,</w:t>
            </w:r>
            <w:r>
              <w:rPr>
                <w:bCs/>
                <w:sz w:val="21"/>
                <w:szCs w:val="21"/>
                <w:highlight w:val="none"/>
              </w:rPr>
              <w:t>3</w:t>
            </w:r>
            <w:r>
              <w:rPr>
                <w:rFonts w:hint="eastAsia"/>
                <w:bCs/>
                <w:sz w:val="21"/>
                <w:szCs w:val="21"/>
                <w:highlight w:val="none"/>
              </w:rPr>
              <w:t>,</w:t>
            </w:r>
            <w:r>
              <w:rPr>
                <w:bCs/>
                <w:sz w:val="21"/>
                <w:szCs w:val="21"/>
                <w:highlight w:val="none"/>
              </w:rPr>
              <w:t>2</w:t>
            </w:r>
            <w:r>
              <w:rPr>
                <w:rFonts w:hint="eastAsia"/>
                <w:bCs/>
                <w:sz w:val="21"/>
                <w:szCs w:val="21"/>
                <w:highlight w:val="none"/>
              </w:rPr>
              <w:t>,</w:t>
            </w:r>
            <w:r>
              <w:rPr>
                <w:bCs/>
                <w:sz w:val="21"/>
                <w:szCs w:val="21"/>
                <w:highlight w:val="none"/>
              </w:rPr>
              <w:t>1</w:t>
            </w:r>
            <w:r>
              <w:rPr>
                <w:rFonts w:hint="eastAsia"/>
                <w:bCs/>
                <w:sz w:val="21"/>
                <w:szCs w:val="21"/>
                <w:highlight w:val="none"/>
              </w:rPr>
              <w:t>,</w:t>
            </w:r>
            <w:r>
              <w:rPr>
                <w:bCs/>
                <w:sz w:val="21"/>
                <w:szCs w:val="21"/>
                <w:highlight w:val="none"/>
              </w:rPr>
              <w:t>0</w:t>
            </w:r>
            <w:r>
              <w:rPr>
                <w:rFonts w:hint="eastAsia"/>
                <w:bCs/>
                <w:sz w:val="21"/>
                <w:szCs w:val="21"/>
                <w:highlight w:val="none"/>
              </w:rPr>
              <w:t>）</w:t>
            </w:r>
          </w:p>
        </w:tc>
      </w:tr>
      <w:tr w14:paraId="7A04E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63DFAB81">
            <w:pPr>
              <w:widowControl/>
              <w:spacing w:line="288" w:lineRule="auto"/>
              <w:jc w:val="left"/>
              <w:rPr>
                <w:b/>
                <w:bCs/>
                <w:sz w:val="21"/>
                <w:szCs w:val="21"/>
                <w:highlight w:val="none"/>
              </w:rPr>
            </w:pPr>
          </w:p>
        </w:tc>
        <w:tc>
          <w:tcPr>
            <w:tcW w:w="405" w:type="pct"/>
            <w:tcBorders>
              <w:top w:val="single" w:color="auto" w:sz="4" w:space="0"/>
              <w:left w:val="single" w:color="auto" w:sz="4" w:space="0"/>
              <w:bottom w:val="single" w:color="auto" w:sz="4" w:space="0"/>
              <w:right w:val="single" w:color="auto" w:sz="4" w:space="0"/>
            </w:tcBorders>
            <w:vAlign w:val="center"/>
          </w:tcPr>
          <w:p w14:paraId="16C35E57">
            <w:pPr>
              <w:spacing w:line="288" w:lineRule="auto"/>
              <w:jc w:val="center"/>
              <w:rPr>
                <w:b/>
                <w:bCs/>
                <w:sz w:val="21"/>
                <w:szCs w:val="21"/>
                <w:highlight w:val="none"/>
              </w:rPr>
            </w:pPr>
            <w:r>
              <w:rPr>
                <w:rFonts w:hint="eastAsia"/>
                <w:b/>
                <w:bCs/>
                <w:sz w:val="21"/>
                <w:szCs w:val="21"/>
                <w:highlight w:val="none"/>
              </w:rPr>
              <w:t>5</w:t>
            </w:r>
          </w:p>
        </w:tc>
        <w:tc>
          <w:tcPr>
            <w:tcW w:w="3702" w:type="pct"/>
            <w:tcBorders>
              <w:top w:val="single" w:color="auto" w:sz="4" w:space="0"/>
              <w:left w:val="single" w:color="auto" w:sz="4" w:space="0"/>
              <w:bottom w:val="single" w:color="auto" w:sz="4" w:space="0"/>
              <w:right w:val="single" w:color="auto" w:sz="4" w:space="0"/>
            </w:tcBorders>
            <w:vAlign w:val="center"/>
          </w:tcPr>
          <w:p w14:paraId="6006E75A">
            <w:pPr>
              <w:widowControl/>
              <w:spacing w:line="288" w:lineRule="auto"/>
              <w:jc w:val="left"/>
              <w:rPr>
                <w:bCs/>
                <w:sz w:val="21"/>
                <w:szCs w:val="21"/>
                <w:highlight w:val="none"/>
              </w:rPr>
            </w:pPr>
            <w:r>
              <w:rPr>
                <w:rFonts w:hint="eastAsia"/>
                <w:bCs/>
                <w:sz w:val="21"/>
                <w:szCs w:val="21"/>
                <w:highlight w:val="none"/>
              </w:rPr>
              <w:t>【主观分】</w:t>
            </w:r>
          </w:p>
          <w:p w14:paraId="03E646EF">
            <w:pPr>
              <w:widowControl/>
              <w:spacing w:line="288" w:lineRule="auto"/>
              <w:jc w:val="left"/>
              <w:rPr>
                <w:bCs/>
                <w:sz w:val="21"/>
                <w:szCs w:val="21"/>
                <w:highlight w:val="none"/>
              </w:rPr>
            </w:pPr>
            <w:r>
              <w:rPr>
                <w:rFonts w:hint="eastAsia"/>
                <w:bCs/>
                <w:sz w:val="21"/>
                <w:szCs w:val="21"/>
                <w:highlight w:val="none"/>
              </w:rPr>
              <w:t>关键部位的施工方案全面、合理、针对性强。</w:t>
            </w:r>
          </w:p>
          <w:p w14:paraId="343BED22">
            <w:pPr>
              <w:spacing w:line="288" w:lineRule="auto"/>
              <w:rPr>
                <w:sz w:val="21"/>
                <w:szCs w:val="21"/>
                <w:highlight w:val="none"/>
              </w:rPr>
            </w:pPr>
            <w:r>
              <w:rPr>
                <w:rFonts w:hint="eastAsia"/>
                <w:bCs/>
                <w:sz w:val="21"/>
                <w:szCs w:val="21"/>
                <w:highlight w:val="none"/>
              </w:rPr>
              <w:t>（评分范围：5,</w:t>
            </w:r>
            <w:r>
              <w:rPr>
                <w:bCs/>
                <w:sz w:val="21"/>
                <w:szCs w:val="21"/>
                <w:highlight w:val="none"/>
              </w:rPr>
              <w:t>4</w:t>
            </w:r>
            <w:r>
              <w:rPr>
                <w:rFonts w:hint="eastAsia"/>
                <w:bCs/>
                <w:sz w:val="21"/>
                <w:szCs w:val="21"/>
                <w:highlight w:val="none"/>
              </w:rPr>
              <w:t>,</w:t>
            </w:r>
            <w:r>
              <w:rPr>
                <w:bCs/>
                <w:sz w:val="21"/>
                <w:szCs w:val="21"/>
                <w:highlight w:val="none"/>
              </w:rPr>
              <w:t>3</w:t>
            </w:r>
            <w:r>
              <w:rPr>
                <w:rFonts w:hint="eastAsia"/>
                <w:bCs/>
                <w:sz w:val="21"/>
                <w:szCs w:val="21"/>
                <w:highlight w:val="none"/>
              </w:rPr>
              <w:t>,</w:t>
            </w:r>
            <w:r>
              <w:rPr>
                <w:bCs/>
                <w:sz w:val="21"/>
                <w:szCs w:val="21"/>
                <w:highlight w:val="none"/>
              </w:rPr>
              <w:t>2</w:t>
            </w:r>
            <w:r>
              <w:rPr>
                <w:rFonts w:hint="eastAsia"/>
                <w:bCs/>
                <w:sz w:val="21"/>
                <w:szCs w:val="21"/>
                <w:highlight w:val="none"/>
              </w:rPr>
              <w:t>,</w:t>
            </w:r>
            <w:r>
              <w:rPr>
                <w:bCs/>
                <w:sz w:val="21"/>
                <w:szCs w:val="21"/>
                <w:highlight w:val="none"/>
              </w:rPr>
              <w:t>1</w:t>
            </w:r>
            <w:r>
              <w:rPr>
                <w:rFonts w:hint="eastAsia"/>
                <w:bCs/>
                <w:sz w:val="21"/>
                <w:szCs w:val="21"/>
                <w:highlight w:val="none"/>
              </w:rPr>
              <w:t>,</w:t>
            </w:r>
            <w:r>
              <w:rPr>
                <w:bCs/>
                <w:sz w:val="21"/>
                <w:szCs w:val="21"/>
                <w:highlight w:val="none"/>
              </w:rPr>
              <w:t>0</w:t>
            </w:r>
            <w:r>
              <w:rPr>
                <w:rFonts w:hint="eastAsia"/>
                <w:bCs/>
                <w:sz w:val="21"/>
                <w:szCs w:val="21"/>
                <w:highlight w:val="none"/>
              </w:rPr>
              <w:t>）</w:t>
            </w:r>
          </w:p>
        </w:tc>
      </w:tr>
      <w:tr w14:paraId="62E73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2A4119E0">
            <w:pPr>
              <w:widowControl/>
              <w:spacing w:line="288" w:lineRule="auto"/>
              <w:jc w:val="left"/>
              <w:rPr>
                <w:b/>
                <w:bCs/>
                <w:sz w:val="21"/>
                <w:szCs w:val="21"/>
                <w:highlight w:val="none"/>
              </w:rPr>
            </w:pPr>
          </w:p>
        </w:tc>
        <w:tc>
          <w:tcPr>
            <w:tcW w:w="405" w:type="pct"/>
            <w:tcBorders>
              <w:top w:val="single" w:color="auto" w:sz="4" w:space="0"/>
              <w:left w:val="single" w:color="auto" w:sz="4" w:space="0"/>
              <w:bottom w:val="single" w:color="auto" w:sz="4" w:space="0"/>
              <w:right w:val="single" w:color="auto" w:sz="4" w:space="0"/>
            </w:tcBorders>
            <w:vAlign w:val="center"/>
          </w:tcPr>
          <w:p w14:paraId="1E8A811E">
            <w:pPr>
              <w:spacing w:line="288" w:lineRule="auto"/>
              <w:jc w:val="center"/>
              <w:rPr>
                <w:b/>
                <w:bCs/>
                <w:sz w:val="21"/>
                <w:szCs w:val="21"/>
                <w:highlight w:val="none"/>
              </w:rPr>
            </w:pPr>
            <w:r>
              <w:rPr>
                <w:rFonts w:hint="eastAsia"/>
                <w:b/>
                <w:bCs/>
                <w:sz w:val="21"/>
                <w:szCs w:val="21"/>
                <w:highlight w:val="none"/>
              </w:rPr>
              <w:t>5</w:t>
            </w:r>
          </w:p>
        </w:tc>
        <w:tc>
          <w:tcPr>
            <w:tcW w:w="3702" w:type="pct"/>
            <w:tcBorders>
              <w:top w:val="single" w:color="auto" w:sz="4" w:space="0"/>
              <w:left w:val="single" w:color="auto" w:sz="4" w:space="0"/>
              <w:bottom w:val="single" w:color="auto" w:sz="4" w:space="0"/>
              <w:right w:val="single" w:color="auto" w:sz="4" w:space="0"/>
            </w:tcBorders>
            <w:vAlign w:val="center"/>
          </w:tcPr>
          <w:p w14:paraId="42880E1A">
            <w:pPr>
              <w:widowControl/>
              <w:spacing w:line="288" w:lineRule="auto"/>
              <w:jc w:val="left"/>
              <w:rPr>
                <w:bCs/>
                <w:sz w:val="21"/>
                <w:szCs w:val="21"/>
                <w:highlight w:val="none"/>
              </w:rPr>
            </w:pPr>
            <w:r>
              <w:rPr>
                <w:rFonts w:hint="eastAsia"/>
                <w:bCs/>
                <w:sz w:val="21"/>
                <w:szCs w:val="21"/>
                <w:highlight w:val="none"/>
              </w:rPr>
              <w:t>【主观分】</w:t>
            </w:r>
          </w:p>
          <w:p w14:paraId="7891C9BE">
            <w:pPr>
              <w:widowControl/>
              <w:spacing w:line="288" w:lineRule="auto"/>
              <w:jc w:val="left"/>
              <w:rPr>
                <w:bCs/>
                <w:kern w:val="0"/>
                <w:sz w:val="21"/>
                <w:szCs w:val="21"/>
                <w:highlight w:val="none"/>
              </w:rPr>
            </w:pPr>
            <w:r>
              <w:rPr>
                <w:rFonts w:hint="eastAsia"/>
                <w:bCs/>
                <w:kern w:val="0"/>
                <w:sz w:val="21"/>
                <w:szCs w:val="21"/>
                <w:highlight w:val="none"/>
              </w:rPr>
              <w:t>投入的施工机械设备和检测设备合理、针对性强，施工机具进场计划安排和管理的保证措施全面、能够满足工程质量和进度的要求。</w:t>
            </w:r>
          </w:p>
          <w:p w14:paraId="0BF5771C">
            <w:pPr>
              <w:spacing w:line="288" w:lineRule="auto"/>
              <w:rPr>
                <w:sz w:val="21"/>
                <w:szCs w:val="21"/>
                <w:highlight w:val="none"/>
              </w:rPr>
            </w:pPr>
            <w:r>
              <w:rPr>
                <w:rFonts w:hint="eastAsia"/>
                <w:bCs/>
                <w:sz w:val="21"/>
                <w:szCs w:val="21"/>
                <w:highlight w:val="none"/>
              </w:rPr>
              <w:t>（评分范围：5,</w:t>
            </w:r>
            <w:r>
              <w:rPr>
                <w:bCs/>
                <w:sz w:val="21"/>
                <w:szCs w:val="21"/>
                <w:highlight w:val="none"/>
              </w:rPr>
              <w:t>4</w:t>
            </w:r>
            <w:r>
              <w:rPr>
                <w:rFonts w:hint="eastAsia"/>
                <w:bCs/>
                <w:sz w:val="21"/>
                <w:szCs w:val="21"/>
                <w:highlight w:val="none"/>
              </w:rPr>
              <w:t>,</w:t>
            </w:r>
            <w:r>
              <w:rPr>
                <w:bCs/>
                <w:sz w:val="21"/>
                <w:szCs w:val="21"/>
                <w:highlight w:val="none"/>
              </w:rPr>
              <w:t>3</w:t>
            </w:r>
            <w:r>
              <w:rPr>
                <w:rFonts w:hint="eastAsia"/>
                <w:bCs/>
                <w:sz w:val="21"/>
                <w:szCs w:val="21"/>
                <w:highlight w:val="none"/>
              </w:rPr>
              <w:t>,</w:t>
            </w:r>
            <w:r>
              <w:rPr>
                <w:bCs/>
                <w:sz w:val="21"/>
                <w:szCs w:val="21"/>
                <w:highlight w:val="none"/>
              </w:rPr>
              <w:t>2</w:t>
            </w:r>
            <w:r>
              <w:rPr>
                <w:rFonts w:hint="eastAsia"/>
                <w:bCs/>
                <w:sz w:val="21"/>
                <w:szCs w:val="21"/>
                <w:highlight w:val="none"/>
              </w:rPr>
              <w:t>,</w:t>
            </w:r>
            <w:r>
              <w:rPr>
                <w:bCs/>
                <w:sz w:val="21"/>
                <w:szCs w:val="21"/>
                <w:highlight w:val="none"/>
              </w:rPr>
              <w:t>1</w:t>
            </w:r>
            <w:r>
              <w:rPr>
                <w:rFonts w:hint="eastAsia"/>
                <w:bCs/>
                <w:sz w:val="21"/>
                <w:szCs w:val="21"/>
                <w:highlight w:val="none"/>
              </w:rPr>
              <w:t>,</w:t>
            </w:r>
            <w:r>
              <w:rPr>
                <w:bCs/>
                <w:sz w:val="21"/>
                <w:szCs w:val="21"/>
                <w:highlight w:val="none"/>
              </w:rPr>
              <w:t>0</w:t>
            </w:r>
            <w:r>
              <w:rPr>
                <w:rFonts w:hint="eastAsia"/>
                <w:bCs/>
                <w:sz w:val="21"/>
                <w:szCs w:val="21"/>
                <w:highlight w:val="none"/>
              </w:rPr>
              <w:t>）</w:t>
            </w:r>
          </w:p>
        </w:tc>
      </w:tr>
      <w:tr w14:paraId="23364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5AEA2ECC">
            <w:pPr>
              <w:widowControl/>
              <w:spacing w:line="288" w:lineRule="auto"/>
              <w:jc w:val="left"/>
              <w:rPr>
                <w:b/>
                <w:bCs/>
                <w:sz w:val="21"/>
                <w:szCs w:val="21"/>
                <w:highlight w:val="none"/>
              </w:rPr>
            </w:pPr>
          </w:p>
        </w:tc>
        <w:tc>
          <w:tcPr>
            <w:tcW w:w="405" w:type="pct"/>
            <w:tcBorders>
              <w:top w:val="single" w:color="auto" w:sz="4" w:space="0"/>
              <w:left w:val="single" w:color="auto" w:sz="4" w:space="0"/>
              <w:bottom w:val="single" w:color="auto" w:sz="4" w:space="0"/>
              <w:right w:val="single" w:color="auto" w:sz="4" w:space="0"/>
            </w:tcBorders>
            <w:vAlign w:val="center"/>
          </w:tcPr>
          <w:p w14:paraId="65123F78">
            <w:pPr>
              <w:spacing w:line="288" w:lineRule="auto"/>
              <w:jc w:val="center"/>
              <w:rPr>
                <w:b/>
                <w:bCs/>
                <w:sz w:val="21"/>
                <w:szCs w:val="21"/>
                <w:highlight w:val="none"/>
              </w:rPr>
            </w:pPr>
            <w:r>
              <w:rPr>
                <w:rFonts w:hint="eastAsia"/>
                <w:b/>
                <w:bCs/>
                <w:sz w:val="21"/>
                <w:szCs w:val="21"/>
                <w:highlight w:val="none"/>
              </w:rPr>
              <w:t>5</w:t>
            </w:r>
          </w:p>
        </w:tc>
        <w:tc>
          <w:tcPr>
            <w:tcW w:w="3702" w:type="pct"/>
            <w:tcBorders>
              <w:top w:val="single" w:color="auto" w:sz="4" w:space="0"/>
              <w:left w:val="single" w:color="auto" w:sz="4" w:space="0"/>
              <w:bottom w:val="single" w:color="auto" w:sz="4" w:space="0"/>
              <w:right w:val="single" w:color="auto" w:sz="4" w:space="0"/>
            </w:tcBorders>
            <w:vAlign w:val="center"/>
          </w:tcPr>
          <w:p w14:paraId="0819C600">
            <w:pPr>
              <w:widowControl/>
              <w:spacing w:line="288" w:lineRule="auto"/>
              <w:jc w:val="left"/>
              <w:rPr>
                <w:bCs/>
                <w:sz w:val="21"/>
                <w:szCs w:val="21"/>
                <w:highlight w:val="none"/>
              </w:rPr>
            </w:pPr>
            <w:r>
              <w:rPr>
                <w:rFonts w:hint="eastAsia"/>
                <w:bCs/>
                <w:sz w:val="21"/>
                <w:szCs w:val="21"/>
                <w:highlight w:val="none"/>
              </w:rPr>
              <w:t>【主观分】</w:t>
            </w:r>
          </w:p>
          <w:p w14:paraId="5FCD9496">
            <w:pPr>
              <w:spacing w:line="288" w:lineRule="auto"/>
              <w:ind w:right="-24" w:rightChars="-10"/>
              <w:jc w:val="left"/>
              <w:rPr>
                <w:bCs/>
                <w:sz w:val="21"/>
                <w:szCs w:val="21"/>
                <w:highlight w:val="none"/>
              </w:rPr>
            </w:pPr>
            <w:r>
              <w:rPr>
                <w:rFonts w:hint="eastAsia"/>
                <w:bCs/>
                <w:sz w:val="21"/>
                <w:szCs w:val="21"/>
                <w:highlight w:val="none"/>
              </w:rPr>
              <w:t>各专业工种的配置和劳动力的投入合理，满足施工需求，劳动力安排组织与管理措施切实可行，职责明确。</w:t>
            </w:r>
          </w:p>
          <w:p w14:paraId="6CCA2D3C">
            <w:pPr>
              <w:spacing w:line="288" w:lineRule="auto"/>
              <w:rPr>
                <w:sz w:val="21"/>
                <w:szCs w:val="21"/>
                <w:highlight w:val="none"/>
              </w:rPr>
            </w:pPr>
            <w:r>
              <w:rPr>
                <w:rFonts w:hint="eastAsia"/>
                <w:bCs/>
                <w:sz w:val="21"/>
                <w:szCs w:val="21"/>
                <w:highlight w:val="none"/>
              </w:rPr>
              <w:t>（评分范围：5,</w:t>
            </w:r>
            <w:r>
              <w:rPr>
                <w:bCs/>
                <w:sz w:val="21"/>
                <w:szCs w:val="21"/>
                <w:highlight w:val="none"/>
              </w:rPr>
              <w:t>4</w:t>
            </w:r>
            <w:r>
              <w:rPr>
                <w:rFonts w:hint="eastAsia"/>
                <w:bCs/>
                <w:sz w:val="21"/>
                <w:szCs w:val="21"/>
                <w:highlight w:val="none"/>
              </w:rPr>
              <w:t>,</w:t>
            </w:r>
            <w:r>
              <w:rPr>
                <w:bCs/>
                <w:sz w:val="21"/>
                <w:szCs w:val="21"/>
                <w:highlight w:val="none"/>
              </w:rPr>
              <w:t>3</w:t>
            </w:r>
            <w:r>
              <w:rPr>
                <w:rFonts w:hint="eastAsia"/>
                <w:bCs/>
                <w:sz w:val="21"/>
                <w:szCs w:val="21"/>
                <w:highlight w:val="none"/>
              </w:rPr>
              <w:t>,</w:t>
            </w:r>
            <w:r>
              <w:rPr>
                <w:bCs/>
                <w:sz w:val="21"/>
                <w:szCs w:val="21"/>
                <w:highlight w:val="none"/>
              </w:rPr>
              <w:t>2</w:t>
            </w:r>
            <w:r>
              <w:rPr>
                <w:rFonts w:hint="eastAsia"/>
                <w:bCs/>
                <w:sz w:val="21"/>
                <w:szCs w:val="21"/>
                <w:highlight w:val="none"/>
              </w:rPr>
              <w:t>,</w:t>
            </w:r>
            <w:r>
              <w:rPr>
                <w:bCs/>
                <w:sz w:val="21"/>
                <w:szCs w:val="21"/>
                <w:highlight w:val="none"/>
              </w:rPr>
              <w:t>1</w:t>
            </w:r>
            <w:r>
              <w:rPr>
                <w:rFonts w:hint="eastAsia"/>
                <w:bCs/>
                <w:sz w:val="21"/>
                <w:szCs w:val="21"/>
                <w:highlight w:val="none"/>
              </w:rPr>
              <w:t>,</w:t>
            </w:r>
            <w:r>
              <w:rPr>
                <w:bCs/>
                <w:sz w:val="21"/>
                <w:szCs w:val="21"/>
                <w:highlight w:val="none"/>
              </w:rPr>
              <w:t>0</w:t>
            </w:r>
            <w:r>
              <w:rPr>
                <w:rFonts w:hint="eastAsia"/>
                <w:bCs/>
                <w:sz w:val="21"/>
                <w:szCs w:val="21"/>
                <w:highlight w:val="none"/>
              </w:rPr>
              <w:t>）</w:t>
            </w:r>
          </w:p>
        </w:tc>
      </w:tr>
      <w:tr w14:paraId="70488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73A0D02E">
            <w:pPr>
              <w:widowControl/>
              <w:spacing w:line="288" w:lineRule="auto"/>
              <w:jc w:val="left"/>
              <w:rPr>
                <w:b/>
                <w:bCs/>
                <w:sz w:val="21"/>
                <w:szCs w:val="21"/>
                <w:highlight w:val="none"/>
              </w:rPr>
            </w:pPr>
          </w:p>
        </w:tc>
        <w:tc>
          <w:tcPr>
            <w:tcW w:w="405" w:type="pct"/>
            <w:tcBorders>
              <w:top w:val="single" w:color="auto" w:sz="4" w:space="0"/>
              <w:left w:val="single" w:color="auto" w:sz="4" w:space="0"/>
              <w:bottom w:val="single" w:color="auto" w:sz="4" w:space="0"/>
              <w:right w:val="single" w:color="auto" w:sz="4" w:space="0"/>
            </w:tcBorders>
            <w:vAlign w:val="center"/>
          </w:tcPr>
          <w:p w14:paraId="7B5F65B3">
            <w:pPr>
              <w:spacing w:line="288" w:lineRule="auto"/>
              <w:jc w:val="center"/>
              <w:rPr>
                <w:b/>
                <w:bCs/>
                <w:sz w:val="21"/>
                <w:szCs w:val="21"/>
                <w:highlight w:val="none"/>
              </w:rPr>
            </w:pPr>
            <w:r>
              <w:rPr>
                <w:rFonts w:hint="eastAsia"/>
                <w:b/>
                <w:bCs/>
                <w:sz w:val="21"/>
                <w:szCs w:val="21"/>
                <w:highlight w:val="none"/>
              </w:rPr>
              <w:t>5</w:t>
            </w:r>
          </w:p>
        </w:tc>
        <w:tc>
          <w:tcPr>
            <w:tcW w:w="3702" w:type="pct"/>
            <w:tcBorders>
              <w:top w:val="single" w:color="auto" w:sz="4" w:space="0"/>
              <w:left w:val="single" w:color="auto" w:sz="4" w:space="0"/>
              <w:bottom w:val="single" w:color="auto" w:sz="4" w:space="0"/>
              <w:right w:val="single" w:color="auto" w:sz="4" w:space="0"/>
            </w:tcBorders>
            <w:vAlign w:val="center"/>
          </w:tcPr>
          <w:p w14:paraId="15CD80F0">
            <w:pPr>
              <w:widowControl/>
              <w:spacing w:line="288" w:lineRule="auto"/>
              <w:jc w:val="left"/>
              <w:rPr>
                <w:bCs/>
                <w:sz w:val="21"/>
                <w:szCs w:val="21"/>
                <w:highlight w:val="none"/>
              </w:rPr>
            </w:pPr>
            <w:r>
              <w:rPr>
                <w:rFonts w:hint="eastAsia"/>
                <w:bCs/>
                <w:sz w:val="21"/>
                <w:szCs w:val="21"/>
                <w:highlight w:val="none"/>
              </w:rPr>
              <w:t>【主观分】</w:t>
            </w:r>
          </w:p>
          <w:p w14:paraId="07D822E0">
            <w:pPr>
              <w:widowControl/>
              <w:spacing w:line="288" w:lineRule="auto"/>
              <w:jc w:val="left"/>
              <w:rPr>
                <w:bCs/>
                <w:kern w:val="0"/>
                <w:sz w:val="21"/>
                <w:szCs w:val="21"/>
                <w:highlight w:val="none"/>
              </w:rPr>
            </w:pPr>
            <w:r>
              <w:rPr>
                <w:rFonts w:hint="eastAsia"/>
                <w:bCs/>
                <w:kern w:val="0"/>
                <w:sz w:val="21"/>
                <w:szCs w:val="21"/>
                <w:highlight w:val="none"/>
              </w:rPr>
              <w:t>工期</w:t>
            </w:r>
            <w:r>
              <w:rPr>
                <w:rFonts w:hint="eastAsia"/>
                <w:bCs/>
                <w:sz w:val="21"/>
                <w:szCs w:val="21"/>
                <w:highlight w:val="none"/>
              </w:rPr>
              <w:t>承诺有利于采购人及项目的实施，</w:t>
            </w:r>
            <w:r>
              <w:rPr>
                <w:rFonts w:hint="eastAsia"/>
                <w:bCs/>
                <w:kern w:val="0"/>
                <w:sz w:val="21"/>
                <w:szCs w:val="21"/>
                <w:highlight w:val="none"/>
              </w:rPr>
              <w:t>进度计划合理，</w:t>
            </w:r>
            <w:r>
              <w:rPr>
                <w:rFonts w:hint="eastAsia"/>
                <w:bCs/>
                <w:sz w:val="21"/>
                <w:szCs w:val="21"/>
                <w:highlight w:val="none"/>
              </w:rPr>
              <w:t>控制措施</w:t>
            </w:r>
            <w:r>
              <w:rPr>
                <w:rFonts w:hint="eastAsia"/>
                <w:bCs/>
                <w:kern w:val="0"/>
                <w:sz w:val="21"/>
                <w:szCs w:val="21"/>
                <w:highlight w:val="none"/>
              </w:rPr>
              <w:t>切实可行。</w:t>
            </w:r>
          </w:p>
          <w:p w14:paraId="09BE9AE2">
            <w:pPr>
              <w:spacing w:line="288" w:lineRule="auto"/>
              <w:rPr>
                <w:sz w:val="21"/>
                <w:szCs w:val="21"/>
                <w:highlight w:val="none"/>
              </w:rPr>
            </w:pPr>
            <w:r>
              <w:rPr>
                <w:rFonts w:hint="eastAsia"/>
                <w:bCs/>
                <w:sz w:val="21"/>
                <w:szCs w:val="21"/>
                <w:highlight w:val="none"/>
              </w:rPr>
              <w:t>（评分范围：5,</w:t>
            </w:r>
            <w:r>
              <w:rPr>
                <w:bCs/>
                <w:sz w:val="21"/>
                <w:szCs w:val="21"/>
                <w:highlight w:val="none"/>
              </w:rPr>
              <w:t>4</w:t>
            </w:r>
            <w:r>
              <w:rPr>
                <w:rFonts w:hint="eastAsia"/>
                <w:bCs/>
                <w:sz w:val="21"/>
                <w:szCs w:val="21"/>
                <w:highlight w:val="none"/>
              </w:rPr>
              <w:t>,</w:t>
            </w:r>
            <w:r>
              <w:rPr>
                <w:bCs/>
                <w:sz w:val="21"/>
                <w:szCs w:val="21"/>
                <w:highlight w:val="none"/>
              </w:rPr>
              <w:t>3</w:t>
            </w:r>
            <w:r>
              <w:rPr>
                <w:rFonts w:hint="eastAsia"/>
                <w:bCs/>
                <w:sz w:val="21"/>
                <w:szCs w:val="21"/>
                <w:highlight w:val="none"/>
              </w:rPr>
              <w:t>,</w:t>
            </w:r>
            <w:r>
              <w:rPr>
                <w:bCs/>
                <w:sz w:val="21"/>
                <w:szCs w:val="21"/>
                <w:highlight w:val="none"/>
              </w:rPr>
              <w:t>2</w:t>
            </w:r>
            <w:r>
              <w:rPr>
                <w:rFonts w:hint="eastAsia"/>
                <w:bCs/>
                <w:sz w:val="21"/>
                <w:szCs w:val="21"/>
                <w:highlight w:val="none"/>
              </w:rPr>
              <w:t>,</w:t>
            </w:r>
            <w:r>
              <w:rPr>
                <w:bCs/>
                <w:sz w:val="21"/>
                <w:szCs w:val="21"/>
                <w:highlight w:val="none"/>
              </w:rPr>
              <w:t>1</w:t>
            </w:r>
            <w:r>
              <w:rPr>
                <w:rFonts w:hint="eastAsia"/>
                <w:bCs/>
                <w:sz w:val="21"/>
                <w:szCs w:val="21"/>
                <w:highlight w:val="none"/>
              </w:rPr>
              <w:t>,</w:t>
            </w:r>
            <w:r>
              <w:rPr>
                <w:bCs/>
                <w:sz w:val="21"/>
                <w:szCs w:val="21"/>
                <w:highlight w:val="none"/>
              </w:rPr>
              <w:t>0</w:t>
            </w:r>
            <w:r>
              <w:rPr>
                <w:rFonts w:hint="eastAsia"/>
                <w:bCs/>
                <w:sz w:val="21"/>
                <w:szCs w:val="21"/>
                <w:highlight w:val="none"/>
              </w:rPr>
              <w:t>）</w:t>
            </w:r>
          </w:p>
        </w:tc>
      </w:tr>
      <w:tr w14:paraId="4659A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29D84BD6">
            <w:pPr>
              <w:widowControl/>
              <w:spacing w:line="288" w:lineRule="auto"/>
              <w:jc w:val="left"/>
              <w:rPr>
                <w:b/>
                <w:bCs/>
                <w:sz w:val="21"/>
                <w:szCs w:val="21"/>
                <w:highlight w:val="none"/>
              </w:rPr>
            </w:pPr>
          </w:p>
        </w:tc>
        <w:tc>
          <w:tcPr>
            <w:tcW w:w="405" w:type="pct"/>
            <w:tcBorders>
              <w:top w:val="single" w:color="auto" w:sz="4" w:space="0"/>
              <w:left w:val="single" w:color="auto" w:sz="4" w:space="0"/>
              <w:bottom w:val="single" w:color="auto" w:sz="4" w:space="0"/>
              <w:right w:val="single" w:color="auto" w:sz="4" w:space="0"/>
            </w:tcBorders>
            <w:vAlign w:val="center"/>
          </w:tcPr>
          <w:p w14:paraId="69E20B1C">
            <w:pPr>
              <w:spacing w:line="288" w:lineRule="auto"/>
              <w:jc w:val="center"/>
              <w:rPr>
                <w:b/>
                <w:bCs/>
                <w:sz w:val="21"/>
                <w:szCs w:val="21"/>
                <w:highlight w:val="none"/>
              </w:rPr>
            </w:pPr>
            <w:r>
              <w:rPr>
                <w:rFonts w:hint="eastAsia"/>
                <w:b/>
                <w:bCs/>
                <w:sz w:val="21"/>
                <w:szCs w:val="21"/>
                <w:highlight w:val="none"/>
              </w:rPr>
              <w:t>5</w:t>
            </w:r>
          </w:p>
        </w:tc>
        <w:tc>
          <w:tcPr>
            <w:tcW w:w="3702" w:type="pct"/>
            <w:tcBorders>
              <w:top w:val="single" w:color="auto" w:sz="4" w:space="0"/>
              <w:left w:val="single" w:color="auto" w:sz="4" w:space="0"/>
              <w:bottom w:val="single" w:color="auto" w:sz="4" w:space="0"/>
              <w:right w:val="single" w:color="auto" w:sz="4" w:space="0"/>
            </w:tcBorders>
            <w:vAlign w:val="center"/>
          </w:tcPr>
          <w:p w14:paraId="1FD11E1F">
            <w:pPr>
              <w:widowControl/>
              <w:spacing w:line="288" w:lineRule="auto"/>
              <w:jc w:val="left"/>
              <w:rPr>
                <w:bCs/>
                <w:sz w:val="21"/>
                <w:szCs w:val="21"/>
                <w:highlight w:val="none"/>
              </w:rPr>
            </w:pPr>
            <w:r>
              <w:rPr>
                <w:rFonts w:hint="eastAsia"/>
                <w:bCs/>
                <w:sz w:val="21"/>
                <w:szCs w:val="21"/>
                <w:highlight w:val="none"/>
              </w:rPr>
              <w:t>【主观分】</w:t>
            </w:r>
          </w:p>
          <w:p w14:paraId="347D42C9">
            <w:pPr>
              <w:widowControl/>
              <w:spacing w:line="288" w:lineRule="auto"/>
              <w:jc w:val="left"/>
              <w:rPr>
                <w:bCs/>
                <w:kern w:val="0"/>
                <w:sz w:val="21"/>
                <w:szCs w:val="21"/>
                <w:highlight w:val="none"/>
              </w:rPr>
            </w:pPr>
            <w:r>
              <w:rPr>
                <w:rFonts w:hint="eastAsia"/>
                <w:bCs/>
                <w:kern w:val="0"/>
                <w:sz w:val="21"/>
                <w:szCs w:val="21"/>
                <w:highlight w:val="none"/>
              </w:rPr>
              <w:t>针对学校特殊施工环境需要采取的安全管理、降噪和降低扬尘的施工技术和组织措施合理可行。</w:t>
            </w:r>
          </w:p>
          <w:p w14:paraId="4477E359">
            <w:pPr>
              <w:spacing w:line="288" w:lineRule="auto"/>
              <w:rPr>
                <w:sz w:val="21"/>
                <w:szCs w:val="21"/>
                <w:highlight w:val="none"/>
              </w:rPr>
            </w:pPr>
            <w:r>
              <w:rPr>
                <w:rFonts w:hint="eastAsia"/>
                <w:bCs/>
                <w:sz w:val="21"/>
                <w:szCs w:val="21"/>
                <w:highlight w:val="none"/>
              </w:rPr>
              <w:t>（评分范围：5,</w:t>
            </w:r>
            <w:r>
              <w:rPr>
                <w:bCs/>
                <w:sz w:val="21"/>
                <w:szCs w:val="21"/>
                <w:highlight w:val="none"/>
              </w:rPr>
              <w:t>4</w:t>
            </w:r>
            <w:r>
              <w:rPr>
                <w:rFonts w:hint="eastAsia"/>
                <w:bCs/>
                <w:sz w:val="21"/>
                <w:szCs w:val="21"/>
                <w:highlight w:val="none"/>
              </w:rPr>
              <w:t>,</w:t>
            </w:r>
            <w:r>
              <w:rPr>
                <w:bCs/>
                <w:sz w:val="21"/>
                <w:szCs w:val="21"/>
                <w:highlight w:val="none"/>
              </w:rPr>
              <w:t>3</w:t>
            </w:r>
            <w:r>
              <w:rPr>
                <w:rFonts w:hint="eastAsia"/>
                <w:bCs/>
                <w:sz w:val="21"/>
                <w:szCs w:val="21"/>
                <w:highlight w:val="none"/>
              </w:rPr>
              <w:t>,</w:t>
            </w:r>
            <w:r>
              <w:rPr>
                <w:bCs/>
                <w:sz w:val="21"/>
                <w:szCs w:val="21"/>
                <w:highlight w:val="none"/>
              </w:rPr>
              <w:t>2</w:t>
            </w:r>
            <w:r>
              <w:rPr>
                <w:rFonts w:hint="eastAsia"/>
                <w:bCs/>
                <w:sz w:val="21"/>
                <w:szCs w:val="21"/>
                <w:highlight w:val="none"/>
              </w:rPr>
              <w:t>,</w:t>
            </w:r>
            <w:r>
              <w:rPr>
                <w:bCs/>
                <w:sz w:val="21"/>
                <w:szCs w:val="21"/>
                <w:highlight w:val="none"/>
              </w:rPr>
              <w:t>1</w:t>
            </w:r>
            <w:r>
              <w:rPr>
                <w:rFonts w:hint="eastAsia"/>
                <w:bCs/>
                <w:sz w:val="21"/>
                <w:szCs w:val="21"/>
                <w:highlight w:val="none"/>
              </w:rPr>
              <w:t>,</w:t>
            </w:r>
            <w:r>
              <w:rPr>
                <w:bCs/>
                <w:sz w:val="21"/>
                <w:szCs w:val="21"/>
                <w:highlight w:val="none"/>
              </w:rPr>
              <w:t>0</w:t>
            </w:r>
            <w:r>
              <w:rPr>
                <w:rFonts w:hint="eastAsia"/>
                <w:bCs/>
                <w:sz w:val="21"/>
                <w:szCs w:val="21"/>
                <w:highlight w:val="none"/>
              </w:rPr>
              <w:t>）</w:t>
            </w:r>
          </w:p>
        </w:tc>
      </w:tr>
      <w:tr w14:paraId="77587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7983083D">
            <w:pPr>
              <w:widowControl/>
              <w:spacing w:line="288" w:lineRule="auto"/>
              <w:jc w:val="left"/>
              <w:rPr>
                <w:b/>
                <w:bCs/>
                <w:sz w:val="21"/>
                <w:szCs w:val="21"/>
                <w:highlight w:val="none"/>
              </w:rPr>
            </w:pPr>
          </w:p>
        </w:tc>
        <w:tc>
          <w:tcPr>
            <w:tcW w:w="405" w:type="pct"/>
            <w:tcBorders>
              <w:top w:val="single" w:color="auto" w:sz="4" w:space="0"/>
              <w:left w:val="single" w:color="auto" w:sz="4" w:space="0"/>
              <w:bottom w:val="single" w:color="auto" w:sz="4" w:space="0"/>
              <w:right w:val="single" w:color="auto" w:sz="4" w:space="0"/>
            </w:tcBorders>
            <w:vAlign w:val="center"/>
          </w:tcPr>
          <w:p w14:paraId="32DFFFED">
            <w:pPr>
              <w:spacing w:line="288" w:lineRule="auto"/>
              <w:jc w:val="center"/>
              <w:rPr>
                <w:b/>
                <w:bCs/>
                <w:sz w:val="21"/>
                <w:szCs w:val="21"/>
                <w:highlight w:val="none"/>
              </w:rPr>
            </w:pPr>
            <w:r>
              <w:rPr>
                <w:rFonts w:hint="eastAsia"/>
                <w:b/>
                <w:bCs/>
                <w:sz w:val="21"/>
                <w:szCs w:val="21"/>
                <w:highlight w:val="none"/>
              </w:rPr>
              <w:t>4</w:t>
            </w:r>
          </w:p>
        </w:tc>
        <w:tc>
          <w:tcPr>
            <w:tcW w:w="3702" w:type="pct"/>
            <w:tcBorders>
              <w:top w:val="single" w:color="auto" w:sz="4" w:space="0"/>
              <w:left w:val="single" w:color="auto" w:sz="4" w:space="0"/>
              <w:bottom w:val="single" w:color="auto" w:sz="4" w:space="0"/>
              <w:right w:val="single" w:color="auto" w:sz="4" w:space="0"/>
            </w:tcBorders>
            <w:vAlign w:val="center"/>
          </w:tcPr>
          <w:p w14:paraId="5669F300">
            <w:pPr>
              <w:widowControl/>
              <w:spacing w:line="288" w:lineRule="auto"/>
              <w:jc w:val="left"/>
              <w:rPr>
                <w:bCs/>
                <w:sz w:val="21"/>
                <w:szCs w:val="21"/>
                <w:highlight w:val="none"/>
              </w:rPr>
            </w:pPr>
            <w:r>
              <w:rPr>
                <w:rFonts w:hint="eastAsia"/>
                <w:bCs/>
                <w:sz w:val="21"/>
                <w:szCs w:val="21"/>
                <w:highlight w:val="none"/>
              </w:rPr>
              <w:t>【主观分】</w:t>
            </w:r>
          </w:p>
          <w:p w14:paraId="399C20EA">
            <w:pPr>
              <w:widowControl/>
              <w:spacing w:line="288" w:lineRule="auto"/>
              <w:jc w:val="left"/>
              <w:rPr>
                <w:bCs/>
                <w:kern w:val="0"/>
                <w:sz w:val="21"/>
                <w:szCs w:val="21"/>
                <w:highlight w:val="none"/>
              </w:rPr>
            </w:pPr>
            <w:r>
              <w:rPr>
                <w:rFonts w:hint="eastAsia"/>
                <w:bCs/>
                <w:kern w:val="0"/>
                <w:sz w:val="21"/>
                <w:szCs w:val="21"/>
                <w:highlight w:val="none"/>
              </w:rPr>
              <w:t>安全、文明施工的保证措施科学、合理、到位。</w:t>
            </w:r>
          </w:p>
          <w:p w14:paraId="35A789A6">
            <w:pPr>
              <w:spacing w:line="288" w:lineRule="auto"/>
              <w:rPr>
                <w:bCs/>
                <w:sz w:val="21"/>
                <w:szCs w:val="21"/>
                <w:highlight w:val="none"/>
              </w:rPr>
            </w:pPr>
            <w:r>
              <w:rPr>
                <w:rFonts w:hint="eastAsia"/>
                <w:bCs/>
                <w:sz w:val="21"/>
                <w:szCs w:val="21"/>
                <w:highlight w:val="none"/>
              </w:rPr>
              <w:t>（评分范围：</w:t>
            </w:r>
            <w:r>
              <w:rPr>
                <w:bCs/>
                <w:sz w:val="21"/>
                <w:szCs w:val="21"/>
                <w:highlight w:val="none"/>
              </w:rPr>
              <w:t>4</w:t>
            </w:r>
            <w:r>
              <w:rPr>
                <w:rFonts w:hint="eastAsia"/>
                <w:bCs/>
                <w:sz w:val="21"/>
                <w:szCs w:val="21"/>
                <w:highlight w:val="none"/>
              </w:rPr>
              <w:t>,</w:t>
            </w:r>
            <w:r>
              <w:rPr>
                <w:bCs/>
                <w:sz w:val="21"/>
                <w:szCs w:val="21"/>
                <w:highlight w:val="none"/>
              </w:rPr>
              <w:t>3</w:t>
            </w:r>
            <w:r>
              <w:rPr>
                <w:rFonts w:hint="eastAsia"/>
                <w:bCs/>
                <w:sz w:val="21"/>
                <w:szCs w:val="21"/>
                <w:highlight w:val="none"/>
              </w:rPr>
              <w:t>,</w:t>
            </w:r>
            <w:r>
              <w:rPr>
                <w:bCs/>
                <w:sz w:val="21"/>
                <w:szCs w:val="21"/>
                <w:highlight w:val="none"/>
              </w:rPr>
              <w:t>2</w:t>
            </w:r>
            <w:r>
              <w:rPr>
                <w:rFonts w:hint="eastAsia"/>
                <w:bCs/>
                <w:sz w:val="21"/>
                <w:szCs w:val="21"/>
                <w:highlight w:val="none"/>
              </w:rPr>
              <w:t>,</w:t>
            </w:r>
            <w:r>
              <w:rPr>
                <w:bCs/>
                <w:sz w:val="21"/>
                <w:szCs w:val="21"/>
                <w:highlight w:val="none"/>
              </w:rPr>
              <w:t>1</w:t>
            </w:r>
            <w:r>
              <w:rPr>
                <w:rFonts w:hint="eastAsia"/>
                <w:bCs/>
                <w:sz w:val="21"/>
                <w:szCs w:val="21"/>
                <w:highlight w:val="none"/>
              </w:rPr>
              <w:t>,</w:t>
            </w:r>
            <w:r>
              <w:rPr>
                <w:bCs/>
                <w:sz w:val="21"/>
                <w:szCs w:val="21"/>
                <w:highlight w:val="none"/>
              </w:rPr>
              <w:t>0</w:t>
            </w:r>
            <w:r>
              <w:rPr>
                <w:rFonts w:hint="eastAsia"/>
                <w:bCs/>
                <w:sz w:val="21"/>
                <w:szCs w:val="21"/>
                <w:highlight w:val="none"/>
              </w:rPr>
              <w:t>）</w:t>
            </w:r>
          </w:p>
        </w:tc>
      </w:tr>
      <w:tr w14:paraId="77AD9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18632801">
            <w:pPr>
              <w:widowControl/>
              <w:spacing w:line="288" w:lineRule="auto"/>
              <w:jc w:val="left"/>
              <w:rPr>
                <w:b/>
                <w:bCs/>
                <w:sz w:val="21"/>
                <w:szCs w:val="21"/>
                <w:highlight w:val="none"/>
              </w:rPr>
            </w:pPr>
          </w:p>
        </w:tc>
        <w:tc>
          <w:tcPr>
            <w:tcW w:w="405" w:type="pct"/>
            <w:tcBorders>
              <w:top w:val="single" w:color="auto" w:sz="4" w:space="0"/>
              <w:left w:val="single" w:color="auto" w:sz="4" w:space="0"/>
              <w:bottom w:val="single" w:color="auto" w:sz="4" w:space="0"/>
              <w:right w:val="single" w:color="auto" w:sz="4" w:space="0"/>
            </w:tcBorders>
            <w:vAlign w:val="center"/>
          </w:tcPr>
          <w:p w14:paraId="2F0276AC">
            <w:pPr>
              <w:spacing w:line="288" w:lineRule="auto"/>
              <w:jc w:val="center"/>
              <w:rPr>
                <w:b/>
                <w:bCs/>
                <w:sz w:val="21"/>
                <w:szCs w:val="21"/>
                <w:highlight w:val="none"/>
              </w:rPr>
            </w:pPr>
            <w:r>
              <w:rPr>
                <w:rFonts w:hint="eastAsia"/>
                <w:b/>
                <w:bCs/>
                <w:sz w:val="21"/>
                <w:szCs w:val="21"/>
                <w:highlight w:val="none"/>
              </w:rPr>
              <w:t>5</w:t>
            </w:r>
          </w:p>
        </w:tc>
        <w:tc>
          <w:tcPr>
            <w:tcW w:w="3702" w:type="pct"/>
            <w:tcBorders>
              <w:top w:val="single" w:color="auto" w:sz="4" w:space="0"/>
              <w:left w:val="single" w:color="auto" w:sz="4" w:space="0"/>
              <w:bottom w:val="single" w:color="auto" w:sz="4" w:space="0"/>
              <w:right w:val="single" w:color="auto" w:sz="4" w:space="0"/>
            </w:tcBorders>
            <w:vAlign w:val="center"/>
          </w:tcPr>
          <w:p w14:paraId="0C8F62D4">
            <w:pPr>
              <w:widowControl/>
              <w:spacing w:line="288" w:lineRule="auto"/>
              <w:jc w:val="left"/>
              <w:rPr>
                <w:bCs/>
                <w:sz w:val="21"/>
                <w:szCs w:val="21"/>
                <w:highlight w:val="none"/>
              </w:rPr>
            </w:pPr>
            <w:r>
              <w:rPr>
                <w:rFonts w:hint="eastAsia"/>
                <w:bCs/>
                <w:sz w:val="21"/>
                <w:szCs w:val="21"/>
                <w:highlight w:val="none"/>
              </w:rPr>
              <w:t>【主观分】</w:t>
            </w:r>
          </w:p>
          <w:p w14:paraId="73CF1749">
            <w:pPr>
              <w:spacing w:line="288" w:lineRule="auto"/>
              <w:rPr>
                <w:bCs/>
                <w:sz w:val="21"/>
                <w:szCs w:val="21"/>
                <w:highlight w:val="none"/>
              </w:rPr>
            </w:pPr>
            <w:r>
              <w:rPr>
                <w:rFonts w:hint="eastAsia"/>
                <w:bCs/>
                <w:sz w:val="21"/>
                <w:szCs w:val="21"/>
                <w:highlight w:val="none"/>
              </w:rPr>
              <w:t>技术组织措施、现场质量控制和支持方案完善。</w:t>
            </w:r>
          </w:p>
          <w:p w14:paraId="6ABD352B">
            <w:pPr>
              <w:spacing w:line="288" w:lineRule="auto"/>
              <w:rPr>
                <w:sz w:val="21"/>
                <w:szCs w:val="21"/>
                <w:highlight w:val="none"/>
              </w:rPr>
            </w:pPr>
            <w:r>
              <w:rPr>
                <w:rFonts w:hint="eastAsia"/>
                <w:bCs/>
                <w:sz w:val="21"/>
                <w:szCs w:val="21"/>
                <w:highlight w:val="none"/>
              </w:rPr>
              <w:t>（评分范围：5,</w:t>
            </w:r>
            <w:r>
              <w:rPr>
                <w:bCs/>
                <w:sz w:val="21"/>
                <w:szCs w:val="21"/>
                <w:highlight w:val="none"/>
              </w:rPr>
              <w:t>4</w:t>
            </w:r>
            <w:r>
              <w:rPr>
                <w:rFonts w:hint="eastAsia"/>
                <w:bCs/>
                <w:sz w:val="21"/>
                <w:szCs w:val="21"/>
                <w:highlight w:val="none"/>
              </w:rPr>
              <w:t>,</w:t>
            </w:r>
            <w:r>
              <w:rPr>
                <w:bCs/>
                <w:sz w:val="21"/>
                <w:szCs w:val="21"/>
                <w:highlight w:val="none"/>
              </w:rPr>
              <w:t>3</w:t>
            </w:r>
            <w:r>
              <w:rPr>
                <w:rFonts w:hint="eastAsia"/>
                <w:bCs/>
                <w:sz w:val="21"/>
                <w:szCs w:val="21"/>
                <w:highlight w:val="none"/>
              </w:rPr>
              <w:t>,</w:t>
            </w:r>
            <w:r>
              <w:rPr>
                <w:bCs/>
                <w:sz w:val="21"/>
                <w:szCs w:val="21"/>
                <w:highlight w:val="none"/>
              </w:rPr>
              <w:t>2</w:t>
            </w:r>
            <w:r>
              <w:rPr>
                <w:rFonts w:hint="eastAsia"/>
                <w:bCs/>
                <w:sz w:val="21"/>
                <w:szCs w:val="21"/>
                <w:highlight w:val="none"/>
              </w:rPr>
              <w:t>,</w:t>
            </w:r>
            <w:r>
              <w:rPr>
                <w:bCs/>
                <w:sz w:val="21"/>
                <w:szCs w:val="21"/>
                <w:highlight w:val="none"/>
              </w:rPr>
              <w:t>1</w:t>
            </w:r>
            <w:r>
              <w:rPr>
                <w:rFonts w:hint="eastAsia"/>
                <w:bCs/>
                <w:sz w:val="21"/>
                <w:szCs w:val="21"/>
                <w:highlight w:val="none"/>
              </w:rPr>
              <w:t>,</w:t>
            </w:r>
            <w:r>
              <w:rPr>
                <w:bCs/>
                <w:sz w:val="21"/>
                <w:szCs w:val="21"/>
                <w:highlight w:val="none"/>
              </w:rPr>
              <w:t>0</w:t>
            </w:r>
            <w:r>
              <w:rPr>
                <w:rFonts w:hint="eastAsia"/>
                <w:bCs/>
                <w:sz w:val="21"/>
                <w:szCs w:val="21"/>
                <w:highlight w:val="none"/>
              </w:rPr>
              <w:t>）</w:t>
            </w:r>
          </w:p>
        </w:tc>
      </w:tr>
      <w:tr w14:paraId="45525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589ED4C7">
            <w:pPr>
              <w:widowControl/>
              <w:spacing w:line="288" w:lineRule="auto"/>
              <w:jc w:val="left"/>
              <w:rPr>
                <w:b/>
                <w:bCs/>
                <w:sz w:val="21"/>
                <w:szCs w:val="21"/>
                <w:highlight w:val="none"/>
              </w:rPr>
            </w:pPr>
          </w:p>
        </w:tc>
        <w:tc>
          <w:tcPr>
            <w:tcW w:w="405" w:type="pct"/>
            <w:tcBorders>
              <w:top w:val="single" w:color="auto" w:sz="4" w:space="0"/>
              <w:left w:val="single" w:color="auto" w:sz="4" w:space="0"/>
              <w:bottom w:val="single" w:color="auto" w:sz="4" w:space="0"/>
              <w:right w:val="single" w:color="auto" w:sz="4" w:space="0"/>
            </w:tcBorders>
            <w:vAlign w:val="center"/>
          </w:tcPr>
          <w:p w14:paraId="6055C51C">
            <w:pPr>
              <w:spacing w:line="288" w:lineRule="auto"/>
              <w:jc w:val="center"/>
              <w:rPr>
                <w:b/>
                <w:bCs/>
                <w:sz w:val="21"/>
                <w:szCs w:val="21"/>
                <w:highlight w:val="none"/>
              </w:rPr>
            </w:pPr>
            <w:r>
              <w:rPr>
                <w:rFonts w:hint="eastAsia"/>
                <w:b/>
                <w:bCs/>
                <w:sz w:val="21"/>
                <w:szCs w:val="21"/>
                <w:highlight w:val="none"/>
              </w:rPr>
              <w:t>5</w:t>
            </w:r>
          </w:p>
        </w:tc>
        <w:tc>
          <w:tcPr>
            <w:tcW w:w="3702" w:type="pct"/>
            <w:tcBorders>
              <w:top w:val="single" w:color="auto" w:sz="4" w:space="0"/>
              <w:left w:val="single" w:color="auto" w:sz="4" w:space="0"/>
              <w:bottom w:val="single" w:color="auto" w:sz="4" w:space="0"/>
              <w:right w:val="single" w:color="auto" w:sz="4" w:space="0"/>
            </w:tcBorders>
            <w:vAlign w:val="center"/>
          </w:tcPr>
          <w:p w14:paraId="5577B5D0">
            <w:pPr>
              <w:widowControl/>
              <w:spacing w:line="288" w:lineRule="auto"/>
              <w:jc w:val="left"/>
              <w:rPr>
                <w:bCs/>
                <w:sz w:val="21"/>
                <w:szCs w:val="21"/>
                <w:highlight w:val="none"/>
              </w:rPr>
            </w:pPr>
            <w:r>
              <w:rPr>
                <w:rFonts w:hint="eastAsia"/>
                <w:bCs/>
                <w:sz w:val="21"/>
                <w:szCs w:val="21"/>
                <w:highlight w:val="none"/>
              </w:rPr>
              <w:t>【主观分】</w:t>
            </w:r>
          </w:p>
          <w:p w14:paraId="6C86C2F4">
            <w:pPr>
              <w:widowControl/>
              <w:spacing w:line="288" w:lineRule="auto"/>
              <w:jc w:val="left"/>
              <w:rPr>
                <w:bCs/>
                <w:kern w:val="0"/>
                <w:sz w:val="21"/>
                <w:szCs w:val="21"/>
                <w:highlight w:val="none"/>
              </w:rPr>
            </w:pPr>
            <w:r>
              <w:rPr>
                <w:rFonts w:hint="eastAsia"/>
                <w:bCs/>
                <w:kern w:val="0"/>
                <w:sz w:val="21"/>
                <w:szCs w:val="21"/>
                <w:highlight w:val="none"/>
              </w:rPr>
              <w:t>材料的选用能完全满足项目的要求，供货计划能完全满足项目的进度要求，质量保证措施合理。</w:t>
            </w:r>
          </w:p>
          <w:p w14:paraId="08F1F50B">
            <w:pPr>
              <w:spacing w:line="288" w:lineRule="auto"/>
              <w:rPr>
                <w:sz w:val="21"/>
                <w:szCs w:val="21"/>
                <w:highlight w:val="none"/>
              </w:rPr>
            </w:pPr>
            <w:r>
              <w:rPr>
                <w:rFonts w:hint="eastAsia"/>
                <w:bCs/>
                <w:sz w:val="21"/>
                <w:szCs w:val="21"/>
                <w:highlight w:val="none"/>
              </w:rPr>
              <w:t>（评分范围：5,</w:t>
            </w:r>
            <w:r>
              <w:rPr>
                <w:bCs/>
                <w:sz w:val="21"/>
                <w:szCs w:val="21"/>
                <w:highlight w:val="none"/>
              </w:rPr>
              <w:t>4</w:t>
            </w:r>
            <w:r>
              <w:rPr>
                <w:rFonts w:hint="eastAsia"/>
                <w:bCs/>
                <w:sz w:val="21"/>
                <w:szCs w:val="21"/>
                <w:highlight w:val="none"/>
              </w:rPr>
              <w:t>,</w:t>
            </w:r>
            <w:r>
              <w:rPr>
                <w:bCs/>
                <w:sz w:val="21"/>
                <w:szCs w:val="21"/>
                <w:highlight w:val="none"/>
              </w:rPr>
              <w:t>3</w:t>
            </w:r>
            <w:r>
              <w:rPr>
                <w:rFonts w:hint="eastAsia"/>
                <w:bCs/>
                <w:sz w:val="21"/>
                <w:szCs w:val="21"/>
                <w:highlight w:val="none"/>
              </w:rPr>
              <w:t>,</w:t>
            </w:r>
            <w:r>
              <w:rPr>
                <w:bCs/>
                <w:sz w:val="21"/>
                <w:szCs w:val="21"/>
                <w:highlight w:val="none"/>
              </w:rPr>
              <w:t>2</w:t>
            </w:r>
            <w:r>
              <w:rPr>
                <w:rFonts w:hint="eastAsia"/>
                <w:bCs/>
                <w:sz w:val="21"/>
                <w:szCs w:val="21"/>
                <w:highlight w:val="none"/>
              </w:rPr>
              <w:t>,</w:t>
            </w:r>
            <w:r>
              <w:rPr>
                <w:bCs/>
                <w:sz w:val="21"/>
                <w:szCs w:val="21"/>
                <w:highlight w:val="none"/>
              </w:rPr>
              <w:t>1</w:t>
            </w:r>
            <w:r>
              <w:rPr>
                <w:rFonts w:hint="eastAsia"/>
                <w:bCs/>
                <w:sz w:val="21"/>
                <w:szCs w:val="21"/>
                <w:highlight w:val="none"/>
              </w:rPr>
              <w:t>,</w:t>
            </w:r>
            <w:r>
              <w:rPr>
                <w:bCs/>
                <w:sz w:val="21"/>
                <w:szCs w:val="21"/>
                <w:highlight w:val="none"/>
              </w:rPr>
              <w:t>0</w:t>
            </w:r>
            <w:r>
              <w:rPr>
                <w:rFonts w:hint="eastAsia"/>
                <w:bCs/>
                <w:sz w:val="21"/>
                <w:szCs w:val="21"/>
                <w:highlight w:val="none"/>
              </w:rPr>
              <w:t>）</w:t>
            </w:r>
          </w:p>
        </w:tc>
      </w:tr>
      <w:tr w14:paraId="25098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02FE2A4A">
            <w:pPr>
              <w:widowControl/>
              <w:spacing w:line="288" w:lineRule="auto"/>
              <w:jc w:val="left"/>
              <w:rPr>
                <w:b/>
                <w:bCs/>
                <w:sz w:val="21"/>
                <w:szCs w:val="21"/>
                <w:highlight w:val="none"/>
              </w:rPr>
            </w:pPr>
          </w:p>
        </w:tc>
        <w:tc>
          <w:tcPr>
            <w:tcW w:w="405" w:type="pct"/>
            <w:tcBorders>
              <w:top w:val="single" w:color="auto" w:sz="4" w:space="0"/>
              <w:left w:val="single" w:color="auto" w:sz="4" w:space="0"/>
              <w:bottom w:val="single" w:color="auto" w:sz="4" w:space="0"/>
              <w:right w:val="single" w:color="auto" w:sz="4" w:space="0"/>
            </w:tcBorders>
            <w:vAlign w:val="center"/>
          </w:tcPr>
          <w:p w14:paraId="6BA906D0">
            <w:pPr>
              <w:spacing w:line="288" w:lineRule="auto"/>
              <w:jc w:val="center"/>
              <w:rPr>
                <w:b/>
                <w:bCs/>
                <w:sz w:val="21"/>
                <w:szCs w:val="21"/>
                <w:highlight w:val="none"/>
              </w:rPr>
            </w:pPr>
            <w:r>
              <w:rPr>
                <w:rFonts w:hint="eastAsia"/>
                <w:b/>
                <w:bCs/>
                <w:sz w:val="21"/>
                <w:szCs w:val="21"/>
                <w:highlight w:val="none"/>
              </w:rPr>
              <w:t>5</w:t>
            </w:r>
          </w:p>
        </w:tc>
        <w:tc>
          <w:tcPr>
            <w:tcW w:w="3702" w:type="pct"/>
            <w:tcBorders>
              <w:top w:val="single" w:color="auto" w:sz="4" w:space="0"/>
              <w:left w:val="single" w:color="auto" w:sz="4" w:space="0"/>
              <w:bottom w:val="single" w:color="auto" w:sz="4" w:space="0"/>
              <w:right w:val="single" w:color="auto" w:sz="4" w:space="0"/>
            </w:tcBorders>
            <w:vAlign w:val="center"/>
          </w:tcPr>
          <w:p w14:paraId="4E7740AA">
            <w:pPr>
              <w:widowControl/>
              <w:spacing w:line="288" w:lineRule="auto"/>
              <w:jc w:val="left"/>
              <w:rPr>
                <w:bCs/>
                <w:sz w:val="21"/>
                <w:szCs w:val="21"/>
                <w:highlight w:val="none"/>
              </w:rPr>
            </w:pPr>
            <w:r>
              <w:rPr>
                <w:rFonts w:hint="eastAsia"/>
                <w:bCs/>
                <w:sz w:val="21"/>
                <w:szCs w:val="21"/>
                <w:highlight w:val="none"/>
              </w:rPr>
              <w:t>【主观分】</w:t>
            </w:r>
          </w:p>
          <w:p w14:paraId="4FF8A847">
            <w:pPr>
              <w:widowControl/>
              <w:spacing w:line="288" w:lineRule="auto"/>
              <w:jc w:val="left"/>
              <w:rPr>
                <w:bCs/>
                <w:sz w:val="21"/>
                <w:szCs w:val="21"/>
                <w:highlight w:val="none"/>
              </w:rPr>
            </w:pPr>
            <w:r>
              <w:rPr>
                <w:rFonts w:hint="eastAsia"/>
                <w:bCs/>
                <w:sz w:val="21"/>
                <w:szCs w:val="21"/>
                <w:highlight w:val="none"/>
              </w:rPr>
              <w:t>施工突发情况的应急</w:t>
            </w:r>
            <w:r>
              <w:rPr>
                <w:rFonts w:hint="eastAsia"/>
                <w:bCs/>
                <w:snapToGrid w:val="0"/>
                <w:kern w:val="0"/>
                <w:sz w:val="21"/>
                <w:szCs w:val="21"/>
                <w:highlight w:val="none"/>
              </w:rPr>
              <w:t>预案合理可行，</w:t>
            </w:r>
            <w:r>
              <w:rPr>
                <w:rFonts w:hint="eastAsia"/>
                <w:bCs/>
                <w:kern w:val="0"/>
                <w:sz w:val="21"/>
                <w:szCs w:val="21"/>
                <w:highlight w:val="none"/>
              </w:rPr>
              <w:t>方案完整，考虑全面。</w:t>
            </w:r>
          </w:p>
          <w:p w14:paraId="115C8290">
            <w:pPr>
              <w:spacing w:line="288" w:lineRule="auto"/>
              <w:rPr>
                <w:sz w:val="21"/>
                <w:szCs w:val="21"/>
                <w:highlight w:val="none"/>
              </w:rPr>
            </w:pPr>
            <w:r>
              <w:rPr>
                <w:rFonts w:hint="eastAsia"/>
                <w:bCs/>
                <w:sz w:val="21"/>
                <w:szCs w:val="21"/>
                <w:highlight w:val="none"/>
              </w:rPr>
              <w:t>（评分范围：5,</w:t>
            </w:r>
            <w:r>
              <w:rPr>
                <w:bCs/>
                <w:sz w:val="21"/>
                <w:szCs w:val="21"/>
                <w:highlight w:val="none"/>
              </w:rPr>
              <w:t>4</w:t>
            </w:r>
            <w:r>
              <w:rPr>
                <w:rFonts w:hint="eastAsia"/>
                <w:bCs/>
                <w:sz w:val="21"/>
                <w:szCs w:val="21"/>
                <w:highlight w:val="none"/>
              </w:rPr>
              <w:t>,</w:t>
            </w:r>
            <w:r>
              <w:rPr>
                <w:bCs/>
                <w:sz w:val="21"/>
                <w:szCs w:val="21"/>
                <w:highlight w:val="none"/>
              </w:rPr>
              <w:t>3</w:t>
            </w:r>
            <w:r>
              <w:rPr>
                <w:rFonts w:hint="eastAsia"/>
                <w:bCs/>
                <w:sz w:val="21"/>
                <w:szCs w:val="21"/>
                <w:highlight w:val="none"/>
              </w:rPr>
              <w:t>,</w:t>
            </w:r>
            <w:r>
              <w:rPr>
                <w:bCs/>
                <w:sz w:val="21"/>
                <w:szCs w:val="21"/>
                <w:highlight w:val="none"/>
              </w:rPr>
              <w:t>2</w:t>
            </w:r>
            <w:r>
              <w:rPr>
                <w:rFonts w:hint="eastAsia"/>
                <w:bCs/>
                <w:sz w:val="21"/>
                <w:szCs w:val="21"/>
                <w:highlight w:val="none"/>
              </w:rPr>
              <w:t>,</w:t>
            </w:r>
            <w:r>
              <w:rPr>
                <w:bCs/>
                <w:sz w:val="21"/>
                <w:szCs w:val="21"/>
                <w:highlight w:val="none"/>
              </w:rPr>
              <w:t>1</w:t>
            </w:r>
            <w:r>
              <w:rPr>
                <w:rFonts w:hint="eastAsia"/>
                <w:bCs/>
                <w:sz w:val="21"/>
                <w:szCs w:val="21"/>
                <w:highlight w:val="none"/>
              </w:rPr>
              <w:t>,</w:t>
            </w:r>
            <w:r>
              <w:rPr>
                <w:bCs/>
                <w:sz w:val="21"/>
                <w:szCs w:val="21"/>
                <w:highlight w:val="none"/>
              </w:rPr>
              <w:t>0</w:t>
            </w:r>
            <w:r>
              <w:rPr>
                <w:rFonts w:hint="eastAsia"/>
                <w:bCs/>
                <w:sz w:val="21"/>
                <w:szCs w:val="21"/>
                <w:highlight w:val="none"/>
              </w:rPr>
              <w:t>）</w:t>
            </w:r>
          </w:p>
        </w:tc>
      </w:tr>
      <w:tr w14:paraId="148DC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7AB91D8C">
            <w:pPr>
              <w:widowControl/>
              <w:spacing w:line="288" w:lineRule="auto"/>
              <w:jc w:val="left"/>
              <w:rPr>
                <w:b/>
                <w:bCs/>
                <w:sz w:val="21"/>
                <w:szCs w:val="21"/>
                <w:highlight w:val="none"/>
              </w:rPr>
            </w:pPr>
          </w:p>
        </w:tc>
        <w:tc>
          <w:tcPr>
            <w:tcW w:w="405" w:type="pct"/>
            <w:tcBorders>
              <w:top w:val="single" w:color="auto" w:sz="4" w:space="0"/>
              <w:left w:val="single" w:color="auto" w:sz="4" w:space="0"/>
              <w:bottom w:val="single" w:color="auto" w:sz="4" w:space="0"/>
              <w:right w:val="single" w:color="auto" w:sz="4" w:space="0"/>
            </w:tcBorders>
            <w:vAlign w:val="center"/>
          </w:tcPr>
          <w:p w14:paraId="2AAF8F74">
            <w:pPr>
              <w:spacing w:line="288" w:lineRule="auto"/>
              <w:jc w:val="center"/>
              <w:rPr>
                <w:b/>
                <w:bCs/>
                <w:sz w:val="21"/>
                <w:szCs w:val="21"/>
                <w:highlight w:val="none"/>
              </w:rPr>
            </w:pPr>
            <w:r>
              <w:rPr>
                <w:rFonts w:hint="eastAsia"/>
                <w:b/>
                <w:bCs/>
                <w:sz w:val="21"/>
                <w:szCs w:val="21"/>
                <w:highlight w:val="none"/>
              </w:rPr>
              <w:t>5</w:t>
            </w:r>
          </w:p>
        </w:tc>
        <w:tc>
          <w:tcPr>
            <w:tcW w:w="3702" w:type="pct"/>
            <w:tcBorders>
              <w:top w:val="single" w:color="auto" w:sz="4" w:space="0"/>
              <w:left w:val="single" w:color="auto" w:sz="4" w:space="0"/>
              <w:bottom w:val="single" w:color="auto" w:sz="4" w:space="0"/>
              <w:right w:val="single" w:color="auto" w:sz="4" w:space="0"/>
            </w:tcBorders>
            <w:vAlign w:val="center"/>
          </w:tcPr>
          <w:p w14:paraId="2C1F17E7">
            <w:pPr>
              <w:widowControl/>
              <w:spacing w:line="288" w:lineRule="auto"/>
              <w:jc w:val="left"/>
              <w:rPr>
                <w:bCs/>
                <w:sz w:val="21"/>
                <w:szCs w:val="21"/>
                <w:highlight w:val="none"/>
              </w:rPr>
            </w:pPr>
            <w:r>
              <w:rPr>
                <w:rFonts w:hint="eastAsia"/>
                <w:bCs/>
                <w:sz w:val="21"/>
                <w:szCs w:val="21"/>
                <w:highlight w:val="none"/>
              </w:rPr>
              <w:t>【主观分】</w:t>
            </w:r>
          </w:p>
          <w:p w14:paraId="3FE4CCB0">
            <w:pPr>
              <w:widowControl/>
              <w:spacing w:line="288" w:lineRule="auto"/>
              <w:jc w:val="left"/>
              <w:rPr>
                <w:bCs/>
                <w:sz w:val="21"/>
                <w:szCs w:val="21"/>
                <w:highlight w:val="none"/>
              </w:rPr>
            </w:pPr>
            <w:r>
              <w:rPr>
                <w:rFonts w:hint="eastAsia"/>
                <w:bCs/>
                <w:sz w:val="21"/>
                <w:szCs w:val="21"/>
                <w:highlight w:val="none"/>
              </w:rPr>
              <w:t>项目实施过程中针对成品保护和现有环境的各项措施</w:t>
            </w:r>
            <w:r>
              <w:rPr>
                <w:rFonts w:hint="eastAsia"/>
                <w:kern w:val="0"/>
                <w:sz w:val="21"/>
                <w:szCs w:val="21"/>
                <w:highlight w:val="none"/>
              </w:rPr>
              <w:t>完善、合理可行。</w:t>
            </w:r>
          </w:p>
          <w:p w14:paraId="478D58A0">
            <w:pPr>
              <w:widowControl/>
              <w:spacing w:line="288" w:lineRule="auto"/>
              <w:jc w:val="left"/>
              <w:rPr>
                <w:bCs/>
                <w:sz w:val="21"/>
                <w:szCs w:val="21"/>
                <w:highlight w:val="none"/>
              </w:rPr>
            </w:pPr>
            <w:r>
              <w:rPr>
                <w:rFonts w:hint="eastAsia"/>
                <w:bCs/>
                <w:sz w:val="21"/>
                <w:szCs w:val="21"/>
                <w:highlight w:val="none"/>
              </w:rPr>
              <w:t>（评分范围：5,</w:t>
            </w:r>
            <w:r>
              <w:rPr>
                <w:bCs/>
                <w:sz w:val="21"/>
                <w:szCs w:val="21"/>
                <w:highlight w:val="none"/>
              </w:rPr>
              <w:t>4</w:t>
            </w:r>
            <w:r>
              <w:rPr>
                <w:rFonts w:hint="eastAsia"/>
                <w:bCs/>
                <w:sz w:val="21"/>
                <w:szCs w:val="21"/>
                <w:highlight w:val="none"/>
              </w:rPr>
              <w:t>,</w:t>
            </w:r>
            <w:r>
              <w:rPr>
                <w:bCs/>
                <w:sz w:val="21"/>
                <w:szCs w:val="21"/>
                <w:highlight w:val="none"/>
              </w:rPr>
              <w:t>3</w:t>
            </w:r>
            <w:r>
              <w:rPr>
                <w:rFonts w:hint="eastAsia"/>
                <w:bCs/>
                <w:sz w:val="21"/>
                <w:szCs w:val="21"/>
                <w:highlight w:val="none"/>
              </w:rPr>
              <w:t>,</w:t>
            </w:r>
            <w:r>
              <w:rPr>
                <w:bCs/>
                <w:sz w:val="21"/>
                <w:szCs w:val="21"/>
                <w:highlight w:val="none"/>
              </w:rPr>
              <w:t>2</w:t>
            </w:r>
            <w:r>
              <w:rPr>
                <w:rFonts w:hint="eastAsia"/>
                <w:bCs/>
                <w:sz w:val="21"/>
                <w:szCs w:val="21"/>
                <w:highlight w:val="none"/>
              </w:rPr>
              <w:t>,</w:t>
            </w:r>
            <w:r>
              <w:rPr>
                <w:bCs/>
                <w:sz w:val="21"/>
                <w:szCs w:val="21"/>
                <w:highlight w:val="none"/>
              </w:rPr>
              <w:t>1</w:t>
            </w:r>
            <w:r>
              <w:rPr>
                <w:rFonts w:hint="eastAsia"/>
                <w:bCs/>
                <w:sz w:val="21"/>
                <w:szCs w:val="21"/>
                <w:highlight w:val="none"/>
              </w:rPr>
              <w:t>,</w:t>
            </w:r>
            <w:r>
              <w:rPr>
                <w:bCs/>
                <w:sz w:val="21"/>
                <w:szCs w:val="21"/>
                <w:highlight w:val="none"/>
              </w:rPr>
              <w:t>0</w:t>
            </w:r>
            <w:r>
              <w:rPr>
                <w:rFonts w:hint="eastAsia"/>
                <w:bCs/>
                <w:sz w:val="21"/>
                <w:szCs w:val="21"/>
                <w:highlight w:val="none"/>
              </w:rPr>
              <w:t>）</w:t>
            </w:r>
          </w:p>
        </w:tc>
      </w:tr>
      <w:tr w14:paraId="3CD44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2" w:type="pct"/>
            <w:vMerge w:val="restart"/>
            <w:tcBorders>
              <w:top w:val="single" w:color="auto" w:sz="4" w:space="0"/>
              <w:left w:val="single" w:color="auto" w:sz="4" w:space="0"/>
              <w:bottom w:val="single" w:color="auto" w:sz="4" w:space="0"/>
              <w:right w:val="single" w:color="auto" w:sz="4" w:space="0"/>
            </w:tcBorders>
            <w:vAlign w:val="center"/>
          </w:tcPr>
          <w:p w14:paraId="1D0D88F8">
            <w:pPr>
              <w:spacing w:line="288" w:lineRule="auto"/>
              <w:jc w:val="center"/>
              <w:rPr>
                <w:b/>
                <w:bCs/>
                <w:sz w:val="21"/>
                <w:szCs w:val="21"/>
                <w:highlight w:val="none"/>
              </w:rPr>
            </w:pPr>
            <w:r>
              <w:rPr>
                <w:rFonts w:hint="eastAsia"/>
                <w:b/>
                <w:bCs/>
                <w:sz w:val="21"/>
                <w:szCs w:val="21"/>
                <w:highlight w:val="none"/>
              </w:rPr>
              <w:t>拟派人员</w:t>
            </w:r>
          </w:p>
        </w:tc>
        <w:tc>
          <w:tcPr>
            <w:tcW w:w="405" w:type="pct"/>
            <w:tcBorders>
              <w:top w:val="single" w:color="auto" w:sz="4" w:space="0"/>
              <w:left w:val="single" w:color="auto" w:sz="4" w:space="0"/>
              <w:bottom w:val="single" w:color="auto" w:sz="4" w:space="0"/>
              <w:right w:val="single" w:color="auto" w:sz="4" w:space="0"/>
            </w:tcBorders>
            <w:vAlign w:val="center"/>
          </w:tcPr>
          <w:p w14:paraId="2B4C4832">
            <w:pPr>
              <w:spacing w:line="288" w:lineRule="auto"/>
              <w:jc w:val="center"/>
              <w:rPr>
                <w:b/>
                <w:bCs/>
                <w:sz w:val="21"/>
                <w:szCs w:val="21"/>
                <w:highlight w:val="none"/>
              </w:rPr>
            </w:pPr>
            <w:r>
              <w:rPr>
                <w:b/>
                <w:bCs/>
                <w:sz w:val="21"/>
                <w:szCs w:val="21"/>
                <w:highlight w:val="none"/>
              </w:rPr>
              <w:t>3</w:t>
            </w:r>
          </w:p>
        </w:tc>
        <w:tc>
          <w:tcPr>
            <w:tcW w:w="3702" w:type="pct"/>
            <w:tcBorders>
              <w:top w:val="single" w:color="auto" w:sz="4" w:space="0"/>
              <w:left w:val="single" w:color="auto" w:sz="4" w:space="0"/>
              <w:bottom w:val="single" w:color="auto" w:sz="4" w:space="0"/>
              <w:right w:val="single" w:color="auto" w:sz="4" w:space="0"/>
            </w:tcBorders>
            <w:vAlign w:val="center"/>
          </w:tcPr>
          <w:p w14:paraId="287A5F30">
            <w:pPr>
              <w:spacing w:line="288" w:lineRule="auto"/>
              <w:rPr>
                <w:sz w:val="21"/>
                <w:szCs w:val="21"/>
                <w:highlight w:val="none"/>
              </w:rPr>
            </w:pPr>
            <w:r>
              <w:rPr>
                <w:rFonts w:hint="eastAsia"/>
                <w:sz w:val="21"/>
                <w:szCs w:val="21"/>
                <w:highlight w:val="none"/>
              </w:rPr>
              <w:t>【客观分】</w:t>
            </w:r>
          </w:p>
          <w:p w14:paraId="79A270AD">
            <w:pPr>
              <w:snapToGrid w:val="0"/>
              <w:spacing w:line="288" w:lineRule="auto"/>
              <w:jc w:val="left"/>
              <w:rPr>
                <w:bCs/>
                <w:sz w:val="21"/>
                <w:szCs w:val="21"/>
                <w:highlight w:val="none"/>
              </w:rPr>
            </w:pPr>
            <w:r>
              <w:rPr>
                <w:rFonts w:hint="eastAsia"/>
                <w:bCs/>
                <w:sz w:val="21"/>
                <w:szCs w:val="21"/>
                <w:highlight w:val="none"/>
              </w:rPr>
              <w:t>1、拟派项目负责人202</w:t>
            </w:r>
            <w:r>
              <w:rPr>
                <w:bCs/>
                <w:sz w:val="21"/>
                <w:szCs w:val="21"/>
                <w:highlight w:val="none"/>
              </w:rPr>
              <w:t>1</w:t>
            </w:r>
            <w:r>
              <w:rPr>
                <w:rFonts w:hint="eastAsia"/>
                <w:bCs/>
                <w:sz w:val="21"/>
                <w:szCs w:val="21"/>
                <w:highlight w:val="none"/>
              </w:rPr>
              <w:t>年1月1日以来（时间以合同最终签署时间为准），具有同类项目业绩的，每提供一个合同得1.5分，最高得3分。</w:t>
            </w:r>
          </w:p>
          <w:p w14:paraId="67C99E8C">
            <w:pPr>
              <w:snapToGrid w:val="0"/>
              <w:spacing w:line="288" w:lineRule="auto"/>
              <w:jc w:val="left"/>
              <w:rPr>
                <w:b/>
                <w:bCs/>
                <w:sz w:val="21"/>
                <w:szCs w:val="21"/>
                <w:highlight w:val="none"/>
              </w:rPr>
            </w:pPr>
            <w:r>
              <w:rPr>
                <w:rFonts w:hint="eastAsia"/>
                <w:b/>
                <w:bCs/>
                <w:sz w:val="21"/>
                <w:szCs w:val="21"/>
                <w:highlight w:val="none"/>
              </w:rPr>
              <w:t>注：需提供供应商为项目负责人缴纳社保的证明材料（2023年1月（含）以后任意一月社保缴纳证明）、同类项目业绩合同扫描件并加盖供应商公章，如合同中未体现项目负责人的，需提供用户的证明材料，未按要求提供上述相关证明材料的不得分。（供应商提供合同须注明：供应商业绩证明材料或项目负责人业绩证明材料。未注明或无法判断的，按先供应商业绩，后项目负责人业绩计分）。</w:t>
            </w:r>
          </w:p>
        </w:tc>
      </w:tr>
      <w:tr w14:paraId="08BF5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2" w:type="pct"/>
            <w:vMerge w:val="continue"/>
            <w:tcBorders>
              <w:top w:val="single" w:color="auto" w:sz="4" w:space="0"/>
              <w:left w:val="single" w:color="auto" w:sz="4" w:space="0"/>
              <w:bottom w:val="single" w:color="auto" w:sz="4" w:space="0"/>
              <w:right w:val="single" w:color="auto" w:sz="4" w:space="0"/>
            </w:tcBorders>
            <w:vAlign w:val="center"/>
          </w:tcPr>
          <w:p w14:paraId="37499AC4">
            <w:pPr>
              <w:spacing w:line="288" w:lineRule="auto"/>
              <w:jc w:val="center"/>
              <w:rPr>
                <w:b/>
                <w:bCs/>
                <w:sz w:val="21"/>
                <w:szCs w:val="21"/>
                <w:highlight w:val="none"/>
              </w:rPr>
            </w:pPr>
          </w:p>
        </w:tc>
        <w:tc>
          <w:tcPr>
            <w:tcW w:w="405" w:type="pct"/>
            <w:tcBorders>
              <w:top w:val="single" w:color="auto" w:sz="4" w:space="0"/>
              <w:left w:val="single" w:color="auto" w:sz="4" w:space="0"/>
              <w:bottom w:val="single" w:color="auto" w:sz="4" w:space="0"/>
              <w:right w:val="single" w:color="auto" w:sz="4" w:space="0"/>
            </w:tcBorders>
            <w:vAlign w:val="center"/>
          </w:tcPr>
          <w:p w14:paraId="1DC322CD">
            <w:pPr>
              <w:spacing w:line="288" w:lineRule="auto"/>
              <w:jc w:val="center"/>
              <w:rPr>
                <w:b/>
                <w:bCs/>
                <w:sz w:val="21"/>
                <w:szCs w:val="21"/>
                <w:highlight w:val="none"/>
              </w:rPr>
            </w:pPr>
            <w:r>
              <w:rPr>
                <w:rFonts w:hint="eastAsia"/>
                <w:b/>
                <w:bCs/>
                <w:sz w:val="21"/>
                <w:szCs w:val="21"/>
                <w:highlight w:val="none"/>
              </w:rPr>
              <w:t>1</w:t>
            </w:r>
            <w:r>
              <w:rPr>
                <w:b/>
                <w:bCs/>
                <w:sz w:val="21"/>
                <w:szCs w:val="21"/>
                <w:highlight w:val="none"/>
              </w:rPr>
              <w:t>.5</w:t>
            </w:r>
          </w:p>
        </w:tc>
        <w:tc>
          <w:tcPr>
            <w:tcW w:w="3702" w:type="pct"/>
            <w:tcBorders>
              <w:top w:val="single" w:color="auto" w:sz="4" w:space="0"/>
              <w:left w:val="single" w:color="auto" w:sz="4" w:space="0"/>
              <w:bottom w:val="single" w:color="auto" w:sz="4" w:space="0"/>
              <w:right w:val="single" w:color="auto" w:sz="4" w:space="0"/>
            </w:tcBorders>
            <w:vAlign w:val="center"/>
          </w:tcPr>
          <w:p w14:paraId="621AE4E4">
            <w:pPr>
              <w:spacing w:line="288" w:lineRule="auto"/>
              <w:rPr>
                <w:sz w:val="21"/>
                <w:szCs w:val="21"/>
                <w:highlight w:val="none"/>
              </w:rPr>
            </w:pPr>
            <w:r>
              <w:rPr>
                <w:rFonts w:hint="eastAsia"/>
                <w:sz w:val="21"/>
                <w:szCs w:val="21"/>
                <w:highlight w:val="none"/>
              </w:rPr>
              <w:t>【客观分】</w:t>
            </w:r>
          </w:p>
          <w:p w14:paraId="3CCBF78A">
            <w:pPr>
              <w:snapToGrid w:val="0"/>
              <w:spacing w:line="288" w:lineRule="auto"/>
              <w:jc w:val="left"/>
              <w:rPr>
                <w:bCs/>
                <w:sz w:val="21"/>
                <w:szCs w:val="21"/>
                <w:highlight w:val="none"/>
              </w:rPr>
            </w:pPr>
            <w:r>
              <w:rPr>
                <w:rFonts w:hint="eastAsia"/>
                <w:bCs/>
                <w:sz w:val="21"/>
                <w:szCs w:val="21"/>
                <w:highlight w:val="none"/>
              </w:rPr>
              <w:t>2、技术负责人具有高级职称证书的得1.5分，否则不得分。</w:t>
            </w:r>
          </w:p>
          <w:p w14:paraId="77E43482">
            <w:pPr>
              <w:spacing w:line="288" w:lineRule="auto"/>
              <w:rPr>
                <w:sz w:val="21"/>
                <w:szCs w:val="21"/>
                <w:highlight w:val="none"/>
              </w:rPr>
            </w:pPr>
            <w:r>
              <w:rPr>
                <w:rFonts w:hint="eastAsia"/>
                <w:b/>
                <w:bCs/>
                <w:sz w:val="21"/>
                <w:szCs w:val="21"/>
                <w:highlight w:val="none"/>
              </w:rPr>
              <w:t>注：需提供供应商为技术负责人缴纳社保的证明材料（2023年1月（含）以后任意一月社保缴纳证明）、提供证书扫描件并加盖供应商公章，未按要求提供不得分。</w:t>
            </w:r>
          </w:p>
        </w:tc>
      </w:tr>
      <w:tr w14:paraId="2F6F2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2F30228E">
            <w:pPr>
              <w:widowControl/>
              <w:spacing w:line="288" w:lineRule="auto"/>
              <w:jc w:val="left"/>
              <w:rPr>
                <w:b/>
                <w:bCs/>
                <w:sz w:val="21"/>
                <w:szCs w:val="21"/>
                <w:highlight w:val="none"/>
              </w:rPr>
            </w:pPr>
          </w:p>
        </w:tc>
        <w:tc>
          <w:tcPr>
            <w:tcW w:w="405" w:type="pct"/>
            <w:tcBorders>
              <w:top w:val="single" w:color="auto" w:sz="4" w:space="0"/>
              <w:left w:val="single" w:color="auto" w:sz="4" w:space="0"/>
              <w:bottom w:val="single" w:color="auto" w:sz="4" w:space="0"/>
              <w:right w:val="single" w:color="auto" w:sz="4" w:space="0"/>
            </w:tcBorders>
            <w:vAlign w:val="center"/>
          </w:tcPr>
          <w:p w14:paraId="64AA7B33">
            <w:pPr>
              <w:spacing w:line="288" w:lineRule="auto"/>
              <w:jc w:val="center"/>
              <w:rPr>
                <w:b/>
                <w:bCs/>
                <w:sz w:val="21"/>
                <w:szCs w:val="21"/>
                <w:highlight w:val="none"/>
              </w:rPr>
            </w:pPr>
            <w:r>
              <w:rPr>
                <w:rFonts w:hint="eastAsia"/>
                <w:b/>
                <w:bCs/>
                <w:sz w:val="21"/>
                <w:szCs w:val="21"/>
                <w:highlight w:val="none"/>
              </w:rPr>
              <w:t>5</w:t>
            </w:r>
          </w:p>
        </w:tc>
        <w:tc>
          <w:tcPr>
            <w:tcW w:w="3702" w:type="pct"/>
            <w:tcBorders>
              <w:top w:val="single" w:color="auto" w:sz="4" w:space="0"/>
              <w:left w:val="single" w:color="auto" w:sz="4" w:space="0"/>
              <w:bottom w:val="single" w:color="auto" w:sz="4" w:space="0"/>
              <w:right w:val="single" w:color="auto" w:sz="4" w:space="0"/>
            </w:tcBorders>
            <w:vAlign w:val="center"/>
          </w:tcPr>
          <w:p w14:paraId="7B4536A7">
            <w:pPr>
              <w:spacing w:line="288" w:lineRule="auto"/>
              <w:rPr>
                <w:sz w:val="21"/>
                <w:szCs w:val="21"/>
                <w:highlight w:val="none"/>
              </w:rPr>
            </w:pPr>
            <w:r>
              <w:rPr>
                <w:rFonts w:hint="eastAsia"/>
                <w:sz w:val="21"/>
                <w:szCs w:val="21"/>
                <w:highlight w:val="none"/>
              </w:rPr>
              <w:t>【客观分】</w:t>
            </w:r>
          </w:p>
          <w:p w14:paraId="294EB0C9">
            <w:pPr>
              <w:snapToGrid w:val="0"/>
              <w:spacing w:line="288" w:lineRule="auto"/>
              <w:jc w:val="left"/>
              <w:rPr>
                <w:bCs/>
                <w:sz w:val="21"/>
                <w:szCs w:val="21"/>
                <w:highlight w:val="none"/>
              </w:rPr>
            </w:pPr>
            <w:r>
              <w:rPr>
                <w:rFonts w:hint="eastAsia"/>
                <w:bCs/>
                <w:sz w:val="21"/>
                <w:szCs w:val="21"/>
                <w:highlight w:val="none"/>
              </w:rPr>
              <w:t>3、拟派驻现场的项目组专业配置能否满足项目要求，组织机构是否合理，要求配置：施工员，质量员，安全员，材料员，资料员。每有一类得1分，最高得5分。</w:t>
            </w:r>
          </w:p>
          <w:p w14:paraId="4AE0DC45">
            <w:pPr>
              <w:snapToGrid w:val="0"/>
              <w:spacing w:line="288" w:lineRule="auto"/>
              <w:jc w:val="left"/>
              <w:rPr>
                <w:bCs/>
                <w:sz w:val="21"/>
                <w:szCs w:val="21"/>
                <w:highlight w:val="none"/>
              </w:rPr>
            </w:pPr>
            <w:r>
              <w:rPr>
                <w:rFonts w:hint="eastAsia"/>
                <w:b/>
                <w:bCs/>
                <w:sz w:val="21"/>
                <w:szCs w:val="21"/>
                <w:highlight w:val="none"/>
              </w:rPr>
              <w:t>注：需提供供应商为上述人员缴纳社保的证明材料（2023年1月（含）以后任意一月社保缴纳证明）、具体人员配置清单及相关证书扫描件，并加盖供应商公章，允许一人多证。</w:t>
            </w:r>
          </w:p>
        </w:tc>
      </w:tr>
      <w:tr w14:paraId="4DF5B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2" w:type="pct"/>
            <w:tcBorders>
              <w:top w:val="single" w:color="auto" w:sz="4" w:space="0"/>
              <w:left w:val="single" w:color="auto" w:sz="4" w:space="0"/>
              <w:bottom w:val="single" w:color="auto" w:sz="4" w:space="0"/>
              <w:right w:val="single" w:color="auto" w:sz="4" w:space="0"/>
            </w:tcBorders>
            <w:vAlign w:val="center"/>
          </w:tcPr>
          <w:p w14:paraId="56444FFA">
            <w:pPr>
              <w:spacing w:line="288" w:lineRule="auto"/>
              <w:jc w:val="center"/>
              <w:rPr>
                <w:b/>
                <w:bCs/>
                <w:sz w:val="21"/>
                <w:szCs w:val="21"/>
                <w:highlight w:val="none"/>
              </w:rPr>
            </w:pPr>
            <w:r>
              <w:rPr>
                <w:rFonts w:hint="eastAsia"/>
                <w:b/>
                <w:bCs/>
                <w:sz w:val="21"/>
                <w:szCs w:val="21"/>
                <w:highlight w:val="none"/>
              </w:rPr>
              <w:t>其它服务承诺</w:t>
            </w:r>
          </w:p>
        </w:tc>
        <w:tc>
          <w:tcPr>
            <w:tcW w:w="405" w:type="pct"/>
            <w:tcBorders>
              <w:top w:val="single" w:color="auto" w:sz="4" w:space="0"/>
              <w:left w:val="single" w:color="auto" w:sz="4" w:space="0"/>
              <w:bottom w:val="single" w:color="auto" w:sz="4" w:space="0"/>
              <w:right w:val="single" w:color="auto" w:sz="4" w:space="0"/>
            </w:tcBorders>
            <w:vAlign w:val="center"/>
          </w:tcPr>
          <w:p w14:paraId="15BD05D6">
            <w:pPr>
              <w:spacing w:line="288" w:lineRule="auto"/>
              <w:jc w:val="center"/>
              <w:rPr>
                <w:b/>
                <w:bCs/>
                <w:sz w:val="21"/>
                <w:szCs w:val="21"/>
                <w:highlight w:val="none"/>
              </w:rPr>
            </w:pPr>
            <w:r>
              <w:rPr>
                <w:rFonts w:hint="eastAsia"/>
                <w:b/>
                <w:bCs/>
                <w:sz w:val="21"/>
                <w:szCs w:val="21"/>
                <w:highlight w:val="none"/>
              </w:rPr>
              <w:t>3</w:t>
            </w:r>
          </w:p>
        </w:tc>
        <w:tc>
          <w:tcPr>
            <w:tcW w:w="3702" w:type="pct"/>
            <w:tcBorders>
              <w:top w:val="single" w:color="auto" w:sz="4" w:space="0"/>
              <w:left w:val="single" w:color="auto" w:sz="4" w:space="0"/>
              <w:bottom w:val="single" w:color="auto" w:sz="4" w:space="0"/>
              <w:right w:val="single" w:color="auto" w:sz="4" w:space="0"/>
            </w:tcBorders>
            <w:vAlign w:val="center"/>
          </w:tcPr>
          <w:p w14:paraId="0F959852">
            <w:pPr>
              <w:widowControl/>
              <w:spacing w:line="288" w:lineRule="auto"/>
              <w:jc w:val="left"/>
              <w:rPr>
                <w:bCs/>
                <w:sz w:val="21"/>
                <w:szCs w:val="21"/>
                <w:highlight w:val="none"/>
              </w:rPr>
            </w:pPr>
            <w:r>
              <w:rPr>
                <w:rFonts w:hint="eastAsia"/>
                <w:bCs/>
                <w:sz w:val="21"/>
                <w:szCs w:val="21"/>
                <w:highlight w:val="none"/>
              </w:rPr>
              <w:t>【主观分】</w:t>
            </w:r>
          </w:p>
          <w:p w14:paraId="79013064">
            <w:pPr>
              <w:widowControl/>
              <w:spacing w:line="288" w:lineRule="auto"/>
              <w:jc w:val="left"/>
              <w:rPr>
                <w:bCs/>
                <w:sz w:val="21"/>
                <w:szCs w:val="21"/>
                <w:highlight w:val="none"/>
              </w:rPr>
            </w:pPr>
            <w:r>
              <w:rPr>
                <w:rFonts w:hint="eastAsia"/>
                <w:bCs/>
                <w:sz w:val="21"/>
                <w:szCs w:val="21"/>
                <w:highlight w:val="none"/>
              </w:rPr>
              <w:t>供应商提供工程交付使用后的保修服务和其它服务承诺切实可靠。</w:t>
            </w:r>
          </w:p>
          <w:p w14:paraId="3DAA6BC8">
            <w:pPr>
              <w:snapToGrid w:val="0"/>
              <w:spacing w:line="288" w:lineRule="auto"/>
              <w:jc w:val="left"/>
              <w:rPr>
                <w:bCs/>
                <w:sz w:val="21"/>
                <w:szCs w:val="21"/>
                <w:highlight w:val="none"/>
              </w:rPr>
            </w:pPr>
            <w:r>
              <w:rPr>
                <w:rFonts w:hint="eastAsia"/>
                <w:bCs/>
                <w:sz w:val="21"/>
                <w:szCs w:val="21"/>
                <w:highlight w:val="none"/>
              </w:rPr>
              <w:t>（评分范围：</w:t>
            </w:r>
            <w:r>
              <w:rPr>
                <w:bCs/>
                <w:sz w:val="21"/>
                <w:szCs w:val="21"/>
                <w:highlight w:val="none"/>
              </w:rPr>
              <w:t>3</w:t>
            </w:r>
            <w:r>
              <w:rPr>
                <w:rFonts w:hint="eastAsia"/>
                <w:bCs/>
                <w:sz w:val="21"/>
                <w:szCs w:val="21"/>
                <w:highlight w:val="none"/>
              </w:rPr>
              <w:t>,</w:t>
            </w:r>
            <w:r>
              <w:rPr>
                <w:bCs/>
                <w:sz w:val="21"/>
                <w:szCs w:val="21"/>
                <w:highlight w:val="none"/>
              </w:rPr>
              <w:t>2</w:t>
            </w:r>
            <w:r>
              <w:rPr>
                <w:rFonts w:hint="eastAsia"/>
                <w:bCs/>
                <w:sz w:val="21"/>
                <w:szCs w:val="21"/>
                <w:highlight w:val="none"/>
              </w:rPr>
              <w:t>,</w:t>
            </w:r>
            <w:r>
              <w:rPr>
                <w:bCs/>
                <w:sz w:val="21"/>
                <w:szCs w:val="21"/>
                <w:highlight w:val="none"/>
              </w:rPr>
              <w:t>1</w:t>
            </w:r>
            <w:r>
              <w:rPr>
                <w:rFonts w:hint="eastAsia"/>
                <w:bCs/>
                <w:sz w:val="21"/>
                <w:szCs w:val="21"/>
                <w:highlight w:val="none"/>
              </w:rPr>
              <w:t>,</w:t>
            </w:r>
            <w:r>
              <w:rPr>
                <w:bCs/>
                <w:sz w:val="21"/>
                <w:szCs w:val="21"/>
                <w:highlight w:val="none"/>
              </w:rPr>
              <w:t>0</w:t>
            </w:r>
            <w:r>
              <w:rPr>
                <w:rFonts w:hint="eastAsia"/>
                <w:bCs/>
                <w:sz w:val="21"/>
                <w:szCs w:val="21"/>
                <w:highlight w:val="none"/>
              </w:rPr>
              <w:t>）</w:t>
            </w:r>
          </w:p>
        </w:tc>
      </w:tr>
    </w:tbl>
    <w:p w14:paraId="657EE89E">
      <w:pPr>
        <w:adjustRightInd w:val="0"/>
        <w:snapToGrid w:val="0"/>
        <w:spacing w:line="288" w:lineRule="auto"/>
        <w:rPr>
          <w:sz w:val="21"/>
          <w:szCs w:val="21"/>
          <w:highlight w:val="none"/>
        </w:rPr>
      </w:pPr>
    </w:p>
    <w:p w14:paraId="50AEE21E">
      <w:pPr>
        <w:adjustRightInd w:val="0"/>
        <w:snapToGrid w:val="0"/>
        <w:spacing w:line="288" w:lineRule="auto"/>
        <w:rPr>
          <w:rFonts w:cs="Times New Roman"/>
          <w:b/>
          <w:bCs/>
          <w:spacing w:val="-6"/>
          <w:sz w:val="21"/>
          <w:szCs w:val="21"/>
          <w:highlight w:val="none"/>
        </w:rPr>
      </w:pPr>
      <w:bookmarkStart w:id="47" w:name="_Hlk81817387"/>
      <w:r>
        <w:rPr>
          <w:rFonts w:hint="eastAsia" w:cs="Times New Roman"/>
          <w:b/>
          <w:bCs/>
          <w:spacing w:val="-6"/>
          <w:sz w:val="21"/>
          <w:szCs w:val="21"/>
          <w:highlight w:val="none"/>
        </w:rPr>
        <w:t>说明：本项目专门面向中小企业采购，不再执行价格评审优惠的扶持政策。</w:t>
      </w:r>
    </w:p>
    <w:bookmarkEnd w:id="47"/>
    <w:p w14:paraId="6025883E">
      <w:pPr>
        <w:adjustRightInd w:val="0"/>
        <w:snapToGrid w:val="0"/>
        <w:spacing w:line="288" w:lineRule="auto"/>
        <w:rPr>
          <w:sz w:val="21"/>
          <w:szCs w:val="21"/>
          <w:highlight w:val="none"/>
        </w:rPr>
      </w:pPr>
      <w:r>
        <w:rPr>
          <w:rFonts w:hint="eastAsia"/>
          <w:sz w:val="21"/>
          <w:szCs w:val="21"/>
          <w:highlight w:val="none"/>
        </w:rPr>
        <w:br w:type="page"/>
      </w:r>
    </w:p>
    <w:p w14:paraId="1AE88938">
      <w:pPr>
        <w:adjustRightInd w:val="0"/>
        <w:snapToGrid w:val="0"/>
        <w:spacing w:line="288" w:lineRule="auto"/>
        <w:jc w:val="center"/>
        <w:outlineLvl w:val="0"/>
        <w:rPr>
          <w:b/>
          <w:bCs/>
          <w:sz w:val="32"/>
          <w:szCs w:val="32"/>
          <w:highlight w:val="none"/>
        </w:rPr>
      </w:pPr>
      <w:r>
        <w:rPr>
          <w:rFonts w:hint="eastAsia"/>
          <w:b/>
          <w:bCs/>
          <w:sz w:val="32"/>
          <w:szCs w:val="32"/>
          <w:highlight w:val="none"/>
        </w:rPr>
        <w:t>第五章  拟签订的合同文本</w:t>
      </w:r>
    </w:p>
    <w:p w14:paraId="65E4E2E3">
      <w:pPr>
        <w:spacing w:line="480" w:lineRule="auto"/>
        <w:jc w:val="left"/>
        <w:rPr>
          <w:rFonts w:ascii="仿宋" w:hAnsi="仿宋" w:eastAsia="仿宋" w:cs="仿宋"/>
          <w:spacing w:val="100"/>
          <w:sz w:val="21"/>
          <w:szCs w:val="21"/>
          <w:highlight w:val="none"/>
        </w:rPr>
      </w:pPr>
      <w:r>
        <w:rPr>
          <w:rFonts w:hint="eastAsia" w:ascii="仿宋" w:hAnsi="仿宋" w:eastAsia="仿宋" w:cs="仿宋"/>
          <w:spacing w:val="100"/>
          <w:sz w:val="21"/>
          <w:szCs w:val="21"/>
          <w:highlight w:val="none"/>
        </w:rPr>
        <w:t>（GF-2018-0201）</w:t>
      </w:r>
    </w:p>
    <w:p w14:paraId="18E10B7D">
      <w:pPr>
        <w:spacing w:line="480" w:lineRule="auto"/>
        <w:jc w:val="center"/>
        <w:rPr>
          <w:spacing w:val="100"/>
          <w:sz w:val="48"/>
          <w:szCs w:val="48"/>
          <w:highlight w:val="none"/>
        </w:rPr>
      </w:pPr>
    </w:p>
    <w:p w14:paraId="0C8278E7">
      <w:pPr>
        <w:spacing w:line="480" w:lineRule="auto"/>
        <w:jc w:val="center"/>
        <w:rPr>
          <w:spacing w:val="100"/>
          <w:sz w:val="48"/>
          <w:szCs w:val="48"/>
          <w:highlight w:val="none"/>
        </w:rPr>
      </w:pPr>
    </w:p>
    <w:p w14:paraId="0464FC21">
      <w:pPr>
        <w:spacing w:line="480" w:lineRule="auto"/>
        <w:jc w:val="center"/>
        <w:rPr>
          <w:spacing w:val="100"/>
          <w:sz w:val="48"/>
          <w:szCs w:val="48"/>
          <w:highlight w:val="none"/>
        </w:rPr>
      </w:pPr>
    </w:p>
    <w:p w14:paraId="31293908">
      <w:pPr>
        <w:spacing w:line="480" w:lineRule="auto"/>
        <w:jc w:val="center"/>
        <w:rPr>
          <w:spacing w:val="100"/>
          <w:sz w:val="48"/>
          <w:szCs w:val="48"/>
          <w:highlight w:val="none"/>
        </w:rPr>
      </w:pPr>
    </w:p>
    <w:p w14:paraId="157DC6D8">
      <w:pPr>
        <w:spacing w:line="480" w:lineRule="auto"/>
        <w:jc w:val="center"/>
        <w:rPr>
          <w:spacing w:val="100"/>
          <w:sz w:val="48"/>
          <w:szCs w:val="48"/>
          <w:highlight w:val="none"/>
        </w:rPr>
      </w:pPr>
    </w:p>
    <w:p w14:paraId="15420544">
      <w:pPr>
        <w:jc w:val="center"/>
        <w:rPr>
          <w:b/>
          <w:bCs/>
          <w:spacing w:val="100"/>
          <w:sz w:val="48"/>
          <w:szCs w:val="48"/>
          <w:highlight w:val="none"/>
        </w:rPr>
      </w:pPr>
      <w:r>
        <w:rPr>
          <w:rFonts w:hint="eastAsia"/>
          <w:b/>
          <w:bCs/>
          <w:spacing w:val="100"/>
          <w:sz w:val="48"/>
          <w:szCs w:val="48"/>
          <w:highlight w:val="none"/>
        </w:rPr>
        <w:t>建设</w:t>
      </w:r>
      <w:r>
        <w:rPr>
          <w:b/>
          <w:bCs/>
          <w:spacing w:val="100"/>
          <w:sz w:val="48"/>
          <w:szCs w:val="48"/>
          <w:highlight w:val="none"/>
        </w:rPr>
        <w:t>工程施工合同</w:t>
      </w:r>
    </w:p>
    <w:p w14:paraId="20D0CF68">
      <w:pPr>
        <w:rPr>
          <w:szCs w:val="36"/>
          <w:highlight w:val="none"/>
        </w:rPr>
      </w:pPr>
    </w:p>
    <w:p w14:paraId="05B18A1F">
      <w:pPr>
        <w:rPr>
          <w:szCs w:val="36"/>
          <w:highlight w:val="none"/>
        </w:rPr>
      </w:pPr>
    </w:p>
    <w:p w14:paraId="070C89BA">
      <w:pPr>
        <w:rPr>
          <w:szCs w:val="36"/>
          <w:highlight w:val="none"/>
        </w:rPr>
      </w:pPr>
    </w:p>
    <w:p w14:paraId="070C5C78">
      <w:pPr>
        <w:rPr>
          <w:szCs w:val="36"/>
          <w:highlight w:val="none"/>
        </w:rPr>
      </w:pPr>
    </w:p>
    <w:p w14:paraId="00442E68">
      <w:pPr>
        <w:rPr>
          <w:szCs w:val="36"/>
          <w:highlight w:val="none"/>
        </w:rPr>
      </w:pPr>
    </w:p>
    <w:p w14:paraId="52B4F1D8">
      <w:pPr>
        <w:rPr>
          <w:szCs w:val="36"/>
          <w:highlight w:val="none"/>
        </w:rPr>
      </w:pPr>
    </w:p>
    <w:p w14:paraId="02AECFCE">
      <w:pPr>
        <w:rPr>
          <w:szCs w:val="36"/>
          <w:highlight w:val="none"/>
        </w:rPr>
      </w:pPr>
    </w:p>
    <w:p w14:paraId="0766B5A8">
      <w:pPr>
        <w:rPr>
          <w:szCs w:val="36"/>
          <w:highlight w:val="none"/>
        </w:rPr>
      </w:pPr>
    </w:p>
    <w:p w14:paraId="0A539AC5">
      <w:pPr>
        <w:rPr>
          <w:szCs w:val="36"/>
          <w:highlight w:val="none"/>
        </w:rPr>
      </w:pPr>
    </w:p>
    <w:p w14:paraId="44652C88">
      <w:pPr>
        <w:spacing w:line="700" w:lineRule="exact"/>
        <w:rPr>
          <w:kern w:val="0"/>
          <w:sz w:val="32"/>
          <w:szCs w:val="32"/>
          <w:highlight w:val="none"/>
        </w:rPr>
      </w:pPr>
      <w:r>
        <w:rPr>
          <w:kern w:val="0"/>
          <w:sz w:val="32"/>
          <w:szCs w:val="32"/>
          <w:highlight w:val="none"/>
        </w:rPr>
        <w:t xml:space="preserve"> </w:t>
      </w:r>
    </w:p>
    <w:p w14:paraId="786A3818">
      <w:pPr>
        <w:widowControl/>
        <w:ind w:firstLine="2570" w:firstLineChars="800"/>
        <w:jc w:val="left"/>
        <w:rPr>
          <w:b/>
          <w:bCs/>
          <w:sz w:val="32"/>
          <w:szCs w:val="32"/>
          <w:highlight w:val="none"/>
          <w:u w:val="single"/>
        </w:rPr>
      </w:pPr>
    </w:p>
    <w:p w14:paraId="1DF6F019">
      <w:pPr>
        <w:widowControl/>
        <w:jc w:val="left"/>
        <w:rPr>
          <w:b/>
          <w:bCs/>
          <w:sz w:val="32"/>
          <w:szCs w:val="32"/>
          <w:highlight w:val="none"/>
          <w:u w:val="single"/>
        </w:rPr>
      </w:pPr>
    </w:p>
    <w:p w14:paraId="2565C0D5">
      <w:pPr>
        <w:widowControl/>
        <w:ind w:firstLine="2560" w:firstLineChars="800"/>
        <w:jc w:val="left"/>
        <w:rPr>
          <w:sz w:val="32"/>
          <w:szCs w:val="32"/>
          <w:highlight w:val="none"/>
        </w:rPr>
      </w:pPr>
      <w:r>
        <w:rPr>
          <w:rFonts w:hint="eastAsia"/>
          <w:sz w:val="32"/>
          <w:szCs w:val="32"/>
          <w:highlight w:val="none"/>
        </w:rPr>
        <w:t>住 房 城 乡 建 设 部</w:t>
      </w:r>
    </w:p>
    <w:p w14:paraId="4BA3655F">
      <w:pPr>
        <w:widowControl/>
        <w:ind w:firstLine="2560" w:firstLineChars="800"/>
        <w:jc w:val="left"/>
        <w:rPr>
          <w:sz w:val="32"/>
          <w:szCs w:val="32"/>
          <w:highlight w:val="none"/>
        </w:rPr>
      </w:pPr>
      <w:r>
        <w:rPr>
          <w:rFonts w:hint="eastAsia"/>
          <w:sz w:val="32"/>
          <w:szCs w:val="32"/>
          <w:highlight w:val="none"/>
        </w:rPr>
        <w:t xml:space="preserve">                      制定</w:t>
      </w:r>
    </w:p>
    <w:p w14:paraId="5674DDFA">
      <w:pPr>
        <w:widowControl/>
        <w:ind w:firstLine="2560" w:firstLineChars="800"/>
        <w:jc w:val="left"/>
        <w:rPr>
          <w:b/>
          <w:bCs/>
          <w:sz w:val="32"/>
          <w:szCs w:val="32"/>
          <w:highlight w:val="none"/>
          <w:u w:val="single"/>
        </w:rPr>
      </w:pPr>
      <w:r>
        <w:rPr>
          <w:rFonts w:hint="eastAsia"/>
          <w:sz w:val="32"/>
          <w:szCs w:val="32"/>
          <w:highlight w:val="none"/>
        </w:rPr>
        <w:t>国家工商行政管理总局</w:t>
      </w:r>
      <w:r>
        <w:rPr>
          <w:b/>
          <w:bCs/>
          <w:sz w:val="32"/>
          <w:szCs w:val="32"/>
          <w:highlight w:val="none"/>
          <w:u w:val="single"/>
        </w:rPr>
        <w:br w:type="page"/>
      </w:r>
    </w:p>
    <w:p w14:paraId="5C74B24F">
      <w:pPr>
        <w:spacing w:line="288" w:lineRule="auto"/>
        <w:jc w:val="center"/>
        <w:rPr>
          <w:sz w:val="28"/>
          <w:szCs w:val="28"/>
          <w:highlight w:val="none"/>
        </w:rPr>
      </w:pPr>
      <w:r>
        <w:rPr>
          <w:rFonts w:hint="eastAsia"/>
          <w:b/>
          <w:bCs/>
          <w:sz w:val="28"/>
          <w:szCs w:val="28"/>
          <w:highlight w:val="none"/>
        </w:rPr>
        <w:t>第一部分  合同协议书</w:t>
      </w:r>
    </w:p>
    <w:p w14:paraId="03E96F86">
      <w:pPr>
        <w:spacing w:line="288" w:lineRule="auto"/>
        <w:rPr>
          <w:sz w:val="21"/>
          <w:szCs w:val="21"/>
          <w:highlight w:val="none"/>
        </w:rPr>
      </w:pPr>
    </w:p>
    <w:p w14:paraId="2D680D98">
      <w:pPr>
        <w:spacing w:line="288" w:lineRule="auto"/>
        <w:rPr>
          <w:sz w:val="21"/>
          <w:szCs w:val="21"/>
          <w:highlight w:val="none"/>
        </w:rPr>
      </w:pPr>
      <w:r>
        <w:rPr>
          <w:rFonts w:hint="eastAsia"/>
          <w:sz w:val="21"/>
          <w:szCs w:val="21"/>
          <w:highlight w:val="none"/>
        </w:rPr>
        <w:t>发包人（全称）：浙江交通职业技术学院</w:t>
      </w:r>
    </w:p>
    <w:p w14:paraId="0BDE569D">
      <w:pPr>
        <w:spacing w:line="288" w:lineRule="auto"/>
        <w:rPr>
          <w:sz w:val="21"/>
          <w:szCs w:val="21"/>
          <w:highlight w:val="none"/>
        </w:rPr>
      </w:pPr>
      <w:r>
        <w:rPr>
          <w:rFonts w:hint="eastAsia"/>
          <w:sz w:val="21"/>
          <w:szCs w:val="21"/>
          <w:highlight w:val="none"/>
        </w:rPr>
        <w:t>承包人（全称）：</w:t>
      </w:r>
      <w:r>
        <w:rPr>
          <w:rFonts w:hint="eastAsia"/>
          <w:bCs/>
          <w:sz w:val="21"/>
          <w:szCs w:val="21"/>
          <w:highlight w:val="none"/>
          <w:u w:val="single"/>
        </w:rPr>
        <w:t xml:space="preserve">                    </w:t>
      </w:r>
    </w:p>
    <w:p w14:paraId="6BAD8911">
      <w:pPr>
        <w:spacing w:line="288" w:lineRule="auto"/>
        <w:ind w:firstLine="420" w:firstLineChars="200"/>
        <w:rPr>
          <w:sz w:val="21"/>
          <w:szCs w:val="21"/>
          <w:highlight w:val="none"/>
        </w:rPr>
      </w:pPr>
      <w:r>
        <w:rPr>
          <w:rFonts w:hint="eastAsia"/>
          <w:sz w:val="21"/>
          <w:szCs w:val="21"/>
          <w:highlight w:val="none"/>
        </w:rPr>
        <w:t>根据《中华人民共和国民法典》《中华人民共和国建筑法》及有关法律规定，遵循平等、自愿、公平和诚实信用的原则，双方就浙江交通职业技术学院</w:t>
      </w:r>
      <w:r>
        <w:rPr>
          <w:rFonts w:hint="eastAsia"/>
          <w:sz w:val="21"/>
          <w:szCs w:val="21"/>
          <w:highlight w:val="none"/>
          <w:u w:val="single"/>
        </w:rPr>
        <w:t xml:space="preserve">长兴校区局部修缮项目 </w:t>
      </w:r>
      <w:r>
        <w:rPr>
          <w:rFonts w:hint="eastAsia"/>
          <w:sz w:val="21"/>
          <w:szCs w:val="21"/>
          <w:highlight w:val="none"/>
        </w:rPr>
        <w:t>施工及有关事项协商一致，共同达成如下协议：</w:t>
      </w:r>
    </w:p>
    <w:p w14:paraId="7B704EAD">
      <w:pPr>
        <w:spacing w:line="288" w:lineRule="auto"/>
        <w:ind w:firstLine="420" w:firstLineChars="200"/>
        <w:rPr>
          <w:sz w:val="21"/>
          <w:szCs w:val="21"/>
          <w:highlight w:val="none"/>
        </w:rPr>
      </w:pPr>
      <w:r>
        <w:rPr>
          <w:rFonts w:hint="eastAsia"/>
          <w:sz w:val="21"/>
          <w:szCs w:val="21"/>
          <w:highlight w:val="none"/>
        </w:rPr>
        <w:t>一、工程概况</w:t>
      </w:r>
    </w:p>
    <w:p w14:paraId="1E874CA5">
      <w:pPr>
        <w:spacing w:line="288" w:lineRule="auto"/>
        <w:ind w:firstLine="420" w:firstLineChars="200"/>
        <w:rPr>
          <w:sz w:val="21"/>
          <w:szCs w:val="21"/>
          <w:highlight w:val="none"/>
        </w:rPr>
      </w:pPr>
      <w:r>
        <w:rPr>
          <w:rFonts w:hint="eastAsia"/>
          <w:sz w:val="21"/>
          <w:szCs w:val="21"/>
          <w:highlight w:val="none"/>
        </w:rPr>
        <w:t>1.工程名称：长兴校区局部修缮项目</w:t>
      </w:r>
    </w:p>
    <w:p w14:paraId="47940AEA">
      <w:pPr>
        <w:spacing w:line="288" w:lineRule="auto"/>
        <w:ind w:firstLine="420" w:firstLineChars="200"/>
        <w:rPr>
          <w:sz w:val="21"/>
          <w:szCs w:val="21"/>
          <w:highlight w:val="none"/>
        </w:rPr>
      </w:pPr>
      <w:r>
        <w:rPr>
          <w:rFonts w:hint="eastAsia"/>
          <w:sz w:val="21"/>
          <w:szCs w:val="21"/>
          <w:highlight w:val="none"/>
        </w:rPr>
        <w:t>2.工程地点：浙江交通职业技术学院长兴校区</w:t>
      </w:r>
    </w:p>
    <w:p w14:paraId="15739CF6">
      <w:pPr>
        <w:spacing w:line="288" w:lineRule="auto"/>
        <w:ind w:firstLine="420" w:firstLineChars="200"/>
        <w:rPr>
          <w:sz w:val="21"/>
          <w:szCs w:val="21"/>
          <w:highlight w:val="none"/>
        </w:rPr>
      </w:pPr>
      <w:r>
        <w:rPr>
          <w:rFonts w:hint="eastAsia"/>
          <w:sz w:val="21"/>
          <w:szCs w:val="21"/>
          <w:highlight w:val="none"/>
        </w:rPr>
        <w:t>3.工程立项批准文号：/</w:t>
      </w:r>
    </w:p>
    <w:p w14:paraId="0F5936B4">
      <w:pPr>
        <w:spacing w:line="288" w:lineRule="auto"/>
        <w:ind w:firstLine="420" w:firstLineChars="200"/>
        <w:rPr>
          <w:sz w:val="21"/>
          <w:szCs w:val="21"/>
          <w:highlight w:val="none"/>
        </w:rPr>
      </w:pPr>
      <w:r>
        <w:rPr>
          <w:rFonts w:hint="eastAsia"/>
          <w:sz w:val="21"/>
          <w:szCs w:val="21"/>
          <w:highlight w:val="none"/>
        </w:rPr>
        <w:t>4.资金来源：财政性资金</w:t>
      </w:r>
    </w:p>
    <w:p w14:paraId="6C9446BE">
      <w:pPr>
        <w:spacing w:line="288" w:lineRule="auto"/>
        <w:ind w:firstLine="420" w:firstLineChars="200"/>
        <w:rPr>
          <w:sz w:val="21"/>
          <w:szCs w:val="21"/>
          <w:highlight w:val="none"/>
        </w:rPr>
      </w:pPr>
      <w:r>
        <w:rPr>
          <w:rFonts w:hint="eastAsia"/>
          <w:sz w:val="21"/>
          <w:szCs w:val="21"/>
          <w:highlight w:val="none"/>
        </w:rPr>
        <w:t>5.工程内容：</w:t>
      </w:r>
      <w:r>
        <w:rPr>
          <w:rFonts w:hint="eastAsia"/>
          <w:sz w:val="21"/>
          <w:szCs w:val="21"/>
          <w:highlight w:val="none"/>
          <w:u w:val="single"/>
        </w:rPr>
        <w:t xml:space="preserve">                      </w:t>
      </w:r>
    </w:p>
    <w:p w14:paraId="0F6ADF70">
      <w:pPr>
        <w:spacing w:line="288" w:lineRule="auto"/>
        <w:ind w:firstLine="420" w:firstLineChars="200"/>
        <w:rPr>
          <w:sz w:val="21"/>
          <w:szCs w:val="21"/>
          <w:highlight w:val="none"/>
        </w:rPr>
      </w:pPr>
      <w:r>
        <w:rPr>
          <w:rFonts w:hint="eastAsia"/>
          <w:sz w:val="21"/>
          <w:szCs w:val="21"/>
          <w:highlight w:val="none"/>
        </w:rPr>
        <w:t>6.工程承包范围：工程量清单、图纸范围内的全部工程内容</w:t>
      </w:r>
    </w:p>
    <w:p w14:paraId="120A7B45">
      <w:pPr>
        <w:spacing w:line="288" w:lineRule="auto"/>
        <w:ind w:firstLine="420" w:firstLineChars="200"/>
        <w:rPr>
          <w:sz w:val="21"/>
          <w:szCs w:val="21"/>
          <w:highlight w:val="none"/>
        </w:rPr>
      </w:pPr>
      <w:r>
        <w:rPr>
          <w:rFonts w:hint="eastAsia"/>
          <w:sz w:val="21"/>
          <w:szCs w:val="21"/>
          <w:highlight w:val="none"/>
        </w:rPr>
        <w:t>二、合同工期</w:t>
      </w:r>
    </w:p>
    <w:p w14:paraId="3727C6A8">
      <w:pPr>
        <w:spacing w:line="288" w:lineRule="auto"/>
        <w:ind w:firstLine="420" w:firstLineChars="200"/>
        <w:rPr>
          <w:sz w:val="21"/>
          <w:szCs w:val="21"/>
          <w:highlight w:val="none"/>
        </w:rPr>
      </w:pPr>
      <w:r>
        <w:rPr>
          <w:rFonts w:hint="eastAsia"/>
          <w:sz w:val="21"/>
          <w:szCs w:val="21"/>
          <w:highlight w:val="none"/>
        </w:rPr>
        <w:t>计划开工日期：</w:t>
      </w:r>
      <w:r>
        <w:rPr>
          <w:rFonts w:hint="eastAsia"/>
          <w:sz w:val="21"/>
          <w:szCs w:val="21"/>
          <w:highlight w:val="none"/>
          <w:u w:val="single"/>
        </w:rPr>
        <w:t xml:space="preserve">     </w:t>
      </w:r>
      <w:r>
        <w:rPr>
          <w:rFonts w:hint="eastAsia"/>
          <w:sz w:val="21"/>
          <w:szCs w:val="21"/>
          <w:highlight w:val="none"/>
        </w:rPr>
        <w:t>年</w:t>
      </w:r>
      <w:r>
        <w:rPr>
          <w:rFonts w:hint="eastAsia"/>
          <w:sz w:val="21"/>
          <w:szCs w:val="21"/>
          <w:highlight w:val="none"/>
          <w:u w:val="single"/>
        </w:rPr>
        <w:t xml:space="preserve">   </w:t>
      </w:r>
      <w:r>
        <w:rPr>
          <w:rFonts w:hint="eastAsia"/>
          <w:sz w:val="21"/>
          <w:szCs w:val="21"/>
          <w:highlight w:val="none"/>
        </w:rPr>
        <w:t>月</w:t>
      </w:r>
      <w:r>
        <w:rPr>
          <w:rFonts w:hint="eastAsia"/>
          <w:sz w:val="21"/>
          <w:szCs w:val="21"/>
          <w:highlight w:val="none"/>
          <w:u w:val="single"/>
        </w:rPr>
        <w:t xml:space="preserve">   </w:t>
      </w:r>
      <w:r>
        <w:rPr>
          <w:rFonts w:hint="eastAsia"/>
          <w:sz w:val="21"/>
          <w:szCs w:val="21"/>
          <w:highlight w:val="none"/>
        </w:rPr>
        <w:t>日。</w:t>
      </w:r>
    </w:p>
    <w:p w14:paraId="0BFCE48A">
      <w:pPr>
        <w:spacing w:line="288" w:lineRule="auto"/>
        <w:ind w:firstLine="420" w:firstLineChars="200"/>
        <w:rPr>
          <w:sz w:val="21"/>
          <w:szCs w:val="21"/>
          <w:highlight w:val="none"/>
        </w:rPr>
      </w:pPr>
      <w:r>
        <w:rPr>
          <w:rFonts w:hint="eastAsia"/>
          <w:sz w:val="21"/>
          <w:szCs w:val="21"/>
          <w:highlight w:val="none"/>
        </w:rPr>
        <w:t>计划竣工日期：</w:t>
      </w:r>
      <w:r>
        <w:rPr>
          <w:rFonts w:hint="eastAsia"/>
          <w:sz w:val="21"/>
          <w:szCs w:val="21"/>
          <w:highlight w:val="none"/>
          <w:u w:val="single"/>
        </w:rPr>
        <w:t xml:space="preserve">     </w:t>
      </w:r>
      <w:r>
        <w:rPr>
          <w:rFonts w:hint="eastAsia"/>
          <w:sz w:val="21"/>
          <w:szCs w:val="21"/>
          <w:highlight w:val="none"/>
        </w:rPr>
        <w:t>年</w:t>
      </w:r>
      <w:r>
        <w:rPr>
          <w:rFonts w:hint="eastAsia"/>
          <w:sz w:val="21"/>
          <w:szCs w:val="21"/>
          <w:highlight w:val="none"/>
          <w:u w:val="single"/>
        </w:rPr>
        <w:t xml:space="preserve">   </w:t>
      </w:r>
      <w:r>
        <w:rPr>
          <w:rFonts w:hint="eastAsia"/>
          <w:sz w:val="21"/>
          <w:szCs w:val="21"/>
          <w:highlight w:val="none"/>
        </w:rPr>
        <w:t>月</w:t>
      </w:r>
      <w:r>
        <w:rPr>
          <w:rFonts w:hint="eastAsia"/>
          <w:sz w:val="21"/>
          <w:szCs w:val="21"/>
          <w:highlight w:val="none"/>
          <w:u w:val="single"/>
        </w:rPr>
        <w:t xml:space="preserve">   </w:t>
      </w:r>
      <w:r>
        <w:rPr>
          <w:rFonts w:hint="eastAsia"/>
          <w:sz w:val="21"/>
          <w:szCs w:val="21"/>
          <w:highlight w:val="none"/>
        </w:rPr>
        <w:t>日。</w:t>
      </w:r>
    </w:p>
    <w:p w14:paraId="7FD83CDF">
      <w:pPr>
        <w:spacing w:line="288" w:lineRule="auto"/>
        <w:ind w:firstLine="420" w:firstLineChars="200"/>
        <w:rPr>
          <w:sz w:val="21"/>
          <w:szCs w:val="21"/>
          <w:highlight w:val="none"/>
        </w:rPr>
      </w:pPr>
      <w:r>
        <w:rPr>
          <w:rFonts w:hint="eastAsia"/>
          <w:sz w:val="21"/>
          <w:szCs w:val="21"/>
          <w:highlight w:val="none"/>
        </w:rPr>
        <w:t>工期总日历天数：2</w:t>
      </w:r>
      <w:r>
        <w:rPr>
          <w:sz w:val="21"/>
          <w:szCs w:val="21"/>
          <w:highlight w:val="none"/>
        </w:rPr>
        <w:t>5</w:t>
      </w:r>
      <w:r>
        <w:rPr>
          <w:rFonts w:hint="eastAsia"/>
          <w:sz w:val="21"/>
          <w:szCs w:val="21"/>
          <w:highlight w:val="none"/>
        </w:rPr>
        <w:t>日历天。</w:t>
      </w:r>
    </w:p>
    <w:p w14:paraId="25A446CD">
      <w:pPr>
        <w:spacing w:line="288" w:lineRule="auto"/>
        <w:ind w:firstLine="420" w:firstLineChars="200"/>
        <w:rPr>
          <w:sz w:val="21"/>
          <w:szCs w:val="21"/>
          <w:highlight w:val="none"/>
        </w:rPr>
      </w:pPr>
      <w:r>
        <w:rPr>
          <w:rFonts w:hint="eastAsia"/>
          <w:sz w:val="21"/>
          <w:szCs w:val="21"/>
          <w:highlight w:val="none"/>
        </w:rPr>
        <w:t>上述计划开工和竣工日期为暂定日期，具体开工日期以开竣工报告为准。</w:t>
      </w:r>
    </w:p>
    <w:p w14:paraId="2A3CEFD4">
      <w:pPr>
        <w:spacing w:line="288" w:lineRule="auto"/>
        <w:ind w:firstLine="420" w:firstLineChars="200"/>
        <w:rPr>
          <w:sz w:val="21"/>
          <w:szCs w:val="21"/>
          <w:highlight w:val="none"/>
        </w:rPr>
      </w:pPr>
      <w:r>
        <w:rPr>
          <w:rFonts w:hint="eastAsia"/>
          <w:sz w:val="21"/>
          <w:szCs w:val="21"/>
          <w:highlight w:val="none"/>
        </w:rPr>
        <w:t>三、质量标准</w:t>
      </w:r>
    </w:p>
    <w:p w14:paraId="7EC96B2F">
      <w:pPr>
        <w:spacing w:line="288" w:lineRule="auto"/>
        <w:ind w:firstLine="420" w:firstLineChars="200"/>
        <w:rPr>
          <w:sz w:val="21"/>
          <w:szCs w:val="21"/>
          <w:highlight w:val="none"/>
        </w:rPr>
      </w:pPr>
      <w:r>
        <w:rPr>
          <w:rFonts w:hint="eastAsia"/>
          <w:sz w:val="21"/>
          <w:szCs w:val="21"/>
          <w:highlight w:val="none"/>
        </w:rPr>
        <w:t>工程质量符合国家施工验收规范合格标准。</w:t>
      </w:r>
    </w:p>
    <w:p w14:paraId="1021DBBE">
      <w:pPr>
        <w:spacing w:line="288" w:lineRule="auto"/>
        <w:ind w:firstLine="420" w:firstLineChars="200"/>
        <w:rPr>
          <w:sz w:val="21"/>
          <w:szCs w:val="21"/>
          <w:highlight w:val="none"/>
        </w:rPr>
      </w:pPr>
      <w:r>
        <w:rPr>
          <w:rFonts w:hint="eastAsia"/>
          <w:sz w:val="21"/>
          <w:szCs w:val="21"/>
          <w:highlight w:val="none"/>
        </w:rPr>
        <w:t>四、签约合同价与合同价格形式</w:t>
      </w:r>
    </w:p>
    <w:p w14:paraId="7DF7D0A0">
      <w:pPr>
        <w:spacing w:line="288" w:lineRule="auto"/>
        <w:ind w:firstLine="420" w:firstLineChars="200"/>
        <w:rPr>
          <w:sz w:val="21"/>
          <w:szCs w:val="21"/>
          <w:highlight w:val="none"/>
        </w:rPr>
      </w:pPr>
      <w:r>
        <w:rPr>
          <w:rFonts w:hint="eastAsia"/>
          <w:sz w:val="21"/>
          <w:szCs w:val="21"/>
          <w:highlight w:val="none"/>
        </w:rPr>
        <w:t>1.签约合同价为：</w:t>
      </w:r>
    </w:p>
    <w:p w14:paraId="270B8AB4">
      <w:pPr>
        <w:spacing w:line="288" w:lineRule="auto"/>
        <w:ind w:firstLine="420" w:firstLineChars="200"/>
        <w:rPr>
          <w:sz w:val="21"/>
          <w:szCs w:val="21"/>
          <w:highlight w:val="none"/>
        </w:rPr>
      </w:pPr>
      <w:r>
        <w:rPr>
          <w:rFonts w:hint="eastAsia"/>
          <w:sz w:val="21"/>
          <w:szCs w:val="21"/>
          <w:highlight w:val="none"/>
        </w:rPr>
        <w:t>人民币（大写）</w:t>
      </w:r>
      <w:r>
        <w:rPr>
          <w:rFonts w:hint="eastAsia"/>
          <w:sz w:val="21"/>
          <w:szCs w:val="21"/>
          <w:highlight w:val="none"/>
          <w:u w:val="single"/>
        </w:rPr>
        <w:t xml:space="preserve">               </w:t>
      </w:r>
      <w:r>
        <w:rPr>
          <w:rFonts w:hint="eastAsia"/>
          <w:sz w:val="21"/>
          <w:szCs w:val="21"/>
          <w:highlight w:val="none"/>
        </w:rPr>
        <w:t>(¥</w:t>
      </w:r>
      <w:r>
        <w:rPr>
          <w:rFonts w:hint="eastAsia"/>
          <w:sz w:val="21"/>
          <w:szCs w:val="21"/>
          <w:highlight w:val="none"/>
          <w:u w:val="single"/>
        </w:rPr>
        <w:t xml:space="preserve">               </w:t>
      </w:r>
      <w:r>
        <w:rPr>
          <w:rFonts w:hint="eastAsia"/>
          <w:sz w:val="21"/>
          <w:szCs w:val="21"/>
          <w:highlight w:val="none"/>
        </w:rPr>
        <w:t>元)；</w:t>
      </w:r>
    </w:p>
    <w:p w14:paraId="00D4E98C">
      <w:pPr>
        <w:spacing w:line="288" w:lineRule="auto"/>
        <w:ind w:firstLine="420" w:firstLineChars="200"/>
        <w:rPr>
          <w:sz w:val="21"/>
          <w:szCs w:val="21"/>
          <w:highlight w:val="none"/>
        </w:rPr>
      </w:pPr>
      <w:r>
        <w:rPr>
          <w:rFonts w:hint="eastAsia"/>
          <w:sz w:val="21"/>
          <w:szCs w:val="21"/>
          <w:highlight w:val="none"/>
        </w:rPr>
        <w:t>其中：</w:t>
      </w:r>
    </w:p>
    <w:p w14:paraId="03103E49">
      <w:pPr>
        <w:spacing w:line="288" w:lineRule="auto"/>
        <w:ind w:firstLine="420" w:firstLineChars="200"/>
        <w:rPr>
          <w:sz w:val="21"/>
          <w:szCs w:val="21"/>
          <w:highlight w:val="none"/>
        </w:rPr>
      </w:pPr>
      <w:r>
        <w:rPr>
          <w:rFonts w:hint="eastAsia"/>
          <w:sz w:val="21"/>
          <w:szCs w:val="21"/>
          <w:highlight w:val="none"/>
        </w:rPr>
        <w:t>（1）安全文明施工费：</w:t>
      </w:r>
    </w:p>
    <w:p w14:paraId="21322042">
      <w:pPr>
        <w:spacing w:line="288" w:lineRule="auto"/>
        <w:ind w:firstLine="420" w:firstLineChars="200"/>
        <w:rPr>
          <w:sz w:val="21"/>
          <w:szCs w:val="21"/>
          <w:highlight w:val="none"/>
        </w:rPr>
      </w:pPr>
      <w:r>
        <w:rPr>
          <w:rFonts w:hint="eastAsia"/>
          <w:sz w:val="21"/>
          <w:szCs w:val="21"/>
          <w:highlight w:val="none"/>
        </w:rPr>
        <w:t>人民币（大写）</w:t>
      </w:r>
      <w:r>
        <w:rPr>
          <w:rFonts w:hint="eastAsia"/>
          <w:sz w:val="21"/>
          <w:szCs w:val="21"/>
          <w:highlight w:val="none"/>
          <w:u w:val="single"/>
        </w:rPr>
        <w:t xml:space="preserve">      /      (¥      /     元)</w:t>
      </w:r>
    </w:p>
    <w:p w14:paraId="1B0C499F">
      <w:pPr>
        <w:spacing w:line="288" w:lineRule="auto"/>
        <w:ind w:firstLine="420" w:firstLineChars="200"/>
        <w:rPr>
          <w:sz w:val="21"/>
          <w:szCs w:val="21"/>
          <w:highlight w:val="none"/>
        </w:rPr>
      </w:pPr>
      <w:r>
        <w:rPr>
          <w:rFonts w:hint="eastAsia"/>
          <w:sz w:val="21"/>
          <w:szCs w:val="21"/>
          <w:highlight w:val="none"/>
        </w:rPr>
        <w:t>（2）材料和工程设备暂估价金额：</w:t>
      </w:r>
    </w:p>
    <w:p w14:paraId="41712873">
      <w:pPr>
        <w:spacing w:line="288" w:lineRule="auto"/>
        <w:ind w:firstLine="420" w:firstLineChars="200"/>
        <w:rPr>
          <w:sz w:val="21"/>
          <w:szCs w:val="21"/>
          <w:highlight w:val="none"/>
        </w:rPr>
      </w:pPr>
      <w:r>
        <w:rPr>
          <w:rFonts w:hint="eastAsia"/>
          <w:sz w:val="21"/>
          <w:szCs w:val="21"/>
          <w:highlight w:val="none"/>
        </w:rPr>
        <w:t>人民币（大写）</w:t>
      </w:r>
      <w:r>
        <w:rPr>
          <w:rFonts w:hint="eastAsia"/>
          <w:sz w:val="21"/>
          <w:szCs w:val="21"/>
          <w:highlight w:val="none"/>
          <w:u w:val="single"/>
        </w:rPr>
        <w:t xml:space="preserve">      /      (¥      /     元)</w:t>
      </w:r>
    </w:p>
    <w:p w14:paraId="2D299124">
      <w:pPr>
        <w:spacing w:line="288" w:lineRule="auto"/>
        <w:ind w:firstLine="420" w:firstLineChars="200"/>
        <w:rPr>
          <w:sz w:val="21"/>
          <w:szCs w:val="21"/>
          <w:highlight w:val="none"/>
        </w:rPr>
      </w:pPr>
      <w:r>
        <w:rPr>
          <w:rFonts w:hint="eastAsia"/>
          <w:sz w:val="21"/>
          <w:szCs w:val="21"/>
          <w:highlight w:val="none"/>
        </w:rPr>
        <w:t>（3）专业工程暂估价金额：</w:t>
      </w:r>
    </w:p>
    <w:p w14:paraId="2EB1EDA4">
      <w:pPr>
        <w:spacing w:line="288" w:lineRule="auto"/>
        <w:ind w:firstLine="420" w:firstLineChars="200"/>
        <w:rPr>
          <w:sz w:val="21"/>
          <w:szCs w:val="21"/>
          <w:highlight w:val="none"/>
        </w:rPr>
      </w:pPr>
      <w:r>
        <w:rPr>
          <w:rFonts w:hint="eastAsia"/>
          <w:sz w:val="21"/>
          <w:szCs w:val="21"/>
          <w:highlight w:val="none"/>
        </w:rPr>
        <w:t>人民币（大写）</w:t>
      </w:r>
      <w:r>
        <w:rPr>
          <w:rFonts w:hint="eastAsia"/>
          <w:sz w:val="21"/>
          <w:szCs w:val="21"/>
          <w:highlight w:val="none"/>
          <w:u w:val="single"/>
        </w:rPr>
        <w:t xml:space="preserve">      /      (¥      /     元)</w:t>
      </w:r>
    </w:p>
    <w:p w14:paraId="7AF68511">
      <w:pPr>
        <w:spacing w:line="288" w:lineRule="auto"/>
        <w:ind w:firstLine="420" w:firstLineChars="200"/>
        <w:rPr>
          <w:sz w:val="21"/>
          <w:szCs w:val="21"/>
          <w:highlight w:val="none"/>
        </w:rPr>
      </w:pPr>
      <w:r>
        <w:rPr>
          <w:rFonts w:hint="eastAsia"/>
          <w:sz w:val="21"/>
          <w:szCs w:val="21"/>
          <w:highlight w:val="none"/>
        </w:rPr>
        <w:t>（4）暂列金额：</w:t>
      </w:r>
    </w:p>
    <w:p w14:paraId="5E5BCADF">
      <w:pPr>
        <w:spacing w:line="288" w:lineRule="auto"/>
        <w:ind w:firstLine="420" w:firstLineChars="200"/>
        <w:rPr>
          <w:sz w:val="21"/>
          <w:szCs w:val="21"/>
          <w:highlight w:val="none"/>
        </w:rPr>
      </w:pPr>
      <w:r>
        <w:rPr>
          <w:rFonts w:hint="eastAsia"/>
          <w:sz w:val="21"/>
          <w:szCs w:val="21"/>
          <w:highlight w:val="none"/>
        </w:rPr>
        <w:t>人民币（大写）</w:t>
      </w:r>
      <w:r>
        <w:rPr>
          <w:rFonts w:hint="eastAsia"/>
          <w:sz w:val="21"/>
          <w:szCs w:val="21"/>
          <w:highlight w:val="none"/>
          <w:u w:val="single"/>
        </w:rPr>
        <w:t xml:space="preserve">      /      (¥      /     元)</w:t>
      </w:r>
    </w:p>
    <w:p w14:paraId="0282A3DC">
      <w:pPr>
        <w:spacing w:line="288" w:lineRule="auto"/>
        <w:ind w:firstLine="420" w:firstLineChars="200"/>
        <w:rPr>
          <w:sz w:val="21"/>
          <w:szCs w:val="21"/>
          <w:highlight w:val="none"/>
        </w:rPr>
      </w:pPr>
      <w:r>
        <w:rPr>
          <w:rFonts w:hint="eastAsia"/>
          <w:sz w:val="21"/>
          <w:szCs w:val="21"/>
          <w:highlight w:val="none"/>
        </w:rPr>
        <w:t>2.合同价格形式：</w:t>
      </w:r>
      <w:r>
        <w:rPr>
          <w:rFonts w:hint="eastAsia"/>
          <w:sz w:val="21"/>
          <w:szCs w:val="21"/>
          <w:highlight w:val="none"/>
          <w:u w:val="single"/>
        </w:rPr>
        <w:t>固定单价合同</w:t>
      </w:r>
    </w:p>
    <w:p w14:paraId="68D4D00A">
      <w:pPr>
        <w:spacing w:line="288" w:lineRule="auto"/>
        <w:ind w:firstLine="420" w:firstLineChars="200"/>
        <w:rPr>
          <w:sz w:val="21"/>
          <w:szCs w:val="21"/>
          <w:highlight w:val="none"/>
        </w:rPr>
      </w:pPr>
      <w:r>
        <w:rPr>
          <w:rFonts w:hint="eastAsia"/>
          <w:sz w:val="21"/>
          <w:szCs w:val="21"/>
          <w:highlight w:val="none"/>
        </w:rPr>
        <w:t>3.本次竞争性磋商包含两次报价，承包人在仔细研究了本项目施工磋商文件的全部内容，最后报价愿意在初始报价</w:t>
      </w:r>
      <w:r>
        <w:rPr>
          <w:rFonts w:hint="eastAsia"/>
          <w:sz w:val="21"/>
          <w:szCs w:val="21"/>
          <w:highlight w:val="none"/>
          <w:u w:val="single"/>
        </w:rPr>
        <w:t xml:space="preserve">          </w:t>
      </w:r>
      <w:r>
        <w:rPr>
          <w:rFonts w:hint="eastAsia"/>
          <w:sz w:val="21"/>
          <w:szCs w:val="21"/>
          <w:highlight w:val="none"/>
        </w:rPr>
        <w:t>万元基础上优惠至</w:t>
      </w:r>
      <w:r>
        <w:rPr>
          <w:rFonts w:hint="eastAsia"/>
          <w:sz w:val="21"/>
          <w:szCs w:val="21"/>
          <w:highlight w:val="none"/>
          <w:u w:val="single"/>
        </w:rPr>
        <w:t xml:space="preserve">          </w:t>
      </w:r>
      <w:r>
        <w:rPr>
          <w:rFonts w:hint="eastAsia"/>
          <w:sz w:val="21"/>
          <w:szCs w:val="21"/>
          <w:highlight w:val="none"/>
        </w:rPr>
        <w:t>万元，并完全响应磋商文件内容。</w:t>
      </w:r>
    </w:p>
    <w:p w14:paraId="473DF46A">
      <w:pPr>
        <w:spacing w:line="288" w:lineRule="auto"/>
        <w:ind w:firstLine="420" w:firstLineChars="200"/>
        <w:rPr>
          <w:sz w:val="21"/>
          <w:szCs w:val="21"/>
          <w:highlight w:val="none"/>
        </w:rPr>
      </w:pPr>
      <w:r>
        <w:rPr>
          <w:rFonts w:hint="eastAsia"/>
          <w:sz w:val="21"/>
          <w:szCs w:val="21"/>
          <w:highlight w:val="none"/>
        </w:rPr>
        <w:t>项目竣工结算时，最终结算价根据承诺优惠率同比例调整，调整范围包括合同部分及新增联系单部分。</w:t>
      </w:r>
    </w:p>
    <w:p w14:paraId="2ED65CC0">
      <w:pPr>
        <w:spacing w:line="288" w:lineRule="auto"/>
        <w:ind w:firstLine="420" w:firstLineChars="200"/>
        <w:rPr>
          <w:sz w:val="21"/>
          <w:szCs w:val="21"/>
          <w:highlight w:val="none"/>
        </w:rPr>
      </w:pPr>
      <w:r>
        <w:rPr>
          <w:rFonts w:hint="eastAsia"/>
          <w:sz w:val="21"/>
          <w:szCs w:val="21"/>
          <w:highlight w:val="none"/>
        </w:rPr>
        <w:t>五、项目经理</w:t>
      </w:r>
    </w:p>
    <w:p w14:paraId="70B10E35">
      <w:pPr>
        <w:spacing w:line="288" w:lineRule="auto"/>
        <w:ind w:firstLine="420" w:firstLineChars="200"/>
        <w:rPr>
          <w:sz w:val="21"/>
          <w:szCs w:val="21"/>
          <w:highlight w:val="none"/>
        </w:rPr>
      </w:pPr>
      <w:r>
        <w:rPr>
          <w:rFonts w:hint="eastAsia"/>
          <w:sz w:val="21"/>
          <w:szCs w:val="21"/>
          <w:highlight w:val="none"/>
        </w:rPr>
        <w:t>承包人项目经理：</w:t>
      </w:r>
      <w:r>
        <w:rPr>
          <w:rFonts w:hint="eastAsia"/>
          <w:sz w:val="21"/>
          <w:szCs w:val="21"/>
          <w:highlight w:val="none"/>
          <w:u w:val="single"/>
        </w:rPr>
        <w:t xml:space="preserve">          </w:t>
      </w:r>
      <w:r>
        <w:rPr>
          <w:rFonts w:hint="eastAsia"/>
          <w:sz w:val="21"/>
          <w:szCs w:val="21"/>
          <w:highlight w:val="none"/>
        </w:rPr>
        <w:t>（身份证号码：</w:t>
      </w:r>
      <w:r>
        <w:rPr>
          <w:rFonts w:hint="eastAsia"/>
          <w:sz w:val="21"/>
          <w:szCs w:val="21"/>
          <w:highlight w:val="none"/>
          <w:u w:val="single"/>
        </w:rPr>
        <w:t xml:space="preserve">          </w:t>
      </w:r>
      <w:r>
        <w:rPr>
          <w:rFonts w:hint="eastAsia"/>
          <w:sz w:val="21"/>
          <w:szCs w:val="21"/>
          <w:highlight w:val="none"/>
        </w:rPr>
        <w:t>）</w:t>
      </w:r>
    </w:p>
    <w:p w14:paraId="537B0D00">
      <w:pPr>
        <w:spacing w:line="288" w:lineRule="auto"/>
        <w:ind w:firstLine="420" w:firstLineChars="200"/>
        <w:rPr>
          <w:sz w:val="21"/>
          <w:szCs w:val="21"/>
          <w:highlight w:val="none"/>
        </w:rPr>
      </w:pPr>
      <w:r>
        <w:rPr>
          <w:rFonts w:hint="eastAsia"/>
          <w:sz w:val="21"/>
          <w:szCs w:val="21"/>
          <w:highlight w:val="none"/>
        </w:rPr>
        <w:t>六、合同文件构成</w:t>
      </w:r>
    </w:p>
    <w:p w14:paraId="32AE9BAF">
      <w:pPr>
        <w:spacing w:line="288" w:lineRule="auto"/>
        <w:ind w:firstLine="420" w:firstLineChars="200"/>
        <w:rPr>
          <w:sz w:val="21"/>
          <w:szCs w:val="21"/>
          <w:highlight w:val="none"/>
        </w:rPr>
      </w:pPr>
      <w:r>
        <w:rPr>
          <w:rFonts w:hint="eastAsia"/>
          <w:sz w:val="21"/>
          <w:szCs w:val="21"/>
          <w:highlight w:val="none"/>
        </w:rPr>
        <w:t>本协议书与下列文件一起构成合同文件：</w:t>
      </w:r>
    </w:p>
    <w:p w14:paraId="6F974484">
      <w:pPr>
        <w:spacing w:line="288" w:lineRule="auto"/>
        <w:ind w:firstLine="420" w:firstLineChars="200"/>
        <w:rPr>
          <w:sz w:val="21"/>
          <w:szCs w:val="21"/>
          <w:highlight w:val="none"/>
        </w:rPr>
      </w:pPr>
      <w:r>
        <w:rPr>
          <w:rFonts w:hint="eastAsia"/>
          <w:sz w:val="21"/>
          <w:szCs w:val="21"/>
          <w:highlight w:val="none"/>
        </w:rPr>
        <w:t>（1）成交通知书</w:t>
      </w:r>
    </w:p>
    <w:p w14:paraId="192C61C9">
      <w:pPr>
        <w:spacing w:line="288" w:lineRule="auto"/>
        <w:ind w:firstLine="420" w:firstLineChars="200"/>
        <w:rPr>
          <w:sz w:val="21"/>
          <w:szCs w:val="21"/>
          <w:highlight w:val="none"/>
        </w:rPr>
      </w:pPr>
      <w:r>
        <w:rPr>
          <w:rFonts w:hint="eastAsia"/>
          <w:sz w:val="21"/>
          <w:szCs w:val="21"/>
          <w:highlight w:val="none"/>
        </w:rPr>
        <w:t>（2）磋商文件、答疑、磋商记录及补充文件</w:t>
      </w:r>
    </w:p>
    <w:p w14:paraId="56B009CD">
      <w:pPr>
        <w:spacing w:line="288" w:lineRule="auto"/>
        <w:ind w:firstLine="420" w:firstLineChars="200"/>
        <w:rPr>
          <w:sz w:val="21"/>
          <w:szCs w:val="21"/>
          <w:highlight w:val="none"/>
        </w:rPr>
      </w:pPr>
      <w:r>
        <w:rPr>
          <w:rFonts w:hint="eastAsia"/>
          <w:sz w:val="21"/>
          <w:szCs w:val="21"/>
          <w:highlight w:val="none"/>
        </w:rPr>
        <w:t>（3）响应文件及其附件</w:t>
      </w:r>
    </w:p>
    <w:p w14:paraId="3A74D6A3">
      <w:pPr>
        <w:spacing w:line="288" w:lineRule="auto"/>
        <w:ind w:firstLine="420" w:firstLineChars="200"/>
        <w:rPr>
          <w:sz w:val="21"/>
          <w:szCs w:val="21"/>
          <w:highlight w:val="none"/>
        </w:rPr>
      </w:pPr>
      <w:r>
        <w:rPr>
          <w:rFonts w:hint="eastAsia"/>
          <w:sz w:val="21"/>
          <w:szCs w:val="21"/>
          <w:highlight w:val="none"/>
        </w:rPr>
        <w:t>（4）专用合同条款及其附件</w:t>
      </w:r>
    </w:p>
    <w:p w14:paraId="2F5B0AE6">
      <w:pPr>
        <w:spacing w:line="288" w:lineRule="auto"/>
        <w:ind w:firstLine="420" w:firstLineChars="200"/>
        <w:rPr>
          <w:sz w:val="21"/>
          <w:szCs w:val="21"/>
          <w:highlight w:val="none"/>
        </w:rPr>
      </w:pPr>
      <w:r>
        <w:rPr>
          <w:rFonts w:hint="eastAsia"/>
          <w:sz w:val="21"/>
          <w:szCs w:val="21"/>
          <w:highlight w:val="none"/>
        </w:rPr>
        <w:t>（5）通用合同条款</w:t>
      </w:r>
    </w:p>
    <w:p w14:paraId="52BDF1AB">
      <w:pPr>
        <w:spacing w:line="288" w:lineRule="auto"/>
        <w:ind w:firstLine="420" w:firstLineChars="200"/>
        <w:rPr>
          <w:sz w:val="21"/>
          <w:szCs w:val="21"/>
          <w:highlight w:val="none"/>
        </w:rPr>
      </w:pPr>
      <w:r>
        <w:rPr>
          <w:rFonts w:hint="eastAsia"/>
          <w:sz w:val="21"/>
          <w:szCs w:val="21"/>
          <w:highlight w:val="none"/>
        </w:rPr>
        <w:t>（6）技术标准和要求</w:t>
      </w:r>
    </w:p>
    <w:p w14:paraId="5BED1E56">
      <w:pPr>
        <w:spacing w:line="288" w:lineRule="auto"/>
        <w:ind w:firstLine="420" w:firstLineChars="200"/>
        <w:rPr>
          <w:sz w:val="21"/>
          <w:szCs w:val="21"/>
          <w:highlight w:val="none"/>
        </w:rPr>
      </w:pPr>
      <w:r>
        <w:rPr>
          <w:rFonts w:hint="eastAsia"/>
          <w:sz w:val="21"/>
          <w:szCs w:val="21"/>
          <w:highlight w:val="none"/>
        </w:rPr>
        <w:t>（7）图纸（如有）</w:t>
      </w:r>
    </w:p>
    <w:p w14:paraId="32B1B4B1">
      <w:pPr>
        <w:spacing w:line="288" w:lineRule="auto"/>
        <w:ind w:firstLine="420" w:firstLineChars="200"/>
        <w:rPr>
          <w:sz w:val="21"/>
          <w:szCs w:val="21"/>
          <w:highlight w:val="none"/>
        </w:rPr>
      </w:pPr>
      <w:r>
        <w:rPr>
          <w:rFonts w:hint="eastAsia"/>
          <w:sz w:val="21"/>
          <w:szCs w:val="21"/>
          <w:highlight w:val="none"/>
        </w:rPr>
        <w:t>（8）已标价工程量清单或预算书</w:t>
      </w:r>
    </w:p>
    <w:p w14:paraId="666DAFE8">
      <w:pPr>
        <w:spacing w:line="288" w:lineRule="auto"/>
        <w:ind w:firstLine="420" w:firstLineChars="200"/>
        <w:rPr>
          <w:sz w:val="21"/>
          <w:szCs w:val="21"/>
          <w:highlight w:val="none"/>
        </w:rPr>
      </w:pPr>
      <w:r>
        <w:rPr>
          <w:rFonts w:hint="eastAsia"/>
          <w:sz w:val="21"/>
          <w:szCs w:val="21"/>
          <w:highlight w:val="none"/>
        </w:rPr>
        <w:t>（9）其他合同文件</w:t>
      </w:r>
    </w:p>
    <w:p w14:paraId="19024DAC">
      <w:pPr>
        <w:spacing w:line="288" w:lineRule="auto"/>
        <w:ind w:firstLine="420" w:firstLineChars="200"/>
        <w:rPr>
          <w:sz w:val="21"/>
          <w:szCs w:val="21"/>
          <w:highlight w:val="none"/>
        </w:rPr>
      </w:pPr>
      <w:r>
        <w:rPr>
          <w:rFonts w:hint="eastAsia"/>
          <w:sz w:val="21"/>
          <w:szCs w:val="21"/>
          <w:highlight w:val="none"/>
        </w:rPr>
        <w:t>在合同订立及履行过程中形成的与合同有关的文件均构成合同文件组成部分。</w:t>
      </w:r>
    </w:p>
    <w:p w14:paraId="086A72AA">
      <w:pPr>
        <w:spacing w:line="288" w:lineRule="auto"/>
        <w:ind w:firstLine="420" w:firstLineChars="200"/>
        <w:rPr>
          <w:sz w:val="21"/>
          <w:szCs w:val="21"/>
          <w:highlight w:val="none"/>
        </w:rPr>
      </w:pPr>
      <w:r>
        <w:rPr>
          <w:rFonts w:hint="eastAsia"/>
          <w:sz w:val="21"/>
          <w:szCs w:val="21"/>
          <w:highlight w:val="none"/>
        </w:rPr>
        <w:t>上述各项合同文件包括合同当事人就该项合同文件所作出的补充和修改，属于同一类内容的文件，应以最新签署的为准。专用合同条款及其附件须经合同当事人签字或盖章。</w:t>
      </w:r>
    </w:p>
    <w:p w14:paraId="76BD998E">
      <w:pPr>
        <w:spacing w:line="288" w:lineRule="auto"/>
        <w:ind w:firstLine="420" w:firstLineChars="200"/>
        <w:rPr>
          <w:sz w:val="21"/>
          <w:szCs w:val="21"/>
          <w:highlight w:val="none"/>
        </w:rPr>
      </w:pPr>
      <w:r>
        <w:rPr>
          <w:rFonts w:hint="eastAsia"/>
          <w:sz w:val="21"/>
          <w:szCs w:val="21"/>
          <w:highlight w:val="none"/>
        </w:rPr>
        <w:t>七、承诺</w:t>
      </w:r>
    </w:p>
    <w:p w14:paraId="62B8C675">
      <w:pPr>
        <w:spacing w:line="288" w:lineRule="auto"/>
        <w:ind w:firstLine="420" w:firstLineChars="200"/>
        <w:rPr>
          <w:sz w:val="21"/>
          <w:szCs w:val="21"/>
          <w:highlight w:val="none"/>
        </w:rPr>
      </w:pPr>
      <w:r>
        <w:rPr>
          <w:rFonts w:hint="eastAsia"/>
          <w:sz w:val="21"/>
          <w:szCs w:val="21"/>
          <w:highlight w:val="none"/>
        </w:rPr>
        <w:t>1.发包人承诺按照法律规定履行项目审批手续、筹集工程建设资金并按照合同约定的期限和方式支付合同价款。</w:t>
      </w:r>
    </w:p>
    <w:p w14:paraId="65A269AB">
      <w:pPr>
        <w:spacing w:line="288" w:lineRule="auto"/>
        <w:ind w:firstLine="420" w:firstLineChars="200"/>
        <w:rPr>
          <w:sz w:val="21"/>
          <w:szCs w:val="21"/>
          <w:highlight w:val="none"/>
        </w:rPr>
      </w:pPr>
      <w:r>
        <w:rPr>
          <w:rFonts w:hint="eastAsia"/>
          <w:sz w:val="21"/>
          <w:szCs w:val="21"/>
          <w:highlight w:val="none"/>
        </w:rPr>
        <w:t>2.承包人承诺按照法律规定及合同约定组织完成工程施工，确保工程质量和安全，不进行转包及违法分包，并在缺陷责任期及保修期内承担相应的工程维修责任。</w:t>
      </w:r>
    </w:p>
    <w:p w14:paraId="22BCA5EE">
      <w:pPr>
        <w:spacing w:line="288" w:lineRule="auto"/>
        <w:ind w:firstLine="420" w:firstLineChars="200"/>
        <w:rPr>
          <w:sz w:val="21"/>
          <w:szCs w:val="21"/>
          <w:highlight w:val="none"/>
        </w:rPr>
      </w:pPr>
      <w:r>
        <w:rPr>
          <w:rFonts w:hint="eastAsia"/>
          <w:sz w:val="21"/>
          <w:szCs w:val="21"/>
          <w:highlight w:val="none"/>
        </w:rPr>
        <w:t>3.发包人和承包人通过招投标形式签订合同的，双方理解并承诺不再就同一工程另行签订与合同实质性内容相背离的协议。</w:t>
      </w:r>
    </w:p>
    <w:p w14:paraId="3A366903">
      <w:pPr>
        <w:spacing w:line="288" w:lineRule="auto"/>
        <w:ind w:firstLine="420" w:firstLineChars="200"/>
        <w:rPr>
          <w:sz w:val="21"/>
          <w:szCs w:val="21"/>
          <w:highlight w:val="none"/>
        </w:rPr>
      </w:pPr>
      <w:r>
        <w:rPr>
          <w:rFonts w:hint="eastAsia"/>
          <w:sz w:val="21"/>
          <w:szCs w:val="21"/>
          <w:highlight w:val="none"/>
        </w:rPr>
        <w:t>八、词语含义</w:t>
      </w:r>
    </w:p>
    <w:p w14:paraId="546771DA">
      <w:pPr>
        <w:spacing w:line="288" w:lineRule="auto"/>
        <w:ind w:firstLine="420" w:firstLineChars="200"/>
        <w:rPr>
          <w:sz w:val="21"/>
          <w:szCs w:val="21"/>
          <w:highlight w:val="none"/>
        </w:rPr>
      </w:pPr>
      <w:r>
        <w:rPr>
          <w:rFonts w:hint="eastAsia"/>
          <w:sz w:val="21"/>
          <w:szCs w:val="21"/>
          <w:highlight w:val="none"/>
        </w:rPr>
        <w:t>本协议书中词语含义与第二部分通用合同条款中赋予的含义相同。</w:t>
      </w:r>
    </w:p>
    <w:p w14:paraId="1F87A944">
      <w:pPr>
        <w:spacing w:line="288" w:lineRule="auto"/>
        <w:ind w:firstLine="420" w:firstLineChars="200"/>
        <w:rPr>
          <w:sz w:val="21"/>
          <w:szCs w:val="21"/>
          <w:highlight w:val="none"/>
        </w:rPr>
      </w:pPr>
      <w:r>
        <w:rPr>
          <w:rFonts w:hint="eastAsia"/>
          <w:sz w:val="21"/>
          <w:szCs w:val="21"/>
          <w:highlight w:val="none"/>
        </w:rPr>
        <w:t>九、签订时间</w:t>
      </w:r>
    </w:p>
    <w:p w14:paraId="32754CDA">
      <w:pPr>
        <w:spacing w:line="288" w:lineRule="auto"/>
        <w:ind w:firstLine="420" w:firstLineChars="200"/>
        <w:rPr>
          <w:sz w:val="21"/>
          <w:szCs w:val="21"/>
          <w:highlight w:val="none"/>
        </w:rPr>
      </w:pPr>
      <w:r>
        <w:rPr>
          <w:rFonts w:hint="eastAsia"/>
          <w:sz w:val="21"/>
          <w:szCs w:val="21"/>
          <w:highlight w:val="none"/>
        </w:rPr>
        <w:t>见签章页。</w:t>
      </w:r>
    </w:p>
    <w:p w14:paraId="5912150B">
      <w:pPr>
        <w:spacing w:line="288" w:lineRule="auto"/>
        <w:ind w:firstLine="420" w:firstLineChars="200"/>
        <w:rPr>
          <w:sz w:val="21"/>
          <w:szCs w:val="21"/>
          <w:highlight w:val="none"/>
        </w:rPr>
      </w:pPr>
      <w:r>
        <w:rPr>
          <w:rFonts w:hint="eastAsia"/>
          <w:sz w:val="21"/>
          <w:szCs w:val="21"/>
          <w:highlight w:val="none"/>
        </w:rPr>
        <w:t>十、签订地点</w:t>
      </w:r>
    </w:p>
    <w:p w14:paraId="25BE3CA3">
      <w:pPr>
        <w:spacing w:line="288" w:lineRule="auto"/>
        <w:ind w:firstLine="420" w:firstLineChars="200"/>
        <w:rPr>
          <w:sz w:val="21"/>
          <w:szCs w:val="21"/>
          <w:highlight w:val="none"/>
        </w:rPr>
      </w:pPr>
      <w:r>
        <w:rPr>
          <w:rFonts w:hint="eastAsia"/>
          <w:sz w:val="21"/>
          <w:szCs w:val="21"/>
          <w:highlight w:val="none"/>
        </w:rPr>
        <w:t>本合同在浙江杭州签订。</w:t>
      </w:r>
    </w:p>
    <w:p w14:paraId="0E28F370">
      <w:pPr>
        <w:spacing w:line="288" w:lineRule="auto"/>
        <w:ind w:firstLine="420" w:firstLineChars="200"/>
        <w:rPr>
          <w:sz w:val="21"/>
          <w:szCs w:val="21"/>
          <w:highlight w:val="none"/>
        </w:rPr>
      </w:pPr>
      <w:r>
        <w:rPr>
          <w:rFonts w:hint="eastAsia"/>
          <w:sz w:val="21"/>
          <w:szCs w:val="21"/>
          <w:highlight w:val="none"/>
        </w:rPr>
        <w:t>十一、补充协议</w:t>
      </w:r>
    </w:p>
    <w:p w14:paraId="540FC855">
      <w:pPr>
        <w:spacing w:line="288" w:lineRule="auto"/>
        <w:ind w:firstLine="420" w:firstLineChars="200"/>
        <w:rPr>
          <w:sz w:val="21"/>
          <w:szCs w:val="21"/>
          <w:highlight w:val="none"/>
        </w:rPr>
      </w:pPr>
      <w:r>
        <w:rPr>
          <w:rFonts w:hint="eastAsia"/>
          <w:sz w:val="21"/>
          <w:szCs w:val="21"/>
          <w:highlight w:val="none"/>
        </w:rPr>
        <w:t>合同未尽事宜，合同当事人另行签订补充协议，补充协议是合同的组成部分。</w:t>
      </w:r>
    </w:p>
    <w:p w14:paraId="7C854B01">
      <w:pPr>
        <w:spacing w:line="288" w:lineRule="auto"/>
        <w:ind w:firstLine="420" w:firstLineChars="200"/>
        <w:rPr>
          <w:sz w:val="21"/>
          <w:szCs w:val="21"/>
          <w:highlight w:val="none"/>
        </w:rPr>
      </w:pPr>
      <w:r>
        <w:rPr>
          <w:rFonts w:hint="eastAsia"/>
          <w:sz w:val="21"/>
          <w:szCs w:val="21"/>
          <w:highlight w:val="none"/>
        </w:rPr>
        <w:t>十二、合同生效</w:t>
      </w:r>
    </w:p>
    <w:p w14:paraId="209B554F">
      <w:pPr>
        <w:spacing w:line="288" w:lineRule="auto"/>
        <w:ind w:firstLine="420" w:firstLineChars="200"/>
        <w:rPr>
          <w:sz w:val="21"/>
          <w:szCs w:val="21"/>
          <w:highlight w:val="none"/>
        </w:rPr>
      </w:pPr>
      <w:r>
        <w:rPr>
          <w:rFonts w:hint="eastAsia"/>
          <w:sz w:val="21"/>
          <w:szCs w:val="21"/>
          <w:highlight w:val="none"/>
        </w:rPr>
        <w:t>本合同自发包人、承包人、鉴证方签字盖章之日起生效。</w:t>
      </w:r>
    </w:p>
    <w:p w14:paraId="02247991">
      <w:pPr>
        <w:spacing w:line="288" w:lineRule="auto"/>
        <w:ind w:firstLine="420" w:firstLineChars="200"/>
        <w:rPr>
          <w:sz w:val="21"/>
          <w:szCs w:val="21"/>
          <w:highlight w:val="none"/>
        </w:rPr>
      </w:pPr>
      <w:r>
        <w:rPr>
          <w:rFonts w:hint="eastAsia"/>
          <w:sz w:val="21"/>
          <w:szCs w:val="21"/>
          <w:highlight w:val="none"/>
        </w:rPr>
        <w:t>十三、合同份数</w:t>
      </w:r>
    </w:p>
    <w:p w14:paraId="4C585630">
      <w:pPr>
        <w:spacing w:line="288" w:lineRule="auto"/>
        <w:ind w:firstLine="420" w:firstLineChars="200"/>
        <w:rPr>
          <w:sz w:val="21"/>
          <w:szCs w:val="21"/>
          <w:highlight w:val="none"/>
        </w:rPr>
      </w:pPr>
      <w:r>
        <w:rPr>
          <w:rFonts w:hint="eastAsia"/>
          <w:sz w:val="21"/>
          <w:szCs w:val="21"/>
          <w:highlight w:val="none"/>
        </w:rPr>
        <w:t>本合同壹式柒份，发包人执肆份，承包人执贰份，鉴证方执壹份。</w:t>
      </w:r>
    </w:p>
    <w:p w14:paraId="73EF5736">
      <w:pPr>
        <w:spacing w:line="288" w:lineRule="auto"/>
        <w:rPr>
          <w:sz w:val="21"/>
          <w:szCs w:val="21"/>
          <w:highlight w:val="none"/>
        </w:rPr>
      </w:pPr>
    </w:p>
    <w:p w14:paraId="3FF1B96A">
      <w:pPr>
        <w:spacing w:line="288" w:lineRule="auto"/>
        <w:ind w:firstLine="420" w:firstLineChars="200"/>
        <w:rPr>
          <w:sz w:val="21"/>
          <w:szCs w:val="21"/>
          <w:highlight w:val="none"/>
        </w:rPr>
      </w:pPr>
      <w:r>
        <w:rPr>
          <w:rFonts w:hint="eastAsia"/>
          <w:sz w:val="21"/>
          <w:szCs w:val="21"/>
          <w:highlight w:val="none"/>
        </w:rPr>
        <w:t>发包人：(公章)                        承包人：(公章)</w:t>
      </w:r>
    </w:p>
    <w:p w14:paraId="3762E8A8">
      <w:pPr>
        <w:spacing w:line="288" w:lineRule="auto"/>
        <w:ind w:firstLine="420" w:firstLineChars="200"/>
        <w:rPr>
          <w:sz w:val="21"/>
          <w:szCs w:val="21"/>
          <w:highlight w:val="none"/>
        </w:rPr>
      </w:pPr>
    </w:p>
    <w:p w14:paraId="68844401">
      <w:pPr>
        <w:spacing w:line="288" w:lineRule="auto"/>
        <w:ind w:firstLine="420" w:firstLineChars="200"/>
        <w:rPr>
          <w:sz w:val="21"/>
          <w:szCs w:val="21"/>
          <w:highlight w:val="none"/>
        </w:rPr>
      </w:pPr>
      <w:r>
        <w:rPr>
          <w:rFonts w:hint="eastAsia"/>
          <w:sz w:val="21"/>
          <w:szCs w:val="21"/>
          <w:highlight w:val="none"/>
        </w:rPr>
        <w:t>法定代表人或其委托代理人：            法定代表人或其委托代理人：</w:t>
      </w:r>
    </w:p>
    <w:p w14:paraId="3531C570">
      <w:pPr>
        <w:spacing w:line="288" w:lineRule="auto"/>
        <w:ind w:firstLine="420" w:firstLineChars="200"/>
        <w:rPr>
          <w:sz w:val="21"/>
          <w:szCs w:val="21"/>
          <w:highlight w:val="none"/>
        </w:rPr>
      </w:pPr>
      <w:r>
        <w:rPr>
          <w:rFonts w:hint="eastAsia"/>
          <w:sz w:val="21"/>
          <w:szCs w:val="21"/>
          <w:highlight w:val="none"/>
        </w:rPr>
        <w:t>（</w:t>
      </w:r>
      <w:r>
        <w:rPr>
          <w:kern w:val="0"/>
          <w:sz w:val="21"/>
          <w:szCs w:val="21"/>
          <w:highlight w:val="none"/>
        </w:rPr>
        <w:t>签字或盖章</w:t>
      </w:r>
      <w:r>
        <w:rPr>
          <w:rFonts w:hint="eastAsia"/>
          <w:sz w:val="21"/>
          <w:szCs w:val="21"/>
          <w:highlight w:val="none"/>
        </w:rPr>
        <w:t>）                       （</w:t>
      </w:r>
      <w:r>
        <w:rPr>
          <w:kern w:val="0"/>
          <w:sz w:val="21"/>
          <w:szCs w:val="21"/>
          <w:highlight w:val="none"/>
        </w:rPr>
        <w:t>签字或盖章</w:t>
      </w:r>
      <w:r>
        <w:rPr>
          <w:rFonts w:hint="eastAsia"/>
          <w:sz w:val="21"/>
          <w:szCs w:val="21"/>
          <w:highlight w:val="none"/>
        </w:rPr>
        <w:t>）</w:t>
      </w:r>
    </w:p>
    <w:p w14:paraId="517022D1">
      <w:pPr>
        <w:spacing w:line="288" w:lineRule="auto"/>
        <w:ind w:firstLine="420" w:firstLineChars="200"/>
        <w:rPr>
          <w:sz w:val="21"/>
          <w:szCs w:val="21"/>
          <w:highlight w:val="none"/>
        </w:rPr>
      </w:pPr>
      <w:r>
        <w:rPr>
          <w:rFonts w:hint="eastAsia"/>
          <w:sz w:val="21"/>
          <w:szCs w:val="21"/>
          <w:highlight w:val="none"/>
        </w:rPr>
        <w:t>地址：                                地址：</w:t>
      </w:r>
    </w:p>
    <w:p w14:paraId="55F4908E">
      <w:pPr>
        <w:spacing w:line="288" w:lineRule="auto"/>
        <w:ind w:firstLine="420" w:firstLineChars="200"/>
        <w:rPr>
          <w:sz w:val="21"/>
          <w:szCs w:val="21"/>
          <w:highlight w:val="none"/>
        </w:rPr>
      </w:pPr>
      <w:r>
        <w:rPr>
          <w:rFonts w:hint="eastAsia"/>
          <w:sz w:val="21"/>
          <w:szCs w:val="21"/>
          <w:highlight w:val="none"/>
        </w:rPr>
        <w:t>邮政编码：                            邮政编码：</w:t>
      </w:r>
    </w:p>
    <w:p w14:paraId="225A6F41">
      <w:pPr>
        <w:spacing w:line="288" w:lineRule="auto"/>
        <w:ind w:firstLine="420" w:firstLineChars="200"/>
        <w:rPr>
          <w:sz w:val="21"/>
          <w:szCs w:val="21"/>
          <w:highlight w:val="none"/>
        </w:rPr>
      </w:pPr>
      <w:r>
        <w:rPr>
          <w:rFonts w:hint="eastAsia"/>
          <w:sz w:val="21"/>
          <w:szCs w:val="21"/>
          <w:highlight w:val="none"/>
        </w:rPr>
        <w:t>法定代表人：                          法定代表人：</w:t>
      </w:r>
    </w:p>
    <w:p w14:paraId="026AD806">
      <w:pPr>
        <w:spacing w:line="288" w:lineRule="auto"/>
        <w:ind w:firstLine="420" w:firstLineChars="200"/>
        <w:rPr>
          <w:sz w:val="21"/>
          <w:szCs w:val="21"/>
          <w:highlight w:val="none"/>
        </w:rPr>
      </w:pPr>
      <w:r>
        <w:rPr>
          <w:rFonts w:hint="eastAsia"/>
          <w:sz w:val="21"/>
          <w:szCs w:val="21"/>
          <w:highlight w:val="none"/>
        </w:rPr>
        <w:t>委托代理人：                          委托代理人：</w:t>
      </w:r>
    </w:p>
    <w:p w14:paraId="57EE15A0">
      <w:pPr>
        <w:spacing w:line="288" w:lineRule="auto"/>
        <w:ind w:firstLine="420" w:firstLineChars="200"/>
        <w:rPr>
          <w:sz w:val="21"/>
          <w:szCs w:val="21"/>
          <w:highlight w:val="none"/>
        </w:rPr>
      </w:pPr>
      <w:r>
        <w:rPr>
          <w:rFonts w:hint="eastAsia"/>
          <w:sz w:val="21"/>
          <w:szCs w:val="21"/>
          <w:highlight w:val="none"/>
        </w:rPr>
        <w:t>开户银行：                            开户银行：</w:t>
      </w:r>
    </w:p>
    <w:p w14:paraId="63C084D9">
      <w:pPr>
        <w:spacing w:line="288" w:lineRule="auto"/>
        <w:ind w:firstLine="420" w:firstLineChars="200"/>
        <w:rPr>
          <w:sz w:val="21"/>
          <w:szCs w:val="21"/>
          <w:highlight w:val="none"/>
        </w:rPr>
      </w:pPr>
      <w:r>
        <w:rPr>
          <w:rFonts w:hint="eastAsia"/>
          <w:sz w:val="21"/>
          <w:szCs w:val="21"/>
          <w:highlight w:val="none"/>
        </w:rPr>
        <w:t>账号：                                账号：</w:t>
      </w:r>
    </w:p>
    <w:p w14:paraId="6BB574FC">
      <w:pPr>
        <w:spacing w:line="440" w:lineRule="exact"/>
        <w:rPr>
          <w:szCs w:val="21"/>
          <w:highlight w:val="none"/>
        </w:rPr>
      </w:pPr>
    </w:p>
    <w:p w14:paraId="2B55E6ED">
      <w:pPr>
        <w:widowControl/>
        <w:spacing w:line="288" w:lineRule="auto"/>
        <w:ind w:left="480" w:leftChars="200"/>
        <w:rPr>
          <w:kern w:val="0"/>
          <w:sz w:val="21"/>
          <w:szCs w:val="21"/>
          <w:highlight w:val="none"/>
        </w:rPr>
      </w:pPr>
      <w:r>
        <w:rPr>
          <w:kern w:val="0"/>
          <w:sz w:val="21"/>
          <w:szCs w:val="21"/>
          <w:highlight w:val="none"/>
        </w:rPr>
        <w:t xml:space="preserve">鉴证方： </w:t>
      </w:r>
    </w:p>
    <w:p w14:paraId="1988E3D9">
      <w:pPr>
        <w:widowControl/>
        <w:spacing w:line="288" w:lineRule="auto"/>
        <w:ind w:left="480" w:leftChars="200"/>
        <w:rPr>
          <w:kern w:val="0"/>
          <w:sz w:val="21"/>
          <w:szCs w:val="21"/>
          <w:highlight w:val="none"/>
        </w:rPr>
      </w:pPr>
      <w:r>
        <w:rPr>
          <w:kern w:val="0"/>
          <w:sz w:val="21"/>
          <w:szCs w:val="21"/>
          <w:highlight w:val="none"/>
        </w:rPr>
        <w:t>法定代表人或授权委托人（签字或盖章）</w:t>
      </w:r>
    </w:p>
    <w:p w14:paraId="3399B5D4">
      <w:pPr>
        <w:widowControl/>
        <w:spacing w:line="288" w:lineRule="auto"/>
        <w:ind w:left="480" w:leftChars="200"/>
        <w:rPr>
          <w:kern w:val="0"/>
          <w:sz w:val="21"/>
          <w:szCs w:val="21"/>
          <w:highlight w:val="none"/>
        </w:rPr>
      </w:pPr>
      <w:r>
        <w:rPr>
          <w:kern w:val="0"/>
          <w:sz w:val="21"/>
          <w:szCs w:val="21"/>
          <w:highlight w:val="none"/>
        </w:rPr>
        <w:t xml:space="preserve">开户银行： </w:t>
      </w:r>
    </w:p>
    <w:p w14:paraId="2AE1501F">
      <w:pPr>
        <w:widowControl/>
        <w:spacing w:line="288" w:lineRule="auto"/>
        <w:ind w:left="480" w:leftChars="200"/>
        <w:rPr>
          <w:kern w:val="0"/>
          <w:sz w:val="21"/>
          <w:szCs w:val="21"/>
          <w:highlight w:val="none"/>
        </w:rPr>
      </w:pPr>
      <w:r>
        <w:rPr>
          <w:kern w:val="0"/>
          <w:sz w:val="21"/>
          <w:szCs w:val="21"/>
          <w:highlight w:val="none"/>
        </w:rPr>
        <w:t xml:space="preserve">账号： </w:t>
      </w:r>
    </w:p>
    <w:p w14:paraId="20CB8164">
      <w:pPr>
        <w:widowControl/>
        <w:spacing w:line="288" w:lineRule="auto"/>
        <w:ind w:left="480" w:leftChars="200"/>
        <w:rPr>
          <w:kern w:val="0"/>
          <w:sz w:val="21"/>
          <w:szCs w:val="21"/>
          <w:highlight w:val="none"/>
        </w:rPr>
      </w:pPr>
      <w:r>
        <w:rPr>
          <w:kern w:val="0"/>
          <w:sz w:val="21"/>
          <w:szCs w:val="21"/>
          <w:highlight w:val="none"/>
        </w:rPr>
        <w:t>地址：</w:t>
      </w:r>
    </w:p>
    <w:p w14:paraId="3A2FA1C9">
      <w:pPr>
        <w:pStyle w:val="104"/>
        <w:spacing w:line="360" w:lineRule="auto"/>
        <w:jc w:val="right"/>
        <w:rPr>
          <w:rFonts w:ascii="宋体" w:hAnsi="宋体" w:cs="宋体"/>
          <w:b/>
          <w:bCs/>
          <w:szCs w:val="21"/>
          <w:highlight w:val="none"/>
        </w:rPr>
      </w:pPr>
      <w:r>
        <w:rPr>
          <w:b/>
          <w:bCs/>
          <w:kern w:val="0"/>
          <w:szCs w:val="21"/>
          <w:highlight w:val="none"/>
        </w:rPr>
        <w:t>签订日期：      年    月    日</w:t>
      </w:r>
      <w:r>
        <w:rPr>
          <w:b/>
          <w:sz w:val="30"/>
          <w:szCs w:val="30"/>
          <w:highlight w:val="none"/>
        </w:rPr>
        <w:br w:type="page"/>
      </w:r>
    </w:p>
    <w:p w14:paraId="505E684C">
      <w:pPr>
        <w:pStyle w:val="27"/>
        <w:spacing w:line="440" w:lineRule="exact"/>
        <w:jc w:val="center"/>
        <w:rPr>
          <w:b/>
          <w:bCs/>
          <w:sz w:val="32"/>
          <w:szCs w:val="32"/>
          <w:highlight w:val="none"/>
        </w:rPr>
      </w:pPr>
      <w:r>
        <w:rPr>
          <w:rFonts w:hint="eastAsia"/>
          <w:b/>
          <w:snapToGrid w:val="0"/>
          <w:sz w:val="28"/>
          <w:szCs w:val="28"/>
          <w:highlight w:val="none"/>
        </w:rPr>
        <w:t>第二部分  通用条款</w:t>
      </w:r>
    </w:p>
    <w:p w14:paraId="50D40200">
      <w:pPr>
        <w:pStyle w:val="27"/>
        <w:spacing w:line="440" w:lineRule="exact"/>
        <w:ind w:firstLine="420" w:firstLineChars="200"/>
        <w:rPr>
          <w:sz w:val="21"/>
          <w:szCs w:val="21"/>
          <w:highlight w:val="none"/>
        </w:rPr>
      </w:pPr>
      <w:r>
        <w:rPr>
          <w:rFonts w:hint="eastAsia"/>
          <w:sz w:val="21"/>
          <w:szCs w:val="21"/>
          <w:highlight w:val="none"/>
        </w:rPr>
        <w:t>详见《建设工程施工合同（示范文本）》（GF-2017-0201）第二部分 通用合同条款。</w:t>
      </w:r>
    </w:p>
    <w:p w14:paraId="705DA465">
      <w:pPr>
        <w:pStyle w:val="27"/>
        <w:spacing w:line="440" w:lineRule="exact"/>
        <w:jc w:val="center"/>
        <w:rPr>
          <w:b/>
          <w:snapToGrid w:val="0"/>
          <w:sz w:val="28"/>
          <w:szCs w:val="28"/>
          <w:highlight w:val="none"/>
        </w:rPr>
      </w:pPr>
      <w:r>
        <w:rPr>
          <w:rFonts w:hint="eastAsia"/>
          <w:b/>
          <w:snapToGrid w:val="0"/>
          <w:sz w:val="28"/>
          <w:szCs w:val="28"/>
          <w:highlight w:val="none"/>
        </w:rPr>
        <w:t>第三部分  专用条款</w:t>
      </w:r>
    </w:p>
    <w:p w14:paraId="5378B432">
      <w:pPr>
        <w:pStyle w:val="127"/>
        <w:adjustRightInd w:val="0"/>
        <w:snapToGrid w:val="0"/>
        <w:spacing w:before="0" w:after="0" w:line="360" w:lineRule="exact"/>
        <w:ind w:firstLine="420"/>
        <w:jc w:val="center"/>
        <w:rPr>
          <w:rFonts w:ascii="宋体" w:hAnsi="宋体" w:eastAsia="宋体" w:cs="宋体"/>
          <w:b/>
          <w:bCs/>
          <w:color w:val="auto"/>
          <w:sz w:val="24"/>
          <w:highlight w:val="none"/>
        </w:rPr>
      </w:pPr>
      <w:r>
        <w:rPr>
          <w:rFonts w:hint="eastAsia" w:ascii="宋体" w:hAnsi="宋体" w:eastAsia="宋体" w:cs="宋体"/>
          <w:b/>
          <w:bCs/>
          <w:color w:val="auto"/>
          <w:sz w:val="24"/>
          <w:highlight w:val="none"/>
        </w:rPr>
        <w:t>1. 一般约定</w:t>
      </w:r>
    </w:p>
    <w:p w14:paraId="58A5C598">
      <w:pPr>
        <w:pStyle w:val="104"/>
        <w:adjustRightInd w:val="0"/>
        <w:snapToGrid w:val="0"/>
        <w:spacing w:line="360" w:lineRule="exact"/>
        <w:ind w:firstLine="420" w:firstLineChars="200"/>
        <w:rPr>
          <w:rFonts w:ascii="宋体" w:hAnsi="宋体" w:cs="宋体"/>
          <w:highlight w:val="none"/>
        </w:rPr>
      </w:pPr>
      <w:r>
        <w:rPr>
          <w:rFonts w:hint="eastAsia" w:ascii="宋体" w:hAnsi="宋体" w:cs="宋体"/>
          <w:highlight w:val="none"/>
        </w:rPr>
        <w:t>1.1 词语定义</w:t>
      </w:r>
    </w:p>
    <w:p w14:paraId="6A9A337B">
      <w:pPr>
        <w:pStyle w:val="104"/>
        <w:adjustRightInd w:val="0"/>
        <w:snapToGrid w:val="0"/>
        <w:spacing w:line="360" w:lineRule="exact"/>
        <w:ind w:firstLine="420" w:firstLineChars="200"/>
        <w:rPr>
          <w:rFonts w:ascii="宋体" w:hAnsi="宋体" w:cs="宋体"/>
          <w:kern w:val="0"/>
          <w:highlight w:val="none"/>
        </w:rPr>
      </w:pPr>
      <w:r>
        <w:rPr>
          <w:rFonts w:hint="eastAsia" w:ascii="宋体" w:hAnsi="宋体" w:cs="宋体"/>
          <w:kern w:val="0"/>
          <w:highlight w:val="none"/>
        </w:rPr>
        <w:t>1.1.1合同</w:t>
      </w:r>
    </w:p>
    <w:p w14:paraId="38B5D8AA">
      <w:pPr>
        <w:pStyle w:val="104"/>
        <w:adjustRightInd w:val="0"/>
        <w:snapToGrid w:val="0"/>
        <w:spacing w:line="360" w:lineRule="exact"/>
        <w:ind w:firstLine="420" w:firstLineChars="200"/>
        <w:rPr>
          <w:rFonts w:ascii="宋体" w:hAnsi="宋体" w:cs="宋体"/>
          <w:kern w:val="0"/>
          <w:highlight w:val="none"/>
        </w:rPr>
      </w:pPr>
      <w:r>
        <w:rPr>
          <w:rFonts w:hint="eastAsia" w:ascii="宋体" w:hAnsi="宋体" w:cs="宋体"/>
          <w:kern w:val="0"/>
          <w:highlight w:val="none"/>
        </w:rPr>
        <w:t>1.1.1.10其他合同文件包括：</w:t>
      </w:r>
      <w:r>
        <w:rPr>
          <w:rFonts w:hint="eastAsia" w:ascii="宋体" w:hAnsi="宋体" w:cs="宋体"/>
          <w:highlight w:val="none"/>
          <w:u w:val="single"/>
        </w:rPr>
        <w:t xml:space="preserve">           /      </w:t>
      </w:r>
    </w:p>
    <w:p w14:paraId="3345C993">
      <w:pPr>
        <w:pStyle w:val="104"/>
        <w:adjustRightInd w:val="0"/>
        <w:snapToGrid w:val="0"/>
        <w:spacing w:line="360" w:lineRule="exact"/>
        <w:ind w:firstLine="420" w:firstLineChars="200"/>
        <w:rPr>
          <w:rFonts w:ascii="宋体" w:hAnsi="宋体" w:cs="宋体"/>
          <w:highlight w:val="none"/>
        </w:rPr>
      </w:pPr>
      <w:r>
        <w:rPr>
          <w:rFonts w:hint="eastAsia" w:ascii="宋体" w:hAnsi="宋体" w:cs="宋体"/>
          <w:highlight w:val="none"/>
        </w:rPr>
        <w:t>1.1.2 合同当事人及其他相关方</w:t>
      </w:r>
    </w:p>
    <w:p w14:paraId="1752E1C0">
      <w:pPr>
        <w:pStyle w:val="104"/>
        <w:adjustRightInd w:val="0"/>
        <w:snapToGrid w:val="0"/>
        <w:spacing w:line="360" w:lineRule="exact"/>
        <w:ind w:firstLine="420" w:firstLineChars="200"/>
        <w:rPr>
          <w:rFonts w:ascii="宋体" w:hAnsi="宋体" w:cs="宋体"/>
          <w:highlight w:val="none"/>
        </w:rPr>
      </w:pPr>
      <w:r>
        <w:rPr>
          <w:rFonts w:hint="eastAsia" w:ascii="宋体" w:hAnsi="宋体" w:cs="宋体"/>
          <w:highlight w:val="none"/>
        </w:rPr>
        <w:t>1.1.2.4监理人：</w:t>
      </w:r>
    </w:p>
    <w:p w14:paraId="61AB31F4">
      <w:pPr>
        <w:pStyle w:val="104"/>
        <w:adjustRightInd w:val="0"/>
        <w:snapToGrid w:val="0"/>
        <w:spacing w:line="360" w:lineRule="exact"/>
        <w:ind w:firstLine="420" w:firstLineChars="200"/>
        <w:rPr>
          <w:rFonts w:ascii="宋体" w:hAnsi="宋体" w:cs="宋体"/>
          <w:highlight w:val="none"/>
        </w:rPr>
      </w:pPr>
      <w:r>
        <w:rPr>
          <w:rFonts w:hint="eastAsia" w:ascii="宋体" w:hAnsi="宋体" w:cs="宋体"/>
          <w:highlight w:val="none"/>
        </w:rPr>
        <w:t>名    称：</w:t>
      </w:r>
      <w:r>
        <w:rPr>
          <w:rFonts w:hint="eastAsia" w:ascii="宋体" w:hAnsi="宋体" w:cs="宋体"/>
          <w:highlight w:val="none"/>
          <w:u w:val="single"/>
        </w:rPr>
        <w:t xml:space="preserve">                      /              </w:t>
      </w:r>
      <w:r>
        <w:rPr>
          <w:rFonts w:hint="eastAsia" w:ascii="宋体" w:hAnsi="宋体" w:cs="宋体"/>
          <w:highlight w:val="none"/>
        </w:rPr>
        <w:t>；</w:t>
      </w:r>
    </w:p>
    <w:p w14:paraId="7FA8481C">
      <w:pPr>
        <w:pStyle w:val="104"/>
        <w:adjustRightInd w:val="0"/>
        <w:snapToGrid w:val="0"/>
        <w:spacing w:line="360" w:lineRule="exact"/>
        <w:ind w:firstLine="420" w:firstLineChars="200"/>
        <w:rPr>
          <w:rFonts w:ascii="宋体" w:hAnsi="宋体" w:cs="宋体"/>
          <w:highlight w:val="none"/>
        </w:rPr>
      </w:pPr>
      <w:r>
        <w:rPr>
          <w:rFonts w:hint="eastAsia" w:ascii="宋体" w:hAnsi="宋体" w:cs="宋体"/>
          <w:highlight w:val="none"/>
        </w:rPr>
        <w:t>资质类别和等级：</w:t>
      </w:r>
      <w:r>
        <w:rPr>
          <w:rFonts w:hint="eastAsia" w:ascii="宋体" w:hAnsi="宋体" w:cs="宋体"/>
          <w:highlight w:val="none"/>
          <w:u w:val="single"/>
        </w:rPr>
        <w:t xml:space="preserve">              /              </w:t>
      </w:r>
      <w:r>
        <w:rPr>
          <w:rFonts w:hint="eastAsia" w:ascii="宋体" w:hAnsi="宋体" w:cs="宋体"/>
          <w:highlight w:val="none"/>
        </w:rPr>
        <w:t>；</w:t>
      </w:r>
    </w:p>
    <w:p w14:paraId="75E35EA4">
      <w:pPr>
        <w:pStyle w:val="104"/>
        <w:adjustRightInd w:val="0"/>
        <w:snapToGrid w:val="0"/>
        <w:spacing w:line="360" w:lineRule="exact"/>
        <w:ind w:firstLine="420" w:firstLineChars="200"/>
        <w:rPr>
          <w:rFonts w:ascii="宋体" w:hAnsi="宋体" w:cs="宋体"/>
          <w:highlight w:val="none"/>
        </w:rPr>
      </w:pPr>
      <w:r>
        <w:rPr>
          <w:rFonts w:hint="eastAsia" w:ascii="宋体" w:hAnsi="宋体" w:cs="宋体"/>
          <w:highlight w:val="none"/>
        </w:rPr>
        <w:t>联系电话：</w:t>
      </w:r>
      <w:r>
        <w:rPr>
          <w:rFonts w:hint="eastAsia" w:ascii="宋体" w:hAnsi="宋体" w:cs="宋体"/>
          <w:highlight w:val="none"/>
          <w:u w:val="single"/>
        </w:rPr>
        <w:t xml:space="preserve">          /       </w:t>
      </w:r>
      <w:r>
        <w:rPr>
          <w:rFonts w:hint="eastAsia" w:ascii="宋体" w:hAnsi="宋体" w:cs="宋体"/>
          <w:highlight w:val="none"/>
        </w:rPr>
        <w:t>；</w:t>
      </w:r>
    </w:p>
    <w:p w14:paraId="2EB2BF2D">
      <w:pPr>
        <w:pStyle w:val="104"/>
        <w:adjustRightInd w:val="0"/>
        <w:snapToGrid w:val="0"/>
        <w:spacing w:line="360" w:lineRule="exact"/>
        <w:ind w:firstLine="420" w:firstLineChars="200"/>
        <w:rPr>
          <w:rFonts w:ascii="宋体" w:hAnsi="宋体" w:cs="宋体"/>
          <w:highlight w:val="none"/>
        </w:rPr>
      </w:pPr>
      <w:r>
        <w:rPr>
          <w:rFonts w:hint="eastAsia" w:ascii="宋体" w:hAnsi="宋体" w:cs="宋体"/>
          <w:highlight w:val="none"/>
        </w:rPr>
        <w:t>电子信箱：</w:t>
      </w:r>
      <w:r>
        <w:rPr>
          <w:rFonts w:hint="eastAsia" w:ascii="宋体" w:hAnsi="宋体" w:cs="宋体"/>
          <w:highlight w:val="none"/>
          <w:u w:val="single"/>
        </w:rPr>
        <w:t xml:space="preserve">         /        </w:t>
      </w:r>
      <w:r>
        <w:rPr>
          <w:rFonts w:hint="eastAsia" w:ascii="宋体" w:hAnsi="宋体" w:cs="宋体"/>
          <w:highlight w:val="none"/>
        </w:rPr>
        <w:t>；</w:t>
      </w:r>
    </w:p>
    <w:p w14:paraId="1A5CF618">
      <w:pPr>
        <w:pStyle w:val="104"/>
        <w:adjustRightInd w:val="0"/>
        <w:snapToGrid w:val="0"/>
        <w:spacing w:line="360" w:lineRule="exact"/>
        <w:ind w:firstLine="420" w:firstLineChars="200"/>
        <w:rPr>
          <w:rFonts w:ascii="宋体" w:hAnsi="宋体" w:cs="宋体"/>
          <w:highlight w:val="none"/>
        </w:rPr>
      </w:pPr>
      <w:r>
        <w:rPr>
          <w:rFonts w:hint="eastAsia" w:ascii="宋体" w:hAnsi="宋体" w:cs="宋体"/>
          <w:highlight w:val="none"/>
        </w:rPr>
        <w:t>通信地址：</w:t>
      </w:r>
      <w:r>
        <w:rPr>
          <w:rFonts w:hint="eastAsia" w:ascii="宋体" w:hAnsi="宋体" w:cs="宋体"/>
          <w:highlight w:val="none"/>
          <w:u w:val="single"/>
        </w:rPr>
        <w:t xml:space="preserve">          /       </w:t>
      </w:r>
      <w:r>
        <w:rPr>
          <w:rFonts w:hint="eastAsia" w:ascii="宋体" w:hAnsi="宋体" w:cs="宋体"/>
          <w:highlight w:val="none"/>
        </w:rPr>
        <w:t>。</w:t>
      </w:r>
    </w:p>
    <w:p w14:paraId="7B59BAE6">
      <w:pPr>
        <w:pStyle w:val="104"/>
        <w:adjustRightInd w:val="0"/>
        <w:snapToGrid w:val="0"/>
        <w:spacing w:line="360" w:lineRule="exact"/>
        <w:ind w:firstLine="420" w:firstLineChars="200"/>
        <w:rPr>
          <w:rFonts w:ascii="宋体" w:hAnsi="宋体" w:cs="宋体"/>
          <w:highlight w:val="none"/>
        </w:rPr>
      </w:pPr>
      <w:r>
        <w:rPr>
          <w:rFonts w:hint="eastAsia" w:ascii="宋体" w:hAnsi="宋体" w:cs="宋体"/>
          <w:highlight w:val="none"/>
        </w:rPr>
        <w:t>1.1.2.5 设计人：</w:t>
      </w:r>
    </w:p>
    <w:p w14:paraId="3C6414FF">
      <w:pPr>
        <w:pStyle w:val="104"/>
        <w:adjustRightInd w:val="0"/>
        <w:snapToGrid w:val="0"/>
        <w:spacing w:line="360" w:lineRule="exact"/>
        <w:ind w:firstLine="420" w:firstLineChars="200"/>
        <w:rPr>
          <w:rFonts w:ascii="宋体" w:hAnsi="宋体" w:cs="宋体"/>
          <w:highlight w:val="none"/>
        </w:rPr>
      </w:pPr>
      <w:r>
        <w:rPr>
          <w:rFonts w:hint="eastAsia" w:ascii="宋体" w:hAnsi="宋体" w:cs="宋体"/>
          <w:highlight w:val="none"/>
        </w:rPr>
        <w:t>名    称：</w:t>
      </w:r>
      <w:r>
        <w:rPr>
          <w:rFonts w:hint="eastAsia" w:ascii="宋体" w:hAnsi="宋体" w:cs="宋体"/>
          <w:b/>
          <w:bCs/>
          <w:highlight w:val="none"/>
          <w:u w:val="single"/>
        </w:rPr>
        <w:t xml:space="preserve">                </w:t>
      </w:r>
      <w:r>
        <w:rPr>
          <w:rFonts w:hint="eastAsia" w:ascii="宋体" w:hAnsi="宋体" w:cs="宋体"/>
          <w:highlight w:val="none"/>
          <w:u w:val="single"/>
        </w:rPr>
        <w:t>/</w:t>
      </w:r>
      <w:r>
        <w:rPr>
          <w:rFonts w:hint="eastAsia" w:ascii="宋体" w:hAnsi="宋体" w:cs="宋体"/>
          <w:b/>
          <w:bCs/>
          <w:highlight w:val="none"/>
          <w:u w:val="single"/>
        </w:rPr>
        <w:t xml:space="preserve">                    </w:t>
      </w:r>
      <w:r>
        <w:rPr>
          <w:rFonts w:hint="eastAsia" w:ascii="宋体" w:hAnsi="宋体" w:cs="宋体"/>
          <w:highlight w:val="none"/>
          <w:u w:val="single"/>
        </w:rPr>
        <w:t xml:space="preserve">  </w:t>
      </w:r>
      <w:r>
        <w:rPr>
          <w:rFonts w:hint="eastAsia" w:ascii="宋体" w:hAnsi="宋体" w:cs="宋体"/>
          <w:highlight w:val="none"/>
        </w:rPr>
        <w:t>；</w:t>
      </w:r>
    </w:p>
    <w:p w14:paraId="668655D3">
      <w:pPr>
        <w:pStyle w:val="104"/>
        <w:adjustRightInd w:val="0"/>
        <w:snapToGrid w:val="0"/>
        <w:spacing w:line="360" w:lineRule="exact"/>
        <w:ind w:firstLine="420" w:firstLineChars="200"/>
        <w:rPr>
          <w:rFonts w:ascii="宋体" w:hAnsi="宋体" w:cs="宋体"/>
          <w:highlight w:val="none"/>
        </w:rPr>
      </w:pPr>
      <w:r>
        <w:rPr>
          <w:rFonts w:hint="eastAsia" w:ascii="宋体" w:hAnsi="宋体" w:cs="宋体"/>
          <w:highlight w:val="none"/>
        </w:rPr>
        <w:t>资质类别和等级：</w:t>
      </w:r>
      <w:r>
        <w:rPr>
          <w:rFonts w:hint="eastAsia" w:ascii="宋体" w:hAnsi="宋体" w:cs="宋体"/>
          <w:b/>
          <w:bCs/>
          <w:highlight w:val="none"/>
          <w:u w:val="single"/>
        </w:rPr>
        <w:t xml:space="preserve">          </w:t>
      </w:r>
      <w:r>
        <w:rPr>
          <w:rFonts w:hint="eastAsia" w:ascii="宋体" w:hAnsi="宋体" w:cs="宋体"/>
          <w:highlight w:val="none"/>
          <w:u w:val="single"/>
        </w:rPr>
        <w:t>/</w:t>
      </w:r>
      <w:r>
        <w:rPr>
          <w:rFonts w:hint="eastAsia" w:ascii="宋体" w:hAnsi="宋体" w:cs="宋体"/>
          <w:b/>
          <w:bCs/>
          <w:highlight w:val="none"/>
          <w:u w:val="single"/>
        </w:rPr>
        <w:t xml:space="preserve">             </w:t>
      </w:r>
      <w:r>
        <w:rPr>
          <w:rFonts w:hint="eastAsia" w:ascii="宋体" w:hAnsi="宋体" w:cs="宋体"/>
          <w:highlight w:val="none"/>
          <w:u w:val="single"/>
        </w:rPr>
        <w:t xml:space="preserve">   </w:t>
      </w:r>
      <w:r>
        <w:rPr>
          <w:rFonts w:hint="eastAsia" w:ascii="宋体" w:hAnsi="宋体" w:cs="宋体"/>
          <w:highlight w:val="none"/>
        </w:rPr>
        <w:t>；</w:t>
      </w:r>
    </w:p>
    <w:p w14:paraId="4A975BAA">
      <w:pPr>
        <w:pStyle w:val="104"/>
        <w:adjustRightInd w:val="0"/>
        <w:snapToGrid w:val="0"/>
        <w:spacing w:line="360" w:lineRule="exact"/>
        <w:ind w:firstLine="420" w:firstLineChars="200"/>
        <w:rPr>
          <w:rFonts w:ascii="宋体" w:hAnsi="宋体" w:cs="宋体"/>
          <w:highlight w:val="none"/>
        </w:rPr>
      </w:pPr>
      <w:r>
        <w:rPr>
          <w:rFonts w:hint="eastAsia" w:ascii="宋体" w:hAnsi="宋体" w:cs="宋体"/>
          <w:highlight w:val="none"/>
        </w:rPr>
        <w:t>联系电话：</w:t>
      </w:r>
      <w:r>
        <w:rPr>
          <w:rFonts w:hint="eastAsia" w:ascii="宋体" w:hAnsi="宋体" w:cs="宋体"/>
          <w:highlight w:val="none"/>
          <w:u w:val="single"/>
        </w:rPr>
        <w:t xml:space="preserve">        /        </w:t>
      </w:r>
      <w:r>
        <w:rPr>
          <w:rFonts w:hint="eastAsia" w:ascii="宋体" w:hAnsi="宋体" w:cs="宋体"/>
          <w:highlight w:val="none"/>
        </w:rPr>
        <w:t>；</w:t>
      </w:r>
    </w:p>
    <w:p w14:paraId="2BA464B2">
      <w:pPr>
        <w:pStyle w:val="104"/>
        <w:adjustRightInd w:val="0"/>
        <w:snapToGrid w:val="0"/>
        <w:spacing w:line="360" w:lineRule="exact"/>
        <w:ind w:firstLine="420" w:firstLineChars="200"/>
        <w:rPr>
          <w:rFonts w:ascii="宋体" w:hAnsi="宋体" w:cs="宋体"/>
          <w:highlight w:val="none"/>
        </w:rPr>
      </w:pPr>
      <w:r>
        <w:rPr>
          <w:rFonts w:hint="eastAsia" w:ascii="宋体" w:hAnsi="宋体" w:cs="宋体"/>
          <w:highlight w:val="none"/>
        </w:rPr>
        <w:t>电子信箱：</w:t>
      </w:r>
      <w:r>
        <w:rPr>
          <w:rFonts w:hint="eastAsia" w:ascii="宋体" w:hAnsi="宋体" w:cs="宋体"/>
          <w:highlight w:val="none"/>
          <w:u w:val="single"/>
        </w:rPr>
        <w:t xml:space="preserve">       /           </w:t>
      </w:r>
      <w:r>
        <w:rPr>
          <w:rFonts w:hint="eastAsia" w:ascii="宋体" w:hAnsi="宋体" w:cs="宋体"/>
          <w:highlight w:val="none"/>
        </w:rPr>
        <w:t>；</w:t>
      </w:r>
    </w:p>
    <w:p w14:paraId="5CB7D5A2">
      <w:pPr>
        <w:pStyle w:val="104"/>
        <w:adjustRightInd w:val="0"/>
        <w:snapToGrid w:val="0"/>
        <w:spacing w:line="360" w:lineRule="exact"/>
        <w:ind w:firstLine="420" w:firstLineChars="200"/>
        <w:rPr>
          <w:rFonts w:ascii="宋体" w:hAnsi="宋体" w:cs="宋体"/>
          <w:highlight w:val="none"/>
        </w:rPr>
      </w:pPr>
      <w:r>
        <w:rPr>
          <w:rFonts w:hint="eastAsia" w:ascii="宋体" w:hAnsi="宋体" w:cs="宋体"/>
          <w:highlight w:val="none"/>
        </w:rPr>
        <w:t>通信地址：</w:t>
      </w:r>
      <w:r>
        <w:rPr>
          <w:rFonts w:hint="eastAsia" w:ascii="宋体" w:hAnsi="宋体" w:cs="宋体"/>
          <w:highlight w:val="none"/>
          <w:u w:val="single"/>
        </w:rPr>
        <w:t xml:space="preserve">       /        </w:t>
      </w:r>
      <w:r>
        <w:rPr>
          <w:rFonts w:hint="eastAsia" w:ascii="宋体" w:hAnsi="宋体" w:cs="宋体"/>
          <w:highlight w:val="none"/>
        </w:rPr>
        <w:t>。</w:t>
      </w:r>
    </w:p>
    <w:p w14:paraId="138B80F2">
      <w:pPr>
        <w:pStyle w:val="104"/>
        <w:adjustRightInd w:val="0"/>
        <w:snapToGrid w:val="0"/>
        <w:spacing w:line="360" w:lineRule="exact"/>
        <w:ind w:firstLine="420" w:firstLineChars="200"/>
        <w:rPr>
          <w:rFonts w:ascii="宋体" w:hAnsi="宋体" w:cs="宋体"/>
          <w:highlight w:val="none"/>
        </w:rPr>
      </w:pPr>
      <w:r>
        <w:rPr>
          <w:rFonts w:hint="eastAsia" w:ascii="宋体" w:hAnsi="宋体" w:cs="宋体"/>
          <w:highlight w:val="none"/>
        </w:rPr>
        <w:t>1.1.3 工程和设备</w:t>
      </w:r>
    </w:p>
    <w:p w14:paraId="69DE7643">
      <w:pPr>
        <w:pStyle w:val="104"/>
        <w:adjustRightInd w:val="0"/>
        <w:snapToGrid w:val="0"/>
        <w:spacing w:line="360" w:lineRule="exact"/>
        <w:ind w:firstLine="420" w:firstLineChars="200"/>
        <w:rPr>
          <w:rFonts w:ascii="宋体" w:hAnsi="宋体" w:cs="宋体"/>
          <w:highlight w:val="none"/>
        </w:rPr>
      </w:pPr>
      <w:r>
        <w:rPr>
          <w:rFonts w:hint="eastAsia" w:ascii="宋体" w:hAnsi="宋体" w:cs="宋体"/>
          <w:highlight w:val="none"/>
        </w:rPr>
        <w:t>1.1.3.7 作为施工现场组成部分的其他场所包括：</w:t>
      </w:r>
      <w:r>
        <w:rPr>
          <w:rFonts w:hint="eastAsia" w:ascii="宋体" w:hAnsi="宋体" w:cs="宋体"/>
          <w:highlight w:val="none"/>
          <w:u w:val="single"/>
        </w:rPr>
        <w:t xml:space="preserve">       /        </w:t>
      </w:r>
      <w:r>
        <w:rPr>
          <w:rFonts w:hint="eastAsia" w:ascii="宋体" w:hAnsi="宋体" w:cs="宋体"/>
          <w:highlight w:val="none"/>
        </w:rPr>
        <w:t>。</w:t>
      </w:r>
    </w:p>
    <w:p w14:paraId="166BEAF1">
      <w:pPr>
        <w:pStyle w:val="104"/>
        <w:adjustRightInd w:val="0"/>
        <w:snapToGrid w:val="0"/>
        <w:spacing w:line="360" w:lineRule="exact"/>
        <w:ind w:firstLine="420" w:firstLineChars="200"/>
        <w:jc w:val="left"/>
        <w:rPr>
          <w:rFonts w:ascii="宋体" w:hAnsi="宋体" w:cs="宋体"/>
          <w:kern w:val="0"/>
          <w:highlight w:val="none"/>
        </w:rPr>
      </w:pPr>
      <w:r>
        <w:rPr>
          <w:rFonts w:hint="eastAsia" w:ascii="宋体" w:hAnsi="宋体" w:cs="宋体"/>
          <w:kern w:val="0"/>
          <w:highlight w:val="none"/>
        </w:rPr>
        <w:t>1.1.3.9 永久占地包括：</w:t>
      </w:r>
      <w:r>
        <w:rPr>
          <w:rFonts w:hint="eastAsia" w:ascii="宋体" w:hAnsi="宋体" w:cs="宋体"/>
          <w:highlight w:val="none"/>
          <w:u w:val="single"/>
        </w:rPr>
        <w:t xml:space="preserve">                /        </w:t>
      </w:r>
      <w:r>
        <w:rPr>
          <w:rFonts w:hint="eastAsia" w:ascii="宋体" w:hAnsi="宋体" w:cs="宋体"/>
          <w:kern w:val="0"/>
          <w:highlight w:val="none"/>
        </w:rPr>
        <w:t>。</w:t>
      </w:r>
    </w:p>
    <w:p w14:paraId="4520EA08">
      <w:pPr>
        <w:pStyle w:val="104"/>
        <w:adjustRightInd w:val="0"/>
        <w:snapToGrid w:val="0"/>
        <w:spacing w:line="360" w:lineRule="exact"/>
        <w:ind w:firstLine="420" w:firstLineChars="200"/>
        <w:jc w:val="left"/>
        <w:rPr>
          <w:rFonts w:ascii="宋体" w:hAnsi="宋体" w:cs="宋体"/>
          <w:highlight w:val="none"/>
        </w:rPr>
      </w:pPr>
      <w:r>
        <w:rPr>
          <w:rFonts w:hint="eastAsia" w:ascii="宋体" w:hAnsi="宋体" w:cs="宋体"/>
          <w:kern w:val="0"/>
          <w:highlight w:val="none"/>
        </w:rPr>
        <w:t>1.1.3.10 临时占地包括：</w:t>
      </w:r>
      <w:r>
        <w:rPr>
          <w:rFonts w:hint="eastAsia" w:ascii="宋体" w:hAnsi="宋体" w:cs="宋体"/>
          <w:highlight w:val="none"/>
          <w:u w:val="single"/>
        </w:rPr>
        <w:t xml:space="preserve">             /          </w:t>
      </w:r>
      <w:r>
        <w:rPr>
          <w:rFonts w:hint="eastAsia" w:ascii="宋体" w:hAnsi="宋体" w:cs="宋体"/>
          <w:kern w:val="0"/>
          <w:highlight w:val="none"/>
        </w:rPr>
        <w:t>。</w:t>
      </w:r>
    </w:p>
    <w:p w14:paraId="1ABEFD84">
      <w:pPr>
        <w:pStyle w:val="104"/>
        <w:adjustRightInd w:val="0"/>
        <w:snapToGrid w:val="0"/>
        <w:spacing w:line="360" w:lineRule="exact"/>
        <w:ind w:firstLine="420" w:firstLineChars="200"/>
        <w:rPr>
          <w:rFonts w:ascii="宋体" w:hAnsi="宋体" w:cs="宋体"/>
          <w:highlight w:val="none"/>
        </w:rPr>
      </w:pPr>
      <w:r>
        <w:rPr>
          <w:rFonts w:hint="eastAsia" w:ascii="宋体" w:hAnsi="宋体" w:cs="宋体"/>
          <w:highlight w:val="none"/>
        </w:rPr>
        <w:t xml:space="preserve">1.3法律 </w:t>
      </w:r>
    </w:p>
    <w:p w14:paraId="2C1064CE">
      <w:pPr>
        <w:pStyle w:val="104"/>
        <w:adjustRightInd w:val="0"/>
        <w:snapToGrid w:val="0"/>
        <w:spacing w:line="360" w:lineRule="exact"/>
        <w:ind w:firstLine="420" w:firstLineChars="200"/>
        <w:rPr>
          <w:rFonts w:ascii="宋体" w:hAnsi="宋体" w:cs="宋体"/>
          <w:highlight w:val="none"/>
        </w:rPr>
      </w:pPr>
      <w:r>
        <w:rPr>
          <w:rFonts w:hint="eastAsia" w:ascii="宋体" w:hAnsi="宋体" w:cs="宋体"/>
          <w:highlight w:val="none"/>
        </w:rPr>
        <w:t>适用于合同的其他规范性文件：</w:t>
      </w:r>
    </w:p>
    <w:p w14:paraId="0BF800FD">
      <w:pPr>
        <w:pStyle w:val="104"/>
        <w:adjustRightInd w:val="0"/>
        <w:snapToGrid w:val="0"/>
        <w:spacing w:line="360" w:lineRule="exact"/>
        <w:ind w:firstLine="420" w:firstLineChars="200"/>
        <w:rPr>
          <w:rFonts w:ascii="宋体" w:hAnsi="宋体" w:cs="宋体"/>
          <w:highlight w:val="none"/>
        </w:rPr>
      </w:pPr>
      <w:r>
        <w:rPr>
          <w:rFonts w:hint="eastAsia" w:ascii="宋体" w:hAnsi="宋体" w:cs="宋体"/>
          <w:highlight w:val="none"/>
        </w:rPr>
        <w:t>1.3.1《关于贯彻《省厅调整安全文明施工费的通知》的通知》(杭建市发〔2022)54号〕；</w:t>
      </w:r>
    </w:p>
    <w:p w14:paraId="444AAEB2">
      <w:pPr>
        <w:pStyle w:val="104"/>
        <w:adjustRightInd w:val="0"/>
        <w:snapToGrid w:val="0"/>
        <w:spacing w:line="360" w:lineRule="exact"/>
        <w:ind w:firstLine="420" w:firstLineChars="200"/>
        <w:rPr>
          <w:rFonts w:ascii="宋体" w:hAnsi="宋体" w:cs="宋体"/>
          <w:highlight w:val="none"/>
        </w:rPr>
      </w:pPr>
      <w:r>
        <w:rPr>
          <w:rFonts w:hint="eastAsia" w:ascii="宋体" w:hAnsi="宋体" w:cs="宋体"/>
          <w:highlight w:val="none"/>
        </w:rPr>
        <w:t>1.3.2省市建设行政部门颁发的其他现行有效文件(包括但不仅限于以下文件)；</w:t>
      </w:r>
    </w:p>
    <w:p w14:paraId="001CB2C4">
      <w:pPr>
        <w:pStyle w:val="104"/>
        <w:adjustRightInd w:val="0"/>
        <w:snapToGrid w:val="0"/>
        <w:spacing w:line="360" w:lineRule="exact"/>
        <w:ind w:firstLine="420" w:firstLineChars="200"/>
        <w:rPr>
          <w:rFonts w:ascii="宋体" w:hAnsi="宋体" w:cs="宋体"/>
          <w:highlight w:val="none"/>
          <w:u w:val="single"/>
        </w:rPr>
      </w:pPr>
      <w:r>
        <w:rPr>
          <w:rFonts w:hint="eastAsia" w:ascii="宋体" w:hAnsi="宋体" w:cs="宋体"/>
          <w:highlight w:val="none"/>
        </w:rPr>
        <w:t>(1)其他：</w:t>
      </w:r>
      <w:r>
        <w:rPr>
          <w:rFonts w:hint="eastAsia" w:ascii="宋体" w:hAnsi="宋体" w:cs="宋体"/>
          <w:b/>
          <w:bCs/>
          <w:highlight w:val="none"/>
          <w:u w:val="single"/>
        </w:rPr>
        <w:t>《中华人民共和国建筑法》、《中华人民共和国民法典》及国家、浙江省、项目所在地市现行的其它法律、行政法规、地方性法规</w:t>
      </w:r>
      <w:r>
        <w:rPr>
          <w:rFonts w:hint="eastAsia" w:ascii="宋体" w:hAnsi="宋体" w:cs="宋体"/>
          <w:highlight w:val="none"/>
          <w:u w:val="single"/>
        </w:rPr>
        <w:t>。</w:t>
      </w:r>
    </w:p>
    <w:p w14:paraId="6802C358">
      <w:pPr>
        <w:pStyle w:val="104"/>
        <w:adjustRightInd w:val="0"/>
        <w:snapToGrid w:val="0"/>
        <w:spacing w:line="360" w:lineRule="exact"/>
        <w:ind w:firstLine="420" w:firstLineChars="200"/>
        <w:rPr>
          <w:rFonts w:ascii="宋体" w:hAnsi="宋体" w:cs="宋体"/>
          <w:highlight w:val="none"/>
        </w:rPr>
      </w:pPr>
      <w:r>
        <w:rPr>
          <w:rFonts w:hint="eastAsia" w:ascii="宋体" w:hAnsi="宋体" w:cs="宋体"/>
          <w:highlight w:val="none"/>
        </w:rPr>
        <w:t>1.3.3 新工艺、新技术的约定：：</w:t>
      </w:r>
      <w:r>
        <w:rPr>
          <w:rFonts w:hint="eastAsia" w:ascii="宋体" w:hAnsi="宋体" w:cs="宋体"/>
          <w:highlight w:val="none"/>
          <w:u w:val="single"/>
        </w:rPr>
        <w:t xml:space="preserve">       /        </w:t>
      </w:r>
      <w:r>
        <w:rPr>
          <w:rFonts w:hint="eastAsia" w:ascii="宋体" w:hAnsi="宋体" w:cs="宋体"/>
          <w:highlight w:val="none"/>
        </w:rPr>
        <w:t>。</w:t>
      </w:r>
    </w:p>
    <w:p w14:paraId="4D0D0560">
      <w:pPr>
        <w:pStyle w:val="104"/>
        <w:adjustRightInd w:val="0"/>
        <w:snapToGrid w:val="0"/>
        <w:spacing w:line="360" w:lineRule="exact"/>
        <w:ind w:firstLine="420" w:firstLineChars="200"/>
        <w:rPr>
          <w:rFonts w:ascii="宋体" w:hAnsi="宋体" w:cs="宋体"/>
          <w:highlight w:val="none"/>
        </w:rPr>
      </w:pPr>
      <w:r>
        <w:rPr>
          <w:rFonts w:hint="eastAsia" w:ascii="宋体" w:hAnsi="宋体" w:cs="宋体"/>
          <w:highlight w:val="none"/>
        </w:rPr>
        <w:t>1.3.4 其他</w:t>
      </w:r>
      <w:r>
        <w:rPr>
          <w:rFonts w:hint="eastAsia" w:ascii="宋体" w:hAnsi="宋体" w:cs="宋体"/>
          <w:highlight w:val="none"/>
          <w:u w:val="single"/>
        </w:rPr>
        <w:t xml:space="preserve">       /        </w:t>
      </w:r>
      <w:r>
        <w:rPr>
          <w:rFonts w:hint="eastAsia" w:ascii="宋体" w:hAnsi="宋体" w:cs="宋体"/>
          <w:highlight w:val="none"/>
        </w:rPr>
        <w:t>。</w:t>
      </w:r>
    </w:p>
    <w:p w14:paraId="07940626">
      <w:pPr>
        <w:pStyle w:val="104"/>
        <w:adjustRightInd w:val="0"/>
        <w:snapToGrid w:val="0"/>
        <w:spacing w:line="360" w:lineRule="exact"/>
        <w:ind w:firstLine="420" w:firstLineChars="200"/>
        <w:rPr>
          <w:rFonts w:ascii="宋体" w:hAnsi="宋体" w:cs="宋体"/>
          <w:highlight w:val="none"/>
        </w:rPr>
      </w:pPr>
      <w:r>
        <w:rPr>
          <w:rFonts w:hint="eastAsia" w:ascii="宋体" w:hAnsi="宋体" w:cs="宋体"/>
          <w:highlight w:val="none"/>
        </w:rPr>
        <w:t>1.4 标准和规范</w:t>
      </w:r>
    </w:p>
    <w:p w14:paraId="54BCA437">
      <w:pPr>
        <w:pStyle w:val="104"/>
        <w:adjustRightInd w:val="0"/>
        <w:snapToGrid w:val="0"/>
        <w:spacing w:line="360" w:lineRule="exact"/>
        <w:ind w:firstLine="420" w:firstLineChars="200"/>
        <w:rPr>
          <w:rFonts w:ascii="宋体" w:hAnsi="宋体" w:cs="宋体"/>
          <w:highlight w:val="none"/>
        </w:rPr>
      </w:pPr>
      <w:r>
        <w:rPr>
          <w:rFonts w:hint="eastAsia" w:ascii="宋体" w:hAnsi="宋体" w:cs="宋体"/>
          <w:highlight w:val="none"/>
        </w:rPr>
        <w:t>1.4.1适用于工程的标准规范包括：</w:t>
      </w:r>
      <w:r>
        <w:rPr>
          <w:rFonts w:hint="eastAsia" w:ascii="宋体" w:hAnsi="宋体" w:cs="宋体"/>
          <w:b/>
          <w:bCs/>
          <w:highlight w:val="none"/>
          <w:u w:val="single"/>
        </w:rPr>
        <w:t>按通用条款约定</w:t>
      </w:r>
      <w:r>
        <w:rPr>
          <w:rFonts w:hint="eastAsia" w:ascii="宋体" w:hAnsi="宋体" w:cs="宋体"/>
          <w:highlight w:val="none"/>
          <w:u w:val="single"/>
        </w:rPr>
        <w:t xml:space="preserve"> </w:t>
      </w:r>
      <w:r>
        <w:rPr>
          <w:rFonts w:hint="eastAsia" w:ascii="宋体" w:hAnsi="宋体" w:cs="宋体"/>
          <w:kern w:val="0"/>
          <w:highlight w:val="none"/>
        </w:rPr>
        <w:t>；</w:t>
      </w:r>
    </w:p>
    <w:p w14:paraId="63F4A599">
      <w:pPr>
        <w:pStyle w:val="104"/>
        <w:adjustRightInd w:val="0"/>
        <w:snapToGrid w:val="0"/>
        <w:spacing w:line="360" w:lineRule="exact"/>
        <w:ind w:firstLine="420" w:firstLineChars="200"/>
        <w:rPr>
          <w:rFonts w:ascii="宋体" w:hAnsi="宋体" w:cs="宋体"/>
          <w:kern w:val="0"/>
          <w:highlight w:val="none"/>
        </w:rPr>
      </w:pPr>
      <w:r>
        <w:rPr>
          <w:rFonts w:hint="eastAsia" w:ascii="宋体" w:hAnsi="宋体" w:cs="宋体"/>
          <w:kern w:val="0"/>
          <w:highlight w:val="none"/>
        </w:rPr>
        <w:t>1.4.2 发包人提供国外标准、规范的名称：</w:t>
      </w:r>
      <w:r>
        <w:rPr>
          <w:rFonts w:hint="eastAsia" w:ascii="宋体" w:hAnsi="宋体" w:cs="宋体"/>
          <w:kern w:val="0"/>
          <w:highlight w:val="none"/>
          <w:u w:val="single"/>
        </w:rPr>
        <w:t xml:space="preserve">             /                </w:t>
      </w:r>
      <w:r>
        <w:rPr>
          <w:rFonts w:hint="eastAsia" w:ascii="宋体" w:hAnsi="宋体" w:cs="宋体"/>
          <w:kern w:val="0"/>
          <w:highlight w:val="none"/>
        </w:rPr>
        <w:t>；</w:t>
      </w:r>
    </w:p>
    <w:p w14:paraId="3B81D3B2">
      <w:pPr>
        <w:pStyle w:val="104"/>
        <w:adjustRightInd w:val="0"/>
        <w:snapToGrid w:val="0"/>
        <w:spacing w:line="360" w:lineRule="exact"/>
        <w:ind w:firstLine="420" w:firstLineChars="200"/>
        <w:rPr>
          <w:rFonts w:ascii="宋体" w:hAnsi="宋体" w:cs="宋体"/>
          <w:kern w:val="0"/>
          <w:highlight w:val="none"/>
        </w:rPr>
      </w:pPr>
      <w:r>
        <w:rPr>
          <w:rFonts w:hint="eastAsia" w:ascii="宋体" w:hAnsi="宋体" w:cs="宋体"/>
          <w:kern w:val="0"/>
          <w:highlight w:val="none"/>
        </w:rPr>
        <w:t>发包人提供国外标准、规范的份数：</w:t>
      </w:r>
      <w:r>
        <w:rPr>
          <w:rFonts w:hint="eastAsia" w:ascii="宋体" w:hAnsi="宋体" w:cs="宋体"/>
          <w:kern w:val="0"/>
          <w:highlight w:val="none"/>
          <w:u w:val="single"/>
        </w:rPr>
        <w:t xml:space="preserve">            /                       </w:t>
      </w:r>
      <w:r>
        <w:rPr>
          <w:rFonts w:hint="eastAsia" w:ascii="宋体" w:hAnsi="宋体" w:cs="宋体"/>
          <w:kern w:val="0"/>
          <w:highlight w:val="none"/>
        </w:rPr>
        <w:t>；</w:t>
      </w:r>
    </w:p>
    <w:p w14:paraId="7EA329D4">
      <w:pPr>
        <w:pStyle w:val="104"/>
        <w:adjustRightInd w:val="0"/>
        <w:snapToGrid w:val="0"/>
        <w:spacing w:line="360" w:lineRule="exact"/>
        <w:ind w:firstLine="420" w:firstLineChars="200"/>
        <w:rPr>
          <w:rFonts w:ascii="宋体" w:hAnsi="宋体" w:cs="宋体"/>
          <w:highlight w:val="none"/>
        </w:rPr>
      </w:pPr>
      <w:r>
        <w:rPr>
          <w:rFonts w:hint="eastAsia" w:ascii="宋体" w:hAnsi="宋体" w:cs="宋体"/>
          <w:kern w:val="0"/>
          <w:highlight w:val="none"/>
        </w:rPr>
        <w:t>发包人提供国外标准、规范的名称：</w:t>
      </w:r>
      <w:r>
        <w:rPr>
          <w:rFonts w:hint="eastAsia" w:ascii="宋体" w:hAnsi="宋体" w:cs="宋体"/>
          <w:kern w:val="0"/>
          <w:highlight w:val="none"/>
          <w:u w:val="single"/>
        </w:rPr>
        <w:t xml:space="preserve">            /                       </w:t>
      </w:r>
      <w:r>
        <w:rPr>
          <w:rFonts w:hint="eastAsia" w:ascii="宋体" w:hAnsi="宋体" w:cs="宋体"/>
          <w:kern w:val="0"/>
          <w:highlight w:val="none"/>
        </w:rPr>
        <w:t>。</w:t>
      </w:r>
    </w:p>
    <w:p w14:paraId="5488A5DF">
      <w:pPr>
        <w:pStyle w:val="104"/>
        <w:adjustRightInd w:val="0"/>
        <w:snapToGrid w:val="0"/>
        <w:spacing w:line="360" w:lineRule="exact"/>
        <w:ind w:firstLine="420" w:firstLineChars="200"/>
        <w:rPr>
          <w:rFonts w:ascii="宋体" w:hAnsi="宋体" w:cs="宋体"/>
          <w:highlight w:val="none"/>
        </w:rPr>
      </w:pPr>
      <w:r>
        <w:rPr>
          <w:rFonts w:hint="eastAsia" w:ascii="宋体" w:hAnsi="宋体" w:cs="宋体"/>
          <w:highlight w:val="none"/>
        </w:rPr>
        <w:t>1.4.3发包人对工程的技术标准和功能要求的特殊要求：</w:t>
      </w:r>
      <w:r>
        <w:rPr>
          <w:rFonts w:hint="eastAsia" w:ascii="宋体" w:hAnsi="宋体" w:cs="宋体"/>
          <w:b/>
          <w:bCs/>
          <w:highlight w:val="none"/>
          <w:u w:val="single"/>
        </w:rPr>
        <w:t xml:space="preserve">按磋商文件第三章采购需求书中的技术标准约定 </w:t>
      </w:r>
      <w:r>
        <w:rPr>
          <w:rFonts w:hint="eastAsia" w:ascii="宋体" w:hAnsi="宋体" w:cs="宋体"/>
          <w:highlight w:val="none"/>
          <w:u w:val="single"/>
        </w:rPr>
        <w:t xml:space="preserve">  </w:t>
      </w:r>
      <w:r>
        <w:rPr>
          <w:rFonts w:hint="eastAsia" w:ascii="宋体" w:hAnsi="宋体" w:cs="宋体"/>
          <w:highlight w:val="none"/>
        </w:rPr>
        <w:t>。</w:t>
      </w:r>
    </w:p>
    <w:p w14:paraId="19503F98">
      <w:pPr>
        <w:pStyle w:val="104"/>
        <w:adjustRightInd w:val="0"/>
        <w:snapToGrid w:val="0"/>
        <w:spacing w:line="360" w:lineRule="exact"/>
        <w:ind w:firstLine="420" w:firstLineChars="200"/>
        <w:rPr>
          <w:rFonts w:ascii="宋体" w:hAnsi="宋体" w:cs="宋体"/>
          <w:highlight w:val="none"/>
        </w:rPr>
      </w:pPr>
      <w:r>
        <w:rPr>
          <w:rFonts w:hint="eastAsia" w:ascii="宋体" w:hAnsi="宋体" w:cs="宋体"/>
          <w:highlight w:val="none"/>
        </w:rPr>
        <w:t>1.5 合同文件的优先顺序</w:t>
      </w:r>
    </w:p>
    <w:p w14:paraId="36A46D0E">
      <w:pPr>
        <w:pStyle w:val="104"/>
        <w:adjustRightInd w:val="0"/>
        <w:snapToGrid w:val="0"/>
        <w:spacing w:line="360" w:lineRule="exact"/>
        <w:ind w:firstLine="420" w:firstLineChars="200"/>
        <w:rPr>
          <w:rFonts w:ascii="宋体" w:hAnsi="宋体" w:cs="宋体"/>
          <w:highlight w:val="none"/>
        </w:rPr>
      </w:pPr>
      <w:r>
        <w:rPr>
          <w:rFonts w:hint="eastAsia" w:ascii="宋体" w:hAnsi="宋体" w:cs="宋体"/>
          <w:highlight w:val="none"/>
        </w:rPr>
        <w:t>合同文件组成及优先顺序为：</w:t>
      </w:r>
      <w:r>
        <w:rPr>
          <w:rFonts w:hint="eastAsia" w:ascii="宋体" w:hAnsi="宋体" w:cs="宋体"/>
          <w:b/>
          <w:bCs/>
          <w:highlight w:val="none"/>
          <w:u w:val="single"/>
        </w:rPr>
        <w:t>（1）合同协议书；（2）成交通知书；（3）磋商文件、答疑、磋商记录及补充文件；（4）响应文件及其附件；（5）专用合同条款及其附件；（6）通用合同条款；（7）技术标准和要求；（8）图纸（如有）；（9）已标价工程量清单或预算书；（10）其他合同文件。</w:t>
      </w:r>
    </w:p>
    <w:p w14:paraId="5CF88CD3">
      <w:pPr>
        <w:pStyle w:val="104"/>
        <w:adjustRightInd w:val="0"/>
        <w:snapToGrid w:val="0"/>
        <w:spacing w:line="360" w:lineRule="exact"/>
        <w:ind w:firstLine="420" w:firstLineChars="200"/>
        <w:rPr>
          <w:rFonts w:ascii="宋体" w:hAnsi="宋体" w:cs="宋体"/>
          <w:highlight w:val="none"/>
        </w:rPr>
      </w:pPr>
      <w:r>
        <w:rPr>
          <w:rFonts w:hint="eastAsia" w:ascii="宋体" w:hAnsi="宋体" w:cs="宋体"/>
          <w:highlight w:val="none"/>
        </w:rPr>
        <w:t>1.6 图纸和承包人文件</w:t>
      </w:r>
      <w:r>
        <w:rPr>
          <w:rFonts w:hint="eastAsia" w:ascii="宋体" w:hAnsi="宋体" w:cs="宋体"/>
          <w:highlight w:val="none"/>
        </w:rPr>
        <w:tab/>
      </w:r>
    </w:p>
    <w:p w14:paraId="463F5338">
      <w:pPr>
        <w:pStyle w:val="104"/>
        <w:adjustRightInd w:val="0"/>
        <w:snapToGrid w:val="0"/>
        <w:spacing w:line="360" w:lineRule="exact"/>
        <w:ind w:firstLine="420" w:firstLineChars="200"/>
        <w:rPr>
          <w:rFonts w:ascii="宋体" w:hAnsi="宋体" w:cs="宋体"/>
          <w:highlight w:val="none"/>
        </w:rPr>
      </w:pPr>
      <w:r>
        <w:rPr>
          <w:rFonts w:hint="eastAsia" w:ascii="宋体" w:hAnsi="宋体" w:cs="宋体"/>
          <w:highlight w:val="none"/>
        </w:rPr>
        <w:t>1.6.1 图纸的提供</w:t>
      </w:r>
    </w:p>
    <w:p w14:paraId="066859A6">
      <w:pPr>
        <w:pStyle w:val="104"/>
        <w:adjustRightInd w:val="0"/>
        <w:snapToGrid w:val="0"/>
        <w:spacing w:line="360" w:lineRule="exact"/>
        <w:ind w:firstLine="420" w:firstLineChars="200"/>
        <w:rPr>
          <w:rFonts w:ascii="宋体" w:hAnsi="宋体" w:cs="宋体"/>
          <w:highlight w:val="none"/>
        </w:rPr>
      </w:pPr>
      <w:r>
        <w:rPr>
          <w:rFonts w:hint="eastAsia" w:ascii="宋体" w:hAnsi="宋体" w:cs="宋体"/>
          <w:highlight w:val="none"/>
        </w:rPr>
        <w:t>发包人向承包人提供图纸的期限：</w:t>
      </w:r>
      <w:r>
        <w:rPr>
          <w:rFonts w:hint="eastAsia" w:ascii="宋体" w:hAnsi="宋体" w:cs="宋体"/>
          <w:highlight w:val="none"/>
          <w:u w:val="single"/>
        </w:rPr>
        <w:t xml:space="preserve">   /     </w:t>
      </w:r>
      <w:r>
        <w:rPr>
          <w:rFonts w:hint="eastAsia" w:ascii="宋体" w:hAnsi="宋体" w:cs="宋体"/>
          <w:highlight w:val="none"/>
        </w:rPr>
        <w:t>；</w:t>
      </w:r>
    </w:p>
    <w:p w14:paraId="6C43E1A9">
      <w:pPr>
        <w:pStyle w:val="128"/>
        <w:adjustRightInd w:val="0"/>
        <w:snapToGrid w:val="0"/>
        <w:spacing w:line="360" w:lineRule="exact"/>
        <w:ind w:firstLine="420" w:firstLineChars="200"/>
        <w:rPr>
          <w:rFonts w:ascii="宋体" w:hAnsi="宋体" w:eastAsia="宋体" w:cs="宋体"/>
          <w:b/>
          <w:bCs/>
          <w:color w:val="auto"/>
          <w:highlight w:val="none"/>
          <w:u w:val="single"/>
        </w:rPr>
      </w:pPr>
      <w:r>
        <w:rPr>
          <w:rFonts w:hint="eastAsia" w:ascii="宋体" w:hAnsi="宋体" w:eastAsia="宋体" w:cs="宋体"/>
          <w:color w:val="auto"/>
          <w:highlight w:val="none"/>
        </w:rPr>
        <w:t>发包人向承包人提供图纸的数量：</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0334FE9E">
      <w:pPr>
        <w:pStyle w:val="104"/>
        <w:adjustRightInd w:val="0"/>
        <w:snapToGrid w:val="0"/>
        <w:spacing w:line="360" w:lineRule="exact"/>
        <w:ind w:firstLine="420" w:firstLineChars="200"/>
        <w:rPr>
          <w:rFonts w:ascii="宋体" w:hAnsi="宋体" w:cs="宋体"/>
          <w:kern w:val="0"/>
          <w:highlight w:val="none"/>
          <w:u w:val="single"/>
        </w:rPr>
      </w:pPr>
      <w:r>
        <w:rPr>
          <w:rFonts w:hint="eastAsia" w:ascii="宋体" w:hAnsi="宋体" w:cs="宋体"/>
          <w:highlight w:val="none"/>
        </w:rPr>
        <w:t>发包人向承包人提供图纸的内容：</w:t>
      </w:r>
      <w:r>
        <w:rPr>
          <w:rFonts w:hint="eastAsia" w:ascii="宋体" w:hAnsi="宋体" w:cs="宋体"/>
          <w:highlight w:val="none"/>
          <w:u w:val="single"/>
        </w:rPr>
        <w:t xml:space="preserve">   /     </w:t>
      </w:r>
      <w:r>
        <w:rPr>
          <w:rFonts w:hint="eastAsia" w:ascii="宋体" w:hAnsi="宋体" w:cs="宋体"/>
          <w:kern w:val="0"/>
          <w:highlight w:val="none"/>
        </w:rPr>
        <w:t>。</w:t>
      </w:r>
    </w:p>
    <w:p w14:paraId="2318AE5E">
      <w:pPr>
        <w:pStyle w:val="104"/>
        <w:adjustRightInd w:val="0"/>
        <w:snapToGrid w:val="0"/>
        <w:spacing w:line="360" w:lineRule="exact"/>
        <w:ind w:firstLine="420" w:firstLineChars="200"/>
        <w:rPr>
          <w:rFonts w:ascii="宋体" w:hAnsi="宋体" w:cs="宋体"/>
          <w:highlight w:val="none"/>
        </w:rPr>
      </w:pPr>
      <w:r>
        <w:rPr>
          <w:rFonts w:hint="eastAsia" w:ascii="宋体" w:hAnsi="宋体" w:cs="宋体"/>
          <w:highlight w:val="none"/>
        </w:rPr>
        <w:t>1.6.4 承包人文件</w:t>
      </w:r>
    </w:p>
    <w:p w14:paraId="04E6241F">
      <w:pPr>
        <w:pStyle w:val="104"/>
        <w:adjustRightInd w:val="0"/>
        <w:snapToGrid w:val="0"/>
        <w:spacing w:line="360" w:lineRule="exact"/>
        <w:ind w:firstLine="420" w:firstLineChars="200"/>
        <w:jc w:val="left"/>
        <w:rPr>
          <w:rFonts w:ascii="宋体" w:hAnsi="宋体" w:cs="宋体"/>
          <w:highlight w:val="none"/>
        </w:rPr>
      </w:pPr>
      <w:r>
        <w:rPr>
          <w:rFonts w:hint="eastAsia" w:ascii="宋体" w:hAnsi="宋体" w:cs="宋体"/>
          <w:highlight w:val="none"/>
        </w:rPr>
        <w:t>需要由承包人提供的文件，包括：</w:t>
      </w:r>
      <w:r>
        <w:rPr>
          <w:rFonts w:hint="eastAsia" w:ascii="宋体" w:hAnsi="宋体" w:cs="宋体"/>
          <w:b/>
          <w:bCs/>
          <w:highlight w:val="none"/>
          <w:u w:val="single"/>
        </w:rPr>
        <w:t>施工方案和进度计划</w:t>
      </w:r>
      <w:r>
        <w:rPr>
          <w:rFonts w:hint="eastAsia" w:ascii="宋体" w:hAnsi="宋体" w:cs="宋体"/>
          <w:highlight w:val="none"/>
        </w:rPr>
        <w:t>；</w:t>
      </w:r>
    </w:p>
    <w:p w14:paraId="0C0466D2">
      <w:pPr>
        <w:pStyle w:val="104"/>
        <w:adjustRightInd w:val="0"/>
        <w:snapToGrid w:val="0"/>
        <w:spacing w:line="360" w:lineRule="exact"/>
        <w:ind w:firstLine="420" w:firstLineChars="200"/>
        <w:rPr>
          <w:rFonts w:ascii="宋体" w:hAnsi="宋体" w:cs="宋体"/>
          <w:highlight w:val="none"/>
        </w:rPr>
      </w:pPr>
      <w:r>
        <w:rPr>
          <w:rFonts w:hint="eastAsia" w:ascii="宋体" w:hAnsi="宋体" w:cs="宋体"/>
          <w:highlight w:val="none"/>
        </w:rPr>
        <w:t>承包人提供的文件的期限为：</w:t>
      </w:r>
      <w:r>
        <w:rPr>
          <w:rFonts w:hint="eastAsia" w:ascii="宋体" w:hAnsi="宋体" w:cs="宋体"/>
          <w:b/>
          <w:bCs/>
          <w:highlight w:val="none"/>
          <w:u w:val="single"/>
        </w:rPr>
        <w:t>开工前7天提供</w:t>
      </w:r>
      <w:r>
        <w:rPr>
          <w:rFonts w:hint="eastAsia" w:ascii="宋体" w:hAnsi="宋体" w:cs="宋体"/>
          <w:highlight w:val="none"/>
          <w:u w:val="single"/>
        </w:rPr>
        <w:t xml:space="preserve">        </w:t>
      </w:r>
      <w:r>
        <w:rPr>
          <w:rFonts w:hint="eastAsia" w:ascii="宋体" w:hAnsi="宋体" w:cs="宋体"/>
          <w:highlight w:val="none"/>
        </w:rPr>
        <w:t>；</w:t>
      </w:r>
    </w:p>
    <w:p w14:paraId="1FE94A8D">
      <w:pPr>
        <w:pStyle w:val="104"/>
        <w:adjustRightInd w:val="0"/>
        <w:snapToGrid w:val="0"/>
        <w:spacing w:line="360" w:lineRule="exact"/>
        <w:ind w:firstLine="420" w:firstLineChars="200"/>
        <w:rPr>
          <w:rFonts w:ascii="宋体" w:hAnsi="宋体" w:cs="宋体"/>
          <w:highlight w:val="none"/>
        </w:rPr>
      </w:pPr>
      <w:r>
        <w:rPr>
          <w:rFonts w:hint="eastAsia" w:ascii="宋体" w:hAnsi="宋体" w:cs="宋体"/>
          <w:highlight w:val="none"/>
        </w:rPr>
        <w:t>承包人提供的文件的数量为：</w:t>
      </w:r>
      <w:r>
        <w:rPr>
          <w:rFonts w:hint="eastAsia" w:ascii="宋体" w:hAnsi="宋体" w:cs="宋体"/>
          <w:b/>
          <w:bCs/>
          <w:highlight w:val="none"/>
          <w:u w:val="single"/>
        </w:rPr>
        <w:t xml:space="preserve">三套 </w:t>
      </w:r>
      <w:r>
        <w:rPr>
          <w:rFonts w:hint="eastAsia" w:ascii="宋体" w:hAnsi="宋体" w:cs="宋体"/>
          <w:highlight w:val="none"/>
          <w:u w:val="single"/>
        </w:rPr>
        <w:t xml:space="preserve">                 </w:t>
      </w:r>
      <w:r>
        <w:rPr>
          <w:rFonts w:hint="eastAsia" w:ascii="宋体" w:hAnsi="宋体" w:cs="宋体"/>
          <w:highlight w:val="none"/>
        </w:rPr>
        <w:t>；</w:t>
      </w:r>
    </w:p>
    <w:p w14:paraId="53DDC8E8">
      <w:pPr>
        <w:pStyle w:val="104"/>
        <w:adjustRightInd w:val="0"/>
        <w:snapToGrid w:val="0"/>
        <w:spacing w:line="360" w:lineRule="exact"/>
        <w:ind w:firstLine="420" w:firstLineChars="200"/>
        <w:rPr>
          <w:rFonts w:ascii="宋体" w:hAnsi="宋体" w:cs="宋体"/>
          <w:highlight w:val="none"/>
        </w:rPr>
      </w:pPr>
      <w:r>
        <w:rPr>
          <w:rFonts w:hint="eastAsia" w:ascii="宋体" w:hAnsi="宋体" w:cs="宋体"/>
          <w:highlight w:val="none"/>
        </w:rPr>
        <w:t>承包人提供的文件的形式为：</w:t>
      </w:r>
      <w:r>
        <w:rPr>
          <w:rFonts w:hint="eastAsia" w:ascii="宋体" w:hAnsi="宋体" w:cs="宋体"/>
          <w:b/>
          <w:bCs/>
          <w:highlight w:val="none"/>
          <w:u w:val="single"/>
        </w:rPr>
        <w:t>书面文件</w:t>
      </w:r>
      <w:r>
        <w:rPr>
          <w:rFonts w:hint="eastAsia" w:ascii="宋体" w:hAnsi="宋体" w:cs="宋体"/>
          <w:highlight w:val="none"/>
          <w:u w:val="single"/>
        </w:rPr>
        <w:t xml:space="preserve">              </w:t>
      </w:r>
      <w:r>
        <w:rPr>
          <w:rFonts w:hint="eastAsia" w:ascii="宋体" w:hAnsi="宋体" w:cs="宋体"/>
          <w:highlight w:val="none"/>
        </w:rPr>
        <w:t>；</w:t>
      </w:r>
    </w:p>
    <w:p w14:paraId="7E714345">
      <w:pPr>
        <w:pStyle w:val="104"/>
        <w:adjustRightInd w:val="0"/>
        <w:snapToGrid w:val="0"/>
        <w:spacing w:line="360" w:lineRule="exact"/>
        <w:ind w:firstLine="420" w:firstLineChars="200"/>
        <w:rPr>
          <w:rFonts w:ascii="宋体" w:hAnsi="宋体" w:cs="宋体"/>
          <w:highlight w:val="none"/>
        </w:rPr>
      </w:pPr>
      <w:r>
        <w:rPr>
          <w:rFonts w:hint="eastAsia" w:ascii="宋体" w:hAnsi="宋体" w:cs="宋体"/>
          <w:highlight w:val="none"/>
        </w:rPr>
        <w:t>发包人审批承包人文件的期限：</w:t>
      </w:r>
      <w:r>
        <w:rPr>
          <w:rFonts w:hint="eastAsia" w:ascii="宋体" w:hAnsi="宋体" w:cs="宋体"/>
          <w:b/>
          <w:bCs/>
          <w:highlight w:val="none"/>
          <w:u w:val="single"/>
        </w:rPr>
        <w:t>收到报告后7天内</w:t>
      </w:r>
      <w:r>
        <w:rPr>
          <w:rFonts w:hint="eastAsia" w:ascii="宋体" w:hAnsi="宋体" w:cs="宋体"/>
          <w:highlight w:val="none"/>
          <w:u w:val="single"/>
        </w:rPr>
        <w:t xml:space="preserve">    </w:t>
      </w:r>
      <w:r>
        <w:rPr>
          <w:rFonts w:hint="eastAsia" w:ascii="宋体" w:hAnsi="宋体" w:cs="宋体"/>
          <w:highlight w:val="none"/>
        </w:rPr>
        <w:t>。</w:t>
      </w:r>
    </w:p>
    <w:p w14:paraId="5A2EA9D9">
      <w:pPr>
        <w:pStyle w:val="104"/>
        <w:adjustRightInd w:val="0"/>
        <w:snapToGrid w:val="0"/>
        <w:spacing w:line="360" w:lineRule="exact"/>
        <w:ind w:firstLine="420" w:firstLineChars="200"/>
        <w:rPr>
          <w:rFonts w:ascii="宋体" w:hAnsi="宋体" w:cs="宋体"/>
          <w:highlight w:val="none"/>
        </w:rPr>
      </w:pPr>
      <w:r>
        <w:rPr>
          <w:rFonts w:hint="eastAsia" w:ascii="宋体" w:hAnsi="宋体" w:cs="宋体"/>
          <w:highlight w:val="none"/>
        </w:rPr>
        <w:t>1.6.5 现场图纸准备</w:t>
      </w:r>
    </w:p>
    <w:p w14:paraId="4B36C65E">
      <w:pPr>
        <w:pStyle w:val="104"/>
        <w:adjustRightInd w:val="0"/>
        <w:snapToGrid w:val="0"/>
        <w:spacing w:line="360" w:lineRule="exact"/>
        <w:ind w:firstLine="420" w:firstLineChars="200"/>
        <w:rPr>
          <w:rFonts w:ascii="宋体" w:hAnsi="宋体" w:cs="宋体"/>
          <w:highlight w:val="none"/>
        </w:rPr>
      </w:pPr>
      <w:r>
        <w:rPr>
          <w:rFonts w:hint="eastAsia" w:ascii="宋体" w:hAnsi="宋体" w:cs="宋体"/>
          <w:highlight w:val="none"/>
        </w:rPr>
        <w:t>关于现场图纸准备的约定：</w:t>
      </w:r>
      <w:r>
        <w:rPr>
          <w:rFonts w:hint="eastAsia" w:ascii="宋体" w:hAnsi="宋体" w:cs="宋体"/>
          <w:b/>
          <w:bCs/>
          <w:highlight w:val="none"/>
          <w:u w:val="single"/>
        </w:rPr>
        <w:t>按通用合同条款第1.6.5条规定执行</w:t>
      </w:r>
      <w:r>
        <w:rPr>
          <w:rFonts w:hint="eastAsia" w:ascii="宋体" w:hAnsi="宋体" w:cs="宋体"/>
          <w:highlight w:val="none"/>
          <w:u w:val="single"/>
        </w:rPr>
        <w:t xml:space="preserve">    </w:t>
      </w:r>
      <w:r>
        <w:rPr>
          <w:rFonts w:hint="eastAsia" w:ascii="宋体" w:hAnsi="宋体" w:cs="宋体"/>
          <w:highlight w:val="none"/>
        </w:rPr>
        <w:t>。</w:t>
      </w:r>
    </w:p>
    <w:p w14:paraId="0F64EA81">
      <w:pPr>
        <w:pStyle w:val="104"/>
        <w:adjustRightInd w:val="0"/>
        <w:snapToGrid w:val="0"/>
        <w:spacing w:line="360" w:lineRule="exact"/>
        <w:ind w:firstLine="420" w:firstLineChars="200"/>
        <w:rPr>
          <w:rFonts w:ascii="宋体" w:hAnsi="宋体" w:cs="宋体"/>
          <w:highlight w:val="none"/>
        </w:rPr>
      </w:pPr>
      <w:r>
        <w:rPr>
          <w:rFonts w:hint="eastAsia" w:ascii="宋体" w:hAnsi="宋体" w:cs="宋体"/>
          <w:highlight w:val="none"/>
        </w:rPr>
        <w:t>1.7 联络</w:t>
      </w:r>
    </w:p>
    <w:p w14:paraId="2D850EFC">
      <w:pPr>
        <w:pStyle w:val="104"/>
        <w:adjustRightInd w:val="0"/>
        <w:snapToGrid w:val="0"/>
        <w:spacing w:line="360" w:lineRule="exact"/>
        <w:ind w:firstLine="420" w:firstLineChars="200"/>
        <w:rPr>
          <w:rFonts w:ascii="宋体" w:hAnsi="宋体" w:cs="宋体"/>
          <w:kern w:val="0"/>
          <w:highlight w:val="none"/>
        </w:rPr>
      </w:pPr>
      <w:r>
        <w:rPr>
          <w:rFonts w:hint="eastAsia" w:ascii="宋体" w:hAnsi="宋体" w:cs="宋体"/>
          <w:kern w:val="0"/>
          <w:highlight w:val="none"/>
        </w:rPr>
        <w:t>1.7.1发包人和承包人应当在</w:t>
      </w:r>
      <w:r>
        <w:rPr>
          <w:rFonts w:hint="eastAsia" w:ascii="宋体" w:hAnsi="宋体" w:cs="宋体"/>
          <w:b/>
          <w:bCs/>
          <w:highlight w:val="none"/>
          <w:u w:val="single"/>
        </w:rPr>
        <w:t>7</w:t>
      </w:r>
      <w:r>
        <w:rPr>
          <w:rFonts w:hint="eastAsia" w:ascii="宋体" w:hAnsi="宋体" w:cs="宋体"/>
          <w:highlight w:val="none"/>
          <w:u w:val="single"/>
        </w:rPr>
        <w:t xml:space="preserve">  </w:t>
      </w:r>
      <w:r>
        <w:rPr>
          <w:rFonts w:hint="eastAsia" w:ascii="宋体" w:hAnsi="宋体" w:cs="宋体"/>
          <w:kern w:val="0"/>
          <w:highlight w:val="none"/>
        </w:rPr>
        <w:t>天内将与合同有关的通知、批准、证明、证书、指示、指令、要求、请求、同意、意见、确定和决定等书面函件送达对方当事人。</w:t>
      </w:r>
    </w:p>
    <w:p w14:paraId="649CB542">
      <w:pPr>
        <w:pStyle w:val="104"/>
        <w:adjustRightInd w:val="0"/>
        <w:snapToGrid w:val="0"/>
        <w:spacing w:line="360" w:lineRule="exact"/>
        <w:ind w:firstLine="420" w:firstLineChars="200"/>
        <w:rPr>
          <w:rFonts w:ascii="宋体" w:hAnsi="宋体" w:cs="宋体"/>
          <w:kern w:val="0"/>
          <w:highlight w:val="none"/>
        </w:rPr>
      </w:pPr>
      <w:r>
        <w:rPr>
          <w:rFonts w:hint="eastAsia" w:ascii="宋体" w:hAnsi="宋体" w:cs="宋体"/>
          <w:kern w:val="0"/>
          <w:highlight w:val="none"/>
        </w:rPr>
        <w:t>1.7.2 发包人接收文件的地点：</w:t>
      </w:r>
      <w:r>
        <w:rPr>
          <w:rFonts w:hint="eastAsia" w:ascii="宋体" w:hAnsi="宋体" w:cs="宋体"/>
          <w:b/>
          <w:bCs/>
          <w:highlight w:val="none"/>
          <w:u w:val="single"/>
        </w:rPr>
        <w:t>行政楼后勤服务处</w:t>
      </w:r>
      <w:r>
        <w:rPr>
          <w:rFonts w:hint="eastAsia" w:ascii="宋体" w:hAnsi="宋体" w:cs="宋体"/>
          <w:highlight w:val="none"/>
          <w:u w:val="single"/>
        </w:rPr>
        <w:t xml:space="preserve">  </w:t>
      </w:r>
      <w:r>
        <w:rPr>
          <w:rFonts w:hint="eastAsia" w:ascii="宋体" w:hAnsi="宋体" w:cs="宋体"/>
          <w:kern w:val="0"/>
          <w:highlight w:val="none"/>
        </w:rPr>
        <w:t>；</w:t>
      </w:r>
    </w:p>
    <w:p w14:paraId="6AE28B67">
      <w:pPr>
        <w:pStyle w:val="104"/>
        <w:adjustRightInd w:val="0"/>
        <w:snapToGrid w:val="0"/>
        <w:spacing w:line="360" w:lineRule="exact"/>
        <w:ind w:firstLine="420" w:firstLineChars="200"/>
        <w:rPr>
          <w:rFonts w:ascii="宋体" w:hAnsi="宋体" w:cs="宋体"/>
          <w:kern w:val="0"/>
          <w:highlight w:val="none"/>
        </w:rPr>
      </w:pPr>
      <w:r>
        <w:rPr>
          <w:rFonts w:hint="eastAsia" w:ascii="宋体" w:hAnsi="宋体" w:cs="宋体"/>
          <w:kern w:val="0"/>
          <w:highlight w:val="none"/>
        </w:rPr>
        <w:t>发包人指定的接收人为：</w:t>
      </w:r>
      <w:r>
        <w:rPr>
          <w:rFonts w:hint="eastAsia" w:ascii="宋体" w:hAnsi="宋体" w:cs="宋体"/>
          <w:highlight w:val="none"/>
          <w:u w:val="single"/>
        </w:rPr>
        <w:t xml:space="preserve">                  </w:t>
      </w:r>
      <w:r>
        <w:rPr>
          <w:rFonts w:hint="eastAsia" w:ascii="宋体" w:hAnsi="宋体" w:cs="宋体"/>
          <w:kern w:val="0"/>
          <w:highlight w:val="none"/>
        </w:rPr>
        <w:t>。</w:t>
      </w:r>
    </w:p>
    <w:p w14:paraId="100AD3E0">
      <w:pPr>
        <w:pStyle w:val="104"/>
        <w:adjustRightInd w:val="0"/>
        <w:snapToGrid w:val="0"/>
        <w:spacing w:line="360" w:lineRule="exact"/>
        <w:ind w:firstLine="420" w:firstLineChars="200"/>
        <w:rPr>
          <w:rFonts w:ascii="宋体" w:hAnsi="宋体" w:cs="宋体"/>
          <w:kern w:val="0"/>
          <w:highlight w:val="none"/>
        </w:rPr>
      </w:pPr>
      <w:r>
        <w:rPr>
          <w:rFonts w:hint="eastAsia" w:ascii="宋体" w:hAnsi="宋体" w:cs="宋体"/>
          <w:kern w:val="0"/>
          <w:highlight w:val="none"/>
        </w:rPr>
        <w:t>承包人接收文件的地点：</w:t>
      </w:r>
      <w:r>
        <w:rPr>
          <w:rFonts w:hint="eastAsia" w:ascii="宋体" w:hAnsi="宋体" w:cs="宋体"/>
          <w:b/>
          <w:bCs/>
          <w:highlight w:val="none"/>
          <w:u w:val="single"/>
        </w:rPr>
        <w:t>施工现场</w:t>
      </w:r>
      <w:r>
        <w:rPr>
          <w:rFonts w:hint="eastAsia" w:ascii="宋体" w:hAnsi="宋体" w:cs="宋体"/>
          <w:highlight w:val="none"/>
          <w:u w:val="single"/>
        </w:rPr>
        <w:t xml:space="preserve">          </w:t>
      </w:r>
      <w:r>
        <w:rPr>
          <w:rFonts w:hint="eastAsia" w:ascii="宋体" w:hAnsi="宋体" w:cs="宋体"/>
          <w:kern w:val="0"/>
          <w:highlight w:val="none"/>
        </w:rPr>
        <w:t>；</w:t>
      </w:r>
    </w:p>
    <w:p w14:paraId="0A6EE9C2">
      <w:pPr>
        <w:pStyle w:val="104"/>
        <w:adjustRightInd w:val="0"/>
        <w:snapToGrid w:val="0"/>
        <w:spacing w:line="360" w:lineRule="exact"/>
        <w:ind w:firstLine="420" w:firstLineChars="200"/>
        <w:rPr>
          <w:rFonts w:ascii="宋体" w:hAnsi="宋体" w:cs="宋体"/>
          <w:kern w:val="0"/>
          <w:highlight w:val="none"/>
        </w:rPr>
      </w:pPr>
      <w:r>
        <w:rPr>
          <w:rFonts w:hint="eastAsia" w:ascii="宋体" w:hAnsi="宋体" w:cs="宋体"/>
          <w:kern w:val="0"/>
          <w:highlight w:val="none"/>
        </w:rPr>
        <w:t>承包人指定的接收人为：</w:t>
      </w:r>
      <w:r>
        <w:rPr>
          <w:rFonts w:hint="eastAsia" w:ascii="宋体" w:hAnsi="宋体" w:cs="宋体"/>
          <w:highlight w:val="none"/>
          <w:u w:val="single"/>
        </w:rPr>
        <w:t xml:space="preserve">                  </w:t>
      </w:r>
      <w:r>
        <w:rPr>
          <w:rFonts w:hint="eastAsia" w:ascii="宋体" w:hAnsi="宋体" w:cs="宋体"/>
          <w:kern w:val="0"/>
          <w:highlight w:val="none"/>
        </w:rPr>
        <w:t>。</w:t>
      </w:r>
    </w:p>
    <w:p w14:paraId="5C0A5F7D">
      <w:pPr>
        <w:pStyle w:val="104"/>
        <w:adjustRightInd w:val="0"/>
        <w:snapToGrid w:val="0"/>
        <w:spacing w:line="360" w:lineRule="exact"/>
        <w:ind w:firstLine="420" w:firstLineChars="200"/>
        <w:rPr>
          <w:rFonts w:ascii="宋体" w:hAnsi="宋体" w:cs="宋体"/>
          <w:kern w:val="0"/>
          <w:highlight w:val="none"/>
        </w:rPr>
      </w:pPr>
      <w:r>
        <w:rPr>
          <w:rFonts w:hint="eastAsia" w:ascii="宋体" w:hAnsi="宋体" w:cs="宋体"/>
          <w:kern w:val="0"/>
          <w:highlight w:val="none"/>
        </w:rPr>
        <w:t>监理人接收文件的地点：</w:t>
      </w:r>
      <w:r>
        <w:rPr>
          <w:rFonts w:hint="eastAsia" w:ascii="宋体" w:hAnsi="宋体" w:cs="宋体"/>
          <w:kern w:val="0"/>
          <w:highlight w:val="none"/>
          <w:u w:val="single"/>
        </w:rPr>
        <w:t xml:space="preserve">        </w:t>
      </w:r>
      <w:r>
        <w:rPr>
          <w:rFonts w:hint="eastAsia" w:ascii="宋体" w:hAnsi="宋体" w:cs="宋体"/>
          <w:b/>
          <w:bCs/>
          <w:kern w:val="0"/>
          <w:highlight w:val="none"/>
          <w:u w:val="single"/>
        </w:rPr>
        <w:t>/</w:t>
      </w:r>
      <w:r>
        <w:rPr>
          <w:rFonts w:hint="eastAsia" w:ascii="宋体" w:hAnsi="宋体" w:cs="宋体"/>
          <w:kern w:val="0"/>
          <w:highlight w:val="none"/>
          <w:u w:val="single"/>
        </w:rPr>
        <w:t xml:space="preserve">    </w:t>
      </w:r>
      <w:r>
        <w:rPr>
          <w:rFonts w:hint="eastAsia" w:ascii="宋体" w:hAnsi="宋体" w:cs="宋体"/>
          <w:highlight w:val="none"/>
          <w:u w:val="single"/>
        </w:rPr>
        <w:t xml:space="preserve">     </w:t>
      </w:r>
      <w:r>
        <w:rPr>
          <w:rFonts w:hint="eastAsia" w:ascii="宋体" w:hAnsi="宋体" w:cs="宋体"/>
          <w:kern w:val="0"/>
          <w:highlight w:val="none"/>
        </w:rPr>
        <w:t>；</w:t>
      </w:r>
    </w:p>
    <w:p w14:paraId="14FE181A">
      <w:pPr>
        <w:pStyle w:val="104"/>
        <w:adjustRightInd w:val="0"/>
        <w:snapToGrid w:val="0"/>
        <w:spacing w:line="360" w:lineRule="exact"/>
        <w:ind w:firstLine="420" w:firstLineChars="200"/>
        <w:rPr>
          <w:rFonts w:ascii="宋体" w:hAnsi="宋体" w:cs="宋体"/>
          <w:kern w:val="0"/>
          <w:highlight w:val="none"/>
        </w:rPr>
      </w:pPr>
      <w:r>
        <w:rPr>
          <w:rFonts w:hint="eastAsia" w:ascii="宋体" w:hAnsi="宋体" w:cs="宋体"/>
          <w:kern w:val="0"/>
          <w:highlight w:val="none"/>
        </w:rPr>
        <w:t>监理人指定的接收人为：</w:t>
      </w:r>
      <w:r>
        <w:rPr>
          <w:rFonts w:hint="eastAsia" w:ascii="宋体" w:hAnsi="宋体" w:cs="宋体"/>
          <w:b/>
          <w:bCs/>
          <w:highlight w:val="none"/>
          <w:u w:val="single"/>
        </w:rPr>
        <w:t xml:space="preserve">       /     </w:t>
      </w:r>
      <w:r>
        <w:rPr>
          <w:rFonts w:hint="eastAsia" w:ascii="宋体" w:hAnsi="宋体" w:cs="宋体"/>
          <w:highlight w:val="none"/>
          <w:u w:val="single"/>
        </w:rPr>
        <w:t xml:space="preserve">     </w:t>
      </w:r>
      <w:r>
        <w:rPr>
          <w:rFonts w:hint="eastAsia" w:ascii="宋体" w:hAnsi="宋体" w:cs="宋体"/>
          <w:kern w:val="0"/>
          <w:highlight w:val="none"/>
        </w:rPr>
        <w:t>。</w:t>
      </w:r>
    </w:p>
    <w:p w14:paraId="72EF612D">
      <w:pPr>
        <w:pStyle w:val="104"/>
        <w:adjustRightInd w:val="0"/>
        <w:snapToGrid w:val="0"/>
        <w:spacing w:line="360" w:lineRule="exact"/>
        <w:ind w:firstLine="420" w:firstLineChars="200"/>
        <w:rPr>
          <w:rFonts w:ascii="宋体" w:hAnsi="宋体" w:cs="宋体"/>
          <w:highlight w:val="none"/>
        </w:rPr>
      </w:pPr>
      <w:r>
        <w:rPr>
          <w:rFonts w:hint="eastAsia" w:ascii="宋体" w:hAnsi="宋体" w:cs="宋体"/>
          <w:highlight w:val="none"/>
        </w:rPr>
        <w:t>1.10 交通运输</w:t>
      </w:r>
    </w:p>
    <w:p w14:paraId="64700357">
      <w:pPr>
        <w:pStyle w:val="104"/>
        <w:adjustRightInd w:val="0"/>
        <w:snapToGrid w:val="0"/>
        <w:spacing w:line="360" w:lineRule="exact"/>
        <w:ind w:firstLine="420" w:firstLineChars="200"/>
        <w:rPr>
          <w:rFonts w:ascii="宋体" w:hAnsi="宋体" w:cs="宋体"/>
          <w:highlight w:val="none"/>
        </w:rPr>
      </w:pPr>
      <w:r>
        <w:rPr>
          <w:rFonts w:hint="eastAsia" w:ascii="宋体" w:hAnsi="宋体" w:cs="宋体"/>
          <w:highlight w:val="none"/>
        </w:rPr>
        <w:t>1.10.1 出入现场的权利</w:t>
      </w:r>
    </w:p>
    <w:p w14:paraId="383D1485">
      <w:pPr>
        <w:pStyle w:val="104"/>
        <w:adjustRightInd w:val="0"/>
        <w:snapToGrid w:val="0"/>
        <w:spacing w:line="360" w:lineRule="exact"/>
        <w:ind w:firstLine="420" w:firstLineChars="200"/>
        <w:rPr>
          <w:rFonts w:ascii="宋体" w:hAnsi="宋体" w:cs="宋体"/>
          <w:highlight w:val="none"/>
        </w:rPr>
      </w:pPr>
      <w:r>
        <w:rPr>
          <w:rFonts w:hint="eastAsia" w:ascii="宋体" w:hAnsi="宋体" w:cs="宋体"/>
          <w:highlight w:val="none"/>
        </w:rPr>
        <w:t>关于出入现场的权利的约定：</w:t>
      </w:r>
      <w:r>
        <w:rPr>
          <w:rFonts w:hint="eastAsia" w:ascii="宋体" w:hAnsi="宋体" w:cs="宋体"/>
          <w:b/>
          <w:bCs/>
          <w:highlight w:val="none"/>
          <w:u w:val="single"/>
        </w:rPr>
        <w:t>按通用合同条款第1.10.1条规定执行</w:t>
      </w:r>
      <w:r>
        <w:rPr>
          <w:rFonts w:hint="eastAsia" w:ascii="宋体" w:hAnsi="宋体" w:cs="宋体"/>
          <w:highlight w:val="none"/>
          <w:u w:val="single"/>
        </w:rPr>
        <w:t xml:space="preserve">  </w:t>
      </w:r>
      <w:r>
        <w:rPr>
          <w:rFonts w:hint="eastAsia" w:ascii="宋体" w:hAnsi="宋体" w:cs="宋体"/>
          <w:highlight w:val="none"/>
        </w:rPr>
        <w:t>。</w:t>
      </w:r>
    </w:p>
    <w:p w14:paraId="1A490C15">
      <w:pPr>
        <w:pStyle w:val="104"/>
        <w:adjustRightInd w:val="0"/>
        <w:snapToGrid w:val="0"/>
        <w:spacing w:line="360" w:lineRule="exact"/>
        <w:ind w:firstLine="420" w:firstLineChars="200"/>
        <w:jc w:val="left"/>
        <w:rPr>
          <w:rFonts w:ascii="宋体" w:hAnsi="宋体" w:cs="宋体"/>
          <w:highlight w:val="none"/>
        </w:rPr>
      </w:pPr>
      <w:r>
        <w:rPr>
          <w:rFonts w:hint="eastAsia" w:ascii="宋体" w:hAnsi="宋体" w:cs="宋体"/>
          <w:highlight w:val="none"/>
        </w:rPr>
        <w:t>1.10.2 场内交通</w:t>
      </w:r>
    </w:p>
    <w:p w14:paraId="7F614C54">
      <w:pPr>
        <w:pStyle w:val="104"/>
        <w:adjustRightInd w:val="0"/>
        <w:snapToGrid w:val="0"/>
        <w:spacing w:line="360" w:lineRule="exact"/>
        <w:ind w:firstLine="420" w:firstLineChars="200"/>
        <w:jc w:val="left"/>
        <w:rPr>
          <w:rFonts w:ascii="宋体" w:hAnsi="宋体" w:cs="宋体"/>
          <w:kern w:val="0"/>
          <w:highlight w:val="none"/>
        </w:rPr>
      </w:pPr>
      <w:r>
        <w:rPr>
          <w:rFonts w:hint="eastAsia" w:ascii="宋体" w:hAnsi="宋体" w:cs="宋体"/>
          <w:kern w:val="0"/>
          <w:highlight w:val="none"/>
        </w:rPr>
        <w:t>关于场外交通和场内交通的边界的约定：</w:t>
      </w:r>
      <w:r>
        <w:rPr>
          <w:rFonts w:hint="eastAsia" w:ascii="宋体" w:hAnsi="宋体" w:cs="宋体"/>
          <w:b/>
          <w:bCs/>
          <w:highlight w:val="none"/>
          <w:u w:val="single"/>
        </w:rPr>
        <w:t>施工范围内的场地</w:t>
      </w:r>
      <w:r>
        <w:rPr>
          <w:rFonts w:hint="eastAsia" w:ascii="宋体" w:hAnsi="宋体" w:cs="宋体"/>
          <w:highlight w:val="none"/>
          <w:u w:val="single"/>
        </w:rPr>
        <w:t xml:space="preserve">   </w:t>
      </w:r>
      <w:r>
        <w:rPr>
          <w:rFonts w:hint="eastAsia" w:ascii="宋体" w:hAnsi="宋体" w:cs="宋体"/>
          <w:highlight w:val="none"/>
        </w:rPr>
        <w:t>。</w:t>
      </w:r>
    </w:p>
    <w:p w14:paraId="52BA3663">
      <w:pPr>
        <w:pStyle w:val="104"/>
        <w:adjustRightInd w:val="0"/>
        <w:snapToGrid w:val="0"/>
        <w:spacing w:line="360" w:lineRule="exact"/>
        <w:ind w:firstLine="420" w:firstLineChars="200"/>
        <w:jc w:val="left"/>
        <w:rPr>
          <w:rFonts w:ascii="宋体" w:hAnsi="宋体" w:cs="宋体"/>
          <w:highlight w:val="none"/>
        </w:rPr>
      </w:pPr>
      <w:r>
        <w:rPr>
          <w:rFonts w:hint="eastAsia" w:ascii="宋体" w:hAnsi="宋体" w:cs="宋体"/>
          <w:highlight w:val="none"/>
        </w:rPr>
        <w:t>关于发包人向承包人免费提供满足工程施工需要的场内道路和交通设施的约定：</w:t>
      </w:r>
      <w:r>
        <w:rPr>
          <w:rFonts w:hint="eastAsia" w:ascii="宋体" w:hAnsi="宋体" w:cs="宋体"/>
          <w:b/>
          <w:bCs/>
          <w:highlight w:val="none"/>
          <w:u w:val="single"/>
        </w:rPr>
        <w:t>开工前7天，发包人负责施工场地道路畅通，确保承包人施工车辆进出工地畅通；承包人须办理校内施工相关手续并承担相应费用</w:t>
      </w:r>
      <w:r>
        <w:rPr>
          <w:rFonts w:hint="eastAsia" w:ascii="宋体" w:hAnsi="宋体" w:cs="宋体"/>
          <w:highlight w:val="none"/>
        </w:rPr>
        <w:t xml:space="preserve">。  </w:t>
      </w:r>
    </w:p>
    <w:p w14:paraId="4CC5682E">
      <w:pPr>
        <w:pStyle w:val="104"/>
        <w:adjustRightInd w:val="0"/>
        <w:snapToGrid w:val="0"/>
        <w:spacing w:line="360" w:lineRule="exact"/>
        <w:ind w:firstLine="420" w:firstLineChars="200"/>
        <w:jc w:val="left"/>
        <w:rPr>
          <w:rFonts w:ascii="宋体" w:hAnsi="宋体" w:cs="宋体"/>
          <w:highlight w:val="none"/>
        </w:rPr>
      </w:pPr>
      <w:r>
        <w:rPr>
          <w:rFonts w:hint="eastAsia" w:ascii="宋体" w:hAnsi="宋体" w:cs="宋体"/>
          <w:highlight w:val="none"/>
        </w:rPr>
        <w:t>1.10.3超大件和超重件的运输</w:t>
      </w:r>
    </w:p>
    <w:p w14:paraId="4C3A7BFC">
      <w:pPr>
        <w:pStyle w:val="104"/>
        <w:adjustRightInd w:val="0"/>
        <w:snapToGrid w:val="0"/>
        <w:spacing w:line="360" w:lineRule="exact"/>
        <w:ind w:firstLine="420" w:firstLineChars="200"/>
        <w:jc w:val="left"/>
        <w:rPr>
          <w:rFonts w:ascii="宋体" w:hAnsi="宋体" w:cs="宋体"/>
          <w:highlight w:val="none"/>
        </w:rPr>
      </w:pPr>
      <w:r>
        <w:rPr>
          <w:rFonts w:hint="eastAsia" w:ascii="宋体" w:hAnsi="宋体" w:cs="宋体"/>
          <w:highlight w:val="none"/>
        </w:rPr>
        <w:t>运输超大件或超重件所需的道路和桥梁临时加固改造费用和其他有关费用由</w:t>
      </w:r>
      <w:r>
        <w:rPr>
          <w:rFonts w:hint="eastAsia" w:ascii="宋体" w:hAnsi="宋体" w:cs="宋体"/>
          <w:highlight w:val="none"/>
          <w:u w:val="single"/>
        </w:rPr>
        <w:t xml:space="preserve"> </w:t>
      </w:r>
      <w:r>
        <w:rPr>
          <w:rFonts w:hint="eastAsia" w:ascii="宋体" w:hAnsi="宋体" w:cs="宋体"/>
          <w:b/>
          <w:bCs/>
          <w:highlight w:val="none"/>
          <w:u w:val="single"/>
        </w:rPr>
        <w:t>承包人</w:t>
      </w:r>
      <w:r>
        <w:rPr>
          <w:rFonts w:hint="eastAsia" w:ascii="宋体" w:hAnsi="宋体" w:cs="宋体"/>
          <w:highlight w:val="none"/>
          <w:u w:val="single"/>
        </w:rPr>
        <w:t xml:space="preserve"> </w:t>
      </w:r>
      <w:r>
        <w:rPr>
          <w:rFonts w:hint="eastAsia" w:ascii="宋体" w:hAnsi="宋体" w:cs="宋体"/>
          <w:highlight w:val="none"/>
        </w:rPr>
        <w:t>承担。</w:t>
      </w:r>
    </w:p>
    <w:p w14:paraId="7AB35320">
      <w:pPr>
        <w:pStyle w:val="104"/>
        <w:adjustRightInd w:val="0"/>
        <w:snapToGrid w:val="0"/>
        <w:spacing w:line="360" w:lineRule="exact"/>
        <w:ind w:firstLine="420" w:firstLineChars="200"/>
        <w:rPr>
          <w:rFonts w:ascii="宋体" w:hAnsi="宋体" w:cs="宋体"/>
          <w:kern w:val="0"/>
          <w:highlight w:val="none"/>
        </w:rPr>
      </w:pPr>
      <w:r>
        <w:rPr>
          <w:rFonts w:hint="eastAsia" w:ascii="宋体" w:hAnsi="宋体" w:cs="宋体"/>
          <w:kern w:val="0"/>
          <w:highlight w:val="none"/>
        </w:rPr>
        <w:t>本工程的超大件：</w:t>
      </w:r>
      <w:r>
        <w:rPr>
          <w:rFonts w:hint="eastAsia" w:ascii="宋体" w:hAnsi="宋体" w:cs="宋体"/>
          <w:highlight w:val="none"/>
          <w:u w:val="single"/>
        </w:rPr>
        <w:t xml:space="preserve">   /     </w:t>
      </w:r>
      <w:r>
        <w:rPr>
          <w:rFonts w:hint="eastAsia" w:ascii="宋体" w:hAnsi="宋体" w:cs="宋体"/>
          <w:kern w:val="0"/>
          <w:highlight w:val="none"/>
        </w:rPr>
        <w:t>。</w:t>
      </w:r>
    </w:p>
    <w:p w14:paraId="4C88F7FF">
      <w:pPr>
        <w:pStyle w:val="104"/>
        <w:adjustRightInd w:val="0"/>
        <w:snapToGrid w:val="0"/>
        <w:spacing w:line="360" w:lineRule="exact"/>
        <w:ind w:firstLine="420" w:firstLineChars="200"/>
        <w:rPr>
          <w:rFonts w:ascii="宋体" w:hAnsi="宋体" w:cs="宋体"/>
          <w:kern w:val="0"/>
          <w:highlight w:val="none"/>
        </w:rPr>
      </w:pPr>
      <w:r>
        <w:rPr>
          <w:rFonts w:hint="eastAsia" w:ascii="宋体" w:hAnsi="宋体" w:cs="宋体"/>
          <w:kern w:val="0"/>
          <w:highlight w:val="none"/>
        </w:rPr>
        <w:t>本工程的超重件：</w:t>
      </w:r>
      <w:r>
        <w:rPr>
          <w:rFonts w:hint="eastAsia" w:ascii="宋体" w:hAnsi="宋体" w:cs="宋体"/>
          <w:highlight w:val="none"/>
          <w:u w:val="single"/>
        </w:rPr>
        <w:t xml:space="preserve">   /     </w:t>
      </w:r>
      <w:r>
        <w:rPr>
          <w:rFonts w:hint="eastAsia" w:ascii="宋体" w:hAnsi="宋体" w:cs="宋体"/>
          <w:kern w:val="0"/>
          <w:highlight w:val="none"/>
        </w:rPr>
        <w:t>。</w:t>
      </w:r>
    </w:p>
    <w:p w14:paraId="3D9ED7C4">
      <w:pPr>
        <w:pStyle w:val="104"/>
        <w:adjustRightInd w:val="0"/>
        <w:snapToGrid w:val="0"/>
        <w:spacing w:line="360" w:lineRule="exact"/>
        <w:ind w:firstLine="420" w:firstLineChars="200"/>
        <w:rPr>
          <w:rFonts w:ascii="宋体" w:hAnsi="宋体" w:cs="宋体"/>
          <w:highlight w:val="none"/>
        </w:rPr>
      </w:pPr>
      <w:r>
        <w:rPr>
          <w:rFonts w:hint="eastAsia" w:ascii="宋体" w:hAnsi="宋体" w:cs="宋体"/>
          <w:highlight w:val="none"/>
        </w:rPr>
        <w:t>1.11 知识产权</w:t>
      </w:r>
    </w:p>
    <w:p w14:paraId="11C843C9">
      <w:pPr>
        <w:pStyle w:val="104"/>
        <w:adjustRightInd w:val="0"/>
        <w:snapToGrid w:val="0"/>
        <w:spacing w:line="360" w:lineRule="exact"/>
        <w:ind w:firstLine="420" w:firstLineChars="200"/>
        <w:rPr>
          <w:rFonts w:ascii="宋体" w:hAnsi="宋体" w:cs="宋体"/>
          <w:highlight w:val="none"/>
        </w:rPr>
      </w:pPr>
      <w:r>
        <w:rPr>
          <w:rFonts w:hint="eastAsia" w:ascii="宋体" w:hAnsi="宋体" w:cs="宋体"/>
          <w:highlight w:val="none"/>
        </w:rPr>
        <w:t>1.11.1关于发包人提供给承包人的图纸、发包人为实施工程自行编制或委托编制的技术规范以及反映发包人关于合同要求或其他类似性质的文件的著作权的归属：</w:t>
      </w:r>
      <w:r>
        <w:rPr>
          <w:rFonts w:hint="eastAsia" w:ascii="宋体" w:hAnsi="宋体" w:cs="宋体"/>
          <w:b/>
          <w:bCs/>
          <w:highlight w:val="none"/>
          <w:u w:val="single"/>
        </w:rPr>
        <w:t>按通用合同条款第1.11.1条规定执行</w:t>
      </w:r>
      <w:r>
        <w:rPr>
          <w:rFonts w:hint="eastAsia" w:ascii="宋体" w:hAnsi="宋体" w:cs="宋体"/>
          <w:highlight w:val="none"/>
          <w:u w:val="single"/>
        </w:rPr>
        <w:t xml:space="preserve">    </w:t>
      </w:r>
      <w:r>
        <w:rPr>
          <w:rFonts w:hint="eastAsia" w:ascii="宋体" w:hAnsi="宋体" w:cs="宋体"/>
          <w:highlight w:val="none"/>
        </w:rPr>
        <w:t>。</w:t>
      </w:r>
    </w:p>
    <w:p w14:paraId="4ADD37BB">
      <w:pPr>
        <w:pStyle w:val="104"/>
        <w:adjustRightInd w:val="0"/>
        <w:snapToGrid w:val="0"/>
        <w:spacing w:line="360" w:lineRule="exact"/>
        <w:ind w:firstLine="420" w:firstLineChars="200"/>
        <w:rPr>
          <w:rFonts w:ascii="宋体" w:hAnsi="宋体" w:cs="宋体"/>
          <w:highlight w:val="none"/>
        </w:rPr>
      </w:pPr>
      <w:r>
        <w:rPr>
          <w:rFonts w:hint="eastAsia" w:ascii="宋体" w:hAnsi="宋体" w:cs="宋体"/>
          <w:highlight w:val="none"/>
        </w:rPr>
        <w:t>关于发包人提供的上述文件的使用限制的要求：</w:t>
      </w:r>
      <w:r>
        <w:rPr>
          <w:rFonts w:hint="eastAsia" w:ascii="宋体" w:hAnsi="宋体" w:cs="宋体"/>
          <w:highlight w:val="none"/>
          <w:u w:val="single"/>
        </w:rPr>
        <w:t xml:space="preserve">   /     </w:t>
      </w:r>
      <w:r>
        <w:rPr>
          <w:rFonts w:hint="eastAsia" w:ascii="宋体" w:hAnsi="宋体" w:cs="宋体"/>
          <w:highlight w:val="none"/>
        </w:rPr>
        <w:t>。</w:t>
      </w:r>
    </w:p>
    <w:p w14:paraId="23AFE63D">
      <w:pPr>
        <w:pStyle w:val="104"/>
        <w:adjustRightInd w:val="0"/>
        <w:snapToGrid w:val="0"/>
        <w:spacing w:line="360" w:lineRule="exact"/>
        <w:ind w:firstLine="420" w:firstLineChars="200"/>
        <w:rPr>
          <w:rFonts w:ascii="宋体" w:hAnsi="宋体" w:cs="宋体"/>
          <w:highlight w:val="none"/>
        </w:rPr>
      </w:pPr>
      <w:r>
        <w:rPr>
          <w:rFonts w:hint="eastAsia" w:ascii="宋体" w:hAnsi="宋体" w:cs="宋体"/>
          <w:highlight w:val="none"/>
        </w:rPr>
        <w:t>1.11.2 关于承包人为实施工程所编制文件的著作权的归属：</w:t>
      </w:r>
      <w:r>
        <w:rPr>
          <w:rFonts w:hint="eastAsia" w:ascii="宋体" w:hAnsi="宋体" w:cs="宋体"/>
          <w:b/>
          <w:bCs/>
          <w:highlight w:val="none"/>
          <w:u w:val="single"/>
        </w:rPr>
        <w:t>按通用合同条款第1.11.2条规定执行</w:t>
      </w:r>
      <w:r>
        <w:rPr>
          <w:rFonts w:hint="eastAsia" w:ascii="宋体" w:hAnsi="宋体" w:cs="宋体"/>
          <w:highlight w:val="none"/>
          <w:u w:val="single"/>
        </w:rPr>
        <w:t xml:space="preserve">  </w:t>
      </w:r>
      <w:r>
        <w:rPr>
          <w:rFonts w:hint="eastAsia" w:ascii="宋体" w:hAnsi="宋体" w:cs="宋体"/>
          <w:highlight w:val="none"/>
        </w:rPr>
        <w:t>。</w:t>
      </w:r>
    </w:p>
    <w:p w14:paraId="2E207BD1">
      <w:pPr>
        <w:pStyle w:val="104"/>
        <w:adjustRightInd w:val="0"/>
        <w:snapToGrid w:val="0"/>
        <w:spacing w:line="360" w:lineRule="exact"/>
        <w:ind w:firstLine="420" w:firstLineChars="200"/>
        <w:rPr>
          <w:rFonts w:ascii="宋体" w:hAnsi="宋体" w:cs="宋体"/>
          <w:highlight w:val="none"/>
        </w:rPr>
      </w:pPr>
      <w:r>
        <w:rPr>
          <w:rFonts w:hint="eastAsia" w:ascii="宋体" w:hAnsi="宋体" w:cs="宋体"/>
          <w:highlight w:val="none"/>
        </w:rPr>
        <w:t>关于承包人提供的上述文件的使用限制的要求：</w:t>
      </w:r>
      <w:r>
        <w:rPr>
          <w:rFonts w:hint="eastAsia" w:ascii="宋体" w:hAnsi="宋体" w:cs="宋体"/>
          <w:highlight w:val="none"/>
          <w:u w:val="single"/>
        </w:rPr>
        <w:t xml:space="preserve">   /     </w:t>
      </w:r>
      <w:r>
        <w:rPr>
          <w:rFonts w:hint="eastAsia" w:ascii="宋体" w:hAnsi="宋体" w:cs="宋体"/>
          <w:highlight w:val="none"/>
        </w:rPr>
        <w:t>。</w:t>
      </w:r>
    </w:p>
    <w:p w14:paraId="2F3AC99C">
      <w:pPr>
        <w:pStyle w:val="104"/>
        <w:adjustRightInd w:val="0"/>
        <w:snapToGrid w:val="0"/>
        <w:spacing w:line="360" w:lineRule="exact"/>
        <w:ind w:firstLine="420" w:firstLineChars="200"/>
        <w:rPr>
          <w:rFonts w:ascii="宋体" w:hAnsi="宋体" w:cs="宋体"/>
          <w:kern w:val="0"/>
          <w:highlight w:val="none"/>
        </w:rPr>
      </w:pPr>
      <w:r>
        <w:rPr>
          <w:rFonts w:hint="eastAsia" w:ascii="宋体" w:hAnsi="宋体" w:cs="宋体"/>
          <w:highlight w:val="none"/>
        </w:rPr>
        <w:t>1.11.3 承包人在施工过程中所采用的专利、专有技术、技术秘密的使用费的承担方式：</w:t>
      </w:r>
      <w:r>
        <w:rPr>
          <w:rFonts w:hint="eastAsia" w:ascii="宋体" w:hAnsi="宋体" w:cs="宋体"/>
          <w:highlight w:val="none"/>
          <w:u w:val="single"/>
        </w:rPr>
        <w:t xml:space="preserve"> (除发包人指明外)承包人在施工过 程中所采用的专利、专有技术、技术秘密的使用费包含在合同价款内。</w:t>
      </w:r>
      <w:r>
        <w:rPr>
          <w:rFonts w:hint="eastAsia" w:ascii="宋体" w:hAnsi="宋体" w:cs="宋体"/>
          <w:kern w:val="0"/>
          <w:highlight w:val="none"/>
        </w:rPr>
        <w:t>。</w:t>
      </w:r>
    </w:p>
    <w:p w14:paraId="7D55207D">
      <w:pPr>
        <w:pStyle w:val="104"/>
        <w:adjustRightInd w:val="0"/>
        <w:snapToGrid w:val="0"/>
        <w:spacing w:line="360" w:lineRule="exact"/>
        <w:ind w:firstLine="420" w:firstLineChars="200"/>
        <w:rPr>
          <w:rFonts w:ascii="宋体" w:hAnsi="宋体" w:cs="宋体"/>
          <w:highlight w:val="none"/>
        </w:rPr>
      </w:pPr>
      <w:r>
        <w:rPr>
          <w:rFonts w:hint="eastAsia" w:ascii="宋体" w:hAnsi="宋体" w:cs="宋体"/>
          <w:highlight w:val="none"/>
        </w:rPr>
        <w:t>1.12工程量清单错误的修正</w:t>
      </w:r>
    </w:p>
    <w:p w14:paraId="45CC4BCD">
      <w:pPr>
        <w:pStyle w:val="104"/>
        <w:adjustRightInd w:val="0"/>
        <w:snapToGrid w:val="0"/>
        <w:spacing w:line="360" w:lineRule="exact"/>
        <w:ind w:firstLine="420" w:firstLineChars="200"/>
        <w:rPr>
          <w:rFonts w:ascii="宋体" w:hAnsi="宋体" w:cs="宋体"/>
          <w:highlight w:val="none"/>
        </w:rPr>
      </w:pPr>
      <w:r>
        <w:rPr>
          <w:rFonts w:hint="eastAsia" w:ascii="宋体" w:hAnsi="宋体" w:cs="宋体"/>
          <w:highlight w:val="none"/>
        </w:rPr>
        <w:t>出现工程量清单错误时，是否调整合同价格：</w:t>
      </w:r>
      <w:r>
        <w:rPr>
          <w:rFonts w:hint="eastAsia" w:ascii="宋体" w:hAnsi="宋体" w:cs="宋体"/>
          <w:highlight w:val="none"/>
          <w:u w:val="single"/>
        </w:rPr>
        <w:t>是</w:t>
      </w:r>
      <w:r>
        <w:rPr>
          <w:rFonts w:hint="eastAsia" w:ascii="宋体" w:hAnsi="宋体" w:cs="宋体"/>
          <w:kern w:val="0"/>
          <w:highlight w:val="none"/>
        </w:rPr>
        <w:t>。</w:t>
      </w:r>
    </w:p>
    <w:p w14:paraId="4984E2FF">
      <w:pPr>
        <w:pStyle w:val="104"/>
        <w:adjustRightInd w:val="0"/>
        <w:snapToGrid w:val="0"/>
        <w:spacing w:line="360" w:lineRule="exact"/>
        <w:ind w:firstLine="422"/>
        <w:rPr>
          <w:rFonts w:ascii="宋体" w:hAnsi="宋体" w:cs="宋体"/>
          <w:kern w:val="0"/>
          <w:highlight w:val="none"/>
        </w:rPr>
      </w:pPr>
      <w:r>
        <w:rPr>
          <w:rFonts w:hint="eastAsia" w:ascii="宋体" w:hAnsi="宋体" w:cs="宋体"/>
          <w:highlight w:val="none"/>
        </w:rPr>
        <w:t>允许调整合同价格的工程量偏差范围：</w:t>
      </w:r>
      <w:r>
        <w:rPr>
          <w:rFonts w:hint="eastAsia" w:ascii="宋体" w:hAnsi="宋体" w:cs="宋体"/>
          <w:highlight w:val="none"/>
          <w:u w:val="single"/>
        </w:rPr>
        <w:t xml:space="preserve">   /     </w:t>
      </w:r>
      <w:r>
        <w:rPr>
          <w:rFonts w:hint="eastAsia" w:ascii="宋体" w:hAnsi="宋体" w:cs="宋体"/>
          <w:kern w:val="0"/>
          <w:highlight w:val="none"/>
        </w:rPr>
        <w:t>。</w:t>
      </w:r>
    </w:p>
    <w:p w14:paraId="0A051D38">
      <w:pPr>
        <w:pStyle w:val="104"/>
        <w:adjustRightInd w:val="0"/>
        <w:snapToGrid w:val="0"/>
        <w:spacing w:line="360" w:lineRule="exact"/>
        <w:ind w:firstLine="422"/>
        <w:rPr>
          <w:rFonts w:ascii="宋体" w:hAnsi="宋体" w:cs="宋体"/>
          <w:kern w:val="0"/>
          <w:highlight w:val="none"/>
        </w:rPr>
      </w:pPr>
      <w:r>
        <w:rPr>
          <w:rFonts w:hint="eastAsia" w:ascii="宋体" w:hAnsi="宋体" w:cs="宋体"/>
          <w:highlight w:val="none"/>
        </w:rPr>
        <w:t>调整合同价格的修正时间：</w:t>
      </w:r>
      <w:r>
        <w:rPr>
          <w:rFonts w:hint="eastAsia" w:ascii="宋体" w:hAnsi="宋体" w:cs="宋体"/>
          <w:highlight w:val="none"/>
          <w:u w:val="single"/>
        </w:rPr>
        <w:t xml:space="preserve">   /       </w:t>
      </w:r>
      <w:r>
        <w:rPr>
          <w:rFonts w:hint="eastAsia" w:ascii="宋体" w:hAnsi="宋体" w:cs="宋体"/>
          <w:kern w:val="0"/>
          <w:highlight w:val="none"/>
        </w:rPr>
        <w:t>。</w:t>
      </w:r>
    </w:p>
    <w:p w14:paraId="013E92E3">
      <w:pPr>
        <w:pStyle w:val="127"/>
        <w:adjustRightInd w:val="0"/>
        <w:snapToGrid w:val="0"/>
        <w:spacing w:before="0" w:after="0" w:line="360" w:lineRule="exact"/>
        <w:ind w:firstLine="420"/>
        <w:jc w:val="center"/>
        <w:rPr>
          <w:rFonts w:ascii="宋体" w:hAnsi="宋体" w:eastAsia="宋体" w:cs="宋体"/>
          <w:b/>
          <w:bCs/>
          <w:color w:val="auto"/>
          <w:sz w:val="24"/>
          <w:highlight w:val="none"/>
        </w:rPr>
      </w:pPr>
      <w:r>
        <w:rPr>
          <w:rFonts w:hint="eastAsia" w:ascii="宋体" w:hAnsi="宋体" w:eastAsia="宋体" w:cs="宋体"/>
          <w:b/>
          <w:bCs/>
          <w:color w:val="auto"/>
          <w:sz w:val="24"/>
          <w:highlight w:val="none"/>
        </w:rPr>
        <w:t>2. 发包人</w:t>
      </w:r>
    </w:p>
    <w:p w14:paraId="5895C204">
      <w:pPr>
        <w:pStyle w:val="104"/>
        <w:adjustRightInd w:val="0"/>
        <w:snapToGrid w:val="0"/>
        <w:spacing w:line="360" w:lineRule="exact"/>
        <w:ind w:firstLine="420" w:firstLineChars="200"/>
        <w:rPr>
          <w:rFonts w:ascii="宋体" w:hAnsi="宋体" w:cs="宋体"/>
          <w:highlight w:val="none"/>
        </w:rPr>
      </w:pPr>
      <w:r>
        <w:rPr>
          <w:rFonts w:hint="eastAsia" w:ascii="宋体" w:hAnsi="宋体" w:cs="宋体"/>
          <w:highlight w:val="none"/>
        </w:rPr>
        <w:t>2.1 发包人代表</w:t>
      </w:r>
    </w:p>
    <w:p w14:paraId="0440EC19">
      <w:pPr>
        <w:pStyle w:val="104"/>
        <w:adjustRightInd w:val="0"/>
        <w:snapToGrid w:val="0"/>
        <w:spacing w:line="360" w:lineRule="exact"/>
        <w:ind w:firstLine="420" w:firstLineChars="200"/>
        <w:rPr>
          <w:rFonts w:ascii="宋体" w:hAnsi="宋体" w:cs="宋体"/>
          <w:highlight w:val="none"/>
        </w:rPr>
      </w:pPr>
      <w:r>
        <w:rPr>
          <w:rFonts w:hint="eastAsia" w:ascii="宋体" w:hAnsi="宋体" w:cs="宋体"/>
          <w:highlight w:val="none"/>
        </w:rPr>
        <w:t>姓    名：</w:t>
      </w:r>
      <w:r>
        <w:rPr>
          <w:rFonts w:hint="eastAsia" w:ascii="宋体" w:hAnsi="宋体" w:cs="宋体"/>
          <w:highlight w:val="none"/>
          <w:u w:val="single"/>
        </w:rPr>
        <w:t xml:space="preserve">   </w:t>
      </w:r>
      <w:r>
        <w:rPr>
          <w:rFonts w:hint="eastAsia" w:ascii="宋体" w:hAnsi="宋体" w:cs="宋体"/>
          <w:b/>
          <w:bCs/>
          <w:highlight w:val="none"/>
          <w:u w:val="single"/>
        </w:rPr>
        <w:t xml:space="preserve">      </w:t>
      </w:r>
      <w:r>
        <w:rPr>
          <w:rFonts w:hint="eastAsia" w:ascii="宋体" w:hAnsi="宋体" w:cs="宋体"/>
          <w:highlight w:val="none"/>
        </w:rPr>
        <w:t>；</w:t>
      </w:r>
    </w:p>
    <w:p w14:paraId="49AE3573">
      <w:pPr>
        <w:pStyle w:val="104"/>
        <w:adjustRightInd w:val="0"/>
        <w:snapToGrid w:val="0"/>
        <w:spacing w:line="360" w:lineRule="exact"/>
        <w:ind w:firstLine="420" w:firstLineChars="200"/>
        <w:rPr>
          <w:rFonts w:ascii="宋体" w:hAnsi="宋体" w:cs="宋体"/>
          <w:highlight w:val="none"/>
        </w:rPr>
      </w:pPr>
      <w:r>
        <w:rPr>
          <w:rFonts w:hint="eastAsia" w:ascii="宋体" w:hAnsi="宋体" w:cs="宋体"/>
          <w:highlight w:val="none"/>
        </w:rPr>
        <w:t>联系电话：</w:t>
      </w:r>
      <w:r>
        <w:rPr>
          <w:rFonts w:hint="eastAsia" w:ascii="宋体" w:hAnsi="宋体" w:cs="宋体"/>
          <w:highlight w:val="none"/>
          <w:u w:val="single"/>
        </w:rPr>
        <w:t xml:space="preserve">         </w:t>
      </w:r>
      <w:r>
        <w:rPr>
          <w:rFonts w:hint="eastAsia" w:ascii="宋体" w:hAnsi="宋体" w:cs="宋体"/>
          <w:highlight w:val="none"/>
        </w:rPr>
        <w:t>；</w:t>
      </w:r>
    </w:p>
    <w:p w14:paraId="3B4569B9">
      <w:pPr>
        <w:pStyle w:val="104"/>
        <w:adjustRightInd w:val="0"/>
        <w:snapToGrid w:val="0"/>
        <w:spacing w:line="360" w:lineRule="exact"/>
        <w:ind w:firstLine="525" w:firstLineChars="250"/>
        <w:rPr>
          <w:rFonts w:ascii="宋体" w:hAnsi="宋体" w:cs="宋体"/>
          <w:highlight w:val="none"/>
        </w:rPr>
      </w:pPr>
    </w:p>
    <w:p w14:paraId="70F5BC17">
      <w:pPr>
        <w:pStyle w:val="104"/>
        <w:adjustRightInd w:val="0"/>
        <w:snapToGrid w:val="0"/>
        <w:spacing w:line="360" w:lineRule="exact"/>
        <w:ind w:firstLine="525" w:firstLineChars="250"/>
        <w:rPr>
          <w:rFonts w:ascii="宋体" w:hAnsi="宋体" w:cs="宋体"/>
          <w:b/>
          <w:bCs/>
          <w:highlight w:val="none"/>
          <w:u w:val="single"/>
        </w:rPr>
      </w:pPr>
      <w:r>
        <w:rPr>
          <w:rFonts w:hint="eastAsia" w:ascii="宋体" w:hAnsi="宋体" w:cs="宋体"/>
          <w:highlight w:val="none"/>
        </w:rPr>
        <w:t>发包人对发包人代表的授权范围如下：</w:t>
      </w:r>
      <w:r>
        <w:rPr>
          <w:rFonts w:hint="eastAsia" w:ascii="宋体" w:hAnsi="宋体" w:cs="宋体"/>
          <w:b/>
          <w:bCs/>
          <w:highlight w:val="none"/>
          <w:u w:val="single"/>
        </w:rPr>
        <w:t>（1）代表发包人对工程质量、进度、造价、安全及文明施工进行监督，工程存在质量问题或安全问题或施工进度不符合要求的，现场代表有权要求施工单位采取整改措施；</w:t>
      </w:r>
    </w:p>
    <w:p w14:paraId="1E3DAF0D">
      <w:pPr>
        <w:pStyle w:val="104"/>
        <w:adjustRightInd w:val="0"/>
        <w:snapToGrid w:val="0"/>
        <w:spacing w:line="360" w:lineRule="exact"/>
        <w:ind w:firstLine="527" w:firstLineChars="250"/>
        <w:rPr>
          <w:rFonts w:ascii="宋体" w:hAnsi="宋体" w:cs="宋体"/>
          <w:b/>
          <w:bCs/>
          <w:highlight w:val="none"/>
          <w:u w:val="single"/>
        </w:rPr>
      </w:pPr>
      <w:r>
        <w:rPr>
          <w:rFonts w:hint="eastAsia" w:ascii="宋体" w:hAnsi="宋体" w:cs="宋体"/>
          <w:b/>
          <w:bCs/>
          <w:highlight w:val="none"/>
          <w:u w:val="single"/>
        </w:rPr>
        <w:t>（2）发包人代表可委派有关具体管理人员，承担自己部分权力和职责，并可在任何时候撤回并重新委派，委派和撤回均应提前3个工作日通知承包方；</w:t>
      </w:r>
    </w:p>
    <w:p w14:paraId="3F714064">
      <w:pPr>
        <w:pStyle w:val="128"/>
        <w:adjustRightInd w:val="0"/>
        <w:snapToGrid w:val="0"/>
        <w:spacing w:line="360" w:lineRule="exact"/>
        <w:ind w:firstLine="474" w:firstLineChars="225"/>
        <w:rPr>
          <w:rFonts w:ascii="宋体" w:hAnsi="宋体" w:eastAsia="宋体" w:cs="宋体"/>
          <w:b/>
          <w:bCs/>
          <w:color w:val="auto"/>
          <w:highlight w:val="none"/>
          <w:u w:val="single"/>
        </w:rPr>
      </w:pPr>
      <w:r>
        <w:rPr>
          <w:rFonts w:hint="eastAsia" w:ascii="宋体" w:hAnsi="宋体" w:eastAsia="宋体" w:cs="宋体"/>
          <w:b/>
          <w:bCs/>
          <w:color w:val="auto"/>
          <w:highlight w:val="none"/>
          <w:u w:val="single"/>
        </w:rPr>
        <w:t>（3）发包人代表的指令、通知及签证须由其本人签字并加盖印章（仅有本人签字未有印章的，发包人追认，则对发包人有效，发包人不予追认的，对发包人不具有效力），以书面形式交给承包人现场代表（或合同约定签收人），承包人代表在回执上签署姓名和收到时间。当承包人代表不在施工现场时，发包人可要求属于承包人其它管理人员代签，签字后即可视为承包人代表已签收。</w:t>
      </w:r>
    </w:p>
    <w:p w14:paraId="76C01EC8">
      <w:pPr>
        <w:pStyle w:val="104"/>
        <w:adjustRightInd w:val="0"/>
        <w:snapToGrid w:val="0"/>
        <w:spacing w:line="360" w:lineRule="exact"/>
        <w:ind w:firstLine="420" w:firstLineChars="200"/>
        <w:rPr>
          <w:rFonts w:ascii="宋体" w:hAnsi="宋体" w:cs="宋体"/>
          <w:highlight w:val="none"/>
        </w:rPr>
      </w:pPr>
      <w:r>
        <w:rPr>
          <w:rFonts w:hint="eastAsia" w:ascii="宋体" w:hAnsi="宋体" w:cs="宋体"/>
          <w:highlight w:val="none"/>
        </w:rPr>
        <w:t>2.2 施工现场、施工条件和基础资料的提供</w:t>
      </w:r>
    </w:p>
    <w:p w14:paraId="4369D26C">
      <w:pPr>
        <w:pStyle w:val="104"/>
        <w:adjustRightInd w:val="0"/>
        <w:snapToGrid w:val="0"/>
        <w:spacing w:line="360" w:lineRule="exact"/>
        <w:ind w:firstLine="420" w:firstLineChars="200"/>
        <w:rPr>
          <w:rFonts w:ascii="宋体" w:hAnsi="宋体" w:cs="宋体"/>
          <w:highlight w:val="none"/>
        </w:rPr>
      </w:pPr>
      <w:r>
        <w:rPr>
          <w:rFonts w:hint="eastAsia" w:ascii="宋体" w:hAnsi="宋体" w:cs="宋体"/>
          <w:highlight w:val="none"/>
        </w:rPr>
        <w:t>2.2.1 提供施工现场</w:t>
      </w:r>
    </w:p>
    <w:p w14:paraId="4DBA4523">
      <w:pPr>
        <w:pStyle w:val="104"/>
        <w:adjustRightInd w:val="0"/>
        <w:snapToGrid w:val="0"/>
        <w:spacing w:line="360" w:lineRule="exact"/>
        <w:ind w:firstLine="420" w:firstLineChars="200"/>
        <w:jc w:val="left"/>
        <w:rPr>
          <w:rFonts w:ascii="宋体" w:hAnsi="宋体" w:cs="宋体"/>
          <w:highlight w:val="none"/>
        </w:rPr>
      </w:pPr>
      <w:r>
        <w:rPr>
          <w:rFonts w:hint="eastAsia" w:ascii="宋体" w:hAnsi="宋体" w:cs="宋体"/>
          <w:highlight w:val="none"/>
        </w:rPr>
        <w:t>关于发包人移交施工现场的期限要求：</w:t>
      </w:r>
      <w:r>
        <w:rPr>
          <w:rFonts w:hint="eastAsia" w:ascii="宋体" w:hAnsi="宋体" w:cs="宋体"/>
          <w:highlight w:val="none"/>
          <w:u w:val="single"/>
        </w:rPr>
        <w:t xml:space="preserve"> 开工前7天提供符合施工条件的施工场地  </w:t>
      </w:r>
      <w:r>
        <w:rPr>
          <w:rFonts w:hint="eastAsia" w:ascii="宋体" w:hAnsi="宋体" w:cs="宋体"/>
          <w:highlight w:val="none"/>
        </w:rPr>
        <w:t>。</w:t>
      </w:r>
    </w:p>
    <w:p w14:paraId="7DFB29A0">
      <w:pPr>
        <w:pStyle w:val="104"/>
        <w:adjustRightInd w:val="0"/>
        <w:snapToGrid w:val="0"/>
        <w:spacing w:line="360" w:lineRule="exact"/>
        <w:ind w:firstLine="420" w:firstLineChars="200"/>
        <w:rPr>
          <w:rFonts w:ascii="宋体" w:hAnsi="宋体" w:cs="宋体"/>
          <w:highlight w:val="none"/>
        </w:rPr>
      </w:pPr>
      <w:r>
        <w:rPr>
          <w:rFonts w:hint="eastAsia" w:ascii="宋体" w:hAnsi="宋体" w:cs="宋体"/>
          <w:highlight w:val="none"/>
        </w:rPr>
        <w:t>2.2.2 提供施工条件</w:t>
      </w:r>
    </w:p>
    <w:p w14:paraId="2778DE21">
      <w:pPr>
        <w:pStyle w:val="104"/>
        <w:adjustRightInd w:val="0"/>
        <w:snapToGrid w:val="0"/>
        <w:spacing w:line="360" w:lineRule="exact"/>
        <w:ind w:firstLine="420" w:firstLineChars="200"/>
        <w:rPr>
          <w:rFonts w:ascii="宋体" w:hAnsi="宋体" w:cs="宋体"/>
          <w:highlight w:val="none"/>
          <w:u w:val="single"/>
        </w:rPr>
      </w:pPr>
      <w:r>
        <w:rPr>
          <w:rFonts w:hint="eastAsia" w:ascii="宋体" w:hAnsi="宋体" w:cs="宋体"/>
          <w:highlight w:val="none"/>
        </w:rPr>
        <w:t>关于发包人应负责提供施工所需要的条件，包括：</w:t>
      </w:r>
      <w:r>
        <w:rPr>
          <w:rFonts w:hint="eastAsia" w:ascii="宋体" w:hAnsi="宋体" w:cs="宋体"/>
          <w:highlight w:val="none"/>
          <w:u w:val="single"/>
        </w:rPr>
        <w:t xml:space="preserve"> 按通用合同条款第2.4.2条规定</w:t>
      </w:r>
      <w:r>
        <w:rPr>
          <w:rFonts w:hint="eastAsia" w:ascii="宋体" w:hAnsi="宋体" w:cs="宋体"/>
          <w:highlight w:val="none"/>
        </w:rPr>
        <w:t>。</w:t>
      </w:r>
    </w:p>
    <w:p w14:paraId="62EE6D54">
      <w:pPr>
        <w:pStyle w:val="104"/>
        <w:adjustRightInd w:val="0"/>
        <w:snapToGrid w:val="0"/>
        <w:spacing w:line="360" w:lineRule="exact"/>
        <w:ind w:firstLine="420" w:firstLineChars="200"/>
        <w:rPr>
          <w:rFonts w:ascii="宋体" w:hAnsi="宋体" w:cs="宋体"/>
          <w:highlight w:val="none"/>
        </w:rPr>
      </w:pPr>
      <w:r>
        <w:rPr>
          <w:rFonts w:hint="eastAsia" w:ascii="宋体" w:hAnsi="宋体" w:cs="宋体"/>
          <w:highlight w:val="none"/>
        </w:rPr>
        <w:t>2.3 资金来源证明及支付担保</w:t>
      </w:r>
    </w:p>
    <w:p w14:paraId="6FE52B72">
      <w:pPr>
        <w:pStyle w:val="104"/>
        <w:adjustRightInd w:val="0"/>
        <w:snapToGrid w:val="0"/>
        <w:spacing w:line="360" w:lineRule="exact"/>
        <w:ind w:firstLine="420" w:firstLineChars="200"/>
        <w:rPr>
          <w:rFonts w:ascii="宋体" w:hAnsi="宋体" w:cs="宋体"/>
          <w:highlight w:val="none"/>
        </w:rPr>
      </w:pPr>
      <w:r>
        <w:rPr>
          <w:rFonts w:hint="eastAsia" w:ascii="宋体" w:hAnsi="宋体" w:cs="宋体"/>
          <w:highlight w:val="none"/>
        </w:rPr>
        <w:t>发包人提供资金来源证明的期限要求：</w:t>
      </w:r>
      <w:r>
        <w:rPr>
          <w:rFonts w:hint="eastAsia" w:ascii="宋体" w:hAnsi="宋体" w:cs="宋体"/>
          <w:highlight w:val="none"/>
          <w:u w:val="single"/>
        </w:rPr>
        <w:t xml:space="preserve"> /    </w:t>
      </w:r>
      <w:r>
        <w:rPr>
          <w:rFonts w:hint="eastAsia" w:ascii="宋体" w:hAnsi="宋体" w:cs="宋体"/>
          <w:highlight w:val="none"/>
        </w:rPr>
        <w:t>。</w:t>
      </w:r>
    </w:p>
    <w:p w14:paraId="45C09EE3">
      <w:pPr>
        <w:pStyle w:val="104"/>
        <w:adjustRightInd w:val="0"/>
        <w:snapToGrid w:val="0"/>
        <w:spacing w:line="360" w:lineRule="exact"/>
        <w:ind w:firstLine="420" w:firstLineChars="200"/>
        <w:rPr>
          <w:rFonts w:ascii="宋体" w:hAnsi="宋体" w:cs="宋体"/>
          <w:highlight w:val="none"/>
        </w:rPr>
      </w:pPr>
      <w:r>
        <w:rPr>
          <w:rFonts w:hint="eastAsia" w:ascii="宋体" w:hAnsi="宋体" w:cs="宋体"/>
          <w:highlight w:val="none"/>
        </w:rPr>
        <w:t>发包人是否提供支付担保：</w:t>
      </w:r>
      <w:r>
        <w:rPr>
          <w:rFonts w:hint="eastAsia" w:ascii="宋体" w:hAnsi="宋体" w:cs="宋体"/>
          <w:highlight w:val="none"/>
          <w:u w:val="single"/>
        </w:rPr>
        <w:t xml:space="preserve">   /       </w:t>
      </w:r>
      <w:r>
        <w:rPr>
          <w:rFonts w:hint="eastAsia" w:ascii="宋体" w:hAnsi="宋体" w:cs="宋体"/>
          <w:highlight w:val="none"/>
        </w:rPr>
        <w:t>。</w:t>
      </w:r>
    </w:p>
    <w:p w14:paraId="099C48A7">
      <w:pPr>
        <w:pStyle w:val="104"/>
        <w:adjustRightInd w:val="0"/>
        <w:snapToGrid w:val="0"/>
        <w:spacing w:line="360" w:lineRule="exact"/>
        <w:ind w:firstLine="420" w:firstLineChars="200"/>
        <w:rPr>
          <w:rFonts w:ascii="宋体" w:hAnsi="宋体" w:cs="宋体"/>
          <w:highlight w:val="none"/>
          <w:u w:val="single"/>
        </w:rPr>
      </w:pPr>
      <w:r>
        <w:rPr>
          <w:rFonts w:hint="eastAsia" w:ascii="宋体" w:hAnsi="宋体" w:cs="宋体"/>
          <w:highlight w:val="none"/>
        </w:rPr>
        <w:t>发包人提供支付担保的形式：</w:t>
      </w:r>
      <w:r>
        <w:rPr>
          <w:rFonts w:hint="eastAsia" w:ascii="宋体" w:hAnsi="宋体" w:cs="宋体"/>
          <w:highlight w:val="none"/>
          <w:u w:val="single"/>
        </w:rPr>
        <w:t xml:space="preserve">  /    </w:t>
      </w:r>
      <w:r>
        <w:rPr>
          <w:rFonts w:hint="eastAsia" w:ascii="宋体" w:hAnsi="宋体" w:cs="宋体"/>
          <w:highlight w:val="none"/>
        </w:rPr>
        <w:t>。</w:t>
      </w:r>
    </w:p>
    <w:p w14:paraId="4B9BEE82">
      <w:pPr>
        <w:pStyle w:val="127"/>
        <w:adjustRightInd w:val="0"/>
        <w:snapToGrid w:val="0"/>
        <w:spacing w:before="0" w:after="0" w:line="360" w:lineRule="exact"/>
        <w:ind w:firstLine="420"/>
        <w:jc w:val="center"/>
        <w:rPr>
          <w:rFonts w:ascii="宋体" w:hAnsi="宋体" w:eastAsia="宋体" w:cs="宋体"/>
          <w:b/>
          <w:bCs/>
          <w:color w:val="auto"/>
          <w:sz w:val="24"/>
          <w:highlight w:val="none"/>
        </w:rPr>
      </w:pPr>
      <w:r>
        <w:rPr>
          <w:rFonts w:hint="eastAsia" w:ascii="宋体" w:hAnsi="宋体" w:eastAsia="宋体" w:cs="宋体"/>
          <w:b/>
          <w:bCs/>
          <w:color w:val="auto"/>
          <w:sz w:val="24"/>
          <w:highlight w:val="none"/>
        </w:rPr>
        <w:t>3. 承包人</w:t>
      </w:r>
    </w:p>
    <w:p w14:paraId="3819C1C6">
      <w:pPr>
        <w:pStyle w:val="104"/>
        <w:adjustRightInd w:val="0"/>
        <w:snapToGrid w:val="0"/>
        <w:spacing w:line="360" w:lineRule="exact"/>
        <w:ind w:firstLine="420" w:firstLineChars="200"/>
        <w:rPr>
          <w:rFonts w:ascii="宋体" w:hAnsi="宋体" w:cs="宋体"/>
          <w:highlight w:val="none"/>
        </w:rPr>
      </w:pPr>
      <w:r>
        <w:rPr>
          <w:rFonts w:hint="eastAsia" w:ascii="宋体" w:hAnsi="宋体" w:cs="宋体"/>
          <w:highlight w:val="none"/>
        </w:rPr>
        <w:t>3.1 承包人的一般义务</w:t>
      </w:r>
    </w:p>
    <w:p w14:paraId="4F2BACE2">
      <w:pPr>
        <w:pStyle w:val="104"/>
        <w:adjustRightInd w:val="0"/>
        <w:snapToGrid w:val="0"/>
        <w:spacing w:line="360" w:lineRule="exact"/>
        <w:ind w:firstLine="315" w:firstLineChars="150"/>
        <w:jc w:val="left"/>
        <w:rPr>
          <w:rFonts w:ascii="宋体" w:hAnsi="宋体" w:cs="宋体"/>
          <w:highlight w:val="none"/>
        </w:rPr>
      </w:pPr>
      <w:r>
        <w:rPr>
          <w:rFonts w:hint="eastAsia" w:ascii="宋体" w:hAnsi="宋体" w:cs="宋体"/>
          <w:highlight w:val="none"/>
        </w:rPr>
        <w:t>承包人提交的竣工资料的内容：包括但不限于承诺书、成交结果通知书、施工合同、开工申请报告、竣工申请报告、竣工验收单、结算书（纸质稿、电子稿、原文件计算稿）、竣工图纸（纸质稿、电子稿、签章扫描稿）以及全过程原始记录验收资料、材料质保书、合格证书、材质验收报告、其他按规定应提交的资料。</w:t>
      </w:r>
    </w:p>
    <w:p w14:paraId="59943FC7">
      <w:pPr>
        <w:pStyle w:val="104"/>
        <w:adjustRightInd w:val="0"/>
        <w:snapToGrid w:val="0"/>
        <w:spacing w:line="360" w:lineRule="exact"/>
        <w:ind w:firstLine="315" w:firstLineChars="150"/>
        <w:jc w:val="left"/>
        <w:rPr>
          <w:rFonts w:ascii="宋体" w:hAnsi="宋体" w:cs="宋体"/>
          <w:highlight w:val="none"/>
        </w:rPr>
      </w:pPr>
      <w:r>
        <w:rPr>
          <w:rFonts w:hint="eastAsia" w:ascii="宋体" w:hAnsi="宋体" w:cs="宋体"/>
          <w:highlight w:val="none"/>
          <w:u w:val="single"/>
        </w:rPr>
        <w:t xml:space="preserve">上述文件的原始资料必须齐全，且必须符合工程技术档案要求。若承包人未按时向发包人提交以上资料及未经发包人确认，发包人不予支付工程款 </w:t>
      </w:r>
      <w:r>
        <w:rPr>
          <w:rFonts w:hint="eastAsia" w:ascii="宋体" w:hAnsi="宋体" w:cs="宋体"/>
          <w:highlight w:val="none"/>
        </w:rPr>
        <w:t>。</w:t>
      </w:r>
    </w:p>
    <w:p w14:paraId="275FA1CA">
      <w:pPr>
        <w:pStyle w:val="104"/>
        <w:adjustRightInd w:val="0"/>
        <w:snapToGrid w:val="0"/>
        <w:spacing w:line="360" w:lineRule="exact"/>
        <w:ind w:firstLine="420" w:firstLineChars="200"/>
        <w:jc w:val="left"/>
        <w:rPr>
          <w:rFonts w:ascii="宋体" w:hAnsi="宋体" w:cs="宋体"/>
          <w:highlight w:val="none"/>
        </w:rPr>
      </w:pPr>
      <w:r>
        <w:rPr>
          <w:rFonts w:hint="eastAsia" w:ascii="宋体" w:hAnsi="宋体" w:cs="宋体"/>
          <w:highlight w:val="none"/>
        </w:rPr>
        <w:t>承包人需要提交的竣工资料套数：</w:t>
      </w:r>
      <w:r>
        <w:rPr>
          <w:rFonts w:hint="eastAsia" w:ascii="宋体" w:hAnsi="宋体" w:cs="宋体"/>
          <w:highlight w:val="none"/>
          <w:u w:val="single"/>
        </w:rPr>
        <w:t xml:space="preserve">   叁   </w:t>
      </w:r>
      <w:r>
        <w:rPr>
          <w:rFonts w:hint="eastAsia" w:ascii="宋体" w:hAnsi="宋体" w:cs="宋体"/>
          <w:highlight w:val="none"/>
        </w:rPr>
        <w:t>。</w:t>
      </w:r>
    </w:p>
    <w:p w14:paraId="1ACE9CD3">
      <w:pPr>
        <w:pStyle w:val="104"/>
        <w:adjustRightInd w:val="0"/>
        <w:snapToGrid w:val="0"/>
        <w:spacing w:line="360" w:lineRule="exact"/>
        <w:ind w:firstLine="525" w:firstLineChars="250"/>
        <w:jc w:val="left"/>
        <w:rPr>
          <w:rFonts w:ascii="宋体" w:hAnsi="宋体" w:cs="宋体"/>
          <w:highlight w:val="none"/>
        </w:rPr>
      </w:pPr>
      <w:r>
        <w:rPr>
          <w:rFonts w:hint="eastAsia" w:ascii="宋体" w:hAnsi="宋体" w:cs="宋体"/>
          <w:highlight w:val="none"/>
        </w:rPr>
        <w:t>承包人提交的竣工资料的费用承担：</w:t>
      </w:r>
      <w:r>
        <w:rPr>
          <w:rFonts w:hint="eastAsia" w:ascii="宋体" w:hAnsi="宋体" w:cs="宋体"/>
          <w:highlight w:val="none"/>
          <w:u w:val="single"/>
        </w:rPr>
        <w:t xml:space="preserve">   承包人承担    </w:t>
      </w:r>
      <w:r>
        <w:rPr>
          <w:rFonts w:hint="eastAsia" w:ascii="宋体" w:hAnsi="宋体" w:cs="宋体"/>
          <w:highlight w:val="none"/>
        </w:rPr>
        <w:t>。</w:t>
      </w:r>
    </w:p>
    <w:p w14:paraId="03630759">
      <w:pPr>
        <w:pStyle w:val="104"/>
        <w:adjustRightInd w:val="0"/>
        <w:snapToGrid w:val="0"/>
        <w:spacing w:line="360" w:lineRule="exact"/>
        <w:ind w:firstLine="525" w:firstLineChars="250"/>
        <w:jc w:val="left"/>
        <w:rPr>
          <w:rFonts w:ascii="宋体" w:hAnsi="宋体" w:cs="宋体"/>
          <w:highlight w:val="none"/>
        </w:rPr>
      </w:pPr>
      <w:r>
        <w:rPr>
          <w:rFonts w:hint="eastAsia" w:ascii="宋体" w:hAnsi="宋体" w:cs="宋体"/>
          <w:highlight w:val="none"/>
        </w:rPr>
        <w:t>承包人提交的竣工资料移交时间：</w:t>
      </w:r>
      <w:r>
        <w:rPr>
          <w:rFonts w:hint="eastAsia" w:ascii="宋体" w:hAnsi="宋体" w:cs="宋体"/>
          <w:highlight w:val="none"/>
          <w:u w:val="single"/>
        </w:rPr>
        <w:t>工程竣工验收合格后20日历天内。</w:t>
      </w:r>
    </w:p>
    <w:p w14:paraId="091D99C2">
      <w:pPr>
        <w:pStyle w:val="104"/>
        <w:adjustRightInd w:val="0"/>
        <w:snapToGrid w:val="0"/>
        <w:spacing w:line="360" w:lineRule="exact"/>
        <w:ind w:firstLine="525" w:firstLineChars="250"/>
        <w:jc w:val="left"/>
        <w:rPr>
          <w:rFonts w:ascii="宋体" w:hAnsi="宋体" w:cs="宋体"/>
          <w:highlight w:val="none"/>
        </w:rPr>
      </w:pPr>
      <w:r>
        <w:rPr>
          <w:rFonts w:hint="eastAsia" w:ascii="宋体" w:hAnsi="宋体" w:cs="宋体"/>
          <w:highlight w:val="none"/>
        </w:rPr>
        <w:t>承包人提交的竣工资料形式要求:</w:t>
      </w:r>
      <w:r>
        <w:rPr>
          <w:rFonts w:hint="eastAsia" w:ascii="宋体" w:hAnsi="宋体" w:cs="宋体"/>
          <w:highlight w:val="none"/>
          <w:u w:val="single"/>
        </w:rPr>
        <w:t>竣工资料按规范装订成册。</w:t>
      </w:r>
    </w:p>
    <w:p w14:paraId="4FA05256">
      <w:pPr>
        <w:pStyle w:val="104"/>
        <w:adjustRightInd w:val="0"/>
        <w:snapToGrid w:val="0"/>
        <w:spacing w:line="360" w:lineRule="exact"/>
        <w:ind w:firstLine="420" w:firstLineChars="200"/>
        <w:rPr>
          <w:rFonts w:ascii="宋体" w:hAnsi="宋体" w:cs="宋体"/>
          <w:highlight w:val="none"/>
        </w:rPr>
      </w:pPr>
      <w:r>
        <w:rPr>
          <w:rFonts w:hint="eastAsia" w:ascii="宋体" w:hAnsi="宋体" w:cs="宋体"/>
          <w:kern w:val="0"/>
          <w:highlight w:val="none"/>
        </w:rPr>
        <w:t>（6）承包人应履行的其他义务：</w:t>
      </w:r>
      <w:r>
        <w:rPr>
          <w:rFonts w:hint="eastAsia" w:ascii="宋体" w:hAnsi="宋体" w:cs="宋体"/>
          <w:highlight w:val="none"/>
          <w:u w:val="single"/>
        </w:rPr>
        <w:t xml:space="preserve">   /       </w:t>
      </w:r>
      <w:r>
        <w:rPr>
          <w:rFonts w:hint="eastAsia" w:ascii="宋体" w:hAnsi="宋体" w:cs="宋体"/>
          <w:highlight w:val="none"/>
        </w:rPr>
        <w:t>。</w:t>
      </w:r>
    </w:p>
    <w:p w14:paraId="5483832F">
      <w:pPr>
        <w:pStyle w:val="104"/>
        <w:adjustRightInd w:val="0"/>
        <w:snapToGrid w:val="0"/>
        <w:spacing w:line="360" w:lineRule="exact"/>
        <w:ind w:firstLine="420" w:firstLineChars="200"/>
        <w:rPr>
          <w:rFonts w:ascii="宋体" w:hAnsi="宋体" w:cs="宋体"/>
          <w:highlight w:val="none"/>
        </w:rPr>
      </w:pPr>
      <w:r>
        <w:rPr>
          <w:rFonts w:hint="eastAsia" w:ascii="宋体" w:hAnsi="宋体" w:cs="宋体"/>
          <w:highlight w:val="none"/>
        </w:rPr>
        <w:t>3.2 项目经理</w:t>
      </w:r>
    </w:p>
    <w:p w14:paraId="544C8906">
      <w:pPr>
        <w:pStyle w:val="104"/>
        <w:adjustRightInd w:val="0"/>
        <w:snapToGrid w:val="0"/>
        <w:spacing w:line="360" w:lineRule="exact"/>
        <w:ind w:firstLine="420" w:firstLineChars="200"/>
        <w:rPr>
          <w:rFonts w:ascii="宋体" w:hAnsi="宋体" w:cs="宋体"/>
          <w:highlight w:val="none"/>
        </w:rPr>
      </w:pPr>
      <w:r>
        <w:rPr>
          <w:rFonts w:hint="eastAsia" w:ascii="宋体" w:hAnsi="宋体" w:cs="宋体"/>
          <w:kern w:val="0"/>
          <w:highlight w:val="none"/>
        </w:rPr>
        <w:t xml:space="preserve">3.2.1 </w:t>
      </w:r>
      <w:r>
        <w:rPr>
          <w:rFonts w:hint="eastAsia" w:ascii="宋体" w:hAnsi="宋体" w:cs="宋体"/>
          <w:highlight w:val="none"/>
        </w:rPr>
        <w:t>项目经理：</w:t>
      </w:r>
    </w:p>
    <w:p w14:paraId="17319B0D">
      <w:pPr>
        <w:pStyle w:val="104"/>
        <w:adjustRightInd w:val="0"/>
        <w:snapToGrid w:val="0"/>
        <w:spacing w:line="360" w:lineRule="exact"/>
        <w:ind w:firstLine="420" w:firstLineChars="200"/>
        <w:rPr>
          <w:rFonts w:ascii="宋体" w:hAnsi="宋体" w:cs="宋体"/>
          <w:highlight w:val="none"/>
        </w:rPr>
      </w:pPr>
      <w:r>
        <w:rPr>
          <w:rFonts w:hint="eastAsia" w:ascii="宋体" w:hAnsi="宋体" w:cs="宋体"/>
          <w:highlight w:val="none"/>
        </w:rPr>
        <w:t>姓    名：</w:t>
      </w:r>
      <w:r>
        <w:rPr>
          <w:rFonts w:hint="eastAsia" w:ascii="宋体" w:hAnsi="宋体" w:cs="宋体"/>
          <w:highlight w:val="none"/>
          <w:u w:val="single"/>
        </w:rPr>
        <w:t xml:space="preserve">                        </w:t>
      </w:r>
      <w:r>
        <w:rPr>
          <w:rFonts w:hint="eastAsia" w:ascii="宋体" w:hAnsi="宋体" w:cs="宋体"/>
          <w:highlight w:val="none"/>
        </w:rPr>
        <w:t>；</w:t>
      </w:r>
    </w:p>
    <w:p w14:paraId="6515FC77">
      <w:pPr>
        <w:pStyle w:val="104"/>
        <w:adjustRightInd w:val="0"/>
        <w:snapToGrid w:val="0"/>
        <w:spacing w:line="360" w:lineRule="exact"/>
        <w:ind w:firstLine="420" w:firstLineChars="200"/>
        <w:rPr>
          <w:rFonts w:ascii="宋体" w:hAnsi="宋体" w:cs="宋体"/>
          <w:highlight w:val="none"/>
        </w:rPr>
      </w:pPr>
      <w:r>
        <w:rPr>
          <w:rFonts w:hint="eastAsia" w:ascii="宋体" w:hAnsi="宋体" w:cs="宋体"/>
          <w:highlight w:val="none"/>
        </w:rPr>
        <w:t>身份证号：</w:t>
      </w:r>
      <w:r>
        <w:rPr>
          <w:rFonts w:hint="eastAsia" w:ascii="宋体" w:hAnsi="宋体" w:cs="宋体"/>
          <w:b/>
          <w:bCs/>
          <w:highlight w:val="none"/>
          <w:u w:val="single"/>
        </w:rPr>
        <w:t xml:space="preserve">                    </w:t>
      </w:r>
      <w:r>
        <w:rPr>
          <w:rFonts w:hint="eastAsia" w:ascii="宋体" w:hAnsi="宋体" w:cs="宋体"/>
          <w:highlight w:val="none"/>
        </w:rPr>
        <w:t>；</w:t>
      </w:r>
    </w:p>
    <w:p w14:paraId="17834AA8">
      <w:pPr>
        <w:pStyle w:val="104"/>
        <w:adjustRightInd w:val="0"/>
        <w:snapToGrid w:val="0"/>
        <w:spacing w:line="360" w:lineRule="exact"/>
        <w:ind w:firstLine="420" w:firstLineChars="200"/>
        <w:rPr>
          <w:rFonts w:ascii="宋体" w:hAnsi="宋体" w:cs="宋体"/>
          <w:highlight w:val="none"/>
        </w:rPr>
      </w:pPr>
      <w:r>
        <w:rPr>
          <w:rFonts w:hint="eastAsia" w:ascii="宋体" w:hAnsi="宋体" w:cs="宋体"/>
          <w:highlight w:val="none"/>
        </w:rPr>
        <w:t>建造师执业资格等级：</w:t>
      </w:r>
      <w:r>
        <w:rPr>
          <w:rFonts w:hint="eastAsia" w:ascii="宋体" w:hAnsi="宋体" w:cs="宋体"/>
          <w:b/>
          <w:bCs/>
          <w:highlight w:val="none"/>
          <w:u w:val="single"/>
        </w:rPr>
        <w:t xml:space="preserve">    </w:t>
      </w:r>
      <w:r>
        <w:rPr>
          <w:rFonts w:hint="eastAsia" w:ascii="宋体" w:hAnsi="宋体" w:cs="宋体"/>
          <w:highlight w:val="none"/>
          <w:u w:val="single"/>
        </w:rPr>
        <w:t xml:space="preserve">   </w:t>
      </w:r>
      <w:r>
        <w:rPr>
          <w:rFonts w:hint="eastAsia" w:ascii="宋体" w:hAnsi="宋体" w:cs="宋体"/>
          <w:highlight w:val="none"/>
        </w:rPr>
        <w:t>；</w:t>
      </w:r>
    </w:p>
    <w:p w14:paraId="22D3D850">
      <w:pPr>
        <w:pStyle w:val="104"/>
        <w:adjustRightInd w:val="0"/>
        <w:snapToGrid w:val="0"/>
        <w:spacing w:line="360" w:lineRule="exact"/>
        <w:ind w:firstLine="420" w:firstLineChars="200"/>
        <w:rPr>
          <w:rFonts w:ascii="宋体" w:hAnsi="宋体" w:cs="宋体"/>
          <w:highlight w:val="none"/>
        </w:rPr>
      </w:pPr>
      <w:r>
        <w:rPr>
          <w:rFonts w:hint="eastAsia" w:ascii="宋体" w:hAnsi="宋体" w:cs="宋体"/>
          <w:highlight w:val="none"/>
        </w:rPr>
        <w:t>建造师注册证书号：</w:t>
      </w:r>
      <w:r>
        <w:rPr>
          <w:rFonts w:hint="eastAsia" w:ascii="宋体" w:hAnsi="宋体" w:cs="宋体"/>
          <w:b/>
          <w:bCs/>
          <w:highlight w:val="none"/>
          <w:u w:val="single"/>
        </w:rPr>
        <w:t xml:space="preserve">            </w:t>
      </w:r>
      <w:r>
        <w:rPr>
          <w:rFonts w:hint="eastAsia" w:ascii="宋体" w:hAnsi="宋体" w:cs="宋体"/>
          <w:highlight w:val="none"/>
          <w:u w:val="single"/>
        </w:rPr>
        <w:t xml:space="preserve"> </w:t>
      </w:r>
      <w:r>
        <w:rPr>
          <w:rFonts w:hint="eastAsia" w:ascii="宋体" w:hAnsi="宋体" w:cs="宋体"/>
          <w:highlight w:val="none"/>
        </w:rPr>
        <w:t>；</w:t>
      </w:r>
    </w:p>
    <w:p w14:paraId="341E4144">
      <w:pPr>
        <w:pStyle w:val="104"/>
        <w:adjustRightInd w:val="0"/>
        <w:snapToGrid w:val="0"/>
        <w:spacing w:line="360" w:lineRule="exact"/>
        <w:ind w:firstLine="420" w:firstLineChars="200"/>
        <w:rPr>
          <w:rFonts w:ascii="宋体" w:hAnsi="宋体" w:cs="宋体"/>
          <w:highlight w:val="none"/>
        </w:rPr>
      </w:pPr>
      <w:r>
        <w:rPr>
          <w:rFonts w:hint="eastAsia" w:ascii="宋体" w:hAnsi="宋体" w:cs="宋体"/>
          <w:highlight w:val="none"/>
        </w:rPr>
        <w:t>建造师执业印章号：</w:t>
      </w:r>
      <w:r>
        <w:rPr>
          <w:rFonts w:hint="eastAsia" w:ascii="宋体" w:hAnsi="宋体" w:cs="宋体"/>
          <w:b/>
          <w:bCs/>
          <w:highlight w:val="none"/>
          <w:u w:val="single"/>
        </w:rPr>
        <w:t xml:space="preserve">    </w:t>
      </w:r>
      <w:r>
        <w:rPr>
          <w:rFonts w:hint="eastAsia" w:ascii="宋体" w:hAnsi="宋体" w:cs="宋体"/>
          <w:highlight w:val="none"/>
          <w:u w:val="single"/>
        </w:rPr>
        <w:t xml:space="preserve">          </w:t>
      </w:r>
      <w:r>
        <w:rPr>
          <w:rFonts w:hint="eastAsia" w:ascii="宋体" w:hAnsi="宋体" w:cs="宋体"/>
          <w:highlight w:val="none"/>
        </w:rPr>
        <w:t>；</w:t>
      </w:r>
    </w:p>
    <w:p w14:paraId="07BA9D22">
      <w:pPr>
        <w:pStyle w:val="104"/>
        <w:adjustRightInd w:val="0"/>
        <w:snapToGrid w:val="0"/>
        <w:spacing w:line="360" w:lineRule="exact"/>
        <w:ind w:firstLine="420" w:firstLineChars="200"/>
        <w:rPr>
          <w:rFonts w:ascii="宋体" w:hAnsi="宋体" w:cs="宋体"/>
          <w:highlight w:val="none"/>
        </w:rPr>
      </w:pPr>
      <w:r>
        <w:rPr>
          <w:rFonts w:hint="eastAsia" w:ascii="宋体" w:hAnsi="宋体" w:cs="宋体"/>
          <w:highlight w:val="none"/>
        </w:rPr>
        <w:t>安全生产考核合格证书号：</w:t>
      </w:r>
      <w:r>
        <w:rPr>
          <w:rFonts w:hint="eastAsia" w:ascii="宋体" w:hAnsi="宋体" w:cs="宋体"/>
          <w:b/>
          <w:bCs/>
          <w:highlight w:val="none"/>
          <w:u w:val="single"/>
        </w:rPr>
        <w:t xml:space="preserve">       </w:t>
      </w:r>
      <w:r>
        <w:rPr>
          <w:rFonts w:hint="eastAsia" w:ascii="宋体" w:hAnsi="宋体" w:cs="宋体"/>
          <w:highlight w:val="none"/>
          <w:u w:val="single"/>
        </w:rPr>
        <w:t xml:space="preserve"> </w:t>
      </w:r>
      <w:r>
        <w:rPr>
          <w:rFonts w:hint="eastAsia" w:ascii="宋体" w:hAnsi="宋体" w:cs="宋体"/>
          <w:highlight w:val="none"/>
        </w:rPr>
        <w:t>；</w:t>
      </w:r>
    </w:p>
    <w:p w14:paraId="1D2AC326">
      <w:pPr>
        <w:pStyle w:val="104"/>
        <w:adjustRightInd w:val="0"/>
        <w:snapToGrid w:val="0"/>
        <w:spacing w:line="360" w:lineRule="exact"/>
        <w:ind w:firstLine="420" w:firstLineChars="200"/>
        <w:rPr>
          <w:rFonts w:ascii="宋体" w:hAnsi="宋体" w:cs="宋体"/>
          <w:highlight w:val="none"/>
        </w:rPr>
      </w:pPr>
      <w:r>
        <w:rPr>
          <w:rFonts w:hint="eastAsia" w:ascii="宋体" w:hAnsi="宋体" w:cs="宋体"/>
          <w:highlight w:val="none"/>
        </w:rPr>
        <w:t>联系电话：</w:t>
      </w:r>
      <w:r>
        <w:rPr>
          <w:rFonts w:hint="eastAsia" w:ascii="宋体" w:hAnsi="宋体" w:cs="宋体"/>
          <w:b/>
          <w:bCs/>
          <w:highlight w:val="none"/>
          <w:u w:val="single"/>
        </w:rPr>
        <w:t xml:space="preserve"> </w:t>
      </w:r>
      <w:r>
        <w:rPr>
          <w:rFonts w:hint="eastAsia" w:ascii="宋体" w:hAnsi="宋体" w:cs="宋体"/>
          <w:highlight w:val="none"/>
          <w:u w:val="single"/>
        </w:rPr>
        <w:t xml:space="preserve">        </w:t>
      </w:r>
      <w:r>
        <w:rPr>
          <w:rFonts w:hint="eastAsia" w:ascii="宋体" w:hAnsi="宋体" w:cs="宋体"/>
          <w:highlight w:val="none"/>
        </w:rPr>
        <w:t>；</w:t>
      </w:r>
    </w:p>
    <w:p w14:paraId="0C8D3936">
      <w:pPr>
        <w:pStyle w:val="104"/>
        <w:adjustRightInd w:val="0"/>
        <w:snapToGrid w:val="0"/>
        <w:spacing w:line="360" w:lineRule="exact"/>
        <w:ind w:firstLine="420" w:firstLineChars="200"/>
        <w:rPr>
          <w:rFonts w:ascii="宋体" w:hAnsi="宋体" w:cs="宋体"/>
          <w:highlight w:val="none"/>
        </w:rPr>
      </w:pPr>
      <w:r>
        <w:rPr>
          <w:rFonts w:hint="eastAsia" w:ascii="宋体" w:hAnsi="宋体" w:cs="宋体"/>
          <w:highlight w:val="none"/>
        </w:rPr>
        <w:t>电子信箱：</w:t>
      </w:r>
      <w:r>
        <w:rPr>
          <w:rFonts w:hint="eastAsia" w:ascii="宋体" w:hAnsi="宋体" w:cs="宋体"/>
          <w:b/>
          <w:bCs/>
          <w:highlight w:val="none"/>
          <w:u w:val="single"/>
        </w:rPr>
        <w:t xml:space="preserve">                     </w:t>
      </w:r>
      <w:r>
        <w:rPr>
          <w:rFonts w:hint="eastAsia" w:ascii="宋体" w:hAnsi="宋体" w:cs="宋体"/>
          <w:highlight w:val="none"/>
          <w:u w:val="single"/>
        </w:rPr>
        <w:t xml:space="preserve"> </w:t>
      </w:r>
      <w:r>
        <w:rPr>
          <w:rFonts w:hint="eastAsia" w:ascii="宋体" w:hAnsi="宋体" w:cs="宋体"/>
          <w:highlight w:val="none"/>
        </w:rPr>
        <w:t>；</w:t>
      </w:r>
    </w:p>
    <w:p w14:paraId="20D88D22">
      <w:pPr>
        <w:pStyle w:val="104"/>
        <w:adjustRightInd w:val="0"/>
        <w:snapToGrid w:val="0"/>
        <w:spacing w:line="360" w:lineRule="exact"/>
        <w:ind w:firstLine="420" w:firstLineChars="200"/>
        <w:rPr>
          <w:rFonts w:ascii="宋体" w:hAnsi="宋体" w:cs="宋体"/>
          <w:highlight w:val="none"/>
        </w:rPr>
      </w:pPr>
      <w:r>
        <w:rPr>
          <w:rFonts w:hint="eastAsia" w:ascii="宋体" w:hAnsi="宋体" w:cs="宋体"/>
          <w:highlight w:val="none"/>
        </w:rPr>
        <w:t>通信地址：</w:t>
      </w:r>
      <w:r>
        <w:rPr>
          <w:rFonts w:hint="eastAsia" w:ascii="宋体" w:hAnsi="宋体" w:cs="宋体"/>
          <w:b/>
          <w:bCs/>
          <w:highlight w:val="none"/>
          <w:u w:val="single"/>
        </w:rPr>
        <w:t xml:space="preserve">                      </w:t>
      </w:r>
      <w:r>
        <w:rPr>
          <w:rFonts w:hint="eastAsia" w:ascii="宋体" w:hAnsi="宋体" w:cs="宋体"/>
          <w:highlight w:val="none"/>
          <w:u w:val="single"/>
        </w:rPr>
        <w:t xml:space="preserve">  </w:t>
      </w:r>
      <w:r>
        <w:rPr>
          <w:rFonts w:hint="eastAsia" w:ascii="宋体" w:hAnsi="宋体" w:cs="宋体"/>
          <w:highlight w:val="none"/>
        </w:rPr>
        <w:t>；</w:t>
      </w:r>
    </w:p>
    <w:p w14:paraId="2EAB13E4">
      <w:pPr>
        <w:pStyle w:val="104"/>
        <w:adjustRightInd w:val="0"/>
        <w:snapToGrid w:val="0"/>
        <w:spacing w:line="360" w:lineRule="exact"/>
        <w:ind w:firstLine="420" w:firstLineChars="200"/>
        <w:rPr>
          <w:rFonts w:ascii="宋体" w:hAnsi="宋体" w:cs="宋体"/>
          <w:highlight w:val="none"/>
        </w:rPr>
      </w:pPr>
      <w:r>
        <w:rPr>
          <w:rFonts w:hint="eastAsia" w:ascii="宋体" w:hAnsi="宋体" w:cs="宋体"/>
          <w:highlight w:val="none"/>
        </w:rPr>
        <w:t>承包人对项目经理的授权范围如下：</w:t>
      </w:r>
      <w:r>
        <w:rPr>
          <w:rFonts w:hint="eastAsia" w:ascii="宋体" w:hAnsi="宋体" w:cs="宋体"/>
          <w:b/>
          <w:bCs/>
          <w:highlight w:val="none"/>
          <w:u w:val="single"/>
        </w:rPr>
        <w:t>项目经理按合同约定组织工程实施</w:t>
      </w:r>
      <w:r>
        <w:rPr>
          <w:rFonts w:hint="eastAsia" w:ascii="宋体" w:hAnsi="宋体" w:cs="宋体"/>
          <w:highlight w:val="none"/>
          <w:u w:val="single"/>
        </w:rPr>
        <w:t xml:space="preserve"> </w:t>
      </w:r>
      <w:r>
        <w:rPr>
          <w:rFonts w:hint="eastAsia" w:ascii="宋体" w:hAnsi="宋体" w:cs="宋体"/>
          <w:highlight w:val="none"/>
        </w:rPr>
        <w:t>。</w:t>
      </w:r>
    </w:p>
    <w:p w14:paraId="7426D0B1">
      <w:pPr>
        <w:pStyle w:val="104"/>
        <w:adjustRightInd w:val="0"/>
        <w:snapToGrid w:val="0"/>
        <w:spacing w:line="360" w:lineRule="exact"/>
        <w:ind w:firstLine="420" w:firstLineChars="200"/>
        <w:jc w:val="left"/>
        <w:rPr>
          <w:rFonts w:ascii="宋体" w:hAnsi="宋体" w:cs="宋体"/>
          <w:kern w:val="0"/>
          <w:highlight w:val="none"/>
        </w:rPr>
      </w:pPr>
      <w:r>
        <w:rPr>
          <w:rFonts w:hint="eastAsia" w:ascii="宋体" w:hAnsi="宋体" w:cs="宋体"/>
          <w:kern w:val="0"/>
          <w:highlight w:val="none"/>
        </w:rPr>
        <w:t>关于项目经理每月在施工现场的时间要求：</w:t>
      </w:r>
      <w:r>
        <w:rPr>
          <w:rFonts w:hint="eastAsia" w:ascii="宋体" w:hAnsi="宋体" w:cs="宋体"/>
          <w:b/>
          <w:bCs/>
          <w:highlight w:val="none"/>
          <w:u w:val="single"/>
        </w:rPr>
        <w:t>以承包人承诺到位率为准   。</w:t>
      </w:r>
    </w:p>
    <w:p w14:paraId="1020FF5A">
      <w:pPr>
        <w:pStyle w:val="104"/>
        <w:adjustRightInd w:val="0"/>
        <w:snapToGrid w:val="0"/>
        <w:spacing w:line="360" w:lineRule="exact"/>
        <w:ind w:firstLine="420" w:firstLineChars="200"/>
        <w:rPr>
          <w:rFonts w:ascii="宋体" w:hAnsi="宋体" w:cs="宋体"/>
          <w:kern w:val="0"/>
          <w:highlight w:val="none"/>
        </w:rPr>
      </w:pPr>
      <w:r>
        <w:rPr>
          <w:rFonts w:hint="eastAsia" w:ascii="宋体" w:hAnsi="宋体" w:cs="宋体"/>
          <w:kern w:val="0"/>
          <w:highlight w:val="none"/>
        </w:rPr>
        <w:t>承包人未提交劳动合同，以及没有为项目经理缴纳社会保险证明的违约责任：</w:t>
      </w:r>
      <w:r>
        <w:rPr>
          <w:rFonts w:hint="eastAsia" w:ascii="宋体" w:hAnsi="宋体" w:cs="宋体"/>
          <w:highlight w:val="none"/>
          <w:u w:val="single"/>
        </w:rPr>
        <w:t xml:space="preserve"> </w:t>
      </w:r>
      <w:r>
        <w:rPr>
          <w:rFonts w:hint="eastAsia" w:ascii="宋体" w:hAnsi="宋体" w:cs="宋体"/>
          <w:b/>
          <w:bCs/>
          <w:highlight w:val="none"/>
          <w:u w:val="single"/>
        </w:rPr>
        <w:t xml:space="preserve">由承包人承担违约责任 </w:t>
      </w:r>
      <w:r>
        <w:rPr>
          <w:rFonts w:hint="eastAsia" w:ascii="宋体" w:hAnsi="宋体" w:cs="宋体"/>
          <w:highlight w:val="none"/>
        </w:rPr>
        <w:t>。</w:t>
      </w:r>
    </w:p>
    <w:p w14:paraId="5CF0ECA5">
      <w:pPr>
        <w:pStyle w:val="104"/>
        <w:adjustRightInd w:val="0"/>
        <w:snapToGrid w:val="0"/>
        <w:spacing w:line="360" w:lineRule="exact"/>
        <w:ind w:firstLine="420" w:firstLineChars="200"/>
        <w:rPr>
          <w:rFonts w:ascii="宋体" w:hAnsi="宋体" w:cs="宋体"/>
          <w:highlight w:val="none"/>
          <w:u w:val="single"/>
        </w:rPr>
      </w:pPr>
      <w:r>
        <w:rPr>
          <w:rFonts w:hint="eastAsia" w:ascii="宋体" w:hAnsi="宋体" w:cs="宋体"/>
          <w:kern w:val="0"/>
          <w:highlight w:val="none"/>
        </w:rPr>
        <w:t>项目经理未经批准，擅自离开施工现场的违约责任：</w:t>
      </w:r>
      <w:r>
        <w:rPr>
          <w:rFonts w:hint="eastAsia" w:ascii="宋体" w:hAnsi="宋体" w:cs="宋体"/>
          <w:highlight w:val="none"/>
          <w:u w:val="single"/>
        </w:rPr>
        <w:t xml:space="preserve"> </w:t>
      </w:r>
      <w:r>
        <w:rPr>
          <w:rFonts w:hint="eastAsia" w:ascii="宋体" w:hAnsi="宋体" w:cs="宋体"/>
          <w:b/>
          <w:bCs/>
          <w:highlight w:val="none"/>
          <w:u w:val="single"/>
        </w:rPr>
        <w:t>按500元/次予以处罚</w:t>
      </w:r>
      <w:r>
        <w:rPr>
          <w:rFonts w:hint="eastAsia" w:ascii="宋体" w:hAnsi="宋体" w:cs="宋体"/>
          <w:highlight w:val="none"/>
        </w:rPr>
        <w:t>。</w:t>
      </w:r>
    </w:p>
    <w:p w14:paraId="21B364B0">
      <w:pPr>
        <w:pStyle w:val="128"/>
        <w:adjustRightInd w:val="0"/>
        <w:snapToGrid w:val="0"/>
        <w:spacing w:line="360" w:lineRule="exact"/>
        <w:ind w:firstLine="359" w:firstLineChars="171"/>
        <w:rPr>
          <w:rFonts w:ascii="宋体" w:hAnsi="宋体" w:eastAsia="宋体" w:cs="宋体"/>
          <w:color w:val="auto"/>
          <w:highlight w:val="none"/>
        </w:rPr>
      </w:pPr>
      <w:r>
        <w:rPr>
          <w:rFonts w:hint="eastAsia" w:ascii="宋体" w:hAnsi="宋体" w:eastAsia="宋体" w:cs="宋体"/>
          <w:color w:val="auto"/>
          <w:highlight w:val="none"/>
        </w:rPr>
        <w:t>3.2.2承包人擅自更换项目经理的违约责任：</w:t>
      </w:r>
    </w:p>
    <w:p w14:paraId="7A2A793E">
      <w:pPr>
        <w:pStyle w:val="128"/>
        <w:numPr>
          <w:ilvl w:val="0"/>
          <w:numId w:val="5"/>
        </w:numPr>
        <w:adjustRightInd w:val="0"/>
        <w:snapToGrid w:val="0"/>
        <w:spacing w:line="360" w:lineRule="exact"/>
        <w:ind w:firstLine="420" w:firstLineChars="200"/>
        <w:rPr>
          <w:rFonts w:ascii="宋体" w:hAnsi="宋体" w:eastAsia="宋体" w:cs="宋体"/>
          <w:color w:val="auto"/>
          <w:kern w:val="0"/>
          <w:szCs w:val="24"/>
          <w:highlight w:val="none"/>
          <w:u w:val="single"/>
        </w:rPr>
      </w:pPr>
      <w:r>
        <w:rPr>
          <w:rFonts w:hint="eastAsia" w:ascii="宋体" w:hAnsi="宋体" w:eastAsia="宋体" w:cs="宋体"/>
          <w:color w:val="auto"/>
          <w:kern w:val="0"/>
          <w:szCs w:val="24"/>
          <w:highlight w:val="none"/>
        </w:rPr>
        <w:t>承包人确需更换项目经理的，继任项目经理注册执业资格、管理经验的约定：</w:t>
      </w:r>
      <w:r>
        <w:rPr>
          <w:rFonts w:hint="eastAsia" w:ascii="宋体" w:hAnsi="宋体" w:eastAsia="宋体" w:cs="宋体"/>
          <w:color w:val="auto"/>
          <w:kern w:val="0"/>
          <w:szCs w:val="24"/>
          <w:highlight w:val="none"/>
          <w:u w:val="single"/>
        </w:rPr>
        <w:t>/ 。</w:t>
      </w:r>
    </w:p>
    <w:p w14:paraId="4A7A4066">
      <w:pPr>
        <w:pStyle w:val="128"/>
        <w:numPr>
          <w:ilvl w:val="0"/>
          <w:numId w:val="5"/>
        </w:numPr>
        <w:adjustRightInd w:val="0"/>
        <w:snapToGrid w:val="0"/>
        <w:spacing w:line="360" w:lineRule="exact"/>
        <w:ind w:firstLine="420" w:firstLineChars="200"/>
        <w:rPr>
          <w:rFonts w:ascii="宋体" w:hAnsi="宋体" w:eastAsia="宋体" w:cs="宋体"/>
          <w:b/>
          <w:bCs/>
          <w:color w:val="auto"/>
          <w:kern w:val="0"/>
          <w:highlight w:val="none"/>
          <w:u w:val="single"/>
        </w:rPr>
      </w:pPr>
      <w:r>
        <w:rPr>
          <w:rFonts w:hint="eastAsia" w:ascii="宋体" w:hAnsi="宋体" w:eastAsia="宋体" w:cs="宋体"/>
          <w:color w:val="auto"/>
          <w:kern w:val="0"/>
          <w:szCs w:val="24"/>
          <w:highlight w:val="none"/>
        </w:rPr>
        <w:t>承包人擅自更换项目经理的违约责任：</w:t>
      </w:r>
      <w:r>
        <w:rPr>
          <w:rFonts w:hint="eastAsia" w:ascii="宋体" w:hAnsi="宋体" w:eastAsia="宋体" w:cs="宋体"/>
          <w:b/>
          <w:bCs/>
          <w:color w:val="auto"/>
          <w:kern w:val="0"/>
          <w:highlight w:val="none"/>
          <w:u w:val="single"/>
        </w:rPr>
        <w:t>未经发包人同意，承包人不得擅自更换上述人员，承包人擅自更换的，除按合同要求派驻人员外，每次还需按合同总价的3%向发包人支付违约金，且发包人有权视情况解除本合同。如确需变更人员的，承包人需提出书面申请，经发包人同意后变更。</w:t>
      </w:r>
    </w:p>
    <w:p w14:paraId="4F057314">
      <w:pPr>
        <w:pStyle w:val="104"/>
        <w:adjustRightInd w:val="0"/>
        <w:snapToGrid w:val="0"/>
        <w:spacing w:line="360" w:lineRule="exact"/>
        <w:ind w:firstLine="420" w:firstLineChars="200"/>
        <w:rPr>
          <w:rFonts w:ascii="宋体" w:hAnsi="宋体" w:cs="宋体"/>
          <w:highlight w:val="none"/>
        </w:rPr>
      </w:pPr>
      <w:r>
        <w:rPr>
          <w:rFonts w:hint="eastAsia" w:ascii="宋体" w:hAnsi="宋体" w:cs="宋体"/>
          <w:szCs w:val="21"/>
          <w:highlight w:val="none"/>
        </w:rPr>
        <w:t>3.2.3 承包人无正当理由拒绝更换项目经理的违约责任</w:t>
      </w:r>
      <w:r>
        <w:rPr>
          <w:rFonts w:hint="eastAsia" w:ascii="宋体" w:hAnsi="宋体" w:cs="宋体"/>
          <w:highlight w:val="none"/>
        </w:rPr>
        <w:t>：</w:t>
      </w:r>
      <w:r>
        <w:rPr>
          <w:rFonts w:hint="eastAsia" w:ascii="宋体" w:hAnsi="宋体" w:cs="宋体"/>
          <w:highlight w:val="none"/>
          <w:u w:val="single"/>
        </w:rPr>
        <w:t xml:space="preserve"> </w:t>
      </w:r>
      <w:r>
        <w:rPr>
          <w:rFonts w:hint="eastAsia" w:ascii="宋体" w:hAnsi="宋体" w:cs="宋体"/>
          <w:b/>
          <w:bCs/>
          <w:highlight w:val="none"/>
          <w:u w:val="single"/>
        </w:rPr>
        <w:t>按通用合同条款第3.2.4条规定执行</w:t>
      </w:r>
      <w:r>
        <w:rPr>
          <w:rFonts w:hint="eastAsia" w:ascii="宋体" w:hAnsi="宋体" w:cs="宋体"/>
          <w:highlight w:val="none"/>
          <w:u w:val="single"/>
        </w:rPr>
        <w:t xml:space="preserve"> </w:t>
      </w:r>
      <w:r>
        <w:rPr>
          <w:rFonts w:hint="eastAsia" w:ascii="宋体" w:hAnsi="宋体" w:cs="宋体"/>
          <w:highlight w:val="none"/>
        </w:rPr>
        <w:t>。</w:t>
      </w:r>
    </w:p>
    <w:p w14:paraId="1F1CA0EE">
      <w:pPr>
        <w:pStyle w:val="104"/>
        <w:adjustRightInd w:val="0"/>
        <w:snapToGrid w:val="0"/>
        <w:spacing w:line="360" w:lineRule="exact"/>
        <w:ind w:firstLine="420" w:firstLineChars="200"/>
        <w:rPr>
          <w:rFonts w:ascii="宋体" w:hAnsi="宋体" w:cs="宋体"/>
          <w:highlight w:val="none"/>
        </w:rPr>
      </w:pPr>
      <w:r>
        <w:rPr>
          <w:rFonts w:hint="eastAsia" w:ascii="宋体" w:hAnsi="宋体" w:cs="宋体"/>
          <w:highlight w:val="none"/>
        </w:rPr>
        <w:t>3.3 承包人人员</w:t>
      </w:r>
    </w:p>
    <w:p w14:paraId="28569C0F">
      <w:pPr>
        <w:pStyle w:val="104"/>
        <w:adjustRightInd w:val="0"/>
        <w:snapToGrid w:val="0"/>
        <w:spacing w:line="360" w:lineRule="exact"/>
        <w:ind w:firstLine="420" w:firstLineChars="200"/>
        <w:rPr>
          <w:rFonts w:ascii="宋体" w:hAnsi="宋体" w:cs="宋体"/>
          <w:highlight w:val="none"/>
        </w:rPr>
      </w:pPr>
      <w:r>
        <w:rPr>
          <w:rFonts w:hint="eastAsia" w:ascii="宋体" w:hAnsi="宋体" w:cs="宋体"/>
          <w:highlight w:val="none"/>
        </w:rPr>
        <w:t>3.3.1 承包人提交项目管理机构及施工现场管理人员安排报告的期限：</w:t>
      </w:r>
      <w:r>
        <w:rPr>
          <w:rFonts w:hint="eastAsia" w:ascii="宋体" w:hAnsi="宋体" w:cs="宋体"/>
          <w:highlight w:val="none"/>
          <w:u w:val="single"/>
        </w:rPr>
        <w:t xml:space="preserve">   /   </w:t>
      </w:r>
      <w:r>
        <w:rPr>
          <w:rFonts w:hint="eastAsia" w:ascii="宋体" w:hAnsi="宋体" w:cs="宋体"/>
          <w:highlight w:val="none"/>
        </w:rPr>
        <w:t>。</w:t>
      </w:r>
    </w:p>
    <w:p w14:paraId="1DADBDDF">
      <w:pPr>
        <w:pStyle w:val="104"/>
        <w:adjustRightInd w:val="0"/>
        <w:snapToGrid w:val="0"/>
        <w:spacing w:line="360" w:lineRule="exact"/>
        <w:ind w:firstLine="420" w:firstLineChars="200"/>
        <w:rPr>
          <w:rFonts w:ascii="宋体" w:hAnsi="宋体" w:cs="宋体"/>
          <w:highlight w:val="none"/>
        </w:rPr>
      </w:pPr>
      <w:r>
        <w:rPr>
          <w:rFonts w:hint="eastAsia" w:ascii="宋体" w:hAnsi="宋体" w:cs="宋体"/>
          <w:highlight w:val="none"/>
        </w:rPr>
        <w:t>3.3.2 承包人需更换主要施工管理人员的，继任人员的数量、注册执业资格、管理经验的约定</w:t>
      </w:r>
      <w:r>
        <w:rPr>
          <w:rFonts w:hint="eastAsia" w:ascii="宋体" w:hAnsi="宋体" w:cs="宋体"/>
          <w:highlight w:val="none"/>
          <w:u w:val="single"/>
        </w:rPr>
        <w:t xml:space="preserve">   / </w:t>
      </w:r>
      <w:r>
        <w:rPr>
          <w:rFonts w:hint="eastAsia" w:ascii="宋体" w:hAnsi="宋体" w:cs="宋体"/>
          <w:highlight w:val="none"/>
        </w:rPr>
        <w:t>。</w:t>
      </w:r>
    </w:p>
    <w:p w14:paraId="2D59E65C">
      <w:pPr>
        <w:pStyle w:val="104"/>
        <w:adjustRightInd w:val="0"/>
        <w:snapToGrid w:val="0"/>
        <w:spacing w:line="360" w:lineRule="exact"/>
        <w:ind w:firstLine="420" w:firstLineChars="200"/>
        <w:rPr>
          <w:rFonts w:ascii="宋体" w:hAnsi="宋体" w:cs="宋体"/>
          <w:highlight w:val="none"/>
        </w:rPr>
      </w:pPr>
      <w:r>
        <w:rPr>
          <w:rFonts w:hint="eastAsia" w:ascii="宋体" w:hAnsi="宋体" w:cs="宋体"/>
          <w:highlight w:val="none"/>
        </w:rPr>
        <w:t>3.3.3 承包人无正当理由拒绝撤换主要施工管理人员的违约责任：</w:t>
      </w:r>
      <w:r>
        <w:rPr>
          <w:rFonts w:hint="eastAsia" w:ascii="宋体" w:hAnsi="宋体" w:cs="宋体"/>
          <w:highlight w:val="none"/>
          <w:u w:val="single"/>
        </w:rPr>
        <w:t xml:space="preserve">  /  </w:t>
      </w:r>
      <w:r>
        <w:rPr>
          <w:rFonts w:hint="eastAsia" w:ascii="宋体" w:hAnsi="宋体" w:cs="宋体"/>
          <w:highlight w:val="none"/>
        </w:rPr>
        <w:t>。</w:t>
      </w:r>
    </w:p>
    <w:p w14:paraId="6CE722CC">
      <w:pPr>
        <w:pStyle w:val="104"/>
        <w:adjustRightInd w:val="0"/>
        <w:snapToGrid w:val="0"/>
        <w:spacing w:line="360" w:lineRule="exact"/>
        <w:ind w:firstLine="420" w:firstLineChars="200"/>
        <w:rPr>
          <w:rFonts w:ascii="宋体" w:hAnsi="宋体" w:cs="宋体"/>
          <w:highlight w:val="none"/>
          <w:u w:val="single"/>
        </w:rPr>
      </w:pPr>
      <w:r>
        <w:rPr>
          <w:rFonts w:hint="eastAsia" w:ascii="宋体" w:hAnsi="宋体" w:cs="宋体"/>
          <w:highlight w:val="none"/>
        </w:rPr>
        <w:t>3.3.4 承包人主要施工管理人员离开施工现场的批准要求：</w:t>
      </w:r>
      <w:r>
        <w:rPr>
          <w:rFonts w:hint="eastAsia" w:ascii="宋体" w:hAnsi="宋体" w:cs="宋体"/>
          <w:highlight w:val="none"/>
          <w:u w:val="single"/>
        </w:rPr>
        <w:t xml:space="preserve"> </w:t>
      </w:r>
      <w:r>
        <w:rPr>
          <w:rFonts w:hint="eastAsia" w:ascii="宋体" w:hAnsi="宋体" w:cs="宋体"/>
          <w:b/>
          <w:bCs/>
          <w:highlight w:val="none"/>
          <w:u w:val="single"/>
        </w:rPr>
        <w:t>按通用合同条款第3.3.4条规定执行</w:t>
      </w:r>
      <w:r>
        <w:rPr>
          <w:rFonts w:hint="eastAsia" w:ascii="宋体" w:hAnsi="宋体" w:cs="宋体"/>
          <w:highlight w:val="none"/>
          <w:u w:val="single"/>
        </w:rPr>
        <w:t xml:space="preserve">   </w:t>
      </w:r>
      <w:r>
        <w:rPr>
          <w:rFonts w:hint="eastAsia" w:ascii="宋体" w:hAnsi="宋体" w:cs="宋体"/>
          <w:highlight w:val="none"/>
        </w:rPr>
        <w:t>。</w:t>
      </w:r>
    </w:p>
    <w:p w14:paraId="7A2EE1F8">
      <w:pPr>
        <w:pStyle w:val="104"/>
        <w:adjustRightInd w:val="0"/>
        <w:snapToGrid w:val="0"/>
        <w:spacing w:line="360" w:lineRule="exact"/>
        <w:ind w:firstLine="420" w:firstLineChars="200"/>
        <w:rPr>
          <w:rFonts w:ascii="宋体" w:hAnsi="宋体" w:cs="宋体"/>
          <w:highlight w:val="none"/>
        </w:rPr>
      </w:pPr>
      <w:r>
        <w:rPr>
          <w:rFonts w:hint="eastAsia" w:ascii="宋体" w:hAnsi="宋体" w:cs="宋体"/>
          <w:highlight w:val="none"/>
        </w:rPr>
        <w:t>3.3.5承包人擅自更换主要施工管理人员的违约责任：</w:t>
      </w:r>
      <w:r>
        <w:rPr>
          <w:rFonts w:hint="eastAsia" w:ascii="宋体" w:hAnsi="宋体" w:cs="宋体"/>
          <w:highlight w:val="none"/>
          <w:u w:val="single"/>
        </w:rPr>
        <w:t xml:space="preserve">  </w:t>
      </w:r>
      <w:r>
        <w:rPr>
          <w:rFonts w:hint="eastAsia" w:ascii="宋体" w:hAnsi="宋体" w:cs="宋体"/>
          <w:b/>
          <w:bCs/>
          <w:highlight w:val="none"/>
          <w:u w:val="single"/>
        </w:rPr>
        <w:t>/   。</w:t>
      </w:r>
    </w:p>
    <w:p w14:paraId="739FDCA7">
      <w:pPr>
        <w:pStyle w:val="104"/>
        <w:adjustRightInd w:val="0"/>
        <w:snapToGrid w:val="0"/>
        <w:spacing w:line="360" w:lineRule="exact"/>
        <w:ind w:firstLine="420" w:firstLineChars="200"/>
        <w:rPr>
          <w:rFonts w:ascii="宋体" w:hAnsi="宋体" w:cs="宋体"/>
          <w:highlight w:val="none"/>
        </w:rPr>
      </w:pPr>
      <w:r>
        <w:rPr>
          <w:rFonts w:hint="eastAsia" w:ascii="宋体" w:hAnsi="宋体" w:cs="宋体"/>
          <w:highlight w:val="none"/>
        </w:rPr>
        <w:t>承包人主要施工管理人员擅自离开施工现场的违约责任：</w:t>
      </w:r>
      <w:r>
        <w:rPr>
          <w:rFonts w:hint="eastAsia" w:ascii="宋体" w:hAnsi="宋体" w:cs="宋体"/>
          <w:b/>
          <w:bCs/>
          <w:highlight w:val="none"/>
          <w:u w:val="single"/>
        </w:rPr>
        <w:t>发包人有权要求更换管理人员</w:t>
      </w:r>
      <w:r>
        <w:rPr>
          <w:rFonts w:hint="eastAsia" w:ascii="宋体" w:hAnsi="宋体" w:cs="宋体"/>
          <w:highlight w:val="none"/>
          <w:u w:val="single"/>
        </w:rPr>
        <w:t xml:space="preserve"> </w:t>
      </w:r>
      <w:r>
        <w:rPr>
          <w:rFonts w:hint="eastAsia" w:ascii="宋体" w:hAnsi="宋体" w:cs="宋体"/>
          <w:highlight w:val="none"/>
        </w:rPr>
        <w:t>。</w:t>
      </w:r>
    </w:p>
    <w:p w14:paraId="56E0F2B8">
      <w:pPr>
        <w:pStyle w:val="104"/>
        <w:adjustRightInd w:val="0"/>
        <w:snapToGrid w:val="0"/>
        <w:spacing w:line="360" w:lineRule="exact"/>
        <w:ind w:firstLine="420" w:firstLineChars="200"/>
        <w:rPr>
          <w:rFonts w:ascii="宋体" w:hAnsi="宋体" w:cs="宋体"/>
          <w:highlight w:val="none"/>
        </w:rPr>
      </w:pPr>
      <w:r>
        <w:rPr>
          <w:rFonts w:hint="eastAsia" w:ascii="宋体" w:hAnsi="宋体" w:cs="宋体"/>
          <w:highlight w:val="none"/>
        </w:rPr>
        <w:t>3.4 分包</w:t>
      </w:r>
    </w:p>
    <w:p w14:paraId="0ECC6705">
      <w:pPr>
        <w:pStyle w:val="104"/>
        <w:adjustRightInd w:val="0"/>
        <w:snapToGrid w:val="0"/>
        <w:spacing w:line="360" w:lineRule="exact"/>
        <w:ind w:firstLine="420" w:firstLineChars="200"/>
        <w:rPr>
          <w:rFonts w:ascii="宋体" w:hAnsi="宋体" w:cs="宋体"/>
          <w:highlight w:val="none"/>
        </w:rPr>
      </w:pPr>
      <w:r>
        <w:rPr>
          <w:rFonts w:hint="eastAsia" w:ascii="宋体" w:hAnsi="宋体" w:cs="宋体"/>
          <w:highlight w:val="none"/>
        </w:rPr>
        <w:t>3.4.1 分包的一般约定</w:t>
      </w:r>
    </w:p>
    <w:p w14:paraId="5298ED0D">
      <w:pPr>
        <w:pStyle w:val="104"/>
        <w:adjustRightInd w:val="0"/>
        <w:snapToGrid w:val="0"/>
        <w:spacing w:line="360" w:lineRule="exact"/>
        <w:ind w:firstLine="420" w:firstLineChars="200"/>
        <w:jc w:val="left"/>
        <w:rPr>
          <w:rFonts w:ascii="宋体" w:hAnsi="宋体" w:cs="宋体"/>
          <w:highlight w:val="none"/>
        </w:rPr>
      </w:pPr>
      <w:r>
        <w:rPr>
          <w:rFonts w:hint="eastAsia" w:ascii="宋体" w:hAnsi="宋体" w:cs="宋体"/>
          <w:highlight w:val="none"/>
        </w:rPr>
        <w:t>禁止分包的工程包括：</w:t>
      </w:r>
      <w:r>
        <w:rPr>
          <w:rFonts w:hint="eastAsia" w:ascii="宋体" w:hAnsi="宋体" w:cs="宋体"/>
          <w:b/>
          <w:bCs/>
          <w:highlight w:val="none"/>
          <w:u w:val="single"/>
        </w:rPr>
        <w:t xml:space="preserve"> 未经发包人同意一律不得分包。  </w:t>
      </w:r>
    </w:p>
    <w:p w14:paraId="4FCAFB71">
      <w:pPr>
        <w:pStyle w:val="104"/>
        <w:adjustRightInd w:val="0"/>
        <w:snapToGrid w:val="0"/>
        <w:spacing w:line="360" w:lineRule="exact"/>
        <w:jc w:val="left"/>
        <w:rPr>
          <w:rFonts w:ascii="宋体" w:hAnsi="宋体" w:cs="宋体"/>
          <w:highlight w:val="none"/>
          <w:u w:val="single"/>
        </w:rPr>
      </w:pPr>
      <w:r>
        <w:rPr>
          <w:rFonts w:hint="eastAsia" w:ascii="宋体" w:hAnsi="宋体" w:cs="宋体"/>
          <w:highlight w:val="none"/>
        </w:rPr>
        <w:t xml:space="preserve">    主体结构、关键性工作的范围：</w:t>
      </w:r>
      <w:r>
        <w:rPr>
          <w:rFonts w:hint="eastAsia" w:ascii="宋体" w:hAnsi="宋体" w:cs="宋体"/>
          <w:highlight w:val="none"/>
          <w:u w:val="single"/>
        </w:rPr>
        <w:t xml:space="preserve">    /      </w:t>
      </w:r>
      <w:r>
        <w:rPr>
          <w:rFonts w:hint="eastAsia" w:ascii="宋体" w:hAnsi="宋体" w:cs="宋体"/>
          <w:highlight w:val="none"/>
        </w:rPr>
        <w:t>。</w:t>
      </w:r>
    </w:p>
    <w:p w14:paraId="391CF139">
      <w:pPr>
        <w:pStyle w:val="104"/>
        <w:adjustRightInd w:val="0"/>
        <w:snapToGrid w:val="0"/>
        <w:spacing w:line="360" w:lineRule="exact"/>
        <w:rPr>
          <w:rFonts w:ascii="宋体" w:hAnsi="宋体" w:cs="宋体"/>
          <w:highlight w:val="none"/>
        </w:rPr>
      </w:pPr>
      <w:r>
        <w:rPr>
          <w:rFonts w:hint="eastAsia" w:ascii="宋体" w:hAnsi="宋体" w:cs="宋体"/>
          <w:highlight w:val="none"/>
        </w:rPr>
        <w:t xml:space="preserve">    3.4.2分包的确定</w:t>
      </w:r>
    </w:p>
    <w:p w14:paraId="265EE303">
      <w:pPr>
        <w:pStyle w:val="104"/>
        <w:adjustRightInd w:val="0"/>
        <w:snapToGrid w:val="0"/>
        <w:spacing w:line="360" w:lineRule="exact"/>
        <w:ind w:firstLine="420" w:firstLineChars="200"/>
        <w:rPr>
          <w:rFonts w:ascii="宋体" w:hAnsi="宋体" w:cs="宋体"/>
          <w:highlight w:val="none"/>
          <w:u w:val="single"/>
        </w:rPr>
      </w:pPr>
      <w:r>
        <w:rPr>
          <w:rFonts w:hint="eastAsia" w:ascii="宋体" w:hAnsi="宋体" w:cs="宋体"/>
          <w:highlight w:val="none"/>
        </w:rPr>
        <w:t>允许分包的专业工程包括：</w:t>
      </w:r>
      <w:r>
        <w:rPr>
          <w:rFonts w:hint="eastAsia" w:ascii="宋体" w:hAnsi="宋体" w:cs="宋体"/>
          <w:highlight w:val="none"/>
          <w:u w:val="single"/>
        </w:rPr>
        <w:t xml:space="preserve">    /        </w:t>
      </w:r>
      <w:r>
        <w:rPr>
          <w:rFonts w:hint="eastAsia" w:ascii="宋体" w:hAnsi="宋体" w:cs="宋体"/>
          <w:highlight w:val="none"/>
        </w:rPr>
        <w:t>。</w:t>
      </w:r>
    </w:p>
    <w:p w14:paraId="2137B29F">
      <w:pPr>
        <w:pStyle w:val="104"/>
        <w:adjustRightInd w:val="0"/>
        <w:snapToGrid w:val="0"/>
        <w:spacing w:line="360" w:lineRule="exact"/>
        <w:rPr>
          <w:rFonts w:ascii="宋体" w:hAnsi="宋体" w:cs="宋体"/>
          <w:highlight w:val="none"/>
        </w:rPr>
      </w:pPr>
      <w:r>
        <w:rPr>
          <w:rFonts w:hint="eastAsia" w:ascii="宋体" w:hAnsi="宋体" w:cs="宋体"/>
          <w:highlight w:val="none"/>
        </w:rPr>
        <w:t xml:space="preserve">    其他关于分包的约定：</w:t>
      </w:r>
      <w:r>
        <w:rPr>
          <w:rFonts w:hint="eastAsia" w:ascii="宋体" w:hAnsi="宋体" w:cs="宋体"/>
          <w:highlight w:val="none"/>
          <w:u w:val="single"/>
        </w:rPr>
        <w:t xml:space="preserve">    /           </w:t>
      </w:r>
      <w:r>
        <w:rPr>
          <w:rFonts w:hint="eastAsia" w:ascii="宋体" w:hAnsi="宋体" w:cs="宋体"/>
          <w:highlight w:val="none"/>
        </w:rPr>
        <w:t>。</w:t>
      </w:r>
    </w:p>
    <w:p w14:paraId="70CC5101">
      <w:pPr>
        <w:pStyle w:val="104"/>
        <w:adjustRightInd w:val="0"/>
        <w:snapToGrid w:val="0"/>
        <w:spacing w:line="360" w:lineRule="exact"/>
        <w:ind w:firstLine="420" w:firstLineChars="200"/>
        <w:rPr>
          <w:rFonts w:ascii="宋体" w:hAnsi="宋体" w:cs="宋体"/>
          <w:highlight w:val="none"/>
        </w:rPr>
      </w:pPr>
      <w:r>
        <w:rPr>
          <w:rFonts w:hint="eastAsia" w:ascii="宋体" w:hAnsi="宋体" w:cs="宋体"/>
          <w:highlight w:val="none"/>
        </w:rPr>
        <w:t>3.4.3 分包合同价款</w:t>
      </w:r>
    </w:p>
    <w:p w14:paraId="694C8BFF">
      <w:pPr>
        <w:pStyle w:val="104"/>
        <w:adjustRightInd w:val="0"/>
        <w:snapToGrid w:val="0"/>
        <w:spacing w:line="360" w:lineRule="exact"/>
        <w:ind w:firstLine="420" w:firstLineChars="200"/>
        <w:rPr>
          <w:rFonts w:ascii="宋体" w:hAnsi="宋体" w:cs="宋体"/>
          <w:highlight w:val="none"/>
        </w:rPr>
      </w:pPr>
      <w:r>
        <w:rPr>
          <w:rFonts w:hint="eastAsia" w:ascii="宋体" w:hAnsi="宋体" w:cs="宋体"/>
          <w:highlight w:val="none"/>
        </w:rPr>
        <w:t>关于分包合同价款支付的约定：</w:t>
      </w:r>
      <w:r>
        <w:rPr>
          <w:rFonts w:hint="eastAsia" w:ascii="宋体" w:hAnsi="宋体" w:cs="宋体"/>
          <w:highlight w:val="none"/>
          <w:u w:val="single"/>
        </w:rPr>
        <w:t xml:space="preserve">    /      </w:t>
      </w:r>
      <w:r>
        <w:rPr>
          <w:rFonts w:hint="eastAsia" w:ascii="宋体" w:hAnsi="宋体" w:cs="宋体"/>
          <w:highlight w:val="none"/>
        </w:rPr>
        <w:t>。</w:t>
      </w:r>
    </w:p>
    <w:p w14:paraId="38A3A08F">
      <w:pPr>
        <w:pStyle w:val="104"/>
        <w:adjustRightInd w:val="0"/>
        <w:snapToGrid w:val="0"/>
        <w:spacing w:line="360" w:lineRule="exact"/>
        <w:ind w:firstLine="420" w:firstLineChars="200"/>
        <w:rPr>
          <w:rFonts w:ascii="宋体" w:hAnsi="宋体" w:cs="宋体"/>
          <w:highlight w:val="none"/>
        </w:rPr>
      </w:pPr>
      <w:r>
        <w:rPr>
          <w:rFonts w:hint="eastAsia" w:ascii="宋体" w:hAnsi="宋体" w:cs="宋体"/>
          <w:highlight w:val="none"/>
        </w:rPr>
        <w:t>3.5 工程照管与成品、半成品保护</w:t>
      </w:r>
    </w:p>
    <w:p w14:paraId="78536F81">
      <w:pPr>
        <w:pStyle w:val="104"/>
        <w:adjustRightInd w:val="0"/>
        <w:snapToGrid w:val="0"/>
        <w:spacing w:line="360" w:lineRule="exact"/>
        <w:ind w:firstLine="420" w:firstLineChars="200"/>
        <w:rPr>
          <w:rFonts w:ascii="宋体" w:hAnsi="宋体" w:cs="宋体"/>
          <w:kern w:val="0"/>
          <w:highlight w:val="none"/>
        </w:rPr>
      </w:pPr>
      <w:r>
        <w:rPr>
          <w:rFonts w:hint="eastAsia" w:ascii="宋体" w:hAnsi="宋体" w:cs="宋体"/>
          <w:kern w:val="0"/>
          <w:highlight w:val="none"/>
        </w:rPr>
        <w:t>承包人负责照管工程及工程相关的材料、工程设备的起始时间：</w:t>
      </w:r>
      <w:r>
        <w:rPr>
          <w:rFonts w:hint="eastAsia" w:ascii="宋体" w:hAnsi="宋体" w:cs="宋体"/>
          <w:b/>
          <w:bCs/>
          <w:kern w:val="0"/>
          <w:highlight w:val="none"/>
          <w:u w:val="single"/>
        </w:rPr>
        <w:t>按通用合同条款第3.6条规定执行</w:t>
      </w:r>
      <w:r>
        <w:rPr>
          <w:rFonts w:hint="eastAsia" w:ascii="宋体" w:hAnsi="宋体" w:cs="宋体"/>
          <w:kern w:val="0"/>
          <w:highlight w:val="none"/>
        </w:rPr>
        <w:t>。</w:t>
      </w:r>
    </w:p>
    <w:p w14:paraId="33E994BC">
      <w:pPr>
        <w:pStyle w:val="104"/>
        <w:adjustRightInd w:val="0"/>
        <w:snapToGrid w:val="0"/>
        <w:spacing w:line="360" w:lineRule="exact"/>
        <w:ind w:firstLine="420" w:firstLineChars="200"/>
        <w:rPr>
          <w:rFonts w:ascii="宋体" w:hAnsi="宋体" w:cs="宋体"/>
          <w:highlight w:val="none"/>
        </w:rPr>
      </w:pPr>
      <w:r>
        <w:rPr>
          <w:rFonts w:hint="eastAsia" w:ascii="宋体" w:hAnsi="宋体" w:cs="宋体"/>
          <w:highlight w:val="none"/>
        </w:rPr>
        <w:t>3.6 履约担保</w:t>
      </w:r>
    </w:p>
    <w:p w14:paraId="22FBC74A">
      <w:pPr>
        <w:pStyle w:val="104"/>
        <w:adjustRightInd w:val="0"/>
        <w:snapToGrid w:val="0"/>
        <w:spacing w:line="360" w:lineRule="auto"/>
        <w:ind w:firstLine="420" w:firstLineChars="200"/>
        <w:jc w:val="left"/>
        <w:rPr>
          <w:rFonts w:ascii="宋体" w:hAnsi="宋体" w:cs="宋体"/>
          <w:highlight w:val="none"/>
        </w:rPr>
      </w:pPr>
      <w:r>
        <w:rPr>
          <w:rFonts w:hint="eastAsia" w:ascii="宋体" w:hAnsi="宋体" w:cs="宋体"/>
          <w:highlight w:val="none"/>
        </w:rPr>
        <w:t>承包人是否提供履约担保：</w:t>
      </w:r>
      <w:r>
        <w:rPr>
          <w:rFonts w:hint="eastAsia" w:ascii="宋体" w:hAnsi="宋体" w:cs="宋体"/>
          <w:highlight w:val="none"/>
          <w:u w:val="single"/>
        </w:rPr>
        <w:t xml:space="preserve">   </w:t>
      </w:r>
      <w:r>
        <w:rPr>
          <w:rFonts w:hint="eastAsia" w:ascii="宋体" w:hAnsi="宋体" w:cs="宋体"/>
          <w:b/>
          <w:bCs/>
          <w:highlight w:val="none"/>
          <w:u w:val="single"/>
        </w:rPr>
        <w:t>是</w:t>
      </w:r>
      <w:r>
        <w:rPr>
          <w:rFonts w:hint="eastAsia" w:ascii="宋体" w:hAnsi="宋体" w:cs="宋体"/>
          <w:highlight w:val="none"/>
          <w:u w:val="single"/>
        </w:rPr>
        <w:t xml:space="preserve">   </w:t>
      </w:r>
      <w:r>
        <w:rPr>
          <w:rFonts w:hint="eastAsia" w:ascii="宋体" w:hAnsi="宋体" w:cs="宋体"/>
          <w:highlight w:val="none"/>
        </w:rPr>
        <w:t>。</w:t>
      </w:r>
    </w:p>
    <w:p w14:paraId="3019374D">
      <w:pPr>
        <w:pStyle w:val="104"/>
        <w:adjustRightInd w:val="0"/>
        <w:snapToGrid w:val="0"/>
        <w:spacing w:line="360" w:lineRule="auto"/>
        <w:ind w:firstLine="420" w:firstLineChars="200"/>
        <w:rPr>
          <w:rFonts w:ascii="宋体" w:hAnsi="宋体" w:cs="宋体"/>
          <w:highlight w:val="none"/>
        </w:rPr>
      </w:pPr>
      <w:r>
        <w:rPr>
          <w:rFonts w:hint="eastAsia" w:ascii="宋体" w:hAnsi="宋体" w:cs="宋体"/>
          <w:highlight w:val="none"/>
        </w:rPr>
        <w:t>承包人提供履约担保的形式、金额及期限的，采用以下第</w:t>
      </w:r>
      <w:r>
        <w:rPr>
          <w:rFonts w:hint="eastAsia" w:ascii="宋体" w:hAnsi="宋体" w:cs="宋体"/>
          <w:highlight w:val="none"/>
          <w:u w:val="single"/>
        </w:rPr>
        <w:t>3</w:t>
      </w:r>
      <w:r>
        <w:rPr>
          <w:rFonts w:hint="eastAsia" w:ascii="宋体" w:hAnsi="宋体" w:cs="宋体"/>
          <w:highlight w:val="none"/>
        </w:rPr>
        <w:t>种方式：</w:t>
      </w:r>
    </w:p>
    <w:p w14:paraId="526B6182">
      <w:pPr>
        <w:pStyle w:val="104"/>
        <w:adjustRightInd w:val="0"/>
        <w:snapToGrid w:val="0"/>
        <w:spacing w:line="360" w:lineRule="exact"/>
        <w:ind w:firstLine="420" w:firstLineChars="200"/>
        <w:rPr>
          <w:rFonts w:ascii="宋体" w:hAnsi="宋体" w:cs="宋体"/>
          <w:highlight w:val="none"/>
          <w:u w:val="single"/>
        </w:rPr>
      </w:pPr>
      <w:r>
        <w:rPr>
          <w:rFonts w:hint="eastAsia" w:ascii="宋体" w:hAnsi="宋体" w:cs="宋体"/>
          <w:highlight w:val="none"/>
        </w:rPr>
        <w:t>(1)保证保险，金额及期限为：</w:t>
      </w:r>
      <w:r>
        <w:rPr>
          <w:rFonts w:hint="eastAsia" w:ascii="宋体" w:hAnsi="宋体" w:cs="宋体"/>
          <w:highlight w:val="none"/>
          <w:u w:val="single"/>
        </w:rPr>
        <w:t xml:space="preserve">    /      </w:t>
      </w:r>
      <w:r>
        <w:rPr>
          <w:rFonts w:hint="eastAsia" w:ascii="宋体" w:hAnsi="宋体" w:cs="宋体"/>
          <w:highlight w:val="none"/>
        </w:rPr>
        <w:t>；</w:t>
      </w:r>
    </w:p>
    <w:p w14:paraId="7C889E93">
      <w:pPr>
        <w:pStyle w:val="104"/>
        <w:adjustRightInd w:val="0"/>
        <w:snapToGrid w:val="0"/>
        <w:spacing w:line="360" w:lineRule="exact"/>
        <w:ind w:firstLine="420" w:firstLineChars="200"/>
        <w:rPr>
          <w:rFonts w:ascii="宋体" w:hAnsi="宋体" w:cs="宋体"/>
          <w:highlight w:val="none"/>
          <w:u w:val="single"/>
        </w:rPr>
      </w:pPr>
      <w:r>
        <w:rPr>
          <w:rFonts w:hint="eastAsia" w:ascii="宋体" w:hAnsi="宋体" w:cs="宋体"/>
          <w:highlight w:val="none"/>
        </w:rPr>
        <w:t>(2)银行保函，金额及期限为：</w:t>
      </w:r>
      <w:r>
        <w:rPr>
          <w:rFonts w:hint="eastAsia" w:ascii="宋体" w:hAnsi="宋体" w:cs="宋体"/>
          <w:highlight w:val="none"/>
          <w:u w:val="single"/>
        </w:rPr>
        <w:t xml:space="preserve">    /     </w:t>
      </w:r>
      <w:r>
        <w:rPr>
          <w:rFonts w:hint="eastAsia" w:ascii="宋体" w:hAnsi="宋体" w:cs="宋体"/>
          <w:highlight w:val="none"/>
        </w:rPr>
        <w:t xml:space="preserve"> ；</w:t>
      </w:r>
    </w:p>
    <w:p w14:paraId="20387241">
      <w:pPr>
        <w:pStyle w:val="104"/>
        <w:adjustRightInd w:val="0"/>
        <w:snapToGrid w:val="0"/>
        <w:spacing w:line="360" w:lineRule="exact"/>
        <w:ind w:firstLine="420" w:firstLineChars="200"/>
        <w:rPr>
          <w:rFonts w:ascii="宋体" w:hAnsi="宋体" w:cs="宋体"/>
          <w:b/>
          <w:bCs/>
          <w:highlight w:val="none"/>
          <w:u w:val="single"/>
        </w:rPr>
      </w:pPr>
      <w:r>
        <w:rPr>
          <w:rFonts w:hint="eastAsia" w:ascii="宋体" w:hAnsi="宋体" w:cs="宋体"/>
          <w:kern w:val="0"/>
          <w:highlight w:val="none"/>
        </w:rPr>
        <w:t>(3)其他方式，</w:t>
      </w:r>
      <w:r>
        <w:rPr>
          <w:rFonts w:hint="eastAsia" w:ascii="宋体" w:hAnsi="宋体" w:cs="宋体"/>
          <w:b/>
          <w:bCs/>
          <w:highlight w:val="none"/>
          <w:u w:val="single"/>
        </w:rPr>
        <w:t>合同签订后7天内，承包人向发包人递交合同价1%的履约保证金（履约担保的形式：电汇、汇票、支票形式或银行、保险公司出具的保函）</w:t>
      </w:r>
      <w:r>
        <w:rPr>
          <w:rFonts w:hint="eastAsia" w:ascii="宋体" w:hAnsi="宋体" w:cs="宋体"/>
          <w:highlight w:val="none"/>
          <w:u w:val="single"/>
        </w:rPr>
        <w:t>。</w:t>
      </w:r>
    </w:p>
    <w:p w14:paraId="3083DD0A">
      <w:pPr>
        <w:pStyle w:val="104"/>
        <w:adjustRightInd w:val="0"/>
        <w:snapToGrid w:val="0"/>
        <w:spacing w:line="360" w:lineRule="auto"/>
        <w:ind w:firstLine="420" w:firstLineChars="200"/>
        <w:rPr>
          <w:rFonts w:ascii="宋体" w:hAnsi="宋体" w:cs="宋体"/>
          <w:kern w:val="0"/>
          <w:highlight w:val="none"/>
        </w:rPr>
      </w:pPr>
      <w:r>
        <w:rPr>
          <w:rFonts w:hint="eastAsia" w:ascii="宋体" w:hAnsi="宋体" w:cs="宋体"/>
          <w:kern w:val="0"/>
          <w:highlight w:val="none"/>
        </w:rPr>
        <w:t>履约保证金分五部分，其中：</w:t>
      </w:r>
    </w:p>
    <w:p w14:paraId="4DC38FAA">
      <w:pPr>
        <w:pStyle w:val="104"/>
        <w:adjustRightInd w:val="0"/>
        <w:snapToGrid w:val="0"/>
        <w:spacing w:line="360" w:lineRule="auto"/>
        <w:ind w:firstLine="210" w:firstLineChars="100"/>
        <w:rPr>
          <w:rFonts w:ascii="宋体" w:hAnsi="宋体" w:cs="宋体"/>
          <w:kern w:val="0"/>
          <w:highlight w:val="none"/>
        </w:rPr>
      </w:pPr>
      <w:r>
        <w:rPr>
          <w:rFonts w:hint="eastAsia" w:ascii="宋体" w:hAnsi="宋体" w:cs="宋体"/>
          <w:kern w:val="0"/>
          <w:highlight w:val="none"/>
        </w:rPr>
        <w:t>（a）质量履约保证金占30%，发生质量事故的，则按磋商文件和合同中相关条款处罚。</w:t>
      </w:r>
    </w:p>
    <w:p w14:paraId="626B4E16">
      <w:pPr>
        <w:pStyle w:val="104"/>
        <w:adjustRightInd w:val="0"/>
        <w:snapToGrid w:val="0"/>
        <w:spacing w:line="360" w:lineRule="auto"/>
        <w:ind w:firstLine="210" w:firstLineChars="100"/>
        <w:rPr>
          <w:rFonts w:ascii="宋体" w:hAnsi="宋体" w:cs="宋体"/>
          <w:kern w:val="0"/>
          <w:highlight w:val="none"/>
        </w:rPr>
      </w:pPr>
      <w:r>
        <w:rPr>
          <w:rFonts w:hint="eastAsia" w:ascii="宋体" w:hAnsi="宋体" w:cs="宋体"/>
          <w:kern w:val="0"/>
          <w:highlight w:val="none"/>
        </w:rPr>
        <w:t>（b）工期履约保证金占40%，工期以合同为准，若不能按期竣工，则按磋商文件和合同中相关条款处罚。</w:t>
      </w:r>
    </w:p>
    <w:p w14:paraId="499FA052">
      <w:pPr>
        <w:pStyle w:val="104"/>
        <w:adjustRightInd w:val="0"/>
        <w:snapToGrid w:val="0"/>
        <w:spacing w:line="360" w:lineRule="auto"/>
        <w:ind w:firstLine="210" w:firstLineChars="100"/>
        <w:rPr>
          <w:rFonts w:ascii="宋体" w:hAnsi="宋体" w:cs="宋体"/>
          <w:kern w:val="0"/>
          <w:highlight w:val="none"/>
        </w:rPr>
      </w:pPr>
      <w:r>
        <w:rPr>
          <w:rFonts w:hint="eastAsia" w:ascii="宋体" w:hAnsi="宋体" w:cs="宋体"/>
          <w:kern w:val="0"/>
          <w:highlight w:val="none"/>
        </w:rPr>
        <w:t>（c）项目经理及项目班子到位履约保证金占20%。项目经理不能到位，则按磋商文件和合同中相关条款处罚。</w:t>
      </w:r>
    </w:p>
    <w:p w14:paraId="0BD64D13">
      <w:pPr>
        <w:pStyle w:val="104"/>
        <w:adjustRightInd w:val="0"/>
        <w:snapToGrid w:val="0"/>
        <w:spacing w:line="360" w:lineRule="auto"/>
        <w:ind w:firstLine="210" w:firstLineChars="100"/>
        <w:rPr>
          <w:rFonts w:ascii="宋体" w:hAnsi="宋体" w:cs="宋体"/>
          <w:kern w:val="0"/>
          <w:highlight w:val="none"/>
        </w:rPr>
      </w:pPr>
      <w:r>
        <w:rPr>
          <w:rFonts w:hint="eastAsia" w:ascii="宋体" w:hAnsi="宋体" w:cs="宋体"/>
          <w:kern w:val="0"/>
          <w:highlight w:val="none"/>
        </w:rPr>
        <w:t>（d）安全生产、文明施工履约保证金占5%。发生重大人身安全事故的，罚没该部分保证金。</w:t>
      </w:r>
    </w:p>
    <w:p w14:paraId="375778DE">
      <w:pPr>
        <w:pStyle w:val="104"/>
        <w:adjustRightInd w:val="0"/>
        <w:snapToGrid w:val="0"/>
        <w:spacing w:line="360" w:lineRule="auto"/>
        <w:ind w:firstLine="210" w:firstLineChars="100"/>
        <w:rPr>
          <w:rFonts w:ascii="宋体" w:hAnsi="宋体" w:cs="宋体"/>
          <w:kern w:val="0"/>
          <w:highlight w:val="none"/>
        </w:rPr>
      </w:pPr>
      <w:r>
        <w:rPr>
          <w:rFonts w:hint="eastAsia" w:ascii="宋体" w:hAnsi="宋体" w:cs="宋体"/>
          <w:kern w:val="0"/>
          <w:highlight w:val="none"/>
        </w:rPr>
        <w:t>（e）廉洁自律、计划生育履约保证金占5%。发生违反廉政合同或计划生育行为的，罚没该部分保证金。</w:t>
      </w:r>
    </w:p>
    <w:p w14:paraId="31C4A182">
      <w:pPr>
        <w:pStyle w:val="104"/>
        <w:adjustRightInd w:val="0"/>
        <w:snapToGrid w:val="0"/>
        <w:spacing w:line="360" w:lineRule="auto"/>
        <w:ind w:firstLine="420" w:firstLineChars="200"/>
        <w:rPr>
          <w:rFonts w:ascii="宋体" w:hAnsi="宋体" w:cs="宋体"/>
          <w:kern w:val="0"/>
          <w:highlight w:val="none"/>
        </w:rPr>
      </w:pPr>
      <w:r>
        <w:rPr>
          <w:rFonts w:hint="eastAsia" w:ascii="宋体" w:hAnsi="宋体" w:cs="宋体"/>
          <w:kern w:val="0"/>
          <w:highlight w:val="none"/>
        </w:rPr>
        <w:t>履约担保有效期自履约保证金交纳之日起至上述五项指标考核合格后28天内有效。履约保证金在工程竣工验收合格、承包人履行了合同约定的责任和义务（如有违约，扣除违约金）后无息退还。</w:t>
      </w:r>
    </w:p>
    <w:p w14:paraId="5F74CF4B">
      <w:pPr>
        <w:pStyle w:val="104"/>
        <w:adjustRightInd w:val="0"/>
        <w:snapToGrid w:val="0"/>
        <w:spacing w:line="360" w:lineRule="auto"/>
        <w:ind w:firstLine="482" w:firstLineChars="200"/>
        <w:jc w:val="center"/>
        <w:rPr>
          <w:rFonts w:ascii="宋体" w:hAnsi="宋体" w:cs="宋体"/>
          <w:b/>
          <w:bCs/>
          <w:sz w:val="24"/>
          <w:highlight w:val="none"/>
        </w:rPr>
      </w:pPr>
      <w:r>
        <w:rPr>
          <w:rFonts w:hint="eastAsia" w:ascii="宋体" w:hAnsi="宋体" w:cs="宋体"/>
          <w:b/>
          <w:bCs/>
          <w:sz w:val="24"/>
          <w:highlight w:val="none"/>
        </w:rPr>
        <w:t>4. 监理人</w:t>
      </w:r>
    </w:p>
    <w:p w14:paraId="1F414CA3">
      <w:pPr>
        <w:pStyle w:val="104"/>
        <w:adjustRightInd w:val="0"/>
        <w:snapToGrid w:val="0"/>
        <w:spacing w:line="360" w:lineRule="exact"/>
        <w:ind w:firstLine="420" w:firstLineChars="200"/>
        <w:rPr>
          <w:rFonts w:ascii="宋体" w:hAnsi="宋体" w:cs="宋体"/>
          <w:highlight w:val="none"/>
        </w:rPr>
      </w:pPr>
      <w:r>
        <w:rPr>
          <w:rFonts w:hint="eastAsia" w:ascii="宋体" w:hAnsi="宋体" w:cs="宋体"/>
          <w:highlight w:val="none"/>
        </w:rPr>
        <w:t>4.1监理人的一般规定</w:t>
      </w:r>
    </w:p>
    <w:p w14:paraId="2725BB45">
      <w:pPr>
        <w:pStyle w:val="104"/>
        <w:adjustRightInd w:val="0"/>
        <w:snapToGrid w:val="0"/>
        <w:spacing w:line="360" w:lineRule="exact"/>
        <w:ind w:firstLine="420" w:firstLineChars="200"/>
        <w:jc w:val="left"/>
        <w:rPr>
          <w:rFonts w:ascii="宋体" w:hAnsi="宋体" w:cs="宋体"/>
          <w:highlight w:val="none"/>
        </w:rPr>
      </w:pPr>
      <w:r>
        <w:rPr>
          <w:rFonts w:hint="eastAsia" w:ascii="宋体" w:hAnsi="宋体" w:cs="宋体"/>
          <w:highlight w:val="none"/>
        </w:rPr>
        <w:t>关于监理人的监理内容：</w:t>
      </w:r>
      <w:r>
        <w:rPr>
          <w:rFonts w:hint="eastAsia" w:ascii="宋体" w:hAnsi="宋体" w:cs="宋体"/>
          <w:b/>
          <w:bCs/>
          <w:highlight w:val="none"/>
          <w:u w:val="single"/>
        </w:rPr>
        <w:t>现场全过程协调，负责质量、安全、投资、进度管理</w:t>
      </w:r>
      <w:r>
        <w:rPr>
          <w:rFonts w:hint="eastAsia" w:ascii="宋体" w:hAnsi="宋体" w:cs="宋体"/>
          <w:highlight w:val="none"/>
        </w:rPr>
        <w:t>。</w:t>
      </w:r>
    </w:p>
    <w:p w14:paraId="6D8E066D">
      <w:pPr>
        <w:pStyle w:val="104"/>
        <w:adjustRightInd w:val="0"/>
        <w:snapToGrid w:val="0"/>
        <w:spacing w:line="360" w:lineRule="exact"/>
        <w:ind w:firstLine="420" w:firstLineChars="200"/>
        <w:jc w:val="left"/>
        <w:rPr>
          <w:rFonts w:ascii="宋体" w:hAnsi="宋体" w:cs="宋体"/>
          <w:highlight w:val="none"/>
        </w:rPr>
      </w:pPr>
      <w:r>
        <w:rPr>
          <w:rFonts w:hint="eastAsia" w:ascii="宋体" w:hAnsi="宋体" w:cs="宋体"/>
          <w:highlight w:val="none"/>
        </w:rPr>
        <w:t>关于监理人的监理权限：</w:t>
      </w:r>
      <w:r>
        <w:rPr>
          <w:rFonts w:hint="eastAsia" w:ascii="宋体" w:hAnsi="宋体" w:cs="宋体"/>
          <w:b/>
          <w:bCs/>
          <w:highlight w:val="none"/>
          <w:u w:val="single"/>
        </w:rPr>
        <w:t>按监理合同约定实行</w:t>
      </w:r>
      <w:r>
        <w:rPr>
          <w:rFonts w:hint="eastAsia" w:ascii="宋体" w:hAnsi="宋体" w:cs="宋体"/>
          <w:highlight w:val="none"/>
          <w:u w:val="single"/>
        </w:rPr>
        <w:t xml:space="preserve"> </w:t>
      </w:r>
      <w:r>
        <w:rPr>
          <w:rFonts w:hint="eastAsia" w:ascii="宋体" w:hAnsi="宋体" w:cs="宋体"/>
          <w:highlight w:val="none"/>
        </w:rPr>
        <w:t xml:space="preserve">。 </w:t>
      </w:r>
    </w:p>
    <w:p w14:paraId="7C9984EC">
      <w:pPr>
        <w:pStyle w:val="128"/>
        <w:adjustRightInd w:val="0"/>
        <w:snapToGrid w:val="0"/>
        <w:spacing w:line="360" w:lineRule="exact"/>
        <w:ind w:firstLine="420" w:firstLineChars="200"/>
        <w:rPr>
          <w:rFonts w:ascii="宋体" w:hAnsi="宋体" w:eastAsia="宋体" w:cs="宋体"/>
          <w:b/>
          <w:bCs/>
          <w:color w:val="auto"/>
          <w:highlight w:val="none"/>
          <w:u w:val="single"/>
        </w:rPr>
      </w:pPr>
      <w:r>
        <w:rPr>
          <w:rFonts w:hint="eastAsia" w:ascii="宋体" w:hAnsi="宋体" w:eastAsia="宋体" w:cs="宋体"/>
          <w:color w:val="auto"/>
          <w:highlight w:val="none"/>
        </w:rPr>
        <w:t>需要取得发包人批准才能行使的职权：</w:t>
      </w:r>
      <w:r>
        <w:rPr>
          <w:rFonts w:hint="eastAsia" w:ascii="宋体" w:hAnsi="宋体" w:eastAsia="宋体" w:cs="宋体"/>
          <w:b/>
          <w:bCs/>
          <w:color w:val="auto"/>
          <w:kern w:val="0"/>
          <w:highlight w:val="none"/>
          <w:u w:val="single"/>
        </w:rPr>
        <w:t>总监理工程师签署的任何付款凭证需经发包人代表签署确认意见后有效。涉及设计变更、工期顺延、材料价格、停/复工令、工程索赔等可能影响工程价款或工期的签证需经发包人书面同意，签证才有效。</w:t>
      </w:r>
      <w:r>
        <w:rPr>
          <w:rFonts w:hint="eastAsia" w:ascii="宋体" w:hAnsi="宋体" w:eastAsia="宋体" w:cs="宋体"/>
          <w:b/>
          <w:bCs/>
          <w:color w:val="auto"/>
          <w:highlight w:val="none"/>
          <w:u w:val="single"/>
        </w:rPr>
        <w:t xml:space="preserve"> </w:t>
      </w:r>
    </w:p>
    <w:p w14:paraId="288D3F5B">
      <w:pPr>
        <w:pStyle w:val="104"/>
        <w:adjustRightInd w:val="0"/>
        <w:snapToGrid w:val="0"/>
        <w:spacing w:line="360" w:lineRule="exact"/>
        <w:ind w:firstLine="420" w:firstLineChars="200"/>
        <w:rPr>
          <w:rFonts w:ascii="宋体" w:hAnsi="宋体" w:cs="宋体"/>
          <w:highlight w:val="none"/>
        </w:rPr>
      </w:pPr>
      <w:r>
        <w:rPr>
          <w:rFonts w:hint="eastAsia" w:ascii="宋体" w:hAnsi="宋体" w:cs="宋体"/>
          <w:highlight w:val="none"/>
        </w:rPr>
        <w:t>关于监理人在施工现场的办公场所、生活场所的提供和费用承担的约定：</w:t>
      </w:r>
      <w:r>
        <w:rPr>
          <w:rFonts w:hint="eastAsia" w:ascii="宋体" w:hAnsi="宋体" w:cs="宋体"/>
          <w:b/>
          <w:bCs/>
          <w:highlight w:val="none"/>
          <w:u w:val="single"/>
        </w:rPr>
        <w:t>监理人在施工现场的办公场所、生活场所及发生的水电费由承包人提供和承担</w:t>
      </w:r>
      <w:r>
        <w:rPr>
          <w:rFonts w:hint="eastAsia" w:ascii="宋体" w:hAnsi="宋体" w:cs="宋体"/>
          <w:highlight w:val="none"/>
          <w:u w:val="single"/>
        </w:rPr>
        <w:t xml:space="preserve"> </w:t>
      </w:r>
      <w:r>
        <w:rPr>
          <w:rFonts w:hint="eastAsia" w:ascii="宋体" w:hAnsi="宋体" w:cs="宋体"/>
          <w:highlight w:val="none"/>
        </w:rPr>
        <w:t>。</w:t>
      </w:r>
    </w:p>
    <w:p w14:paraId="4DC45602">
      <w:pPr>
        <w:pStyle w:val="104"/>
        <w:adjustRightInd w:val="0"/>
        <w:snapToGrid w:val="0"/>
        <w:spacing w:line="360" w:lineRule="exact"/>
        <w:ind w:firstLine="420" w:firstLineChars="200"/>
        <w:rPr>
          <w:rFonts w:ascii="宋体" w:hAnsi="宋体" w:cs="宋体"/>
          <w:highlight w:val="none"/>
        </w:rPr>
      </w:pPr>
      <w:r>
        <w:rPr>
          <w:rFonts w:hint="eastAsia" w:ascii="宋体" w:hAnsi="宋体" w:cs="宋体"/>
          <w:highlight w:val="none"/>
        </w:rPr>
        <w:t>4.2 监理人员</w:t>
      </w:r>
    </w:p>
    <w:p w14:paraId="00245D4D">
      <w:pPr>
        <w:pStyle w:val="104"/>
        <w:adjustRightInd w:val="0"/>
        <w:snapToGrid w:val="0"/>
        <w:spacing w:line="360" w:lineRule="exact"/>
        <w:ind w:firstLine="420" w:firstLineChars="200"/>
        <w:rPr>
          <w:rFonts w:ascii="宋体" w:hAnsi="宋体" w:cs="宋体"/>
          <w:highlight w:val="none"/>
        </w:rPr>
      </w:pPr>
      <w:r>
        <w:rPr>
          <w:rFonts w:hint="eastAsia" w:ascii="宋体" w:hAnsi="宋体" w:cs="宋体"/>
          <w:highlight w:val="none"/>
        </w:rPr>
        <w:t>总监理工程师：</w:t>
      </w:r>
    </w:p>
    <w:p w14:paraId="0E1C0CE5">
      <w:pPr>
        <w:pStyle w:val="104"/>
        <w:adjustRightInd w:val="0"/>
        <w:snapToGrid w:val="0"/>
        <w:spacing w:line="360" w:lineRule="exact"/>
        <w:ind w:firstLine="420" w:firstLineChars="200"/>
        <w:rPr>
          <w:rFonts w:ascii="宋体" w:hAnsi="宋体" w:cs="宋体"/>
          <w:highlight w:val="none"/>
        </w:rPr>
      </w:pPr>
      <w:r>
        <w:rPr>
          <w:rFonts w:hint="eastAsia" w:ascii="宋体" w:hAnsi="宋体" w:cs="宋体"/>
          <w:highlight w:val="none"/>
        </w:rPr>
        <w:t>姓    名：</w:t>
      </w:r>
      <w:r>
        <w:rPr>
          <w:rFonts w:hint="eastAsia" w:ascii="宋体" w:hAnsi="宋体" w:cs="宋体"/>
          <w:highlight w:val="none"/>
          <w:u w:val="single"/>
        </w:rPr>
        <w:t xml:space="preserve">     /      </w:t>
      </w:r>
      <w:r>
        <w:rPr>
          <w:rFonts w:hint="eastAsia" w:ascii="宋体" w:hAnsi="宋体" w:cs="宋体"/>
          <w:highlight w:val="none"/>
        </w:rPr>
        <w:t>；</w:t>
      </w:r>
    </w:p>
    <w:p w14:paraId="65277054">
      <w:pPr>
        <w:pStyle w:val="104"/>
        <w:adjustRightInd w:val="0"/>
        <w:snapToGrid w:val="0"/>
        <w:spacing w:line="360" w:lineRule="exact"/>
        <w:ind w:firstLine="420" w:firstLineChars="200"/>
        <w:rPr>
          <w:rFonts w:ascii="宋体" w:hAnsi="宋体" w:cs="宋体"/>
          <w:highlight w:val="none"/>
        </w:rPr>
      </w:pPr>
      <w:r>
        <w:rPr>
          <w:rFonts w:hint="eastAsia" w:ascii="宋体" w:hAnsi="宋体" w:cs="宋体"/>
          <w:highlight w:val="none"/>
        </w:rPr>
        <w:t>职    务：</w:t>
      </w:r>
      <w:r>
        <w:rPr>
          <w:rFonts w:hint="eastAsia" w:ascii="宋体" w:hAnsi="宋体" w:cs="宋体"/>
          <w:b/>
          <w:bCs/>
          <w:highlight w:val="none"/>
          <w:u w:val="single"/>
        </w:rPr>
        <w:t xml:space="preserve">      /  </w:t>
      </w:r>
      <w:r>
        <w:rPr>
          <w:rFonts w:hint="eastAsia" w:ascii="宋体" w:hAnsi="宋体" w:cs="宋体"/>
          <w:highlight w:val="none"/>
          <w:u w:val="single"/>
        </w:rPr>
        <w:t xml:space="preserve">   </w:t>
      </w:r>
      <w:r>
        <w:rPr>
          <w:rFonts w:hint="eastAsia" w:ascii="宋体" w:hAnsi="宋体" w:cs="宋体"/>
          <w:highlight w:val="none"/>
        </w:rPr>
        <w:t>；</w:t>
      </w:r>
    </w:p>
    <w:p w14:paraId="350D2522">
      <w:pPr>
        <w:pStyle w:val="104"/>
        <w:adjustRightInd w:val="0"/>
        <w:snapToGrid w:val="0"/>
        <w:spacing w:line="360" w:lineRule="exact"/>
        <w:ind w:firstLine="420" w:firstLineChars="200"/>
        <w:rPr>
          <w:rFonts w:ascii="宋体" w:hAnsi="宋体" w:cs="宋体"/>
          <w:highlight w:val="none"/>
        </w:rPr>
      </w:pPr>
      <w:r>
        <w:rPr>
          <w:rFonts w:hint="eastAsia" w:ascii="宋体" w:hAnsi="宋体" w:cs="宋体"/>
          <w:highlight w:val="none"/>
        </w:rPr>
        <w:t>监理工程师执业资格证书号：</w:t>
      </w:r>
      <w:r>
        <w:rPr>
          <w:rFonts w:hint="eastAsia" w:ascii="宋体" w:hAnsi="宋体" w:cs="宋体"/>
          <w:highlight w:val="none"/>
          <w:u w:val="single"/>
        </w:rPr>
        <w:t xml:space="preserve">     /   </w:t>
      </w:r>
      <w:r>
        <w:rPr>
          <w:rFonts w:hint="eastAsia" w:ascii="宋体" w:hAnsi="宋体" w:cs="宋体"/>
          <w:highlight w:val="none"/>
        </w:rPr>
        <w:t>；</w:t>
      </w:r>
    </w:p>
    <w:p w14:paraId="54565481">
      <w:pPr>
        <w:pStyle w:val="104"/>
        <w:adjustRightInd w:val="0"/>
        <w:snapToGrid w:val="0"/>
        <w:spacing w:line="360" w:lineRule="exact"/>
        <w:ind w:firstLine="420" w:firstLineChars="200"/>
        <w:rPr>
          <w:rFonts w:ascii="宋体" w:hAnsi="宋体" w:cs="宋体"/>
          <w:highlight w:val="none"/>
        </w:rPr>
      </w:pPr>
      <w:r>
        <w:rPr>
          <w:rFonts w:hint="eastAsia" w:ascii="宋体" w:hAnsi="宋体" w:cs="宋体"/>
          <w:highlight w:val="none"/>
        </w:rPr>
        <w:t>联系电话：</w:t>
      </w:r>
      <w:r>
        <w:rPr>
          <w:rFonts w:hint="eastAsia" w:ascii="宋体" w:hAnsi="宋体" w:cs="宋体"/>
          <w:highlight w:val="none"/>
          <w:u w:val="single"/>
        </w:rPr>
        <w:t xml:space="preserve"> /  </w:t>
      </w:r>
      <w:r>
        <w:rPr>
          <w:rFonts w:hint="eastAsia" w:ascii="宋体" w:hAnsi="宋体" w:cs="宋体"/>
          <w:highlight w:val="none"/>
        </w:rPr>
        <w:t>；</w:t>
      </w:r>
    </w:p>
    <w:p w14:paraId="0EF4B9D3">
      <w:pPr>
        <w:pStyle w:val="104"/>
        <w:adjustRightInd w:val="0"/>
        <w:snapToGrid w:val="0"/>
        <w:spacing w:line="360" w:lineRule="exact"/>
        <w:ind w:firstLine="420" w:firstLineChars="200"/>
        <w:rPr>
          <w:rFonts w:ascii="宋体" w:hAnsi="宋体" w:cs="宋体"/>
          <w:highlight w:val="none"/>
        </w:rPr>
      </w:pPr>
      <w:r>
        <w:rPr>
          <w:rFonts w:hint="eastAsia" w:ascii="宋体" w:hAnsi="宋体" w:cs="宋体"/>
          <w:highlight w:val="none"/>
        </w:rPr>
        <w:t>电子信箱：</w:t>
      </w:r>
      <w:r>
        <w:rPr>
          <w:rFonts w:hint="eastAsia" w:ascii="宋体" w:hAnsi="宋体" w:cs="宋体"/>
          <w:highlight w:val="none"/>
          <w:u w:val="single"/>
        </w:rPr>
        <w:t xml:space="preserve">  / </w:t>
      </w:r>
      <w:r>
        <w:rPr>
          <w:rFonts w:hint="eastAsia" w:ascii="宋体" w:hAnsi="宋体" w:cs="宋体"/>
          <w:highlight w:val="none"/>
        </w:rPr>
        <w:t>；</w:t>
      </w:r>
    </w:p>
    <w:p w14:paraId="5D8988C6">
      <w:pPr>
        <w:pStyle w:val="104"/>
        <w:adjustRightInd w:val="0"/>
        <w:snapToGrid w:val="0"/>
        <w:spacing w:line="360" w:lineRule="exact"/>
        <w:ind w:firstLine="420" w:firstLineChars="200"/>
        <w:rPr>
          <w:rFonts w:ascii="宋体" w:hAnsi="宋体" w:cs="宋体"/>
          <w:highlight w:val="none"/>
        </w:rPr>
      </w:pPr>
      <w:r>
        <w:rPr>
          <w:rFonts w:hint="eastAsia" w:ascii="宋体" w:hAnsi="宋体" w:cs="宋体"/>
          <w:highlight w:val="none"/>
        </w:rPr>
        <w:t>通信地址：</w:t>
      </w:r>
      <w:r>
        <w:rPr>
          <w:rFonts w:hint="eastAsia" w:ascii="宋体" w:hAnsi="宋体" w:cs="宋体"/>
          <w:highlight w:val="none"/>
          <w:u w:val="single"/>
        </w:rPr>
        <w:t xml:space="preserve">  / </w:t>
      </w:r>
      <w:r>
        <w:rPr>
          <w:rFonts w:hint="eastAsia" w:ascii="宋体" w:hAnsi="宋体" w:cs="宋体"/>
          <w:highlight w:val="none"/>
        </w:rPr>
        <w:t>；</w:t>
      </w:r>
    </w:p>
    <w:p w14:paraId="00510BD2">
      <w:pPr>
        <w:pStyle w:val="104"/>
        <w:adjustRightInd w:val="0"/>
        <w:snapToGrid w:val="0"/>
        <w:spacing w:line="360" w:lineRule="exact"/>
        <w:ind w:firstLine="420" w:firstLineChars="200"/>
        <w:rPr>
          <w:rFonts w:ascii="宋体" w:hAnsi="宋体" w:cs="宋体"/>
          <w:highlight w:val="none"/>
        </w:rPr>
      </w:pPr>
      <w:r>
        <w:rPr>
          <w:rFonts w:hint="eastAsia" w:ascii="宋体" w:hAnsi="宋体" w:cs="宋体"/>
          <w:highlight w:val="none"/>
        </w:rPr>
        <w:t>关于监理人的其他约定：</w:t>
      </w:r>
      <w:r>
        <w:rPr>
          <w:rFonts w:hint="eastAsia" w:ascii="宋体" w:hAnsi="宋体" w:cs="宋体"/>
          <w:highlight w:val="none"/>
          <w:u w:val="single"/>
        </w:rPr>
        <w:t xml:space="preserve">  /  </w:t>
      </w:r>
      <w:r>
        <w:rPr>
          <w:rFonts w:hint="eastAsia" w:ascii="宋体" w:hAnsi="宋体" w:cs="宋体"/>
          <w:highlight w:val="none"/>
        </w:rPr>
        <w:t>。</w:t>
      </w:r>
    </w:p>
    <w:p w14:paraId="403F1C61">
      <w:pPr>
        <w:pStyle w:val="104"/>
        <w:adjustRightInd w:val="0"/>
        <w:snapToGrid w:val="0"/>
        <w:spacing w:line="360" w:lineRule="exact"/>
        <w:ind w:firstLine="420" w:firstLineChars="200"/>
        <w:rPr>
          <w:rFonts w:ascii="宋体" w:hAnsi="宋体" w:cs="宋体"/>
          <w:highlight w:val="none"/>
        </w:rPr>
      </w:pPr>
      <w:r>
        <w:rPr>
          <w:rFonts w:hint="eastAsia" w:ascii="宋体" w:hAnsi="宋体" w:cs="宋体"/>
          <w:highlight w:val="none"/>
        </w:rPr>
        <w:t>4.4 商定或确定</w:t>
      </w:r>
    </w:p>
    <w:p w14:paraId="50308BB5">
      <w:pPr>
        <w:pStyle w:val="104"/>
        <w:adjustRightInd w:val="0"/>
        <w:snapToGrid w:val="0"/>
        <w:spacing w:line="360" w:lineRule="exact"/>
        <w:ind w:firstLine="420" w:firstLineChars="200"/>
        <w:rPr>
          <w:rFonts w:ascii="宋体" w:hAnsi="宋体" w:cs="宋体"/>
          <w:highlight w:val="none"/>
        </w:rPr>
      </w:pPr>
      <w:r>
        <w:rPr>
          <w:rFonts w:hint="eastAsia" w:ascii="宋体" w:hAnsi="宋体" w:cs="宋体"/>
          <w:highlight w:val="none"/>
        </w:rPr>
        <w:t>在发包人和承包人不能通过协商达成一致意见时，发包人授权监理人对以下事项进行确定：</w:t>
      </w:r>
    </w:p>
    <w:p w14:paraId="716C7824">
      <w:pPr>
        <w:pStyle w:val="104"/>
        <w:autoSpaceDE w:val="0"/>
        <w:autoSpaceDN w:val="0"/>
        <w:adjustRightInd w:val="0"/>
        <w:snapToGrid w:val="0"/>
        <w:spacing w:line="360" w:lineRule="exact"/>
        <w:ind w:firstLine="420" w:firstLineChars="200"/>
        <w:jc w:val="left"/>
        <w:rPr>
          <w:rFonts w:ascii="宋体" w:hAnsi="宋体" w:cs="宋体"/>
          <w:kern w:val="0"/>
          <w:highlight w:val="none"/>
        </w:rPr>
      </w:pPr>
      <w:r>
        <w:rPr>
          <w:rFonts w:hint="eastAsia" w:ascii="宋体" w:hAnsi="宋体" w:cs="宋体"/>
          <w:kern w:val="0"/>
          <w:highlight w:val="none"/>
        </w:rPr>
        <w:t>（1）</w:t>
      </w:r>
      <w:r>
        <w:rPr>
          <w:rFonts w:hint="eastAsia" w:ascii="宋体" w:hAnsi="宋体" w:cs="宋体"/>
          <w:highlight w:val="none"/>
          <w:u w:val="single"/>
        </w:rPr>
        <w:t xml:space="preserve">               /                    </w:t>
      </w:r>
      <w:r>
        <w:rPr>
          <w:rFonts w:hint="eastAsia" w:ascii="宋体" w:hAnsi="宋体" w:cs="宋体"/>
          <w:highlight w:val="none"/>
        </w:rPr>
        <w:t>；</w:t>
      </w:r>
    </w:p>
    <w:p w14:paraId="6949F1AA">
      <w:pPr>
        <w:pStyle w:val="104"/>
        <w:autoSpaceDE w:val="0"/>
        <w:autoSpaceDN w:val="0"/>
        <w:adjustRightInd w:val="0"/>
        <w:snapToGrid w:val="0"/>
        <w:spacing w:line="360" w:lineRule="exact"/>
        <w:ind w:firstLine="420" w:firstLineChars="200"/>
        <w:jc w:val="left"/>
        <w:rPr>
          <w:rFonts w:ascii="宋体" w:hAnsi="宋体" w:cs="宋体"/>
          <w:kern w:val="0"/>
          <w:highlight w:val="none"/>
        </w:rPr>
      </w:pPr>
      <w:r>
        <w:rPr>
          <w:rFonts w:hint="eastAsia" w:ascii="宋体" w:hAnsi="宋体" w:cs="宋体"/>
          <w:kern w:val="0"/>
          <w:highlight w:val="none"/>
        </w:rPr>
        <w:t>（2）</w:t>
      </w:r>
      <w:r>
        <w:rPr>
          <w:rFonts w:hint="eastAsia" w:ascii="宋体" w:hAnsi="宋体" w:cs="宋体"/>
          <w:highlight w:val="none"/>
          <w:u w:val="single"/>
        </w:rPr>
        <w:t xml:space="preserve">               /                    </w:t>
      </w:r>
      <w:r>
        <w:rPr>
          <w:rFonts w:hint="eastAsia" w:ascii="宋体" w:hAnsi="宋体" w:cs="宋体"/>
          <w:highlight w:val="none"/>
        </w:rPr>
        <w:t>；</w:t>
      </w:r>
    </w:p>
    <w:p w14:paraId="54C8F8DF">
      <w:pPr>
        <w:pStyle w:val="104"/>
        <w:autoSpaceDE w:val="0"/>
        <w:autoSpaceDN w:val="0"/>
        <w:adjustRightInd w:val="0"/>
        <w:snapToGrid w:val="0"/>
        <w:spacing w:line="360" w:lineRule="exact"/>
        <w:ind w:firstLine="420" w:firstLineChars="200"/>
        <w:jc w:val="left"/>
        <w:rPr>
          <w:rFonts w:ascii="宋体" w:hAnsi="宋体" w:cs="宋体"/>
          <w:kern w:val="0"/>
          <w:highlight w:val="none"/>
        </w:rPr>
      </w:pPr>
      <w:r>
        <w:rPr>
          <w:rFonts w:hint="eastAsia" w:ascii="宋体" w:hAnsi="宋体" w:cs="宋体"/>
          <w:kern w:val="0"/>
          <w:highlight w:val="none"/>
        </w:rPr>
        <w:t>（3）</w:t>
      </w:r>
      <w:r>
        <w:rPr>
          <w:rFonts w:hint="eastAsia" w:ascii="宋体" w:hAnsi="宋体" w:cs="宋体"/>
          <w:highlight w:val="none"/>
          <w:u w:val="single"/>
        </w:rPr>
        <w:t xml:space="preserve">               /                    </w:t>
      </w:r>
      <w:r>
        <w:rPr>
          <w:rFonts w:hint="eastAsia" w:ascii="宋体" w:hAnsi="宋体" w:cs="宋体"/>
          <w:highlight w:val="none"/>
        </w:rPr>
        <w:t>。</w:t>
      </w:r>
    </w:p>
    <w:p w14:paraId="3D00755A">
      <w:pPr>
        <w:pStyle w:val="127"/>
        <w:adjustRightInd w:val="0"/>
        <w:snapToGrid w:val="0"/>
        <w:spacing w:before="0" w:after="0" w:line="360" w:lineRule="exact"/>
        <w:ind w:firstLine="420"/>
        <w:jc w:val="center"/>
        <w:rPr>
          <w:rFonts w:ascii="宋体" w:hAnsi="宋体" w:eastAsia="宋体" w:cs="宋体"/>
          <w:b/>
          <w:bCs/>
          <w:color w:val="auto"/>
          <w:sz w:val="24"/>
          <w:highlight w:val="none"/>
        </w:rPr>
      </w:pPr>
      <w:r>
        <w:rPr>
          <w:rFonts w:hint="eastAsia" w:ascii="宋体" w:hAnsi="宋体" w:eastAsia="宋体" w:cs="宋体"/>
          <w:b/>
          <w:bCs/>
          <w:color w:val="auto"/>
          <w:sz w:val="24"/>
          <w:highlight w:val="none"/>
        </w:rPr>
        <w:t>5. 工程质量</w:t>
      </w:r>
    </w:p>
    <w:p w14:paraId="55A2DE94">
      <w:pPr>
        <w:pStyle w:val="104"/>
        <w:adjustRightInd w:val="0"/>
        <w:snapToGrid w:val="0"/>
        <w:spacing w:line="360" w:lineRule="exact"/>
        <w:ind w:firstLine="420" w:firstLineChars="200"/>
        <w:rPr>
          <w:rFonts w:ascii="宋体" w:hAnsi="宋体" w:cs="宋体"/>
          <w:highlight w:val="none"/>
        </w:rPr>
      </w:pPr>
      <w:r>
        <w:rPr>
          <w:rFonts w:hint="eastAsia" w:ascii="宋体" w:hAnsi="宋体" w:cs="宋体"/>
          <w:highlight w:val="none"/>
        </w:rPr>
        <w:t>5.1 质量要求</w:t>
      </w:r>
    </w:p>
    <w:p w14:paraId="6441A848">
      <w:pPr>
        <w:pStyle w:val="104"/>
        <w:adjustRightInd w:val="0"/>
        <w:snapToGrid w:val="0"/>
        <w:spacing w:line="360" w:lineRule="exact"/>
        <w:jc w:val="left"/>
        <w:rPr>
          <w:rFonts w:ascii="宋体" w:hAnsi="宋体" w:cs="宋体"/>
          <w:highlight w:val="none"/>
        </w:rPr>
      </w:pPr>
      <w:r>
        <w:rPr>
          <w:rFonts w:hint="eastAsia" w:ascii="宋体" w:hAnsi="宋体" w:cs="宋体"/>
          <w:highlight w:val="none"/>
        </w:rPr>
        <w:t xml:space="preserve">    5.1.1 特殊质量标准和要求：</w:t>
      </w:r>
      <w:r>
        <w:rPr>
          <w:rFonts w:hint="eastAsia" w:ascii="宋体" w:hAnsi="宋体" w:cs="宋体"/>
          <w:highlight w:val="none"/>
          <w:u w:val="single"/>
        </w:rPr>
        <w:t xml:space="preserve">       /        </w:t>
      </w:r>
      <w:r>
        <w:rPr>
          <w:rFonts w:hint="eastAsia" w:ascii="宋体" w:hAnsi="宋体" w:cs="宋体"/>
          <w:highlight w:val="none"/>
        </w:rPr>
        <w:t>。</w:t>
      </w:r>
    </w:p>
    <w:p w14:paraId="45E1CE2A">
      <w:pPr>
        <w:pStyle w:val="104"/>
        <w:adjustRightInd w:val="0"/>
        <w:snapToGrid w:val="0"/>
        <w:spacing w:line="360" w:lineRule="exact"/>
        <w:jc w:val="left"/>
        <w:rPr>
          <w:rFonts w:ascii="宋体" w:hAnsi="宋体" w:cs="宋体"/>
          <w:highlight w:val="none"/>
        </w:rPr>
      </w:pPr>
      <w:r>
        <w:rPr>
          <w:rFonts w:hint="eastAsia" w:ascii="宋体" w:hAnsi="宋体" w:cs="宋体"/>
          <w:highlight w:val="none"/>
        </w:rPr>
        <w:t xml:space="preserve">    关于工程奖项的约定：</w:t>
      </w:r>
      <w:r>
        <w:rPr>
          <w:rFonts w:hint="eastAsia" w:ascii="宋体" w:hAnsi="宋体" w:cs="宋体"/>
          <w:highlight w:val="none"/>
          <w:u w:val="single"/>
        </w:rPr>
        <w:t xml:space="preserve">   </w:t>
      </w:r>
      <w:r>
        <w:rPr>
          <w:rFonts w:hint="eastAsia" w:ascii="宋体" w:hAnsi="宋体" w:cs="宋体"/>
          <w:b/>
          <w:bCs/>
          <w:highlight w:val="none"/>
          <w:u w:val="single"/>
        </w:rPr>
        <w:t xml:space="preserve">  </w:t>
      </w:r>
      <w:r>
        <w:rPr>
          <w:rFonts w:hint="eastAsia" w:ascii="宋体" w:hAnsi="宋体" w:cs="宋体"/>
          <w:highlight w:val="none"/>
          <w:u w:val="single"/>
        </w:rPr>
        <w:t xml:space="preserve">/ </w:t>
      </w:r>
      <w:r>
        <w:rPr>
          <w:rFonts w:hint="eastAsia" w:ascii="宋体" w:hAnsi="宋体" w:cs="宋体"/>
          <w:b/>
          <w:bCs/>
          <w:highlight w:val="none"/>
          <w:u w:val="single"/>
        </w:rPr>
        <w:t xml:space="preserve">    </w:t>
      </w:r>
      <w:r>
        <w:rPr>
          <w:rFonts w:hint="eastAsia" w:ascii="宋体" w:hAnsi="宋体" w:cs="宋体"/>
          <w:highlight w:val="none"/>
          <w:u w:val="single"/>
        </w:rPr>
        <w:t xml:space="preserve">   </w:t>
      </w:r>
      <w:r>
        <w:rPr>
          <w:rFonts w:hint="eastAsia" w:ascii="宋体" w:hAnsi="宋体" w:cs="宋体"/>
          <w:highlight w:val="none"/>
        </w:rPr>
        <w:t>。</w:t>
      </w:r>
    </w:p>
    <w:p w14:paraId="02AEEC57">
      <w:pPr>
        <w:pStyle w:val="104"/>
        <w:adjustRightInd w:val="0"/>
        <w:snapToGrid w:val="0"/>
        <w:spacing w:line="360" w:lineRule="exact"/>
        <w:ind w:firstLine="420" w:firstLineChars="200"/>
        <w:rPr>
          <w:rFonts w:ascii="宋体" w:hAnsi="宋体" w:cs="宋体"/>
          <w:highlight w:val="none"/>
        </w:rPr>
      </w:pPr>
      <w:r>
        <w:rPr>
          <w:rFonts w:hint="eastAsia" w:ascii="宋体" w:hAnsi="宋体" w:cs="宋体"/>
          <w:highlight w:val="none"/>
        </w:rPr>
        <w:t>5.2 隐蔽工程检查</w:t>
      </w:r>
    </w:p>
    <w:p w14:paraId="0BAD793C">
      <w:pPr>
        <w:pStyle w:val="104"/>
        <w:adjustRightInd w:val="0"/>
        <w:snapToGrid w:val="0"/>
        <w:spacing w:line="360" w:lineRule="exact"/>
        <w:ind w:firstLine="420" w:firstLineChars="200"/>
        <w:jc w:val="left"/>
        <w:rPr>
          <w:rFonts w:ascii="宋体" w:hAnsi="宋体" w:cs="宋体"/>
          <w:b/>
          <w:bCs/>
          <w:i/>
          <w:iCs/>
          <w:highlight w:val="none"/>
          <w:u w:val="single"/>
        </w:rPr>
      </w:pPr>
      <w:r>
        <w:rPr>
          <w:rFonts w:hint="eastAsia" w:ascii="宋体" w:hAnsi="宋体" w:cs="宋体"/>
          <w:highlight w:val="none"/>
        </w:rPr>
        <w:t>5.2.1承包人提前通知监理人隐蔽工程检查的期限的约定：</w:t>
      </w:r>
      <w:r>
        <w:rPr>
          <w:rFonts w:hint="eastAsia" w:ascii="宋体" w:hAnsi="宋体" w:cs="宋体"/>
          <w:b/>
          <w:bCs/>
          <w:highlight w:val="none"/>
          <w:u w:val="single"/>
        </w:rPr>
        <w:t>承包人自检合格后，在隐蔽工程验收48小时前通知监理工程师和发包人代表参加。通知包括承包人自检记录、隐蔽验收时间和地点。验收合格，监理工程师和发包人代表在记录上签字后方可进行隐蔽和继续施工。不合格的，承包人在限定期限内整改后重新组织验收。</w:t>
      </w:r>
    </w:p>
    <w:p w14:paraId="1910AC0C">
      <w:pPr>
        <w:pStyle w:val="104"/>
        <w:adjustRightInd w:val="0"/>
        <w:snapToGrid w:val="0"/>
        <w:spacing w:line="360" w:lineRule="exact"/>
        <w:ind w:firstLine="420" w:firstLineChars="200"/>
        <w:jc w:val="left"/>
        <w:rPr>
          <w:rFonts w:ascii="宋体" w:hAnsi="宋体" w:cs="宋体"/>
          <w:highlight w:val="none"/>
        </w:rPr>
      </w:pPr>
      <w:r>
        <w:rPr>
          <w:rFonts w:hint="eastAsia" w:ascii="宋体" w:hAnsi="宋体" w:cs="宋体"/>
          <w:highlight w:val="none"/>
        </w:rPr>
        <w:t>监理人不能按时进行检查时，应提前</w:t>
      </w:r>
      <w:r>
        <w:rPr>
          <w:rFonts w:hint="eastAsia" w:ascii="宋体" w:hAnsi="宋体" w:cs="宋体"/>
          <w:highlight w:val="none"/>
          <w:u w:val="single"/>
        </w:rPr>
        <w:t xml:space="preserve"> </w:t>
      </w:r>
      <w:r>
        <w:rPr>
          <w:rFonts w:hint="eastAsia" w:ascii="宋体" w:hAnsi="宋体" w:cs="宋体"/>
          <w:b/>
          <w:bCs/>
          <w:highlight w:val="none"/>
          <w:u w:val="single"/>
        </w:rPr>
        <w:t>/</w:t>
      </w:r>
      <w:r>
        <w:rPr>
          <w:rFonts w:hint="eastAsia" w:ascii="宋体" w:hAnsi="宋体" w:cs="宋体"/>
          <w:highlight w:val="none"/>
          <w:u w:val="single"/>
        </w:rPr>
        <w:t xml:space="preserve"> </w:t>
      </w:r>
      <w:r>
        <w:rPr>
          <w:rFonts w:hint="eastAsia" w:ascii="宋体" w:hAnsi="宋体" w:cs="宋体"/>
          <w:highlight w:val="none"/>
        </w:rPr>
        <w:t>小时提交书面延期要求。</w:t>
      </w:r>
    </w:p>
    <w:p w14:paraId="2FA50A23">
      <w:pPr>
        <w:pStyle w:val="104"/>
        <w:adjustRightInd w:val="0"/>
        <w:snapToGrid w:val="0"/>
        <w:spacing w:line="360" w:lineRule="exact"/>
        <w:ind w:firstLine="420" w:firstLineChars="200"/>
        <w:jc w:val="left"/>
        <w:rPr>
          <w:rFonts w:ascii="宋体" w:hAnsi="宋体" w:cs="宋体"/>
          <w:highlight w:val="none"/>
        </w:rPr>
      </w:pPr>
      <w:r>
        <w:rPr>
          <w:rFonts w:hint="eastAsia" w:ascii="宋体" w:hAnsi="宋体" w:cs="宋体"/>
          <w:highlight w:val="none"/>
        </w:rPr>
        <w:t>关于延期最长不得超过：</w:t>
      </w:r>
      <w:r>
        <w:rPr>
          <w:rFonts w:hint="eastAsia" w:ascii="宋体" w:hAnsi="宋体" w:cs="宋体"/>
          <w:b/>
          <w:bCs/>
          <w:highlight w:val="none"/>
          <w:u w:val="single"/>
        </w:rPr>
        <w:t xml:space="preserve"> /</w:t>
      </w:r>
      <w:r>
        <w:rPr>
          <w:rFonts w:hint="eastAsia" w:ascii="宋体" w:hAnsi="宋体" w:cs="宋体"/>
          <w:highlight w:val="none"/>
          <w:u w:val="single"/>
        </w:rPr>
        <w:t xml:space="preserve"> </w:t>
      </w:r>
      <w:r>
        <w:rPr>
          <w:rFonts w:hint="eastAsia" w:ascii="宋体" w:hAnsi="宋体" w:cs="宋体"/>
          <w:highlight w:val="none"/>
        </w:rPr>
        <w:t>小时。</w:t>
      </w:r>
    </w:p>
    <w:p w14:paraId="6982BDBC">
      <w:pPr>
        <w:pStyle w:val="127"/>
        <w:adjustRightInd w:val="0"/>
        <w:snapToGrid w:val="0"/>
        <w:spacing w:before="0" w:after="0" w:line="360" w:lineRule="exact"/>
        <w:ind w:firstLine="420"/>
        <w:jc w:val="center"/>
        <w:rPr>
          <w:rFonts w:ascii="宋体" w:hAnsi="宋体" w:eastAsia="宋体" w:cs="宋体"/>
          <w:b/>
          <w:bCs/>
          <w:color w:val="auto"/>
          <w:sz w:val="24"/>
          <w:highlight w:val="none"/>
        </w:rPr>
      </w:pPr>
      <w:r>
        <w:rPr>
          <w:rFonts w:hint="eastAsia" w:ascii="宋体" w:hAnsi="宋体" w:eastAsia="宋体" w:cs="宋体"/>
          <w:b/>
          <w:bCs/>
          <w:color w:val="auto"/>
          <w:sz w:val="24"/>
          <w:highlight w:val="none"/>
        </w:rPr>
        <w:t>6. 安全文明施工与环境保护</w:t>
      </w:r>
    </w:p>
    <w:p w14:paraId="57B5D5C3">
      <w:pPr>
        <w:pStyle w:val="104"/>
        <w:adjustRightInd w:val="0"/>
        <w:snapToGrid w:val="0"/>
        <w:spacing w:line="360" w:lineRule="exact"/>
        <w:ind w:firstLine="420" w:firstLineChars="200"/>
        <w:rPr>
          <w:rFonts w:ascii="宋体" w:hAnsi="宋体" w:cs="宋体"/>
          <w:highlight w:val="none"/>
        </w:rPr>
      </w:pPr>
      <w:r>
        <w:rPr>
          <w:rFonts w:hint="eastAsia" w:ascii="宋体" w:hAnsi="宋体" w:cs="宋体"/>
          <w:highlight w:val="none"/>
        </w:rPr>
        <w:t>6.1安全文明施工</w:t>
      </w:r>
    </w:p>
    <w:p w14:paraId="75D670C1">
      <w:pPr>
        <w:pStyle w:val="104"/>
        <w:adjustRightInd w:val="0"/>
        <w:snapToGrid w:val="0"/>
        <w:spacing w:line="360" w:lineRule="exact"/>
        <w:jc w:val="left"/>
        <w:rPr>
          <w:rFonts w:ascii="宋体" w:hAnsi="宋体" w:cs="宋体"/>
          <w:highlight w:val="none"/>
        </w:rPr>
      </w:pPr>
      <w:r>
        <w:rPr>
          <w:rFonts w:hint="eastAsia" w:ascii="宋体" w:hAnsi="宋体" w:cs="宋体"/>
          <w:highlight w:val="none"/>
        </w:rPr>
        <w:t xml:space="preserve">    6.1.1 项目安全生产的达标目标及相应事项的约定：</w:t>
      </w:r>
      <w:r>
        <w:rPr>
          <w:rFonts w:hint="eastAsia" w:ascii="宋体" w:hAnsi="宋体" w:cs="宋体"/>
          <w:highlight w:val="none"/>
          <w:u w:val="single"/>
        </w:rPr>
        <w:t xml:space="preserve"> 详见附件3 </w:t>
      </w:r>
      <w:r>
        <w:rPr>
          <w:rFonts w:hint="eastAsia" w:ascii="宋体" w:hAnsi="宋体" w:cs="宋体"/>
          <w:highlight w:val="none"/>
        </w:rPr>
        <w:t>。</w:t>
      </w:r>
    </w:p>
    <w:p w14:paraId="3EB090ED">
      <w:pPr>
        <w:pStyle w:val="104"/>
        <w:adjustRightInd w:val="0"/>
        <w:snapToGrid w:val="0"/>
        <w:spacing w:line="360" w:lineRule="exact"/>
        <w:jc w:val="left"/>
        <w:rPr>
          <w:rFonts w:ascii="宋体" w:hAnsi="宋体" w:cs="宋体"/>
          <w:highlight w:val="none"/>
        </w:rPr>
      </w:pPr>
      <w:r>
        <w:rPr>
          <w:rFonts w:hint="eastAsia" w:ascii="宋体" w:hAnsi="宋体" w:cs="宋体"/>
          <w:highlight w:val="none"/>
        </w:rPr>
        <w:t xml:space="preserve">    6.1.2 关于治安保卫的特别约定：</w:t>
      </w:r>
      <w:r>
        <w:rPr>
          <w:rFonts w:hint="eastAsia" w:ascii="宋体" w:hAnsi="宋体" w:cs="宋体"/>
          <w:highlight w:val="none"/>
          <w:u w:val="single"/>
        </w:rPr>
        <w:t xml:space="preserve">    </w:t>
      </w:r>
      <w:r>
        <w:rPr>
          <w:rFonts w:hint="eastAsia" w:ascii="宋体" w:hAnsi="宋体" w:cs="宋体"/>
          <w:b/>
          <w:bCs/>
          <w:highlight w:val="none"/>
          <w:u w:val="single"/>
        </w:rPr>
        <w:t>按通用合同条款第6.1.4条规定执行</w:t>
      </w:r>
      <w:r>
        <w:rPr>
          <w:rFonts w:hint="eastAsia" w:ascii="宋体" w:hAnsi="宋体" w:cs="宋体"/>
          <w:highlight w:val="none"/>
          <w:u w:val="single"/>
        </w:rPr>
        <w:t xml:space="preserve">    </w:t>
      </w:r>
      <w:r>
        <w:rPr>
          <w:rFonts w:hint="eastAsia" w:ascii="宋体" w:hAnsi="宋体" w:cs="宋体"/>
          <w:highlight w:val="none"/>
        </w:rPr>
        <w:t>。</w:t>
      </w:r>
    </w:p>
    <w:p w14:paraId="16B4B4D5">
      <w:pPr>
        <w:pStyle w:val="104"/>
        <w:adjustRightInd w:val="0"/>
        <w:snapToGrid w:val="0"/>
        <w:spacing w:line="360" w:lineRule="exact"/>
        <w:ind w:firstLine="420" w:firstLineChars="200"/>
        <w:jc w:val="left"/>
        <w:rPr>
          <w:rFonts w:ascii="宋体" w:hAnsi="宋体" w:cs="宋体"/>
          <w:highlight w:val="none"/>
        </w:rPr>
      </w:pPr>
      <w:r>
        <w:rPr>
          <w:rFonts w:hint="eastAsia" w:ascii="宋体" w:hAnsi="宋体" w:cs="宋体"/>
          <w:highlight w:val="none"/>
        </w:rPr>
        <w:t>关于编制施工场地治安管理计划的约定：</w:t>
      </w:r>
      <w:r>
        <w:rPr>
          <w:rFonts w:hint="eastAsia" w:ascii="宋体" w:hAnsi="宋体" w:cs="宋体"/>
          <w:highlight w:val="none"/>
          <w:u w:val="single"/>
        </w:rPr>
        <w:t xml:space="preserve"> </w:t>
      </w:r>
      <w:r>
        <w:rPr>
          <w:rFonts w:hint="eastAsia" w:ascii="宋体" w:hAnsi="宋体" w:cs="宋体"/>
          <w:b/>
          <w:bCs/>
          <w:highlight w:val="none"/>
          <w:u w:val="single"/>
        </w:rPr>
        <w:t>按通用合同条款第6.1.4条规定执行</w:t>
      </w:r>
      <w:r>
        <w:rPr>
          <w:rFonts w:hint="eastAsia" w:ascii="宋体" w:hAnsi="宋体" w:cs="宋体"/>
          <w:highlight w:val="none"/>
        </w:rPr>
        <w:t>。</w:t>
      </w:r>
    </w:p>
    <w:p w14:paraId="2D8A15F6">
      <w:pPr>
        <w:pStyle w:val="104"/>
        <w:adjustRightInd w:val="0"/>
        <w:snapToGrid w:val="0"/>
        <w:spacing w:line="360" w:lineRule="exact"/>
        <w:ind w:firstLine="420" w:firstLineChars="200"/>
        <w:jc w:val="left"/>
        <w:rPr>
          <w:rFonts w:ascii="宋体" w:hAnsi="宋体" w:cs="宋体"/>
          <w:highlight w:val="none"/>
        </w:rPr>
      </w:pPr>
      <w:r>
        <w:rPr>
          <w:rFonts w:hint="eastAsia" w:ascii="宋体" w:hAnsi="宋体" w:cs="宋体"/>
          <w:highlight w:val="none"/>
        </w:rPr>
        <w:t>6.1.3 文明施工</w:t>
      </w:r>
    </w:p>
    <w:p w14:paraId="25795C41">
      <w:pPr>
        <w:pStyle w:val="104"/>
        <w:adjustRightInd w:val="0"/>
        <w:snapToGrid w:val="0"/>
        <w:spacing w:line="360" w:lineRule="exact"/>
        <w:ind w:firstLine="420" w:firstLineChars="200"/>
        <w:jc w:val="left"/>
        <w:rPr>
          <w:rFonts w:ascii="宋体" w:hAnsi="宋体" w:cs="宋体"/>
          <w:highlight w:val="none"/>
        </w:rPr>
      </w:pPr>
      <w:r>
        <w:rPr>
          <w:rFonts w:hint="eastAsia" w:ascii="宋体" w:hAnsi="宋体" w:cs="宋体"/>
          <w:highlight w:val="none"/>
        </w:rPr>
        <w:t>合同当事人对文明施工的要求：</w:t>
      </w:r>
    </w:p>
    <w:p w14:paraId="3BD4F3F1">
      <w:pPr>
        <w:pStyle w:val="104"/>
        <w:autoSpaceDE w:val="0"/>
        <w:autoSpaceDN w:val="0"/>
        <w:adjustRightInd w:val="0"/>
        <w:snapToGrid w:val="0"/>
        <w:spacing w:line="360" w:lineRule="exact"/>
        <w:ind w:firstLine="422" w:firstLineChars="200"/>
        <w:rPr>
          <w:rFonts w:ascii="宋体" w:hAnsi="宋体" w:cs="宋体"/>
          <w:b/>
          <w:bCs/>
          <w:highlight w:val="none"/>
          <w:u w:val="single"/>
        </w:rPr>
      </w:pPr>
      <w:r>
        <w:rPr>
          <w:rFonts w:hint="eastAsia" w:ascii="宋体" w:hAnsi="宋体" w:cs="宋体"/>
          <w:b/>
          <w:bCs/>
          <w:highlight w:val="none"/>
          <w:u w:val="single"/>
        </w:rPr>
        <w:t>（1）承包人应严格按安全文明施工的要求组织施工，遵守工程建设安全文明的有关规定，认真落实各项安全保护措施，并随时接受发包人、监理工程师及有关部门的监督检查；</w:t>
      </w:r>
    </w:p>
    <w:p w14:paraId="739F4595">
      <w:pPr>
        <w:pStyle w:val="104"/>
        <w:autoSpaceDE w:val="0"/>
        <w:autoSpaceDN w:val="0"/>
        <w:adjustRightInd w:val="0"/>
        <w:snapToGrid w:val="0"/>
        <w:spacing w:line="360" w:lineRule="exact"/>
        <w:ind w:firstLine="422" w:firstLineChars="200"/>
        <w:rPr>
          <w:rFonts w:ascii="宋体" w:hAnsi="宋体" w:cs="宋体"/>
          <w:b/>
          <w:bCs/>
          <w:highlight w:val="none"/>
          <w:u w:val="single"/>
        </w:rPr>
      </w:pPr>
      <w:r>
        <w:rPr>
          <w:rFonts w:hint="eastAsia" w:ascii="宋体" w:hAnsi="宋体" w:cs="宋体"/>
          <w:b/>
          <w:bCs/>
          <w:highlight w:val="none"/>
          <w:u w:val="single"/>
        </w:rPr>
        <w:t>（2）承包人应对进入施工现场的施工人员进行安全文明教育，配备必要的劳动保护用具，保证工程的施工安全和人身安全；</w:t>
      </w:r>
    </w:p>
    <w:p w14:paraId="403D4796">
      <w:pPr>
        <w:pStyle w:val="104"/>
        <w:autoSpaceDE w:val="0"/>
        <w:autoSpaceDN w:val="0"/>
        <w:adjustRightInd w:val="0"/>
        <w:snapToGrid w:val="0"/>
        <w:spacing w:line="360" w:lineRule="exact"/>
        <w:ind w:firstLine="422" w:firstLineChars="200"/>
        <w:rPr>
          <w:rFonts w:ascii="宋体" w:hAnsi="宋体" w:cs="宋体"/>
          <w:b/>
          <w:bCs/>
          <w:highlight w:val="none"/>
          <w:u w:val="single"/>
        </w:rPr>
      </w:pPr>
      <w:r>
        <w:rPr>
          <w:rFonts w:hint="eastAsia" w:ascii="宋体" w:hAnsi="宋体" w:cs="宋体"/>
          <w:b/>
          <w:bCs/>
          <w:highlight w:val="none"/>
          <w:u w:val="single"/>
        </w:rPr>
        <w:t>（3）承包人应注意保护施工现场已完建筑物的安全；</w:t>
      </w:r>
    </w:p>
    <w:p w14:paraId="09F0130C">
      <w:pPr>
        <w:pStyle w:val="104"/>
        <w:autoSpaceDE w:val="0"/>
        <w:autoSpaceDN w:val="0"/>
        <w:adjustRightInd w:val="0"/>
        <w:snapToGrid w:val="0"/>
        <w:spacing w:line="360" w:lineRule="exact"/>
        <w:ind w:firstLine="422" w:firstLineChars="200"/>
        <w:rPr>
          <w:rFonts w:ascii="宋体" w:hAnsi="宋体" w:cs="宋体"/>
          <w:b/>
          <w:bCs/>
          <w:highlight w:val="none"/>
          <w:u w:val="single"/>
        </w:rPr>
      </w:pPr>
      <w:r>
        <w:rPr>
          <w:rFonts w:hint="eastAsia" w:ascii="宋体" w:hAnsi="宋体" w:cs="宋体"/>
          <w:b/>
          <w:bCs/>
          <w:highlight w:val="none"/>
          <w:u w:val="single"/>
        </w:rPr>
        <w:t>（4）如由于承包人安全措施不力造成事故的责任和由此发生的全部费用，包括但不限于给发包人或其他单位造成的直接和间接损失均由承包人承担；</w:t>
      </w:r>
    </w:p>
    <w:p w14:paraId="5A1766C2">
      <w:pPr>
        <w:pStyle w:val="104"/>
        <w:adjustRightInd w:val="0"/>
        <w:snapToGrid w:val="0"/>
        <w:spacing w:line="360" w:lineRule="exact"/>
        <w:ind w:firstLine="420" w:firstLineChars="200"/>
        <w:jc w:val="left"/>
        <w:rPr>
          <w:rFonts w:ascii="宋体" w:hAnsi="宋体" w:cs="宋体"/>
          <w:highlight w:val="none"/>
        </w:rPr>
      </w:pPr>
      <w:r>
        <w:rPr>
          <w:rFonts w:hint="eastAsia" w:ascii="宋体" w:hAnsi="宋体" w:cs="宋体"/>
          <w:highlight w:val="none"/>
        </w:rPr>
        <w:t>（5）上述手续办理费用约定如下：</w:t>
      </w:r>
      <w:r>
        <w:rPr>
          <w:rFonts w:hint="eastAsia" w:ascii="宋体" w:hAnsi="宋体" w:cs="宋体"/>
          <w:highlight w:val="none"/>
          <w:u w:val="single"/>
        </w:rPr>
        <w:t xml:space="preserve"> 由承包人承担 </w:t>
      </w:r>
      <w:r>
        <w:rPr>
          <w:rFonts w:hint="eastAsia" w:ascii="宋体" w:hAnsi="宋体" w:cs="宋体"/>
          <w:highlight w:val="none"/>
        </w:rPr>
        <w:t>。</w:t>
      </w:r>
    </w:p>
    <w:p w14:paraId="4ECE118B">
      <w:pPr>
        <w:pStyle w:val="27"/>
        <w:shd w:val="clear" w:color="auto" w:fill="FFFFFF"/>
        <w:spacing w:before="0" w:beforeAutospacing="0" w:after="0" w:afterAutospacing="0" w:line="360" w:lineRule="exact"/>
        <w:ind w:firstLine="420" w:firstLineChars="200"/>
        <w:rPr>
          <w:kern w:val="2"/>
          <w:sz w:val="21"/>
          <w:highlight w:val="none"/>
        </w:rPr>
      </w:pPr>
      <w:r>
        <w:rPr>
          <w:rFonts w:hint="eastAsia"/>
          <w:kern w:val="2"/>
          <w:sz w:val="21"/>
          <w:highlight w:val="none"/>
        </w:rPr>
        <w:t>6.1.6 关于安全文明施工费支付比例和支付期限的约定：</w:t>
      </w:r>
      <w:r>
        <w:rPr>
          <w:rFonts w:hint="eastAsia"/>
          <w:kern w:val="2"/>
          <w:sz w:val="21"/>
          <w:highlight w:val="none"/>
          <w:u w:val="single"/>
        </w:rPr>
        <w:t>/</w:t>
      </w:r>
      <w:r>
        <w:rPr>
          <w:rFonts w:hint="eastAsia"/>
          <w:kern w:val="2"/>
          <w:sz w:val="21"/>
          <w:highlight w:val="none"/>
        </w:rPr>
        <w:t>。</w:t>
      </w:r>
    </w:p>
    <w:p w14:paraId="5283DF01">
      <w:pPr>
        <w:pStyle w:val="127"/>
        <w:adjustRightInd w:val="0"/>
        <w:snapToGrid w:val="0"/>
        <w:spacing w:before="0" w:after="0" w:line="360" w:lineRule="exact"/>
        <w:ind w:firstLine="420"/>
        <w:jc w:val="center"/>
        <w:rPr>
          <w:rFonts w:ascii="宋体" w:hAnsi="宋体" w:eastAsia="宋体" w:cs="宋体"/>
          <w:b/>
          <w:bCs/>
          <w:color w:val="auto"/>
          <w:sz w:val="24"/>
          <w:highlight w:val="none"/>
        </w:rPr>
      </w:pPr>
      <w:r>
        <w:rPr>
          <w:rFonts w:hint="eastAsia" w:ascii="宋体" w:hAnsi="宋体" w:eastAsia="宋体" w:cs="宋体"/>
          <w:b/>
          <w:bCs/>
          <w:color w:val="auto"/>
          <w:sz w:val="24"/>
          <w:highlight w:val="none"/>
        </w:rPr>
        <w:t>7. 工期和进度</w:t>
      </w:r>
    </w:p>
    <w:p w14:paraId="280F1D94">
      <w:pPr>
        <w:pStyle w:val="104"/>
        <w:adjustRightInd w:val="0"/>
        <w:snapToGrid w:val="0"/>
        <w:spacing w:line="360" w:lineRule="exact"/>
        <w:ind w:firstLine="420" w:firstLineChars="200"/>
        <w:rPr>
          <w:rFonts w:ascii="宋体" w:hAnsi="宋体" w:cs="宋体"/>
          <w:highlight w:val="none"/>
        </w:rPr>
      </w:pPr>
      <w:r>
        <w:rPr>
          <w:rFonts w:hint="eastAsia" w:ascii="宋体" w:hAnsi="宋体" w:cs="宋体"/>
          <w:highlight w:val="none"/>
        </w:rPr>
        <w:t>7.1 施工组织设计</w:t>
      </w:r>
    </w:p>
    <w:p w14:paraId="66EE860A">
      <w:pPr>
        <w:pStyle w:val="104"/>
        <w:autoSpaceDE w:val="0"/>
        <w:autoSpaceDN w:val="0"/>
        <w:adjustRightInd w:val="0"/>
        <w:snapToGrid w:val="0"/>
        <w:spacing w:line="360" w:lineRule="exact"/>
        <w:jc w:val="left"/>
        <w:rPr>
          <w:rFonts w:ascii="宋体" w:hAnsi="宋体" w:cs="宋体"/>
          <w:kern w:val="0"/>
          <w:highlight w:val="none"/>
        </w:rPr>
      </w:pPr>
      <w:r>
        <w:rPr>
          <w:rFonts w:hint="eastAsia" w:ascii="宋体" w:hAnsi="宋体" w:cs="宋体"/>
          <w:highlight w:val="none"/>
        </w:rPr>
        <w:t xml:space="preserve">    7.1.1 合</w:t>
      </w:r>
      <w:r>
        <w:rPr>
          <w:rFonts w:hint="eastAsia" w:ascii="宋体" w:hAnsi="宋体" w:cs="宋体"/>
          <w:kern w:val="0"/>
          <w:highlight w:val="none"/>
        </w:rPr>
        <w:t>同当事人约定的施工组织设计应包括的其他内容：</w:t>
      </w:r>
      <w:r>
        <w:rPr>
          <w:rFonts w:hint="eastAsia" w:ascii="宋体" w:hAnsi="宋体" w:cs="宋体"/>
          <w:highlight w:val="none"/>
          <w:u w:val="single"/>
        </w:rPr>
        <w:t xml:space="preserve">     /     </w:t>
      </w:r>
      <w:r>
        <w:rPr>
          <w:rFonts w:hint="eastAsia" w:ascii="宋体" w:hAnsi="宋体" w:cs="宋体"/>
          <w:highlight w:val="none"/>
        </w:rPr>
        <w:t>。</w:t>
      </w:r>
    </w:p>
    <w:p w14:paraId="67990E37">
      <w:pPr>
        <w:pStyle w:val="104"/>
        <w:autoSpaceDE w:val="0"/>
        <w:autoSpaceDN w:val="0"/>
        <w:adjustRightInd w:val="0"/>
        <w:snapToGrid w:val="0"/>
        <w:spacing w:line="360" w:lineRule="exact"/>
        <w:ind w:firstLine="420" w:firstLineChars="200"/>
        <w:jc w:val="left"/>
        <w:rPr>
          <w:rFonts w:ascii="宋体" w:hAnsi="宋体" w:cs="宋体"/>
          <w:kern w:val="0"/>
          <w:highlight w:val="none"/>
        </w:rPr>
      </w:pPr>
      <w:r>
        <w:rPr>
          <w:rFonts w:hint="eastAsia" w:ascii="宋体" w:hAnsi="宋体" w:cs="宋体"/>
          <w:highlight w:val="none"/>
        </w:rPr>
        <w:t xml:space="preserve">7.1.2 </w:t>
      </w:r>
      <w:r>
        <w:rPr>
          <w:rFonts w:hint="eastAsia" w:ascii="宋体" w:hAnsi="宋体" w:cs="宋体"/>
          <w:kern w:val="0"/>
          <w:highlight w:val="none"/>
        </w:rPr>
        <w:t>施工组织设计的提交和修改</w:t>
      </w:r>
    </w:p>
    <w:p w14:paraId="75C332FD">
      <w:pPr>
        <w:pStyle w:val="104"/>
        <w:autoSpaceDE w:val="0"/>
        <w:autoSpaceDN w:val="0"/>
        <w:adjustRightInd w:val="0"/>
        <w:snapToGrid w:val="0"/>
        <w:spacing w:line="360" w:lineRule="exact"/>
        <w:jc w:val="left"/>
        <w:rPr>
          <w:rFonts w:ascii="宋体" w:hAnsi="宋体" w:cs="宋体"/>
          <w:highlight w:val="none"/>
        </w:rPr>
      </w:pPr>
      <w:r>
        <w:rPr>
          <w:rFonts w:hint="eastAsia" w:ascii="宋体" w:hAnsi="宋体" w:cs="宋体"/>
          <w:kern w:val="0"/>
          <w:highlight w:val="none"/>
        </w:rPr>
        <w:t xml:space="preserve">    承包人提交详细施工组织设计的期限的约定：</w:t>
      </w:r>
      <w:r>
        <w:rPr>
          <w:rFonts w:hint="eastAsia" w:ascii="宋体" w:hAnsi="宋体" w:cs="宋体"/>
          <w:highlight w:val="none"/>
          <w:u w:val="single"/>
        </w:rPr>
        <w:t xml:space="preserve">     </w:t>
      </w:r>
      <w:r>
        <w:rPr>
          <w:rFonts w:hint="eastAsia" w:ascii="宋体" w:hAnsi="宋体" w:cs="宋体"/>
          <w:b/>
          <w:bCs/>
          <w:highlight w:val="none"/>
          <w:u w:val="single"/>
        </w:rPr>
        <w:t>开工前7天内提供</w:t>
      </w:r>
      <w:r>
        <w:rPr>
          <w:rFonts w:hint="eastAsia" w:ascii="宋体" w:hAnsi="宋体" w:cs="宋体"/>
          <w:highlight w:val="none"/>
          <w:u w:val="single"/>
        </w:rPr>
        <w:t xml:space="preserve">       </w:t>
      </w:r>
      <w:r>
        <w:rPr>
          <w:rFonts w:hint="eastAsia" w:ascii="宋体" w:hAnsi="宋体" w:cs="宋体"/>
          <w:highlight w:val="none"/>
        </w:rPr>
        <w:t>。</w:t>
      </w:r>
    </w:p>
    <w:p w14:paraId="5C87FA09">
      <w:pPr>
        <w:pStyle w:val="104"/>
        <w:adjustRightInd w:val="0"/>
        <w:snapToGrid w:val="0"/>
        <w:spacing w:line="360" w:lineRule="exact"/>
        <w:ind w:firstLine="420" w:firstLineChars="200"/>
        <w:jc w:val="left"/>
        <w:rPr>
          <w:rFonts w:ascii="宋体" w:hAnsi="宋体" w:cs="宋体"/>
          <w:highlight w:val="none"/>
        </w:rPr>
      </w:pPr>
      <w:r>
        <w:rPr>
          <w:rFonts w:hint="eastAsia" w:ascii="宋体" w:hAnsi="宋体" w:cs="宋体"/>
          <w:highlight w:val="none"/>
        </w:rPr>
        <w:t>发包人和监理人在收到详细的施工组织设计后确认或提出修改意见的期限：</w:t>
      </w:r>
      <w:r>
        <w:rPr>
          <w:rFonts w:hint="eastAsia" w:ascii="宋体" w:hAnsi="宋体" w:cs="宋体"/>
          <w:b/>
          <w:bCs/>
          <w:highlight w:val="none"/>
          <w:u w:val="single"/>
        </w:rPr>
        <w:t xml:space="preserve"> 接到报告后7天内予以批复。（发包人、监理单位对施工组织设计方案的确认只是对施工组织设计方案可行性的确认，并不是对所涉费用的确认，也不免除承包人对施工组织设计方案应承担的全部责任）</w:t>
      </w:r>
      <w:r>
        <w:rPr>
          <w:rFonts w:hint="eastAsia" w:ascii="宋体" w:hAnsi="宋体" w:cs="宋体"/>
          <w:highlight w:val="none"/>
          <w:u w:val="single"/>
        </w:rPr>
        <w:t xml:space="preserve">   </w:t>
      </w:r>
      <w:r>
        <w:rPr>
          <w:rFonts w:hint="eastAsia" w:ascii="宋体" w:hAnsi="宋体" w:cs="宋体"/>
          <w:highlight w:val="none"/>
        </w:rPr>
        <w:t>。</w:t>
      </w:r>
    </w:p>
    <w:p w14:paraId="67901B49">
      <w:pPr>
        <w:pStyle w:val="104"/>
        <w:adjustRightInd w:val="0"/>
        <w:snapToGrid w:val="0"/>
        <w:spacing w:line="360" w:lineRule="exact"/>
        <w:ind w:firstLine="420" w:firstLineChars="200"/>
        <w:rPr>
          <w:rFonts w:ascii="宋体" w:hAnsi="宋体" w:cs="宋体"/>
          <w:highlight w:val="none"/>
        </w:rPr>
      </w:pPr>
      <w:r>
        <w:rPr>
          <w:rFonts w:hint="eastAsia" w:ascii="宋体" w:hAnsi="宋体" w:cs="宋体"/>
          <w:highlight w:val="none"/>
        </w:rPr>
        <w:t>7.2 施工进度计划</w:t>
      </w:r>
    </w:p>
    <w:p w14:paraId="1E73AE91">
      <w:pPr>
        <w:pStyle w:val="104"/>
        <w:adjustRightInd w:val="0"/>
        <w:snapToGrid w:val="0"/>
        <w:spacing w:line="360" w:lineRule="exact"/>
        <w:ind w:firstLine="420" w:firstLineChars="200"/>
        <w:jc w:val="left"/>
        <w:rPr>
          <w:rFonts w:ascii="宋体" w:hAnsi="宋体" w:cs="宋体"/>
          <w:highlight w:val="none"/>
        </w:rPr>
      </w:pPr>
      <w:r>
        <w:rPr>
          <w:rFonts w:hint="eastAsia" w:ascii="宋体" w:hAnsi="宋体" w:cs="宋体"/>
          <w:highlight w:val="none"/>
        </w:rPr>
        <w:t>7.2.1 施工进度计划的修订</w:t>
      </w:r>
    </w:p>
    <w:p w14:paraId="56FCAB7E">
      <w:pPr>
        <w:pStyle w:val="104"/>
        <w:adjustRightInd w:val="0"/>
        <w:snapToGrid w:val="0"/>
        <w:spacing w:line="360" w:lineRule="exact"/>
        <w:ind w:firstLine="420" w:firstLineChars="200"/>
        <w:jc w:val="left"/>
        <w:rPr>
          <w:rFonts w:ascii="宋体" w:hAnsi="宋体" w:cs="宋体"/>
          <w:highlight w:val="none"/>
        </w:rPr>
      </w:pPr>
      <w:r>
        <w:rPr>
          <w:rFonts w:hint="eastAsia" w:ascii="宋体" w:hAnsi="宋体" w:cs="宋体"/>
          <w:highlight w:val="none"/>
        </w:rPr>
        <w:t>发包人和监理人在收到修订的施工进度计划后确认或提出修改意见的期限：</w:t>
      </w:r>
      <w:r>
        <w:rPr>
          <w:rFonts w:hint="eastAsia" w:ascii="宋体" w:hAnsi="宋体" w:cs="宋体"/>
          <w:highlight w:val="none"/>
          <w:u w:val="single"/>
        </w:rPr>
        <w:t xml:space="preserve">  </w:t>
      </w:r>
      <w:r>
        <w:rPr>
          <w:rFonts w:hint="eastAsia" w:ascii="宋体" w:hAnsi="宋体" w:cs="宋体"/>
          <w:b/>
          <w:bCs/>
          <w:highlight w:val="none"/>
          <w:u w:val="single"/>
        </w:rPr>
        <w:t xml:space="preserve">接到报告后7天内予以批复 </w:t>
      </w:r>
      <w:r>
        <w:rPr>
          <w:rFonts w:hint="eastAsia" w:ascii="宋体" w:hAnsi="宋体" w:cs="宋体"/>
          <w:highlight w:val="none"/>
          <w:u w:val="single"/>
        </w:rPr>
        <w:t xml:space="preserve"> </w:t>
      </w:r>
      <w:r>
        <w:rPr>
          <w:rFonts w:hint="eastAsia" w:ascii="宋体" w:hAnsi="宋体" w:cs="宋体"/>
          <w:highlight w:val="none"/>
        </w:rPr>
        <w:t>。</w:t>
      </w:r>
    </w:p>
    <w:p w14:paraId="364BF12B">
      <w:pPr>
        <w:pStyle w:val="104"/>
        <w:adjustRightInd w:val="0"/>
        <w:snapToGrid w:val="0"/>
        <w:spacing w:line="360" w:lineRule="exact"/>
        <w:ind w:firstLine="420" w:firstLineChars="200"/>
        <w:rPr>
          <w:rFonts w:ascii="宋体" w:hAnsi="宋体" w:cs="宋体"/>
          <w:highlight w:val="none"/>
        </w:rPr>
      </w:pPr>
      <w:r>
        <w:rPr>
          <w:rFonts w:hint="eastAsia" w:ascii="宋体" w:hAnsi="宋体" w:cs="宋体"/>
          <w:highlight w:val="none"/>
        </w:rPr>
        <w:t>7.3 开工</w:t>
      </w:r>
    </w:p>
    <w:p w14:paraId="1A6FC3C8">
      <w:pPr>
        <w:pStyle w:val="104"/>
        <w:adjustRightInd w:val="0"/>
        <w:snapToGrid w:val="0"/>
        <w:spacing w:line="360" w:lineRule="exact"/>
        <w:ind w:firstLine="420" w:firstLineChars="200"/>
        <w:jc w:val="left"/>
        <w:rPr>
          <w:rFonts w:ascii="宋体" w:hAnsi="宋体" w:cs="宋体"/>
          <w:highlight w:val="none"/>
        </w:rPr>
      </w:pPr>
      <w:r>
        <w:rPr>
          <w:rFonts w:hint="eastAsia" w:ascii="宋体" w:hAnsi="宋体" w:cs="宋体"/>
          <w:highlight w:val="none"/>
        </w:rPr>
        <w:t>7.3.1 开工准备</w:t>
      </w:r>
    </w:p>
    <w:p w14:paraId="4CB69C3C">
      <w:pPr>
        <w:pStyle w:val="104"/>
        <w:adjustRightInd w:val="0"/>
        <w:snapToGrid w:val="0"/>
        <w:spacing w:line="360" w:lineRule="exact"/>
        <w:jc w:val="left"/>
        <w:rPr>
          <w:rFonts w:ascii="宋体" w:hAnsi="宋体" w:cs="宋体"/>
          <w:highlight w:val="none"/>
          <w:u w:val="single"/>
        </w:rPr>
      </w:pPr>
      <w:r>
        <w:rPr>
          <w:rFonts w:hint="eastAsia" w:ascii="宋体" w:hAnsi="宋体" w:cs="宋体"/>
          <w:highlight w:val="none"/>
        </w:rPr>
        <w:t xml:space="preserve">    关于承包人提交</w:t>
      </w:r>
      <w:r>
        <w:rPr>
          <w:rFonts w:hint="eastAsia" w:ascii="宋体" w:hAnsi="宋体" w:cs="宋体"/>
          <w:kern w:val="0"/>
          <w:highlight w:val="none"/>
        </w:rPr>
        <w:t>工程开工报审表的期限：</w:t>
      </w:r>
      <w:r>
        <w:rPr>
          <w:rFonts w:hint="eastAsia" w:ascii="宋体" w:hAnsi="宋体" w:cs="宋体"/>
          <w:highlight w:val="none"/>
          <w:u w:val="single"/>
        </w:rPr>
        <w:t xml:space="preserve">    </w:t>
      </w:r>
      <w:r>
        <w:rPr>
          <w:rFonts w:hint="eastAsia" w:ascii="宋体" w:hAnsi="宋体" w:cs="宋体"/>
          <w:b/>
          <w:bCs/>
          <w:highlight w:val="none"/>
          <w:u w:val="single"/>
        </w:rPr>
        <w:t>开工前7天内</w:t>
      </w:r>
      <w:r>
        <w:rPr>
          <w:rFonts w:hint="eastAsia" w:ascii="宋体" w:hAnsi="宋体" w:cs="宋体"/>
          <w:highlight w:val="none"/>
          <w:u w:val="single"/>
        </w:rPr>
        <w:t xml:space="preserve">    </w:t>
      </w:r>
      <w:r>
        <w:rPr>
          <w:rFonts w:hint="eastAsia" w:ascii="宋体" w:hAnsi="宋体" w:cs="宋体"/>
          <w:highlight w:val="none"/>
        </w:rPr>
        <w:t>。</w:t>
      </w:r>
    </w:p>
    <w:p w14:paraId="149475B4">
      <w:pPr>
        <w:pStyle w:val="104"/>
        <w:adjustRightInd w:val="0"/>
        <w:snapToGrid w:val="0"/>
        <w:spacing w:line="360" w:lineRule="exact"/>
        <w:jc w:val="left"/>
        <w:rPr>
          <w:rFonts w:ascii="宋体" w:hAnsi="宋体" w:cs="宋体"/>
          <w:highlight w:val="none"/>
        </w:rPr>
      </w:pPr>
      <w:r>
        <w:rPr>
          <w:rFonts w:hint="eastAsia" w:ascii="宋体" w:hAnsi="宋体" w:cs="宋体"/>
          <w:highlight w:val="none"/>
        </w:rPr>
        <w:t xml:space="preserve">    关于发包人应完成的其他开工准备工作及期限：</w:t>
      </w:r>
      <w:r>
        <w:rPr>
          <w:rFonts w:hint="eastAsia" w:ascii="宋体" w:hAnsi="宋体" w:cs="宋体"/>
          <w:highlight w:val="none"/>
          <w:u w:val="single"/>
        </w:rPr>
        <w:t xml:space="preserve">  </w:t>
      </w:r>
      <w:r>
        <w:rPr>
          <w:rFonts w:hint="eastAsia" w:ascii="宋体" w:hAnsi="宋体" w:cs="宋体"/>
          <w:b/>
          <w:bCs/>
          <w:highlight w:val="none"/>
          <w:u w:val="single"/>
        </w:rPr>
        <w:t>开工前7天</w:t>
      </w:r>
      <w:r>
        <w:rPr>
          <w:rFonts w:hint="eastAsia" w:ascii="宋体" w:hAnsi="宋体" w:cs="宋体"/>
          <w:highlight w:val="none"/>
          <w:u w:val="single"/>
        </w:rPr>
        <w:t xml:space="preserve">     </w:t>
      </w:r>
      <w:r>
        <w:rPr>
          <w:rFonts w:hint="eastAsia" w:ascii="宋体" w:hAnsi="宋体" w:cs="宋体"/>
          <w:highlight w:val="none"/>
        </w:rPr>
        <w:t>。</w:t>
      </w:r>
    </w:p>
    <w:p w14:paraId="1E742DF2">
      <w:pPr>
        <w:pStyle w:val="104"/>
        <w:adjustRightInd w:val="0"/>
        <w:snapToGrid w:val="0"/>
        <w:spacing w:line="360" w:lineRule="exact"/>
        <w:jc w:val="left"/>
        <w:rPr>
          <w:rFonts w:ascii="宋体" w:hAnsi="宋体" w:cs="宋体"/>
          <w:highlight w:val="none"/>
        </w:rPr>
      </w:pPr>
      <w:r>
        <w:rPr>
          <w:rFonts w:hint="eastAsia" w:ascii="宋体" w:hAnsi="宋体" w:cs="宋体"/>
          <w:highlight w:val="none"/>
        </w:rPr>
        <w:t xml:space="preserve">    关于承包人应完成的其他开工准备工作及期限：</w:t>
      </w:r>
      <w:r>
        <w:rPr>
          <w:rFonts w:hint="eastAsia" w:ascii="宋体" w:hAnsi="宋体" w:cs="宋体"/>
          <w:highlight w:val="none"/>
          <w:u w:val="single"/>
        </w:rPr>
        <w:t xml:space="preserve">   </w:t>
      </w:r>
      <w:r>
        <w:rPr>
          <w:rFonts w:hint="eastAsia" w:ascii="宋体" w:hAnsi="宋体" w:cs="宋体"/>
          <w:b/>
          <w:bCs/>
          <w:highlight w:val="none"/>
          <w:u w:val="single"/>
        </w:rPr>
        <w:t>开工前7天</w:t>
      </w:r>
      <w:r>
        <w:rPr>
          <w:rFonts w:hint="eastAsia" w:ascii="宋体" w:hAnsi="宋体" w:cs="宋体"/>
          <w:highlight w:val="none"/>
          <w:u w:val="single"/>
        </w:rPr>
        <w:t xml:space="preserve">    </w:t>
      </w:r>
      <w:r>
        <w:rPr>
          <w:rFonts w:hint="eastAsia" w:ascii="宋体" w:hAnsi="宋体" w:cs="宋体"/>
          <w:highlight w:val="none"/>
        </w:rPr>
        <w:t>。</w:t>
      </w:r>
    </w:p>
    <w:p w14:paraId="6A134F30">
      <w:pPr>
        <w:pStyle w:val="104"/>
        <w:adjustRightInd w:val="0"/>
        <w:snapToGrid w:val="0"/>
        <w:spacing w:line="360" w:lineRule="exact"/>
        <w:ind w:firstLine="420" w:firstLineChars="200"/>
        <w:jc w:val="left"/>
        <w:rPr>
          <w:rFonts w:ascii="宋体" w:hAnsi="宋体" w:cs="宋体"/>
          <w:highlight w:val="none"/>
        </w:rPr>
      </w:pPr>
      <w:r>
        <w:rPr>
          <w:rFonts w:hint="eastAsia" w:ascii="宋体" w:hAnsi="宋体" w:cs="宋体"/>
          <w:highlight w:val="none"/>
        </w:rPr>
        <w:t>7.3.2开工通知</w:t>
      </w:r>
    </w:p>
    <w:p w14:paraId="01D1E013">
      <w:pPr>
        <w:pStyle w:val="104"/>
        <w:adjustRightInd w:val="0"/>
        <w:snapToGrid w:val="0"/>
        <w:spacing w:line="360" w:lineRule="exact"/>
        <w:ind w:firstLine="420" w:firstLineChars="200"/>
        <w:jc w:val="left"/>
        <w:rPr>
          <w:rFonts w:ascii="宋体" w:hAnsi="宋体" w:cs="宋体"/>
          <w:highlight w:val="none"/>
        </w:rPr>
      </w:pPr>
      <w:r>
        <w:rPr>
          <w:rFonts w:hint="eastAsia" w:ascii="宋体" w:hAnsi="宋体" w:cs="宋体"/>
          <w:highlight w:val="none"/>
        </w:rPr>
        <w:t>因发包人原因造成监理人未能在计划开工日期之日起</w:t>
      </w:r>
      <w:r>
        <w:rPr>
          <w:rFonts w:hint="eastAsia" w:ascii="宋体" w:hAnsi="宋体" w:cs="宋体"/>
          <w:highlight w:val="none"/>
          <w:u w:val="single"/>
        </w:rPr>
        <w:t xml:space="preserve">  </w:t>
      </w:r>
      <w:r>
        <w:rPr>
          <w:rFonts w:hint="eastAsia" w:ascii="宋体" w:hAnsi="宋体" w:cs="宋体"/>
          <w:b/>
          <w:bCs/>
          <w:highlight w:val="none"/>
          <w:u w:val="single"/>
        </w:rPr>
        <w:t xml:space="preserve">/ </w:t>
      </w:r>
      <w:r>
        <w:rPr>
          <w:rFonts w:hint="eastAsia" w:ascii="宋体" w:hAnsi="宋体" w:cs="宋体"/>
          <w:highlight w:val="none"/>
          <w:u w:val="single"/>
        </w:rPr>
        <w:t xml:space="preserve"> </w:t>
      </w:r>
      <w:r>
        <w:rPr>
          <w:rFonts w:hint="eastAsia" w:ascii="宋体" w:hAnsi="宋体" w:cs="宋体"/>
          <w:highlight w:val="none"/>
        </w:rPr>
        <w:t>天内发出开工通知的，承包人有权提出价格调整要求，或者解除合同。</w:t>
      </w:r>
    </w:p>
    <w:p w14:paraId="6B8DE123">
      <w:pPr>
        <w:pStyle w:val="104"/>
        <w:adjustRightInd w:val="0"/>
        <w:snapToGrid w:val="0"/>
        <w:spacing w:line="360" w:lineRule="exact"/>
        <w:ind w:firstLine="420" w:firstLineChars="200"/>
        <w:rPr>
          <w:rFonts w:ascii="宋体" w:hAnsi="宋体" w:cs="宋体"/>
          <w:highlight w:val="none"/>
        </w:rPr>
      </w:pPr>
      <w:r>
        <w:rPr>
          <w:rFonts w:hint="eastAsia" w:ascii="宋体" w:hAnsi="宋体" w:cs="宋体"/>
          <w:highlight w:val="none"/>
        </w:rPr>
        <w:t>7.4 测量放线</w:t>
      </w:r>
    </w:p>
    <w:p w14:paraId="3D02EA50">
      <w:pPr>
        <w:pStyle w:val="104"/>
        <w:adjustRightInd w:val="0"/>
        <w:snapToGrid w:val="0"/>
        <w:spacing w:line="360" w:lineRule="exact"/>
        <w:ind w:firstLine="420" w:firstLineChars="200"/>
        <w:jc w:val="left"/>
        <w:rPr>
          <w:rFonts w:ascii="宋体" w:hAnsi="宋体" w:cs="宋体"/>
          <w:highlight w:val="none"/>
          <w:u w:val="single"/>
        </w:rPr>
      </w:pPr>
      <w:r>
        <w:rPr>
          <w:rFonts w:hint="eastAsia" w:ascii="宋体" w:hAnsi="宋体" w:cs="宋体"/>
          <w:highlight w:val="none"/>
        </w:rPr>
        <w:t>7.4.1发包人通过监理人向承包人提供测量基准点、基准线和水准点及其书面资料的期限：</w:t>
      </w:r>
      <w:r>
        <w:rPr>
          <w:rFonts w:hint="eastAsia" w:ascii="宋体" w:hAnsi="宋体" w:cs="宋体"/>
          <w:highlight w:val="none"/>
          <w:u w:val="single"/>
        </w:rPr>
        <w:t xml:space="preserve">  </w:t>
      </w:r>
      <w:r>
        <w:rPr>
          <w:rFonts w:hint="eastAsia" w:ascii="宋体" w:hAnsi="宋体" w:cs="宋体"/>
          <w:b/>
          <w:bCs/>
          <w:highlight w:val="none"/>
          <w:u w:val="single"/>
        </w:rPr>
        <w:t>/</w:t>
      </w:r>
      <w:r>
        <w:rPr>
          <w:rFonts w:hint="eastAsia" w:ascii="宋体" w:hAnsi="宋体" w:cs="宋体"/>
          <w:highlight w:val="none"/>
          <w:u w:val="single"/>
        </w:rPr>
        <w:t xml:space="preserve">  </w:t>
      </w:r>
      <w:r>
        <w:rPr>
          <w:rFonts w:hint="eastAsia" w:ascii="宋体" w:hAnsi="宋体" w:cs="宋体"/>
          <w:highlight w:val="none"/>
        </w:rPr>
        <w:t>。</w:t>
      </w:r>
    </w:p>
    <w:p w14:paraId="33E3CD83">
      <w:pPr>
        <w:pStyle w:val="104"/>
        <w:adjustRightInd w:val="0"/>
        <w:snapToGrid w:val="0"/>
        <w:spacing w:line="360" w:lineRule="exact"/>
        <w:ind w:firstLine="420" w:firstLineChars="200"/>
        <w:rPr>
          <w:rFonts w:ascii="宋体" w:hAnsi="宋体" w:cs="宋体"/>
          <w:highlight w:val="none"/>
        </w:rPr>
      </w:pPr>
      <w:r>
        <w:rPr>
          <w:rFonts w:hint="eastAsia" w:ascii="宋体" w:hAnsi="宋体" w:cs="宋体"/>
          <w:highlight w:val="none"/>
        </w:rPr>
        <w:t>7.5 工期延误</w:t>
      </w:r>
    </w:p>
    <w:p w14:paraId="454FFB3F">
      <w:pPr>
        <w:pStyle w:val="104"/>
        <w:adjustRightInd w:val="0"/>
        <w:snapToGrid w:val="0"/>
        <w:spacing w:line="360" w:lineRule="exact"/>
        <w:ind w:firstLine="420" w:firstLineChars="200"/>
        <w:jc w:val="left"/>
        <w:rPr>
          <w:rFonts w:ascii="宋体" w:hAnsi="宋体" w:cs="宋体"/>
          <w:highlight w:val="none"/>
        </w:rPr>
      </w:pPr>
      <w:r>
        <w:rPr>
          <w:rFonts w:hint="eastAsia" w:ascii="宋体" w:hAnsi="宋体" w:cs="宋体"/>
          <w:highlight w:val="none"/>
        </w:rPr>
        <w:t>7.5.1 因发包人原因导致工期延误</w:t>
      </w:r>
    </w:p>
    <w:p w14:paraId="286685DE">
      <w:pPr>
        <w:pStyle w:val="104"/>
        <w:adjustRightInd w:val="0"/>
        <w:snapToGrid w:val="0"/>
        <w:spacing w:line="360" w:lineRule="exact"/>
        <w:rPr>
          <w:rFonts w:ascii="宋体" w:hAnsi="宋体" w:cs="宋体"/>
          <w:highlight w:val="none"/>
        </w:rPr>
      </w:pPr>
      <w:r>
        <w:rPr>
          <w:rFonts w:hint="eastAsia" w:ascii="宋体" w:hAnsi="宋体" w:cs="宋体"/>
          <w:highlight w:val="none"/>
        </w:rPr>
        <w:t xml:space="preserve">    因发包人原因导致工期延误的其他情形：</w:t>
      </w:r>
    </w:p>
    <w:p w14:paraId="002A514C">
      <w:pPr>
        <w:pStyle w:val="104"/>
        <w:adjustRightInd w:val="0"/>
        <w:snapToGrid w:val="0"/>
        <w:spacing w:line="360" w:lineRule="exact"/>
        <w:ind w:firstLine="420" w:firstLineChars="200"/>
        <w:rPr>
          <w:rFonts w:ascii="宋体" w:hAnsi="宋体" w:cs="宋体"/>
          <w:highlight w:val="none"/>
        </w:rPr>
      </w:pPr>
      <w:r>
        <w:rPr>
          <w:rFonts w:hint="eastAsia" w:ascii="宋体" w:hAnsi="宋体" w:cs="宋体"/>
          <w:highlight w:val="none"/>
        </w:rPr>
        <w:t>①重大设计变更引起的工期延误；</w:t>
      </w:r>
    </w:p>
    <w:p w14:paraId="727D7433">
      <w:pPr>
        <w:pStyle w:val="104"/>
        <w:adjustRightInd w:val="0"/>
        <w:snapToGrid w:val="0"/>
        <w:spacing w:line="360" w:lineRule="exact"/>
        <w:ind w:firstLine="420" w:firstLineChars="200"/>
        <w:rPr>
          <w:rFonts w:ascii="宋体" w:hAnsi="宋体" w:cs="宋体"/>
          <w:b/>
          <w:bCs/>
          <w:highlight w:val="none"/>
          <w:u w:val="single"/>
        </w:rPr>
      </w:pPr>
      <w:r>
        <w:rPr>
          <w:rFonts w:hint="eastAsia" w:ascii="宋体" w:hAnsi="宋体" w:cs="宋体"/>
          <w:highlight w:val="none"/>
        </w:rPr>
        <w:t>②其他：</w:t>
      </w:r>
      <w:r>
        <w:rPr>
          <w:rFonts w:hint="eastAsia" w:ascii="宋体" w:hAnsi="宋体" w:cs="宋体"/>
          <w:b/>
          <w:bCs/>
          <w:highlight w:val="none"/>
          <w:u w:val="single"/>
        </w:rPr>
        <w:t>由发包人原因造成的工期延误，并经发包人和监理签证确认；</w:t>
      </w:r>
    </w:p>
    <w:p w14:paraId="51DFAD15">
      <w:pPr>
        <w:pStyle w:val="104"/>
        <w:adjustRightInd w:val="0"/>
        <w:snapToGrid w:val="0"/>
        <w:spacing w:line="360" w:lineRule="exact"/>
        <w:ind w:firstLine="422" w:firstLineChars="200"/>
        <w:jc w:val="left"/>
        <w:rPr>
          <w:rFonts w:ascii="宋体" w:hAnsi="宋体" w:cs="宋体"/>
          <w:b/>
          <w:bCs/>
          <w:highlight w:val="none"/>
          <w:u w:val="single"/>
        </w:rPr>
      </w:pPr>
      <w:r>
        <w:rPr>
          <w:rFonts w:hint="eastAsia" w:ascii="宋体" w:hAnsi="宋体" w:cs="宋体"/>
          <w:b/>
          <w:bCs/>
          <w:highlight w:val="none"/>
          <w:u w:val="single"/>
        </w:rPr>
        <w:t>对于因发包人原因造成的工期延误，承包人要求顺延工期的，应在延误发生后14日内提出；逾期提出的，发包人有权不予认可；未提出顺延签证的，视为工期不需顺延。</w:t>
      </w:r>
    </w:p>
    <w:p w14:paraId="0CFFDDB7">
      <w:pPr>
        <w:pStyle w:val="104"/>
        <w:adjustRightInd w:val="0"/>
        <w:snapToGrid w:val="0"/>
        <w:spacing w:line="360" w:lineRule="exact"/>
        <w:ind w:firstLine="420" w:firstLineChars="200"/>
        <w:jc w:val="left"/>
        <w:rPr>
          <w:rFonts w:ascii="宋体" w:hAnsi="宋体" w:cs="宋体"/>
          <w:highlight w:val="none"/>
        </w:rPr>
      </w:pPr>
      <w:r>
        <w:rPr>
          <w:rFonts w:hint="eastAsia" w:ascii="宋体" w:hAnsi="宋体" w:cs="宋体"/>
          <w:highlight w:val="none"/>
        </w:rPr>
        <w:t>7.5.2 因承包人原因导致工期延误</w:t>
      </w:r>
    </w:p>
    <w:p w14:paraId="4EE97C36">
      <w:pPr>
        <w:pStyle w:val="104"/>
        <w:adjustRightInd w:val="0"/>
        <w:snapToGrid w:val="0"/>
        <w:spacing w:line="360" w:lineRule="exact"/>
        <w:ind w:firstLine="420" w:firstLineChars="200"/>
        <w:jc w:val="left"/>
        <w:rPr>
          <w:rFonts w:ascii="宋体" w:hAnsi="宋体" w:cs="宋体"/>
          <w:highlight w:val="none"/>
          <w:u w:val="single"/>
        </w:rPr>
      </w:pPr>
      <w:r>
        <w:rPr>
          <w:rFonts w:hint="eastAsia" w:ascii="宋体" w:hAnsi="宋体" w:cs="宋体"/>
          <w:highlight w:val="none"/>
        </w:rPr>
        <w:t>因承包人原因造成工期延误，逾期竣工违约金的计算方法为：</w:t>
      </w:r>
    </w:p>
    <w:p w14:paraId="6E4F0F70">
      <w:pPr>
        <w:pStyle w:val="104"/>
        <w:adjustRightInd w:val="0"/>
        <w:snapToGrid w:val="0"/>
        <w:spacing w:line="360" w:lineRule="exact"/>
        <w:ind w:firstLine="422" w:firstLineChars="200"/>
        <w:jc w:val="left"/>
        <w:rPr>
          <w:rFonts w:ascii="宋体" w:hAnsi="宋体" w:cs="宋体"/>
          <w:b/>
          <w:bCs/>
          <w:highlight w:val="none"/>
        </w:rPr>
      </w:pPr>
      <w:r>
        <w:rPr>
          <w:rFonts w:hint="eastAsia" w:ascii="宋体" w:hAnsi="宋体" w:cs="宋体"/>
          <w:b/>
          <w:bCs/>
          <w:highlight w:val="none"/>
          <w:u w:val="single"/>
        </w:rPr>
        <w:t>因承包人原因工程不能按合同约定工期竣工，每逾期一日，承包人应按每天人民币1500元向发包人支付违约金。</w:t>
      </w:r>
    </w:p>
    <w:p w14:paraId="6A102423">
      <w:pPr>
        <w:pStyle w:val="104"/>
        <w:adjustRightInd w:val="0"/>
        <w:snapToGrid w:val="0"/>
        <w:spacing w:line="360" w:lineRule="exact"/>
        <w:ind w:firstLine="420" w:firstLineChars="200"/>
        <w:jc w:val="left"/>
        <w:rPr>
          <w:rFonts w:ascii="宋体" w:hAnsi="宋体" w:cs="宋体"/>
          <w:highlight w:val="none"/>
        </w:rPr>
      </w:pPr>
      <w:r>
        <w:rPr>
          <w:rFonts w:hint="eastAsia" w:ascii="宋体" w:hAnsi="宋体" w:cs="宋体"/>
          <w:highlight w:val="none"/>
        </w:rPr>
        <w:t>因承包人原因造成工期延误，逾期竣工违约金的上限：</w:t>
      </w:r>
      <w:r>
        <w:rPr>
          <w:rFonts w:hint="eastAsia" w:ascii="宋体" w:hAnsi="宋体" w:cs="宋体"/>
          <w:highlight w:val="none"/>
          <w:u w:val="single"/>
        </w:rPr>
        <w:t xml:space="preserve"> </w:t>
      </w:r>
      <w:r>
        <w:rPr>
          <w:rFonts w:hint="eastAsia" w:ascii="宋体" w:hAnsi="宋体" w:cs="宋体"/>
          <w:b/>
          <w:bCs/>
          <w:highlight w:val="none"/>
          <w:u w:val="single"/>
        </w:rPr>
        <w:t>合同价总额</w:t>
      </w:r>
      <w:r>
        <w:rPr>
          <w:rFonts w:hint="eastAsia" w:ascii="宋体" w:hAnsi="宋体" w:cs="宋体"/>
          <w:highlight w:val="none"/>
          <w:u w:val="single"/>
        </w:rPr>
        <w:t xml:space="preserve"> 10%</w:t>
      </w:r>
      <w:r>
        <w:rPr>
          <w:rFonts w:hint="eastAsia" w:ascii="宋体" w:hAnsi="宋体" w:cs="宋体"/>
          <w:highlight w:val="none"/>
        </w:rPr>
        <w:t>。</w:t>
      </w:r>
    </w:p>
    <w:p w14:paraId="084734A6">
      <w:pPr>
        <w:pStyle w:val="104"/>
        <w:adjustRightInd w:val="0"/>
        <w:snapToGrid w:val="0"/>
        <w:spacing w:line="360" w:lineRule="exact"/>
        <w:ind w:firstLine="420" w:firstLineChars="200"/>
        <w:jc w:val="left"/>
        <w:rPr>
          <w:rFonts w:ascii="宋体" w:hAnsi="宋体" w:cs="宋体"/>
          <w:highlight w:val="none"/>
        </w:rPr>
      </w:pPr>
      <w:r>
        <w:rPr>
          <w:rFonts w:hint="eastAsia" w:ascii="宋体" w:hAnsi="宋体" w:cs="宋体"/>
          <w:highlight w:val="none"/>
        </w:rPr>
        <w:t>7.5.3因其他原因导致工期延误</w:t>
      </w:r>
    </w:p>
    <w:p w14:paraId="2EBB874B">
      <w:pPr>
        <w:pStyle w:val="104"/>
        <w:adjustRightInd w:val="0"/>
        <w:snapToGrid w:val="0"/>
        <w:spacing w:line="360" w:lineRule="exact"/>
        <w:ind w:firstLine="422" w:firstLineChars="200"/>
        <w:jc w:val="left"/>
        <w:rPr>
          <w:rFonts w:ascii="宋体" w:hAnsi="宋体" w:cs="宋体"/>
          <w:b/>
          <w:bCs/>
          <w:highlight w:val="none"/>
          <w:u w:val="single"/>
        </w:rPr>
      </w:pPr>
      <w:r>
        <w:rPr>
          <w:rFonts w:hint="eastAsia" w:ascii="宋体" w:hAnsi="宋体" w:cs="宋体"/>
          <w:b/>
          <w:bCs/>
          <w:highlight w:val="none"/>
          <w:u w:val="single"/>
        </w:rPr>
        <w:t>（1）不可抗力因素；（2）非承包人的过失造成工期延误，并经发包人和监理签证确认。</w:t>
      </w:r>
    </w:p>
    <w:p w14:paraId="6B420A8E">
      <w:pPr>
        <w:pStyle w:val="104"/>
        <w:adjustRightInd w:val="0"/>
        <w:snapToGrid w:val="0"/>
        <w:spacing w:line="360" w:lineRule="exact"/>
        <w:ind w:firstLine="420" w:firstLineChars="200"/>
        <w:jc w:val="left"/>
        <w:rPr>
          <w:rFonts w:ascii="宋体" w:hAnsi="宋体" w:cs="宋体"/>
          <w:highlight w:val="none"/>
        </w:rPr>
      </w:pPr>
      <w:r>
        <w:rPr>
          <w:rFonts w:hint="eastAsia" w:ascii="宋体" w:hAnsi="宋体" w:cs="宋体"/>
          <w:highlight w:val="none"/>
        </w:rPr>
        <w:t xml:space="preserve"> 对于前述两种情形造成的工期延误，承包人要求顺延工期的，应在延误发生后14日内提出；逾期提出的，发包人有权不予认可；未提出顺延签证的，视为工期不需顺延。</w:t>
      </w:r>
    </w:p>
    <w:p w14:paraId="5F9BE045">
      <w:pPr>
        <w:pStyle w:val="104"/>
        <w:adjustRightInd w:val="0"/>
        <w:snapToGrid w:val="0"/>
        <w:spacing w:line="360" w:lineRule="exact"/>
        <w:ind w:firstLine="420" w:firstLineChars="200"/>
        <w:rPr>
          <w:rFonts w:ascii="宋体" w:hAnsi="宋体" w:cs="宋体"/>
          <w:highlight w:val="none"/>
        </w:rPr>
      </w:pPr>
      <w:r>
        <w:rPr>
          <w:rFonts w:hint="eastAsia" w:ascii="宋体" w:hAnsi="宋体" w:cs="宋体"/>
          <w:highlight w:val="none"/>
        </w:rPr>
        <w:t>7.6 不利物质条件</w:t>
      </w:r>
    </w:p>
    <w:p w14:paraId="79F7AC7A">
      <w:pPr>
        <w:pStyle w:val="104"/>
        <w:adjustRightInd w:val="0"/>
        <w:snapToGrid w:val="0"/>
        <w:spacing w:line="360" w:lineRule="exact"/>
        <w:ind w:firstLine="422"/>
        <w:jc w:val="left"/>
        <w:rPr>
          <w:rFonts w:ascii="宋体" w:hAnsi="宋体" w:cs="宋体"/>
          <w:highlight w:val="none"/>
        </w:rPr>
      </w:pPr>
      <w:r>
        <w:rPr>
          <w:rFonts w:hint="eastAsia" w:ascii="宋体" w:hAnsi="宋体" w:cs="宋体"/>
          <w:highlight w:val="none"/>
        </w:rPr>
        <w:t>不利物质条件的其他情形和有关约定：</w:t>
      </w:r>
      <w:r>
        <w:rPr>
          <w:rFonts w:hint="eastAsia" w:ascii="宋体" w:hAnsi="宋体" w:cs="宋体"/>
          <w:highlight w:val="none"/>
          <w:u w:val="single"/>
        </w:rPr>
        <w:t>按通用合同条款第7.6条规定执行</w:t>
      </w:r>
      <w:r>
        <w:rPr>
          <w:rFonts w:hint="eastAsia" w:ascii="宋体" w:hAnsi="宋体" w:cs="宋体"/>
          <w:highlight w:val="none"/>
        </w:rPr>
        <w:t>。</w:t>
      </w:r>
    </w:p>
    <w:p w14:paraId="2DA0B65D">
      <w:pPr>
        <w:pStyle w:val="104"/>
        <w:adjustRightInd w:val="0"/>
        <w:snapToGrid w:val="0"/>
        <w:spacing w:line="360" w:lineRule="exact"/>
        <w:ind w:firstLine="422"/>
        <w:jc w:val="left"/>
        <w:rPr>
          <w:rFonts w:ascii="宋体" w:hAnsi="宋体" w:cs="宋体"/>
          <w:highlight w:val="none"/>
        </w:rPr>
      </w:pPr>
      <w:r>
        <w:rPr>
          <w:rFonts w:hint="eastAsia" w:ascii="宋体" w:hAnsi="宋体" w:cs="宋体"/>
          <w:highlight w:val="none"/>
        </w:rPr>
        <w:t>其他：</w:t>
      </w:r>
      <w:r>
        <w:rPr>
          <w:rFonts w:hint="eastAsia" w:ascii="宋体" w:hAnsi="宋体" w:cs="宋体"/>
          <w:b/>
          <w:bCs/>
          <w:highlight w:val="none"/>
          <w:u w:val="single"/>
        </w:rPr>
        <w:t>按通用合同条款第7.6条规定执行</w:t>
      </w:r>
      <w:r>
        <w:rPr>
          <w:rFonts w:hint="eastAsia" w:ascii="宋体" w:hAnsi="宋体" w:cs="宋体"/>
          <w:highlight w:val="none"/>
        </w:rPr>
        <w:t>。</w:t>
      </w:r>
    </w:p>
    <w:p w14:paraId="0980D2F3">
      <w:pPr>
        <w:pStyle w:val="104"/>
        <w:adjustRightInd w:val="0"/>
        <w:snapToGrid w:val="0"/>
        <w:spacing w:line="360" w:lineRule="exact"/>
        <w:ind w:firstLine="420" w:firstLineChars="200"/>
        <w:rPr>
          <w:rFonts w:ascii="宋体" w:hAnsi="宋体" w:cs="宋体"/>
          <w:highlight w:val="none"/>
        </w:rPr>
      </w:pPr>
      <w:r>
        <w:rPr>
          <w:rFonts w:hint="eastAsia" w:ascii="宋体" w:hAnsi="宋体" w:cs="宋体"/>
          <w:highlight w:val="none"/>
        </w:rPr>
        <w:t>7.7异常恶劣的气候条件</w:t>
      </w:r>
    </w:p>
    <w:p w14:paraId="2E295A7E">
      <w:pPr>
        <w:pStyle w:val="104"/>
        <w:adjustRightInd w:val="0"/>
        <w:snapToGrid w:val="0"/>
        <w:spacing w:line="360" w:lineRule="exact"/>
        <w:ind w:firstLine="420" w:firstLineChars="200"/>
        <w:jc w:val="left"/>
        <w:rPr>
          <w:rFonts w:ascii="宋体" w:hAnsi="宋体" w:cs="宋体"/>
          <w:highlight w:val="none"/>
        </w:rPr>
      </w:pPr>
      <w:r>
        <w:rPr>
          <w:rFonts w:hint="eastAsia" w:ascii="宋体" w:hAnsi="宋体" w:cs="宋体"/>
          <w:highlight w:val="none"/>
        </w:rPr>
        <w:t>发包人和承包人同意以下情形视为异常恶劣的气候条件：</w:t>
      </w:r>
      <w:r>
        <w:rPr>
          <w:rFonts w:hint="eastAsia" w:ascii="宋体" w:hAnsi="宋体" w:cs="宋体"/>
          <w:highlight w:val="none"/>
          <w:u w:val="single"/>
        </w:rPr>
        <w:t xml:space="preserve">  </w:t>
      </w:r>
      <w:r>
        <w:rPr>
          <w:rFonts w:hint="eastAsia" w:ascii="宋体" w:hAnsi="宋体" w:cs="宋体"/>
          <w:b/>
          <w:bCs/>
          <w:highlight w:val="none"/>
          <w:u w:val="single"/>
        </w:rPr>
        <w:t xml:space="preserve"> /  。</w:t>
      </w:r>
    </w:p>
    <w:p w14:paraId="03815FAE">
      <w:pPr>
        <w:pStyle w:val="104"/>
        <w:adjustRightInd w:val="0"/>
        <w:snapToGrid w:val="0"/>
        <w:spacing w:line="360" w:lineRule="exact"/>
        <w:ind w:firstLine="420" w:firstLineChars="200"/>
        <w:rPr>
          <w:rFonts w:ascii="宋体" w:hAnsi="宋体" w:cs="宋体"/>
          <w:highlight w:val="none"/>
        </w:rPr>
      </w:pPr>
      <w:r>
        <w:rPr>
          <w:rFonts w:hint="eastAsia" w:ascii="宋体" w:hAnsi="宋体" w:cs="宋体"/>
          <w:highlight w:val="none"/>
        </w:rPr>
        <w:t>7.8 提前竣工的奖励</w:t>
      </w:r>
    </w:p>
    <w:p w14:paraId="154049C4">
      <w:pPr>
        <w:pStyle w:val="104"/>
        <w:adjustRightInd w:val="0"/>
        <w:snapToGrid w:val="0"/>
        <w:spacing w:line="360" w:lineRule="exact"/>
        <w:ind w:firstLine="420" w:firstLineChars="200"/>
        <w:jc w:val="left"/>
        <w:rPr>
          <w:rFonts w:ascii="宋体" w:hAnsi="宋体" w:cs="宋体"/>
          <w:highlight w:val="none"/>
        </w:rPr>
      </w:pPr>
      <w:r>
        <w:rPr>
          <w:rFonts w:hint="eastAsia" w:ascii="宋体" w:hAnsi="宋体" w:cs="宋体"/>
          <w:highlight w:val="none"/>
        </w:rPr>
        <w:t>7.8.1提前竣工的奖励：</w:t>
      </w:r>
      <w:r>
        <w:rPr>
          <w:rFonts w:hint="eastAsia" w:ascii="宋体" w:hAnsi="宋体" w:cs="宋体"/>
          <w:highlight w:val="none"/>
          <w:u w:val="single"/>
        </w:rPr>
        <w:t xml:space="preserve">  </w:t>
      </w:r>
      <w:r>
        <w:rPr>
          <w:rFonts w:hint="eastAsia" w:ascii="宋体" w:hAnsi="宋体" w:cs="宋体"/>
          <w:b/>
          <w:bCs/>
          <w:highlight w:val="none"/>
          <w:u w:val="single"/>
        </w:rPr>
        <w:t xml:space="preserve"> /  </w:t>
      </w:r>
      <w:r>
        <w:rPr>
          <w:rFonts w:hint="eastAsia" w:ascii="宋体" w:hAnsi="宋体" w:cs="宋体"/>
          <w:highlight w:val="none"/>
        </w:rPr>
        <w:t>。</w:t>
      </w:r>
    </w:p>
    <w:p w14:paraId="5E5A967A">
      <w:pPr>
        <w:pStyle w:val="127"/>
        <w:adjustRightInd w:val="0"/>
        <w:snapToGrid w:val="0"/>
        <w:spacing w:before="0" w:after="0" w:line="360" w:lineRule="exact"/>
        <w:ind w:firstLine="420"/>
        <w:jc w:val="center"/>
        <w:rPr>
          <w:rFonts w:ascii="宋体" w:hAnsi="宋体" w:eastAsia="宋体" w:cs="宋体"/>
          <w:b/>
          <w:bCs/>
          <w:color w:val="auto"/>
          <w:sz w:val="24"/>
          <w:highlight w:val="none"/>
        </w:rPr>
      </w:pPr>
      <w:r>
        <w:rPr>
          <w:rFonts w:hint="eastAsia" w:ascii="宋体" w:hAnsi="宋体" w:eastAsia="宋体" w:cs="宋体"/>
          <w:b/>
          <w:bCs/>
          <w:color w:val="auto"/>
          <w:sz w:val="24"/>
          <w:highlight w:val="none"/>
        </w:rPr>
        <w:t>8. 材料与设备</w:t>
      </w:r>
    </w:p>
    <w:p w14:paraId="544BC1F3">
      <w:pPr>
        <w:pStyle w:val="104"/>
        <w:adjustRightInd w:val="0"/>
        <w:snapToGrid w:val="0"/>
        <w:spacing w:line="360" w:lineRule="exact"/>
        <w:ind w:firstLine="420" w:firstLineChars="200"/>
        <w:rPr>
          <w:rFonts w:ascii="宋体" w:hAnsi="宋体" w:cs="宋体"/>
          <w:highlight w:val="none"/>
        </w:rPr>
      </w:pPr>
      <w:r>
        <w:rPr>
          <w:rFonts w:hint="eastAsia" w:ascii="宋体" w:hAnsi="宋体" w:cs="宋体"/>
          <w:highlight w:val="none"/>
        </w:rPr>
        <w:t>8.4材料与工程设备的保管与使用</w:t>
      </w:r>
    </w:p>
    <w:p w14:paraId="795C7C3D">
      <w:pPr>
        <w:pStyle w:val="104"/>
        <w:adjustRightInd w:val="0"/>
        <w:snapToGrid w:val="0"/>
        <w:spacing w:line="360" w:lineRule="exact"/>
        <w:jc w:val="left"/>
        <w:rPr>
          <w:rFonts w:ascii="宋体" w:hAnsi="宋体" w:cs="宋体"/>
          <w:highlight w:val="none"/>
        </w:rPr>
      </w:pPr>
      <w:r>
        <w:rPr>
          <w:rFonts w:hint="eastAsia" w:ascii="宋体" w:hAnsi="宋体" w:cs="宋体"/>
          <w:highlight w:val="none"/>
        </w:rPr>
        <w:t xml:space="preserve">    8.4.1发包人供应的材料设备的保管费用的承担：</w:t>
      </w:r>
    </w:p>
    <w:p w14:paraId="6C171EC0">
      <w:pPr>
        <w:pStyle w:val="104"/>
        <w:adjustRightInd w:val="0"/>
        <w:snapToGrid w:val="0"/>
        <w:spacing w:line="360" w:lineRule="exact"/>
        <w:ind w:firstLine="422" w:firstLineChars="200"/>
        <w:jc w:val="left"/>
        <w:rPr>
          <w:rFonts w:ascii="宋体" w:hAnsi="宋体" w:cs="宋体"/>
          <w:b/>
          <w:bCs/>
          <w:highlight w:val="none"/>
          <w:u w:val="single"/>
        </w:rPr>
      </w:pPr>
      <w:r>
        <w:rPr>
          <w:rFonts w:hint="eastAsia" w:ascii="宋体" w:hAnsi="宋体" w:cs="宋体"/>
          <w:b/>
          <w:bCs/>
          <w:highlight w:val="none"/>
          <w:u w:val="single"/>
        </w:rPr>
        <w:t>1、发包人供应的材料设备保管费用、安装过程中的二次搬运和设备就位费、检验试验费由承包人投标时报价包干；</w:t>
      </w:r>
    </w:p>
    <w:p w14:paraId="4E03AFD9">
      <w:pPr>
        <w:pStyle w:val="104"/>
        <w:adjustRightInd w:val="0"/>
        <w:snapToGrid w:val="0"/>
        <w:spacing w:line="360" w:lineRule="exact"/>
        <w:ind w:firstLine="422" w:firstLineChars="200"/>
        <w:jc w:val="left"/>
        <w:rPr>
          <w:rFonts w:ascii="宋体" w:hAnsi="宋体" w:cs="宋体"/>
          <w:b/>
          <w:bCs/>
          <w:highlight w:val="none"/>
          <w:u w:val="single"/>
        </w:rPr>
      </w:pPr>
      <w:r>
        <w:rPr>
          <w:rFonts w:hint="eastAsia" w:ascii="宋体" w:hAnsi="宋体" w:cs="宋体"/>
          <w:b/>
          <w:bCs/>
          <w:highlight w:val="none"/>
          <w:u w:val="single"/>
        </w:rPr>
        <w:t>2、因承包人原因发生材料丢失损坏，由承包人负责赔偿。</w:t>
      </w:r>
    </w:p>
    <w:p w14:paraId="7E7DFAA9">
      <w:pPr>
        <w:pStyle w:val="104"/>
        <w:adjustRightInd w:val="0"/>
        <w:snapToGrid w:val="0"/>
        <w:spacing w:line="360" w:lineRule="exact"/>
        <w:ind w:firstLine="420" w:firstLineChars="200"/>
        <w:rPr>
          <w:rFonts w:ascii="宋体" w:hAnsi="宋体" w:cs="宋体"/>
          <w:highlight w:val="none"/>
        </w:rPr>
      </w:pPr>
      <w:r>
        <w:rPr>
          <w:rFonts w:hint="eastAsia" w:ascii="宋体" w:hAnsi="宋体" w:cs="宋体"/>
          <w:highlight w:val="none"/>
        </w:rPr>
        <w:t>8.5 样品</w:t>
      </w:r>
    </w:p>
    <w:p w14:paraId="420615A3">
      <w:pPr>
        <w:pStyle w:val="104"/>
        <w:autoSpaceDE w:val="0"/>
        <w:autoSpaceDN w:val="0"/>
        <w:adjustRightInd w:val="0"/>
        <w:snapToGrid w:val="0"/>
        <w:spacing w:line="360" w:lineRule="exact"/>
        <w:ind w:firstLine="420" w:firstLineChars="200"/>
        <w:jc w:val="left"/>
        <w:rPr>
          <w:rFonts w:ascii="宋体" w:hAnsi="宋体" w:cs="宋体"/>
          <w:kern w:val="0"/>
          <w:highlight w:val="none"/>
        </w:rPr>
      </w:pPr>
      <w:r>
        <w:rPr>
          <w:rFonts w:hint="eastAsia" w:ascii="宋体" w:hAnsi="宋体" w:cs="宋体"/>
          <w:kern w:val="0"/>
          <w:highlight w:val="none"/>
        </w:rPr>
        <w:t>8.5.1样品的报送与封存</w:t>
      </w:r>
    </w:p>
    <w:p w14:paraId="7E78EBF2">
      <w:pPr>
        <w:pStyle w:val="104"/>
        <w:autoSpaceDE w:val="0"/>
        <w:autoSpaceDN w:val="0"/>
        <w:adjustRightInd w:val="0"/>
        <w:snapToGrid w:val="0"/>
        <w:spacing w:line="360" w:lineRule="exact"/>
        <w:ind w:firstLine="420" w:firstLineChars="200"/>
        <w:jc w:val="left"/>
        <w:rPr>
          <w:rFonts w:ascii="宋体" w:hAnsi="宋体" w:cs="宋体"/>
          <w:highlight w:val="none"/>
          <w:u w:val="single"/>
        </w:rPr>
      </w:pPr>
      <w:r>
        <w:rPr>
          <w:rFonts w:hint="eastAsia" w:ascii="宋体" w:hAnsi="宋体" w:cs="宋体"/>
          <w:kern w:val="0"/>
          <w:highlight w:val="none"/>
        </w:rPr>
        <w:t>需要承包人报送样品的材料或工程设备，样品的种类、名称、规格、数量要求：</w:t>
      </w:r>
      <w:r>
        <w:rPr>
          <w:rFonts w:hint="eastAsia" w:ascii="宋体" w:hAnsi="宋体" w:cs="宋体"/>
          <w:highlight w:val="none"/>
          <w:u w:val="single"/>
        </w:rPr>
        <w:t xml:space="preserve"> </w:t>
      </w:r>
      <w:r>
        <w:rPr>
          <w:rFonts w:hint="eastAsia" w:ascii="宋体" w:hAnsi="宋体" w:cs="宋体"/>
          <w:b/>
          <w:bCs/>
          <w:highlight w:val="none"/>
          <w:u w:val="single"/>
        </w:rPr>
        <w:t>按通用合同条款8.6.1条规定执行</w:t>
      </w:r>
      <w:r>
        <w:rPr>
          <w:rFonts w:hint="eastAsia" w:ascii="宋体" w:hAnsi="宋体" w:cs="宋体"/>
          <w:highlight w:val="none"/>
          <w:u w:val="single"/>
        </w:rPr>
        <w:t xml:space="preserve">  </w:t>
      </w:r>
      <w:r>
        <w:rPr>
          <w:rFonts w:hint="eastAsia" w:ascii="宋体" w:hAnsi="宋体" w:cs="宋体"/>
          <w:highlight w:val="none"/>
        </w:rPr>
        <w:t>。</w:t>
      </w:r>
    </w:p>
    <w:p w14:paraId="0000AC09">
      <w:pPr>
        <w:pStyle w:val="104"/>
        <w:adjustRightInd w:val="0"/>
        <w:snapToGrid w:val="0"/>
        <w:spacing w:line="360" w:lineRule="exact"/>
        <w:ind w:firstLine="420" w:firstLineChars="200"/>
        <w:rPr>
          <w:rFonts w:ascii="宋体" w:hAnsi="宋体" w:cs="宋体"/>
          <w:highlight w:val="none"/>
        </w:rPr>
      </w:pPr>
      <w:r>
        <w:rPr>
          <w:rFonts w:hint="eastAsia" w:ascii="宋体" w:hAnsi="宋体" w:cs="宋体"/>
          <w:highlight w:val="none"/>
        </w:rPr>
        <w:t>8.6 施工设备和临时设施</w:t>
      </w:r>
    </w:p>
    <w:p w14:paraId="34D49855">
      <w:pPr>
        <w:pStyle w:val="104"/>
        <w:autoSpaceDE w:val="0"/>
        <w:autoSpaceDN w:val="0"/>
        <w:adjustRightInd w:val="0"/>
        <w:snapToGrid w:val="0"/>
        <w:spacing w:line="360" w:lineRule="exact"/>
        <w:ind w:firstLine="420" w:firstLineChars="200"/>
        <w:jc w:val="left"/>
        <w:rPr>
          <w:rFonts w:ascii="宋体" w:hAnsi="宋体" w:cs="宋体"/>
          <w:highlight w:val="none"/>
        </w:rPr>
      </w:pPr>
      <w:r>
        <w:rPr>
          <w:rFonts w:hint="eastAsia" w:ascii="宋体" w:hAnsi="宋体" w:cs="宋体"/>
          <w:highlight w:val="none"/>
        </w:rPr>
        <w:t>8.6.1 承包人提供的施工设备和临时设施</w:t>
      </w:r>
    </w:p>
    <w:p w14:paraId="5AE4BE29">
      <w:pPr>
        <w:pStyle w:val="104"/>
        <w:autoSpaceDE w:val="0"/>
        <w:autoSpaceDN w:val="0"/>
        <w:adjustRightInd w:val="0"/>
        <w:snapToGrid w:val="0"/>
        <w:spacing w:line="360" w:lineRule="exact"/>
        <w:jc w:val="left"/>
        <w:rPr>
          <w:rFonts w:ascii="宋体" w:hAnsi="宋体" w:cs="宋体"/>
          <w:highlight w:val="none"/>
        </w:rPr>
      </w:pPr>
      <w:r>
        <w:rPr>
          <w:rFonts w:hint="eastAsia" w:ascii="宋体" w:hAnsi="宋体" w:cs="宋体"/>
          <w:highlight w:val="none"/>
        </w:rPr>
        <w:t xml:space="preserve">    关于修建临时设施费用承担的约定：</w:t>
      </w:r>
      <w:r>
        <w:rPr>
          <w:rFonts w:hint="eastAsia" w:ascii="宋体" w:hAnsi="宋体" w:cs="宋体"/>
          <w:highlight w:val="none"/>
          <w:u w:val="single"/>
        </w:rPr>
        <w:t xml:space="preserve">  </w:t>
      </w:r>
      <w:r>
        <w:rPr>
          <w:rFonts w:hint="eastAsia" w:ascii="宋体" w:hAnsi="宋体" w:cs="宋体"/>
          <w:b/>
          <w:bCs/>
          <w:highlight w:val="none"/>
          <w:u w:val="single"/>
        </w:rPr>
        <w:t>由承包人承担</w:t>
      </w:r>
      <w:r>
        <w:rPr>
          <w:rFonts w:hint="eastAsia" w:ascii="宋体" w:hAnsi="宋体" w:cs="宋体"/>
          <w:highlight w:val="none"/>
          <w:u w:val="single"/>
        </w:rPr>
        <w:t xml:space="preserve">   </w:t>
      </w:r>
      <w:r>
        <w:rPr>
          <w:rFonts w:hint="eastAsia" w:ascii="宋体" w:hAnsi="宋体" w:cs="宋体"/>
          <w:highlight w:val="none"/>
        </w:rPr>
        <w:t>。</w:t>
      </w:r>
    </w:p>
    <w:p w14:paraId="146004E3">
      <w:pPr>
        <w:pStyle w:val="127"/>
        <w:adjustRightInd w:val="0"/>
        <w:snapToGrid w:val="0"/>
        <w:spacing w:before="0" w:after="0" w:line="360" w:lineRule="exact"/>
        <w:ind w:firstLine="420"/>
        <w:jc w:val="center"/>
        <w:rPr>
          <w:rFonts w:ascii="宋体" w:hAnsi="宋体" w:eastAsia="宋体" w:cs="宋体"/>
          <w:b/>
          <w:bCs/>
          <w:color w:val="auto"/>
          <w:sz w:val="24"/>
          <w:highlight w:val="none"/>
        </w:rPr>
      </w:pPr>
      <w:r>
        <w:rPr>
          <w:rFonts w:hint="eastAsia" w:ascii="宋体" w:hAnsi="宋体" w:eastAsia="宋体" w:cs="宋体"/>
          <w:b/>
          <w:bCs/>
          <w:color w:val="auto"/>
          <w:sz w:val="24"/>
          <w:highlight w:val="none"/>
        </w:rPr>
        <w:t>9. 试验与检验</w:t>
      </w:r>
    </w:p>
    <w:p w14:paraId="42A831B6">
      <w:pPr>
        <w:pStyle w:val="104"/>
        <w:adjustRightInd w:val="0"/>
        <w:snapToGrid w:val="0"/>
        <w:spacing w:line="360" w:lineRule="exact"/>
        <w:ind w:firstLine="420" w:firstLineChars="200"/>
        <w:rPr>
          <w:rFonts w:ascii="宋体" w:hAnsi="宋体" w:cs="宋体"/>
          <w:highlight w:val="none"/>
        </w:rPr>
      </w:pPr>
      <w:r>
        <w:rPr>
          <w:rFonts w:hint="eastAsia" w:ascii="宋体" w:hAnsi="宋体" w:cs="宋体"/>
          <w:highlight w:val="none"/>
        </w:rPr>
        <w:t>9.1试验设备与试验人员</w:t>
      </w:r>
    </w:p>
    <w:p w14:paraId="4987E444">
      <w:pPr>
        <w:pStyle w:val="104"/>
        <w:adjustRightInd w:val="0"/>
        <w:snapToGrid w:val="0"/>
        <w:spacing w:line="360" w:lineRule="exact"/>
        <w:ind w:firstLine="420" w:firstLineChars="200"/>
        <w:jc w:val="left"/>
        <w:rPr>
          <w:rFonts w:ascii="宋体" w:hAnsi="宋体" w:cs="宋体"/>
          <w:highlight w:val="none"/>
        </w:rPr>
      </w:pPr>
      <w:r>
        <w:rPr>
          <w:rFonts w:hint="eastAsia" w:ascii="宋体" w:hAnsi="宋体" w:cs="宋体"/>
          <w:highlight w:val="none"/>
        </w:rPr>
        <w:t>9.2 试验设备</w:t>
      </w:r>
    </w:p>
    <w:p w14:paraId="7D4CD3AD">
      <w:pPr>
        <w:pStyle w:val="104"/>
        <w:adjustRightInd w:val="0"/>
        <w:snapToGrid w:val="0"/>
        <w:spacing w:line="360" w:lineRule="exact"/>
        <w:jc w:val="left"/>
        <w:rPr>
          <w:rFonts w:ascii="宋体" w:hAnsi="宋体" w:cs="宋体"/>
          <w:highlight w:val="none"/>
        </w:rPr>
      </w:pPr>
      <w:r>
        <w:rPr>
          <w:rFonts w:hint="eastAsia" w:ascii="宋体" w:hAnsi="宋体" w:cs="宋体"/>
          <w:highlight w:val="none"/>
        </w:rPr>
        <w:t xml:space="preserve">    施工现场需要配置的试验场所：</w:t>
      </w:r>
      <w:r>
        <w:rPr>
          <w:rFonts w:hint="eastAsia" w:ascii="宋体" w:hAnsi="宋体" w:cs="宋体"/>
          <w:highlight w:val="none"/>
          <w:u w:val="single"/>
        </w:rPr>
        <w:t xml:space="preserve">     /      </w:t>
      </w:r>
      <w:r>
        <w:rPr>
          <w:rFonts w:hint="eastAsia" w:ascii="宋体" w:hAnsi="宋体" w:cs="宋体"/>
          <w:highlight w:val="none"/>
        </w:rPr>
        <w:t xml:space="preserve">。 </w:t>
      </w:r>
    </w:p>
    <w:p w14:paraId="07617EED">
      <w:pPr>
        <w:pStyle w:val="104"/>
        <w:adjustRightInd w:val="0"/>
        <w:snapToGrid w:val="0"/>
        <w:spacing w:line="360" w:lineRule="exact"/>
        <w:jc w:val="left"/>
        <w:rPr>
          <w:rFonts w:ascii="宋体" w:hAnsi="宋体" w:cs="宋体"/>
          <w:highlight w:val="none"/>
        </w:rPr>
      </w:pPr>
      <w:r>
        <w:rPr>
          <w:rFonts w:hint="eastAsia" w:ascii="宋体" w:hAnsi="宋体" w:cs="宋体"/>
          <w:highlight w:val="none"/>
        </w:rPr>
        <w:t xml:space="preserve">    施工现场需要配备的试验设备：</w:t>
      </w:r>
      <w:r>
        <w:rPr>
          <w:rFonts w:hint="eastAsia" w:ascii="宋体" w:hAnsi="宋体" w:cs="宋体"/>
          <w:highlight w:val="none"/>
          <w:u w:val="single"/>
        </w:rPr>
        <w:t xml:space="preserve">     /      </w:t>
      </w:r>
      <w:r>
        <w:rPr>
          <w:rFonts w:hint="eastAsia" w:ascii="宋体" w:hAnsi="宋体" w:cs="宋体"/>
          <w:highlight w:val="none"/>
        </w:rPr>
        <w:t>。</w:t>
      </w:r>
    </w:p>
    <w:p w14:paraId="424EECF1">
      <w:pPr>
        <w:pStyle w:val="104"/>
        <w:adjustRightInd w:val="0"/>
        <w:snapToGrid w:val="0"/>
        <w:spacing w:line="360" w:lineRule="exact"/>
        <w:ind w:firstLine="422"/>
        <w:jc w:val="left"/>
        <w:rPr>
          <w:rFonts w:ascii="宋体" w:hAnsi="宋体" w:cs="宋体"/>
          <w:highlight w:val="none"/>
        </w:rPr>
      </w:pPr>
      <w:r>
        <w:rPr>
          <w:rFonts w:hint="eastAsia" w:ascii="宋体" w:hAnsi="宋体" w:cs="宋体"/>
          <w:highlight w:val="none"/>
        </w:rPr>
        <w:t>施工现场需要具备的其他试验条件：</w:t>
      </w:r>
      <w:r>
        <w:rPr>
          <w:rFonts w:hint="eastAsia" w:ascii="宋体" w:hAnsi="宋体" w:cs="宋体"/>
          <w:highlight w:val="none"/>
          <w:u w:val="single"/>
        </w:rPr>
        <w:t xml:space="preserve">     /      </w:t>
      </w:r>
      <w:r>
        <w:rPr>
          <w:rFonts w:hint="eastAsia" w:ascii="宋体" w:hAnsi="宋体" w:cs="宋体"/>
          <w:highlight w:val="none"/>
        </w:rPr>
        <w:t>。</w:t>
      </w:r>
    </w:p>
    <w:p w14:paraId="68E49EC8">
      <w:pPr>
        <w:pStyle w:val="104"/>
        <w:adjustRightInd w:val="0"/>
        <w:snapToGrid w:val="0"/>
        <w:spacing w:line="360" w:lineRule="exact"/>
        <w:ind w:firstLine="420" w:firstLineChars="200"/>
        <w:rPr>
          <w:rFonts w:ascii="宋体" w:hAnsi="宋体" w:cs="宋体"/>
          <w:highlight w:val="none"/>
        </w:rPr>
      </w:pPr>
      <w:r>
        <w:rPr>
          <w:rFonts w:hint="eastAsia" w:ascii="宋体" w:hAnsi="宋体" w:cs="宋体"/>
          <w:highlight w:val="none"/>
        </w:rPr>
        <w:t>9.3材料、工程设备和工程的试验和检验</w:t>
      </w:r>
    </w:p>
    <w:p w14:paraId="25AC5891">
      <w:pPr>
        <w:pStyle w:val="104"/>
        <w:adjustRightInd w:val="0"/>
        <w:snapToGrid w:val="0"/>
        <w:spacing w:line="360" w:lineRule="exact"/>
        <w:ind w:firstLine="420" w:firstLineChars="200"/>
        <w:rPr>
          <w:rFonts w:ascii="宋体" w:hAnsi="宋体" w:cs="宋体"/>
          <w:highlight w:val="none"/>
        </w:rPr>
      </w:pPr>
      <w:r>
        <w:rPr>
          <w:rFonts w:hint="eastAsia" w:ascii="宋体" w:hAnsi="宋体" w:cs="宋体"/>
          <w:highlight w:val="none"/>
        </w:rPr>
        <w:t>试验、检测单位资质条件约定；</w:t>
      </w:r>
      <w:r>
        <w:rPr>
          <w:rFonts w:hint="eastAsia" w:ascii="宋体" w:hAnsi="宋体" w:cs="宋体"/>
          <w:highlight w:val="none"/>
          <w:u w:val="single"/>
        </w:rPr>
        <w:t xml:space="preserve">     /      </w:t>
      </w:r>
      <w:r>
        <w:rPr>
          <w:rFonts w:hint="eastAsia" w:ascii="宋体" w:hAnsi="宋体" w:cs="宋体"/>
          <w:highlight w:val="none"/>
        </w:rPr>
        <w:t>；</w:t>
      </w:r>
    </w:p>
    <w:p w14:paraId="5FCE7A75">
      <w:pPr>
        <w:pStyle w:val="104"/>
        <w:adjustRightInd w:val="0"/>
        <w:snapToGrid w:val="0"/>
        <w:spacing w:line="360" w:lineRule="exact"/>
        <w:ind w:firstLine="420" w:firstLineChars="200"/>
        <w:rPr>
          <w:rFonts w:ascii="宋体" w:hAnsi="宋体" w:cs="宋体"/>
          <w:highlight w:val="none"/>
        </w:rPr>
      </w:pPr>
      <w:r>
        <w:rPr>
          <w:rFonts w:hint="eastAsia" w:ascii="宋体" w:hAnsi="宋体" w:cs="宋体"/>
          <w:highlight w:val="none"/>
        </w:rPr>
        <w:t>试验、检测单位选择约定：</w:t>
      </w:r>
      <w:r>
        <w:rPr>
          <w:rFonts w:hint="eastAsia" w:ascii="宋体" w:hAnsi="宋体" w:cs="宋体"/>
          <w:highlight w:val="none"/>
          <w:u w:val="single"/>
        </w:rPr>
        <w:t xml:space="preserve">     /      </w:t>
      </w:r>
      <w:r>
        <w:rPr>
          <w:rFonts w:hint="eastAsia" w:ascii="宋体" w:hAnsi="宋体" w:cs="宋体"/>
          <w:highlight w:val="none"/>
        </w:rPr>
        <w:t>；</w:t>
      </w:r>
    </w:p>
    <w:p w14:paraId="0F3CB4CC">
      <w:pPr>
        <w:pStyle w:val="104"/>
        <w:adjustRightInd w:val="0"/>
        <w:snapToGrid w:val="0"/>
        <w:spacing w:line="360" w:lineRule="exact"/>
        <w:ind w:firstLine="420" w:firstLineChars="200"/>
        <w:rPr>
          <w:rFonts w:ascii="宋体" w:hAnsi="宋体" w:cs="宋体"/>
          <w:highlight w:val="none"/>
        </w:rPr>
      </w:pPr>
      <w:r>
        <w:rPr>
          <w:rFonts w:hint="eastAsia" w:ascii="宋体" w:hAnsi="宋体" w:cs="宋体"/>
          <w:highlight w:val="none"/>
        </w:rPr>
        <w:t>试验、检测费用约定：</w:t>
      </w:r>
      <w:r>
        <w:rPr>
          <w:rFonts w:hint="eastAsia" w:ascii="宋体" w:hAnsi="宋体" w:cs="宋体"/>
          <w:highlight w:val="none"/>
          <w:u w:val="single"/>
        </w:rPr>
        <w:t xml:space="preserve">     /      </w:t>
      </w:r>
      <w:r>
        <w:rPr>
          <w:rFonts w:hint="eastAsia" w:ascii="宋体" w:hAnsi="宋体" w:cs="宋体"/>
          <w:highlight w:val="none"/>
        </w:rPr>
        <w:t>。</w:t>
      </w:r>
    </w:p>
    <w:p w14:paraId="26F0A4DE">
      <w:pPr>
        <w:pStyle w:val="104"/>
        <w:adjustRightInd w:val="0"/>
        <w:snapToGrid w:val="0"/>
        <w:spacing w:line="360" w:lineRule="exact"/>
        <w:ind w:firstLine="420" w:firstLineChars="200"/>
        <w:rPr>
          <w:rFonts w:ascii="宋体" w:hAnsi="宋体" w:cs="宋体"/>
          <w:highlight w:val="none"/>
        </w:rPr>
      </w:pPr>
      <w:r>
        <w:rPr>
          <w:rFonts w:hint="eastAsia" w:ascii="宋体" w:hAnsi="宋体" w:cs="宋体"/>
          <w:highlight w:val="none"/>
        </w:rPr>
        <w:t xml:space="preserve">9.4 现场工艺试验 </w:t>
      </w:r>
    </w:p>
    <w:p w14:paraId="78F1994F">
      <w:pPr>
        <w:pStyle w:val="104"/>
        <w:adjustRightInd w:val="0"/>
        <w:snapToGrid w:val="0"/>
        <w:spacing w:line="360" w:lineRule="exact"/>
        <w:jc w:val="left"/>
        <w:rPr>
          <w:rFonts w:ascii="宋体" w:hAnsi="宋体" w:cs="宋体"/>
          <w:highlight w:val="none"/>
        </w:rPr>
      </w:pPr>
      <w:r>
        <w:rPr>
          <w:rFonts w:hint="eastAsia" w:ascii="宋体" w:hAnsi="宋体" w:cs="宋体"/>
          <w:highlight w:val="none"/>
        </w:rPr>
        <w:t xml:space="preserve">    现场工艺试验的有关约定：</w:t>
      </w:r>
      <w:r>
        <w:rPr>
          <w:rFonts w:hint="eastAsia" w:ascii="宋体" w:hAnsi="宋体" w:cs="宋体"/>
          <w:highlight w:val="none"/>
          <w:u w:val="single"/>
        </w:rPr>
        <w:t xml:space="preserve">   </w:t>
      </w:r>
      <w:r>
        <w:rPr>
          <w:rFonts w:hint="eastAsia" w:ascii="宋体" w:hAnsi="宋体" w:cs="宋体"/>
          <w:b/>
          <w:bCs/>
          <w:highlight w:val="none"/>
          <w:u w:val="single"/>
        </w:rPr>
        <w:t>/</w:t>
      </w:r>
      <w:r>
        <w:rPr>
          <w:rFonts w:hint="eastAsia" w:ascii="宋体" w:hAnsi="宋体" w:cs="宋体"/>
          <w:highlight w:val="none"/>
          <w:u w:val="single"/>
        </w:rPr>
        <w:t xml:space="preserve">   </w:t>
      </w:r>
      <w:r>
        <w:rPr>
          <w:rFonts w:hint="eastAsia" w:ascii="宋体" w:hAnsi="宋体" w:cs="宋体"/>
          <w:highlight w:val="none"/>
        </w:rPr>
        <w:t>。</w:t>
      </w:r>
    </w:p>
    <w:p w14:paraId="67936289">
      <w:pPr>
        <w:pStyle w:val="127"/>
        <w:adjustRightInd w:val="0"/>
        <w:snapToGrid w:val="0"/>
        <w:spacing w:before="0" w:after="0" w:line="360" w:lineRule="exact"/>
        <w:ind w:firstLine="420"/>
        <w:jc w:val="center"/>
        <w:rPr>
          <w:rFonts w:ascii="宋体" w:hAnsi="宋体" w:eastAsia="宋体" w:cs="宋体"/>
          <w:color w:val="auto"/>
          <w:sz w:val="24"/>
          <w:highlight w:val="none"/>
        </w:rPr>
      </w:pPr>
      <w:r>
        <w:rPr>
          <w:rFonts w:hint="eastAsia" w:ascii="宋体" w:hAnsi="宋体" w:eastAsia="宋体" w:cs="宋体"/>
          <w:b/>
          <w:bCs/>
          <w:color w:val="auto"/>
          <w:sz w:val="24"/>
          <w:highlight w:val="none"/>
        </w:rPr>
        <w:t>10. 变更</w:t>
      </w:r>
    </w:p>
    <w:p w14:paraId="1C37FEE8">
      <w:pPr>
        <w:pStyle w:val="104"/>
        <w:adjustRightInd w:val="0"/>
        <w:snapToGrid w:val="0"/>
        <w:spacing w:line="360" w:lineRule="exact"/>
        <w:ind w:firstLine="420" w:firstLineChars="200"/>
        <w:rPr>
          <w:rFonts w:ascii="宋体" w:hAnsi="宋体" w:cs="宋体"/>
          <w:highlight w:val="none"/>
        </w:rPr>
      </w:pPr>
      <w:r>
        <w:rPr>
          <w:rFonts w:hint="eastAsia" w:ascii="宋体" w:hAnsi="宋体" w:cs="宋体"/>
          <w:highlight w:val="none"/>
        </w:rPr>
        <w:t>10.1变更范围</w:t>
      </w:r>
    </w:p>
    <w:p w14:paraId="2B3ADBA8">
      <w:pPr>
        <w:pStyle w:val="104"/>
        <w:adjustRightInd w:val="0"/>
        <w:snapToGrid w:val="0"/>
        <w:spacing w:line="360" w:lineRule="exact"/>
        <w:ind w:firstLine="420"/>
        <w:jc w:val="left"/>
        <w:rPr>
          <w:rFonts w:ascii="宋体" w:hAnsi="宋体" w:cs="宋体"/>
          <w:highlight w:val="none"/>
        </w:rPr>
      </w:pPr>
      <w:r>
        <w:rPr>
          <w:rFonts w:hint="eastAsia" w:ascii="宋体" w:hAnsi="宋体" w:cs="宋体"/>
          <w:highlight w:val="none"/>
        </w:rPr>
        <w:t>关于变更范围的约定：</w:t>
      </w:r>
      <w:r>
        <w:rPr>
          <w:rFonts w:hint="eastAsia" w:ascii="宋体" w:hAnsi="宋体" w:cs="宋体"/>
          <w:highlight w:val="none"/>
          <w:u w:val="single"/>
        </w:rPr>
        <w:t>按《浙江交通职业技术学院修缮管理办法》执行</w:t>
      </w:r>
      <w:r>
        <w:rPr>
          <w:rFonts w:hint="eastAsia" w:ascii="宋体" w:hAnsi="宋体" w:cs="宋体"/>
          <w:highlight w:val="none"/>
        </w:rPr>
        <w:t>。</w:t>
      </w:r>
    </w:p>
    <w:p w14:paraId="0C09798D">
      <w:pPr>
        <w:pStyle w:val="104"/>
        <w:adjustRightInd w:val="0"/>
        <w:snapToGrid w:val="0"/>
        <w:spacing w:line="360" w:lineRule="exact"/>
        <w:ind w:firstLine="420"/>
        <w:jc w:val="left"/>
        <w:rPr>
          <w:rFonts w:ascii="宋体" w:hAnsi="宋体" w:cs="宋体"/>
          <w:b/>
          <w:bCs/>
          <w:highlight w:val="none"/>
        </w:rPr>
      </w:pPr>
      <w:r>
        <w:rPr>
          <w:rFonts w:hint="eastAsia" w:ascii="宋体" w:hAnsi="宋体" w:cs="宋体"/>
          <w:highlight w:val="none"/>
        </w:rPr>
        <w:t>10.2</w:t>
      </w:r>
      <w:r>
        <w:rPr>
          <w:rFonts w:hint="eastAsia" w:ascii="宋体" w:hAnsi="宋体" w:cs="宋体"/>
          <w:b/>
          <w:bCs/>
          <w:highlight w:val="none"/>
        </w:rPr>
        <w:t xml:space="preserve"> 变更流程</w:t>
      </w:r>
    </w:p>
    <w:p w14:paraId="6288CE91">
      <w:pPr>
        <w:pStyle w:val="104"/>
        <w:adjustRightInd w:val="0"/>
        <w:snapToGrid w:val="0"/>
        <w:spacing w:line="360" w:lineRule="exact"/>
        <w:ind w:firstLine="420"/>
        <w:jc w:val="left"/>
        <w:rPr>
          <w:rFonts w:ascii="宋体" w:hAnsi="宋体" w:cs="宋体"/>
          <w:b/>
          <w:bCs/>
          <w:highlight w:val="none"/>
        </w:rPr>
      </w:pPr>
      <w:r>
        <w:rPr>
          <w:rFonts w:hint="eastAsia" w:ascii="宋体" w:hAnsi="宋体" w:cs="宋体"/>
          <w:b/>
          <w:bCs/>
          <w:highlight w:val="none"/>
        </w:rPr>
        <w:t>关于变更流程的约定：</w:t>
      </w:r>
      <w:r>
        <w:rPr>
          <w:b/>
          <w:bCs/>
          <w:szCs w:val="21"/>
          <w:highlight w:val="none"/>
        </w:rPr>
        <w:t>工程变更或新增项目须事前向甲方提出书面报告，并经甲方职能部门审核批准。未经批准擅自变更或施工的，由此产生的费用由乙方自行承担。</w:t>
      </w:r>
    </w:p>
    <w:p w14:paraId="3569814B">
      <w:pPr>
        <w:pStyle w:val="104"/>
        <w:adjustRightInd w:val="0"/>
        <w:snapToGrid w:val="0"/>
        <w:spacing w:line="360" w:lineRule="exact"/>
        <w:ind w:firstLine="420" w:firstLineChars="200"/>
        <w:rPr>
          <w:rFonts w:ascii="宋体" w:hAnsi="宋体" w:cs="宋体"/>
          <w:highlight w:val="none"/>
        </w:rPr>
      </w:pPr>
      <w:r>
        <w:rPr>
          <w:rFonts w:hint="eastAsia" w:ascii="宋体" w:hAnsi="宋体" w:cs="宋体"/>
          <w:highlight w:val="none"/>
        </w:rPr>
        <w:t>10.3 变更估价</w:t>
      </w:r>
    </w:p>
    <w:p w14:paraId="2B91F450">
      <w:pPr>
        <w:pStyle w:val="104"/>
        <w:adjustRightInd w:val="0"/>
        <w:snapToGrid w:val="0"/>
        <w:spacing w:line="360" w:lineRule="exact"/>
        <w:ind w:firstLine="420" w:firstLineChars="200"/>
        <w:jc w:val="left"/>
        <w:rPr>
          <w:rFonts w:ascii="宋体" w:hAnsi="宋体" w:cs="宋体"/>
          <w:highlight w:val="none"/>
        </w:rPr>
      </w:pPr>
      <w:r>
        <w:rPr>
          <w:rFonts w:hint="eastAsia" w:ascii="宋体" w:hAnsi="宋体" w:cs="宋体"/>
          <w:highlight w:val="none"/>
        </w:rPr>
        <w:t>10.3.1 变更估价原则</w:t>
      </w:r>
    </w:p>
    <w:p w14:paraId="19566147">
      <w:pPr>
        <w:pStyle w:val="104"/>
        <w:adjustRightInd w:val="0"/>
        <w:snapToGrid w:val="0"/>
        <w:spacing w:line="360" w:lineRule="exact"/>
        <w:ind w:firstLine="422"/>
        <w:jc w:val="left"/>
        <w:rPr>
          <w:rFonts w:ascii="宋体" w:hAnsi="宋体" w:cs="宋体"/>
          <w:highlight w:val="none"/>
        </w:rPr>
      </w:pPr>
      <w:r>
        <w:rPr>
          <w:rFonts w:hint="eastAsia" w:ascii="宋体" w:hAnsi="宋体" w:cs="宋体"/>
          <w:highlight w:val="none"/>
        </w:rPr>
        <w:t>关于变更估价的约定:</w:t>
      </w:r>
      <w:r>
        <w:rPr>
          <w:rFonts w:hint="eastAsia" w:ascii="宋体" w:hAnsi="宋体" w:cs="宋体"/>
          <w:highlight w:val="none"/>
          <w:u w:val="single"/>
        </w:rPr>
        <w:t>设计变更、施工联系单签证等发生的费用，结算综合单价直接套用相应或相似的投标响应单价。如无法套用时，无响应价的材料单价按同期信息价，无信息价按市场价计取，各项取费与响应同口径；</w:t>
      </w:r>
      <w:r>
        <w:rPr>
          <w:rFonts w:hint="eastAsia" w:ascii="宋体" w:hAnsi="宋体" w:cs="宋体"/>
          <w:b/>
          <w:bCs/>
          <w:highlight w:val="none"/>
          <w:u w:val="single"/>
        </w:rPr>
        <w:t>项目竣工结算时，最终结算价根据承诺优惠率同比例调整，调整范围包括合同部分及新增联系单部分。</w:t>
      </w:r>
    </w:p>
    <w:p w14:paraId="21DEADD2">
      <w:pPr>
        <w:pStyle w:val="104"/>
        <w:adjustRightInd w:val="0"/>
        <w:snapToGrid w:val="0"/>
        <w:spacing w:line="360" w:lineRule="exact"/>
        <w:ind w:firstLine="420" w:firstLineChars="200"/>
        <w:rPr>
          <w:rFonts w:ascii="宋体" w:hAnsi="宋体" w:cs="宋体"/>
          <w:highlight w:val="none"/>
        </w:rPr>
      </w:pPr>
      <w:r>
        <w:rPr>
          <w:rFonts w:hint="eastAsia" w:ascii="宋体" w:hAnsi="宋体" w:cs="宋体"/>
          <w:highlight w:val="none"/>
        </w:rPr>
        <w:t>10.4承包人的合理化建议</w:t>
      </w:r>
    </w:p>
    <w:p w14:paraId="76BF20A3">
      <w:pPr>
        <w:pStyle w:val="104"/>
        <w:adjustRightInd w:val="0"/>
        <w:snapToGrid w:val="0"/>
        <w:spacing w:line="360" w:lineRule="exact"/>
        <w:ind w:firstLine="420" w:firstLineChars="200"/>
        <w:jc w:val="left"/>
        <w:rPr>
          <w:rFonts w:ascii="宋体" w:hAnsi="宋体" w:cs="宋体"/>
          <w:highlight w:val="none"/>
        </w:rPr>
      </w:pPr>
      <w:r>
        <w:rPr>
          <w:rFonts w:hint="eastAsia" w:ascii="宋体" w:hAnsi="宋体" w:cs="宋体"/>
          <w:highlight w:val="none"/>
        </w:rPr>
        <w:t>监理人审查承包人合理化建议的期限：</w:t>
      </w:r>
      <w:r>
        <w:rPr>
          <w:rFonts w:hint="eastAsia" w:ascii="宋体" w:hAnsi="宋体" w:cs="宋体"/>
          <w:highlight w:val="none"/>
          <w:u w:val="single"/>
        </w:rPr>
        <w:t xml:space="preserve"> </w:t>
      </w:r>
      <w:r>
        <w:rPr>
          <w:rFonts w:hint="eastAsia" w:ascii="宋体" w:hAnsi="宋体" w:cs="宋体"/>
          <w:b/>
          <w:bCs/>
          <w:highlight w:val="none"/>
          <w:u w:val="single"/>
        </w:rPr>
        <w:t>按通用合同条款第10.5条规定执行</w:t>
      </w:r>
      <w:r>
        <w:rPr>
          <w:rFonts w:hint="eastAsia" w:ascii="宋体" w:hAnsi="宋体" w:cs="宋体"/>
          <w:highlight w:val="none"/>
          <w:u w:val="single"/>
        </w:rPr>
        <w:t xml:space="preserve">  </w:t>
      </w:r>
      <w:r>
        <w:rPr>
          <w:rFonts w:hint="eastAsia" w:ascii="宋体" w:hAnsi="宋体" w:cs="宋体"/>
          <w:highlight w:val="none"/>
        </w:rPr>
        <w:t>。</w:t>
      </w:r>
    </w:p>
    <w:p w14:paraId="1D53F4C5">
      <w:pPr>
        <w:pStyle w:val="104"/>
        <w:adjustRightInd w:val="0"/>
        <w:snapToGrid w:val="0"/>
        <w:spacing w:line="360" w:lineRule="exact"/>
        <w:ind w:firstLine="420" w:firstLineChars="200"/>
        <w:jc w:val="left"/>
        <w:rPr>
          <w:rFonts w:ascii="宋体" w:hAnsi="宋体" w:cs="宋体"/>
          <w:highlight w:val="none"/>
        </w:rPr>
      </w:pPr>
      <w:r>
        <w:rPr>
          <w:rFonts w:hint="eastAsia" w:ascii="宋体" w:hAnsi="宋体" w:cs="宋体"/>
          <w:highlight w:val="none"/>
        </w:rPr>
        <w:t>发包人审批承包人合理化建议的期限：</w:t>
      </w:r>
      <w:r>
        <w:rPr>
          <w:rFonts w:hint="eastAsia" w:ascii="宋体" w:hAnsi="宋体" w:cs="宋体"/>
          <w:highlight w:val="none"/>
          <w:u w:val="single"/>
        </w:rPr>
        <w:t xml:space="preserve"> </w:t>
      </w:r>
      <w:r>
        <w:rPr>
          <w:rFonts w:hint="eastAsia" w:ascii="宋体" w:hAnsi="宋体" w:cs="宋体"/>
          <w:b/>
          <w:bCs/>
          <w:highlight w:val="none"/>
          <w:u w:val="single"/>
        </w:rPr>
        <w:t xml:space="preserve">按通用合同条款第10.5条规定执行 </w:t>
      </w:r>
      <w:r>
        <w:rPr>
          <w:rFonts w:hint="eastAsia" w:ascii="宋体" w:hAnsi="宋体" w:cs="宋体"/>
          <w:highlight w:val="none"/>
          <w:u w:val="single"/>
        </w:rPr>
        <w:t xml:space="preserve"> </w:t>
      </w:r>
      <w:r>
        <w:rPr>
          <w:rFonts w:hint="eastAsia" w:ascii="宋体" w:hAnsi="宋体" w:cs="宋体"/>
          <w:highlight w:val="none"/>
        </w:rPr>
        <w:t>。</w:t>
      </w:r>
    </w:p>
    <w:p w14:paraId="38E1DE3E">
      <w:pPr>
        <w:pStyle w:val="104"/>
        <w:adjustRightInd w:val="0"/>
        <w:snapToGrid w:val="0"/>
        <w:spacing w:line="360" w:lineRule="exact"/>
        <w:jc w:val="left"/>
        <w:rPr>
          <w:rFonts w:ascii="宋体" w:hAnsi="宋体" w:cs="宋体"/>
          <w:highlight w:val="none"/>
          <w:u w:val="single"/>
        </w:rPr>
      </w:pPr>
      <w:r>
        <w:rPr>
          <w:rFonts w:hint="eastAsia" w:ascii="宋体" w:hAnsi="宋体" w:cs="宋体"/>
          <w:highlight w:val="none"/>
        </w:rPr>
        <w:t xml:space="preserve">    承包人提出的合理化建议降低了合同价格或者提高了工程经济效益的奖励的方法和金额为：</w:t>
      </w:r>
      <w:r>
        <w:rPr>
          <w:rFonts w:hint="eastAsia" w:ascii="宋体" w:hAnsi="宋体" w:cs="宋体"/>
          <w:b/>
          <w:bCs/>
          <w:highlight w:val="none"/>
          <w:u w:val="single"/>
        </w:rPr>
        <w:t xml:space="preserve">/ </w:t>
      </w:r>
      <w:r>
        <w:rPr>
          <w:rFonts w:hint="eastAsia" w:ascii="宋体" w:hAnsi="宋体" w:cs="宋体"/>
          <w:highlight w:val="none"/>
        </w:rPr>
        <w:t>。</w:t>
      </w:r>
    </w:p>
    <w:p w14:paraId="4C17BE99">
      <w:pPr>
        <w:pStyle w:val="104"/>
        <w:adjustRightInd w:val="0"/>
        <w:snapToGrid w:val="0"/>
        <w:spacing w:line="360" w:lineRule="exact"/>
        <w:ind w:firstLine="420" w:firstLineChars="200"/>
        <w:rPr>
          <w:rFonts w:ascii="宋体" w:hAnsi="宋体" w:cs="宋体"/>
          <w:highlight w:val="none"/>
        </w:rPr>
      </w:pPr>
      <w:r>
        <w:rPr>
          <w:rFonts w:hint="eastAsia" w:ascii="宋体" w:hAnsi="宋体" w:cs="宋体"/>
          <w:highlight w:val="none"/>
        </w:rPr>
        <w:t>10.5 暂估价</w:t>
      </w:r>
    </w:p>
    <w:p w14:paraId="45F7D7C3">
      <w:pPr>
        <w:pStyle w:val="104"/>
        <w:adjustRightInd w:val="0"/>
        <w:snapToGrid w:val="0"/>
        <w:spacing w:line="360" w:lineRule="exact"/>
        <w:ind w:firstLine="420" w:firstLineChars="200"/>
        <w:jc w:val="left"/>
        <w:rPr>
          <w:rFonts w:ascii="宋体" w:hAnsi="宋体" w:cs="宋体"/>
          <w:highlight w:val="none"/>
        </w:rPr>
      </w:pPr>
      <w:r>
        <w:rPr>
          <w:rFonts w:hint="eastAsia" w:ascii="宋体" w:hAnsi="宋体" w:cs="宋体"/>
          <w:kern w:val="0"/>
          <w:highlight w:val="none"/>
        </w:rPr>
        <w:t>暂估价材料和工程设备的明细：</w:t>
      </w:r>
      <w:r>
        <w:rPr>
          <w:rFonts w:hint="eastAsia" w:ascii="宋体" w:hAnsi="宋体" w:cs="宋体"/>
          <w:kern w:val="0"/>
          <w:highlight w:val="none"/>
          <w:u w:val="single"/>
        </w:rPr>
        <w:t xml:space="preserve">    /    </w:t>
      </w:r>
      <w:r>
        <w:rPr>
          <w:rFonts w:hint="eastAsia" w:ascii="宋体" w:hAnsi="宋体" w:cs="宋体"/>
          <w:kern w:val="0"/>
          <w:highlight w:val="none"/>
        </w:rPr>
        <w:t xml:space="preserve"> 。</w:t>
      </w:r>
    </w:p>
    <w:p w14:paraId="501D280F">
      <w:pPr>
        <w:pStyle w:val="104"/>
        <w:adjustRightInd w:val="0"/>
        <w:snapToGrid w:val="0"/>
        <w:spacing w:line="360" w:lineRule="exact"/>
        <w:ind w:firstLine="420" w:firstLineChars="200"/>
        <w:jc w:val="left"/>
        <w:rPr>
          <w:rFonts w:ascii="宋体" w:hAnsi="宋体" w:cs="宋体"/>
          <w:highlight w:val="none"/>
        </w:rPr>
      </w:pPr>
      <w:r>
        <w:rPr>
          <w:rFonts w:hint="eastAsia" w:ascii="宋体" w:hAnsi="宋体" w:cs="宋体"/>
          <w:highlight w:val="none"/>
        </w:rPr>
        <w:t>10.5.1 依法必须招标的暂估价项目</w:t>
      </w:r>
    </w:p>
    <w:p w14:paraId="0996A796">
      <w:pPr>
        <w:pStyle w:val="104"/>
        <w:adjustRightInd w:val="0"/>
        <w:snapToGrid w:val="0"/>
        <w:spacing w:line="360" w:lineRule="exact"/>
        <w:ind w:firstLine="420" w:firstLineChars="200"/>
        <w:jc w:val="left"/>
        <w:rPr>
          <w:rFonts w:ascii="宋体" w:hAnsi="宋体" w:cs="宋体"/>
          <w:highlight w:val="none"/>
        </w:rPr>
      </w:pPr>
      <w:r>
        <w:rPr>
          <w:rFonts w:hint="eastAsia" w:ascii="宋体" w:hAnsi="宋体" w:cs="宋体"/>
          <w:highlight w:val="none"/>
        </w:rPr>
        <w:t>对于依法必须招标的暂估价项目的确认和批准采取第</w:t>
      </w:r>
      <w:r>
        <w:rPr>
          <w:rFonts w:hint="eastAsia" w:ascii="宋体" w:hAnsi="宋体" w:cs="宋体"/>
          <w:highlight w:val="none"/>
          <w:u w:val="single"/>
        </w:rPr>
        <w:t xml:space="preserve">   /   </w:t>
      </w:r>
      <w:r>
        <w:rPr>
          <w:rFonts w:hint="eastAsia" w:ascii="宋体" w:hAnsi="宋体" w:cs="宋体"/>
          <w:highlight w:val="none"/>
        </w:rPr>
        <w:t>种方式确定。</w:t>
      </w:r>
    </w:p>
    <w:p w14:paraId="73A7DAB0">
      <w:pPr>
        <w:pStyle w:val="104"/>
        <w:adjustRightInd w:val="0"/>
        <w:snapToGrid w:val="0"/>
        <w:spacing w:line="360" w:lineRule="exact"/>
        <w:ind w:firstLine="420" w:firstLineChars="200"/>
        <w:jc w:val="left"/>
        <w:rPr>
          <w:rFonts w:ascii="宋体" w:hAnsi="宋体" w:cs="宋体"/>
          <w:highlight w:val="none"/>
        </w:rPr>
      </w:pPr>
      <w:r>
        <w:rPr>
          <w:rFonts w:hint="eastAsia" w:ascii="宋体" w:hAnsi="宋体" w:cs="宋体"/>
          <w:highlight w:val="none"/>
        </w:rPr>
        <w:t>10.5.2 不属于依法必须招标的暂估价项目</w:t>
      </w:r>
    </w:p>
    <w:p w14:paraId="097D90CB">
      <w:pPr>
        <w:pStyle w:val="104"/>
        <w:adjustRightInd w:val="0"/>
        <w:snapToGrid w:val="0"/>
        <w:spacing w:line="360" w:lineRule="exact"/>
        <w:ind w:firstLine="420" w:firstLineChars="200"/>
        <w:jc w:val="left"/>
        <w:rPr>
          <w:rFonts w:ascii="宋体" w:hAnsi="宋体" w:cs="宋体"/>
          <w:highlight w:val="none"/>
        </w:rPr>
      </w:pPr>
      <w:r>
        <w:rPr>
          <w:rFonts w:hint="eastAsia" w:ascii="宋体" w:hAnsi="宋体" w:cs="宋体"/>
          <w:highlight w:val="none"/>
        </w:rPr>
        <w:t>对于不属于依法必须招标的暂估价项目的确认和批准采取第</w:t>
      </w:r>
      <w:r>
        <w:rPr>
          <w:rFonts w:hint="eastAsia" w:ascii="宋体" w:hAnsi="宋体" w:cs="宋体"/>
          <w:highlight w:val="none"/>
          <w:u w:val="single"/>
        </w:rPr>
        <w:t xml:space="preserve">  /  </w:t>
      </w:r>
      <w:r>
        <w:rPr>
          <w:rFonts w:hint="eastAsia" w:ascii="宋体" w:hAnsi="宋体" w:cs="宋体"/>
          <w:highlight w:val="none"/>
        </w:rPr>
        <w:t>种方式确定。</w:t>
      </w:r>
    </w:p>
    <w:p w14:paraId="31288327">
      <w:pPr>
        <w:pStyle w:val="104"/>
        <w:adjustRightInd w:val="0"/>
        <w:snapToGrid w:val="0"/>
        <w:spacing w:line="360" w:lineRule="exact"/>
        <w:ind w:firstLine="420" w:firstLineChars="200"/>
        <w:jc w:val="left"/>
        <w:rPr>
          <w:rFonts w:ascii="宋体" w:hAnsi="宋体" w:cs="宋体"/>
          <w:kern w:val="0"/>
          <w:highlight w:val="none"/>
        </w:rPr>
      </w:pPr>
      <w:r>
        <w:rPr>
          <w:rFonts w:hint="eastAsia" w:ascii="宋体" w:hAnsi="宋体" w:cs="宋体"/>
          <w:highlight w:val="none"/>
        </w:rPr>
        <w:t>第3种方式：</w:t>
      </w:r>
      <w:r>
        <w:rPr>
          <w:rFonts w:hint="eastAsia" w:ascii="宋体" w:hAnsi="宋体" w:cs="宋体"/>
          <w:kern w:val="0"/>
          <w:highlight w:val="none"/>
        </w:rPr>
        <w:t>承包人直接实施的暂估价项目</w:t>
      </w:r>
    </w:p>
    <w:p w14:paraId="7A3C4CFA">
      <w:pPr>
        <w:pStyle w:val="104"/>
        <w:adjustRightInd w:val="0"/>
        <w:snapToGrid w:val="0"/>
        <w:spacing w:line="360" w:lineRule="exact"/>
        <w:jc w:val="left"/>
        <w:rPr>
          <w:rFonts w:ascii="宋体" w:hAnsi="宋体" w:cs="宋体"/>
          <w:highlight w:val="none"/>
        </w:rPr>
      </w:pPr>
      <w:r>
        <w:rPr>
          <w:rFonts w:hint="eastAsia" w:ascii="宋体" w:hAnsi="宋体" w:cs="宋体"/>
          <w:highlight w:val="none"/>
        </w:rPr>
        <w:t xml:space="preserve">    承包人直接实施的暂估价项目的约定：</w:t>
      </w:r>
      <w:r>
        <w:rPr>
          <w:rFonts w:hint="eastAsia" w:ascii="宋体" w:hAnsi="宋体" w:cs="宋体"/>
          <w:highlight w:val="none"/>
          <w:u w:val="single"/>
        </w:rPr>
        <w:t xml:space="preserve">     /         </w:t>
      </w:r>
      <w:r>
        <w:rPr>
          <w:rFonts w:hint="eastAsia" w:ascii="宋体" w:hAnsi="宋体" w:cs="宋体"/>
          <w:highlight w:val="none"/>
        </w:rPr>
        <w:t>。</w:t>
      </w:r>
    </w:p>
    <w:p w14:paraId="7661FC8B">
      <w:pPr>
        <w:pStyle w:val="104"/>
        <w:adjustRightInd w:val="0"/>
        <w:snapToGrid w:val="0"/>
        <w:spacing w:line="360" w:lineRule="exact"/>
        <w:ind w:firstLine="420" w:firstLineChars="200"/>
        <w:rPr>
          <w:rFonts w:ascii="宋体" w:hAnsi="宋体" w:cs="宋体"/>
          <w:highlight w:val="none"/>
        </w:rPr>
      </w:pPr>
      <w:r>
        <w:rPr>
          <w:rFonts w:hint="eastAsia" w:ascii="宋体" w:hAnsi="宋体" w:cs="宋体"/>
          <w:highlight w:val="none"/>
        </w:rPr>
        <w:t>10.6 暂列金额</w:t>
      </w:r>
    </w:p>
    <w:p w14:paraId="282245BA">
      <w:pPr>
        <w:pStyle w:val="104"/>
        <w:autoSpaceDE w:val="0"/>
        <w:autoSpaceDN w:val="0"/>
        <w:adjustRightInd w:val="0"/>
        <w:snapToGrid w:val="0"/>
        <w:spacing w:line="360" w:lineRule="exact"/>
        <w:jc w:val="left"/>
        <w:rPr>
          <w:rFonts w:ascii="宋体" w:hAnsi="宋体" w:cs="宋体"/>
          <w:kern w:val="0"/>
          <w:highlight w:val="none"/>
        </w:rPr>
      </w:pPr>
      <w:r>
        <w:rPr>
          <w:rFonts w:hint="eastAsia" w:ascii="宋体" w:hAnsi="宋体" w:cs="宋体"/>
          <w:kern w:val="0"/>
          <w:highlight w:val="none"/>
        </w:rPr>
        <w:t xml:space="preserve">    合同当事人关于暂列金额使用的约定：</w:t>
      </w:r>
      <w:r>
        <w:rPr>
          <w:rFonts w:hint="eastAsia" w:ascii="宋体" w:hAnsi="宋体" w:cs="宋体"/>
          <w:highlight w:val="none"/>
          <w:u w:val="single"/>
        </w:rPr>
        <w:t xml:space="preserve">      /        </w:t>
      </w:r>
      <w:r>
        <w:rPr>
          <w:rFonts w:hint="eastAsia" w:ascii="宋体" w:hAnsi="宋体" w:cs="宋体"/>
          <w:kern w:val="0"/>
          <w:highlight w:val="none"/>
        </w:rPr>
        <w:t>。</w:t>
      </w:r>
    </w:p>
    <w:p w14:paraId="45D9B355">
      <w:pPr>
        <w:pStyle w:val="127"/>
        <w:adjustRightInd w:val="0"/>
        <w:snapToGrid w:val="0"/>
        <w:spacing w:before="0" w:after="0" w:line="360" w:lineRule="exact"/>
        <w:ind w:firstLine="420"/>
        <w:jc w:val="center"/>
        <w:rPr>
          <w:rFonts w:ascii="宋体" w:hAnsi="宋体" w:eastAsia="宋体" w:cs="宋体"/>
          <w:b/>
          <w:bCs/>
          <w:color w:val="auto"/>
          <w:sz w:val="24"/>
          <w:highlight w:val="none"/>
        </w:rPr>
      </w:pPr>
      <w:r>
        <w:rPr>
          <w:rFonts w:hint="eastAsia" w:ascii="宋体" w:hAnsi="宋体" w:eastAsia="宋体" w:cs="宋体"/>
          <w:b/>
          <w:bCs/>
          <w:color w:val="auto"/>
          <w:sz w:val="24"/>
          <w:highlight w:val="none"/>
        </w:rPr>
        <w:t>11. 价格调整</w:t>
      </w:r>
    </w:p>
    <w:p w14:paraId="4BC197A6">
      <w:pPr>
        <w:pStyle w:val="104"/>
        <w:adjustRightInd w:val="0"/>
        <w:snapToGrid w:val="0"/>
        <w:spacing w:line="360" w:lineRule="exact"/>
        <w:ind w:firstLine="420" w:firstLineChars="200"/>
        <w:rPr>
          <w:rFonts w:ascii="宋体" w:hAnsi="宋体" w:cs="宋体"/>
          <w:highlight w:val="none"/>
        </w:rPr>
      </w:pPr>
      <w:r>
        <w:rPr>
          <w:rFonts w:hint="eastAsia" w:ascii="宋体" w:hAnsi="宋体" w:cs="宋体"/>
          <w:highlight w:val="none"/>
        </w:rPr>
        <w:t>11.1 市场价格波动引起的调整</w:t>
      </w:r>
    </w:p>
    <w:p w14:paraId="5CE397FD">
      <w:pPr>
        <w:pStyle w:val="104"/>
        <w:adjustRightInd w:val="0"/>
        <w:snapToGrid w:val="0"/>
        <w:spacing w:line="360" w:lineRule="exact"/>
        <w:ind w:firstLine="420" w:firstLineChars="200"/>
        <w:jc w:val="left"/>
        <w:rPr>
          <w:rFonts w:ascii="宋体" w:hAnsi="宋体" w:cs="宋体"/>
          <w:highlight w:val="none"/>
        </w:rPr>
      </w:pPr>
      <w:r>
        <w:rPr>
          <w:rFonts w:hint="eastAsia" w:ascii="宋体" w:hAnsi="宋体" w:cs="宋体"/>
          <w:kern w:val="0"/>
          <w:highlight w:val="none"/>
        </w:rPr>
        <w:t>市场价格波动是否调整合同价格的约定：</w:t>
      </w:r>
      <w:r>
        <w:rPr>
          <w:rFonts w:hint="eastAsia" w:ascii="宋体" w:hAnsi="宋体" w:cs="宋体"/>
          <w:highlight w:val="none"/>
          <w:u w:val="single"/>
        </w:rPr>
        <w:t xml:space="preserve">     </w:t>
      </w:r>
      <w:r>
        <w:rPr>
          <w:rFonts w:hint="eastAsia" w:ascii="宋体" w:hAnsi="宋体" w:cs="宋体"/>
          <w:b/>
          <w:bCs/>
          <w:highlight w:val="none"/>
          <w:u w:val="single"/>
        </w:rPr>
        <w:t>否</w:t>
      </w:r>
      <w:r>
        <w:rPr>
          <w:rFonts w:hint="eastAsia" w:ascii="宋体" w:hAnsi="宋体" w:cs="宋体"/>
          <w:highlight w:val="none"/>
          <w:u w:val="single"/>
        </w:rPr>
        <w:t xml:space="preserve">      </w:t>
      </w:r>
      <w:r>
        <w:rPr>
          <w:rFonts w:hint="eastAsia" w:ascii="宋体" w:hAnsi="宋体" w:cs="宋体"/>
          <w:highlight w:val="none"/>
        </w:rPr>
        <w:t>。</w:t>
      </w:r>
    </w:p>
    <w:p w14:paraId="224AB933">
      <w:pPr>
        <w:pStyle w:val="104"/>
        <w:adjustRightInd w:val="0"/>
        <w:snapToGrid w:val="0"/>
        <w:spacing w:line="360" w:lineRule="exact"/>
        <w:ind w:firstLine="420" w:firstLineChars="200"/>
        <w:jc w:val="left"/>
        <w:rPr>
          <w:rFonts w:ascii="宋体" w:hAnsi="宋体" w:cs="宋体"/>
          <w:highlight w:val="none"/>
        </w:rPr>
      </w:pPr>
      <w:r>
        <w:rPr>
          <w:rFonts w:hint="eastAsia" w:ascii="宋体" w:hAnsi="宋体" w:cs="宋体"/>
          <w:highlight w:val="none"/>
        </w:rPr>
        <w:t>因市场价格波动调整合同价格，采用以下第</w:t>
      </w:r>
      <w:r>
        <w:rPr>
          <w:rFonts w:hint="eastAsia" w:ascii="宋体" w:hAnsi="宋体" w:cs="宋体"/>
          <w:highlight w:val="none"/>
          <w:u w:val="single"/>
        </w:rPr>
        <w:t xml:space="preserve">  /   </w:t>
      </w:r>
      <w:r>
        <w:rPr>
          <w:rFonts w:hint="eastAsia" w:ascii="宋体" w:hAnsi="宋体" w:cs="宋体"/>
          <w:highlight w:val="none"/>
        </w:rPr>
        <w:t>种方式对合同价格进行调整：</w:t>
      </w:r>
    </w:p>
    <w:p w14:paraId="27AFAFC6">
      <w:pPr>
        <w:pStyle w:val="104"/>
        <w:adjustRightInd w:val="0"/>
        <w:snapToGrid w:val="0"/>
        <w:spacing w:line="360" w:lineRule="exact"/>
        <w:ind w:firstLine="420" w:firstLineChars="200"/>
        <w:jc w:val="left"/>
        <w:rPr>
          <w:rFonts w:ascii="宋体" w:hAnsi="宋体" w:cs="宋体"/>
          <w:highlight w:val="none"/>
        </w:rPr>
      </w:pPr>
      <w:r>
        <w:rPr>
          <w:rFonts w:hint="eastAsia" w:ascii="宋体" w:hAnsi="宋体" w:cs="宋体"/>
          <w:highlight w:val="none"/>
        </w:rPr>
        <w:t>第1种方式：采用价格指数进行价格调整。</w:t>
      </w:r>
    </w:p>
    <w:p w14:paraId="19F6F508">
      <w:pPr>
        <w:pStyle w:val="104"/>
        <w:adjustRightInd w:val="0"/>
        <w:snapToGrid w:val="0"/>
        <w:spacing w:line="360" w:lineRule="exact"/>
        <w:ind w:firstLine="420" w:firstLineChars="200"/>
        <w:jc w:val="left"/>
        <w:rPr>
          <w:rFonts w:ascii="宋体" w:hAnsi="宋体" w:cs="宋体"/>
          <w:highlight w:val="none"/>
          <w:u w:val="single"/>
        </w:rPr>
      </w:pPr>
      <w:r>
        <w:rPr>
          <w:rFonts w:hint="eastAsia" w:ascii="宋体" w:hAnsi="宋体" w:cs="宋体"/>
          <w:highlight w:val="none"/>
        </w:rPr>
        <w:t>关于各可调因子、定值和变值权重，以及基本价格指数及其来源的约定：</w:t>
      </w:r>
      <w:r>
        <w:rPr>
          <w:rFonts w:hint="eastAsia" w:ascii="宋体" w:hAnsi="宋体" w:cs="宋体"/>
          <w:highlight w:val="none"/>
          <w:u w:val="single"/>
        </w:rPr>
        <w:t xml:space="preserve">  /   </w:t>
      </w:r>
      <w:r>
        <w:rPr>
          <w:rFonts w:hint="eastAsia" w:ascii="宋体" w:hAnsi="宋体" w:cs="宋体"/>
          <w:highlight w:val="none"/>
        </w:rPr>
        <w:t xml:space="preserve">；  </w:t>
      </w:r>
    </w:p>
    <w:p w14:paraId="3222ECEE">
      <w:pPr>
        <w:pStyle w:val="104"/>
        <w:adjustRightInd w:val="0"/>
        <w:snapToGrid w:val="0"/>
        <w:spacing w:line="360" w:lineRule="exact"/>
        <w:ind w:firstLine="420" w:firstLineChars="200"/>
        <w:jc w:val="left"/>
        <w:rPr>
          <w:rFonts w:ascii="宋体" w:hAnsi="宋体" w:cs="宋体"/>
          <w:highlight w:val="none"/>
        </w:rPr>
      </w:pPr>
      <w:r>
        <w:rPr>
          <w:rFonts w:hint="eastAsia" w:ascii="宋体" w:hAnsi="宋体" w:cs="宋体"/>
          <w:highlight w:val="none"/>
        </w:rPr>
        <w:t>第2种方式：采用造价信息进行价格调整。</w:t>
      </w:r>
    </w:p>
    <w:p w14:paraId="00E822B5">
      <w:pPr>
        <w:pStyle w:val="104"/>
        <w:adjustRightInd w:val="0"/>
        <w:snapToGrid w:val="0"/>
        <w:spacing w:line="360" w:lineRule="exact"/>
        <w:ind w:firstLine="420" w:firstLineChars="200"/>
        <w:jc w:val="left"/>
        <w:rPr>
          <w:rFonts w:ascii="宋体" w:hAnsi="宋体" w:cs="宋体"/>
          <w:highlight w:val="none"/>
        </w:rPr>
      </w:pPr>
      <w:r>
        <w:rPr>
          <w:rFonts w:hint="eastAsia" w:ascii="宋体" w:hAnsi="宋体" w:cs="宋体"/>
          <w:highlight w:val="none"/>
        </w:rPr>
        <w:t>（2）关于基准价格的约定：</w:t>
      </w:r>
      <w:r>
        <w:rPr>
          <w:rFonts w:hint="eastAsia" w:ascii="宋体" w:hAnsi="宋体" w:cs="宋体"/>
          <w:b/>
          <w:bCs/>
          <w:highlight w:val="none"/>
          <w:u w:val="single"/>
        </w:rPr>
        <w:t xml:space="preserve"> /</w:t>
      </w:r>
      <w:r>
        <w:rPr>
          <w:rFonts w:hint="eastAsia" w:ascii="宋体" w:hAnsi="宋体" w:cs="宋体"/>
          <w:highlight w:val="none"/>
          <w:u w:val="single"/>
        </w:rPr>
        <w:t xml:space="preserve"> </w:t>
      </w:r>
      <w:r>
        <w:rPr>
          <w:rFonts w:hint="eastAsia" w:ascii="宋体" w:hAnsi="宋体" w:cs="宋体"/>
          <w:highlight w:val="none"/>
        </w:rPr>
        <w:t>。</w:t>
      </w:r>
    </w:p>
    <w:p w14:paraId="64882EBA">
      <w:pPr>
        <w:pStyle w:val="104"/>
        <w:adjustRightInd w:val="0"/>
        <w:snapToGrid w:val="0"/>
        <w:spacing w:line="360" w:lineRule="exact"/>
        <w:ind w:firstLine="420" w:firstLineChars="200"/>
        <w:jc w:val="left"/>
        <w:rPr>
          <w:rFonts w:ascii="宋体" w:hAnsi="宋体" w:cs="宋体"/>
          <w:highlight w:val="none"/>
        </w:rPr>
      </w:pPr>
      <w:r>
        <w:rPr>
          <w:rFonts w:hint="eastAsia" w:ascii="宋体" w:hAnsi="宋体" w:cs="宋体"/>
          <w:highlight w:val="none"/>
        </w:rPr>
        <w:t>专用合同条款①承包人在已标价工程量清单或预算书中载明的材料单价低于基准价格的：专用合同条款合同履行期间材料单价涨幅以基准价格为基础超过</w:t>
      </w:r>
      <w:r>
        <w:rPr>
          <w:rFonts w:hint="eastAsia" w:ascii="宋体" w:hAnsi="宋体" w:cs="宋体"/>
          <w:highlight w:val="none"/>
          <w:u w:val="single"/>
        </w:rPr>
        <w:t xml:space="preserve">  /  </w:t>
      </w:r>
      <w:r>
        <w:rPr>
          <w:rFonts w:hint="eastAsia" w:ascii="宋体" w:hAnsi="宋体" w:cs="宋体"/>
          <w:highlight w:val="none"/>
        </w:rPr>
        <w:t>%时，或材料单价跌幅以已标价工程量清单或预算书中载明材料单价为基础超过</w:t>
      </w:r>
      <w:r>
        <w:rPr>
          <w:rFonts w:hint="eastAsia" w:ascii="宋体" w:hAnsi="宋体" w:cs="宋体"/>
          <w:highlight w:val="none"/>
          <w:u w:val="single"/>
        </w:rPr>
        <w:t xml:space="preserve">  / </w:t>
      </w:r>
      <w:r>
        <w:rPr>
          <w:rFonts w:hint="eastAsia" w:ascii="宋体" w:hAnsi="宋体" w:cs="宋体"/>
          <w:highlight w:val="none"/>
        </w:rPr>
        <w:t>%时，其超过部分据实调整。</w:t>
      </w:r>
    </w:p>
    <w:p w14:paraId="57757F85">
      <w:pPr>
        <w:pStyle w:val="104"/>
        <w:adjustRightInd w:val="0"/>
        <w:snapToGrid w:val="0"/>
        <w:spacing w:line="360" w:lineRule="exact"/>
        <w:ind w:firstLine="420" w:firstLineChars="200"/>
        <w:jc w:val="left"/>
        <w:rPr>
          <w:rFonts w:ascii="宋体" w:hAnsi="宋体" w:cs="宋体"/>
          <w:highlight w:val="none"/>
        </w:rPr>
      </w:pPr>
      <w:r>
        <w:rPr>
          <w:rFonts w:hint="eastAsia" w:ascii="宋体" w:hAnsi="宋体" w:cs="宋体"/>
          <w:highlight w:val="none"/>
        </w:rPr>
        <w:t>②承包人在已标价工程量清单或预算书中载明的材料单价高于基准价格的：专用合同条款合同履行期间材料单价跌幅以基准价格为基础超过</w:t>
      </w:r>
      <w:r>
        <w:rPr>
          <w:rFonts w:hint="eastAsia" w:ascii="宋体" w:hAnsi="宋体" w:cs="宋体"/>
          <w:highlight w:val="none"/>
          <w:u w:val="single"/>
        </w:rPr>
        <w:t xml:space="preserve">  /  </w:t>
      </w:r>
      <w:r>
        <w:rPr>
          <w:rFonts w:hint="eastAsia" w:ascii="宋体" w:hAnsi="宋体" w:cs="宋体"/>
          <w:highlight w:val="none"/>
        </w:rPr>
        <w:t>%时，材料单价涨幅以已标价工程量清单或预算书中载明材料单价为基础超过</w:t>
      </w:r>
      <w:r>
        <w:rPr>
          <w:rFonts w:hint="eastAsia" w:ascii="宋体" w:hAnsi="宋体" w:cs="宋体"/>
          <w:highlight w:val="none"/>
          <w:u w:val="single"/>
        </w:rPr>
        <w:t xml:space="preserve">  /  </w:t>
      </w:r>
      <w:r>
        <w:rPr>
          <w:rFonts w:hint="eastAsia" w:ascii="宋体" w:hAnsi="宋体" w:cs="宋体"/>
          <w:highlight w:val="none"/>
        </w:rPr>
        <w:t>%时，其超过部分据实调整。</w:t>
      </w:r>
    </w:p>
    <w:p w14:paraId="51A9F079">
      <w:pPr>
        <w:pStyle w:val="104"/>
        <w:adjustRightInd w:val="0"/>
        <w:snapToGrid w:val="0"/>
        <w:spacing w:line="360" w:lineRule="exact"/>
        <w:ind w:firstLine="420" w:firstLineChars="200"/>
        <w:jc w:val="left"/>
        <w:rPr>
          <w:rFonts w:ascii="宋体" w:hAnsi="宋体" w:cs="宋体"/>
          <w:highlight w:val="none"/>
        </w:rPr>
      </w:pPr>
      <w:r>
        <w:rPr>
          <w:rFonts w:hint="eastAsia" w:ascii="宋体" w:hAnsi="宋体" w:cs="宋体"/>
          <w:highlight w:val="none"/>
        </w:rPr>
        <w:t>③承包人在已标价工程量清单或预算书中载明的材料单价等于基准单价的：专用合同条款合同履行期间材料单价涨跌幅以基准单价为基础超过±</w:t>
      </w:r>
      <w:r>
        <w:rPr>
          <w:rFonts w:hint="eastAsia" w:ascii="宋体" w:hAnsi="宋体" w:cs="宋体"/>
          <w:highlight w:val="none"/>
          <w:u w:val="single"/>
        </w:rPr>
        <w:t xml:space="preserve">  / </w:t>
      </w:r>
      <w:r>
        <w:rPr>
          <w:rFonts w:hint="eastAsia" w:ascii="宋体" w:hAnsi="宋体" w:cs="宋体"/>
          <w:highlight w:val="none"/>
        </w:rPr>
        <w:t>%时，其超过部分据实调整。</w:t>
      </w:r>
    </w:p>
    <w:p w14:paraId="7F7B4604">
      <w:pPr>
        <w:pStyle w:val="104"/>
        <w:adjustRightInd w:val="0"/>
        <w:snapToGrid w:val="0"/>
        <w:spacing w:line="360" w:lineRule="exact"/>
        <w:ind w:firstLine="420" w:firstLineChars="200"/>
        <w:jc w:val="left"/>
        <w:rPr>
          <w:rFonts w:ascii="宋体" w:hAnsi="宋体" w:cs="宋体"/>
          <w:highlight w:val="none"/>
        </w:rPr>
      </w:pPr>
      <w:r>
        <w:rPr>
          <w:rFonts w:hint="eastAsia" w:ascii="宋体" w:hAnsi="宋体" w:cs="宋体"/>
          <w:highlight w:val="none"/>
        </w:rPr>
        <w:t>第3种方式：其他价格调整方式：</w:t>
      </w:r>
      <w:r>
        <w:rPr>
          <w:rFonts w:hint="eastAsia" w:ascii="宋体" w:hAnsi="宋体" w:cs="宋体"/>
          <w:highlight w:val="none"/>
          <w:u w:val="single"/>
        </w:rPr>
        <w:t xml:space="preserve">      /         </w:t>
      </w:r>
      <w:r>
        <w:rPr>
          <w:rFonts w:hint="eastAsia" w:ascii="宋体" w:hAnsi="宋体" w:cs="宋体"/>
          <w:highlight w:val="none"/>
        </w:rPr>
        <w:t>。</w:t>
      </w:r>
    </w:p>
    <w:p w14:paraId="373A1585">
      <w:pPr>
        <w:pStyle w:val="127"/>
        <w:adjustRightInd w:val="0"/>
        <w:snapToGrid w:val="0"/>
        <w:spacing w:before="0" w:after="0" w:line="360" w:lineRule="exact"/>
        <w:ind w:firstLine="420"/>
        <w:jc w:val="center"/>
        <w:rPr>
          <w:rFonts w:ascii="宋体" w:hAnsi="宋体" w:eastAsia="宋体" w:cs="宋体"/>
          <w:b/>
          <w:bCs/>
          <w:color w:val="auto"/>
          <w:sz w:val="24"/>
          <w:highlight w:val="none"/>
        </w:rPr>
      </w:pPr>
      <w:r>
        <w:rPr>
          <w:rFonts w:hint="eastAsia" w:ascii="宋体" w:hAnsi="宋体" w:eastAsia="宋体" w:cs="宋体"/>
          <w:b/>
          <w:bCs/>
          <w:color w:val="auto"/>
          <w:sz w:val="24"/>
          <w:highlight w:val="none"/>
        </w:rPr>
        <w:t>12. 合同价格、计量与支付</w:t>
      </w:r>
    </w:p>
    <w:p w14:paraId="4A5851C7">
      <w:pPr>
        <w:pStyle w:val="104"/>
        <w:adjustRightInd w:val="0"/>
        <w:snapToGrid w:val="0"/>
        <w:spacing w:line="360" w:lineRule="exact"/>
        <w:ind w:firstLine="420" w:firstLineChars="200"/>
        <w:rPr>
          <w:rFonts w:ascii="宋体" w:hAnsi="宋体" w:cs="宋体"/>
          <w:highlight w:val="none"/>
        </w:rPr>
      </w:pPr>
      <w:r>
        <w:rPr>
          <w:rFonts w:hint="eastAsia" w:ascii="宋体" w:hAnsi="宋体" w:cs="宋体"/>
          <w:highlight w:val="none"/>
        </w:rPr>
        <w:t>12.1 合同价格形式</w:t>
      </w:r>
    </w:p>
    <w:p w14:paraId="39461D8E">
      <w:pPr>
        <w:pStyle w:val="104"/>
        <w:adjustRightInd w:val="0"/>
        <w:snapToGrid w:val="0"/>
        <w:spacing w:line="360" w:lineRule="exact"/>
        <w:ind w:firstLine="420" w:firstLineChars="200"/>
        <w:jc w:val="left"/>
        <w:rPr>
          <w:rFonts w:ascii="宋体" w:hAnsi="宋体" w:cs="宋体"/>
          <w:highlight w:val="none"/>
        </w:rPr>
      </w:pPr>
      <w:r>
        <w:rPr>
          <w:rFonts w:hint="eastAsia" w:ascii="宋体" w:hAnsi="宋体" w:cs="宋体"/>
          <w:highlight w:val="none"/>
        </w:rPr>
        <w:t>1、单价合同。</w:t>
      </w:r>
    </w:p>
    <w:p w14:paraId="51E89764">
      <w:pPr>
        <w:pStyle w:val="104"/>
        <w:adjustRightInd w:val="0"/>
        <w:snapToGrid w:val="0"/>
        <w:spacing w:line="360" w:lineRule="exact"/>
        <w:ind w:firstLine="422"/>
        <w:jc w:val="left"/>
        <w:rPr>
          <w:rFonts w:ascii="宋体" w:hAnsi="宋体" w:cs="宋体"/>
          <w:highlight w:val="none"/>
        </w:rPr>
      </w:pPr>
      <w:r>
        <w:rPr>
          <w:rFonts w:hint="eastAsia" w:ascii="宋体" w:hAnsi="宋体" w:cs="宋体"/>
          <w:highlight w:val="none"/>
        </w:rPr>
        <w:t>综合单价包含的风险范围：</w:t>
      </w:r>
    </w:p>
    <w:p w14:paraId="6304CA1E">
      <w:pPr>
        <w:spacing w:line="360" w:lineRule="exact"/>
        <w:ind w:firstLine="420" w:firstLineChars="200"/>
        <w:rPr>
          <w:bCs/>
          <w:sz w:val="21"/>
          <w:szCs w:val="21"/>
          <w:highlight w:val="none"/>
        </w:rPr>
      </w:pPr>
      <w:r>
        <w:rPr>
          <w:rFonts w:hint="eastAsia"/>
          <w:bCs/>
          <w:sz w:val="21"/>
          <w:szCs w:val="21"/>
          <w:highlight w:val="none"/>
        </w:rPr>
        <w:t>（1）</w:t>
      </w:r>
      <w:r>
        <w:rPr>
          <w:rFonts w:hint="eastAsia"/>
          <w:bCs/>
          <w:sz w:val="21"/>
          <w:szCs w:val="21"/>
          <w:highlight w:val="none"/>
          <w:u w:val="single"/>
        </w:rPr>
        <w:t>应由承包人承担的工、料、机在投标编制期或预算书编制期与合同实施期间所发生的市场价格波动</w:t>
      </w:r>
      <w:r>
        <w:rPr>
          <w:rFonts w:hint="eastAsia"/>
          <w:bCs/>
          <w:sz w:val="21"/>
          <w:szCs w:val="21"/>
          <w:highlight w:val="none"/>
        </w:rPr>
        <w:t>。</w:t>
      </w:r>
    </w:p>
    <w:p w14:paraId="49CAC53A">
      <w:pPr>
        <w:pStyle w:val="104"/>
        <w:adjustRightInd w:val="0"/>
        <w:snapToGrid w:val="0"/>
        <w:spacing w:line="360" w:lineRule="exact"/>
        <w:ind w:firstLine="422"/>
        <w:jc w:val="left"/>
        <w:rPr>
          <w:rFonts w:ascii="宋体" w:hAnsi="宋体" w:cs="宋体"/>
          <w:b/>
          <w:bCs/>
          <w:i/>
          <w:iCs/>
          <w:highlight w:val="none"/>
        </w:rPr>
      </w:pPr>
      <w:r>
        <w:rPr>
          <w:rFonts w:hint="eastAsia" w:ascii="宋体" w:hAnsi="宋体" w:cs="宋体"/>
          <w:bCs/>
          <w:szCs w:val="21"/>
          <w:highlight w:val="none"/>
        </w:rPr>
        <w:t>（2）其他：</w:t>
      </w:r>
      <w:r>
        <w:rPr>
          <w:rFonts w:hint="eastAsia" w:ascii="宋体" w:hAnsi="宋体" w:cs="宋体"/>
          <w:b/>
          <w:bCs/>
          <w:highlight w:val="none"/>
          <w:u w:val="single"/>
        </w:rPr>
        <w:t>a、分部分项工程量清单和施工技术措施项目清单与计价表中已列项目的综合单价；b、所有磋商文件或工程量清单明示要求报价的内容而承包人未予报价的；c、承包人对工程现场环境以及发包人提供的磋商文件、图纸等资料做出错误的推论、理解而导致的报价失误；d、磋商文件约定的工程量清单数量误差引起的综合单价成本差异；e、施工组织措施项目清单与计价表实行固定总价包干，不得因设计图纸变化、工程量增减、施工方案变更等任何因素而调整费用；f、规费、税金、农民工工伤保险费、总承包服务费为费率包干；g、清单描述中有按图集或规范施工的，综合单价必须满足规范和图集</w:t>
      </w:r>
      <w:r>
        <w:rPr>
          <w:rFonts w:hint="eastAsia"/>
          <w:b/>
          <w:bCs/>
          <w:highlight w:val="none"/>
          <w:u w:val="single"/>
        </w:rPr>
        <w:t>要求</w:t>
      </w:r>
      <w:r>
        <w:rPr>
          <w:rFonts w:hint="eastAsia" w:ascii="宋体" w:hAnsi="宋体" w:cs="宋体"/>
          <w:b/>
          <w:bCs/>
          <w:highlight w:val="none"/>
          <w:u w:val="single"/>
        </w:rPr>
        <w:t>，综合单价不作调整；h、所有磋商文件或工程量清单明示要求报价包干或费率包干的内容</w:t>
      </w:r>
      <w:r>
        <w:rPr>
          <w:rFonts w:hint="eastAsia" w:ascii="宋体" w:hAnsi="宋体" w:cs="宋体"/>
          <w:b/>
          <w:bCs/>
          <w:kern w:val="0"/>
          <w:highlight w:val="none"/>
          <w:u w:val="single"/>
          <w:shd w:val="clear" w:color="auto" w:fill="FFFFFF"/>
        </w:rPr>
        <w:t>。除政府出台价格调整政策且审计单位认为适用情况外，价格不作调整。</w:t>
      </w:r>
    </w:p>
    <w:p w14:paraId="02FD243B">
      <w:pPr>
        <w:pStyle w:val="104"/>
        <w:adjustRightInd w:val="0"/>
        <w:snapToGrid w:val="0"/>
        <w:spacing w:line="360" w:lineRule="exact"/>
        <w:ind w:firstLine="422"/>
        <w:jc w:val="left"/>
        <w:rPr>
          <w:rFonts w:ascii="宋体" w:hAnsi="宋体" w:cs="宋体"/>
          <w:b/>
          <w:bCs/>
          <w:highlight w:val="none"/>
          <w:u w:val="single"/>
        </w:rPr>
      </w:pPr>
      <w:r>
        <w:rPr>
          <w:rFonts w:hint="eastAsia" w:ascii="宋体" w:hAnsi="宋体" w:cs="宋体"/>
          <w:highlight w:val="none"/>
        </w:rPr>
        <w:t>风险费用计算方法：</w:t>
      </w:r>
      <w:r>
        <w:rPr>
          <w:rFonts w:hint="eastAsia" w:ascii="宋体" w:hAnsi="宋体" w:cs="宋体"/>
          <w:b/>
          <w:bCs/>
          <w:highlight w:val="none"/>
          <w:u w:val="single"/>
        </w:rPr>
        <w:t>以上风险费用在投标报价时考虑，不再另行计取。</w:t>
      </w:r>
    </w:p>
    <w:p w14:paraId="44639CF6">
      <w:pPr>
        <w:pStyle w:val="104"/>
        <w:adjustRightInd w:val="0"/>
        <w:snapToGrid w:val="0"/>
        <w:spacing w:line="360" w:lineRule="exact"/>
        <w:ind w:firstLine="420" w:firstLineChars="200"/>
        <w:rPr>
          <w:rFonts w:ascii="宋体" w:hAnsi="宋体" w:cs="宋体"/>
          <w:highlight w:val="none"/>
        </w:rPr>
      </w:pPr>
      <w:r>
        <w:rPr>
          <w:rFonts w:hint="eastAsia" w:ascii="宋体" w:hAnsi="宋体" w:cs="宋体"/>
          <w:highlight w:val="none"/>
        </w:rPr>
        <w:t>风险范围以外合同价格的调整方法：</w:t>
      </w:r>
    </w:p>
    <w:p w14:paraId="3C8965AF">
      <w:pPr>
        <w:pStyle w:val="104"/>
        <w:autoSpaceDE w:val="0"/>
        <w:autoSpaceDN w:val="0"/>
        <w:adjustRightInd w:val="0"/>
        <w:snapToGrid w:val="0"/>
        <w:spacing w:line="360" w:lineRule="exact"/>
        <w:ind w:firstLine="420" w:firstLineChars="200"/>
        <w:jc w:val="left"/>
        <w:rPr>
          <w:rFonts w:ascii="宋体" w:hAnsi="宋体" w:cs="宋体"/>
          <w:b/>
          <w:bCs/>
          <w:highlight w:val="none"/>
          <w:u w:val="single"/>
        </w:rPr>
      </w:pPr>
      <w:r>
        <w:rPr>
          <w:rFonts w:hint="eastAsia" w:ascii="宋体" w:hAnsi="宋体" w:cs="宋体"/>
          <w:bCs/>
          <w:szCs w:val="21"/>
          <w:highlight w:val="none"/>
        </w:rPr>
        <w:t>其他：</w:t>
      </w:r>
      <w:r>
        <w:rPr>
          <w:rFonts w:hint="eastAsia" w:ascii="宋体" w:hAnsi="宋体" w:cs="宋体"/>
          <w:b/>
          <w:bCs/>
          <w:highlight w:val="none"/>
          <w:u w:val="single"/>
        </w:rPr>
        <w:t>a、在竣工结算时工程量按实计算；设计变更、施工联系单签证等发生的费用，结算综合单价直接套用相应或相似的投标响应单价。如无法套用时，无投标价的材料单价按同期信息价，无信息价按市场价计取，各项取费与投标同口径。b、不可抗力因素造成的损失由双方各自行承担。但属于应该预见、预防、承包方没有及时预防或预防不力造成的损失，由承包方承担。</w:t>
      </w:r>
    </w:p>
    <w:p w14:paraId="7E0EACA8">
      <w:pPr>
        <w:pStyle w:val="104"/>
        <w:adjustRightInd w:val="0"/>
        <w:snapToGrid w:val="0"/>
        <w:spacing w:line="360" w:lineRule="exact"/>
        <w:ind w:firstLine="420" w:firstLineChars="200"/>
        <w:jc w:val="left"/>
        <w:rPr>
          <w:rFonts w:ascii="宋体" w:hAnsi="宋体" w:cs="宋体"/>
          <w:highlight w:val="none"/>
        </w:rPr>
      </w:pPr>
      <w:r>
        <w:rPr>
          <w:rFonts w:hint="eastAsia" w:ascii="宋体" w:hAnsi="宋体" w:cs="宋体"/>
          <w:highlight w:val="none"/>
        </w:rPr>
        <w:t>2、总价合同。</w:t>
      </w:r>
    </w:p>
    <w:p w14:paraId="1402B12E">
      <w:pPr>
        <w:pStyle w:val="104"/>
        <w:adjustRightInd w:val="0"/>
        <w:snapToGrid w:val="0"/>
        <w:spacing w:line="360" w:lineRule="exact"/>
        <w:jc w:val="left"/>
        <w:rPr>
          <w:rFonts w:ascii="宋体" w:hAnsi="宋体" w:cs="宋体"/>
          <w:highlight w:val="none"/>
        </w:rPr>
      </w:pPr>
      <w:r>
        <w:rPr>
          <w:rFonts w:hint="eastAsia" w:ascii="宋体" w:hAnsi="宋体" w:cs="宋体"/>
          <w:highlight w:val="none"/>
        </w:rPr>
        <w:t xml:space="preserve">    总价包含的风险范围：</w:t>
      </w:r>
      <w:r>
        <w:rPr>
          <w:rFonts w:hint="eastAsia" w:ascii="宋体" w:hAnsi="宋体" w:cs="宋体"/>
          <w:highlight w:val="none"/>
          <w:u w:val="single"/>
        </w:rPr>
        <w:t xml:space="preserve">      /        </w:t>
      </w:r>
      <w:r>
        <w:rPr>
          <w:rFonts w:hint="eastAsia" w:ascii="宋体" w:hAnsi="宋体" w:cs="宋体"/>
          <w:highlight w:val="none"/>
        </w:rPr>
        <w:t>。</w:t>
      </w:r>
    </w:p>
    <w:p w14:paraId="4653E6D6">
      <w:pPr>
        <w:pStyle w:val="104"/>
        <w:adjustRightInd w:val="0"/>
        <w:snapToGrid w:val="0"/>
        <w:spacing w:line="360" w:lineRule="exact"/>
        <w:jc w:val="left"/>
        <w:rPr>
          <w:rFonts w:ascii="宋体" w:hAnsi="宋体" w:cs="宋体"/>
          <w:highlight w:val="none"/>
        </w:rPr>
      </w:pPr>
      <w:r>
        <w:rPr>
          <w:rFonts w:hint="eastAsia" w:ascii="宋体" w:hAnsi="宋体" w:cs="宋体"/>
          <w:highlight w:val="none"/>
        </w:rPr>
        <w:t xml:space="preserve">    风险费用的计算方法：</w:t>
      </w:r>
      <w:r>
        <w:rPr>
          <w:rFonts w:hint="eastAsia" w:ascii="宋体" w:hAnsi="宋体" w:cs="宋体"/>
          <w:highlight w:val="none"/>
          <w:u w:val="single"/>
        </w:rPr>
        <w:t xml:space="preserve">      /        </w:t>
      </w:r>
      <w:r>
        <w:rPr>
          <w:rFonts w:hint="eastAsia" w:ascii="宋体" w:hAnsi="宋体" w:cs="宋体"/>
          <w:highlight w:val="none"/>
        </w:rPr>
        <w:t>。</w:t>
      </w:r>
    </w:p>
    <w:p w14:paraId="1BCB7144">
      <w:pPr>
        <w:pStyle w:val="104"/>
        <w:adjustRightInd w:val="0"/>
        <w:snapToGrid w:val="0"/>
        <w:spacing w:line="360" w:lineRule="exact"/>
        <w:jc w:val="left"/>
        <w:rPr>
          <w:rFonts w:ascii="宋体" w:hAnsi="宋体" w:cs="宋体"/>
          <w:highlight w:val="none"/>
        </w:rPr>
      </w:pPr>
      <w:r>
        <w:rPr>
          <w:rFonts w:hint="eastAsia" w:ascii="宋体" w:hAnsi="宋体" w:cs="宋体"/>
          <w:highlight w:val="none"/>
        </w:rPr>
        <w:t xml:space="preserve">    风险范围以外合同价格的调整方法：</w:t>
      </w:r>
      <w:r>
        <w:rPr>
          <w:rFonts w:hint="eastAsia" w:ascii="宋体" w:hAnsi="宋体" w:cs="宋体"/>
          <w:highlight w:val="none"/>
          <w:u w:val="single"/>
        </w:rPr>
        <w:t xml:space="preserve">      /         </w:t>
      </w:r>
      <w:r>
        <w:rPr>
          <w:rFonts w:hint="eastAsia" w:ascii="宋体" w:hAnsi="宋体" w:cs="宋体"/>
          <w:highlight w:val="none"/>
        </w:rPr>
        <w:t>。</w:t>
      </w:r>
    </w:p>
    <w:p w14:paraId="66C50927">
      <w:pPr>
        <w:pStyle w:val="104"/>
        <w:adjustRightInd w:val="0"/>
        <w:snapToGrid w:val="0"/>
        <w:spacing w:line="360" w:lineRule="exact"/>
        <w:jc w:val="left"/>
        <w:rPr>
          <w:rFonts w:ascii="宋体" w:hAnsi="宋体" w:cs="宋体"/>
          <w:highlight w:val="none"/>
        </w:rPr>
      </w:pPr>
      <w:r>
        <w:rPr>
          <w:rFonts w:hint="eastAsia" w:ascii="宋体" w:hAnsi="宋体" w:cs="宋体"/>
          <w:highlight w:val="none"/>
        </w:rPr>
        <w:t xml:space="preserve">    3、其他价格方式：</w:t>
      </w:r>
      <w:r>
        <w:rPr>
          <w:rFonts w:hint="eastAsia" w:ascii="宋体" w:hAnsi="宋体" w:cs="宋体"/>
          <w:highlight w:val="none"/>
          <w:u w:val="single"/>
        </w:rPr>
        <w:t xml:space="preserve">        /          </w:t>
      </w:r>
      <w:r>
        <w:rPr>
          <w:rFonts w:hint="eastAsia" w:ascii="宋体" w:hAnsi="宋体" w:cs="宋体"/>
          <w:highlight w:val="none"/>
        </w:rPr>
        <w:t>。</w:t>
      </w:r>
    </w:p>
    <w:p w14:paraId="2FFD1A00">
      <w:pPr>
        <w:pStyle w:val="104"/>
        <w:adjustRightInd w:val="0"/>
        <w:snapToGrid w:val="0"/>
        <w:spacing w:line="360" w:lineRule="exact"/>
        <w:ind w:firstLine="420" w:firstLineChars="200"/>
        <w:rPr>
          <w:rFonts w:ascii="宋体" w:hAnsi="宋体" w:cs="宋体"/>
          <w:highlight w:val="none"/>
        </w:rPr>
      </w:pPr>
      <w:r>
        <w:rPr>
          <w:rFonts w:hint="eastAsia" w:ascii="宋体" w:hAnsi="宋体" w:cs="宋体"/>
          <w:highlight w:val="none"/>
        </w:rPr>
        <w:t>12.2 预付款</w:t>
      </w:r>
    </w:p>
    <w:p w14:paraId="1BDB3D01">
      <w:pPr>
        <w:pStyle w:val="104"/>
        <w:adjustRightInd w:val="0"/>
        <w:snapToGrid w:val="0"/>
        <w:spacing w:line="360" w:lineRule="exact"/>
        <w:ind w:firstLine="420" w:firstLineChars="200"/>
        <w:jc w:val="left"/>
        <w:rPr>
          <w:rFonts w:ascii="宋体" w:hAnsi="宋体" w:cs="宋体"/>
          <w:highlight w:val="none"/>
        </w:rPr>
      </w:pPr>
      <w:r>
        <w:rPr>
          <w:rFonts w:hint="eastAsia" w:ascii="宋体" w:hAnsi="宋体" w:cs="宋体"/>
          <w:highlight w:val="none"/>
        </w:rPr>
        <w:t>12.2.1 预付款的支付</w:t>
      </w:r>
    </w:p>
    <w:p w14:paraId="44C02262">
      <w:pPr>
        <w:pStyle w:val="104"/>
        <w:adjustRightInd w:val="0"/>
        <w:snapToGrid w:val="0"/>
        <w:spacing w:line="360" w:lineRule="exact"/>
        <w:ind w:firstLine="420" w:firstLineChars="200"/>
        <w:jc w:val="left"/>
        <w:rPr>
          <w:rFonts w:ascii="宋体" w:hAnsi="宋体" w:cs="宋体"/>
          <w:highlight w:val="none"/>
        </w:rPr>
      </w:pPr>
      <w:r>
        <w:rPr>
          <w:rFonts w:hint="eastAsia" w:ascii="宋体" w:hAnsi="宋体" w:cs="宋体"/>
          <w:highlight w:val="none"/>
        </w:rPr>
        <w:t>预付款支付比例或金额：</w:t>
      </w:r>
      <w:r>
        <w:rPr>
          <w:rFonts w:hint="eastAsia" w:ascii="宋体" w:hAnsi="宋体" w:cs="宋体"/>
          <w:highlight w:val="none"/>
          <w:u w:val="single"/>
        </w:rPr>
        <w:t xml:space="preserve"> </w:t>
      </w:r>
      <w:r>
        <w:rPr>
          <w:rFonts w:hint="eastAsia" w:ascii="宋体" w:hAnsi="宋体" w:cs="宋体"/>
          <w:b/>
          <w:bCs/>
          <w:highlight w:val="none"/>
          <w:u w:val="single"/>
        </w:rPr>
        <w:t xml:space="preserve">合同总价的40% </w:t>
      </w:r>
      <w:r>
        <w:rPr>
          <w:rFonts w:hint="eastAsia" w:ascii="宋体" w:hAnsi="宋体" w:cs="宋体"/>
          <w:highlight w:val="none"/>
          <w:u w:val="single"/>
        </w:rPr>
        <w:t xml:space="preserve"> </w:t>
      </w:r>
      <w:r>
        <w:rPr>
          <w:rFonts w:hint="eastAsia" w:ascii="宋体" w:hAnsi="宋体" w:cs="宋体"/>
          <w:highlight w:val="none"/>
        </w:rPr>
        <w:t>。</w:t>
      </w:r>
    </w:p>
    <w:p w14:paraId="19F3ED55">
      <w:pPr>
        <w:spacing w:line="360" w:lineRule="exact"/>
        <w:ind w:firstLine="420" w:firstLineChars="200"/>
        <w:rPr>
          <w:sz w:val="21"/>
          <w:highlight w:val="none"/>
        </w:rPr>
      </w:pPr>
      <w:r>
        <w:rPr>
          <w:rFonts w:hint="eastAsia"/>
          <w:sz w:val="21"/>
          <w:highlight w:val="none"/>
        </w:rPr>
        <w:t>工资预付款支付比例或金额：</w:t>
      </w:r>
      <w:r>
        <w:rPr>
          <w:rFonts w:hint="eastAsia"/>
          <w:highlight w:val="none"/>
          <w:u w:val="single"/>
        </w:rPr>
        <w:t xml:space="preserve">        /          </w:t>
      </w:r>
      <w:r>
        <w:rPr>
          <w:rFonts w:hint="eastAsia"/>
          <w:highlight w:val="none"/>
        </w:rPr>
        <w:t>。</w:t>
      </w:r>
    </w:p>
    <w:p w14:paraId="3DE4A6A7">
      <w:pPr>
        <w:pStyle w:val="104"/>
        <w:adjustRightInd w:val="0"/>
        <w:snapToGrid w:val="0"/>
        <w:spacing w:line="360" w:lineRule="exact"/>
        <w:ind w:firstLine="420" w:firstLineChars="200"/>
        <w:jc w:val="left"/>
        <w:rPr>
          <w:rFonts w:ascii="宋体" w:hAnsi="宋体" w:cs="宋体"/>
          <w:highlight w:val="none"/>
        </w:rPr>
      </w:pPr>
      <w:r>
        <w:rPr>
          <w:rFonts w:hint="eastAsia" w:ascii="宋体" w:hAnsi="宋体" w:cs="宋体"/>
          <w:highlight w:val="none"/>
        </w:rPr>
        <w:t>预付款支付期限：</w:t>
      </w:r>
      <w:r>
        <w:rPr>
          <w:rFonts w:hint="eastAsia" w:ascii="宋体" w:hAnsi="宋体" w:cs="宋体"/>
          <w:b/>
          <w:bCs/>
          <w:highlight w:val="none"/>
          <w:u w:val="single"/>
        </w:rPr>
        <w:t xml:space="preserve"> 承包人递交履约保证金、合同签订后，满足进场施工条件，经发包人代表确认后7个工作日内向承包人支付工程预付款；后期转为工程款（逾期未递交履约保证金及发票等付款凭证，视为承包人放弃工程预付款）</w:t>
      </w:r>
      <w:r>
        <w:rPr>
          <w:rFonts w:hint="eastAsia" w:ascii="宋体" w:hAnsi="宋体" w:cs="宋体"/>
          <w:highlight w:val="none"/>
        </w:rPr>
        <w:t>。</w:t>
      </w:r>
    </w:p>
    <w:p w14:paraId="07DA272B">
      <w:pPr>
        <w:pStyle w:val="104"/>
        <w:adjustRightInd w:val="0"/>
        <w:snapToGrid w:val="0"/>
        <w:spacing w:line="360" w:lineRule="exact"/>
        <w:ind w:firstLine="420" w:firstLineChars="200"/>
        <w:jc w:val="left"/>
        <w:rPr>
          <w:rFonts w:ascii="宋体" w:hAnsi="宋体" w:cs="宋体"/>
          <w:highlight w:val="none"/>
        </w:rPr>
      </w:pPr>
      <w:r>
        <w:rPr>
          <w:rFonts w:hint="eastAsia" w:ascii="宋体" w:hAnsi="宋体" w:cs="宋体"/>
          <w:highlight w:val="none"/>
        </w:rPr>
        <w:t>预付款扣回的方式：</w:t>
      </w:r>
      <w:r>
        <w:rPr>
          <w:rFonts w:hint="eastAsia" w:ascii="宋体" w:hAnsi="宋体" w:cs="宋体"/>
          <w:highlight w:val="none"/>
          <w:u w:val="single"/>
        </w:rPr>
        <w:t xml:space="preserve">   不扣回    </w:t>
      </w:r>
      <w:r>
        <w:rPr>
          <w:rFonts w:hint="eastAsia" w:ascii="宋体" w:hAnsi="宋体" w:cs="宋体"/>
          <w:highlight w:val="none"/>
        </w:rPr>
        <w:t>。</w:t>
      </w:r>
    </w:p>
    <w:p w14:paraId="571D4F92">
      <w:pPr>
        <w:pStyle w:val="104"/>
        <w:adjustRightInd w:val="0"/>
        <w:snapToGrid w:val="0"/>
        <w:spacing w:line="360" w:lineRule="exact"/>
        <w:ind w:firstLine="420" w:firstLineChars="200"/>
        <w:rPr>
          <w:rFonts w:ascii="宋体" w:hAnsi="宋体" w:cs="宋体"/>
          <w:highlight w:val="none"/>
        </w:rPr>
      </w:pPr>
      <w:r>
        <w:rPr>
          <w:rFonts w:hint="eastAsia" w:ascii="宋体" w:hAnsi="宋体" w:cs="宋体"/>
          <w:highlight w:val="none"/>
        </w:rPr>
        <w:t>12.3 计量</w:t>
      </w:r>
    </w:p>
    <w:p w14:paraId="1A8281A9">
      <w:pPr>
        <w:pStyle w:val="104"/>
        <w:adjustRightInd w:val="0"/>
        <w:snapToGrid w:val="0"/>
        <w:spacing w:line="360" w:lineRule="exact"/>
        <w:ind w:firstLine="420" w:firstLineChars="200"/>
        <w:jc w:val="left"/>
        <w:rPr>
          <w:rFonts w:ascii="宋体" w:hAnsi="宋体" w:cs="宋体"/>
          <w:highlight w:val="none"/>
        </w:rPr>
      </w:pPr>
      <w:r>
        <w:rPr>
          <w:rFonts w:hint="eastAsia" w:ascii="宋体" w:hAnsi="宋体" w:cs="宋体"/>
          <w:highlight w:val="none"/>
        </w:rPr>
        <w:t>12.3.1 计量原则</w:t>
      </w:r>
    </w:p>
    <w:p w14:paraId="1BB50045">
      <w:pPr>
        <w:pStyle w:val="104"/>
        <w:adjustRightInd w:val="0"/>
        <w:snapToGrid w:val="0"/>
        <w:spacing w:line="360" w:lineRule="exact"/>
        <w:ind w:firstLine="420" w:firstLineChars="200"/>
        <w:jc w:val="left"/>
        <w:rPr>
          <w:rFonts w:ascii="宋体" w:hAnsi="宋体" w:cs="宋体"/>
          <w:highlight w:val="none"/>
        </w:rPr>
      </w:pPr>
      <w:r>
        <w:rPr>
          <w:rFonts w:hint="eastAsia" w:ascii="宋体" w:hAnsi="宋体" w:cs="宋体"/>
          <w:highlight w:val="none"/>
        </w:rPr>
        <w:t>工程量计算规则：</w:t>
      </w:r>
    </w:p>
    <w:p w14:paraId="09D822AC">
      <w:pPr>
        <w:spacing w:line="360" w:lineRule="exact"/>
        <w:ind w:firstLine="480" w:firstLineChars="200"/>
        <w:rPr>
          <w:bCs/>
          <w:szCs w:val="32"/>
          <w:highlight w:val="none"/>
          <w:u w:val="single"/>
        </w:rPr>
      </w:pPr>
      <w:r>
        <w:rPr>
          <w:rFonts w:hint="eastAsia"/>
          <w:bCs/>
          <w:szCs w:val="32"/>
          <w:highlight w:val="none"/>
        </w:rPr>
        <w:t>（1）</w:t>
      </w:r>
      <w:r>
        <w:rPr>
          <w:rFonts w:hint="eastAsia"/>
          <w:bCs/>
          <w:szCs w:val="32"/>
          <w:highlight w:val="none"/>
          <w:u w:val="single"/>
        </w:rPr>
        <w:t>实行工程量清单计价的工程项目，其工程量的计算规则应按国家标准工程量计算规范及省级行业主管部门颁布的补充规定执行。</w:t>
      </w:r>
    </w:p>
    <w:p w14:paraId="43B6DE86">
      <w:pPr>
        <w:spacing w:line="360" w:lineRule="exact"/>
        <w:ind w:firstLine="480" w:firstLineChars="200"/>
        <w:rPr>
          <w:bCs/>
          <w:szCs w:val="32"/>
          <w:highlight w:val="none"/>
          <w:u w:val="single"/>
        </w:rPr>
      </w:pPr>
      <w:r>
        <w:rPr>
          <w:rFonts w:hint="eastAsia"/>
          <w:bCs/>
          <w:szCs w:val="32"/>
          <w:highlight w:val="none"/>
        </w:rPr>
        <w:t>（2）</w:t>
      </w:r>
      <w:r>
        <w:rPr>
          <w:rFonts w:hint="eastAsia"/>
          <w:bCs/>
          <w:szCs w:val="32"/>
          <w:highlight w:val="none"/>
          <w:u w:val="single"/>
        </w:rPr>
        <w:t>不实行工程量清单计价的工程项目，工程量的计算规则应按省、市行业主管部门颁布的各专业工程定额的工程量计算规则执行。</w:t>
      </w:r>
    </w:p>
    <w:p w14:paraId="5983A3CE">
      <w:pPr>
        <w:pStyle w:val="104"/>
        <w:adjustRightInd w:val="0"/>
        <w:snapToGrid w:val="0"/>
        <w:spacing w:line="360" w:lineRule="exact"/>
        <w:ind w:firstLine="420" w:firstLineChars="200"/>
        <w:jc w:val="left"/>
        <w:rPr>
          <w:rFonts w:ascii="宋体" w:hAnsi="宋体" w:cs="宋体"/>
          <w:highlight w:val="none"/>
        </w:rPr>
      </w:pPr>
      <w:r>
        <w:rPr>
          <w:rFonts w:hint="eastAsia" w:ascii="宋体" w:hAnsi="宋体" w:cs="宋体"/>
          <w:highlight w:val="none"/>
        </w:rPr>
        <w:t>12.3.2 计量周期</w:t>
      </w:r>
    </w:p>
    <w:p w14:paraId="2A2FE99C">
      <w:pPr>
        <w:pStyle w:val="104"/>
        <w:adjustRightInd w:val="0"/>
        <w:snapToGrid w:val="0"/>
        <w:spacing w:line="360" w:lineRule="exact"/>
        <w:ind w:firstLine="420" w:firstLineChars="200"/>
        <w:jc w:val="left"/>
        <w:rPr>
          <w:rFonts w:ascii="宋体" w:hAnsi="宋体" w:cs="宋体"/>
          <w:highlight w:val="none"/>
        </w:rPr>
      </w:pPr>
      <w:r>
        <w:rPr>
          <w:rFonts w:hint="eastAsia" w:ascii="宋体" w:hAnsi="宋体" w:cs="宋体"/>
          <w:highlight w:val="none"/>
        </w:rPr>
        <w:t>关于计量周期的约定：</w:t>
      </w:r>
      <w:r>
        <w:rPr>
          <w:rFonts w:hint="eastAsia" w:ascii="宋体" w:hAnsi="宋体" w:cs="宋体"/>
          <w:highlight w:val="none"/>
          <w:u w:val="single"/>
        </w:rPr>
        <w:t xml:space="preserve">  </w:t>
      </w:r>
      <w:r>
        <w:rPr>
          <w:rFonts w:hint="eastAsia" w:ascii="宋体" w:hAnsi="宋体" w:cs="宋体"/>
          <w:b/>
          <w:bCs/>
          <w:highlight w:val="none"/>
          <w:u w:val="single"/>
        </w:rPr>
        <w:t>/</w:t>
      </w:r>
      <w:r>
        <w:rPr>
          <w:rFonts w:hint="eastAsia" w:ascii="宋体" w:hAnsi="宋体" w:cs="宋体"/>
          <w:highlight w:val="none"/>
          <w:u w:val="single"/>
        </w:rPr>
        <w:t xml:space="preserve">   </w:t>
      </w:r>
      <w:r>
        <w:rPr>
          <w:rFonts w:hint="eastAsia" w:ascii="宋体" w:hAnsi="宋体" w:cs="宋体"/>
          <w:highlight w:val="none"/>
        </w:rPr>
        <w:t>。</w:t>
      </w:r>
    </w:p>
    <w:p w14:paraId="0B21BC00">
      <w:pPr>
        <w:pStyle w:val="104"/>
        <w:adjustRightInd w:val="0"/>
        <w:snapToGrid w:val="0"/>
        <w:spacing w:line="360" w:lineRule="exact"/>
        <w:ind w:firstLine="420" w:firstLineChars="200"/>
        <w:jc w:val="left"/>
        <w:rPr>
          <w:rFonts w:ascii="宋体" w:hAnsi="宋体" w:cs="宋体"/>
          <w:highlight w:val="none"/>
        </w:rPr>
      </w:pPr>
      <w:r>
        <w:rPr>
          <w:rFonts w:hint="eastAsia" w:ascii="宋体" w:hAnsi="宋体" w:cs="宋体"/>
          <w:highlight w:val="none"/>
        </w:rPr>
        <w:t>12.3.3 单价合同的计量</w:t>
      </w:r>
    </w:p>
    <w:p w14:paraId="2835F390">
      <w:pPr>
        <w:pStyle w:val="104"/>
        <w:adjustRightInd w:val="0"/>
        <w:snapToGrid w:val="0"/>
        <w:spacing w:line="360" w:lineRule="exact"/>
        <w:ind w:firstLine="420" w:firstLineChars="200"/>
        <w:jc w:val="left"/>
        <w:rPr>
          <w:rFonts w:ascii="宋体" w:hAnsi="宋体" w:cs="宋体"/>
          <w:b/>
          <w:bCs/>
          <w:highlight w:val="none"/>
          <w:u w:val="single"/>
        </w:rPr>
      </w:pPr>
      <w:r>
        <w:rPr>
          <w:rFonts w:hint="eastAsia" w:ascii="宋体" w:hAnsi="宋体" w:cs="宋体"/>
          <w:highlight w:val="none"/>
        </w:rPr>
        <w:t>关于单价合同计量的约定：</w:t>
      </w:r>
      <w:r>
        <w:rPr>
          <w:rFonts w:hint="eastAsia" w:ascii="宋体" w:hAnsi="宋体" w:cs="宋体"/>
          <w:b/>
          <w:bCs/>
          <w:highlight w:val="none"/>
          <w:u w:val="single"/>
        </w:rPr>
        <w:t xml:space="preserve">  /  </w:t>
      </w:r>
      <w:r>
        <w:rPr>
          <w:rFonts w:hint="eastAsia" w:ascii="宋体" w:hAnsi="宋体" w:cs="宋体"/>
          <w:b/>
          <w:bCs/>
          <w:highlight w:val="none"/>
        </w:rPr>
        <w:t>。</w:t>
      </w:r>
    </w:p>
    <w:p w14:paraId="38CDB18E">
      <w:pPr>
        <w:spacing w:line="360" w:lineRule="exact"/>
        <w:ind w:firstLine="420" w:firstLineChars="200"/>
        <w:rPr>
          <w:sz w:val="21"/>
          <w:highlight w:val="none"/>
        </w:rPr>
      </w:pPr>
      <w:r>
        <w:rPr>
          <w:rFonts w:hint="eastAsia"/>
          <w:sz w:val="21"/>
          <w:highlight w:val="none"/>
        </w:rPr>
        <w:t>工资性工程款比例约定：</w:t>
      </w:r>
      <w:r>
        <w:rPr>
          <w:rFonts w:hint="eastAsia"/>
          <w:highlight w:val="none"/>
          <w:u w:val="single"/>
        </w:rPr>
        <w:t xml:space="preserve">        /          </w:t>
      </w:r>
      <w:r>
        <w:rPr>
          <w:rFonts w:hint="eastAsia"/>
          <w:highlight w:val="none"/>
        </w:rPr>
        <w:t>。</w:t>
      </w:r>
    </w:p>
    <w:p w14:paraId="4621710C">
      <w:pPr>
        <w:pStyle w:val="104"/>
        <w:adjustRightInd w:val="0"/>
        <w:snapToGrid w:val="0"/>
        <w:spacing w:line="360" w:lineRule="exact"/>
        <w:ind w:firstLine="420" w:firstLineChars="200"/>
        <w:jc w:val="left"/>
        <w:rPr>
          <w:rFonts w:ascii="宋体" w:hAnsi="宋体" w:cs="宋体"/>
          <w:highlight w:val="none"/>
        </w:rPr>
      </w:pPr>
      <w:r>
        <w:rPr>
          <w:rFonts w:hint="eastAsia" w:ascii="宋体" w:hAnsi="宋体" w:cs="宋体"/>
          <w:highlight w:val="none"/>
        </w:rPr>
        <w:t>12.3.4 总价合同的计量</w:t>
      </w:r>
    </w:p>
    <w:p w14:paraId="0BFAB8BF">
      <w:pPr>
        <w:pStyle w:val="104"/>
        <w:adjustRightInd w:val="0"/>
        <w:snapToGrid w:val="0"/>
        <w:spacing w:line="360" w:lineRule="exact"/>
        <w:ind w:firstLine="420" w:firstLineChars="200"/>
        <w:jc w:val="left"/>
        <w:rPr>
          <w:rFonts w:ascii="宋体" w:hAnsi="宋体" w:cs="宋体"/>
          <w:highlight w:val="none"/>
        </w:rPr>
      </w:pPr>
      <w:r>
        <w:rPr>
          <w:rFonts w:hint="eastAsia" w:ascii="宋体" w:hAnsi="宋体" w:cs="宋体"/>
          <w:highlight w:val="none"/>
        </w:rPr>
        <w:t>关于总价合同计量的约定：</w:t>
      </w:r>
      <w:r>
        <w:rPr>
          <w:rFonts w:hint="eastAsia" w:ascii="宋体" w:hAnsi="宋体" w:cs="宋体"/>
          <w:highlight w:val="none"/>
          <w:u w:val="single"/>
        </w:rPr>
        <w:t>/</w:t>
      </w:r>
      <w:r>
        <w:rPr>
          <w:rFonts w:hint="eastAsia" w:ascii="宋体" w:hAnsi="宋体" w:cs="宋体"/>
          <w:highlight w:val="none"/>
        </w:rPr>
        <w:t>。</w:t>
      </w:r>
    </w:p>
    <w:p w14:paraId="2C8E33A1">
      <w:pPr>
        <w:spacing w:line="360" w:lineRule="exact"/>
        <w:ind w:firstLine="420" w:firstLineChars="200"/>
        <w:rPr>
          <w:sz w:val="21"/>
          <w:highlight w:val="none"/>
        </w:rPr>
      </w:pPr>
      <w:r>
        <w:rPr>
          <w:rFonts w:hint="eastAsia"/>
          <w:sz w:val="21"/>
          <w:highlight w:val="none"/>
        </w:rPr>
        <w:t>工资性工程款比例约定：</w:t>
      </w:r>
      <w:r>
        <w:rPr>
          <w:rFonts w:hint="eastAsia"/>
          <w:highlight w:val="none"/>
          <w:u w:val="single"/>
        </w:rPr>
        <w:t xml:space="preserve">        /          </w:t>
      </w:r>
      <w:r>
        <w:rPr>
          <w:rFonts w:hint="eastAsia"/>
          <w:highlight w:val="none"/>
        </w:rPr>
        <w:t>。</w:t>
      </w:r>
    </w:p>
    <w:p w14:paraId="665F82D3">
      <w:pPr>
        <w:pStyle w:val="104"/>
        <w:adjustRightInd w:val="0"/>
        <w:snapToGrid w:val="0"/>
        <w:spacing w:line="360" w:lineRule="exact"/>
        <w:ind w:firstLine="420" w:firstLineChars="200"/>
        <w:jc w:val="left"/>
        <w:rPr>
          <w:rFonts w:ascii="宋体" w:hAnsi="宋体" w:cs="宋体"/>
          <w:highlight w:val="none"/>
        </w:rPr>
      </w:pPr>
      <w:r>
        <w:rPr>
          <w:rFonts w:hint="eastAsia" w:ascii="宋体" w:hAnsi="宋体" w:cs="宋体"/>
          <w:highlight w:val="none"/>
        </w:rPr>
        <w:t>12.3.5总价合同采用支付分解表计量支付的，是否适用第</w:t>
      </w:r>
      <w:r>
        <w:rPr>
          <w:rFonts w:hint="eastAsia" w:ascii="宋体" w:hAnsi="宋体" w:cs="宋体"/>
          <w:kern w:val="0"/>
          <w:highlight w:val="none"/>
        </w:rPr>
        <w:t xml:space="preserve">12.3.4 </w:t>
      </w:r>
      <w:r>
        <w:rPr>
          <w:rFonts w:hint="eastAsia" w:ascii="宋体" w:hAnsi="宋体" w:cs="宋体"/>
          <w:highlight w:val="none"/>
        </w:rPr>
        <w:t>项</w:t>
      </w:r>
      <w:r>
        <w:rPr>
          <w:rFonts w:hint="eastAsia" w:ascii="宋体" w:hAnsi="宋体" w:cs="宋体"/>
          <w:kern w:val="0"/>
          <w:highlight w:val="none"/>
        </w:rPr>
        <w:t>〔总价合同的计量〕</w:t>
      </w:r>
      <w:r>
        <w:rPr>
          <w:rFonts w:hint="eastAsia" w:ascii="宋体" w:hAnsi="宋体" w:cs="宋体"/>
          <w:highlight w:val="none"/>
        </w:rPr>
        <w:t>约定进行计量：</w:t>
      </w:r>
      <w:r>
        <w:rPr>
          <w:rFonts w:hint="eastAsia" w:ascii="宋体" w:hAnsi="宋体" w:cs="宋体"/>
          <w:highlight w:val="none"/>
          <w:u w:val="single"/>
        </w:rPr>
        <w:t xml:space="preserve">  </w:t>
      </w:r>
      <w:r>
        <w:rPr>
          <w:rFonts w:hint="eastAsia" w:ascii="宋体" w:hAnsi="宋体" w:cs="宋体"/>
          <w:b/>
          <w:bCs/>
          <w:highlight w:val="none"/>
          <w:u w:val="single"/>
        </w:rPr>
        <w:t>/</w:t>
      </w:r>
      <w:r>
        <w:rPr>
          <w:rFonts w:hint="eastAsia" w:ascii="宋体" w:hAnsi="宋体" w:cs="宋体"/>
          <w:highlight w:val="none"/>
          <w:u w:val="single"/>
        </w:rPr>
        <w:t xml:space="preserve">   </w:t>
      </w:r>
      <w:r>
        <w:rPr>
          <w:rFonts w:hint="eastAsia" w:ascii="宋体" w:hAnsi="宋体" w:cs="宋体"/>
          <w:highlight w:val="none"/>
        </w:rPr>
        <w:t>。</w:t>
      </w:r>
    </w:p>
    <w:p w14:paraId="792AC299">
      <w:pPr>
        <w:pStyle w:val="104"/>
        <w:adjustRightInd w:val="0"/>
        <w:snapToGrid w:val="0"/>
        <w:spacing w:line="360" w:lineRule="exact"/>
        <w:ind w:firstLine="420" w:firstLineChars="200"/>
        <w:jc w:val="left"/>
        <w:rPr>
          <w:rFonts w:ascii="宋体" w:hAnsi="宋体" w:cs="宋体"/>
          <w:highlight w:val="none"/>
        </w:rPr>
      </w:pPr>
      <w:r>
        <w:rPr>
          <w:rFonts w:hint="eastAsia" w:ascii="宋体" w:hAnsi="宋体" w:cs="宋体"/>
          <w:highlight w:val="none"/>
        </w:rPr>
        <w:t>12.3.6 其他价格形式合同的计量</w:t>
      </w:r>
    </w:p>
    <w:p w14:paraId="787861A3">
      <w:pPr>
        <w:pStyle w:val="104"/>
        <w:adjustRightInd w:val="0"/>
        <w:snapToGrid w:val="0"/>
        <w:spacing w:line="360" w:lineRule="exact"/>
        <w:jc w:val="left"/>
        <w:rPr>
          <w:rFonts w:ascii="宋体" w:hAnsi="宋体" w:cs="宋体"/>
          <w:highlight w:val="none"/>
        </w:rPr>
      </w:pPr>
      <w:r>
        <w:rPr>
          <w:rFonts w:hint="eastAsia" w:ascii="宋体" w:hAnsi="宋体" w:cs="宋体"/>
          <w:highlight w:val="none"/>
        </w:rPr>
        <w:t xml:space="preserve">    其他价格形式的计量方式和程序：</w:t>
      </w:r>
      <w:r>
        <w:rPr>
          <w:rFonts w:hint="eastAsia" w:ascii="宋体" w:hAnsi="宋体" w:cs="宋体"/>
          <w:highlight w:val="none"/>
          <w:u w:val="single"/>
        </w:rPr>
        <w:t xml:space="preserve">     /        </w:t>
      </w:r>
      <w:r>
        <w:rPr>
          <w:rFonts w:hint="eastAsia" w:ascii="宋体" w:hAnsi="宋体" w:cs="宋体"/>
          <w:highlight w:val="none"/>
        </w:rPr>
        <w:t>。</w:t>
      </w:r>
    </w:p>
    <w:p w14:paraId="3D46A65F">
      <w:pPr>
        <w:pStyle w:val="104"/>
        <w:adjustRightInd w:val="0"/>
        <w:snapToGrid w:val="0"/>
        <w:spacing w:line="360" w:lineRule="exact"/>
        <w:ind w:firstLine="420" w:firstLineChars="200"/>
        <w:rPr>
          <w:rFonts w:ascii="宋体" w:hAnsi="宋体" w:cs="宋体"/>
          <w:highlight w:val="none"/>
        </w:rPr>
      </w:pPr>
      <w:r>
        <w:rPr>
          <w:rFonts w:hint="eastAsia" w:ascii="宋体" w:hAnsi="宋体" w:cs="宋体"/>
          <w:highlight w:val="none"/>
        </w:rPr>
        <w:t>12.4 工程进度款支付</w:t>
      </w:r>
    </w:p>
    <w:p w14:paraId="5A69639A">
      <w:pPr>
        <w:pStyle w:val="104"/>
        <w:adjustRightInd w:val="0"/>
        <w:snapToGrid w:val="0"/>
        <w:spacing w:line="360" w:lineRule="exact"/>
        <w:ind w:firstLine="420" w:firstLineChars="200"/>
        <w:jc w:val="left"/>
        <w:rPr>
          <w:rFonts w:ascii="宋体" w:hAnsi="宋体" w:cs="宋体"/>
          <w:b/>
          <w:bCs/>
          <w:highlight w:val="none"/>
          <w:u w:val="single"/>
        </w:rPr>
      </w:pPr>
      <w:r>
        <w:rPr>
          <w:rFonts w:hint="eastAsia" w:ascii="宋体" w:hAnsi="宋体" w:cs="宋体"/>
          <w:highlight w:val="none"/>
        </w:rPr>
        <w:t>12.4.1 付款周期</w:t>
      </w:r>
    </w:p>
    <w:p w14:paraId="181EE3AA">
      <w:pPr>
        <w:pStyle w:val="104"/>
        <w:adjustRightInd w:val="0"/>
        <w:snapToGrid w:val="0"/>
        <w:spacing w:line="360" w:lineRule="exact"/>
        <w:ind w:firstLine="422" w:firstLineChars="200"/>
        <w:jc w:val="left"/>
        <w:rPr>
          <w:rFonts w:ascii="宋体" w:hAnsi="宋体" w:cs="宋体"/>
          <w:b/>
          <w:bCs/>
          <w:highlight w:val="none"/>
          <w:u w:val="single"/>
        </w:rPr>
      </w:pPr>
      <w:r>
        <w:rPr>
          <w:rFonts w:hint="eastAsia" w:ascii="宋体" w:hAnsi="宋体" w:cs="宋体"/>
          <w:b/>
          <w:bCs/>
          <w:highlight w:val="none"/>
          <w:u w:val="single"/>
        </w:rPr>
        <w:t>（1）承包人递交履约保证金、合同签订后，满足进场施工条件，经发包人代表确认后7个工作日内向承包人支付合同总价40%的工程预付款，后期转为工程款（逾期未递交履约保证金及发票等付款凭证，视为承包人放弃工程预付款）；</w:t>
      </w:r>
    </w:p>
    <w:p w14:paraId="7410A6A1">
      <w:pPr>
        <w:pStyle w:val="104"/>
        <w:adjustRightInd w:val="0"/>
        <w:snapToGrid w:val="0"/>
        <w:spacing w:line="360" w:lineRule="exact"/>
        <w:ind w:firstLine="422" w:firstLineChars="200"/>
        <w:jc w:val="left"/>
        <w:rPr>
          <w:rFonts w:ascii="宋体" w:hAnsi="宋体" w:cs="宋体"/>
          <w:b/>
          <w:bCs/>
          <w:highlight w:val="none"/>
          <w:u w:val="single"/>
        </w:rPr>
      </w:pPr>
      <w:r>
        <w:rPr>
          <w:rFonts w:hint="eastAsia" w:ascii="宋体" w:hAnsi="宋体" w:cs="宋体"/>
          <w:b/>
          <w:bCs/>
          <w:highlight w:val="none"/>
          <w:u w:val="single"/>
        </w:rPr>
        <w:t>（2）承包人履行完全部合同约定，整体工程竣工验收合格后10个工作日内，支付至承包人合同总价款的85%，承包人向发包人账户缴纳的履约保证金自动转为质量保证金；</w:t>
      </w:r>
    </w:p>
    <w:p w14:paraId="3DD55F55">
      <w:pPr>
        <w:pStyle w:val="104"/>
        <w:adjustRightInd w:val="0"/>
        <w:snapToGrid w:val="0"/>
        <w:spacing w:line="360" w:lineRule="exact"/>
        <w:ind w:left="629" w:leftChars="174" w:hanging="211" w:hangingChars="100"/>
        <w:jc w:val="left"/>
        <w:rPr>
          <w:rFonts w:ascii="宋体" w:hAnsi="宋体" w:cs="宋体"/>
          <w:b/>
          <w:bCs/>
          <w:highlight w:val="none"/>
          <w:u w:val="single"/>
        </w:rPr>
      </w:pPr>
      <w:r>
        <w:rPr>
          <w:rFonts w:hint="eastAsia" w:ascii="宋体" w:hAnsi="宋体" w:cs="宋体"/>
          <w:b/>
          <w:bCs/>
          <w:highlight w:val="none"/>
          <w:u w:val="single"/>
        </w:rPr>
        <w:t>（3）工程造价结算审计完毕，其他相关服务按约定履行，发包人支付至审定工程总价款的100%；</w:t>
      </w:r>
    </w:p>
    <w:p w14:paraId="3DB708A2">
      <w:pPr>
        <w:pStyle w:val="104"/>
        <w:adjustRightInd w:val="0"/>
        <w:snapToGrid w:val="0"/>
        <w:spacing w:line="360" w:lineRule="exact"/>
        <w:ind w:left="629" w:leftChars="174" w:hanging="211" w:hangingChars="100"/>
        <w:jc w:val="left"/>
        <w:rPr>
          <w:rFonts w:ascii="宋体" w:hAnsi="宋体" w:cs="宋体"/>
          <w:b/>
          <w:bCs/>
          <w:highlight w:val="none"/>
          <w:u w:val="single"/>
        </w:rPr>
      </w:pPr>
      <w:r>
        <w:rPr>
          <w:rFonts w:hint="eastAsia" w:ascii="宋体" w:hAnsi="宋体" w:cs="宋体"/>
          <w:b/>
          <w:bCs/>
          <w:highlight w:val="none"/>
          <w:u w:val="single"/>
        </w:rPr>
        <w:t>（4）质保期满后若无质量问题，发包人在10个工作日内无息退还质保金。</w:t>
      </w:r>
    </w:p>
    <w:p w14:paraId="31D31701">
      <w:pPr>
        <w:pStyle w:val="127"/>
        <w:adjustRightInd w:val="0"/>
        <w:snapToGrid w:val="0"/>
        <w:spacing w:before="0" w:after="0" w:line="360" w:lineRule="exact"/>
        <w:ind w:firstLine="482" w:firstLineChars="200"/>
        <w:jc w:val="center"/>
        <w:rPr>
          <w:rFonts w:ascii="宋体" w:hAnsi="宋体" w:eastAsia="宋体" w:cs="宋体"/>
          <w:b/>
          <w:bCs/>
          <w:color w:val="auto"/>
          <w:sz w:val="24"/>
          <w:highlight w:val="none"/>
        </w:rPr>
      </w:pPr>
      <w:r>
        <w:rPr>
          <w:rFonts w:hint="eastAsia" w:ascii="宋体" w:hAnsi="宋体" w:eastAsia="宋体" w:cs="宋体"/>
          <w:b/>
          <w:bCs/>
          <w:color w:val="auto"/>
          <w:sz w:val="24"/>
          <w:highlight w:val="none"/>
        </w:rPr>
        <w:t>13. 验收和工程试车</w:t>
      </w:r>
    </w:p>
    <w:p w14:paraId="0A264746">
      <w:pPr>
        <w:pStyle w:val="104"/>
        <w:adjustRightInd w:val="0"/>
        <w:snapToGrid w:val="0"/>
        <w:spacing w:line="360" w:lineRule="exact"/>
        <w:ind w:firstLine="420" w:firstLineChars="200"/>
        <w:rPr>
          <w:rFonts w:ascii="宋体" w:hAnsi="宋体" w:cs="宋体"/>
          <w:highlight w:val="none"/>
        </w:rPr>
      </w:pPr>
      <w:r>
        <w:rPr>
          <w:rFonts w:hint="eastAsia" w:ascii="宋体" w:hAnsi="宋体" w:cs="宋体"/>
          <w:highlight w:val="none"/>
        </w:rPr>
        <w:t>13.1 分部分项工程验收</w:t>
      </w:r>
    </w:p>
    <w:p w14:paraId="79890DF6">
      <w:pPr>
        <w:pStyle w:val="104"/>
        <w:adjustRightInd w:val="0"/>
        <w:snapToGrid w:val="0"/>
        <w:spacing w:line="360" w:lineRule="exact"/>
        <w:ind w:firstLine="420" w:firstLineChars="200"/>
        <w:jc w:val="left"/>
        <w:rPr>
          <w:rFonts w:ascii="宋体" w:hAnsi="宋体" w:cs="宋体"/>
          <w:highlight w:val="none"/>
        </w:rPr>
      </w:pPr>
      <w:r>
        <w:rPr>
          <w:rFonts w:hint="eastAsia" w:ascii="宋体" w:hAnsi="宋体" w:cs="宋体"/>
          <w:highlight w:val="none"/>
        </w:rPr>
        <w:t>13.1.1监理人不能按时进行验收时，应提前</w:t>
      </w:r>
      <w:r>
        <w:rPr>
          <w:rFonts w:hint="eastAsia" w:ascii="宋体" w:hAnsi="宋体" w:cs="宋体"/>
          <w:highlight w:val="none"/>
          <w:u w:val="single"/>
        </w:rPr>
        <w:t xml:space="preserve"> </w:t>
      </w:r>
      <w:r>
        <w:rPr>
          <w:rFonts w:hint="eastAsia" w:ascii="宋体" w:hAnsi="宋体" w:cs="宋体"/>
          <w:b/>
          <w:bCs/>
          <w:highlight w:val="none"/>
          <w:u w:val="single"/>
        </w:rPr>
        <w:t>24</w:t>
      </w:r>
      <w:r>
        <w:rPr>
          <w:rFonts w:hint="eastAsia" w:ascii="宋体" w:hAnsi="宋体" w:cs="宋体"/>
          <w:highlight w:val="none"/>
          <w:u w:val="single"/>
        </w:rPr>
        <w:t xml:space="preserve"> </w:t>
      </w:r>
      <w:r>
        <w:rPr>
          <w:rFonts w:hint="eastAsia" w:ascii="宋体" w:hAnsi="宋体" w:cs="宋体"/>
          <w:highlight w:val="none"/>
        </w:rPr>
        <w:t>小时提交书面延期要求。</w:t>
      </w:r>
    </w:p>
    <w:p w14:paraId="19E985CA">
      <w:pPr>
        <w:pStyle w:val="104"/>
        <w:adjustRightInd w:val="0"/>
        <w:snapToGrid w:val="0"/>
        <w:spacing w:line="360" w:lineRule="exact"/>
        <w:ind w:firstLine="420" w:firstLineChars="200"/>
        <w:jc w:val="left"/>
        <w:rPr>
          <w:rFonts w:ascii="宋体" w:hAnsi="宋体" w:cs="宋体"/>
          <w:b/>
          <w:bCs/>
          <w:highlight w:val="none"/>
        </w:rPr>
      </w:pPr>
      <w:r>
        <w:rPr>
          <w:rFonts w:hint="eastAsia" w:ascii="宋体" w:hAnsi="宋体" w:cs="宋体"/>
          <w:highlight w:val="none"/>
        </w:rPr>
        <w:t>关于延期最长不得超过：</w:t>
      </w:r>
      <w:r>
        <w:rPr>
          <w:rFonts w:hint="eastAsia" w:ascii="宋体" w:hAnsi="宋体" w:cs="宋体"/>
          <w:highlight w:val="none"/>
          <w:u w:val="single"/>
        </w:rPr>
        <w:t xml:space="preserve"> </w:t>
      </w:r>
      <w:r>
        <w:rPr>
          <w:rFonts w:hint="eastAsia" w:ascii="宋体" w:hAnsi="宋体" w:cs="宋体"/>
          <w:b/>
          <w:bCs/>
          <w:highlight w:val="none"/>
          <w:u w:val="single"/>
        </w:rPr>
        <w:t xml:space="preserve">48 </w:t>
      </w:r>
      <w:r>
        <w:rPr>
          <w:rFonts w:hint="eastAsia" w:ascii="宋体" w:hAnsi="宋体" w:cs="宋体"/>
          <w:highlight w:val="none"/>
        </w:rPr>
        <w:t>小时。</w:t>
      </w:r>
    </w:p>
    <w:p w14:paraId="2EBE4DC2">
      <w:pPr>
        <w:pStyle w:val="104"/>
        <w:adjustRightInd w:val="0"/>
        <w:snapToGrid w:val="0"/>
        <w:spacing w:line="360" w:lineRule="exact"/>
        <w:ind w:firstLine="420" w:firstLineChars="200"/>
        <w:rPr>
          <w:rFonts w:ascii="宋体" w:hAnsi="宋体" w:cs="宋体"/>
          <w:highlight w:val="none"/>
        </w:rPr>
      </w:pPr>
      <w:r>
        <w:rPr>
          <w:rFonts w:hint="eastAsia" w:ascii="宋体" w:hAnsi="宋体" w:cs="宋体"/>
          <w:highlight w:val="none"/>
        </w:rPr>
        <w:t>13.2 竣工验收</w:t>
      </w:r>
    </w:p>
    <w:p w14:paraId="55B9C7DE">
      <w:pPr>
        <w:pStyle w:val="104"/>
        <w:adjustRightInd w:val="0"/>
        <w:snapToGrid w:val="0"/>
        <w:spacing w:line="360" w:lineRule="exact"/>
        <w:ind w:firstLine="420" w:firstLineChars="200"/>
        <w:jc w:val="left"/>
        <w:rPr>
          <w:rFonts w:ascii="宋体" w:hAnsi="宋体" w:cs="宋体"/>
          <w:highlight w:val="none"/>
        </w:rPr>
      </w:pPr>
      <w:r>
        <w:rPr>
          <w:rFonts w:hint="eastAsia" w:ascii="宋体" w:hAnsi="宋体" w:cs="宋体"/>
          <w:highlight w:val="none"/>
        </w:rPr>
        <w:t>13.2.1竣工验收程序</w:t>
      </w:r>
    </w:p>
    <w:p w14:paraId="533578EC">
      <w:pPr>
        <w:pStyle w:val="104"/>
        <w:adjustRightInd w:val="0"/>
        <w:snapToGrid w:val="0"/>
        <w:spacing w:line="360" w:lineRule="exact"/>
        <w:ind w:left="4200" w:hanging="4200" w:hangingChars="2000"/>
        <w:jc w:val="left"/>
        <w:rPr>
          <w:rFonts w:ascii="宋体" w:hAnsi="宋体" w:cs="宋体"/>
          <w:highlight w:val="none"/>
        </w:rPr>
      </w:pPr>
      <w:r>
        <w:rPr>
          <w:rFonts w:hint="eastAsia" w:ascii="宋体" w:hAnsi="宋体" w:cs="宋体"/>
          <w:kern w:val="0"/>
          <w:highlight w:val="none"/>
        </w:rPr>
        <w:t xml:space="preserve">    关于竣工验收程序的约定：</w:t>
      </w:r>
      <w:r>
        <w:rPr>
          <w:rFonts w:hint="eastAsia" w:ascii="宋体" w:hAnsi="宋体" w:cs="宋体"/>
          <w:highlight w:val="none"/>
          <w:u w:val="single"/>
        </w:rPr>
        <w:t xml:space="preserve"> </w:t>
      </w:r>
      <w:r>
        <w:rPr>
          <w:rFonts w:hint="eastAsia" w:ascii="宋体" w:hAnsi="宋体" w:cs="宋体"/>
          <w:b/>
          <w:bCs/>
          <w:highlight w:val="none"/>
          <w:u w:val="single"/>
        </w:rPr>
        <w:t>合同内容完成后由承包人提交书面申请，发包人组织验收。</w:t>
      </w:r>
    </w:p>
    <w:p w14:paraId="456CD771">
      <w:pPr>
        <w:pStyle w:val="104"/>
        <w:adjustRightInd w:val="0"/>
        <w:snapToGrid w:val="0"/>
        <w:spacing w:line="360" w:lineRule="exact"/>
        <w:ind w:firstLine="420" w:firstLineChars="200"/>
        <w:jc w:val="left"/>
        <w:rPr>
          <w:rFonts w:ascii="宋体" w:hAnsi="宋体" w:cs="宋体"/>
          <w:b/>
          <w:bCs/>
          <w:highlight w:val="none"/>
          <w:u w:val="single"/>
        </w:rPr>
      </w:pPr>
      <w:r>
        <w:rPr>
          <w:rFonts w:hint="eastAsia" w:ascii="宋体" w:hAnsi="宋体" w:cs="宋体"/>
          <w:kern w:val="0"/>
          <w:highlight w:val="none"/>
        </w:rPr>
        <w:t>发包人不按照本项约定组织竣工验收、颁发工程接收证书的违约金的计算方法：</w:t>
      </w:r>
      <w:r>
        <w:rPr>
          <w:rFonts w:hint="eastAsia" w:ascii="宋体" w:hAnsi="宋体" w:cs="宋体"/>
          <w:b/>
          <w:bCs/>
          <w:highlight w:val="none"/>
          <w:u w:val="single"/>
        </w:rPr>
        <w:t>/</w:t>
      </w:r>
      <w:r>
        <w:rPr>
          <w:rFonts w:hint="eastAsia" w:ascii="宋体" w:hAnsi="宋体" w:cs="宋体"/>
          <w:b/>
          <w:bCs/>
          <w:highlight w:val="none"/>
        </w:rPr>
        <w:t>。</w:t>
      </w:r>
    </w:p>
    <w:p w14:paraId="7B91DE7E">
      <w:pPr>
        <w:pStyle w:val="104"/>
        <w:adjustRightInd w:val="0"/>
        <w:snapToGrid w:val="0"/>
        <w:spacing w:line="360" w:lineRule="exact"/>
        <w:ind w:firstLine="420" w:firstLineChars="200"/>
        <w:jc w:val="left"/>
        <w:rPr>
          <w:rFonts w:ascii="宋体" w:hAnsi="宋体" w:cs="宋体"/>
          <w:highlight w:val="none"/>
        </w:rPr>
      </w:pPr>
      <w:r>
        <w:rPr>
          <w:rFonts w:hint="eastAsia" w:ascii="宋体" w:hAnsi="宋体" w:cs="宋体"/>
          <w:highlight w:val="none"/>
        </w:rPr>
        <w:t>13.2.2移交、接收全部与部分工程</w:t>
      </w:r>
    </w:p>
    <w:p w14:paraId="26117CD0">
      <w:pPr>
        <w:pStyle w:val="104"/>
        <w:autoSpaceDE w:val="0"/>
        <w:autoSpaceDN w:val="0"/>
        <w:adjustRightInd w:val="0"/>
        <w:snapToGrid w:val="0"/>
        <w:spacing w:line="360" w:lineRule="exact"/>
        <w:ind w:firstLine="420" w:firstLineChars="200"/>
        <w:jc w:val="left"/>
        <w:rPr>
          <w:rFonts w:ascii="宋体" w:hAnsi="宋体" w:cs="宋体"/>
          <w:b/>
          <w:bCs/>
          <w:highlight w:val="none"/>
          <w:u w:val="single"/>
        </w:rPr>
      </w:pPr>
      <w:r>
        <w:rPr>
          <w:rFonts w:hint="eastAsia" w:ascii="宋体" w:hAnsi="宋体" w:cs="宋体"/>
          <w:kern w:val="0"/>
          <w:highlight w:val="none"/>
        </w:rPr>
        <w:t>承包人向发包人移交工程的期限：</w:t>
      </w:r>
      <w:r>
        <w:rPr>
          <w:rFonts w:hint="eastAsia" w:ascii="宋体" w:hAnsi="宋体" w:cs="宋体"/>
          <w:b/>
          <w:bCs/>
          <w:highlight w:val="none"/>
          <w:u w:val="single"/>
        </w:rPr>
        <w:t>竣工验收合格后7天内完成工程的移交。</w:t>
      </w:r>
    </w:p>
    <w:p w14:paraId="07EE06EA">
      <w:pPr>
        <w:pStyle w:val="104"/>
        <w:autoSpaceDE w:val="0"/>
        <w:autoSpaceDN w:val="0"/>
        <w:adjustRightInd w:val="0"/>
        <w:snapToGrid w:val="0"/>
        <w:spacing w:line="360" w:lineRule="exact"/>
        <w:ind w:firstLine="420" w:firstLineChars="200"/>
        <w:jc w:val="left"/>
        <w:rPr>
          <w:rFonts w:ascii="宋体" w:hAnsi="宋体" w:cs="宋体"/>
          <w:kern w:val="0"/>
          <w:highlight w:val="none"/>
          <w:u w:val="single"/>
        </w:rPr>
      </w:pPr>
      <w:r>
        <w:rPr>
          <w:rFonts w:hint="eastAsia" w:ascii="宋体" w:hAnsi="宋体" w:cs="宋体"/>
          <w:kern w:val="0"/>
          <w:highlight w:val="none"/>
        </w:rPr>
        <w:t>发包人未按本合同约定接收全部或部分工程的，违约金的计算方法为：</w:t>
      </w:r>
      <w:r>
        <w:rPr>
          <w:rFonts w:hint="eastAsia" w:ascii="宋体" w:hAnsi="宋体" w:cs="宋体"/>
          <w:b/>
          <w:bCs/>
          <w:highlight w:val="none"/>
          <w:u w:val="single"/>
        </w:rPr>
        <w:t>/</w:t>
      </w:r>
      <w:r>
        <w:rPr>
          <w:rFonts w:hint="eastAsia" w:ascii="宋体" w:hAnsi="宋体" w:cs="宋体"/>
          <w:b/>
          <w:bCs/>
          <w:highlight w:val="none"/>
        </w:rPr>
        <w:t>。</w:t>
      </w:r>
    </w:p>
    <w:p w14:paraId="518C0032">
      <w:pPr>
        <w:pStyle w:val="104"/>
        <w:adjustRightInd w:val="0"/>
        <w:snapToGrid w:val="0"/>
        <w:spacing w:line="360" w:lineRule="exact"/>
        <w:jc w:val="left"/>
        <w:rPr>
          <w:rFonts w:ascii="宋体" w:hAnsi="宋体" w:cs="宋体"/>
          <w:b/>
          <w:bCs/>
          <w:highlight w:val="none"/>
          <w:u w:val="single"/>
        </w:rPr>
      </w:pPr>
      <w:r>
        <w:rPr>
          <w:rFonts w:hint="eastAsia" w:ascii="宋体" w:hAnsi="宋体" w:cs="宋体"/>
          <w:highlight w:val="none"/>
        </w:rPr>
        <w:t xml:space="preserve">    承包人未按时移交工程的，违约金的计算方法为：</w:t>
      </w:r>
      <w:r>
        <w:rPr>
          <w:rFonts w:hint="eastAsia" w:ascii="宋体" w:hAnsi="宋体" w:cs="宋体"/>
          <w:b/>
          <w:bCs/>
          <w:highlight w:val="none"/>
          <w:u w:val="single"/>
        </w:rPr>
        <w:t xml:space="preserve">承担违约责任，每延期一天按合同总价的万分之五向发包人支付违约金，在工程结算审定款中扣除。  </w:t>
      </w:r>
    </w:p>
    <w:p w14:paraId="02F0590E">
      <w:pPr>
        <w:pStyle w:val="104"/>
        <w:adjustRightInd w:val="0"/>
        <w:snapToGrid w:val="0"/>
        <w:spacing w:line="360" w:lineRule="exact"/>
        <w:ind w:firstLine="420" w:firstLineChars="200"/>
        <w:rPr>
          <w:rFonts w:ascii="宋体" w:hAnsi="宋体" w:cs="宋体"/>
          <w:highlight w:val="none"/>
        </w:rPr>
      </w:pPr>
      <w:r>
        <w:rPr>
          <w:rFonts w:hint="eastAsia" w:ascii="宋体" w:hAnsi="宋体" w:cs="宋体"/>
          <w:highlight w:val="none"/>
        </w:rPr>
        <w:t>13.3 工程试车</w:t>
      </w:r>
    </w:p>
    <w:p w14:paraId="59952E39">
      <w:pPr>
        <w:pStyle w:val="104"/>
        <w:adjustRightInd w:val="0"/>
        <w:snapToGrid w:val="0"/>
        <w:spacing w:line="360" w:lineRule="exact"/>
        <w:ind w:firstLine="420" w:firstLineChars="200"/>
        <w:jc w:val="left"/>
        <w:rPr>
          <w:rFonts w:ascii="宋体" w:hAnsi="宋体" w:cs="宋体"/>
          <w:kern w:val="0"/>
          <w:highlight w:val="none"/>
        </w:rPr>
      </w:pPr>
      <w:r>
        <w:rPr>
          <w:rFonts w:hint="eastAsia" w:ascii="宋体" w:hAnsi="宋体" w:cs="宋体"/>
          <w:kern w:val="0"/>
          <w:highlight w:val="none"/>
        </w:rPr>
        <w:t>13.3.1 试车程序</w:t>
      </w:r>
    </w:p>
    <w:p w14:paraId="4B1B2D21">
      <w:pPr>
        <w:pStyle w:val="104"/>
        <w:adjustRightInd w:val="0"/>
        <w:snapToGrid w:val="0"/>
        <w:spacing w:line="360" w:lineRule="exact"/>
        <w:ind w:firstLine="420" w:firstLineChars="200"/>
        <w:jc w:val="left"/>
        <w:rPr>
          <w:rFonts w:ascii="宋体" w:hAnsi="宋体" w:cs="宋体"/>
          <w:kern w:val="0"/>
          <w:highlight w:val="none"/>
        </w:rPr>
      </w:pPr>
      <w:r>
        <w:rPr>
          <w:rFonts w:hint="eastAsia" w:ascii="宋体" w:hAnsi="宋体" w:cs="宋体"/>
          <w:kern w:val="0"/>
          <w:highlight w:val="none"/>
        </w:rPr>
        <w:t>工程试车内容：</w:t>
      </w:r>
      <w:r>
        <w:rPr>
          <w:rFonts w:hint="eastAsia" w:ascii="宋体" w:hAnsi="宋体" w:cs="宋体"/>
          <w:highlight w:val="none"/>
          <w:u w:val="single"/>
        </w:rPr>
        <w:t xml:space="preserve"> </w:t>
      </w:r>
      <w:r>
        <w:rPr>
          <w:rFonts w:hint="eastAsia" w:ascii="宋体" w:hAnsi="宋体" w:cs="宋体"/>
          <w:b/>
          <w:bCs/>
          <w:highlight w:val="none"/>
          <w:u w:val="single"/>
        </w:rPr>
        <w:t xml:space="preserve">试车内容应与承包人承包范围相一致，试车费用由承包人承担。  </w:t>
      </w:r>
    </w:p>
    <w:p w14:paraId="6C9F3576">
      <w:pPr>
        <w:pStyle w:val="104"/>
        <w:adjustRightInd w:val="0"/>
        <w:snapToGrid w:val="0"/>
        <w:spacing w:line="360" w:lineRule="exact"/>
        <w:ind w:firstLine="420" w:firstLineChars="200"/>
        <w:jc w:val="left"/>
        <w:rPr>
          <w:rFonts w:ascii="宋体" w:hAnsi="宋体" w:cs="宋体"/>
          <w:kern w:val="0"/>
          <w:highlight w:val="none"/>
        </w:rPr>
      </w:pPr>
      <w:r>
        <w:rPr>
          <w:rFonts w:hint="eastAsia" w:ascii="宋体" w:hAnsi="宋体" w:cs="宋体"/>
          <w:kern w:val="0"/>
          <w:highlight w:val="none"/>
        </w:rPr>
        <w:t>（1）单机无负荷试车费用由</w:t>
      </w:r>
      <w:r>
        <w:rPr>
          <w:rFonts w:hint="eastAsia" w:ascii="宋体" w:hAnsi="宋体" w:cs="宋体"/>
          <w:highlight w:val="none"/>
          <w:u w:val="single"/>
        </w:rPr>
        <w:t xml:space="preserve">   </w:t>
      </w:r>
      <w:r>
        <w:rPr>
          <w:rFonts w:hint="eastAsia" w:ascii="宋体" w:hAnsi="宋体" w:cs="宋体"/>
          <w:b/>
          <w:bCs/>
          <w:highlight w:val="none"/>
          <w:u w:val="single"/>
        </w:rPr>
        <w:t xml:space="preserve"> 承包人 </w:t>
      </w:r>
      <w:r>
        <w:rPr>
          <w:rFonts w:hint="eastAsia" w:ascii="宋体" w:hAnsi="宋体" w:cs="宋体"/>
          <w:highlight w:val="none"/>
          <w:u w:val="single"/>
        </w:rPr>
        <w:t xml:space="preserve">   </w:t>
      </w:r>
      <w:r>
        <w:rPr>
          <w:rFonts w:hint="eastAsia" w:ascii="宋体" w:hAnsi="宋体" w:cs="宋体"/>
          <w:kern w:val="0"/>
          <w:highlight w:val="none"/>
        </w:rPr>
        <w:t>承担；</w:t>
      </w:r>
    </w:p>
    <w:p w14:paraId="32D2CDFA">
      <w:pPr>
        <w:pStyle w:val="104"/>
        <w:adjustRightInd w:val="0"/>
        <w:snapToGrid w:val="0"/>
        <w:spacing w:line="360" w:lineRule="exact"/>
        <w:ind w:firstLine="420" w:firstLineChars="200"/>
        <w:jc w:val="left"/>
        <w:rPr>
          <w:rFonts w:ascii="宋体" w:hAnsi="宋体" w:cs="宋体"/>
          <w:kern w:val="0"/>
          <w:highlight w:val="none"/>
        </w:rPr>
      </w:pPr>
      <w:r>
        <w:rPr>
          <w:rFonts w:hint="eastAsia" w:ascii="宋体" w:hAnsi="宋体" w:cs="宋体"/>
          <w:kern w:val="0"/>
          <w:highlight w:val="none"/>
        </w:rPr>
        <w:t>（2）无负荷联动试车费用由</w:t>
      </w:r>
      <w:r>
        <w:rPr>
          <w:rFonts w:hint="eastAsia" w:ascii="宋体" w:hAnsi="宋体" w:cs="宋体"/>
          <w:highlight w:val="none"/>
          <w:u w:val="single"/>
        </w:rPr>
        <w:t xml:space="preserve">   </w:t>
      </w:r>
      <w:r>
        <w:rPr>
          <w:rFonts w:hint="eastAsia" w:ascii="宋体" w:hAnsi="宋体" w:cs="宋体"/>
          <w:b/>
          <w:bCs/>
          <w:highlight w:val="none"/>
          <w:u w:val="single"/>
        </w:rPr>
        <w:t xml:space="preserve"> 承包人 </w:t>
      </w:r>
      <w:r>
        <w:rPr>
          <w:rFonts w:hint="eastAsia" w:ascii="宋体" w:hAnsi="宋体" w:cs="宋体"/>
          <w:highlight w:val="none"/>
          <w:u w:val="single"/>
        </w:rPr>
        <w:t xml:space="preserve">   </w:t>
      </w:r>
      <w:r>
        <w:rPr>
          <w:rFonts w:hint="eastAsia" w:ascii="宋体" w:hAnsi="宋体" w:cs="宋体"/>
          <w:kern w:val="0"/>
          <w:highlight w:val="none"/>
        </w:rPr>
        <w:t>承担。</w:t>
      </w:r>
    </w:p>
    <w:p w14:paraId="5C34CF0E">
      <w:pPr>
        <w:pStyle w:val="104"/>
        <w:adjustRightInd w:val="0"/>
        <w:snapToGrid w:val="0"/>
        <w:spacing w:line="360" w:lineRule="exact"/>
        <w:ind w:firstLine="420" w:firstLineChars="200"/>
        <w:jc w:val="left"/>
        <w:rPr>
          <w:rFonts w:ascii="宋体" w:hAnsi="宋体" w:cs="宋体"/>
          <w:kern w:val="0"/>
          <w:highlight w:val="none"/>
        </w:rPr>
      </w:pPr>
      <w:r>
        <w:rPr>
          <w:rFonts w:hint="eastAsia" w:ascii="宋体" w:hAnsi="宋体" w:cs="宋体"/>
          <w:kern w:val="0"/>
          <w:highlight w:val="none"/>
        </w:rPr>
        <w:t>13.3.2 投料试车</w:t>
      </w:r>
    </w:p>
    <w:p w14:paraId="70F820C1">
      <w:pPr>
        <w:pStyle w:val="104"/>
        <w:adjustRightInd w:val="0"/>
        <w:snapToGrid w:val="0"/>
        <w:spacing w:line="360" w:lineRule="exact"/>
        <w:ind w:firstLine="420" w:firstLineChars="200"/>
        <w:jc w:val="left"/>
        <w:rPr>
          <w:rFonts w:ascii="宋体" w:hAnsi="宋体" w:cs="宋体"/>
          <w:b/>
          <w:bCs/>
          <w:highlight w:val="none"/>
          <w:u w:val="single"/>
        </w:rPr>
      </w:pPr>
      <w:r>
        <w:rPr>
          <w:rFonts w:hint="eastAsia" w:ascii="宋体" w:hAnsi="宋体" w:cs="宋体"/>
          <w:kern w:val="0"/>
          <w:highlight w:val="none"/>
        </w:rPr>
        <w:t>关于投料试车相关事项的约定：</w:t>
      </w:r>
      <w:r>
        <w:rPr>
          <w:rFonts w:hint="eastAsia" w:ascii="宋体" w:hAnsi="宋体" w:cs="宋体"/>
          <w:highlight w:val="none"/>
          <w:u w:val="single"/>
        </w:rPr>
        <w:t xml:space="preserve"> </w:t>
      </w:r>
      <w:r>
        <w:rPr>
          <w:rFonts w:hint="eastAsia" w:ascii="宋体" w:hAnsi="宋体" w:cs="宋体"/>
          <w:b/>
          <w:bCs/>
          <w:highlight w:val="none"/>
          <w:u w:val="single"/>
        </w:rPr>
        <w:t>按通用合同条款第13.3.3条规定执行。</w:t>
      </w:r>
    </w:p>
    <w:p w14:paraId="7A0D6FB1">
      <w:pPr>
        <w:pStyle w:val="104"/>
        <w:adjustRightInd w:val="0"/>
        <w:snapToGrid w:val="0"/>
        <w:spacing w:line="360" w:lineRule="exact"/>
        <w:ind w:firstLine="420" w:firstLineChars="200"/>
        <w:rPr>
          <w:rFonts w:ascii="宋体" w:hAnsi="宋体" w:cs="宋体"/>
          <w:highlight w:val="none"/>
        </w:rPr>
      </w:pPr>
      <w:r>
        <w:rPr>
          <w:rFonts w:hint="eastAsia" w:ascii="宋体" w:hAnsi="宋体" w:cs="宋体"/>
          <w:highlight w:val="none"/>
        </w:rPr>
        <w:t>13.4 竣工退场</w:t>
      </w:r>
    </w:p>
    <w:p w14:paraId="7082C293">
      <w:pPr>
        <w:pStyle w:val="104"/>
        <w:adjustRightInd w:val="0"/>
        <w:snapToGrid w:val="0"/>
        <w:spacing w:line="360" w:lineRule="exact"/>
        <w:ind w:firstLine="420" w:firstLineChars="200"/>
        <w:jc w:val="left"/>
        <w:rPr>
          <w:rFonts w:ascii="宋体" w:hAnsi="宋体" w:cs="宋体"/>
          <w:kern w:val="0"/>
          <w:highlight w:val="none"/>
        </w:rPr>
      </w:pPr>
      <w:r>
        <w:rPr>
          <w:rFonts w:hint="eastAsia" w:ascii="宋体" w:hAnsi="宋体" w:cs="宋体"/>
          <w:kern w:val="0"/>
          <w:highlight w:val="none"/>
        </w:rPr>
        <w:t>13.4.1 竣工退场</w:t>
      </w:r>
    </w:p>
    <w:p w14:paraId="636F632F">
      <w:pPr>
        <w:pStyle w:val="104"/>
        <w:adjustRightInd w:val="0"/>
        <w:snapToGrid w:val="0"/>
        <w:spacing w:line="360" w:lineRule="exact"/>
        <w:ind w:firstLine="420" w:firstLineChars="200"/>
        <w:jc w:val="left"/>
        <w:rPr>
          <w:rFonts w:ascii="宋体" w:hAnsi="宋体" w:cs="宋体"/>
          <w:kern w:val="0"/>
          <w:highlight w:val="none"/>
        </w:rPr>
      </w:pPr>
      <w:r>
        <w:rPr>
          <w:rFonts w:hint="eastAsia" w:ascii="宋体" w:hAnsi="宋体" w:cs="宋体"/>
          <w:kern w:val="0"/>
          <w:highlight w:val="none"/>
        </w:rPr>
        <w:t>承包人完成竣工退场的期限：</w:t>
      </w:r>
      <w:r>
        <w:rPr>
          <w:rFonts w:hint="eastAsia" w:ascii="宋体" w:hAnsi="宋体" w:cs="宋体"/>
          <w:b/>
          <w:bCs/>
          <w:highlight w:val="none"/>
          <w:u w:val="single"/>
        </w:rPr>
        <w:t xml:space="preserve"> 竣工验收合格后15天内清退全部临时设施、建筑材料、机械设备及建筑垃圾等</w:t>
      </w:r>
      <w:r>
        <w:rPr>
          <w:rFonts w:hint="eastAsia" w:ascii="宋体" w:hAnsi="宋体" w:cs="宋体"/>
          <w:b/>
          <w:bCs/>
          <w:kern w:val="0"/>
          <w:highlight w:val="none"/>
        </w:rPr>
        <w:t>。</w:t>
      </w:r>
    </w:p>
    <w:p w14:paraId="433CDD90">
      <w:pPr>
        <w:pStyle w:val="127"/>
        <w:adjustRightInd w:val="0"/>
        <w:snapToGrid w:val="0"/>
        <w:spacing w:before="0" w:after="0" w:line="360" w:lineRule="exact"/>
        <w:ind w:firstLine="420"/>
        <w:jc w:val="center"/>
        <w:rPr>
          <w:rFonts w:ascii="宋体" w:hAnsi="宋体" w:eastAsia="宋体" w:cs="宋体"/>
          <w:b/>
          <w:bCs/>
          <w:color w:val="auto"/>
          <w:sz w:val="24"/>
          <w:highlight w:val="none"/>
        </w:rPr>
      </w:pPr>
      <w:r>
        <w:rPr>
          <w:rFonts w:hint="eastAsia" w:ascii="宋体" w:hAnsi="宋体" w:eastAsia="宋体" w:cs="宋体"/>
          <w:b/>
          <w:bCs/>
          <w:color w:val="auto"/>
          <w:sz w:val="24"/>
          <w:highlight w:val="none"/>
        </w:rPr>
        <w:t>14. 竣工结算</w:t>
      </w:r>
    </w:p>
    <w:p w14:paraId="110CAED6">
      <w:pPr>
        <w:pStyle w:val="104"/>
        <w:adjustRightInd w:val="0"/>
        <w:snapToGrid w:val="0"/>
        <w:spacing w:line="360" w:lineRule="exact"/>
        <w:ind w:firstLine="420" w:firstLineChars="200"/>
        <w:rPr>
          <w:rFonts w:ascii="宋体" w:hAnsi="宋体" w:cs="宋体"/>
          <w:highlight w:val="none"/>
        </w:rPr>
      </w:pPr>
      <w:r>
        <w:rPr>
          <w:rFonts w:hint="eastAsia" w:ascii="宋体" w:hAnsi="宋体" w:cs="宋体"/>
          <w:highlight w:val="none"/>
        </w:rPr>
        <w:t>14.1 竣工付款申请</w:t>
      </w:r>
    </w:p>
    <w:p w14:paraId="2E9C1332">
      <w:pPr>
        <w:pStyle w:val="104"/>
        <w:autoSpaceDE w:val="0"/>
        <w:autoSpaceDN w:val="0"/>
        <w:adjustRightInd w:val="0"/>
        <w:snapToGrid w:val="0"/>
        <w:spacing w:line="360" w:lineRule="exact"/>
        <w:ind w:firstLine="420" w:firstLineChars="200"/>
        <w:jc w:val="left"/>
        <w:rPr>
          <w:rFonts w:ascii="宋体" w:hAnsi="宋体" w:cs="宋体"/>
          <w:highlight w:val="none"/>
        </w:rPr>
      </w:pPr>
      <w:r>
        <w:rPr>
          <w:rFonts w:hint="eastAsia" w:ascii="宋体" w:hAnsi="宋体" w:cs="宋体"/>
          <w:highlight w:val="none"/>
        </w:rPr>
        <w:t>承包人提交竣工付款申请单的期限：</w:t>
      </w:r>
      <w:r>
        <w:rPr>
          <w:rFonts w:hint="eastAsia" w:ascii="宋体" w:hAnsi="宋体" w:cs="宋体"/>
          <w:b/>
          <w:bCs/>
          <w:highlight w:val="none"/>
          <w:u w:val="single"/>
        </w:rPr>
        <w:t>在工程竣工验收合格并提交以下资料后20日历天内。</w:t>
      </w:r>
    </w:p>
    <w:p w14:paraId="34993BA2">
      <w:pPr>
        <w:pStyle w:val="104"/>
        <w:autoSpaceDE w:val="0"/>
        <w:autoSpaceDN w:val="0"/>
        <w:adjustRightInd w:val="0"/>
        <w:snapToGrid w:val="0"/>
        <w:spacing w:line="360" w:lineRule="exact"/>
        <w:ind w:firstLine="420" w:firstLineChars="200"/>
        <w:jc w:val="left"/>
        <w:rPr>
          <w:rFonts w:ascii="宋体" w:hAnsi="宋体" w:cs="宋体"/>
          <w:highlight w:val="none"/>
        </w:rPr>
      </w:pPr>
      <w:r>
        <w:rPr>
          <w:rFonts w:hint="eastAsia" w:ascii="宋体" w:hAnsi="宋体" w:cs="宋体"/>
          <w:highlight w:val="none"/>
        </w:rPr>
        <w:t>竣工付款申请单应包括的内容：</w:t>
      </w:r>
    </w:p>
    <w:p w14:paraId="759180DA">
      <w:pPr>
        <w:pStyle w:val="104"/>
        <w:autoSpaceDE w:val="0"/>
        <w:autoSpaceDN w:val="0"/>
        <w:adjustRightInd w:val="0"/>
        <w:snapToGrid w:val="0"/>
        <w:spacing w:line="360" w:lineRule="exact"/>
        <w:ind w:firstLine="422" w:firstLineChars="200"/>
        <w:jc w:val="left"/>
        <w:rPr>
          <w:rFonts w:ascii="宋体" w:hAnsi="宋体" w:cs="宋体"/>
          <w:b/>
          <w:bCs/>
          <w:highlight w:val="none"/>
          <w:u w:val="single"/>
        </w:rPr>
      </w:pPr>
      <w:r>
        <w:rPr>
          <w:rFonts w:hint="eastAsia" w:ascii="宋体" w:hAnsi="宋体" w:cs="宋体"/>
          <w:b/>
          <w:bCs/>
          <w:highlight w:val="none"/>
          <w:u w:val="single"/>
        </w:rPr>
        <w:t>（1）工程结算书；</w:t>
      </w:r>
    </w:p>
    <w:p w14:paraId="6A092494">
      <w:pPr>
        <w:pStyle w:val="104"/>
        <w:autoSpaceDE w:val="0"/>
        <w:autoSpaceDN w:val="0"/>
        <w:adjustRightInd w:val="0"/>
        <w:snapToGrid w:val="0"/>
        <w:spacing w:line="360" w:lineRule="exact"/>
        <w:ind w:firstLine="422" w:firstLineChars="200"/>
        <w:jc w:val="left"/>
        <w:rPr>
          <w:rFonts w:ascii="宋体" w:hAnsi="宋体" w:cs="宋体"/>
          <w:b/>
          <w:bCs/>
          <w:highlight w:val="none"/>
          <w:u w:val="single"/>
        </w:rPr>
      </w:pPr>
      <w:r>
        <w:rPr>
          <w:rFonts w:hint="eastAsia" w:ascii="宋体" w:hAnsi="宋体" w:cs="宋体"/>
          <w:b/>
          <w:bCs/>
          <w:highlight w:val="none"/>
          <w:u w:val="single"/>
        </w:rPr>
        <w:t>（2）纸质竣工图纸、技术资料各3套及电子版(光盘)竣工图2套等相关资料</w:t>
      </w:r>
      <w:r>
        <w:rPr>
          <w:rFonts w:hint="eastAsia"/>
          <w:b/>
          <w:bCs/>
          <w:highlight w:val="none"/>
        </w:rPr>
        <w:t>（该项目如有施工设计图纸，则需要提供）</w:t>
      </w:r>
    </w:p>
    <w:p w14:paraId="7BCD257E">
      <w:pPr>
        <w:pStyle w:val="104"/>
        <w:autoSpaceDE w:val="0"/>
        <w:autoSpaceDN w:val="0"/>
        <w:adjustRightInd w:val="0"/>
        <w:snapToGrid w:val="0"/>
        <w:spacing w:line="360" w:lineRule="exact"/>
        <w:ind w:firstLine="422" w:firstLineChars="200"/>
        <w:jc w:val="left"/>
        <w:rPr>
          <w:rFonts w:ascii="宋体" w:hAnsi="宋体" w:cs="宋体"/>
          <w:b/>
          <w:bCs/>
          <w:highlight w:val="none"/>
          <w:u w:val="single"/>
        </w:rPr>
      </w:pPr>
      <w:r>
        <w:rPr>
          <w:rFonts w:hint="eastAsia" w:ascii="宋体" w:hAnsi="宋体" w:cs="宋体"/>
          <w:b/>
          <w:bCs/>
          <w:highlight w:val="none"/>
          <w:u w:val="single"/>
        </w:rPr>
        <w:t>（3）发包人应支付承包人的价款。</w:t>
      </w:r>
    </w:p>
    <w:p w14:paraId="082449EA">
      <w:pPr>
        <w:pStyle w:val="104"/>
        <w:adjustRightInd w:val="0"/>
        <w:snapToGrid w:val="0"/>
        <w:spacing w:line="360" w:lineRule="exact"/>
        <w:ind w:firstLine="420" w:firstLineChars="200"/>
        <w:rPr>
          <w:rFonts w:ascii="宋体" w:hAnsi="宋体" w:cs="宋体"/>
          <w:highlight w:val="none"/>
        </w:rPr>
      </w:pPr>
      <w:r>
        <w:rPr>
          <w:rFonts w:hint="eastAsia" w:ascii="宋体" w:hAnsi="宋体" w:cs="宋体"/>
          <w:highlight w:val="none"/>
        </w:rPr>
        <w:t>14.2 竣工结算审核</w:t>
      </w:r>
    </w:p>
    <w:p w14:paraId="7334424A">
      <w:pPr>
        <w:pStyle w:val="104"/>
        <w:adjustRightInd w:val="0"/>
        <w:snapToGrid w:val="0"/>
        <w:spacing w:line="360" w:lineRule="exact"/>
        <w:ind w:firstLine="420" w:firstLineChars="200"/>
        <w:jc w:val="left"/>
        <w:rPr>
          <w:rFonts w:ascii="宋体" w:hAnsi="宋体" w:cs="宋体"/>
          <w:b/>
          <w:bCs/>
          <w:highlight w:val="none"/>
          <w:u w:val="single"/>
        </w:rPr>
      </w:pPr>
      <w:r>
        <w:rPr>
          <w:rFonts w:hint="eastAsia" w:ascii="宋体" w:hAnsi="宋体" w:cs="宋体"/>
          <w:highlight w:val="none"/>
        </w:rPr>
        <w:t>发包人审批竣工付款申请单的期限：</w:t>
      </w:r>
      <w:r>
        <w:rPr>
          <w:rFonts w:hint="eastAsia" w:ascii="宋体" w:hAnsi="宋体" w:cs="宋体"/>
          <w:b/>
          <w:bCs/>
          <w:highlight w:val="none"/>
          <w:u w:val="single"/>
        </w:rPr>
        <w:t>在收到承包人提交的全部资料后14天内。</w:t>
      </w:r>
    </w:p>
    <w:p w14:paraId="36DFF823">
      <w:pPr>
        <w:spacing w:line="360" w:lineRule="exact"/>
        <w:ind w:firstLine="420" w:firstLineChars="200"/>
        <w:rPr>
          <w:sz w:val="21"/>
          <w:highlight w:val="none"/>
        </w:rPr>
      </w:pPr>
      <w:r>
        <w:rPr>
          <w:rFonts w:hint="eastAsia"/>
          <w:sz w:val="21"/>
          <w:highlight w:val="none"/>
        </w:rPr>
        <w:t>发包人完成竣工付款的期限：</w:t>
      </w:r>
      <w:r>
        <w:rPr>
          <w:rFonts w:hint="eastAsia"/>
          <w:b/>
          <w:bCs/>
          <w:highlight w:val="none"/>
          <w:u w:val="single"/>
        </w:rPr>
        <w:t>在签发竣工付款证书后的14天内。</w:t>
      </w:r>
    </w:p>
    <w:p w14:paraId="493F15E1">
      <w:pPr>
        <w:spacing w:line="360" w:lineRule="exact"/>
        <w:ind w:firstLine="420" w:firstLineChars="200"/>
        <w:rPr>
          <w:sz w:val="21"/>
          <w:highlight w:val="none"/>
        </w:rPr>
      </w:pPr>
      <w:r>
        <w:rPr>
          <w:rFonts w:hint="eastAsia"/>
          <w:sz w:val="21"/>
          <w:highlight w:val="none"/>
        </w:rPr>
        <w:t>关于竣工付款证书异议部分复核的方式和程序：</w:t>
      </w:r>
      <w:r>
        <w:rPr>
          <w:rFonts w:hint="eastAsia"/>
          <w:highlight w:val="none"/>
          <w:u w:val="single"/>
        </w:rPr>
        <w:t>/。</w:t>
      </w:r>
    </w:p>
    <w:p w14:paraId="1437374D">
      <w:pPr>
        <w:pStyle w:val="127"/>
        <w:adjustRightInd w:val="0"/>
        <w:snapToGrid w:val="0"/>
        <w:spacing w:before="0" w:after="0" w:line="360" w:lineRule="exact"/>
        <w:ind w:firstLine="420"/>
        <w:jc w:val="center"/>
        <w:rPr>
          <w:rFonts w:ascii="宋体" w:hAnsi="宋体" w:eastAsia="宋体" w:cs="宋体"/>
          <w:b/>
          <w:bCs/>
          <w:color w:val="auto"/>
          <w:sz w:val="24"/>
          <w:highlight w:val="none"/>
        </w:rPr>
      </w:pPr>
      <w:r>
        <w:rPr>
          <w:rFonts w:hint="eastAsia" w:ascii="宋体" w:hAnsi="宋体" w:eastAsia="宋体" w:cs="宋体"/>
          <w:b/>
          <w:bCs/>
          <w:color w:val="auto"/>
          <w:sz w:val="24"/>
          <w:highlight w:val="none"/>
        </w:rPr>
        <w:t>15. 缺陷责任期与保修</w:t>
      </w:r>
    </w:p>
    <w:p w14:paraId="2551414B">
      <w:pPr>
        <w:pStyle w:val="104"/>
        <w:adjustRightInd w:val="0"/>
        <w:snapToGrid w:val="0"/>
        <w:spacing w:line="360" w:lineRule="exact"/>
        <w:ind w:firstLine="420" w:firstLineChars="200"/>
        <w:rPr>
          <w:rFonts w:ascii="宋体" w:hAnsi="宋体" w:cs="宋体"/>
          <w:highlight w:val="none"/>
        </w:rPr>
      </w:pPr>
      <w:r>
        <w:rPr>
          <w:rFonts w:hint="eastAsia" w:ascii="宋体" w:hAnsi="宋体" w:cs="宋体"/>
          <w:highlight w:val="none"/>
        </w:rPr>
        <w:t>15.1缺陷责任期</w:t>
      </w:r>
    </w:p>
    <w:p w14:paraId="39429631">
      <w:pPr>
        <w:pStyle w:val="104"/>
        <w:adjustRightInd w:val="0"/>
        <w:snapToGrid w:val="0"/>
        <w:spacing w:line="360" w:lineRule="exact"/>
        <w:ind w:firstLine="420" w:firstLineChars="200"/>
        <w:jc w:val="left"/>
        <w:rPr>
          <w:rFonts w:ascii="宋体" w:hAnsi="宋体" w:cs="宋体"/>
          <w:highlight w:val="none"/>
        </w:rPr>
      </w:pPr>
      <w:r>
        <w:rPr>
          <w:rFonts w:hint="eastAsia" w:ascii="宋体" w:hAnsi="宋体" w:cs="宋体"/>
          <w:highlight w:val="none"/>
        </w:rPr>
        <w:t>缺陷责任期的具体期限：</w:t>
      </w:r>
      <w:r>
        <w:rPr>
          <w:rFonts w:hint="eastAsia" w:ascii="宋体" w:hAnsi="宋体" w:cs="宋体"/>
          <w:b/>
          <w:bCs/>
          <w:highlight w:val="none"/>
          <w:u w:val="single"/>
        </w:rPr>
        <w:t xml:space="preserve"> 24个月</w:t>
      </w:r>
      <w:r>
        <w:rPr>
          <w:rFonts w:hint="eastAsia" w:ascii="宋体" w:hAnsi="宋体" w:cs="宋体"/>
          <w:highlight w:val="none"/>
          <w:u w:val="single"/>
        </w:rPr>
        <w:t xml:space="preserve"> </w:t>
      </w:r>
      <w:r>
        <w:rPr>
          <w:rFonts w:hint="eastAsia" w:ascii="宋体" w:hAnsi="宋体" w:cs="宋体"/>
          <w:highlight w:val="none"/>
        </w:rPr>
        <w:t>。</w:t>
      </w:r>
    </w:p>
    <w:p w14:paraId="4A889544">
      <w:pPr>
        <w:pStyle w:val="104"/>
        <w:adjustRightInd w:val="0"/>
        <w:snapToGrid w:val="0"/>
        <w:spacing w:line="360" w:lineRule="exact"/>
        <w:ind w:firstLine="420" w:firstLineChars="200"/>
        <w:rPr>
          <w:rFonts w:ascii="宋体" w:hAnsi="宋体" w:cs="宋体"/>
          <w:highlight w:val="none"/>
        </w:rPr>
      </w:pPr>
      <w:r>
        <w:rPr>
          <w:rFonts w:hint="eastAsia" w:ascii="宋体" w:hAnsi="宋体" w:cs="宋体"/>
          <w:highlight w:val="none"/>
        </w:rPr>
        <w:t>15.2 质量保证金</w:t>
      </w:r>
    </w:p>
    <w:p w14:paraId="74D325C5">
      <w:pPr>
        <w:pStyle w:val="104"/>
        <w:adjustRightInd w:val="0"/>
        <w:snapToGrid w:val="0"/>
        <w:spacing w:line="360" w:lineRule="exact"/>
        <w:ind w:firstLine="420" w:firstLineChars="200"/>
        <w:jc w:val="left"/>
        <w:rPr>
          <w:rFonts w:ascii="宋体" w:hAnsi="宋体" w:cs="宋体"/>
          <w:highlight w:val="none"/>
        </w:rPr>
      </w:pPr>
      <w:r>
        <w:rPr>
          <w:rFonts w:hint="eastAsia" w:ascii="宋体" w:hAnsi="宋体" w:cs="宋体"/>
          <w:highlight w:val="none"/>
        </w:rPr>
        <w:t>关于是否扣留质量保证金的约定：</w:t>
      </w:r>
      <w:r>
        <w:rPr>
          <w:rFonts w:hint="eastAsia" w:ascii="宋体" w:hAnsi="宋体" w:cs="宋体"/>
          <w:highlight w:val="none"/>
          <w:u w:val="single"/>
        </w:rPr>
        <w:t xml:space="preserve">   </w:t>
      </w:r>
      <w:r>
        <w:rPr>
          <w:rFonts w:hint="eastAsia" w:ascii="宋体" w:hAnsi="宋体" w:cs="宋体"/>
          <w:b/>
          <w:bCs/>
          <w:highlight w:val="none"/>
          <w:u w:val="single"/>
        </w:rPr>
        <w:t xml:space="preserve">是 </w:t>
      </w:r>
      <w:r>
        <w:rPr>
          <w:rFonts w:hint="eastAsia" w:ascii="宋体" w:hAnsi="宋体" w:cs="宋体"/>
          <w:highlight w:val="none"/>
          <w:u w:val="single"/>
        </w:rPr>
        <w:t xml:space="preserve">  </w:t>
      </w:r>
      <w:r>
        <w:rPr>
          <w:rFonts w:hint="eastAsia" w:ascii="宋体" w:hAnsi="宋体" w:cs="宋体"/>
          <w:highlight w:val="none"/>
        </w:rPr>
        <w:t>。</w:t>
      </w:r>
    </w:p>
    <w:p w14:paraId="635CEF20">
      <w:pPr>
        <w:pStyle w:val="104"/>
        <w:adjustRightInd w:val="0"/>
        <w:snapToGrid w:val="0"/>
        <w:spacing w:line="360" w:lineRule="exact"/>
        <w:ind w:firstLine="420" w:firstLineChars="200"/>
        <w:jc w:val="left"/>
        <w:rPr>
          <w:rFonts w:ascii="宋体" w:hAnsi="宋体" w:cs="宋体"/>
          <w:highlight w:val="none"/>
        </w:rPr>
      </w:pPr>
      <w:r>
        <w:rPr>
          <w:rFonts w:hint="eastAsia" w:ascii="宋体" w:hAnsi="宋体" w:cs="宋体"/>
          <w:highlight w:val="none"/>
        </w:rPr>
        <w:t>在工程项目竣工前，承包人按专用合同条款第3.7条提供履约担保的，发包人不得同时预留工程质量保证金</w:t>
      </w:r>
    </w:p>
    <w:p w14:paraId="7F4E8280">
      <w:pPr>
        <w:pStyle w:val="104"/>
        <w:adjustRightInd w:val="0"/>
        <w:snapToGrid w:val="0"/>
        <w:spacing w:line="360" w:lineRule="exact"/>
        <w:ind w:firstLine="420" w:firstLineChars="200"/>
        <w:jc w:val="left"/>
        <w:rPr>
          <w:rFonts w:ascii="宋体" w:hAnsi="宋体" w:cs="宋体"/>
          <w:highlight w:val="none"/>
        </w:rPr>
      </w:pPr>
      <w:r>
        <w:rPr>
          <w:rFonts w:hint="eastAsia" w:ascii="宋体" w:hAnsi="宋体" w:cs="宋体"/>
          <w:highlight w:val="none"/>
        </w:rPr>
        <w:t>15.2.1 承包人提供质量保证金的方式</w:t>
      </w:r>
    </w:p>
    <w:p w14:paraId="01F16D94">
      <w:pPr>
        <w:pStyle w:val="104"/>
        <w:adjustRightInd w:val="0"/>
        <w:snapToGrid w:val="0"/>
        <w:spacing w:line="360" w:lineRule="exact"/>
        <w:ind w:firstLine="420" w:firstLineChars="200"/>
        <w:jc w:val="left"/>
        <w:rPr>
          <w:rFonts w:ascii="宋体" w:hAnsi="宋体" w:cs="宋体"/>
          <w:highlight w:val="none"/>
        </w:rPr>
      </w:pPr>
      <w:r>
        <w:rPr>
          <w:rFonts w:hint="eastAsia" w:ascii="宋体" w:hAnsi="宋体" w:cs="宋体"/>
          <w:highlight w:val="none"/>
        </w:rPr>
        <w:t>质量保证金采用以下第</w:t>
      </w:r>
      <w:r>
        <w:rPr>
          <w:rFonts w:hint="eastAsia" w:ascii="宋体" w:hAnsi="宋体" w:cs="宋体"/>
          <w:highlight w:val="none"/>
          <w:u w:val="single"/>
        </w:rPr>
        <w:t xml:space="preserve">  </w:t>
      </w:r>
      <w:r>
        <w:rPr>
          <w:rFonts w:hint="eastAsia" w:ascii="宋体" w:hAnsi="宋体" w:cs="宋体"/>
          <w:b/>
          <w:bCs/>
          <w:highlight w:val="none"/>
          <w:u w:val="single"/>
        </w:rPr>
        <w:t>（3）</w:t>
      </w:r>
      <w:r>
        <w:rPr>
          <w:rFonts w:hint="eastAsia" w:ascii="宋体" w:hAnsi="宋体" w:cs="宋体"/>
          <w:highlight w:val="none"/>
          <w:u w:val="single"/>
        </w:rPr>
        <w:t xml:space="preserve">   </w:t>
      </w:r>
      <w:r>
        <w:rPr>
          <w:rFonts w:hint="eastAsia" w:ascii="宋体" w:hAnsi="宋体" w:cs="宋体"/>
          <w:highlight w:val="none"/>
        </w:rPr>
        <w:t>种方式：</w:t>
      </w:r>
    </w:p>
    <w:p w14:paraId="26056AA8">
      <w:pPr>
        <w:pStyle w:val="104"/>
        <w:autoSpaceDE w:val="0"/>
        <w:autoSpaceDN w:val="0"/>
        <w:adjustRightInd w:val="0"/>
        <w:snapToGrid w:val="0"/>
        <w:spacing w:line="360" w:lineRule="exact"/>
        <w:ind w:firstLine="420" w:firstLineChars="200"/>
        <w:jc w:val="left"/>
        <w:rPr>
          <w:rFonts w:ascii="宋体" w:hAnsi="宋体" w:cs="宋体"/>
          <w:kern w:val="0"/>
          <w:highlight w:val="none"/>
        </w:rPr>
      </w:pPr>
      <w:r>
        <w:rPr>
          <w:rFonts w:hint="eastAsia" w:ascii="宋体" w:hAnsi="宋体" w:cs="宋体"/>
          <w:kern w:val="0"/>
          <w:highlight w:val="none"/>
        </w:rPr>
        <w:t>（1）质量保证金保函，保证金额为：</w:t>
      </w:r>
      <w:r>
        <w:rPr>
          <w:rFonts w:hint="eastAsia" w:ascii="宋体" w:hAnsi="宋体" w:cs="宋体"/>
          <w:kern w:val="0"/>
          <w:highlight w:val="none"/>
          <w:u w:val="single"/>
        </w:rPr>
        <w:t xml:space="preserve">   /    </w:t>
      </w:r>
      <w:r>
        <w:rPr>
          <w:rFonts w:hint="eastAsia" w:ascii="宋体" w:hAnsi="宋体" w:cs="宋体"/>
          <w:kern w:val="0"/>
          <w:highlight w:val="none"/>
        </w:rPr>
        <w:t xml:space="preserve">； </w:t>
      </w:r>
    </w:p>
    <w:p w14:paraId="38D98919">
      <w:pPr>
        <w:pStyle w:val="104"/>
        <w:autoSpaceDE w:val="0"/>
        <w:autoSpaceDN w:val="0"/>
        <w:adjustRightInd w:val="0"/>
        <w:snapToGrid w:val="0"/>
        <w:spacing w:line="360" w:lineRule="exact"/>
        <w:ind w:firstLine="420" w:firstLineChars="200"/>
        <w:jc w:val="left"/>
        <w:rPr>
          <w:rFonts w:ascii="宋体" w:hAnsi="宋体" w:cs="宋体"/>
          <w:kern w:val="0"/>
          <w:highlight w:val="none"/>
        </w:rPr>
      </w:pPr>
      <w:r>
        <w:rPr>
          <w:rFonts w:hint="eastAsia" w:ascii="宋体" w:hAnsi="宋体" w:cs="宋体"/>
          <w:kern w:val="0"/>
          <w:highlight w:val="none"/>
        </w:rPr>
        <w:t>（2）</w:t>
      </w:r>
      <w:r>
        <w:rPr>
          <w:rFonts w:hint="eastAsia" w:ascii="宋体" w:hAnsi="宋体" w:cs="宋体"/>
          <w:kern w:val="0"/>
          <w:highlight w:val="none"/>
          <w:u w:val="single"/>
        </w:rPr>
        <w:t xml:space="preserve">  </w:t>
      </w:r>
      <w:r>
        <w:rPr>
          <w:rFonts w:hint="eastAsia" w:ascii="宋体" w:hAnsi="宋体" w:cs="宋体"/>
          <w:b/>
          <w:bCs/>
          <w:kern w:val="0"/>
          <w:highlight w:val="none"/>
          <w:u w:val="single"/>
        </w:rPr>
        <w:t xml:space="preserve"> </w:t>
      </w:r>
      <w:r>
        <w:rPr>
          <w:rFonts w:hint="eastAsia" w:ascii="宋体" w:hAnsi="宋体" w:cs="宋体"/>
          <w:kern w:val="0"/>
          <w:highlight w:val="none"/>
          <w:u w:val="single"/>
        </w:rPr>
        <w:t>/</w:t>
      </w:r>
      <w:r>
        <w:rPr>
          <w:rFonts w:hint="eastAsia" w:ascii="宋体" w:hAnsi="宋体" w:cs="宋体"/>
          <w:b/>
          <w:bCs/>
          <w:kern w:val="0"/>
          <w:highlight w:val="none"/>
          <w:u w:val="single"/>
        </w:rPr>
        <w:t xml:space="preserve"> </w:t>
      </w:r>
      <w:r>
        <w:rPr>
          <w:rFonts w:hint="eastAsia" w:ascii="宋体" w:hAnsi="宋体" w:cs="宋体"/>
          <w:kern w:val="0"/>
          <w:highlight w:val="none"/>
          <w:u w:val="single"/>
        </w:rPr>
        <w:t xml:space="preserve">  </w:t>
      </w:r>
      <w:r>
        <w:rPr>
          <w:rFonts w:hint="eastAsia" w:ascii="宋体" w:hAnsi="宋体" w:cs="宋体"/>
          <w:kern w:val="0"/>
          <w:highlight w:val="none"/>
        </w:rPr>
        <w:t>%的工程款；</w:t>
      </w:r>
    </w:p>
    <w:p w14:paraId="0C6D5B4D">
      <w:pPr>
        <w:pStyle w:val="104"/>
        <w:autoSpaceDE w:val="0"/>
        <w:autoSpaceDN w:val="0"/>
        <w:adjustRightInd w:val="0"/>
        <w:snapToGrid w:val="0"/>
        <w:spacing w:line="360" w:lineRule="exact"/>
        <w:ind w:firstLine="420" w:firstLineChars="200"/>
        <w:jc w:val="left"/>
        <w:rPr>
          <w:rFonts w:ascii="宋体" w:hAnsi="宋体" w:cs="宋体"/>
          <w:kern w:val="0"/>
          <w:highlight w:val="none"/>
        </w:rPr>
      </w:pPr>
      <w:r>
        <w:rPr>
          <w:rFonts w:hint="eastAsia" w:ascii="宋体" w:hAnsi="宋体" w:cs="宋体"/>
          <w:kern w:val="0"/>
          <w:highlight w:val="none"/>
        </w:rPr>
        <w:t xml:space="preserve">（3）其他方式: </w:t>
      </w:r>
      <w:r>
        <w:rPr>
          <w:rFonts w:hint="eastAsia" w:ascii="宋体" w:hAnsi="宋体" w:cs="宋体"/>
          <w:kern w:val="0"/>
          <w:highlight w:val="none"/>
          <w:u w:val="single"/>
        </w:rPr>
        <w:t>履约保证金自动转为质保金</w:t>
      </w:r>
      <w:r>
        <w:rPr>
          <w:rFonts w:hint="eastAsia" w:ascii="宋体" w:hAnsi="宋体" w:cs="宋体"/>
          <w:kern w:val="0"/>
          <w:highlight w:val="none"/>
        </w:rPr>
        <w:t xml:space="preserve"> 。</w:t>
      </w:r>
    </w:p>
    <w:p w14:paraId="5A545CEE">
      <w:pPr>
        <w:pStyle w:val="104"/>
        <w:adjustRightInd w:val="0"/>
        <w:snapToGrid w:val="0"/>
        <w:spacing w:line="360" w:lineRule="exact"/>
        <w:ind w:firstLine="420" w:firstLineChars="200"/>
        <w:rPr>
          <w:rFonts w:ascii="宋体" w:hAnsi="宋体" w:cs="宋体"/>
          <w:highlight w:val="none"/>
        </w:rPr>
      </w:pPr>
      <w:r>
        <w:rPr>
          <w:rFonts w:hint="eastAsia" w:ascii="宋体" w:hAnsi="宋体" w:cs="宋体"/>
          <w:highlight w:val="none"/>
        </w:rPr>
        <w:t>15.3保修</w:t>
      </w:r>
    </w:p>
    <w:p w14:paraId="717E0CFF">
      <w:pPr>
        <w:pStyle w:val="104"/>
        <w:adjustRightInd w:val="0"/>
        <w:snapToGrid w:val="0"/>
        <w:spacing w:line="360" w:lineRule="exact"/>
        <w:ind w:firstLine="409" w:firstLineChars="195"/>
        <w:jc w:val="left"/>
        <w:rPr>
          <w:rFonts w:ascii="宋体" w:hAnsi="宋体" w:cs="宋体"/>
          <w:highlight w:val="none"/>
        </w:rPr>
      </w:pPr>
      <w:r>
        <w:rPr>
          <w:rFonts w:hint="eastAsia" w:ascii="宋体" w:hAnsi="宋体" w:cs="宋体"/>
          <w:highlight w:val="none"/>
        </w:rPr>
        <w:t>15.3.1 保修责任</w:t>
      </w:r>
    </w:p>
    <w:p w14:paraId="0BC57A1E">
      <w:pPr>
        <w:pStyle w:val="104"/>
        <w:adjustRightInd w:val="0"/>
        <w:snapToGrid w:val="0"/>
        <w:spacing w:line="360" w:lineRule="exact"/>
        <w:jc w:val="left"/>
        <w:rPr>
          <w:rFonts w:ascii="宋体" w:hAnsi="宋体" w:cs="宋体"/>
          <w:kern w:val="0"/>
          <w:highlight w:val="none"/>
        </w:rPr>
      </w:pPr>
      <w:r>
        <w:rPr>
          <w:rFonts w:hint="eastAsia" w:ascii="宋体" w:hAnsi="宋体" w:cs="宋体"/>
          <w:highlight w:val="none"/>
        </w:rPr>
        <w:t xml:space="preserve">    工程保修期为：</w:t>
      </w:r>
      <w:r>
        <w:rPr>
          <w:rFonts w:hint="eastAsia" w:ascii="宋体" w:hAnsi="宋体" w:cs="宋体"/>
          <w:b/>
          <w:bCs/>
          <w:highlight w:val="none"/>
          <w:u w:val="single"/>
        </w:rPr>
        <w:t>按工程质量保修书规定执行。</w:t>
      </w:r>
    </w:p>
    <w:p w14:paraId="31EA7E88">
      <w:pPr>
        <w:pStyle w:val="104"/>
        <w:adjustRightInd w:val="0"/>
        <w:snapToGrid w:val="0"/>
        <w:spacing w:line="360" w:lineRule="exact"/>
        <w:ind w:firstLine="409" w:firstLineChars="195"/>
        <w:jc w:val="left"/>
        <w:rPr>
          <w:rFonts w:ascii="宋体" w:hAnsi="宋体" w:cs="宋体"/>
          <w:highlight w:val="none"/>
        </w:rPr>
      </w:pPr>
      <w:r>
        <w:rPr>
          <w:rFonts w:hint="eastAsia" w:ascii="宋体" w:hAnsi="宋体" w:cs="宋体"/>
          <w:highlight w:val="none"/>
        </w:rPr>
        <w:t>15.3.2 修复通知</w:t>
      </w:r>
    </w:p>
    <w:p w14:paraId="0C04F2A3">
      <w:pPr>
        <w:pStyle w:val="104"/>
        <w:adjustRightInd w:val="0"/>
        <w:snapToGrid w:val="0"/>
        <w:spacing w:line="360" w:lineRule="exact"/>
        <w:jc w:val="left"/>
        <w:rPr>
          <w:rFonts w:ascii="宋体" w:hAnsi="宋体" w:cs="宋体"/>
          <w:kern w:val="0"/>
          <w:highlight w:val="none"/>
        </w:rPr>
      </w:pPr>
      <w:r>
        <w:rPr>
          <w:rFonts w:hint="eastAsia" w:ascii="宋体" w:hAnsi="宋体" w:cs="宋体"/>
          <w:kern w:val="0"/>
          <w:highlight w:val="none"/>
        </w:rPr>
        <w:t xml:space="preserve">    承包人收到保修通知并到达工程现场的合理时间：</w:t>
      </w:r>
      <w:r>
        <w:rPr>
          <w:rFonts w:hint="eastAsia" w:ascii="宋体" w:hAnsi="宋体" w:cs="宋体"/>
          <w:kern w:val="0"/>
          <w:highlight w:val="none"/>
          <w:u w:val="single"/>
        </w:rPr>
        <w:t xml:space="preserve"> </w:t>
      </w:r>
      <w:r>
        <w:rPr>
          <w:rFonts w:hint="eastAsia" w:ascii="宋体" w:hAnsi="宋体" w:cs="宋体"/>
          <w:b/>
          <w:bCs/>
          <w:highlight w:val="none"/>
          <w:u w:val="single"/>
        </w:rPr>
        <w:t xml:space="preserve"> 2日内。</w:t>
      </w:r>
    </w:p>
    <w:p w14:paraId="34DD18C7">
      <w:pPr>
        <w:pStyle w:val="127"/>
        <w:adjustRightInd w:val="0"/>
        <w:snapToGrid w:val="0"/>
        <w:spacing w:before="0" w:after="0" w:line="360" w:lineRule="exact"/>
        <w:ind w:firstLine="420"/>
        <w:jc w:val="center"/>
        <w:rPr>
          <w:rFonts w:ascii="宋体" w:hAnsi="宋体" w:eastAsia="宋体" w:cs="宋体"/>
          <w:color w:val="auto"/>
          <w:sz w:val="21"/>
          <w:szCs w:val="21"/>
          <w:highlight w:val="none"/>
        </w:rPr>
      </w:pPr>
      <w:r>
        <w:rPr>
          <w:rFonts w:hint="eastAsia" w:ascii="宋体" w:hAnsi="宋体" w:eastAsia="宋体" w:cs="宋体"/>
          <w:b/>
          <w:bCs/>
          <w:color w:val="auto"/>
          <w:sz w:val="24"/>
          <w:highlight w:val="none"/>
        </w:rPr>
        <w:t>16. 违约</w:t>
      </w:r>
    </w:p>
    <w:p w14:paraId="210C61A9">
      <w:pPr>
        <w:pStyle w:val="104"/>
        <w:adjustRightInd w:val="0"/>
        <w:snapToGrid w:val="0"/>
        <w:spacing w:line="360" w:lineRule="exact"/>
        <w:ind w:firstLine="420" w:firstLineChars="200"/>
        <w:rPr>
          <w:rFonts w:ascii="宋体" w:hAnsi="宋体" w:cs="宋体"/>
          <w:highlight w:val="none"/>
        </w:rPr>
      </w:pPr>
      <w:r>
        <w:rPr>
          <w:rFonts w:hint="eastAsia" w:ascii="宋体" w:hAnsi="宋体" w:cs="宋体"/>
          <w:highlight w:val="none"/>
        </w:rPr>
        <w:t>16.1 发包人违约</w:t>
      </w:r>
    </w:p>
    <w:p w14:paraId="730B624A">
      <w:pPr>
        <w:pStyle w:val="104"/>
        <w:adjustRightInd w:val="0"/>
        <w:snapToGrid w:val="0"/>
        <w:spacing w:line="360" w:lineRule="exact"/>
        <w:ind w:firstLine="420" w:firstLineChars="200"/>
        <w:jc w:val="left"/>
        <w:rPr>
          <w:rFonts w:ascii="宋体" w:hAnsi="宋体" w:cs="宋体"/>
          <w:highlight w:val="none"/>
        </w:rPr>
      </w:pPr>
      <w:r>
        <w:rPr>
          <w:rFonts w:hint="eastAsia" w:ascii="宋体" w:hAnsi="宋体" w:cs="宋体"/>
          <w:highlight w:val="none"/>
        </w:rPr>
        <w:t>16.1.1发包人违约的情形</w:t>
      </w:r>
    </w:p>
    <w:p w14:paraId="16C69F2E">
      <w:pPr>
        <w:pStyle w:val="104"/>
        <w:autoSpaceDE w:val="0"/>
        <w:autoSpaceDN w:val="0"/>
        <w:adjustRightInd w:val="0"/>
        <w:snapToGrid w:val="0"/>
        <w:spacing w:line="360" w:lineRule="exact"/>
        <w:ind w:firstLine="420" w:firstLineChars="200"/>
        <w:jc w:val="left"/>
        <w:rPr>
          <w:rFonts w:ascii="宋体" w:hAnsi="宋体" w:cs="宋体"/>
          <w:b/>
          <w:bCs/>
          <w:highlight w:val="none"/>
          <w:u w:val="single"/>
        </w:rPr>
      </w:pPr>
      <w:r>
        <w:rPr>
          <w:rFonts w:hint="eastAsia" w:ascii="宋体" w:hAnsi="宋体" w:cs="宋体"/>
          <w:kern w:val="0"/>
          <w:highlight w:val="none"/>
        </w:rPr>
        <w:t>发包人违约的其他情形：</w:t>
      </w:r>
      <w:r>
        <w:rPr>
          <w:rFonts w:hint="eastAsia" w:ascii="宋体" w:hAnsi="宋体" w:cs="宋体"/>
          <w:kern w:val="0"/>
          <w:highlight w:val="none"/>
          <w:u w:val="single"/>
        </w:rPr>
        <w:t xml:space="preserve">     /      </w:t>
      </w:r>
      <w:r>
        <w:rPr>
          <w:rFonts w:hint="eastAsia" w:ascii="宋体" w:hAnsi="宋体" w:cs="宋体"/>
          <w:kern w:val="0"/>
          <w:highlight w:val="none"/>
        </w:rPr>
        <w:t>。</w:t>
      </w:r>
    </w:p>
    <w:p w14:paraId="5CD56992">
      <w:pPr>
        <w:pStyle w:val="104"/>
        <w:adjustRightInd w:val="0"/>
        <w:snapToGrid w:val="0"/>
        <w:spacing w:line="360" w:lineRule="exact"/>
        <w:ind w:left="1050" w:hanging="1050" w:hangingChars="500"/>
        <w:jc w:val="left"/>
        <w:rPr>
          <w:rFonts w:ascii="宋体" w:hAnsi="宋体" w:cs="宋体"/>
          <w:kern w:val="0"/>
          <w:highlight w:val="none"/>
        </w:rPr>
      </w:pPr>
      <w:r>
        <w:rPr>
          <w:rFonts w:hint="eastAsia" w:ascii="宋体" w:hAnsi="宋体" w:cs="宋体"/>
          <w:kern w:val="0"/>
          <w:highlight w:val="none"/>
        </w:rPr>
        <w:t xml:space="preserve">    16.1.2 发包人违约的责任</w:t>
      </w:r>
    </w:p>
    <w:p w14:paraId="023FF948">
      <w:pPr>
        <w:pStyle w:val="104"/>
        <w:adjustRightInd w:val="0"/>
        <w:snapToGrid w:val="0"/>
        <w:spacing w:line="360" w:lineRule="exact"/>
        <w:ind w:firstLine="420" w:firstLineChars="200"/>
        <w:jc w:val="left"/>
        <w:rPr>
          <w:rFonts w:ascii="宋体" w:hAnsi="宋体" w:cs="宋体"/>
          <w:kern w:val="0"/>
          <w:highlight w:val="none"/>
        </w:rPr>
      </w:pPr>
      <w:r>
        <w:rPr>
          <w:rFonts w:hint="eastAsia" w:ascii="宋体" w:hAnsi="宋体" w:cs="宋体"/>
          <w:kern w:val="0"/>
          <w:highlight w:val="none"/>
        </w:rPr>
        <w:t>发包人违约责任的承担方式和计算方法：</w:t>
      </w:r>
    </w:p>
    <w:p w14:paraId="6B4B0091">
      <w:pPr>
        <w:pStyle w:val="104"/>
        <w:adjustRightInd w:val="0"/>
        <w:snapToGrid w:val="0"/>
        <w:spacing w:line="360" w:lineRule="exact"/>
        <w:ind w:firstLine="420" w:firstLineChars="200"/>
        <w:jc w:val="left"/>
        <w:rPr>
          <w:rFonts w:ascii="宋体" w:hAnsi="宋体" w:cs="宋体"/>
          <w:highlight w:val="none"/>
          <w:u w:val="single"/>
        </w:rPr>
      </w:pPr>
      <w:r>
        <w:rPr>
          <w:rFonts w:hint="eastAsia" w:ascii="宋体" w:hAnsi="宋体" w:cs="宋体"/>
          <w:kern w:val="0"/>
          <w:highlight w:val="none"/>
        </w:rPr>
        <w:t>（1）因发包人原因未能在计划开工日期前7天内下达开工通知的违约责任：</w:t>
      </w:r>
      <w:r>
        <w:rPr>
          <w:rFonts w:hint="eastAsia" w:ascii="宋体" w:hAnsi="宋体" w:cs="宋体"/>
          <w:kern w:val="0"/>
          <w:highlight w:val="none"/>
          <w:u w:val="single"/>
        </w:rPr>
        <w:t xml:space="preserve"> </w:t>
      </w:r>
      <w:r>
        <w:rPr>
          <w:rFonts w:hint="eastAsia" w:ascii="宋体" w:hAnsi="宋体" w:cs="宋体"/>
          <w:highlight w:val="none"/>
          <w:u w:val="single"/>
        </w:rPr>
        <w:t>/</w:t>
      </w:r>
      <w:r>
        <w:rPr>
          <w:rFonts w:hint="eastAsia" w:ascii="宋体" w:hAnsi="宋体" w:cs="宋体"/>
          <w:highlight w:val="none"/>
        </w:rPr>
        <w:t xml:space="preserve"> </w:t>
      </w:r>
      <w:r>
        <w:rPr>
          <w:rFonts w:hint="eastAsia" w:ascii="宋体" w:hAnsi="宋体" w:cs="宋体"/>
          <w:highlight w:val="none"/>
          <w:u w:val="single"/>
        </w:rPr>
        <w:t xml:space="preserve"> </w:t>
      </w:r>
    </w:p>
    <w:p w14:paraId="3761AA79">
      <w:pPr>
        <w:pStyle w:val="104"/>
        <w:adjustRightInd w:val="0"/>
        <w:snapToGrid w:val="0"/>
        <w:spacing w:line="360" w:lineRule="exact"/>
        <w:ind w:firstLine="420" w:firstLineChars="200"/>
        <w:jc w:val="left"/>
        <w:rPr>
          <w:rFonts w:ascii="宋体" w:hAnsi="宋体" w:cs="宋体"/>
          <w:highlight w:val="none"/>
          <w:u w:val="single"/>
        </w:rPr>
      </w:pPr>
      <w:r>
        <w:rPr>
          <w:rFonts w:hint="eastAsia" w:ascii="宋体" w:hAnsi="宋体" w:cs="宋体"/>
          <w:kern w:val="0"/>
          <w:highlight w:val="none"/>
        </w:rPr>
        <w:t>（2）因发包人原因未能按合同约定支付合同价款的违约责任：</w:t>
      </w:r>
      <w:r>
        <w:rPr>
          <w:rFonts w:hint="eastAsia" w:ascii="宋体" w:hAnsi="宋体" w:cs="宋体"/>
          <w:kern w:val="0"/>
          <w:highlight w:val="none"/>
          <w:u w:val="single"/>
        </w:rPr>
        <w:t xml:space="preserve"> </w:t>
      </w:r>
      <w:r>
        <w:rPr>
          <w:rFonts w:hint="eastAsia" w:ascii="宋体" w:hAnsi="宋体" w:cs="宋体"/>
          <w:highlight w:val="none"/>
          <w:u w:val="single"/>
        </w:rPr>
        <w:t xml:space="preserve">/ </w:t>
      </w:r>
    </w:p>
    <w:p w14:paraId="38D5AED0">
      <w:pPr>
        <w:pStyle w:val="104"/>
        <w:autoSpaceDE w:val="0"/>
        <w:autoSpaceDN w:val="0"/>
        <w:adjustRightInd w:val="0"/>
        <w:snapToGrid w:val="0"/>
        <w:spacing w:line="360" w:lineRule="exact"/>
        <w:ind w:firstLine="420" w:firstLineChars="200"/>
        <w:jc w:val="left"/>
        <w:rPr>
          <w:rFonts w:ascii="宋体" w:hAnsi="宋体" w:cs="宋体"/>
          <w:kern w:val="0"/>
          <w:highlight w:val="none"/>
          <w:u w:val="single"/>
        </w:rPr>
      </w:pPr>
      <w:r>
        <w:rPr>
          <w:rFonts w:hint="eastAsia" w:ascii="宋体" w:hAnsi="宋体" w:cs="宋体"/>
          <w:kern w:val="0"/>
          <w:highlight w:val="none"/>
        </w:rPr>
        <w:t>（3）发包人违反第10.1款〔变更的范围〕第（2）项约定，自行实施被取消的工作或转由他人实施的违约责任：</w:t>
      </w:r>
      <w:r>
        <w:rPr>
          <w:rFonts w:hint="eastAsia" w:ascii="宋体" w:hAnsi="宋体" w:cs="宋体"/>
          <w:kern w:val="0"/>
          <w:highlight w:val="none"/>
          <w:u w:val="single"/>
        </w:rPr>
        <w:t xml:space="preserve"> </w:t>
      </w:r>
      <w:r>
        <w:rPr>
          <w:rFonts w:hint="eastAsia" w:ascii="宋体" w:hAnsi="宋体" w:cs="宋体"/>
          <w:highlight w:val="none"/>
          <w:u w:val="single"/>
        </w:rPr>
        <w:t xml:space="preserve">/  </w:t>
      </w:r>
    </w:p>
    <w:p w14:paraId="78A026A5">
      <w:pPr>
        <w:pStyle w:val="104"/>
        <w:adjustRightInd w:val="0"/>
        <w:snapToGrid w:val="0"/>
        <w:spacing w:line="360" w:lineRule="exact"/>
        <w:ind w:firstLine="420" w:firstLineChars="200"/>
        <w:jc w:val="left"/>
        <w:rPr>
          <w:rFonts w:ascii="宋体" w:hAnsi="宋体" w:cs="宋体"/>
          <w:highlight w:val="none"/>
          <w:u w:val="single"/>
        </w:rPr>
      </w:pPr>
      <w:r>
        <w:rPr>
          <w:rFonts w:hint="eastAsia" w:ascii="宋体" w:hAnsi="宋体" w:cs="宋体"/>
          <w:kern w:val="0"/>
          <w:highlight w:val="none"/>
        </w:rPr>
        <w:t>（4）发包人提供的材料、工程设备的规格、数量或质量不符合合同约定，或因发包人原因导致交货日期延误或交货地点变更等情况的违约责任：</w:t>
      </w:r>
      <w:r>
        <w:rPr>
          <w:rFonts w:hint="eastAsia" w:ascii="宋体" w:hAnsi="宋体" w:cs="宋体"/>
          <w:kern w:val="0"/>
          <w:highlight w:val="none"/>
          <w:u w:val="single"/>
        </w:rPr>
        <w:t xml:space="preserve"> </w:t>
      </w:r>
      <w:r>
        <w:rPr>
          <w:rFonts w:hint="eastAsia" w:ascii="宋体" w:hAnsi="宋体" w:cs="宋体"/>
          <w:highlight w:val="none"/>
          <w:u w:val="single"/>
        </w:rPr>
        <w:t xml:space="preserve">/ </w:t>
      </w:r>
    </w:p>
    <w:p w14:paraId="32F773EA">
      <w:pPr>
        <w:pStyle w:val="104"/>
        <w:autoSpaceDE w:val="0"/>
        <w:autoSpaceDN w:val="0"/>
        <w:adjustRightInd w:val="0"/>
        <w:snapToGrid w:val="0"/>
        <w:spacing w:line="360" w:lineRule="exact"/>
        <w:ind w:firstLine="420" w:firstLineChars="200"/>
        <w:jc w:val="left"/>
        <w:rPr>
          <w:rFonts w:ascii="宋体" w:hAnsi="宋体" w:cs="宋体"/>
          <w:highlight w:val="none"/>
          <w:u w:val="single"/>
        </w:rPr>
      </w:pPr>
      <w:r>
        <w:rPr>
          <w:rFonts w:hint="eastAsia" w:ascii="宋体" w:hAnsi="宋体" w:cs="宋体"/>
          <w:kern w:val="0"/>
          <w:highlight w:val="none"/>
        </w:rPr>
        <w:t>（5）因发包人违反合同约定造成暂停施工的违约责任：</w:t>
      </w:r>
      <w:r>
        <w:rPr>
          <w:rFonts w:hint="eastAsia" w:ascii="宋体" w:hAnsi="宋体" w:cs="宋体"/>
          <w:kern w:val="0"/>
          <w:highlight w:val="none"/>
          <w:u w:val="single"/>
        </w:rPr>
        <w:t xml:space="preserve"> </w:t>
      </w:r>
      <w:r>
        <w:rPr>
          <w:rFonts w:hint="eastAsia" w:ascii="宋体" w:hAnsi="宋体" w:cs="宋体"/>
          <w:highlight w:val="none"/>
          <w:u w:val="single"/>
        </w:rPr>
        <w:t xml:space="preserve">/ </w:t>
      </w:r>
    </w:p>
    <w:p w14:paraId="5A26A81B">
      <w:pPr>
        <w:pStyle w:val="104"/>
        <w:autoSpaceDE w:val="0"/>
        <w:autoSpaceDN w:val="0"/>
        <w:adjustRightInd w:val="0"/>
        <w:snapToGrid w:val="0"/>
        <w:spacing w:line="360" w:lineRule="exact"/>
        <w:ind w:firstLine="420" w:firstLineChars="200"/>
        <w:jc w:val="left"/>
        <w:rPr>
          <w:rFonts w:ascii="宋体" w:hAnsi="宋体" w:cs="宋体"/>
          <w:kern w:val="0"/>
          <w:highlight w:val="none"/>
          <w:u w:val="single"/>
        </w:rPr>
      </w:pPr>
      <w:r>
        <w:rPr>
          <w:rFonts w:hint="eastAsia" w:ascii="宋体" w:hAnsi="宋体" w:cs="宋体"/>
          <w:kern w:val="0"/>
          <w:highlight w:val="none"/>
        </w:rPr>
        <w:t>（6）发包人无正当理由没有在约定期限内发出复工指示，导致承包人无法复工的违约责任：</w:t>
      </w:r>
      <w:r>
        <w:rPr>
          <w:rFonts w:hint="eastAsia" w:ascii="宋体" w:hAnsi="宋体" w:cs="宋体"/>
          <w:kern w:val="0"/>
          <w:highlight w:val="none"/>
          <w:u w:val="single"/>
        </w:rPr>
        <w:t xml:space="preserve"> </w:t>
      </w:r>
      <w:r>
        <w:rPr>
          <w:rFonts w:hint="eastAsia" w:ascii="宋体" w:hAnsi="宋体" w:cs="宋体"/>
          <w:highlight w:val="none"/>
          <w:u w:val="single"/>
        </w:rPr>
        <w:t xml:space="preserve">/ </w:t>
      </w:r>
    </w:p>
    <w:p w14:paraId="180BF452">
      <w:pPr>
        <w:pStyle w:val="104"/>
        <w:autoSpaceDE w:val="0"/>
        <w:autoSpaceDN w:val="0"/>
        <w:adjustRightInd w:val="0"/>
        <w:snapToGrid w:val="0"/>
        <w:spacing w:line="360" w:lineRule="exact"/>
        <w:ind w:firstLine="420" w:firstLineChars="200"/>
        <w:jc w:val="left"/>
        <w:rPr>
          <w:rFonts w:ascii="宋体" w:hAnsi="宋体" w:cs="宋体"/>
          <w:highlight w:val="none"/>
          <w:u w:val="single"/>
        </w:rPr>
      </w:pPr>
      <w:r>
        <w:rPr>
          <w:rFonts w:hint="eastAsia" w:ascii="宋体" w:hAnsi="宋体" w:cs="宋体"/>
          <w:kern w:val="0"/>
          <w:highlight w:val="none"/>
        </w:rPr>
        <w:t>（7）其他：</w:t>
      </w:r>
      <w:r>
        <w:rPr>
          <w:rFonts w:hint="eastAsia" w:ascii="宋体" w:hAnsi="宋体" w:cs="宋体"/>
          <w:highlight w:val="none"/>
          <w:u w:val="single"/>
        </w:rPr>
        <w:t xml:space="preserve"> / </w:t>
      </w:r>
    </w:p>
    <w:p w14:paraId="1DA89F78">
      <w:pPr>
        <w:pStyle w:val="104"/>
        <w:adjustRightInd w:val="0"/>
        <w:snapToGrid w:val="0"/>
        <w:spacing w:line="360" w:lineRule="exact"/>
        <w:ind w:firstLine="420" w:firstLineChars="200"/>
        <w:jc w:val="left"/>
        <w:rPr>
          <w:rFonts w:ascii="宋体" w:hAnsi="宋体" w:cs="宋体"/>
          <w:highlight w:val="none"/>
        </w:rPr>
      </w:pPr>
      <w:r>
        <w:rPr>
          <w:rFonts w:hint="eastAsia" w:ascii="宋体" w:hAnsi="宋体" w:cs="宋体"/>
          <w:highlight w:val="none"/>
        </w:rPr>
        <w:t>16.1.3 因发包人违约解除合同</w:t>
      </w:r>
    </w:p>
    <w:p w14:paraId="68FA827A">
      <w:pPr>
        <w:pStyle w:val="104"/>
        <w:autoSpaceDE w:val="0"/>
        <w:autoSpaceDN w:val="0"/>
        <w:adjustRightInd w:val="0"/>
        <w:snapToGrid w:val="0"/>
        <w:spacing w:line="360" w:lineRule="exact"/>
        <w:ind w:firstLine="420" w:firstLineChars="200"/>
        <w:jc w:val="left"/>
        <w:rPr>
          <w:rFonts w:ascii="宋体" w:hAnsi="宋体" w:cs="宋体"/>
          <w:kern w:val="0"/>
          <w:highlight w:val="none"/>
        </w:rPr>
      </w:pPr>
      <w:r>
        <w:rPr>
          <w:rFonts w:hint="eastAsia" w:ascii="宋体" w:hAnsi="宋体" w:cs="宋体"/>
          <w:kern w:val="0"/>
          <w:highlight w:val="none"/>
        </w:rPr>
        <w:t>承包人按16.1.1项〔发包人违约的情形〕约定暂停施工满</w:t>
      </w:r>
      <w:r>
        <w:rPr>
          <w:rFonts w:hint="eastAsia" w:ascii="宋体" w:hAnsi="宋体" w:cs="宋体"/>
          <w:kern w:val="0"/>
          <w:highlight w:val="none"/>
          <w:u w:val="single"/>
        </w:rPr>
        <w:t xml:space="preserve"> </w:t>
      </w:r>
      <w:r>
        <w:rPr>
          <w:rFonts w:hint="eastAsia" w:ascii="宋体" w:hAnsi="宋体" w:cs="宋体"/>
          <w:b/>
          <w:bCs/>
          <w:kern w:val="0"/>
          <w:highlight w:val="none"/>
          <w:u w:val="single"/>
        </w:rPr>
        <w:t>60</w:t>
      </w:r>
      <w:r>
        <w:rPr>
          <w:rFonts w:hint="eastAsia" w:ascii="宋体" w:hAnsi="宋体" w:cs="宋体"/>
          <w:kern w:val="0"/>
          <w:highlight w:val="none"/>
          <w:u w:val="single"/>
        </w:rPr>
        <w:t xml:space="preserve"> </w:t>
      </w:r>
      <w:r>
        <w:rPr>
          <w:rFonts w:hint="eastAsia" w:ascii="宋体" w:hAnsi="宋体" w:cs="宋体"/>
          <w:kern w:val="0"/>
          <w:highlight w:val="none"/>
        </w:rPr>
        <w:t>天后发包人仍不纠正其违约行为并致使合同目的不能实现的，承包人有权解除合同。</w:t>
      </w:r>
    </w:p>
    <w:p w14:paraId="6D6C71E3">
      <w:pPr>
        <w:pStyle w:val="104"/>
        <w:adjustRightInd w:val="0"/>
        <w:snapToGrid w:val="0"/>
        <w:spacing w:line="360" w:lineRule="exact"/>
        <w:ind w:firstLine="420" w:firstLineChars="200"/>
        <w:rPr>
          <w:rFonts w:ascii="宋体" w:hAnsi="宋体" w:cs="宋体"/>
          <w:highlight w:val="none"/>
        </w:rPr>
      </w:pPr>
      <w:r>
        <w:rPr>
          <w:rFonts w:hint="eastAsia" w:ascii="宋体" w:hAnsi="宋体" w:cs="宋体"/>
          <w:highlight w:val="none"/>
        </w:rPr>
        <w:t>16.2 承包人违约</w:t>
      </w:r>
    </w:p>
    <w:p w14:paraId="7459FD0F">
      <w:pPr>
        <w:pStyle w:val="104"/>
        <w:adjustRightInd w:val="0"/>
        <w:snapToGrid w:val="0"/>
        <w:spacing w:line="360" w:lineRule="exact"/>
        <w:ind w:firstLine="420" w:firstLineChars="200"/>
        <w:jc w:val="left"/>
        <w:rPr>
          <w:rFonts w:ascii="宋体" w:hAnsi="宋体" w:cs="宋体"/>
          <w:kern w:val="0"/>
          <w:highlight w:val="none"/>
        </w:rPr>
      </w:pPr>
      <w:r>
        <w:rPr>
          <w:rFonts w:hint="eastAsia" w:ascii="宋体" w:hAnsi="宋体" w:cs="宋体"/>
          <w:kern w:val="0"/>
          <w:highlight w:val="none"/>
        </w:rPr>
        <w:t>16.2.1 承包人违约的情形</w:t>
      </w:r>
    </w:p>
    <w:p w14:paraId="3B4E225C">
      <w:pPr>
        <w:pStyle w:val="104"/>
        <w:adjustRightInd w:val="0"/>
        <w:snapToGrid w:val="0"/>
        <w:spacing w:line="360" w:lineRule="exact"/>
        <w:ind w:left="1110" w:leftChars="200" w:hanging="630" w:hangingChars="300"/>
        <w:jc w:val="left"/>
        <w:rPr>
          <w:rFonts w:ascii="宋体" w:hAnsi="宋体" w:cs="宋体"/>
          <w:kern w:val="0"/>
          <w:highlight w:val="none"/>
        </w:rPr>
      </w:pPr>
      <w:r>
        <w:rPr>
          <w:rFonts w:hint="eastAsia" w:ascii="宋体" w:hAnsi="宋体" w:cs="宋体"/>
          <w:kern w:val="0"/>
          <w:highlight w:val="none"/>
        </w:rPr>
        <w:t>承包人违约的其他情形：</w:t>
      </w:r>
      <w:r>
        <w:rPr>
          <w:rFonts w:hint="eastAsia" w:ascii="宋体" w:hAnsi="宋体" w:cs="宋体"/>
          <w:kern w:val="0"/>
          <w:highlight w:val="none"/>
          <w:u w:val="single"/>
        </w:rPr>
        <w:t xml:space="preserve">   /    </w:t>
      </w:r>
      <w:r>
        <w:rPr>
          <w:rFonts w:hint="eastAsia" w:ascii="宋体" w:hAnsi="宋体" w:cs="宋体"/>
          <w:kern w:val="0"/>
          <w:highlight w:val="none"/>
        </w:rPr>
        <w:t xml:space="preserve">。   </w:t>
      </w:r>
    </w:p>
    <w:p w14:paraId="3F88EB47">
      <w:pPr>
        <w:pStyle w:val="104"/>
        <w:adjustRightInd w:val="0"/>
        <w:snapToGrid w:val="0"/>
        <w:spacing w:line="360" w:lineRule="exact"/>
        <w:ind w:firstLine="420" w:firstLineChars="200"/>
        <w:jc w:val="left"/>
        <w:rPr>
          <w:rFonts w:ascii="宋体" w:hAnsi="宋体" w:cs="宋体"/>
          <w:kern w:val="0"/>
          <w:highlight w:val="none"/>
        </w:rPr>
      </w:pPr>
      <w:r>
        <w:rPr>
          <w:rFonts w:hint="eastAsia" w:ascii="宋体" w:hAnsi="宋体" w:cs="宋体"/>
          <w:kern w:val="0"/>
          <w:highlight w:val="none"/>
        </w:rPr>
        <w:t>16.2.2承包人违约的责任</w:t>
      </w:r>
    </w:p>
    <w:p w14:paraId="02B6E40E">
      <w:pPr>
        <w:pStyle w:val="104"/>
        <w:adjustRightInd w:val="0"/>
        <w:snapToGrid w:val="0"/>
        <w:spacing w:line="360" w:lineRule="exact"/>
        <w:ind w:left="1110" w:leftChars="200" w:hanging="630" w:hangingChars="300"/>
        <w:jc w:val="left"/>
        <w:rPr>
          <w:rFonts w:ascii="宋体" w:hAnsi="宋体" w:cs="宋体"/>
          <w:kern w:val="0"/>
          <w:highlight w:val="none"/>
          <w:u w:val="single"/>
        </w:rPr>
      </w:pPr>
      <w:r>
        <w:rPr>
          <w:rFonts w:hint="eastAsia" w:ascii="宋体" w:hAnsi="宋体" w:cs="宋体"/>
          <w:kern w:val="0"/>
          <w:highlight w:val="none"/>
        </w:rPr>
        <w:t>承包人违约责任的承担方式和计算方法：</w:t>
      </w:r>
      <w:r>
        <w:rPr>
          <w:rFonts w:hint="eastAsia" w:ascii="宋体" w:hAnsi="宋体" w:cs="宋体"/>
          <w:kern w:val="0"/>
          <w:highlight w:val="none"/>
          <w:u w:val="single"/>
        </w:rPr>
        <w:t xml:space="preserve">   /    </w:t>
      </w:r>
      <w:r>
        <w:rPr>
          <w:rFonts w:hint="eastAsia" w:ascii="宋体" w:hAnsi="宋体" w:cs="宋体"/>
          <w:kern w:val="0"/>
          <w:highlight w:val="none"/>
        </w:rPr>
        <w:t>。</w:t>
      </w:r>
      <w:r>
        <w:rPr>
          <w:rFonts w:hint="eastAsia" w:ascii="宋体" w:hAnsi="宋体" w:cs="宋体"/>
          <w:highlight w:val="none"/>
        </w:rPr>
        <w:t xml:space="preserve">    </w:t>
      </w:r>
    </w:p>
    <w:p w14:paraId="3D5797B8">
      <w:pPr>
        <w:pStyle w:val="104"/>
        <w:adjustRightInd w:val="0"/>
        <w:snapToGrid w:val="0"/>
        <w:spacing w:line="360" w:lineRule="exact"/>
        <w:ind w:firstLine="420" w:firstLineChars="200"/>
        <w:jc w:val="left"/>
        <w:rPr>
          <w:rFonts w:ascii="宋体" w:hAnsi="宋体" w:cs="宋体"/>
          <w:highlight w:val="none"/>
        </w:rPr>
      </w:pPr>
      <w:r>
        <w:rPr>
          <w:rFonts w:hint="eastAsia" w:ascii="宋体" w:hAnsi="宋体" w:cs="宋体"/>
          <w:highlight w:val="none"/>
        </w:rPr>
        <w:t>16.2.3 因承包人违约解除合同</w:t>
      </w:r>
    </w:p>
    <w:p w14:paraId="6464553F">
      <w:pPr>
        <w:pStyle w:val="104"/>
        <w:adjustRightInd w:val="0"/>
        <w:snapToGrid w:val="0"/>
        <w:spacing w:line="360" w:lineRule="exact"/>
        <w:ind w:firstLine="420" w:firstLineChars="200"/>
        <w:jc w:val="left"/>
        <w:rPr>
          <w:rFonts w:ascii="宋体" w:hAnsi="宋体" w:cs="宋体"/>
          <w:kern w:val="0"/>
          <w:highlight w:val="none"/>
        </w:rPr>
      </w:pPr>
      <w:r>
        <w:rPr>
          <w:rFonts w:hint="eastAsia" w:ascii="宋体" w:hAnsi="宋体" w:cs="宋体"/>
          <w:kern w:val="0"/>
          <w:highlight w:val="none"/>
        </w:rPr>
        <w:t>关于承包人违约解除合同的特别约定：</w:t>
      </w:r>
      <w:r>
        <w:rPr>
          <w:rFonts w:hint="eastAsia" w:ascii="宋体" w:hAnsi="宋体" w:cs="宋体"/>
          <w:b/>
          <w:bCs/>
          <w:highlight w:val="none"/>
          <w:u w:val="single"/>
        </w:rPr>
        <w:t>承包人无故中止施工超过30天而导致工程无法完工的，发包人有权解除合同，并要求承包人按合同金额的10%支付违约金，因承包人违约造成发包人损失超过上述违约金数额的，还需要承担相应赔偿责任，包括直接损失和间接损失。</w:t>
      </w:r>
    </w:p>
    <w:p w14:paraId="782735D7">
      <w:pPr>
        <w:pStyle w:val="104"/>
        <w:adjustRightInd w:val="0"/>
        <w:snapToGrid w:val="0"/>
        <w:spacing w:line="360" w:lineRule="exact"/>
        <w:ind w:firstLine="420" w:firstLineChars="200"/>
        <w:rPr>
          <w:rFonts w:ascii="宋体" w:hAnsi="宋体" w:cs="宋体"/>
          <w:b/>
          <w:bCs/>
          <w:highlight w:val="none"/>
          <w:u w:val="single"/>
        </w:rPr>
      </w:pPr>
      <w:r>
        <w:rPr>
          <w:rFonts w:hint="eastAsia" w:ascii="宋体" w:hAnsi="宋体" w:cs="宋体"/>
          <w:kern w:val="0"/>
          <w:highlight w:val="none"/>
        </w:rPr>
        <w:t>发包人继续使用承包人在施工现场的材料、设备、临时工程、承包人文件和由承包人或以其名义编制的其他文件的费用承担方式：</w:t>
      </w:r>
      <w:r>
        <w:rPr>
          <w:rFonts w:hint="eastAsia" w:ascii="宋体" w:hAnsi="宋体" w:cs="宋体"/>
          <w:kern w:val="0"/>
          <w:highlight w:val="none"/>
          <w:u w:val="single"/>
        </w:rPr>
        <w:t xml:space="preserve">     /    </w:t>
      </w:r>
      <w:r>
        <w:rPr>
          <w:rFonts w:hint="eastAsia" w:ascii="宋体" w:hAnsi="宋体" w:cs="宋体"/>
          <w:kern w:val="0"/>
          <w:highlight w:val="none"/>
        </w:rPr>
        <w:t>。</w:t>
      </w:r>
    </w:p>
    <w:p w14:paraId="13495EC9">
      <w:pPr>
        <w:pStyle w:val="127"/>
        <w:adjustRightInd w:val="0"/>
        <w:snapToGrid w:val="0"/>
        <w:spacing w:before="0" w:after="0" w:line="360" w:lineRule="exact"/>
        <w:ind w:firstLine="420"/>
        <w:jc w:val="center"/>
        <w:rPr>
          <w:rFonts w:ascii="宋体" w:hAnsi="宋体" w:eastAsia="宋体" w:cs="宋体"/>
          <w:b/>
          <w:bCs/>
          <w:color w:val="auto"/>
          <w:sz w:val="24"/>
          <w:highlight w:val="none"/>
        </w:rPr>
      </w:pPr>
      <w:r>
        <w:rPr>
          <w:rFonts w:hint="eastAsia" w:ascii="宋体" w:hAnsi="宋体" w:eastAsia="宋体" w:cs="宋体"/>
          <w:b/>
          <w:bCs/>
          <w:color w:val="auto"/>
          <w:sz w:val="24"/>
          <w:highlight w:val="none"/>
        </w:rPr>
        <w:t>17. 不可抗力</w:t>
      </w:r>
    </w:p>
    <w:p w14:paraId="00C60B3B">
      <w:pPr>
        <w:pStyle w:val="104"/>
        <w:adjustRightInd w:val="0"/>
        <w:snapToGrid w:val="0"/>
        <w:spacing w:line="360" w:lineRule="exact"/>
        <w:ind w:firstLine="420" w:firstLineChars="200"/>
        <w:rPr>
          <w:rFonts w:ascii="宋体" w:hAnsi="宋体" w:cs="宋体"/>
          <w:highlight w:val="none"/>
        </w:rPr>
      </w:pPr>
      <w:r>
        <w:rPr>
          <w:rFonts w:hint="eastAsia" w:ascii="宋体" w:hAnsi="宋体" w:cs="宋体"/>
          <w:highlight w:val="none"/>
        </w:rPr>
        <w:t>17.1 不可抗力的确认</w:t>
      </w:r>
    </w:p>
    <w:p w14:paraId="48A9917A">
      <w:pPr>
        <w:pStyle w:val="104"/>
        <w:adjustRightInd w:val="0"/>
        <w:snapToGrid w:val="0"/>
        <w:spacing w:line="360" w:lineRule="exact"/>
        <w:ind w:firstLine="420" w:firstLineChars="200"/>
        <w:jc w:val="left"/>
        <w:rPr>
          <w:rFonts w:ascii="宋体" w:hAnsi="宋体" w:cs="宋体"/>
          <w:kern w:val="0"/>
          <w:highlight w:val="none"/>
          <w:u w:val="single"/>
        </w:rPr>
      </w:pPr>
      <w:r>
        <w:rPr>
          <w:rFonts w:hint="eastAsia" w:ascii="宋体" w:hAnsi="宋体" w:cs="宋体"/>
          <w:highlight w:val="none"/>
        </w:rPr>
        <w:t>除通用合同条款约定的不可抗力事件之外，视为不可抗力的其他情形：</w:t>
      </w:r>
      <w:r>
        <w:rPr>
          <w:rFonts w:hint="eastAsia" w:ascii="宋体" w:hAnsi="宋体" w:cs="宋体"/>
          <w:kern w:val="0"/>
          <w:highlight w:val="none"/>
          <w:u w:val="single"/>
        </w:rPr>
        <w:t xml:space="preserve">  /  </w:t>
      </w:r>
      <w:r>
        <w:rPr>
          <w:rFonts w:hint="eastAsia" w:ascii="宋体" w:hAnsi="宋体" w:cs="宋体"/>
          <w:kern w:val="0"/>
          <w:highlight w:val="none"/>
        </w:rPr>
        <w:t>。</w:t>
      </w:r>
    </w:p>
    <w:p w14:paraId="2C3ED442">
      <w:pPr>
        <w:pStyle w:val="104"/>
        <w:adjustRightInd w:val="0"/>
        <w:snapToGrid w:val="0"/>
        <w:spacing w:line="360" w:lineRule="exact"/>
        <w:ind w:firstLine="420" w:firstLineChars="200"/>
        <w:rPr>
          <w:rFonts w:ascii="宋体" w:hAnsi="宋体" w:cs="宋体"/>
          <w:highlight w:val="none"/>
        </w:rPr>
      </w:pPr>
      <w:r>
        <w:rPr>
          <w:rFonts w:hint="eastAsia" w:ascii="宋体" w:hAnsi="宋体" w:cs="宋体"/>
          <w:highlight w:val="none"/>
        </w:rPr>
        <w:t>17.2 因不可抗力解除合同</w:t>
      </w:r>
    </w:p>
    <w:p w14:paraId="0161AC3E">
      <w:pPr>
        <w:pStyle w:val="104"/>
        <w:adjustRightInd w:val="0"/>
        <w:snapToGrid w:val="0"/>
        <w:spacing w:line="360" w:lineRule="exact"/>
        <w:ind w:firstLine="420" w:firstLineChars="200"/>
        <w:jc w:val="left"/>
        <w:rPr>
          <w:rFonts w:ascii="宋体" w:hAnsi="宋体" w:cs="宋体"/>
          <w:highlight w:val="none"/>
        </w:rPr>
      </w:pPr>
      <w:r>
        <w:rPr>
          <w:rFonts w:hint="eastAsia" w:ascii="宋体" w:hAnsi="宋体" w:cs="宋体"/>
          <w:highlight w:val="none"/>
        </w:rPr>
        <w:t>合同解除后，发包人应在商定或确定发包人应支付款项后</w:t>
      </w:r>
      <w:r>
        <w:rPr>
          <w:rFonts w:hint="eastAsia" w:ascii="宋体" w:hAnsi="宋体" w:cs="宋体"/>
          <w:highlight w:val="none"/>
          <w:u w:val="single"/>
        </w:rPr>
        <w:t xml:space="preserve">  / </w:t>
      </w:r>
      <w:r>
        <w:rPr>
          <w:rFonts w:hint="eastAsia" w:ascii="宋体" w:hAnsi="宋体" w:cs="宋体"/>
          <w:highlight w:val="none"/>
        </w:rPr>
        <w:t>天内完成款项的支付。</w:t>
      </w:r>
    </w:p>
    <w:p w14:paraId="1B1965D9">
      <w:pPr>
        <w:pStyle w:val="127"/>
        <w:adjustRightInd w:val="0"/>
        <w:snapToGrid w:val="0"/>
        <w:spacing w:before="0" w:after="0" w:line="360" w:lineRule="exact"/>
        <w:ind w:firstLine="420"/>
        <w:jc w:val="center"/>
        <w:rPr>
          <w:rFonts w:ascii="宋体" w:hAnsi="宋体" w:eastAsia="宋体" w:cs="宋体"/>
          <w:b/>
          <w:bCs/>
          <w:color w:val="auto"/>
          <w:sz w:val="24"/>
          <w:highlight w:val="none"/>
        </w:rPr>
      </w:pPr>
      <w:r>
        <w:rPr>
          <w:rFonts w:hint="eastAsia" w:ascii="宋体" w:hAnsi="宋体" w:eastAsia="宋体" w:cs="宋体"/>
          <w:b/>
          <w:bCs/>
          <w:color w:val="auto"/>
          <w:sz w:val="24"/>
          <w:highlight w:val="none"/>
        </w:rPr>
        <w:t>18. 保险</w:t>
      </w:r>
    </w:p>
    <w:p w14:paraId="3864E676">
      <w:pPr>
        <w:pStyle w:val="104"/>
        <w:adjustRightInd w:val="0"/>
        <w:snapToGrid w:val="0"/>
        <w:spacing w:line="360" w:lineRule="exact"/>
        <w:ind w:firstLine="420" w:firstLineChars="200"/>
        <w:rPr>
          <w:rFonts w:ascii="宋体" w:hAnsi="宋体" w:cs="宋体"/>
          <w:highlight w:val="none"/>
        </w:rPr>
      </w:pPr>
      <w:r>
        <w:rPr>
          <w:rFonts w:hint="eastAsia" w:ascii="宋体" w:hAnsi="宋体" w:cs="宋体"/>
          <w:highlight w:val="none"/>
        </w:rPr>
        <w:t>18.1 工程保险</w:t>
      </w:r>
    </w:p>
    <w:p w14:paraId="11EA1DCA">
      <w:pPr>
        <w:pStyle w:val="104"/>
        <w:adjustRightInd w:val="0"/>
        <w:snapToGrid w:val="0"/>
        <w:spacing w:line="360" w:lineRule="exact"/>
        <w:ind w:firstLine="420" w:firstLineChars="200"/>
        <w:jc w:val="left"/>
        <w:rPr>
          <w:rFonts w:ascii="宋体" w:hAnsi="宋体" w:cs="宋体"/>
          <w:highlight w:val="none"/>
        </w:rPr>
      </w:pPr>
      <w:r>
        <w:rPr>
          <w:rFonts w:hint="eastAsia" w:ascii="宋体" w:hAnsi="宋体" w:cs="宋体"/>
          <w:highlight w:val="none"/>
        </w:rPr>
        <w:t>关于工程保险的特别约定：</w:t>
      </w:r>
      <w:r>
        <w:rPr>
          <w:rFonts w:hint="eastAsia" w:ascii="宋体" w:hAnsi="宋体" w:cs="宋体"/>
          <w:kern w:val="0"/>
          <w:highlight w:val="none"/>
          <w:u w:val="single"/>
        </w:rPr>
        <w:t xml:space="preserve">  /   </w:t>
      </w:r>
      <w:r>
        <w:rPr>
          <w:rFonts w:hint="eastAsia" w:ascii="宋体" w:hAnsi="宋体" w:cs="宋体"/>
          <w:kern w:val="0"/>
          <w:highlight w:val="none"/>
        </w:rPr>
        <w:t>。</w:t>
      </w:r>
    </w:p>
    <w:p w14:paraId="5D85932A">
      <w:pPr>
        <w:pStyle w:val="104"/>
        <w:adjustRightInd w:val="0"/>
        <w:snapToGrid w:val="0"/>
        <w:spacing w:line="360" w:lineRule="exact"/>
        <w:ind w:firstLine="420" w:firstLineChars="200"/>
        <w:rPr>
          <w:rFonts w:ascii="宋体" w:hAnsi="宋体" w:cs="宋体"/>
          <w:highlight w:val="none"/>
        </w:rPr>
      </w:pPr>
      <w:r>
        <w:rPr>
          <w:rFonts w:hint="eastAsia" w:ascii="宋体" w:hAnsi="宋体" w:cs="宋体"/>
          <w:highlight w:val="none"/>
        </w:rPr>
        <w:t>18.2 其他保险</w:t>
      </w:r>
    </w:p>
    <w:p w14:paraId="686BA8B8">
      <w:pPr>
        <w:pStyle w:val="104"/>
        <w:adjustRightInd w:val="0"/>
        <w:snapToGrid w:val="0"/>
        <w:spacing w:line="360" w:lineRule="exact"/>
        <w:ind w:firstLine="420" w:firstLineChars="200"/>
        <w:jc w:val="left"/>
        <w:rPr>
          <w:rFonts w:ascii="宋体" w:hAnsi="宋体" w:cs="宋体"/>
          <w:b/>
          <w:bCs/>
          <w:highlight w:val="none"/>
          <w:u w:val="single"/>
        </w:rPr>
      </w:pPr>
      <w:r>
        <w:rPr>
          <w:rFonts w:hint="eastAsia" w:ascii="宋体" w:hAnsi="宋体" w:cs="宋体"/>
          <w:highlight w:val="none"/>
        </w:rPr>
        <w:t>关于其他保险的约定：</w:t>
      </w:r>
      <w:r>
        <w:rPr>
          <w:rFonts w:hint="eastAsia" w:ascii="宋体" w:hAnsi="宋体" w:cs="宋体"/>
          <w:b/>
          <w:bCs/>
          <w:highlight w:val="none"/>
          <w:u w:val="single"/>
        </w:rPr>
        <w:t>承包人投保建筑工人及管理人员意外伤害保险。</w:t>
      </w:r>
    </w:p>
    <w:p w14:paraId="05347B5B">
      <w:pPr>
        <w:pStyle w:val="104"/>
        <w:adjustRightInd w:val="0"/>
        <w:snapToGrid w:val="0"/>
        <w:spacing w:line="360" w:lineRule="exact"/>
        <w:jc w:val="left"/>
        <w:rPr>
          <w:rFonts w:ascii="宋体" w:hAnsi="宋体" w:cs="宋体"/>
          <w:kern w:val="0"/>
          <w:highlight w:val="none"/>
        </w:rPr>
      </w:pPr>
      <w:r>
        <w:rPr>
          <w:rFonts w:hint="eastAsia" w:ascii="宋体" w:hAnsi="宋体" w:cs="宋体"/>
          <w:highlight w:val="none"/>
        </w:rPr>
        <w:t xml:space="preserve">    承包人是否应为其施工设备等办理财产保险：</w:t>
      </w:r>
      <w:r>
        <w:rPr>
          <w:rFonts w:hint="eastAsia" w:ascii="宋体" w:hAnsi="宋体" w:cs="宋体"/>
          <w:highlight w:val="none"/>
          <w:u w:val="single"/>
        </w:rPr>
        <w:t xml:space="preserve">    </w:t>
      </w:r>
      <w:r>
        <w:rPr>
          <w:rFonts w:hint="eastAsia" w:ascii="宋体" w:hAnsi="宋体" w:cs="宋体"/>
          <w:b/>
          <w:bCs/>
          <w:highlight w:val="none"/>
          <w:u w:val="single"/>
        </w:rPr>
        <w:t xml:space="preserve">是 </w:t>
      </w:r>
      <w:r>
        <w:rPr>
          <w:rFonts w:hint="eastAsia" w:ascii="宋体" w:hAnsi="宋体" w:cs="宋体"/>
          <w:highlight w:val="none"/>
          <w:u w:val="single"/>
        </w:rPr>
        <w:t xml:space="preserve">     </w:t>
      </w:r>
      <w:r>
        <w:rPr>
          <w:rFonts w:hint="eastAsia" w:ascii="宋体" w:hAnsi="宋体" w:cs="宋体"/>
          <w:highlight w:val="none"/>
        </w:rPr>
        <w:t>。</w:t>
      </w:r>
    </w:p>
    <w:p w14:paraId="496D03BC">
      <w:pPr>
        <w:pStyle w:val="104"/>
        <w:adjustRightInd w:val="0"/>
        <w:snapToGrid w:val="0"/>
        <w:spacing w:line="360" w:lineRule="exact"/>
        <w:ind w:firstLine="420" w:firstLineChars="200"/>
        <w:rPr>
          <w:rFonts w:ascii="宋体" w:hAnsi="宋体" w:cs="宋体"/>
          <w:highlight w:val="none"/>
        </w:rPr>
      </w:pPr>
      <w:r>
        <w:rPr>
          <w:rFonts w:hint="eastAsia" w:ascii="宋体" w:hAnsi="宋体" w:cs="宋体"/>
          <w:highlight w:val="none"/>
        </w:rPr>
        <w:t>18.3 通知义务</w:t>
      </w:r>
    </w:p>
    <w:p w14:paraId="76352D8B">
      <w:pPr>
        <w:pStyle w:val="104"/>
        <w:adjustRightInd w:val="0"/>
        <w:snapToGrid w:val="0"/>
        <w:spacing w:line="360" w:lineRule="exact"/>
        <w:ind w:firstLine="420" w:firstLineChars="200"/>
        <w:jc w:val="left"/>
        <w:rPr>
          <w:rFonts w:ascii="宋体" w:hAnsi="宋体" w:cs="宋体"/>
          <w:highlight w:val="none"/>
        </w:rPr>
      </w:pPr>
      <w:r>
        <w:rPr>
          <w:rFonts w:hint="eastAsia" w:ascii="宋体" w:hAnsi="宋体" w:cs="宋体"/>
          <w:kern w:val="0"/>
          <w:highlight w:val="none"/>
        </w:rPr>
        <w:t>关于变更保险合同时的通知义务的约定：</w:t>
      </w:r>
      <w:r>
        <w:rPr>
          <w:rFonts w:hint="eastAsia" w:ascii="宋体" w:hAnsi="宋体" w:cs="宋体"/>
          <w:b/>
          <w:bCs/>
          <w:highlight w:val="none"/>
          <w:u w:val="single"/>
        </w:rPr>
        <w:t>按通用合同条款第18.7条项规定执行。</w:t>
      </w:r>
    </w:p>
    <w:p w14:paraId="71211D10">
      <w:pPr>
        <w:pStyle w:val="127"/>
        <w:adjustRightInd w:val="0"/>
        <w:snapToGrid w:val="0"/>
        <w:spacing w:before="0" w:after="0" w:line="360" w:lineRule="exact"/>
        <w:ind w:firstLine="42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19. 争议解决</w:t>
      </w:r>
    </w:p>
    <w:p w14:paraId="1E64DA7D">
      <w:pPr>
        <w:pStyle w:val="104"/>
        <w:adjustRightInd w:val="0"/>
        <w:snapToGrid w:val="0"/>
        <w:spacing w:line="360" w:lineRule="exact"/>
        <w:ind w:firstLine="420" w:firstLineChars="200"/>
        <w:rPr>
          <w:rFonts w:ascii="宋体" w:hAnsi="宋体" w:cs="宋体"/>
          <w:highlight w:val="none"/>
        </w:rPr>
      </w:pPr>
      <w:r>
        <w:rPr>
          <w:rFonts w:hint="eastAsia" w:ascii="宋体" w:hAnsi="宋体" w:cs="宋体"/>
          <w:highlight w:val="none"/>
        </w:rPr>
        <w:t>19.1 争议评审</w:t>
      </w:r>
    </w:p>
    <w:p w14:paraId="1E1EA1A3">
      <w:pPr>
        <w:pStyle w:val="104"/>
        <w:adjustRightInd w:val="0"/>
        <w:snapToGrid w:val="0"/>
        <w:spacing w:line="360" w:lineRule="exact"/>
        <w:jc w:val="left"/>
        <w:rPr>
          <w:rFonts w:ascii="宋体" w:hAnsi="宋体" w:cs="宋体"/>
          <w:highlight w:val="none"/>
        </w:rPr>
      </w:pPr>
      <w:r>
        <w:rPr>
          <w:rFonts w:hint="eastAsia" w:ascii="宋体" w:hAnsi="宋体" w:cs="宋体"/>
          <w:highlight w:val="none"/>
        </w:rPr>
        <w:t xml:space="preserve">    合同当事人是否同意将工程争议提交争议评审小组决定：</w:t>
      </w:r>
      <w:r>
        <w:rPr>
          <w:rFonts w:hint="eastAsia" w:ascii="宋体" w:hAnsi="宋体" w:cs="宋体"/>
          <w:highlight w:val="none"/>
          <w:u w:val="single"/>
        </w:rPr>
        <w:t xml:space="preserve">   /   </w:t>
      </w:r>
      <w:r>
        <w:rPr>
          <w:rFonts w:hint="eastAsia" w:ascii="宋体" w:hAnsi="宋体" w:cs="宋体"/>
          <w:highlight w:val="none"/>
        </w:rPr>
        <w:t xml:space="preserve">。  </w:t>
      </w:r>
    </w:p>
    <w:p w14:paraId="182BB4D9">
      <w:pPr>
        <w:pStyle w:val="104"/>
        <w:adjustRightInd w:val="0"/>
        <w:snapToGrid w:val="0"/>
        <w:spacing w:line="360" w:lineRule="exact"/>
        <w:ind w:firstLine="420" w:firstLineChars="200"/>
        <w:jc w:val="left"/>
        <w:rPr>
          <w:rFonts w:ascii="宋体" w:hAnsi="宋体" w:cs="宋体"/>
          <w:highlight w:val="none"/>
        </w:rPr>
      </w:pPr>
      <w:r>
        <w:rPr>
          <w:rFonts w:hint="eastAsia" w:ascii="宋体" w:hAnsi="宋体" w:cs="宋体"/>
          <w:highlight w:val="none"/>
        </w:rPr>
        <w:t>19.1.1 争议评审小组的确定</w:t>
      </w:r>
    </w:p>
    <w:p w14:paraId="5FC59902">
      <w:pPr>
        <w:pStyle w:val="104"/>
        <w:adjustRightInd w:val="0"/>
        <w:snapToGrid w:val="0"/>
        <w:spacing w:line="360" w:lineRule="exact"/>
        <w:ind w:firstLine="420" w:firstLineChars="200"/>
        <w:jc w:val="left"/>
        <w:rPr>
          <w:rFonts w:ascii="宋体" w:hAnsi="宋体" w:cs="宋体"/>
          <w:highlight w:val="none"/>
          <w:u w:val="single"/>
        </w:rPr>
      </w:pPr>
      <w:r>
        <w:rPr>
          <w:rFonts w:hint="eastAsia" w:ascii="宋体" w:hAnsi="宋体" w:cs="宋体"/>
          <w:highlight w:val="none"/>
        </w:rPr>
        <w:t>争议评审小组成员的确定：</w:t>
      </w:r>
      <w:r>
        <w:rPr>
          <w:rFonts w:hint="eastAsia" w:ascii="宋体" w:hAnsi="宋体" w:cs="宋体"/>
          <w:highlight w:val="none"/>
          <w:u w:val="single"/>
        </w:rPr>
        <w:t xml:space="preserve">     /      </w:t>
      </w:r>
      <w:r>
        <w:rPr>
          <w:rFonts w:hint="eastAsia" w:ascii="宋体" w:hAnsi="宋体" w:cs="宋体"/>
          <w:highlight w:val="none"/>
        </w:rPr>
        <w:t>。</w:t>
      </w:r>
    </w:p>
    <w:p w14:paraId="3A8BDA10">
      <w:pPr>
        <w:pStyle w:val="104"/>
        <w:adjustRightInd w:val="0"/>
        <w:snapToGrid w:val="0"/>
        <w:spacing w:line="360" w:lineRule="exact"/>
        <w:ind w:firstLine="420" w:firstLineChars="200"/>
        <w:jc w:val="left"/>
        <w:rPr>
          <w:rFonts w:ascii="宋体" w:hAnsi="宋体" w:cs="宋体"/>
          <w:highlight w:val="none"/>
        </w:rPr>
      </w:pPr>
      <w:r>
        <w:rPr>
          <w:rFonts w:hint="eastAsia" w:ascii="宋体" w:hAnsi="宋体" w:cs="宋体"/>
          <w:highlight w:val="none"/>
        </w:rPr>
        <w:t>选定争议评审员的期限：</w:t>
      </w:r>
      <w:r>
        <w:rPr>
          <w:rFonts w:hint="eastAsia" w:ascii="宋体" w:hAnsi="宋体" w:cs="宋体"/>
          <w:highlight w:val="none"/>
          <w:u w:val="single"/>
        </w:rPr>
        <w:t xml:space="preserve">      /       </w:t>
      </w:r>
      <w:r>
        <w:rPr>
          <w:rFonts w:hint="eastAsia" w:ascii="宋体" w:hAnsi="宋体" w:cs="宋体"/>
          <w:highlight w:val="none"/>
        </w:rPr>
        <w:t>。</w:t>
      </w:r>
    </w:p>
    <w:p w14:paraId="223966B7">
      <w:pPr>
        <w:pStyle w:val="104"/>
        <w:adjustRightInd w:val="0"/>
        <w:snapToGrid w:val="0"/>
        <w:spacing w:line="360" w:lineRule="exact"/>
        <w:ind w:firstLine="420" w:firstLineChars="200"/>
        <w:jc w:val="left"/>
        <w:rPr>
          <w:rFonts w:ascii="宋体" w:hAnsi="宋体" w:cs="宋体"/>
          <w:highlight w:val="none"/>
        </w:rPr>
      </w:pPr>
      <w:r>
        <w:rPr>
          <w:rFonts w:hint="eastAsia" w:ascii="宋体" w:hAnsi="宋体" w:cs="宋体"/>
          <w:highlight w:val="none"/>
        </w:rPr>
        <w:t>争议评审小组成员的报酬承担方式：</w:t>
      </w:r>
      <w:r>
        <w:rPr>
          <w:rFonts w:hint="eastAsia" w:ascii="宋体" w:hAnsi="宋体" w:cs="宋体"/>
          <w:highlight w:val="none"/>
          <w:u w:val="single"/>
        </w:rPr>
        <w:t xml:space="preserve">   /    </w:t>
      </w:r>
      <w:r>
        <w:rPr>
          <w:rFonts w:hint="eastAsia" w:ascii="宋体" w:hAnsi="宋体" w:cs="宋体"/>
          <w:highlight w:val="none"/>
        </w:rPr>
        <w:t>。</w:t>
      </w:r>
    </w:p>
    <w:p w14:paraId="0F26383A">
      <w:pPr>
        <w:pStyle w:val="104"/>
        <w:adjustRightInd w:val="0"/>
        <w:snapToGrid w:val="0"/>
        <w:spacing w:line="360" w:lineRule="exact"/>
        <w:ind w:firstLine="420" w:firstLineChars="200"/>
        <w:jc w:val="left"/>
        <w:rPr>
          <w:rFonts w:ascii="宋体" w:hAnsi="宋体" w:cs="宋体"/>
          <w:highlight w:val="none"/>
        </w:rPr>
      </w:pPr>
      <w:r>
        <w:rPr>
          <w:rFonts w:hint="eastAsia" w:ascii="宋体" w:hAnsi="宋体" w:cs="宋体"/>
          <w:highlight w:val="none"/>
        </w:rPr>
        <w:t>其他事项的约定：</w:t>
      </w:r>
      <w:r>
        <w:rPr>
          <w:rFonts w:hint="eastAsia" w:ascii="宋体" w:hAnsi="宋体" w:cs="宋体"/>
          <w:highlight w:val="none"/>
          <w:u w:val="single"/>
        </w:rPr>
        <w:t xml:space="preserve">           /            </w:t>
      </w:r>
      <w:r>
        <w:rPr>
          <w:rFonts w:hint="eastAsia" w:ascii="宋体" w:hAnsi="宋体" w:cs="宋体"/>
          <w:highlight w:val="none"/>
        </w:rPr>
        <w:t>。</w:t>
      </w:r>
    </w:p>
    <w:p w14:paraId="4847AFF5">
      <w:pPr>
        <w:pStyle w:val="104"/>
        <w:autoSpaceDE w:val="0"/>
        <w:autoSpaceDN w:val="0"/>
        <w:adjustRightInd w:val="0"/>
        <w:snapToGrid w:val="0"/>
        <w:spacing w:line="360" w:lineRule="exact"/>
        <w:ind w:firstLine="420" w:firstLineChars="200"/>
        <w:jc w:val="left"/>
        <w:rPr>
          <w:rFonts w:ascii="宋体" w:hAnsi="宋体" w:cs="宋体"/>
          <w:kern w:val="0"/>
          <w:highlight w:val="none"/>
        </w:rPr>
      </w:pPr>
      <w:r>
        <w:rPr>
          <w:rFonts w:hint="eastAsia" w:ascii="宋体" w:hAnsi="宋体" w:cs="宋体"/>
          <w:kern w:val="0"/>
          <w:highlight w:val="none"/>
        </w:rPr>
        <w:t>19.1.2 争议评审小组的决定</w:t>
      </w:r>
    </w:p>
    <w:p w14:paraId="01362E43">
      <w:pPr>
        <w:pStyle w:val="104"/>
        <w:adjustRightInd w:val="0"/>
        <w:snapToGrid w:val="0"/>
        <w:spacing w:line="360" w:lineRule="exact"/>
        <w:ind w:firstLine="420" w:firstLineChars="200"/>
        <w:jc w:val="left"/>
        <w:rPr>
          <w:rFonts w:ascii="宋体" w:hAnsi="宋体" w:cs="宋体"/>
          <w:highlight w:val="none"/>
        </w:rPr>
      </w:pPr>
      <w:r>
        <w:rPr>
          <w:rFonts w:hint="eastAsia" w:ascii="宋体" w:hAnsi="宋体" w:cs="宋体"/>
          <w:highlight w:val="none"/>
        </w:rPr>
        <w:t>合同当事人关于本项的约定：</w:t>
      </w:r>
      <w:r>
        <w:rPr>
          <w:rFonts w:hint="eastAsia" w:ascii="宋体" w:hAnsi="宋体" w:cs="宋体"/>
          <w:highlight w:val="none"/>
          <w:u w:val="single"/>
        </w:rPr>
        <w:t xml:space="preserve">      /       </w:t>
      </w:r>
      <w:r>
        <w:rPr>
          <w:rFonts w:hint="eastAsia" w:ascii="宋体" w:hAnsi="宋体" w:cs="宋体"/>
          <w:highlight w:val="none"/>
        </w:rPr>
        <w:t>。</w:t>
      </w:r>
    </w:p>
    <w:p w14:paraId="1699752B">
      <w:pPr>
        <w:pStyle w:val="104"/>
        <w:adjustRightInd w:val="0"/>
        <w:snapToGrid w:val="0"/>
        <w:spacing w:line="360" w:lineRule="exact"/>
        <w:ind w:firstLine="420" w:firstLineChars="200"/>
        <w:rPr>
          <w:rFonts w:ascii="宋体" w:hAnsi="宋体" w:cs="宋体"/>
          <w:highlight w:val="none"/>
        </w:rPr>
      </w:pPr>
      <w:r>
        <w:rPr>
          <w:rFonts w:hint="eastAsia" w:ascii="宋体" w:hAnsi="宋体" w:cs="宋体"/>
          <w:highlight w:val="none"/>
        </w:rPr>
        <w:t>19.2仲裁或诉讼</w:t>
      </w:r>
    </w:p>
    <w:p w14:paraId="1830A846">
      <w:pPr>
        <w:pStyle w:val="104"/>
        <w:adjustRightInd w:val="0"/>
        <w:snapToGrid w:val="0"/>
        <w:spacing w:line="288" w:lineRule="auto"/>
        <w:ind w:firstLine="420" w:firstLineChars="200"/>
        <w:rPr>
          <w:rFonts w:ascii="宋体" w:hAnsi="宋体" w:cs="宋体"/>
          <w:highlight w:val="none"/>
        </w:rPr>
      </w:pPr>
      <w:r>
        <w:rPr>
          <w:rFonts w:hint="eastAsia" w:ascii="宋体" w:hAnsi="宋体" w:cs="宋体"/>
          <w:highlight w:val="none"/>
        </w:rPr>
        <w:t>因合同及合同有关事项发生的争议，双方当事人一致同意提交杭州仲裁委员会申请仲裁；但双方当事人特别约定下列解决方式中第</w:t>
      </w:r>
      <w:r>
        <w:rPr>
          <w:rFonts w:hint="eastAsia" w:ascii="宋体" w:hAnsi="宋体" w:cs="宋体"/>
          <w:highlight w:val="none"/>
          <w:u w:val="single"/>
        </w:rPr>
        <w:t>（2）</w:t>
      </w:r>
      <w:r>
        <w:rPr>
          <w:rFonts w:hint="eastAsia" w:ascii="宋体" w:hAnsi="宋体" w:cs="宋体"/>
          <w:highlight w:val="none"/>
        </w:rPr>
        <w:t>种方式解决争议的除外：</w:t>
      </w:r>
    </w:p>
    <w:p w14:paraId="1DB44682">
      <w:pPr>
        <w:pStyle w:val="104"/>
        <w:adjustRightInd w:val="0"/>
        <w:snapToGrid w:val="0"/>
        <w:spacing w:line="360" w:lineRule="exact"/>
        <w:ind w:firstLine="420" w:firstLineChars="200"/>
        <w:jc w:val="left"/>
        <w:rPr>
          <w:rFonts w:ascii="宋体" w:hAnsi="宋体" w:cs="宋体"/>
          <w:highlight w:val="none"/>
        </w:rPr>
      </w:pPr>
      <w:r>
        <w:rPr>
          <w:rFonts w:hint="eastAsia" w:ascii="宋体" w:hAnsi="宋体" w:cs="宋体"/>
          <w:highlight w:val="none"/>
        </w:rPr>
        <w:t>（1）向</w:t>
      </w:r>
      <w:r>
        <w:rPr>
          <w:rFonts w:hint="eastAsia" w:ascii="宋体" w:hAnsi="宋体" w:cs="宋体"/>
          <w:highlight w:val="none"/>
          <w:u w:val="single"/>
        </w:rPr>
        <w:t xml:space="preserve">  /   </w:t>
      </w:r>
      <w:r>
        <w:rPr>
          <w:rFonts w:hint="eastAsia" w:ascii="宋体" w:hAnsi="宋体" w:cs="宋体"/>
          <w:highlight w:val="none"/>
        </w:rPr>
        <w:t>仲裁委员会申请仲裁；</w:t>
      </w:r>
    </w:p>
    <w:p w14:paraId="2801A67B">
      <w:pPr>
        <w:pStyle w:val="104"/>
        <w:adjustRightInd w:val="0"/>
        <w:snapToGrid w:val="0"/>
        <w:spacing w:line="360" w:lineRule="exact"/>
        <w:ind w:firstLine="420" w:firstLineChars="200"/>
        <w:jc w:val="left"/>
        <w:rPr>
          <w:rFonts w:ascii="宋体" w:hAnsi="宋体" w:cs="宋体"/>
          <w:highlight w:val="none"/>
        </w:rPr>
      </w:pPr>
      <w:r>
        <w:rPr>
          <w:rFonts w:hint="eastAsia" w:ascii="宋体" w:hAnsi="宋体" w:cs="宋体"/>
          <w:highlight w:val="none"/>
        </w:rPr>
        <w:t>（2）向</w:t>
      </w:r>
      <w:r>
        <w:rPr>
          <w:rFonts w:hint="eastAsia" w:ascii="宋体" w:hAnsi="宋体" w:cs="宋体"/>
          <w:highlight w:val="none"/>
          <w:u w:val="single"/>
        </w:rPr>
        <w:t xml:space="preserve"> 合同履行地（工程所在地） </w:t>
      </w:r>
      <w:r>
        <w:rPr>
          <w:rFonts w:hint="eastAsia" w:ascii="宋体" w:hAnsi="宋体" w:cs="宋体"/>
          <w:highlight w:val="none"/>
        </w:rPr>
        <w:t>人民法院起诉。</w:t>
      </w:r>
    </w:p>
    <w:p w14:paraId="625C962F">
      <w:pPr>
        <w:pStyle w:val="104"/>
        <w:adjustRightInd w:val="0"/>
        <w:snapToGrid w:val="0"/>
        <w:spacing w:line="360" w:lineRule="exact"/>
        <w:ind w:firstLine="482" w:firstLineChars="200"/>
        <w:jc w:val="center"/>
        <w:rPr>
          <w:rFonts w:ascii="宋体" w:hAnsi="宋体" w:cs="宋体"/>
          <w:b/>
          <w:bCs/>
          <w:sz w:val="24"/>
          <w:highlight w:val="none"/>
        </w:rPr>
      </w:pPr>
      <w:r>
        <w:rPr>
          <w:rFonts w:hint="eastAsia" w:ascii="宋体" w:hAnsi="宋体" w:cs="宋体"/>
          <w:b/>
          <w:bCs/>
          <w:sz w:val="24"/>
          <w:highlight w:val="none"/>
        </w:rPr>
        <w:t>20.其他补充事项的约定</w:t>
      </w:r>
    </w:p>
    <w:p w14:paraId="14FA74F0">
      <w:pPr>
        <w:pStyle w:val="104"/>
        <w:adjustRightInd w:val="0"/>
        <w:snapToGrid w:val="0"/>
        <w:spacing w:line="288" w:lineRule="auto"/>
        <w:ind w:firstLine="420" w:firstLineChars="200"/>
        <w:rPr>
          <w:rFonts w:ascii="宋体" w:hAnsi="宋体" w:cs="宋体"/>
          <w:highlight w:val="none"/>
        </w:rPr>
      </w:pPr>
      <w:r>
        <w:rPr>
          <w:rFonts w:hint="eastAsia" w:ascii="宋体" w:hAnsi="宋体" w:cs="宋体"/>
          <w:highlight w:val="none"/>
        </w:rPr>
        <w:t>20.1承包人逾期开工、逾期竣工或逾期履行其他义务的，每逾期一日，均</w:t>
      </w:r>
      <w:r>
        <w:rPr>
          <w:rFonts w:hint="eastAsia" w:ascii="宋体" w:hAnsi="宋体" w:cs="宋体"/>
          <w:b/>
          <w:bCs/>
          <w:highlight w:val="none"/>
        </w:rPr>
        <w:t>应按每天人民币1500元向发包人支付违约金</w:t>
      </w:r>
      <w:r>
        <w:rPr>
          <w:rFonts w:hint="eastAsia" w:ascii="宋体" w:hAnsi="宋体" w:cs="宋体"/>
          <w:highlight w:val="none"/>
        </w:rPr>
        <w:t>，上限为合同价的10%。如发包人认为工期滞后，经书面提醒后不整改，可能会影响发包人活动进程的，发包人有权终止合同，并将剩余项目由交由其它单位实施。</w:t>
      </w:r>
    </w:p>
    <w:p w14:paraId="6764CD8A">
      <w:pPr>
        <w:pStyle w:val="104"/>
        <w:adjustRightInd w:val="0"/>
        <w:snapToGrid w:val="0"/>
        <w:spacing w:line="288" w:lineRule="auto"/>
        <w:ind w:firstLine="420" w:firstLineChars="200"/>
        <w:rPr>
          <w:rFonts w:ascii="宋体" w:hAnsi="宋体" w:cs="宋体"/>
          <w:highlight w:val="none"/>
        </w:rPr>
      </w:pPr>
      <w:r>
        <w:rPr>
          <w:rFonts w:hint="eastAsia" w:ascii="宋体" w:hAnsi="宋体" w:cs="宋体"/>
          <w:highlight w:val="none"/>
        </w:rPr>
        <w:t>20.2承包人工程竣工验收未达到一次性通过，承包人除承担全部返工费用外还须按合同价的1%支付违约金，如发生质量事故，视严重程度处罚。</w:t>
      </w:r>
    </w:p>
    <w:p w14:paraId="212E035F">
      <w:pPr>
        <w:pStyle w:val="104"/>
        <w:adjustRightInd w:val="0"/>
        <w:snapToGrid w:val="0"/>
        <w:spacing w:line="288" w:lineRule="auto"/>
        <w:ind w:firstLine="420" w:firstLineChars="200"/>
        <w:rPr>
          <w:rFonts w:ascii="宋体" w:hAnsi="宋体" w:cs="宋体"/>
          <w:highlight w:val="none"/>
        </w:rPr>
      </w:pPr>
      <w:r>
        <w:rPr>
          <w:rFonts w:hint="eastAsia" w:ascii="宋体" w:hAnsi="宋体" w:cs="宋体"/>
          <w:highlight w:val="none"/>
        </w:rPr>
        <w:t>20.3对承包人故意或疏忽导致的材料和施工工艺不符合技术规范及环保要求引起的工程质量问题，或与合同约定不符的，无论工程是否已验收合格、交付使用以及是否超过保修期，均自发包人知道之日起两年内享有对承包人的索赔追偿权利。</w:t>
      </w:r>
    </w:p>
    <w:p w14:paraId="7D441DFD">
      <w:pPr>
        <w:pStyle w:val="104"/>
        <w:adjustRightInd w:val="0"/>
        <w:snapToGrid w:val="0"/>
        <w:spacing w:line="288" w:lineRule="auto"/>
        <w:ind w:firstLine="420" w:firstLineChars="200"/>
        <w:rPr>
          <w:rFonts w:ascii="宋体" w:hAnsi="宋体" w:cs="宋体"/>
          <w:highlight w:val="none"/>
        </w:rPr>
      </w:pPr>
      <w:r>
        <w:rPr>
          <w:rFonts w:hint="eastAsia" w:ascii="宋体" w:hAnsi="宋体" w:cs="宋体"/>
          <w:highlight w:val="none"/>
        </w:rPr>
        <w:t>20.4未经发包人书面同意，承包人不得将本合同项下的权利、义务转让他人，否则，发包人有权解除合同。</w:t>
      </w:r>
    </w:p>
    <w:p w14:paraId="393F61E1">
      <w:pPr>
        <w:pStyle w:val="104"/>
        <w:adjustRightInd w:val="0"/>
        <w:snapToGrid w:val="0"/>
        <w:spacing w:line="288" w:lineRule="auto"/>
        <w:ind w:firstLine="420" w:firstLineChars="200"/>
        <w:rPr>
          <w:rFonts w:ascii="宋体" w:hAnsi="宋体" w:cs="宋体"/>
          <w:highlight w:val="none"/>
        </w:rPr>
      </w:pPr>
      <w:r>
        <w:rPr>
          <w:rFonts w:hint="eastAsia" w:ascii="宋体" w:hAnsi="宋体" w:cs="宋体"/>
          <w:highlight w:val="none"/>
        </w:rPr>
        <w:t>20.5承包人在施工过程中发生的工程质量问题在未解决前，发包人有权拒绝支付任何款项。</w:t>
      </w:r>
    </w:p>
    <w:p w14:paraId="4F9ACF07">
      <w:pPr>
        <w:pStyle w:val="104"/>
        <w:adjustRightInd w:val="0"/>
        <w:snapToGrid w:val="0"/>
        <w:spacing w:line="288" w:lineRule="auto"/>
        <w:ind w:firstLine="420" w:firstLineChars="200"/>
        <w:rPr>
          <w:rFonts w:ascii="宋体" w:hAnsi="宋体" w:cs="宋体"/>
          <w:highlight w:val="none"/>
        </w:rPr>
      </w:pPr>
      <w:r>
        <w:rPr>
          <w:rFonts w:hint="eastAsia" w:ascii="宋体" w:hAnsi="宋体" w:cs="宋体"/>
          <w:highlight w:val="none"/>
        </w:rPr>
        <w:t>20.6承包人须在工程竣工验收合格后20日历天内向发包人提交工程结算和相关工程资料，逾期按21.1条处理。</w:t>
      </w:r>
    </w:p>
    <w:p w14:paraId="010514AA">
      <w:pPr>
        <w:pStyle w:val="104"/>
        <w:adjustRightInd w:val="0"/>
        <w:snapToGrid w:val="0"/>
        <w:spacing w:line="288" w:lineRule="auto"/>
        <w:ind w:firstLine="420" w:firstLineChars="200"/>
        <w:rPr>
          <w:rFonts w:ascii="宋体" w:hAnsi="宋体" w:cs="宋体"/>
          <w:highlight w:val="none"/>
        </w:rPr>
      </w:pPr>
      <w:r>
        <w:rPr>
          <w:rFonts w:hint="eastAsia" w:ascii="宋体" w:hAnsi="宋体" w:cs="宋体"/>
          <w:highlight w:val="none"/>
        </w:rPr>
        <w:t>20.7承包人在施工期间应严格遵守学院各项规章制度，按照《浙江交通职业技术学院校园管理暂行规定》文件执行，施工前到保卫处办理项目审批，审批通过后方可施工。</w:t>
      </w:r>
    </w:p>
    <w:p w14:paraId="3AF67E6C">
      <w:pPr>
        <w:pStyle w:val="104"/>
        <w:adjustRightInd w:val="0"/>
        <w:snapToGrid w:val="0"/>
        <w:spacing w:line="288" w:lineRule="auto"/>
        <w:ind w:firstLine="420" w:firstLineChars="200"/>
        <w:rPr>
          <w:rFonts w:ascii="宋体" w:hAnsi="宋体" w:cs="宋体"/>
          <w:highlight w:val="none"/>
        </w:rPr>
      </w:pPr>
      <w:r>
        <w:rPr>
          <w:rFonts w:hint="eastAsia" w:ascii="宋体" w:hAnsi="宋体" w:cs="宋体"/>
          <w:highlight w:val="none"/>
        </w:rPr>
        <w:t>20.8承包人在施工期间应全力配合学校及属地疫情防控要求，做好疫情防护工作，过程中产生的费用由施工单位自行考虑。</w:t>
      </w:r>
    </w:p>
    <w:p w14:paraId="1D5CC5B6">
      <w:pPr>
        <w:pStyle w:val="104"/>
        <w:adjustRightInd w:val="0"/>
        <w:snapToGrid w:val="0"/>
        <w:spacing w:line="288" w:lineRule="auto"/>
        <w:ind w:firstLine="420" w:firstLineChars="200"/>
        <w:rPr>
          <w:rFonts w:ascii="宋体" w:hAnsi="宋体" w:cs="宋体"/>
          <w:highlight w:val="none"/>
        </w:rPr>
      </w:pPr>
      <w:r>
        <w:rPr>
          <w:rFonts w:hint="eastAsia" w:ascii="宋体" w:hAnsi="宋体" w:cs="宋体"/>
          <w:highlight w:val="none"/>
        </w:rPr>
        <w:t>20.9承包人在施工时，项目部必须做好现场规范围护，在醒目位置处竖立施工通告，施工人员需严格做好自身的操作安全，避免安全事故的发生。</w:t>
      </w:r>
    </w:p>
    <w:p w14:paraId="0B199935">
      <w:pPr>
        <w:autoSpaceDE w:val="0"/>
        <w:autoSpaceDN w:val="0"/>
        <w:adjustRightInd w:val="0"/>
        <w:snapToGrid w:val="0"/>
        <w:spacing w:line="360" w:lineRule="auto"/>
        <w:ind w:firstLine="420"/>
        <w:jc w:val="left"/>
        <w:rPr>
          <w:b/>
          <w:bCs/>
          <w:highlight w:val="none"/>
        </w:rPr>
      </w:pPr>
      <w:r>
        <w:rPr>
          <w:rFonts w:hint="eastAsia"/>
          <w:highlight w:val="none"/>
        </w:rPr>
        <w:t xml:space="preserve"> </w:t>
      </w:r>
    </w:p>
    <w:p w14:paraId="701741AB">
      <w:pPr>
        <w:pStyle w:val="17"/>
        <w:adjustRightInd w:val="0"/>
        <w:snapToGrid w:val="0"/>
        <w:spacing w:line="276" w:lineRule="auto"/>
        <w:rPr>
          <w:rFonts w:ascii="宋体" w:hAnsi="宋体" w:eastAsia="宋体" w:cs="宋体"/>
          <w:b/>
          <w:bCs/>
          <w:highlight w:val="none"/>
        </w:rPr>
      </w:pPr>
    </w:p>
    <w:p w14:paraId="473F3EE6">
      <w:pPr>
        <w:pStyle w:val="17"/>
        <w:adjustRightInd w:val="0"/>
        <w:snapToGrid w:val="0"/>
        <w:spacing w:line="276" w:lineRule="auto"/>
        <w:rPr>
          <w:rFonts w:ascii="宋体" w:hAnsi="宋体" w:eastAsia="宋体" w:cs="宋体"/>
          <w:b/>
          <w:bCs/>
          <w:highlight w:val="none"/>
        </w:rPr>
      </w:pPr>
    </w:p>
    <w:p w14:paraId="605CC81B">
      <w:pPr>
        <w:pStyle w:val="17"/>
        <w:adjustRightInd w:val="0"/>
        <w:snapToGrid w:val="0"/>
        <w:spacing w:line="276" w:lineRule="auto"/>
        <w:rPr>
          <w:rFonts w:ascii="宋体" w:hAnsi="宋体" w:eastAsia="宋体" w:cs="宋体"/>
          <w:highlight w:val="none"/>
        </w:rPr>
      </w:pPr>
      <w:r>
        <w:rPr>
          <w:rFonts w:hint="eastAsia" w:ascii="宋体" w:hAnsi="宋体" w:eastAsia="宋体" w:cs="宋体"/>
          <w:b/>
          <w:bCs/>
          <w:highlight w:val="none"/>
        </w:rPr>
        <w:t>附件：</w:t>
      </w:r>
    </w:p>
    <w:p w14:paraId="6275A9BE">
      <w:pPr>
        <w:jc w:val="left"/>
        <w:rPr>
          <w:sz w:val="21"/>
          <w:szCs w:val="21"/>
          <w:highlight w:val="none"/>
        </w:rPr>
      </w:pPr>
      <w:r>
        <w:rPr>
          <w:rFonts w:hint="eastAsia"/>
          <w:sz w:val="21"/>
          <w:szCs w:val="21"/>
          <w:highlight w:val="none"/>
        </w:rPr>
        <w:t>附件1：工程质量保修书</w:t>
      </w:r>
    </w:p>
    <w:p w14:paraId="56FDDA7A">
      <w:pPr>
        <w:jc w:val="left"/>
        <w:rPr>
          <w:sz w:val="21"/>
          <w:szCs w:val="21"/>
          <w:highlight w:val="none"/>
        </w:rPr>
      </w:pPr>
      <w:r>
        <w:rPr>
          <w:rFonts w:hint="eastAsia"/>
          <w:sz w:val="21"/>
          <w:szCs w:val="21"/>
          <w:highlight w:val="none"/>
        </w:rPr>
        <w:t xml:space="preserve">附件2：廉政协议书 </w:t>
      </w:r>
    </w:p>
    <w:p w14:paraId="63B36F35">
      <w:pPr>
        <w:jc w:val="left"/>
        <w:rPr>
          <w:sz w:val="21"/>
          <w:szCs w:val="21"/>
          <w:highlight w:val="none"/>
        </w:rPr>
      </w:pPr>
      <w:r>
        <w:rPr>
          <w:rFonts w:hint="eastAsia"/>
          <w:sz w:val="21"/>
          <w:szCs w:val="21"/>
          <w:highlight w:val="none"/>
        </w:rPr>
        <w:t>附件3：安全生产责任协议书</w:t>
      </w:r>
    </w:p>
    <w:p w14:paraId="75BE2BE0">
      <w:pPr>
        <w:jc w:val="left"/>
        <w:rPr>
          <w:sz w:val="21"/>
          <w:szCs w:val="21"/>
          <w:highlight w:val="none"/>
        </w:rPr>
      </w:pPr>
      <w:r>
        <w:rPr>
          <w:rFonts w:hint="eastAsia"/>
          <w:sz w:val="21"/>
          <w:szCs w:val="21"/>
          <w:highlight w:val="none"/>
        </w:rPr>
        <w:t>附件4：承诺书</w:t>
      </w:r>
    </w:p>
    <w:p w14:paraId="1BA63899">
      <w:pPr>
        <w:ind w:firstLine="424" w:firstLineChars="177"/>
        <w:jc w:val="left"/>
        <w:rPr>
          <w:highlight w:val="none"/>
        </w:rPr>
      </w:pPr>
      <w:r>
        <w:rPr>
          <w:rFonts w:hint="eastAsia"/>
          <w:highlight w:val="none"/>
        </w:rPr>
        <w:t xml:space="preserve"> </w:t>
      </w:r>
    </w:p>
    <w:p w14:paraId="52D601C0">
      <w:pPr>
        <w:pStyle w:val="17"/>
        <w:spacing w:line="440" w:lineRule="exact"/>
        <w:rPr>
          <w:rFonts w:ascii="宋体" w:hAnsi="宋体" w:eastAsia="宋体" w:cs="宋体"/>
          <w:b/>
          <w:bCs/>
          <w:sz w:val="28"/>
          <w:szCs w:val="28"/>
          <w:highlight w:val="none"/>
        </w:rPr>
      </w:pPr>
      <w:r>
        <w:rPr>
          <w:rFonts w:hint="eastAsia" w:ascii="宋体" w:hAnsi="宋体" w:eastAsia="宋体" w:cs="宋体"/>
          <w:highlight w:val="none"/>
          <w:u w:val="single"/>
        </w:rPr>
        <w:br w:type="page"/>
      </w:r>
      <w:r>
        <w:rPr>
          <w:rFonts w:hint="eastAsia" w:ascii="宋体" w:hAnsi="宋体" w:eastAsia="宋体" w:cs="宋体"/>
          <w:b/>
          <w:bCs/>
          <w:highlight w:val="none"/>
        </w:rPr>
        <w:t>附件1:</w:t>
      </w:r>
    </w:p>
    <w:p w14:paraId="770DF71E">
      <w:pPr>
        <w:pStyle w:val="104"/>
        <w:spacing w:before="194" w:beforeLines="50" w:after="194" w:afterLines="50" w:line="440" w:lineRule="exact"/>
        <w:ind w:firstLine="602"/>
        <w:jc w:val="center"/>
        <w:rPr>
          <w:rFonts w:ascii="宋体" w:hAnsi="宋体" w:cs="宋体"/>
          <w:sz w:val="24"/>
          <w:highlight w:val="none"/>
        </w:rPr>
      </w:pPr>
      <w:r>
        <w:rPr>
          <w:rFonts w:hint="eastAsia" w:ascii="宋体" w:hAnsi="宋体" w:cs="宋体"/>
          <w:b/>
          <w:bCs/>
          <w:sz w:val="24"/>
          <w:highlight w:val="none"/>
        </w:rPr>
        <w:t>工程质量保修书</w:t>
      </w:r>
    </w:p>
    <w:p w14:paraId="6DCE27F7">
      <w:pPr>
        <w:pStyle w:val="104"/>
        <w:spacing w:line="300" w:lineRule="auto"/>
        <w:ind w:firstLine="422"/>
        <w:rPr>
          <w:rFonts w:ascii="宋体" w:hAnsi="宋体" w:cs="宋体"/>
          <w:sz w:val="22"/>
          <w:szCs w:val="22"/>
          <w:highlight w:val="none"/>
        </w:rPr>
      </w:pPr>
      <w:r>
        <w:rPr>
          <w:rFonts w:hint="eastAsia" w:ascii="宋体" w:hAnsi="宋体" w:cs="宋体"/>
          <w:sz w:val="22"/>
          <w:szCs w:val="22"/>
          <w:highlight w:val="none"/>
        </w:rPr>
        <w:t>发包人（全称）：</w:t>
      </w:r>
      <w:r>
        <w:rPr>
          <w:rFonts w:hint="eastAsia" w:ascii="宋体" w:hAnsi="宋体" w:cs="宋体"/>
          <w:sz w:val="22"/>
          <w:szCs w:val="22"/>
          <w:highlight w:val="none"/>
          <w:u w:val="single"/>
        </w:rPr>
        <w:t xml:space="preserve"> 浙江交通职业技术学院             </w:t>
      </w:r>
    </w:p>
    <w:p w14:paraId="18E0287E">
      <w:pPr>
        <w:pStyle w:val="104"/>
        <w:spacing w:line="300" w:lineRule="auto"/>
        <w:ind w:firstLine="422"/>
        <w:rPr>
          <w:rFonts w:ascii="宋体" w:hAnsi="宋体" w:cs="宋体"/>
          <w:sz w:val="22"/>
          <w:szCs w:val="22"/>
          <w:highlight w:val="none"/>
        </w:rPr>
      </w:pPr>
      <w:r>
        <w:rPr>
          <w:rFonts w:hint="eastAsia" w:ascii="宋体" w:hAnsi="宋体" w:cs="宋体"/>
          <w:sz w:val="22"/>
          <w:szCs w:val="22"/>
          <w:highlight w:val="none"/>
        </w:rPr>
        <w:t>承包人（全称）：</w:t>
      </w:r>
      <w:r>
        <w:rPr>
          <w:rFonts w:hint="eastAsia" w:ascii="宋体" w:hAnsi="宋体" w:cs="宋体"/>
          <w:sz w:val="22"/>
          <w:szCs w:val="22"/>
          <w:highlight w:val="none"/>
          <w:u w:val="single"/>
        </w:rPr>
        <w:t xml:space="preserve">                                  </w:t>
      </w:r>
    </w:p>
    <w:p w14:paraId="6A7E23B1">
      <w:pPr>
        <w:pStyle w:val="104"/>
        <w:spacing w:line="300" w:lineRule="auto"/>
        <w:ind w:firstLine="440" w:firstLineChars="200"/>
        <w:rPr>
          <w:rFonts w:ascii="宋体" w:hAnsi="宋体" w:cs="宋体"/>
          <w:sz w:val="22"/>
          <w:szCs w:val="22"/>
          <w:highlight w:val="none"/>
        </w:rPr>
      </w:pPr>
      <w:r>
        <w:rPr>
          <w:rFonts w:hint="eastAsia" w:ascii="宋体" w:hAnsi="宋体" w:cs="宋体"/>
          <w:sz w:val="22"/>
          <w:szCs w:val="22"/>
          <w:highlight w:val="none"/>
        </w:rPr>
        <w:t>发包人和承包人根据《中华人民共和国建筑法》和《建设工程质量管理条例》，经协商一致就</w:t>
      </w:r>
      <w:r>
        <w:rPr>
          <w:rFonts w:hint="eastAsia" w:ascii="宋体" w:hAnsi="宋体" w:cs="宋体"/>
          <w:sz w:val="22"/>
          <w:szCs w:val="22"/>
          <w:highlight w:val="none"/>
          <w:u w:val="single"/>
        </w:rPr>
        <w:t xml:space="preserve">  </w:t>
      </w:r>
      <w:r>
        <w:rPr>
          <w:rFonts w:hint="eastAsia" w:ascii="宋体" w:hAnsi="宋体" w:cs="宋体"/>
          <w:b/>
          <w:bCs/>
          <w:sz w:val="22"/>
          <w:szCs w:val="22"/>
          <w:highlight w:val="none"/>
          <w:u w:val="single"/>
        </w:rPr>
        <w:t xml:space="preserve"> </w:t>
      </w:r>
      <w:r>
        <w:rPr>
          <w:rFonts w:hint="eastAsia" w:ascii="宋体" w:hAnsi="宋体" w:cs="宋体"/>
          <w:sz w:val="22"/>
          <w:szCs w:val="22"/>
          <w:highlight w:val="none"/>
          <w:u w:val="single"/>
        </w:rPr>
        <w:t xml:space="preserve">       </w:t>
      </w:r>
      <w:r>
        <w:rPr>
          <w:rFonts w:hint="eastAsia" w:ascii="宋体" w:hAnsi="宋体" w:cs="宋体"/>
          <w:sz w:val="22"/>
          <w:szCs w:val="22"/>
          <w:highlight w:val="none"/>
        </w:rPr>
        <w:t>（工程全称）签订工程质量保修书。</w:t>
      </w:r>
    </w:p>
    <w:p w14:paraId="042C26CE">
      <w:pPr>
        <w:pStyle w:val="104"/>
        <w:spacing w:line="300" w:lineRule="auto"/>
        <w:ind w:firstLine="440" w:firstLineChars="200"/>
        <w:rPr>
          <w:rFonts w:ascii="宋体" w:hAnsi="宋体" w:cs="宋体"/>
          <w:sz w:val="22"/>
          <w:szCs w:val="22"/>
          <w:highlight w:val="none"/>
        </w:rPr>
      </w:pPr>
      <w:r>
        <w:rPr>
          <w:rFonts w:hint="eastAsia" w:ascii="宋体" w:hAnsi="宋体" w:cs="宋体"/>
          <w:sz w:val="22"/>
          <w:szCs w:val="22"/>
          <w:highlight w:val="none"/>
        </w:rPr>
        <w:t>一、工程质量保修范围和内容</w:t>
      </w:r>
    </w:p>
    <w:p w14:paraId="2CD956B9">
      <w:pPr>
        <w:pStyle w:val="104"/>
        <w:spacing w:line="300" w:lineRule="auto"/>
        <w:ind w:firstLine="440" w:firstLineChars="200"/>
        <w:rPr>
          <w:rFonts w:ascii="宋体" w:hAnsi="宋体" w:cs="宋体"/>
          <w:sz w:val="22"/>
          <w:szCs w:val="22"/>
          <w:highlight w:val="none"/>
        </w:rPr>
      </w:pPr>
      <w:r>
        <w:rPr>
          <w:rFonts w:hint="eastAsia" w:ascii="宋体" w:hAnsi="宋体" w:cs="宋体"/>
          <w:sz w:val="22"/>
          <w:szCs w:val="22"/>
          <w:highlight w:val="none"/>
        </w:rPr>
        <w:t>承包人在质量保修期内，按照有关法律规定和合同约定，承担工程质量保修责任。</w:t>
      </w:r>
    </w:p>
    <w:p w14:paraId="28E0BF4A">
      <w:pPr>
        <w:pStyle w:val="104"/>
        <w:spacing w:line="300" w:lineRule="auto"/>
        <w:ind w:firstLine="440" w:firstLineChars="200"/>
        <w:rPr>
          <w:rFonts w:ascii="宋体" w:hAnsi="宋体" w:cs="宋体"/>
          <w:b/>
          <w:bCs/>
          <w:sz w:val="22"/>
          <w:szCs w:val="22"/>
          <w:highlight w:val="none"/>
          <w:u w:val="single"/>
        </w:rPr>
      </w:pPr>
      <w:r>
        <w:rPr>
          <w:rFonts w:hint="eastAsia" w:ascii="宋体" w:hAnsi="宋体" w:cs="宋体"/>
          <w:sz w:val="22"/>
          <w:szCs w:val="22"/>
          <w:highlight w:val="none"/>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ascii="宋体" w:hAnsi="宋体" w:cs="宋体"/>
          <w:b/>
          <w:bCs/>
          <w:sz w:val="22"/>
          <w:szCs w:val="22"/>
          <w:highlight w:val="none"/>
          <w:u w:val="single"/>
        </w:rPr>
        <w:t>承包范围内所有工程。</w:t>
      </w:r>
    </w:p>
    <w:p w14:paraId="511749AE">
      <w:pPr>
        <w:pStyle w:val="104"/>
        <w:spacing w:line="300" w:lineRule="auto"/>
        <w:ind w:firstLine="440" w:firstLineChars="200"/>
        <w:rPr>
          <w:rFonts w:ascii="宋体" w:hAnsi="宋体" w:cs="宋体"/>
          <w:sz w:val="22"/>
          <w:szCs w:val="22"/>
          <w:highlight w:val="none"/>
        </w:rPr>
      </w:pPr>
      <w:r>
        <w:rPr>
          <w:rFonts w:hint="eastAsia" w:ascii="宋体" w:hAnsi="宋体" w:cs="宋体"/>
          <w:sz w:val="22"/>
          <w:szCs w:val="22"/>
          <w:highlight w:val="none"/>
        </w:rPr>
        <w:t>二、质量保修期</w:t>
      </w:r>
    </w:p>
    <w:p w14:paraId="05728336">
      <w:pPr>
        <w:pStyle w:val="104"/>
        <w:spacing w:line="300" w:lineRule="auto"/>
        <w:ind w:firstLine="440" w:firstLineChars="200"/>
        <w:rPr>
          <w:rFonts w:ascii="宋体" w:hAnsi="宋体" w:cs="宋体"/>
          <w:sz w:val="22"/>
          <w:szCs w:val="22"/>
          <w:highlight w:val="none"/>
        </w:rPr>
      </w:pPr>
      <w:r>
        <w:rPr>
          <w:rFonts w:hint="eastAsia" w:ascii="宋体" w:hAnsi="宋体" w:cs="宋体"/>
          <w:sz w:val="22"/>
          <w:szCs w:val="22"/>
          <w:highlight w:val="none"/>
        </w:rPr>
        <w:t>根据《建设工程质量管理条例》及有关规定，工程的质量保修期如下：</w:t>
      </w:r>
    </w:p>
    <w:p w14:paraId="152070C8">
      <w:pPr>
        <w:pStyle w:val="104"/>
        <w:spacing w:line="300" w:lineRule="auto"/>
        <w:ind w:firstLine="440" w:firstLineChars="200"/>
        <w:rPr>
          <w:rFonts w:ascii="宋体" w:hAnsi="宋体" w:cs="宋体"/>
          <w:sz w:val="22"/>
          <w:szCs w:val="22"/>
          <w:highlight w:val="none"/>
        </w:rPr>
      </w:pPr>
      <w:r>
        <w:rPr>
          <w:rFonts w:hint="eastAsia" w:ascii="宋体" w:hAnsi="宋体" w:cs="宋体"/>
          <w:sz w:val="22"/>
          <w:szCs w:val="22"/>
          <w:highlight w:val="none"/>
        </w:rPr>
        <w:t>1、地基基础工程和主体结构工程为设计文件规定的该工程合理使用年限；</w:t>
      </w:r>
    </w:p>
    <w:p w14:paraId="18936B0C">
      <w:pPr>
        <w:pStyle w:val="104"/>
        <w:spacing w:line="300" w:lineRule="auto"/>
        <w:ind w:firstLine="440" w:firstLineChars="200"/>
        <w:rPr>
          <w:rFonts w:ascii="宋体" w:hAnsi="宋体" w:cs="宋体"/>
          <w:sz w:val="22"/>
          <w:szCs w:val="22"/>
          <w:highlight w:val="none"/>
        </w:rPr>
      </w:pPr>
      <w:r>
        <w:rPr>
          <w:rFonts w:hint="eastAsia" w:ascii="宋体" w:hAnsi="宋体" w:cs="宋体"/>
          <w:sz w:val="22"/>
          <w:szCs w:val="22"/>
          <w:highlight w:val="none"/>
        </w:rPr>
        <w:t>2、屋面防水工程、有防水要求的卫生间、房间和外墙的防渗漏为</w:t>
      </w:r>
      <w:r>
        <w:rPr>
          <w:rFonts w:hint="eastAsia" w:ascii="宋体" w:hAnsi="宋体" w:cs="宋体"/>
          <w:sz w:val="22"/>
          <w:szCs w:val="22"/>
          <w:highlight w:val="none"/>
          <w:u w:val="single"/>
        </w:rPr>
        <w:t xml:space="preserve"> 5 </w:t>
      </w:r>
      <w:r>
        <w:rPr>
          <w:rFonts w:hint="eastAsia" w:ascii="宋体" w:hAnsi="宋体" w:cs="宋体"/>
          <w:sz w:val="22"/>
          <w:szCs w:val="22"/>
          <w:highlight w:val="none"/>
        </w:rPr>
        <w:t>年；</w:t>
      </w:r>
    </w:p>
    <w:p w14:paraId="6A7E5C49">
      <w:pPr>
        <w:pStyle w:val="104"/>
        <w:spacing w:line="300" w:lineRule="auto"/>
        <w:ind w:firstLine="440" w:firstLineChars="200"/>
        <w:rPr>
          <w:rFonts w:ascii="宋体" w:hAnsi="宋体" w:cs="宋体"/>
          <w:sz w:val="22"/>
          <w:szCs w:val="22"/>
          <w:highlight w:val="none"/>
        </w:rPr>
      </w:pPr>
      <w:r>
        <w:rPr>
          <w:rFonts w:hint="eastAsia" w:ascii="宋体" w:hAnsi="宋体" w:cs="宋体"/>
          <w:sz w:val="22"/>
          <w:szCs w:val="22"/>
          <w:highlight w:val="none"/>
        </w:rPr>
        <w:t>3、装修工程为</w:t>
      </w:r>
      <w:r>
        <w:rPr>
          <w:rFonts w:hint="eastAsia" w:ascii="宋体" w:hAnsi="宋体" w:cs="宋体"/>
          <w:sz w:val="22"/>
          <w:szCs w:val="22"/>
          <w:highlight w:val="none"/>
          <w:u w:val="single"/>
        </w:rPr>
        <w:t xml:space="preserve"> 2 </w:t>
      </w:r>
      <w:r>
        <w:rPr>
          <w:rFonts w:hint="eastAsia" w:ascii="宋体" w:hAnsi="宋体" w:cs="宋体"/>
          <w:sz w:val="22"/>
          <w:szCs w:val="22"/>
          <w:highlight w:val="none"/>
        </w:rPr>
        <w:t>年；</w:t>
      </w:r>
    </w:p>
    <w:p w14:paraId="0CA74DD1">
      <w:pPr>
        <w:pStyle w:val="104"/>
        <w:spacing w:line="300" w:lineRule="auto"/>
        <w:ind w:firstLine="440" w:firstLineChars="200"/>
        <w:rPr>
          <w:rFonts w:ascii="宋体" w:hAnsi="宋体" w:cs="宋体"/>
          <w:sz w:val="22"/>
          <w:szCs w:val="22"/>
          <w:highlight w:val="none"/>
        </w:rPr>
      </w:pPr>
      <w:r>
        <w:rPr>
          <w:rFonts w:hint="eastAsia" w:ascii="宋体" w:hAnsi="宋体" w:cs="宋体"/>
          <w:sz w:val="22"/>
          <w:szCs w:val="22"/>
          <w:highlight w:val="none"/>
        </w:rPr>
        <w:t>4、电气管线、给排水管道、设备安装工程为</w:t>
      </w:r>
      <w:r>
        <w:rPr>
          <w:rFonts w:hint="eastAsia" w:ascii="宋体" w:hAnsi="宋体" w:cs="宋体"/>
          <w:sz w:val="22"/>
          <w:szCs w:val="22"/>
          <w:highlight w:val="none"/>
          <w:u w:val="single"/>
        </w:rPr>
        <w:t>2</w:t>
      </w:r>
      <w:r>
        <w:rPr>
          <w:rFonts w:hint="eastAsia" w:ascii="宋体" w:hAnsi="宋体" w:cs="宋体"/>
          <w:sz w:val="22"/>
          <w:szCs w:val="22"/>
          <w:highlight w:val="none"/>
        </w:rPr>
        <w:t>年；</w:t>
      </w:r>
    </w:p>
    <w:p w14:paraId="0960F09E">
      <w:pPr>
        <w:pStyle w:val="104"/>
        <w:spacing w:line="300" w:lineRule="auto"/>
        <w:ind w:firstLine="440" w:firstLineChars="200"/>
        <w:rPr>
          <w:rFonts w:ascii="宋体" w:hAnsi="宋体" w:cs="宋体"/>
          <w:sz w:val="22"/>
          <w:szCs w:val="22"/>
          <w:highlight w:val="none"/>
        </w:rPr>
      </w:pPr>
      <w:r>
        <w:rPr>
          <w:rFonts w:hint="eastAsia" w:ascii="宋体" w:hAnsi="宋体" w:cs="宋体"/>
          <w:sz w:val="22"/>
          <w:szCs w:val="22"/>
          <w:highlight w:val="none"/>
        </w:rPr>
        <w:t>5、供热与供冷系统为</w:t>
      </w:r>
      <w:r>
        <w:rPr>
          <w:rFonts w:hint="eastAsia" w:ascii="宋体" w:hAnsi="宋体" w:cs="宋体"/>
          <w:sz w:val="22"/>
          <w:szCs w:val="22"/>
          <w:highlight w:val="none"/>
          <w:u w:val="single"/>
        </w:rPr>
        <w:t xml:space="preserve">  / </w:t>
      </w:r>
      <w:r>
        <w:rPr>
          <w:rFonts w:hint="eastAsia" w:ascii="宋体" w:hAnsi="宋体" w:cs="宋体"/>
          <w:sz w:val="22"/>
          <w:szCs w:val="22"/>
          <w:highlight w:val="none"/>
        </w:rPr>
        <w:t>个采暖期、供冷期；</w:t>
      </w:r>
    </w:p>
    <w:p w14:paraId="66FB9EE2">
      <w:pPr>
        <w:pStyle w:val="104"/>
        <w:spacing w:line="300" w:lineRule="auto"/>
        <w:ind w:firstLine="440" w:firstLineChars="200"/>
        <w:rPr>
          <w:rFonts w:ascii="宋体" w:hAnsi="宋体" w:cs="宋体"/>
          <w:sz w:val="22"/>
          <w:szCs w:val="22"/>
          <w:highlight w:val="none"/>
        </w:rPr>
      </w:pPr>
      <w:r>
        <w:rPr>
          <w:rFonts w:hint="eastAsia" w:ascii="宋体" w:hAnsi="宋体" w:cs="宋体"/>
          <w:sz w:val="22"/>
          <w:szCs w:val="22"/>
          <w:highlight w:val="none"/>
        </w:rPr>
        <w:t>6、住宅小区内的给排水设施、道路等配套工程为</w:t>
      </w:r>
      <w:r>
        <w:rPr>
          <w:rFonts w:hint="eastAsia" w:ascii="宋体" w:hAnsi="宋体" w:cs="宋体"/>
          <w:sz w:val="22"/>
          <w:szCs w:val="22"/>
          <w:highlight w:val="none"/>
          <w:u w:val="single"/>
        </w:rPr>
        <w:t xml:space="preserve">  /  </w:t>
      </w:r>
      <w:r>
        <w:rPr>
          <w:rFonts w:hint="eastAsia" w:ascii="宋体" w:hAnsi="宋体" w:cs="宋体"/>
          <w:sz w:val="22"/>
          <w:szCs w:val="22"/>
          <w:highlight w:val="none"/>
        </w:rPr>
        <w:t>年；</w:t>
      </w:r>
    </w:p>
    <w:p w14:paraId="5E0B3ADD">
      <w:pPr>
        <w:pStyle w:val="104"/>
        <w:spacing w:line="300" w:lineRule="auto"/>
        <w:ind w:firstLine="440" w:firstLineChars="200"/>
        <w:rPr>
          <w:rFonts w:ascii="宋体" w:hAnsi="宋体" w:cs="宋体"/>
          <w:sz w:val="22"/>
          <w:szCs w:val="22"/>
          <w:highlight w:val="none"/>
          <w:u w:val="single"/>
        </w:rPr>
      </w:pPr>
      <w:r>
        <w:rPr>
          <w:rFonts w:hint="eastAsia" w:ascii="宋体" w:hAnsi="宋体" w:cs="宋体"/>
          <w:sz w:val="22"/>
          <w:szCs w:val="22"/>
          <w:highlight w:val="none"/>
        </w:rPr>
        <w:t>7、其他项目保修期限约定如下：</w:t>
      </w:r>
      <w:r>
        <w:rPr>
          <w:rFonts w:hint="eastAsia" w:ascii="宋体" w:hAnsi="宋体" w:cs="宋体"/>
          <w:sz w:val="22"/>
          <w:szCs w:val="22"/>
          <w:highlight w:val="none"/>
          <w:u w:val="single"/>
        </w:rPr>
        <w:t xml:space="preserve">    </w:t>
      </w:r>
      <w:r>
        <w:rPr>
          <w:rFonts w:hint="eastAsia" w:ascii="宋体" w:hAnsi="宋体" w:cs="宋体"/>
          <w:sz w:val="22"/>
          <w:szCs w:val="22"/>
          <w:highlight w:val="none"/>
        </w:rPr>
        <w:t>。</w:t>
      </w:r>
    </w:p>
    <w:p w14:paraId="6FDE064D">
      <w:pPr>
        <w:pStyle w:val="104"/>
        <w:spacing w:line="300" w:lineRule="auto"/>
        <w:ind w:firstLine="440" w:firstLineChars="200"/>
        <w:rPr>
          <w:rFonts w:ascii="宋体" w:hAnsi="宋体" w:cs="宋体"/>
          <w:sz w:val="22"/>
          <w:szCs w:val="22"/>
          <w:highlight w:val="none"/>
        </w:rPr>
      </w:pPr>
      <w:r>
        <w:rPr>
          <w:rFonts w:hint="eastAsia" w:ascii="宋体" w:hAnsi="宋体" w:cs="宋体"/>
          <w:sz w:val="22"/>
          <w:szCs w:val="22"/>
          <w:highlight w:val="none"/>
        </w:rPr>
        <w:t>本项目保修期【</w:t>
      </w:r>
      <w:r>
        <w:rPr>
          <w:rFonts w:ascii="宋体" w:hAnsi="宋体" w:cs="宋体"/>
          <w:sz w:val="22"/>
          <w:szCs w:val="22"/>
          <w:highlight w:val="none"/>
        </w:rPr>
        <w:t>2</w:t>
      </w:r>
      <w:r>
        <w:rPr>
          <w:rFonts w:hint="eastAsia" w:ascii="宋体" w:hAnsi="宋体" w:cs="宋体"/>
          <w:sz w:val="22"/>
          <w:szCs w:val="22"/>
          <w:highlight w:val="none"/>
        </w:rPr>
        <w:t>】年，质量保修期自工程竣工验收合格之日，质量保修期自工程竣工验收合格之日起计算，具体期限以承包人承诺的延长质保期为准。</w:t>
      </w:r>
    </w:p>
    <w:p w14:paraId="33A4A5E5">
      <w:pPr>
        <w:pStyle w:val="104"/>
        <w:spacing w:line="300" w:lineRule="auto"/>
        <w:ind w:firstLine="440" w:firstLineChars="200"/>
        <w:rPr>
          <w:rFonts w:ascii="宋体" w:hAnsi="宋体" w:cs="宋体"/>
          <w:sz w:val="22"/>
          <w:szCs w:val="22"/>
          <w:highlight w:val="none"/>
        </w:rPr>
      </w:pPr>
      <w:r>
        <w:rPr>
          <w:rFonts w:hint="eastAsia" w:ascii="宋体" w:hAnsi="宋体" w:cs="宋体"/>
          <w:sz w:val="22"/>
          <w:szCs w:val="22"/>
          <w:highlight w:val="none"/>
        </w:rPr>
        <w:t>三、缺陷责任期</w:t>
      </w:r>
    </w:p>
    <w:p w14:paraId="4E7D07A6">
      <w:pPr>
        <w:pStyle w:val="104"/>
        <w:spacing w:line="300" w:lineRule="auto"/>
        <w:ind w:firstLine="440" w:firstLineChars="200"/>
        <w:rPr>
          <w:rFonts w:ascii="宋体" w:hAnsi="宋体" w:cs="宋体"/>
          <w:sz w:val="22"/>
          <w:szCs w:val="22"/>
          <w:highlight w:val="none"/>
        </w:rPr>
      </w:pPr>
      <w:r>
        <w:rPr>
          <w:rFonts w:hint="eastAsia" w:ascii="宋体" w:hAnsi="宋体" w:cs="宋体"/>
          <w:sz w:val="22"/>
          <w:szCs w:val="22"/>
          <w:highlight w:val="none"/>
        </w:rPr>
        <w:t>工程缺陷责任期为</w:t>
      </w:r>
      <w:r>
        <w:rPr>
          <w:rFonts w:hint="eastAsia" w:ascii="宋体" w:hAnsi="宋体" w:cs="宋体"/>
          <w:sz w:val="22"/>
          <w:szCs w:val="22"/>
          <w:highlight w:val="none"/>
          <w:u w:val="single"/>
        </w:rPr>
        <w:t xml:space="preserve"> </w:t>
      </w:r>
      <w:r>
        <w:rPr>
          <w:rFonts w:ascii="宋体" w:hAnsi="宋体" w:cs="宋体"/>
          <w:sz w:val="22"/>
          <w:szCs w:val="22"/>
          <w:highlight w:val="none"/>
          <w:u w:val="single"/>
        </w:rPr>
        <w:t>24</w:t>
      </w:r>
      <w:r>
        <w:rPr>
          <w:rFonts w:hint="eastAsia" w:ascii="宋体" w:hAnsi="宋体" w:cs="宋体"/>
          <w:sz w:val="22"/>
          <w:szCs w:val="22"/>
          <w:highlight w:val="none"/>
        </w:rPr>
        <w:t>个月，缺陷责任期自工程通过竣工验收之日起计算。单位工程先于全部工程进行验收，单位工程缺陷责任期自单位工程验收合格之日起算。</w:t>
      </w:r>
    </w:p>
    <w:p w14:paraId="2D9B53C2">
      <w:pPr>
        <w:pStyle w:val="104"/>
        <w:spacing w:line="300" w:lineRule="auto"/>
        <w:ind w:firstLine="440" w:firstLineChars="200"/>
        <w:rPr>
          <w:rFonts w:ascii="宋体" w:hAnsi="宋体" w:cs="宋体"/>
          <w:sz w:val="22"/>
          <w:szCs w:val="22"/>
          <w:highlight w:val="none"/>
        </w:rPr>
      </w:pPr>
      <w:r>
        <w:rPr>
          <w:rFonts w:hint="eastAsia" w:ascii="宋体" w:hAnsi="宋体" w:cs="宋体"/>
          <w:sz w:val="22"/>
          <w:szCs w:val="22"/>
          <w:highlight w:val="none"/>
        </w:rPr>
        <w:t>四、质量保修责任</w:t>
      </w:r>
    </w:p>
    <w:p w14:paraId="3AE8F4E5">
      <w:pPr>
        <w:pStyle w:val="104"/>
        <w:spacing w:line="300" w:lineRule="auto"/>
        <w:ind w:left="120" w:leftChars="50" w:firstLine="450" w:firstLineChars="205"/>
        <w:rPr>
          <w:rFonts w:ascii="宋体" w:hAnsi="宋体" w:cs="宋体"/>
          <w:sz w:val="22"/>
          <w:szCs w:val="22"/>
          <w:highlight w:val="none"/>
        </w:rPr>
      </w:pPr>
      <w:r>
        <w:rPr>
          <w:rFonts w:hint="eastAsia" w:ascii="宋体" w:hAnsi="宋体" w:cs="宋体"/>
          <w:sz w:val="22"/>
          <w:szCs w:val="22"/>
          <w:highlight w:val="none"/>
        </w:rPr>
        <w:t>1．属于保修范围、内容的项目，承包人应当在接到保修通知之日起7天内派人保修。承包人不在约定期限内派人保修的，发包人可以委托他人修理。</w:t>
      </w:r>
    </w:p>
    <w:p w14:paraId="1607D09B">
      <w:pPr>
        <w:pStyle w:val="104"/>
        <w:spacing w:line="300" w:lineRule="auto"/>
        <w:ind w:left="120" w:leftChars="50" w:firstLine="450" w:firstLineChars="205"/>
        <w:rPr>
          <w:rFonts w:ascii="宋体" w:hAnsi="宋体" w:cs="宋体"/>
          <w:sz w:val="22"/>
          <w:szCs w:val="22"/>
          <w:highlight w:val="none"/>
        </w:rPr>
      </w:pPr>
      <w:r>
        <w:rPr>
          <w:rFonts w:hint="eastAsia" w:ascii="宋体" w:hAnsi="宋体" w:cs="宋体"/>
          <w:sz w:val="22"/>
          <w:szCs w:val="22"/>
          <w:highlight w:val="none"/>
        </w:rPr>
        <w:t>2. 发生紧急抢修事故的，承包人在接到事故通知后，应当立即到达事故现场抢修。</w:t>
      </w:r>
    </w:p>
    <w:p w14:paraId="44DA94DD">
      <w:pPr>
        <w:pStyle w:val="104"/>
        <w:spacing w:line="300" w:lineRule="auto"/>
        <w:ind w:left="120" w:leftChars="50" w:firstLine="450" w:firstLineChars="205"/>
        <w:rPr>
          <w:rFonts w:ascii="宋体" w:hAnsi="宋体" w:cs="宋体"/>
          <w:sz w:val="22"/>
          <w:szCs w:val="22"/>
          <w:highlight w:val="none"/>
        </w:rPr>
      </w:pPr>
      <w:r>
        <w:rPr>
          <w:rFonts w:hint="eastAsia" w:ascii="宋体" w:hAnsi="宋体" w:cs="宋体"/>
          <w:sz w:val="22"/>
          <w:szCs w:val="22"/>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108DB1DD">
      <w:pPr>
        <w:pStyle w:val="104"/>
        <w:spacing w:line="300" w:lineRule="auto"/>
        <w:ind w:left="120" w:leftChars="50" w:firstLine="450" w:firstLineChars="205"/>
        <w:rPr>
          <w:rFonts w:ascii="宋体" w:hAnsi="宋体" w:cs="宋体"/>
          <w:sz w:val="22"/>
          <w:szCs w:val="22"/>
          <w:highlight w:val="none"/>
        </w:rPr>
      </w:pPr>
      <w:r>
        <w:rPr>
          <w:rFonts w:hint="eastAsia" w:ascii="宋体" w:hAnsi="宋体" w:cs="宋体"/>
          <w:sz w:val="22"/>
          <w:szCs w:val="22"/>
          <w:highlight w:val="none"/>
        </w:rPr>
        <w:t>4．质量保修完成后，由发包人组织验收。</w:t>
      </w:r>
    </w:p>
    <w:p w14:paraId="26ED1B04">
      <w:pPr>
        <w:spacing w:line="300" w:lineRule="auto"/>
        <w:ind w:left="120" w:leftChars="50" w:firstLine="450" w:firstLineChars="205"/>
        <w:rPr>
          <w:sz w:val="22"/>
          <w:szCs w:val="22"/>
          <w:highlight w:val="none"/>
        </w:rPr>
      </w:pPr>
      <w:r>
        <w:rPr>
          <w:rFonts w:hint="eastAsia"/>
          <w:sz w:val="22"/>
          <w:szCs w:val="22"/>
          <w:highlight w:val="none"/>
        </w:rPr>
        <w:t>5．承包人未在指定期限派人维修或发生其他视为承包人未履行维修义务情形的，发包人或管理单位有权委托第三方进行维修，所产生相关费用包括维修费、补偿金等均由承包人承担，并在工程保修金中扣除。</w:t>
      </w:r>
    </w:p>
    <w:p w14:paraId="713236FA">
      <w:pPr>
        <w:pStyle w:val="104"/>
        <w:spacing w:line="300" w:lineRule="auto"/>
        <w:ind w:firstLine="440" w:firstLineChars="200"/>
        <w:rPr>
          <w:rFonts w:ascii="宋体" w:hAnsi="宋体" w:cs="宋体"/>
          <w:sz w:val="22"/>
          <w:szCs w:val="22"/>
          <w:highlight w:val="none"/>
        </w:rPr>
      </w:pPr>
      <w:r>
        <w:rPr>
          <w:rFonts w:hint="eastAsia" w:ascii="宋体" w:hAnsi="宋体" w:cs="宋体"/>
          <w:sz w:val="22"/>
          <w:szCs w:val="22"/>
          <w:highlight w:val="none"/>
        </w:rPr>
        <w:t>五、保修费用</w:t>
      </w:r>
    </w:p>
    <w:p w14:paraId="2E73FC73">
      <w:pPr>
        <w:pStyle w:val="104"/>
        <w:spacing w:line="300" w:lineRule="auto"/>
        <w:ind w:firstLine="440" w:firstLineChars="200"/>
        <w:rPr>
          <w:rFonts w:ascii="宋体" w:hAnsi="宋体" w:cs="宋体"/>
          <w:sz w:val="22"/>
          <w:szCs w:val="22"/>
          <w:highlight w:val="none"/>
        </w:rPr>
      </w:pPr>
      <w:r>
        <w:rPr>
          <w:rFonts w:hint="eastAsia" w:ascii="宋体" w:hAnsi="宋体" w:cs="宋体"/>
          <w:sz w:val="22"/>
          <w:szCs w:val="22"/>
          <w:highlight w:val="none"/>
        </w:rPr>
        <w:t>1.保修费用由造成质量缺陷的责任方承担。</w:t>
      </w:r>
    </w:p>
    <w:p w14:paraId="32A88359">
      <w:pPr>
        <w:adjustRightInd w:val="0"/>
        <w:snapToGrid w:val="0"/>
        <w:spacing w:line="300" w:lineRule="auto"/>
        <w:ind w:firstLine="426" w:firstLineChars="194"/>
        <w:rPr>
          <w:b/>
          <w:bCs/>
          <w:sz w:val="22"/>
          <w:szCs w:val="22"/>
          <w:highlight w:val="none"/>
          <w:u w:val="single"/>
        </w:rPr>
      </w:pPr>
      <w:r>
        <w:rPr>
          <w:rFonts w:hint="eastAsia"/>
          <w:sz w:val="22"/>
          <w:szCs w:val="22"/>
          <w:highlight w:val="none"/>
        </w:rPr>
        <w:t>2.工程质量保证金的退还：</w:t>
      </w:r>
      <w:r>
        <w:rPr>
          <w:rFonts w:hint="eastAsia"/>
          <w:b/>
          <w:bCs/>
          <w:sz w:val="22"/>
          <w:szCs w:val="22"/>
          <w:highlight w:val="none"/>
          <w:u w:val="single"/>
        </w:rPr>
        <w:t>工程质量保修期满且回访质量符合要求后一次性付清（无息），如保修期间产生维修费、赔偿金等则扣除相应的维修费、赔偿金等款项后退还。</w:t>
      </w:r>
    </w:p>
    <w:p w14:paraId="05C3B052">
      <w:pPr>
        <w:pStyle w:val="104"/>
        <w:spacing w:line="300" w:lineRule="auto"/>
        <w:ind w:left="120" w:leftChars="50" w:firstLine="391" w:firstLineChars="178"/>
        <w:rPr>
          <w:rFonts w:ascii="宋体" w:hAnsi="宋体" w:cs="宋体"/>
          <w:sz w:val="22"/>
          <w:szCs w:val="22"/>
          <w:highlight w:val="none"/>
        </w:rPr>
      </w:pPr>
      <w:r>
        <w:rPr>
          <w:rFonts w:hint="eastAsia" w:ascii="宋体" w:hAnsi="宋体" w:cs="宋体"/>
          <w:sz w:val="22"/>
          <w:szCs w:val="22"/>
          <w:highlight w:val="none"/>
        </w:rPr>
        <w:t>六、双方约定的其他工程质量保修事项：</w:t>
      </w:r>
      <w:r>
        <w:rPr>
          <w:rFonts w:hint="eastAsia" w:ascii="宋体" w:hAnsi="宋体" w:cs="宋体"/>
          <w:sz w:val="22"/>
          <w:szCs w:val="22"/>
          <w:highlight w:val="none"/>
          <w:u w:val="single"/>
        </w:rPr>
        <w:t xml:space="preserve">   无     。</w:t>
      </w:r>
    </w:p>
    <w:p w14:paraId="3F4FFC1A">
      <w:pPr>
        <w:pStyle w:val="104"/>
        <w:spacing w:line="300" w:lineRule="auto"/>
        <w:ind w:left="120" w:leftChars="50" w:firstLine="440" w:firstLineChars="200"/>
        <w:rPr>
          <w:rFonts w:ascii="宋体" w:hAnsi="宋体" w:cs="宋体"/>
          <w:sz w:val="22"/>
          <w:szCs w:val="22"/>
          <w:highlight w:val="none"/>
        </w:rPr>
      </w:pPr>
      <w:r>
        <w:rPr>
          <w:rFonts w:hint="eastAsia" w:ascii="宋体" w:hAnsi="宋体" w:cs="宋体"/>
          <w:sz w:val="22"/>
          <w:szCs w:val="22"/>
          <w:highlight w:val="none"/>
        </w:rPr>
        <w:t>工程质量保修书由发包人、承包人在工程竣工验收前共同签署，作为施工合同附件，其有效期限至保修期满。</w:t>
      </w:r>
    </w:p>
    <w:p w14:paraId="7A8741C4">
      <w:pPr>
        <w:pStyle w:val="104"/>
        <w:spacing w:line="300" w:lineRule="auto"/>
        <w:ind w:firstLine="418" w:firstLineChars="190"/>
        <w:rPr>
          <w:rFonts w:ascii="宋体" w:hAnsi="宋体" w:cs="宋体"/>
          <w:sz w:val="22"/>
          <w:szCs w:val="22"/>
          <w:highlight w:val="none"/>
        </w:rPr>
      </w:pPr>
      <w:r>
        <w:rPr>
          <w:rFonts w:hint="eastAsia" w:ascii="宋体" w:hAnsi="宋体" w:cs="宋体"/>
          <w:sz w:val="22"/>
          <w:szCs w:val="22"/>
          <w:highlight w:val="none"/>
        </w:rPr>
        <w:t xml:space="preserve"> </w:t>
      </w:r>
    </w:p>
    <w:p w14:paraId="31F2F19E">
      <w:pPr>
        <w:pStyle w:val="104"/>
        <w:spacing w:line="400" w:lineRule="exact"/>
        <w:rPr>
          <w:rFonts w:ascii="宋体" w:hAnsi="宋体" w:cs="宋体"/>
          <w:sz w:val="22"/>
          <w:szCs w:val="22"/>
          <w:highlight w:val="none"/>
        </w:rPr>
      </w:pPr>
      <w:r>
        <w:rPr>
          <w:rFonts w:hint="eastAsia" w:ascii="宋体" w:hAnsi="宋体" w:cs="宋体"/>
          <w:sz w:val="22"/>
          <w:szCs w:val="22"/>
          <w:highlight w:val="none"/>
        </w:rPr>
        <w:t>发包人(公章)：</w:t>
      </w:r>
      <w:r>
        <w:rPr>
          <w:rFonts w:hint="eastAsia" w:ascii="宋体" w:hAnsi="宋体" w:cs="宋体"/>
          <w:sz w:val="22"/>
          <w:szCs w:val="22"/>
          <w:highlight w:val="none"/>
          <w:u w:val="single"/>
        </w:rPr>
        <w:t xml:space="preserve">        </w:t>
      </w:r>
      <w:r>
        <w:rPr>
          <w:rFonts w:hint="eastAsia" w:ascii="宋体" w:hAnsi="宋体" w:cs="宋体"/>
          <w:sz w:val="22"/>
          <w:szCs w:val="22"/>
          <w:highlight w:val="none"/>
        </w:rPr>
        <w:t xml:space="preserve">                      承包人(公章)：</w:t>
      </w:r>
      <w:r>
        <w:rPr>
          <w:rFonts w:hint="eastAsia" w:ascii="宋体" w:hAnsi="宋体" w:cs="宋体"/>
          <w:sz w:val="22"/>
          <w:szCs w:val="22"/>
          <w:highlight w:val="none"/>
          <w:u w:val="single"/>
        </w:rPr>
        <w:t xml:space="preserve">            </w:t>
      </w:r>
    </w:p>
    <w:p w14:paraId="502C0626">
      <w:pPr>
        <w:pStyle w:val="104"/>
        <w:spacing w:line="400" w:lineRule="exact"/>
        <w:rPr>
          <w:rFonts w:ascii="宋体" w:hAnsi="宋体" w:cs="宋体"/>
          <w:sz w:val="22"/>
          <w:szCs w:val="22"/>
          <w:highlight w:val="none"/>
        </w:rPr>
      </w:pPr>
      <w:r>
        <w:rPr>
          <w:rFonts w:hint="eastAsia" w:ascii="宋体" w:hAnsi="宋体" w:cs="宋体"/>
          <w:sz w:val="22"/>
          <w:szCs w:val="22"/>
          <w:highlight w:val="none"/>
        </w:rPr>
        <w:t>地  址：</w:t>
      </w:r>
      <w:r>
        <w:rPr>
          <w:rFonts w:hint="eastAsia" w:ascii="宋体" w:hAnsi="宋体" w:cs="宋体"/>
          <w:sz w:val="22"/>
          <w:szCs w:val="22"/>
          <w:highlight w:val="none"/>
          <w:u w:val="single"/>
        </w:rPr>
        <w:t xml:space="preserve">     </w:t>
      </w:r>
      <w:r>
        <w:rPr>
          <w:rFonts w:hint="eastAsia" w:ascii="宋体" w:hAnsi="宋体" w:cs="宋体"/>
          <w:sz w:val="22"/>
          <w:szCs w:val="22"/>
          <w:highlight w:val="none"/>
        </w:rPr>
        <w:t xml:space="preserve">                               地  址：</w:t>
      </w:r>
      <w:r>
        <w:rPr>
          <w:rFonts w:hint="eastAsia" w:ascii="宋体" w:hAnsi="宋体" w:cs="宋体"/>
          <w:sz w:val="22"/>
          <w:szCs w:val="22"/>
          <w:highlight w:val="none"/>
          <w:u w:val="single"/>
        </w:rPr>
        <w:t xml:space="preserve">                   </w:t>
      </w:r>
    </w:p>
    <w:p w14:paraId="43F4D225">
      <w:pPr>
        <w:pStyle w:val="104"/>
        <w:spacing w:line="400" w:lineRule="exact"/>
        <w:rPr>
          <w:rFonts w:ascii="宋体" w:hAnsi="宋体" w:cs="宋体"/>
          <w:sz w:val="22"/>
          <w:szCs w:val="22"/>
          <w:highlight w:val="none"/>
        </w:rPr>
      </w:pPr>
      <w:r>
        <w:rPr>
          <w:rFonts w:hint="eastAsia" w:ascii="宋体" w:hAnsi="宋体" w:cs="宋体"/>
          <w:sz w:val="22"/>
          <w:szCs w:val="22"/>
          <w:highlight w:val="none"/>
        </w:rPr>
        <w:t>法定代表人(签字)：</w:t>
      </w:r>
      <w:r>
        <w:rPr>
          <w:rFonts w:hint="eastAsia" w:ascii="宋体" w:hAnsi="宋体" w:cs="宋体"/>
          <w:sz w:val="22"/>
          <w:szCs w:val="22"/>
          <w:highlight w:val="none"/>
          <w:u w:val="single"/>
        </w:rPr>
        <w:t xml:space="preserve">      </w:t>
      </w:r>
      <w:r>
        <w:rPr>
          <w:rFonts w:hint="eastAsia" w:ascii="宋体" w:hAnsi="宋体" w:cs="宋体"/>
          <w:sz w:val="22"/>
          <w:szCs w:val="22"/>
          <w:highlight w:val="none"/>
        </w:rPr>
        <w:t xml:space="preserve">                    法定代表人(签字)：</w:t>
      </w:r>
      <w:r>
        <w:rPr>
          <w:rFonts w:hint="eastAsia" w:ascii="宋体" w:hAnsi="宋体" w:cs="宋体"/>
          <w:sz w:val="22"/>
          <w:szCs w:val="22"/>
          <w:highlight w:val="none"/>
          <w:u w:val="single"/>
        </w:rPr>
        <w:t xml:space="preserve">       </w:t>
      </w:r>
    </w:p>
    <w:p w14:paraId="222EB653">
      <w:pPr>
        <w:pStyle w:val="104"/>
        <w:spacing w:line="400" w:lineRule="exact"/>
        <w:rPr>
          <w:rFonts w:ascii="宋体" w:hAnsi="宋体" w:cs="宋体"/>
          <w:sz w:val="22"/>
          <w:szCs w:val="22"/>
          <w:highlight w:val="none"/>
        </w:rPr>
      </w:pPr>
      <w:r>
        <w:rPr>
          <w:rFonts w:hint="eastAsia" w:ascii="宋体" w:hAnsi="宋体" w:cs="宋体"/>
          <w:sz w:val="22"/>
          <w:szCs w:val="22"/>
          <w:highlight w:val="none"/>
        </w:rPr>
        <w:t>委托代理人(签字)：</w:t>
      </w:r>
      <w:r>
        <w:rPr>
          <w:rFonts w:hint="eastAsia" w:ascii="宋体" w:hAnsi="宋体" w:cs="宋体"/>
          <w:sz w:val="22"/>
          <w:szCs w:val="22"/>
          <w:highlight w:val="none"/>
          <w:u w:val="single"/>
        </w:rPr>
        <w:t xml:space="preserve">       </w:t>
      </w:r>
      <w:r>
        <w:rPr>
          <w:rFonts w:hint="eastAsia" w:ascii="宋体" w:hAnsi="宋体" w:cs="宋体"/>
          <w:sz w:val="22"/>
          <w:szCs w:val="22"/>
          <w:highlight w:val="none"/>
        </w:rPr>
        <w:t xml:space="preserve">                   委托代理人(签字)：</w:t>
      </w:r>
      <w:r>
        <w:rPr>
          <w:rFonts w:hint="eastAsia" w:ascii="宋体" w:hAnsi="宋体" w:cs="宋体"/>
          <w:sz w:val="22"/>
          <w:szCs w:val="22"/>
          <w:highlight w:val="none"/>
          <w:u w:val="single"/>
        </w:rPr>
        <w:t xml:space="preserve">       </w:t>
      </w:r>
    </w:p>
    <w:p w14:paraId="751562AB">
      <w:pPr>
        <w:pStyle w:val="17"/>
        <w:spacing w:line="440" w:lineRule="exact"/>
        <w:rPr>
          <w:rFonts w:ascii="宋体" w:hAnsi="宋体" w:eastAsia="宋体" w:cs="宋体"/>
          <w:b/>
          <w:bCs/>
          <w:sz w:val="22"/>
          <w:szCs w:val="22"/>
          <w:highlight w:val="none"/>
        </w:rPr>
      </w:pPr>
      <w:r>
        <w:rPr>
          <w:rFonts w:hint="eastAsia" w:ascii="宋体" w:hAnsi="宋体" w:eastAsia="宋体" w:cs="宋体"/>
          <w:sz w:val="22"/>
          <w:szCs w:val="22"/>
          <w:highlight w:val="none"/>
        </w:rPr>
        <w:br w:type="page"/>
      </w:r>
      <w:r>
        <w:rPr>
          <w:rFonts w:hint="eastAsia" w:ascii="宋体" w:hAnsi="宋体" w:eastAsia="宋体" w:cs="宋体"/>
          <w:b/>
          <w:bCs/>
          <w:highlight w:val="none"/>
        </w:rPr>
        <w:t xml:space="preserve">附件2： </w:t>
      </w:r>
    </w:p>
    <w:p w14:paraId="50773620">
      <w:pPr>
        <w:topLinePunct/>
        <w:jc w:val="center"/>
        <w:rPr>
          <w:b/>
          <w:bCs/>
          <w:highlight w:val="none"/>
        </w:rPr>
      </w:pPr>
      <w:r>
        <w:rPr>
          <w:rFonts w:hint="eastAsia"/>
          <w:b/>
          <w:bCs/>
          <w:highlight w:val="none"/>
        </w:rPr>
        <w:t>廉政责任合同</w:t>
      </w:r>
    </w:p>
    <w:p w14:paraId="08645B25">
      <w:pPr>
        <w:topLinePunct/>
        <w:ind w:firstLine="643"/>
        <w:jc w:val="center"/>
        <w:rPr>
          <w:b/>
          <w:bCs/>
          <w:sz w:val="22"/>
          <w:szCs w:val="22"/>
          <w:highlight w:val="none"/>
        </w:rPr>
      </w:pPr>
      <w:r>
        <w:rPr>
          <w:rFonts w:hint="eastAsia"/>
          <w:b/>
          <w:bCs/>
          <w:sz w:val="22"/>
          <w:szCs w:val="22"/>
          <w:highlight w:val="none"/>
        </w:rPr>
        <w:t xml:space="preserve"> </w:t>
      </w:r>
    </w:p>
    <w:p w14:paraId="0D09550A">
      <w:pPr>
        <w:pStyle w:val="129"/>
        <w:spacing w:line="360" w:lineRule="auto"/>
        <w:ind w:firstLine="442"/>
        <w:rPr>
          <w:rFonts w:ascii="宋体" w:hAnsi="宋体" w:cs="宋体"/>
          <w:color w:val="auto"/>
          <w:sz w:val="22"/>
          <w:szCs w:val="22"/>
          <w:highlight w:val="none"/>
        </w:rPr>
      </w:pPr>
      <w:r>
        <w:rPr>
          <w:rFonts w:hint="eastAsia" w:ascii="宋体" w:hAnsi="宋体" w:cs="宋体"/>
          <w:b/>
          <w:bCs/>
          <w:color w:val="auto"/>
          <w:sz w:val="22"/>
          <w:szCs w:val="22"/>
          <w:highlight w:val="none"/>
        </w:rPr>
        <w:t>第一条</w:t>
      </w:r>
      <w:r>
        <w:rPr>
          <w:rFonts w:hint="eastAsia" w:ascii="宋体" w:hAnsi="宋体" w:cs="宋体"/>
          <w:color w:val="auto"/>
          <w:sz w:val="22"/>
          <w:szCs w:val="22"/>
          <w:highlight w:val="none"/>
        </w:rPr>
        <w:t>：根据国家建设部、监察部《关于在工程建设中深入开展反对腐败和反不正当竞争的通知》精神和党风廉政建设的有关规定，为进一步规范工程建设中的经济活动管理，经双方协商一致，制订以下廉政责任合同。</w:t>
      </w:r>
    </w:p>
    <w:p w14:paraId="3A1015C2">
      <w:pPr>
        <w:pStyle w:val="129"/>
        <w:spacing w:line="360" w:lineRule="auto"/>
        <w:ind w:firstLine="442"/>
        <w:rPr>
          <w:rFonts w:ascii="宋体" w:hAnsi="宋体" w:cs="宋体"/>
          <w:color w:val="auto"/>
          <w:sz w:val="22"/>
          <w:szCs w:val="22"/>
          <w:highlight w:val="none"/>
        </w:rPr>
      </w:pPr>
      <w:r>
        <w:rPr>
          <w:rFonts w:hint="eastAsia" w:ascii="宋体" w:hAnsi="宋体" w:cs="宋体"/>
          <w:b/>
          <w:bCs/>
          <w:color w:val="auto"/>
          <w:sz w:val="22"/>
          <w:szCs w:val="22"/>
          <w:highlight w:val="none"/>
        </w:rPr>
        <w:t>第二条</w:t>
      </w:r>
      <w:r>
        <w:rPr>
          <w:rFonts w:hint="eastAsia" w:ascii="宋体" w:hAnsi="宋体" w:cs="宋体"/>
          <w:color w:val="auto"/>
          <w:sz w:val="22"/>
          <w:szCs w:val="22"/>
          <w:highlight w:val="none"/>
        </w:rPr>
        <w:t>：廉政责任合同（以下简称本合同）由浙江交通职业技术学院与承包方</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（以下简称承包人）共同签订。</w:t>
      </w:r>
    </w:p>
    <w:p w14:paraId="161F8500">
      <w:pPr>
        <w:pStyle w:val="129"/>
        <w:spacing w:line="360" w:lineRule="auto"/>
        <w:ind w:firstLine="442"/>
        <w:rPr>
          <w:rFonts w:ascii="宋体" w:hAnsi="宋体" w:cs="宋体"/>
          <w:color w:val="auto"/>
          <w:sz w:val="22"/>
          <w:szCs w:val="22"/>
          <w:highlight w:val="none"/>
        </w:rPr>
      </w:pPr>
      <w:r>
        <w:rPr>
          <w:rFonts w:hint="eastAsia" w:ascii="宋体" w:hAnsi="宋体" w:cs="宋体"/>
          <w:b/>
          <w:bCs/>
          <w:color w:val="auto"/>
          <w:sz w:val="22"/>
          <w:szCs w:val="22"/>
          <w:highlight w:val="none"/>
        </w:rPr>
        <w:t>第三条</w:t>
      </w:r>
      <w:r>
        <w:rPr>
          <w:rFonts w:hint="eastAsia" w:ascii="宋体" w:hAnsi="宋体" w:cs="宋体"/>
          <w:color w:val="auto"/>
          <w:sz w:val="22"/>
          <w:szCs w:val="22"/>
          <w:highlight w:val="none"/>
        </w:rPr>
        <w:t>：纪检监察部门负责履行本合同的监督管理工作。</w:t>
      </w:r>
    </w:p>
    <w:p w14:paraId="523E1C74">
      <w:pPr>
        <w:pStyle w:val="129"/>
        <w:spacing w:line="360" w:lineRule="auto"/>
        <w:ind w:firstLine="442"/>
        <w:rPr>
          <w:rFonts w:ascii="宋体" w:hAnsi="宋体" w:cs="宋体"/>
          <w:color w:val="auto"/>
          <w:sz w:val="22"/>
          <w:szCs w:val="22"/>
          <w:highlight w:val="none"/>
        </w:rPr>
      </w:pPr>
      <w:r>
        <w:rPr>
          <w:rFonts w:hint="eastAsia" w:ascii="宋体" w:hAnsi="宋体" w:cs="宋体"/>
          <w:b/>
          <w:bCs/>
          <w:color w:val="auto"/>
          <w:sz w:val="22"/>
          <w:szCs w:val="22"/>
          <w:highlight w:val="none"/>
        </w:rPr>
        <w:t>第四条</w:t>
      </w:r>
      <w:r>
        <w:rPr>
          <w:rFonts w:hint="eastAsia" w:ascii="宋体" w:hAnsi="宋体" w:cs="宋体"/>
          <w:color w:val="auto"/>
          <w:sz w:val="22"/>
          <w:szCs w:val="22"/>
          <w:highlight w:val="none"/>
        </w:rPr>
        <w:t>：双方的权利和义务</w:t>
      </w:r>
    </w:p>
    <w:p w14:paraId="33D6649C">
      <w:pPr>
        <w:pStyle w:val="129"/>
        <w:spacing w:line="360" w:lineRule="auto"/>
        <w:ind w:firstLine="440"/>
        <w:rPr>
          <w:rFonts w:ascii="宋体" w:hAnsi="宋体" w:cs="宋体"/>
          <w:color w:val="auto"/>
          <w:sz w:val="22"/>
          <w:szCs w:val="22"/>
          <w:highlight w:val="none"/>
        </w:rPr>
      </w:pPr>
      <w:r>
        <w:rPr>
          <w:rFonts w:hint="eastAsia" w:ascii="宋体" w:hAnsi="宋体" w:cs="宋体"/>
          <w:color w:val="auto"/>
          <w:sz w:val="22"/>
          <w:szCs w:val="22"/>
          <w:highlight w:val="none"/>
        </w:rPr>
        <w:t>一、双方应严格遵守党和国家法规、党风廉政建设及《反不正当竞争法》的各项规定。</w:t>
      </w:r>
    </w:p>
    <w:p w14:paraId="42DE7FAD">
      <w:pPr>
        <w:pStyle w:val="129"/>
        <w:spacing w:line="360" w:lineRule="auto"/>
        <w:ind w:firstLine="440"/>
        <w:rPr>
          <w:rFonts w:ascii="宋体" w:hAnsi="宋体" w:cs="宋体"/>
          <w:color w:val="auto"/>
          <w:sz w:val="22"/>
          <w:szCs w:val="22"/>
          <w:highlight w:val="none"/>
        </w:rPr>
      </w:pPr>
      <w:r>
        <w:rPr>
          <w:rFonts w:hint="eastAsia" w:ascii="宋体" w:hAnsi="宋体" w:cs="宋体"/>
          <w:color w:val="auto"/>
          <w:sz w:val="22"/>
          <w:szCs w:val="22"/>
          <w:highlight w:val="none"/>
        </w:rPr>
        <w:t>二、双方严格执行所签订的经济合同各项条款，自觉按合同办事，严禁因违法违纪、违反工程建设管理的各项规章制度而损害国家和集体利益。</w:t>
      </w:r>
    </w:p>
    <w:p w14:paraId="6CD4E2DE">
      <w:pPr>
        <w:pStyle w:val="129"/>
        <w:spacing w:line="360" w:lineRule="auto"/>
        <w:ind w:firstLine="440"/>
        <w:rPr>
          <w:rFonts w:ascii="宋体" w:hAnsi="宋体" w:cs="宋体"/>
          <w:color w:val="auto"/>
          <w:sz w:val="22"/>
          <w:szCs w:val="22"/>
          <w:highlight w:val="none"/>
        </w:rPr>
      </w:pPr>
      <w:r>
        <w:rPr>
          <w:rFonts w:hint="eastAsia" w:ascii="宋体" w:hAnsi="宋体" w:cs="宋体"/>
          <w:color w:val="auto"/>
          <w:sz w:val="22"/>
          <w:szCs w:val="22"/>
          <w:highlight w:val="none"/>
        </w:rPr>
        <w:t>三、双方人员洽谈业务时，必须选择在办公场所或发包人确定的其它公共场所由二人以上共同进行，严禁私下商谈串通。</w:t>
      </w:r>
    </w:p>
    <w:p w14:paraId="3E104261">
      <w:pPr>
        <w:pStyle w:val="129"/>
        <w:spacing w:line="360" w:lineRule="auto"/>
        <w:ind w:firstLine="442"/>
        <w:rPr>
          <w:rFonts w:ascii="宋体" w:hAnsi="宋体" w:cs="宋体"/>
          <w:color w:val="auto"/>
          <w:sz w:val="22"/>
          <w:szCs w:val="22"/>
          <w:highlight w:val="none"/>
        </w:rPr>
      </w:pPr>
      <w:r>
        <w:rPr>
          <w:rFonts w:hint="eastAsia" w:ascii="宋体" w:hAnsi="宋体" w:cs="宋体"/>
          <w:b/>
          <w:bCs/>
          <w:color w:val="auto"/>
          <w:sz w:val="22"/>
          <w:szCs w:val="22"/>
          <w:highlight w:val="none"/>
        </w:rPr>
        <w:t xml:space="preserve">第五条  </w:t>
      </w:r>
      <w:r>
        <w:rPr>
          <w:rFonts w:hint="eastAsia" w:ascii="宋体" w:hAnsi="宋体" w:cs="宋体"/>
          <w:color w:val="auto"/>
          <w:sz w:val="22"/>
          <w:szCs w:val="22"/>
          <w:highlight w:val="none"/>
        </w:rPr>
        <w:t>发包人的权利和义务</w:t>
      </w:r>
    </w:p>
    <w:p w14:paraId="10CF5417">
      <w:pPr>
        <w:pStyle w:val="129"/>
        <w:spacing w:line="360" w:lineRule="auto"/>
        <w:ind w:firstLine="440"/>
        <w:rPr>
          <w:rFonts w:ascii="宋体" w:hAnsi="宋体" w:cs="宋体"/>
          <w:color w:val="auto"/>
          <w:sz w:val="22"/>
          <w:szCs w:val="22"/>
          <w:highlight w:val="none"/>
        </w:rPr>
      </w:pPr>
      <w:r>
        <w:rPr>
          <w:rFonts w:hint="eastAsia" w:ascii="宋体" w:hAnsi="宋体" w:cs="宋体"/>
          <w:color w:val="auto"/>
          <w:sz w:val="22"/>
          <w:szCs w:val="22"/>
          <w:highlight w:val="none"/>
        </w:rPr>
        <w:t>一、发包人人员不得以任何形式向承包人索要回扣；对无法拒收的，应及时上交纪检部门。</w:t>
      </w:r>
    </w:p>
    <w:p w14:paraId="7CD9A974">
      <w:pPr>
        <w:pStyle w:val="129"/>
        <w:spacing w:line="360" w:lineRule="auto"/>
        <w:ind w:firstLine="440"/>
        <w:rPr>
          <w:rFonts w:ascii="宋体" w:hAnsi="宋体" w:cs="宋体"/>
          <w:color w:val="auto"/>
          <w:sz w:val="22"/>
          <w:szCs w:val="22"/>
          <w:highlight w:val="none"/>
        </w:rPr>
      </w:pPr>
      <w:r>
        <w:rPr>
          <w:rFonts w:hint="eastAsia" w:ascii="宋体" w:hAnsi="宋体" w:cs="宋体"/>
          <w:color w:val="auto"/>
          <w:sz w:val="22"/>
          <w:szCs w:val="22"/>
          <w:highlight w:val="none"/>
        </w:rPr>
        <w:t>二、发包人人员在业务交往中或项目结束后，不得接受承包人以任何形式给予的礼金、礼品和有价证券，不得在承包人报销应由个人支付的任何费用。</w:t>
      </w:r>
    </w:p>
    <w:p w14:paraId="4546C2B3">
      <w:pPr>
        <w:pStyle w:val="129"/>
        <w:spacing w:line="360" w:lineRule="auto"/>
        <w:ind w:firstLine="440"/>
        <w:rPr>
          <w:rFonts w:ascii="宋体" w:hAnsi="宋体" w:cs="宋体"/>
          <w:color w:val="auto"/>
          <w:sz w:val="22"/>
          <w:szCs w:val="22"/>
          <w:highlight w:val="none"/>
        </w:rPr>
      </w:pPr>
      <w:r>
        <w:rPr>
          <w:rFonts w:hint="eastAsia" w:ascii="宋体" w:hAnsi="宋体" w:cs="宋体"/>
          <w:color w:val="auto"/>
          <w:sz w:val="22"/>
          <w:szCs w:val="22"/>
          <w:highlight w:val="none"/>
        </w:rPr>
        <w:t>三、发包人人员不得参加可能对公正执行公务有影响的宴请、旅游和娱乐活动。</w:t>
      </w:r>
    </w:p>
    <w:p w14:paraId="46A814BC">
      <w:pPr>
        <w:pStyle w:val="129"/>
        <w:spacing w:line="360" w:lineRule="auto"/>
        <w:ind w:firstLine="440"/>
        <w:rPr>
          <w:rFonts w:ascii="宋体" w:hAnsi="宋体" w:cs="宋体"/>
          <w:color w:val="auto"/>
          <w:sz w:val="22"/>
          <w:szCs w:val="22"/>
          <w:highlight w:val="none"/>
        </w:rPr>
      </w:pPr>
      <w:r>
        <w:rPr>
          <w:rFonts w:hint="eastAsia" w:ascii="宋体" w:hAnsi="宋体" w:cs="宋体"/>
          <w:color w:val="auto"/>
          <w:sz w:val="22"/>
          <w:szCs w:val="22"/>
          <w:highlight w:val="none"/>
        </w:rPr>
        <w:t>四、发包人人员不得向承包人介绍家属或亲友从事与发包人工程有关的材料设备供应、工程分包等经济活动。</w:t>
      </w:r>
    </w:p>
    <w:p w14:paraId="3930439E">
      <w:pPr>
        <w:pStyle w:val="129"/>
        <w:spacing w:line="360" w:lineRule="auto"/>
        <w:ind w:firstLine="442"/>
        <w:rPr>
          <w:rFonts w:ascii="宋体" w:hAnsi="宋体" w:cs="宋体"/>
          <w:color w:val="auto"/>
          <w:sz w:val="22"/>
          <w:szCs w:val="22"/>
          <w:highlight w:val="none"/>
        </w:rPr>
      </w:pPr>
      <w:r>
        <w:rPr>
          <w:rFonts w:hint="eastAsia" w:ascii="宋体" w:hAnsi="宋体" w:cs="宋体"/>
          <w:b/>
          <w:bCs/>
          <w:color w:val="auto"/>
          <w:sz w:val="22"/>
          <w:szCs w:val="22"/>
          <w:highlight w:val="none"/>
        </w:rPr>
        <w:t>第六条</w:t>
      </w:r>
      <w:r>
        <w:rPr>
          <w:rFonts w:hint="eastAsia" w:ascii="宋体" w:hAnsi="宋体" w:cs="宋体"/>
          <w:color w:val="auto"/>
          <w:sz w:val="22"/>
          <w:szCs w:val="22"/>
          <w:highlight w:val="none"/>
        </w:rPr>
        <w:t>：承包人的权利和义务</w:t>
      </w:r>
    </w:p>
    <w:p w14:paraId="0B9EDDA4">
      <w:pPr>
        <w:pStyle w:val="129"/>
        <w:spacing w:line="360" w:lineRule="auto"/>
        <w:ind w:firstLine="440"/>
        <w:rPr>
          <w:rFonts w:ascii="宋体" w:hAnsi="宋体" w:cs="宋体"/>
          <w:color w:val="auto"/>
          <w:sz w:val="22"/>
          <w:szCs w:val="22"/>
          <w:highlight w:val="none"/>
        </w:rPr>
      </w:pPr>
      <w:r>
        <w:rPr>
          <w:rFonts w:hint="eastAsia" w:ascii="宋体" w:hAnsi="宋体" w:cs="宋体"/>
          <w:color w:val="auto"/>
          <w:sz w:val="22"/>
          <w:szCs w:val="22"/>
          <w:highlight w:val="none"/>
        </w:rPr>
        <w:t>一、承包人人员不得以任何形式向发包人人员赠送礼金、礼品和有价证券。项目结束后，也不得进行上述赠送。</w:t>
      </w:r>
    </w:p>
    <w:p w14:paraId="68A99CDD">
      <w:pPr>
        <w:pStyle w:val="129"/>
        <w:spacing w:line="360" w:lineRule="auto"/>
        <w:ind w:firstLine="440"/>
        <w:rPr>
          <w:rFonts w:ascii="宋体" w:hAnsi="宋体" w:cs="宋体"/>
          <w:color w:val="auto"/>
          <w:sz w:val="22"/>
          <w:szCs w:val="22"/>
          <w:highlight w:val="none"/>
        </w:rPr>
      </w:pPr>
      <w:r>
        <w:rPr>
          <w:rFonts w:hint="eastAsia" w:ascii="宋体" w:hAnsi="宋体" w:cs="宋体"/>
          <w:color w:val="auto"/>
          <w:sz w:val="22"/>
          <w:szCs w:val="22"/>
          <w:highlight w:val="none"/>
        </w:rPr>
        <w:t>二、承包人不准以任何名义为发包人人员报销应由发包人人员个人支付的费用。</w:t>
      </w:r>
    </w:p>
    <w:p w14:paraId="4DF3C4A4">
      <w:pPr>
        <w:pStyle w:val="129"/>
        <w:spacing w:line="360" w:lineRule="auto"/>
        <w:ind w:firstLine="440"/>
        <w:rPr>
          <w:rFonts w:ascii="宋体" w:hAnsi="宋体" w:cs="宋体"/>
          <w:color w:val="auto"/>
          <w:sz w:val="22"/>
          <w:szCs w:val="22"/>
          <w:highlight w:val="none"/>
        </w:rPr>
      </w:pPr>
      <w:r>
        <w:rPr>
          <w:rFonts w:hint="eastAsia" w:ascii="宋体" w:hAnsi="宋体" w:cs="宋体"/>
          <w:color w:val="auto"/>
          <w:sz w:val="22"/>
          <w:szCs w:val="22"/>
          <w:highlight w:val="none"/>
        </w:rPr>
        <w:t>三、承包人人员不得以洽谈业务、签订经济合同为借口，邀请发包人人员参加宴会、旅游和娱乐活动等。</w:t>
      </w:r>
    </w:p>
    <w:p w14:paraId="1BCBB92C">
      <w:pPr>
        <w:pStyle w:val="129"/>
        <w:spacing w:line="360" w:lineRule="auto"/>
        <w:ind w:firstLine="442"/>
        <w:rPr>
          <w:rFonts w:ascii="宋体" w:hAnsi="宋体" w:cs="宋体"/>
          <w:color w:val="auto"/>
          <w:sz w:val="22"/>
          <w:szCs w:val="22"/>
          <w:highlight w:val="none"/>
        </w:rPr>
      </w:pPr>
      <w:r>
        <w:rPr>
          <w:rFonts w:hint="eastAsia" w:ascii="宋体" w:hAnsi="宋体" w:cs="宋体"/>
          <w:b/>
          <w:bCs/>
          <w:color w:val="auto"/>
          <w:sz w:val="22"/>
          <w:szCs w:val="22"/>
          <w:highlight w:val="none"/>
        </w:rPr>
        <w:t>第七条</w:t>
      </w:r>
      <w:r>
        <w:rPr>
          <w:rFonts w:hint="eastAsia" w:ascii="宋体" w:hAnsi="宋体" w:cs="宋体"/>
          <w:color w:val="auto"/>
          <w:sz w:val="22"/>
          <w:szCs w:val="22"/>
          <w:highlight w:val="none"/>
        </w:rPr>
        <w:t>：违约责任</w:t>
      </w:r>
    </w:p>
    <w:p w14:paraId="718B8E8B">
      <w:pPr>
        <w:pStyle w:val="129"/>
        <w:spacing w:line="360" w:lineRule="auto"/>
        <w:ind w:firstLine="440"/>
        <w:rPr>
          <w:rFonts w:ascii="宋体" w:hAnsi="宋体" w:cs="宋体"/>
          <w:color w:val="auto"/>
          <w:sz w:val="22"/>
          <w:szCs w:val="22"/>
          <w:highlight w:val="none"/>
        </w:rPr>
      </w:pPr>
      <w:r>
        <w:rPr>
          <w:rFonts w:hint="eastAsia" w:ascii="宋体" w:hAnsi="宋体" w:cs="宋体"/>
          <w:color w:val="auto"/>
          <w:sz w:val="22"/>
          <w:szCs w:val="22"/>
          <w:highlight w:val="none"/>
        </w:rPr>
        <w:t>一、发包人人员若违反本合同，其主管部门将对违法、违纪、违规人员严肃查处。因此而给承包人造成的损失，发包人按有关规定予以赔偿。</w:t>
      </w:r>
    </w:p>
    <w:p w14:paraId="11E8683B">
      <w:pPr>
        <w:pStyle w:val="129"/>
        <w:spacing w:line="360" w:lineRule="auto"/>
        <w:ind w:firstLine="440"/>
        <w:rPr>
          <w:rFonts w:ascii="宋体" w:hAnsi="宋体" w:cs="宋体"/>
          <w:color w:val="auto"/>
          <w:sz w:val="22"/>
          <w:szCs w:val="22"/>
          <w:highlight w:val="none"/>
        </w:rPr>
      </w:pPr>
      <w:r>
        <w:rPr>
          <w:rFonts w:hint="eastAsia" w:ascii="宋体" w:hAnsi="宋体" w:cs="宋体"/>
          <w:color w:val="auto"/>
          <w:sz w:val="22"/>
          <w:szCs w:val="22"/>
          <w:highlight w:val="none"/>
        </w:rPr>
        <w:t>二、发包人主管部门如发现承包人人员违反本合同规定，一经查实，有权终止其经济合同，由此而造成的损失由承包人负责赔偿；并将承包人列入不良行为名单登记入册，取消其在该工程任何经济项目的投标活动。同时，有义务向政府主管部门提供其不良记录情况。</w:t>
      </w:r>
    </w:p>
    <w:p w14:paraId="1BF34B1F">
      <w:pPr>
        <w:pStyle w:val="129"/>
        <w:spacing w:line="360" w:lineRule="auto"/>
        <w:ind w:firstLine="440"/>
        <w:rPr>
          <w:rFonts w:ascii="宋体" w:hAnsi="宋体" w:cs="宋体"/>
          <w:color w:val="auto"/>
          <w:sz w:val="22"/>
          <w:szCs w:val="22"/>
          <w:highlight w:val="none"/>
        </w:rPr>
      </w:pPr>
      <w:r>
        <w:rPr>
          <w:rFonts w:hint="eastAsia" w:ascii="宋体" w:hAnsi="宋体" w:cs="宋体"/>
          <w:color w:val="auto"/>
          <w:sz w:val="22"/>
          <w:szCs w:val="22"/>
          <w:highlight w:val="none"/>
        </w:rPr>
        <w:t>三、承包人人员若违反本合同，其主管部门应对违法违纪人员严肃查处，因此而给发包人造成的损失，承包人按有关规定予以赔偿。</w:t>
      </w:r>
    </w:p>
    <w:p w14:paraId="5F9593C4">
      <w:pPr>
        <w:pStyle w:val="129"/>
        <w:spacing w:line="360" w:lineRule="auto"/>
        <w:ind w:firstLine="440"/>
        <w:rPr>
          <w:rFonts w:ascii="宋体" w:hAnsi="宋体" w:cs="宋体"/>
          <w:color w:val="auto"/>
          <w:sz w:val="22"/>
          <w:szCs w:val="22"/>
          <w:highlight w:val="none"/>
        </w:rPr>
      </w:pPr>
      <w:r>
        <w:rPr>
          <w:rFonts w:hint="eastAsia" w:ascii="宋体" w:hAnsi="宋体" w:cs="宋体"/>
          <w:color w:val="auto"/>
          <w:sz w:val="22"/>
          <w:szCs w:val="22"/>
          <w:highlight w:val="none"/>
        </w:rPr>
        <w:t>四、如承包人发现发包人人员有违反本合同的行为，应及时向发包人纪检监察部门举报。发包人不得以任何借口报复承包人。</w:t>
      </w:r>
    </w:p>
    <w:p w14:paraId="0852A631">
      <w:pPr>
        <w:pStyle w:val="129"/>
        <w:spacing w:line="360" w:lineRule="auto"/>
        <w:ind w:firstLine="442"/>
        <w:rPr>
          <w:rFonts w:ascii="宋体" w:hAnsi="宋体" w:cs="宋体"/>
          <w:color w:val="auto"/>
          <w:sz w:val="22"/>
          <w:szCs w:val="22"/>
          <w:highlight w:val="none"/>
        </w:rPr>
      </w:pPr>
      <w:r>
        <w:rPr>
          <w:rFonts w:hint="eastAsia" w:ascii="宋体" w:hAnsi="宋体" w:cs="宋体"/>
          <w:b/>
          <w:bCs/>
          <w:color w:val="auto"/>
          <w:sz w:val="22"/>
          <w:szCs w:val="22"/>
          <w:highlight w:val="none"/>
        </w:rPr>
        <w:t>第八条</w:t>
      </w:r>
      <w:r>
        <w:rPr>
          <w:rFonts w:hint="eastAsia" w:ascii="宋体" w:hAnsi="宋体" w:cs="宋体"/>
          <w:color w:val="auto"/>
          <w:sz w:val="22"/>
          <w:szCs w:val="22"/>
          <w:highlight w:val="none"/>
        </w:rPr>
        <w:t>：双方必须将“廉政责任合同”贯穿于所签订的经济合同实施的全过程，及时布置、认真检查、严格考核。</w:t>
      </w:r>
    </w:p>
    <w:p w14:paraId="65BE4D10">
      <w:pPr>
        <w:pStyle w:val="129"/>
        <w:spacing w:line="360" w:lineRule="auto"/>
        <w:ind w:firstLine="442"/>
        <w:rPr>
          <w:rFonts w:ascii="宋体" w:hAnsi="宋体" w:cs="宋体"/>
          <w:color w:val="auto"/>
          <w:sz w:val="22"/>
          <w:szCs w:val="22"/>
          <w:highlight w:val="none"/>
        </w:rPr>
      </w:pPr>
      <w:r>
        <w:rPr>
          <w:rFonts w:hint="eastAsia" w:ascii="宋体" w:hAnsi="宋体" w:cs="宋体"/>
          <w:b/>
          <w:bCs/>
          <w:color w:val="auto"/>
          <w:sz w:val="22"/>
          <w:szCs w:val="22"/>
          <w:highlight w:val="none"/>
        </w:rPr>
        <w:t>第九条</w:t>
      </w:r>
      <w:r>
        <w:rPr>
          <w:rFonts w:hint="eastAsia" w:ascii="宋体" w:hAnsi="宋体" w:cs="宋体"/>
          <w:color w:val="auto"/>
          <w:sz w:val="22"/>
          <w:szCs w:val="22"/>
          <w:highlight w:val="none"/>
        </w:rPr>
        <w:t>：本合同在双方签订重大经济合同的同时签订。</w:t>
      </w:r>
    </w:p>
    <w:p w14:paraId="509F3F8B">
      <w:pPr>
        <w:pStyle w:val="129"/>
        <w:spacing w:line="360" w:lineRule="auto"/>
        <w:ind w:firstLine="442"/>
        <w:rPr>
          <w:rFonts w:ascii="宋体" w:hAnsi="宋体" w:cs="宋体"/>
          <w:color w:val="auto"/>
          <w:sz w:val="22"/>
          <w:szCs w:val="22"/>
          <w:highlight w:val="none"/>
        </w:rPr>
      </w:pPr>
      <w:r>
        <w:rPr>
          <w:rFonts w:hint="eastAsia" w:ascii="宋体" w:hAnsi="宋体" w:cs="宋体"/>
          <w:b/>
          <w:bCs/>
          <w:color w:val="auto"/>
          <w:sz w:val="22"/>
          <w:szCs w:val="22"/>
          <w:highlight w:val="none"/>
        </w:rPr>
        <w:t>第十条</w:t>
      </w:r>
      <w:r>
        <w:rPr>
          <w:rFonts w:hint="eastAsia" w:ascii="宋体" w:hAnsi="宋体" w:cs="宋体"/>
          <w:color w:val="auto"/>
          <w:sz w:val="22"/>
          <w:szCs w:val="22"/>
          <w:highlight w:val="none"/>
        </w:rPr>
        <w:t>：本合同作为本次所签订的</w:t>
      </w:r>
      <w:r>
        <w:rPr>
          <w:rFonts w:hint="eastAsia" w:ascii="宋体" w:hAnsi="宋体" w:cs="宋体"/>
          <w:color w:val="auto"/>
          <w:sz w:val="22"/>
          <w:szCs w:val="22"/>
          <w:highlight w:val="none"/>
          <w:u w:val="single"/>
        </w:rPr>
        <w:t>《                             》</w:t>
      </w:r>
      <w:r>
        <w:rPr>
          <w:rFonts w:hint="eastAsia" w:ascii="宋体" w:hAnsi="宋体" w:cs="宋体"/>
          <w:color w:val="auto"/>
          <w:sz w:val="22"/>
          <w:szCs w:val="22"/>
          <w:highlight w:val="none"/>
        </w:rPr>
        <w:t>的附件，经合同双方共同签署后立即生效。</w:t>
      </w:r>
    </w:p>
    <w:p w14:paraId="0855A472">
      <w:pPr>
        <w:pStyle w:val="129"/>
        <w:spacing w:line="360" w:lineRule="auto"/>
        <w:ind w:firstLine="442"/>
        <w:rPr>
          <w:rFonts w:ascii="宋体" w:hAnsi="宋体" w:cs="宋体"/>
          <w:color w:val="auto"/>
          <w:sz w:val="22"/>
          <w:szCs w:val="22"/>
          <w:highlight w:val="none"/>
        </w:rPr>
      </w:pPr>
      <w:r>
        <w:rPr>
          <w:rFonts w:hint="eastAsia" w:ascii="宋体" w:hAnsi="宋体" w:cs="宋体"/>
          <w:b/>
          <w:bCs/>
          <w:color w:val="auto"/>
          <w:sz w:val="22"/>
          <w:szCs w:val="22"/>
          <w:highlight w:val="none"/>
        </w:rPr>
        <w:t>第十一条：</w:t>
      </w:r>
      <w:r>
        <w:rPr>
          <w:rFonts w:hint="eastAsia" w:ascii="宋体" w:hAnsi="宋体" w:cs="宋体"/>
          <w:color w:val="auto"/>
          <w:sz w:val="22"/>
          <w:szCs w:val="22"/>
          <w:highlight w:val="none"/>
        </w:rPr>
        <w:t>本合同一式贰份，由双方各执一份。</w:t>
      </w:r>
    </w:p>
    <w:p w14:paraId="589260EF">
      <w:pPr>
        <w:topLinePunct/>
        <w:spacing w:line="360" w:lineRule="auto"/>
        <w:ind w:firstLine="640"/>
        <w:rPr>
          <w:sz w:val="22"/>
          <w:szCs w:val="22"/>
          <w:highlight w:val="none"/>
        </w:rPr>
      </w:pPr>
      <w:r>
        <w:rPr>
          <w:rFonts w:hint="eastAsia"/>
          <w:sz w:val="22"/>
          <w:szCs w:val="22"/>
          <w:highlight w:val="none"/>
        </w:rPr>
        <w:t xml:space="preserve"> </w:t>
      </w:r>
    </w:p>
    <w:p w14:paraId="029DA185">
      <w:pPr>
        <w:topLinePunct/>
        <w:spacing w:line="360" w:lineRule="auto"/>
        <w:ind w:firstLine="640"/>
        <w:rPr>
          <w:sz w:val="22"/>
          <w:szCs w:val="22"/>
          <w:highlight w:val="none"/>
        </w:rPr>
      </w:pPr>
      <w:r>
        <w:rPr>
          <w:rFonts w:hint="eastAsia"/>
          <w:sz w:val="22"/>
          <w:szCs w:val="22"/>
          <w:highlight w:val="none"/>
        </w:rPr>
        <w:t xml:space="preserve"> </w:t>
      </w:r>
    </w:p>
    <w:p w14:paraId="744A25FB">
      <w:pPr>
        <w:topLinePunct/>
        <w:spacing w:line="360" w:lineRule="auto"/>
        <w:ind w:firstLine="640"/>
        <w:rPr>
          <w:sz w:val="22"/>
          <w:szCs w:val="22"/>
          <w:highlight w:val="none"/>
        </w:rPr>
      </w:pPr>
      <w:r>
        <w:rPr>
          <w:rFonts w:hint="eastAsia"/>
          <w:sz w:val="22"/>
          <w:szCs w:val="22"/>
          <w:highlight w:val="none"/>
        </w:rPr>
        <w:t xml:space="preserve"> </w:t>
      </w:r>
    </w:p>
    <w:p w14:paraId="5BA01701">
      <w:pPr>
        <w:pStyle w:val="129"/>
        <w:spacing w:line="360" w:lineRule="auto"/>
        <w:ind w:firstLine="442"/>
        <w:rPr>
          <w:rFonts w:ascii="宋体" w:hAnsi="宋体" w:cs="宋体"/>
          <w:b/>
          <w:bCs/>
          <w:color w:val="auto"/>
          <w:sz w:val="22"/>
          <w:szCs w:val="22"/>
          <w:highlight w:val="none"/>
        </w:rPr>
      </w:pPr>
      <w:r>
        <w:rPr>
          <w:rFonts w:hint="eastAsia" w:ascii="宋体" w:hAnsi="宋体" w:cs="宋体"/>
          <w:b/>
          <w:bCs/>
          <w:color w:val="auto"/>
          <w:sz w:val="22"/>
          <w:szCs w:val="22"/>
          <w:highlight w:val="none"/>
        </w:rPr>
        <w:t>发包人（盖章）                              承包人（盖章）</w:t>
      </w:r>
    </w:p>
    <w:p w14:paraId="279F65D8">
      <w:pPr>
        <w:pStyle w:val="129"/>
        <w:spacing w:line="360" w:lineRule="auto"/>
        <w:ind w:firstLine="440"/>
        <w:rPr>
          <w:rFonts w:ascii="宋体" w:hAnsi="宋体" w:cs="宋体"/>
          <w:color w:val="auto"/>
          <w:sz w:val="22"/>
          <w:szCs w:val="22"/>
          <w:highlight w:val="none"/>
        </w:rPr>
      </w:pPr>
      <w:r>
        <w:rPr>
          <w:rFonts w:hint="eastAsia" w:ascii="宋体" w:hAnsi="宋体" w:cs="宋体"/>
          <w:color w:val="auto"/>
          <w:sz w:val="22"/>
          <w:szCs w:val="22"/>
          <w:highlight w:val="none"/>
        </w:rPr>
        <w:t xml:space="preserve"> </w:t>
      </w:r>
    </w:p>
    <w:p w14:paraId="2912D933">
      <w:pPr>
        <w:pStyle w:val="129"/>
        <w:spacing w:line="360" w:lineRule="auto"/>
        <w:ind w:firstLine="440"/>
        <w:rPr>
          <w:rFonts w:ascii="宋体" w:hAnsi="宋体" w:cs="宋体"/>
          <w:color w:val="auto"/>
          <w:sz w:val="22"/>
          <w:szCs w:val="22"/>
          <w:highlight w:val="none"/>
        </w:rPr>
      </w:pPr>
      <w:r>
        <w:rPr>
          <w:rFonts w:hint="eastAsia" w:ascii="宋体" w:hAnsi="宋体" w:cs="宋体"/>
          <w:color w:val="auto"/>
          <w:sz w:val="22"/>
          <w:szCs w:val="22"/>
          <w:highlight w:val="none"/>
        </w:rPr>
        <w:t>发包人法定代表人 ：                         承包人法定代表人：</w:t>
      </w:r>
    </w:p>
    <w:p w14:paraId="5323492D">
      <w:pPr>
        <w:pStyle w:val="129"/>
        <w:spacing w:line="360" w:lineRule="auto"/>
        <w:ind w:firstLine="440"/>
        <w:rPr>
          <w:rFonts w:ascii="宋体" w:hAnsi="宋体" w:cs="宋体"/>
          <w:color w:val="auto"/>
          <w:sz w:val="22"/>
          <w:szCs w:val="22"/>
          <w:highlight w:val="none"/>
        </w:rPr>
      </w:pPr>
      <w:r>
        <w:rPr>
          <w:rFonts w:hint="eastAsia" w:ascii="宋体" w:hAnsi="宋体" w:cs="宋体"/>
          <w:color w:val="auto"/>
          <w:sz w:val="22"/>
          <w:szCs w:val="22"/>
          <w:highlight w:val="none"/>
        </w:rPr>
        <w:t>或                                          或</w:t>
      </w:r>
    </w:p>
    <w:p w14:paraId="0BBB206A">
      <w:pPr>
        <w:pStyle w:val="129"/>
        <w:spacing w:line="360" w:lineRule="auto"/>
        <w:ind w:firstLine="440"/>
        <w:rPr>
          <w:rFonts w:ascii="宋体" w:hAnsi="宋体" w:cs="宋体"/>
          <w:color w:val="auto"/>
          <w:sz w:val="22"/>
          <w:szCs w:val="22"/>
          <w:highlight w:val="none"/>
        </w:rPr>
      </w:pPr>
      <w:r>
        <w:rPr>
          <w:rFonts w:hint="eastAsia" w:ascii="宋体" w:hAnsi="宋体" w:cs="宋体"/>
          <w:color w:val="auto"/>
          <w:sz w:val="22"/>
          <w:szCs w:val="22"/>
          <w:highlight w:val="none"/>
        </w:rPr>
        <w:t>发包人委托代理人：                          承包人委托代理人：</w:t>
      </w:r>
    </w:p>
    <w:p w14:paraId="24D7268D">
      <w:pPr>
        <w:pStyle w:val="129"/>
        <w:spacing w:line="360" w:lineRule="auto"/>
        <w:ind w:firstLine="420"/>
        <w:rPr>
          <w:rFonts w:ascii="宋体" w:hAnsi="宋体" w:cs="宋体"/>
          <w:color w:val="auto"/>
          <w:sz w:val="21"/>
          <w:szCs w:val="21"/>
          <w:highlight w:val="none"/>
        </w:rPr>
      </w:pPr>
      <w:r>
        <w:rPr>
          <w:rFonts w:hint="eastAsia" w:ascii="宋体" w:hAnsi="宋体" w:cs="宋体"/>
          <w:color w:val="auto"/>
          <w:sz w:val="21"/>
          <w:szCs w:val="21"/>
          <w:highlight w:val="none"/>
        </w:rPr>
        <w:t xml:space="preserve"> </w:t>
      </w:r>
    </w:p>
    <w:p w14:paraId="6CEEB0DC">
      <w:pPr>
        <w:rPr>
          <w:highlight w:val="none"/>
        </w:rPr>
      </w:pPr>
      <w:r>
        <w:rPr>
          <w:rFonts w:hint="eastAsia"/>
          <w:highlight w:val="none"/>
        </w:rPr>
        <w:t xml:space="preserve"> </w:t>
      </w:r>
    </w:p>
    <w:p w14:paraId="1C03C642">
      <w:pPr>
        <w:rPr>
          <w:b/>
          <w:bCs/>
          <w:highlight w:val="none"/>
        </w:rPr>
      </w:pPr>
      <w:r>
        <w:rPr>
          <w:rFonts w:hint="eastAsia"/>
          <w:b/>
          <w:bCs/>
          <w:highlight w:val="none"/>
        </w:rPr>
        <w:br w:type="page"/>
      </w:r>
    </w:p>
    <w:p w14:paraId="57D99FD3">
      <w:pPr>
        <w:spacing w:line="360" w:lineRule="auto"/>
        <w:rPr>
          <w:b/>
          <w:bCs/>
          <w:highlight w:val="none"/>
        </w:rPr>
      </w:pPr>
      <w:r>
        <w:rPr>
          <w:rFonts w:hint="eastAsia"/>
          <w:b/>
          <w:bCs/>
          <w:highlight w:val="none"/>
        </w:rPr>
        <w:t xml:space="preserve">附件3： </w:t>
      </w:r>
    </w:p>
    <w:p w14:paraId="52D5574A">
      <w:pPr>
        <w:spacing w:line="360" w:lineRule="auto"/>
        <w:jc w:val="center"/>
        <w:rPr>
          <w:b/>
          <w:highlight w:val="none"/>
        </w:rPr>
      </w:pPr>
      <w:r>
        <w:rPr>
          <w:b/>
          <w:highlight w:val="none"/>
        </w:rPr>
        <w:t>安全生产责任协议书</w:t>
      </w:r>
    </w:p>
    <w:p w14:paraId="5D829277">
      <w:pPr>
        <w:snapToGrid w:val="0"/>
        <w:spacing w:line="360" w:lineRule="auto"/>
        <w:rPr>
          <w:b/>
          <w:sz w:val="22"/>
          <w:szCs w:val="22"/>
          <w:highlight w:val="none"/>
        </w:rPr>
      </w:pPr>
      <w:r>
        <w:rPr>
          <w:b/>
          <w:sz w:val="22"/>
          <w:szCs w:val="22"/>
          <w:highlight w:val="none"/>
        </w:rPr>
        <w:t>甲方（发包人）：</w:t>
      </w:r>
      <w:r>
        <w:rPr>
          <w:b/>
          <w:sz w:val="22"/>
          <w:szCs w:val="22"/>
          <w:highlight w:val="none"/>
          <w:u w:val="single"/>
        </w:rPr>
        <w:t>浙江交通职业技术学院</w:t>
      </w:r>
      <w:r>
        <w:rPr>
          <w:rFonts w:hint="eastAsia"/>
          <w:b/>
          <w:sz w:val="22"/>
          <w:szCs w:val="22"/>
          <w:highlight w:val="none"/>
          <w:u w:val="single"/>
        </w:rPr>
        <w:t xml:space="preserve">       </w:t>
      </w:r>
    </w:p>
    <w:p w14:paraId="7539BE3D">
      <w:pPr>
        <w:snapToGrid w:val="0"/>
        <w:spacing w:line="360" w:lineRule="auto"/>
        <w:rPr>
          <w:b/>
          <w:sz w:val="22"/>
          <w:szCs w:val="22"/>
          <w:highlight w:val="none"/>
        </w:rPr>
      </w:pPr>
      <w:r>
        <w:rPr>
          <w:b/>
          <w:sz w:val="22"/>
          <w:szCs w:val="22"/>
          <w:highlight w:val="none"/>
        </w:rPr>
        <w:t>乙方（承包人）：</w:t>
      </w:r>
      <w:r>
        <w:rPr>
          <w:b/>
          <w:sz w:val="22"/>
          <w:szCs w:val="22"/>
          <w:highlight w:val="none"/>
          <w:u w:val="single"/>
        </w:rPr>
        <w:t xml:space="preserve">                           </w:t>
      </w:r>
    </w:p>
    <w:p w14:paraId="4344104A">
      <w:pPr>
        <w:snapToGrid w:val="0"/>
        <w:spacing w:line="360" w:lineRule="auto"/>
        <w:ind w:firstLine="440" w:firstLineChars="200"/>
        <w:rPr>
          <w:kern w:val="0"/>
          <w:sz w:val="22"/>
          <w:szCs w:val="22"/>
          <w:highlight w:val="none"/>
          <w:u w:val="single"/>
        </w:rPr>
      </w:pPr>
      <w:r>
        <w:rPr>
          <w:sz w:val="22"/>
          <w:szCs w:val="22"/>
          <w:highlight w:val="none"/>
        </w:rPr>
        <w:t>工程项目名称：</w:t>
      </w:r>
      <w:r>
        <w:rPr>
          <w:kern w:val="0"/>
          <w:sz w:val="22"/>
          <w:szCs w:val="22"/>
          <w:highlight w:val="none"/>
          <w:u w:val="single"/>
        </w:rPr>
        <w:t xml:space="preserve">                            </w:t>
      </w:r>
    </w:p>
    <w:p w14:paraId="2531B08A">
      <w:pPr>
        <w:snapToGrid w:val="0"/>
        <w:spacing w:line="360" w:lineRule="auto"/>
        <w:ind w:firstLine="440" w:firstLineChars="200"/>
        <w:rPr>
          <w:sz w:val="22"/>
          <w:szCs w:val="22"/>
          <w:highlight w:val="none"/>
        </w:rPr>
      </w:pPr>
      <w:r>
        <w:rPr>
          <w:sz w:val="22"/>
          <w:szCs w:val="22"/>
          <w:highlight w:val="none"/>
        </w:rPr>
        <w:t>为落实安全生产的管理要求，</w:t>
      </w:r>
      <w:r>
        <w:rPr>
          <w:rFonts w:hint="eastAsia"/>
          <w:sz w:val="22"/>
          <w:szCs w:val="22"/>
          <w:highlight w:val="none"/>
        </w:rPr>
        <w:t>坚决</w:t>
      </w:r>
      <w:r>
        <w:rPr>
          <w:sz w:val="22"/>
          <w:szCs w:val="22"/>
          <w:highlight w:val="none"/>
        </w:rPr>
        <w:t>贯彻"安全第一，预防为主、综合治理"的方针，确保工程建设的顺利进行，按《浙江省建筑安全文明施工标准化工地管理办法》（浙建建[2005]41号)规定，甲乙双方共同协商，一致同意如下：</w:t>
      </w:r>
    </w:p>
    <w:p w14:paraId="7E4E66CF">
      <w:pPr>
        <w:snapToGrid w:val="0"/>
        <w:spacing w:line="360" w:lineRule="auto"/>
        <w:ind w:firstLine="440" w:firstLineChars="200"/>
        <w:rPr>
          <w:sz w:val="22"/>
          <w:szCs w:val="22"/>
          <w:highlight w:val="none"/>
        </w:rPr>
      </w:pPr>
      <w:r>
        <w:rPr>
          <w:sz w:val="22"/>
          <w:szCs w:val="22"/>
          <w:highlight w:val="none"/>
        </w:rPr>
        <w:t>一、发包人在施工开始前向承包人提交必要的施工场地，明确承包人安全生产管理的责任区域和要求，承包人负责施工现场的安全管理工作，是施工现场的安全管理的责任单位。承包人必须建立健全安全生产保证体系，建立健全应急救援体系其相关文件报发包人备案。</w:t>
      </w:r>
    </w:p>
    <w:p w14:paraId="20CB1ABF">
      <w:pPr>
        <w:snapToGrid w:val="0"/>
        <w:spacing w:line="360" w:lineRule="auto"/>
        <w:ind w:firstLine="440" w:firstLineChars="200"/>
        <w:rPr>
          <w:sz w:val="22"/>
          <w:szCs w:val="22"/>
          <w:highlight w:val="none"/>
        </w:rPr>
      </w:pPr>
      <w:r>
        <w:rPr>
          <w:sz w:val="22"/>
          <w:szCs w:val="22"/>
          <w:highlight w:val="none"/>
        </w:rPr>
        <w:t>二、发包人应积极组织和督促承包人开展安全达标活动，及时传达和部署上级的有关安全生产精神和要求，定期听取承包人的意见和要求。加强安全生产的指导和协调。</w:t>
      </w:r>
    </w:p>
    <w:p w14:paraId="2ACDDB7E">
      <w:pPr>
        <w:snapToGrid w:val="0"/>
        <w:spacing w:line="360" w:lineRule="auto"/>
        <w:ind w:firstLine="440" w:firstLineChars="200"/>
        <w:rPr>
          <w:sz w:val="22"/>
          <w:szCs w:val="22"/>
          <w:highlight w:val="none"/>
        </w:rPr>
      </w:pPr>
      <w:r>
        <w:rPr>
          <w:sz w:val="22"/>
          <w:szCs w:val="22"/>
          <w:highlight w:val="none"/>
        </w:rPr>
        <w:t>三、</w:t>
      </w:r>
      <w:r>
        <w:rPr>
          <w:rFonts w:hint="eastAsia"/>
          <w:sz w:val="22"/>
          <w:szCs w:val="22"/>
          <w:highlight w:val="none"/>
        </w:rPr>
        <w:t>发包人负责组织对承包人安全规范作业、文明施工情况的检查；对承包人及有关人员发生的违章、违规、违法行为和存在安全隐患以及安全生产活动中不积极配合的发包人有权制止、教育并责成其限期整改，必要时每次按违约责任给予经济处罚。</w:t>
      </w:r>
    </w:p>
    <w:p w14:paraId="366A3CE7">
      <w:pPr>
        <w:snapToGrid w:val="0"/>
        <w:spacing w:line="360" w:lineRule="auto"/>
        <w:ind w:firstLine="440" w:firstLineChars="200"/>
        <w:rPr>
          <w:spacing w:val="40"/>
          <w:sz w:val="22"/>
          <w:szCs w:val="22"/>
          <w:highlight w:val="none"/>
        </w:rPr>
      </w:pPr>
      <w:r>
        <w:rPr>
          <w:sz w:val="22"/>
          <w:szCs w:val="22"/>
          <w:highlight w:val="none"/>
        </w:rPr>
        <w:t>四、</w:t>
      </w:r>
      <w:r>
        <w:rPr>
          <w:rFonts w:hint="eastAsia"/>
          <w:sz w:val="22"/>
          <w:szCs w:val="22"/>
          <w:highlight w:val="none"/>
        </w:rPr>
        <w:t>凡在工地内发生的安全生产或人员伤亡事故，发包人有权派人员参与劳动行政部门、司法机关的调查处理；甲方可按其造成的后果及影响，对乙方单位及其安全负责人按责任违约造成的损失给予乙方单位一次性经济的处罚（从乙方工程款中扣除）。事故造成的经济损失及因乙方责任给甲方造成的连带经济损失全部由乙方承担。</w:t>
      </w:r>
    </w:p>
    <w:p w14:paraId="24AF3260">
      <w:pPr>
        <w:snapToGrid w:val="0"/>
        <w:spacing w:line="360" w:lineRule="auto"/>
        <w:ind w:firstLine="440" w:firstLineChars="200"/>
        <w:rPr>
          <w:sz w:val="22"/>
          <w:szCs w:val="22"/>
          <w:highlight w:val="none"/>
        </w:rPr>
      </w:pPr>
      <w:r>
        <w:rPr>
          <w:sz w:val="22"/>
          <w:szCs w:val="22"/>
          <w:highlight w:val="none"/>
        </w:rPr>
        <w:t>其他处理</w:t>
      </w:r>
      <w:r>
        <w:rPr>
          <w:rFonts w:hint="eastAsia"/>
          <w:sz w:val="22"/>
          <w:szCs w:val="22"/>
          <w:highlight w:val="none"/>
        </w:rPr>
        <w:t>，</w:t>
      </w:r>
      <w:r>
        <w:rPr>
          <w:sz w:val="22"/>
          <w:szCs w:val="22"/>
          <w:highlight w:val="none"/>
        </w:rPr>
        <w:t>依据国家和地方相关法律法规、政策、规定、制度执行。</w:t>
      </w:r>
    </w:p>
    <w:p w14:paraId="702C5926">
      <w:pPr>
        <w:snapToGrid w:val="0"/>
        <w:spacing w:line="360" w:lineRule="auto"/>
        <w:rPr>
          <w:sz w:val="22"/>
          <w:szCs w:val="22"/>
          <w:highlight w:val="none"/>
        </w:rPr>
      </w:pPr>
      <w:r>
        <w:rPr>
          <w:sz w:val="22"/>
          <w:szCs w:val="22"/>
          <w:highlight w:val="none"/>
        </w:rPr>
        <w:t>五、承包人应严格贯彻执行国家和市颁布的有关安全生产的法律、法规，严格按照中华人民共和国建设部建标（99）79号“关于发布行业标准《建筑施工安全检查标准》的通知”（编号JGJ59—99）的要求加强内部安全管理，落实各项安全防护措施，确保工程建设中不发生人员死亡事故。</w:t>
      </w:r>
    </w:p>
    <w:p w14:paraId="7065038F">
      <w:pPr>
        <w:snapToGrid w:val="0"/>
        <w:spacing w:line="360" w:lineRule="auto"/>
        <w:ind w:firstLine="440" w:firstLineChars="200"/>
        <w:rPr>
          <w:sz w:val="22"/>
          <w:szCs w:val="22"/>
          <w:highlight w:val="none"/>
        </w:rPr>
      </w:pPr>
      <w:r>
        <w:rPr>
          <w:sz w:val="22"/>
          <w:szCs w:val="22"/>
          <w:highlight w:val="none"/>
        </w:rPr>
        <w:t>六、承包人要按照安全作业规范针对本工程项目的特点、性质、规模以及施工现场条件编制施工组织设计和施工方案，制定和组织落实各项的施工安全技术措施，并向全体施工人员进行安全技术交底。严格按照施工组织设计和有关安全要求施工。</w:t>
      </w:r>
    </w:p>
    <w:p w14:paraId="6E466F6B">
      <w:pPr>
        <w:snapToGrid w:val="0"/>
        <w:spacing w:line="360" w:lineRule="auto"/>
        <w:ind w:firstLine="440" w:firstLineChars="200"/>
        <w:rPr>
          <w:sz w:val="22"/>
          <w:szCs w:val="22"/>
          <w:highlight w:val="none"/>
        </w:rPr>
      </w:pPr>
      <w:r>
        <w:rPr>
          <w:sz w:val="22"/>
          <w:szCs w:val="22"/>
          <w:highlight w:val="none"/>
        </w:rPr>
        <w:t>七、</w:t>
      </w:r>
      <w:r>
        <w:rPr>
          <w:rFonts w:hint="eastAsia"/>
          <w:sz w:val="22"/>
          <w:szCs w:val="22"/>
          <w:highlight w:val="none"/>
        </w:rPr>
        <w:t>承包人进场后应建立健全的安全生产保障体系，落实各级安全责任制，完善各项安全生产制度，按照“谁施工，谁负责”原则，负责单位内部和施工责任区域的安全生产管理工作。</w:t>
      </w:r>
    </w:p>
    <w:p w14:paraId="1F2D606C">
      <w:pPr>
        <w:snapToGrid w:val="0"/>
        <w:spacing w:line="360" w:lineRule="auto"/>
        <w:ind w:firstLine="440" w:firstLineChars="200"/>
        <w:rPr>
          <w:sz w:val="22"/>
          <w:szCs w:val="22"/>
          <w:highlight w:val="none"/>
        </w:rPr>
      </w:pPr>
      <w:r>
        <w:rPr>
          <w:sz w:val="22"/>
          <w:szCs w:val="22"/>
          <w:highlight w:val="none"/>
        </w:rPr>
        <w:t>八、承包人对各分包单位及外聘人员的安全生产工作要纳入本单位统一管理的范围，明确要求，签订管理协议；要加强对全体施工人员安全作业、文明施工和自我保护的宣传教育；做好上岗前的安全培训，特殊工种作业人员必须做到持证上岗：进入本市施工的外市特殊作业人员，还必须经本市有关特种作业考核站进审证教育，禁止实习、学习人员现场作业。严格执行各种安全操作规程，确保施工安全。</w:t>
      </w:r>
    </w:p>
    <w:p w14:paraId="2AD8CF26">
      <w:pPr>
        <w:snapToGrid w:val="0"/>
        <w:spacing w:line="360" w:lineRule="auto"/>
        <w:ind w:firstLine="440" w:firstLineChars="200"/>
        <w:rPr>
          <w:sz w:val="22"/>
          <w:szCs w:val="22"/>
          <w:highlight w:val="none"/>
        </w:rPr>
      </w:pPr>
      <w:r>
        <w:rPr>
          <w:sz w:val="22"/>
          <w:szCs w:val="22"/>
          <w:highlight w:val="none"/>
        </w:rPr>
        <w:t>九、承包人要按照“安全自查，隐患自改、责任自负”的原则加强对施工责任区的日常安全检查。</w:t>
      </w:r>
      <w:r>
        <w:rPr>
          <w:rFonts w:hint="eastAsia"/>
          <w:sz w:val="22"/>
          <w:szCs w:val="22"/>
          <w:highlight w:val="none"/>
        </w:rPr>
        <w:t>及时制止</w:t>
      </w:r>
      <w:r>
        <w:rPr>
          <w:sz w:val="22"/>
          <w:szCs w:val="22"/>
          <w:highlight w:val="none"/>
        </w:rPr>
        <w:t>和处理各类违章违法行为。对查获的隐患要及时落实整改措施，消除隐患。</w:t>
      </w:r>
    </w:p>
    <w:p w14:paraId="5A8FBC52">
      <w:pPr>
        <w:snapToGrid w:val="0"/>
        <w:spacing w:line="360" w:lineRule="auto"/>
        <w:ind w:firstLine="440" w:firstLineChars="200"/>
        <w:rPr>
          <w:sz w:val="22"/>
          <w:szCs w:val="22"/>
          <w:highlight w:val="none"/>
        </w:rPr>
      </w:pPr>
      <w:r>
        <w:rPr>
          <w:sz w:val="22"/>
          <w:szCs w:val="22"/>
          <w:highlight w:val="none"/>
        </w:rPr>
        <w:t>十、承包人应主动接受发包人在安全生产工作上的业务指导，检查和督促，服从管理；对发包人的工作布置和组织的活动要积极贯彻实施和参加。对发包人给予因责任违约的经济处理如有异议可要求复核。对发包人工作人员利用职权营私舞弊、有意刁难的违法行为，有权检举揭发，要求处理。</w:t>
      </w:r>
    </w:p>
    <w:p w14:paraId="5738759F">
      <w:pPr>
        <w:snapToGrid w:val="0"/>
        <w:spacing w:line="360" w:lineRule="auto"/>
        <w:ind w:firstLine="440" w:firstLineChars="200"/>
        <w:rPr>
          <w:sz w:val="22"/>
          <w:szCs w:val="22"/>
          <w:highlight w:val="none"/>
        </w:rPr>
      </w:pPr>
      <w:r>
        <w:rPr>
          <w:sz w:val="22"/>
          <w:szCs w:val="22"/>
          <w:highlight w:val="none"/>
        </w:rPr>
        <w:t>十一、在施工现场或施工作业过程中，因承包人原因发生安全事故或造成人员伤亡的，由承包人承担处理和所有的经济赔偿责任。承包人须妥善处理事故，积极抢救受伤人员、保护现场，同时视事故</w:t>
      </w:r>
      <w:r>
        <w:rPr>
          <w:rFonts w:hint="eastAsia"/>
          <w:sz w:val="22"/>
          <w:szCs w:val="22"/>
          <w:highlight w:val="none"/>
        </w:rPr>
        <w:t>程度</w:t>
      </w:r>
      <w:r>
        <w:rPr>
          <w:sz w:val="22"/>
          <w:szCs w:val="22"/>
          <w:highlight w:val="none"/>
        </w:rPr>
        <w:t>按规定时限向当地安监等相关政府部门报告，并立即报告发包人，不得迟报瞒报。发包人应积极配合处理。</w:t>
      </w:r>
    </w:p>
    <w:p w14:paraId="2C053AD1">
      <w:pPr>
        <w:snapToGrid w:val="0"/>
        <w:spacing w:line="360" w:lineRule="auto"/>
        <w:ind w:firstLine="440" w:firstLineChars="200"/>
        <w:rPr>
          <w:sz w:val="22"/>
          <w:szCs w:val="22"/>
          <w:highlight w:val="none"/>
          <w:u w:val="single"/>
        </w:rPr>
      </w:pPr>
      <w:r>
        <w:rPr>
          <w:sz w:val="22"/>
          <w:szCs w:val="22"/>
          <w:highlight w:val="none"/>
          <w:u w:val="single"/>
        </w:rPr>
        <w:t>十二、承包人须参加由发包人召集的工程工作列会，对工程进度、工程质量、安全施工等情况向会议进行汇报，并接受发包人的安全检查。</w:t>
      </w:r>
    </w:p>
    <w:p w14:paraId="5FAE2689">
      <w:pPr>
        <w:snapToGrid w:val="0"/>
        <w:spacing w:line="360" w:lineRule="auto"/>
        <w:ind w:firstLine="440" w:firstLineChars="200"/>
        <w:rPr>
          <w:sz w:val="22"/>
          <w:szCs w:val="22"/>
          <w:highlight w:val="none"/>
          <w:u w:val="single"/>
        </w:rPr>
      </w:pPr>
      <w:r>
        <w:rPr>
          <w:sz w:val="22"/>
          <w:szCs w:val="22"/>
          <w:highlight w:val="none"/>
          <w:u w:val="single"/>
        </w:rPr>
        <w:t>十三、承包人不准将工程项目进行整体转包。</w:t>
      </w:r>
    </w:p>
    <w:p w14:paraId="370941F8">
      <w:pPr>
        <w:snapToGrid w:val="0"/>
        <w:spacing w:line="360" w:lineRule="auto"/>
        <w:ind w:firstLine="440" w:firstLineChars="200"/>
        <w:rPr>
          <w:sz w:val="22"/>
          <w:szCs w:val="22"/>
          <w:highlight w:val="none"/>
          <w:u w:val="single"/>
        </w:rPr>
      </w:pPr>
      <w:r>
        <w:rPr>
          <w:sz w:val="22"/>
          <w:szCs w:val="22"/>
          <w:highlight w:val="none"/>
          <w:u w:val="single"/>
        </w:rPr>
        <w:t>十四、承包人对施工现场的安全负责。在施工过程中或施工现场，因承包人原因造成的安全事故，由承包人承担处理和所有的经济赔偿责任，承包人须根据事故</w:t>
      </w:r>
      <w:r>
        <w:rPr>
          <w:rFonts w:hint="eastAsia"/>
          <w:sz w:val="22"/>
          <w:szCs w:val="22"/>
          <w:highlight w:val="none"/>
          <w:u w:val="single"/>
        </w:rPr>
        <w:t>程度</w:t>
      </w:r>
      <w:r>
        <w:rPr>
          <w:sz w:val="22"/>
          <w:szCs w:val="22"/>
          <w:highlight w:val="none"/>
          <w:u w:val="single"/>
        </w:rPr>
        <w:t>按规定将事故发生情况向当地政府相关部门报告，并立即报告发包人。发包人积极协助处理。</w:t>
      </w:r>
    </w:p>
    <w:p w14:paraId="793485A8">
      <w:pPr>
        <w:snapToGrid w:val="0"/>
        <w:spacing w:line="360" w:lineRule="auto"/>
        <w:ind w:firstLine="440" w:firstLineChars="200"/>
        <w:rPr>
          <w:sz w:val="22"/>
          <w:szCs w:val="22"/>
          <w:highlight w:val="none"/>
          <w:u w:val="single"/>
        </w:rPr>
      </w:pPr>
      <w:r>
        <w:rPr>
          <w:sz w:val="22"/>
          <w:szCs w:val="22"/>
          <w:highlight w:val="none"/>
          <w:u w:val="single"/>
        </w:rPr>
        <w:t>十五、承包人须将施工作业人员名册报发包人备案，承包人的施工作业人员必须接受发包人组织的安全培训，方可进场施工作业。</w:t>
      </w:r>
    </w:p>
    <w:p w14:paraId="6EF87191">
      <w:pPr>
        <w:snapToGrid w:val="0"/>
        <w:spacing w:line="360" w:lineRule="auto"/>
        <w:ind w:firstLine="442" w:firstLineChars="200"/>
        <w:rPr>
          <w:b/>
          <w:bCs/>
          <w:sz w:val="22"/>
          <w:szCs w:val="22"/>
          <w:highlight w:val="none"/>
          <w:u w:val="single"/>
        </w:rPr>
      </w:pPr>
      <w:r>
        <w:rPr>
          <w:b/>
          <w:bCs/>
          <w:sz w:val="22"/>
          <w:szCs w:val="22"/>
          <w:highlight w:val="none"/>
          <w:u w:val="single"/>
        </w:rPr>
        <w:t>十六、承包人须为施工作业人员缴纳相关保险，并在合同签订之日起的10个工作日内将缴纳保险凭证复印件交发包人。</w:t>
      </w:r>
    </w:p>
    <w:p w14:paraId="4C29CB79">
      <w:pPr>
        <w:snapToGrid w:val="0"/>
        <w:spacing w:line="360" w:lineRule="auto"/>
        <w:ind w:firstLine="442" w:firstLineChars="200"/>
        <w:rPr>
          <w:b/>
          <w:sz w:val="22"/>
          <w:szCs w:val="22"/>
          <w:highlight w:val="none"/>
          <w:u w:val="single"/>
        </w:rPr>
      </w:pPr>
      <w:r>
        <w:rPr>
          <w:b/>
          <w:sz w:val="22"/>
          <w:szCs w:val="22"/>
          <w:highlight w:val="none"/>
          <w:u w:val="single"/>
        </w:rPr>
        <w:t>十七、承包人必须严格按发包人管理规范要求进场施工：必须报后勤处、</w:t>
      </w:r>
      <w:r>
        <w:rPr>
          <w:rFonts w:hint="eastAsia"/>
          <w:b/>
          <w:sz w:val="22"/>
          <w:szCs w:val="22"/>
          <w:highlight w:val="none"/>
          <w:u w:val="single"/>
        </w:rPr>
        <w:t>校安处</w:t>
      </w:r>
      <w:r>
        <w:rPr>
          <w:b/>
          <w:sz w:val="22"/>
          <w:szCs w:val="22"/>
          <w:highlight w:val="none"/>
          <w:u w:val="single"/>
        </w:rPr>
        <w:t>备案，并接受</w:t>
      </w:r>
      <w:r>
        <w:rPr>
          <w:rFonts w:hint="eastAsia"/>
          <w:b/>
          <w:sz w:val="22"/>
          <w:szCs w:val="22"/>
          <w:highlight w:val="none"/>
          <w:u w:val="single"/>
        </w:rPr>
        <w:t>校安处</w:t>
      </w:r>
      <w:r>
        <w:rPr>
          <w:b/>
          <w:sz w:val="22"/>
          <w:szCs w:val="22"/>
          <w:highlight w:val="none"/>
          <w:u w:val="single"/>
        </w:rPr>
        <w:t>的安全教育；进场施工必须佩戴</w:t>
      </w:r>
      <w:r>
        <w:rPr>
          <w:rFonts w:hint="eastAsia"/>
          <w:b/>
          <w:sz w:val="22"/>
          <w:szCs w:val="22"/>
          <w:highlight w:val="none"/>
          <w:u w:val="single"/>
        </w:rPr>
        <w:t>安全帽</w:t>
      </w:r>
      <w:r>
        <w:rPr>
          <w:b/>
          <w:sz w:val="22"/>
          <w:szCs w:val="22"/>
          <w:highlight w:val="none"/>
          <w:u w:val="single"/>
        </w:rPr>
        <w:t>，统一着装；施工垃圾及时清运，垃圾密闭包装，不得裸露在外。</w:t>
      </w:r>
    </w:p>
    <w:p w14:paraId="7A6FCE46">
      <w:pPr>
        <w:snapToGrid w:val="0"/>
        <w:spacing w:line="360" w:lineRule="auto"/>
        <w:ind w:firstLine="440" w:firstLineChars="200"/>
        <w:rPr>
          <w:sz w:val="22"/>
          <w:szCs w:val="22"/>
          <w:highlight w:val="none"/>
        </w:rPr>
      </w:pPr>
      <w:r>
        <w:rPr>
          <w:sz w:val="22"/>
          <w:szCs w:val="22"/>
          <w:highlight w:val="none"/>
        </w:rPr>
        <w:t>十八、本协议中</w:t>
      </w:r>
      <w:r>
        <w:rPr>
          <w:rFonts w:hint="eastAsia"/>
          <w:sz w:val="22"/>
          <w:szCs w:val="22"/>
          <w:highlight w:val="none"/>
        </w:rPr>
        <w:t>未</w:t>
      </w:r>
      <w:r>
        <w:rPr>
          <w:sz w:val="22"/>
          <w:szCs w:val="22"/>
          <w:highlight w:val="none"/>
        </w:rPr>
        <w:t>涉及的有关条款，甲乙双方可根据需要协商补充修改。</w:t>
      </w:r>
    </w:p>
    <w:p w14:paraId="2E495428">
      <w:pPr>
        <w:snapToGrid w:val="0"/>
        <w:spacing w:line="360" w:lineRule="auto"/>
        <w:ind w:firstLine="440" w:firstLineChars="200"/>
        <w:rPr>
          <w:sz w:val="22"/>
          <w:szCs w:val="22"/>
          <w:highlight w:val="none"/>
        </w:rPr>
      </w:pPr>
      <w:r>
        <w:rPr>
          <w:sz w:val="22"/>
          <w:szCs w:val="22"/>
          <w:highlight w:val="none"/>
        </w:rPr>
        <w:t>如遇有国家和本市的有关法规不符的，应按国家和本市的有关法规执行。</w:t>
      </w:r>
    </w:p>
    <w:p w14:paraId="4E2E5EC4">
      <w:pPr>
        <w:snapToGrid w:val="0"/>
        <w:spacing w:line="360" w:lineRule="auto"/>
        <w:ind w:firstLine="440" w:firstLineChars="200"/>
        <w:rPr>
          <w:sz w:val="22"/>
          <w:szCs w:val="22"/>
          <w:highlight w:val="none"/>
        </w:rPr>
      </w:pPr>
      <w:r>
        <w:rPr>
          <w:sz w:val="22"/>
          <w:szCs w:val="22"/>
          <w:highlight w:val="none"/>
        </w:rPr>
        <w:t>十九、本协议作为甲乙双方工程承包合同的附件，在工程承包合同签约后生效，与工程承包合同具有同等法律效力。工程承包合同期满，本协议终上。</w:t>
      </w:r>
    </w:p>
    <w:p w14:paraId="63F6760B">
      <w:pPr>
        <w:snapToGrid w:val="0"/>
        <w:spacing w:line="360" w:lineRule="auto"/>
        <w:ind w:firstLine="440" w:firstLineChars="200"/>
        <w:rPr>
          <w:sz w:val="22"/>
          <w:szCs w:val="22"/>
          <w:highlight w:val="none"/>
        </w:rPr>
      </w:pPr>
      <w:r>
        <w:rPr>
          <w:sz w:val="22"/>
          <w:szCs w:val="22"/>
          <w:highlight w:val="none"/>
        </w:rPr>
        <w:t>发包人（公章）：                                 承包人（公章）：</w:t>
      </w:r>
    </w:p>
    <w:p w14:paraId="011B72F8">
      <w:pPr>
        <w:snapToGrid w:val="0"/>
        <w:spacing w:line="360" w:lineRule="auto"/>
        <w:ind w:firstLine="440" w:firstLineChars="200"/>
        <w:rPr>
          <w:sz w:val="22"/>
          <w:szCs w:val="22"/>
          <w:highlight w:val="none"/>
        </w:rPr>
      </w:pPr>
      <w:r>
        <w:rPr>
          <w:sz w:val="22"/>
          <w:szCs w:val="22"/>
          <w:highlight w:val="none"/>
        </w:rPr>
        <w:t>法定代表人：                                    法定代表人：</w:t>
      </w:r>
    </w:p>
    <w:p w14:paraId="58607E44">
      <w:pPr>
        <w:snapToGrid w:val="0"/>
        <w:spacing w:line="360" w:lineRule="auto"/>
        <w:ind w:firstLine="440" w:firstLineChars="200"/>
        <w:rPr>
          <w:sz w:val="22"/>
          <w:szCs w:val="22"/>
          <w:highlight w:val="none"/>
        </w:rPr>
        <w:sectPr>
          <w:headerReference r:id="rId5" w:type="default"/>
          <w:footerReference r:id="rId6" w:type="default"/>
          <w:pgSz w:w="11906" w:h="16838"/>
          <w:pgMar w:top="1247" w:right="1247" w:bottom="1247" w:left="1247" w:header="0" w:footer="0" w:gutter="0"/>
          <w:pgNumType w:start="2"/>
          <w:cols w:space="720" w:num="1"/>
          <w:docGrid w:type="lines" w:linePitch="388" w:charSpace="0"/>
        </w:sectPr>
      </w:pPr>
      <w:r>
        <w:rPr>
          <w:sz w:val="22"/>
          <w:szCs w:val="22"/>
          <w:highlight w:val="none"/>
        </w:rPr>
        <w:t>或委托代理人：                                  或委托代理人：</w:t>
      </w:r>
    </w:p>
    <w:p w14:paraId="12D2DD12">
      <w:pPr>
        <w:autoSpaceDE w:val="0"/>
        <w:autoSpaceDN w:val="0"/>
        <w:adjustRightInd w:val="0"/>
        <w:snapToGrid w:val="0"/>
        <w:spacing w:line="360" w:lineRule="auto"/>
        <w:rPr>
          <w:bCs/>
          <w:szCs w:val="21"/>
          <w:highlight w:val="none"/>
        </w:rPr>
      </w:pPr>
      <w:r>
        <w:rPr>
          <w:bCs/>
          <w:szCs w:val="21"/>
          <w:highlight w:val="none"/>
        </w:rPr>
        <w:t>附件</w:t>
      </w:r>
      <w:r>
        <w:rPr>
          <w:rFonts w:hint="eastAsia"/>
          <w:bCs/>
          <w:szCs w:val="21"/>
          <w:highlight w:val="none"/>
        </w:rPr>
        <w:t>四</w:t>
      </w:r>
      <w:r>
        <w:rPr>
          <w:bCs/>
          <w:szCs w:val="21"/>
          <w:highlight w:val="none"/>
        </w:rPr>
        <w:t>：承诺书</w:t>
      </w:r>
    </w:p>
    <w:p w14:paraId="3E77A576">
      <w:pPr>
        <w:autoSpaceDE w:val="0"/>
        <w:autoSpaceDN w:val="0"/>
        <w:adjustRightInd w:val="0"/>
        <w:snapToGrid w:val="0"/>
        <w:spacing w:line="360" w:lineRule="auto"/>
        <w:jc w:val="center"/>
        <w:rPr>
          <w:b/>
          <w:bCs/>
          <w:szCs w:val="21"/>
          <w:highlight w:val="none"/>
        </w:rPr>
      </w:pPr>
      <w:r>
        <w:rPr>
          <w:b/>
          <w:bCs/>
          <w:szCs w:val="21"/>
          <w:highlight w:val="none"/>
        </w:rPr>
        <w:t>承 诺 书</w:t>
      </w:r>
    </w:p>
    <w:p w14:paraId="0F137E9E">
      <w:pPr>
        <w:adjustRightInd w:val="0"/>
        <w:snapToGrid w:val="0"/>
        <w:spacing w:line="360" w:lineRule="auto"/>
        <w:rPr>
          <w:bCs/>
          <w:szCs w:val="21"/>
          <w:highlight w:val="none"/>
          <w:u w:val="single"/>
        </w:rPr>
      </w:pPr>
    </w:p>
    <w:p w14:paraId="79ED2DFD">
      <w:pPr>
        <w:adjustRightInd w:val="0"/>
        <w:snapToGrid w:val="0"/>
        <w:spacing w:line="360" w:lineRule="auto"/>
        <w:rPr>
          <w:bCs/>
          <w:szCs w:val="21"/>
          <w:highlight w:val="none"/>
          <w:u w:val="single"/>
        </w:rPr>
      </w:pPr>
      <w:r>
        <w:rPr>
          <w:bCs/>
          <w:szCs w:val="21"/>
          <w:highlight w:val="none"/>
          <w:u w:val="single"/>
        </w:rPr>
        <w:t>浙江交通职业技术学院：</w:t>
      </w:r>
    </w:p>
    <w:p w14:paraId="1B0A44C3">
      <w:pPr>
        <w:adjustRightInd w:val="0"/>
        <w:snapToGrid w:val="0"/>
        <w:spacing w:line="360" w:lineRule="auto"/>
        <w:ind w:firstLine="480" w:firstLineChars="200"/>
        <w:rPr>
          <w:bCs/>
          <w:szCs w:val="21"/>
          <w:highlight w:val="none"/>
        </w:rPr>
      </w:pPr>
      <w:r>
        <w:rPr>
          <w:bCs/>
          <w:szCs w:val="21"/>
          <w:highlight w:val="none"/>
        </w:rPr>
        <w:t>本公司对</w:t>
      </w:r>
      <w:r>
        <w:rPr>
          <w:bCs/>
          <w:szCs w:val="21"/>
          <w:highlight w:val="none"/>
          <w:u w:val="single"/>
        </w:rPr>
        <w:t xml:space="preserve">  </w:t>
      </w:r>
      <w:r>
        <w:rPr>
          <w:rFonts w:hint="eastAsia"/>
          <w:bCs/>
          <w:szCs w:val="21"/>
          <w:highlight w:val="none"/>
          <w:u w:val="single"/>
        </w:rPr>
        <w:t xml:space="preserve">       </w:t>
      </w:r>
      <w:r>
        <w:rPr>
          <w:bCs/>
          <w:szCs w:val="21"/>
          <w:highlight w:val="none"/>
          <w:u w:val="single"/>
        </w:rPr>
        <w:t xml:space="preserve">   </w:t>
      </w:r>
      <w:r>
        <w:rPr>
          <w:bCs/>
          <w:szCs w:val="21"/>
          <w:highlight w:val="none"/>
        </w:rPr>
        <w:t>工程质量安全责任制，承诺所提供设备、材料等均为符合国家或者行业规范的优质产品，工程施工按照国家、地方有关施工、验收规范和标准以及设计文件（施工图及设计联系单）进行，并以优异的施工工艺完成该工程的施工，确保工程安全使用。</w:t>
      </w:r>
    </w:p>
    <w:p w14:paraId="73FCBE6F">
      <w:pPr>
        <w:adjustRightInd w:val="0"/>
        <w:snapToGrid w:val="0"/>
        <w:spacing w:line="360" w:lineRule="auto"/>
        <w:rPr>
          <w:bCs/>
          <w:szCs w:val="21"/>
          <w:highlight w:val="none"/>
        </w:rPr>
      </w:pPr>
    </w:p>
    <w:p w14:paraId="4222A11C">
      <w:pPr>
        <w:adjustRightInd w:val="0"/>
        <w:snapToGrid w:val="0"/>
        <w:spacing w:line="360" w:lineRule="auto"/>
        <w:rPr>
          <w:bCs/>
          <w:szCs w:val="21"/>
          <w:highlight w:val="none"/>
        </w:rPr>
      </w:pPr>
    </w:p>
    <w:p w14:paraId="458B8185">
      <w:pPr>
        <w:adjustRightInd w:val="0"/>
        <w:snapToGrid w:val="0"/>
        <w:spacing w:line="360" w:lineRule="auto"/>
        <w:rPr>
          <w:bCs/>
          <w:szCs w:val="21"/>
          <w:highlight w:val="none"/>
        </w:rPr>
      </w:pPr>
    </w:p>
    <w:p w14:paraId="13F496B3">
      <w:pPr>
        <w:adjustRightInd w:val="0"/>
        <w:snapToGrid w:val="0"/>
        <w:spacing w:line="360" w:lineRule="auto"/>
        <w:ind w:firstLine="4055" w:firstLineChars="1690"/>
        <w:jc w:val="left"/>
        <w:rPr>
          <w:bCs/>
          <w:szCs w:val="21"/>
          <w:highlight w:val="none"/>
        </w:rPr>
      </w:pPr>
      <w:r>
        <w:rPr>
          <w:bCs/>
          <w:szCs w:val="21"/>
          <w:highlight w:val="none"/>
        </w:rPr>
        <w:t xml:space="preserve">供应商（单位公章）：            </w:t>
      </w:r>
    </w:p>
    <w:p w14:paraId="2945FA2A">
      <w:pPr>
        <w:adjustRightInd w:val="0"/>
        <w:snapToGrid w:val="0"/>
        <w:spacing w:line="360" w:lineRule="auto"/>
        <w:jc w:val="left"/>
        <w:rPr>
          <w:bCs/>
          <w:szCs w:val="21"/>
          <w:highlight w:val="none"/>
        </w:rPr>
      </w:pPr>
    </w:p>
    <w:p w14:paraId="7C9AEC61">
      <w:pPr>
        <w:adjustRightInd w:val="0"/>
        <w:snapToGrid w:val="0"/>
        <w:spacing w:line="360" w:lineRule="auto"/>
        <w:ind w:firstLine="4055" w:firstLineChars="1690"/>
        <w:rPr>
          <w:bCs/>
          <w:szCs w:val="21"/>
          <w:highlight w:val="none"/>
        </w:rPr>
      </w:pPr>
      <w:r>
        <w:rPr>
          <w:bCs/>
          <w:szCs w:val="21"/>
          <w:highlight w:val="none"/>
        </w:rPr>
        <w:t>法定代表人或委托代理人（签字或盖章）：</w:t>
      </w:r>
    </w:p>
    <w:p w14:paraId="5E6B3E3F">
      <w:pPr>
        <w:adjustRightInd w:val="0"/>
        <w:snapToGrid w:val="0"/>
        <w:spacing w:line="360" w:lineRule="auto"/>
        <w:rPr>
          <w:bCs/>
          <w:szCs w:val="21"/>
          <w:highlight w:val="none"/>
        </w:rPr>
      </w:pPr>
    </w:p>
    <w:p w14:paraId="533FDE36">
      <w:pPr>
        <w:spacing w:line="360" w:lineRule="auto"/>
        <w:rPr>
          <w:szCs w:val="21"/>
          <w:highlight w:val="none"/>
        </w:rPr>
      </w:pPr>
      <w:r>
        <w:rPr>
          <w:bCs/>
          <w:szCs w:val="21"/>
          <w:highlight w:val="none"/>
        </w:rPr>
        <w:t xml:space="preserve">                                 日期：</w:t>
      </w:r>
      <w:r>
        <w:rPr>
          <w:bCs/>
          <w:szCs w:val="21"/>
          <w:highlight w:val="none"/>
          <w:u w:val="single"/>
        </w:rPr>
        <w:t xml:space="preserve">      </w:t>
      </w:r>
      <w:r>
        <w:rPr>
          <w:bCs/>
          <w:szCs w:val="21"/>
          <w:highlight w:val="none"/>
        </w:rPr>
        <w:t>年</w:t>
      </w:r>
      <w:r>
        <w:rPr>
          <w:bCs/>
          <w:szCs w:val="21"/>
          <w:highlight w:val="none"/>
          <w:u w:val="single"/>
        </w:rPr>
        <w:t xml:space="preserve">    </w:t>
      </w:r>
      <w:r>
        <w:rPr>
          <w:bCs/>
          <w:szCs w:val="21"/>
          <w:highlight w:val="none"/>
        </w:rPr>
        <w:t>月</w:t>
      </w:r>
      <w:r>
        <w:rPr>
          <w:bCs/>
          <w:szCs w:val="21"/>
          <w:highlight w:val="none"/>
          <w:u w:val="single"/>
        </w:rPr>
        <w:t xml:space="preserve">    </w:t>
      </w:r>
      <w:r>
        <w:rPr>
          <w:bCs/>
          <w:szCs w:val="21"/>
          <w:highlight w:val="none"/>
        </w:rPr>
        <w:t>日</w:t>
      </w:r>
    </w:p>
    <w:p w14:paraId="543CA9F6">
      <w:pPr>
        <w:rPr>
          <w:highlight w:val="none"/>
        </w:rPr>
      </w:pPr>
    </w:p>
    <w:p w14:paraId="011E2EAB">
      <w:pPr>
        <w:snapToGrid w:val="0"/>
        <w:spacing w:line="360" w:lineRule="auto"/>
        <w:ind w:firstLine="440" w:firstLineChars="200"/>
        <w:rPr>
          <w:sz w:val="22"/>
          <w:szCs w:val="22"/>
          <w:highlight w:val="none"/>
        </w:rPr>
        <w:sectPr>
          <w:pgSz w:w="11906" w:h="16838"/>
          <w:pgMar w:top="1247" w:right="1247" w:bottom="1247" w:left="1247" w:header="0" w:footer="0" w:gutter="0"/>
          <w:pgNumType w:start="2"/>
          <w:cols w:space="720" w:num="1"/>
          <w:docGrid w:type="lines" w:linePitch="388" w:charSpace="0"/>
        </w:sectPr>
      </w:pPr>
    </w:p>
    <w:p w14:paraId="647403BB">
      <w:pPr>
        <w:snapToGrid w:val="0"/>
        <w:spacing w:line="360" w:lineRule="auto"/>
        <w:ind w:firstLine="440" w:firstLineChars="200"/>
        <w:rPr>
          <w:sz w:val="22"/>
          <w:szCs w:val="22"/>
          <w:highlight w:val="none"/>
        </w:rPr>
      </w:pPr>
    </w:p>
    <w:p w14:paraId="51BFFAF8">
      <w:pPr>
        <w:adjustRightInd w:val="0"/>
        <w:snapToGrid w:val="0"/>
        <w:spacing w:line="288" w:lineRule="auto"/>
        <w:jc w:val="center"/>
        <w:outlineLvl w:val="0"/>
        <w:rPr>
          <w:b/>
          <w:bCs/>
          <w:sz w:val="32"/>
          <w:szCs w:val="32"/>
          <w:highlight w:val="none"/>
        </w:rPr>
      </w:pPr>
    </w:p>
    <w:p w14:paraId="4D0BD45C">
      <w:pPr>
        <w:adjustRightInd w:val="0"/>
        <w:snapToGrid w:val="0"/>
        <w:spacing w:line="288" w:lineRule="auto"/>
        <w:jc w:val="center"/>
        <w:outlineLvl w:val="0"/>
        <w:rPr>
          <w:b/>
          <w:bCs/>
          <w:sz w:val="32"/>
          <w:szCs w:val="32"/>
          <w:highlight w:val="none"/>
        </w:rPr>
      </w:pPr>
      <w:r>
        <w:rPr>
          <w:rFonts w:hint="eastAsia"/>
          <w:b/>
          <w:bCs/>
          <w:sz w:val="32"/>
          <w:szCs w:val="32"/>
          <w:highlight w:val="none"/>
        </w:rPr>
        <w:t>第六章  响应文件格式</w:t>
      </w:r>
    </w:p>
    <w:p w14:paraId="59DEA636">
      <w:pPr>
        <w:adjustRightInd w:val="0"/>
        <w:snapToGrid w:val="0"/>
        <w:spacing w:line="288" w:lineRule="auto"/>
        <w:rPr>
          <w:sz w:val="21"/>
          <w:szCs w:val="21"/>
          <w:highlight w:val="none"/>
        </w:rPr>
      </w:pPr>
    </w:p>
    <w:p w14:paraId="4D9B48D2">
      <w:pPr>
        <w:adjustRightInd w:val="0"/>
        <w:snapToGrid w:val="0"/>
        <w:spacing w:line="288" w:lineRule="auto"/>
        <w:jc w:val="center"/>
        <w:rPr>
          <w:b/>
          <w:bCs/>
          <w:sz w:val="21"/>
          <w:szCs w:val="21"/>
          <w:highlight w:val="none"/>
        </w:rPr>
      </w:pPr>
      <w:r>
        <w:rPr>
          <w:rFonts w:hint="eastAsia"/>
          <w:b/>
          <w:bCs/>
          <w:sz w:val="21"/>
          <w:szCs w:val="21"/>
          <w:highlight w:val="none"/>
        </w:rPr>
        <w:t xml:space="preserve">目 </w:t>
      </w:r>
      <w:r>
        <w:rPr>
          <w:b/>
          <w:bCs/>
          <w:sz w:val="21"/>
          <w:szCs w:val="21"/>
          <w:highlight w:val="none"/>
        </w:rPr>
        <w:t xml:space="preserve"> </w:t>
      </w:r>
      <w:r>
        <w:rPr>
          <w:rFonts w:hint="eastAsia"/>
          <w:b/>
          <w:bCs/>
          <w:sz w:val="21"/>
          <w:szCs w:val="21"/>
          <w:highlight w:val="none"/>
        </w:rPr>
        <w:t>录</w:t>
      </w:r>
    </w:p>
    <w:p w14:paraId="59458D02">
      <w:pPr>
        <w:adjustRightInd w:val="0"/>
        <w:snapToGrid w:val="0"/>
        <w:spacing w:line="276" w:lineRule="auto"/>
        <w:rPr>
          <w:sz w:val="21"/>
          <w:szCs w:val="21"/>
          <w:highlight w:val="none"/>
        </w:rPr>
      </w:pPr>
    </w:p>
    <w:p w14:paraId="5C3F7512">
      <w:pPr>
        <w:adjustRightInd w:val="0"/>
        <w:snapToGrid w:val="0"/>
        <w:spacing w:line="288" w:lineRule="auto"/>
        <w:ind w:firstLine="422" w:firstLineChars="200"/>
        <w:rPr>
          <w:b/>
          <w:bCs/>
          <w:sz w:val="21"/>
          <w:szCs w:val="21"/>
          <w:highlight w:val="none"/>
        </w:rPr>
      </w:pPr>
      <w:bookmarkStart w:id="48" w:name="_Hlk71884160"/>
      <w:r>
        <w:rPr>
          <w:rFonts w:hint="eastAsia"/>
          <w:b/>
          <w:bCs/>
          <w:sz w:val="21"/>
          <w:szCs w:val="21"/>
          <w:highlight w:val="none"/>
        </w:rPr>
        <w:t>▲1.资格文件（单独上传）</w:t>
      </w:r>
    </w:p>
    <w:p w14:paraId="097B0A3C">
      <w:pPr>
        <w:adjustRightInd w:val="0"/>
        <w:snapToGrid w:val="0"/>
        <w:spacing w:line="288" w:lineRule="auto"/>
        <w:ind w:firstLine="422" w:firstLineChars="200"/>
        <w:rPr>
          <w:b/>
          <w:bCs/>
          <w:sz w:val="21"/>
          <w:szCs w:val="21"/>
          <w:highlight w:val="none"/>
        </w:rPr>
      </w:pPr>
      <w:r>
        <w:rPr>
          <w:rFonts w:hint="eastAsia"/>
          <w:b/>
          <w:bCs/>
          <w:sz w:val="21"/>
          <w:szCs w:val="21"/>
          <w:highlight w:val="none"/>
        </w:rPr>
        <w:t>资格审查要求的资格证明材料(均需加盖公章)：</w:t>
      </w:r>
    </w:p>
    <w:bookmarkEnd w:id="48"/>
    <w:p w14:paraId="50445957">
      <w:pPr>
        <w:adjustRightInd w:val="0"/>
        <w:snapToGrid w:val="0"/>
        <w:spacing w:line="288" w:lineRule="auto"/>
        <w:ind w:firstLine="422" w:firstLineChars="200"/>
        <w:rPr>
          <w:b/>
          <w:bCs/>
          <w:sz w:val="21"/>
          <w:szCs w:val="21"/>
          <w:highlight w:val="none"/>
        </w:rPr>
      </w:pPr>
      <w:r>
        <w:rPr>
          <w:rFonts w:hint="eastAsia"/>
          <w:b/>
          <w:bCs/>
          <w:sz w:val="21"/>
          <w:szCs w:val="21"/>
          <w:highlight w:val="none"/>
        </w:rPr>
        <w:t>（1）有效的法人或者其他组织的营业执照等证明文件，自然人的身份证明</w:t>
      </w:r>
    </w:p>
    <w:p w14:paraId="69244BA0">
      <w:pPr>
        <w:adjustRightInd w:val="0"/>
        <w:snapToGrid w:val="0"/>
        <w:spacing w:line="288" w:lineRule="auto"/>
        <w:ind w:firstLine="422" w:firstLineChars="200"/>
        <w:rPr>
          <w:b/>
          <w:bCs/>
          <w:sz w:val="21"/>
          <w:szCs w:val="21"/>
          <w:highlight w:val="none"/>
        </w:rPr>
      </w:pPr>
      <w:bookmarkStart w:id="49" w:name="_Hlk71884127"/>
      <w:r>
        <w:rPr>
          <w:rFonts w:hint="eastAsia"/>
          <w:b/>
          <w:bCs/>
          <w:sz w:val="21"/>
          <w:szCs w:val="21"/>
          <w:highlight w:val="none"/>
        </w:rPr>
        <w:t>（</w:t>
      </w:r>
      <w:r>
        <w:rPr>
          <w:b/>
          <w:bCs/>
          <w:sz w:val="21"/>
          <w:szCs w:val="21"/>
          <w:highlight w:val="none"/>
        </w:rPr>
        <w:t>2）符合参加政府采购活动应当具备的一般条件的承诺函</w:t>
      </w:r>
    </w:p>
    <w:p w14:paraId="30761DFB">
      <w:pPr>
        <w:adjustRightInd w:val="0"/>
        <w:snapToGrid w:val="0"/>
        <w:spacing w:line="288" w:lineRule="auto"/>
        <w:ind w:firstLine="422" w:firstLineChars="200"/>
        <w:rPr>
          <w:b/>
          <w:bCs/>
          <w:sz w:val="21"/>
          <w:szCs w:val="21"/>
          <w:highlight w:val="none"/>
        </w:rPr>
      </w:pPr>
      <w:r>
        <w:rPr>
          <w:rFonts w:hint="eastAsia"/>
          <w:b/>
          <w:bCs/>
          <w:sz w:val="21"/>
          <w:szCs w:val="21"/>
          <w:highlight w:val="none"/>
        </w:rPr>
        <w:t>（</w:t>
      </w:r>
      <w:r>
        <w:rPr>
          <w:b/>
          <w:bCs/>
          <w:sz w:val="21"/>
          <w:szCs w:val="21"/>
          <w:highlight w:val="none"/>
        </w:rPr>
        <w:t>3）落实政府采购政策需满足的资格要求</w:t>
      </w:r>
    </w:p>
    <w:p w14:paraId="3E68EC64">
      <w:pPr>
        <w:adjustRightInd w:val="0"/>
        <w:snapToGrid w:val="0"/>
        <w:spacing w:line="288" w:lineRule="auto"/>
        <w:ind w:left="480" w:leftChars="200" w:firstLine="422" w:firstLineChars="200"/>
        <w:rPr>
          <w:b/>
          <w:bCs/>
          <w:sz w:val="21"/>
          <w:szCs w:val="21"/>
          <w:highlight w:val="none"/>
        </w:rPr>
      </w:pPr>
      <w:r>
        <w:rPr>
          <w:rFonts w:hint="eastAsia"/>
          <w:b/>
          <w:bCs/>
          <w:sz w:val="21"/>
          <w:szCs w:val="21"/>
          <w:highlight w:val="none"/>
        </w:rPr>
        <w:t>中小企业声明函（若属于中小企业）</w:t>
      </w:r>
    </w:p>
    <w:p w14:paraId="5A4199BC">
      <w:pPr>
        <w:adjustRightInd w:val="0"/>
        <w:snapToGrid w:val="0"/>
        <w:spacing w:line="288" w:lineRule="auto"/>
        <w:ind w:left="480" w:leftChars="200" w:firstLine="422" w:firstLineChars="200"/>
        <w:rPr>
          <w:b/>
          <w:bCs/>
          <w:sz w:val="21"/>
          <w:szCs w:val="21"/>
          <w:highlight w:val="none"/>
        </w:rPr>
      </w:pPr>
      <w:r>
        <w:rPr>
          <w:rFonts w:hint="eastAsia"/>
          <w:b/>
          <w:bCs/>
          <w:sz w:val="21"/>
          <w:szCs w:val="21"/>
          <w:highlight w:val="none"/>
        </w:rPr>
        <w:t>属于监狱企业的证明文件（若属于监狱企业）</w:t>
      </w:r>
    </w:p>
    <w:p w14:paraId="21B3A03C">
      <w:pPr>
        <w:adjustRightInd w:val="0"/>
        <w:snapToGrid w:val="0"/>
        <w:spacing w:line="288" w:lineRule="auto"/>
        <w:ind w:left="480" w:leftChars="200" w:firstLine="422" w:firstLineChars="200"/>
        <w:rPr>
          <w:b/>
          <w:bCs/>
          <w:sz w:val="21"/>
          <w:szCs w:val="21"/>
          <w:highlight w:val="none"/>
        </w:rPr>
      </w:pPr>
      <w:r>
        <w:rPr>
          <w:rFonts w:hint="eastAsia"/>
          <w:b/>
          <w:bCs/>
          <w:sz w:val="21"/>
          <w:szCs w:val="21"/>
          <w:highlight w:val="none"/>
        </w:rPr>
        <w:t>残疾人福利性单位声明函（若属于残疾人福利性单位）</w:t>
      </w:r>
    </w:p>
    <w:p w14:paraId="0316D699">
      <w:pPr>
        <w:adjustRightInd w:val="0"/>
        <w:snapToGrid w:val="0"/>
        <w:spacing w:line="288" w:lineRule="auto"/>
        <w:ind w:firstLine="422" w:firstLineChars="200"/>
        <w:rPr>
          <w:b/>
          <w:bCs/>
          <w:sz w:val="21"/>
          <w:szCs w:val="21"/>
          <w:highlight w:val="none"/>
        </w:rPr>
      </w:pPr>
      <w:r>
        <w:rPr>
          <w:rFonts w:hint="eastAsia"/>
          <w:b/>
          <w:bCs/>
          <w:sz w:val="21"/>
          <w:szCs w:val="21"/>
          <w:highlight w:val="none"/>
        </w:rPr>
        <w:t>（</w:t>
      </w:r>
      <w:r>
        <w:rPr>
          <w:b/>
          <w:bCs/>
          <w:sz w:val="21"/>
          <w:szCs w:val="21"/>
          <w:highlight w:val="none"/>
        </w:rPr>
        <w:t>4）</w:t>
      </w:r>
      <w:r>
        <w:rPr>
          <w:rFonts w:hint="eastAsia"/>
          <w:b/>
          <w:bCs/>
          <w:sz w:val="21"/>
          <w:szCs w:val="21"/>
          <w:highlight w:val="none"/>
        </w:rPr>
        <w:t>本项目的特定资格要求</w:t>
      </w:r>
      <w:r>
        <w:rPr>
          <w:b/>
          <w:bCs/>
          <w:sz w:val="21"/>
          <w:szCs w:val="21"/>
          <w:highlight w:val="none"/>
        </w:rPr>
        <w:t>证明材料：</w:t>
      </w:r>
    </w:p>
    <w:p w14:paraId="1E3352EC">
      <w:pPr>
        <w:adjustRightInd w:val="0"/>
        <w:snapToGrid w:val="0"/>
        <w:spacing w:line="288" w:lineRule="auto"/>
        <w:ind w:left="480" w:leftChars="200" w:firstLine="422" w:firstLineChars="200"/>
        <w:rPr>
          <w:b/>
          <w:bCs/>
          <w:sz w:val="21"/>
          <w:szCs w:val="21"/>
          <w:highlight w:val="none"/>
        </w:rPr>
      </w:pPr>
      <w:r>
        <w:rPr>
          <w:b/>
          <w:bCs/>
          <w:sz w:val="21"/>
          <w:szCs w:val="21"/>
          <w:highlight w:val="none"/>
        </w:rPr>
        <w:t>1）</w:t>
      </w:r>
      <w:r>
        <w:rPr>
          <w:rFonts w:hint="eastAsia"/>
          <w:b/>
          <w:bCs/>
          <w:sz w:val="21"/>
          <w:szCs w:val="21"/>
          <w:highlight w:val="none"/>
        </w:rPr>
        <w:t>具有建筑工程施工总承包三级及以上资质</w:t>
      </w:r>
      <w:r>
        <w:rPr>
          <w:b/>
          <w:bCs/>
          <w:sz w:val="21"/>
          <w:szCs w:val="21"/>
          <w:highlight w:val="none"/>
        </w:rPr>
        <w:t>；</w:t>
      </w:r>
    </w:p>
    <w:p w14:paraId="3200E913">
      <w:pPr>
        <w:adjustRightInd w:val="0"/>
        <w:snapToGrid w:val="0"/>
        <w:spacing w:line="288" w:lineRule="auto"/>
        <w:ind w:left="480" w:leftChars="200" w:firstLine="422" w:firstLineChars="200"/>
        <w:rPr>
          <w:b/>
          <w:bCs/>
          <w:sz w:val="21"/>
          <w:szCs w:val="21"/>
          <w:highlight w:val="none"/>
        </w:rPr>
      </w:pPr>
      <w:r>
        <w:rPr>
          <w:b/>
          <w:bCs/>
          <w:sz w:val="21"/>
          <w:szCs w:val="21"/>
          <w:highlight w:val="none"/>
        </w:rPr>
        <w:t>2）供应商具有有效期内的企业安全生产许可证。</w:t>
      </w:r>
    </w:p>
    <w:p w14:paraId="67FA575D">
      <w:pPr>
        <w:adjustRightInd w:val="0"/>
        <w:snapToGrid w:val="0"/>
        <w:spacing w:line="288" w:lineRule="auto"/>
        <w:ind w:firstLine="422" w:firstLineChars="200"/>
        <w:rPr>
          <w:b/>
          <w:bCs/>
          <w:sz w:val="21"/>
          <w:szCs w:val="21"/>
          <w:highlight w:val="none"/>
        </w:rPr>
      </w:pPr>
      <w:r>
        <w:rPr>
          <w:rFonts w:hint="eastAsia"/>
          <w:b/>
          <w:bCs/>
          <w:sz w:val="21"/>
          <w:szCs w:val="21"/>
          <w:highlight w:val="none"/>
        </w:rPr>
        <w:t>（5）联合协议（以联合体形式响应的，提供联合协议，格式详见附件2）</w:t>
      </w:r>
    </w:p>
    <w:p w14:paraId="09F68658">
      <w:pPr>
        <w:adjustRightInd w:val="0"/>
        <w:snapToGrid w:val="0"/>
        <w:spacing w:line="288" w:lineRule="auto"/>
        <w:ind w:firstLine="398" w:firstLineChars="200"/>
        <w:rPr>
          <w:b/>
          <w:bCs/>
          <w:sz w:val="21"/>
          <w:szCs w:val="21"/>
          <w:highlight w:val="none"/>
        </w:rPr>
      </w:pPr>
      <w:r>
        <w:rPr>
          <w:rFonts w:hint="eastAsia"/>
          <w:b/>
          <w:spacing w:val="-6"/>
          <w:sz w:val="21"/>
          <w:szCs w:val="21"/>
          <w:highlight w:val="none"/>
        </w:rPr>
        <w:t>▲联合体响应的，联合体各方均应提供资格文件（</w:t>
      </w:r>
      <w:r>
        <w:rPr>
          <w:b/>
          <w:spacing w:val="-6"/>
          <w:sz w:val="21"/>
          <w:szCs w:val="21"/>
          <w:highlight w:val="none"/>
        </w:rPr>
        <w:t>1）、（2）</w:t>
      </w:r>
      <w:r>
        <w:rPr>
          <w:rFonts w:hint="eastAsia"/>
          <w:b/>
          <w:spacing w:val="-6"/>
          <w:sz w:val="21"/>
          <w:szCs w:val="21"/>
          <w:highlight w:val="none"/>
        </w:rPr>
        <w:t>材料</w:t>
      </w:r>
      <w:r>
        <w:rPr>
          <w:b/>
          <w:spacing w:val="-6"/>
          <w:sz w:val="21"/>
          <w:szCs w:val="21"/>
          <w:highlight w:val="none"/>
        </w:rPr>
        <w:t>。</w:t>
      </w:r>
    </w:p>
    <w:p w14:paraId="518CA599">
      <w:pPr>
        <w:adjustRightInd w:val="0"/>
        <w:snapToGrid w:val="0"/>
        <w:spacing w:line="288" w:lineRule="auto"/>
        <w:ind w:firstLine="422" w:firstLineChars="200"/>
        <w:rPr>
          <w:b/>
          <w:bCs/>
          <w:sz w:val="21"/>
          <w:szCs w:val="21"/>
          <w:highlight w:val="none"/>
        </w:rPr>
      </w:pPr>
    </w:p>
    <w:bookmarkEnd w:id="49"/>
    <w:p w14:paraId="1BB9D14D">
      <w:pPr>
        <w:adjustRightInd w:val="0"/>
        <w:snapToGrid w:val="0"/>
        <w:spacing w:line="288" w:lineRule="auto"/>
        <w:ind w:firstLine="422" w:firstLineChars="200"/>
        <w:rPr>
          <w:b/>
          <w:bCs/>
          <w:sz w:val="21"/>
          <w:szCs w:val="21"/>
          <w:highlight w:val="none"/>
        </w:rPr>
      </w:pPr>
      <w:r>
        <w:rPr>
          <w:rFonts w:hint="eastAsia"/>
          <w:b/>
          <w:bCs/>
          <w:sz w:val="21"/>
          <w:szCs w:val="21"/>
          <w:highlight w:val="none"/>
        </w:rPr>
        <w:t>2.报价文件</w:t>
      </w:r>
    </w:p>
    <w:p w14:paraId="429F2DF8">
      <w:pPr>
        <w:adjustRightInd w:val="0"/>
        <w:snapToGrid w:val="0"/>
        <w:spacing w:line="288" w:lineRule="auto"/>
        <w:ind w:firstLine="420" w:firstLineChars="200"/>
        <w:rPr>
          <w:sz w:val="21"/>
          <w:szCs w:val="21"/>
          <w:highlight w:val="none"/>
        </w:rPr>
      </w:pPr>
      <w:r>
        <w:rPr>
          <w:rFonts w:hint="eastAsia"/>
          <w:sz w:val="21"/>
          <w:szCs w:val="21"/>
          <w:highlight w:val="none"/>
        </w:rPr>
        <w:t>（1）初次报价一览表</w:t>
      </w:r>
    </w:p>
    <w:p w14:paraId="6FB3695E">
      <w:pPr>
        <w:adjustRightInd w:val="0"/>
        <w:snapToGrid w:val="0"/>
        <w:spacing w:line="288" w:lineRule="auto"/>
        <w:ind w:firstLine="420" w:firstLineChars="200"/>
        <w:rPr>
          <w:sz w:val="21"/>
          <w:szCs w:val="21"/>
          <w:highlight w:val="none"/>
        </w:rPr>
      </w:pPr>
      <w:r>
        <w:rPr>
          <w:rFonts w:hint="eastAsia"/>
          <w:sz w:val="21"/>
          <w:szCs w:val="21"/>
          <w:highlight w:val="none"/>
        </w:rPr>
        <w:t>（2）招标工程量清单编制及工程量清单报价所采用的表格格式如下（供参考，实际以工程量清单为准）</w:t>
      </w:r>
    </w:p>
    <w:p w14:paraId="50DE3907">
      <w:pPr>
        <w:adjustRightInd w:val="0"/>
        <w:snapToGrid w:val="0"/>
        <w:spacing w:line="288" w:lineRule="auto"/>
        <w:ind w:firstLine="422" w:firstLineChars="200"/>
        <w:rPr>
          <w:b/>
          <w:bCs/>
          <w:sz w:val="21"/>
          <w:szCs w:val="21"/>
          <w:highlight w:val="none"/>
        </w:rPr>
      </w:pPr>
      <w:r>
        <w:rPr>
          <w:rFonts w:hint="eastAsia"/>
          <w:b/>
          <w:bCs/>
          <w:sz w:val="21"/>
          <w:szCs w:val="21"/>
          <w:highlight w:val="none"/>
        </w:rPr>
        <w:t>3.商务和技术文件</w:t>
      </w:r>
    </w:p>
    <w:p w14:paraId="783EA160">
      <w:pPr>
        <w:adjustRightInd w:val="0"/>
        <w:snapToGrid w:val="0"/>
        <w:spacing w:line="288" w:lineRule="auto"/>
        <w:ind w:firstLine="420" w:firstLineChars="200"/>
        <w:rPr>
          <w:sz w:val="21"/>
          <w:szCs w:val="21"/>
          <w:highlight w:val="none"/>
        </w:rPr>
      </w:pPr>
      <w:r>
        <w:rPr>
          <w:rFonts w:hint="eastAsia"/>
          <w:sz w:val="21"/>
          <w:szCs w:val="21"/>
          <w:highlight w:val="none"/>
        </w:rPr>
        <w:t>（1）响应函</w:t>
      </w:r>
    </w:p>
    <w:p w14:paraId="15C1C5EE">
      <w:pPr>
        <w:adjustRightInd w:val="0"/>
        <w:snapToGrid w:val="0"/>
        <w:spacing w:line="288" w:lineRule="auto"/>
        <w:ind w:firstLine="420" w:firstLineChars="200"/>
        <w:rPr>
          <w:sz w:val="21"/>
          <w:szCs w:val="21"/>
          <w:highlight w:val="none"/>
        </w:rPr>
      </w:pPr>
      <w:r>
        <w:rPr>
          <w:rFonts w:hint="eastAsia"/>
          <w:sz w:val="21"/>
          <w:szCs w:val="21"/>
          <w:highlight w:val="none"/>
        </w:rPr>
        <w:t>（</w:t>
      </w:r>
      <w:r>
        <w:rPr>
          <w:sz w:val="21"/>
          <w:szCs w:val="21"/>
          <w:highlight w:val="none"/>
        </w:rPr>
        <w:t>2）授权委托书/法定代表人（单位负责人、自然人本人）身份证明</w:t>
      </w:r>
    </w:p>
    <w:p w14:paraId="45D2FE39">
      <w:pPr>
        <w:adjustRightInd w:val="0"/>
        <w:snapToGrid w:val="0"/>
        <w:spacing w:line="288" w:lineRule="auto"/>
        <w:ind w:firstLine="420" w:firstLineChars="200"/>
        <w:rPr>
          <w:sz w:val="21"/>
          <w:szCs w:val="21"/>
          <w:highlight w:val="none"/>
        </w:rPr>
      </w:pPr>
      <w:r>
        <w:rPr>
          <w:rFonts w:hint="eastAsia"/>
          <w:sz w:val="21"/>
          <w:szCs w:val="21"/>
          <w:highlight w:val="none"/>
        </w:rPr>
        <w:t>附：授权代表社保缴纳证明（</w:t>
      </w:r>
      <w:r>
        <w:rPr>
          <w:sz w:val="21"/>
          <w:szCs w:val="21"/>
          <w:highlight w:val="none"/>
        </w:rPr>
        <w:t>2023年1月（含）以后任意一月）</w:t>
      </w:r>
    </w:p>
    <w:p w14:paraId="4A6FA47A">
      <w:pPr>
        <w:adjustRightInd w:val="0"/>
        <w:snapToGrid w:val="0"/>
        <w:spacing w:line="288" w:lineRule="auto"/>
        <w:ind w:firstLine="420" w:firstLineChars="200"/>
        <w:rPr>
          <w:sz w:val="21"/>
          <w:szCs w:val="21"/>
          <w:highlight w:val="none"/>
        </w:rPr>
      </w:pPr>
      <w:r>
        <w:rPr>
          <w:rFonts w:hint="eastAsia"/>
          <w:sz w:val="21"/>
          <w:szCs w:val="21"/>
          <w:highlight w:val="none"/>
        </w:rPr>
        <w:t>（</w:t>
      </w:r>
      <w:r>
        <w:rPr>
          <w:sz w:val="21"/>
          <w:szCs w:val="21"/>
          <w:highlight w:val="none"/>
        </w:rPr>
        <w:t>3</w:t>
      </w:r>
      <w:r>
        <w:rPr>
          <w:rFonts w:hint="eastAsia"/>
          <w:sz w:val="21"/>
          <w:szCs w:val="21"/>
          <w:highlight w:val="none"/>
        </w:rPr>
        <w:t>）项目经理无在建工程声明函</w:t>
      </w:r>
    </w:p>
    <w:p w14:paraId="3805B902">
      <w:pPr>
        <w:adjustRightInd w:val="0"/>
        <w:snapToGrid w:val="0"/>
        <w:spacing w:line="288" w:lineRule="auto"/>
        <w:ind w:firstLine="420" w:firstLineChars="200"/>
        <w:rPr>
          <w:sz w:val="21"/>
          <w:szCs w:val="21"/>
          <w:highlight w:val="none"/>
        </w:rPr>
      </w:pPr>
      <w:r>
        <w:rPr>
          <w:rFonts w:hint="eastAsia"/>
          <w:sz w:val="21"/>
          <w:szCs w:val="21"/>
          <w:highlight w:val="none"/>
        </w:rPr>
        <w:t>（</w:t>
      </w:r>
      <w:r>
        <w:rPr>
          <w:sz w:val="21"/>
          <w:szCs w:val="21"/>
          <w:highlight w:val="none"/>
        </w:rPr>
        <w:t>4</w:t>
      </w:r>
      <w:r>
        <w:rPr>
          <w:rFonts w:hint="eastAsia"/>
          <w:sz w:val="21"/>
          <w:szCs w:val="21"/>
          <w:highlight w:val="none"/>
        </w:rPr>
        <w:t>）分包意向协议（如有）</w:t>
      </w:r>
    </w:p>
    <w:p w14:paraId="4E974FA7">
      <w:pPr>
        <w:adjustRightInd w:val="0"/>
        <w:snapToGrid w:val="0"/>
        <w:spacing w:line="288" w:lineRule="auto"/>
        <w:ind w:firstLine="420" w:firstLineChars="200"/>
        <w:rPr>
          <w:sz w:val="21"/>
          <w:szCs w:val="21"/>
          <w:highlight w:val="none"/>
        </w:rPr>
      </w:pPr>
      <w:r>
        <w:rPr>
          <w:rFonts w:hint="eastAsia"/>
          <w:sz w:val="21"/>
          <w:szCs w:val="21"/>
          <w:highlight w:val="none"/>
        </w:rPr>
        <w:t>（</w:t>
      </w:r>
      <w:r>
        <w:rPr>
          <w:sz w:val="21"/>
          <w:szCs w:val="21"/>
          <w:highlight w:val="none"/>
        </w:rPr>
        <w:t>5</w:t>
      </w:r>
      <w:r>
        <w:rPr>
          <w:rFonts w:hint="eastAsia"/>
          <w:sz w:val="21"/>
          <w:szCs w:val="21"/>
          <w:highlight w:val="none"/>
        </w:rPr>
        <w:t>）供应商同类合同一览表</w:t>
      </w:r>
    </w:p>
    <w:p w14:paraId="1DD78FEA">
      <w:pPr>
        <w:adjustRightInd w:val="0"/>
        <w:snapToGrid w:val="0"/>
        <w:spacing w:line="288" w:lineRule="auto"/>
        <w:ind w:firstLine="420" w:firstLineChars="200"/>
        <w:rPr>
          <w:sz w:val="21"/>
          <w:szCs w:val="21"/>
          <w:highlight w:val="none"/>
        </w:rPr>
      </w:pPr>
      <w:r>
        <w:rPr>
          <w:rFonts w:hint="eastAsia"/>
          <w:sz w:val="21"/>
          <w:szCs w:val="21"/>
          <w:highlight w:val="none"/>
        </w:rPr>
        <w:t>（</w:t>
      </w:r>
      <w:r>
        <w:rPr>
          <w:sz w:val="21"/>
          <w:szCs w:val="21"/>
          <w:highlight w:val="none"/>
        </w:rPr>
        <w:t>6</w:t>
      </w:r>
      <w:r>
        <w:rPr>
          <w:rFonts w:hint="eastAsia"/>
          <w:sz w:val="21"/>
          <w:szCs w:val="21"/>
          <w:highlight w:val="none"/>
        </w:rPr>
        <w:t>）商务分相关证明材料（如有）</w:t>
      </w:r>
    </w:p>
    <w:p w14:paraId="71B8BA1A">
      <w:pPr>
        <w:adjustRightInd w:val="0"/>
        <w:snapToGrid w:val="0"/>
        <w:spacing w:line="288" w:lineRule="auto"/>
        <w:ind w:firstLine="420" w:firstLineChars="200"/>
        <w:rPr>
          <w:sz w:val="21"/>
          <w:szCs w:val="21"/>
          <w:highlight w:val="none"/>
        </w:rPr>
      </w:pPr>
      <w:r>
        <w:rPr>
          <w:rFonts w:hint="eastAsia"/>
          <w:sz w:val="21"/>
          <w:szCs w:val="21"/>
          <w:highlight w:val="none"/>
        </w:rPr>
        <w:t>（</w:t>
      </w:r>
      <w:r>
        <w:rPr>
          <w:sz w:val="21"/>
          <w:szCs w:val="21"/>
          <w:highlight w:val="none"/>
        </w:rPr>
        <w:t>7）采购需求偏离表</w:t>
      </w:r>
    </w:p>
    <w:p w14:paraId="56C87D31">
      <w:pPr>
        <w:adjustRightInd w:val="0"/>
        <w:snapToGrid w:val="0"/>
        <w:spacing w:line="288" w:lineRule="auto"/>
        <w:ind w:firstLine="420" w:firstLineChars="200"/>
        <w:rPr>
          <w:sz w:val="21"/>
          <w:szCs w:val="21"/>
          <w:highlight w:val="none"/>
        </w:rPr>
      </w:pPr>
      <w:r>
        <w:rPr>
          <w:rFonts w:hint="eastAsia"/>
          <w:sz w:val="21"/>
          <w:szCs w:val="21"/>
          <w:highlight w:val="none"/>
        </w:rPr>
        <w:t>（</w:t>
      </w:r>
      <w:r>
        <w:rPr>
          <w:sz w:val="21"/>
          <w:szCs w:val="21"/>
          <w:highlight w:val="none"/>
        </w:rPr>
        <w:t>8）</w:t>
      </w:r>
      <w:bookmarkStart w:id="50" w:name="_Hlk71884196"/>
      <w:r>
        <w:rPr>
          <w:rFonts w:hint="eastAsia"/>
          <w:sz w:val="21"/>
          <w:szCs w:val="21"/>
          <w:highlight w:val="none"/>
        </w:rPr>
        <w:t>技术方案【可根据评分细则结合自身情况提供】</w:t>
      </w:r>
    </w:p>
    <w:p w14:paraId="6477A37B">
      <w:pPr>
        <w:adjustRightInd w:val="0"/>
        <w:snapToGrid w:val="0"/>
        <w:spacing w:line="288" w:lineRule="auto"/>
        <w:ind w:firstLine="420" w:firstLineChars="200"/>
        <w:rPr>
          <w:sz w:val="21"/>
          <w:szCs w:val="21"/>
          <w:highlight w:val="none"/>
        </w:rPr>
      </w:pPr>
      <w:r>
        <w:rPr>
          <w:rFonts w:hint="eastAsia"/>
          <w:sz w:val="21"/>
          <w:szCs w:val="21"/>
          <w:highlight w:val="none"/>
        </w:rPr>
        <w:t>（</w:t>
      </w:r>
      <w:r>
        <w:rPr>
          <w:sz w:val="21"/>
          <w:szCs w:val="21"/>
          <w:highlight w:val="none"/>
        </w:rPr>
        <w:t>9）</w:t>
      </w:r>
      <w:r>
        <w:rPr>
          <w:rFonts w:hint="eastAsia"/>
          <w:sz w:val="21"/>
          <w:szCs w:val="21"/>
          <w:highlight w:val="none"/>
        </w:rPr>
        <w:t>拟派人员【可根据评分细则结合自身情况提供】</w:t>
      </w:r>
    </w:p>
    <w:p w14:paraId="5CC787FD">
      <w:pPr>
        <w:adjustRightInd w:val="0"/>
        <w:snapToGrid w:val="0"/>
        <w:spacing w:line="288" w:lineRule="auto"/>
        <w:ind w:firstLine="420" w:firstLineChars="200"/>
        <w:rPr>
          <w:sz w:val="21"/>
          <w:szCs w:val="21"/>
          <w:highlight w:val="none"/>
        </w:rPr>
      </w:pPr>
      <w:r>
        <w:rPr>
          <w:rFonts w:hint="eastAsia"/>
          <w:sz w:val="21"/>
          <w:szCs w:val="21"/>
          <w:highlight w:val="none"/>
        </w:rPr>
        <w:t>（</w:t>
      </w:r>
      <w:r>
        <w:rPr>
          <w:sz w:val="21"/>
          <w:szCs w:val="21"/>
          <w:highlight w:val="none"/>
        </w:rPr>
        <w:t>10）</w:t>
      </w:r>
      <w:r>
        <w:rPr>
          <w:rFonts w:hint="eastAsia"/>
          <w:sz w:val="21"/>
          <w:szCs w:val="21"/>
          <w:highlight w:val="none"/>
        </w:rPr>
        <w:t>其它服务承诺【可根据评分细则结合自身情况提供】</w:t>
      </w:r>
    </w:p>
    <w:p w14:paraId="6DB8DABC">
      <w:pPr>
        <w:adjustRightInd w:val="0"/>
        <w:snapToGrid w:val="0"/>
        <w:spacing w:line="288" w:lineRule="auto"/>
        <w:ind w:firstLine="420" w:firstLineChars="200"/>
        <w:rPr>
          <w:sz w:val="21"/>
          <w:szCs w:val="21"/>
          <w:highlight w:val="none"/>
        </w:rPr>
      </w:pPr>
      <w:r>
        <w:rPr>
          <w:rFonts w:hint="eastAsia"/>
          <w:sz w:val="21"/>
          <w:szCs w:val="21"/>
          <w:highlight w:val="none"/>
        </w:rPr>
        <w:t>（1</w:t>
      </w:r>
      <w:r>
        <w:rPr>
          <w:sz w:val="21"/>
          <w:szCs w:val="21"/>
          <w:highlight w:val="none"/>
        </w:rPr>
        <w:t>1</w:t>
      </w:r>
      <w:r>
        <w:rPr>
          <w:rFonts w:hint="eastAsia"/>
          <w:sz w:val="21"/>
          <w:szCs w:val="21"/>
          <w:highlight w:val="none"/>
        </w:rPr>
        <w:t>）</w:t>
      </w:r>
      <w:r>
        <w:rPr>
          <w:sz w:val="21"/>
          <w:szCs w:val="21"/>
          <w:highlight w:val="none"/>
        </w:rPr>
        <w:t>节能环保产品证明材料</w:t>
      </w:r>
    </w:p>
    <w:p w14:paraId="67AC58BA">
      <w:pPr>
        <w:adjustRightInd w:val="0"/>
        <w:snapToGrid w:val="0"/>
        <w:spacing w:line="288" w:lineRule="auto"/>
        <w:ind w:firstLine="420" w:firstLineChars="200"/>
        <w:rPr>
          <w:sz w:val="21"/>
          <w:szCs w:val="21"/>
          <w:highlight w:val="none"/>
        </w:rPr>
      </w:pPr>
      <w:r>
        <w:rPr>
          <w:rFonts w:hint="eastAsia"/>
          <w:sz w:val="21"/>
          <w:szCs w:val="21"/>
          <w:highlight w:val="none"/>
        </w:rPr>
        <w:t>（</w:t>
      </w:r>
      <w:r>
        <w:rPr>
          <w:sz w:val="21"/>
          <w:szCs w:val="21"/>
          <w:highlight w:val="none"/>
        </w:rPr>
        <w:t>12）</w:t>
      </w:r>
      <w:r>
        <w:rPr>
          <w:rFonts w:hint="eastAsia"/>
          <w:sz w:val="21"/>
          <w:szCs w:val="21"/>
          <w:highlight w:val="none"/>
        </w:rPr>
        <w:t>供应商</w:t>
      </w:r>
      <w:r>
        <w:rPr>
          <w:sz w:val="21"/>
          <w:szCs w:val="21"/>
          <w:highlight w:val="none"/>
        </w:rPr>
        <w:t>需要说明的其他文件和材料</w:t>
      </w:r>
      <w:bookmarkEnd w:id="50"/>
    </w:p>
    <w:p w14:paraId="59D4D047">
      <w:pPr>
        <w:adjustRightInd w:val="0"/>
        <w:snapToGrid w:val="0"/>
        <w:spacing w:line="288" w:lineRule="auto"/>
        <w:rPr>
          <w:sz w:val="21"/>
          <w:szCs w:val="21"/>
          <w:highlight w:val="none"/>
        </w:rPr>
      </w:pPr>
      <w:r>
        <w:rPr>
          <w:rFonts w:hint="eastAsia"/>
          <w:sz w:val="21"/>
          <w:szCs w:val="21"/>
          <w:highlight w:val="none"/>
        </w:rPr>
        <w:br w:type="page"/>
      </w:r>
    </w:p>
    <w:p w14:paraId="54472588">
      <w:pPr>
        <w:adjustRightInd w:val="0"/>
        <w:snapToGrid w:val="0"/>
        <w:spacing w:line="288" w:lineRule="auto"/>
        <w:rPr>
          <w:highlight w:val="none"/>
        </w:rPr>
      </w:pPr>
    </w:p>
    <w:p w14:paraId="4877C845">
      <w:pPr>
        <w:adjustRightInd w:val="0"/>
        <w:snapToGrid w:val="0"/>
        <w:spacing w:line="288" w:lineRule="auto"/>
        <w:jc w:val="center"/>
        <w:outlineLvl w:val="1"/>
        <w:rPr>
          <w:b/>
          <w:bCs/>
          <w:sz w:val="84"/>
          <w:szCs w:val="84"/>
          <w:highlight w:val="none"/>
        </w:rPr>
      </w:pPr>
      <w:r>
        <w:rPr>
          <w:rFonts w:hint="eastAsia"/>
          <w:b/>
          <w:bCs/>
          <w:sz w:val="84"/>
          <w:szCs w:val="84"/>
          <w:highlight w:val="none"/>
        </w:rPr>
        <w:t>资格文件</w:t>
      </w:r>
    </w:p>
    <w:p w14:paraId="364ACE31">
      <w:pPr>
        <w:adjustRightInd w:val="0"/>
        <w:snapToGrid w:val="0"/>
        <w:spacing w:line="288" w:lineRule="auto"/>
        <w:jc w:val="center"/>
        <w:rPr>
          <w:b/>
          <w:bCs/>
          <w:sz w:val="21"/>
          <w:szCs w:val="21"/>
          <w:highlight w:val="none"/>
        </w:rPr>
      </w:pPr>
    </w:p>
    <w:p w14:paraId="6ED50072">
      <w:pPr>
        <w:adjustRightInd w:val="0"/>
        <w:snapToGrid w:val="0"/>
        <w:spacing w:line="288" w:lineRule="auto"/>
        <w:jc w:val="center"/>
        <w:rPr>
          <w:b/>
          <w:bCs/>
          <w:sz w:val="21"/>
          <w:szCs w:val="21"/>
          <w:highlight w:val="none"/>
        </w:rPr>
      </w:pPr>
    </w:p>
    <w:p w14:paraId="7C7EFCA9">
      <w:pPr>
        <w:adjustRightInd w:val="0"/>
        <w:snapToGrid w:val="0"/>
        <w:spacing w:line="288" w:lineRule="auto"/>
        <w:jc w:val="center"/>
        <w:rPr>
          <w:b/>
          <w:bCs/>
          <w:sz w:val="21"/>
          <w:szCs w:val="21"/>
          <w:highlight w:val="none"/>
        </w:rPr>
      </w:pPr>
      <w:bookmarkStart w:id="51" w:name="_Hlk94097338"/>
      <w:r>
        <w:rPr>
          <w:rFonts w:hint="eastAsia"/>
          <w:b/>
          <w:bCs/>
          <w:sz w:val="21"/>
          <w:szCs w:val="21"/>
          <w:highlight w:val="none"/>
        </w:rPr>
        <w:t>资格审查要求的资格证明材料(均需加盖公章)</w:t>
      </w:r>
    </w:p>
    <w:bookmarkEnd w:id="51"/>
    <w:p w14:paraId="2EAFEB49">
      <w:pPr>
        <w:adjustRightInd w:val="0"/>
        <w:snapToGrid w:val="0"/>
        <w:spacing w:line="288" w:lineRule="auto"/>
        <w:rPr>
          <w:sz w:val="21"/>
          <w:szCs w:val="21"/>
          <w:highlight w:val="none"/>
        </w:rPr>
      </w:pPr>
      <w:r>
        <w:rPr>
          <w:rFonts w:hint="eastAsia"/>
          <w:sz w:val="21"/>
          <w:szCs w:val="21"/>
          <w:highlight w:val="none"/>
        </w:rPr>
        <w:br w:type="page"/>
      </w:r>
    </w:p>
    <w:p w14:paraId="2DE22E28">
      <w:pPr>
        <w:adjustRightInd w:val="0"/>
        <w:snapToGrid w:val="0"/>
        <w:spacing w:line="288" w:lineRule="auto"/>
        <w:outlineLvl w:val="2"/>
        <w:rPr>
          <w:b/>
          <w:bCs/>
          <w:sz w:val="21"/>
          <w:szCs w:val="21"/>
          <w:highlight w:val="none"/>
        </w:rPr>
      </w:pPr>
      <w:r>
        <w:rPr>
          <w:rFonts w:hint="eastAsia"/>
          <w:b/>
          <w:bCs/>
          <w:sz w:val="21"/>
          <w:szCs w:val="21"/>
          <w:highlight w:val="none"/>
        </w:rPr>
        <w:t>（1）有效的法人或者其他组织的营业执照等证明文件，自然人的身份证明（扫描件）</w:t>
      </w:r>
    </w:p>
    <w:p w14:paraId="591177D1">
      <w:pPr>
        <w:adjustRightInd w:val="0"/>
        <w:snapToGrid w:val="0"/>
        <w:spacing w:line="288" w:lineRule="auto"/>
        <w:rPr>
          <w:sz w:val="21"/>
          <w:szCs w:val="21"/>
          <w:highlight w:val="none"/>
        </w:rPr>
      </w:pPr>
    </w:p>
    <w:p w14:paraId="0E2E6B1D">
      <w:pPr>
        <w:adjustRightInd w:val="0"/>
        <w:snapToGrid w:val="0"/>
        <w:spacing w:line="288" w:lineRule="auto"/>
        <w:rPr>
          <w:sz w:val="21"/>
          <w:szCs w:val="21"/>
          <w:highlight w:val="none"/>
        </w:rPr>
      </w:pPr>
      <w:r>
        <w:rPr>
          <w:rFonts w:hint="eastAsia"/>
          <w:sz w:val="21"/>
          <w:szCs w:val="21"/>
          <w:highlight w:val="none"/>
        </w:rPr>
        <w:t>说明：</w:t>
      </w:r>
    </w:p>
    <w:p w14:paraId="25CFF760">
      <w:pPr>
        <w:adjustRightInd w:val="0"/>
        <w:snapToGrid w:val="0"/>
        <w:spacing w:line="288" w:lineRule="auto"/>
        <w:rPr>
          <w:sz w:val="21"/>
          <w:szCs w:val="21"/>
          <w:highlight w:val="none"/>
        </w:rPr>
      </w:pPr>
      <w:r>
        <w:rPr>
          <w:rFonts w:hint="eastAsia"/>
          <w:sz w:val="21"/>
          <w:szCs w:val="21"/>
          <w:highlight w:val="none"/>
        </w:rPr>
        <w:t>1.如供应商是企业（包括合伙企业），提供在工商部门注册的有效“企业法人营业执照”或“营业执照”；</w:t>
      </w:r>
    </w:p>
    <w:p w14:paraId="3651EE6D">
      <w:pPr>
        <w:adjustRightInd w:val="0"/>
        <w:snapToGrid w:val="0"/>
        <w:spacing w:line="288" w:lineRule="auto"/>
        <w:rPr>
          <w:sz w:val="21"/>
          <w:szCs w:val="21"/>
          <w:highlight w:val="none"/>
        </w:rPr>
      </w:pPr>
      <w:r>
        <w:rPr>
          <w:rFonts w:hint="eastAsia"/>
          <w:sz w:val="21"/>
          <w:szCs w:val="21"/>
          <w:highlight w:val="none"/>
        </w:rPr>
        <w:t>2.如供应商是事业单位，提供有效的“事业单位法人证书”；</w:t>
      </w:r>
    </w:p>
    <w:p w14:paraId="00348931">
      <w:pPr>
        <w:adjustRightInd w:val="0"/>
        <w:snapToGrid w:val="0"/>
        <w:spacing w:line="288" w:lineRule="auto"/>
        <w:rPr>
          <w:sz w:val="21"/>
          <w:szCs w:val="21"/>
          <w:highlight w:val="none"/>
        </w:rPr>
      </w:pPr>
      <w:r>
        <w:rPr>
          <w:rFonts w:hint="eastAsia"/>
          <w:sz w:val="21"/>
          <w:szCs w:val="21"/>
          <w:highlight w:val="none"/>
        </w:rPr>
        <w:t>3.如供应商是非企业专业服务机构的，提供执业许可证等证明文件；</w:t>
      </w:r>
    </w:p>
    <w:p w14:paraId="7A7FDC1D">
      <w:pPr>
        <w:adjustRightInd w:val="0"/>
        <w:snapToGrid w:val="0"/>
        <w:spacing w:line="288" w:lineRule="auto"/>
        <w:rPr>
          <w:sz w:val="21"/>
          <w:szCs w:val="21"/>
          <w:highlight w:val="none"/>
        </w:rPr>
      </w:pPr>
      <w:r>
        <w:rPr>
          <w:rFonts w:hint="eastAsia"/>
          <w:sz w:val="21"/>
          <w:szCs w:val="21"/>
          <w:highlight w:val="none"/>
        </w:rPr>
        <w:t>4.如供应商是个体工商户，提供有效的“个体工商户营业执照”；</w:t>
      </w:r>
    </w:p>
    <w:p w14:paraId="162C3109">
      <w:pPr>
        <w:adjustRightInd w:val="0"/>
        <w:snapToGrid w:val="0"/>
        <w:spacing w:line="288" w:lineRule="auto"/>
        <w:rPr>
          <w:sz w:val="21"/>
          <w:szCs w:val="21"/>
          <w:highlight w:val="none"/>
        </w:rPr>
      </w:pPr>
      <w:r>
        <w:rPr>
          <w:rFonts w:hint="eastAsia"/>
          <w:sz w:val="21"/>
          <w:szCs w:val="21"/>
          <w:highlight w:val="none"/>
        </w:rPr>
        <w:t>5.如供应商是自然人，提供有效的自然人身份证明。</w:t>
      </w:r>
    </w:p>
    <w:p w14:paraId="3861E8BB">
      <w:pPr>
        <w:adjustRightInd w:val="0"/>
        <w:snapToGrid w:val="0"/>
        <w:spacing w:line="288" w:lineRule="auto"/>
        <w:rPr>
          <w:sz w:val="21"/>
          <w:szCs w:val="21"/>
          <w:highlight w:val="none"/>
        </w:rPr>
      </w:pPr>
      <w:r>
        <w:rPr>
          <w:rFonts w:hint="eastAsia"/>
          <w:sz w:val="21"/>
          <w:szCs w:val="21"/>
          <w:highlight w:val="none"/>
        </w:rPr>
        <w:br w:type="page"/>
      </w:r>
    </w:p>
    <w:p w14:paraId="1F2A2C32">
      <w:pPr>
        <w:adjustRightInd w:val="0"/>
        <w:snapToGrid w:val="0"/>
        <w:spacing w:line="288" w:lineRule="auto"/>
        <w:jc w:val="center"/>
        <w:outlineLvl w:val="2"/>
        <w:rPr>
          <w:rFonts w:cs="Times New Roman"/>
          <w:b/>
          <w:bCs/>
          <w:sz w:val="21"/>
          <w:szCs w:val="21"/>
          <w:highlight w:val="none"/>
          <w:shd w:val="clear" w:color="auto" w:fill="FFFFFF"/>
        </w:rPr>
      </w:pPr>
      <w:r>
        <w:rPr>
          <w:rFonts w:hint="eastAsia" w:cs="Times New Roman"/>
          <w:b/>
          <w:spacing w:val="-6"/>
          <w:sz w:val="21"/>
          <w:szCs w:val="21"/>
          <w:highlight w:val="none"/>
        </w:rPr>
        <w:t>（2）</w:t>
      </w:r>
      <w:r>
        <w:rPr>
          <w:rFonts w:hint="eastAsia" w:cs="Times New Roman"/>
          <w:b/>
          <w:bCs/>
          <w:sz w:val="21"/>
          <w:szCs w:val="21"/>
          <w:highlight w:val="none"/>
        </w:rPr>
        <w:t>符合参加政府采购活动应当具备的一般条件的承诺函</w:t>
      </w:r>
    </w:p>
    <w:p w14:paraId="2FEE40F9">
      <w:pPr>
        <w:adjustRightInd w:val="0"/>
        <w:snapToGrid w:val="0"/>
        <w:spacing w:line="288" w:lineRule="auto"/>
        <w:rPr>
          <w:rFonts w:cs="Times New Roman"/>
          <w:sz w:val="21"/>
          <w:szCs w:val="21"/>
          <w:highlight w:val="none"/>
          <w:shd w:val="clear" w:color="auto" w:fill="FFFFFF"/>
        </w:rPr>
      </w:pPr>
    </w:p>
    <w:p w14:paraId="623F5CE2">
      <w:pPr>
        <w:adjustRightInd w:val="0"/>
        <w:snapToGrid w:val="0"/>
        <w:spacing w:line="288" w:lineRule="auto"/>
        <w:rPr>
          <w:rFonts w:cs="Times New Roman"/>
          <w:b/>
          <w:bCs/>
          <w:spacing w:val="-6"/>
          <w:sz w:val="21"/>
          <w:szCs w:val="21"/>
          <w:highlight w:val="none"/>
        </w:rPr>
      </w:pPr>
      <w:r>
        <w:rPr>
          <w:rFonts w:hint="eastAsia" w:cs="Times New Roman"/>
          <w:b/>
          <w:bCs/>
          <w:spacing w:val="-6"/>
          <w:sz w:val="21"/>
          <w:szCs w:val="21"/>
          <w:highlight w:val="none"/>
        </w:rPr>
        <w:t>致：浙江交通职业技术学院、浙江求是招标代理有限公司</w:t>
      </w:r>
    </w:p>
    <w:p w14:paraId="33DB2E6E">
      <w:pPr>
        <w:adjustRightInd w:val="0"/>
        <w:snapToGrid w:val="0"/>
        <w:spacing w:line="288" w:lineRule="auto"/>
        <w:rPr>
          <w:rFonts w:cs="Times New Roman"/>
          <w:spacing w:val="-6"/>
          <w:sz w:val="21"/>
          <w:szCs w:val="21"/>
          <w:highlight w:val="none"/>
        </w:rPr>
      </w:pPr>
    </w:p>
    <w:p w14:paraId="7A91141D">
      <w:pPr>
        <w:adjustRightInd w:val="0"/>
        <w:snapToGrid w:val="0"/>
        <w:spacing w:line="288" w:lineRule="auto"/>
        <w:ind w:firstLine="396" w:firstLineChars="200"/>
        <w:rPr>
          <w:rFonts w:cs="Times New Roman"/>
          <w:spacing w:val="-6"/>
          <w:sz w:val="21"/>
          <w:szCs w:val="21"/>
          <w:highlight w:val="none"/>
        </w:rPr>
      </w:pPr>
      <w:bookmarkStart w:id="52" w:name="_Hlk97040025"/>
      <w:r>
        <w:rPr>
          <w:rFonts w:hint="eastAsia" w:cs="Times New Roman"/>
          <w:spacing w:val="-6"/>
          <w:sz w:val="21"/>
          <w:szCs w:val="21"/>
          <w:highlight w:val="none"/>
        </w:rPr>
        <w:t>我方</w:t>
      </w:r>
      <w:r>
        <w:rPr>
          <w:rFonts w:hint="eastAsia" w:cs="Times New Roman"/>
          <w:spacing w:val="-6"/>
          <w:sz w:val="21"/>
          <w:szCs w:val="21"/>
          <w:highlight w:val="none"/>
          <w:u w:val="single"/>
        </w:rPr>
        <w:t xml:space="preserve">（供应商名称） </w:t>
      </w:r>
      <w:r>
        <w:rPr>
          <w:rFonts w:cs="Times New Roman"/>
          <w:spacing w:val="-6"/>
          <w:sz w:val="21"/>
          <w:szCs w:val="21"/>
          <w:highlight w:val="none"/>
          <w:u w:val="single"/>
        </w:rPr>
        <w:t xml:space="preserve">     </w:t>
      </w:r>
      <w:r>
        <w:rPr>
          <w:rFonts w:hint="eastAsia" w:cs="Times New Roman"/>
          <w:spacing w:val="-6"/>
          <w:sz w:val="21"/>
          <w:szCs w:val="21"/>
          <w:highlight w:val="none"/>
          <w:u w:val="single"/>
        </w:rPr>
        <w:t xml:space="preserve"> </w:t>
      </w:r>
      <w:r>
        <w:rPr>
          <w:rFonts w:cs="Times New Roman"/>
          <w:spacing w:val="-6"/>
          <w:sz w:val="21"/>
          <w:szCs w:val="21"/>
          <w:highlight w:val="none"/>
          <w:u w:val="single"/>
        </w:rPr>
        <w:t xml:space="preserve"> </w:t>
      </w:r>
      <w:r>
        <w:rPr>
          <w:rFonts w:hint="eastAsia" w:cs="Times New Roman"/>
          <w:spacing w:val="-6"/>
          <w:sz w:val="21"/>
          <w:szCs w:val="21"/>
          <w:highlight w:val="none"/>
        </w:rPr>
        <w:t>参加</w:t>
      </w:r>
      <w:r>
        <w:rPr>
          <w:rFonts w:hint="eastAsia" w:cs="Times New Roman"/>
          <w:spacing w:val="-6"/>
          <w:sz w:val="21"/>
          <w:szCs w:val="21"/>
          <w:highlight w:val="none"/>
          <w:u w:val="single"/>
        </w:rPr>
        <w:t xml:space="preserve">（项目名称） </w:t>
      </w:r>
      <w:r>
        <w:rPr>
          <w:rFonts w:cs="Times New Roman"/>
          <w:spacing w:val="-6"/>
          <w:sz w:val="21"/>
          <w:szCs w:val="21"/>
          <w:highlight w:val="none"/>
          <w:u w:val="single"/>
        </w:rPr>
        <w:t xml:space="preserve">      </w:t>
      </w:r>
      <w:r>
        <w:rPr>
          <w:rFonts w:hint="eastAsia" w:cs="Times New Roman"/>
          <w:spacing w:val="-6"/>
          <w:sz w:val="21"/>
          <w:szCs w:val="21"/>
          <w:highlight w:val="none"/>
          <w:u w:val="single"/>
        </w:rPr>
        <w:t xml:space="preserve"> </w:t>
      </w:r>
      <w:r>
        <w:rPr>
          <w:rFonts w:hint="eastAsia" w:cs="Times New Roman"/>
          <w:spacing w:val="-6"/>
          <w:sz w:val="21"/>
          <w:szCs w:val="21"/>
          <w:highlight w:val="none"/>
        </w:rPr>
        <w:t>项目的采购活动并承诺如下：</w:t>
      </w:r>
    </w:p>
    <w:p w14:paraId="2ABD9ACA">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一、我方满足《中华人民共和国政府采购法》第二十二条规定：</w:t>
      </w:r>
    </w:p>
    <w:p w14:paraId="46E813C5">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（一）具有独立承担民事责任的能力；</w:t>
      </w:r>
    </w:p>
    <w:p w14:paraId="504B44FB">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（二）具有良好的商业信誉和健全的财务会计制度；</w:t>
      </w:r>
    </w:p>
    <w:p w14:paraId="72A237E8">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（三）具有履行合同所必需的设备和专业技术能力；</w:t>
      </w:r>
    </w:p>
    <w:p w14:paraId="5447C09B">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（四）有依法缴纳税收和社会保障资金的良好记录；</w:t>
      </w:r>
    </w:p>
    <w:p w14:paraId="5FB4E7ED">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（五）参加本项目政府采购活动前三年内，在经营活动中</w:t>
      </w:r>
      <w:r>
        <w:rPr>
          <w:rFonts w:hint="eastAsia" w:cs="Times New Roman"/>
          <w:b/>
          <w:spacing w:val="-6"/>
          <w:sz w:val="21"/>
          <w:szCs w:val="21"/>
          <w:highlight w:val="none"/>
          <w:u w:val="single"/>
        </w:rPr>
        <w:t xml:space="preserve">  没有  </w:t>
      </w:r>
      <w:r>
        <w:rPr>
          <w:rFonts w:hint="eastAsia" w:cs="Times New Roman"/>
          <w:spacing w:val="-6"/>
          <w:sz w:val="21"/>
          <w:szCs w:val="21"/>
          <w:highlight w:val="none"/>
        </w:rPr>
        <w:t>重大违法记录。（重大违法记录是指供应商因违法经营受到刑事处罚或者责令停产停业、吊销许可证或者执照、较大数额罚款等行政处罚）</w:t>
      </w:r>
    </w:p>
    <w:p w14:paraId="3A326556">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（六）法律、行政法规规定的其他条件。</w:t>
      </w:r>
    </w:p>
    <w:p w14:paraId="3A665FD8">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二、未被信用中国（</w:t>
      </w:r>
      <w:r>
        <w:rPr>
          <w:rFonts w:cs="Times New Roman"/>
          <w:spacing w:val="-6"/>
          <w:sz w:val="21"/>
          <w:szCs w:val="21"/>
          <w:highlight w:val="none"/>
        </w:rPr>
        <w:t>www.creditchina.gov.cn)、中国政府采购网（www.ccgp.gov.cn）列入失信被执行人、重大税收违法案件当事人名单、政府采购严重违法失信行为记录名单。</w:t>
      </w:r>
    </w:p>
    <w:p w14:paraId="0477C5E0">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三、不存在以下情况：</w:t>
      </w:r>
    </w:p>
    <w:p w14:paraId="01EEE524">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1、</w:t>
      </w:r>
      <w:r>
        <w:rPr>
          <w:rFonts w:cs="Times New Roman"/>
          <w:spacing w:val="-6"/>
          <w:sz w:val="21"/>
          <w:szCs w:val="21"/>
          <w:highlight w:val="none"/>
        </w:rPr>
        <w:t>单位负责人为同一人或者存在直接控股、管理关系的不同供应商参加同一合同项下的政府采购活动的；</w:t>
      </w:r>
    </w:p>
    <w:p w14:paraId="44D9437C">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2、</w:t>
      </w:r>
      <w:r>
        <w:rPr>
          <w:rFonts w:cs="Times New Roman"/>
          <w:spacing w:val="-6"/>
          <w:sz w:val="21"/>
          <w:szCs w:val="21"/>
          <w:highlight w:val="none"/>
        </w:rPr>
        <w:t>为采购项目提供整体设计、规范编制或者项目管理、监理、检测等服务后再参加该采购项目的其他采购活动的。</w:t>
      </w:r>
    </w:p>
    <w:p w14:paraId="5DFEC8BC">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四、</w:t>
      </w:r>
      <w:r>
        <w:rPr>
          <w:rFonts w:cs="Times New Roman"/>
          <w:spacing w:val="-6"/>
          <w:sz w:val="21"/>
          <w:szCs w:val="21"/>
          <w:highlight w:val="none"/>
        </w:rPr>
        <w:t>以上事项如有虚假或隐瞒，我方愿意承担一切后果和责任。</w:t>
      </w:r>
    </w:p>
    <w:p w14:paraId="1267B93A">
      <w:pPr>
        <w:adjustRightInd w:val="0"/>
        <w:snapToGrid w:val="0"/>
        <w:spacing w:line="288" w:lineRule="auto"/>
        <w:rPr>
          <w:rFonts w:cs="Times New Roman"/>
          <w:sz w:val="21"/>
          <w:szCs w:val="21"/>
          <w:highlight w:val="none"/>
        </w:rPr>
      </w:pPr>
    </w:p>
    <w:p w14:paraId="3039B33F">
      <w:pPr>
        <w:adjustRightInd w:val="0"/>
        <w:snapToGrid w:val="0"/>
        <w:spacing w:line="288" w:lineRule="auto"/>
        <w:rPr>
          <w:rFonts w:cs="Times New Roman"/>
          <w:b/>
          <w:bCs/>
          <w:spacing w:val="-6"/>
          <w:sz w:val="21"/>
          <w:szCs w:val="21"/>
          <w:highlight w:val="none"/>
        </w:rPr>
      </w:pPr>
      <w:r>
        <w:rPr>
          <w:rFonts w:hint="eastAsia" w:cs="Times New Roman"/>
          <w:b/>
          <w:bCs/>
          <w:spacing w:val="-6"/>
          <w:sz w:val="21"/>
          <w:szCs w:val="21"/>
          <w:highlight w:val="none"/>
        </w:rPr>
        <w:t>供应商名称（</w:t>
      </w:r>
      <w:r>
        <w:rPr>
          <w:rFonts w:cs="Times New Roman"/>
          <w:b/>
          <w:bCs/>
          <w:spacing w:val="-6"/>
          <w:sz w:val="21"/>
          <w:szCs w:val="21"/>
          <w:highlight w:val="none"/>
        </w:rPr>
        <w:t>电子签名/公章</w:t>
      </w:r>
      <w:r>
        <w:rPr>
          <w:rFonts w:hint="eastAsia" w:cs="Times New Roman"/>
          <w:b/>
          <w:bCs/>
          <w:spacing w:val="-6"/>
          <w:sz w:val="21"/>
          <w:szCs w:val="21"/>
          <w:highlight w:val="none"/>
        </w:rPr>
        <w:t>）：</w:t>
      </w:r>
    </w:p>
    <w:p w14:paraId="309E552C">
      <w:pPr>
        <w:adjustRightInd w:val="0"/>
        <w:snapToGrid w:val="0"/>
        <w:spacing w:line="288" w:lineRule="auto"/>
        <w:rPr>
          <w:rFonts w:cs="Times New Roman"/>
          <w:b/>
          <w:bCs/>
          <w:spacing w:val="-6"/>
          <w:sz w:val="21"/>
          <w:szCs w:val="21"/>
          <w:highlight w:val="none"/>
        </w:rPr>
      </w:pPr>
      <w:r>
        <w:rPr>
          <w:rFonts w:hint="eastAsia" w:cs="Times New Roman"/>
          <w:b/>
          <w:bCs/>
          <w:spacing w:val="-6"/>
          <w:sz w:val="21"/>
          <w:szCs w:val="21"/>
          <w:highlight w:val="none"/>
        </w:rPr>
        <w:t>日期：     年   月   日</w:t>
      </w:r>
    </w:p>
    <w:bookmarkEnd w:id="52"/>
    <w:p w14:paraId="4536584B">
      <w:pPr>
        <w:widowControl/>
        <w:adjustRightInd w:val="0"/>
        <w:snapToGrid w:val="0"/>
        <w:spacing w:line="288" w:lineRule="auto"/>
        <w:jc w:val="left"/>
        <w:rPr>
          <w:sz w:val="21"/>
          <w:szCs w:val="21"/>
          <w:highlight w:val="none"/>
        </w:rPr>
      </w:pPr>
      <w:r>
        <w:rPr>
          <w:sz w:val="21"/>
          <w:szCs w:val="21"/>
          <w:highlight w:val="none"/>
        </w:rPr>
        <w:br w:type="page"/>
      </w:r>
    </w:p>
    <w:p w14:paraId="50E610E2">
      <w:pPr>
        <w:adjustRightInd w:val="0"/>
        <w:snapToGrid w:val="0"/>
        <w:spacing w:line="288" w:lineRule="auto"/>
        <w:jc w:val="left"/>
        <w:outlineLvl w:val="2"/>
        <w:rPr>
          <w:b/>
          <w:spacing w:val="-6"/>
          <w:sz w:val="21"/>
          <w:szCs w:val="21"/>
          <w:highlight w:val="none"/>
        </w:rPr>
      </w:pPr>
      <w:r>
        <w:rPr>
          <w:rFonts w:hint="eastAsia"/>
          <w:b/>
          <w:spacing w:val="-6"/>
          <w:sz w:val="21"/>
          <w:szCs w:val="21"/>
          <w:highlight w:val="none"/>
        </w:rPr>
        <w:t>（</w:t>
      </w:r>
      <w:r>
        <w:rPr>
          <w:b/>
          <w:spacing w:val="-6"/>
          <w:sz w:val="21"/>
          <w:szCs w:val="21"/>
          <w:highlight w:val="none"/>
        </w:rPr>
        <w:t>3）落实政府采购政策需满足的资格要求</w:t>
      </w:r>
    </w:p>
    <w:p w14:paraId="25228D90">
      <w:pPr>
        <w:adjustRightInd w:val="0"/>
        <w:snapToGrid w:val="0"/>
        <w:spacing w:line="288" w:lineRule="auto"/>
        <w:ind w:firstLine="498" w:firstLineChars="236"/>
        <w:jc w:val="center"/>
        <w:outlineLvl w:val="2"/>
        <w:rPr>
          <w:b/>
          <w:bCs/>
          <w:sz w:val="21"/>
          <w:szCs w:val="21"/>
          <w:highlight w:val="none"/>
        </w:rPr>
      </w:pPr>
      <w:r>
        <w:rPr>
          <w:rFonts w:hint="eastAsia"/>
          <w:b/>
          <w:bCs/>
          <w:sz w:val="21"/>
          <w:szCs w:val="21"/>
          <w:highlight w:val="none"/>
        </w:rPr>
        <w:t>1）</w:t>
      </w:r>
      <w:r>
        <w:rPr>
          <w:b/>
          <w:bCs/>
          <w:sz w:val="21"/>
          <w:szCs w:val="21"/>
          <w:highlight w:val="none"/>
        </w:rPr>
        <w:t>中小企业声明函（工程、服务）</w:t>
      </w:r>
      <w:r>
        <w:rPr>
          <w:rFonts w:hint="eastAsia"/>
          <w:b/>
          <w:bCs/>
          <w:sz w:val="21"/>
          <w:szCs w:val="21"/>
          <w:highlight w:val="none"/>
        </w:rPr>
        <w:t>（若属于中小企业）</w:t>
      </w:r>
    </w:p>
    <w:p w14:paraId="399D9086">
      <w:pPr>
        <w:adjustRightInd w:val="0"/>
        <w:snapToGrid w:val="0"/>
        <w:spacing w:line="288" w:lineRule="auto"/>
        <w:ind w:firstLine="498" w:firstLineChars="236"/>
        <w:rPr>
          <w:b/>
          <w:sz w:val="21"/>
          <w:szCs w:val="21"/>
          <w:highlight w:val="none"/>
        </w:rPr>
      </w:pPr>
    </w:p>
    <w:p w14:paraId="6CBE3BE5">
      <w:pPr>
        <w:adjustRightInd w:val="0"/>
        <w:snapToGrid w:val="0"/>
        <w:spacing w:line="288" w:lineRule="auto"/>
        <w:ind w:firstLine="495" w:firstLineChars="236"/>
        <w:rPr>
          <w:sz w:val="21"/>
          <w:szCs w:val="21"/>
          <w:highlight w:val="none"/>
        </w:rPr>
      </w:pPr>
      <w:r>
        <w:rPr>
          <w:sz w:val="21"/>
          <w:szCs w:val="21"/>
          <w:highlight w:val="none"/>
        </w:rPr>
        <w:t>本公司（联合体）郑重声明，根据《政府采购促进中小企业发展管理办法》（财库</w:t>
      </w:r>
      <w:r>
        <w:rPr>
          <w:rFonts w:hint="eastAsia"/>
          <w:sz w:val="21"/>
          <w:szCs w:val="21"/>
          <w:highlight w:val="none"/>
        </w:rPr>
        <w:t>﹝</w:t>
      </w:r>
      <w:r>
        <w:rPr>
          <w:sz w:val="21"/>
          <w:szCs w:val="21"/>
          <w:highlight w:val="none"/>
        </w:rPr>
        <w:t>2020</w:t>
      </w:r>
      <w:r>
        <w:rPr>
          <w:rFonts w:hint="eastAsia"/>
          <w:sz w:val="21"/>
          <w:szCs w:val="21"/>
          <w:highlight w:val="none"/>
        </w:rPr>
        <w:t>﹞</w:t>
      </w:r>
      <w:r>
        <w:rPr>
          <w:sz w:val="21"/>
          <w:szCs w:val="21"/>
          <w:highlight w:val="none"/>
        </w:rPr>
        <w:t>46 号）的规定，本公司（联合体）参加</w:t>
      </w:r>
      <w:r>
        <w:rPr>
          <w:rFonts w:hint="eastAsia"/>
          <w:sz w:val="21"/>
          <w:szCs w:val="21"/>
          <w:highlight w:val="none"/>
          <w:u w:val="single"/>
        </w:rPr>
        <w:t xml:space="preserve"> </w:t>
      </w:r>
      <w:r>
        <w:rPr>
          <w:sz w:val="21"/>
          <w:szCs w:val="21"/>
          <w:highlight w:val="none"/>
          <w:u w:val="single"/>
        </w:rPr>
        <w:t xml:space="preserve">      </w:t>
      </w:r>
      <w:r>
        <w:rPr>
          <w:i/>
          <w:sz w:val="21"/>
          <w:szCs w:val="21"/>
          <w:highlight w:val="none"/>
          <w:u w:val="single"/>
        </w:rPr>
        <w:t>（单位名称）</w:t>
      </w:r>
      <w:r>
        <w:rPr>
          <w:sz w:val="21"/>
          <w:szCs w:val="21"/>
          <w:highlight w:val="none"/>
        </w:rPr>
        <w:t>的</w:t>
      </w:r>
      <w:r>
        <w:rPr>
          <w:rFonts w:hint="eastAsia"/>
          <w:sz w:val="21"/>
          <w:szCs w:val="21"/>
          <w:highlight w:val="none"/>
          <w:u w:val="single"/>
        </w:rPr>
        <w:t xml:space="preserve"> </w:t>
      </w:r>
      <w:r>
        <w:rPr>
          <w:sz w:val="21"/>
          <w:szCs w:val="21"/>
          <w:highlight w:val="none"/>
          <w:u w:val="single"/>
        </w:rPr>
        <w:t xml:space="preserve">      </w:t>
      </w:r>
      <w:r>
        <w:rPr>
          <w:i/>
          <w:sz w:val="21"/>
          <w:szCs w:val="21"/>
          <w:highlight w:val="none"/>
          <w:u w:val="single"/>
        </w:rPr>
        <w:t>（项目名称）</w:t>
      </w:r>
      <w:r>
        <w:rPr>
          <w:sz w:val="21"/>
          <w:szCs w:val="21"/>
          <w:highlight w:val="none"/>
        </w:rPr>
        <w:t>采购活动，工程的施工单位全部为符合政策要求的中小企业。相关企业（含联合体中的中小企业、签订分包意向协议的中小企业）的具体情况如下：</w:t>
      </w:r>
    </w:p>
    <w:p w14:paraId="590CAA83">
      <w:pPr>
        <w:adjustRightInd w:val="0"/>
        <w:snapToGrid w:val="0"/>
        <w:spacing w:line="288" w:lineRule="auto"/>
        <w:ind w:firstLine="495" w:firstLineChars="236"/>
        <w:rPr>
          <w:i/>
          <w:sz w:val="21"/>
          <w:szCs w:val="21"/>
          <w:highlight w:val="none"/>
          <w:u w:val="single"/>
        </w:rPr>
      </w:pPr>
      <w:r>
        <w:rPr>
          <w:rFonts w:hint="eastAsia"/>
          <w:i/>
          <w:sz w:val="21"/>
          <w:szCs w:val="21"/>
          <w:highlight w:val="none"/>
          <w:u w:val="single"/>
        </w:rPr>
        <w:t>1</w:t>
      </w:r>
      <w:r>
        <w:rPr>
          <w:i/>
          <w:sz w:val="21"/>
          <w:szCs w:val="21"/>
          <w:highlight w:val="none"/>
          <w:u w:val="single"/>
        </w:rPr>
        <w:t>.</w:t>
      </w:r>
      <w:r>
        <w:rPr>
          <w:rFonts w:hint="eastAsia"/>
          <w:sz w:val="21"/>
          <w:szCs w:val="21"/>
          <w:highlight w:val="none"/>
          <w:u w:val="single"/>
        </w:rPr>
        <w:t xml:space="preserve"> </w:t>
      </w:r>
      <w:r>
        <w:rPr>
          <w:sz w:val="21"/>
          <w:szCs w:val="21"/>
          <w:highlight w:val="none"/>
          <w:u w:val="single"/>
        </w:rPr>
        <w:t xml:space="preserve">      </w:t>
      </w:r>
      <w:r>
        <w:rPr>
          <w:i/>
          <w:sz w:val="21"/>
          <w:szCs w:val="21"/>
          <w:highlight w:val="none"/>
          <w:u w:val="single"/>
        </w:rPr>
        <w:t>（标的名称），属于</w:t>
      </w:r>
      <w:r>
        <w:rPr>
          <w:rFonts w:hint="eastAsia"/>
          <w:sz w:val="21"/>
          <w:szCs w:val="21"/>
          <w:highlight w:val="none"/>
          <w:u w:val="single"/>
        </w:rPr>
        <w:t xml:space="preserve"> </w:t>
      </w:r>
      <w:r>
        <w:rPr>
          <w:sz w:val="21"/>
          <w:szCs w:val="21"/>
          <w:highlight w:val="none"/>
          <w:u w:val="single"/>
        </w:rPr>
        <w:t xml:space="preserve">      </w:t>
      </w:r>
      <w:r>
        <w:rPr>
          <w:i/>
          <w:sz w:val="21"/>
          <w:szCs w:val="21"/>
          <w:highlight w:val="none"/>
          <w:u w:val="single"/>
        </w:rPr>
        <w:t>（采购文件中明确的所属行业）；</w:t>
      </w:r>
      <w:r>
        <w:rPr>
          <w:sz w:val="21"/>
          <w:szCs w:val="21"/>
          <w:highlight w:val="none"/>
        </w:rPr>
        <w:t>承建（承接）企业为</w:t>
      </w:r>
      <w:r>
        <w:rPr>
          <w:i/>
          <w:sz w:val="21"/>
          <w:szCs w:val="21"/>
          <w:highlight w:val="none"/>
          <w:u w:val="single"/>
        </w:rPr>
        <w:t>（企业名称）</w:t>
      </w:r>
      <w:r>
        <w:rPr>
          <w:sz w:val="21"/>
          <w:szCs w:val="21"/>
          <w:highlight w:val="none"/>
        </w:rPr>
        <w:t>，从业人员</w:t>
      </w:r>
      <w:r>
        <w:rPr>
          <w:sz w:val="21"/>
          <w:szCs w:val="21"/>
          <w:highlight w:val="none"/>
          <w:u w:val="single"/>
        </w:rPr>
        <w:t xml:space="preserve"> </w:t>
      </w:r>
      <w:r>
        <w:rPr>
          <w:sz w:val="21"/>
          <w:szCs w:val="21"/>
          <w:highlight w:val="none"/>
          <w:u w:val="single"/>
        </w:rPr>
        <w:tab/>
      </w:r>
      <w:r>
        <w:rPr>
          <w:sz w:val="21"/>
          <w:szCs w:val="21"/>
          <w:highlight w:val="none"/>
        </w:rPr>
        <w:t>人，营业收入为</w:t>
      </w:r>
      <w:r>
        <w:rPr>
          <w:sz w:val="21"/>
          <w:szCs w:val="21"/>
          <w:highlight w:val="none"/>
          <w:u w:val="single"/>
        </w:rPr>
        <w:t xml:space="preserve"> </w:t>
      </w:r>
      <w:r>
        <w:rPr>
          <w:sz w:val="21"/>
          <w:szCs w:val="21"/>
          <w:highlight w:val="none"/>
          <w:u w:val="single"/>
        </w:rPr>
        <w:tab/>
      </w:r>
      <w:r>
        <w:rPr>
          <w:sz w:val="21"/>
          <w:szCs w:val="21"/>
          <w:highlight w:val="none"/>
        </w:rPr>
        <w:t>万元，资产总额为</w:t>
      </w:r>
      <w:r>
        <w:rPr>
          <w:sz w:val="21"/>
          <w:szCs w:val="21"/>
          <w:highlight w:val="none"/>
          <w:u w:val="single"/>
        </w:rPr>
        <w:t xml:space="preserve"> </w:t>
      </w:r>
      <w:r>
        <w:rPr>
          <w:sz w:val="21"/>
          <w:szCs w:val="21"/>
          <w:highlight w:val="none"/>
          <w:u w:val="single"/>
        </w:rPr>
        <w:tab/>
      </w:r>
      <w:r>
        <w:rPr>
          <w:sz w:val="21"/>
          <w:szCs w:val="21"/>
          <w:highlight w:val="none"/>
        </w:rPr>
        <w:t>万元，属于</w:t>
      </w:r>
      <w:r>
        <w:rPr>
          <w:i/>
          <w:sz w:val="21"/>
          <w:szCs w:val="21"/>
          <w:highlight w:val="none"/>
          <w:u w:val="single"/>
        </w:rPr>
        <w:t>（中型企业、小型企业、微型企业）</w:t>
      </w:r>
      <w:r>
        <w:rPr>
          <w:sz w:val="21"/>
          <w:szCs w:val="21"/>
          <w:highlight w:val="none"/>
        </w:rPr>
        <w:t>；</w:t>
      </w:r>
    </w:p>
    <w:p w14:paraId="55F65A33">
      <w:pPr>
        <w:adjustRightInd w:val="0"/>
        <w:snapToGrid w:val="0"/>
        <w:spacing w:line="288" w:lineRule="auto"/>
        <w:ind w:firstLine="495" w:firstLineChars="236"/>
        <w:rPr>
          <w:sz w:val="21"/>
          <w:szCs w:val="21"/>
          <w:highlight w:val="none"/>
        </w:rPr>
      </w:pPr>
      <w:r>
        <w:rPr>
          <w:rFonts w:hint="eastAsia"/>
          <w:i/>
          <w:sz w:val="21"/>
          <w:szCs w:val="21"/>
          <w:highlight w:val="none"/>
          <w:u w:val="single"/>
        </w:rPr>
        <w:t>2</w:t>
      </w:r>
      <w:r>
        <w:rPr>
          <w:i/>
          <w:sz w:val="21"/>
          <w:szCs w:val="21"/>
          <w:highlight w:val="none"/>
          <w:u w:val="single"/>
        </w:rPr>
        <w:t>.</w:t>
      </w:r>
      <w:r>
        <w:rPr>
          <w:rFonts w:hint="eastAsia"/>
          <w:sz w:val="21"/>
          <w:szCs w:val="21"/>
          <w:highlight w:val="none"/>
          <w:u w:val="single"/>
        </w:rPr>
        <w:t xml:space="preserve"> </w:t>
      </w:r>
      <w:r>
        <w:rPr>
          <w:sz w:val="21"/>
          <w:szCs w:val="21"/>
          <w:highlight w:val="none"/>
          <w:u w:val="single"/>
        </w:rPr>
        <w:t xml:space="preserve">      </w:t>
      </w:r>
      <w:r>
        <w:rPr>
          <w:i/>
          <w:sz w:val="21"/>
          <w:szCs w:val="21"/>
          <w:highlight w:val="none"/>
          <w:u w:val="single"/>
        </w:rPr>
        <w:t>（标的名称）</w:t>
      </w:r>
      <w:r>
        <w:rPr>
          <w:sz w:val="21"/>
          <w:szCs w:val="21"/>
          <w:highlight w:val="none"/>
        </w:rPr>
        <w:t>，属于</w:t>
      </w:r>
      <w:r>
        <w:rPr>
          <w:rFonts w:hint="eastAsia"/>
          <w:sz w:val="21"/>
          <w:szCs w:val="21"/>
          <w:highlight w:val="none"/>
          <w:u w:val="single"/>
        </w:rPr>
        <w:t xml:space="preserve"> </w:t>
      </w:r>
      <w:r>
        <w:rPr>
          <w:sz w:val="21"/>
          <w:szCs w:val="21"/>
          <w:highlight w:val="none"/>
          <w:u w:val="single"/>
        </w:rPr>
        <w:t xml:space="preserve">      </w:t>
      </w:r>
      <w:r>
        <w:rPr>
          <w:i/>
          <w:sz w:val="21"/>
          <w:szCs w:val="21"/>
          <w:highlight w:val="none"/>
          <w:u w:val="single"/>
        </w:rPr>
        <w:t>（采购文件中明确的所属行业）</w:t>
      </w:r>
      <w:r>
        <w:rPr>
          <w:sz w:val="21"/>
          <w:szCs w:val="21"/>
          <w:highlight w:val="none"/>
        </w:rPr>
        <w:t>；承建（承接）企业为</w:t>
      </w:r>
      <w:r>
        <w:rPr>
          <w:i/>
          <w:sz w:val="21"/>
          <w:szCs w:val="21"/>
          <w:highlight w:val="none"/>
          <w:u w:val="single"/>
        </w:rPr>
        <w:t>（企业名称）</w:t>
      </w:r>
      <w:r>
        <w:rPr>
          <w:sz w:val="21"/>
          <w:szCs w:val="21"/>
          <w:highlight w:val="none"/>
        </w:rPr>
        <w:t>，从业人员</w:t>
      </w:r>
      <w:r>
        <w:rPr>
          <w:sz w:val="21"/>
          <w:szCs w:val="21"/>
          <w:highlight w:val="none"/>
          <w:u w:val="single"/>
        </w:rPr>
        <w:t xml:space="preserve"> </w:t>
      </w:r>
      <w:r>
        <w:rPr>
          <w:sz w:val="21"/>
          <w:szCs w:val="21"/>
          <w:highlight w:val="none"/>
          <w:u w:val="single"/>
        </w:rPr>
        <w:tab/>
      </w:r>
      <w:r>
        <w:rPr>
          <w:sz w:val="21"/>
          <w:szCs w:val="21"/>
          <w:highlight w:val="none"/>
        </w:rPr>
        <w:t>人，营业收入为</w:t>
      </w:r>
      <w:r>
        <w:rPr>
          <w:sz w:val="21"/>
          <w:szCs w:val="21"/>
          <w:highlight w:val="none"/>
          <w:u w:val="single"/>
        </w:rPr>
        <w:t xml:space="preserve"> </w:t>
      </w:r>
      <w:r>
        <w:rPr>
          <w:sz w:val="21"/>
          <w:szCs w:val="21"/>
          <w:highlight w:val="none"/>
          <w:u w:val="single"/>
        </w:rPr>
        <w:tab/>
      </w:r>
      <w:r>
        <w:rPr>
          <w:sz w:val="21"/>
          <w:szCs w:val="21"/>
          <w:highlight w:val="none"/>
        </w:rPr>
        <w:t>万元，资产总额为</w:t>
      </w:r>
      <w:r>
        <w:rPr>
          <w:sz w:val="21"/>
          <w:szCs w:val="21"/>
          <w:highlight w:val="none"/>
          <w:u w:val="single"/>
        </w:rPr>
        <w:t xml:space="preserve"> </w:t>
      </w:r>
      <w:r>
        <w:rPr>
          <w:sz w:val="21"/>
          <w:szCs w:val="21"/>
          <w:highlight w:val="none"/>
          <w:u w:val="single"/>
        </w:rPr>
        <w:tab/>
      </w:r>
      <w:r>
        <w:rPr>
          <w:sz w:val="21"/>
          <w:szCs w:val="21"/>
          <w:highlight w:val="none"/>
        </w:rPr>
        <w:t>万元，属于</w:t>
      </w:r>
      <w:r>
        <w:rPr>
          <w:i/>
          <w:sz w:val="21"/>
          <w:szCs w:val="21"/>
          <w:highlight w:val="none"/>
          <w:u w:val="single"/>
        </w:rPr>
        <w:t>（中型企业、小型企业、微型企业）</w:t>
      </w:r>
      <w:r>
        <w:rPr>
          <w:sz w:val="21"/>
          <w:szCs w:val="21"/>
          <w:highlight w:val="none"/>
        </w:rPr>
        <w:t>；</w:t>
      </w:r>
    </w:p>
    <w:p w14:paraId="66EF44F8">
      <w:pPr>
        <w:adjustRightInd w:val="0"/>
        <w:snapToGrid w:val="0"/>
        <w:spacing w:line="288" w:lineRule="auto"/>
        <w:ind w:firstLine="495" w:firstLineChars="236"/>
        <w:rPr>
          <w:sz w:val="21"/>
          <w:szCs w:val="21"/>
          <w:highlight w:val="none"/>
        </w:rPr>
      </w:pPr>
      <w:r>
        <w:rPr>
          <w:sz w:val="21"/>
          <w:szCs w:val="21"/>
          <w:highlight w:val="none"/>
        </w:rPr>
        <w:t>……</w:t>
      </w:r>
    </w:p>
    <w:p w14:paraId="0435D442">
      <w:pPr>
        <w:adjustRightInd w:val="0"/>
        <w:snapToGrid w:val="0"/>
        <w:spacing w:line="288" w:lineRule="auto"/>
        <w:ind w:firstLine="495" w:firstLineChars="236"/>
        <w:rPr>
          <w:sz w:val="21"/>
          <w:szCs w:val="21"/>
          <w:highlight w:val="none"/>
        </w:rPr>
      </w:pPr>
      <w:r>
        <w:rPr>
          <w:sz w:val="21"/>
          <w:szCs w:val="21"/>
          <w:highlight w:val="none"/>
        </w:rPr>
        <w:t>以上企业，不属于大企业的分支机构，不存在控股股东为大企业的情形，也不存在与大企业的负责人为同一人的情形。</w:t>
      </w:r>
    </w:p>
    <w:p w14:paraId="201CAC9D">
      <w:pPr>
        <w:adjustRightInd w:val="0"/>
        <w:snapToGrid w:val="0"/>
        <w:spacing w:line="288" w:lineRule="auto"/>
        <w:ind w:firstLine="495" w:firstLineChars="236"/>
        <w:rPr>
          <w:sz w:val="21"/>
          <w:szCs w:val="21"/>
          <w:highlight w:val="none"/>
        </w:rPr>
      </w:pPr>
      <w:r>
        <w:rPr>
          <w:sz w:val="21"/>
          <w:szCs w:val="21"/>
          <w:highlight w:val="none"/>
        </w:rPr>
        <w:t>本企业对上述声明内容的真实性负责。如有虚假，将依法承担相应责任。</w:t>
      </w:r>
    </w:p>
    <w:p w14:paraId="0716C533">
      <w:pPr>
        <w:adjustRightInd w:val="0"/>
        <w:snapToGrid w:val="0"/>
        <w:spacing w:line="288" w:lineRule="auto"/>
        <w:ind w:firstLine="495" w:firstLineChars="236"/>
        <w:rPr>
          <w:sz w:val="21"/>
          <w:szCs w:val="21"/>
          <w:highlight w:val="none"/>
        </w:rPr>
      </w:pPr>
      <w:r>
        <w:rPr>
          <w:sz w:val="21"/>
          <w:szCs w:val="21"/>
          <w:highlight w:val="none"/>
        </w:rPr>
        <w:t>企业名称（盖章）：</w:t>
      </w:r>
    </w:p>
    <w:p w14:paraId="0F97F7EB">
      <w:pPr>
        <w:adjustRightInd w:val="0"/>
        <w:snapToGrid w:val="0"/>
        <w:spacing w:line="288" w:lineRule="auto"/>
        <w:ind w:firstLine="495" w:firstLineChars="236"/>
        <w:rPr>
          <w:sz w:val="21"/>
          <w:szCs w:val="21"/>
          <w:highlight w:val="none"/>
        </w:rPr>
      </w:pPr>
      <w:r>
        <w:rPr>
          <w:sz w:val="21"/>
          <w:szCs w:val="21"/>
          <w:highlight w:val="none"/>
        </w:rPr>
        <w:t>日期：</w:t>
      </w:r>
    </w:p>
    <w:p w14:paraId="540EA34C">
      <w:pPr>
        <w:adjustRightInd w:val="0"/>
        <w:snapToGrid w:val="0"/>
        <w:spacing w:line="288" w:lineRule="auto"/>
        <w:ind w:firstLine="495" w:firstLineChars="236"/>
        <w:rPr>
          <w:sz w:val="21"/>
          <w:szCs w:val="21"/>
          <w:highlight w:val="none"/>
        </w:rPr>
      </w:pPr>
    </w:p>
    <w:p w14:paraId="509B8BE6">
      <w:pPr>
        <w:adjustRightInd w:val="0"/>
        <w:snapToGrid w:val="0"/>
        <w:spacing w:line="288" w:lineRule="auto"/>
        <w:ind w:firstLine="495" w:firstLineChars="236"/>
        <w:rPr>
          <w:sz w:val="21"/>
          <w:szCs w:val="21"/>
          <w:highlight w:val="none"/>
        </w:rPr>
      </w:pPr>
      <w:r>
        <w:rPr>
          <w:rFonts w:hint="eastAsia"/>
          <w:sz w:val="21"/>
          <w:szCs w:val="21"/>
          <w:highlight w:val="none"/>
        </w:rPr>
        <w:t>注：</w:t>
      </w:r>
    </w:p>
    <w:p w14:paraId="7A52E8F8">
      <w:pPr>
        <w:adjustRightInd w:val="0"/>
        <w:snapToGrid w:val="0"/>
        <w:spacing w:line="288" w:lineRule="auto"/>
        <w:ind w:firstLine="495" w:firstLineChars="236"/>
        <w:rPr>
          <w:rFonts w:cs="Times New Roman"/>
          <w:sz w:val="21"/>
          <w:szCs w:val="21"/>
          <w:highlight w:val="none"/>
        </w:rPr>
      </w:pPr>
      <w:r>
        <w:rPr>
          <w:rFonts w:cs="Times New Roman"/>
          <w:sz w:val="21"/>
          <w:szCs w:val="21"/>
          <w:highlight w:val="none"/>
        </w:rPr>
        <w:t>1.</w:t>
      </w:r>
      <w:r>
        <w:rPr>
          <w:rFonts w:hint="eastAsia" w:cs="Times New Roman"/>
          <w:sz w:val="21"/>
          <w:szCs w:val="21"/>
          <w:highlight w:val="none"/>
        </w:rPr>
        <w:t>从业人员、营业收入、资产总额填报上一年度数据，无上一年度数据的新成立企业可不填报。</w:t>
      </w:r>
    </w:p>
    <w:p w14:paraId="59C059F1">
      <w:pPr>
        <w:adjustRightInd w:val="0"/>
        <w:snapToGrid w:val="0"/>
        <w:spacing w:line="288" w:lineRule="auto"/>
        <w:ind w:firstLine="495" w:firstLineChars="236"/>
        <w:rPr>
          <w:rFonts w:cs="Times New Roman"/>
          <w:sz w:val="21"/>
          <w:szCs w:val="21"/>
          <w:highlight w:val="none"/>
        </w:rPr>
      </w:pPr>
      <w:r>
        <w:rPr>
          <w:rFonts w:cs="Times New Roman"/>
          <w:sz w:val="21"/>
          <w:szCs w:val="21"/>
          <w:highlight w:val="none"/>
        </w:rPr>
        <w:t>2.</w:t>
      </w:r>
      <w:r>
        <w:rPr>
          <w:rFonts w:hint="eastAsia" w:cs="Times New Roman"/>
          <w:sz w:val="21"/>
          <w:szCs w:val="21"/>
          <w:highlight w:val="none"/>
        </w:rPr>
        <w:t>中小企业参加政府采购活动，应当出具财库〔2020〕46号文件规定的《中小企业声明函》，否则不得享受相关中小企业扶持政策。</w:t>
      </w:r>
    </w:p>
    <w:p w14:paraId="43476976">
      <w:pPr>
        <w:adjustRightInd w:val="0"/>
        <w:snapToGrid w:val="0"/>
        <w:spacing w:line="288" w:lineRule="auto"/>
        <w:ind w:firstLine="495" w:firstLineChars="236"/>
        <w:rPr>
          <w:rFonts w:cs="Times New Roman"/>
          <w:sz w:val="21"/>
          <w:szCs w:val="21"/>
          <w:highlight w:val="none"/>
        </w:rPr>
      </w:pPr>
      <w:r>
        <w:rPr>
          <w:rFonts w:cs="Times New Roman"/>
          <w:sz w:val="21"/>
          <w:szCs w:val="21"/>
          <w:highlight w:val="none"/>
        </w:rPr>
        <w:t>3</w:t>
      </w:r>
      <w:r>
        <w:rPr>
          <w:rFonts w:hint="eastAsia" w:cs="Times New Roman"/>
          <w:sz w:val="21"/>
          <w:szCs w:val="21"/>
          <w:highlight w:val="none"/>
        </w:rPr>
        <w:t>.本项目仅以《中小企业声明函》作为评判供应商是否属于中小企业的唯一依据。</w:t>
      </w:r>
    </w:p>
    <w:p w14:paraId="25A5B7D3">
      <w:pPr>
        <w:adjustRightInd w:val="0"/>
        <w:snapToGrid w:val="0"/>
        <w:spacing w:line="288" w:lineRule="auto"/>
        <w:ind w:firstLine="495" w:firstLineChars="236"/>
        <w:rPr>
          <w:rFonts w:cs="Times New Roman"/>
          <w:sz w:val="21"/>
          <w:szCs w:val="21"/>
          <w:highlight w:val="none"/>
        </w:rPr>
      </w:pPr>
      <w:r>
        <w:rPr>
          <w:rFonts w:cs="Times New Roman"/>
          <w:sz w:val="21"/>
          <w:szCs w:val="21"/>
          <w:highlight w:val="none"/>
        </w:rPr>
        <w:t>4</w:t>
      </w:r>
      <w:r>
        <w:rPr>
          <w:rFonts w:hint="eastAsia" w:cs="Times New Roman"/>
          <w:sz w:val="21"/>
          <w:szCs w:val="21"/>
          <w:highlight w:val="none"/>
        </w:rPr>
        <w:t>.供应商提供《中小企业声明函》内容不实的，属于提供虚假材料谋取中标、成交，依照《中华人民共和国政府采购法》等国家有关规定追究相应责任。</w:t>
      </w:r>
    </w:p>
    <w:p w14:paraId="6189D8F7">
      <w:pPr>
        <w:adjustRightInd w:val="0"/>
        <w:snapToGrid w:val="0"/>
        <w:spacing w:line="288" w:lineRule="auto"/>
        <w:ind w:firstLine="495" w:firstLineChars="236"/>
        <w:rPr>
          <w:rFonts w:cstheme="minorBidi"/>
          <w:sz w:val="21"/>
          <w:szCs w:val="22"/>
          <w:highlight w:val="none"/>
          <w:u w:val="single"/>
        </w:rPr>
      </w:pPr>
      <w:r>
        <w:rPr>
          <w:rFonts w:cs="Times New Roman"/>
          <w:sz w:val="21"/>
          <w:szCs w:val="21"/>
          <w:highlight w:val="none"/>
          <w:u w:val="single"/>
        </w:rPr>
        <w:t>5.</w:t>
      </w:r>
      <w:r>
        <w:rPr>
          <w:rFonts w:hint="eastAsia" w:cs="Times New Roman"/>
          <w:sz w:val="21"/>
          <w:szCs w:val="21"/>
          <w:highlight w:val="none"/>
          <w:u w:val="single"/>
        </w:rPr>
        <w:t>《中小企业声明函》填写不全（从业人员、营业收入、资产总额在中小企业划型标准规定中不涉及的除外），或未按照《中小企业声明函》要求填写的，视为未提供《中小企业声明函》，</w:t>
      </w:r>
      <w:r>
        <w:rPr>
          <w:rFonts w:hint="eastAsia" w:cstheme="minorBidi"/>
          <w:sz w:val="21"/>
          <w:szCs w:val="22"/>
          <w:highlight w:val="none"/>
          <w:u w:val="single"/>
        </w:rPr>
        <w:t>不享受中小企业扶持政策。</w:t>
      </w:r>
    </w:p>
    <w:p w14:paraId="0055683B">
      <w:pPr>
        <w:adjustRightInd w:val="0"/>
        <w:snapToGrid w:val="0"/>
        <w:spacing w:line="288" w:lineRule="auto"/>
        <w:ind w:firstLine="495" w:firstLineChars="236"/>
        <w:rPr>
          <w:rFonts w:cs="Times New Roman"/>
          <w:sz w:val="21"/>
          <w:szCs w:val="21"/>
          <w:highlight w:val="none"/>
          <w:u w:val="single"/>
        </w:rPr>
      </w:pPr>
      <w:r>
        <w:rPr>
          <w:rFonts w:hint="eastAsia" w:cs="Times New Roman"/>
          <w:sz w:val="21"/>
          <w:szCs w:val="21"/>
          <w:highlight w:val="none"/>
          <w:u w:val="single"/>
        </w:rPr>
        <w:t>6</w:t>
      </w:r>
      <w:r>
        <w:rPr>
          <w:rFonts w:cs="Times New Roman"/>
          <w:sz w:val="21"/>
          <w:szCs w:val="21"/>
          <w:highlight w:val="none"/>
          <w:u w:val="single"/>
        </w:rPr>
        <w:t>.如项目包含“多件”标的物的，需按标的物项数逐项填写。</w:t>
      </w:r>
    </w:p>
    <w:p w14:paraId="678C5382">
      <w:pPr>
        <w:adjustRightInd w:val="0"/>
        <w:snapToGrid w:val="0"/>
        <w:spacing w:line="288" w:lineRule="auto"/>
        <w:ind w:firstLine="495" w:firstLineChars="236"/>
        <w:rPr>
          <w:sz w:val="21"/>
          <w:szCs w:val="21"/>
          <w:highlight w:val="none"/>
        </w:rPr>
      </w:pPr>
      <w:r>
        <w:rPr>
          <w:rFonts w:hint="eastAsia"/>
          <w:sz w:val="21"/>
          <w:szCs w:val="21"/>
          <w:highlight w:val="none"/>
        </w:rPr>
        <w:br w:type="page"/>
      </w:r>
    </w:p>
    <w:p w14:paraId="0D6C8549">
      <w:pPr>
        <w:adjustRightInd w:val="0"/>
        <w:snapToGrid w:val="0"/>
        <w:spacing w:line="288" w:lineRule="auto"/>
        <w:jc w:val="center"/>
        <w:outlineLvl w:val="2"/>
        <w:rPr>
          <w:kern w:val="0"/>
          <w:sz w:val="21"/>
          <w:szCs w:val="21"/>
          <w:highlight w:val="none"/>
        </w:rPr>
      </w:pPr>
      <w:r>
        <w:rPr>
          <w:rFonts w:hint="eastAsia"/>
          <w:b/>
          <w:spacing w:val="-6"/>
          <w:sz w:val="21"/>
          <w:szCs w:val="21"/>
          <w:highlight w:val="none"/>
        </w:rPr>
        <w:t>2）属于监狱企业的证明文件（若属于监狱企业）</w:t>
      </w:r>
    </w:p>
    <w:p w14:paraId="17420854">
      <w:pPr>
        <w:adjustRightInd w:val="0"/>
        <w:snapToGrid w:val="0"/>
        <w:spacing w:line="288" w:lineRule="auto"/>
        <w:rPr>
          <w:kern w:val="0"/>
          <w:sz w:val="21"/>
          <w:szCs w:val="21"/>
          <w:highlight w:val="none"/>
        </w:rPr>
      </w:pPr>
    </w:p>
    <w:p w14:paraId="5B464AF1">
      <w:pPr>
        <w:adjustRightInd w:val="0"/>
        <w:snapToGrid w:val="0"/>
        <w:spacing w:line="288" w:lineRule="auto"/>
        <w:ind w:firstLine="373" w:firstLineChars="177"/>
        <w:rPr>
          <w:b/>
          <w:bCs/>
          <w:sz w:val="21"/>
          <w:szCs w:val="21"/>
          <w:highlight w:val="none"/>
        </w:rPr>
      </w:pPr>
      <w:r>
        <w:rPr>
          <w:rFonts w:hint="eastAsia"/>
          <w:b/>
          <w:bCs/>
          <w:kern w:val="0"/>
          <w:sz w:val="21"/>
          <w:szCs w:val="21"/>
          <w:highlight w:val="none"/>
        </w:rPr>
        <w:t>监狱企业参加政府采购活动时，应当提供由省级以上监狱管理局、戒毒管理局（含新疆生产建设兵团）出具的属于监狱企业的证明文件。</w:t>
      </w:r>
    </w:p>
    <w:p w14:paraId="32B5E3E2">
      <w:pPr>
        <w:adjustRightInd w:val="0"/>
        <w:snapToGrid w:val="0"/>
        <w:spacing w:line="288" w:lineRule="auto"/>
        <w:rPr>
          <w:sz w:val="21"/>
          <w:szCs w:val="21"/>
          <w:highlight w:val="none"/>
        </w:rPr>
      </w:pPr>
    </w:p>
    <w:p w14:paraId="06F410E6">
      <w:pPr>
        <w:adjustRightInd w:val="0"/>
        <w:snapToGrid w:val="0"/>
        <w:spacing w:line="288" w:lineRule="auto"/>
        <w:rPr>
          <w:b/>
          <w:bCs/>
          <w:sz w:val="21"/>
          <w:szCs w:val="21"/>
          <w:highlight w:val="none"/>
        </w:rPr>
      </w:pPr>
      <w:r>
        <w:rPr>
          <w:rFonts w:hint="eastAsia"/>
          <w:b/>
          <w:bCs/>
          <w:sz w:val="21"/>
          <w:szCs w:val="21"/>
          <w:highlight w:val="none"/>
        </w:rPr>
        <w:t>说明：</w:t>
      </w:r>
    </w:p>
    <w:p w14:paraId="5C38F915">
      <w:pPr>
        <w:widowControl/>
        <w:shd w:val="clear" w:color="auto" w:fill="FFFFFF"/>
        <w:adjustRightInd w:val="0"/>
        <w:snapToGrid w:val="0"/>
        <w:spacing w:line="288" w:lineRule="auto"/>
        <w:ind w:firstLine="371" w:firstLineChars="177"/>
        <w:jc w:val="left"/>
        <w:rPr>
          <w:kern w:val="0"/>
          <w:sz w:val="21"/>
          <w:szCs w:val="21"/>
          <w:highlight w:val="none"/>
        </w:rPr>
      </w:pPr>
      <w:r>
        <w:rPr>
          <w:rFonts w:hint="eastAsia"/>
          <w:kern w:val="0"/>
          <w:sz w:val="21"/>
          <w:szCs w:val="21"/>
          <w:highlight w:val="none"/>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10B876F2">
      <w:pPr>
        <w:widowControl/>
        <w:shd w:val="clear" w:color="auto" w:fill="FFFFFF"/>
        <w:adjustRightInd w:val="0"/>
        <w:snapToGrid w:val="0"/>
        <w:spacing w:line="288" w:lineRule="auto"/>
        <w:ind w:firstLine="371" w:firstLineChars="177"/>
        <w:jc w:val="left"/>
        <w:rPr>
          <w:kern w:val="0"/>
          <w:sz w:val="21"/>
          <w:szCs w:val="21"/>
          <w:highlight w:val="none"/>
        </w:rPr>
      </w:pPr>
      <w:r>
        <w:rPr>
          <w:rFonts w:hint="eastAsia"/>
          <w:kern w:val="0"/>
          <w:sz w:val="21"/>
          <w:szCs w:val="21"/>
          <w:highlight w:val="none"/>
        </w:rPr>
        <w:t>二、在政府采购活动中，监狱企业视同小型、微型企业，享受预留份额、评审中价格扣除等政府采购促进中小企业发展的政府采购政策。</w:t>
      </w:r>
    </w:p>
    <w:p w14:paraId="0FB7CD00">
      <w:pPr>
        <w:widowControl/>
        <w:adjustRightInd w:val="0"/>
        <w:snapToGrid w:val="0"/>
        <w:spacing w:line="288" w:lineRule="auto"/>
        <w:jc w:val="left"/>
        <w:rPr>
          <w:b/>
          <w:spacing w:val="-6"/>
          <w:sz w:val="21"/>
          <w:szCs w:val="21"/>
          <w:highlight w:val="none"/>
        </w:rPr>
      </w:pPr>
      <w:r>
        <w:rPr>
          <w:b/>
          <w:spacing w:val="-6"/>
          <w:sz w:val="21"/>
          <w:szCs w:val="21"/>
          <w:highlight w:val="none"/>
        </w:rPr>
        <w:br w:type="page"/>
      </w:r>
    </w:p>
    <w:p w14:paraId="19403D7D">
      <w:pPr>
        <w:adjustRightInd w:val="0"/>
        <w:snapToGrid w:val="0"/>
        <w:spacing w:line="288" w:lineRule="auto"/>
        <w:jc w:val="center"/>
        <w:outlineLvl w:val="2"/>
        <w:rPr>
          <w:b/>
          <w:spacing w:val="-6"/>
          <w:sz w:val="21"/>
          <w:szCs w:val="21"/>
          <w:highlight w:val="none"/>
        </w:rPr>
      </w:pPr>
      <w:r>
        <w:rPr>
          <w:rFonts w:hint="eastAsia"/>
          <w:b/>
          <w:spacing w:val="-6"/>
          <w:sz w:val="21"/>
          <w:szCs w:val="21"/>
          <w:highlight w:val="none"/>
        </w:rPr>
        <w:t>3）残疾人福利性单位声明函（若属于残疾人福利性单位）</w:t>
      </w:r>
    </w:p>
    <w:p w14:paraId="508398A2">
      <w:pPr>
        <w:adjustRightInd w:val="0"/>
        <w:snapToGrid w:val="0"/>
        <w:spacing w:line="288" w:lineRule="auto"/>
        <w:rPr>
          <w:rFonts w:cs="Times New Roman"/>
          <w:b/>
          <w:spacing w:val="6"/>
          <w:sz w:val="21"/>
          <w:szCs w:val="21"/>
          <w:highlight w:val="none"/>
        </w:rPr>
      </w:pPr>
    </w:p>
    <w:p w14:paraId="63836FD7">
      <w:pPr>
        <w:adjustRightInd w:val="0"/>
        <w:snapToGrid w:val="0"/>
        <w:spacing w:line="288" w:lineRule="auto"/>
        <w:ind w:firstLine="444" w:firstLineChars="200"/>
        <w:rPr>
          <w:rFonts w:cs="Times New Roman"/>
          <w:spacing w:val="6"/>
          <w:sz w:val="21"/>
          <w:szCs w:val="21"/>
          <w:highlight w:val="none"/>
        </w:rPr>
      </w:pPr>
      <w:r>
        <w:rPr>
          <w:rFonts w:hint="eastAsia" w:cs="Times New Roman"/>
          <w:spacing w:val="6"/>
          <w:sz w:val="21"/>
          <w:szCs w:val="21"/>
          <w:highlight w:val="none"/>
        </w:rPr>
        <w:t>本单位郑重声明，根据《财政部 民政部 中国残疾人联合会关于促进残疾人就业政府采购政策的通知》（财库</w:t>
      </w:r>
      <w:r>
        <w:rPr>
          <w:rFonts w:hint="eastAsia" w:cs="Times New Roman"/>
          <w:sz w:val="21"/>
          <w:szCs w:val="21"/>
          <w:highlight w:val="none"/>
        </w:rPr>
        <w:t>〔2017〕 141</w:t>
      </w:r>
      <w:r>
        <w:rPr>
          <w:rFonts w:hint="eastAsia" w:cs="Times New Roman"/>
          <w:spacing w:val="6"/>
          <w:sz w:val="21"/>
          <w:szCs w:val="21"/>
          <w:highlight w:val="none"/>
        </w:rPr>
        <w:t>号）的规定，</w:t>
      </w:r>
      <w:r>
        <w:rPr>
          <w:rFonts w:hint="eastAsia" w:cs="Times New Roman"/>
          <w:b/>
          <w:bCs/>
          <w:spacing w:val="6"/>
          <w:sz w:val="21"/>
          <w:szCs w:val="21"/>
          <w:highlight w:val="none"/>
        </w:rPr>
        <w:t>本单位为符合条件的残疾人福利性单位</w:t>
      </w:r>
      <w:r>
        <w:rPr>
          <w:rFonts w:hint="eastAsia" w:cs="Times New Roman"/>
          <w:spacing w:val="6"/>
          <w:sz w:val="21"/>
          <w:szCs w:val="21"/>
          <w:highlight w:val="none"/>
        </w:rPr>
        <w:t>，且本单位参加______（采购人）单位的______（项目名称）项目采购活动由本单位承担工程。</w:t>
      </w:r>
    </w:p>
    <w:p w14:paraId="44668803">
      <w:pPr>
        <w:adjustRightInd w:val="0"/>
        <w:snapToGrid w:val="0"/>
        <w:spacing w:line="288" w:lineRule="auto"/>
        <w:ind w:firstLine="444" w:firstLineChars="200"/>
        <w:rPr>
          <w:rFonts w:cs="Times New Roman"/>
          <w:spacing w:val="6"/>
          <w:sz w:val="21"/>
          <w:szCs w:val="21"/>
          <w:highlight w:val="none"/>
        </w:rPr>
      </w:pPr>
      <w:r>
        <w:rPr>
          <w:rFonts w:hint="eastAsia" w:cs="Times New Roman"/>
          <w:spacing w:val="6"/>
          <w:sz w:val="21"/>
          <w:szCs w:val="21"/>
          <w:highlight w:val="none"/>
        </w:rPr>
        <w:t>本单位对上述声明的真实性负责。如有虚假，将依法承担相应责任。</w:t>
      </w:r>
    </w:p>
    <w:p w14:paraId="2C7CAD10">
      <w:pPr>
        <w:tabs>
          <w:tab w:val="left" w:pos="4860"/>
        </w:tabs>
        <w:adjustRightInd w:val="0"/>
        <w:snapToGrid w:val="0"/>
        <w:spacing w:line="288" w:lineRule="auto"/>
        <w:ind w:right="1560" w:firstLine="444" w:firstLineChars="200"/>
        <w:rPr>
          <w:rFonts w:cs="Times New Roman"/>
          <w:spacing w:val="6"/>
          <w:sz w:val="21"/>
          <w:szCs w:val="21"/>
          <w:highlight w:val="none"/>
        </w:rPr>
      </w:pPr>
      <w:r>
        <w:rPr>
          <w:rFonts w:hint="eastAsia" w:cs="Times New Roman"/>
          <w:spacing w:val="6"/>
          <w:sz w:val="21"/>
          <w:szCs w:val="21"/>
          <w:highlight w:val="none"/>
        </w:rPr>
        <w:t>单位名称（盖章）：</w:t>
      </w:r>
    </w:p>
    <w:p w14:paraId="46080DB6">
      <w:pPr>
        <w:tabs>
          <w:tab w:val="left" w:pos="4860"/>
        </w:tabs>
        <w:adjustRightInd w:val="0"/>
        <w:snapToGrid w:val="0"/>
        <w:spacing w:line="288" w:lineRule="auto"/>
        <w:ind w:right="1560" w:firstLine="444" w:firstLineChars="200"/>
        <w:rPr>
          <w:rFonts w:cs="Times New Roman"/>
          <w:spacing w:val="6"/>
          <w:sz w:val="21"/>
          <w:szCs w:val="21"/>
          <w:highlight w:val="none"/>
        </w:rPr>
      </w:pPr>
      <w:r>
        <w:rPr>
          <w:rFonts w:hint="eastAsia" w:cs="Times New Roman"/>
          <w:spacing w:val="6"/>
          <w:sz w:val="21"/>
          <w:szCs w:val="21"/>
          <w:highlight w:val="none"/>
        </w:rPr>
        <w:t>日  期：</w:t>
      </w:r>
    </w:p>
    <w:p w14:paraId="3E02E339">
      <w:pPr>
        <w:adjustRightInd w:val="0"/>
        <w:snapToGrid w:val="0"/>
        <w:spacing w:line="288" w:lineRule="auto"/>
        <w:rPr>
          <w:sz w:val="21"/>
          <w:szCs w:val="21"/>
          <w:highlight w:val="none"/>
        </w:rPr>
      </w:pPr>
    </w:p>
    <w:p w14:paraId="0FD3CEF6">
      <w:pPr>
        <w:adjustRightInd w:val="0"/>
        <w:snapToGrid w:val="0"/>
        <w:spacing w:line="288" w:lineRule="auto"/>
        <w:rPr>
          <w:b/>
          <w:bCs/>
          <w:sz w:val="21"/>
          <w:szCs w:val="21"/>
          <w:highlight w:val="none"/>
        </w:rPr>
      </w:pPr>
      <w:r>
        <w:rPr>
          <w:rFonts w:hint="eastAsia"/>
          <w:b/>
          <w:bCs/>
          <w:sz w:val="21"/>
          <w:szCs w:val="21"/>
          <w:highlight w:val="none"/>
        </w:rPr>
        <w:t>说明：</w:t>
      </w:r>
    </w:p>
    <w:p w14:paraId="4BB77142">
      <w:pPr>
        <w:widowControl/>
        <w:shd w:val="clear" w:color="auto" w:fill="FFFFFF"/>
        <w:adjustRightInd w:val="0"/>
        <w:snapToGrid w:val="0"/>
        <w:spacing w:line="288" w:lineRule="auto"/>
        <w:ind w:firstLine="371" w:firstLineChars="177"/>
        <w:jc w:val="left"/>
        <w:rPr>
          <w:kern w:val="0"/>
          <w:sz w:val="21"/>
          <w:szCs w:val="21"/>
          <w:highlight w:val="none"/>
        </w:rPr>
      </w:pPr>
      <w:r>
        <w:rPr>
          <w:rFonts w:hint="eastAsia"/>
          <w:kern w:val="0"/>
          <w:sz w:val="21"/>
          <w:szCs w:val="21"/>
          <w:highlight w:val="none"/>
        </w:rPr>
        <w:t>一、享受政府采购支持政策的残疾人福利性单位应当同时满足以下条件：</w:t>
      </w:r>
    </w:p>
    <w:p w14:paraId="5780CC2A">
      <w:pPr>
        <w:widowControl/>
        <w:shd w:val="clear" w:color="auto" w:fill="FFFFFF"/>
        <w:adjustRightInd w:val="0"/>
        <w:snapToGrid w:val="0"/>
        <w:spacing w:line="288" w:lineRule="auto"/>
        <w:ind w:firstLine="371" w:firstLineChars="177"/>
        <w:jc w:val="left"/>
        <w:rPr>
          <w:kern w:val="0"/>
          <w:sz w:val="21"/>
          <w:szCs w:val="21"/>
          <w:highlight w:val="none"/>
        </w:rPr>
      </w:pPr>
      <w:r>
        <w:rPr>
          <w:rFonts w:hint="eastAsia"/>
          <w:kern w:val="0"/>
          <w:sz w:val="21"/>
          <w:szCs w:val="21"/>
          <w:highlight w:val="none"/>
        </w:rPr>
        <w:t>（一）安置的残疾人占本单位在职职工人数的比例不低于25%（含25%），并且安置的残疾人人数不少于10人（含10人）；</w:t>
      </w:r>
    </w:p>
    <w:p w14:paraId="03254346">
      <w:pPr>
        <w:widowControl/>
        <w:shd w:val="clear" w:color="auto" w:fill="FFFFFF"/>
        <w:adjustRightInd w:val="0"/>
        <w:snapToGrid w:val="0"/>
        <w:spacing w:line="288" w:lineRule="auto"/>
        <w:ind w:firstLine="371" w:firstLineChars="177"/>
        <w:jc w:val="left"/>
        <w:rPr>
          <w:kern w:val="0"/>
          <w:sz w:val="21"/>
          <w:szCs w:val="21"/>
          <w:highlight w:val="none"/>
        </w:rPr>
      </w:pPr>
      <w:r>
        <w:rPr>
          <w:rFonts w:hint="eastAsia"/>
          <w:kern w:val="0"/>
          <w:sz w:val="21"/>
          <w:szCs w:val="21"/>
          <w:highlight w:val="none"/>
        </w:rPr>
        <w:t>（二）依法与安置的每位残疾人签订了一年以上（含一年）的劳动合同或服务协议；</w:t>
      </w:r>
    </w:p>
    <w:p w14:paraId="47928A01">
      <w:pPr>
        <w:widowControl/>
        <w:shd w:val="clear" w:color="auto" w:fill="FFFFFF"/>
        <w:adjustRightInd w:val="0"/>
        <w:snapToGrid w:val="0"/>
        <w:spacing w:line="288" w:lineRule="auto"/>
        <w:ind w:firstLine="371" w:firstLineChars="177"/>
        <w:jc w:val="left"/>
        <w:rPr>
          <w:kern w:val="0"/>
          <w:sz w:val="21"/>
          <w:szCs w:val="21"/>
          <w:highlight w:val="none"/>
        </w:rPr>
      </w:pPr>
      <w:r>
        <w:rPr>
          <w:rFonts w:hint="eastAsia"/>
          <w:kern w:val="0"/>
          <w:sz w:val="21"/>
          <w:szCs w:val="21"/>
          <w:highlight w:val="none"/>
        </w:rPr>
        <w:t>（三）为安置的每位残疾人按月足额缴纳了基本养老保险、基本医疗保险、失业保险、工伤保险和生育保险等社会保险费；</w:t>
      </w:r>
    </w:p>
    <w:p w14:paraId="5BC51D55">
      <w:pPr>
        <w:widowControl/>
        <w:shd w:val="clear" w:color="auto" w:fill="FFFFFF"/>
        <w:adjustRightInd w:val="0"/>
        <w:snapToGrid w:val="0"/>
        <w:spacing w:line="288" w:lineRule="auto"/>
        <w:ind w:firstLine="371" w:firstLineChars="177"/>
        <w:jc w:val="left"/>
        <w:rPr>
          <w:kern w:val="0"/>
          <w:sz w:val="21"/>
          <w:szCs w:val="21"/>
          <w:highlight w:val="none"/>
        </w:rPr>
      </w:pPr>
      <w:r>
        <w:rPr>
          <w:rFonts w:hint="eastAsia"/>
          <w:kern w:val="0"/>
          <w:sz w:val="21"/>
          <w:szCs w:val="21"/>
          <w:highlight w:val="none"/>
        </w:rPr>
        <w:t>（四）通过银行等金融机构向安置的每位残疾人，按月支付了不低于单位所在区县适用的经省级人民政府批准的月最低工资标准的工资；</w:t>
      </w:r>
    </w:p>
    <w:p w14:paraId="340335F9">
      <w:pPr>
        <w:widowControl/>
        <w:shd w:val="clear" w:color="auto" w:fill="FFFFFF"/>
        <w:adjustRightInd w:val="0"/>
        <w:snapToGrid w:val="0"/>
        <w:spacing w:line="288" w:lineRule="auto"/>
        <w:ind w:firstLine="371" w:firstLineChars="177"/>
        <w:jc w:val="left"/>
        <w:rPr>
          <w:kern w:val="0"/>
          <w:sz w:val="21"/>
          <w:szCs w:val="21"/>
          <w:highlight w:val="none"/>
        </w:rPr>
      </w:pPr>
      <w:r>
        <w:rPr>
          <w:rFonts w:hint="eastAsia"/>
          <w:kern w:val="0"/>
          <w:sz w:val="21"/>
          <w:szCs w:val="21"/>
          <w:highlight w:val="none"/>
        </w:rPr>
        <w:t>（五）提供本单位制造的货物、承担的工程或者服务（以下简称产品），或者提供其他残疾人福利性单位制造的货物（不包括使用非残疾人福利性单位注册商标的货物）。</w:t>
      </w:r>
    </w:p>
    <w:p w14:paraId="7A3A611A">
      <w:pPr>
        <w:widowControl/>
        <w:shd w:val="clear" w:color="auto" w:fill="FFFFFF"/>
        <w:adjustRightInd w:val="0"/>
        <w:snapToGrid w:val="0"/>
        <w:spacing w:line="288" w:lineRule="auto"/>
        <w:ind w:firstLine="371" w:firstLineChars="177"/>
        <w:jc w:val="left"/>
        <w:rPr>
          <w:kern w:val="0"/>
          <w:sz w:val="21"/>
          <w:szCs w:val="21"/>
          <w:highlight w:val="none"/>
        </w:rPr>
      </w:pPr>
      <w:r>
        <w:rPr>
          <w:rFonts w:hint="eastAsia"/>
          <w:kern w:val="0"/>
          <w:sz w:val="21"/>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2CAC25DF">
      <w:pPr>
        <w:widowControl/>
        <w:shd w:val="clear" w:color="auto" w:fill="FFFFFF"/>
        <w:adjustRightInd w:val="0"/>
        <w:snapToGrid w:val="0"/>
        <w:spacing w:line="288" w:lineRule="auto"/>
        <w:ind w:firstLine="371" w:firstLineChars="177"/>
        <w:jc w:val="left"/>
        <w:rPr>
          <w:kern w:val="0"/>
          <w:sz w:val="21"/>
          <w:szCs w:val="21"/>
          <w:highlight w:val="none"/>
        </w:rPr>
      </w:pPr>
      <w:r>
        <w:rPr>
          <w:rFonts w:hint="eastAsia"/>
          <w:kern w:val="0"/>
          <w:sz w:val="21"/>
          <w:szCs w:val="21"/>
          <w:highlight w:val="none"/>
        </w:rPr>
        <w:t>二、符合条件的残疾人福利性单位在参加政府采购活动时，应当提供财库</w:t>
      </w:r>
      <w:r>
        <w:rPr>
          <w:kern w:val="0"/>
          <w:sz w:val="21"/>
          <w:szCs w:val="21"/>
          <w:highlight w:val="none"/>
        </w:rPr>
        <w:t>[2017]141号</w:t>
      </w:r>
      <w:r>
        <w:rPr>
          <w:rFonts w:hint="eastAsia"/>
          <w:kern w:val="0"/>
          <w:sz w:val="21"/>
          <w:szCs w:val="21"/>
          <w:highlight w:val="none"/>
        </w:rPr>
        <w:t>文件规定的《残疾人福利性单位声明函》，并对声明的真实性负责。</w:t>
      </w:r>
    </w:p>
    <w:p w14:paraId="6335A690">
      <w:pPr>
        <w:widowControl/>
        <w:shd w:val="clear" w:color="auto" w:fill="FFFFFF"/>
        <w:adjustRightInd w:val="0"/>
        <w:snapToGrid w:val="0"/>
        <w:spacing w:line="288" w:lineRule="auto"/>
        <w:ind w:firstLine="371" w:firstLineChars="177"/>
        <w:jc w:val="left"/>
        <w:rPr>
          <w:kern w:val="0"/>
          <w:sz w:val="21"/>
          <w:szCs w:val="21"/>
          <w:highlight w:val="none"/>
        </w:rPr>
      </w:pPr>
      <w:r>
        <w:rPr>
          <w:rFonts w:hint="eastAsia"/>
          <w:kern w:val="0"/>
          <w:sz w:val="21"/>
          <w:szCs w:val="21"/>
          <w:highlight w:val="none"/>
        </w:rPr>
        <w:t>三、在政府采购活动中，残疾人福利性单位视同小型、微型企业，享受预留份额、评审中价格扣除等促进中小企业发展的政府采购政策。</w:t>
      </w:r>
    </w:p>
    <w:p w14:paraId="1C43D841">
      <w:pPr>
        <w:widowControl/>
        <w:shd w:val="clear" w:color="auto" w:fill="FFFFFF"/>
        <w:adjustRightInd w:val="0"/>
        <w:snapToGrid w:val="0"/>
        <w:spacing w:line="288" w:lineRule="auto"/>
        <w:ind w:firstLine="371" w:firstLineChars="177"/>
        <w:jc w:val="left"/>
        <w:rPr>
          <w:kern w:val="0"/>
          <w:sz w:val="21"/>
          <w:szCs w:val="21"/>
          <w:highlight w:val="none"/>
        </w:rPr>
      </w:pPr>
      <w:r>
        <w:rPr>
          <w:rFonts w:hint="eastAsia"/>
          <w:kern w:val="0"/>
          <w:sz w:val="21"/>
          <w:szCs w:val="21"/>
          <w:highlight w:val="none"/>
        </w:rPr>
        <w:t>残疾人福利性单位属于小型、微型企业的，不重复享受政策。</w:t>
      </w:r>
    </w:p>
    <w:p w14:paraId="71CBE557">
      <w:pPr>
        <w:widowControl/>
        <w:adjustRightInd w:val="0"/>
        <w:snapToGrid w:val="0"/>
        <w:spacing w:line="288" w:lineRule="auto"/>
        <w:jc w:val="left"/>
        <w:rPr>
          <w:rFonts w:cs="Times New Roman"/>
          <w:b/>
          <w:bCs/>
          <w:spacing w:val="-6"/>
          <w:sz w:val="21"/>
          <w:szCs w:val="21"/>
          <w:highlight w:val="none"/>
        </w:rPr>
      </w:pPr>
      <w:r>
        <w:rPr>
          <w:rFonts w:cs="Times New Roman"/>
          <w:b/>
          <w:bCs/>
          <w:spacing w:val="-6"/>
          <w:sz w:val="21"/>
          <w:szCs w:val="21"/>
          <w:highlight w:val="none"/>
        </w:rPr>
        <w:br w:type="page"/>
      </w:r>
    </w:p>
    <w:p w14:paraId="362A2F7F">
      <w:pPr>
        <w:adjustRightInd w:val="0"/>
        <w:snapToGrid w:val="0"/>
        <w:spacing w:line="288" w:lineRule="auto"/>
        <w:jc w:val="left"/>
        <w:outlineLvl w:val="2"/>
        <w:rPr>
          <w:b/>
          <w:spacing w:val="-6"/>
          <w:sz w:val="21"/>
          <w:szCs w:val="21"/>
          <w:highlight w:val="none"/>
        </w:rPr>
      </w:pPr>
      <w:r>
        <w:rPr>
          <w:rFonts w:hint="eastAsia"/>
          <w:b/>
          <w:spacing w:val="-6"/>
          <w:sz w:val="21"/>
          <w:szCs w:val="21"/>
          <w:highlight w:val="none"/>
        </w:rPr>
        <w:t>（</w:t>
      </w:r>
      <w:r>
        <w:rPr>
          <w:b/>
          <w:spacing w:val="-6"/>
          <w:sz w:val="21"/>
          <w:szCs w:val="21"/>
          <w:highlight w:val="none"/>
        </w:rPr>
        <w:t>4</w:t>
      </w:r>
      <w:r>
        <w:rPr>
          <w:rFonts w:hint="eastAsia"/>
          <w:b/>
          <w:spacing w:val="-6"/>
          <w:sz w:val="21"/>
          <w:szCs w:val="21"/>
          <w:highlight w:val="none"/>
        </w:rPr>
        <w:t>）本项目的特定资格要求证明材料：</w:t>
      </w:r>
    </w:p>
    <w:p w14:paraId="0B6CDC67">
      <w:pPr>
        <w:adjustRightInd w:val="0"/>
        <w:snapToGrid w:val="0"/>
        <w:spacing w:line="288" w:lineRule="auto"/>
        <w:jc w:val="left"/>
        <w:outlineLvl w:val="2"/>
        <w:rPr>
          <w:b/>
          <w:spacing w:val="-6"/>
          <w:sz w:val="21"/>
          <w:szCs w:val="21"/>
          <w:highlight w:val="none"/>
        </w:rPr>
      </w:pPr>
      <w:r>
        <w:rPr>
          <w:b/>
          <w:spacing w:val="-6"/>
          <w:sz w:val="21"/>
          <w:szCs w:val="21"/>
          <w:highlight w:val="none"/>
        </w:rPr>
        <w:t>1）</w:t>
      </w:r>
      <w:r>
        <w:rPr>
          <w:rFonts w:hint="eastAsia"/>
          <w:b/>
          <w:spacing w:val="-6"/>
          <w:sz w:val="21"/>
          <w:szCs w:val="21"/>
          <w:highlight w:val="none"/>
        </w:rPr>
        <w:t>具有建筑工程施工总承包三级及以上资质</w:t>
      </w:r>
      <w:r>
        <w:rPr>
          <w:b/>
          <w:spacing w:val="-6"/>
          <w:sz w:val="21"/>
          <w:szCs w:val="21"/>
          <w:highlight w:val="none"/>
        </w:rPr>
        <w:t>；</w:t>
      </w:r>
    </w:p>
    <w:p w14:paraId="6A5016E9">
      <w:pPr>
        <w:adjustRightInd w:val="0"/>
        <w:snapToGrid w:val="0"/>
        <w:spacing w:line="288" w:lineRule="auto"/>
        <w:jc w:val="left"/>
        <w:outlineLvl w:val="2"/>
        <w:rPr>
          <w:b/>
          <w:spacing w:val="-6"/>
          <w:sz w:val="21"/>
          <w:szCs w:val="21"/>
          <w:highlight w:val="none"/>
        </w:rPr>
      </w:pPr>
      <w:r>
        <w:rPr>
          <w:b/>
          <w:spacing w:val="-6"/>
          <w:sz w:val="21"/>
          <w:szCs w:val="21"/>
          <w:highlight w:val="none"/>
        </w:rPr>
        <w:t>2）供应商具有有效期内的企业安全生产许可证。</w:t>
      </w:r>
    </w:p>
    <w:p w14:paraId="1D8BCB07">
      <w:pPr>
        <w:pStyle w:val="118"/>
        <w:rPr>
          <w:highlight w:val="none"/>
        </w:rPr>
      </w:pPr>
    </w:p>
    <w:p w14:paraId="16F891FA">
      <w:pPr>
        <w:pStyle w:val="118"/>
        <w:rPr>
          <w:highlight w:val="none"/>
        </w:rPr>
      </w:pPr>
    </w:p>
    <w:p w14:paraId="5904F3C5">
      <w:pPr>
        <w:pStyle w:val="118"/>
        <w:rPr>
          <w:highlight w:val="none"/>
        </w:rPr>
      </w:pPr>
    </w:p>
    <w:p w14:paraId="2E089F24">
      <w:pPr>
        <w:pStyle w:val="118"/>
        <w:rPr>
          <w:highlight w:val="none"/>
        </w:rPr>
      </w:pPr>
    </w:p>
    <w:p w14:paraId="1BCDE200">
      <w:pPr>
        <w:adjustRightInd w:val="0"/>
        <w:snapToGrid w:val="0"/>
        <w:spacing w:line="288" w:lineRule="auto"/>
        <w:jc w:val="left"/>
        <w:outlineLvl w:val="2"/>
        <w:rPr>
          <w:sz w:val="21"/>
          <w:szCs w:val="21"/>
          <w:highlight w:val="none"/>
        </w:rPr>
      </w:pPr>
      <w:r>
        <w:rPr>
          <w:rFonts w:hint="eastAsia"/>
          <w:b/>
          <w:spacing w:val="-6"/>
          <w:sz w:val="21"/>
          <w:szCs w:val="21"/>
          <w:highlight w:val="none"/>
        </w:rPr>
        <w:t>（</w:t>
      </w:r>
      <w:r>
        <w:rPr>
          <w:b/>
          <w:spacing w:val="-6"/>
          <w:sz w:val="21"/>
          <w:szCs w:val="21"/>
          <w:highlight w:val="none"/>
        </w:rPr>
        <w:t>5）联合协议（以联合体形式响应的，提供联合协议，格式详见附件2）</w:t>
      </w:r>
    </w:p>
    <w:p w14:paraId="4463DD23">
      <w:pPr>
        <w:widowControl/>
        <w:jc w:val="left"/>
        <w:rPr>
          <w:sz w:val="21"/>
          <w:szCs w:val="21"/>
          <w:highlight w:val="none"/>
        </w:rPr>
      </w:pPr>
      <w:r>
        <w:rPr>
          <w:sz w:val="21"/>
          <w:szCs w:val="21"/>
          <w:highlight w:val="none"/>
        </w:rPr>
        <w:br w:type="page"/>
      </w:r>
    </w:p>
    <w:p w14:paraId="462757F7">
      <w:pPr>
        <w:adjustRightInd w:val="0"/>
        <w:snapToGrid w:val="0"/>
        <w:spacing w:line="288" w:lineRule="auto"/>
        <w:rPr>
          <w:highlight w:val="none"/>
        </w:rPr>
      </w:pPr>
    </w:p>
    <w:p w14:paraId="6E6666CF">
      <w:pPr>
        <w:adjustRightInd w:val="0"/>
        <w:snapToGrid w:val="0"/>
        <w:spacing w:line="288" w:lineRule="auto"/>
        <w:jc w:val="center"/>
        <w:outlineLvl w:val="1"/>
        <w:rPr>
          <w:b/>
          <w:bCs/>
          <w:sz w:val="84"/>
          <w:szCs w:val="84"/>
          <w:highlight w:val="none"/>
        </w:rPr>
      </w:pPr>
      <w:r>
        <w:rPr>
          <w:rFonts w:hint="eastAsia"/>
          <w:b/>
          <w:bCs/>
          <w:sz w:val="84"/>
          <w:szCs w:val="84"/>
          <w:highlight w:val="none"/>
        </w:rPr>
        <w:t>报价文件</w:t>
      </w:r>
    </w:p>
    <w:p w14:paraId="6983095C">
      <w:pPr>
        <w:adjustRightInd w:val="0"/>
        <w:snapToGrid w:val="0"/>
        <w:spacing w:line="288" w:lineRule="auto"/>
        <w:rPr>
          <w:highlight w:val="none"/>
        </w:rPr>
      </w:pPr>
      <w:r>
        <w:rPr>
          <w:rFonts w:hint="eastAsia"/>
          <w:highlight w:val="none"/>
        </w:rPr>
        <w:br w:type="page"/>
      </w:r>
    </w:p>
    <w:p w14:paraId="630AF97E">
      <w:pPr>
        <w:adjustRightInd w:val="0"/>
        <w:snapToGrid w:val="0"/>
        <w:spacing w:line="288" w:lineRule="auto"/>
        <w:jc w:val="center"/>
        <w:outlineLvl w:val="2"/>
        <w:rPr>
          <w:b/>
          <w:bCs/>
          <w:sz w:val="21"/>
          <w:szCs w:val="21"/>
          <w:highlight w:val="none"/>
        </w:rPr>
      </w:pPr>
      <w:r>
        <w:rPr>
          <w:rFonts w:hint="eastAsia"/>
          <w:b/>
          <w:bCs/>
          <w:sz w:val="21"/>
          <w:szCs w:val="21"/>
          <w:highlight w:val="none"/>
        </w:rPr>
        <w:t>（1）初次报价一览表</w:t>
      </w:r>
    </w:p>
    <w:p w14:paraId="37124645">
      <w:pPr>
        <w:adjustRightInd w:val="0"/>
        <w:snapToGrid w:val="0"/>
        <w:spacing w:line="288" w:lineRule="auto"/>
        <w:rPr>
          <w:sz w:val="21"/>
          <w:szCs w:val="21"/>
          <w:highlight w:val="none"/>
        </w:rPr>
      </w:pPr>
      <w:r>
        <w:rPr>
          <w:rFonts w:hint="eastAsia"/>
          <w:sz w:val="21"/>
          <w:szCs w:val="21"/>
          <w:highlight w:val="none"/>
        </w:rPr>
        <w:t>采 购 人：浙江交通职业技术学院</w:t>
      </w:r>
    </w:p>
    <w:p w14:paraId="531E8355">
      <w:pPr>
        <w:adjustRightInd w:val="0"/>
        <w:snapToGrid w:val="0"/>
        <w:spacing w:line="288" w:lineRule="auto"/>
        <w:rPr>
          <w:sz w:val="21"/>
          <w:szCs w:val="21"/>
          <w:highlight w:val="none"/>
        </w:rPr>
      </w:pPr>
      <w:r>
        <w:rPr>
          <w:rFonts w:hint="eastAsia"/>
          <w:sz w:val="21"/>
          <w:szCs w:val="21"/>
          <w:highlight w:val="none"/>
        </w:rPr>
        <w:t>项目名称：长兴校区局部修缮项目</w:t>
      </w:r>
    </w:p>
    <w:p w14:paraId="54A12B8B">
      <w:pPr>
        <w:adjustRightInd w:val="0"/>
        <w:snapToGrid w:val="0"/>
        <w:spacing w:line="288" w:lineRule="auto"/>
        <w:rPr>
          <w:sz w:val="21"/>
          <w:szCs w:val="21"/>
          <w:highlight w:val="none"/>
        </w:rPr>
      </w:pPr>
      <w:r>
        <w:rPr>
          <w:rFonts w:hint="eastAsia"/>
          <w:sz w:val="21"/>
          <w:szCs w:val="21"/>
          <w:highlight w:val="none"/>
        </w:rPr>
        <w:t xml:space="preserve">项目编号：QSZB-Z(G)-C24372(CS)   </w:t>
      </w:r>
    </w:p>
    <w:tbl>
      <w:tblPr>
        <w:tblStyle w:val="32"/>
        <w:tblW w:w="991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918"/>
      </w:tblGrid>
      <w:tr w14:paraId="170E94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918" w:type="dxa"/>
            <w:tcBorders>
              <w:top w:val="single" w:color="auto" w:sz="4" w:space="0"/>
              <w:left w:val="single" w:color="auto" w:sz="4" w:space="0"/>
              <w:bottom w:val="single" w:color="auto" w:sz="4" w:space="0"/>
              <w:right w:val="single" w:color="auto" w:sz="4" w:space="0"/>
            </w:tcBorders>
            <w:vAlign w:val="center"/>
          </w:tcPr>
          <w:p w14:paraId="46106144">
            <w:pPr>
              <w:adjustRightInd w:val="0"/>
              <w:snapToGrid w:val="0"/>
              <w:spacing w:line="288" w:lineRule="auto"/>
              <w:jc w:val="center"/>
              <w:rPr>
                <w:rFonts w:cs="Times New Roman"/>
                <w:b/>
                <w:spacing w:val="-6"/>
                <w:sz w:val="21"/>
                <w:szCs w:val="21"/>
                <w:highlight w:val="none"/>
              </w:rPr>
            </w:pPr>
            <w:bookmarkStart w:id="53" w:name="_Hlk97040054"/>
          </w:p>
          <w:p w14:paraId="7D704B83">
            <w:pPr>
              <w:adjustRightInd w:val="0"/>
              <w:snapToGrid w:val="0"/>
              <w:spacing w:line="288" w:lineRule="auto"/>
              <w:jc w:val="center"/>
              <w:rPr>
                <w:b/>
                <w:bCs/>
                <w:sz w:val="21"/>
                <w:szCs w:val="21"/>
                <w:highlight w:val="none"/>
              </w:rPr>
            </w:pPr>
            <w:r>
              <w:rPr>
                <w:rFonts w:hint="eastAsia"/>
                <w:b/>
                <w:bCs/>
                <w:sz w:val="21"/>
                <w:szCs w:val="21"/>
                <w:highlight w:val="none"/>
              </w:rPr>
              <w:t>总价（人民币元）</w:t>
            </w:r>
          </w:p>
          <w:p w14:paraId="580DCA50">
            <w:pPr>
              <w:adjustRightInd w:val="0"/>
              <w:snapToGrid w:val="0"/>
              <w:spacing w:line="288" w:lineRule="auto"/>
              <w:rPr>
                <w:b/>
                <w:bCs/>
                <w:sz w:val="21"/>
                <w:szCs w:val="21"/>
                <w:highlight w:val="none"/>
              </w:rPr>
            </w:pPr>
          </w:p>
          <w:p w14:paraId="2417444B">
            <w:pPr>
              <w:adjustRightInd w:val="0"/>
              <w:snapToGrid w:val="0"/>
              <w:spacing w:line="288" w:lineRule="auto"/>
              <w:rPr>
                <w:b/>
                <w:bCs/>
                <w:sz w:val="21"/>
                <w:szCs w:val="21"/>
                <w:highlight w:val="none"/>
              </w:rPr>
            </w:pPr>
            <w:r>
              <w:rPr>
                <w:rFonts w:hint="eastAsia"/>
                <w:b/>
                <w:bCs/>
                <w:sz w:val="21"/>
                <w:szCs w:val="21"/>
                <w:highlight w:val="none"/>
              </w:rPr>
              <w:t>小写：_________________________</w:t>
            </w:r>
          </w:p>
          <w:p w14:paraId="2BA3B3EF">
            <w:pPr>
              <w:adjustRightInd w:val="0"/>
              <w:snapToGrid w:val="0"/>
              <w:spacing w:line="288" w:lineRule="auto"/>
              <w:rPr>
                <w:b/>
                <w:bCs/>
                <w:sz w:val="21"/>
                <w:szCs w:val="21"/>
                <w:highlight w:val="none"/>
              </w:rPr>
            </w:pPr>
          </w:p>
          <w:p w14:paraId="423AA4A0">
            <w:pPr>
              <w:adjustRightInd w:val="0"/>
              <w:snapToGrid w:val="0"/>
              <w:spacing w:line="288" w:lineRule="auto"/>
              <w:rPr>
                <w:b/>
                <w:bCs/>
                <w:sz w:val="21"/>
                <w:szCs w:val="21"/>
                <w:highlight w:val="none"/>
              </w:rPr>
            </w:pPr>
            <w:r>
              <w:rPr>
                <w:rFonts w:hint="eastAsia"/>
                <w:b/>
                <w:bCs/>
                <w:sz w:val="21"/>
                <w:szCs w:val="21"/>
                <w:highlight w:val="none"/>
              </w:rPr>
              <w:t>大写：_________________________</w:t>
            </w:r>
          </w:p>
          <w:p w14:paraId="5ECA6EEE">
            <w:pPr>
              <w:adjustRightInd w:val="0"/>
              <w:snapToGrid w:val="0"/>
              <w:spacing w:line="288" w:lineRule="auto"/>
              <w:rPr>
                <w:b/>
                <w:bCs/>
                <w:sz w:val="21"/>
                <w:szCs w:val="21"/>
                <w:highlight w:val="none"/>
              </w:rPr>
            </w:pPr>
          </w:p>
        </w:tc>
      </w:tr>
      <w:bookmarkEnd w:id="53"/>
    </w:tbl>
    <w:p w14:paraId="255F00A4">
      <w:pPr>
        <w:adjustRightInd w:val="0"/>
        <w:snapToGrid w:val="0"/>
        <w:spacing w:line="288" w:lineRule="auto"/>
        <w:rPr>
          <w:rFonts w:cs="Times New Roman"/>
          <w:spacing w:val="-6"/>
          <w:sz w:val="21"/>
          <w:szCs w:val="21"/>
          <w:highlight w:val="none"/>
        </w:rPr>
      </w:pPr>
    </w:p>
    <w:p w14:paraId="48A85E48">
      <w:pPr>
        <w:adjustRightInd w:val="0"/>
        <w:snapToGrid w:val="0"/>
        <w:spacing w:line="288" w:lineRule="auto"/>
        <w:rPr>
          <w:rFonts w:cs="Times New Roman"/>
          <w:b/>
          <w:bCs/>
          <w:spacing w:val="-6"/>
          <w:sz w:val="21"/>
          <w:szCs w:val="21"/>
          <w:highlight w:val="none"/>
        </w:rPr>
      </w:pPr>
      <w:bookmarkStart w:id="54" w:name="_Hlk97040072"/>
      <w:r>
        <w:rPr>
          <w:rFonts w:hint="eastAsia" w:cs="Times New Roman"/>
          <w:b/>
          <w:bCs/>
          <w:spacing w:val="-6"/>
          <w:sz w:val="21"/>
          <w:szCs w:val="21"/>
          <w:highlight w:val="none"/>
        </w:rPr>
        <w:t>说明：</w:t>
      </w:r>
    </w:p>
    <w:p w14:paraId="7E35CDAA">
      <w:pPr>
        <w:adjustRightInd w:val="0"/>
        <w:snapToGrid w:val="0"/>
        <w:spacing w:line="288" w:lineRule="auto"/>
        <w:rPr>
          <w:rFonts w:cs="Times New Roman"/>
          <w:bCs/>
          <w:spacing w:val="-6"/>
          <w:sz w:val="21"/>
          <w:szCs w:val="21"/>
          <w:highlight w:val="none"/>
        </w:rPr>
      </w:pPr>
      <w:r>
        <w:rPr>
          <w:rFonts w:cs="Times New Roman"/>
          <w:bCs/>
          <w:spacing w:val="-6"/>
          <w:sz w:val="21"/>
          <w:szCs w:val="21"/>
          <w:highlight w:val="none"/>
        </w:rPr>
        <w:t>1.</w:t>
      </w:r>
      <w:r>
        <w:rPr>
          <w:rFonts w:hint="eastAsia" w:cs="Times New Roman"/>
          <w:bCs/>
          <w:spacing w:val="-6"/>
          <w:sz w:val="21"/>
          <w:szCs w:val="21"/>
          <w:highlight w:val="none"/>
        </w:rPr>
        <w:t>此表在不改变格式要求的情况下，可自行增行。</w:t>
      </w:r>
    </w:p>
    <w:p w14:paraId="711FE6F8">
      <w:pPr>
        <w:adjustRightInd w:val="0"/>
        <w:snapToGrid w:val="0"/>
        <w:spacing w:line="288" w:lineRule="auto"/>
        <w:rPr>
          <w:rFonts w:cs="Times New Roman"/>
          <w:bCs/>
          <w:spacing w:val="-6"/>
          <w:sz w:val="21"/>
          <w:szCs w:val="21"/>
          <w:highlight w:val="none"/>
        </w:rPr>
      </w:pPr>
      <w:r>
        <w:rPr>
          <w:rFonts w:cs="Times New Roman"/>
          <w:bCs/>
          <w:spacing w:val="-6"/>
          <w:sz w:val="21"/>
          <w:szCs w:val="21"/>
          <w:highlight w:val="none"/>
        </w:rPr>
        <w:t>2.有关本项目实施所涉及的一切费用均计入报价。</w:t>
      </w:r>
    </w:p>
    <w:p w14:paraId="6FECADCE">
      <w:pPr>
        <w:adjustRightInd w:val="0"/>
        <w:snapToGrid w:val="0"/>
        <w:spacing w:line="288" w:lineRule="auto"/>
        <w:rPr>
          <w:rFonts w:cs="Times New Roman"/>
          <w:bCs/>
          <w:spacing w:val="-6"/>
          <w:sz w:val="21"/>
          <w:szCs w:val="21"/>
          <w:highlight w:val="none"/>
        </w:rPr>
      </w:pPr>
      <w:r>
        <w:rPr>
          <w:rFonts w:hint="eastAsia" w:cs="Times New Roman"/>
          <w:bCs/>
          <w:spacing w:val="-6"/>
          <w:sz w:val="21"/>
          <w:szCs w:val="21"/>
          <w:highlight w:val="none"/>
        </w:rPr>
        <w:t>▲</w:t>
      </w:r>
      <w:r>
        <w:rPr>
          <w:rFonts w:cs="Times New Roman"/>
          <w:bCs/>
          <w:spacing w:val="-6"/>
          <w:sz w:val="21"/>
          <w:szCs w:val="21"/>
          <w:highlight w:val="none"/>
        </w:rPr>
        <w:t>3.</w:t>
      </w:r>
      <w:r>
        <w:rPr>
          <w:rFonts w:hint="eastAsia" w:cs="Times New Roman"/>
          <w:bCs/>
          <w:spacing w:val="-6"/>
          <w:sz w:val="21"/>
          <w:szCs w:val="21"/>
          <w:highlight w:val="none"/>
        </w:rPr>
        <w:t>响应报价应由供应商或受其委托具有相应资质的从事工程造价活动的专业人员编制，编制人员应在本人形成的工程造价成果文件上签字并加盖执业印章，并承担相应的法律责任。</w:t>
      </w:r>
    </w:p>
    <w:p w14:paraId="65D49F76">
      <w:pPr>
        <w:adjustRightInd w:val="0"/>
        <w:snapToGrid w:val="0"/>
        <w:spacing w:line="288" w:lineRule="auto"/>
        <w:jc w:val="left"/>
        <w:rPr>
          <w:rFonts w:cs="Times New Roman"/>
          <w:b/>
          <w:spacing w:val="-6"/>
          <w:sz w:val="21"/>
          <w:szCs w:val="21"/>
          <w:highlight w:val="none"/>
        </w:rPr>
      </w:pPr>
    </w:p>
    <w:p w14:paraId="28F653CD">
      <w:pPr>
        <w:adjustRightInd w:val="0"/>
        <w:snapToGrid w:val="0"/>
        <w:spacing w:line="288" w:lineRule="auto"/>
        <w:rPr>
          <w:sz w:val="21"/>
          <w:szCs w:val="21"/>
          <w:highlight w:val="none"/>
        </w:rPr>
      </w:pPr>
    </w:p>
    <w:p w14:paraId="0CF9A276">
      <w:pPr>
        <w:adjustRightInd w:val="0"/>
        <w:snapToGrid w:val="0"/>
        <w:spacing w:line="288" w:lineRule="auto"/>
        <w:rPr>
          <w:sz w:val="21"/>
          <w:szCs w:val="21"/>
          <w:highlight w:val="none"/>
        </w:rPr>
      </w:pPr>
    </w:p>
    <w:p w14:paraId="5FDA4B2D">
      <w:pPr>
        <w:adjustRightInd w:val="0"/>
        <w:snapToGrid w:val="0"/>
        <w:spacing w:line="288" w:lineRule="auto"/>
        <w:rPr>
          <w:rFonts w:cs="Times New Roman"/>
          <w:b/>
          <w:bCs/>
          <w:spacing w:val="-6"/>
          <w:sz w:val="21"/>
          <w:szCs w:val="21"/>
          <w:highlight w:val="none"/>
        </w:rPr>
      </w:pPr>
      <w:r>
        <w:rPr>
          <w:rFonts w:hint="eastAsia" w:cs="Times New Roman"/>
          <w:b/>
          <w:bCs/>
          <w:spacing w:val="-6"/>
          <w:sz w:val="21"/>
          <w:szCs w:val="21"/>
          <w:highlight w:val="none"/>
        </w:rPr>
        <w:t>供应商名称（</w:t>
      </w:r>
      <w:r>
        <w:rPr>
          <w:rFonts w:cs="Times New Roman"/>
          <w:b/>
          <w:bCs/>
          <w:spacing w:val="-6"/>
          <w:sz w:val="21"/>
          <w:szCs w:val="21"/>
          <w:highlight w:val="none"/>
        </w:rPr>
        <w:t>电子签名/公章</w:t>
      </w:r>
      <w:r>
        <w:rPr>
          <w:rFonts w:hint="eastAsia" w:cs="Times New Roman"/>
          <w:b/>
          <w:bCs/>
          <w:spacing w:val="-6"/>
          <w:sz w:val="21"/>
          <w:szCs w:val="21"/>
          <w:highlight w:val="none"/>
        </w:rPr>
        <w:t>）：</w:t>
      </w:r>
    </w:p>
    <w:p w14:paraId="5482F408">
      <w:pPr>
        <w:adjustRightInd w:val="0"/>
        <w:snapToGrid w:val="0"/>
        <w:spacing w:line="288" w:lineRule="auto"/>
        <w:rPr>
          <w:rFonts w:cs="Times New Roman"/>
          <w:b/>
          <w:bCs/>
          <w:spacing w:val="-6"/>
          <w:sz w:val="21"/>
          <w:szCs w:val="21"/>
          <w:highlight w:val="none"/>
        </w:rPr>
      </w:pPr>
      <w:r>
        <w:rPr>
          <w:rFonts w:hint="eastAsia" w:cs="Times New Roman"/>
          <w:b/>
          <w:bCs/>
          <w:spacing w:val="-6"/>
          <w:sz w:val="21"/>
          <w:szCs w:val="21"/>
          <w:highlight w:val="none"/>
        </w:rPr>
        <w:t>日期：     年   月   日</w:t>
      </w:r>
    </w:p>
    <w:p w14:paraId="3ED8CC52">
      <w:pPr>
        <w:widowControl/>
        <w:jc w:val="left"/>
        <w:rPr>
          <w:rFonts w:cs="Times New Roman"/>
          <w:b/>
          <w:bCs/>
          <w:spacing w:val="-6"/>
          <w:sz w:val="21"/>
          <w:szCs w:val="21"/>
          <w:highlight w:val="none"/>
        </w:rPr>
      </w:pPr>
      <w:r>
        <w:rPr>
          <w:rFonts w:cs="Times New Roman"/>
          <w:b/>
          <w:bCs/>
          <w:spacing w:val="-6"/>
          <w:sz w:val="21"/>
          <w:szCs w:val="21"/>
          <w:highlight w:val="none"/>
        </w:rPr>
        <w:br w:type="page"/>
      </w:r>
    </w:p>
    <w:p w14:paraId="1E233178">
      <w:pPr>
        <w:widowControl/>
        <w:tabs>
          <w:tab w:val="center" w:pos="4755"/>
          <w:tab w:val="right" w:pos="9070"/>
        </w:tabs>
        <w:spacing w:before="100" w:beforeAutospacing="1" w:after="100" w:afterAutospacing="1" w:line="288" w:lineRule="auto"/>
        <w:ind w:firstLine="241" w:firstLineChars="100"/>
        <w:jc w:val="center"/>
        <w:rPr>
          <w:b/>
          <w:kern w:val="0"/>
          <w:highlight w:val="none"/>
        </w:rPr>
      </w:pPr>
      <w:r>
        <w:rPr>
          <w:rFonts w:hint="eastAsia"/>
          <w:b/>
          <w:kern w:val="0"/>
          <w:highlight w:val="none"/>
        </w:rPr>
        <w:t>磋商响应报价（初次报价）</w:t>
      </w:r>
    </w:p>
    <w:p w14:paraId="472D8D9A">
      <w:pPr>
        <w:widowControl/>
        <w:tabs>
          <w:tab w:val="center" w:pos="4755"/>
          <w:tab w:val="right" w:pos="9070"/>
        </w:tabs>
        <w:spacing w:before="100" w:beforeAutospacing="1" w:after="100" w:afterAutospacing="1" w:line="288" w:lineRule="auto"/>
        <w:ind w:firstLine="240" w:firstLineChars="100"/>
        <w:jc w:val="center"/>
        <w:rPr>
          <w:kern w:val="0"/>
          <w:highlight w:val="none"/>
        </w:rPr>
      </w:pPr>
    </w:p>
    <w:p w14:paraId="399E31F3">
      <w:pPr>
        <w:widowControl/>
        <w:tabs>
          <w:tab w:val="center" w:pos="4755"/>
          <w:tab w:val="right" w:pos="9070"/>
        </w:tabs>
        <w:spacing w:before="100" w:beforeAutospacing="1" w:after="100" w:afterAutospacing="1" w:line="288" w:lineRule="auto"/>
        <w:ind w:firstLine="240" w:firstLineChars="100"/>
        <w:rPr>
          <w:kern w:val="0"/>
          <w:highlight w:val="none"/>
          <w:u w:val="single"/>
        </w:rPr>
      </w:pPr>
      <w:r>
        <w:rPr>
          <w:rFonts w:hint="eastAsia"/>
          <w:kern w:val="0"/>
          <w:highlight w:val="none"/>
        </w:rPr>
        <w:t>建设单位：</w:t>
      </w:r>
      <w:r>
        <w:rPr>
          <w:rFonts w:hint="eastAsia"/>
          <w:kern w:val="0"/>
          <w:highlight w:val="none"/>
          <w:u w:val="single"/>
        </w:rPr>
        <w:t xml:space="preserve">                                 </w:t>
      </w:r>
      <w:r>
        <w:rPr>
          <w:rFonts w:hint="eastAsia"/>
          <w:kern w:val="0"/>
          <w:highlight w:val="none"/>
        </w:rPr>
        <w:t xml:space="preserve">                                                                                                                                                                              </w:t>
      </w:r>
    </w:p>
    <w:p w14:paraId="04EF0B6D">
      <w:pPr>
        <w:widowControl/>
        <w:tabs>
          <w:tab w:val="center" w:pos="4755"/>
          <w:tab w:val="right" w:pos="9070"/>
        </w:tabs>
        <w:spacing w:before="100" w:beforeAutospacing="1" w:after="100" w:afterAutospacing="1" w:line="288" w:lineRule="auto"/>
        <w:ind w:firstLine="240" w:firstLineChars="100"/>
        <w:rPr>
          <w:kern w:val="0"/>
          <w:highlight w:val="none"/>
        </w:rPr>
      </w:pPr>
      <w:r>
        <w:rPr>
          <w:rFonts w:hint="eastAsia"/>
          <w:kern w:val="0"/>
          <w:highlight w:val="none"/>
        </w:rPr>
        <w:t>项目名称：</w:t>
      </w:r>
      <w:r>
        <w:rPr>
          <w:rFonts w:hint="eastAsia"/>
          <w:kern w:val="0"/>
          <w:highlight w:val="none"/>
          <w:u w:val="single"/>
        </w:rPr>
        <w:t xml:space="preserve">                                 </w:t>
      </w:r>
      <w:r>
        <w:rPr>
          <w:rFonts w:hint="eastAsia"/>
          <w:kern w:val="0"/>
          <w:highlight w:val="none"/>
        </w:rPr>
        <w:t xml:space="preserve">            </w:t>
      </w:r>
    </w:p>
    <w:p w14:paraId="61960766">
      <w:pPr>
        <w:widowControl/>
        <w:tabs>
          <w:tab w:val="center" w:pos="4755"/>
          <w:tab w:val="right" w:pos="9070"/>
        </w:tabs>
        <w:spacing w:before="100" w:beforeAutospacing="1" w:after="100" w:afterAutospacing="1" w:line="288" w:lineRule="auto"/>
        <w:ind w:firstLine="240" w:firstLineChars="100"/>
        <w:rPr>
          <w:kern w:val="0"/>
          <w:highlight w:val="none"/>
          <w:u w:val="single"/>
        </w:rPr>
      </w:pPr>
      <w:r>
        <w:rPr>
          <w:rFonts w:hint="eastAsia"/>
          <w:kern w:val="0"/>
          <w:highlight w:val="none"/>
        </w:rPr>
        <w:t>响应总价（小写）：</w:t>
      </w:r>
      <w:r>
        <w:rPr>
          <w:rFonts w:hint="eastAsia"/>
          <w:kern w:val="0"/>
          <w:highlight w:val="none"/>
          <w:u w:val="single"/>
        </w:rPr>
        <w:t xml:space="preserve">                         </w:t>
      </w:r>
    </w:p>
    <w:p w14:paraId="53A6B3BD">
      <w:pPr>
        <w:widowControl/>
        <w:tabs>
          <w:tab w:val="center" w:pos="4755"/>
          <w:tab w:val="right" w:pos="9070"/>
        </w:tabs>
        <w:spacing w:before="100" w:beforeAutospacing="1" w:after="100" w:afterAutospacing="1" w:line="288" w:lineRule="auto"/>
        <w:ind w:firstLine="240" w:firstLineChars="100"/>
        <w:rPr>
          <w:kern w:val="0"/>
          <w:highlight w:val="none"/>
          <w:u w:val="single"/>
        </w:rPr>
      </w:pPr>
      <w:r>
        <w:rPr>
          <w:rFonts w:hint="eastAsia"/>
          <w:kern w:val="0"/>
          <w:highlight w:val="none"/>
        </w:rPr>
        <w:t xml:space="preserve">        （大写）：</w:t>
      </w:r>
      <w:r>
        <w:rPr>
          <w:rFonts w:hint="eastAsia"/>
          <w:kern w:val="0"/>
          <w:highlight w:val="none"/>
          <w:u w:val="single"/>
        </w:rPr>
        <w:t xml:space="preserve">                         </w:t>
      </w:r>
      <w:r>
        <w:rPr>
          <w:rFonts w:hint="eastAsia"/>
          <w:kern w:val="0"/>
          <w:highlight w:val="none"/>
        </w:rPr>
        <w:t xml:space="preserve">             </w:t>
      </w:r>
    </w:p>
    <w:p w14:paraId="3D4A31C7">
      <w:pPr>
        <w:widowControl/>
        <w:tabs>
          <w:tab w:val="center" w:pos="4755"/>
          <w:tab w:val="right" w:pos="9070"/>
        </w:tabs>
        <w:spacing w:before="100" w:beforeAutospacing="1" w:after="100" w:afterAutospacing="1" w:line="288" w:lineRule="auto"/>
        <w:rPr>
          <w:b/>
          <w:kern w:val="0"/>
          <w:highlight w:val="none"/>
        </w:rPr>
      </w:pPr>
    </w:p>
    <w:p w14:paraId="62646A25">
      <w:pPr>
        <w:widowControl/>
        <w:tabs>
          <w:tab w:val="center" w:pos="4755"/>
          <w:tab w:val="right" w:pos="9070"/>
        </w:tabs>
        <w:spacing w:before="100" w:beforeAutospacing="1" w:after="100" w:afterAutospacing="1" w:line="288" w:lineRule="auto"/>
        <w:ind w:right="1280" w:firstLine="240" w:firstLineChars="100"/>
        <w:jc w:val="center"/>
        <w:rPr>
          <w:kern w:val="0"/>
          <w:highlight w:val="none"/>
        </w:rPr>
      </w:pPr>
    </w:p>
    <w:p w14:paraId="4148F8E4">
      <w:pPr>
        <w:widowControl/>
        <w:tabs>
          <w:tab w:val="center" w:pos="4755"/>
          <w:tab w:val="right" w:pos="9070"/>
        </w:tabs>
        <w:spacing w:before="100" w:beforeAutospacing="1" w:after="100" w:afterAutospacing="1" w:line="288" w:lineRule="auto"/>
        <w:ind w:firstLine="240" w:firstLineChars="100"/>
        <w:rPr>
          <w:kern w:val="0"/>
          <w:highlight w:val="none"/>
        </w:rPr>
      </w:pPr>
      <w:r>
        <w:rPr>
          <w:rFonts w:hint="eastAsia"/>
          <w:kern w:val="0"/>
          <w:highlight w:val="none"/>
        </w:rPr>
        <w:t xml:space="preserve">响   应   方： </w:t>
      </w:r>
      <w:r>
        <w:rPr>
          <w:rFonts w:hint="eastAsia"/>
          <w:kern w:val="0"/>
          <w:highlight w:val="none"/>
          <w:u w:val="single"/>
        </w:rPr>
        <w:t xml:space="preserve">                    </w:t>
      </w:r>
      <w:r>
        <w:rPr>
          <w:rFonts w:hint="eastAsia"/>
          <w:kern w:val="0"/>
          <w:highlight w:val="none"/>
        </w:rPr>
        <w:t>（单位盖章）</w:t>
      </w:r>
    </w:p>
    <w:p w14:paraId="27810870">
      <w:pPr>
        <w:pStyle w:val="27"/>
        <w:spacing w:line="288" w:lineRule="auto"/>
        <w:ind w:firstLine="240" w:firstLineChars="100"/>
        <w:jc w:val="both"/>
        <w:rPr>
          <w:rFonts w:ascii="ˎ̥" w:hAnsi="ˎ̥"/>
          <w:highlight w:val="none"/>
        </w:rPr>
      </w:pPr>
      <w:r>
        <w:rPr>
          <w:rFonts w:ascii="ˎ̥" w:hAnsi="ˎ̥"/>
          <w:highlight w:val="none"/>
        </w:rPr>
        <w:t>法</w:t>
      </w:r>
      <w:r>
        <w:rPr>
          <w:rFonts w:hint="eastAsia" w:ascii="ˎ̥" w:hAnsi="ˎ̥"/>
          <w:highlight w:val="none"/>
        </w:rPr>
        <w:t xml:space="preserve"> </w:t>
      </w:r>
      <w:r>
        <w:rPr>
          <w:rFonts w:ascii="ˎ̥" w:hAnsi="ˎ̥"/>
          <w:highlight w:val="none"/>
        </w:rPr>
        <w:t>定</w:t>
      </w:r>
      <w:r>
        <w:rPr>
          <w:rFonts w:hint="eastAsia" w:ascii="ˎ̥" w:hAnsi="ˎ̥"/>
          <w:highlight w:val="none"/>
        </w:rPr>
        <w:t xml:space="preserve"> </w:t>
      </w:r>
      <w:r>
        <w:rPr>
          <w:rFonts w:ascii="ˎ̥" w:hAnsi="ˎ̥"/>
          <w:highlight w:val="none"/>
        </w:rPr>
        <w:t>代</w:t>
      </w:r>
      <w:r>
        <w:rPr>
          <w:rFonts w:hint="eastAsia" w:ascii="ˎ̥" w:hAnsi="ˎ̥"/>
          <w:highlight w:val="none"/>
        </w:rPr>
        <w:t xml:space="preserve"> </w:t>
      </w:r>
      <w:r>
        <w:rPr>
          <w:rFonts w:ascii="ˎ̥" w:hAnsi="ˎ̥"/>
          <w:highlight w:val="none"/>
        </w:rPr>
        <w:t>表</w:t>
      </w:r>
      <w:r>
        <w:rPr>
          <w:rFonts w:hint="eastAsia" w:ascii="ˎ̥" w:hAnsi="ˎ̥"/>
          <w:highlight w:val="none"/>
        </w:rPr>
        <w:t xml:space="preserve"> </w:t>
      </w:r>
      <w:r>
        <w:rPr>
          <w:rFonts w:ascii="ˎ̥" w:hAnsi="ˎ̥"/>
          <w:highlight w:val="none"/>
        </w:rPr>
        <w:t>人：</w:t>
      </w:r>
      <w:r>
        <w:rPr>
          <w:rFonts w:hint="eastAsia"/>
          <w:highlight w:val="none"/>
        </w:rPr>
        <w:t xml:space="preserve"> </w:t>
      </w:r>
      <w:r>
        <w:rPr>
          <w:rFonts w:hint="eastAsia"/>
          <w:highlight w:val="none"/>
          <w:u w:val="single"/>
        </w:rPr>
        <w:t xml:space="preserve">                 </w:t>
      </w:r>
      <w:r>
        <w:rPr>
          <w:rFonts w:ascii="ˎ̥" w:hAnsi="ˎ̥"/>
          <w:highlight w:val="none"/>
        </w:rPr>
        <w:t>（签字或盖章）</w:t>
      </w:r>
    </w:p>
    <w:p w14:paraId="1C2D80B7">
      <w:pPr>
        <w:widowControl/>
        <w:tabs>
          <w:tab w:val="center" w:pos="4755"/>
          <w:tab w:val="right" w:pos="9070"/>
        </w:tabs>
        <w:spacing w:before="100" w:beforeAutospacing="1" w:after="100" w:afterAutospacing="1" w:line="288" w:lineRule="auto"/>
        <w:ind w:firstLine="240" w:firstLineChars="100"/>
        <w:rPr>
          <w:kern w:val="0"/>
          <w:highlight w:val="none"/>
        </w:rPr>
      </w:pPr>
      <w:r>
        <w:rPr>
          <w:rFonts w:hint="eastAsia"/>
          <w:kern w:val="0"/>
          <w:highlight w:val="none"/>
        </w:rPr>
        <w:t xml:space="preserve">编  制 </w:t>
      </w:r>
      <w:r>
        <w:rPr>
          <w:kern w:val="0"/>
          <w:highlight w:val="none"/>
        </w:rPr>
        <w:t xml:space="preserve"> </w:t>
      </w:r>
      <w:r>
        <w:rPr>
          <w:rFonts w:hint="eastAsia"/>
          <w:kern w:val="0"/>
          <w:highlight w:val="none"/>
        </w:rPr>
        <w:t xml:space="preserve">人 </w:t>
      </w:r>
      <w:r>
        <w:rPr>
          <w:kern w:val="0"/>
          <w:highlight w:val="none"/>
        </w:rPr>
        <w:t xml:space="preserve"> </w:t>
      </w:r>
      <w:r>
        <w:rPr>
          <w:rFonts w:hint="eastAsia"/>
          <w:kern w:val="0"/>
          <w:highlight w:val="none"/>
        </w:rPr>
        <w:t>员：</w:t>
      </w:r>
      <w:r>
        <w:rPr>
          <w:rFonts w:hint="eastAsia"/>
          <w:kern w:val="0"/>
          <w:highlight w:val="none"/>
          <w:u w:val="single"/>
        </w:rPr>
        <w:t xml:space="preserve">                 </w:t>
      </w:r>
      <w:r>
        <w:rPr>
          <w:rFonts w:hint="eastAsia"/>
          <w:kern w:val="0"/>
          <w:highlight w:val="none"/>
        </w:rPr>
        <w:t>（签字及盖执业专用章）</w:t>
      </w:r>
    </w:p>
    <w:p w14:paraId="18AF9FA9">
      <w:pPr>
        <w:widowControl/>
        <w:tabs>
          <w:tab w:val="center" w:pos="4755"/>
          <w:tab w:val="right" w:pos="9720"/>
        </w:tabs>
        <w:spacing w:before="100" w:beforeAutospacing="1" w:after="100" w:afterAutospacing="1" w:line="288" w:lineRule="auto"/>
        <w:ind w:firstLine="240" w:firstLineChars="100"/>
        <w:rPr>
          <w:kern w:val="0"/>
          <w:highlight w:val="none"/>
        </w:rPr>
      </w:pPr>
      <w:r>
        <w:rPr>
          <w:rFonts w:hint="eastAsia"/>
          <w:kern w:val="0"/>
          <w:highlight w:val="none"/>
        </w:rPr>
        <w:t xml:space="preserve">编  制  时  间：                </w:t>
      </w:r>
    </w:p>
    <w:p w14:paraId="48825DAD">
      <w:pPr>
        <w:widowControl/>
        <w:tabs>
          <w:tab w:val="center" w:pos="4755"/>
          <w:tab w:val="right" w:pos="9720"/>
        </w:tabs>
        <w:spacing w:before="100" w:beforeAutospacing="1" w:after="100" w:afterAutospacing="1" w:line="288" w:lineRule="auto"/>
        <w:rPr>
          <w:kern w:val="0"/>
          <w:sz w:val="32"/>
          <w:szCs w:val="32"/>
          <w:highlight w:val="none"/>
        </w:rPr>
      </w:pPr>
      <w:r>
        <w:rPr>
          <w:rFonts w:hint="eastAsia"/>
          <w:kern w:val="0"/>
          <w:highlight w:val="none"/>
        </w:rPr>
        <w:br w:type="page"/>
      </w:r>
      <w:bookmarkEnd w:id="54"/>
    </w:p>
    <w:tbl>
      <w:tblPr>
        <w:tblStyle w:val="32"/>
        <w:tblW w:w="9512" w:type="dxa"/>
        <w:tblInd w:w="93" w:type="dxa"/>
        <w:tblLayout w:type="fixed"/>
        <w:tblCellMar>
          <w:top w:w="0" w:type="dxa"/>
          <w:left w:w="108" w:type="dxa"/>
          <w:bottom w:w="0" w:type="dxa"/>
          <w:right w:w="108" w:type="dxa"/>
        </w:tblCellMar>
      </w:tblPr>
      <w:tblGrid>
        <w:gridCol w:w="857"/>
        <w:gridCol w:w="1710"/>
        <w:gridCol w:w="2835"/>
        <w:gridCol w:w="715"/>
        <w:gridCol w:w="844"/>
        <w:gridCol w:w="992"/>
        <w:gridCol w:w="851"/>
        <w:gridCol w:w="708"/>
      </w:tblGrid>
      <w:tr w14:paraId="09315E30">
        <w:tblPrEx>
          <w:tblCellMar>
            <w:top w:w="0" w:type="dxa"/>
            <w:left w:w="108" w:type="dxa"/>
            <w:bottom w:w="0" w:type="dxa"/>
            <w:right w:w="108" w:type="dxa"/>
          </w:tblCellMar>
        </w:tblPrEx>
        <w:trPr>
          <w:trHeight w:val="525" w:hRule="atLeast"/>
        </w:trPr>
        <w:tc>
          <w:tcPr>
            <w:tcW w:w="6961" w:type="dxa"/>
            <w:gridSpan w:val="5"/>
            <w:tcBorders>
              <w:top w:val="nil"/>
              <w:left w:val="nil"/>
              <w:bottom w:val="nil"/>
              <w:right w:val="nil"/>
            </w:tcBorders>
            <w:shd w:val="clear" w:color="auto" w:fill="auto"/>
            <w:noWrap/>
            <w:vAlign w:val="center"/>
          </w:tcPr>
          <w:p w14:paraId="4C508293">
            <w:pPr>
              <w:ind w:right="401"/>
              <w:jc w:val="center"/>
              <w:rPr>
                <w:b/>
                <w:sz w:val="36"/>
                <w:szCs w:val="36"/>
                <w:highlight w:val="none"/>
              </w:rPr>
            </w:pPr>
            <w:r>
              <w:rPr>
                <w:rFonts w:hint="eastAsia"/>
                <w:b/>
                <w:sz w:val="36"/>
                <w:szCs w:val="36"/>
                <w:highlight w:val="none"/>
              </w:rPr>
              <w:t xml:space="preserve">    </w:t>
            </w:r>
            <w:bookmarkStart w:id="55" w:name="OLE_LINK11"/>
            <w:bookmarkStart w:id="56" w:name="OLE_LINK12"/>
            <w:r>
              <w:rPr>
                <w:rFonts w:hint="eastAsia"/>
                <w:b/>
                <w:sz w:val="36"/>
                <w:szCs w:val="36"/>
                <w:highlight w:val="none"/>
              </w:rPr>
              <w:t>工 程 量 清 单</w:t>
            </w:r>
          </w:p>
          <w:bookmarkEnd w:id="55"/>
          <w:bookmarkEnd w:id="56"/>
          <w:p w14:paraId="47AE1B3E">
            <w:pPr>
              <w:ind w:right="401"/>
              <w:rPr>
                <w:highlight w:val="none"/>
              </w:rPr>
            </w:pPr>
            <w:r>
              <w:rPr>
                <w:rFonts w:hint="eastAsia"/>
                <w:highlight w:val="none"/>
              </w:rPr>
              <w:t>工程名称：长兴校区局部修缮项目</w:t>
            </w:r>
          </w:p>
        </w:tc>
        <w:tc>
          <w:tcPr>
            <w:tcW w:w="992" w:type="dxa"/>
            <w:tcBorders>
              <w:top w:val="nil"/>
              <w:left w:val="nil"/>
              <w:bottom w:val="nil"/>
              <w:right w:val="nil"/>
            </w:tcBorders>
            <w:shd w:val="clear" w:color="auto" w:fill="auto"/>
            <w:noWrap/>
            <w:vAlign w:val="bottom"/>
          </w:tcPr>
          <w:p w14:paraId="7D57EB31">
            <w:pPr>
              <w:ind w:right="401"/>
              <w:rPr>
                <w:highlight w:val="none"/>
              </w:rPr>
            </w:pPr>
          </w:p>
        </w:tc>
        <w:tc>
          <w:tcPr>
            <w:tcW w:w="851" w:type="dxa"/>
            <w:tcBorders>
              <w:top w:val="nil"/>
              <w:left w:val="nil"/>
              <w:bottom w:val="nil"/>
              <w:right w:val="nil"/>
            </w:tcBorders>
            <w:shd w:val="clear" w:color="auto" w:fill="auto"/>
            <w:noWrap/>
            <w:vAlign w:val="bottom"/>
          </w:tcPr>
          <w:p w14:paraId="30E6B68E">
            <w:pPr>
              <w:ind w:right="401"/>
              <w:rPr>
                <w:highlight w:val="none"/>
              </w:rPr>
            </w:pPr>
          </w:p>
        </w:tc>
        <w:tc>
          <w:tcPr>
            <w:tcW w:w="708" w:type="dxa"/>
            <w:tcBorders>
              <w:top w:val="nil"/>
              <w:left w:val="nil"/>
              <w:bottom w:val="nil"/>
              <w:right w:val="nil"/>
            </w:tcBorders>
            <w:shd w:val="clear" w:color="auto" w:fill="auto"/>
            <w:vAlign w:val="center"/>
          </w:tcPr>
          <w:p w14:paraId="1DF633E3">
            <w:pPr>
              <w:ind w:right="401"/>
              <w:rPr>
                <w:highlight w:val="none"/>
              </w:rPr>
            </w:pPr>
          </w:p>
        </w:tc>
      </w:tr>
      <w:tr w14:paraId="40390E61">
        <w:tblPrEx>
          <w:tblCellMar>
            <w:top w:w="0" w:type="dxa"/>
            <w:left w:w="108" w:type="dxa"/>
            <w:bottom w:w="0" w:type="dxa"/>
            <w:right w:w="108" w:type="dxa"/>
          </w:tblCellMar>
        </w:tblPrEx>
        <w:trPr>
          <w:trHeight w:val="570" w:hRule="atLeast"/>
        </w:trPr>
        <w:tc>
          <w:tcPr>
            <w:tcW w:w="857" w:type="dxa"/>
            <w:tcBorders>
              <w:top w:val="single" w:color="auto" w:sz="4" w:space="0"/>
              <w:left w:val="single" w:color="auto" w:sz="4" w:space="0"/>
              <w:bottom w:val="single" w:color="auto" w:sz="4" w:space="0"/>
              <w:right w:val="single" w:color="auto" w:sz="4" w:space="0"/>
            </w:tcBorders>
            <w:shd w:val="clear" w:color="auto" w:fill="auto"/>
            <w:vAlign w:val="center"/>
          </w:tcPr>
          <w:p w14:paraId="45F71F4B">
            <w:pPr>
              <w:rPr>
                <w:sz w:val="21"/>
                <w:szCs w:val="21"/>
                <w:highlight w:val="none"/>
              </w:rPr>
            </w:pPr>
            <w:r>
              <w:rPr>
                <w:rFonts w:hint="eastAsia"/>
                <w:sz w:val="21"/>
                <w:szCs w:val="21"/>
                <w:highlight w:val="none"/>
              </w:rPr>
              <w:t>序号</w:t>
            </w:r>
          </w:p>
        </w:tc>
        <w:tc>
          <w:tcPr>
            <w:tcW w:w="1710" w:type="dxa"/>
            <w:tcBorders>
              <w:top w:val="single" w:color="auto" w:sz="4" w:space="0"/>
              <w:left w:val="nil"/>
              <w:bottom w:val="single" w:color="auto" w:sz="4" w:space="0"/>
              <w:right w:val="single" w:color="auto" w:sz="4" w:space="0"/>
            </w:tcBorders>
            <w:shd w:val="clear" w:color="auto" w:fill="auto"/>
            <w:noWrap/>
            <w:vAlign w:val="center"/>
          </w:tcPr>
          <w:p w14:paraId="34786181">
            <w:pPr>
              <w:rPr>
                <w:sz w:val="21"/>
                <w:szCs w:val="21"/>
                <w:highlight w:val="none"/>
              </w:rPr>
            </w:pPr>
            <w:r>
              <w:rPr>
                <w:rFonts w:hint="eastAsia"/>
                <w:sz w:val="21"/>
                <w:szCs w:val="21"/>
                <w:highlight w:val="none"/>
              </w:rPr>
              <w:t>项目名称</w:t>
            </w:r>
          </w:p>
        </w:tc>
        <w:tc>
          <w:tcPr>
            <w:tcW w:w="2835" w:type="dxa"/>
            <w:tcBorders>
              <w:top w:val="single" w:color="auto" w:sz="4" w:space="0"/>
              <w:left w:val="nil"/>
              <w:bottom w:val="single" w:color="auto" w:sz="4" w:space="0"/>
              <w:right w:val="single" w:color="auto" w:sz="4" w:space="0"/>
            </w:tcBorders>
            <w:shd w:val="clear" w:color="auto" w:fill="auto"/>
            <w:vAlign w:val="center"/>
          </w:tcPr>
          <w:p w14:paraId="094162DD">
            <w:pPr>
              <w:rPr>
                <w:sz w:val="21"/>
                <w:szCs w:val="21"/>
                <w:highlight w:val="none"/>
              </w:rPr>
            </w:pPr>
            <w:r>
              <w:rPr>
                <w:rFonts w:hint="eastAsia"/>
                <w:sz w:val="21"/>
                <w:szCs w:val="21"/>
                <w:highlight w:val="none"/>
              </w:rPr>
              <w:t>项目特征</w:t>
            </w:r>
          </w:p>
        </w:tc>
        <w:tc>
          <w:tcPr>
            <w:tcW w:w="715" w:type="dxa"/>
            <w:tcBorders>
              <w:top w:val="single" w:color="auto" w:sz="4" w:space="0"/>
              <w:left w:val="nil"/>
              <w:bottom w:val="single" w:color="auto" w:sz="4" w:space="0"/>
              <w:right w:val="single" w:color="auto" w:sz="4" w:space="0"/>
            </w:tcBorders>
            <w:shd w:val="clear" w:color="auto" w:fill="auto"/>
            <w:vAlign w:val="center"/>
          </w:tcPr>
          <w:p w14:paraId="2C7A7953">
            <w:pPr>
              <w:rPr>
                <w:sz w:val="21"/>
                <w:szCs w:val="21"/>
                <w:highlight w:val="none"/>
              </w:rPr>
            </w:pPr>
            <w:r>
              <w:rPr>
                <w:rFonts w:hint="eastAsia"/>
                <w:sz w:val="21"/>
                <w:szCs w:val="21"/>
                <w:highlight w:val="none"/>
              </w:rPr>
              <w:t>单位</w:t>
            </w:r>
          </w:p>
        </w:tc>
        <w:tc>
          <w:tcPr>
            <w:tcW w:w="844" w:type="dxa"/>
            <w:tcBorders>
              <w:top w:val="single" w:color="auto" w:sz="4" w:space="0"/>
              <w:left w:val="nil"/>
              <w:bottom w:val="single" w:color="auto" w:sz="4" w:space="0"/>
              <w:right w:val="single" w:color="auto" w:sz="4" w:space="0"/>
            </w:tcBorders>
            <w:shd w:val="clear" w:color="auto" w:fill="auto"/>
            <w:vAlign w:val="center"/>
          </w:tcPr>
          <w:p w14:paraId="718D321A">
            <w:pPr>
              <w:rPr>
                <w:sz w:val="21"/>
                <w:szCs w:val="21"/>
                <w:highlight w:val="none"/>
              </w:rPr>
            </w:pPr>
            <w:r>
              <w:rPr>
                <w:rFonts w:hint="eastAsia"/>
                <w:sz w:val="21"/>
                <w:szCs w:val="21"/>
                <w:highlight w:val="none"/>
              </w:rPr>
              <w:t>数量</w:t>
            </w:r>
          </w:p>
        </w:tc>
        <w:tc>
          <w:tcPr>
            <w:tcW w:w="992" w:type="dxa"/>
            <w:tcBorders>
              <w:top w:val="single" w:color="auto" w:sz="4" w:space="0"/>
              <w:left w:val="nil"/>
              <w:bottom w:val="single" w:color="auto" w:sz="4" w:space="0"/>
              <w:right w:val="single" w:color="auto" w:sz="4" w:space="0"/>
            </w:tcBorders>
            <w:shd w:val="clear" w:color="auto" w:fill="auto"/>
            <w:vAlign w:val="center"/>
          </w:tcPr>
          <w:p w14:paraId="50C7FE30">
            <w:pPr>
              <w:rPr>
                <w:sz w:val="21"/>
                <w:szCs w:val="21"/>
                <w:highlight w:val="none"/>
              </w:rPr>
            </w:pPr>
            <w:r>
              <w:rPr>
                <w:rFonts w:hint="eastAsia"/>
                <w:sz w:val="21"/>
                <w:szCs w:val="21"/>
                <w:highlight w:val="none"/>
              </w:rPr>
              <w:t>综合单价</w:t>
            </w:r>
          </w:p>
        </w:tc>
        <w:tc>
          <w:tcPr>
            <w:tcW w:w="851" w:type="dxa"/>
            <w:tcBorders>
              <w:top w:val="single" w:color="auto" w:sz="4" w:space="0"/>
              <w:left w:val="nil"/>
              <w:bottom w:val="single" w:color="auto" w:sz="4" w:space="0"/>
              <w:right w:val="single" w:color="auto" w:sz="4" w:space="0"/>
            </w:tcBorders>
            <w:shd w:val="clear" w:color="auto" w:fill="auto"/>
            <w:vAlign w:val="center"/>
          </w:tcPr>
          <w:p w14:paraId="236F6343">
            <w:pPr>
              <w:rPr>
                <w:sz w:val="21"/>
                <w:szCs w:val="21"/>
                <w:highlight w:val="none"/>
              </w:rPr>
            </w:pPr>
            <w:r>
              <w:rPr>
                <w:rFonts w:hint="eastAsia"/>
                <w:sz w:val="21"/>
                <w:szCs w:val="21"/>
                <w:highlight w:val="none"/>
              </w:rPr>
              <w:t>金额（元）</w:t>
            </w:r>
          </w:p>
        </w:tc>
        <w:tc>
          <w:tcPr>
            <w:tcW w:w="708" w:type="dxa"/>
            <w:tcBorders>
              <w:top w:val="single" w:color="auto" w:sz="4" w:space="0"/>
              <w:left w:val="nil"/>
              <w:bottom w:val="single" w:color="auto" w:sz="4" w:space="0"/>
              <w:right w:val="single" w:color="auto" w:sz="4" w:space="0"/>
            </w:tcBorders>
            <w:shd w:val="clear" w:color="auto" w:fill="auto"/>
            <w:vAlign w:val="center"/>
          </w:tcPr>
          <w:p w14:paraId="033FC36E">
            <w:pPr>
              <w:rPr>
                <w:sz w:val="21"/>
                <w:szCs w:val="21"/>
                <w:highlight w:val="none"/>
              </w:rPr>
            </w:pPr>
            <w:r>
              <w:rPr>
                <w:rFonts w:hint="eastAsia"/>
                <w:sz w:val="21"/>
                <w:szCs w:val="21"/>
                <w:highlight w:val="none"/>
              </w:rPr>
              <w:t>备注</w:t>
            </w:r>
          </w:p>
        </w:tc>
      </w:tr>
      <w:tr w14:paraId="2E90B353">
        <w:tblPrEx>
          <w:tblCellMar>
            <w:top w:w="0" w:type="dxa"/>
            <w:left w:w="108" w:type="dxa"/>
            <w:bottom w:w="0" w:type="dxa"/>
            <w:right w:w="108" w:type="dxa"/>
          </w:tblCellMar>
        </w:tblPrEx>
        <w:trPr>
          <w:trHeight w:val="600" w:hRule="atLeast"/>
        </w:trPr>
        <w:tc>
          <w:tcPr>
            <w:tcW w:w="857" w:type="dxa"/>
            <w:tcBorders>
              <w:top w:val="nil"/>
              <w:left w:val="single" w:color="auto" w:sz="4" w:space="0"/>
              <w:bottom w:val="single" w:color="auto" w:sz="4" w:space="0"/>
              <w:right w:val="single" w:color="auto" w:sz="4" w:space="0"/>
            </w:tcBorders>
            <w:shd w:val="clear" w:color="auto" w:fill="auto"/>
            <w:noWrap/>
            <w:vAlign w:val="center"/>
          </w:tcPr>
          <w:p w14:paraId="67E97AA7">
            <w:pPr>
              <w:rPr>
                <w:sz w:val="21"/>
                <w:szCs w:val="21"/>
                <w:highlight w:val="none"/>
              </w:rPr>
            </w:pPr>
            <w:r>
              <w:rPr>
                <w:rFonts w:hint="eastAsia"/>
                <w:sz w:val="21"/>
                <w:szCs w:val="21"/>
                <w:highlight w:val="none"/>
              </w:rPr>
              <w:t>一</w:t>
            </w:r>
          </w:p>
        </w:tc>
        <w:tc>
          <w:tcPr>
            <w:tcW w:w="1710" w:type="dxa"/>
            <w:tcBorders>
              <w:top w:val="nil"/>
              <w:left w:val="nil"/>
              <w:bottom w:val="single" w:color="auto" w:sz="4" w:space="0"/>
              <w:right w:val="single" w:color="auto" w:sz="4" w:space="0"/>
            </w:tcBorders>
            <w:shd w:val="clear" w:color="auto" w:fill="auto"/>
            <w:noWrap/>
            <w:vAlign w:val="center"/>
          </w:tcPr>
          <w:p w14:paraId="03133A3B">
            <w:pPr>
              <w:rPr>
                <w:sz w:val="21"/>
                <w:szCs w:val="21"/>
                <w:highlight w:val="none"/>
              </w:rPr>
            </w:pPr>
            <w:r>
              <w:rPr>
                <w:rFonts w:hint="eastAsia"/>
                <w:sz w:val="21"/>
                <w:szCs w:val="21"/>
                <w:highlight w:val="none"/>
              </w:rPr>
              <w:t>看台下部空间利用改造</w:t>
            </w:r>
          </w:p>
        </w:tc>
        <w:tc>
          <w:tcPr>
            <w:tcW w:w="2835" w:type="dxa"/>
            <w:tcBorders>
              <w:top w:val="nil"/>
              <w:left w:val="nil"/>
              <w:bottom w:val="single" w:color="auto" w:sz="4" w:space="0"/>
              <w:right w:val="single" w:color="auto" w:sz="4" w:space="0"/>
            </w:tcBorders>
            <w:shd w:val="clear" w:color="auto" w:fill="auto"/>
            <w:vAlign w:val="center"/>
          </w:tcPr>
          <w:p w14:paraId="13AD8995">
            <w:pPr>
              <w:rPr>
                <w:sz w:val="21"/>
                <w:szCs w:val="21"/>
                <w:highlight w:val="none"/>
              </w:rPr>
            </w:pPr>
            <w:r>
              <w:rPr>
                <w:rFonts w:hint="eastAsia"/>
                <w:sz w:val="21"/>
                <w:szCs w:val="21"/>
                <w:highlight w:val="none"/>
              </w:rPr>
              <w:t>　</w:t>
            </w:r>
          </w:p>
        </w:tc>
        <w:tc>
          <w:tcPr>
            <w:tcW w:w="715" w:type="dxa"/>
            <w:tcBorders>
              <w:top w:val="nil"/>
              <w:left w:val="nil"/>
              <w:bottom w:val="single" w:color="auto" w:sz="4" w:space="0"/>
              <w:right w:val="single" w:color="auto" w:sz="4" w:space="0"/>
            </w:tcBorders>
            <w:shd w:val="clear" w:color="auto" w:fill="auto"/>
            <w:noWrap/>
            <w:vAlign w:val="center"/>
          </w:tcPr>
          <w:p w14:paraId="0383C9B0">
            <w:pPr>
              <w:rPr>
                <w:sz w:val="21"/>
                <w:szCs w:val="21"/>
                <w:highlight w:val="none"/>
              </w:rPr>
            </w:pPr>
            <w:r>
              <w:rPr>
                <w:rFonts w:hint="eastAsia"/>
                <w:sz w:val="21"/>
                <w:szCs w:val="21"/>
                <w:highlight w:val="none"/>
              </w:rPr>
              <w:t>　</w:t>
            </w:r>
          </w:p>
        </w:tc>
        <w:tc>
          <w:tcPr>
            <w:tcW w:w="844" w:type="dxa"/>
            <w:tcBorders>
              <w:top w:val="nil"/>
              <w:left w:val="nil"/>
              <w:bottom w:val="single" w:color="auto" w:sz="4" w:space="0"/>
              <w:right w:val="single" w:color="auto" w:sz="4" w:space="0"/>
            </w:tcBorders>
            <w:shd w:val="clear" w:color="auto" w:fill="auto"/>
            <w:noWrap/>
            <w:vAlign w:val="center"/>
          </w:tcPr>
          <w:p w14:paraId="71DD2406">
            <w:pPr>
              <w:rPr>
                <w:sz w:val="21"/>
                <w:szCs w:val="21"/>
                <w:highlight w:val="none"/>
              </w:rPr>
            </w:pPr>
            <w:r>
              <w:rPr>
                <w:rFonts w:hint="eastAsia"/>
                <w:sz w:val="21"/>
                <w:szCs w:val="21"/>
                <w:highlight w:val="none"/>
              </w:rPr>
              <w:t>　</w:t>
            </w:r>
          </w:p>
        </w:tc>
        <w:tc>
          <w:tcPr>
            <w:tcW w:w="992" w:type="dxa"/>
            <w:tcBorders>
              <w:top w:val="nil"/>
              <w:left w:val="nil"/>
              <w:bottom w:val="single" w:color="auto" w:sz="4" w:space="0"/>
              <w:right w:val="single" w:color="auto" w:sz="4" w:space="0"/>
            </w:tcBorders>
            <w:shd w:val="clear" w:color="auto" w:fill="auto"/>
            <w:noWrap/>
            <w:vAlign w:val="center"/>
          </w:tcPr>
          <w:p w14:paraId="4BBBF822">
            <w:pPr>
              <w:rPr>
                <w:sz w:val="21"/>
                <w:szCs w:val="21"/>
                <w:highlight w:val="none"/>
              </w:rPr>
            </w:pPr>
            <w:r>
              <w:rPr>
                <w:rFonts w:hint="eastAsia"/>
                <w:sz w:val="21"/>
                <w:szCs w:val="21"/>
                <w:highlight w:val="none"/>
              </w:rPr>
              <w:t>　</w:t>
            </w:r>
          </w:p>
        </w:tc>
        <w:tc>
          <w:tcPr>
            <w:tcW w:w="851" w:type="dxa"/>
            <w:tcBorders>
              <w:top w:val="nil"/>
              <w:left w:val="nil"/>
              <w:bottom w:val="single" w:color="auto" w:sz="4" w:space="0"/>
              <w:right w:val="single" w:color="auto" w:sz="4" w:space="0"/>
            </w:tcBorders>
            <w:shd w:val="clear" w:color="auto" w:fill="auto"/>
            <w:noWrap/>
            <w:vAlign w:val="center"/>
          </w:tcPr>
          <w:p w14:paraId="052B173B">
            <w:pPr>
              <w:rPr>
                <w:sz w:val="21"/>
                <w:szCs w:val="21"/>
                <w:highlight w:val="none"/>
              </w:rPr>
            </w:pPr>
            <w:r>
              <w:rPr>
                <w:rFonts w:hint="eastAsia"/>
                <w:sz w:val="21"/>
                <w:szCs w:val="21"/>
                <w:highlight w:val="none"/>
              </w:rPr>
              <w:t>　</w:t>
            </w:r>
          </w:p>
        </w:tc>
        <w:tc>
          <w:tcPr>
            <w:tcW w:w="708" w:type="dxa"/>
            <w:tcBorders>
              <w:top w:val="nil"/>
              <w:left w:val="nil"/>
              <w:bottom w:val="single" w:color="auto" w:sz="4" w:space="0"/>
              <w:right w:val="single" w:color="auto" w:sz="4" w:space="0"/>
            </w:tcBorders>
            <w:shd w:val="clear" w:color="auto" w:fill="auto"/>
            <w:noWrap/>
            <w:vAlign w:val="center"/>
          </w:tcPr>
          <w:p w14:paraId="6126F4F8">
            <w:pPr>
              <w:rPr>
                <w:sz w:val="21"/>
                <w:szCs w:val="21"/>
                <w:highlight w:val="none"/>
              </w:rPr>
            </w:pPr>
            <w:r>
              <w:rPr>
                <w:rFonts w:hint="eastAsia"/>
                <w:sz w:val="21"/>
                <w:szCs w:val="21"/>
                <w:highlight w:val="none"/>
              </w:rPr>
              <w:t>　</w:t>
            </w:r>
          </w:p>
        </w:tc>
      </w:tr>
      <w:tr w14:paraId="472ED2AD">
        <w:tblPrEx>
          <w:tblCellMar>
            <w:top w:w="0" w:type="dxa"/>
            <w:left w:w="108" w:type="dxa"/>
            <w:bottom w:w="0" w:type="dxa"/>
            <w:right w:w="108" w:type="dxa"/>
          </w:tblCellMar>
        </w:tblPrEx>
        <w:trPr>
          <w:trHeight w:val="1032" w:hRule="atLeast"/>
        </w:trPr>
        <w:tc>
          <w:tcPr>
            <w:tcW w:w="857" w:type="dxa"/>
            <w:tcBorders>
              <w:top w:val="nil"/>
              <w:left w:val="single" w:color="auto" w:sz="4" w:space="0"/>
              <w:bottom w:val="single" w:color="auto" w:sz="4" w:space="0"/>
              <w:right w:val="single" w:color="auto" w:sz="4" w:space="0"/>
            </w:tcBorders>
            <w:shd w:val="clear" w:color="auto" w:fill="auto"/>
            <w:noWrap/>
            <w:vAlign w:val="center"/>
          </w:tcPr>
          <w:p w14:paraId="003C39D8">
            <w:pPr>
              <w:rPr>
                <w:sz w:val="21"/>
                <w:szCs w:val="21"/>
                <w:highlight w:val="none"/>
              </w:rPr>
            </w:pPr>
            <w:r>
              <w:rPr>
                <w:rFonts w:hint="eastAsia"/>
                <w:sz w:val="21"/>
                <w:szCs w:val="21"/>
                <w:highlight w:val="none"/>
              </w:rPr>
              <w:t>1</w:t>
            </w:r>
          </w:p>
        </w:tc>
        <w:tc>
          <w:tcPr>
            <w:tcW w:w="1710" w:type="dxa"/>
            <w:tcBorders>
              <w:top w:val="nil"/>
              <w:left w:val="nil"/>
              <w:bottom w:val="single" w:color="auto" w:sz="4" w:space="0"/>
              <w:right w:val="single" w:color="auto" w:sz="4" w:space="0"/>
            </w:tcBorders>
            <w:shd w:val="clear" w:color="auto" w:fill="auto"/>
            <w:noWrap/>
            <w:vAlign w:val="center"/>
          </w:tcPr>
          <w:p w14:paraId="2183B9E9">
            <w:pPr>
              <w:rPr>
                <w:sz w:val="21"/>
                <w:szCs w:val="21"/>
                <w:highlight w:val="none"/>
              </w:rPr>
            </w:pPr>
            <w:r>
              <w:rPr>
                <w:rFonts w:hint="eastAsia"/>
                <w:sz w:val="21"/>
                <w:szCs w:val="21"/>
                <w:highlight w:val="none"/>
              </w:rPr>
              <w:t>墙面砌体拆除</w:t>
            </w:r>
          </w:p>
        </w:tc>
        <w:tc>
          <w:tcPr>
            <w:tcW w:w="2835" w:type="dxa"/>
            <w:tcBorders>
              <w:top w:val="nil"/>
              <w:left w:val="nil"/>
              <w:bottom w:val="single" w:color="auto" w:sz="4" w:space="0"/>
              <w:right w:val="single" w:color="auto" w:sz="4" w:space="0"/>
            </w:tcBorders>
            <w:shd w:val="clear" w:color="auto" w:fill="auto"/>
            <w:vAlign w:val="center"/>
          </w:tcPr>
          <w:p w14:paraId="557FDA17">
            <w:pPr>
              <w:rPr>
                <w:sz w:val="21"/>
                <w:szCs w:val="21"/>
                <w:highlight w:val="none"/>
              </w:rPr>
            </w:pPr>
            <w:r>
              <w:rPr>
                <w:rFonts w:hint="eastAsia"/>
                <w:sz w:val="21"/>
                <w:szCs w:val="21"/>
                <w:highlight w:val="none"/>
              </w:rPr>
              <w:t>墙面砌体拆除，洞口高度约2.2米，墙体厚200，下有250高素砼翻边，含周边粉刷修补、墙地面及管线保护、垃圾袋装清运至指定点等</w:t>
            </w:r>
          </w:p>
        </w:tc>
        <w:tc>
          <w:tcPr>
            <w:tcW w:w="715" w:type="dxa"/>
            <w:tcBorders>
              <w:top w:val="nil"/>
              <w:left w:val="nil"/>
              <w:bottom w:val="single" w:color="auto" w:sz="4" w:space="0"/>
              <w:right w:val="single" w:color="auto" w:sz="4" w:space="0"/>
            </w:tcBorders>
            <w:shd w:val="clear" w:color="auto" w:fill="auto"/>
            <w:vAlign w:val="center"/>
          </w:tcPr>
          <w:p w14:paraId="24DE804B">
            <w:pPr>
              <w:rPr>
                <w:sz w:val="21"/>
                <w:szCs w:val="21"/>
                <w:highlight w:val="none"/>
              </w:rPr>
            </w:pPr>
            <w:r>
              <w:rPr>
                <w:rFonts w:hint="eastAsia"/>
                <w:sz w:val="21"/>
                <w:szCs w:val="21"/>
                <w:highlight w:val="none"/>
              </w:rPr>
              <w:t>m2</w:t>
            </w:r>
          </w:p>
        </w:tc>
        <w:tc>
          <w:tcPr>
            <w:tcW w:w="844" w:type="dxa"/>
            <w:tcBorders>
              <w:top w:val="nil"/>
              <w:left w:val="nil"/>
              <w:bottom w:val="single" w:color="auto" w:sz="4" w:space="0"/>
              <w:right w:val="single" w:color="auto" w:sz="4" w:space="0"/>
            </w:tcBorders>
            <w:shd w:val="clear" w:color="auto" w:fill="auto"/>
            <w:noWrap/>
            <w:vAlign w:val="center"/>
          </w:tcPr>
          <w:p w14:paraId="06EC9238">
            <w:pPr>
              <w:rPr>
                <w:sz w:val="21"/>
                <w:szCs w:val="21"/>
                <w:highlight w:val="none"/>
              </w:rPr>
            </w:pPr>
            <w:r>
              <w:rPr>
                <w:rFonts w:hint="eastAsia"/>
                <w:sz w:val="21"/>
                <w:szCs w:val="21"/>
                <w:highlight w:val="none"/>
              </w:rPr>
              <w:t>96.8</w:t>
            </w:r>
          </w:p>
        </w:tc>
        <w:tc>
          <w:tcPr>
            <w:tcW w:w="992" w:type="dxa"/>
            <w:tcBorders>
              <w:top w:val="nil"/>
              <w:left w:val="nil"/>
              <w:bottom w:val="single" w:color="auto" w:sz="4" w:space="0"/>
              <w:right w:val="single" w:color="auto" w:sz="4" w:space="0"/>
            </w:tcBorders>
            <w:shd w:val="clear" w:color="auto" w:fill="auto"/>
            <w:noWrap/>
            <w:vAlign w:val="center"/>
          </w:tcPr>
          <w:p w14:paraId="3CB22112">
            <w:pPr>
              <w:rPr>
                <w:sz w:val="21"/>
                <w:szCs w:val="21"/>
                <w:highlight w:val="none"/>
              </w:rPr>
            </w:pPr>
            <w:r>
              <w:rPr>
                <w:rFonts w:hint="eastAsia"/>
                <w:sz w:val="21"/>
                <w:szCs w:val="21"/>
                <w:highlight w:val="none"/>
              </w:rPr>
              <w:t>　</w:t>
            </w:r>
          </w:p>
        </w:tc>
        <w:tc>
          <w:tcPr>
            <w:tcW w:w="851" w:type="dxa"/>
            <w:tcBorders>
              <w:top w:val="nil"/>
              <w:left w:val="nil"/>
              <w:bottom w:val="single" w:color="auto" w:sz="4" w:space="0"/>
              <w:right w:val="single" w:color="auto" w:sz="4" w:space="0"/>
            </w:tcBorders>
            <w:shd w:val="clear" w:color="auto" w:fill="auto"/>
            <w:noWrap/>
            <w:vAlign w:val="center"/>
          </w:tcPr>
          <w:p w14:paraId="18AB8842">
            <w:pPr>
              <w:rPr>
                <w:sz w:val="21"/>
                <w:szCs w:val="21"/>
                <w:highlight w:val="none"/>
              </w:rPr>
            </w:pPr>
            <w:r>
              <w:rPr>
                <w:rFonts w:hint="eastAsia"/>
                <w:sz w:val="21"/>
                <w:szCs w:val="21"/>
                <w:highlight w:val="none"/>
              </w:rPr>
              <w:t>　</w:t>
            </w:r>
          </w:p>
        </w:tc>
        <w:tc>
          <w:tcPr>
            <w:tcW w:w="708" w:type="dxa"/>
            <w:tcBorders>
              <w:top w:val="nil"/>
              <w:left w:val="nil"/>
              <w:bottom w:val="single" w:color="auto" w:sz="4" w:space="0"/>
              <w:right w:val="single" w:color="auto" w:sz="4" w:space="0"/>
            </w:tcBorders>
            <w:shd w:val="clear" w:color="auto" w:fill="auto"/>
            <w:noWrap/>
            <w:vAlign w:val="center"/>
          </w:tcPr>
          <w:p w14:paraId="079701DB">
            <w:pPr>
              <w:rPr>
                <w:sz w:val="21"/>
                <w:szCs w:val="21"/>
                <w:highlight w:val="none"/>
              </w:rPr>
            </w:pPr>
            <w:r>
              <w:rPr>
                <w:rFonts w:hint="eastAsia"/>
                <w:sz w:val="21"/>
                <w:szCs w:val="21"/>
                <w:highlight w:val="none"/>
              </w:rPr>
              <w:t>　</w:t>
            </w:r>
          </w:p>
        </w:tc>
      </w:tr>
      <w:tr w14:paraId="5A99FC59">
        <w:tblPrEx>
          <w:tblCellMar>
            <w:top w:w="0" w:type="dxa"/>
            <w:left w:w="108" w:type="dxa"/>
            <w:bottom w:w="0" w:type="dxa"/>
            <w:right w:w="108" w:type="dxa"/>
          </w:tblCellMar>
        </w:tblPrEx>
        <w:trPr>
          <w:trHeight w:val="709" w:hRule="atLeast"/>
        </w:trPr>
        <w:tc>
          <w:tcPr>
            <w:tcW w:w="857" w:type="dxa"/>
            <w:tcBorders>
              <w:top w:val="nil"/>
              <w:left w:val="single" w:color="auto" w:sz="4" w:space="0"/>
              <w:bottom w:val="single" w:color="auto" w:sz="4" w:space="0"/>
              <w:right w:val="single" w:color="auto" w:sz="4" w:space="0"/>
            </w:tcBorders>
            <w:shd w:val="clear" w:color="auto" w:fill="auto"/>
            <w:noWrap/>
            <w:vAlign w:val="center"/>
          </w:tcPr>
          <w:p w14:paraId="6A54FF73">
            <w:pPr>
              <w:rPr>
                <w:sz w:val="21"/>
                <w:szCs w:val="21"/>
                <w:highlight w:val="none"/>
              </w:rPr>
            </w:pPr>
            <w:r>
              <w:rPr>
                <w:rFonts w:hint="eastAsia"/>
                <w:sz w:val="21"/>
                <w:szCs w:val="21"/>
                <w:highlight w:val="none"/>
              </w:rPr>
              <w:t>2</w:t>
            </w:r>
          </w:p>
        </w:tc>
        <w:tc>
          <w:tcPr>
            <w:tcW w:w="1710" w:type="dxa"/>
            <w:tcBorders>
              <w:top w:val="nil"/>
              <w:left w:val="nil"/>
              <w:bottom w:val="single" w:color="auto" w:sz="4" w:space="0"/>
              <w:right w:val="single" w:color="auto" w:sz="4" w:space="0"/>
            </w:tcBorders>
            <w:shd w:val="clear" w:color="auto" w:fill="auto"/>
            <w:vAlign w:val="center"/>
          </w:tcPr>
          <w:p w14:paraId="59D8DF5A">
            <w:pPr>
              <w:rPr>
                <w:sz w:val="21"/>
                <w:szCs w:val="21"/>
                <w:highlight w:val="none"/>
              </w:rPr>
            </w:pPr>
            <w:r>
              <w:rPr>
                <w:rFonts w:hint="eastAsia"/>
                <w:sz w:val="21"/>
                <w:szCs w:val="21"/>
                <w:highlight w:val="none"/>
              </w:rPr>
              <w:t>墙面乳胶漆</w:t>
            </w:r>
          </w:p>
        </w:tc>
        <w:tc>
          <w:tcPr>
            <w:tcW w:w="2835" w:type="dxa"/>
            <w:tcBorders>
              <w:top w:val="nil"/>
              <w:left w:val="nil"/>
              <w:bottom w:val="single" w:color="auto" w:sz="4" w:space="0"/>
              <w:right w:val="single" w:color="auto" w:sz="4" w:space="0"/>
            </w:tcBorders>
            <w:shd w:val="clear" w:color="auto" w:fill="auto"/>
            <w:vAlign w:val="center"/>
          </w:tcPr>
          <w:p w14:paraId="6FFD7435">
            <w:pPr>
              <w:rPr>
                <w:sz w:val="21"/>
                <w:szCs w:val="21"/>
                <w:highlight w:val="none"/>
              </w:rPr>
            </w:pPr>
            <w:r>
              <w:rPr>
                <w:rFonts w:hint="eastAsia"/>
                <w:sz w:val="21"/>
                <w:szCs w:val="21"/>
                <w:highlight w:val="none"/>
              </w:rPr>
              <w:t>墙面顶面批腻子，刷乳胶漆一底两面</w:t>
            </w:r>
          </w:p>
        </w:tc>
        <w:tc>
          <w:tcPr>
            <w:tcW w:w="715" w:type="dxa"/>
            <w:tcBorders>
              <w:top w:val="nil"/>
              <w:left w:val="nil"/>
              <w:bottom w:val="single" w:color="auto" w:sz="4" w:space="0"/>
              <w:right w:val="single" w:color="auto" w:sz="4" w:space="0"/>
            </w:tcBorders>
            <w:shd w:val="clear" w:color="auto" w:fill="auto"/>
            <w:vAlign w:val="center"/>
          </w:tcPr>
          <w:p w14:paraId="69600066">
            <w:pPr>
              <w:rPr>
                <w:sz w:val="21"/>
                <w:szCs w:val="21"/>
                <w:highlight w:val="none"/>
              </w:rPr>
            </w:pPr>
            <w:r>
              <w:rPr>
                <w:rFonts w:hint="eastAsia"/>
                <w:sz w:val="21"/>
                <w:szCs w:val="21"/>
                <w:highlight w:val="none"/>
              </w:rPr>
              <w:t>m2</w:t>
            </w:r>
          </w:p>
        </w:tc>
        <w:tc>
          <w:tcPr>
            <w:tcW w:w="844" w:type="dxa"/>
            <w:tcBorders>
              <w:top w:val="nil"/>
              <w:left w:val="nil"/>
              <w:bottom w:val="single" w:color="auto" w:sz="4" w:space="0"/>
              <w:right w:val="single" w:color="auto" w:sz="4" w:space="0"/>
            </w:tcBorders>
            <w:shd w:val="clear" w:color="auto" w:fill="auto"/>
            <w:vAlign w:val="center"/>
          </w:tcPr>
          <w:p w14:paraId="22FC3FAB">
            <w:pPr>
              <w:rPr>
                <w:sz w:val="21"/>
                <w:szCs w:val="21"/>
                <w:highlight w:val="none"/>
              </w:rPr>
            </w:pPr>
            <w:r>
              <w:rPr>
                <w:rFonts w:hint="eastAsia"/>
                <w:sz w:val="21"/>
                <w:szCs w:val="21"/>
                <w:highlight w:val="none"/>
              </w:rPr>
              <w:t>500</w:t>
            </w:r>
          </w:p>
        </w:tc>
        <w:tc>
          <w:tcPr>
            <w:tcW w:w="992" w:type="dxa"/>
            <w:tcBorders>
              <w:top w:val="nil"/>
              <w:left w:val="nil"/>
              <w:bottom w:val="single" w:color="auto" w:sz="4" w:space="0"/>
              <w:right w:val="single" w:color="auto" w:sz="4" w:space="0"/>
            </w:tcBorders>
            <w:shd w:val="clear" w:color="auto" w:fill="auto"/>
            <w:vAlign w:val="center"/>
          </w:tcPr>
          <w:p w14:paraId="42234B34">
            <w:pPr>
              <w:rPr>
                <w:sz w:val="21"/>
                <w:szCs w:val="21"/>
                <w:highlight w:val="none"/>
              </w:rPr>
            </w:pPr>
            <w:r>
              <w:rPr>
                <w:rFonts w:hint="eastAsia"/>
                <w:sz w:val="21"/>
                <w:szCs w:val="21"/>
                <w:highlight w:val="none"/>
              </w:rPr>
              <w:t>　</w:t>
            </w:r>
          </w:p>
        </w:tc>
        <w:tc>
          <w:tcPr>
            <w:tcW w:w="851" w:type="dxa"/>
            <w:tcBorders>
              <w:top w:val="nil"/>
              <w:left w:val="nil"/>
              <w:bottom w:val="single" w:color="auto" w:sz="4" w:space="0"/>
              <w:right w:val="single" w:color="auto" w:sz="4" w:space="0"/>
            </w:tcBorders>
            <w:shd w:val="clear" w:color="auto" w:fill="auto"/>
            <w:noWrap/>
            <w:vAlign w:val="center"/>
          </w:tcPr>
          <w:p w14:paraId="5F08D9B0">
            <w:pPr>
              <w:rPr>
                <w:sz w:val="21"/>
                <w:szCs w:val="21"/>
                <w:highlight w:val="none"/>
              </w:rPr>
            </w:pPr>
            <w:r>
              <w:rPr>
                <w:rFonts w:hint="eastAsia"/>
                <w:sz w:val="21"/>
                <w:szCs w:val="21"/>
                <w:highlight w:val="none"/>
              </w:rPr>
              <w:t>　</w:t>
            </w:r>
          </w:p>
        </w:tc>
        <w:tc>
          <w:tcPr>
            <w:tcW w:w="708" w:type="dxa"/>
            <w:tcBorders>
              <w:top w:val="nil"/>
              <w:left w:val="nil"/>
              <w:bottom w:val="single" w:color="auto" w:sz="4" w:space="0"/>
              <w:right w:val="single" w:color="auto" w:sz="4" w:space="0"/>
            </w:tcBorders>
            <w:shd w:val="clear" w:color="auto" w:fill="auto"/>
            <w:noWrap/>
            <w:vAlign w:val="center"/>
          </w:tcPr>
          <w:p w14:paraId="71941FEF">
            <w:pPr>
              <w:rPr>
                <w:sz w:val="21"/>
                <w:szCs w:val="21"/>
                <w:highlight w:val="none"/>
              </w:rPr>
            </w:pPr>
            <w:r>
              <w:rPr>
                <w:rFonts w:hint="eastAsia"/>
                <w:sz w:val="21"/>
                <w:szCs w:val="21"/>
                <w:highlight w:val="none"/>
              </w:rPr>
              <w:t>　</w:t>
            </w:r>
          </w:p>
        </w:tc>
      </w:tr>
      <w:tr w14:paraId="09649772">
        <w:tblPrEx>
          <w:tblCellMar>
            <w:top w:w="0" w:type="dxa"/>
            <w:left w:w="108" w:type="dxa"/>
            <w:bottom w:w="0" w:type="dxa"/>
            <w:right w:w="108" w:type="dxa"/>
          </w:tblCellMar>
        </w:tblPrEx>
        <w:trPr>
          <w:trHeight w:val="660" w:hRule="atLeast"/>
        </w:trPr>
        <w:tc>
          <w:tcPr>
            <w:tcW w:w="857" w:type="dxa"/>
            <w:tcBorders>
              <w:top w:val="nil"/>
              <w:left w:val="single" w:color="auto" w:sz="4" w:space="0"/>
              <w:bottom w:val="single" w:color="auto" w:sz="4" w:space="0"/>
              <w:right w:val="single" w:color="auto" w:sz="4" w:space="0"/>
            </w:tcBorders>
            <w:shd w:val="clear" w:color="auto" w:fill="auto"/>
            <w:noWrap/>
            <w:vAlign w:val="center"/>
          </w:tcPr>
          <w:p w14:paraId="6072CB28">
            <w:pPr>
              <w:rPr>
                <w:sz w:val="21"/>
                <w:szCs w:val="21"/>
                <w:highlight w:val="none"/>
              </w:rPr>
            </w:pPr>
            <w:r>
              <w:rPr>
                <w:rFonts w:hint="eastAsia"/>
                <w:sz w:val="21"/>
                <w:szCs w:val="21"/>
                <w:highlight w:val="none"/>
              </w:rPr>
              <w:t>3</w:t>
            </w:r>
          </w:p>
        </w:tc>
        <w:tc>
          <w:tcPr>
            <w:tcW w:w="1710" w:type="dxa"/>
            <w:tcBorders>
              <w:top w:val="nil"/>
              <w:left w:val="nil"/>
              <w:bottom w:val="single" w:color="auto" w:sz="4" w:space="0"/>
              <w:right w:val="single" w:color="auto" w:sz="4" w:space="0"/>
            </w:tcBorders>
            <w:shd w:val="clear" w:color="auto" w:fill="auto"/>
            <w:noWrap/>
            <w:vAlign w:val="center"/>
          </w:tcPr>
          <w:p w14:paraId="2EE89BCB">
            <w:pPr>
              <w:rPr>
                <w:sz w:val="21"/>
                <w:szCs w:val="21"/>
                <w:highlight w:val="none"/>
              </w:rPr>
            </w:pPr>
            <w:r>
              <w:rPr>
                <w:rFonts w:hint="eastAsia"/>
                <w:sz w:val="21"/>
                <w:szCs w:val="21"/>
                <w:highlight w:val="none"/>
              </w:rPr>
              <w:t>砖砌墙</w:t>
            </w:r>
          </w:p>
        </w:tc>
        <w:tc>
          <w:tcPr>
            <w:tcW w:w="2835" w:type="dxa"/>
            <w:tcBorders>
              <w:top w:val="nil"/>
              <w:left w:val="nil"/>
              <w:bottom w:val="single" w:color="auto" w:sz="4" w:space="0"/>
              <w:right w:val="single" w:color="auto" w:sz="4" w:space="0"/>
            </w:tcBorders>
            <w:shd w:val="clear" w:color="auto" w:fill="auto"/>
            <w:vAlign w:val="center"/>
          </w:tcPr>
          <w:p w14:paraId="2CAD818E">
            <w:pPr>
              <w:rPr>
                <w:sz w:val="21"/>
                <w:szCs w:val="21"/>
                <w:highlight w:val="none"/>
              </w:rPr>
            </w:pPr>
            <w:r>
              <w:rPr>
                <w:rFonts w:hint="eastAsia"/>
                <w:sz w:val="21"/>
                <w:szCs w:val="21"/>
                <w:highlight w:val="none"/>
              </w:rPr>
              <w:t>200厚砖砌墙体</w:t>
            </w:r>
          </w:p>
        </w:tc>
        <w:tc>
          <w:tcPr>
            <w:tcW w:w="715" w:type="dxa"/>
            <w:tcBorders>
              <w:top w:val="nil"/>
              <w:left w:val="nil"/>
              <w:bottom w:val="single" w:color="auto" w:sz="4" w:space="0"/>
              <w:right w:val="single" w:color="auto" w:sz="4" w:space="0"/>
            </w:tcBorders>
            <w:shd w:val="clear" w:color="auto" w:fill="auto"/>
            <w:vAlign w:val="center"/>
          </w:tcPr>
          <w:p w14:paraId="174FF104">
            <w:pPr>
              <w:rPr>
                <w:sz w:val="21"/>
                <w:szCs w:val="21"/>
                <w:highlight w:val="none"/>
              </w:rPr>
            </w:pPr>
            <w:r>
              <w:rPr>
                <w:rFonts w:hint="eastAsia"/>
                <w:sz w:val="21"/>
                <w:szCs w:val="21"/>
                <w:highlight w:val="none"/>
              </w:rPr>
              <w:t>m3</w:t>
            </w:r>
          </w:p>
        </w:tc>
        <w:tc>
          <w:tcPr>
            <w:tcW w:w="844" w:type="dxa"/>
            <w:tcBorders>
              <w:top w:val="nil"/>
              <w:left w:val="nil"/>
              <w:bottom w:val="single" w:color="auto" w:sz="4" w:space="0"/>
              <w:right w:val="single" w:color="auto" w:sz="4" w:space="0"/>
            </w:tcBorders>
            <w:shd w:val="clear" w:color="auto" w:fill="auto"/>
            <w:vAlign w:val="center"/>
          </w:tcPr>
          <w:p w14:paraId="70DDE46B">
            <w:pPr>
              <w:rPr>
                <w:sz w:val="21"/>
                <w:szCs w:val="21"/>
                <w:highlight w:val="none"/>
              </w:rPr>
            </w:pPr>
            <w:r>
              <w:rPr>
                <w:rFonts w:hint="eastAsia"/>
                <w:sz w:val="21"/>
                <w:szCs w:val="21"/>
                <w:highlight w:val="none"/>
              </w:rPr>
              <w:t>19.86</w:t>
            </w:r>
          </w:p>
        </w:tc>
        <w:tc>
          <w:tcPr>
            <w:tcW w:w="992" w:type="dxa"/>
            <w:tcBorders>
              <w:top w:val="nil"/>
              <w:left w:val="nil"/>
              <w:bottom w:val="single" w:color="auto" w:sz="4" w:space="0"/>
              <w:right w:val="single" w:color="auto" w:sz="4" w:space="0"/>
            </w:tcBorders>
            <w:shd w:val="clear" w:color="auto" w:fill="auto"/>
            <w:vAlign w:val="center"/>
          </w:tcPr>
          <w:p w14:paraId="0B90BF08">
            <w:pPr>
              <w:rPr>
                <w:sz w:val="21"/>
                <w:szCs w:val="21"/>
                <w:highlight w:val="none"/>
              </w:rPr>
            </w:pPr>
            <w:r>
              <w:rPr>
                <w:rFonts w:hint="eastAsia"/>
                <w:sz w:val="21"/>
                <w:szCs w:val="21"/>
                <w:highlight w:val="none"/>
              </w:rPr>
              <w:t>　</w:t>
            </w:r>
          </w:p>
        </w:tc>
        <w:tc>
          <w:tcPr>
            <w:tcW w:w="851" w:type="dxa"/>
            <w:tcBorders>
              <w:top w:val="nil"/>
              <w:left w:val="nil"/>
              <w:bottom w:val="single" w:color="auto" w:sz="4" w:space="0"/>
              <w:right w:val="single" w:color="auto" w:sz="4" w:space="0"/>
            </w:tcBorders>
            <w:shd w:val="clear" w:color="auto" w:fill="auto"/>
            <w:noWrap/>
            <w:vAlign w:val="center"/>
          </w:tcPr>
          <w:p w14:paraId="4AFD4795">
            <w:pPr>
              <w:rPr>
                <w:sz w:val="21"/>
                <w:szCs w:val="21"/>
                <w:highlight w:val="none"/>
              </w:rPr>
            </w:pPr>
            <w:r>
              <w:rPr>
                <w:rFonts w:hint="eastAsia"/>
                <w:sz w:val="21"/>
                <w:szCs w:val="21"/>
                <w:highlight w:val="none"/>
              </w:rPr>
              <w:t>　</w:t>
            </w:r>
          </w:p>
        </w:tc>
        <w:tc>
          <w:tcPr>
            <w:tcW w:w="708" w:type="dxa"/>
            <w:tcBorders>
              <w:top w:val="nil"/>
              <w:left w:val="nil"/>
              <w:bottom w:val="single" w:color="auto" w:sz="4" w:space="0"/>
              <w:right w:val="single" w:color="auto" w:sz="4" w:space="0"/>
            </w:tcBorders>
            <w:shd w:val="clear" w:color="auto" w:fill="auto"/>
            <w:noWrap/>
            <w:vAlign w:val="center"/>
          </w:tcPr>
          <w:p w14:paraId="71B00960">
            <w:pPr>
              <w:rPr>
                <w:sz w:val="21"/>
                <w:szCs w:val="21"/>
                <w:highlight w:val="none"/>
              </w:rPr>
            </w:pPr>
            <w:r>
              <w:rPr>
                <w:rFonts w:hint="eastAsia"/>
                <w:sz w:val="21"/>
                <w:szCs w:val="21"/>
                <w:highlight w:val="none"/>
              </w:rPr>
              <w:t>　</w:t>
            </w:r>
          </w:p>
        </w:tc>
      </w:tr>
      <w:tr w14:paraId="46FA2AE7">
        <w:tblPrEx>
          <w:tblCellMar>
            <w:top w:w="0" w:type="dxa"/>
            <w:left w:w="108" w:type="dxa"/>
            <w:bottom w:w="0" w:type="dxa"/>
            <w:right w:w="108" w:type="dxa"/>
          </w:tblCellMar>
        </w:tblPrEx>
        <w:trPr>
          <w:trHeight w:val="683" w:hRule="atLeast"/>
        </w:trPr>
        <w:tc>
          <w:tcPr>
            <w:tcW w:w="857" w:type="dxa"/>
            <w:tcBorders>
              <w:top w:val="nil"/>
              <w:left w:val="single" w:color="auto" w:sz="4" w:space="0"/>
              <w:bottom w:val="single" w:color="auto" w:sz="4" w:space="0"/>
              <w:right w:val="single" w:color="auto" w:sz="4" w:space="0"/>
            </w:tcBorders>
            <w:shd w:val="clear" w:color="auto" w:fill="auto"/>
            <w:noWrap/>
            <w:vAlign w:val="center"/>
          </w:tcPr>
          <w:p w14:paraId="7312B5B8">
            <w:pPr>
              <w:rPr>
                <w:sz w:val="21"/>
                <w:szCs w:val="21"/>
                <w:highlight w:val="none"/>
              </w:rPr>
            </w:pPr>
            <w:r>
              <w:rPr>
                <w:rFonts w:hint="eastAsia"/>
                <w:sz w:val="21"/>
                <w:szCs w:val="21"/>
                <w:highlight w:val="none"/>
              </w:rPr>
              <w:t>4</w:t>
            </w:r>
          </w:p>
        </w:tc>
        <w:tc>
          <w:tcPr>
            <w:tcW w:w="1710" w:type="dxa"/>
            <w:tcBorders>
              <w:top w:val="nil"/>
              <w:left w:val="nil"/>
              <w:bottom w:val="single" w:color="auto" w:sz="4" w:space="0"/>
              <w:right w:val="single" w:color="auto" w:sz="4" w:space="0"/>
            </w:tcBorders>
            <w:shd w:val="clear" w:color="auto" w:fill="auto"/>
            <w:noWrap/>
            <w:vAlign w:val="center"/>
          </w:tcPr>
          <w:p w14:paraId="2FD254B9">
            <w:pPr>
              <w:rPr>
                <w:sz w:val="21"/>
                <w:szCs w:val="21"/>
                <w:highlight w:val="none"/>
              </w:rPr>
            </w:pPr>
            <w:r>
              <w:rPr>
                <w:rFonts w:hint="eastAsia"/>
                <w:sz w:val="21"/>
                <w:szCs w:val="21"/>
                <w:highlight w:val="none"/>
              </w:rPr>
              <w:t>水泥砂浆粉刷</w:t>
            </w:r>
          </w:p>
        </w:tc>
        <w:tc>
          <w:tcPr>
            <w:tcW w:w="2835" w:type="dxa"/>
            <w:tcBorders>
              <w:top w:val="nil"/>
              <w:left w:val="nil"/>
              <w:bottom w:val="single" w:color="auto" w:sz="4" w:space="0"/>
              <w:right w:val="single" w:color="auto" w:sz="4" w:space="0"/>
            </w:tcBorders>
            <w:shd w:val="clear" w:color="auto" w:fill="auto"/>
            <w:vAlign w:val="center"/>
          </w:tcPr>
          <w:p w14:paraId="330900DE">
            <w:pPr>
              <w:rPr>
                <w:sz w:val="21"/>
                <w:szCs w:val="21"/>
                <w:highlight w:val="none"/>
              </w:rPr>
            </w:pPr>
            <w:r>
              <w:rPr>
                <w:rFonts w:hint="eastAsia"/>
                <w:sz w:val="21"/>
                <w:szCs w:val="21"/>
                <w:highlight w:val="none"/>
              </w:rPr>
              <w:t>砖砌墙水泥砂浆粉刷</w:t>
            </w:r>
          </w:p>
        </w:tc>
        <w:tc>
          <w:tcPr>
            <w:tcW w:w="715" w:type="dxa"/>
            <w:tcBorders>
              <w:top w:val="nil"/>
              <w:left w:val="nil"/>
              <w:bottom w:val="single" w:color="auto" w:sz="4" w:space="0"/>
              <w:right w:val="single" w:color="auto" w:sz="4" w:space="0"/>
            </w:tcBorders>
            <w:shd w:val="clear" w:color="auto" w:fill="auto"/>
            <w:vAlign w:val="center"/>
          </w:tcPr>
          <w:p w14:paraId="7B731F4F">
            <w:pPr>
              <w:rPr>
                <w:sz w:val="21"/>
                <w:szCs w:val="21"/>
                <w:highlight w:val="none"/>
              </w:rPr>
            </w:pPr>
            <w:r>
              <w:rPr>
                <w:rFonts w:hint="eastAsia"/>
                <w:sz w:val="21"/>
                <w:szCs w:val="21"/>
                <w:highlight w:val="none"/>
              </w:rPr>
              <w:t>m2</w:t>
            </w:r>
          </w:p>
        </w:tc>
        <w:tc>
          <w:tcPr>
            <w:tcW w:w="844" w:type="dxa"/>
            <w:tcBorders>
              <w:top w:val="nil"/>
              <w:left w:val="nil"/>
              <w:bottom w:val="single" w:color="auto" w:sz="4" w:space="0"/>
              <w:right w:val="single" w:color="auto" w:sz="4" w:space="0"/>
            </w:tcBorders>
            <w:shd w:val="clear" w:color="auto" w:fill="auto"/>
            <w:vAlign w:val="center"/>
          </w:tcPr>
          <w:p w14:paraId="0A8511AA">
            <w:pPr>
              <w:rPr>
                <w:sz w:val="21"/>
                <w:szCs w:val="21"/>
                <w:highlight w:val="none"/>
              </w:rPr>
            </w:pPr>
            <w:r>
              <w:rPr>
                <w:rFonts w:hint="eastAsia"/>
                <w:sz w:val="21"/>
                <w:szCs w:val="21"/>
                <w:highlight w:val="none"/>
              </w:rPr>
              <w:t>145.8</w:t>
            </w:r>
          </w:p>
        </w:tc>
        <w:tc>
          <w:tcPr>
            <w:tcW w:w="992" w:type="dxa"/>
            <w:tcBorders>
              <w:top w:val="nil"/>
              <w:left w:val="nil"/>
              <w:bottom w:val="single" w:color="auto" w:sz="4" w:space="0"/>
              <w:right w:val="single" w:color="auto" w:sz="4" w:space="0"/>
            </w:tcBorders>
            <w:shd w:val="clear" w:color="auto" w:fill="auto"/>
            <w:vAlign w:val="center"/>
          </w:tcPr>
          <w:p w14:paraId="2E0352E4">
            <w:pPr>
              <w:rPr>
                <w:sz w:val="21"/>
                <w:szCs w:val="21"/>
                <w:highlight w:val="none"/>
              </w:rPr>
            </w:pPr>
            <w:r>
              <w:rPr>
                <w:rFonts w:hint="eastAsia"/>
                <w:sz w:val="21"/>
                <w:szCs w:val="21"/>
                <w:highlight w:val="none"/>
              </w:rPr>
              <w:t>　</w:t>
            </w:r>
          </w:p>
        </w:tc>
        <w:tc>
          <w:tcPr>
            <w:tcW w:w="851" w:type="dxa"/>
            <w:tcBorders>
              <w:top w:val="nil"/>
              <w:left w:val="nil"/>
              <w:bottom w:val="single" w:color="auto" w:sz="4" w:space="0"/>
              <w:right w:val="single" w:color="auto" w:sz="4" w:space="0"/>
            </w:tcBorders>
            <w:shd w:val="clear" w:color="auto" w:fill="auto"/>
            <w:noWrap/>
            <w:vAlign w:val="center"/>
          </w:tcPr>
          <w:p w14:paraId="508FCE24">
            <w:pPr>
              <w:rPr>
                <w:sz w:val="21"/>
                <w:szCs w:val="21"/>
                <w:highlight w:val="none"/>
              </w:rPr>
            </w:pPr>
            <w:r>
              <w:rPr>
                <w:rFonts w:hint="eastAsia"/>
                <w:sz w:val="21"/>
                <w:szCs w:val="21"/>
                <w:highlight w:val="none"/>
              </w:rPr>
              <w:t>　</w:t>
            </w:r>
          </w:p>
        </w:tc>
        <w:tc>
          <w:tcPr>
            <w:tcW w:w="708" w:type="dxa"/>
            <w:tcBorders>
              <w:top w:val="nil"/>
              <w:left w:val="nil"/>
              <w:bottom w:val="single" w:color="auto" w:sz="4" w:space="0"/>
              <w:right w:val="single" w:color="auto" w:sz="4" w:space="0"/>
            </w:tcBorders>
            <w:shd w:val="clear" w:color="auto" w:fill="auto"/>
            <w:noWrap/>
            <w:vAlign w:val="center"/>
          </w:tcPr>
          <w:p w14:paraId="37E428B3">
            <w:pPr>
              <w:rPr>
                <w:sz w:val="21"/>
                <w:szCs w:val="21"/>
                <w:highlight w:val="none"/>
              </w:rPr>
            </w:pPr>
            <w:r>
              <w:rPr>
                <w:rFonts w:hint="eastAsia"/>
                <w:sz w:val="21"/>
                <w:szCs w:val="21"/>
                <w:highlight w:val="none"/>
              </w:rPr>
              <w:t>　</w:t>
            </w:r>
          </w:p>
        </w:tc>
      </w:tr>
      <w:tr w14:paraId="2D8034CC">
        <w:tblPrEx>
          <w:tblCellMar>
            <w:top w:w="0" w:type="dxa"/>
            <w:left w:w="108" w:type="dxa"/>
            <w:bottom w:w="0" w:type="dxa"/>
            <w:right w:w="108" w:type="dxa"/>
          </w:tblCellMar>
        </w:tblPrEx>
        <w:trPr>
          <w:trHeight w:val="623" w:hRule="atLeast"/>
        </w:trPr>
        <w:tc>
          <w:tcPr>
            <w:tcW w:w="857" w:type="dxa"/>
            <w:tcBorders>
              <w:top w:val="nil"/>
              <w:left w:val="single" w:color="auto" w:sz="4" w:space="0"/>
              <w:bottom w:val="single" w:color="auto" w:sz="4" w:space="0"/>
              <w:right w:val="single" w:color="auto" w:sz="4" w:space="0"/>
            </w:tcBorders>
            <w:shd w:val="clear" w:color="auto" w:fill="auto"/>
            <w:noWrap/>
            <w:vAlign w:val="center"/>
          </w:tcPr>
          <w:p w14:paraId="064CAB86">
            <w:pPr>
              <w:rPr>
                <w:sz w:val="21"/>
                <w:szCs w:val="21"/>
                <w:highlight w:val="none"/>
              </w:rPr>
            </w:pPr>
            <w:r>
              <w:rPr>
                <w:rFonts w:hint="eastAsia"/>
                <w:sz w:val="21"/>
                <w:szCs w:val="21"/>
                <w:highlight w:val="none"/>
              </w:rPr>
              <w:t>5</w:t>
            </w:r>
          </w:p>
        </w:tc>
        <w:tc>
          <w:tcPr>
            <w:tcW w:w="1710" w:type="dxa"/>
            <w:tcBorders>
              <w:top w:val="nil"/>
              <w:left w:val="nil"/>
              <w:bottom w:val="single" w:color="auto" w:sz="4" w:space="0"/>
              <w:right w:val="single" w:color="auto" w:sz="4" w:space="0"/>
            </w:tcBorders>
            <w:shd w:val="clear" w:color="auto" w:fill="auto"/>
            <w:noWrap/>
            <w:vAlign w:val="center"/>
          </w:tcPr>
          <w:p w14:paraId="465CF1B8">
            <w:pPr>
              <w:rPr>
                <w:sz w:val="21"/>
                <w:szCs w:val="21"/>
                <w:highlight w:val="none"/>
              </w:rPr>
            </w:pPr>
            <w:r>
              <w:rPr>
                <w:rFonts w:hint="eastAsia"/>
                <w:sz w:val="21"/>
                <w:szCs w:val="21"/>
                <w:highlight w:val="none"/>
              </w:rPr>
              <w:t>地坪清理找平</w:t>
            </w:r>
          </w:p>
        </w:tc>
        <w:tc>
          <w:tcPr>
            <w:tcW w:w="2835" w:type="dxa"/>
            <w:tcBorders>
              <w:top w:val="nil"/>
              <w:left w:val="nil"/>
              <w:bottom w:val="single" w:color="auto" w:sz="4" w:space="0"/>
              <w:right w:val="single" w:color="auto" w:sz="4" w:space="0"/>
            </w:tcBorders>
            <w:shd w:val="clear" w:color="auto" w:fill="auto"/>
            <w:vAlign w:val="center"/>
          </w:tcPr>
          <w:p w14:paraId="76B208F7">
            <w:pPr>
              <w:rPr>
                <w:sz w:val="21"/>
                <w:szCs w:val="21"/>
                <w:highlight w:val="none"/>
              </w:rPr>
            </w:pPr>
            <w:r>
              <w:rPr>
                <w:rFonts w:hint="eastAsia"/>
                <w:sz w:val="21"/>
                <w:szCs w:val="21"/>
                <w:highlight w:val="none"/>
              </w:rPr>
              <w:t>地坪土方整平、清理</w:t>
            </w:r>
          </w:p>
        </w:tc>
        <w:tc>
          <w:tcPr>
            <w:tcW w:w="715" w:type="dxa"/>
            <w:tcBorders>
              <w:top w:val="nil"/>
              <w:left w:val="nil"/>
              <w:bottom w:val="single" w:color="auto" w:sz="4" w:space="0"/>
              <w:right w:val="single" w:color="auto" w:sz="4" w:space="0"/>
            </w:tcBorders>
            <w:shd w:val="clear" w:color="auto" w:fill="auto"/>
            <w:vAlign w:val="center"/>
          </w:tcPr>
          <w:p w14:paraId="270EE5DE">
            <w:pPr>
              <w:rPr>
                <w:sz w:val="21"/>
                <w:szCs w:val="21"/>
                <w:highlight w:val="none"/>
              </w:rPr>
            </w:pPr>
            <w:r>
              <w:rPr>
                <w:rFonts w:hint="eastAsia"/>
                <w:sz w:val="21"/>
                <w:szCs w:val="21"/>
                <w:highlight w:val="none"/>
              </w:rPr>
              <w:t>m2</w:t>
            </w:r>
          </w:p>
        </w:tc>
        <w:tc>
          <w:tcPr>
            <w:tcW w:w="844" w:type="dxa"/>
            <w:tcBorders>
              <w:top w:val="nil"/>
              <w:left w:val="nil"/>
              <w:bottom w:val="single" w:color="auto" w:sz="4" w:space="0"/>
              <w:right w:val="single" w:color="auto" w:sz="4" w:space="0"/>
            </w:tcBorders>
            <w:shd w:val="clear" w:color="auto" w:fill="auto"/>
            <w:vAlign w:val="center"/>
          </w:tcPr>
          <w:p w14:paraId="01952C20">
            <w:pPr>
              <w:rPr>
                <w:sz w:val="21"/>
                <w:szCs w:val="21"/>
                <w:highlight w:val="none"/>
              </w:rPr>
            </w:pPr>
            <w:r>
              <w:rPr>
                <w:rFonts w:hint="eastAsia"/>
                <w:sz w:val="21"/>
                <w:szCs w:val="21"/>
                <w:highlight w:val="none"/>
              </w:rPr>
              <w:t>237.6</w:t>
            </w:r>
          </w:p>
        </w:tc>
        <w:tc>
          <w:tcPr>
            <w:tcW w:w="992" w:type="dxa"/>
            <w:tcBorders>
              <w:top w:val="nil"/>
              <w:left w:val="nil"/>
              <w:bottom w:val="single" w:color="auto" w:sz="4" w:space="0"/>
              <w:right w:val="single" w:color="auto" w:sz="4" w:space="0"/>
            </w:tcBorders>
            <w:shd w:val="clear" w:color="auto" w:fill="auto"/>
            <w:vAlign w:val="center"/>
          </w:tcPr>
          <w:p w14:paraId="52CA7D1F">
            <w:pPr>
              <w:rPr>
                <w:sz w:val="21"/>
                <w:szCs w:val="21"/>
                <w:highlight w:val="none"/>
              </w:rPr>
            </w:pPr>
            <w:r>
              <w:rPr>
                <w:rFonts w:hint="eastAsia"/>
                <w:sz w:val="21"/>
                <w:szCs w:val="21"/>
                <w:highlight w:val="none"/>
              </w:rPr>
              <w:t>　</w:t>
            </w:r>
          </w:p>
        </w:tc>
        <w:tc>
          <w:tcPr>
            <w:tcW w:w="851" w:type="dxa"/>
            <w:tcBorders>
              <w:top w:val="nil"/>
              <w:left w:val="nil"/>
              <w:bottom w:val="single" w:color="auto" w:sz="4" w:space="0"/>
              <w:right w:val="single" w:color="auto" w:sz="4" w:space="0"/>
            </w:tcBorders>
            <w:shd w:val="clear" w:color="auto" w:fill="auto"/>
            <w:noWrap/>
            <w:vAlign w:val="center"/>
          </w:tcPr>
          <w:p w14:paraId="3D2F02A1">
            <w:pPr>
              <w:rPr>
                <w:sz w:val="21"/>
                <w:szCs w:val="21"/>
                <w:highlight w:val="none"/>
              </w:rPr>
            </w:pPr>
            <w:r>
              <w:rPr>
                <w:rFonts w:hint="eastAsia"/>
                <w:sz w:val="21"/>
                <w:szCs w:val="21"/>
                <w:highlight w:val="none"/>
              </w:rPr>
              <w:t>　</w:t>
            </w:r>
          </w:p>
        </w:tc>
        <w:tc>
          <w:tcPr>
            <w:tcW w:w="708" w:type="dxa"/>
            <w:tcBorders>
              <w:top w:val="nil"/>
              <w:left w:val="nil"/>
              <w:bottom w:val="single" w:color="auto" w:sz="4" w:space="0"/>
              <w:right w:val="single" w:color="auto" w:sz="4" w:space="0"/>
            </w:tcBorders>
            <w:shd w:val="clear" w:color="auto" w:fill="auto"/>
            <w:noWrap/>
            <w:vAlign w:val="center"/>
          </w:tcPr>
          <w:p w14:paraId="4F849CCD">
            <w:pPr>
              <w:rPr>
                <w:sz w:val="21"/>
                <w:szCs w:val="21"/>
                <w:highlight w:val="none"/>
              </w:rPr>
            </w:pPr>
            <w:r>
              <w:rPr>
                <w:rFonts w:hint="eastAsia"/>
                <w:sz w:val="21"/>
                <w:szCs w:val="21"/>
                <w:highlight w:val="none"/>
              </w:rPr>
              <w:t>　</w:t>
            </w:r>
          </w:p>
        </w:tc>
      </w:tr>
      <w:tr w14:paraId="7A21D15C">
        <w:tblPrEx>
          <w:tblCellMar>
            <w:top w:w="0" w:type="dxa"/>
            <w:left w:w="108" w:type="dxa"/>
            <w:bottom w:w="0" w:type="dxa"/>
            <w:right w:w="108" w:type="dxa"/>
          </w:tblCellMar>
        </w:tblPrEx>
        <w:trPr>
          <w:trHeight w:val="683" w:hRule="atLeast"/>
        </w:trPr>
        <w:tc>
          <w:tcPr>
            <w:tcW w:w="857" w:type="dxa"/>
            <w:tcBorders>
              <w:top w:val="nil"/>
              <w:left w:val="single" w:color="auto" w:sz="4" w:space="0"/>
              <w:bottom w:val="single" w:color="auto" w:sz="4" w:space="0"/>
              <w:right w:val="single" w:color="auto" w:sz="4" w:space="0"/>
            </w:tcBorders>
            <w:shd w:val="clear" w:color="auto" w:fill="auto"/>
            <w:noWrap/>
            <w:vAlign w:val="center"/>
          </w:tcPr>
          <w:p w14:paraId="2A764529">
            <w:pPr>
              <w:rPr>
                <w:sz w:val="21"/>
                <w:szCs w:val="21"/>
                <w:highlight w:val="none"/>
              </w:rPr>
            </w:pPr>
            <w:r>
              <w:rPr>
                <w:rFonts w:hint="eastAsia"/>
                <w:sz w:val="21"/>
                <w:szCs w:val="21"/>
                <w:highlight w:val="none"/>
              </w:rPr>
              <w:t>6</w:t>
            </w:r>
          </w:p>
        </w:tc>
        <w:tc>
          <w:tcPr>
            <w:tcW w:w="1710" w:type="dxa"/>
            <w:tcBorders>
              <w:top w:val="nil"/>
              <w:left w:val="nil"/>
              <w:bottom w:val="single" w:color="auto" w:sz="4" w:space="0"/>
              <w:right w:val="single" w:color="auto" w:sz="4" w:space="0"/>
            </w:tcBorders>
            <w:shd w:val="clear" w:color="auto" w:fill="auto"/>
            <w:noWrap/>
            <w:vAlign w:val="center"/>
          </w:tcPr>
          <w:p w14:paraId="16480193">
            <w:pPr>
              <w:rPr>
                <w:sz w:val="21"/>
                <w:szCs w:val="21"/>
                <w:highlight w:val="none"/>
              </w:rPr>
            </w:pPr>
            <w:r>
              <w:rPr>
                <w:rFonts w:hint="eastAsia"/>
                <w:sz w:val="21"/>
                <w:szCs w:val="21"/>
                <w:highlight w:val="none"/>
              </w:rPr>
              <w:t>地坪宕渣垫层</w:t>
            </w:r>
          </w:p>
        </w:tc>
        <w:tc>
          <w:tcPr>
            <w:tcW w:w="2835" w:type="dxa"/>
            <w:tcBorders>
              <w:top w:val="nil"/>
              <w:left w:val="nil"/>
              <w:bottom w:val="single" w:color="auto" w:sz="4" w:space="0"/>
              <w:right w:val="single" w:color="auto" w:sz="4" w:space="0"/>
            </w:tcBorders>
            <w:shd w:val="clear" w:color="auto" w:fill="auto"/>
            <w:vAlign w:val="center"/>
          </w:tcPr>
          <w:p w14:paraId="63712969">
            <w:pPr>
              <w:rPr>
                <w:sz w:val="21"/>
                <w:szCs w:val="21"/>
                <w:highlight w:val="none"/>
              </w:rPr>
            </w:pPr>
            <w:r>
              <w:rPr>
                <w:rFonts w:hint="eastAsia"/>
                <w:sz w:val="21"/>
                <w:szCs w:val="21"/>
                <w:highlight w:val="none"/>
              </w:rPr>
              <w:t>20cm厚宕渣垫层</w:t>
            </w:r>
          </w:p>
        </w:tc>
        <w:tc>
          <w:tcPr>
            <w:tcW w:w="715" w:type="dxa"/>
            <w:tcBorders>
              <w:top w:val="nil"/>
              <w:left w:val="nil"/>
              <w:bottom w:val="single" w:color="auto" w:sz="4" w:space="0"/>
              <w:right w:val="single" w:color="auto" w:sz="4" w:space="0"/>
            </w:tcBorders>
            <w:shd w:val="clear" w:color="auto" w:fill="auto"/>
            <w:vAlign w:val="center"/>
          </w:tcPr>
          <w:p w14:paraId="074E8627">
            <w:pPr>
              <w:rPr>
                <w:sz w:val="21"/>
                <w:szCs w:val="21"/>
                <w:highlight w:val="none"/>
              </w:rPr>
            </w:pPr>
            <w:r>
              <w:rPr>
                <w:rFonts w:hint="eastAsia"/>
                <w:sz w:val="21"/>
                <w:szCs w:val="21"/>
                <w:highlight w:val="none"/>
              </w:rPr>
              <w:t>m2</w:t>
            </w:r>
          </w:p>
        </w:tc>
        <w:tc>
          <w:tcPr>
            <w:tcW w:w="844" w:type="dxa"/>
            <w:tcBorders>
              <w:top w:val="nil"/>
              <w:left w:val="nil"/>
              <w:bottom w:val="single" w:color="auto" w:sz="4" w:space="0"/>
              <w:right w:val="single" w:color="auto" w:sz="4" w:space="0"/>
            </w:tcBorders>
            <w:shd w:val="clear" w:color="auto" w:fill="auto"/>
            <w:vAlign w:val="center"/>
          </w:tcPr>
          <w:p w14:paraId="6A7D33F2">
            <w:pPr>
              <w:rPr>
                <w:sz w:val="21"/>
                <w:szCs w:val="21"/>
                <w:highlight w:val="none"/>
              </w:rPr>
            </w:pPr>
            <w:r>
              <w:rPr>
                <w:rFonts w:hint="eastAsia"/>
                <w:sz w:val="21"/>
                <w:szCs w:val="21"/>
                <w:highlight w:val="none"/>
              </w:rPr>
              <w:t>237.6</w:t>
            </w:r>
          </w:p>
        </w:tc>
        <w:tc>
          <w:tcPr>
            <w:tcW w:w="992" w:type="dxa"/>
            <w:tcBorders>
              <w:top w:val="nil"/>
              <w:left w:val="nil"/>
              <w:bottom w:val="single" w:color="auto" w:sz="4" w:space="0"/>
              <w:right w:val="single" w:color="auto" w:sz="4" w:space="0"/>
            </w:tcBorders>
            <w:shd w:val="clear" w:color="auto" w:fill="auto"/>
            <w:vAlign w:val="center"/>
          </w:tcPr>
          <w:p w14:paraId="603ECA71">
            <w:pPr>
              <w:rPr>
                <w:sz w:val="21"/>
                <w:szCs w:val="21"/>
                <w:highlight w:val="none"/>
              </w:rPr>
            </w:pPr>
            <w:r>
              <w:rPr>
                <w:rFonts w:hint="eastAsia"/>
                <w:sz w:val="21"/>
                <w:szCs w:val="21"/>
                <w:highlight w:val="none"/>
              </w:rPr>
              <w:t>　</w:t>
            </w:r>
          </w:p>
        </w:tc>
        <w:tc>
          <w:tcPr>
            <w:tcW w:w="851" w:type="dxa"/>
            <w:tcBorders>
              <w:top w:val="nil"/>
              <w:left w:val="nil"/>
              <w:bottom w:val="single" w:color="auto" w:sz="4" w:space="0"/>
              <w:right w:val="single" w:color="auto" w:sz="4" w:space="0"/>
            </w:tcBorders>
            <w:shd w:val="clear" w:color="auto" w:fill="auto"/>
            <w:noWrap/>
            <w:vAlign w:val="center"/>
          </w:tcPr>
          <w:p w14:paraId="63E930BB">
            <w:pPr>
              <w:rPr>
                <w:sz w:val="21"/>
                <w:szCs w:val="21"/>
                <w:highlight w:val="none"/>
              </w:rPr>
            </w:pPr>
            <w:r>
              <w:rPr>
                <w:rFonts w:hint="eastAsia"/>
                <w:sz w:val="21"/>
                <w:szCs w:val="21"/>
                <w:highlight w:val="none"/>
              </w:rPr>
              <w:t>　</w:t>
            </w:r>
          </w:p>
        </w:tc>
        <w:tc>
          <w:tcPr>
            <w:tcW w:w="708" w:type="dxa"/>
            <w:tcBorders>
              <w:top w:val="nil"/>
              <w:left w:val="nil"/>
              <w:bottom w:val="single" w:color="auto" w:sz="4" w:space="0"/>
              <w:right w:val="single" w:color="auto" w:sz="4" w:space="0"/>
            </w:tcBorders>
            <w:shd w:val="clear" w:color="auto" w:fill="auto"/>
            <w:noWrap/>
            <w:vAlign w:val="center"/>
          </w:tcPr>
          <w:p w14:paraId="03FF746B">
            <w:pPr>
              <w:rPr>
                <w:sz w:val="21"/>
                <w:szCs w:val="21"/>
                <w:highlight w:val="none"/>
              </w:rPr>
            </w:pPr>
            <w:r>
              <w:rPr>
                <w:rFonts w:hint="eastAsia"/>
                <w:sz w:val="21"/>
                <w:szCs w:val="21"/>
                <w:highlight w:val="none"/>
              </w:rPr>
              <w:t>　</w:t>
            </w:r>
          </w:p>
        </w:tc>
      </w:tr>
      <w:tr w14:paraId="32ED2A0E">
        <w:tblPrEx>
          <w:tblCellMar>
            <w:top w:w="0" w:type="dxa"/>
            <w:left w:w="108" w:type="dxa"/>
            <w:bottom w:w="0" w:type="dxa"/>
            <w:right w:w="108" w:type="dxa"/>
          </w:tblCellMar>
        </w:tblPrEx>
        <w:trPr>
          <w:trHeight w:val="683" w:hRule="atLeast"/>
        </w:trPr>
        <w:tc>
          <w:tcPr>
            <w:tcW w:w="857" w:type="dxa"/>
            <w:tcBorders>
              <w:top w:val="nil"/>
              <w:left w:val="single" w:color="auto" w:sz="4" w:space="0"/>
              <w:bottom w:val="single" w:color="auto" w:sz="4" w:space="0"/>
              <w:right w:val="single" w:color="auto" w:sz="4" w:space="0"/>
            </w:tcBorders>
            <w:shd w:val="clear" w:color="auto" w:fill="auto"/>
            <w:noWrap/>
            <w:vAlign w:val="center"/>
          </w:tcPr>
          <w:p w14:paraId="7E69A1DE">
            <w:pPr>
              <w:rPr>
                <w:sz w:val="21"/>
                <w:szCs w:val="21"/>
                <w:highlight w:val="none"/>
              </w:rPr>
            </w:pPr>
            <w:r>
              <w:rPr>
                <w:rFonts w:hint="eastAsia"/>
                <w:sz w:val="21"/>
                <w:szCs w:val="21"/>
                <w:highlight w:val="none"/>
              </w:rPr>
              <w:t>7</w:t>
            </w:r>
          </w:p>
        </w:tc>
        <w:tc>
          <w:tcPr>
            <w:tcW w:w="1710" w:type="dxa"/>
            <w:tcBorders>
              <w:top w:val="nil"/>
              <w:left w:val="nil"/>
              <w:bottom w:val="single" w:color="auto" w:sz="4" w:space="0"/>
              <w:right w:val="single" w:color="auto" w:sz="4" w:space="0"/>
            </w:tcBorders>
            <w:shd w:val="clear" w:color="auto" w:fill="auto"/>
            <w:noWrap/>
            <w:vAlign w:val="center"/>
          </w:tcPr>
          <w:p w14:paraId="3573ADC5">
            <w:pPr>
              <w:rPr>
                <w:sz w:val="21"/>
                <w:szCs w:val="21"/>
                <w:highlight w:val="none"/>
              </w:rPr>
            </w:pPr>
            <w:r>
              <w:rPr>
                <w:rFonts w:hint="eastAsia"/>
                <w:sz w:val="21"/>
                <w:szCs w:val="21"/>
                <w:highlight w:val="none"/>
              </w:rPr>
              <w:t>碎石垫层</w:t>
            </w:r>
          </w:p>
        </w:tc>
        <w:tc>
          <w:tcPr>
            <w:tcW w:w="2835" w:type="dxa"/>
            <w:tcBorders>
              <w:top w:val="nil"/>
              <w:left w:val="nil"/>
              <w:bottom w:val="single" w:color="auto" w:sz="4" w:space="0"/>
              <w:right w:val="single" w:color="auto" w:sz="4" w:space="0"/>
            </w:tcBorders>
            <w:shd w:val="clear" w:color="auto" w:fill="auto"/>
            <w:vAlign w:val="center"/>
          </w:tcPr>
          <w:p w14:paraId="31DE3C9A">
            <w:pPr>
              <w:rPr>
                <w:sz w:val="21"/>
                <w:szCs w:val="21"/>
                <w:highlight w:val="none"/>
              </w:rPr>
            </w:pPr>
            <w:r>
              <w:rPr>
                <w:rFonts w:hint="eastAsia"/>
                <w:sz w:val="21"/>
                <w:szCs w:val="21"/>
                <w:highlight w:val="none"/>
              </w:rPr>
              <w:t>10cm厚碎石垫层</w:t>
            </w:r>
          </w:p>
        </w:tc>
        <w:tc>
          <w:tcPr>
            <w:tcW w:w="715" w:type="dxa"/>
            <w:tcBorders>
              <w:top w:val="nil"/>
              <w:left w:val="nil"/>
              <w:bottom w:val="single" w:color="auto" w:sz="4" w:space="0"/>
              <w:right w:val="single" w:color="auto" w:sz="4" w:space="0"/>
            </w:tcBorders>
            <w:shd w:val="clear" w:color="auto" w:fill="auto"/>
            <w:vAlign w:val="center"/>
          </w:tcPr>
          <w:p w14:paraId="35C7B836">
            <w:pPr>
              <w:rPr>
                <w:sz w:val="21"/>
                <w:szCs w:val="21"/>
                <w:highlight w:val="none"/>
              </w:rPr>
            </w:pPr>
            <w:r>
              <w:rPr>
                <w:rFonts w:hint="eastAsia"/>
                <w:sz w:val="21"/>
                <w:szCs w:val="21"/>
                <w:highlight w:val="none"/>
              </w:rPr>
              <w:t>m2</w:t>
            </w:r>
          </w:p>
        </w:tc>
        <w:tc>
          <w:tcPr>
            <w:tcW w:w="844" w:type="dxa"/>
            <w:tcBorders>
              <w:top w:val="nil"/>
              <w:left w:val="nil"/>
              <w:bottom w:val="single" w:color="auto" w:sz="4" w:space="0"/>
              <w:right w:val="single" w:color="auto" w:sz="4" w:space="0"/>
            </w:tcBorders>
            <w:shd w:val="clear" w:color="auto" w:fill="auto"/>
            <w:vAlign w:val="center"/>
          </w:tcPr>
          <w:p w14:paraId="49F2C868">
            <w:pPr>
              <w:rPr>
                <w:sz w:val="21"/>
                <w:szCs w:val="21"/>
                <w:highlight w:val="none"/>
              </w:rPr>
            </w:pPr>
            <w:r>
              <w:rPr>
                <w:rFonts w:hint="eastAsia"/>
                <w:sz w:val="21"/>
                <w:szCs w:val="21"/>
                <w:highlight w:val="none"/>
              </w:rPr>
              <w:t>237.6</w:t>
            </w:r>
          </w:p>
        </w:tc>
        <w:tc>
          <w:tcPr>
            <w:tcW w:w="992" w:type="dxa"/>
            <w:tcBorders>
              <w:top w:val="nil"/>
              <w:left w:val="nil"/>
              <w:bottom w:val="single" w:color="auto" w:sz="4" w:space="0"/>
              <w:right w:val="single" w:color="auto" w:sz="4" w:space="0"/>
            </w:tcBorders>
            <w:shd w:val="clear" w:color="auto" w:fill="auto"/>
            <w:vAlign w:val="center"/>
          </w:tcPr>
          <w:p w14:paraId="01FF20FE">
            <w:pPr>
              <w:rPr>
                <w:sz w:val="21"/>
                <w:szCs w:val="21"/>
                <w:highlight w:val="none"/>
              </w:rPr>
            </w:pPr>
            <w:r>
              <w:rPr>
                <w:rFonts w:hint="eastAsia"/>
                <w:sz w:val="21"/>
                <w:szCs w:val="21"/>
                <w:highlight w:val="none"/>
              </w:rPr>
              <w:t>　</w:t>
            </w:r>
          </w:p>
        </w:tc>
        <w:tc>
          <w:tcPr>
            <w:tcW w:w="851" w:type="dxa"/>
            <w:tcBorders>
              <w:top w:val="nil"/>
              <w:left w:val="nil"/>
              <w:bottom w:val="single" w:color="auto" w:sz="4" w:space="0"/>
              <w:right w:val="single" w:color="auto" w:sz="4" w:space="0"/>
            </w:tcBorders>
            <w:shd w:val="clear" w:color="auto" w:fill="auto"/>
            <w:noWrap/>
            <w:vAlign w:val="center"/>
          </w:tcPr>
          <w:p w14:paraId="33A15045">
            <w:pPr>
              <w:rPr>
                <w:sz w:val="21"/>
                <w:szCs w:val="21"/>
                <w:highlight w:val="none"/>
              </w:rPr>
            </w:pPr>
            <w:r>
              <w:rPr>
                <w:rFonts w:hint="eastAsia"/>
                <w:sz w:val="21"/>
                <w:szCs w:val="21"/>
                <w:highlight w:val="none"/>
              </w:rPr>
              <w:t>　</w:t>
            </w:r>
          </w:p>
        </w:tc>
        <w:tc>
          <w:tcPr>
            <w:tcW w:w="708" w:type="dxa"/>
            <w:tcBorders>
              <w:top w:val="nil"/>
              <w:left w:val="nil"/>
              <w:bottom w:val="single" w:color="auto" w:sz="4" w:space="0"/>
              <w:right w:val="single" w:color="auto" w:sz="4" w:space="0"/>
            </w:tcBorders>
            <w:shd w:val="clear" w:color="auto" w:fill="auto"/>
            <w:noWrap/>
            <w:vAlign w:val="center"/>
          </w:tcPr>
          <w:p w14:paraId="4E91300C">
            <w:pPr>
              <w:rPr>
                <w:sz w:val="21"/>
                <w:szCs w:val="21"/>
                <w:highlight w:val="none"/>
              </w:rPr>
            </w:pPr>
            <w:r>
              <w:rPr>
                <w:rFonts w:hint="eastAsia"/>
                <w:sz w:val="21"/>
                <w:szCs w:val="21"/>
                <w:highlight w:val="none"/>
              </w:rPr>
              <w:t>　</w:t>
            </w:r>
          </w:p>
        </w:tc>
      </w:tr>
      <w:tr w14:paraId="65081D8F">
        <w:tblPrEx>
          <w:tblCellMar>
            <w:top w:w="0" w:type="dxa"/>
            <w:left w:w="108" w:type="dxa"/>
            <w:bottom w:w="0" w:type="dxa"/>
            <w:right w:w="108" w:type="dxa"/>
          </w:tblCellMar>
        </w:tblPrEx>
        <w:trPr>
          <w:trHeight w:val="600" w:hRule="atLeast"/>
        </w:trPr>
        <w:tc>
          <w:tcPr>
            <w:tcW w:w="857" w:type="dxa"/>
            <w:tcBorders>
              <w:top w:val="nil"/>
              <w:left w:val="single" w:color="auto" w:sz="4" w:space="0"/>
              <w:bottom w:val="single" w:color="auto" w:sz="4" w:space="0"/>
              <w:right w:val="single" w:color="auto" w:sz="4" w:space="0"/>
            </w:tcBorders>
            <w:shd w:val="clear" w:color="auto" w:fill="auto"/>
            <w:noWrap/>
            <w:vAlign w:val="center"/>
          </w:tcPr>
          <w:p w14:paraId="4F7331ED">
            <w:pPr>
              <w:rPr>
                <w:sz w:val="21"/>
                <w:szCs w:val="21"/>
                <w:highlight w:val="none"/>
              </w:rPr>
            </w:pPr>
            <w:r>
              <w:rPr>
                <w:rFonts w:hint="eastAsia"/>
                <w:sz w:val="21"/>
                <w:szCs w:val="21"/>
                <w:highlight w:val="none"/>
              </w:rPr>
              <w:t>8</w:t>
            </w:r>
          </w:p>
        </w:tc>
        <w:tc>
          <w:tcPr>
            <w:tcW w:w="1710" w:type="dxa"/>
            <w:tcBorders>
              <w:top w:val="nil"/>
              <w:left w:val="nil"/>
              <w:bottom w:val="single" w:color="auto" w:sz="4" w:space="0"/>
              <w:right w:val="single" w:color="auto" w:sz="4" w:space="0"/>
            </w:tcBorders>
            <w:shd w:val="clear" w:color="auto" w:fill="auto"/>
            <w:noWrap/>
            <w:vAlign w:val="center"/>
          </w:tcPr>
          <w:p w14:paraId="114F3EF2">
            <w:pPr>
              <w:rPr>
                <w:sz w:val="21"/>
                <w:szCs w:val="21"/>
                <w:highlight w:val="none"/>
              </w:rPr>
            </w:pPr>
            <w:r>
              <w:rPr>
                <w:rFonts w:hint="eastAsia"/>
                <w:sz w:val="21"/>
                <w:szCs w:val="21"/>
                <w:highlight w:val="none"/>
              </w:rPr>
              <w:t>地坪浇筑</w:t>
            </w:r>
          </w:p>
        </w:tc>
        <w:tc>
          <w:tcPr>
            <w:tcW w:w="2835" w:type="dxa"/>
            <w:tcBorders>
              <w:top w:val="nil"/>
              <w:left w:val="nil"/>
              <w:bottom w:val="single" w:color="auto" w:sz="4" w:space="0"/>
              <w:right w:val="single" w:color="auto" w:sz="4" w:space="0"/>
            </w:tcBorders>
            <w:shd w:val="clear" w:color="auto" w:fill="auto"/>
            <w:vAlign w:val="center"/>
          </w:tcPr>
          <w:p w14:paraId="282E8855">
            <w:pPr>
              <w:rPr>
                <w:sz w:val="21"/>
                <w:szCs w:val="21"/>
                <w:highlight w:val="none"/>
              </w:rPr>
            </w:pPr>
            <w:r>
              <w:rPr>
                <w:rFonts w:hint="eastAsia"/>
                <w:sz w:val="21"/>
                <w:szCs w:val="21"/>
                <w:highlight w:val="none"/>
              </w:rPr>
              <w:t>10cm厚水泥砼地坪浇筑</w:t>
            </w:r>
          </w:p>
        </w:tc>
        <w:tc>
          <w:tcPr>
            <w:tcW w:w="715" w:type="dxa"/>
            <w:tcBorders>
              <w:top w:val="nil"/>
              <w:left w:val="nil"/>
              <w:bottom w:val="single" w:color="auto" w:sz="4" w:space="0"/>
              <w:right w:val="single" w:color="auto" w:sz="4" w:space="0"/>
            </w:tcBorders>
            <w:shd w:val="clear" w:color="auto" w:fill="auto"/>
            <w:vAlign w:val="center"/>
          </w:tcPr>
          <w:p w14:paraId="1C30E41F">
            <w:pPr>
              <w:rPr>
                <w:sz w:val="21"/>
                <w:szCs w:val="21"/>
                <w:highlight w:val="none"/>
              </w:rPr>
            </w:pPr>
            <w:r>
              <w:rPr>
                <w:rFonts w:hint="eastAsia"/>
                <w:sz w:val="21"/>
                <w:szCs w:val="21"/>
                <w:highlight w:val="none"/>
              </w:rPr>
              <w:t>m2</w:t>
            </w:r>
          </w:p>
        </w:tc>
        <w:tc>
          <w:tcPr>
            <w:tcW w:w="844" w:type="dxa"/>
            <w:tcBorders>
              <w:top w:val="nil"/>
              <w:left w:val="nil"/>
              <w:bottom w:val="single" w:color="auto" w:sz="4" w:space="0"/>
              <w:right w:val="single" w:color="auto" w:sz="4" w:space="0"/>
            </w:tcBorders>
            <w:shd w:val="clear" w:color="auto" w:fill="auto"/>
            <w:vAlign w:val="center"/>
          </w:tcPr>
          <w:p w14:paraId="1AAC386E">
            <w:pPr>
              <w:rPr>
                <w:sz w:val="21"/>
                <w:szCs w:val="21"/>
                <w:highlight w:val="none"/>
              </w:rPr>
            </w:pPr>
            <w:r>
              <w:rPr>
                <w:rFonts w:hint="eastAsia"/>
                <w:sz w:val="21"/>
                <w:szCs w:val="21"/>
                <w:highlight w:val="none"/>
              </w:rPr>
              <w:t>237.6</w:t>
            </w:r>
          </w:p>
        </w:tc>
        <w:tc>
          <w:tcPr>
            <w:tcW w:w="992" w:type="dxa"/>
            <w:tcBorders>
              <w:top w:val="nil"/>
              <w:left w:val="nil"/>
              <w:bottom w:val="single" w:color="auto" w:sz="4" w:space="0"/>
              <w:right w:val="single" w:color="auto" w:sz="4" w:space="0"/>
            </w:tcBorders>
            <w:shd w:val="clear" w:color="auto" w:fill="auto"/>
            <w:vAlign w:val="center"/>
          </w:tcPr>
          <w:p w14:paraId="5BFD8C28">
            <w:pPr>
              <w:rPr>
                <w:sz w:val="21"/>
                <w:szCs w:val="21"/>
                <w:highlight w:val="none"/>
              </w:rPr>
            </w:pPr>
            <w:r>
              <w:rPr>
                <w:rFonts w:hint="eastAsia"/>
                <w:sz w:val="21"/>
                <w:szCs w:val="21"/>
                <w:highlight w:val="none"/>
              </w:rPr>
              <w:t>　</w:t>
            </w:r>
          </w:p>
        </w:tc>
        <w:tc>
          <w:tcPr>
            <w:tcW w:w="851" w:type="dxa"/>
            <w:tcBorders>
              <w:top w:val="nil"/>
              <w:left w:val="nil"/>
              <w:bottom w:val="single" w:color="auto" w:sz="4" w:space="0"/>
              <w:right w:val="single" w:color="auto" w:sz="4" w:space="0"/>
            </w:tcBorders>
            <w:shd w:val="clear" w:color="auto" w:fill="auto"/>
            <w:noWrap/>
            <w:vAlign w:val="center"/>
          </w:tcPr>
          <w:p w14:paraId="28F6BD37">
            <w:pPr>
              <w:rPr>
                <w:sz w:val="21"/>
                <w:szCs w:val="21"/>
                <w:highlight w:val="none"/>
              </w:rPr>
            </w:pPr>
            <w:r>
              <w:rPr>
                <w:rFonts w:hint="eastAsia"/>
                <w:sz w:val="21"/>
                <w:szCs w:val="21"/>
                <w:highlight w:val="none"/>
              </w:rPr>
              <w:t>　</w:t>
            </w:r>
          </w:p>
        </w:tc>
        <w:tc>
          <w:tcPr>
            <w:tcW w:w="708" w:type="dxa"/>
            <w:tcBorders>
              <w:top w:val="nil"/>
              <w:left w:val="nil"/>
              <w:bottom w:val="single" w:color="auto" w:sz="4" w:space="0"/>
              <w:right w:val="single" w:color="auto" w:sz="4" w:space="0"/>
            </w:tcBorders>
            <w:shd w:val="clear" w:color="auto" w:fill="auto"/>
            <w:noWrap/>
            <w:vAlign w:val="center"/>
          </w:tcPr>
          <w:p w14:paraId="1CC5A2ED">
            <w:pPr>
              <w:rPr>
                <w:sz w:val="21"/>
                <w:szCs w:val="21"/>
                <w:highlight w:val="none"/>
              </w:rPr>
            </w:pPr>
            <w:r>
              <w:rPr>
                <w:rFonts w:hint="eastAsia"/>
                <w:sz w:val="21"/>
                <w:szCs w:val="21"/>
                <w:highlight w:val="none"/>
              </w:rPr>
              <w:t>　</w:t>
            </w:r>
          </w:p>
        </w:tc>
      </w:tr>
      <w:tr w14:paraId="616EFD84">
        <w:tblPrEx>
          <w:tblCellMar>
            <w:top w:w="0" w:type="dxa"/>
            <w:left w:w="108" w:type="dxa"/>
            <w:bottom w:w="0" w:type="dxa"/>
            <w:right w:w="108" w:type="dxa"/>
          </w:tblCellMar>
        </w:tblPrEx>
        <w:trPr>
          <w:trHeight w:val="600" w:hRule="atLeast"/>
        </w:trPr>
        <w:tc>
          <w:tcPr>
            <w:tcW w:w="857" w:type="dxa"/>
            <w:tcBorders>
              <w:top w:val="nil"/>
              <w:left w:val="single" w:color="auto" w:sz="4" w:space="0"/>
              <w:bottom w:val="single" w:color="auto" w:sz="4" w:space="0"/>
              <w:right w:val="single" w:color="auto" w:sz="4" w:space="0"/>
            </w:tcBorders>
            <w:shd w:val="clear" w:color="auto" w:fill="auto"/>
            <w:noWrap/>
            <w:vAlign w:val="center"/>
          </w:tcPr>
          <w:p w14:paraId="0362F163">
            <w:pPr>
              <w:rPr>
                <w:sz w:val="21"/>
                <w:szCs w:val="21"/>
                <w:highlight w:val="none"/>
              </w:rPr>
            </w:pPr>
            <w:r>
              <w:rPr>
                <w:rFonts w:hint="eastAsia"/>
                <w:sz w:val="21"/>
                <w:szCs w:val="21"/>
                <w:highlight w:val="none"/>
              </w:rPr>
              <w:t>9</w:t>
            </w:r>
          </w:p>
        </w:tc>
        <w:tc>
          <w:tcPr>
            <w:tcW w:w="1710" w:type="dxa"/>
            <w:tcBorders>
              <w:top w:val="nil"/>
              <w:left w:val="nil"/>
              <w:bottom w:val="single" w:color="auto" w:sz="4" w:space="0"/>
              <w:right w:val="single" w:color="auto" w:sz="4" w:space="0"/>
            </w:tcBorders>
            <w:shd w:val="clear" w:color="auto" w:fill="auto"/>
            <w:noWrap/>
            <w:vAlign w:val="center"/>
          </w:tcPr>
          <w:p w14:paraId="05D30ECD">
            <w:pPr>
              <w:rPr>
                <w:sz w:val="21"/>
                <w:szCs w:val="21"/>
                <w:highlight w:val="none"/>
              </w:rPr>
            </w:pPr>
            <w:r>
              <w:rPr>
                <w:rFonts w:hint="eastAsia"/>
                <w:sz w:val="21"/>
                <w:szCs w:val="21"/>
                <w:highlight w:val="none"/>
              </w:rPr>
              <w:t>地砖修补</w:t>
            </w:r>
          </w:p>
        </w:tc>
        <w:tc>
          <w:tcPr>
            <w:tcW w:w="2835" w:type="dxa"/>
            <w:tcBorders>
              <w:top w:val="nil"/>
              <w:left w:val="nil"/>
              <w:bottom w:val="single" w:color="auto" w:sz="4" w:space="0"/>
              <w:right w:val="single" w:color="auto" w:sz="4" w:space="0"/>
            </w:tcBorders>
            <w:shd w:val="clear" w:color="auto" w:fill="auto"/>
            <w:vAlign w:val="center"/>
          </w:tcPr>
          <w:p w14:paraId="0CEB8BEB">
            <w:pPr>
              <w:rPr>
                <w:sz w:val="21"/>
                <w:szCs w:val="21"/>
                <w:highlight w:val="none"/>
              </w:rPr>
            </w:pPr>
            <w:r>
              <w:rPr>
                <w:rFonts w:hint="eastAsia"/>
                <w:sz w:val="21"/>
                <w:szCs w:val="21"/>
                <w:highlight w:val="none"/>
              </w:rPr>
              <w:t>拆墙体基础处地砖修补，和原地砖同款</w:t>
            </w:r>
          </w:p>
        </w:tc>
        <w:tc>
          <w:tcPr>
            <w:tcW w:w="715" w:type="dxa"/>
            <w:tcBorders>
              <w:top w:val="nil"/>
              <w:left w:val="nil"/>
              <w:bottom w:val="single" w:color="auto" w:sz="4" w:space="0"/>
              <w:right w:val="single" w:color="auto" w:sz="4" w:space="0"/>
            </w:tcBorders>
            <w:shd w:val="clear" w:color="auto" w:fill="auto"/>
            <w:vAlign w:val="center"/>
          </w:tcPr>
          <w:p w14:paraId="436367C0">
            <w:pPr>
              <w:rPr>
                <w:sz w:val="21"/>
                <w:szCs w:val="21"/>
                <w:highlight w:val="none"/>
              </w:rPr>
            </w:pPr>
            <w:r>
              <w:rPr>
                <w:rFonts w:hint="eastAsia"/>
                <w:sz w:val="21"/>
                <w:szCs w:val="21"/>
                <w:highlight w:val="none"/>
              </w:rPr>
              <w:t>m2</w:t>
            </w:r>
          </w:p>
        </w:tc>
        <w:tc>
          <w:tcPr>
            <w:tcW w:w="844" w:type="dxa"/>
            <w:tcBorders>
              <w:top w:val="nil"/>
              <w:left w:val="nil"/>
              <w:bottom w:val="single" w:color="auto" w:sz="4" w:space="0"/>
              <w:right w:val="single" w:color="auto" w:sz="4" w:space="0"/>
            </w:tcBorders>
            <w:shd w:val="clear" w:color="auto" w:fill="auto"/>
            <w:vAlign w:val="center"/>
          </w:tcPr>
          <w:p w14:paraId="578FFF20">
            <w:pPr>
              <w:rPr>
                <w:sz w:val="21"/>
                <w:szCs w:val="21"/>
                <w:highlight w:val="none"/>
              </w:rPr>
            </w:pPr>
            <w:r>
              <w:rPr>
                <w:rFonts w:hint="eastAsia"/>
                <w:sz w:val="21"/>
                <w:szCs w:val="21"/>
                <w:highlight w:val="none"/>
              </w:rPr>
              <w:t>11.2</w:t>
            </w:r>
          </w:p>
        </w:tc>
        <w:tc>
          <w:tcPr>
            <w:tcW w:w="992" w:type="dxa"/>
            <w:tcBorders>
              <w:top w:val="nil"/>
              <w:left w:val="nil"/>
              <w:bottom w:val="single" w:color="auto" w:sz="4" w:space="0"/>
              <w:right w:val="single" w:color="auto" w:sz="4" w:space="0"/>
            </w:tcBorders>
            <w:shd w:val="clear" w:color="auto" w:fill="auto"/>
            <w:vAlign w:val="center"/>
          </w:tcPr>
          <w:p w14:paraId="4A3B4850">
            <w:pPr>
              <w:rPr>
                <w:sz w:val="21"/>
                <w:szCs w:val="21"/>
                <w:highlight w:val="none"/>
              </w:rPr>
            </w:pPr>
            <w:r>
              <w:rPr>
                <w:rFonts w:hint="eastAsia"/>
                <w:sz w:val="21"/>
                <w:szCs w:val="21"/>
                <w:highlight w:val="none"/>
              </w:rPr>
              <w:t>　</w:t>
            </w:r>
          </w:p>
        </w:tc>
        <w:tc>
          <w:tcPr>
            <w:tcW w:w="851" w:type="dxa"/>
            <w:tcBorders>
              <w:top w:val="nil"/>
              <w:left w:val="nil"/>
              <w:bottom w:val="single" w:color="auto" w:sz="4" w:space="0"/>
              <w:right w:val="single" w:color="auto" w:sz="4" w:space="0"/>
            </w:tcBorders>
            <w:shd w:val="clear" w:color="auto" w:fill="auto"/>
            <w:noWrap/>
            <w:vAlign w:val="center"/>
          </w:tcPr>
          <w:p w14:paraId="5F520F29">
            <w:pPr>
              <w:rPr>
                <w:sz w:val="21"/>
                <w:szCs w:val="21"/>
                <w:highlight w:val="none"/>
              </w:rPr>
            </w:pPr>
            <w:r>
              <w:rPr>
                <w:rFonts w:hint="eastAsia"/>
                <w:sz w:val="21"/>
                <w:szCs w:val="21"/>
                <w:highlight w:val="none"/>
              </w:rPr>
              <w:t>　</w:t>
            </w:r>
          </w:p>
        </w:tc>
        <w:tc>
          <w:tcPr>
            <w:tcW w:w="708" w:type="dxa"/>
            <w:tcBorders>
              <w:top w:val="nil"/>
              <w:left w:val="nil"/>
              <w:bottom w:val="single" w:color="auto" w:sz="4" w:space="0"/>
              <w:right w:val="single" w:color="auto" w:sz="4" w:space="0"/>
            </w:tcBorders>
            <w:shd w:val="clear" w:color="auto" w:fill="auto"/>
            <w:noWrap/>
            <w:vAlign w:val="center"/>
          </w:tcPr>
          <w:p w14:paraId="6A1C7986">
            <w:pPr>
              <w:rPr>
                <w:sz w:val="21"/>
                <w:szCs w:val="21"/>
                <w:highlight w:val="none"/>
              </w:rPr>
            </w:pPr>
            <w:r>
              <w:rPr>
                <w:rFonts w:hint="eastAsia"/>
                <w:sz w:val="21"/>
                <w:szCs w:val="21"/>
                <w:highlight w:val="none"/>
              </w:rPr>
              <w:t>　</w:t>
            </w:r>
          </w:p>
        </w:tc>
      </w:tr>
      <w:tr w14:paraId="3E0BDDCA">
        <w:tblPrEx>
          <w:tblCellMar>
            <w:top w:w="0" w:type="dxa"/>
            <w:left w:w="108" w:type="dxa"/>
            <w:bottom w:w="0" w:type="dxa"/>
            <w:right w:w="108" w:type="dxa"/>
          </w:tblCellMar>
        </w:tblPrEx>
        <w:trPr>
          <w:trHeight w:val="709" w:hRule="atLeast"/>
        </w:trPr>
        <w:tc>
          <w:tcPr>
            <w:tcW w:w="857" w:type="dxa"/>
            <w:tcBorders>
              <w:top w:val="nil"/>
              <w:left w:val="single" w:color="auto" w:sz="4" w:space="0"/>
              <w:bottom w:val="single" w:color="auto" w:sz="4" w:space="0"/>
              <w:right w:val="single" w:color="auto" w:sz="4" w:space="0"/>
            </w:tcBorders>
            <w:shd w:val="clear" w:color="auto" w:fill="auto"/>
            <w:noWrap/>
            <w:vAlign w:val="center"/>
          </w:tcPr>
          <w:p w14:paraId="7A00AA1C">
            <w:pPr>
              <w:rPr>
                <w:sz w:val="21"/>
                <w:szCs w:val="21"/>
                <w:highlight w:val="none"/>
              </w:rPr>
            </w:pPr>
            <w:r>
              <w:rPr>
                <w:rFonts w:hint="eastAsia"/>
                <w:sz w:val="21"/>
                <w:szCs w:val="21"/>
                <w:highlight w:val="none"/>
              </w:rPr>
              <w:t>10</w:t>
            </w:r>
          </w:p>
        </w:tc>
        <w:tc>
          <w:tcPr>
            <w:tcW w:w="1710" w:type="dxa"/>
            <w:tcBorders>
              <w:top w:val="nil"/>
              <w:left w:val="nil"/>
              <w:bottom w:val="single" w:color="auto" w:sz="4" w:space="0"/>
              <w:right w:val="single" w:color="auto" w:sz="4" w:space="0"/>
            </w:tcBorders>
            <w:shd w:val="clear" w:color="auto" w:fill="auto"/>
            <w:noWrap/>
            <w:vAlign w:val="center"/>
          </w:tcPr>
          <w:p w14:paraId="068AE95D">
            <w:pPr>
              <w:rPr>
                <w:sz w:val="21"/>
                <w:szCs w:val="21"/>
                <w:highlight w:val="none"/>
              </w:rPr>
            </w:pPr>
            <w:r>
              <w:rPr>
                <w:rFonts w:hint="eastAsia"/>
                <w:sz w:val="21"/>
                <w:szCs w:val="21"/>
                <w:highlight w:val="none"/>
              </w:rPr>
              <w:t>吊顶修复</w:t>
            </w:r>
          </w:p>
        </w:tc>
        <w:tc>
          <w:tcPr>
            <w:tcW w:w="2835" w:type="dxa"/>
            <w:tcBorders>
              <w:top w:val="nil"/>
              <w:left w:val="nil"/>
              <w:bottom w:val="single" w:color="auto" w:sz="4" w:space="0"/>
              <w:right w:val="single" w:color="auto" w:sz="4" w:space="0"/>
            </w:tcBorders>
            <w:shd w:val="clear" w:color="auto" w:fill="auto"/>
            <w:vAlign w:val="center"/>
          </w:tcPr>
          <w:p w14:paraId="1A274B8F">
            <w:pPr>
              <w:rPr>
                <w:sz w:val="21"/>
                <w:szCs w:val="21"/>
                <w:highlight w:val="none"/>
              </w:rPr>
            </w:pPr>
            <w:r>
              <w:rPr>
                <w:rFonts w:hint="eastAsia"/>
                <w:sz w:val="21"/>
                <w:szCs w:val="21"/>
                <w:highlight w:val="none"/>
              </w:rPr>
              <w:t>原吊顶拆除，龙骨重新调整平整后并补齐缺失矿棉板，含灯具拆装</w:t>
            </w:r>
          </w:p>
        </w:tc>
        <w:tc>
          <w:tcPr>
            <w:tcW w:w="715" w:type="dxa"/>
            <w:tcBorders>
              <w:top w:val="nil"/>
              <w:left w:val="nil"/>
              <w:bottom w:val="single" w:color="auto" w:sz="4" w:space="0"/>
              <w:right w:val="single" w:color="auto" w:sz="4" w:space="0"/>
            </w:tcBorders>
            <w:shd w:val="clear" w:color="auto" w:fill="auto"/>
            <w:vAlign w:val="center"/>
          </w:tcPr>
          <w:p w14:paraId="708A7E52">
            <w:pPr>
              <w:rPr>
                <w:sz w:val="21"/>
                <w:szCs w:val="21"/>
                <w:highlight w:val="none"/>
              </w:rPr>
            </w:pPr>
            <w:r>
              <w:rPr>
                <w:rFonts w:hint="eastAsia"/>
                <w:sz w:val="21"/>
                <w:szCs w:val="21"/>
                <w:highlight w:val="none"/>
              </w:rPr>
              <w:t>平米</w:t>
            </w:r>
          </w:p>
        </w:tc>
        <w:tc>
          <w:tcPr>
            <w:tcW w:w="844" w:type="dxa"/>
            <w:tcBorders>
              <w:top w:val="nil"/>
              <w:left w:val="nil"/>
              <w:bottom w:val="single" w:color="auto" w:sz="4" w:space="0"/>
              <w:right w:val="single" w:color="auto" w:sz="4" w:space="0"/>
            </w:tcBorders>
            <w:shd w:val="clear" w:color="auto" w:fill="auto"/>
            <w:vAlign w:val="center"/>
          </w:tcPr>
          <w:p w14:paraId="0C1CF3AC">
            <w:pPr>
              <w:rPr>
                <w:sz w:val="21"/>
                <w:szCs w:val="21"/>
                <w:highlight w:val="none"/>
              </w:rPr>
            </w:pPr>
            <w:r>
              <w:rPr>
                <w:rFonts w:hint="eastAsia"/>
                <w:sz w:val="21"/>
                <w:szCs w:val="21"/>
                <w:highlight w:val="none"/>
              </w:rPr>
              <w:t>90</w:t>
            </w:r>
          </w:p>
        </w:tc>
        <w:tc>
          <w:tcPr>
            <w:tcW w:w="992" w:type="dxa"/>
            <w:tcBorders>
              <w:top w:val="nil"/>
              <w:left w:val="nil"/>
              <w:bottom w:val="single" w:color="auto" w:sz="4" w:space="0"/>
              <w:right w:val="single" w:color="auto" w:sz="4" w:space="0"/>
            </w:tcBorders>
            <w:shd w:val="clear" w:color="auto" w:fill="auto"/>
            <w:vAlign w:val="center"/>
          </w:tcPr>
          <w:p w14:paraId="4DBCC5E8">
            <w:pPr>
              <w:rPr>
                <w:sz w:val="21"/>
                <w:szCs w:val="21"/>
                <w:highlight w:val="none"/>
              </w:rPr>
            </w:pPr>
            <w:r>
              <w:rPr>
                <w:rFonts w:hint="eastAsia"/>
                <w:sz w:val="21"/>
                <w:szCs w:val="21"/>
                <w:highlight w:val="none"/>
              </w:rPr>
              <w:t>　</w:t>
            </w:r>
          </w:p>
        </w:tc>
        <w:tc>
          <w:tcPr>
            <w:tcW w:w="851" w:type="dxa"/>
            <w:tcBorders>
              <w:top w:val="nil"/>
              <w:left w:val="nil"/>
              <w:bottom w:val="single" w:color="auto" w:sz="4" w:space="0"/>
              <w:right w:val="single" w:color="auto" w:sz="4" w:space="0"/>
            </w:tcBorders>
            <w:shd w:val="clear" w:color="auto" w:fill="auto"/>
            <w:noWrap/>
            <w:vAlign w:val="center"/>
          </w:tcPr>
          <w:p w14:paraId="5E012681">
            <w:pPr>
              <w:rPr>
                <w:sz w:val="21"/>
                <w:szCs w:val="21"/>
                <w:highlight w:val="none"/>
              </w:rPr>
            </w:pPr>
            <w:r>
              <w:rPr>
                <w:rFonts w:hint="eastAsia"/>
                <w:sz w:val="21"/>
                <w:szCs w:val="21"/>
                <w:highlight w:val="none"/>
              </w:rPr>
              <w:t>　</w:t>
            </w:r>
          </w:p>
        </w:tc>
        <w:tc>
          <w:tcPr>
            <w:tcW w:w="708" w:type="dxa"/>
            <w:tcBorders>
              <w:top w:val="nil"/>
              <w:left w:val="nil"/>
              <w:bottom w:val="single" w:color="auto" w:sz="4" w:space="0"/>
              <w:right w:val="single" w:color="auto" w:sz="4" w:space="0"/>
            </w:tcBorders>
            <w:shd w:val="clear" w:color="auto" w:fill="auto"/>
            <w:noWrap/>
            <w:vAlign w:val="center"/>
          </w:tcPr>
          <w:p w14:paraId="6D2EF8CE">
            <w:pPr>
              <w:rPr>
                <w:sz w:val="21"/>
                <w:szCs w:val="21"/>
                <w:highlight w:val="none"/>
              </w:rPr>
            </w:pPr>
            <w:r>
              <w:rPr>
                <w:rFonts w:hint="eastAsia"/>
                <w:sz w:val="21"/>
                <w:szCs w:val="21"/>
                <w:highlight w:val="none"/>
              </w:rPr>
              <w:t>　</w:t>
            </w:r>
          </w:p>
        </w:tc>
      </w:tr>
      <w:tr w14:paraId="2FF383F1">
        <w:tblPrEx>
          <w:tblCellMar>
            <w:top w:w="0" w:type="dxa"/>
            <w:left w:w="108" w:type="dxa"/>
            <w:bottom w:w="0" w:type="dxa"/>
            <w:right w:w="108" w:type="dxa"/>
          </w:tblCellMar>
        </w:tblPrEx>
        <w:trPr>
          <w:trHeight w:val="660" w:hRule="atLeast"/>
        </w:trPr>
        <w:tc>
          <w:tcPr>
            <w:tcW w:w="857" w:type="dxa"/>
            <w:tcBorders>
              <w:top w:val="nil"/>
              <w:left w:val="single" w:color="auto" w:sz="4" w:space="0"/>
              <w:bottom w:val="single" w:color="auto" w:sz="4" w:space="0"/>
              <w:right w:val="single" w:color="auto" w:sz="4" w:space="0"/>
            </w:tcBorders>
            <w:shd w:val="clear" w:color="auto" w:fill="auto"/>
            <w:noWrap/>
            <w:vAlign w:val="center"/>
          </w:tcPr>
          <w:p w14:paraId="68485809">
            <w:pPr>
              <w:rPr>
                <w:sz w:val="21"/>
                <w:szCs w:val="21"/>
                <w:highlight w:val="none"/>
              </w:rPr>
            </w:pPr>
            <w:r>
              <w:rPr>
                <w:rFonts w:hint="eastAsia"/>
                <w:sz w:val="21"/>
                <w:szCs w:val="21"/>
                <w:highlight w:val="none"/>
              </w:rPr>
              <w:t>11</w:t>
            </w:r>
          </w:p>
        </w:tc>
        <w:tc>
          <w:tcPr>
            <w:tcW w:w="1710" w:type="dxa"/>
            <w:tcBorders>
              <w:top w:val="nil"/>
              <w:left w:val="nil"/>
              <w:bottom w:val="single" w:color="auto" w:sz="4" w:space="0"/>
              <w:right w:val="single" w:color="auto" w:sz="4" w:space="0"/>
            </w:tcBorders>
            <w:shd w:val="clear" w:color="auto" w:fill="auto"/>
            <w:vAlign w:val="center"/>
          </w:tcPr>
          <w:p w14:paraId="3A664050">
            <w:pPr>
              <w:rPr>
                <w:sz w:val="21"/>
                <w:szCs w:val="21"/>
                <w:highlight w:val="none"/>
              </w:rPr>
            </w:pPr>
            <w:r>
              <w:rPr>
                <w:rFonts w:hint="eastAsia"/>
                <w:sz w:val="21"/>
                <w:szCs w:val="21"/>
                <w:highlight w:val="none"/>
              </w:rPr>
              <w:t>建筑垃圾清理</w:t>
            </w:r>
          </w:p>
        </w:tc>
        <w:tc>
          <w:tcPr>
            <w:tcW w:w="2835" w:type="dxa"/>
            <w:tcBorders>
              <w:top w:val="nil"/>
              <w:left w:val="nil"/>
              <w:bottom w:val="single" w:color="auto" w:sz="4" w:space="0"/>
              <w:right w:val="single" w:color="auto" w:sz="4" w:space="0"/>
            </w:tcBorders>
            <w:shd w:val="clear" w:color="auto" w:fill="auto"/>
            <w:vAlign w:val="center"/>
          </w:tcPr>
          <w:p w14:paraId="7FBE1E3E">
            <w:pPr>
              <w:rPr>
                <w:sz w:val="21"/>
                <w:szCs w:val="21"/>
                <w:highlight w:val="none"/>
              </w:rPr>
            </w:pPr>
            <w:r>
              <w:rPr>
                <w:rFonts w:hint="eastAsia"/>
                <w:sz w:val="21"/>
                <w:szCs w:val="21"/>
                <w:highlight w:val="none"/>
              </w:rPr>
              <w:t>卫生清扫及建筑垃圾外运至校外，施工单位自行处置</w:t>
            </w:r>
          </w:p>
        </w:tc>
        <w:tc>
          <w:tcPr>
            <w:tcW w:w="715" w:type="dxa"/>
            <w:tcBorders>
              <w:top w:val="nil"/>
              <w:left w:val="nil"/>
              <w:bottom w:val="single" w:color="auto" w:sz="4" w:space="0"/>
              <w:right w:val="single" w:color="auto" w:sz="4" w:space="0"/>
            </w:tcBorders>
            <w:shd w:val="clear" w:color="auto" w:fill="auto"/>
            <w:vAlign w:val="center"/>
          </w:tcPr>
          <w:p w14:paraId="3B9B20EB">
            <w:pPr>
              <w:rPr>
                <w:sz w:val="21"/>
                <w:szCs w:val="21"/>
                <w:highlight w:val="none"/>
              </w:rPr>
            </w:pPr>
            <w:r>
              <w:rPr>
                <w:rFonts w:hint="eastAsia"/>
                <w:sz w:val="21"/>
                <w:szCs w:val="21"/>
                <w:highlight w:val="none"/>
              </w:rPr>
              <w:t>项</w:t>
            </w:r>
          </w:p>
        </w:tc>
        <w:tc>
          <w:tcPr>
            <w:tcW w:w="844" w:type="dxa"/>
            <w:tcBorders>
              <w:top w:val="nil"/>
              <w:left w:val="nil"/>
              <w:bottom w:val="single" w:color="auto" w:sz="4" w:space="0"/>
              <w:right w:val="single" w:color="auto" w:sz="4" w:space="0"/>
            </w:tcBorders>
            <w:shd w:val="clear" w:color="auto" w:fill="auto"/>
            <w:vAlign w:val="center"/>
          </w:tcPr>
          <w:p w14:paraId="494A9C88">
            <w:pPr>
              <w:rPr>
                <w:sz w:val="21"/>
                <w:szCs w:val="21"/>
                <w:highlight w:val="none"/>
              </w:rPr>
            </w:pPr>
            <w:r>
              <w:rPr>
                <w:rFonts w:hint="eastAsia"/>
                <w:sz w:val="21"/>
                <w:szCs w:val="21"/>
                <w:highlight w:val="none"/>
              </w:rPr>
              <w:t>1</w:t>
            </w:r>
          </w:p>
        </w:tc>
        <w:tc>
          <w:tcPr>
            <w:tcW w:w="992" w:type="dxa"/>
            <w:tcBorders>
              <w:top w:val="nil"/>
              <w:left w:val="nil"/>
              <w:bottom w:val="single" w:color="auto" w:sz="4" w:space="0"/>
              <w:right w:val="single" w:color="auto" w:sz="4" w:space="0"/>
            </w:tcBorders>
            <w:shd w:val="clear" w:color="auto" w:fill="auto"/>
            <w:noWrap/>
            <w:vAlign w:val="center"/>
          </w:tcPr>
          <w:p w14:paraId="4E63D9FB">
            <w:pPr>
              <w:rPr>
                <w:sz w:val="21"/>
                <w:szCs w:val="21"/>
                <w:highlight w:val="none"/>
              </w:rPr>
            </w:pPr>
            <w:r>
              <w:rPr>
                <w:rFonts w:hint="eastAsia"/>
                <w:sz w:val="21"/>
                <w:szCs w:val="21"/>
                <w:highlight w:val="none"/>
              </w:rPr>
              <w:t>　</w:t>
            </w:r>
          </w:p>
        </w:tc>
        <w:tc>
          <w:tcPr>
            <w:tcW w:w="851" w:type="dxa"/>
            <w:tcBorders>
              <w:top w:val="nil"/>
              <w:left w:val="nil"/>
              <w:bottom w:val="single" w:color="auto" w:sz="4" w:space="0"/>
              <w:right w:val="single" w:color="auto" w:sz="4" w:space="0"/>
            </w:tcBorders>
            <w:shd w:val="clear" w:color="auto" w:fill="auto"/>
            <w:noWrap/>
            <w:vAlign w:val="center"/>
          </w:tcPr>
          <w:p w14:paraId="67AE6472">
            <w:pPr>
              <w:rPr>
                <w:sz w:val="21"/>
                <w:szCs w:val="21"/>
                <w:highlight w:val="none"/>
              </w:rPr>
            </w:pPr>
            <w:r>
              <w:rPr>
                <w:rFonts w:hint="eastAsia"/>
                <w:sz w:val="21"/>
                <w:szCs w:val="21"/>
                <w:highlight w:val="none"/>
              </w:rPr>
              <w:t>　</w:t>
            </w:r>
          </w:p>
        </w:tc>
        <w:tc>
          <w:tcPr>
            <w:tcW w:w="708" w:type="dxa"/>
            <w:tcBorders>
              <w:top w:val="nil"/>
              <w:left w:val="nil"/>
              <w:bottom w:val="single" w:color="auto" w:sz="4" w:space="0"/>
              <w:right w:val="single" w:color="auto" w:sz="4" w:space="0"/>
            </w:tcBorders>
            <w:shd w:val="clear" w:color="auto" w:fill="auto"/>
            <w:noWrap/>
            <w:vAlign w:val="center"/>
          </w:tcPr>
          <w:p w14:paraId="285069B1">
            <w:pPr>
              <w:rPr>
                <w:sz w:val="21"/>
                <w:szCs w:val="21"/>
                <w:highlight w:val="none"/>
              </w:rPr>
            </w:pPr>
            <w:r>
              <w:rPr>
                <w:rFonts w:hint="eastAsia"/>
                <w:sz w:val="21"/>
                <w:szCs w:val="21"/>
                <w:highlight w:val="none"/>
              </w:rPr>
              <w:t>　</w:t>
            </w:r>
          </w:p>
        </w:tc>
      </w:tr>
      <w:tr w14:paraId="0F7B900E">
        <w:tblPrEx>
          <w:tblCellMar>
            <w:top w:w="0" w:type="dxa"/>
            <w:left w:w="108" w:type="dxa"/>
            <w:bottom w:w="0" w:type="dxa"/>
            <w:right w:w="108" w:type="dxa"/>
          </w:tblCellMar>
        </w:tblPrEx>
        <w:trPr>
          <w:trHeight w:val="600" w:hRule="atLeast"/>
        </w:trPr>
        <w:tc>
          <w:tcPr>
            <w:tcW w:w="857" w:type="dxa"/>
            <w:tcBorders>
              <w:top w:val="nil"/>
              <w:left w:val="single" w:color="auto" w:sz="4" w:space="0"/>
              <w:bottom w:val="single" w:color="auto" w:sz="4" w:space="0"/>
              <w:right w:val="single" w:color="auto" w:sz="4" w:space="0"/>
            </w:tcBorders>
            <w:shd w:val="clear" w:color="auto" w:fill="auto"/>
            <w:noWrap/>
            <w:vAlign w:val="center"/>
          </w:tcPr>
          <w:p w14:paraId="2C1989D2">
            <w:pPr>
              <w:rPr>
                <w:sz w:val="21"/>
                <w:szCs w:val="21"/>
                <w:highlight w:val="none"/>
              </w:rPr>
            </w:pPr>
          </w:p>
        </w:tc>
        <w:tc>
          <w:tcPr>
            <w:tcW w:w="1710" w:type="dxa"/>
            <w:tcBorders>
              <w:top w:val="nil"/>
              <w:left w:val="nil"/>
              <w:bottom w:val="single" w:color="auto" w:sz="4" w:space="0"/>
              <w:right w:val="single" w:color="auto" w:sz="4" w:space="0"/>
            </w:tcBorders>
            <w:shd w:val="clear" w:color="auto" w:fill="auto"/>
            <w:noWrap/>
            <w:vAlign w:val="center"/>
          </w:tcPr>
          <w:p w14:paraId="6AC90BE3">
            <w:pPr>
              <w:rPr>
                <w:sz w:val="21"/>
                <w:szCs w:val="21"/>
                <w:highlight w:val="none"/>
              </w:rPr>
            </w:pPr>
          </w:p>
        </w:tc>
        <w:tc>
          <w:tcPr>
            <w:tcW w:w="2835" w:type="dxa"/>
            <w:tcBorders>
              <w:top w:val="nil"/>
              <w:left w:val="nil"/>
              <w:bottom w:val="single" w:color="auto" w:sz="4" w:space="0"/>
              <w:right w:val="single" w:color="auto" w:sz="4" w:space="0"/>
            </w:tcBorders>
            <w:shd w:val="clear" w:color="auto" w:fill="auto"/>
            <w:vAlign w:val="center"/>
          </w:tcPr>
          <w:p w14:paraId="3DD9F20F">
            <w:pPr>
              <w:rPr>
                <w:sz w:val="21"/>
                <w:szCs w:val="21"/>
                <w:highlight w:val="none"/>
              </w:rPr>
            </w:pPr>
          </w:p>
        </w:tc>
        <w:tc>
          <w:tcPr>
            <w:tcW w:w="715" w:type="dxa"/>
            <w:tcBorders>
              <w:top w:val="nil"/>
              <w:left w:val="nil"/>
              <w:bottom w:val="single" w:color="auto" w:sz="4" w:space="0"/>
              <w:right w:val="single" w:color="auto" w:sz="4" w:space="0"/>
            </w:tcBorders>
            <w:shd w:val="clear" w:color="auto" w:fill="auto"/>
            <w:vAlign w:val="center"/>
          </w:tcPr>
          <w:p w14:paraId="6D28072F">
            <w:pPr>
              <w:rPr>
                <w:sz w:val="21"/>
                <w:szCs w:val="21"/>
                <w:highlight w:val="none"/>
              </w:rPr>
            </w:pPr>
          </w:p>
        </w:tc>
        <w:tc>
          <w:tcPr>
            <w:tcW w:w="844" w:type="dxa"/>
            <w:tcBorders>
              <w:top w:val="nil"/>
              <w:left w:val="nil"/>
              <w:bottom w:val="single" w:color="auto" w:sz="4" w:space="0"/>
              <w:right w:val="single" w:color="auto" w:sz="4" w:space="0"/>
            </w:tcBorders>
            <w:shd w:val="clear" w:color="auto" w:fill="auto"/>
            <w:vAlign w:val="center"/>
          </w:tcPr>
          <w:p w14:paraId="33A878D5">
            <w:pPr>
              <w:rPr>
                <w:sz w:val="21"/>
                <w:szCs w:val="21"/>
                <w:highlight w:val="none"/>
              </w:rPr>
            </w:pPr>
          </w:p>
        </w:tc>
        <w:tc>
          <w:tcPr>
            <w:tcW w:w="992" w:type="dxa"/>
            <w:tcBorders>
              <w:top w:val="nil"/>
              <w:left w:val="nil"/>
              <w:bottom w:val="single" w:color="auto" w:sz="4" w:space="0"/>
              <w:right w:val="single" w:color="auto" w:sz="4" w:space="0"/>
            </w:tcBorders>
            <w:shd w:val="clear" w:color="auto" w:fill="auto"/>
            <w:vAlign w:val="center"/>
          </w:tcPr>
          <w:p w14:paraId="61304670">
            <w:pPr>
              <w:rPr>
                <w:sz w:val="21"/>
                <w:szCs w:val="21"/>
                <w:highlight w:val="none"/>
              </w:rPr>
            </w:pPr>
            <w:r>
              <w:rPr>
                <w:rFonts w:hint="eastAsia"/>
                <w:sz w:val="21"/>
                <w:szCs w:val="21"/>
                <w:highlight w:val="none"/>
              </w:rPr>
              <w:t>　</w:t>
            </w:r>
          </w:p>
        </w:tc>
        <w:tc>
          <w:tcPr>
            <w:tcW w:w="851" w:type="dxa"/>
            <w:tcBorders>
              <w:top w:val="nil"/>
              <w:left w:val="nil"/>
              <w:bottom w:val="single" w:color="auto" w:sz="4" w:space="0"/>
              <w:right w:val="single" w:color="auto" w:sz="4" w:space="0"/>
            </w:tcBorders>
            <w:shd w:val="clear" w:color="auto" w:fill="auto"/>
            <w:noWrap/>
            <w:vAlign w:val="center"/>
          </w:tcPr>
          <w:p w14:paraId="140B2655">
            <w:pPr>
              <w:rPr>
                <w:sz w:val="21"/>
                <w:szCs w:val="21"/>
                <w:highlight w:val="none"/>
              </w:rPr>
            </w:pPr>
            <w:r>
              <w:rPr>
                <w:rFonts w:hint="eastAsia"/>
                <w:sz w:val="21"/>
                <w:szCs w:val="21"/>
                <w:highlight w:val="none"/>
              </w:rPr>
              <w:t>　</w:t>
            </w:r>
          </w:p>
        </w:tc>
        <w:tc>
          <w:tcPr>
            <w:tcW w:w="708" w:type="dxa"/>
            <w:tcBorders>
              <w:top w:val="nil"/>
              <w:left w:val="nil"/>
              <w:bottom w:val="single" w:color="auto" w:sz="4" w:space="0"/>
              <w:right w:val="single" w:color="auto" w:sz="4" w:space="0"/>
            </w:tcBorders>
            <w:shd w:val="clear" w:color="auto" w:fill="auto"/>
            <w:noWrap/>
            <w:vAlign w:val="center"/>
          </w:tcPr>
          <w:p w14:paraId="0ACA5716">
            <w:pPr>
              <w:rPr>
                <w:sz w:val="21"/>
                <w:szCs w:val="21"/>
                <w:highlight w:val="none"/>
              </w:rPr>
            </w:pPr>
            <w:r>
              <w:rPr>
                <w:rFonts w:hint="eastAsia"/>
                <w:sz w:val="21"/>
                <w:szCs w:val="21"/>
                <w:highlight w:val="none"/>
              </w:rPr>
              <w:t>　</w:t>
            </w:r>
          </w:p>
        </w:tc>
      </w:tr>
      <w:tr w14:paraId="26663E2C">
        <w:tblPrEx>
          <w:tblCellMar>
            <w:top w:w="0" w:type="dxa"/>
            <w:left w:w="108" w:type="dxa"/>
            <w:bottom w:w="0" w:type="dxa"/>
            <w:right w:w="108" w:type="dxa"/>
          </w:tblCellMar>
        </w:tblPrEx>
        <w:trPr>
          <w:trHeight w:val="600" w:hRule="atLeast"/>
        </w:trPr>
        <w:tc>
          <w:tcPr>
            <w:tcW w:w="857" w:type="dxa"/>
            <w:tcBorders>
              <w:top w:val="nil"/>
              <w:left w:val="single" w:color="auto" w:sz="4" w:space="0"/>
              <w:bottom w:val="single" w:color="auto" w:sz="4" w:space="0"/>
              <w:right w:val="single" w:color="auto" w:sz="4" w:space="0"/>
            </w:tcBorders>
            <w:shd w:val="clear" w:color="auto" w:fill="auto"/>
            <w:noWrap/>
            <w:vAlign w:val="center"/>
          </w:tcPr>
          <w:p w14:paraId="1252313F">
            <w:pPr>
              <w:rPr>
                <w:sz w:val="21"/>
                <w:szCs w:val="21"/>
                <w:highlight w:val="none"/>
              </w:rPr>
            </w:pPr>
            <w:r>
              <w:rPr>
                <w:rFonts w:hint="eastAsia"/>
                <w:sz w:val="21"/>
                <w:szCs w:val="21"/>
                <w:highlight w:val="none"/>
              </w:rPr>
              <w:t>二</w:t>
            </w:r>
          </w:p>
        </w:tc>
        <w:tc>
          <w:tcPr>
            <w:tcW w:w="1710" w:type="dxa"/>
            <w:tcBorders>
              <w:top w:val="nil"/>
              <w:left w:val="nil"/>
              <w:bottom w:val="single" w:color="auto" w:sz="4" w:space="0"/>
              <w:right w:val="single" w:color="auto" w:sz="4" w:space="0"/>
            </w:tcBorders>
            <w:shd w:val="clear" w:color="auto" w:fill="auto"/>
            <w:noWrap/>
            <w:vAlign w:val="center"/>
          </w:tcPr>
          <w:p w14:paraId="7637EE4A">
            <w:pPr>
              <w:rPr>
                <w:sz w:val="21"/>
                <w:szCs w:val="21"/>
                <w:highlight w:val="none"/>
              </w:rPr>
            </w:pPr>
            <w:r>
              <w:rPr>
                <w:rFonts w:hint="eastAsia"/>
                <w:sz w:val="21"/>
                <w:szCs w:val="21"/>
                <w:highlight w:val="none"/>
              </w:rPr>
              <w:t>湖面隔离网格栅</w:t>
            </w:r>
          </w:p>
        </w:tc>
        <w:tc>
          <w:tcPr>
            <w:tcW w:w="2835" w:type="dxa"/>
            <w:tcBorders>
              <w:top w:val="nil"/>
              <w:left w:val="nil"/>
              <w:bottom w:val="single" w:color="auto" w:sz="4" w:space="0"/>
              <w:right w:val="single" w:color="auto" w:sz="4" w:space="0"/>
            </w:tcBorders>
            <w:shd w:val="clear" w:color="auto" w:fill="auto"/>
            <w:vAlign w:val="center"/>
          </w:tcPr>
          <w:p w14:paraId="5ABD73C2">
            <w:pPr>
              <w:rPr>
                <w:sz w:val="21"/>
                <w:szCs w:val="21"/>
                <w:highlight w:val="none"/>
              </w:rPr>
            </w:pPr>
            <w:r>
              <w:rPr>
                <w:rFonts w:hint="eastAsia"/>
                <w:sz w:val="21"/>
                <w:szCs w:val="21"/>
                <w:highlight w:val="none"/>
              </w:rPr>
              <w:t>　</w:t>
            </w:r>
          </w:p>
        </w:tc>
        <w:tc>
          <w:tcPr>
            <w:tcW w:w="715" w:type="dxa"/>
            <w:tcBorders>
              <w:top w:val="nil"/>
              <w:left w:val="nil"/>
              <w:bottom w:val="single" w:color="auto" w:sz="4" w:space="0"/>
              <w:right w:val="single" w:color="auto" w:sz="4" w:space="0"/>
            </w:tcBorders>
            <w:shd w:val="clear" w:color="auto" w:fill="auto"/>
            <w:vAlign w:val="center"/>
          </w:tcPr>
          <w:p w14:paraId="310EC274">
            <w:pPr>
              <w:rPr>
                <w:sz w:val="21"/>
                <w:szCs w:val="21"/>
                <w:highlight w:val="none"/>
              </w:rPr>
            </w:pPr>
            <w:r>
              <w:rPr>
                <w:rFonts w:hint="eastAsia"/>
                <w:sz w:val="21"/>
                <w:szCs w:val="21"/>
                <w:highlight w:val="none"/>
              </w:rPr>
              <w:t>　</w:t>
            </w:r>
          </w:p>
        </w:tc>
        <w:tc>
          <w:tcPr>
            <w:tcW w:w="844" w:type="dxa"/>
            <w:tcBorders>
              <w:top w:val="nil"/>
              <w:left w:val="nil"/>
              <w:bottom w:val="single" w:color="auto" w:sz="4" w:space="0"/>
              <w:right w:val="single" w:color="auto" w:sz="4" w:space="0"/>
            </w:tcBorders>
            <w:shd w:val="clear" w:color="auto" w:fill="auto"/>
            <w:vAlign w:val="center"/>
          </w:tcPr>
          <w:p w14:paraId="1E46A1FA">
            <w:pPr>
              <w:rPr>
                <w:sz w:val="21"/>
                <w:szCs w:val="21"/>
                <w:highlight w:val="none"/>
              </w:rPr>
            </w:pPr>
            <w:r>
              <w:rPr>
                <w:rFonts w:hint="eastAsia"/>
                <w:sz w:val="21"/>
                <w:szCs w:val="21"/>
                <w:highlight w:val="none"/>
              </w:rPr>
              <w:t>　</w:t>
            </w:r>
          </w:p>
        </w:tc>
        <w:tc>
          <w:tcPr>
            <w:tcW w:w="992" w:type="dxa"/>
            <w:tcBorders>
              <w:top w:val="nil"/>
              <w:left w:val="nil"/>
              <w:bottom w:val="single" w:color="auto" w:sz="4" w:space="0"/>
              <w:right w:val="single" w:color="auto" w:sz="4" w:space="0"/>
            </w:tcBorders>
            <w:shd w:val="clear" w:color="auto" w:fill="auto"/>
            <w:vAlign w:val="center"/>
          </w:tcPr>
          <w:p w14:paraId="16C0B263">
            <w:pPr>
              <w:rPr>
                <w:sz w:val="21"/>
                <w:szCs w:val="21"/>
                <w:highlight w:val="none"/>
              </w:rPr>
            </w:pPr>
            <w:r>
              <w:rPr>
                <w:rFonts w:hint="eastAsia"/>
                <w:sz w:val="21"/>
                <w:szCs w:val="21"/>
                <w:highlight w:val="none"/>
              </w:rPr>
              <w:t>　</w:t>
            </w:r>
          </w:p>
        </w:tc>
        <w:tc>
          <w:tcPr>
            <w:tcW w:w="851" w:type="dxa"/>
            <w:tcBorders>
              <w:top w:val="nil"/>
              <w:left w:val="nil"/>
              <w:bottom w:val="single" w:color="auto" w:sz="4" w:space="0"/>
              <w:right w:val="single" w:color="auto" w:sz="4" w:space="0"/>
            </w:tcBorders>
            <w:shd w:val="clear" w:color="auto" w:fill="auto"/>
            <w:noWrap/>
            <w:vAlign w:val="center"/>
          </w:tcPr>
          <w:p w14:paraId="79884D23">
            <w:pPr>
              <w:rPr>
                <w:sz w:val="21"/>
                <w:szCs w:val="21"/>
                <w:highlight w:val="none"/>
              </w:rPr>
            </w:pPr>
            <w:r>
              <w:rPr>
                <w:rFonts w:hint="eastAsia"/>
                <w:sz w:val="21"/>
                <w:szCs w:val="21"/>
                <w:highlight w:val="none"/>
              </w:rPr>
              <w:t>　</w:t>
            </w:r>
          </w:p>
        </w:tc>
        <w:tc>
          <w:tcPr>
            <w:tcW w:w="708" w:type="dxa"/>
            <w:tcBorders>
              <w:top w:val="nil"/>
              <w:left w:val="nil"/>
              <w:bottom w:val="single" w:color="auto" w:sz="4" w:space="0"/>
              <w:right w:val="single" w:color="auto" w:sz="4" w:space="0"/>
            </w:tcBorders>
            <w:shd w:val="clear" w:color="auto" w:fill="auto"/>
            <w:noWrap/>
            <w:vAlign w:val="center"/>
          </w:tcPr>
          <w:p w14:paraId="7D043B5C">
            <w:pPr>
              <w:rPr>
                <w:sz w:val="21"/>
                <w:szCs w:val="21"/>
                <w:highlight w:val="none"/>
              </w:rPr>
            </w:pPr>
            <w:r>
              <w:rPr>
                <w:rFonts w:hint="eastAsia"/>
                <w:sz w:val="21"/>
                <w:szCs w:val="21"/>
                <w:highlight w:val="none"/>
              </w:rPr>
              <w:t>　</w:t>
            </w:r>
          </w:p>
        </w:tc>
      </w:tr>
      <w:tr w14:paraId="1BA18B36">
        <w:tblPrEx>
          <w:tblCellMar>
            <w:top w:w="0" w:type="dxa"/>
            <w:left w:w="108" w:type="dxa"/>
            <w:bottom w:w="0" w:type="dxa"/>
            <w:right w:w="108" w:type="dxa"/>
          </w:tblCellMar>
        </w:tblPrEx>
        <w:trPr>
          <w:trHeight w:val="841" w:hRule="atLeast"/>
        </w:trPr>
        <w:tc>
          <w:tcPr>
            <w:tcW w:w="857" w:type="dxa"/>
            <w:tcBorders>
              <w:top w:val="nil"/>
              <w:left w:val="single" w:color="auto" w:sz="4" w:space="0"/>
              <w:bottom w:val="single" w:color="auto" w:sz="4" w:space="0"/>
              <w:right w:val="single" w:color="auto" w:sz="4" w:space="0"/>
            </w:tcBorders>
            <w:shd w:val="clear" w:color="auto" w:fill="auto"/>
            <w:noWrap/>
            <w:vAlign w:val="center"/>
          </w:tcPr>
          <w:p w14:paraId="3B6BDA4D">
            <w:pPr>
              <w:rPr>
                <w:sz w:val="21"/>
                <w:szCs w:val="21"/>
                <w:highlight w:val="none"/>
              </w:rPr>
            </w:pPr>
            <w:r>
              <w:rPr>
                <w:rFonts w:hint="eastAsia"/>
                <w:sz w:val="21"/>
                <w:szCs w:val="21"/>
                <w:highlight w:val="none"/>
              </w:rPr>
              <w:t>1</w:t>
            </w:r>
          </w:p>
        </w:tc>
        <w:tc>
          <w:tcPr>
            <w:tcW w:w="1710" w:type="dxa"/>
            <w:tcBorders>
              <w:top w:val="nil"/>
              <w:left w:val="nil"/>
              <w:bottom w:val="single" w:color="auto" w:sz="4" w:space="0"/>
              <w:right w:val="single" w:color="auto" w:sz="4" w:space="0"/>
            </w:tcBorders>
            <w:shd w:val="clear" w:color="auto" w:fill="auto"/>
            <w:noWrap/>
            <w:vAlign w:val="center"/>
          </w:tcPr>
          <w:p w14:paraId="33A29E48">
            <w:pPr>
              <w:rPr>
                <w:sz w:val="21"/>
                <w:szCs w:val="21"/>
                <w:highlight w:val="none"/>
              </w:rPr>
            </w:pPr>
            <w:r>
              <w:rPr>
                <w:rFonts w:hint="eastAsia"/>
                <w:sz w:val="21"/>
                <w:szCs w:val="21"/>
                <w:highlight w:val="none"/>
              </w:rPr>
              <w:t>不锈钢格栅</w:t>
            </w:r>
          </w:p>
        </w:tc>
        <w:tc>
          <w:tcPr>
            <w:tcW w:w="2835" w:type="dxa"/>
            <w:tcBorders>
              <w:top w:val="nil"/>
              <w:left w:val="nil"/>
              <w:bottom w:val="single" w:color="auto" w:sz="4" w:space="0"/>
              <w:right w:val="single" w:color="auto" w:sz="4" w:space="0"/>
            </w:tcBorders>
            <w:shd w:val="clear" w:color="auto" w:fill="auto"/>
            <w:vAlign w:val="center"/>
          </w:tcPr>
          <w:p w14:paraId="009EEFA0">
            <w:pPr>
              <w:rPr>
                <w:sz w:val="21"/>
                <w:szCs w:val="21"/>
                <w:highlight w:val="none"/>
              </w:rPr>
            </w:pPr>
            <w:r>
              <w:rPr>
                <w:rFonts w:hint="eastAsia"/>
                <w:sz w:val="21"/>
                <w:szCs w:val="21"/>
                <w:highlight w:val="none"/>
              </w:rPr>
              <w:t>水闸进水口不锈钢格栅，不锈钢扁管龙骨支架，304不锈钢网片，可拆卸活动式，双侧闸轨道高度约1.5米，需要水下固定作业</w:t>
            </w:r>
          </w:p>
        </w:tc>
        <w:tc>
          <w:tcPr>
            <w:tcW w:w="715" w:type="dxa"/>
            <w:tcBorders>
              <w:top w:val="nil"/>
              <w:left w:val="nil"/>
              <w:bottom w:val="single" w:color="auto" w:sz="4" w:space="0"/>
              <w:right w:val="single" w:color="auto" w:sz="4" w:space="0"/>
            </w:tcBorders>
            <w:shd w:val="clear" w:color="auto" w:fill="auto"/>
            <w:vAlign w:val="center"/>
          </w:tcPr>
          <w:p w14:paraId="6C5B7AD4">
            <w:pPr>
              <w:rPr>
                <w:sz w:val="21"/>
                <w:szCs w:val="21"/>
                <w:highlight w:val="none"/>
              </w:rPr>
            </w:pPr>
            <w:r>
              <w:rPr>
                <w:rFonts w:hint="eastAsia"/>
                <w:sz w:val="21"/>
                <w:szCs w:val="21"/>
                <w:highlight w:val="none"/>
              </w:rPr>
              <w:t>m2</w:t>
            </w:r>
          </w:p>
        </w:tc>
        <w:tc>
          <w:tcPr>
            <w:tcW w:w="844" w:type="dxa"/>
            <w:tcBorders>
              <w:top w:val="nil"/>
              <w:left w:val="nil"/>
              <w:bottom w:val="single" w:color="auto" w:sz="4" w:space="0"/>
              <w:right w:val="single" w:color="auto" w:sz="4" w:space="0"/>
            </w:tcBorders>
            <w:shd w:val="clear" w:color="auto" w:fill="auto"/>
            <w:vAlign w:val="center"/>
          </w:tcPr>
          <w:p w14:paraId="0C840F94">
            <w:pPr>
              <w:rPr>
                <w:sz w:val="21"/>
                <w:szCs w:val="21"/>
                <w:highlight w:val="none"/>
              </w:rPr>
            </w:pPr>
            <w:r>
              <w:rPr>
                <w:rFonts w:hint="eastAsia"/>
                <w:sz w:val="21"/>
                <w:szCs w:val="21"/>
                <w:highlight w:val="none"/>
              </w:rPr>
              <w:t>50.4</w:t>
            </w:r>
          </w:p>
        </w:tc>
        <w:tc>
          <w:tcPr>
            <w:tcW w:w="992" w:type="dxa"/>
            <w:tcBorders>
              <w:top w:val="nil"/>
              <w:left w:val="nil"/>
              <w:bottom w:val="single" w:color="auto" w:sz="4" w:space="0"/>
              <w:right w:val="single" w:color="auto" w:sz="4" w:space="0"/>
            </w:tcBorders>
            <w:shd w:val="clear" w:color="auto" w:fill="auto"/>
            <w:vAlign w:val="center"/>
          </w:tcPr>
          <w:p w14:paraId="415669D2">
            <w:pPr>
              <w:rPr>
                <w:sz w:val="21"/>
                <w:szCs w:val="21"/>
                <w:highlight w:val="none"/>
              </w:rPr>
            </w:pPr>
            <w:r>
              <w:rPr>
                <w:rFonts w:hint="eastAsia"/>
                <w:sz w:val="21"/>
                <w:szCs w:val="21"/>
                <w:highlight w:val="none"/>
              </w:rPr>
              <w:t>　</w:t>
            </w:r>
          </w:p>
        </w:tc>
        <w:tc>
          <w:tcPr>
            <w:tcW w:w="851" w:type="dxa"/>
            <w:tcBorders>
              <w:top w:val="nil"/>
              <w:left w:val="nil"/>
              <w:bottom w:val="single" w:color="auto" w:sz="4" w:space="0"/>
              <w:right w:val="single" w:color="auto" w:sz="4" w:space="0"/>
            </w:tcBorders>
            <w:shd w:val="clear" w:color="auto" w:fill="auto"/>
            <w:noWrap/>
            <w:vAlign w:val="center"/>
          </w:tcPr>
          <w:p w14:paraId="2B267AF3">
            <w:pPr>
              <w:rPr>
                <w:sz w:val="21"/>
                <w:szCs w:val="21"/>
                <w:highlight w:val="none"/>
              </w:rPr>
            </w:pPr>
            <w:r>
              <w:rPr>
                <w:rFonts w:hint="eastAsia"/>
                <w:sz w:val="21"/>
                <w:szCs w:val="21"/>
                <w:highlight w:val="none"/>
              </w:rPr>
              <w:t>　</w:t>
            </w:r>
          </w:p>
        </w:tc>
        <w:tc>
          <w:tcPr>
            <w:tcW w:w="708" w:type="dxa"/>
            <w:tcBorders>
              <w:top w:val="nil"/>
              <w:left w:val="nil"/>
              <w:bottom w:val="single" w:color="auto" w:sz="4" w:space="0"/>
              <w:right w:val="single" w:color="auto" w:sz="4" w:space="0"/>
            </w:tcBorders>
            <w:shd w:val="clear" w:color="auto" w:fill="auto"/>
            <w:noWrap/>
            <w:vAlign w:val="center"/>
          </w:tcPr>
          <w:p w14:paraId="7E479810">
            <w:pPr>
              <w:rPr>
                <w:sz w:val="21"/>
                <w:szCs w:val="21"/>
                <w:highlight w:val="none"/>
              </w:rPr>
            </w:pPr>
            <w:r>
              <w:rPr>
                <w:rFonts w:hint="eastAsia"/>
                <w:sz w:val="21"/>
                <w:szCs w:val="21"/>
                <w:highlight w:val="none"/>
              </w:rPr>
              <w:t>　</w:t>
            </w:r>
          </w:p>
        </w:tc>
      </w:tr>
      <w:tr w14:paraId="2A85614D">
        <w:tblPrEx>
          <w:tblCellMar>
            <w:top w:w="0" w:type="dxa"/>
            <w:left w:w="108" w:type="dxa"/>
            <w:bottom w:w="0" w:type="dxa"/>
            <w:right w:w="108" w:type="dxa"/>
          </w:tblCellMar>
        </w:tblPrEx>
        <w:trPr>
          <w:trHeight w:val="855" w:hRule="atLeast"/>
        </w:trPr>
        <w:tc>
          <w:tcPr>
            <w:tcW w:w="857" w:type="dxa"/>
            <w:tcBorders>
              <w:top w:val="nil"/>
              <w:left w:val="single" w:color="auto" w:sz="4" w:space="0"/>
              <w:bottom w:val="single" w:color="auto" w:sz="4" w:space="0"/>
              <w:right w:val="single" w:color="auto" w:sz="4" w:space="0"/>
            </w:tcBorders>
            <w:shd w:val="clear" w:color="auto" w:fill="auto"/>
            <w:noWrap/>
            <w:vAlign w:val="center"/>
          </w:tcPr>
          <w:p w14:paraId="1F665197">
            <w:pPr>
              <w:rPr>
                <w:sz w:val="21"/>
                <w:szCs w:val="21"/>
                <w:highlight w:val="none"/>
              </w:rPr>
            </w:pPr>
            <w:r>
              <w:rPr>
                <w:rFonts w:hint="eastAsia"/>
                <w:sz w:val="21"/>
                <w:szCs w:val="21"/>
                <w:highlight w:val="none"/>
              </w:rPr>
              <w:t>2</w:t>
            </w:r>
          </w:p>
        </w:tc>
        <w:tc>
          <w:tcPr>
            <w:tcW w:w="1710" w:type="dxa"/>
            <w:tcBorders>
              <w:top w:val="nil"/>
              <w:left w:val="nil"/>
              <w:bottom w:val="single" w:color="auto" w:sz="4" w:space="0"/>
              <w:right w:val="single" w:color="auto" w:sz="4" w:space="0"/>
            </w:tcBorders>
            <w:shd w:val="clear" w:color="auto" w:fill="auto"/>
            <w:noWrap/>
            <w:vAlign w:val="center"/>
          </w:tcPr>
          <w:p w14:paraId="3354BF76">
            <w:pPr>
              <w:rPr>
                <w:sz w:val="21"/>
                <w:szCs w:val="21"/>
                <w:highlight w:val="none"/>
              </w:rPr>
            </w:pPr>
            <w:r>
              <w:rPr>
                <w:rFonts w:hint="eastAsia"/>
                <w:sz w:val="21"/>
                <w:szCs w:val="21"/>
                <w:highlight w:val="none"/>
              </w:rPr>
              <w:t>防护网</w:t>
            </w:r>
          </w:p>
        </w:tc>
        <w:tc>
          <w:tcPr>
            <w:tcW w:w="2835" w:type="dxa"/>
            <w:tcBorders>
              <w:top w:val="nil"/>
              <w:left w:val="nil"/>
              <w:bottom w:val="single" w:color="auto" w:sz="4" w:space="0"/>
              <w:right w:val="single" w:color="auto" w:sz="4" w:space="0"/>
            </w:tcBorders>
            <w:shd w:val="clear" w:color="auto" w:fill="auto"/>
            <w:vAlign w:val="center"/>
          </w:tcPr>
          <w:p w14:paraId="5541CEC8">
            <w:pPr>
              <w:rPr>
                <w:sz w:val="21"/>
                <w:szCs w:val="21"/>
                <w:highlight w:val="none"/>
              </w:rPr>
            </w:pPr>
            <w:r>
              <w:rPr>
                <w:rFonts w:hint="eastAsia"/>
                <w:sz w:val="21"/>
                <w:szCs w:val="21"/>
                <w:highlight w:val="none"/>
              </w:rPr>
              <w:t>浸塑铁丝隔离网，高度1.8米，含立柱、固定钢管桩，开门等，需要水下固定作业</w:t>
            </w:r>
          </w:p>
        </w:tc>
        <w:tc>
          <w:tcPr>
            <w:tcW w:w="715" w:type="dxa"/>
            <w:tcBorders>
              <w:top w:val="nil"/>
              <w:left w:val="nil"/>
              <w:bottom w:val="single" w:color="auto" w:sz="4" w:space="0"/>
              <w:right w:val="single" w:color="auto" w:sz="4" w:space="0"/>
            </w:tcBorders>
            <w:shd w:val="clear" w:color="auto" w:fill="auto"/>
            <w:vAlign w:val="center"/>
          </w:tcPr>
          <w:p w14:paraId="58A6C258">
            <w:pPr>
              <w:rPr>
                <w:sz w:val="21"/>
                <w:szCs w:val="21"/>
                <w:highlight w:val="none"/>
              </w:rPr>
            </w:pPr>
            <w:r>
              <w:rPr>
                <w:rFonts w:hint="eastAsia"/>
                <w:sz w:val="21"/>
                <w:szCs w:val="21"/>
                <w:highlight w:val="none"/>
              </w:rPr>
              <w:t>m2</w:t>
            </w:r>
          </w:p>
        </w:tc>
        <w:tc>
          <w:tcPr>
            <w:tcW w:w="844" w:type="dxa"/>
            <w:tcBorders>
              <w:top w:val="nil"/>
              <w:left w:val="nil"/>
              <w:bottom w:val="single" w:color="auto" w:sz="4" w:space="0"/>
              <w:right w:val="single" w:color="auto" w:sz="4" w:space="0"/>
            </w:tcBorders>
            <w:shd w:val="clear" w:color="auto" w:fill="auto"/>
            <w:vAlign w:val="center"/>
          </w:tcPr>
          <w:p w14:paraId="107A9532">
            <w:pPr>
              <w:rPr>
                <w:sz w:val="21"/>
                <w:szCs w:val="21"/>
                <w:highlight w:val="none"/>
              </w:rPr>
            </w:pPr>
            <w:r>
              <w:rPr>
                <w:rFonts w:hint="eastAsia"/>
                <w:sz w:val="21"/>
                <w:szCs w:val="21"/>
                <w:highlight w:val="none"/>
              </w:rPr>
              <w:t>108</w:t>
            </w:r>
          </w:p>
        </w:tc>
        <w:tc>
          <w:tcPr>
            <w:tcW w:w="992" w:type="dxa"/>
            <w:tcBorders>
              <w:top w:val="nil"/>
              <w:left w:val="nil"/>
              <w:bottom w:val="single" w:color="auto" w:sz="4" w:space="0"/>
              <w:right w:val="single" w:color="auto" w:sz="4" w:space="0"/>
            </w:tcBorders>
            <w:shd w:val="clear" w:color="auto" w:fill="auto"/>
            <w:vAlign w:val="center"/>
          </w:tcPr>
          <w:p w14:paraId="49BA4FDE">
            <w:pPr>
              <w:rPr>
                <w:sz w:val="21"/>
                <w:szCs w:val="21"/>
                <w:highlight w:val="none"/>
              </w:rPr>
            </w:pPr>
            <w:r>
              <w:rPr>
                <w:rFonts w:hint="eastAsia"/>
                <w:sz w:val="21"/>
                <w:szCs w:val="21"/>
                <w:highlight w:val="none"/>
              </w:rPr>
              <w:t>　</w:t>
            </w:r>
          </w:p>
        </w:tc>
        <w:tc>
          <w:tcPr>
            <w:tcW w:w="851" w:type="dxa"/>
            <w:tcBorders>
              <w:top w:val="nil"/>
              <w:left w:val="nil"/>
              <w:bottom w:val="single" w:color="auto" w:sz="4" w:space="0"/>
              <w:right w:val="single" w:color="auto" w:sz="4" w:space="0"/>
            </w:tcBorders>
            <w:shd w:val="clear" w:color="auto" w:fill="auto"/>
            <w:noWrap/>
            <w:vAlign w:val="center"/>
          </w:tcPr>
          <w:p w14:paraId="0B96D40A">
            <w:pPr>
              <w:rPr>
                <w:sz w:val="21"/>
                <w:szCs w:val="21"/>
                <w:highlight w:val="none"/>
              </w:rPr>
            </w:pPr>
            <w:r>
              <w:rPr>
                <w:rFonts w:hint="eastAsia"/>
                <w:sz w:val="21"/>
                <w:szCs w:val="21"/>
                <w:highlight w:val="none"/>
              </w:rPr>
              <w:t>　</w:t>
            </w:r>
          </w:p>
        </w:tc>
        <w:tc>
          <w:tcPr>
            <w:tcW w:w="708" w:type="dxa"/>
            <w:tcBorders>
              <w:top w:val="nil"/>
              <w:left w:val="nil"/>
              <w:bottom w:val="single" w:color="auto" w:sz="4" w:space="0"/>
              <w:right w:val="single" w:color="auto" w:sz="4" w:space="0"/>
            </w:tcBorders>
            <w:shd w:val="clear" w:color="auto" w:fill="auto"/>
            <w:noWrap/>
            <w:vAlign w:val="center"/>
          </w:tcPr>
          <w:p w14:paraId="345135B0">
            <w:pPr>
              <w:rPr>
                <w:sz w:val="21"/>
                <w:szCs w:val="21"/>
                <w:highlight w:val="none"/>
              </w:rPr>
            </w:pPr>
            <w:r>
              <w:rPr>
                <w:rFonts w:hint="eastAsia"/>
                <w:sz w:val="21"/>
                <w:szCs w:val="21"/>
                <w:highlight w:val="none"/>
              </w:rPr>
              <w:t>　</w:t>
            </w:r>
          </w:p>
        </w:tc>
      </w:tr>
      <w:tr w14:paraId="3D12DE34">
        <w:tblPrEx>
          <w:tblCellMar>
            <w:top w:w="0" w:type="dxa"/>
            <w:left w:w="108" w:type="dxa"/>
            <w:bottom w:w="0" w:type="dxa"/>
            <w:right w:w="108" w:type="dxa"/>
          </w:tblCellMar>
        </w:tblPrEx>
        <w:trPr>
          <w:trHeight w:val="600" w:hRule="atLeast"/>
        </w:trPr>
        <w:tc>
          <w:tcPr>
            <w:tcW w:w="857" w:type="dxa"/>
            <w:tcBorders>
              <w:top w:val="nil"/>
              <w:left w:val="single" w:color="auto" w:sz="4" w:space="0"/>
              <w:bottom w:val="single" w:color="auto" w:sz="4" w:space="0"/>
              <w:right w:val="single" w:color="auto" w:sz="4" w:space="0"/>
            </w:tcBorders>
            <w:shd w:val="clear" w:color="auto" w:fill="auto"/>
            <w:noWrap/>
            <w:vAlign w:val="center"/>
          </w:tcPr>
          <w:p w14:paraId="59F2A1EF">
            <w:pPr>
              <w:rPr>
                <w:sz w:val="21"/>
                <w:szCs w:val="21"/>
                <w:highlight w:val="none"/>
              </w:rPr>
            </w:pPr>
            <w:r>
              <w:rPr>
                <w:rFonts w:hint="eastAsia"/>
                <w:sz w:val="21"/>
                <w:szCs w:val="21"/>
                <w:highlight w:val="none"/>
              </w:rPr>
              <w:t>3</w:t>
            </w:r>
          </w:p>
        </w:tc>
        <w:tc>
          <w:tcPr>
            <w:tcW w:w="1710" w:type="dxa"/>
            <w:tcBorders>
              <w:top w:val="nil"/>
              <w:left w:val="nil"/>
              <w:bottom w:val="single" w:color="auto" w:sz="4" w:space="0"/>
              <w:right w:val="single" w:color="auto" w:sz="4" w:space="0"/>
            </w:tcBorders>
            <w:shd w:val="clear" w:color="auto" w:fill="auto"/>
            <w:noWrap/>
            <w:vAlign w:val="center"/>
          </w:tcPr>
          <w:p w14:paraId="4C3B3B4B">
            <w:pPr>
              <w:rPr>
                <w:sz w:val="21"/>
                <w:szCs w:val="21"/>
                <w:highlight w:val="none"/>
              </w:rPr>
            </w:pPr>
            <w:r>
              <w:rPr>
                <w:rFonts w:hint="eastAsia"/>
                <w:sz w:val="21"/>
                <w:szCs w:val="21"/>
                <w:highlight w:val="none"/>
              </w:rPr>
              <w:t>松木桩</w:t>
            </w:r>
          </w:p>
        </w:tc>
        <w:tc>
          <w:tcPr>
            <w:tcW w:w="2835" w:type="dxa"/>
            <w:tcBorders>
              <w:top w:val="nil"/>
              <w:left w:val="nil"/>
              <w:bottom w:val="single" w:color="auto" w:sz="4" w:space="0"/>
              <w:right w:val="single" w:color="auto" w:sz="4" w:space="0"/>
            </w:tcBorders>
            <w:shd w:val="clear" w:color="auto" w:fill="auto"/>
            <w:vAlign w:val="center"/>
          </w:tcPr>
          <w:p w14:paraId="175E948D">
            <w:pPr>
              <w:rPr>
                <w:sz w:val="21"/>
                <w:szCs w:val="21"/>
                <w:highlight w:val="none"/>
              </w:rPr>
            </w:pPr>
            <w:r>
              <w:rPr>
                <w:rFonts w:hint="eastAsia"/>
                <w:sz w:val="21"/>
                <w:szCs w:val="21"/>
                <w:highlight w:val="none"/>
              </w:rPr>
              <w:t>沿湖亲水平台打松木桩，桩长约1.0米，紧密排列，总长度约8米</w:t>
            </w:r>
          </w:p>
        </w:tc>
        <w:tc>
          <w:tcPr>
            <w:tcW w:w="715" w:type="dxa"/>
            <w:tcBorders>
              <w:top w:val="nil"/>
              <w:left w:val="nil"/>
              <w:bottom w:val="single" w:color="auto" w:sz="4" w:space="0"/>
              <w:right w:val="single" w:color="auto" w:sz="4" w:space="0"/>
            </w:tcBorders>
            <w:shd w:val="clear" w:color="auto" w:fill="auto"/>
            <w:vAlign w:val="center"/>
          </w:tcPr>
          <w:p w14:paraId="227592B5">
            <w:pPr>
              <w:rPr>
                <w:sz w:val="21"/>
                <w:szCs w:val="21"/>
                <w:highlight w:val="none"/>
              </w:rPr>
            </w:pPr>
            <w:r>
              <w:rPr>
                <w:rFonts w:hint="eastAsia"/>
                <w:sz w:val="21"/>
                <w:szCs w:val="21"/>
                <w:highlight w:val="none"/>
              </w:rPr>
              <w:t>项</w:t>
            </w:r>
          </w:p>
        </w:tc>
        <w:tc>
          <w:tcPr>
            <w:tcW w:w="844" w:type="dxa"/>
            <w:tcBorders>
              <w:top w:val="nil"/>
              <w:left w:val="nil"/>
              <w:bottom w:val="single" w:color="auto" w:sz="4" w:space="0"/>
              <w:right w:val="single" w:color="auto" w:sz="4" w:space="0"/>
            </w:tcBorders>
            <w:shd w:val="clear" w:color="auto" w:fill="auto"/>
            <w:vAlign w:val="center"/>
          </w:tcPr>
          <w:p w14:paraId="1389E70C">
            <w:pPr>
              <w:rPr>
                <w:sz w:val="21"/>
                <w:szCs w:val="21"/>
                <w:highlight w:val="none"/>
              </w:rPr>
            </w:pPr>
            <w:r>
              <w:rPr>
                <w:rFonts w:hint="eastAsia"/>
                <w:sz w:val="21"/>
                <w:szCs w:val="21"/>
                <w:highlight w:val="none"/>
              </w:rPr>
              <w:t>1</w:t>
            </w:r>
          </w:p>
        </w:tc>
        <w:tc>
          <w:tcPr>
            <w:tcW w:w="992" w:type="dxa"/>
            <w:tcBorders>
              <w:top w:val="nil"/>
              <w:left w:val="nil"/>
              <w:bottom w:val="single" w:color="auto" w:sz="4" w:space="0"/>
              <w:right w:val="single" w:color="auto" w:sz="4" w:space="0"/>
            </w:tcBorders>
            <w:shd w:val="clear" w:color="auto" w:fill="auto"/>
            <w:vAlign w:val="center"/>
          </w:tcPr>
          <w:p w14:paraId="2C71812A">
            <w:pPr>
              <w:rPr>
                <w:sz w:val="21"/>
                <w:szCs w:val="21"/>
                <w:highlight w:val="none"/>
              </w:rPr>
            </w:pPr>
            <w:r>
              <w:rPr>
                <w:rFonts w:hint="eastAsia"/>
                <w:sz w:val="21"/>
                <w:szCs w:val="21"/>
                <w:highlight w:val="none"/>
              </w:rPr>
              <w:t>　</w:t>
            </w:r>
          </w:p>
        </w:tc>
        <w:tc>
          <w:tcPr>
            <w:tcW w:w="851" w:type="dxa"/>
            <w:tcBorders>
              <w:top w:val="nil"/>
              <w:left w:val="nil"/>
              <w:bottom w:val="single" w:color="auto" w:sz="4" w:space="0"/>
              <w:right w:val="single" w:color="auto" w:sz="4" w:space="0"/>
            </w:tcBorders>
            <w:shd w:val="clear" w:color="auto" w:fill="auto"/>
            <w:noWrap/>
            <w:vAlign w:val="center"/>
          </w:tcPr>
          <w:p w14:paraId="1974FEE1">
            <w:pPr>
              <w:rPr>
                <w:sz w:val="21"/>
                <w:szCs w:val="21"/>
                <w:highlight w:val="none"/>
              </w:rPr>
            </w:pPr>
            <w:r>
              <w:rPr>
                <w:rFonts w:hint="eastAsia"/>
                <w:sz w:val="21"/>
                <w:szCs w:val="21"/>
                <w:highlight w:val="none"/>
              </w:rPr>
              <w:t>　</w:t>
            </w:r>
          </w:p>
        </w:tc>
        <w:tc>
          <w:tcPr>
            <w:tcW w:w="708" w:type="dxa"/>
            <w:tcBorders>
              <w:top w:val="nil"/>
              <w:left w:val="nil"/>
              <w:bottom w:val="single" w:color="auto" w:sz="4" w:space="0"/>
              <w:right w:val="single" w:color="auto" w:sz="4" w:space="0"/>
            </w:tcBorders>
            <w:shd w:val="clear" w:color="auto" w:fill="auto"/>
            <w:noWrap/>
            <w:vAlign w:val="center"/>
          </w:tcPr>
          <w:p w14:paraId="3862B051">
            <w:pPr>
              <w:rPr>
                <w:sz w:val="21"/>
                <w:szCs w:val="21"/>
                <w:highlight w:val="none"/>
              </w:rPr>
            </w:pPr>
            <w:r>
              <w:rPr>
                <w:rFonts w:hint="eastAsia"/>
                <w:sz w:val="21"/>
                <w:szCs w:val="21"/>
                <w:highlight w:val="none"/>
              </w:rPr>
              <w:t>　</w:t>
            </w:r>
          </w:p>
        </w:tc>
      </w:tr>
      <w:tr w14:paraId="486385D7">
        <w:tblPrEx>
          <w:tblCellMar>
            <w:top w:w="0" w:type="dxa"/>
            <w:left w:w="108" w:type="dxa"/>
            <w:bottom w:w="0" w:type="dxa"/>
            <w:right w:w="108" w:type="dxa"/>
          </w:tblCellMar>
        </w:tblPrEx>
        <w:trPr>
          <w:trHeight w:val="600" w:hRule="atLeast"/>
        </w:trPr>
        <w:tc>
          <w:tcPr>
            <w:tcW w:w="857" w:type="dxa"/>
            <w:tcBorders>
              <w:top w:val="nil"/>
              <w:left w:val="single" w:color="auto" w:sz="4" w:space="0"/>
              <w:bottom w:val="single" w:color="auto" w:sz="4" w:space="0"/>
              <w:right w:val="single" w:color="auto" w:sz="4" w:space="0"/>
            </w:tcBorders>
            <w:shd w:val="clear" w:color="auto" w:fill="auto"/>
            <w:noWrap/>
            <w:vAlign w:val="center"/>
          </w:tcPr>
          <w:p w14:paraId="17E3555F">
            <w:pPr>
              <w:rPr>
                <w:sz w:val="21"/>
                <w:szCs w:val="21"/>
                <w:highlight w:val="none"/>
              </w:rPr>
            </w:pPr>
            <w:r>
              <w:rPr>
                <w:rFonts w:hint="eastAsia"/>
                <w:sz w:val="21"/>
                <w:szCs w:val="21"/>
                <w:highlight w:val="none"/>
              </w:rPr>
              <w:t>4</w:t>
            </w:r>
          </w:p>
        </w:tc>
        <w:tc>
          <w:tcPr>
            <w:tcW w:w="1710" w:type="dxa"/>
            <w:tcBorders>
              <w:top w:val="nil"/>
              <w:left w:val="nil"/>
              <w:bottom w:val="single" w:color="auto" w:sz="4" w:space="0"/>
              <w:right w:val="single" w:color="auto" w:sz="4" w:space="0"/>
            </w:tcBorders>
            <w:shd w:val="clear" w:color="auto" w:fill="auto"/>
            <w:noWrap/>
            <w:vAlign w:val="center"/>
          </w:tcPr>
          <w:p w14:paraId="074EE73F">
            <w:pPr>
              <w:rPr>
                <w:sz w:val="21"/>
                <w:szCs w:val="21"/>
                <w:highlight w:val="none"/>
              </w:rPr>
            </w:pPr>
            <w:r>
              <w:rPr>
                <w:rFonts w:hint="eastAsia"/>
                <w:sz w:val="21"/>
                <w:szCs w:val="21"/>
                <w:highlight w:val="none"/>
              </w:rPr>
              <w:t>基础土方平整</w:t>
            </w:r>
          </w:p>
        </w:tc>
        <w:tc>
          <w:tcPr>
            <w:tcW w:w="2835" w:type="dxa"/>
            <w:tcBorders>
              <w:top w:val="nil"/>
              <w:left w:val="nil"/>
              <w:bottom w:val="single" w:color="auto" w:sz="4" w:space="0"/>
              <w:right w:val="single" w:color="auto" w:sz="4" w:space="0"/>
            </w:tcBorders>
            <w:shd w:val="clear" w:color="auto" w:fill="auto"/>
            <w:vAlign w:val="center"/>
          </w:tcPr>
          <w:p w14:paraId="790A052B">
            <w:pPr>
              <w:rPr>
                <w:sz w:val="21"/>
                <w:szCs w:val="21"/>
                <w:highlight w:val="none"/>
              </w:rPr>
            </w:pPr>
            <w:r>
              <w:rPr>
                <w:rFonts w:hint="eastAsia"/>
                <w:sz w:val="21"/>
                <w:szCs w:val="21"/>
                <w:highlight w:val="none"/>
              </w:rPr>
              <w:t>原斜坡绿化清理，土方平整</w:t>
            </w:r>
          </w:p>
        </w:tc>
        <w:tc>
          <w:tcPr>
            <w:tcW w:w="715" w:type="dxa"/>
            <w:tcBorders>
              <w:top w:val="nil"/>
              <w:left w:val="nil"/>
              <w:bottom w:val="single" w:color="auto" w:sz="4" w:space="0"/>
              <w:right w:val="single" w:color="auto" w:sz="4" w:space="0"/>
            </w:tcBorders>
            <w:shd w:val="clear" w:color="auto" w:fill="auto"/>
            <w:vAlign w:val="center"/>
          </w:tcPr>
          <w:p w14:paraId="1075460C">
            <w:pPr>
              <w:rPr>
                <w:sz w:val="21"/>
                <w:szCs w:val="21"/>
                <w:highlight w:val="none"/>
              </w:rPr>
            </w:pPr>
            <w:r>
              <w:rPr>
                <w:rFonts w:hint="eastAsia"/>
                <w:sz w:val="21"/>
                <w:szCs w:val="21"/>
                <w:highlight w:val="none"/>
              </w:rPr>
              <w:t>m2</w:t>
            </w:r>
          </w:p>
        </w:tc>
        <w:tc>
          <w:tcPr>
            <w:tcW w:w="844" w:type="dxa"/>
            <w:tcBorders>
              <w:top w:val="nil"/>
              <w:left w:val="nil"/>
              <w:bottom w:val="single" w:color="auto" w:sz="4" w:space="0"/>
              <w:right w:val="single" w:color="auto" w:sz="4" w:space="0"/>
            </w:tcBorders>
            <w:shd w:val="clear" w:color="auto" w:fill="auto"/>
            <w:vAlign w:val="center"/>
          </w:tcPr>
          <w:p w14:paraId="7E0D04E9">
            <w:pPr>
              <w:rPr>
                <w:sz w:val="21"/>
                <w:szCs w:val="21"/>
                <w:highlight w:val="none"/>
              </w:rPr>
            </w:pPr>
            <w:r>
              <w:rPr>
                <w:rFonts w:hint="eastAsia"/>
                <w:sz w:val="21"/>
                <w:szCs w:val="21"/>
                <w:highlight w:val="none"/>
              </w:rPr>
              <w:t>6</w:t>
            </w:r>
          </w:p>
        </w:tc>
        <w:tc>
          <w:tcPr>
            <w:tcW w:w="992" w:type="dxa"/>
            <w:tcBorders>
              <w:top w:val="nil"/>
              <w:left w:val="nil"/>
              <w:bottom w:val="single" w:color="auto" w:sz="4" w:space="0"/>
              <w:right w:val="single" w:color="auto" w:sz="4" w:space="0"/>
            </w:tcBorders>
            <w:shd w:val="clear" w:color="auto" w:fill="auto"/>
            <w:vAlign w:val="center"/>
          </w:tcPr>
          <w:p w14:paraId="54825495">
            <w:pPr>
              <w:rPr>
                <w:sz w:val="21"/>
                <w:szCs w:val="21"/>
                <w:highlight w:val="none"/>
              </w:rPr>
            </w:pPr>
            <w:r>
              <w:rPr>
                <w:rFonts w:hint="eastAsia"/>
                <w:sz w:val="21"/>
                <w:szCs w:val="21"/>
                <w:highlight w:val="none"/>
              </w:rPr>
              <w:t>　</w:t>
            </w:r>
          </w:p>
        </w:tc>
        <w:tc>
          <w:tcPr>
            <w:tcW w:w="851" w:type="dxa"/>
            <w:tcBorders>
              <w:top w:val="nil"/>
              <w:left w:val="nil"/>
              <w:bottom w:val="single" w:color="auto" w:sz="4" w:space="0"/>
              <w:right w:val="single" w:color="auto" w:sz="4" w:space="0"/>
            </w:tcBorders>
            <w:shd w:val="clear" w:color="auto" w:fill="auto"/>
            <w:noWrap/>
            <w:vAlign w:val="center"/>
          </w:tcPr>
          <w:p w14:paraId="26F3AE60">
            <w:pPr>
              <w:rPr>
                <w:sz w:val="21"/>
                <w:szCs w:val="21"/>
                <w:highlight w:val="none"/>
              </w:rPr>
            </w:pPr>
            <w:r>
              <w:rPr>
                <w:rFonts w:hint="eastAsia"/>
                <w:sz w:val="21"/>
                <w:szCs w:val="21"/>
                <w:highlight w:val="none"/>
              </w:rPr>
              <w:t>　</w:t>
            </w:r>
          </w:p>
        </w:tc>
        <w:tc>
          <w:tcPr>
            <w:tcW w:w="708" w:type="dxa"/>
            <w:tcBorders>
              <w:top w:val="nil"/>
              <w:left w:val="nil"/>
              <w:bottom w:val="single" w:color="auto" w:sz="4" w:space="0"/>
              <w:right w:val="single" w:color="auto" w:sz="4" w:space="0"/>
            </w:tcBorders>
            <w:shd w:val="clear" w:color="auto" w:fill="auto"/>
            <w:noWrap/>
            <w:vAlign w:val="center"/>
          </w:tcPr>
          <w:p w14:paraId="6D754EF9">
            <w:pPr>
              <w:rPr>
                <w:sz w:val="21"/>
                <w:szCs w:val="21"/>
                <w:highlight w:val="none"/>
              </w:rPr>
            </w:pPr>
            <w:r>
              <w:rPr>
                <w:rFonts w:hint="eastAsia"/>
                <w:sz w:val="21"/>
                <w:szCs w:val="21"/>
                <w:highlight w:val="none"/>
              </w:rPr>
              <w:t>　</w:t>
            </w:r>
          </w:p>
        </w:tc>
      </w:tr>
      <w:tr w14:paraId="3C576B0B">
        <w:tblPrEx>
          <w:tblCellMar>
            <w:top w:w="0" w:type="dxa"/>
            <w:left w:w="108" w:type="dxa"/>
            <w:bottom w:w="0" w:type="dxa"/>
            <w:right w:w="108" w:type="dxa"/>
          </w:tblCellMar>
        </w:tblPrEx>
        <w:trPr>
          <w:trHeight w:val="600" w:hRule="atLeast"/>
        </w:trPr>
        <w:tc>
          <w:tcPr>
            <w:tcW w:w="857" w:type="dxa"/>
            <w:tcBorders>
              <w:top w:val="nil"/>
              <w:left w:val="single" w:color="auto" w:sz="4" w:space="0"/>
              <w:bottom w:val="single" w:color="auto" w:sz="4" w:space="0"/>
              <w:right w:val="single" w:color="auto" w:sz="4" w:space="0"/>
            </w:tcBorders>
            <w:shd w:val="clear" w:color="auto" w:fill="auto"/>
            <w:noWrap/>
            <w:vAlign w:val="center"/>
          </w:tcPr>
          <w:p w14:paraId="2D126BCA">
            <w:pPr>
              <w:rPr>
                <w:sz w:val="21"/>
                <w:szCs w:val="21"/>
                <w:highlight w:val="none"/>
              </w:rPr>
            </w:pPr>
            <w:r>
              <w:rPr>
                <w:rFonts w:hint="eastAsia"/>
                <w:sz w:val="21"/>
                <w:szCs w:val="21"/>
                <w:highlight w:val="none"/>
              </w:rPr>
              <w:t>5</w:t>
            </w:r>
          </w:p>
        </w:tc>
        <w:tc>
          <w:tcPr>
            <w:tcW w:w="1710" w:type="dxa"/>
            <w:tcBorders>
              <w:top w:val="nil"/>
              <w:left w:val="nil"/>
              <w:bottom w:val="single" w:color="auto" w:sz="4" w:space="0"/>
              <w:right w:val="single" w:color="auto" w:sz="4" w:space="0"/>
            </w:tcBorders>
            <w:shd w:val="clear" w:color="auto" w:fill="auto"/>
            <w:noWrap/>
            <w:vAlign w:val="center"/>
          </w:tcPr>
          <w:p w14:paraId="36BDE054">
            <w:pPr>
              <w:rPr>
                <w:sz w:val="21"/>
                <w:szCs w:val="21"/>
                <w:highlight w:val="none"/>
              </w:rPr>
            </w:pPr>
            <w:r>
              <w:rPr>
                <w:rFonts w:hint="eastAsia"/>
                <w:sz w:val="21"/>
                <w:szCs w:val="21"/>
                <w:highlight w:val="none"/>
              </w:rPr>
              <w:t>砼平台浇筑</w:t>
            </w:r>
          </w:p>
        </w:tc>
        <w:tc>
          <w:tcPr>
            <w:tcW w:w="2835" w:type="dxa"/>
            <w:tcBorders>
              <w:top w:val="nil"/>
              <w:left w:val="nil"/>
              <w:bottom w:val="single" w:color="auto" w:sz="4" w:space="0"/>
              <w:right w:val="single" w:color="auto" w:sz="4" w:space="0"/>
            </w:tcBorders>
            <w:shd w:val="clear" w:color="auto" w:fill="auto"/>
            <w:vAlign w:val="center"/>
          </w:tcPr>
          <w:p w14:paraId="2D53B5FB">
            <w:pPr>
              <w:rPr>
                <w:sz w:val="21"/>
                <w:szCs w:val="21"/>
                <w:highlight w:val="none"/>
              </w:rPr>
            </w:pPr>
            <w:r>
              <w:rPr>
                <w:rFonts w:hint="eastAsia"/>
                <w:sz w:val="21"/>
                <w:szCs w:val="21"/>
                <w:highlight w:val="none"/>
              </w:rPr>
              <w:t>碎石垫层+10cm厚砼平台浇筑</w:t>
            </w:r>
          </w:p>
        </w:tc>
        <w:tc>
          <w:tcPr>
            <w:tcW w:w="715" w:type="dxa"/>
            <w:tcBorders>
              <w:top w:val="nil"/>
              <w:left w:val="nil"/>
              <w:bottom w:val="single" w:color="auto" w:sz="4" w:space="0"/>
              <w:right w:val="single" w:color="auto" w:sz="4" w:space="0"/>
            </w:tcBorders>
            <w:shd w:val="clear" w:color="auto" w:fill="auto"/>
            <w:vAlign w:val="center"/>
          </w:tcPr>
          <w:p w14:paraId="7F793240">
            <w:pPr>
              <w:rPr>
                <w:sz w:val="21"/>
                <w:szCs w:val="21"/>
                <w:highlight w:val="none"/>
              </w:rPr>
            </w:pPr>
            <w:r>
              <w:rPr>
                <w:rFonts w:hint="eastAsia"/>
                <w:sz w:val="21"/>
                <w:szCs w:val="21"/>
                <w:highlight w:val="none"/>
              </w:rPr>
              <w:t>m2</w:t>
            </w:r>
          </w:p>
        </w:tc>
        <w:tc>
          <w:tcPr>
            <w:tcW w:w="844" w:type="dxa"/>
            <w:tcBorders>
              <w:top w:val="nil"/>
              <w:left w:val="nil"/>
              <w:bottom w:val="single" w:color="auto" w:sz="4" w:space="0"/>
              <w:right w:val="single" w:color="auto" w:sz="4" w:space="0"/>
            </w:tcBorders>
            <w:shd w:val="clear" w:color="auto" w:fill="auto"/>
            <w:vAlign w:val="center"/>
          </w:tcPr>
          <w:p w14:paraId="6789B9CF">
            <w:pPr>
              <w:rPr>
                <w:sz w:val="21"/>
                <w:szCs w:val="21"/>
                <w:highlight w:val="none"/>
              </w:rPr>
            </w:pPr>
            <w:r>
              <w:rPr>
                <w:rFonts w:hint="eastAsia"/>
                <w:sz w:val="21"/>
                <w:szCs w:val="21"/>
                <w:highlight w:val="none"/>
              </w:rPr>
              <w:t>6</w:t>
            </w:r>
          </w:p>
        </w:tc>
        <w:tc>
          <w:tcPr>
            <w:tcW w:w="992" w:type="dxa"/>
            <w:tcBorders>
              <w:top w:val="nil"/>
              <w:left w:val="nil"/>
              <w:bottom w:val="single" w:color="auto" w:sz="4" w:space="0"/>
              <w:right w:val="single" w:color="auto" w:sz="4" w:space="0"/>
            </w:tcBorders>
            <w:shd w:val="clear" w:color="auto" w:fill="auto"/>
            <w:vAlign w:val="center"/>
          </w:tcPr>
          <w:p w14:paraId="29AA1E15">
            <w:pPr>
              <w:rPr>
                <w:sz w:val="21"/>
                <w:szCs w:val="21"/>
                <w:highlight w:val="none"/>
              </w:rPr>
            </w:pPr>
            <w:r>
              <w:rPr>
                <w:rFonts w:hint="eastAsia"/>
                <w:sz w:val="21"/>
                <w:szCs w:val="21"/>
                <w:highlight w:val="none"/>
              </w:rPr>
              <w:t>　</w:t>
            </w:r>
          </w:p>
        </w:tc>
        <w:tc>
          <w:tcPr>
            <w:tcW w:w="851" w:type="dxa"/>
            <w:tcBorders>
              <w:top w:val="nil"/>
              <w:left w:val="nil"/>
              <w:bottom w:val="single" w:color="auto" w:sz="4" w:space="0"/>
              <w:right w:val="single" w:color="auto" w:sz="4" w:space="0"/>
            </w:tcBorders>
            <w:shd w:val="clear" w:color="auto" w:fill="auto"/>
            <w:noWrap/>
            <w:vAlign w:val="center"/>
          </w:tcPr>
          <w:p w14:paraId="7E50C3F9">
            <w:pPr>
              <w:rPr>
                <w:sz w:val="21"/>
                <w:szCs w:val="21"/>
                <w:highlight w:val="none"/>
              </w:rPr>
            </w:pPr>
            <w:r>
              <w:rPr>
                <w:rFonts w:hint="eastAsia"/>
                <w:sz w:val="21"/>
                <w:szCs w:val="21"/>
                <w:highlight w:val="none"/>
              </w:rPr>
              <w:t>　</w:t>
            </w:r>
          </w:p>
        </w:tc>
        <w:tc>
          <w:tcPr>
            <w:tcW w:w="708" w:type="dxa"/>
            <w:tcBorders>
              <w:top w:val="nil"/>
              <w:left w:val="nil"/>
              <w:bottom w:val="single" w:color="auto" w:sz="4" w:space="0"/>
              <w:right w:val="single" w:color="auto" w:sz="4" w:space="0"/>
            </w:tcBorders>
            <w:shd w:val="clear" w:color="auto" w:fill="auto"/>
            <w:noWrap/>
            <w:vAlign w:val="center"/>
          </w:tcPr>
          <w:p w14:paraId="7B7B1812">
            <w:pPr>
              <w:rPr>
                <w:sz w:val="21"/>
                <w:szCs w:val="21"/>
                <w:highlight w:val="none"/>
              </w:rPr>
            </w:pPr>
            <w:r>
              <w:rPr>
                <w:rFonts w:hint="eastAsia"/>
                <w:sz w:val="21"/>
                <w:szCs w:val="21"/>
                <w:highlight w:val="none"/>
              </w:rPr>
              <w:t>　</w:t>
            </w:r>
          </w:p>
        </w:tc>
      </w:tr>
      <w:tr w14:paraId="6BC257D5">
        <w:tblPrEx>
          <w:tblCellMar>
            <w:top w:w="0" w:type="dxa"/>
            <w:left w:w="108" w:type="dxa"/>
            <w:bottom w:w="0" w:type="dxa"/>
            <w:right w:w="108" w:type="dxa"/>
          </w:tblCellMar>
        </w:tblPrEx>
        <w:trPr>
          <w:trHeight w:val="600" w:hRule="atLeast"/>
        </w:trPr>
        <w:tc>
          <w:tcPr>
            <w:tcW w:w="857" w:type="dxa"/>
            <w:tcBorders>
              <w:top w:val="nil"/>
              <w:left w:val="single" w:color="auto" w:sz="4" w:space="0"/>
              <w:bottom w:val="single" w:color="auto" w:sz="4" w:space="0"/>
              <w:right w:val="single" w:color="auto" w:sz="4" w:space="0"/>
            </w:tcBorders>
            <w:shd w:val="clear" w:color="auto" w:fill="auto"/>
            <w:noWrap/>
            <w:vAlign w:val="center"/>
          </w:tcPr>
          <w:p w14:paraId="00B24C42">
            <w:pPr>
              <w:rPr>
                <w:sz w:val="21"/>
                <w:szCs w:val="21"/>
                <w:highlight w:val="none"/>
              </w:rPr>
            </w:pPr>
            <w:r>
              <w:rPr>
                <w:rFonts w:hint="eastAsia"/>
                <w:sz w:val="21"/>
                <w:szCs w:val="21"/>
                <w:highlight w:val="none"/>
              </w:rPr>
              <w:t>6</w:t>
            </w:r>
          </w:p>
        </w:tc>
        <w:tc>
          <w:tcPr>
            <w:tcW w:w="1710" w:type="dxa"/>
            <w:tcBorders>
              <w:top w:val="nil"/>
              <w:left w:val="nil"/>
              <w:bottom w:val="single" w:color="auto" w:sz="4" w:space="0"/>
              <w:right w:val="single" w:color="auto" w:sz="4" w:space="0"/>
            </w:tcBorders>
            <w:shd w:val="clear" w:color="auto" w:fill="auto"/>
            <w:noWrap/>
            <w:vAlign w:val="center"/>
          </w:tcPr>
          <w:p w14:paraId="5324297C">
            <w:pPr>
              <w:rPr>
                <w:sz w:val="21"/>
                <w:szCs w:val="21"/>
                <w:highlight w:val="none"/>
              </w:rPr>
            </w:pPr>
            <w:r>
              <w:rPr>
                <w:rFonts w:hint="eastAsia"/>
                <w:sz w:val="21"/>
                <w:szCs w:val="21"/>
                <w:highlight w:val="none"/>
              </w:rPr>
              <w:t>彩色喷漆</w:t>
            </w:r>
          </w:p>
        </w:tc>
        <w:tc>
          <w:tcPr>
            <w:tcW w:w="2835" w:type="dxa"/>
            <w:tcBorders>
              <w:top w:val="nil"/>
              <w:left w:val="nil"/>
              <w:bottom w:val="single" w:color="auto" w:sz="4" w:space="0"/>
              <w:right w:val="single" w:color="auto" w:sz="4" w:space="0"/>
            </w:tcBorders>
            <w:shd w:val="clear" w:color="auto" w:fill="auto"/>
            <w:vAlign w:val="center"/>
          </w:tcPr>
          <w:p w14:paraId="2D586C04">
            <w:pPr>
              <w:rPr>
                <w:sz w:val="21"/>
                <w:szCs w:val="21"/>
                <w:highlight w:val="none"/>
              </w:rPr>
            </w:pPr>
            <w:r>
              <w:rPr>
                <w:rFonts w:hint="eastAsia"/>
                <w:sz w:val="21"/>
                <w:szCs w:val="21"/>
                <w:highlight w:val="none"/>
              </w:rPr>
              <w:t>砼表面采用绿色喷漆</w:t>
            </w:r>
          </w:p>
        </w:tc>
        <w:tc>
          <w:tcPr>
            <w:tcW w:w="715" w:type="dxa"/>
            <w:tcBorders>
              <w:top w:val="nil"/>
              <w:left w:val="nil"/>
              <w:bottom w:val="single" w:color="auto" w:sz="4" w:space="0"/>
              <w:right w:val="single" w:color="auto" w:sz="4" w:space="0"/>
            </w:tcBorders>
            <w:shd w:val="clear" w:color="auto" w:fill="auto"/>
            <w:vAlign w:val="center"/>
          </w:tcPr>
          <w:p w14:paraId="34349EF5">
            <w:pPr>
              <w:rPr>
                <w:sz w:val="21"/>
                <w:szCs w:val="21"/>
                <w:highlight w:val="none"/>
              </w:rPr>
            </w:pPr>
            <w:r>
              <w:rPr>
                <w:rFonts w:hint="eastAsia"/>
                <w:sz w:val="21"/>
                <w:szCs w:val="21"/>
                <w:highlight w:val="none"/>
              </w:rPr>
              <w:t>m2</w:t>
            </w:r>
          </w:p>
        </w:tc>
        <w:tc>
          <w:tcPr>
            <w:tcW w:w="844" w:type="dxa"/>
            <w:tcBorders>
              <w:top w:val="nil"/>
              <w:left w:val="nil"/>
              <w:bottom w:val="single" w:color="auto" w:sz="4" w:space="0"/>
              <w:right w:val="single" w:color="auto" w:sz="4" w:space="0"/>
            </w:tcBorders>
            <w:shd w:val="clear" w:color="auto" w:fill="auto"/>
            <w:vAlign w:val="center"/>
          </w:tcPr>
          <w:p w14:paraId="61C2FE1C">
            <w:pPr>
              <w:rPr>
                <w:sz w:val="21"/>
                <w:szCs w:val="21"/>
                <w:highlight w:val="none"/>
              </w:rPr>
            </w:pPr>
            <w:r>
              <w:rPr>
                <w:rFonts w:hint="eastAsia"/>
                <w:sz w:val="21"/>
                <w:szCs w:val="21"/>
                <w:highlight w:val="none"/>
              </w:rPr>
              <w:t>6</w:t>
            </w:r>
          </w:p>
        </w:tc>
        <w:tc>
          <w:tcPr>
            <w:tcW w:w="992" w:type="dxa"/>
            <w:tcBorders>
              <w:top w:val="nil"/>
              <w:left w:val="nil"/>
              <w:bottom w:val="single" w:color="auto" w:sz="4" w:space="0"/>
              <w:right w:val="single" w:color="auto" w:sz="4" w:space="0"/>
            </w:tcBorders>
            <w:shd w:val="clear" w:color="auto" w:fill="auto"/>
            <w:vAlign w:val="center"/>
          </w:tcPr>
          <w:p w14:paraId="109B6199">
            <w:pPr>
              <w:rPr>
                <w:sz w:val="21"/>
                <w:szCs w:val="21"/>
                <w:highlight w:val="none"/>
              </w:rPr>
            </w:pPr>
            <w:r>
              <w:rPr>
                <w:rFonts w:hint="eastAsia"/>
                <w:sz w:val="21"/>
                <w:szCs w:val="21"/>
                <w:highlight w:val="none"/>
              </w:rPr>
              <w:t>　</w:t>
            </w:r>
          </w:p>
        </w:tc>
        <w:tc>
          <w:tcPr>
            <w:tcW w:w="851" w:type="dxa"/>
            <w:tcBorders>
              <w:top w:val="nil"/>
              <w:left w:val="nil"/>
              <w:bottom w:val="single" w:color="auto" w:sz="4" w:space="0"/>
              <w:right w:val="single" w:color="auto" w:sz="4" w:space="0"/>
            </w:tcBorders>
            <w:shd w:val="clear" w:color="auto" w:fill="auto"/>
            <w:noWrap/>
            <w:vAlign w:val="center"/>
          </w:tcPr>
          <w:p w14:paraId="33FBF3DD">
            <w:pPr>
              <w:rPr>
                <w:sz w:val="21"/>
                <w:szCs w:val="21"/>
                <w:highlight w:val="none"/>
              </w:rPr>
            </w:pPr>
            <w:r>
              <w:rPr>
                <w:rFonts w:hint="eastAsia"/>
                <w:sz w:val="21"/>
                <w:szCs w:val="21"/>
                <w:highlight w:val="none"/>
              </w:rPr>
              <w:t>　</w:t>
            </w:r>
          </w:p>
        </w:tc>
        <w:tc>
          <w:tcPr>
            <w:tcW w:w="708" w:type="dxa"/>
            <w:tcBorders>
              <w:top w:val="nil"/>
              <w:left w:val="nil"/>
              <w:bottom w:val="single" w:color="auto" w:sz="4" w:space="0"/>
              <w:right w:val="single" w:color="auto" w:sz="4" w:space="0"/>
            </w:tcBorders>
            <w:shd w:val="clear" w:color="auto" w:fill="auto"/>
            <w:noWrap/>
            <w:vAlign w:val="center"/>
          </w:tcPr>
          <w:p w14:paraId="63C7317C">
            <w:pPr>
              <w:rPr>
                <w:sz w:val="21"/>
                <w:szCs w:val="21"/>
                <w:highlight w:val="none"/>
              </w:rPr>
            </w:pPr>
            <w:r>
              <w:rPr>
                <w:rFonts w:hint="eastAsia"/>
                <w:sz w:val="21"/>
                <w:szCs w:val="21"/>
                <w:highlight w:val="none"/>
              </w:rPr>
              <w:t>　</w:t>
            </w:r>
          </w:p>
        </w:tc>
      </w:tr>
      <w:tr w14:paraId="3876CC24">
        <w:tblPrEx>
          <w:tblCellMar>
            <w:top w:w="0" w:type="dxa"/>
            <w:left w:w="108" w:type="dxa"/>
            <w:bottom w:w="0" w:type="dxa"/>
            <w:right w:w="108" w:type="dxa"/>
          </w:tblCellMar>
        </w:tblPrEx>
        <w:trPr>
          <w:trHeight w:val="600" w:hRule="atLeast"/>
        </w:trPr>
        <w:tc>
          <w:tcPr>
            <w:tcW w:w="857" w:type="dxa"/>
            <w:tcBorders>
              <w:top w:val="nil"/>
              <w:left w:val="single" w:color="auto" w:sz="4" w:space="0"/>
              <w:bottom w:val="single" w:color="auto" w:sz="4" w:space="0"/>
              <w:right w:val="single" w:color="auto" w:sz="4" w:space="0"/>
            </w:tcBorders>
            <w:shd w:val="clear" w:color="auto" w:fill="auto"/>
            <w:noWrap/>
            <w:vAlign w:val="center"/>
          </w:tcPr>
          <w:p w14:paraId="19B074E7">
            <w:pPr>
              <w:rPr>
                <w:sz w:val="21"/>
                <w:szCs w:val="21"/>
                <w:highlight w:val="none"/>
              </w:rPr>
            </w:pPr>
            <w:r>
              <w:rPr>
                <w:rFonts w:hint="eastAsia"/>
                <w:sz w:val="21"/>
                <w:szCs w:val="21"/>
                <w:highlight w:val="none"/>
              </w:rPr>
              <w:t>　</w:t>
            </w:r>
          </w:p>
        </w:tc>
        <w:tc>
          <w:tcPr>
            <w:tcW w:w="1710" w:type="dxa"/>
            <w:tcBorders>
              <w:top w:val="nil"/>
              <w:left w:val="nil"/>
              <w:bottom w:val="single" w:color="auto" w:sz="4" w:space="0"/>
              <w:right w:val="single" w:color="auto" w:sz="4" w:space="0"/>
            </w:tcBorders>
            <w:shd w:val="clear" w:color="auto" w:fill="auto"/>
            <w:noWrap/>
            <w:vAlign w:val="center"/>
          </w:tcPr>
          <w:p w14:paraId="21817266">
            <w:pPr>
              <w:rPr>
                <w:sz w:val="21"/>
                <w:szCs w:val="21"/>
                <w:highlight w:val="none"/>
              </w:rPr>
            </w:pPr>
            <w:r>
              <w:rPr>
                <w:rFonts w:hint="eastAsia"/>
                <w:sz w:val="21"/>
                <w:szCs w:val="21"/>
                <w:highlight w:val="none"/>
              </w:rPr>
              <w:t>　</w:t>
            </w:r>
          </w:p>
        </w:tc>
        <w:tc>
          <w:tcPr>
            <w:tcW w:w="2835" w:type="dxa"/>
            <w:tcBorders>
              <w:top w:val="nil"/>
              <w:left w:val="nil"/>
              <w:bottom w:val="single" w:color="auto" w:sz="4" w:space="0"/>
              <w:right w:val="single" w:color="auto" w:sz="4" w:space="0"/>
            </w:tcBorders>
            <w:shd w:val="clear" w:color="auto" w:fill="auto"/>
            <w:vAlign w:val="center"/>
          </w:tcPr>
          <w:p w14:paraId="7E0E7A88">
            <w:pPr>
              <w:rPr>
                <w:sz w:val="21"/>
                <w:szCs w:val="21"/>
                <w:highlight w:val="none"/>
              </w:rPr>
            </w:pPr>
            <w:r>
              <w:rPr>
                <w:rFonts w:hint="eastAsia"/>
                <w:sz w:val="21"/>
                <w:szCs w:val="21"/>
                <w:highlight w:val="none"/>
              </w:rPr>
              <w:t>　</w:t>
            </w:r>
          </w:p>
        </w:tc>
        <w:tc>
          <w:tcPr>
            <w:tcW w:w="715" w:type="dxa"/>
            <w:tcBorders>
              <w:top w:val="nil"/>
              <w:left w:val="nil"/>
              <w:bottom w:val="single" w:color="auto" w:sz="4" w:space="0"/>
              <w:right w:val="single" w:color="auto" w:sz="4" w:space="0"/>
            </w:tcBorders>
            <w:shd w:val="clear" w:color="auto" w:fill="auto"/>
            <w:vAlign w:val="center"/>
          </w:tcPr>
          <w:p w14:paraId="0C7FBE8D">
            <w:pPr>
              <w:rPr>
                <w:sz w:val="21"/>
                <w:szCs w:val="21"/>
                <w:highlight w:val="none"/>
              </w:rPr>
            </w:pPr>
            <w:r>
              <w:rPr>
                <w:rFonts w:hint="eastAsia"/>
                <w:sz w:val="21"/>
                <w:szCs w:val="21"/>
                <w:highlight w:val="none"/>
              </w:rPr>
              <w:t>　</w:t>
            </w:r>
          </w:p>
        </w:tc>
        <w:tc>
          <w:tcPr>
            <w:tcW w:w="844" w:type="dxa"/>
            <w:tcBorders>
              <w:top w:val="nil"/>
              <w:left w:val="nil"/>
              <w:bottom w:val="single" w:color="auto" w:sz="4" w:space="0"/>
              <w:right w:val="single" w:color="auto" w:sz="4" w:space="0"/>
            </w:tcBorders>
            <w:shd w:val="clear" w:color="auto" w:fill="auto"/>
            <w:vAlign w:val="center"/>
          </w:tcPr>
          <w:p w14:paraId="1BBDE68A">
            <w:pPr>
              <w:rPr>
                <w:sz w:val="21"/>
                <w:szCs w:val="21"/>
                <w:highlight w:val="none"/>
              </w:rPr>
            </w:pPr>
            <w:r>
              <w:rPr>
                <w:rFonts w:hint="eastAsia"/>
                <w:sz w:val="21"/>
                <w:szCs w:val="21"/>
                <w:highlight w:val="none"/>
              </w:rPr>
              <w:t>　</w:t>
            </w:r>
          </w:p>
        </w:tc>
        <w:tc>
          <w:tcPr>
            <w:tcW w:w="992" w:type="dxa"/>
            <w:tcBorders>
              <w:top w:val="nil"/>
              <w:left w:val="nil"/>
              <w:bottom w:val="single" w:color="auto" w:sz="4" w:space="0"/>
              <w:right w:val="single" w:color="auto" w:sz="4" w:space="0"/>
            </w:tcBorders>
            <w:shd w:val="clear" w:color="auto" w:fill="auto"/>
            <w:vAlign w:val="center"/>
          </w:tcPr>
          <w:p w14:paraId="5F420244">
            <w:pPr>
              <w:rPr>
                <w:sz w:val="21"/>
                <w:szCs w:val="21"/>
                <w:highlight w:val="none"/>
              </w:rPr>
            </w:pPr>
            <w:r>
              <w:rPr>
                <w:rFonts w:hint="eastAsia"/>
                <w:sz w:val="21"/>
                <w:szCs w:val="21"/>
                <w:highlight w:val="none"/>
              </w:rPr>
              <w:t>　</w:t>
            </w:r>
          </w:p>
        </w:tc>
        <w:tc>
          <w:tcPr>
            <w:tcW w:w="851" w:type="dxa"/>
            <w:tcBorders>
              <w:top w:val="nil"/>
              <w:left w:val="nil"/>
              <w:bottom w:val="single" w:color="auto" w:sz="4" w:space="0"/>
              <w:right w:val="single" w:color="auto" w:sz="4" w:space="0"/>
            </w:tcBorders>
            <w:shd w:val="clear" w:color="auto" w:fill="auto"/>
            <w:noWrap/>
            <w:vAlign w:val="center"/>
          </w:tcPr>
          <w:p w14:paraId="025DC525">
            <w:pPr>
              <w:rPr>
                <w:sz w:val="21"/>
                <w:szCs w:val="21"/>
                <w:highlight w:val="none"/>
              </w:rPr>
            </w:pPr>
            <w:r>
              <w:rPr>
                <w:rFonts w:hint="eastAsia"/>
                <w:sz w:val="21"/>
                <w:szCs w:val="21"/>
                <w:highlight w:val="none"/>
              </w:rPr>
              <w:t>　</w:t>
            </w:r>
          </w:p>
        </w:tc>
        <w:tc>
          <w:tcPr>
            <w:tcW w:w="708" w:type="dxa"/>
            <w:tcBorders>
              <w:top w:val="nil"/>
              <w:left w:val="nil"/>
              <w:bottom w:val="single" w:color="auto" w:sz="4" w:space="0"/>
              <w:right w:val="single" w:color="auto" w:sz="4" w:space="0"/>
            </w:tcBorders>
            <w:shd w:val="clear" w:color="auto" w:fill="auto"/>
            <w:noWrap/>
            <w:vAlign w:val="center"/>
          </w:tcPr>
          <w:p w14:paraId="6260D922">
            <w:pPr>
              <w:rPr>
                <w:sz w:val="21"/>
                <w:szCs w:val="21"/>
                <w:highlight w:val="none"/>
              </w:rPr>
            </w:pPr>
            <w:r>
              <w:rPr>
                <w:rFonts w:hint="eastAsia"/>
                <w:sz w:val="21"/>
                <w:szCs w:val="21"/>
                <w:highlight w:val="none"/>
              </w:rPr>
              <w:t>　</w:t>
            </w:r>
          </w:p>
        </w:tc>
      </w:tr>
      <w:tr w14:paraId="194FFAEA">
        <w:tblPrEx>
          <w:tblCellMar>
            <w:top w:w="0" w:type="dxa"/>
            <w:left w:w="108" w:type="dxa"/>
            <w:bottom w:w="0" w:type="dxa"/>
            <w:right w:w="108" w:type="dxa"/>
          </w:tblCellMar>
        </w:tblPrEx>
        <w:trPr>
          <w:trHeight w:val="600" w:hRule="atLeast"/>
        </w:trPr>
        <w:tc>
          <w:tcPr>
            <w:tcW w:w="857" w:type="dxa"/>
            <w:tcBorders>
              <w:top w:val="nil"/>
              <w:left w:val="single" w:color="auto" w:sz="4" w:space="0"/>
              <w:bottom w:val="single" w:color="auto" w:sz="4" w:space="0"/>
              <w:right w:val="single" w:color="auto" w:sz="4" w:space="0"/>
            </w:tcBorders>
            <w:shd w:val="clear" w:color="auto" w:fill="auto"/>
            <w:noWrap/>
            <w:vAlign w:val="center"/>
          </w:tcPr>
          <w:p w14:paraId="408242F1">
            <w:pPr>
              <w:rPr>
                <w:sz w:val="21"/>
                <w:szCs w:val="21"/>
                <w:highlight w:val="none"/>
              </w:rPr>
            </w:pPr>
            <w:r>
              <w:rPr>
                <w:rFonts w:hint="eastAsia"/>
                <w:sz w:val="21"/>
                <w:szCs w:val="21"/>
                <w:highlight w:val="none"/>
              </w:rPr>
              <w:t>三</w:t>
            </w:r>
          </w:p>
        </w:tc>
        <w:tc>
          <w:tcPr>
            <w:tcW w:w="1710" w:type="dxa"/>
            <w:tcBorders>
              <w:top w:val="nil"/>
              <w:left w:val="nil"/>
              <w:bottom w:val="single" w:color="auto" w:sz="4" w:space="0"/>
              <w:right w:val="nil"/>
            </w:tcBorders>
            <w:shd w:val="clear" w:color="auto" w:fill="auto"/>
            <w:noWrap/>
            <w:vAlign w:val="center"/>
          </w:tcPr>
          <w:p w14:paraId="604EE46D">
            <w:pPr>
              <w:rPr>
                <w:sz w:val="21"/>
                <w:szCs w:val="21"/>
                <w:highlight w:val="none"/>
              </w:rPr>
            </w:pPr>
            <w:bookmarkStart w:id="57" w:name="OLE_LINK4"/>
            <w:bookmarkStart w:id="58" w:name="OLE_LINK3"/>
            <w:r>
              <w:rPr>
                <w:rFonts w:hint="eastAsia"/>
                <w:sz w:val="21"/>
                <w:szCs w:val="21"/>
                <w:highlight w:val="none"/>
              </w:rPr>
              <w:t>体育馆二层卫生间改造</w:t>
            </w:r>
            <w:bookmarkEnd w:id="57"/>
            <w:bookmarkEnd w:id="58"/>
          </w:p>
        </w:tc>
        <w:tc>
          <w:tcPr>
            <w:tcW w:w="2835" w:type="dxa"/>
            <w:tcBorders>
              <w:top w:val="nil"/>
              <w:left w:val="single" w:color="auto" w:sz="4" w:space="0"/>
              <w:bottom w:val="single" w:color="auto" w:sz="4" w:space="0"/>
              <w:right w:val="single" w:color="auto" w:sz="4" w:space="0"/>
            </w:tcBorders>
            <w:shd w:val="clear" w:color="auto" w:fill="auto"/>
            <w:vAlign w:val="center"/>
          </w:tcPr>
          <w:p w14:paraId="4D9E115F">
            <w:pPr>
              <w:rPr>
                <w:sz w:val="21"/>
                <w:szCs w:val="21"/>
                <w:highlight w:val="none"/>
              </w:rPr>
            </w:pPr>
            <w:r>
              <w:rPr>
                <w:rFonts w:hint="eastAsia"/>
                <w:sz w:val="21"/>
                <w:szCs w:val="21"/>
                <w:highlight w:val="none"/>
              </w:rPr>
              <w:t>　</w:t>
            </w:r>
          </w:p>
        </w:tc>
        <w:tc>
          <w:tcPr>
            <w:tcW w:w="715" w:type="dxa"/>
            <w:tcBorders>
              <w:top w:val="nil"/>
              <w:left w:val="nil"/>
              <w:bottom w:val="single" w:color="auto" w:sz="4" w:space="0"/>
              <w:right w:val="single" w:color="auto" w:sz="4" w:space="0"/>
            </w:tcBorders>
            <w:shd w:val="clear" w:color="auto" w:fill="auto"/>
            <w:noWrap/>
            <w:vAlign w:val="center"/>
          </w:tcPr>
          <w:p w14:paraId="440D594E">
            <w:pPr>
              <w:rPr>
                <w:sz w:val="21"/>
                <w:szCs w:val="21"/>
                <w:highlight w:val="none"/>
              </w:rPr>
            </w:pPr>
            <w:r>
              <w:rPr>
                <w:rFonts w:hint="eastAsia"/>
                <w:sz w:val="21"/>
                <w:szCs w:val="21"/>
                <w:highlight w:val="none"/>
              </w:rPr>
              <w:t>　</w:t>
            </w:r>
          </w:p>
        </w:tc>
        <w:tc>
          <w:tcPr>
            <w:tcW w:w="844" w:type="dxa"/>
            <w:tcBorders>
              <w:top w:val="nil"/>
              <w:left w:val="nil"/>
              <w:bottom w:val="single" w:color="auto" w:sz="4" w:space="0"/>
              <w:right w:val="single" w:color="auto" w:sz="4" w:space="0"/>
            </w:tcBorders>
            <w:shd w:val="clear" w:color="auto" w:fill="auto"/>
            <w:noWrap/>
            <w:vAlign w:val="center"/>
          </w:tcPr>
          <w:p w14:paraId="4F27DF79">
            <w:pPr>
              <w:rPr>
                <w:sz w:val="21"/>
                <w:szCs w:val="21"/>
                <w:highlight w:val="none"/>
              </w:rPr>
            </w:pPr>
            <w:r>
              <w:rPr>
                <w:rFonts w:hint="eastAsia"/>
                <w:sz w:val="21"/>
                <w:szCs w:val="21"/>
                <w:highlight w:val="none"/>
              </w:rPr>
              <w:t>　</w:t>
            </w:r>
          </w:p>
        </w:tc>
        <w:tc>
          <w:tcPr>
            <w:tcW w:w="992" w:type="dxa"/>
            <w:tcBorders>
              <w:top w:val="nil"/>
              <w:left w:val="nil"/>
              <w:bottom w:val="single" w:color="auto" w:sz="4" w:space="0"/>
              <w:right w:val="single" w:color="auto" w:sz="4" w:space="0"/>
            </w:tcBorders>
            <w:shd w:val="clear" w:color="auto" w:fill="auto"/>
            <w:noWrap/>
            <w:vAlign w:val="center"/>
          </w:tcPr>
          <w:p w14:paraId="47B51281">
            <w:pPr>
              <w:rPr>
                <w:sz w:val="21"/>
                <w:szCs w:val="21"/>
                <w:highlight w:val="none"/>
              </w:rPr>
            </w:pPr>
            <w:r>
              <w:rPr>
                <w:rFonts w:hint="eastAsia"/>
                <w:sz w:val="21"/>
                <w:szCs w:val="21"/>
                <w:highlight w:val="none"/>
              </w:rPr>
              <w:t>　</w:t>
            </w:r>
          </w:p>
        </w:tc>
        <w:tc>
          <w:tcPr>
            <w:tcW w:w="851" w:type="dxa"/>
            <w:tcBorders>
              <w:top w:val="nil"/>
              <w:left w:val="nil"/>
              <w:bottom w:val="single" w:color="auto" w:sz="4" w:space="0"/>
              <w:right w:val="single" w:color="auto" w:sz="4" w:space="0"/>
            </w:tcBorders>
            <w:shd w:val="clear" w:color="auto" w:fill="auto"/>
            <w:noWrap/>
            <w:vAlign w:val="center"/>
          </w:tcPr>
          <w:p w14:paraId="0893A7C6">
            <w:pPr>
              <w:rPr>
                <w:sz w:val="21"/>
                <w:szCs w:val="21"/>
                <w:highlight w:val="none"/>
              </w:rPr>
            </w:pPr>
            <w:r>
              <w:rPr>
                <w:rFonts w:hint="eastAsia"/>
                <w:sz w:val="21"/>
                <w:szCs w:val="21"/>
                <w:highlight w:val="none"/>
              </w:rPr>
              <w:t>　</w:t>
            </w:r>
          </w:p>
        </w:tc>
        <w:tc>
          <w:tcPr>
            <w:tcW w:w="708" w:type="dxa"/>
            <w:tcBorders>
              <w:top w:val="nil"/>
              <w:left w:val="nil"/>
              <w:bottom w:val="single" w:color="auto" w:sz="4" w:space="0"/>
              <w:right w:val="single" w:color="auto" w:sz="4" w:space="0"/>
            </w:tcBorders>
            <w:shd w:val="clear" w:color="auto" w:fill="auto"/>
            <w:vAlign w:val="center"/>
          </w:tcPr>
          <w:p w14:paraId="2398004B">
            <w:pPr>
              <w:rPr>
                <w:sz w:val="21"/>
                <w:szCs w:val="21"/>
                <w:highlight w:val="none"/>
              </w:rPr>
            </w:pPr>
            <w:r>
              <w:rPr>
                <w:rFonts w:hint="eastAsia"/>
                <w:sz w:val="21"/>
                <w:szCs w:val="21"/>
                <w:highlight w:val="none"/>
              </w:rPr>
              <w:t>　</w:t>
            </w:r>
          </w:p>
        </w:tc>
      </w:tr>
      <w:tr w14:paraId="218C57BE">
        <w:tblPrEx>
          <w:tblCellMar>
            <w:top w:w="0" w:type="dxa"/>
            <w:left w:w="108" w:type="dxa"/>
            <w:bottom w:w="0" w:type="dxa"/>
            <w:right w:w="108" w:type="dxa"/>
          </w:tblCellMar>
        </w:tblPrEx>
        <w:trPr>
          <w:trHeight w:val="972" w:hRule="atLeast"/>
        </w:trPr>
        <w:tc>
          <w:tcPr>
            <w:tcW w:w="857" w:type="dxa"/>
            <w:tcBorders>
              <w:top w:val="nil"/>
              <w:left w:val="single" w:color="auto" w:sz="4" w:space="0"/>
              <w:bottom w:val="single" w:color="auto" w:sz="4" w:space="0"/>
              <w:right w:val="single" w:color="auto" w:sz="4" w:space="0"/>
            </w:tcBorders>
            <w:shd w:val="clear" w:color="auto" w:fill="auto"/>
            <w:noWrap/>
            <w:vAlign w:val="center"/>
          </w:tcPr>
          <w:p w14:paraId="2C59A94B">
            <w:pPr>
              <w:rPr>
                <w:sz w:val="21"/>
                <w:szCs w:val="21"/>
                <w:highlight w:val="none"/>
              </w:rPr>
            </w:pPr>
            <w:r>
              <w:rPr>
                <w:rFonts w:hint="eastAsia"/>
                <w:sz w:val="21"/>
                <w:szCs w:val="21"/>
                <w:highlight w:val="none"/>
              </w:rPr>
              <w:t>1</w:t>
            </w:r>
          </w:p>
        </w:tc>
        <w:tc>
          <w:tcPr>
            <w:tcW w:w="1710" w:type="dxa"/>
            <w:tcBorders>
              <w:top w:val="nil"/>
              <w:left w:val="nil"/>
              <w:bottom w:val="single" w:color="auto" w:sz="4" w:space="0"/>
              <w:right w:val="nil"/>
            </w:tcBorders>
            <w:shd w:val="clear" w:color="auto" w:fill="auto"/>
            <w:noWrap/>
            <w:vAlign w:val="center"/>
          </w:tcPr>
          <w:p w14:paraId="06C06443">
            <w:pPr>
              <w:rPr>
                <w:sz w:val="21"/>
                <w:szCs w:val="21"/>
                <w:highlight w:val="none"/>
              </w:rPr>
            </w:pPr>
            <w:r>
              <w:rPr>
                <w:rFonts w:hint="eastAsia"/>
                <w:sz w:val="21"/>
                <w:szCs w:val="21"/>
                <w:highlight w:val="none"/>
              </w:rPr>
              <w:t>原卫生间蹲坑拆除</w:t>
            </w:r>
          </w:p>
        </w:tc>
        <w:tc>
          <w:tcPr>
            <w:tcW w:w="2835" w:type="dxa"/>
            <w:tcBorders>
              <w:top w:val="nil"/>
              <w:left w:val="single" w:color="auto" w:sz="4" w:space="0"/>
              <w:bottom w:val="single" w:color="auto" w:sz="4" w:space="0"/>
              <w:right w:val="single" w:color="auto" w:sz="4" w:space="0"/>
            </w:tcBorders>
            <w:shd w:val="clear" w:color="auto" w:fill="auto"/>
            <w:vAlign w:val="center"/>
          </w:tcPr>
          <w:p w14:paraId="1DD312CB">
            <w:pPr>
              <w:rPr>
                <w:sz w:val="21"/>
                <w:szCs w:val="21"/>
                <w:highlight w:val="none"/>
              </w:rPr>
            </w:pPr>
            <w:r>
              <w:rPr>
                <w:rFonts w:hint="eastAsia"/>
                <w:sz w:val="21"/>
                <w:szCs w:val="21"/>
                <w:highlight w:val="none"/>
              </w:rPr>
              <w:t>原地砖、砖砌地台、蹲坑、管道等保护性拆除，地台尺寸约1.2*1*0.25m，垃圾袋装下楼</w:t>
            </w:r>
          </w:p>
        </w:tc>
        <w:tc>
          <w:tcPr>
            <w:tcW w:w="715" w:type="dxa"/>
            <w:tcBorders>
              <w:top w:val="nil"/>
              <w:left w:val="nil"/>
              <w:bottom w:val="single" w:color="auto" w:sz="4" w:space="0"/>
              <w:right w:val="single" w:color="auto" w:sz="4" w:space="0"/>
            </w:tcBorders>
            <w:shd w:val="clear" w:color="auto" w:fill="auto"/>
            <w:noWrap/>
            <w:vAlign w:val="center"/>
          </w:tcPr>
          <w:p w14:paraId="4584AEEB">
            <w:pPr>
              <w:rPr>
                <w:sz w:val="21"/>
                <w:szCs w:val="21"/>
                <w:highlight w:val="none"/>
              </w:rPr>
            </w:pPr>
            <w:r>
              <w:rPr>
                <w:rFonts w:hint="eastAsia"/>
                <w:sz w:val="21"/>
                <w:szCs w:val="21"/>
                <w:highlight w:val="none"/>
              </w:rPr>
              <w:t>项</w:t>
            </w:r>
          </w:p>
        </w:tc>
        <w:tc>
          <w:tcPr>
            <w:tcW w:w="844" w:type="dxa"/>
            <w:tcBorders>
              <w:top w:val="nil"/>
              <w:left w:val="nil"/>
              <w:bottom w:val="single" w:color="auto" w:sz="4" w:space="0"/>
              <w:right w:val="single" w:color="auto" w:sz="4" w:space="0"/>
            </w:tcBorders>
            <w:shd w:val="clear" w:color="auto" w:fill="auto"/>
            <w:noWrap/>
            <w:vAlign w:val="center"/>
          </w:tcPr>
          <w:p w14:paraId="0E37378E">
            <w:pPr>
              <w:rPr>
                <w:sz w:val="21"/>
                <w:szCs w:val="21"/>
                <w:highlight w:val="none"/>
              </w:rPr>
            </w:pPr>
            <w:r>
              <w:rPr>
                <w:rFonts w:hint="eastAsia"/>
                <w:sz w:val="21"/>
                <w:szCs w:val="21"/>
                <w:highlight w:val="none"/>
              </w:rPr>
              <w:t>1</w:t>
            </w:r>
          </w:p>
        </w:tc>
        <w:tc>
          <w:tcPr>
            <w:tcW w:w="992" w:type="dxa"/>
            <w:tcBorders>
              <w:top w:val="nil"/>
              <w:left w:val="nil"/>
              <w:bottom w:val="single" w:color="auto" w:sz="4" w:space="0"/>
              <w:right w:val="single" w:color="auto" w:sz="4" w:space="0"/>
            </w:tcBorders>
            <w:shd w:val="clear" w:color="auto" w:fill="auto"/>
            <w:noWrap/>
            <w:vAlign w:val="center"/>
          </w:tcPr>
          <w:p w14:paraId="775AEF51">
            <w:pPr>
              <w:rPr>
                <w:sz w:val="21"/>
                <w:szCs w:val="21"/>
                <w:highlight w:val="none"/>
              </w:rPr>
            </w:pPr>
            <w:r>
              <w:rPr>
                <w:rFonts w:hint="eastAsia"/>
                <w:sz w:val="21"/>
                <w:szCs w:val="21"/>
                <w:highlight w:val="none"/>
              </w:rPr>
              <w:t>　</w:t>
            </w:r>
          </w:p>
        </w:tc>
        <w:tc>
          <w:tcPr>
            <w:tcW w:w="851" w:type="dxa"/>
            <w:tcBorders>
              <w:top w:val="nil"/>
              <w:left w:val="nil"/>
              <w:bottom w:val="single" w:color="auto" w:sz="4" w:space="0"/>
              <w:right w:val="single" w:color="auto" w:sz="4" w:space="0"/>
            </w:tcBorders>
            <w:shd w:val="clear" w:color="auto" w:fill="auto"/>
            <w:noWrap/>
            <w:vAlign w:val="center"/>
          </w:tcPr>
          <w:p w14:paraId="769BE11F">
            <w:pPr>
              <w:rPr>
                <w:sz w:val="21"/>
                <w:szCs w:val="21"/>
                <w:highlight w:val="none"/>
              </w:rPr>
            </w:pPr>
            <w:r>
              <w:rPr>
                <w:rFonts w:hint="eastAsia"/>
                <w:sz w:val="21"/>
                <w:szCs w:val="21"/>
                <w:highlight w:val="none"/>
              </w:rPr>
              <w:t>　</w:t>
            </w:r>
          </w:p>
        </w:tc>
        <w:tc>
          <w:tcPr>
            <w:tcW w:w="708" w:type="dxa"/>
            <w:tcBorders>
              <w:top w:val="nil"/>
              <w:left w:val="nil"/>
              <w:bottom w:val="single" w:color="auto" w:sz="4" w:space="0"/>
              <w:right w:val="single" w:color="auto" w:sz="4" w:space="0"/>
            </w:tcBorders>
            <w:shd w:val="clear" w:color="auto" w:fill="auto"/>
            <w:vAlign w:val="center"/>
          </w:tcPr>
          <w:p w14:paraId="55185547">
            <w:pPr>
              <w:rPr>
                <w:sz w:val="21"/>
                <w:szCs w:val="21"/>
                <w:highlight w:val="none"/>
              </w:rPr>
            </w:pPr>
            <w:r>
              <w:rPr>
                <w:rFonts w:hint="eastAsia"/>
                <w:sz w:val="21"/>
                <w:szCs w:val="21"/>
                <w:highlight w:val="none"/>
              </w:rPr>
              <w:t>　</w:t>
            </w:r>
          </w:p>
        </w:tc>
      </w:tr>
      <w:tr w14:paraId="16304857">
        <w:tblPrEx>
          <w:tblCellMar>
            <w:top w:w="0" w:type="dxa"/>
            <w:left w:w="108" w:type="dxa"/>
            <w:bottom w:w="0" w:type="dxa"/>
            <w:right w:w="108" w:type="dxa"/>
          </w:tblCellMar>
        </w:tblPrEx>
        <w:trPr>
          <w:trHeight w:val="840" w:hRule="atLeast"/>
        </w:trPr>
        <w:tc>
          <w:tcPr>
            <w:tcW w:w="857" w:type="dxa"/>
            <w:tcBorders>
              <w:top w:val="nil"/>
              <w:left w:val="single" w:color="auto" w:sz="4" w:space="0"/>
              <w:bottom w:val="single" w:color="auto" w:sz="4" w:space="0"/>
              <w:right w:val="single" w:color="auto" w:sz="4" w:space="0"/>
            </w:tcBorders>
            <w:shd w:val="clear" w:color="auto" w:fill="auto"/>
            <w:noWrap/>
            <w:vAlign w:val="center"/>
          </w:tcPr>
          <w:p w14:paraId="200ECA6C">
            <w:pPr>
              <w:rPr>
                <w:sz w:val="21"/>
                <w:szCs w:val="21"/>
                <w:highlight w:val="none"/>
              </w:rPr>
            </w:pPr>
            <w:r>
              <w:rPr>
                <w:rFonts w:hint="eastAsia"/>
                <w:sz w:val="21"/>
                <w:szCs w:val="21"/>
                <w:highlight w:val="none"/>
              </w:rPr>
              <w:t>2</w:t>
            </w:r>
          </w:p>
        </w:tc>
        <w:tc>
          <w:tcPr>
            <w:tcW w:w="1710" w:type="dxa"/>
            <w:tcBorders>
              <w:top w:val="nil"/>
              <w:left w:val="nil"/>
              <w:bottom w:val="single" w:color="auto" w:sz="4" w:space="0"/>
              <w:right w:val="nil"/>
            </w:tcBorders>
            <w:shd w:val="clear" w:color="auto" w:fill="auto"/>
            <w:noWrap/>
            <w:vAlign w:val="center"/>
          </w:tcPr>
          <w:p w14:paraId="72786620">
            <w:pPr>
              <w:rPr>
                <w:sz w:val="21"/>
                <w:szCs w:val="21"/>
                <w:highlight w:val="none"/>
              </w:rPr>
            </w:pPr>
            <w:r>
              <w:rPr>
                <w:rFonts w:hint="eastAsia"/>
                <w:sz w:val="21"/>
                <w:szCs w:val="21"/>
                <w:highlight w:val="none"/>
              </w:rPr>
              <w:t>原卫生间小便器拆除</w:t>
            </w:r>
          </w:p>
        </w:tc>
        <w:tc>
          <w:tcPr>
            <w:tcW w:w="2835" w:type="dxa"/>
            <w:tcBorders>
              <w:top w:val="nil"/>
              <w:left w:val="single" w:color="auto" w:sz="4" w:space="0"/>
              <w:bottom w:val="single" w:color="auto" w:sz="4" w:space="0"/>
              <w:right w:val="single" w:color="auto" w:sz="4" w:space="0"/>
            </w:tcBorders>
            <w:shd w:val="clear" w:color="auto" w:fill="auto"/>
            <w:vAlign w:val="center"/>
          </w:tcPr>
          <w:p w14:paraId="0FF2D21D">
            <w:pPr>
              <w:rPr>
                <w:sz w:val="21"/>
                <w:szCs w:val="21"/>
                <w:highlight w:val="none"/>
              </w:rPr>
            </w:pPr>
            <w:r>
              <w:rPr>
                <w:rFonts w:hint="eastAsia"/>
                <w:sz w:val="21"/>
                <w:szCs w:val="21"/>
                <w:highlight w:val="none"/>
              </w:rPr>
              <w:t>原卫生间小便器拆除，含电气线路拆除，管道封堵，大理石墙面修补</w:t>
            </w:r>
          </w:p>
        </w:tc>
        <w:tc>
          <w:tcPr>
            <w:tcW w:w="715" w:type="dxa"/>
            <w:tcBorders>
              <w:top w:val="nil"/>
              <w:left w:val="nil"/>
              <w:bottom w:val="single" w:color="auto" w:sz="4" w:space="0"/>
              <w:right w:val="single" w:color="auto" w:sz="4" w:space="0"/>
            </w:tcBorders>
            <w:shd w:val="clear" w:color="auto" w:fill="auto"/>
            <w:noWrap/>
            <w:vAlign w:val="center"/>
          </w:tcPr>
          <w:p w14:paraId="71735901">
            <w:pPr>
              <w:rPr>
                <w:sz w:val="21"/>
                <w:szCs w:val="21"/>
                <w:highlight w:val="none"/>
              </w:rPr>
            </w:pPr>
            <w:r>
              <w:rPr>
                <w:rFonts w:hint="eastAsia"/>
                <w:sz w:val="21"/>
                <w:szCs w:val="21"/>
                <w:highlight w:val="none"/>
              </w:rPr>
              <w:t>套</w:t>
            </w:r>
          </w:p>
        </w:tc>
        <w:tc>
          <w:tcPr>
            <w:tcW w:w="844" w:type="dxa"/>
            <w:tcBorders>
              <w:top w:val="nil"/>
              <w:left w:val="nil"/>
              <w:bottom w:val="single" w:color="auto" w:sz="4" w:space="0"/>
              <w:right w:val="single" w:color="auto" w:sz="4" w:space="0"/>
            </w:tcBorders>
            <w:shd w:val="clear" w:color="auto" w:fill="auto"/>
            <w:noWrap/>
            <w:vAlign w:val="center"/>
          </w:tcPr>
          <w:p w14:paraId="712A7D96">
            <w:pPr>
              <w:rPr>
                <w:sz w:val="21"/>
                <w:szCs w:val="21"/>
                <w:highlight w:val="none"/>
              </w:rPr>
            </w:pPr>
            <w:r>
              <w:rPr>
                <w:rFonts w:hint="eastAsia"/>
                <w:sz w:val="21"/>
                <w:szCs w:val="21"/>
                <w:highlight w:val="none"/>
              </w:rPr>
              <w:t>2</w:t>
            </w:r>
          </w:p>
        </w:tc>
        <w:tc>
          <w:tcPr>
            <w:tcW w:w="992" w:type="dxa"/>
            <w:tcBorders>
              <w:top w:val="nil"/>
              <w:left w:val="nil"/>
              <w:bottom w:val="single" w:color="auto" w:sz="4" w:space="0"/>
              <w:right w:val="single" w:color="auto" w:sz="4" w:space="0"/>
            </w:tcBorders>
            <w:shd w:val="clear" w:color="auto" w:fill="auto"/>
            <w:noWrap/>
            <w:vAlign w:val="center"/>
          </w:tcPr>
          <w:p w14:paraId="0620D802">
            <w:pPr>
              <w:rPr>
                <w:sz w:val="21"/>
                <w:szCs w:val="21"/>
                <w:highlight w:val="none"/>
              </w:rPr>
            </w:pPr>
            <w:r>
              <w:rPr>
                <w:rFonts w:hint="eastAsia"/>
                <w:sz w:val="21"/>
                <w:szCs w:val="21"/>
                <w:highlight w:val="none"/>
              </w:rPr>
              <w:t>　</w:t>
            </w:r>
          </w:p>
        </w:tc>
        <w:tc>
          <w:tcPr>
            <w:tcW w:w="851" w:type="dxa"/>
            <w:tcBorders>
              <w:top w:val="nil"/>
              <w:left w:val="nil"/>
              <w:bottom w:val="single" w:color="auto" w:sz="4" w:space="0"/>
              <w:right w:val="single" w:color="auto" w:sz="4" w:space="0"/>
            </w:tcBorders>
            <w:shd w:val="clear" w:color="auto" w:fill="auto"/>
            <w:noWrap/>
            <w:vAlign w:val="center"/>
          </w:tcPr>
          <w:p w14:paraId="350B8996">
            <w:pPr>
              <w:rPr>
                <w:sz w:val="21"/>
                <w:szCs w:val="21"/>
                <w:highlight w:val="none"/>
              </w:rPr>
            </w:pPr>
            <w:r>
              <w:rPr>
                <w:rFonts w:hint="eastAsia"/>
                <w:sz w:val="21"/>
                <w:szCs w:val="21"/>
                <w:highlight w:val="none"/>
              </w:rPr>
              <w:t>　</w:t>
            </w:r>
          </w:p>
        </w:tc>
        <w:tc>
          <w:tcPr>
            <w:tcW w:w="708" w:type="dxa"/>
            <w:tcBorders>
              <w:top w:val="nil"/>
              <w:left w:val="nil"/>
              <w:bottom w:val="single" w:color="auto" w:sz="4" w:space="0"/>
              <w:right w:val="single" w:color="auto" w:sz="4" w:space="0"/>
            </w:tcBorders>
            <w:shd w:val="clear" w:color="auto" w:fill="auto"/>
            <w:vAlign w:val="center"/>
          </w:tcPr>
          <w:p w14:paraId="16AA1690">
            <w:pPr>
              <w:rPr>
                <w:sz w:val="21"/>
                <w:szCs w:val="21"/>
                <w:highlight w:val="none"/>
              </w:rPr>
            </w:pPr>
            <w:r>
              <w:rPr>
                <w:rFonts w:hint="eastAsia"/>
                <w:sz w:val="21"/>
                <w:szCs w:val="21"/>
                <w:highlight w:val="none"/>
              </w:rPr>
              <w:t>　</w:t>
            </w:r>
          </w:p>
        </w:tc>
      </w:tr>
      <w:tr w14:paraId="417F8079">
        <w:tblPrEx>
          <w:tblCellMar>
            <w:top w:w="0" w:type="dxa"/>
            <w:left w:w="108" w:type="dxa"/>
            <w:bottom w:w="0" w:type="dxa"/>
            <w:right w:w="108" w:type="dxa"/>
          </w:tblCellMar>
        </w:tblPrEx>
        <w:trPr>
          <w:trHeight w:val="600" w:hRule="atLeast"/>
        </w:trPr>
        <w:tc>
          <w:tcPr>
            <w:tcW w:w="857" w:type="dxa"/>
            <w:tcBorders>
              <w:top w:val="nil"/>
              <w:left w:val="single" w:color="auto" w:sz="4" w:space="0"/>
              <w:bottom w:val="single" w:color="auto" w:sz="4" w:space="0"/>
              <w:right w:val="single" w:color="auto" w:sz="4" w:space="0"/>
            </w:tcBorders>
            <w:shd w:val="clear" w:color="auto" w:fill="auto"/>
            <w:noWrap/>
            <w:vAlign w:val="center"/>
          </w:tcPr>
          <w:p w14:paraId="5553E3A8">
            <w:pPr>
              <w:rPr>
                <w:sz w:val="21"/>
                <w:szCs w:val="21"/>
                <w:highlight w:val="none"/>
              </w:rPr>
            </w:pPr>
            <w:r>
              <w:rPr>
                <w:rFonts w:hint="eastAsia"/>
                <w:sz w:val="21"/>
                <w:szCs w:val="21"/>
                <w:highlight w:val="none"/>
              </w:rPr>
              <w:t>2</w:t>
            </w:r>
          </w:p>
        </w:tc>
        <w:tc>
          <w:tcPr>
            <w:tcW w:w="1710" w:type="dxa"/>
            <w:tcBorders>
              <w:top w:val="nil"/>
              <w:left w:val="nil"/>
              <w:bottom w:val="nil"/>
              <w:right w:val="nil"/>
            </w:tcBorders>
            <w:shd w:val="clear" w:color="auto" w:fill="auto"/>
            <w:noWrap/>
            <w:vAlign w:val="center"/>
          </w:tcPr>
          <w:p w14:paraId="0E518AC3">
            <w:pPr>
              <w:rPr>
                <w:sz w:val="21"/>
                <w:szCs w:val="21"/>
                <w:highlight w:val="none"/>
              </w:rPr>
            </w:pPr>
            <w:r>
              <w:rPr>
                <w:rFonts w:hint="eastAsia"/>
                <w:sz w:val="21"/>
                <w:szCs w:val="21"/>
                <w:highlight w:val="none"/>
              </w:rPr>
              <w:t>砖砌矮墙</w:t>
            </w:r>
          </w:p>
        </w:tc>
        <w:tc>
          <w:tcPr>
            <w:tcW w:w="2835" w:type="dxa"/>
            <w:tcBorders>
              <w:top w:val="nil"/>
              <w:left w:val="single" w:color="auto" w:sz="4" w:space="0"/>
              <w:bottom w:val="single" w:color="auto" w:sz="4" w:space="0"/>
              <w:right w:val="single" w:color="auto" w:sz="4" w:space="0"/>
            </w:tcBorders>
            <w:shd w:val="clear" w:color="auto" w:fill="auto"/>
            <w:vAlign w:val="center"/>
          </w:tcPr>
          <w:p w14:paraId="69450F70">
            <w:pPr>
              <w:rPr>
                <w:sz w:val="21"/>
                <w:szCs w:val="21"/>
                <w:highlight w:val="none"/>
              </w:rPr>
            </w:pPr>
            <w:r>
              <w:rPr>
                <w:rFonts w:hint="eastAsia"/>
                <w:sz w:val="21"/>
                <w:szCs w:val="21"/>
                <w:highlight w:val="none"/>
              </w:rPr>
              <w:t>页岩砖，厚度约15cm</w:t>
            </w:r>
          </w:p>
        </w:tc>
        <w:tc>
          <w:tcPr>
            <w:tcW w:w="715" w:type="dxa"/>
            <w:tcBorders>
              <w:top w:val="nil"/>
              <w:left w:val="nil"/>
              <w:bottom w:val="single" w:color="auto" w:sz="4" w:space="0"/>
              <w:right w:val="single" w:color="auto" w:sz="4" w:space="0"/>
            </w:tcBorders>
            <w:shd w:val="clear" w:color="auto" w:fill="auto"/>
            <w:vAlign w:val="center"/>
          </w:tcPr>
          <w:p w14:paraId="196E2929">
            <w:pPr>
              <w:rPr>
                <w:sz w:val="21"/>
                <w:szCs w:val="21"/>
                <w:highlight w:val="none"/>
              </w:rPr>
            </w:pPr>
            <w:r>
              <w:rPr>
                <w:rFonts w:hint="eastAsia"/>
                <w:sz w:val="21"/>
                <w:szCs w:val="21"/>
                <w:highlight w:val="none"/>
              </w:rPr>
              <w:t>m2</w:t>
            </w:r>
          </w:p>
        </w:tc>
        <w:tc>
          <w:tcPr>
            <w:tcW w:w="844" w:type="dxa"/>
            <w:tcBorders>
              <w:top w:val="nil"/>
              <w:left w:val="nil"/>
              <w:bottom w:val="single" w:color="auto" w:sz="4" w:space="0"/>
              <w:right w:val="single" w:color="auto" w:sz="4" w:space="0"/>
            </w:tcBorders>
            <w:shd w:val="clear" w:color="auto" w:fill="auto"/>
            <w:vAlign w:val="center"/>
          </w:tcPr>
          <w:p w14:paraId="322DCBD5">
            <w:pPr>
              <w:rPr>
                <w:sz w:val="21"/>
                <w:szCs w:val="21"/>
                <w:highlight w:val="none"/>
              </w:rPr>
            </w:pPr>
            <w:r>
              <w:rPr>
                <w:rFonts w:hint="eastAsia"/>
                <w:sz w:val="21"/>
                <w:szCs w:val="21"/>
                <w:highlight w:val="none"/>
              </w:rPr>
              <w:t>4.05</w:t>
            </w:r>
          </w:p>
        </w:tc>
        <w:tc>
          <w:tcPr>
            <w:tcW w:w="992" w:type="dxa"/>
            <w:tcBorders>
              <w:top w:val="nil"/>
              <w:left w:val="nil"/>
              <w:bottom w:val="single" w:color="auto" w:sz="4" w:space="0"/>
              <w:right w:val="single" w:color="auto" w:sz="4" w:space="0"/>
            </w:tcBorders>
            <w:shd w:val="clear" w:color="auto" w:fill="auto"/>
            <w:vAlign w:val="center"/>
          </w:tcPr>
          <w:p w14:paraId="21F17E3A">
            <w:pPr>
              <w:rPr>
                <w:sz w:val="21"/>
                <w:szCs w:val="21"/>
                <w:highlight w:val="none"/>
              </w:rPr>
            </w:pPr>
            <w:r>
              <w:rPr>
                <w:rFonts w:hint="eastAsia"/>
                <w:sz w:val="21"/>
                <w:szCs w:val="21"/>
                <w:highlight w:val="none"/>
              </w:rPr>
              <w:t>　</w:t>
            </w:r>
          </w:p>
        </w:tc>
        <w:tc>
          <w:tcPr>
            <w:tcW w:w="851" w:type="dxa"/>
            <w:tcBorders>
              <w:top w:val="nil"/>
              <w:left w:val="nil"/>
              <w:bottom w:val="single" w:color="auto" w:sz="4" w:space="0"/>
              <w:right w:val="single" w:color="auto" w:sz="4" w:space="0"/>
            </w:tcBorders>
            <w:shd w:val="clear" w:color="auto" w:fill="auto"/>
            <w:noWrap/>
            <w:vAlign w:val="center"/>
          </w:tcPr>
          <w:p w14:paraId="4884345D">
            <w:pPr>
              <w:rPr>
                <w:sz w:val="21"/>
                <w:szCs w:val="21"/>
                <w:highlight w:val="none"/>
              </w:rPr>
            </w:pPr>
            <w:r>
              <w:rPr>
                <w:rFonts w:hint="eastAsia"/>
                <w:sz w:val="21"/>
                <w:szCs w:val="21"/>
                <w:highlight w:val="none"/>
              </w:rPr>
              <w:t>　</w:t>
            </w:r>
          </w:p>
        </w:tc>
        <w:tc>
          <w:tcPr>
            <w:tcW w:w="708" w:type="dxa"/>
            <w:tcBorders>
              <w:top w:val="nil"/>
              <w:left w:val="nil"/>
              <w:bottom w:val="single" w:color="auto" w:sz="4" w:space="0"/>
              <w:right w:val="single" w:color="auto" w:sz="4" w:space="0"/>
            </w:tcBorders>
            <w:shd w:val="clear" w:color="auto" w:fill="auto"/>
            <w:vAlign w:val="center"/>
          </w:tcPr>
          <w:p w14:paraId="12D99D98">
            <w:pPr>
              <w:rPr>
                <w:sz w:val="21"/>
                <w:szCs w:val="21"/>
                <w:highlight w:val="none"/>
              </w:rPr>
            </w:pPr>
            <w:r>
              <w:rPr>
                <w:rFonts w:hint="eastAsia"/>
                <w:sz w:val="21"/>
                <w:szCs w:val="21"/>
                <w:highlight w:val="none"/>
              </w:rPr>
              <w:t>　</w:t>
            </w:r>
          </w:p>
        </w:tc>
      </w:tr>
      <w:tr w14:paraId="69CDFA25">
        <w:tblPrEx>
          <w:tblCellMar>
            <w:top w:w="0" w:type="dxa"/>
            <w:left w:w="108" w:type="dxa"/>
            <w:bottom w:w="0" w:type="dxa"/>
            <w:right w:w="108" w:type="dxa"/>
          </w:tblCellMar>
        </w:tblPrEx>
        <w:trPr>
          <w:trHeight w:val="600" w:hRule="atLeast"/>
        </w:trPr>
        <w:tc>
          <w:tcPr>
            <w:tcW w:w="857" w:type="dxa"/>
            <w:tcBorders>
              <w:top w:val="nil"/>
              <w:left w:val="single" w:color="auto" w:sz="4" w:space="0"/>
              <w:bottom w:val="single" w:color="auto" w:sz="4" w:space="0"/>
              <w:right w:val="single" w:color="auto" w:sz="4" w:space="0"/>
            </w:tcBorders>
            <w:shd w:val="clear" w:color="auto" w:fill="auto"/>
            <w:noWrap/>
            <w:vAlign w:val="center"/>
          </w:tcPr>
          <w:p w14:paraId="53707AE5">
            <w:pPr>
              <w:rPr>
                <w:sz w:val="21"/>
                <w:szCs w:val="21"/>
                <w:highlight w:val="none"/>
              </w:rPr>
            </w:pPr>
            <w:r>
              <w:rPr>
                <w:rFonts w:hint="eastAsia"/>
                <w:sz w:val="21"/>
                <w:szCs w:val="21"/>
                <w:highlight w:val="none"/>
              </w:rPr>
              <w:t>3</w:t>
            </w:r>
          </w:p>
        </w:tc>
        <w:tc>
          <w:tcPr>
            <w:tcW w:w="1710" w:type="dxa"/>
            <w:tcBorders>
              <w:top w:val="single" w:color="auto" w:sz="4" w:space="0"/>
              <w:left w:val="nil"/>
              <w:bottom w:val="single" w:color="auto" w:sz="4" w:space="0"/>
              <w:right w:val="single" w:color="auto" w:sz="4" w:space="0"/>
            </w:tcBorders>
            <w:shd w:val="clear" w:color="auto" w:fill="auto"/>
            <w:vAlign w:val="center"/>
          </w:tcPr>
          <w:p w14:paraId="1D279456">
            <w:pPr>
              <w:rPr>
                <w:sz w:val="21"/>
                <w:szCs w:val="21"/>
                <w:highlight w:val="none"/>
              </w:rPr>
            </w:pPr>
            <w:r>
              <w:rPr>
                <w:rFonts w:hint="eastAsia"/>
                <w:sz w:val="21"/>
                <w:szCs w:val="21"/>
                <w:highlight w:val="none"/>
              </w:rPr>
              <w:t>水泥砂浆粉刷</w:t>
            </w:r>
          </w:p>
        </w:tc>
        <w:tc>
          <w:tcPr>
            <w:tcW w:w="2835" w:type="dxa"/>
            <w:tcBorders>
              <w:top w:val="nil"/>
              <w:left w:val="nil"/>
              <w:bottom w:val="single" w:color="auto" w:sz="4" w:space="0"/>
              <w:right w:val="single" w:color="auto" w:sz="4" w:space="0"/>
            </w:tcBorders>
            <w:shd w:val="clear" w:color="auto" w:fill="auto"/>
            <w:vAlign w:val="center"/>
          </w:tcPr>
          <w:p w14:paraId="1272655C">
            <w:pPr>
              <w:rPr>
                <w:sz w:val="21"/>
                <w:szCs w:val="21"/>
                <w:highlight w:val="none"/>
              </w:rPr>
            </w:pPr>
            <w:r>
              <w:rPr>
                <w:rFonts w:hint="eastAsia"/>
                <w:sz w:val="21"/>
                <w:szCs w:val="21"/>
                <w:highlight w:val="none"/>
              </w:rPr>
              <w:t>砖墙面水泥砂浆粉刷</w:t>
            </w:r>
          </w:p>
        </w:tc>
        <w:tc>
          <w:tcPr>
            <w:tcW w:w="715" w:type="dxa"/>
            <w:tcBorders>
              <w:top w:val="nil"/>
              <w:left w:val="nil"/>
              <w:bottom w:val="single" w:color="auto" w:sz="4" w:space="0"/>
              <w:right w:val="single" w:color="auto" w:sz="4" w:space="0"/>
            </w:tcBorders>
            <w:shd w:val="clear" w:color="auto" w:fill="auto"/>
            <w:vAlign w:val="center"/>
          </w:tcPr>
          <w:p w14:paraId="49A74427">
            <w:pPr>
              <w:rPr>
                <w:sz w:val="21"/>
                <w:szCs w:val="21"/>
                <w:highlight w:val="none"/>
              </w:rPr>
            </w:pPr>
            <w:r>
              <w:rPr>
                <w:rFonts w:hint="eastAsia"/>
                <w:sz w:val="21"/>
                <w:szCs w:val="21"/>
                <w:highlight w:val="none"/>
              </w:rPr>
              <w:t>m2</w:t>
            </w:r>
          </w:p>
        </w:tc>
        <w:tc>
          <w:tcPr>
            <w:tcW w:w="844" w:type="dxa"/>
            <w:tcBorders>
              <w:top w:val="nil"/>
              <w:left w:val="nil"/>
              <w:bottom w:val="single" w:color="auto" w:sz="4" w:space="0"/>
              <w:right w:val="single" w:color="auto" w:sz="4" w:space="0"/>
            </w:tcBorders>
            <w:shd w:val="clear" w:color="auto" w:fill="auto"/>
            <w:vAlign w:val="center"/>
          </w:tcPr>
          <w:p w14:paraId="30EE5BD1">
            <w:pPr>
              <w:rPr>
                <w:sz w:val="21"/>
                <w:szCs w:val="21"/>
                <w:highlight w:val="none"/>
              </w:rPr>
            </w:pPr>
            <w:r>
              <w:rPr>
                <w:rFonts w:hint="eastAsia"/>
                <w:sz w:val="21"/>
                <w:szCs w:val="21"/>
                <w:highlight w:val="none"/>
              </w:rPr>
              <w:t>4.05</w:t>
            </w:r>
          </w:p>
        </w:tc>
        <w:tc>
          <w:tcPr>
            <w:tcW w:w="992" w:type="dxa"/>
            <w:tcBorders>
              <w:top w:val="nil"/>
              <w:left w:val="nil"/>
              <w:bottom w:val="single" w:color="auto" w:sz="4" w:space="0"/>
              <w:right w:val="single" w:color="auto" w:sz="4" w:space="0"/>
            </w:tcBorders>
            <w:shd w:val="clear" w:color="auto" w:fill="auto"/>
            <w:vAlign w:val="center"/>
          </w:tcPr>
          <w:p w14:paraId="43453DFD">
            <w:pPr>
              <w:rPr>
                <w:sz w:val="21"/>
                <w:szCs w:val="21"/>
                <w:highlight w:val="none"/>
              </w:rPr>
            </w:pPr>
            <w:r>
              <w:rPr>
                <w:rFonts w:hint="eastAsia"/>
                <w:sz w:val="21"/>
                <w:szCs w:val="21"/>
                <w:highlight w:val="none"/>
              </w:rPr>
              <w:t>　</w:t>
            </w:r>
          </w:p>
        </w:tc>
        <w:tc>
          <w:tcPr>
            <w:tcW w:w="851" w:type="dxa"/>
            <w:tcBorders>
              <w:top w:val="nil"/>
              <w:left w:val="nil"/>
              <w:bottom w:val="single" w:color="auto" w:sz="4" w:space="0"/>
              <w:right w:val="single" w:color="auto" w:sz="4" w:space="0"/>
            </w:tcBorders>
            <w:shd w:val="clear" w:color="auto" w:fill="auto"/>
            <w:noWrap/>
            <w:vAlign w:val="center"/>
          </w:tcPr>
          <w:p w14:paraId="5267DD50">
            <w:pPr>
              <w:rPr>
                <w:sz w:val="21"/>
                <w:szCs w:val="21"/>
                <w:highlight w:val="none"/>
              </w:rPr>
            </w:pPr>
            <w:r>
              <w:rPr>
                <w:rFonts w:hint="eastAsia"/>
                <w:sz w:val="21"/>
                <w:szCs w:val="21"/>
                <w:highlight w:val="none"/>
              </w:rPr>
              <w:t>　</w:t>
            </w:r>
          </w:p>
        </w:tc>
        <w:tc>
          <w:tcPr>
            <w:tcW w:w="708" w:type="dxa"/>
            <w:tcBorders>
              <w:top w:val="nil"/>
              <w:left w:val="nil"/>
              <w:bottom w:val="single" w:color="auto" w:sz="4" w:space="0"/>
              <w:right w:val="single" w:color="auto" w:sz="4" w:space="0"/>
            </w:tcBorders>
            <w:shd w:val="clear" w:color="auto" w:fill="auto"/>
            <w:vAlign w:val="center"/>
          </w:tcPr>
          <w:p w14:paraId="75A22E0F">
            <w:pPr>
              <w:rPr>
                <w:sz w:val="21"/>
                <w:szCs w:val="21"/>
                <w:highlight w:val="none"/>
              </w:rPr>
            </w:pPr>
            <w:r>
              <w:rPr>
                <w:rFonts w:hint="eastAsia"/>
                <w:sz w:val="21"/>
                <w:szCs w:val="21"/>
                <w:highlight w:val="none"/>
              </w:rPr>
              <w:t>　</w:t>
            </w:r>
          </w:p>
        </w:tc>
      </w:tr>
      <w:tr w14:paraId="78651552">
        <w:tblPrEx>
          <w:tblCellMar>
            <w:top w:w="0" w:type="dxa"/>
            <w:left w:w="108" w:type="dxa"/>
            <w:bottom w:w="0" w:type="dxa"/>
            <w:right w:w="108" w:type="dxa"/>
          </w:tblCellMar>
        </w:tblPrEx>
        <w:trPr>
          <w:trHeight w:val="600" w:hRule="atLeast"/>
        </w:trPr>
        <w:tc>
          <w:tcPr>
            <w:tcW w:w="857" w:type="dxa"/>
            <w:tcBorders>
              <w:top w:val="nil"/>
              <w:left w:val="single" w:color="auto" w:sz="4" w:space="0"/>
              <w:bottom w:val="single" w:color="auto" w:sz="4" w:space="0"/>
              <w:right w:val="single" w:color="auto" w:sz="4" w:space="0"/>
            </w:tcBorders>
            <w:shd w:val="clear" w:color="auto" w:fill="auto"/>
            <w:noWrap/>
            <w:vAlign w:val="center"/>
          </w:tcPr>
          <w:p w14:paraId="1E0251A8">
            <w:pPr>
              <w:rPr>
                <w:sz w:val="21"/>
                <w:szCs w:val="21"/>
                <w:highlight w:val="none"/>
              </w:rPr>
            </w:pPr>
            <w:r>
              <w:rPr>
                <w:rFonts w:hint="eastAsia"/>
                <w:sz w:val="21"/>
                <w:szCs w:val="21"/>
                <w:highlight w:val="none"/>
              </w:rPr>
              <w:t>4</w:t>
            </w:r>
          </w:p>
        </w:tc>
        <w:tc>
          <w:tcPr>
            <w:tcW w:w="1710" w:type="dxa"/>
            <w:tcBorders>
              <w:top w:val="nil"/>
              <w:left w:val="nil"/>
              <w:bottom w:val="nil"/>
              <w:right w:val="nil"/>
            </w:tcBorders>
            <w:shd w:val="clear" w:color="auto" w:fill="auto"/>
            <w:noWrap/>
            <w:vAlign w:val="center"/>
          </w:tcPr>
          <w:p w14:paraId="5A03694E">
            <w:pPr>
              <w:rPr>
                <w:sz w:val="21"/>
                <w:szCs w:val="21"/>
                <w:highlight w:val="none"/>
              </w:rPr>
            </w:pPr>
            <w:r>
              <w:rPr>
                <w:rFonts w:hint="eastAsia"/>
                <w:sz w:val="21"/>
                <w:szCs w:val="21"/>
                <w:highlight w:val="none"/>
              </w:rPr>
              <w:t>地砖拆除</w:t>
            </w:r>
          </w:p>
        </w:tc>
        <w:tc>
          <w:tcPr>
            <w:tcW w:w="2835" w:type="dxa"/>
            <w:tcBorders>
              <w:top w:val="nil"/>
              <w:left w:val="single" w:color="auto" w:sz="4" w:space="0"/>
              <w:bottom w:val="single" w:color="auto" w:sz="4" w:space="0"/>
              <w:right w:val="single" w:color="auto" w:sz="4" w:space="0"/>
            </w:tcBorders>
            <w:shd w:val="clear" w:color="auto" w:fill="auto"/>
            <w:vAlign w:val="center"/>
          </w:tcPr>
          <w:p w14:paraId="4FEBB5EB">
            <w:pPr>
              <w:rPr>
                <w:sz w:val="21"/>
                <w:szCs w:val="21"/>
                <w:highlight w:val="none"/>
              </w:rPr>
            </w:pPr>
            <w:r>
              <w:rPr>
                <w:rFonts w:hint="eastAsia"/>
                <w:sz w:val="21"/>
                <w:szCs w:val="21"/>
                <w:highlight w:val="none"/>
              </w:rPr>
              <w:t>原地砖保护性拆除，凿除铺装层至楼板，垃圾袋装下楼</w:t>
            </w:r>
          </w:p>
        </w:tc>
        <w:tc>
          <w:tcPr>
            <w:tcW w:w="715" w:type="dxa"/>
            <w:tcBorders>
              <w:top w:val="nil"/>
              <w:left w:val="nil"/>
              <w:bottom w:val="single" w:color="auto" w:sz="4" w:space="0"/>
              <w:right w:val="single" w:color="auto" w:sz="4" w:space="0"/>
            </w:tcBorders>
            <w:shd w:val="clear" w:color="auto" w:fill="auto"/>
            <w:vAlign w:val="center"/>
          </w:tcPr>
          <w:p w14:paraId="20AED762">
            <w:pPr>
              <w:rPr>
                <w:sz w:val="21"/>
                <w:szCs w:val="21"/>
                <w:highlight w:val="none"/>
              </w:rPr>
            </w:pPr>
            <w:r>
              <w:rPr>
                <w:rFonts w:hint="eastAsia"/>
                <w:sz w:val="21"/>
                <w:szCs w:val="21"/>
                <w:highlight w:val="none"/>
              </w:rPr>
              <w:t>m2</w:t>
            </w:r>
          </w:p>
        </w:tc>
        <w:tc>
          <w:tcPr>
            <w:tcW w:w="844" w:type="dxa"/>
            <w:tcBorders>
              <w:top w:val="nil"/>
              <w:left w:val="nil"/>
              <w:bottom w:val="single" w:color="auto" w:sz="4" w:space="0"/>
              <w:right w:val="single" w:color="auto" w:sz="4" w:space="0"/>
            </w:tcBorders>
            <w:shd w:val="clear" w:color="auto" w:fill="auto"/>
            <w:noWrap/>
            <w:vAlign w:val="center"/>
          </w:tcPr>
          <w:p w14:paraId="6E898A5D">
            <w:pPr>
              <w:rPr>
                <w:sz w:val="21"/>
                <w:szCs w:val="21"/>
                <w:highlight w:val="none"/>
              </w:rPr>
            </w:pPr>
            <w:r>
              <w:rPr>
                <w:rFonts w:hint="eastAsia"/>
                <w:sz w:val="21"/>
                <w:szCs w:val="21"/>
                <w:highlight w:val="none"/>
              </w:rPr>
              <w:t>2.16</w:t>
            </w:r>
          </w:p>
        </w:tc>
        <w:tc>
          <w:tcPr>
            <w:tcW w:w="992" w:type="dxa"/>
            <w:tcBorders>
              <w:top w:val="nil"/>
              <w:left w:val="nil"/>
              <w:bottom w:val="single" w:color="auto" w:sz="4" w:space="0"/>
              <w:right w:val="single" w:color="auto" w:sz="4" w:space="0"/>
            </w:tcBorders>
            <w:shd w:val="clear" w:color="auto" w:fill="auto"/>
            <w:noWrap/>
            <w:vAlign w:val="center"/>
          </w:tcPr>
          <w:p w14:paraId="2D8E01BB">
            <w:pPr>
              <w:rPr>
                <w:sz w:val="21"/>
                <w:szCs w:val="21"/>
                <w:highlight w:val="none"/>
              </w:rPr>
            </w:pPr>
            <w:r>
              <w:rPr>
                <w:rFonts w:hint="eastAsia"/>
                <w:sz w:val="21"/>
                <w:szCs w:val="21"/>
                <w:highlight w:val="none"/>
              </w:rPr>
              <w:t>　</w:t>
            </w:r>
          </w:p>
        </w:tc>
        <w:tc>
          <w:tcPr>
            <w:tcW w:w="851" w:type="dxa"/>
            <w:tcBorders>
              <w:top w:val="nil"/>
              <w:left w:val="nil"/>
              <w:bottom w:val="single" w:color="auto" w:sz="4" w:space="0"/>
              <w:right w:val="single" w:color="auto" w:sz="4" w:space="0"/>
            </w:tcBorders>
            <w:shd w:val="clear" w:color="auto" w:fill="auto"/>
            <w:noWrap/>
            <w:vAlign w:val="center"/>
          </w:tcPr>
          <w:p w14:paraId="3BE524CC">
            <w:pPr>
              <w:rPr>
                <w:sz w:val="21"/>
                <w:szCs w:val="21"/>
                <w:highlight w:val="none"/>
              </w:rPr>
            </w:pPr>
            <w:r>
              <w:rPr>
                <w:rFonts w:hint="eastAsia"/>
                <w:sz w:val="21"/>
                <w:szCs w:val="21"/>
                <w:highlight w:val="none"/>
              </w:rPr>
              <w:t>　</w:t>
            </w:r>
          </w:p>
        </w:tc>
        <w:tc>
          <w:tcPr>
            <w:tcW w:w="708" w:type="dxa"/>
            <w:tcBorders>
              <w:top w:val="nil"/>
              <w:left w:val="nil"/>
              <w:bottom w:val="single" w:color="auto" w:sz="4" w:space="0"/>
              <w:right w:val="single" w:color="auto" w:sz="4" w:space="0"/>
            </w:tcBorders>
            <w:shd w:val="clear" w:color="auto" w:fill="auto"/>
            <w:vAlign w:val="center"/>
          </w:tcPr>
          <w:p w14:paraId="60C172FC">
            <w:pPr>
              <w:rPr>
                <w:sz w:val="21"/>
                <w:szCs w:val="21"/>
                <w:highlight w:val="none"/>
              </w:rPr>
            </w:pPr>
            <w:r>
              <w:rPr>
                <w:rFonts w:hint="eastAsia"/>
                <w:sz w:val="21"/>
                <w:szCs w:val="21"/>
                <w:highlight w:val="none"/>
              </w:rPr>
              <w:t>　</w:t>
            </w:r>
          </w:p>
        </w:tc>
      </w:tr>
      <w:tr w14:paraId="68094884">
        <w:tblPrEx>
          <w:tblCellMar>
            <w:top w:w="0" w:type="dxa"/>
            <w:left w:w="108" w:type="dxa"/>
            <w:bottom w:w="0" w:type="dxa"/>
            <w:right w:w="108" w:type="dxa"/>
          </w:tblCellMar>
        </w:tblPrEx>
        <w:trPr>
          <w:trHeight w:val="600" w:hRule="atLeast"/>
        </w:trPr>
        <w:tc>
          <w:tcPr>
            <w:tcW w:w="857" w:type="dxa"/>
            <w:tcBorders>
              <w:top w:val="nil"/>
              <w:left w:val="single" w:color="auto" w:sz="4" w:space="0"/>
              <w:bottom w:val="single" w:color="auto" w:sz="4" w:space="0"/>
              <w:right w:val="single" w:color="auto" w:sz="4" w:space="0"/>
            </w:tcBorders>
            <w:shd w:val="clear" w:color="auto" w:fill="auto"/>
            <w:noWrap/>
            <w:vAlign w:val="center"/>
          </w:tcPr>
          <w:p w14:paraId="58EFDA95">
            <w:pPr>
              <w:rPr>
                <w:sz w:val="21"/>
                <w:szCs w:val="21"/>
                <w:highlight w:val="none"/>
              </w:rPr>
            </w:pPr>
            <w:r>
              <w:rPr>
                <w:rFonts w:hint="eastAsia"/>
                <w:sz w:val="21"/>
                <w:szCs w:val="21"/>
                <w:highlight w:val="none"/>
              </w:rPr>
              <w:t>5</w:t>
            </w:r>
          </w:p>
        </w:tc>
        <w:tc>
          <w:tcPr>
            <w:tcW w:w="1710" w:type="dxa"/>
            <w:tcBorders>
              <w:top w:val="single" w:color="auto" w:sz="4" w:space="0"/>
              <w:left w:val="nil"/>
              <w:bottom w:val="single" w:color="auto" w:sz="4" w:space="0"/>
              <w:right w:val="single" w:color="auto" w:sz="4" w:space="0"/>
            </w:tcBorders>
            <w:shd w:val="clear" w:color="auto" w:fill="auto"/>
            <w:vAlign w:val="center"/>
          </w:tcPr>
          <w:p w14:paraId="04A16046">
            <w:pPr>
              <w:rPr>
                <w:sz w:val="21"/>
                <w:szCs w:val="21"/>
                <w:highlight w:val="none"/>
              </w:rPr>
            </w:pPr>
            <w:r>
              <w:rPr>
                <w:rFonts w:hint="eastAsia"/>
                <w:sz w:val="21"/>
                <w:szCs w:val="21"/>
                <w:highlight w:val="none"/>
              </w:rPr>
              <w:t>地面找平找坡</w:t>
            </w:r>
          </w:p>
        </w:tc>
        <w:tc>
          <w:tcPr>
            <w:tcW w:w="2835" w:type="dxa"/>
            <w:tcBorders>
              <w:top w:val="nil"/>
              <w:left w:val="nil"/>
              <w:bottom w:val="single" w:color="auto" w:sz="4" w:space="0"/>
              <w:right w:val="single" w:color="auto" w:sz="4" w:space="0"/>
            </w:tcBorders>
            <w:shd w:val="clear" w:color="auto" w:fill="auto"/>
            <w:vAlign w:val="center"/>
          </w:tcPr>
          <w:p w14:paraId="3DF6FE40">
            <w:pPr>
              <w:rPr>
                <w:sz w:val="21"/>
                <w:szCs w:val="21"/>
                <w:highlight w:val="none"/>
              </w:rPr>
            </w:pPr>
            <w:r>
              <w:rPr>
                <w:rFonts w:hint="eastAsia"/>
                <w:sz w:val="21"/>
                <w:szCs w:val="21"/>
                <w:highlight w:val="none"/>
              </w:rPr>
              <w:t>地面水泥砂浆找平找坡</w:t>
            </w:r>
          </w:p>
        </w:tc>
        <w:tc>
          <w:tcPr>
            <w:tcW w:w="715" w:type="dxa"/>
            <w:tcBorders>
              <w:top w:val="nil"/>
              <w:left w:val="nil"/>
              <w:bottom w:val="single" w:color="auto" w:sz="4" w:space="0"/>
              <w:right w:val="single" w:color="auto" w:sz="4" w:space="0"/>
            </w:tcBorders>
            <w:shd w:val="clear" w:color="auto" w:fill="auto"/>
            <w:vAlign w:val="center"/>
          </w:tcPr>
          <w:p w14:paraId="4784A628">
            <w:pPr>
              <w:rPr>
                <w:sz w:val="21"/>
                <w:szCs w:val="21"/>
                <w:highlight w:val="none"/>
              </w:rPr>
            </w:pPr>
            <w:r>
              <w:rPr>
                <w:rFonts w:hint="eastAsia"/>
                <w:sz w:val="21"/>
                <w:szCs w:val="21"/>
                <w:highlight w:val="none"/>
              </w:rPr>
              <w:t>m2</w:t>
            </w:r>
          </w:p>
        </w:tc>
        <w:tc>
          <w:tcPr>
            <w:tcW w:w="844" w:type="dxa"/>
            <w:tcBorders>
              <w:top w:val="nil"/>
              <w:left w:val="nil"/>
              <w:bottom w:val="single" w:color="auto" w:sz="4" w:space="0"/>
              <w:right w:val="single" w:color="auto" w:sz="4" w:space="0"/>
            </w:tcBorders>
            <w:shd w:val="clear" w:color="auto" w:fill="auto"/>
            <w:noWrap/>
            <w:vAlign w:val="center"/>
          </w:tcPr>
          <w:p w14:paraId="46E71C41">
            <w:pPr>
              <w:rPr>
                <w:sz w:val="21"/>
                <w:szCs w:val="21"/>
                <w:highlight w:val="none"/>
              </w:rPr>
            </w:pPr>
            <w:r>
              <w:rPr>
                <w:rFonts w:hint="eastAsia"/>
                <w:sz w:val="21"/>
                <w:szCs w:val="21"/>
                <w:highlight w:val="none"/>
              </w:rPr>
              <w:t>2.16</w:t>
            </w:r>
          </w:p>
        </w:tc>
        <w:tc>
          <w:tcPr>
            <w:tcW w:w="992" w:type="dxa"/>
            <w:tcBorders>
              <w:top w:val="nil"/>
              <w:left w:val="nil"/>
              <w:bottom w:val="single" w:color="auto" w:sz="4" w:space="0"/>
              <w:right w:val="single" w:color="auto" w:sz="4" w:space="0"/>
            </w:tcBorders>
            <w:shd w:val="clear" w:color="auto" w:fill="auto"/>
            <w:noWrap/>
            <w:vAlign w:val="center"/>
          </w:tcPr>
          <w:p w14:paraId="2B33CDA5">
            <w:pPr>
              <w:rPr>
                <w:sz w:val="21"/>
                <w:szCs w:val="21"/>
                <w:highlight w:val="none"/>
              </w:rPr>
            </w:pPr>
            <w:r>
              <w:rPr>
                <w:rFonts w:hint="eastAsia"/>
                <w:sz w:val="21"/>
                <w:szCs w:val="21"/>
                <w:highlight w:val="none"/>
              </w:rPr>
              <w:t>　</w:t>
            </w:r>
          </w:p>
        </w:tc>
        <w:tc>
          <w:tcPr>
            <w:tcW w:w="851" w:type="dxa"/>
            <w:tcBorders>
              <w:top w:val="nil"/>
              <w:left w:val="nil"/>
              <w:bottom w:val="single" w:color="auto" w:sz="4" w:space="0"/>
              <w:right w:val="single" w:color="auto" w:sz="4" w:space="0"/>
            </w:tcBorders>
            <w:shd w:val="clear" w:color="auto" w:fill="auto"/>
            <w:noWrap/>
            <w:vAlign w:val="center"/>
          </w:tcPr>
          <w:p w14:paraId="7D64F939">
            <w:pPr>
              <w:rPr>
                <w:sz w:val="21"/>
                <w:szCs w:val="21"/>
                <w:highlight w:val="none"/>
              </w:rPr>
            </w:pPr>
            <w:r>
              <w:rPr>
                <w:rFonts w:hint="eastAsia"/>
                <w:sz w:val="21"/>
                <w:szCs w:val="21"/>
                <w:highlight w:val="none"/>
              </w:rPr>
              <w:t>　</w:t>
            </w:r>
          </w:p>
        </w:tc>
        <w:tc>
          <w:tcPr>
            <w:tcW w:w="708" w:type="dxa"/>
            <w:tcBorders>
              <w:top w:val="nil"/>
              <w:left w:val="nil"/>
              <w:bottom w:val="single" w:color="auto" w:sz="4" w:space="0"/>
              <w:right w:val="single" w:color="auto" w:sz="4" w:space="0"/>
            </w:tcBorders>
            <w:shd w:val="clear" w:color="auto" w:fill="auto"/>
            <w:vAlign w:val="center"/>
          </w:tcPr>
          <w:p w14:paraId="25B9E816">
            <w:pPr>
              <w:rPr>
                <w:sz w:val="21"/>
                <w:szCs w:val="21"/>
                <w:highlight w:val="none"/>
              </w:rPr>
            </w:pPr>
            <w:r>
              <w:rPr>
                <w:rFonts w:hint="eastAsia"/>
                <w:sz w:val="21"/>
                <w:szCs w:val="21"/>
                <w:highlight w:val="none"/>
              </w:rPr>
              <w:t>　</w:t>
            </w:r>
          </w:p>
        </w:tc>
      </w:tr>
      <w:tr w14:paraId="458912D1">
        <w:tblPrEx>
          <w:tblCellMar>
            <w:top w:w="0" w:type="dxa"/>
            <w:left w:w="108" w:type="dxa"/>
            <w:bottom w:w="0" w:type="dxa"/>
            <w:right w:w="108" w:type="dxa"/>
          </w:tblCellMar>
        </w:tblPrEx>
        <w:trPr>
          <w:trHeight w:val="600" w:hRule="atLeast"/>
        </w:trPr>
        <w:tc>
          <w:tcPr>
            <w:tcW w:w="857" w:type="dxa"/>
            <w:tcBorders>
              <w:top w:val="nil"/>
              <w:left w:val="single" w:color="auto" w:sz="4" w:space="0"/>
              <w:bottom w:val="single" w:color="auto" w:sz="4" w:space="0"/>
              <w:right w:val="single" w:color="auto" w:sz="4" w:space="0"/>
            </w:tcBorders>
            <w:shd w:val="clear" w:color="auto" w:fill="auto"/>
            <w:noWrap/>
            <w:vAlign w:val="center"/>
          </w:tcPr>
          <w:p w14:paraId="472FD674">
            <w:pPr>
              <w:rPr>
                <w:sz w:val="21"/>
                <w:szCs w:val="21"/>
                <w:highlight w:val="none"/>
              </w:rPr>
            </w:pPr>
            <w:r>
              <w:rPr>
                <w:rFonts w:hint="eastAsia"/>
                <w:sz w:val="21"/>
                <w:szCs w:val="21"/>
                <w:highlight w:val="none"/>
              </w:rPr>
              <w:t>6</w:t>
            </w:r>
          </w:p>
        </w:tc>
        <w:tc>
          <w:tcPr>
            <w:tcW w:w="1710" w:type="dxa"/>
            <w:tcBorders>
              <w:top w:val="nil"/>
              <w:left w:val="nil"/>
              <w:bottom w:val="single" w:color="auto" w:sz="4" w:space="0"/>
              <w:right w:val="single" w:color="auto" w:sz="4" w:space="0"/>
            </w:tcBorders>
            <w:shd w:val="clear" w:color="auto" w:fill="auto"/>
            <w:vAlign w:val="center"/>
          </w:tcPr>
          <w:p w14:paraId="11430C91">
            <w:pPr>
              <w:rPr>
                <w:sz w:val="21"/>
                <w:szCs w:val="21"/>
                <w:highlight w:val="none"/>
              </w:rPr>
            </w:pPr>
            <w:r>
              <w:rPr>
                <w:rFonts w:hint="eastAsia"/>
                <w:sz w:val="21"/>
                <w:szCs w:val="21"/>
                <w:highlight w:val="none"/>
              </w:rPr>
              <w:t>地砖修补</w:t>
            </w:r>
          </w:p>
        </w:tc>
        <w:tc>
          <w:tcPr>
            <w:tcW w:w="2835" w:type="dxa"/>
            <w:tcBorders>
              <w:top w:val="nil"/>
              <w:left w:val="nil"/>
              <w:bottom w:val="single" w:color="auto" w:sz="4" w:space="0"/>
              <w:right w:val="single" w:color="auto" w:sz="4" w:space="0"/>
            </w:tcBorders>
            <w:shd w:val="clear" w:color="auto" w:fill="auto"/>
            <w:vAlign w:val="center"/>
          </w:tcPr>
          <w:p w14:paraId="5445C3C8">
            <w:pPr>
              <w:rPr>
                <w:sz w:val="21"/>
                <w:szCs w:val="21"/>
                <w:highlight w:val="none"/>
              </w:rPr>
            </w:pPr>
            <w:r>
              <w:rPr>
                <w:rFonts w:hint="eastAsia"/>
                <w:sz w:val="21"/>
                <w:szCs w:val="21"/>
                <w:highlight w:val="none"/>
              </w:rPr>
              <w:t>600*600地砖铺贴，和原有地砖同色</w:t>
            </w:r>
          </w:p>
        </w:tc>
        <w:tc>
          <w:tcPr>
            <w:tcW w:w="715" w:type="dxa"/>
            <w:tcBorders>
              <w:top w:val="nil"/>
              <w:left w:val="nil"/>
              <w:bottom w:val="single" w:color="auto" w:sz="4" w:space="0"/>
              <w:right w:val="single" w:color="auto" w:sz="4" w:space="0"/>
            </w:tcBorders>
            <w:shd w:val="clear" w:color="auto" w:fill="auto"/>
            <w:vAlign w:val="center"/>
          </w:tcPr>
          <w:p w14:paraId="1374B6D6">
            <w:pPr>
              <w:rPr>
                <w:sz w:val="21"/>
                <w:szCs w:val="21"/>
                <w:highlight w:val="none"/>
              </w:rPr>
            </w:pPr>
            <w:r>
              <w:rPr>
                <w:rFonts w:hint="eastAsia"/>
                <w:sz w:val="21"/>
                <w:szCs w:val="21"/>
                <w:highlight w:val="none"/>
              </w:rPr>
              <w:t>m2</w:t>
            </w:r>
          </w:p>
        </w:tc>
        <w:tc>
          <w:tcPr>
            <w:tcW w:w="844" w:type="dxa"/>
            <w:tcBorders>
              <w:top w:val="nil"/>
              <w:left w:val="nil"/>
              <w:bottom w:val="single" w:color="auto" w:sz="4" w:space="0"/>
              <w:right w:val="single" w:color="auto" w:sz="4" w:space="0"/>
            </w:tcBorders>
            <w:shd w:val="clear" w:color="auto" w:fill="auto"/>
            <w:noWrap/>
            <w:vAlign w:val="center"/>
          </w:tcPr>
          <w:p w14:paraId="7F96E7C9">
            <w:pPr>
              <w:rPr>
                <w:sz w:val="21"/>
                <w:szCs w:val="21"/>
                <w:highlight w:val="none"/>
              </w:rPr>
            </w:pPr>
            <w:r>
              <w:rPr>
                <w:rFonts w:hint="eastAsia"/>
                <w:sz w:val="21"/>
                <w:szCs w:val="21"/>
                <w:highlight w:val="none"/>
              </w:rPr>
              <w:t>2.16</w:t>
            </w:r>
          </w:p>
        </w:tc>
        <w:tc>
          <w:tcPr>
            <w:tcW w:w="992" w:type="dxa"/>
            <w:tcBorders>
              <w:top w:val="nil"/>
              <w:left w:val="nil"/>
              <w:bottom w:val="single" w:color="auto" w:sz="4" w:space="0"/>
              <w:right w:val="single" w:color="auto" w:sz="4" w:space="0"/>
            </w:tcBorders>
            <w:shd w:val="clear" w:color="auto" w:fill="auto"/>
            <w:noWrap/>
            <w:vAlign w:val="center"/>
          </w:tcPr>
          <w:p w14:paraId="5B470520">
            <w:pPr>
              <w:rPr>
                <w:sz w:val="21"/>
                <w:szCs w:val="21"/>
                <w:highlight w:val="none"/>
              </w:rPr>
            </w:pPr>
            <w:r>
              <w:rPr>
                <w:rFonts w:hint="eastAsia"/>
                <w:sz w:val="21"/>
                <w:szCs w:val="21"/>
                <w:highlight w:val="none"/>
              </w:rPr>
              <w:t>　</w:t>
            </w:r>
          </w:p>
        </w:tc>
        <w:tc>
          <w:tcPr>
            <w:tcW w:w="851" w:type="dxa"/>
            <w:tcBorders>
              <w:top w:val="nil"/>
              <w:left w:val="nil"/>
              <w:bottom w:val="single" w:color="auto" w:sz="4" w:space="0"/>
              <w:right w:val="single" w:color="auto" w:sz="4" w:space="0"/>
            </w:tcBorders>
            <w:shd w:val="clear" w:color="auto" w:fill="auto"/>
            <w:noWrap/>
            <w:vAlign w:val="center"/>
          </w:tcPr>
          <w:p w14:paraId="4E9C873F">
            <w:pPr>
              <w:rPr>
                <w:sz w:val="21"/>
                <w:szCs w:val="21"/>
                <w:highlight w:val="none"/>
              </w:rPr>
            </w:pPr>
            <w:r>
              <w:rPr>
                <w:rFonts w:hint="eastAsia"/>
                <w:sz w:val="21"/>
                <w:szCs w:val="21"/>
                <w:highlight w:val="none"/>
              </w:rPr>
              <w:t>　</w:t>
            </w:r>
          </w:p>
        </w:tc>
        <w:tc>
          <w:tcPr>
            <w:tcW w:w="708" w:type="dxa"/>
            <w:tcBorders>
              <w:top w:val="nil"/>
              <w:left w:val="nil"/>
              <w:bottom w:val="single" w:color="auto" w:sz="4" w:space="0"/>
              <w:right w:val="single" w:color="auto" w:sz="4" w:space="0"/>
            </w:tcBorders>
            <w:shd w:val="clear" w:color="auto" w:fill="auto"/>
            <w:vAlign w:val="center"/>
          </w:tcPr>
          <w:p w14:paraId="65FD67EE">
            <w:pPr>
              <w:rPr>
                <w:sz w:val="21"/>
                <w:szCs w:val="21"/>
                <w:highlight w:val="none"/>
              </w:rPr>
            </w:pPr>
            <w:r>
              <w:rPr>
                <w:rFonts w:hint="eastAsia"/>
                <w:sz w:val="21"/>
                <w:szCs w:val="21"/>
                <w:highlight w:val="none"/>
              </w:rPr>
              <w:t>　</w:t>
            </w:r>
          </w:p>
        </w:tc>
      </w:tr>
      <w:tr w14:paraId="3C187E9E">
        <w:tblPrEx>
          <w:tblCellMar>
            <w:top w:w="0" w:type="dxa"/>
            <w:left w:w="108" w:type="dxa"/>
            <w:bottom w:w="0" w:type="dxa"/>
            <w:right w:w="108" w:type="dxa"/>
          </w:tblCellMar>
        </w:tblPrEx>
        <w:trPr>
          <w:trHeight w:val="600" w:hRule="atLeast"/>
        </w:trPr>
        <w:tc>
          <w:tcPr>
            <w:tcW w:w="857" w:type="dxa"/>
            <w:tcBorders>
              <w:top w:val="nil"/>
              <w:left w:val="single" w:color="auto" w:sz="4" w:space="0"/>
              <w:bottom w:val="single" w:color="auto" w:sz="4" w:space="0"/>
              <w:right w:val="single" w:color="auto" w:sz="4" w:space="0"/>
            </w:tcBorders>
            <w:shd w:val="clear" w:color="auto" w:fill="auto"/>
            <w:noWrap/>
            <w:vAlign w:val="center"/>
          </w:tcPr>
          <w:p w14:paraId="36A3B158">
            <w:pPr>
              <w:rPr>
                <w:sz w:val="21"/>
                <w:szCs w:val="21"/>
                <w:highlight w:val="none"/>
              </w:rPr>
            </w:pPr>
            <w:r>
              <w:rPr>
                <w:rFonts w:hint="eastAsia"/>
                <w:sz w:val="21"/>
                <w:szCs w:val="21"/>
                <w:highlight w:val="none"/>
              </w:rPr>
              <w:t>7</w:t>
            </w:r>
          </w:p>
        </w:tc>
        <w:tc>
          <w:tcPr>
            <w:tcW w:w="1710" w:type="dxa"/>
            <w:tcBorders>
              <w:top w:val="nil"/>
              <w:left w:val="nil"/>
              <w:bottom w:val="single" w:color="auto" w:sz="4" w:space="0"/>
              <w:right w:val="single" w:color="auto" w:sz="4" w:space="0"/>
            </w:tcBorders>
            <w:shd w:val="clear" w:color="auto" w:fill="auto"/>
            <w:noWrap/>
            <w:vAlign w:val="center"/>
          </w:tcPr>
          <w:p w14:paraId="40D75981">
            <w:pPr>
              <w:rPr>
                <w:sz w:val="21"/>
                <w:szCs w:val="21"/>
                <w:highlight w:val="none"/>
              </w:rPr>
            </w:pPr>
            <w:r>
              <w:rPr>
                <w:rFonts w:hint="eastAsia"/>
                <w:sz w:val="21"/>
                <w:szCs w:val="21"/>
                <w:highlight w:val="none"/>
              </w:rPr>
              <w:t>墙面砖铺贴</w:t>
            </w:r>
          </w:p>
        </w:tc>
        <w:tc>
          <w:tcPr>
            <w:tcW w:w="2835" w:type="dxa"/>
            <w:tcBorders>
              <w:top w:val="nil"/>
              <w:left w:val="nil"/>
              <w:bottom w:val="single" w:color="auto" w:sz="4" w:space="0"/>
              <w:right w:val="single" w:color="auto" w:sz="4" w:space="0"/>
            </w:tcBorders>
            <w:shd w:val="clear" w:color="auto" w:fill="auto"/>
            <w:vAlign w:val="center"/>
          </w:tcPr>
          <w:p w14:paraId="20919038">
            <w:pPr>
              <w:rPr>
                <w:sz w:val="21"/>
                <w:szCs w:val="21"/>
                <w:highlight w:val="none"/>
              </w:rPr>
            </w:pPr>
            <w:r>
              <w:rPr>
                <w:rFonts w:hint="eastAsia"/>
                <w:sz w:val="21"/>
                <w:szCs w:val="21"/>
                <w:highlight w:val="none"/>
              </w:rPr>
              <w:t>和原有墙面砖同色</w:t>
            </w:r>
          </w:p>
        </w:tc>
        <w:tc>
          <w:tcPr>
            <w:tcW w:w="715" w:type="dxa"/>
            <w:tcBorders>
              <w:top w:val="nil"/>
              <w:left w:val="nil"/>
              <w:bottom w:val="single" w:color="auto" w:sz="4" w:space="0"/>
              <w:right w:val="single" w:color="auto" w:sz="4" w:space="0"/>
            </w:tcBorders>
            <w:shd w:val="clear" w:color="auto" w:fill="auto"/>
            <w:vAlign w:val="center"/>
          </w:tcPr>
          <w:p w14:paraId="0B566C78">
            <w:pPr>
              <w:rPr>
                <w:sz w:val="21"/>
                <w:szCs w:val="21"/>
                <w:highlight w:val="none"/>
              </w:rPr>
            </w:pPr>
            <w:r>
              <w:rPr>
                <w:rFonts w:hint="eastAsia"/>
                <w:sz w:val="21"/>
                <w:szCs w:val="21"/>
                <w:highlight w:val="none"/>
              </w:rPr>
              <w:t>m2</w:t>
            </w:r>
          </w:p>
        </w:tc>
        <w:tc>
          <w:tcPr>
            <w:tcW w:w="844" w:type="dxa"/>
            <w:tcBorders>
              <w:top w:val="nil"/>
              <w:left w:val="nil"/>
              <w:bottom w:val="single" w:color="auto" w:sz="4" w:space="0"/>
              <w:right w:val="single" w:color="auto" w:sz="4" w:space="0"/>
            </w:tcBorders>
            <w:shd w:val="clear" w:color="auto" w:fill="auto"/>
            <w:noWrap/>
            <w:vAlign w:val="center"/>
          </w:tcPr>
          <w:p w14:paraId="0D8BECF2">
            <w:pPr>
              <w:rPr>
                <w:sz w:val="21"/>
                <w:szCs w:val="21"/>
                <w:highlight w:val="none"/>
              </w:rPr>
            </w:pPr>
            <w:r>
              <w:rPr>
                <w:rFonts w:hint="eastAsia"/>
                <w:sz w:val="21"/>
                <w:szCs w:val="21"/>
                <w:highlight w:val="none"/>
              </w:rPr>
              <w:t>4.05</w:t>
            </w:r>
          </w:p>
        </w:tc>
        <w:tc>
          <w:tcPr>
            <w:tcW w:w="992" w:type="dxa"/>
            <w:tcBorders>
              <w:top w:val="nil"/>
              <w:left w:val="nil"/>
              <w:bottom w:val="single" w:color="auto" w:sz="4" w:space="0"/>
              <w:right w:val="single" w:color="auto" w:sz="4" w:space="0"/>
            </w:tcBorders>
            <w:shd w:val="clear" w:color="auto" w:fill="auto"/>
            <w:noWrap/>
            <w:vAlign w:val="center"/>
          </w:tcPr>
          <w:p w14:paraId="4C0DBFFA">
            <w:pPr>
              <w:rPr>
                <w:sz w:val="21"/>
                <w:szCs w:val="21"/>
                <w:highlight w:val="none"/>
              </w:rPr>
            </w:pPr>
            <w:r>
              <w:rPr>
                <w:rFonts w:hint="eastAsia"/>
                <w:sz w:val="21"/>
                <w:szCs w:val="21"/>
                <w:highlight w:val="none"/>
              </w:rPr>
              <w:t>　</w:t>
            </w:r>
          </w:p>
        </w:tc>
        <w:tc>
          <w:tcPr>
            <w:tcW w:w="851" w:type="dxa"/>
            <w:tcBorders>
              <w:top w:val="nil"/>
              <w:left w:val="nil"/>
              <w:bottom w:val="single" w:color="auto" w:sz="4" w:space="0"/>
              <w:right w:val="single" w:color="auto" w:sz="4" w:space="0"/>
            </w:tcBorders>
            <w:shd w:val="clear" w:color="auto" w:fill="auto"/>
            <w:noWrap/>
            <w:vAlign w:val="center"/>
          </w:tcPr>
          <w:p w14:paraId="468ABF46">
            <w:pPr>
              <w:rPr>
                <w:sz w:val="21"/>
                <w:szCs w:val="21"/>
                <w:highlight w:val="none"/>
              </w:rPr>
            </w:pPr>
            <w:r>
              <w:rPr>
                <w:rFonts w:hint="eastAsia"/>
                <w:sz w:val="21"/>
                <w:szCs w:val="21"/>
                <w:highlight w:val="none"/>
              </w:rPr>
              <w:t>　</w:t>
            </w:r>
          </w:p>
        </w:tc>
        <w:tc>
          <w:tcPr>
            <w:tcW w:w="708" w:type="dxa"/>
            <w:tcBorders>
              <w:top w:val="nil"/>
              <w:left w:val="nil"/>
              <w:bottom w:val="single" w:color="auto" w:sz="4" w:space="0"/>
              <w:right w:val="single" w:color="auto" w:sz="4" w:space="0"/>
            </w:tcBorders>
            <w:shd w:val="clear" w:color="auto" w:fill="auto"/>
            <w:vAlign w:val="center"/>
          </w:tcPr>
          <w:p w14:paraId="53D8B805">
            <w:pPr>
              <w:rPr>
                <w:sz w:val="21"/>
                <w:szCs w:val="21"/>
                <w:highlight w:val="none"/>
              </w:rPr>
            </w:pPr>
            <w:r>
              <w:rPr>
                <w:rFonts w:hint="eastAsia"/>
                <w:sz w:val="21"/>
                <w:szCs w:val="21"/>
                <w:highlight w:val="none"/>
              </w:rPr>
              <w:t>　</w:t>
            </w:r>
          </w:p>
        </w:tc>
      </w:tr>
      <w:tr w14:paraId="4D4DA1D3">
        <w:tblPrEx>
          <w:tblCellMar>
            <w:top w:w="0" w:type="dxa"/>
            <w:left w:w="108" w:type="dxa"/>
            <w:bottom w:w="0" w:type="dxa"/>
            <w:right w:w="108" w:type="dxa"/>
          </w:tblCellMar>
        </w:tblPrEx>
        <w:trPr>
          <w:trHeight w:val="660" w:hRule="atLeast"/>
        </w:trPr>
        <w:tc>
          <w:tcPr>
            <w:tcW w:w="857" w:type="dxa"/>
            <w:tcBorders>
              <w:top w:val="nil"/>
              <w:left w:val="single" w:color="auto" w:sz="4" w:space="0"/>
              <w:bottom w:val="single" w:color="auto" w:sz="4" w:space="0"/>
              <w:right w:val="single" w:color="auto" w:sz="4" w:space="0"/>
            </w:tcBorders>
            <w:shd w:val="clear" w:color="auto" w:fill="auto"/>
            <w:noWrap/>
            <w:vAlign w:val="center"/>
          </w:tcPr>
          <w:p w14:paraId="12BE5555">
            <w:pPr>
              <w:rPr>
                <w:sz w:val="21"/>
                <w:szCs w:val="21"/>
                <w:highlight w:val="none"/>
              </w:rPr>
            </w:pPr>
            <w:r>
              <w:rPr>
                <w:rFonts w:hint="eastAsia"/>
                <w:sz w:val="21"/>
                <w:szCs w:val="21"/>
                <w:highlight w:val="none"/>
              </w:rPr>
              <w:t>8</w:t>
            </w:r>
          </w:p>
        </w:tc>
        <w:tc>
          <w:tcPr>
            <w:tcW w:w="1710" w:type="dxa"/>
            <w:tcBorders>
              <w:top w:val="nil"/>
              <w:left w:val="nil"/>
              <w:bottom w:val="single" w:color="auto" w:sz="4" w:space="0"/>
              <w:right w:val="single" w:color="auto" w:sz="4" w:space="0"/>
            </w:tcBorders>
            <w:shd w:val="clear" w:color="auto" w:fill="auto"/>
            <w:noWrap/>
            <w:vAlign w:val="center"/>
          </w:tcPr>
          <w:p w14:paraId="2ADC60DE">
            <w:pPr>
              <w:rPr>
                <w:sz w:val="21"/>
                <w:szCs w:val="21"/>
                <w:highlight w:val="none"/>
              </w:rPr>
            </w:pPr>
            <w:r>
              <w:rPr>
                <w:rFonts w:hint="eastAsia"/>
                <w:sz w:val="21"/>
                <w:szCs w:val="21"/>
                <w:highlight w:val="none"/>
              </w:rPr>
              <w:t>大理石台面板</w:t>
            </w:r>
          </w:p>
        </w:tc>
        <w:tc>
          <w:tcPr>
            <w:tcW w:w="2835" w:type="dxa"/>
            <w:tcBorders>
              <w:top w:val="nil"/>
              <w:left w:val="nil"/>
              <w:bottom w:val="single" w:color="auto" w:sz="4" w:space="0"/>
              <w:right w:val="single" w:color="auto" w:sz="4" w:space="0"/>
            </w:tcBorders>
            <w:shd w:val="clear" w:color="auto" w:fill="auto"/>
            <w:vAlign w:val="center"/>
          </w:tcPr>
          <w:p w14:paraId="637CE6F5">
            <w:pPr>
              <w:rPr>
                <w:sz w:val="21"/>
                <w:szCs w:val="21"/>
                <w:highlight w:val="none"/>
              </w:rPr>
            </w:pPr>
            <w:r>
              <w:rPr>
                <w:rFonts w:hint="eastAsia"/>
                <w:sz w:val="21"/>
                <w:szCs w:val="21"/>
                <w:highlight w:val="none"/>
              </w:rPr>
              <w:t>宽度约20cm，磨双边和建筑原有大理石同色</w:t>
            </w:r>
          </w:p>
        </w:tc>
        <w:tc>
          <w:tcPr>
            <w:tcW w:w="715" w:type="dxa"/>
            <w:tcBorders>
              <w:top w:val="nil"/>
              <w:left w:val="nil"/>
              <w:bottom w:val="single" w:color="auto" w:sz="4" w:space="0"/>
              <w:right w:val="single" w:color="auto" w:sz="4" w:space="0"/>
            </w:tcBorders>
            <w:shd w:val="clear" w:color="auto" w:fill="auto"/>
            <w:noWrap/>
            <w:vAlign w:val="center"/>
          </w:tcPr>
          <w:p w14:paraId="49B53BB1">
            <w:pPr>
              <w:rPr>
                <w:sz w:val="21"/>
                <w:szCs w:val="21"/>
                <w:highlight w:val="none"/>
              </w:rPr>
            </w:pPr>
            <w:r>
              <w:rPr>
                <w:rFonts w:hint="eastAsia"/>
                <w:sz w:val="21"/>
                <w:szCs w:val="21"/>
                <w:highlight w:val="none"/>
              </w:rPr>
              <w:t>m</w:t>
            </w:r>
          </w:p>
        </w:tc>
        <w:tc>
          <w:tcPr>
            <w:tcW w:w="844" w:type="dxa"/>
            <w:tcBorders>
              <w:top w:val="nil"/>
              <w:left w:val="nil"/>
              <w:bottom w:val="single" w:color="auto" w:sz="4" w:space="0"/>
              <w:right w:val="single" w:color="auto" w:sz="4" w:space="0"/>
            </w:tcBorders>
            <w:shd w:val="clear" w:color="auto" w:fill="auto"/>
            <w:noWrap/>
            <w:vAlign w:val="center"/>
          </w:tcPr>
          <w:p w14:paraId="48BFC45A">
            <w:pPr>
              <w:rPr>
                <w:sz w:val="21"/>
                <w:szCs w:val="21"/>
                <w:highlight w:val="none"/>
              </w:rPr>
            </w:pPr>
            <w:r>
              <w:rPr>
                <w:rFonts w:hint="eastAsia"/>
                <w:sz w:val="21"/>
                <w:szCs w:val="21"/>
                <w:highlight w:val="none"/>
              </w:rPr>
              <w:t>2.8</w:t>
            </w:r>
          </w:p>
        </w:tc>
        <w:tc>
          <w:tcPr>
            <w:tcW w:w="992" w:type="dxa"/>
            <w:tcBorders>
              <w:top w:val="nil"/>
              <w:left w:val="nil"/>
              <w:bottom w:val="single" w:color="auto" w:sz="4" w:space="0"/>
              <w:right w:val="single" w:color="auto" w:sz="4" w:space="0"/>
            </w:tcBorders>
            <w:shd w:val="clear" w:color="auto" w:fill="auto"/>
            <w:noWrap/>
            <w:vAlign w:val="center"/>
          </w:tcPr>
          <w:p w14:paraId="7FDC7C5F">
            <w:pPr>
              <w:rPr>
                <w:sz w:val="21"/>
                <w:szCs w:val="21"/>
                <w:highlight w:val="none"/>
              </w:rPr>
            </w:pPr>
            <w:r>
              <w:rPr>
                <w:rFonts w:hint="eastAsia"/>
                <w:sz w:val="21"/>
                <w:szCs w:val="21"/>
                <w:highlight w:val="none"/>
              </w:rPr>
              <w:t>　</w:t>
            </w:r>
          </w:p>
        </w:tc>
        <w:tc>
          <w:tcPr>
            <w:tcW w:w="851" w:type="dxa"/>
            <w:tcBorders>
              <w:top w:val="nil"/>
              <w:left w:val="nil"/>
              <w:bottom w:val="single" w:color="auto" w:sz="4" w:space="0"/>
              <w:right w:val="single" w:color="auto" w:sz="4" w:space="0"/>
            </w:tcBorders>
            <w:shd w:val="clear" w:color="auto" w:fill="auto"/>
            <w:noWrap/>
            <w:vAlign w:val="center"/>
          </w:tcPr>
          <w:p w14:paraId="489C33E2">
            <w:pPr>
              <w:rPr>
                <w:sz w:val="21"/>
                <w:szCs w:val="21"/>
                <w:highlight w:val="none"/>
              </w:rPr>
            </w:pPr>
            <w:r>
              <w:rPr>
                <w:rFonts w:hint="eastAsia"/>
                <w:sz w:val="21"/>
                <w:szCs w:val="21"/>
                <w:highlight w:val="none"/>
              </w:rPr>
              <w:t>　</w:t>
            </w:r>
          </w:p>
        </w:tc>
        <w:tc>
          <w:tcPr>
            <w:tcW w:w="708" w:type="dxa"/>
            <w:tcBorders>
              <w:top w:val="nil"/>
              <w:left w:val="nil"/>
              <w:bottom w:val="single" w:color="auto" w:sz="4" w:space="0"/>
              <w:right w:val="single" w:color="auto" w:sz="4" w:space="0"/>
            </w:tcBorders>
            <w:shd w:val="clear" w:color="auto" w:fill="auto"/>
            <w:vAlign w:val="center"/>
          </w:tcPr>
          <w:p w14:paraId="2B7F4A2E">
            <w:pPr>
              <w:rPr>
                <w:sz w:val="21"/>
                <w:szCs w:val="21"/>
                <w:highlight w:val="none"/>
              </w:rPr>
            </w:pPr>
            <w:r>
              <w:rPr>
                <w:rFonts w:hint="eastAsia"/>
                <w:sz w:val="21"/>
                <w:szCs w:val="21"/>
                <w:highlight w:val="none"/>
              </w:rPr>
              <w:t>　</w:t>
            </w:r>
          </w:p>
        </w:tc>
      </w:tr>
      <w:tr w14:paraId="1E0D55E3">
        <w:tblPrEx>
          <w:tblCellMar>
            <w:top w:w="0" w:type="dxa"/>
            <w:left w:w="108" w:type="dxa"/>
            <w:bottom w:w="0" w:type="dxa"/>
            <w:right w:w="108" w:type="dxa"/>
          </w:tblCellMar>
        </w:tblPrEx>
        <w:trPr>
          <w:trHeight w:val="732" w:hRule="atLeast"/>
        </w:trPr>
        <w:tc>
          <w:tcPr>
            <w:tcW w:w="857" w:type="dxa"/>
            <w:tcBorders>
              <w:top w:val="nil"/>
              <w:left w:val="single" w:color="auto" w:sz="4" w:space="0"/>
              <w:bottom w:val="single" w:color="auto" w:sz="4" w:space="0"/>
              <w:right w:val="single" w:color="auto" w:sz="4" w:space="0"/>
            </w:tcBorders>
            <w:shd w:val="clear" w:color="auto" w:fill="auto"/>
            <w:noWrap/>
            <w:vAlign w:val="center"/>
          </w:tcPr>
          <w:p w14:paraId="3645F0B2">
            <w:pPr>
              <w:rPr>
                <w:sz w:val="21"/>
                <w:szCs w:val="21"/>
                <w:highlight w:val="none"/>
              </w:rPr>
            </w:pPr>
            <w:r>
              <w:rPr>
                <w:rFonts w:hint="eastAsia"/>
                <w:sz w:val="21"/>
                <w:szCs w:val="21"/>
                <w:highlight w:val="none"/>
              </w:rPr>
              <w:t>9</w:t>
            </w:r>
          </w:p>
        </w:tc>
        <w:tc>
          <w:tcPr>
            <w:tcW w:w="1710" w:type="dxa"/>
            <w:tcBorders>
              <w:top w:val="nil"/>
              <w:left w:val="nil"/>
              <w:bottom w:val="single" w:color="auto" w:sz="4" w:space="0"/>
              <w:right w:val="single" w:color="auto" w:sz="4" w:space="0"/>
            </w:tcBorders>
            <w:shd w:val="clear" w:color="auto" w:fill="auto"/>
            <w:noWrap/>
            <w:vAlign w:val="center"/>
          </w:tcPr>
          <w:p w14:paraId="342FBCB9">
            <w:pPr>
              <w:rPr>
                <w:sz w:val="21"/>
                <w:szCs w:val="21"/>
                <w:highlight w:val="none"/>
              </w:rPr>
            </w:pPr>
            <w:r>
              <w:rPr>
                <w:rFonts w:hint="eastAsia"/>
                <w:sz w:val="21"/>
                <w:szCs w:val="21"/>
                <w:highlight w:val="none"/>
              </w:rPr>
              <w:t>电气线路改造</w:t>
            </w:r>
          </w:p>
        </w:tc>
        <w:tc>
          <w:tcPr>
            <w:tcW w:w="2835" w:type="dxa"/>
            <w:tcBorders>
              <w:top w:val="nil"/>
              <w:left w:val="nil"/>
              <w:bottom w:val="single" w:color="auto" w:sz="4" w:space="0"/>
              <w:right w:val="single" w:color="auto" w:sz="4" w:space="0"/>
            </w:tcBorders>
            <w:shd w:val="clear" w:color="auto" w:fill="auto"/>
            <w:vAlign w:val="center"/>
          </w:tcPr>
          <w:p w14:paraId="2667D9CE">
            <w:pPr>
              <w:rPr>
                <w:sz w:val="21"/>
                <w:szCs w:val="21"/>
                <w:highlight w:val="none"/>
              </w:rPr>
            </w:pPr>
            <w:r>
              <w:rPr>
                <w:rFonts w:hint="eastAsia"/>
                <w:sz w:val="21"/>
                <w:szCs w:val="21"/>
                <w:highlight w:val="none"/>
              </w:rPr>
              <w:t>小便器电气线路安装，部分明装装饰线槽，暗装PVC管道，含接线盒等配件，吊顶拆装</w:t>
            </w:r>
          </w:p>
        </w:tc>
        <w:tc>
          <w:tcPr>
            <w:tcW w:w="715" w:type="dxa"/>
            <w:tcBorders>
              <w:top w:val="nil"/>
              <w:left w:val="nil"/>
              <w:bottom w:val="single" w:color="auto" w:sz="4" w:space="0"/>
              <w:right w:val="single" w:color="auto" w:sz="4" w:space="0"/>
            </w:tcBorders>
            <w:shd w:val="clear" w:color="auto" w:fill="auto"/>
            <w:noWrap/>
            <w:vAlign w:val="center"/>
          </w:tcPr>
          <w:p w14:paraId="791B6A15">
            <w:pPr>
              <w:rPr>
                <w:sz w:val="21"/>
                <w:szCs w:val="21"/>
                <w:highlight w:val="none"/>
              </w:rPr>
            </w:pPr>
            <w:r>
              <w:rPr>
                <w:rFonts w:hint="eastAsia"/>
                <w:sz w:val="21"/>
                <w:szCs w:val="21"/>
                <w:highlight w:val="none"/>
              </w:rPr>
              <w:t>项</w:t>
            </w:r>
          </w:p>
        </w:tc>
        <w:tc>
          <w:tcPr>
            <w:tcW w:w="844" w:type="dxa"/>
            <w:tcBorders>
              <w:top w:val="nil"/>
              <w:left w:val="nil"/>
              <w:bottom w:val="single" w:color="auto" w:sz="4" w:space="0"/>
              <w:right w:val="single" w:color="auto" w:sz="4" w:space="0"/>
            </w:tcBorders>
            <w:shd w:val="clear" w:color="auto" w:fill="auto"/>
            <w:noWrap/>
            <w:vAlign w:val="center"/>
          </w:tcPr>
          <w:p w14:paraId="2BC194F3">
            <w:pPr>
              <w:rPr>
                <w:sz w:val="21"/>
                <w:szCs w:val="21"/>
                <w:highlight w:val="none"/>
              </w:rPr>
            </w:pPr>
            <w:r>
              <w:rPr>
                <w:rFonts w:hint="eastAsia"/>
                <w:sz w:val="21"/>
                <w:szCs w:val="21"/>
                <w:highlight w:val="none"/>
              </w:rPr>
              <w:t>1</w:t>
            </w:r>
          </w:p>
        </w:tc>
        <w:tc>
          <w:tcPr>
            <w:tcW w:w="992" w:type="dxa"/>
            <w:tcBorders>
              <w:top w:val="nil"/>
              <w:left w:val="nil"/>
              <w:bottom w:val="single" w:color="auto" w:sz="4" w:space="0"/>
              <w:right w:val="single" w:color="auto" w:sz="4" w:space="0"/>
            </w:tcBorders>
            <w:shd w:val="clear" w:color="auto" w:fill="auto"/>
            <w:noWrap/>
            <w:vAlign w:val="center"/>
          </w:tcPr>
          <w:p w14:paraId="3C7C08B7">
            <w:pPr>
              <w:rPr>
                <w:sz w:val="21"/>
                <w:szCs w:val="21"/>
                <w:highlight w:val="none"/>
              </w:rPr>
            </w:pPr>
            <w:r>
              <w:rPr>
                <w:rFonts w:hint="eastAsia"/>
                <w:sz w:val="21"/>
                <w:szCs w:val="21"/>
                <w:highlight w:val="none"/>
              </w:rPr>
              <w:t>　</w:t>
            </w:r>
          </w:p>
        </w:tc>
        <w:tc>
          <w:tcPr>
            <w:tcW w:w="851" w:type="dxa"/>
            <w:tcBorders>
              <w:top w:val="nil"/>
              <w:left w:val="nil"/>
              <w:bottom w:val="single" w:color="auto" w:sz="4" w:space="0"/>
              <w:right w:val="single" w:color="auto" w:sz="4" w:space="0"/>
            </w:tcBorders>
            <w:shd w:val="clear" w:color="auto" w:fill="auto"/>
            <w:noWrap/>
            <w:vAlign w:val="center"/>
          </w:tcPr>
          <w:p w14:paraId="7D673788">
            <w:pPr>
              <w:rPr>
                <w:sz w:val="21"/>
                <w:szCs w:val="21"/>
                <w:highlight w:val="none"/>
              </w:rPr>
            </w:pPr>
            <w:r>
              <w:rPr>
                <w:rFonts w:hint="eastAsia"/>
                <w:sz w:val="21"/>
                <w:szCs w:val="21"/>
                <w:highlight w:val="none"/>
              </w:rPr>
              <w:t>　</w:t>
            </w:r>
          </w:p>
        </w:tc>
        <w:tc>
          <w:tcPr>
            <w:tcW w:w="708" w:type="dxa"/>
            <w:tcBorders>
              <w:top w:val="nil"/>
              <w:left w:val="nil"/>
              <w:bottom w:val="single" w:color="auto" w:sz="4" w:space="0"/>
              <w:right w:val="single" w:color="auto" w:sz="4" w:space="0"/>
            </w:tcBorders>
            <w:shd w:val="clear" w:color="auto" w:fill="auto"/>
            <w:vAlign w:val="center"/>
          </w:tcPr>
          <w:p w14:paraId="7BCA618D">
            <w:pPr>
              <w:rPr>
                <w:sz w:val="21"/>
                <w:szCs w:val="21"/>
                <w:highlight w:val="none"/>
              </w:rPr>
            </w:pPr>
            <w:r>
              <w:rPr>
                <w:rFonts w:hint="eastAsia"/>
                <w:sz w:val="21"/>
                <w:szCs w:val="21"/>
                <w:highlight w:val="none"/>
              </w:rPr>
              <w:t>　</w:t>
            </w:r>
          </w:p>
        </w:tc>
      </w:tr>
      <w:tr w14:paraId="55BEFC2F">
        <w:tblPrEx>
          <w:tblCellMar>
            <w:top w:w="0" w:type="dxa"/>
            <w:left w:w="108" w:type="dxa"/>
            <w:bottom w:w="0" w:type="dxa"/>
            <w:right w:w="108" w:type="dxa"/>
          </w:tblCellMar>
        </w:tblPrEx>
        <w:trPr>
          <w:trHeight w:val="960" w:hRule="atLeast"/>
        </w:trPr>
        <w:tc>
          <w:tcPr>
            <w:tcW w:w="857" w:type="dxa"/>
            <w:tcBorders>
              <w:top w:val="nil"/>
              <w:left w:val="single" w:color="auto" w:sz="4" w:space="0"/>
              <w:bottom w:val="single" w:color="auto" w:sz="4" w:space="0"/>
              <w:right w:val="single" w:color="auto" w:sz="4" w:space="0"/>
            </w:tcBorders>
            <w:shd w:val="clear" w:color="auto" w:fill="auto"/>
            <w:noWrap/>
            <w:vAlign w:val="center"/>
          </w:tcPr>
          <w:p w14:paraId="00A49C17">
            <w:pPr>
              <w:rPr>
                <w:sz w:val="21"/>
                <w:szCs w:val="21"/>
                <w:highlight w:val="none"/>
              </w:rPr>
            </w:pPr>
            <w:r>
              <w:rPr>
                <w:rFonts w:hint="eastAsia"/>
                <w:sz w:val="21"/>
                <w:szCs w:val="21"/>
                <w:highlight w:val="none"/>
              </w:rPr>
              <w:t>10</w:t>
            </w:r>
          </w:p>
        </w:tc>
        <w:tc>
          <w:tcPr>
            <w:tcW w:w="1710" w:type="dxa"/>
            <w:tcBorders>
              <w:top w:val="nil"/>
              <w:left w:val="nil"/>
              <w:bottom w:val="single" w:color="auto" w:sz="4" w:space="0"/>
              <w:right w:val="single" w:color="auto" w:sz="4" w:space="0"/>
            </w:tcBorders>
            <w:shd w:val="clear" w:color="auto" w:fill="auto"/>
            <w:noWrap/>
            <w:vAlign w:val="center"/>
          </w:tcPr>
          <w:p w14:paraId="4604E1CA">
            <w:pPr>
              <w:rPr>
                <w:sz w:val="21"/>
                <w:szCs w:val="21"/>
                <w:highlight w:val="none"/>
              </w:rPr>
            </w:pPr>
            <w:r>
              <w:rPr>
                <w:rFonts w:hint="eastAsia"/>
                <w:sz w:val="21"/>
                <w:szCs w:val="21"/>
                <w:highlight w:val="none"/>
              </w:rPr>
              <w:t>给排水管道改造</w:t>
            </w:r>
          </w:p>
        </w:tc>
        <w:tc>
          <w:tcPr>
            <w:tcW w:w="2835" w:type="dxa"/>
            <w:tcBorders>
              <w:top w:val="nil"/>
              <w:left w:val="nil"/>
              <w:bottom w:val="single" w:color="auto" w:sz="4" w:space="0"/>
              <w:right w:val="single" w:color="auto" w:sz="4" w:space="0"/>
            </w:tcBorders>
            <w:shd w:val="clear" w:color="auto" w:fill="auto"/>
            <w:vAlign w:val="center"/>
          </w:tcPr>
          <w:p w14:paraId="4456EE81">
            <w:pPr>
              <w:rPr>
                <w:sz w:val="21"/>
                <w:szCs w:val="21"/>
                <w:highlight w:val="none"/>
              </w:rPr>
            </w:pPr>
            <w:r>
              <w:rPr>
                <w:rFonts w:hint="eastAsia"/>
                <w:sz w:val="21"/>
                <w:szCs w:val="21"/>
                <w:highlight w:val="none"/>
              </w:rPr>
              <w:t>小便器、地漏给排水管道改造，DN25-32PPR给水管，DN50-75PVC排水管等改造,含连接配件等</w:t>
            </w:r>
          </w:p>
        </w:tc>
        <w:tc>
          <w:tcPr>
            <w:tcW w:w="715" w:type="dxa"/>
            <w:tcBorders>
              <w:top w:val="nil"/>
              <w:left w:val="nil"/>
              <w:bottom w:val="single" w:color="auto" w:sz="4" w:space="0"/>
              <w:right w:val="single" w:color="auto" w:sz="4" w:space="0"/>
            </w:tcBorders>
            <w:shd w:val="clear" w:color="auto" w:fill="auto"/>
            <w:noWrap/>
            <w:vAlign w:val="center"/>
          </w:tcPr>
          <w:p w14:paraId="5608B449">
            <w:pPr>
              <w:rPr>
                <w:sz w:val="21"/>
                <w:szCs w:val="21"/>
                <w:highlight w:val="none"/>
              </w:rPr>
            </w:pPr>
            <w:r>
              <w:rPr>
                <w:rFonts w:hint="eastAsia"/>
                <w:sz w:val="21"/>
                <w:szCs w:val="21"/>
                <w:highlight w:val="none"/>
              </w:rPr>
              <w:t>项</w:t>
            </w:r>
          </w:p>
        </w:tc>
        <w:tc>
          <w:tcPr>
            <w:tcW w:w="844" w:type="dxa"/>
            <w:tcBorders>
              <w:top w:val="nil"/>
              <w:left w:val="nil"/>
              <w:bottom w:val="single" w:color="auto" w:sz="4" w:space="0"/>
              <w:right w:val="single" w:color="auto" w:sz="4" w:space="0"/>
            </w:tcBorders>
            <w:shd w:val="clear" w:color="auto" w:fill="auto"/>
            <w:noWrap/>
            <w:vAlign w:val="center"/>
          </w:tcPr>
          <w:p w14:paraId="26F9442A">
            <w:pPr>
              <w:rPr>
                <w:sz w:val="21"/>
                <w:szCs w:val="21"/>
                <w:highlight w:val="none"/>
              </w:rPr>
            </w:pPr>
            <w:r>
              <w:rPr>
                <w:rFonts w:hint="eastAsia"/>
                <w:sz w:val="21"/>
                <w:szCs w:val="21"/>
                <w:highlight w:val="none"/>
              </w:rPr>
              <w:t>1</w:t>
            </w:r>
          </w:p>
        </w:tc>
        <w:tc>
          <w:tcPr>
            <w:tcW w:w="992" w:type="dxa"/>
            <w:tcBorders>
              <w:top w:val="nil"/>
              <w:left w:val="nil"/>
              <w:bottom w:val="single" w:color="auto" w:sz="4" w:space="0"/>
              <w:right w:val="single" w:color="auto" w:sz="4" w:space="0"/>
            </w:tcBorders>
            <w:shd w:val="clear" w:color="auto" w:fill="auto"/>
            <w:noWrap/>
            <w:vAlign w:val="center"/>
          </w:tcPr>
          <w:p w14:paraId="43B8CB76">
            <w:pPr>
              <w:rPr>
                <w:sz w:val="21"/>
                <w:szCs w:val="21"/>
                <w:highlight w:val="none"/>
              </w:rPr>
            </w:pPr>
            <w:r>
              <w:rPr>
                <w:rFonts w:hint="eastAsia"/>
                <w:sz w:val="21"/>
                <w:szCs w:val="21"/>
                <w:highlight w:val="none"/>
              </w:rPr>
              <w:t>　</w:t>
            </w:r>
          </w:p>
        </w:tc>
        <w:tc>
          <w:tcPr>
            <w:tcW w:w="851" w:type="dxa"/>
            <w:tcBorders>
              <w:top w:val="nil"/>
              <w:left w:val="nil"/>
              <w:bottom w:val="single" w:color="auto" w:sz="4" w:space="0"/>
              <w:right w:val="single" w:color="auto" w:sz="4" w:space="0"/>
            </w:tcBorders>
            <w:shd w:val="clear" w:color="auto" w:fill="auto"/>
            <w:noWrap/>
            <w:vAlign w:val="center"/>
          </w:tcPr>
          <w:p w14:paraId="23623D4B">
            <w:pPr>
              <w:rPr>
                <w:sz w:val="21"/>
                <w:szCs w:val="21"/>
                <w:highlight w:val="none"/>
              </w:rPr>
            </w:pPr>
            <w:r>
              <w:rPr>
                <w:rFonts w:hint="eastAsia"/>
                <w:sz w:val="21"/>
                <w:szCs w:val="21"/>
                <w:highlight w:val="none"/>
              </w:rPr>
              <w:t>　</w:t>
            </w:r>
          </w:p>
        </w:tc>
        <w:tc>
          <w:tcPr>
            <w:tcW w:w="708" w:type="dxa"/>
            <w:tcBorders>
              <w:top w:val="nil"/>
              <w:left w:val="nil"/>
              <w:bottom w:val="single" w:color="auto" w:sz="4" w:space="0"/>
              <w:right w:val="single" w:color="auto" w:sz="4" w:space="0"/>
            </w:tcBorders>
            <w:shd w:val="clear" w:color="auto" w:fill="auto"/>
            <w:vAlign w:val="center"/>
          </w:tcPr>
          <w:p w14:paraId="0AD62E68">
            <w:pPr>
              <w:rPr>
                <w:sz w:val="21"/>
                <w:szCs w:val="21"/>
                <w:highlight w:val="none"/>
              </w:rPr>
            </w:pPr>
            <w:r>
              <w:rPr>
                <w:rFonts w:hint="eastAsia"/>
                <w:sz w:val="21"/>
                <w:szCs w:val="21"/>
                <w:highlight w:val="none"/>
              </w:rPr>
              <w:t>　</w:t>
            </w:r>
          </w:p>
        </w:tc>
      </w:tr>
      <w:tr w14:paraId="51126869">
        <w:tblPrEx>
          <w:tblCellMar>
            <w:top w:w="0" w:type="dxa"/>
            <w:left w:w="108" w:type="dxa"/>
            <w:bottom w:w="0" w:type="dxa"/>
            <w:right w:w="108" w:type="dxa"/>
          </w:tblCellMar>
        </w:tblPrEx>
        <w:trPr>
          <w:trHeight w:val="600" w:hRule="atLeast"/>
        </w:trPr>
        <w:tc>
          <w:tcPr>
            <w:tcW w:w="857" w:type="dxa"/>
            <w:tcBorders>
              <w:top w:val="nil"/>
              <w:left w:val="single" w:color="auto" w:sz="4" w:space="0"/>
              <w:bottom w:val="single" w:color="auto" w:sz="4" w:space="0"/>
              <w:right w:val="single" w:color="auto" w:sz="4" w:space="0"/>
            </w:tcBorders>
            <w:shd w:val="clear" w:color="auto" w:fill="auto"/>
            <w:noWrap/>
            <w:vAlign w:val="center"/>
          </w:tcPr>
          <w:p w14:paraId="1ADD7DF4">
            <w:pPr>
              <w:rPr>
                <w:sz w:val="21"/>
                <w:szCs w:val="21"/>
                <w:highlight w:val="none"/>
              </w:rPr>
            </w:pPr>
            <w:r>
              <w:rPr>
                <w:rFonts w:hint="eastAsia"/>
                <w:sz w:val="21"/>
                <w:szCs w:val="21"/>
                <w:highlight w:val="none"/>
              </w:rPr>
              <w:t>11</w:t>
            </w:r>
          </w:p>
        </w:tc>
        <w:tc>
          <w:tcPr>
            <w:tcW w:w="1710" w:type="dxa"/>
            <w:tcBorders>
              <w:top w:val="nil"/>
              <w:left w:val="nil"/>
              <w:bottom w:val="single" w:color="auto" w:sz="4" w:space="0"/>
              <w:right w:val="single" w:color="auto" w:sz="4" w:space="0"/>
            </w:tcBorders>
            <w:shd w:val="clear" w:color="auto" w:fill="auto"/>
            <w:noWrap/>
            <w:vAlign w:val="center"/>
          </w:tcPr>
          <w:p w14:paraId="3E35BC2D">
            <w:pPr>
              <w:rPr>
                <w:sz w:val="21"/>
                <w:szCs w:val="21"/>
                <w:highlight w:val="none"/>
              </w:rPr>
            </w:pPr>
            <w:r>
              <w:rPr>
                <w:rFonts w:hint="eastAsia"/>
                <w:sz w:val="21"/>
                <w:szCs w:val="21"/>
                <w:highlight w:val="none"/>
              </w:rPr>
              <w:t>防臭地漏</w:t>
            </w:r>
          </w:p>
        </w:tc>
        <w:tc>
          <w:tcPr>
            <w:tcW w:w="2835" w:type="dxa"/>
            <w:tcBorders>
              <w:top w:val="nil"/>
              <w:left w:val="nil"/>
              <w:bottom w:val="single" w:color="auto" w:sz="4" w:space="0"/>
              <w:right w:val="single" w:color="auto" w:sz="4" w:space="0"/>
            </w:tcBorders>
            <w:shd w:val="clear" w:color="auto" w:fill="auto"/>
            <w:vAlign w:val="center"/>
          </w:tcPr>
          <w:p w14:paraId="2E80EF94">
            <w:pPr>
              <w:rPr>
                <w:sz w:val="21"/>
                <w:szCs w:val="21"/>
                <w:highlight w:val="none"/>
              </w:rPr>
            </w:pPr>
            <w:r>
              <w:rPr>
                <w:rFonts w:hint="eastAsia"/>
                <w:sz w:val="21"/>
                <w:szCs w:val="21"/>
                <w:highlight w:val="none"/>
              </w:rPr>
              <w:t>不锈钢防臭地漏</w:t>
            </w:r>
          </w:p>
        </w:tc>
        <w:tc>
          <w:tcPr>
            <w:tcW w:w="715" w:type="dxa"/>
            <w:tcBorders>
              <w:top w:val="nil"/>
              <w:left w:val="nil"/>
              <w:bottom w:val="single" w:color="auto" w:sz="4" w:space="0"/>
              <w:right w:val="single" w:color="auto" w:sz="4" w:space="0"/>
            </w:tcBorders>
            <w:shd w:val="clear" w:color="auto" w:fill="auto"/>
            <w:noWrap/>
            <w:vAlign w:val="center"/>
          </w:tcPr>
          <w:p w14:paraId="2373C374">
            <w:pPr>
              <w:rPr>
                <w:sz w:val="21"/>
                <w:szCs w:val="21"/>
                <w:highlight w:val="none"/>
              </w:rPr>
            </w:pPr>
            <w:r>
              <w:rPr>
                <w:rFonts w:hint="eastAsia"/>
                <w:sz w:val="21"/>
                <w:szCs w:val="21"/>
                <w:highlight w:val="none"/>
              </w:rPr>
              <w:t>只</w:t>
            </w:r>
          </w:p>
        </w:tc>
        <w:tc>
          <w:tcPr>
            <w:tcW w:w="844" w:type="dxa"/>
            <w:tcBorders>
              <w:top w:val="nil"/>
              <w:left w:val="nil"/>
              <w:bottom w:val="single" w:color="auto" w:sz="4" w:space="0"/>
              <w:right w:val="single" w:color="auto" w:sz="4" w:space="0"/>
            </w:tcBorders>
            <w:shd w:val="clear" w:color="auto" w:fill="auto"/>
            <w:noWrap/>
            <w:vAlign w:val="center"/>
          </w:tcPr>
          <w:p w14:paraId="2B1E05F2">
            <w:pPr>
              <w:rPr>
                <w:sz w:val="21"/>
                <w:szCs w:val="21"/>
                <w:highlight w:val="none"/>
              </w:rPr>
            </w:pPr>
            <w:r>
              <w:rPr>
                <w:rFonts w:hint="eastAsia"/>
                <w:sz w:val="21"/>
                <w:szCs w:val="21"/>
                <w:highlight w:val="none"/>
              </w:rPr>
              <w:t>1</w:t>
            </w:r>
          </w:p>
        </w:tc>
        <w:tc>
          <w:tcPr>
            <w:tcW w:w="992" w:type="dxa"/>
            <w:tcBorders>
              <w:top w:val="nil"/>
              <w:left w:val="nil"/>
              <w:bottom w:val="single" w:color="auto" w:sz="4" w:space="0"/>
              <w:right w:val="single" w:color="auto" w:sz="4" w:space="0"/>
            </w:tcBorders>
            <w:shd w:val="clear" w:color="auto" w:fill="auto"/>
            <w:noWrap/>
            <w:vAlign w:val="center"/>
          </w:tcPr>
          <w:p w14:paraId="39D6CF5C">
            <w:pPr>
              <w:rPr>
                <w:sz w:val="21"/>
                <w:szCs w:val="21"/>
                <w:highlight w:val="none"/>
              </w:rPr>
            </w:pPr>
            <w:r>
              <w:rPr>
                <w:rFonts w:hint="eastAsia"/>
                <w:sz w:val="21"/>
                <w:szCs w:val="21"/>
                <w:highlight w:val="none"/>
              </w:rPr>
              <w:t>　</w:t>
            </w:r>
          </w:p>
        </w:tc>
        <w:tc>
          <w:tcPr>
            <w:tcW w:w="851" w:type="dxa"/>
            <w:tcBorders>
              <w:top w:val="nil"/>
              <w:left w:val="nil"/>
              <w:bottom w:val="single" w:color="auto" w:sz="4" w:space="0"/>
              <w:right w:val="single" w:color="auto" w:sz="4" w:space="0"/>
            </w:tcBorders>
            <w:shd w:val="clear" w:color="auto" w:fill="auto"/>
            <w:noWrap/>
            <w:vAlign w:val="center"/>
          </w:tcPr>
          <w:p w14:paraId="00DDC9FA">
            <w:pPr>
              <w:rPr>
                <w:sz w:val="21"/>
                <w:szCs w:val="21"/>
                <w:highlight w:val="none"/>
              </w:rPr>
            </w:pPr>
            <w:r>
              <w:rPr>
                <w:rFonts w:hint="eastAsia"/>
                <w:sz w:val="21"/>
                <w:szCs w:val="21"/>
                <w:highlight w:val="none"/>
              </w:rPr>
              <w:t>　</w:t>
            </w:r>
          </w:p>
        </w:tc>
        <w:tc>
          <w:tcPr>
            <w:tcW w:w="708" w:type="dxa"/>
            <w:tcBorders>
              <w:top w:val="nil"/>
              <w:left w:val="nil"/>
              <w:bottom w:val="single" w:color="auto" w:sz="4" w:space="0"/>
              <w:right w:val="single" w:color="auto" w:sz="4" w:space="0"/>
            </w:tcBorders>
            <w:shd w:val="clear" w:color="auto" w:fill="auto"/>
            <w:vAlign w:val="center"/>
          </w:tcPr>
          <w:p w14:paraId="579A2F38">
            <w:pPr>
              <w:rPr>
                <w:sz w:val="21"/>
                <w:szCs w:val="21"/>
                <w:highlight w:val="none"/>
              </w:rPr>
            </w:pPr>
            <w:r>
              <w:rPr>
                <w:rFonts w:hint="eastAsia"/>
                <w:sz w:val="21"/>
                <w:szCs w:val="21"/>
                <w:highlight w:val="none"/>
              </w:rPr>
              <w:t>　</w:t>
            </w:r>
          </w:p>
        </w:tc>
      </w:tr>
      <w:tr w14:paraId="7737D311">
        <w:tblPrEx>
          <w:tblCellMar>
            <w:top w:w="0" w:type="dxa"/>
            <w:left w:w="108" w:type="dxa"/>
            <w:bottom w:w="0" w:type="dxa"/>
            <w:right w:w="108" w:type="dxa"/>
          </w:tblCellMar>
        </w:tblPrEx>
        <w:trPr>
          <w:trHeight w:val="600" w:hRule="atLeast"/>
        </w:trPr>
        <w:tc>
          <w:tcPr>
            <w:tcW w:w="857" w:type="dxa"/>
            <w:tcBorders>
              <w:top w:val="nil"/>
              <w:left w:val="single" w:color="auto" w:sz="4" w:space="0"/>
              <w:bottom w:val="single" w:color="auto" w:sz="4" w:space="0"/>
              <w:right w:val="single" w:color="auto" w:sz="4" w:space="0"/>
            </w:tcBorders>
            <w:shd w:val="clear" w:color="auto" w:fill="auto"/>
            <w:noWrap/>
            <w:vAlign w:val="center"/>
          </w:tcPr>
          <w:p w14:paraId="4A3C6D1E">
            <w:pPr>
              <w:rPr>
                <w:sz w:val="21"/>
                <w:szCs w:val="21"/>
                <w:highlight w:val="none"/>
              </w:rPr>
            </w:pPr>
            <w:r>
              <w:rPr>
                <w:rFonts w:hint="eastAsia"/>
                <w:sz w:val="21"/>
                <w:szCs w:val="21"/>
                <w:highlight w:val="none"/>
              </w:rPr>
              <w:t>12</w:t>
            </w:r>
          </w:p>
        </w:tc>
        <w:tc>
          <w:tcPr>
            <w:tcW w:w="1710" w:type="dxa"/>
            <w:tcBorders>
              <w:top w:val="nil"/>
              <w:left w:val="nil"/>
              <w:bottom w:val="single" w:color="auto" w:sz="4" w:space="0"/>
              <w:right w:val="single" w:color="auto" w:sz="4" w:space="0"/>
            </w:tcBorders>
            <w:shd w:val="clear" w:color="auto" w:fill="auto"/>
            <w:noWrap/>
            <w:vAlign w:val="center"/>
          </w:tcPr>
          <w:p w14:paraId="0B330419">
            <w:pPr>
              <w:rPr>
                <w:sz w:val="21"/>
                <w:szCs w:val="21"/>
                <w:highlight w:val="none"/>
              </w:rPr>
            </w:pPr>
            <w:r>
              <w:rPr>
                <w:rFonts w:hint="eastAsia"/>
                <w:sz w:val="21"/>
                <w:szCs w:val="21"/>
                <w:highlight w:val="none"/>
              </w:rPr>
              <w:t>楼板、墙面开孔</w:t>
            </w:r>
          </w:p>
        </w:tc>
        <w:tc>
          <w:tcPr>
            <w:tcW w:w="2835" w:type="dxa"/>
            <w:tcBorders>
              <w:top w:val="nil"/>
              <w:left w:val="nil"/>
              <w:bottom w:val="single" w:color="auto" w:sz="4" w:space="0"/>
              <w:right w:val="single" w:color="auto" w:sz="4" w:space="0"/>
            </w:tcBorders>
            <w:shd w:val="clear" w:color="auto" w:fill="auto"/>
            <w:vAlign w:val="center"/>
          </w:tcPr>
          <w:p w14:paraId="3F30F1A6">
            <w:pPr>
              <w:rPr>
                <w:sz w:val="21"/>
                <w:szCs w:val="21"/>
                <w:highlight w:val="none"/>
              </w:rPr>
            </w:pPr>
            <w:r>
              <w:rPr>
                <w:rFonts w:hint="eastAsia"/>
                <w:sz w:val="21"/>
                <w:szCs w:val="21"/>
                <w:highlight w:val="none"/>
              </w:rPr>
              <w:t>楼板、墙面开孔及周边防水修补，DN50-75</w:t>
            </w:r>
          </w:p>
        </w:tc>
        <w:tc>
          <w:tcPr>
            <w:tcW w:w="715" w:type="dxa"/>
            <w:tcBorders>
              <w:top w:val="nil"/>
              <w:left w:val="nil"/>
              <w:bottom w:val="single" w:color="auto" w:sz="4" w:space="0"/>
              <w:right w:val="single" w:color="auto" w:sz="4" w:space="0"/>
            </w:tcBorders>
            <w:shd w:val="clear" w:color="auto" w:fill="auto"/>
            <w:noWrap/>
            <w:vAlign w:val="center"/>
          </w:tcPr>
          <w:p w14:paraId="53B33A7B">
            <w:pPr>
              <w:rPr>
                <w:sz w:val="21"/>
                <w:szCs w:val="21"/>
                <w:highlight w:val="none"/>
              </w:rPr>
            </w:pPr>
            <w:r>
              <w:rPr>
                <w:rFonts w:hint="eastAsia"/>
                <w:sz w:val="21"/>
                <w:szCs w:val="21"/>
                <w:highlight w:val="none"/>
              </w:rPr>
              <w:t>只</w:t>
            </w:r>
          </w:p>
        </w:tc>
        <w:tc>
          <w:tcPr>
            <w:tcW w:w="844" w:type="dxa"/>
            <w:tcBorders>
              <w:top w:val="nil"/>
              <w:left w:val="nil"/>
              <w:bottom w:val="single" w:color="auto" w:sz="4" w:space="0"/>
              <w:right w:val="single" w:color="auto" w:sz="4" w:space="0"/>
            </w:tcBorders>
            <w:shd w:val="clear" w:color="auto" w:fill="auto"/>
            <w:noWrap/>
            <w:vAlign w:val="center"/>
          </w:tcPr>
          <w:p w14:paraId="1DD75DF9">
            <w:pPr>
              <w:rPr>
                <w:sz w:val="21"/>
                <w:szCs w:val="21"/>
                <w:highlight w:val="none"/>
              </w:rPr>
            </w:pPr>
            <w:r>
              <w:rPr>
                <w:rFonts w:hint="eastAsia"/>
                <w:sz w:val="21"/>
                <w:szCs w:val="21"/>
                <w:highlight w:val="none"/>
              </w:rPr>
              <w:t>5</w:t>
            </w:r>
          </w:p>
        </w:tc>
        <w:tc>
          <w:tcPr>
            <w:tcW w:w="992" w:type="dxa"/>
            <w:tcBorders>
              <w:top w:val="nil"/>
              <w:left w:val="nil"/>
              <w:bottom w:val="single" w:color="auto" w:sz="4" w:space="0"/>
              <w:right w:val="single" w:color="auto" w:sz="4" w:space="0"/>
            </w:tcBorders>
            <w:shd w:val="clear" w:color="auto" w:fill="auto"/>
            <w:noWrap/>
            <w:vAlign w:val="center"/>
          </w:tcPr>
          <w:p w14:paraId="6A3CD266">
            <w:pPr>
              <w:rPr>
                <w:sz w:val="21"/>
                <w:szCs w:val="21"/>
                <w:highlight w:val="none"/>
              </w:rPr>
            </w:pPr>
            <w:r>
              <w:rPr>
                <w:rFonts w:hint="eastAsia"/>
                <w:sz w:val="21"/>
                <w:szCs w:val="21"/>
                <w:highlight w:val="none"/>
              </w:rPr>
              <w:t>　</w:t>
            </w:r>
          </w:p>
        </w:tc>
        <w:tc>
          <w:tcPr>
            <w:tcW w:w="851" w:type="dxa"/>
            <w:tcBorders>
              <w:top w:val="nil"/>
              <w:left w:val="nil"/>
              <w:bottom w:val="single" w:color="auto" w:sz="4" w:space="0"/>
              <w:right w:val="single" w:color="auto" w:sz="4" w:space="0"/>
            </w:tcBorders>
            <w:shd w:val="clear" w:color="auto" w:fill="auto"/>
            <w:noWrap/>
            <w:vAlign w:val="center"/>
          </w:tcPr>
          <w:p w14:paraId="3A60950E">
            <w:pPr>
              <w:rPr>
                <w:sz w:val="21"/>
                <w:szCs w:val="21"/>
                <w:highlight w:val="none"/>
              </w:rPr>
            </w:pPr>
            <w:r>
              <w:rPr>
                <w:rFonts w:hint="eastAsia"/>
                <w:sz w:val="21"/>
                <w:szCs w:val="21"/>
                <w:highlight w:val="none"/>
              </w:rPr>
              <w:t>　</w:t>
            </w:r>
          </w:p>
        </w:tc>
        <w:tc>
          <w:tcPr>
            <w:tcW w:w="708" w:type="dxa"/>
            <w:tcBorders>
              <w:top w:val="nil"/>
              <w:left w:val="nil"/>
              <w:bottom w:val="single" w:color="auto" w:sz="4" w:space="0"/>
              <w:right w:val="single" w:color="auto" w:sz="4" w:space="0"/>
            </w:tcBorders>
            <w:shd w:val="clear" w:color="auto" w:fill="auto"/>
            <w:vAlign w:val="center"/>
          </w:tcPr>
          <w:p w14:paraId="2643198C">
            <w:pPr>
              <w:rPr>
                <w:sz w:val="21"/>
                <w:szCs w:val="21"/>
                <w:highlight w:val="none"/>
              </w:rPr>
            </w:pPr>
            <w:r>
              <w:rPr>
                <w:rFonts w:hint="eastAsia"/>
                <w:sz w:val="21"/>
                <w:szCs w:val="21"/>
                <w:highlight w:val="none"/>
              </w:rPr>
              <w:t>　</w:t>
            </w:r>
          </w:p>
        </w:tc>
      </w:tr>
      <w:tr w14:paraId="1092EEA2">
        <w:tblPrEx>
          <w:tblCellMar>
            <w:top w:w="0" w:type="dxa"/>
            <w:left w:w="108" w:type="dxa"/>
            <w:bottom w:w="0" w:type="dxa"/>
            <w:right w:w="108" w:type="dxa"/>
          </w:tblCellMar>
        </w:tblPrEx>
        <w:trPr>
          <w:trHeight w:val="732" w:hRule="atLeast"/>
        </w:trPr>
        <w:tc>
          <w:tcPr>
            <w:tcW w:w="857" w:type="dxa"/>
            <w:tcBorders>
              <w:top w:val="nil"/>
              <w:left w:val="single" w:color="auto" w:sz="4" w:space="0"/>
              <w:bottom w:val="single" w:color="auto" w:sz="4" w:space="0"/>
              <w:right w:val="single" w:color="auto" w:sz="4" w:space="0"/>
            </w:tcBorders>
            <w:shd w:val="clear" w:color="auto" w:fill="auto"/>
            <w:noWrap/>
            <w:vAlign w:val="center"/>
          </w:tcPr>
          <w:p w14:paraId="33A930C2">
            <w:pPr>
              <w:rPr>
                <w:sz w:val="21"/>
                <w:szCs w:val="21"/>
                <w:highlight w:val="none"/>
              </w:rPr>
            </w:pPr>
            <w:r>
              <w:rPr>
                <w:rFonts w:hint="eastAsia"/>
                <w:sz w:val="21"/>
                <w:szCs w:val="21"/>
                <w:highlight w:val="none"/>
              </w:rPr>
              <w:t>13</w:t>
            </w:r>
          </w:p>
        </w:tc>
        <w:tc>
          <w:tcPr>
            <w:tcW w:w="1710" w:type="dxa"/>
            <w:tcBorders>
              <w:top w:val="nil"/>
              <w:left w:val="nil"/>
              <w:bottom w:val="single" w:color="auto" w:sz="4" w:space="0"/>
              <w:right w:val="single" w:color="auto" w:sz="4" w:space="0"/>
            </w:tcBorders>
            <w:shd w:val="clear" w:color="auto" w:fill="auto"/>
            <w:noWrap/>
            <w:vAlign w:val="center"/>
          </w:tcPr>
          <w:p w14:paraId="7CC0466F">
            <w:pPr>
              <w:rPr>
                <w:sz w:val="21"/>
                <w:szCs w:val="21"/>
                <w:highlight w:val="none"/>
              </w:rPr>
            </w:pPr>
            <w:r>
              <w:rPr>
                <w:rFonts w:hint="eastAsia"/>
                <w:sz w:val="21"/>
                <w:szCs w:val="21"/>
                <w:highlight w:val="none"/>
              </w:rPr>
              <w:t>感应式小便器</w:t>
            </w:r>
          </w:p>
        </w:tc>
        <w:tc>
          <w:tcPr>
            <w:tcW w:w="2835" w:type="dxa"/>
            <w:tcBorders>
              <w:top w:val="nil"/>
              <w:left w:val="nil"/>
              <w:bottom w:val="single" w:color="auto" w:sz="4" w:space="0"/>
              <w:right w:val="single" w:color="auto" w:sz="4" w:space="0"/>
            </w:tcBorders>
            <w:shd w:val="clear" w:color="auto" w:fill="auto"/>
            <w:vAlign w:val="center"/>
          </w:tcPr>
          <w:p w14:paraId="775B06DC">
            <w:pPr>
              <w:rPr>
                <w:sz w:val="21"/>
                <w:szCs w:val="21"/>
                <w:highlight w:val="none"/>
              </w:rPr>
            </w:pPr>
            <w:r>
              <w:rPr>
                <w:rFonts w:hint="eastAsia"/>
                <w:sz w:val="21"/>
                <w:szCs w:val="21"/>
                <w:highlight w:val="none"/>
              </w:rPr>
              <w:t>壁挂感应式小便器安装，和原有小便器同款（箭牌壁挂式）</w:t>
            </w:r>
          </w:p>
        </w:tc>
        <w:tc>
          <w:tcPr>
            <w:tcW w:w="715" w:type="dxa"/>
            <w:tcBorders>
              <w:top w:val="nil"/>
              <w:left w:val="nil"/>
              <w:bottom w:val="single" w:color="auto" w:sz="4" w:space="0"/>
              <w:right w:val="single" w:color="auto" w:sz="4" w:space="0"/>
            </w:tcBorders>
            <w:shd w:val="clear" w:color="auto" w:fill="auto"/>
            <w:noWrap/>
            <w:vAlign w:val="center"/>
          </w:tcPr>
          <w:p w14:paraId="7A230D8B">
            <w:pPr>
              <w:rPr>
                <w:sz w:val="21"/>
                <w:szCs w:val="21"/>
                <w:highlight w:val="none"/>
              </w:rPr>
            </w:pPr>
            <w:r>
              <w:rPr>
                <w:rFonts w:hint="eastAsia"/>
                <w:sz w:val="21"/>
                <w:szCs w:val="21"/>
                <w:highlight w:val="none"/>
              </w:rPr>
              <w:t>只</w:t>
            </w:r>
          </w:p>
        </w:tc>
        <w:tc>
          <w:tcPr>
            <w:tcW w:w="844" w:type="dxa"/>
            <w:tcBorders>
              <w:top w:val="nil"/>
              <w:left w:val="nil"/>
              <w:bottom w:val="single" w:color="auto" w:sz="4" w:space="0"/>
              <w:right w:val="single" w:color="auto" w:sz="4" w:space="0"/>
            </w:tcBorders>
            <w:shd w:val="clear" w:color="auto" w:fill="auto"/>
            <w:noWrap/>
            <w:vAlign w:val="center"/>
          </w:tcPr>
          <w:p w14:paraId="2DCB95CB">
            <w:pPr>
              <w:rPr>
                <w:sz w:val="21"/>
                <w:szCs w:val="21"/>
                <w:highlight w:val="none"/>
              </w:rPr>
            </w:pPr>
            <w:r>
              <w:rPr>
                <w:rFonts w:hint="eastAsia"/>
                <w:sz w:val="21"/>
                <w:szCs w:val="21"/>
                <w:highlight w:val="none"/>
              </w:rPr>
              <w:t>1</w:t>
            </w:r>
          </w:p>
        </w:tc>
        <w:tc>
          <w:tcPr>
            <w:tcW w:w="992" w:type="dxa"/>
            <w:tcBorders>
              <w:top w:val="nil"/>
              <w:left w:val="nil"/>
              <w:bottom w:val="single" w:color="auto" w:sz="4" w:space="0"/>
              <w:right w:val="single" w:color="auto" w:sz="4" w:space="0"/>
            </w:tcBorders>
            <w:shd w:val="clear" w:color="auto" w:fill="auto"/>
            <w:noWrap/>
            <w:vAlign w:val="center"/>
          </w:tcPr>
          <w:p w14:paraId="763E4FCE">
            <w:pPr>
              <w:rPr>
                <w:sz w:val="21"/>
                <w:szCs w:val="21"/>
                <w:highlight w:val="none"/>
              </w:rPr>
            </w:pPr>
            <w:r>
              <w:rPr>
                <w:rFonts w:hint="eastAsia"/>
                <w:sz w:val="21"/>
                <w:szCs w:val="21"/>
                <w:highlight w:val="none"/>
              </w:rPr>
              <w:t>　</w:t>
            </w:r>
          </w:p>
        </w:tc>
        <w:tc>
          <w:tcPr>
            <w:tcW w:w="851" w:type="dxa"/>
            <w:tcBorders>
              <w:top w:val="nil"/>
              <w:left w:val="nil"/>
              <w:bottom w:val="single" w:color="auto" w:sz="4" w:space="0"/>
              <w:right w:val="single" w:color="auto" w:sz="4" w:space="0"/>
            </w:tcBorders>
            <w:shd w:val="clear" w:color="auto" w:fill="auto"/>
            <w:noWrap/>
            <w:vAlign w:val="center"/>
          </w:tcPr>
          <w:p w14:paraId="4F88817A">
            <w:pPr>
              <w:rPr>
                <w:sz w:val="21"/>
                <w:szCs w:val="21"/>
                <w:highlight w:val="none"/>
              </w:rPr>
            </w:pPr>
            <w:r>
              <w:rPr>
                <w:rFonts w:hint="eastAsia"/>
                <w:sz w:val="21"/>
                <w:szCs w:val="21"/>
                <w:highlight w:val="none"/>
              </w:rPr>
              <w:t>　</w:t>
            </w:r>
          </w:p>
        </w:tc>
        <w:tc>
          <w:tcPr>
            <w:tcW w:w="708" w:type="dxa"/>
            <w:tcBorders>
              <w:top w:val="nil"/>
              <w:left w:val="nil"/>
              <w:bottom w:val="single" w:color="auto" w:sz="4" w:space="0"/>
              <w:right w:val="single" w:color="auto" w:sz="4" w:space="0"/>
            </w:tcBorders>
            <w:shd w:val="clear" w:color="auto" w:fill="auto"/>
            <w:vAlign w:val="center"/>
          </w:tcPr>
          <w:p w14:paraId="42DC1809">
            <w:pPr>
              <w:rPr>
                <w:sz w:val="21"/>
                <w:szCs w:val="21"/>
                <w:highlight w:val="none"/>
              </w:rPr>
            </w:pPr>
            <w:r>
              <w:rPr>
                <w:rFonts w:hint="eastAsia"/>
                <w:sz w:val="21"/>
                <w:szCs w:val="21"/>
                <w:highlight w:val="none"/>
              </w:rPr>
              <w:t>　</w:t>
            </w:r>
          </w:p>
        </w:tc>
      </w:tr>
      <w:tr w14:paraId="42024BB1">
        <w:tblPrEx>
          <w:tblCellMar>
            <w:top w:w="0" w:type="dxa"/>
            <w:left w:w="108" w:type="dxa"/>
            <w:bottom w:w="0" w:type="dxa"/>
            <w:right w:w="108" w:type="dxa"/>
          </w:tblCellMar>
        </w:tblPrEx>
        <w:trPr>
          <w:trHeight w:val="709" w:hRule="atLeast"/>
        </w:trPr>
        <w:tc>
          <w:tcPr>
            <w:tcW w:w="857" w:type="dxa"/>
            <w:tcBorders>
              <w:top w:val="nil"/>
              <w:left w:val="single" w:color="auto" w:sz="4" w:space="0"/>
              <w:bottom w:val="single" w:color="auto" w:sz="4" w:space="0"/>
              <w:right w:val="single" w:color="auto" w:sz="4" w:space="0"/>
            </w:tcBorders>
            <w:shd w:val="clear" w:color="auto" w:fill="auto"/>
            <w:noWrap/>
            <w:vAlign w:val="center"/>
          </w:tcPr>
          <w:p w14:paraId="6FD97CC3">
            <w:pPr>
              <w:rPr>
                <w:sz w:val="21"/>
                <w:szCs w:val="21"/>
                <w:highlight w:val="none"/>
              </w:rPr>
            </w:pPr>
            <w:r>
              <w:rPr>
                <w:rFonts w:hint="eastAsia"/>
                <w:sz w:val="21"/>
                <w:szCs w:val="21"/>
                <w:highlight w:val="none"/>
              </w:rPr>
              <w:t>13</w:t>
            </w:r>
          </w:p>
        </w:tc>
        <w:tc>
          <w:tcPr>
            <w:tcW w:w="1710" w:type="dxa"/>
            <w:tcBorders>
              <w:top w:val="nil"/>
              <w:left w:val="nil"/>
              <w:bottom w:val="single" w:color="auto" w:sz="4" w:space="0"/>
              <w:right w:val="single" w:color="auto" w:sz="4" w:space="0"/>
            </w:tcBorders>
            <w:shd w:val="clear" w:color="auto" w:fill="auto"/>
            <w:noWrap/>
            <w:vAlign w:val="center"/>
          </w:tcPr>
          <w:p w14:paraId="059442B9">
            <w:pPr>
              <w:rPr>
                <w:sz w:val="21"/>
                <w:szCs w:val="21"/>
                <w:highlight w:val="none"/>
              </w:rPr>
            </w:pPr>
            <w:r>
              <w:rPr>
                <w:rFonts w:hint="eastAsia"/>
                <w:sz w:val="21"/>
                <w:szCs w:val="21"/>
                <w:highlight w:val="none"/>
              </w:rPr>
              <w:t>小便器利旧安装</w:t>
            </w:r>
          </w:p>
        </w:tc>
        <w:tc>
          <w:tcPr>
            <w:tcW w:w="2835" w:type="dxa"/>
            <w:tcBorders>
              <w:top w:val="nil"/>
              <w:left w:val="nil"/>
              <w:bottom w:val="single" w:color="auto" w:sz="4" w:space="0"/>
              <w:right w:val="single" w:color="auto" w:sz="4" w:space="0"/>
            </w:tcBorders>
            <w:shd w:val="clear" w:color="auto" w:fill="auto"/>
            <w:vAlign w:val="center"/>
          </w:tcPr>
          <w:p w14:paraId="23D06CAE">
            <w:pPr>
              <w:rPr>
                <w:sz w:val="21"/>
                <w:szCs w:val="21"/>
                <w:highlight w:val="none"/>
              </w:rPr>
            </w:pPr>
            <w:r>
              <w:rPr>
                <w:rFonts w:hint="eastAsia"/>
                <w:sz w:val="21"/>
                <w:szCs w:val="21"/>
                <w:highlight w:val="none"/>
              </w:rPr>
              <w:t>感应式小便器安装，和原有小便器同款，其中两只利旧</w:t>
            </w:r>
          </w:p>
        </w:tc>
        <w:tc>
          <w:tcPr>
            <w:tcW w:w="715" w:type="dxa"/>
            <w:tcBorders>
              <w:top w:val="nil"/>
              <w:left w:val="nil"/>
              <w:bottom w:val="single" w:color="auto" w:sz="4" w:space="0"/>
              <w:right w:val="single" w:color="auto" w:sz="4" w:space="0"/>
            </w:tcBorders>
            <w:shd w:val="clear" w:color="auto" w:fill="auto"/>
            <w:noWrap/>
            <w:vAlign w:val="center"/>
          </w:tcPr>
          <w:p w14:paraId="0DE60EE7">
            <w:pPr>
              <w:rPr>
                <w:sz w:val="21"/>
                <w:szCs w:val="21"/>
                <w:highlight w:val="none"/>
              </w:rPr>
            </w:pPr>
            <w:r>
              <w:rPr>
                <w:rFonts w:hint="eastAsia"/>
                <w:sz w:val="21"/>
                <w:szCs w:val="21"/>
                <w:highlight w:val="none"/>
              </w:rPr>
              <w:t>只</w:t>
            </w:r>
          </w:p>
        </w:tc>
        <w:tc>
          <w:tcPr>
            <w:tcW w:w="844" w:type="dxa"/>
            <w:tcBorders>
              <w:top w:val="nil"/>
              <w:left w:val="nil"/>
              <w:bottom w:val="single" w:color="auto" w:sz="4" w:space="0"/>
              <w:right w:val="single" w:color="auto" w:sz="4" w:space="0"/>
            </w:tcBorders>
            <w:shd w:val="clear" w:color="auto" w:fill="auto"/>
            <w:noWrap/>
            <w:vAlign w:val="center"/>
          </w:tcPr>
          <w:p w14:paraId="4DD67687">
            <w:pPr>
              <w:rPr>
                <w:sz w:val="21"/>
                <w:szCs w:val="21"/>
                <w:highlight w:val="none"/>
              </w:rPr>
            </w:pPr>
            <w:r>
              <w:rPr>
                <w:rFonts w:hint="eastAsia"/>
                <w:sz w:val="21"/>
                <w:szCs w:val="21"/>
                <w:highlight w:val="none"/>
              </w:rPr>
              <w:t>2</w:t>
            </w:r>
          </w:p>
        </w:tc>
        <w:tc>
          <w:tcPr>
            <w:tcW w:w="992" w:type="dxa"/>
            <w:tcBorders>
              <w:top w:val="nil"/>
              <w:left w:val="nil"/>
              <w:bottom w:val="single" w:color="auto" w:sz="4" w:space="0"/>
              <w:right w:val="single" w:color="auto" w:sz="4" w:space="0"/>
            </w:tcBorders>
            <w:shd w:val="clear" w:color="auto" w:fill="auto"/>
            <w:noWrap/>
            <w:vAlign w:val="center"/>
          </w:tcPr>
          <w:p w14:paraId="378E053E">
            <w:pPr>
              <w:rPr>
                <w:sz w:val="21"/>
                <w:szCs w:val="21"/>
                <w:highlight w:val="none"/>
              </w:rPr>
            </w:pPr>
            <w:r>
              <w:rPr>
                <w:rFonts w:hint="eastAsia"/>
                <w:sz w:val="21"/>
                <w:szCs w:val="21"/>
                <w:highlight w:val="none"/>
              </w:rPr>
              <w:t>　</w:t>
            </w:r>
          </w:p>
        </w:tc>
        <w:tc>
          <w:tcPr>
            <w:tcW w:w="851" w:type="dxa"/>
            <w:tcBorders>
              <w:top w:val="nil"/>
              <w:left w:val="nil"/>
              <w:bottom w:val="single" w:color="auto" w:sz="4" w:space="0"/>
              <w:right w:val="single" w:color="auto" w:sz="4" w:space="0"/>
            </w:tcBorders>
            <w:shd w:val="clear" w:color="auto" w:fill="auto"/>
            <w:noWrap/>
            <w:vAlign w:val="center"/>
          </w:tcPr>
          <w:p w14:paraId="5E6BDA16">
            <w:pPr>
              <w:rPr>
                <w:sz w:val="21"/>
                <w:szCs w:val="21"/>
                <w:highlight w:val="none"/>
              </w:rPr>
            </w:pPr>
            <w:r>
              <w:rPr>
                <w:rFonts w:hint="eastAsia"/>
                <w:sz w:val="21"/>
                <w:szCs w:val="21"/>
                <w:highlight w:val="none"/>
              </w:rPr>
              <w:t>　</w:t>
            </w:r>
          </w:p>
        </w:tc>
        <w:tc>
          <w:tcPr>
            <w:tcW w:w="708" w:type="dxa"/>
            <w:tcBorders>
              <w:top w:val="nil"/>
              <w:left w:val="nil"/>
              <w:bottom w:val="single" w:color="auto" w:sz="4" w:space="0"/>
              <w:right w:val="single" w:color="auto" w:sz="4" w:space="0"/>
            </w:tcBorders>
            <w:shd w:val="clear" w:color="auto" w:fill="auto"/>
            <w:vAlign w:val="center"/>
          </w:tcPr>
          <w:p w14:paraId="6A9A7188">
            <w:pPr>
              <w:rPr>
                <w:sz w:val="21"/>
                <w:szCs w:val="21"/>
                <w:highlight w:val="none"/>
              </w:rPr>
            </w:pPr>
            <w:r>
              <w:rPr>
                <w:rFonts w:hint="eastAsia"/>
                <w:sz w:val="21"/>
                <w:szCs w:val="21"/>
                <w:highlight w:val="none"/>
              </w:rPr>
              <w:t>　</w:t>
            </w:r>
          </w:p>
        </w:tc>
      </w:tr>
      <w:tr w14:paraId="7AE5A864">
        <w:tblPrEx>
          <w:tblCellMar>
            <w:top w:w="0" w:type="dxa"/>
            <w:left w:w="108" w:type="dxa"/>
            <w:bottom w:w="0" w:type="dxa"/>
            <w:right w:w="108" w:type="dxa"/>
          </w:tblCellMar>
        </w:tblPrEx>
        <w:trPr>
          <w:trHeight w:val="600" w:hRule="atLeast"/>
        </w:trPr>
        <w:tc>
          <w:tcPr>
            <w:tcW w:w="857" w:type="dxa"/>
            <w:tcBorders>
              <w:top w:val="nil"/>
              <w:left w:val="single" w:color="auto" w:sz="4" w:space="0"/>
              <w:bottom w:val="single" w:color="auto" w:sz="4" w:space="0"/>
              <w:right w:val="single" w:color="auto" w:sz="4" w:space="0"/>
            </w:tcBorders>
            <w:shd w:val="clear" w:color="auto" w:fill="auto"/>
            <w:noWrap/>
            <w:vAlign w:val="center"/>
          </w:tcPr>
          <w:p w14:paraId="6D1EA49B">
            <w:pPr>
              <w:rPr>
                <w:sz w:val="21"/>
                <w:szCs w:val="21"/>
                <w:highlight w:val="none"/>
              </w:rPr>
            </w:pPr>
            <w:r>
              <w:rPr>
                <w:rFonts w:hint="eastAsia"/>
                <w:sz w:val="21"/>
                <w:szCs w:val="21"/>
                <w:highlight w:val="none"/>
              </w:rPr>
              <w:t>14</w:t>
            </w:r>
          </w:p>
        </w:tc>
        <w:tc>
          <w:tcPr>
            <w:tcW w:w="1710" w:type="dxa"/>
            <w:tcBorders>
              <w:top w:val="nil"/>
              <w:left w:val="nil"/>
              <w:bottom w:val="single" w:color="auto" w:sz="4" w:space="0"/>
              <w:right w:val="single" w:color="auto" w:sz="4" w:space="0"/>
            </w:tcBorders>
            <w:shd w:val="clear" w:color="auto" w:fill="auto"/>
            <w:noWrap/>
            <w:vAlign w:val="center"/>
          </w:tcPr>
          <w:p w14:paraId="4B9DD04F">
            <w:pPr>
              <w:rPr>
                <w:sz w:val="21"/>
                <w:szCs w:val="21"/>
                <w:highlight w:val="none"/>
              </w:rPr>
            </w:pPr>
            <w:r>
              <w:rPr>
                <w:rFonts w:hint="eastAsia"/>
                <w:sz w:val="21"/>
                <w:szCs w:val="21"/>
                <w:highlight w:val="none"/>
              </w:rPr>
              <w:t>吊顶拆装</w:t>
            </w:r>
          </w:p>
        </w:tc>
        <w:tc>
          <w:tcPr>
            <w:tcW w:w="2835" w:type="dxa"/>
            <w:tcBorders>
              <w:top w:val="nil"/>
              <w:left w:val="nil"/>
              <w:bottom w:val="single" w:color="auto" w:sz="4" w:space="0"/>
              <w:right w:val="single" w:color="auto" w:sz="4" w:space="0"/>
            </w:tcBorders>
            <w:shd w:val="clear" w:color="auto" w:fill="auto"/>
            <w:vAlign w:val="center"/>
          </w:tcPr>
          <w:p w14:paraId="004D463D">
            <w:pPr>
              <w:rPr>
                <w:sz w:val="21"/>
                <w:szCs w:val="21"/>
                <w:highlight w:val="none"/>
              </w:rPr>
            </w:pPr>
            <w:r>
              <w:rPr>
                <w:rFonts w:hint="eastAsia"/>
                <w:sz w:val="21"/>
                <w:szCs w:val="21"/>
                <w:highlight w:val="none"/>
              </w:rPr>
              <w:t>原吊顶拆除修复</w:t>
            </w:r>
          </w:p>
        </w:tc>
        <w:tc>
          <w:tcPr>
            <w:tcW w:w="715" w:type="dxa"/>
            <w:tcBorders>
              <w:top w:val="nil"/>
              <w:left w:val="nil"/>
              <w:bottom w:val="single" w:color="auto" w:sz="4" w:space="0"/>
              <w:right w:val="single" w:color="auto" w:sz="4" w:space="0"/>
            </w:tcBorders>
            <w:shd w:val="clear" w:color="auto" w:fill="auto"/>
            <w:noWrap/>
            <w:vAlign w:val="center"/>
          </w:tcPr>
          <w:p w14:paraId="2F8C35FA">
            <w:pPr>
              <w:rPr>
                <w:sz w:val="21"/>
                <w:szCs w:val="21"/>
                <w:highlight w:val="none"/>
              </w:rPr>
            </w:pPr>
            <w:r>
              <w:rPr>
                <w:rFonts w:hint="eastAsia"/>
                <w:sz w:val="21"/>
                <w:szCs w:val="21"/>
                <w:highlight w:val="none"/>
              </w:rPr>
              <w:t>项</w:t>
            </w:r>
          </w:p>
        </w:tc>
        <w:tc>
          <w:tcPr>
            <w:tcW w:w="844" w:type="dxa"/>
            <w:tcBorders>
              <w:top w:val="nil"/>
              <w:left w:val="nil"/>
              <w:bottom w:val="single" w:color="auto" w:sz="4" w:space="0"/>
              <w:right w:val="single" w:color="auto" w:sz="4" w:space="0"/>
            </w:tcBorders>
            <w:shd w:val="clear" w:color="auto" w:fill="auto"/>
            <w:noWrap/>
            <w:vAlign w:val="center"/>
          </w:tcPr>
          <w:p w14:paraId="30FF8AEB">
            <w:pPr>
              <w:rPr>
                <w:sz w:val="21"/>
                <w:szCs w:val="21"/>
                <w:highlight w:val="none"/>
              </w:rPr>
            </w:pPr>
            <w:r>
              <w:rPr>
                <w:rFonts w:hint="eastAsia"/>
                <w:sz w:val="21"/>
                <w:szCs w:val="21"/>
                <w:highlight w:val="none"/>
              </w:rPr>
              <w:t>1</w:t>
            </w:r>
          </w:p>
        </w:tc>
        <w:tc>
          <w:tcPr>
            <w:tcW w:w="992" w:type="dxa"/>
            <w:tcBorders>
              <w:top w:val="nil"/>
              <w:left w:val="nil"/>
              <w:bottom w:val="single" w:color="auto" w:sz="4" w:space="0"/>
              <w:right w:val="single" w:color="auto" w:sz="4" w:space="0"/>
            </w:tcBorders>
            <w:shd w:val="clear" w:color="auto" w:fill="auto"/>
            <w:noWrap/>
            <w:vAlign w:val="center"/>
          </w:tcPr>
          <w:p w14:paraId="56812C17">
            <w:pPr>
              <w:rPr>
                <w:sz w:val="21"/>
                <w:szCs w:val="21"/>
                <w:highlight w:val="none"/>
              </w:rPr>
            </w:pPr>
            <w:r>
              <w:rPr>
                <w:rFonts w:hint="eastAsia"/>
                <w:sz w:val="21"/>
                <w:szCs w:val="21"/>
                <w:highlight w:val="none"/>
              </w:rPr>
              <w:t>　</w:t>
            </w:r>
          </w:p>
        </w:tc>
        <w:tc>
          <w:tcPr>
            <w:tcW w:w="851" w:type="dxa"/>
            <w:tcBorders>
              <w:top w:val="nil"/>
              <w:left w:val="nil"/>
              <w:bottom w:val="single" w:color="auto" w:sz="4" w:space="0"/>
              <w:right w:val="single" w:color="auto" w:sz="4" w:space="0"/>
            </w:tcBorders>
            <w:shd w:val="clear" w:color="auto" w:fill="auto"/>
            <w:noWrap/>
            <w:vAlign w:val="center"/>
          </w:tcPr>
          <w:p w14:paraId="34855C93">
            <w:pPr>
              <w:rPr>
                <w:sz w:val="21"/>
                <w:szCs w:val="21"/>
                <w:highlight w:val="none"/>
              </w:rPr>
            </w:pPr>
            <w:r>
              <w:rPr>
                <w:rFonts w:hint="eastAsia"/>
                <w:sz w:val="21"/>
                <w:szCs w:val="21"/>
                <w:highlight w:val="none"/>
              </w:rPr>
              <w:t>　</w:t>
            </w:r>
          </w:p>
        </w:tc>
        <w:tc>
          <w:tcPr>
            <w:tcW w:w="708" w:type="dxa"/>
            <w:tcBorders>
              <w:top w:val="nil"/>
              <w:left w:val="nil"/>
              <w:bottom w:val="single" w:color="auto" w:sz="4" w:space="0"/>
              <w:right w:val="single" w:color="auto" w:sz="4" w:space="0"/>
            </w:tcBorders>
            <w:shd w:val="clear" w:color="auto" w:fill="auto"/>
            <w:vAlign w:val="center"/>
          </w:tcPr>
          <w:p w14:paraId="7B3D54A8">
            <w:pPr>
              <w:rPr>
                <w:sz w:val="21"/>
                <w:szCs w:val="21"/>
                <w:highlight w:val="none"/>
              </w:rPr>
            </w:pPr>
            <w:r>
              <w:rPr>
                <w:rFonts w:hint="eastAsia"/>
                <w:sz w:val="21"/>
                <w:szCs w:val="21"/>
                <w:highlight w:val="none"/>
              </w:rPr>
              <w:t>　</w:t>
            </w:r>
          </w:p>
        </w:tc>
      </w:tr>
      <w:tr w14:paraId="5AD2A8F6">
        <w:tblPrEx>
          <w:tblCellMar>
            <w:top w:w="0" w:type="dxa"/>
            <w:left w:w="108" w:type="dxa"/>
            <w:bottom w:w="0" w:type="dxa"/>
            <w:right w:w="108" w:type="dxa"/>
          </w:tblCellMar>
        </w:tblPrEx>
        <w:trPr>
          <w:trHeight w:val="720" w:hRule="atLeast"/>
        </w:trPr>
        <w:tc>
          <w:tcPr>
            <w:tcW w:w="857" w:type="dxa"/>
            <w:tcBorders>
              <w:top w:val="nil"/>
              <w:left w:val="single" w:color="auto" w:sz="4" w:space="0"/>
              <w:bottom w:val="single" w:color="auto" w:sz="4" w:space="0"/>
              <w:right w:val="single" w:color="auto" w:sz="4" w:space="0"/>
            </w:tcBorders>
            <w:shd w:val="clear" w:color="auto" w:fill="auto"/>
            <w:noWrap/>
            <w:vAlign w:val="center"/>
          </w:tcPr>
          <w:p w14:paraId="5779EBCE">
            <w:pPr>
              <w:rPr>
                <w:sz w:val="21"/>
                <w:szCs w:val="21"/>
                <w:highlight w:val="none"/>
              </w:rPr>
            </w:pPr>
            <w:r>
              <w:rPr>
                <w:rFonts w:hint="eastAsia"/>
                <w:sz w:val="21"/>
                <w:szCs w:val="21"/>
                <w:highlight w:val="none"/>
              </w:rPr>
              <w:t>15</w:t>
            </w:r>
          </w:p>
        </w:tc>
        <w:tc>
          <w:tcPr>
            <w:tcW w:w="1710" w:type="dxa"/>
            <w:tcBorders>
              <w:top w:val="nil"/>
              <w:left w:val="nil"/>
              <w:bottom w:val="single" w:color="auto" w:sz="4" w:space="0"/>
              <w:right w:val="single" w:color="auto" w:sz="4" w:space="0"/>
            </w:tcBorders>
            <w:shd w:val="clear" w:color="auto" w:fill="auto"/>
            <w:vAlign w:val="center"/>
          </w:tcPr>
          <w:p w14:paraId="7B5811D4">
            <w:pPr>
              <w:rPr>
                <w:sz w:val="21"/>
                <w:szCs w:val="21"/>
                <w:highlight w:val="none"/>
              </w:rPr>
            </w:pPr>
            <w:r>
              <w:rPr>
                <w:rFonts w:hint="eastAsia"/>
                <w:sz w:val="21"/>
                <w:szCs w:val="21"/>
                <w:highlight w:val="none"/>
              </w:rPr>
              <w:t>建筑垃圾清理</w:t>
            </w:r>
          </w:p>
        </w:tc>
        <w:tc>
          <w:tcPr>
            <w:tcW w:w="2835" w:type="dxa"/>
            <w:tcBorders>
              <w:top w:val="nil"/>
              <w:left w:val="nil"/>
              <w:bottom w:val="single" w:color="auto" w:sz="4" w:space="0"/>
              <w:right w:val="single" w:color="auto" w:sz="4" w:space="0"/>
            </w:tcBorders>
            <w:shd w:val="clear" w:color="auto" w:fill="auto"/>
            <w:vAlign w:val="center"/>
          </w:tcPr>
          <w:p w14:paraId="7CB0E39B">
            <w:pPr>
              <w:rPr>
                <w:sz w:val="21"/>
                <w:szCs w:val="21"/>
                <w:highlight w:val="none"/>
              </w:rPr>
            </w:pPr>
            <w:r>
              <w:rPr>
                <w:rFonts w:hint="eastAsia"/>
                <w:sz w:val="21"/>
                <w:szCs w:val="21"/>
                <w:highlight w:val="none"/>
              </w:rPr>
              <w:t>卫生清扫及建筑垃圾外运至校外，施工单位自行处置</w:t>
            </w:r>
          </w:p>
        </w:tc>
        <w:tc>
          <w:tcPr>
            <w:tcW w:w="715" w:type="dxa"/>
            <w:tcBorders>
              <w:top w:val="nil"/>
              <w:left w:val="nil"/>
              <w:bottom w:val="single" w:color="auto" w:sz="4" w:space="0"/>
              <w:right w:val="single" w:color="auto" w:sz="4" w:space="0"/>
            </w:tcBorders>
            <w:shd w:val="clear" w:color="auto" w:fill="auto"/>
            <w:vAlign w:val="center"/>
          </w:tcPr>
          <w:p w14:paraId="2918993C">
            <w:pPr>
              <w:rPr>
                <w:sz w:val="21"/>
                <w:szCs w:val="21"/>
                <w:highlight w:val="none"/>
              </w:rPr>
            </w:pPr>
            <w:r>
              <w:rPr>
                <w:rFonts w:hint="eastAsia"/>
                <w:sz w:val="21"/>
                <w:szCs w:val="21"/>
                <w:highlight w:val="none"/>
              </w:rPr>
              <w:t>项</w:t>
            </w:r>
          </w:p>
        </w:tc>
        <w:tc>
          <w:tcPr>
            <w:tcW w:w="844" w:type="dxa"/>
            <w:tcBorders>
              <w:top w:val="nil"/>
              <w:left w:val="nil"/>
              <w:bottom w:val="single" w:color="auto" w:sz="4" w:space="0"/>
              <w:right w:val="single" w:color="auto" w:sz="4" w:space="0"/>
            </w:tcBorders>
            <w:shd w:val="clear" w:color="auto" w:fill="auto"/>
            <w:vAlign w:val="center"/>
          </w:tcPr>
          <w:p w14:paraId="2FBB6A3D">
            <w:pPr>
              <w:rPr>
                <w:sz w:val="21"/>
                <w:szCs w:val="21"/>
                <w:highlight w:val="none"/>
              </w:rPr>
            </w:pPr>
            <w:r>
              <w:rPr>
                <w:rFonts w:hint="eastAsia"/>
                <w:sz w:val="21"/>
                <w:szCs w:val="21"/>
                <w:highlight w:val="none"/>
              </w:rPr>
              <w:t>1</w:t>
            </w:r>
          </w:p>
        </w:tc>
        <w:tc>
          <w:tcPr>
            <w:tcW w:w="992" w:type="dxa"/>
            <w:tcBorders>
              <w:top w:val="nil"/>
              <w:left w:val="nil"/>
              <w:bottom w:val="single" w:color="auto" w:sz="4" w:space="0"/>
              <w:right w:val="single" w:color="auto" w:sz="4" w:space="0"/>
            </w:tcBorders>
            <w:shd w:val="clear" w:color="auto" w:fill="auto"/>
            <w:noWrap/>
            <w:vAlign w:val="center"/>
          </w:tcPr>
          <w:p w14:paraId="43E77F06">
            <w:pPr>
              <w:rPr>
                <w:sz w:val="21"/>
                <w:szCs w:val="21"/>
                <w:highlight w:val="none"/>
              </w:rPr>
            </w:pPr>
            <w:r>
              <w:rPr>
                <w:rFonts w:hint="eastAsia"/>
                <w:sz w:val="21"/>
                <w:szCs w:val="21"/>
                <w:highlight w:val="none"/>
              </w:rPr>
              <w:t>　</w:t>
            </w:r>
          </w:p>
        </w:tc>
        <w:tc>
          <w:tcPr>
            <w:tcW w:w="851" w:type="dxa"/>
            <w:tcBorders>
              <w:top w:val="nil"/>
              <w:left w:val="nil"/>
              <w:bottom w:val="single" w:color="auto" w:sz="4" w:space="0"/>
              <w:right w:val="single" w:color="auto" w:sz="4" w:space="0"/>
            </w:tcBorders>
            <w:shd w:val="clear" w:color="auto" w:fill="auto"/>
            <w:noWrap/>
            <w:vAlign w:val="center"/>
          </w:tcPr>
          <w:p w14:paraId="2300F35B">
            <w:pPr>
              <w:rPr>
                <w:sz w:val="21"/>
                <w:szCs w:val="21"/>
                <w:highlight w:val="none"/>
              </w:rPr>
            </w:pPr>
            <w:r>
              <w:rPr>
                <w:rFonts w:hint="eastAsia"/>
                <w:sz w:val="21"/>
                <w:szCs w:val="21"/>
                <w:highlight w:val="none"/>
              </w:rPr>
              <w:t>　</w:t>
            </w:r>
          </w:p>
        </w:tc>
        <w:tc>
          <w:tcPr>
            <w:tcW w:w="708" w:type="dxa"/>
            <w:tcBorders>
              <w:top w:val="nil"/>
              <w:left w:val="nil"/>
              <w:bottom w:val="single" w:color="auto" w:sz="4" w:space="0"/>
              <w:right w:val="single" w:color="auto" w:sz="4" w:space="0"/>
            </w:tcBorders>
            <w:shd w:val="clear" w:color="auto" w:fill="auto"/>
            <w:vAlign w:val="center"/>
          </w:tcPr>
          <w:p w14:paraId="7684AC4B">
            <w:pPr>
              <w:rPr>
                <w:sz w:val="21"/>
                <w:szCs w:val="21"/>
                <w:highlight w:val="none"/>
              </w:rPr>
            </w:pPr>
            <w:r>
              <w:rPr>
                <w:rFonts w:hint="eastAsia"/>
                <w:sz w:val="21"/>
                <w:szCs w:val="21"/>
                <w:highlight w:val="none"/>
              </w:rPr>
              <w:t>　</w:t>
            </w:r>
          </w:p>
        </w:tc>
      </w:tr>
      <w:tr w14:paraId="15C9570A">
        <w:tblPrEx>
          <w:tblCellMar>
            <w:top w:w="0" w:type="dxa"/>
            <w:left w:w="108" w:type="dxa"/>
            <w:bottom w:w="0" w:type="dxa"/>
            <w:right w:w="108" w:type="dxa"/>
          </w:tblCellMar>
        </w:tblPrEx>
        <w:trPr>
          <w:trHeight w:val="720" w:hRule="atLeast"/>
        </w:trPr>
        <w:tc>
          <w:tcPr>
            <w:tcW w:w="857" w:type="dxa"/>
            <w:tcBorders>
              <w:top w:val="nil"/>
              <w:left w:val="single" w:color="auto" w:sz="4" w:space="0"/>
              <w:bottom w:val="single" w:color="auto" w:sz="4" w:space="0"/>
              <w:right w:val="single" w:color="auto" w:sz="4" w:space="0"/>
            </w:tcBorders>
            <w:shd w:val="clear" w:color="auto" w:fill="auto"/>
            <w:noWrap/>
            <w:vAlign w:val="center"/>
          </w:tcPr>
          <w:p w14:paraId="5EA8DEF9">
            <w:pPr>
              <w:rPr>
                <w:sz w:val="21"/>
                <w:szCs w:val="21"/>
                <w:highlight w:val="none"/>
              </w:rPr>
            </w:pPr>
            <w:r>
              <w:rPr>
                <w:rFonts w:hint="eastAsia"/>
                <w:sz w:val="21"/>
                <w:szCs w:val="21"/>
                <w:highlight w:val="none"/>
              </w:rPr>
              <w:t>　</w:t>
            </w:r>
          </w:p>
        </w:tc>
        <w:tc>
          <w:tcPr>
            <w:tcW w:w="1710" w:type="dxa"/>
            <w:tcBorders>
              <w:top w:val="nil"/>
              <w:left w:val="nil"/>
              <w:bottom w:val="single" w:color="auto" w:sz="4" w:space="0"/>
              <w:right w:val="single" w:color="auto" w:sz="4" w:space="0"/>
            </w:tcBorders>
            <w:shd w:val="clear" w:color="auto" w:fill="auto"/>
            <w:vAlign w:val="center"/>
          </w:tcPr>
          <w:p w14:paraId="0F7EEF18">
            <w:pPr>
              <w:rPr>
                <w:sz w:val="21"/>
                <w:szCs w:val="21"/>
                <w:highlight w:val="none"/>
              </w:rPr>
            </w:pPr>
            <w:r>
              <w:rPr>
                <w:rFonts w:hint="eastAsia"/>
                <w:sz w:val="21"/>
                <w:szCs w:val="21"/>
                <w:highlight w:val="none"/>
              </w:rPr>
              <w:t>　</w:t>
            </w:r>
          </w:p>
        </w:tc>
        <w:tc>
          <w:tcPr>
            <w:tcW w:w="2835" w:type="dxa"/>
            <w:tcBorders>
              <w:top w:val="nil"/>
              <w:left w:val="nil"/>
              <w:bottom w:val="single" w:color="auto" w:sz="4" w:space="0"/>
              <w:right w:val="single" w:color="auto" w:sz="4" w:space="0"/>
            </w:tcBorders>
            <w:shd w:val="clear" w:color="auto" w:fill="auto"/>
            <w:vAlign w:val="center"/>
          </w:tcPr>
          <w:p w14:paraId="13A73022">
            <w:pPr>
              <w:rPr>
                <w:sz w:val="21"/>
                <w:szCs w:val="21"/>
                <w:highlight w:val="none"/>
              </w:rPr>
            </w:pPr>
            <w:r>
              <w:rPr>
                <w:rFonts w:hint="eastAsia"/>
                <w:sz w:val="21"/>
                <w:szCs w:val="21"/>
                <w:highlight w:val="none"/>
              </w:rPr>
              <w:t>　</w:t>
            </w:r>
          </w:p>
        </w:tc>
        <w:tc>
          <w:tcPr>
            <w:tcW w:w="715" w:type="dxa"/>
            <w:tcBorders>
              <w:top w:val="nil"/>
              <w:left w:val="nil"/>
              <w:bottom w:val="single" w:color="auto" w:sz="4" w:space="0"/>
              <w:right w:val="single" w:color="auto" w:sz="4" w:space="0"/>
            </w:tcBorders>
            <w:shd w:val="clear" w:color="auto" w:fill="auto"/>
            <w:vAlign w:val="center"/>
          </w:tcPr>
          <w:p w14:paraId="0FEE359D">
            <w:pPr>
              <w:rPr>
                <w:sz w:val="21"/>
                <w:szCs w:val="21"/>
                <w:highlight w:val="none"/>
              </w:rPr>
            </w:pPr>
            <w:r>
              <w:rPr>
                <w:rFonts w:hint="eastAsia"/>
                <w:sz w:val="21"/>
                <w:szCs w:val="21"/>
                <w:highlight w:val="none"/>
              </w:rPr>
              <w:t>　</w:t>
            </w:r>
          </w:p>
        </w:tc>
        <w:tc>
          <w:tcPr>
            <w:tcW w:w="844" w:type="dxa"/>
            <w:tcBorders>
              <w:top w:val="nil"/>
              <w:left w:val="nil"/>
              <w:bottom w:val="single" w:color="auto" w:sz="4" w:space="0"/>
              <w:right w:val="single" w:color="auto" w:sz="4" w:space="0"/>
            </w:tcBorders>
            <w:shd w:val="clear" w:color="auto" w:fill="auto"/>
            <w:vAlign w:val="center"/>
          </w:tcPr>
          <w:p w14:paraId="408B706C">
            <w:pPr>
              <w:rPr>
                <w:sz w:val="21"/>
                <w:szCs w:val="21"/>
                <w:highlight w:val="none"/>
              </w:rPr>
            </w:pPr>
            <w:r>
              <w:rPr>
                <w:rFonts w:hint="eastAsia"/>
                <w:sz w:val="21"/>
                <w:szCs w:val="21"/>
                <w:highlight w:val="none"/>
              </w:rPr>
              <w:t>　</w:t>
            </w:r>
          </w:p>
        </w:tc>
        <w:tc>
          <w:tcPr>
            <w:tcW w:w="992" w:type="dxa"/>
            <w:tcBorders>
              <w:top w:val="nil"/>
              <w:left w:val="nil"/>
              <w:bottom w:val="single" w:color="auto" w:sz="4" w:space="0"/>
              <w:right w:val="single" w:color="auto" w:sz="4" w:space="0"/>
            </w:tcBorders>
            <w:shd w:val="clear" w:color="auto" w:fill="auto"/>
            <w:noWrap/>
            <w:vAlign w:val="center"/>
          </w:tcPr>
          <w:p w14:paraId="4064B567">
            <w:pPr>
              <w:rPr>
                <w:sz w:val="21"/>
                <w:szCs w:val="21"/>
                <w:highlight w:val="none"/>
              </w:rPr>
            </w:pPr>
            <w:r>
              <w:rPr>
                <w:rFonts w:hint="eastAsia"/>
                <w:sz w:val="21"/>
                <w:szCs w:val="21"/>
                <w:highlight w:val="none"/>
              </w:rPr>
              <w:t>　</w:t>
            </w:r>
          </w:p>
        </w:tc>
        <w:tc>
          <w:tcPr>
            <w:tcW w:w="851" w:type="dxa"/>
            <w:tcBorders>
              <w:top w:val="nil"/>
              <w:left w:val="nil"/>
              <w:bottom w:val="single" w:color="auto" w:sz="4" w:space="0"/>
              <w:right w:val="single" w:color="auto" w:sz="4" w:space="0"/>
            </w:tcBorders>
            <w:shd w:val="clear" w:color="auto" w:fill="auto"/>
            <w:noWrap/>
            <w:vAlign w:val="center"/>
          </w:tcPr>
          <w:p w14:paraId="729005E9">
            <w:pPr>
              <w:rPr>
                <w:sz w:val="21"/>
                <w:szCs w:val="21"/>
                <w:highlight w:val="none"/>
              </w:rPr>
            </w:pPr>
            <w:r>
              <w:rPr>
                <w:rFonts w:hint="eastAsia"/>
                <w:sz w:val="21"/>
                <w:szCs w:val="21"/>
                <w:highlight w:val="none"/>
              </w:rPr>
              <w:t>　</w:t>
            </w:r>
          </w:p>
        </w:tc>
        <w:tc>
          <w:tcPr>
            <w:tcW w:w="708" w:type="dxa"/>
            <w:tcBorders>
              <w:top w:val="nil"/>
              <w:left w:val="nil"/>
              <w:bottom w:val="single" w:color="auto" w:sz="4" w:space="0"/>
              <w:right w:val="single" w:color="auto" w:sz="4" w:space="0"/>
            </w:tcBorders>
            <w:shd w:val="clear" w:color="auto" w:fill="auto"/>
            <w:vAlign w:val="center"/>
          </w:tcPr>
          <w:p w14:paraId="1A3F9F27">
            <w:pPr>
              <w:rPr>
                <w:sz w:val="21"/>
                <w:szCs w:val="21"/>
                <w:highlight w:val="none"/>
              </w:rPr>
            </w:pPr>
            <w:r>
              <w:rPr>
                <w:rFonts w:hint="eastAsia"/>
                <w:sz w:val="21"/>
                <w:szCs w:val="21"/>
                <w:highlight w:val="none"/>
              </w:rPr>
              <w:t>　</w:t>
            </w:r>
          </w:p>
        </w:tc>
      </w:tr>
      <w:tr w14:paraId="28B4C8E5">
        <w:tblPrEx>
          <w:tblCellMar>
            <w:top w:w="0" w:type="dxa"/>
            <w:left w:w="108" w:type="dxa"/>
            <w:bottom w:w="0" w:type="dxa"/>
            <w:right w:w="108" w:type="dxa"/>
          </w:tblCellMar>
        </w:tblPrEx>
        <w:trPr>
          <w:trHeight w:val="720" w:hRule="atLeast"/>
        </w:trPr>
        <w:tc>
          <w:tcPr>
            <w:tcW w:w="857" w:type="dxa"/>
            <w:tcBorders>
              <w:top w:val="nil"/>
              <w:left w:val="single" w:color="auto" w:sz="4" w:space="0"/>
              <w:bottom w:val="single" w:color="auto" w:sz="4" w:space="0"/>
              <w:right w:val="single" w:color="auto" w:sz="4" w:space="0"/>
            </w:tcBorders>
            <w:shd w:val="clear" w:color="auto" w:fill="auto"/>
            <w:noWrap/>
            <w:vAlign w:val="center"/>
          </w:tcPr>
          <w:p w14:paraId="681CD320">
            <w:pPr>
              <w:rPr>
                <w:sz w:val="21"/>
                <w:szCs w:val="21"/>
                <w:highlight w:val="none"/>
              </w:rPr>
            </w:pPr>
            <w:r>
              <w:rPr>
                <w:rFonts w:hint="eastAsia"/>
                <w:sz w:val="21"/>
                <w:szCs w:val="21"/>
                <w:highlight w:val="none"/>
              </w:rPr>
              <w:t>四</w:t>
            </w:r>
          </w:p>
        </w:tc>
        <w:tc>
          <w:tcPr>
            <w:tcW w:w="1710" w:type="dxa"/>
            <w:tcBorders>
              <w:top w:val="nil"/>
              <w:left w:val="nil"/>
              <w:bottom w:val="single" w:color="auto" w:sz="4" w:space="0"/>
              <w:right w:val="single" w:color="auto" w:sz="4" w:space="0"/>
            </w:tcBorders>
            <w:shd w:val="clear" w:color="auto" w:fill="auto"/>
            <w:vAlign w:val="center"/>
          </w:tcPr>
          <w:p w14:paraId="34DC712E">
            <w:pPr>
              <w:rPr>
                <w:sz w:val="21"/>
                <w:szCs w:val="21"/>
                <w:highlight w:val="none"/>
              </w:rPr>
            </w:pPr>
            <w:r>
              <w:rPr>
                <w:rFonts w:hint="eastAsia"/>
                <w:sz w:val="21"/>
                <w:szCs w:val="21"/>
                <w:highlight w:val="none"/>
              </w:rPr>
              <w:t>体育馆管理员室安装空调线路</w:t>
            </w:r>
          </w:p>
        </w:tc>
        <w:tc>
          <w:tcPr>
            <w:tcW w:w="2835" w:type="dxa"/>
            <w:tcBorders>
              <w:top w:val="nil"/>
              <w:left w:val="nil"/>
              <w:bottom w:val="single" w:color="auto" w:sz="4" w:space="0"/>
              <w:right w:val="single" w:color="auto" w:sz="4" w:space="0"/>
            </w:tcBorders>
            <w:shd w:val="clear" w:color="auto" w:fill="auto"/>
            <w:vAlign w:val="center"/>
          </w:tcPr>
          <w:p w14:paraId="07EEC389">
            <w:pPr>
              <w:rPr>
                <w:sz w:val="21"/>
                <w:szCs w:val="21"/>
                <w:highlight w:val="none"/>
              </w:rPr>
            </w:pPr>
            <w:r>
              <w:rPr>
                <w:rFonts w:hint="eastAsia"/>
                <w:sz w:val="21"/>
                <w:szCs w:val="21"/>
                <w:highlight w:val="none"/>
              </w:rPr>
              <w:t>　</w:t>
            </w:r>
          </w:p>
        </w:tc>
        <w:tc>
          <w:tcPr>
            <w:tcW w:w="715" w:type="dxa"/>
            <w:tcBorders>
              <w:top w:val="nil"/>
              <w:left w:val="nil"/>
              <w:bottom w:val="single" w:color="auto" w:sz="4" w:space="0"/>
              <w:right w:val="single" w:color="auto" w:sz="4" w:space="0"/>
            </w:tcBorders>
            <w:shd w:val="clear" w:color="auto" w:fill="auto"/>
            <w:vAlign w:val="center"/>
          </w:tcPr>
          <w:p w14:paraId="6DD01FBB">
            <w:pPr>
              <w:rPr>
                <w:sz w:val="21"/>
                <w:szCs w:val="21"/>
                <w:highlight w:val="none"/>
              </w:rPr>
            </w:pPr>
            <w:r>
              <w:rPr>
                <w:rFonts w:hint="eastAsia"/>
                <w:sz w:val="21"/>
                <w:szCs w:val="21"/>
                <w:highlight w:val="none"/>
              </w:rPr>
              <w:t>　</w:t>
            </w:r>
          </w:p>
        </w:tc>
        <w:tc>
          <w:tcPr>
            <w:tcW w:w="844" w:type="dxa"/>
            <w:tcBorders>
              <w:top w:val="nil"/>
              <w:left w:val="nil"/>
              <w:bottom w:val="single" w:color="auto" w:sz="4" w:space="0"/>
              <w:right w:val="single" w:color="auto" w:sz="4" w:space="0"/>
            </w:tcBorders>
            <w:shd w:val="clear" w:color="auto" w:fill="auto"/>
            <w:vAlign w:val="center"/>
          </w:tcPr>
          <w:p w14:paraId="645E3547">
            <w:pPr>
              <w:rPr>
                <w:sz w:val="21"/>
                <w:szCs w:val="21"/>
                <w:highlight w:val="none"/>
              </w:rPr>
            </w:pPr>
            <w:r>
              <w:rPr>
                <w:rFonts w:hint="eastAsia"/>
                <w:sz w:val="21"/>
                <w:szCs w:val="21"/>
                <w:highlight w:val="none"/>
              </w:rPr>
              <w:t>　</w:t>
            </w:r>
          </w:p>
        </w:tc>
        <w:tc>
          <w:tcPr>
            <w:tcW w:w="992" w:type="dxa"/>
            <w:tcBorders>
              <w:top w:val="nil"/>
              <w:left w:val="nil"/>
              <w:bottom w:val="single" w:color="auto" w:sz="4" w:space="0"/>
              <w:right w:val="single" w:color="auto" w:sz="4" w:space="0"/>
            </w:tcBorders>
            <w:shd w:val="clear" w:color="auto" w:fill="auto"/>
            <w:noWrap/>
            <w:vAlign w:val="center"/>
          </w:tcPr>
          <w:p w14:paraId="0D2ED7D0">
            <w:pPr>
              <w:rPr>
                <w:sz w:val="21"/>
                <w:szCs w:val="21"/>
                <w:highlight w:val="none"/>
              </w:rPr>
            </w:pPr>
            <w:r>
              <w:rPr>
                <w:rFonts w:hint="eastAsia"/>
                <w:sz w:val="21"/>
                <w:szCs w:val="21"/>
                <w:highlight w:val="none"/>
              </w:rPr>
              <w:t>　</w:t>
            </w:r>
          </w:p>
        </w:tc>
        <w:tc>
          <w:tcPr>
            <w:tcW w:w="851" w:type="dxa"/>
            <w:tcBorders>
              <w:top w:val="nil"/>
              <w:left w:val="nil"/>
              <w:bottom w:val="single" w:color="auto" w:sz="4" w:space="0"/>
              <w:right w:val="single" w:color="auto" w:sz="4" w:space="0"/>
            </w:tcBorders>
            <w:shd w:val="clear" w:color="auto" w:fill="auto"/>
            <w:noWrap/>
            <w:vAlign w:val="center"/>
          </w:tcPr>
          <w:p w14:paraId="5919F312">
            <w:pPr>
              <w:rPr>
                <w:sz w:val="21"/>
                <w:szCs w:val="21"/>
                <w:highlight w:val="none"/>
              </w:rPr>
            </w:pPr>
            <w:r>
              <w:rPr>
                <w:rFonts w:hint="eastAsia"/>
                <w:sz w:val="21"/>
                <w:szCs w:val="21"/>
                <w:highlight w:val="none"/>
              </w:rPr>
              <w:t>　</w:t>
            </w:r>
          </w:p>
        </w:tc>
        <w:tc>
          <w:tcPr>
            <w:tcW w:w="708" w:type="dxa"/>
            <w:tcBorders>
              <w:top w:val="nil"/>
              <w:left w:val="nil"/>
              <w:bottom w:val="single" w:color="auto" w:sz="4" w:space="0"/>
              <w:right w:val="single" w:color="auto" w:sz="4" w:space="0"/>
            </w:tcBorders>
            <w:shd w:val="clear" w:color="auto" w:fill="auto"/>
            <w:vAlign w:val="center"/>
          </w:tcPr>
          <w:p w14:paraId="538ECF55">
            <w:pPr>
              <w:rPr>
                <w:sz w:val="21"/>
                <w:szCs w:val="21"/>
                <w:highlight w:val="none"/>
              </w:rPr>
            </w:pPr>
            <w:r>
              <w:rPr>
                <w:rFonts w:hint="eastAsia"/>
                <w:sz w:val="21"/>
                <w:szCs w:val="21"/>
                <w:highlight w:val="none"/>
              </w:rPr>
              <w:t>　</w:t>
            </w:r>
          </w:p>
        </w:tc>
      </w:tr>
      <w:tr w14:paraId="48A04A4A">
        <w:tblPrEx>
          <w:tblCellMar>
            <w:top w:w="0" w:type="dxa"/>
            <w:left w:w="108" w:type="dxa"/>
            <w:bottom w:w="0" w:type="dxa"/>
            <w:right w:w="108" w:type="dxa"/>
          </w:tblCellMar>
        </w:tblPrEx>
        <w:trPr>
          <w:trHeight w:val="720" w:hRule="atLeast"/>
        </w:trPr>
        <w:tc>
          <w:tcPr>
            <w:tcW w:w="857" w:type="dxa"/>
            <w:tcBorders>
              <w:top w:val="nil"/>
              <w:left w:val="single" w:color="auto" w:sz="4" w:space="0"/>
              <w:bottom w:val="single" w:color="auto" w:sz="4" w:space="0"/>
              <w:right w:val="single" w:color="auto" w:sz="4" w:space="0"/>
            </w:tcBorders>
            <w:shd w:val="clear" w:color="auto" w:fill="auto"/>
            <w:noWrap/>
            <w:vAlign w:val="center"/>
          </w:tcPr>
          <w:p w14:paraId="3A8BCAF0">
            <w:pPr>
              <w:rPr>
                <w:sz w:val="21"/>
                <w:szCs w:val="21"/>
                <w:highlight w:val="none"/>
              </w:rPr>
            </w:pPr>
            <w:r>
              <w:rPr>
                <w:rFonts w:hint="eastAsia"/>
                <w:sz w:val="21"/>
                <w:szCs w:val="21"/>
                <w:highlight w:val="none"/>
              </w:rPr>
              <w:t>1</w:t>
            </w:r>
          </w:p>
        </w:tc>
        <w:tc>
          <w:tcPr>
            <w:tcW w:w="1710" w:type="dxa"/>
            <w:tcBorders>
              <w:top w:val="nil"/>
              <w:left w:val="nil"/>
              <w:bottom w:val="single" w:color="auto" w:sz="4" w:space="0"/>
              <w:right w:val="single" w:color="auto" w:sz="4" w:space="0"/>
            </w:tcBorders>
            <w:shd w:val="clear" w:color="auto" w:fill="auto"/>
            <w:vAlign w:val="center"/>
          </w:tcPr>
          <w:p w14:paraId="1FF5398C">
            <w:pPr>
              <w:rPr>
                <w:sz w:val="21"/>
                <w:szCs w:val="21"/>
                <w:highlight w:val="none"/>
              </w:rPr>
            </w:pPr>
            <w:r>
              <w:rPr>
                <w:rFonts w:hint="eastAsia"/>
                <w:sz w:val="21"/>
                <w:szCs w:val="21"/>
                <w:highlight w:val="none"/>
              </w:rPr>
              <w:t>石膏板吊顶开检修孔</w:t>
            </w:r>
          </w:p>
        </w:tc>
        <w:tc>
          <w:tcPr>
            <w:tcW w:w="2835" w:type="dxa"/>
            <w:tcBorders>
              <w:top w:val="nil"/>
              <w:left w:val="nil"/>
              <w:bottom w:val="single" w:color="auto" w:sz="4" w:space="0"/>
              <w:right w:val="single" w:color="auto" w:sz="4" w:space="0"/>
            </w:tcBorders>
            <w:shd w:val="clear" w:color="auto" w:fill="auto"/>
            <w:vAlign w:val="center"/>
          </w:tcPr>
          <w:p w14:paraId="1DAD79F7">
            <w:pPr>
              <w:rPr>
                <w:sz w:val="21"/>
                <w:szCs w:val="21"/>
                <w:highlight w:val="none"/>
              </w:rPr>
            </w:pPr>
            <w:r>
              <w:rPr>
                <w:rFonts w:hint="eastAsia"/>
                <w:sz w:val="21"/>
                <w:szCs w:val="21"/>
                <w:highlight w:val="none"/>
              </w:rPr>
              <w:t>原石膏板吊顶新开检修孔，内径500*500mm，含周边原有龙骨移位加固</w:t>
            </w:r>
          </w:p>
        </w:tc>
        <w:tc>
          <w:tcPr>
            <w:tcW w:w="715" w:type="dxa"/>
            <w:tcBorders>
              <w:top w:val="nil"/>
              <w:left w:val="nil"/>
              <w:bottom w:val="single" w:color="auto" w:sz="4" w:space="0"/>
              <w:right w:val="single" w:color="auto" w:sz="4" w:space="0"/>
            </w:tcBorders>
            <w:shd w:val="clear" w:color="auto" w:fill="auto"/>
            <w:vAlign w:val="center"/>
          </w:tcPr>
          <w:p w14:paraId="232CC4DC">
            <w:pPr>
              <w:rPr>
                <w:sz w:val="21"/>
                <w:szCs w:val="21"/>
                <w:highlight w:val="none"/>
              </w:rPr>
            </w:pPr>
            <w:r>
              <w:rPr>
                <w:rFonts w:hint="eastAsia"/>
                <w:sz w:val="21"/>
                <w:szCs w:val="21"/>
                <w:highlight w:val="none"/>
              </w:rPr>
              <w:t>只</w:t>
            </w:r>
          </w:p>
        </w:tc>
        <w:tc>
          <w:tcPr>
            <w:tcW w:w="844" w:type="dxa"/>
            <w:tcBorders>
              <w:top w:val="nil"/>
              <w:left w:val="nil"/>
              <w:bottom w:val="single" w:color="auto" w:sz="4" w:space="0"/>
              <w:right w:val="single" w:color="auto" w:sz="4" w:space="0"/>
            </w:tcBorders>
            <w:shd w:val="clear" w:color="auto" w:fill="auto"/>
            <w:vAlign w:val="center"/>
          </w:tcPr>
          <w:p w14:paraId="0788F462">
            <w:pPr>
              <w:rPr>
                <w:sz w:val="21"/>
                <w:szCs w:val="21"/>
                <w:highlight w:val="none"/>
              </w:rPr>
            </w:pPr>
            <w:r>
              <w:rPr>
                <w:rFonts w:hint="eastAsia"/>
                <w:sz w:val="21"/>
                <w:szCs w:val="21"/>
                <w:highlight w:val="none"/>
              </w:rPr>
              <w:t>2</w:t>
            </w:r>
          </w:p>
        </w:tc>
        <w:tc>
          <w:tcPr>
            <w:tcW w:w="992" w:type="dxa"/>
            <w:tcBorders>
              <w:top w:val="nil"/>
              <w:left w:val="nil"/>
              <w:bottom w:val="single" w:color="auto" w:sz="4" w:space="0"/>
              <w:right w:val="single" w:color="auto" w:sz="4" w:space="0"/>
            </w:tcBorders>
            <w:shd w:val="clear" w:color="auto" w:fill="auto"/>
            <w:noWrap/>
            <w:vAlign w:val="center"/>
          </w:tcPr>
          <w:p w14:paraId="2C13F984">
            <w:pPr>
              <w:rPr>
                <w:sz w:val="21"/>
                <w:szCs w:val="21"/>
                <w:highlight w:val="none"/>
              </w:rPr>
            </w:pPr>
            <w:r>
              <w:rPr>
                <w:rFonts w:hint="eastAsia"/>
                <w:sz w:val="21"/>
                <w:szCs w:val="21"/>
                <w:highlight w:val="none"/>
              </w:rPr>
              <w:t>　</w:t>
            </w:r>
          </w:p>
        </w:tc>
        <w:tc>
          <w:tcPr>
            <w:tcW w:w="851" w:type="dxa"/>
            <w:tcBorders>
              <w:top w:val="nil"/>
              <w:left w:val="nil"/>
              <w:bottom w:val="single" w:color="auto" w:sz="4" w:space="0"/>
              <w:right w:val="single" w:color="auto" w:sz="4" w:space="0"/>
            </w:tcBorders>
            <w:shd w:val="clear" w:color="auto" w:fill="auto"/>
            <w:noWrap/>
            <w:vAlign w:val="center"/>
          </w:tcPr>
          <w:p w14:paraId="15581359">
            <w:pPr>
              <w:rPr>
                <w:sz w:val="21"/>
                <w:szCs w:val="21"/>
                <w:highlight w:val="none"/>
              </w:rPr>
            </w:pPr>
            <w:r>
              <w:rPr>
                <w:rFonts w:hint="eastAsia"/>
                <w:sz w:val="21"/>
                <w:szCs w:val="21"/>
                <w:highlight w:val="none"/>
              </w:rPr>
              <w:t>　</w:t>
            </w:r>
          </w:p>
        </w:tc>
        <w:tc>
          <w:tcPr>
            <w:tcW w:w="708" w:type="dxa"/>
            <w:tcBorders>
              <w:top w:val="nil"/>
              <w:left w:val="nil"/>
              <w:bottom w:val="single" w:color="auto" w:sz="4" w:space="0"/>
              <w:right w:val="single" w:color="auto" w:sz="4" w:space="0"/>
            </w:tcBorders>
            <w:shd w:val="clear" w:color="auto" w:fill="auto"/>
            <w:vAlign w:val="center"/>
          </w:tcPr>
          <w:p w14:paraId="6EEB015D">
            <w:pPr>
              <w:rPr>
                <w:sz w:val="21"/>
                <w:szCs w:val="21"/>
                <w:highlight w:val="none"/>
              </w:rPr>
            </w:pPr>
            <w:r>
              <w:rPr>
                <w:rFonts w:hint="eastAsia"/>
                <w:sz w:val="21"/>
                <w:szCs w:val="21"/>
                <w:highlight w:val="none"/>
              </w:rPr>
              <w:t>　</w:t>
            </w:r>
          </w:p>
        </w:tc>
      </w:tr>
      <w:tr w14:paraId="412D48E5">
        <w:tblPrEx>
          <w:tblCellMar>
            <w:top w:w="0" w:type="dxa"/>
            <w:left w:w="108" w:type="dxa"/>
            <w:bottom w:w="0" w:type="dxa"/>
            <w:right w:w="108" w:type="dxa"/>
          </w:tblCellMar>
        </w:tblPrEx>
        <w:trPr>
          <w:trHeight w:val="720" w:hRule="atLeast"/>
        </w:trPr>
        <w:tc>
          <w:tcPr>
            <w:tcW w:w="857" w:type="dxa"/>
            <w:tcBorders>
              <w:top w:val="nil"/>
              <w:left w:val="single" w:color="auto" w:sz="4" w:space="0"/>
              <w:bottom w:val="single" w:color="auto" w:sz="4" w:space="0"/>
              <w:right w:val="single" w:color="auto" w:sz="4" w:space="0"/>
            </w:tcBorders>
            <w:shd w:val="clear" w:color="auto" w:fill="auto"/>
            <w:noWrap/>
            <w:vAlign w:val="center"/>
          </w:tcPr>
          <w:p w14:paraId="484EDC50">
            <w:pPr>
              <w:rPr>
                <w:sz w:val="21"/>
                <w:szCs w:val="21"/>
                <w:highlight w:val="none"/>
              </w:rPr>
            </w:pPr>
            <w:r>
              <w:rPr>
                <w:rFonts w:hint="eastAsia"/>
                <w:sz w:val="21"/>
                <w:szCs w:val="21"/>
                <w:highlight w:val="none"/>
              </w:rPr>
              <w:t>2</w:t>
            </w:r>
          </w:p>
        </w:tc>
        <w:tc>
          <w:tcPr>
            <w:tcW w:w="1710" w:type="dxa"/>
            <w:tcBorders>
              <w:top w:val="nil"/>
              <w:left w:val="nil"/>
              <w:bottom w:val="single" w:color="auto" w:sz="4" w:space="0"/>
              <w:right w:val="single" w:color="auto" w:sz="4" w:space="0"/>
            </w:tcBorders>
            <w:shd w:val="clear" w:color="auto" w:fill="auto"/>
            <w:vAlign w:val="center"/>
          </w:tcPr>
          <w:p w14:paraId="1466C454">
            <w:pPr>
              <w:rPr>
                <w:sz w:val="21"/>
                <w:szCs w:val="21"/>
                <w:highlight w:val="none"/>
              </w:rPr>
            </w:pPr>
            <w:r>
              <w:rPr>
                <w:rFonts w:hint="eastAsia"/>
                <w:sz w:val="21"/>
                <w:szCs w:val="21"/>
                <w:highlight w:val="none"/>
              </w:rPr>
              <w:t>吸顶灯</w:t>
            </w:r>
          </w:p>
        </w:tc>
        <w:tc>
          <w:tcPr>
            <w:tcW w:w="2835" w:type="dxa"/>
            <w:tcBorders>
              <w:top w:val="nil"/>
              <w:left w:val="nil"/>
              <w:bottom w:val="single" w:color="auto" w:sz="4" w:space="0"/>
              <w:right w:val="single" w:color="auto" w:sz="4" w:space="0"/>
            </w:tcBorders>
            <w:shd w:val="clear" w:color="auto" w:fill="auto"/>
            <w:vAlign w:val="center"/>
          </w:tcPr>
          <w:p w14:paraId="45868722">
            <w:pPr>
              <w:rPr>
                <w:sz w:val="21"/>
                <w:szCs w:val="21"/>
                <w:highlight w:val="none"/>
              </w:rPr>
            </w:pPr>
            <w:r>
              <w:rPr>
                <w:rFonts w:hint="eastAsia"/>
                <w:sz w:val="21"/>
                <w:szCs w:val="21"/>
                <w:highlight w:val="none"/>
              </w:rPr>
              <w:t>36W防虫LED吸顶灯，直径约40cm</w:t>
            </w:r>
          </w:p>
        </w:tc>
        <w:tc>
          <w:tcPr>
            <w:tcW w:w="715" w:type="dxa"/>
            <w:tcBorders>
              <w:top w:val="nil"/>
              <w:left w:val="nil"/>
              <w:bottom w:val="single" w:color="auto" w:sz="4" w:space="0"/>
              <w:right w:val="single" w:color="auto" w:sz="4" w:space="0"/>
            </w:tcBorders>
            <w:shd w:val="clear" w:color="auto" w:fill="auto"/>
            <w:vAlign w:val="center"/>
          </w:tcPr>
          <w:p w14:paraId="54FAFB2B">
            <w:pPr>
              <w:rPr>
                <w:sz w:val="21"/>
                <w:szCs w:val="21"/>
                <w:highlight w:val="none"/>
              </w:rPr>
            </w:pPr>
            <w:r>
              <w:rPr>
                <w:rFonts w:hint="eastAsia"/>
                <w:sz w:val="21"/>
                <w:szCs w:val="21"/>
                <w:highlight w:val="none"/>
              </w:rPr>
              <w:t>盏</w:t>
            </w:r>
          </w:p>
        </w:tc>
        <w:tc>
          <w:tcPr>
            <w:tcW w:w="844" w:type="dxa"/>
            <w:tcBorders>
              <w:top w:val="nil"/>
              <w:left w:val="nil"/>
              <w:bottom w:val="single" w:color="auto" w:sz="4" w:space="0"/>
              <w:right w:val="single" w:color="auto" w:sz="4" w:space="0"/>
            </w:tcBorders>
            <w:shd w:val="clear" w:color="auto" w:fill="auto"/>
            <w:vAlign w:val="center"/>
          </w:tcPr>
          <w:p w14:paraId="3B8275F7">
            <w:pPr>
              <w:rPr>
                <w:sz w:val="21"/>
                <w:szCs w:val="21"/>
                <w:highlight w:val="none"/>
              </w:rPr>
            </w:pPr>
            <w:r>
              <w:rPr>
                <w:rFonts w:hint="eastAsia"/>
                <w:sz w:val="21"/>
                <w:szCs w:val="21"/>
                <w:highlight w:val="none"/>
              </w:rPr>
              <w:t>1</w:t>
            </w:r>
          </w:p>
        </w:tc>
        <w:tc>
          <w:tcPr>
            <w:tcW w:w="992" w:type="dxa"/>
            <w:tcBorders>
              <w:top w:val="nil"/>
              <w:left w:val="nil"/>
              <w:bottom w:val="single" w:color="auto" w:sz="4" w:space="0"/>
              <w:right w:val="single" w:color="auto" w:sz="4" w:space="0"/>
            </w:tcBorders>
            <w:shd w:val="clear" w:color="auto" w:fill="auto"/>
            <w:noWrap/>
            <w:vAlign w:val="center"/>
          </w:tcPr>
          <w:p w14:paraId="16F45A4D">
            <w:pPr>
              <w:rPr>
                <w:sz w:val="21"/>
                <w:szCs w:val="21"/>
                <w:highlight w:val="none"/>
              </w:rPr>
            </w:pPr>
            <w:r>
              <w:rPr>
                <w:rFonts w:hint="eastAsia"/>
                <w:sz w:val="21"/>
                <w:szCs w:val="21"/>
                <w:highlight w:val="none"/>
              </w:rPr>
              <w:t>　</w:t>
            </w:r>
          </w:p>
        </w:tc>
        <w:tc>
          <w:tcPr>
            <w:tcW w:w="851" w:type="dxa"/>
            <w:tcBorders>
              <w:top w:val="nil"/>
              <w:left w:val="nil"/>
              <w:bottom w:val="single" w:color="auto" w:sz="4" w:space="0"/>
              <w:right w:val="single" w:color="auto" w:sz="4" w:space="0"/>
            </w:tcBorders>
            <w:shd w:val="clear" w:color="auto" w:fill="auto"/>
            <w:noWrap/>
            <w:vAlign w:val="center"/>
          </w:tcPr>
          <w:p w14:paraId="37390015">
            <w:pPr>
              <w:rPr>
                <w:sz w:val="21"/>
                <w:szCs w:val="21"/>
                <w:highlight w:val="none"/>
              </w:rPr>
            </w:pPr>
            <w:r>
              <w:rPr>
                <w:rFonts w:hint="eastAsia"/>
                <w:sz w:val="21"/>
                <w:szCs w:val="21"/>
                <w:highlight w:val="none"/>
              </w:rPr>
              <w:t>　</w:t>
            </w:r>
          </w:p>
        </w:tc>
        <w:tc>
          <w:tcPr>
            <w:tcW w:w="708" w:type="dxa"/>
            <w:tcBorders>
              <w:top w:val="nil"/>
              <w:left w:val="nil"/>
              <w:bottom w:val="single" w:color="auto" w:sz="4" w:space="0"/>
              <w:right w:val="single" w:color="auto" w:sz="4" w:space="0"/>
            </w:tcBorders>
            <w:shd w:val="clear" w:color="auto" w:fill="auto"/>
            <w:vAlign w:val="center"/>
          </w:tcPr>
          <w:p w14:paraId="20C503BE">
            <w:pPr>
              <w:rPr>
                <w:sz w:val="21"/>
                <w:szCs w:val="21"/>
                <w:highlight w:val="none"/>
              </w:rPr>
            </w:pPr>
            <w:r>
              <w:rPr>
                <w:rFonts w:hint="eastAsia"/>
                <w:sz w:val="21"/>
                <w:szCs w:val="21"/>
                <w:highlight w:val="none"/>
              </w:rPr>
              <w:t>　</w:t>
            </w:r>
          </w:p>
        </w:tc>
      </w:tr>
      <w:tr w14:paraId="42BBC917">
        <w:tblPrEx>
          <w:tblCellMar>
            <w:top w:w="0" w:type="dxa"/>
            <w:left w:w="108" w:type="dxa"/>
            <w:bottom w:w="0" w:type="dxa"/>
            <w:right w:w="108" w:type="dxa"/>
          </w:tblCellMar>
        </w:tblPrEx>
        <w:trPr>
          <w:trHeight w:val="720" w:hRule="atLeast"/>
        </w:trPr>
        <w:tc>
          <w:tcPr>
            <w:tcW w:w="857" w:type="dxa"/>
            <w:tcBorders>
              <w:top w:val="nil"/>
              <w:left w:val="single" w:color="auto" w:sz="4" w:space="0"/>
              <w:bottom w:val="single" w:color="auto" w:sz="4" w:space="0"/>
              <w:right w:val="single" w:color="auto" w:sz="4" w:space="0"/>
            </w:tcBorders>
            <w:shd w:val="clear" w:color="auto" w:fill="auto"/>
            <w:noWrap/>
            <w:vAlign w:val="center"/>
          </w:tcPr>
          <w:p w14:paraId="01524DDD">
            <w:pPr>
              <w:rPr>
                <w:sz w:val="21"/>
                <w:szCs w:val="21"/>
                <w:highlight w:val="none"/>
              </w:rPr>
            </w:pPr>
            <w:r>
              <w:rPr>
                <w:rFonts w:hint="eastAsia"/>
                <w:sz w:val="21"/>
                <w:szCs w:val="21"/>
                <w:highlight w:val="none"/>
              </w:rPr>
              <w:t>3</w:t>
            </w:r>
          </w:p>
        </w:tc>
        <w:tc>
          <w:tcPr>
            <w:tcW w:w="1710" w:type="dxa"/>
            <w:tcBorders>
              <w:top w:val="nil"/>
              <w:left w:val="nil"/>
              <w:bottom w:val="single" w:color="auto" w:sz="4" w:space="0"/>
              <w:right w:val="single" w:color="auto" w:sz="4" w:space="0"/>
            </w:tcBorders>
            <w:shd w:val="clear" w:color="auto" w:fill="auto"/>
            <w:vAlign w:val="center"/>
          </w:tcPr>
          <w:p w14:paraId="4D81D480">
            <w:pPr>
              <w:rPr>
                <w:sz w:val="21"/>
                <w:szCs w:val="21"/>
                <w:highlight w:val="none"/>
              </w:rPr>
            </w:pPr>
            <w:r>
              <w:rPr>
                <w:rFonts w:hint="eastAsia"/>
                <w:sz w:val="21"/>
                <w:szCs w:val="21"/>
                <w:highlight w:val="none"/>
              </w:rPr>
              <w:t>电力电缆</w:t>
            </w:r>
          </w:p>
        </w:tc>
        <w:tc>
          <w:tcPr>
            <w:tcW w:w="2835" w:type="dxa"/>
            <w:tcBorders>
              <w:top w:val="nil"/>
              <w:left w:val="nil"/>
              <w:bottom w:val="single" w:color="auto" w:sz="4" w:space="0"/>
              <w:right w:val="single" w:color="auto" w:sz="4" w:space="0"/>
            </w:tcBorders>
            <w:shd w:val="clear" w:color="auto" w:fill="auto"/>
            <w:vAlign w:val="center"/>
          </w:tcPr>
          <w:p w14:paraId="08C21BB4">
            <w:pPr>
              <w:rPr>
                <w:sz w:val="21"/>
                <w:szCs w:val="21"/>
                <w:highlight w:val="none"/>
              </w:rPr>
            </w:pPr>
            <w:r>
              <w:rPr>
                <w:rFonts w:hint="eastAsia"/>
                <w:sz w:val="21"/>
                <w:szCs w:val="21"/>
                <w:highlight w:val="none"/>
              </w:rPr>
              <w:t>YJV3*6mm2铜芯电缆安装，暗敷</w:t>
            </w:r>
          </w:p>
        </w:tc>
        <w:tc>
          <w:tcPr>
            <w:tcW w:w="715" w:type="dxa"/>
            <w:tcBorders>
              <w:top w:val="nil"/>
              <w:left w:val="nil"/>
              <w:bottom w:val="single" w:color="auto" w:sz="4" w:space="0"/>
              <w:right w:val="single" w:color="auto" w:sz="4" w:space="0"/>
            </w:tcBorders>
            <w:shd w:val="clear" w:color="auto" w:fill="auto"/>
            <w:vAlign w:val="center"/>
          </w:tcPr>
          <w:p w14:paraId="19AD883B">
            <w:pPr>
              <w:rPr>
                <w:sz w:val="21"/>
                <w:szCs w:val="21"/>
                <w:highlight w:val="none"/>
              </w:rPr>
            </w:pPr>
            <w:r>
              <w:rPr>
                <w:rFonts w:hint="eastAsia"/>
                <w:sz w:val="21"/>
                <w:szCs w:val="21"/>
                <w:highlight w:val="none"/>
              </w:rPr>
              <w:t>米</w:t>
            </w:r>
          </w:p>
        </w:tc>
        <w:tc>
          <w:tcPr>
            <w:tcW w:w="844" w:type="dxa"/>
            <w:tcBorders>
              <w:top w:val="nil"/>
              <w:left w:val="nil"/>
              <w:bottom w:val="single" w:color="auto" w:sz="4" w:space="0"/>
              <w:right w:val="single" w:color="auto" w:sz="4" w:space="0"/>
            </w:tcBorders>
            <w:shd w:val="clear" w:color="auto" w:fill="auto"/>
            <w:vAlign w:val="center"/>
          </w:tcPr>
          <w:p w14:paraId="31500FFC">
            <w:pPr>
              <w:rPr>
                <w:sz w:val="21"/>
                <w:szCs w:val="21"/>
                <w:highlight w:val="none"/>
              </w:rPr>
            </w:pPr>
            <w:r>
              <w:rPr>
                <w:rFonts w:hint="eastAsia"/>
                <w:sz w:val="21"/>
                <w:szCs w:val="21"/>
                <w:highlight w:val="none"/>
              </w:rPr>
              <w:t>30</w:t>
            </w:r>
          </w:p>
        </w:tc>
        <w:tc>
          <w:tcPr>
            <w:tcW w:w="992" w:type="dxa"/>
            <w:tcBorders>
              <w:top w:val="nil"/>
              <w:left w:val="nil"/>
              <w:bottom w:val="single" w:color="auto" w:sz="4" w:space="0"/>
              <w:right w:val="single" w:color="auto" w:sz="4" w:space="0"/>
            </w:tcBorders>
            <w:shd w:val="clear" w:color="auto" w:fill="auto"/>
            <w:noWrap/>
            <w:vAlign w:val="center"/>
          </w:tcPr>
          <w:p w14:paraId="6781F423">
            <w:pPr>
              <w:rPr>
                <w:sz w:val="21"/>
                <w:szCs w:val="21"/>
                <w:highlight w:val="none"/>
              </w:rPr>
            </w:pPr>
            <w:r>
              <w:rPr>
                <w:rFonts w:hint="eastAsia"/>
                <w:sz w:val="21"/>
                <w:szCs w:val="21"/>
                <w:highlight w:val="none"/>
              </w:rPr>
              <w:t>　</w:t>
            </w:r>
          </w:p>
        </w:tc>
        <w:tc>
          <w:tcPr>
            <w:tcW w:w="851" w:type="dxa"/>
            <w:tcBorders>
              <w:top w:val="nil"/>
              <w:left w:val="nil"/>
              <w:bottom w:val="single" w:color="auto" w:sz="4" w:space="0"/>
              <w:right w:val="single" w:color="auto" w:sz="4" w:space="0"/>
            </w:tcBorders>
            <w:shd w:val="clear" w:color="auto" w:fill="auto"/>
            <w:noWrap/>
            <w:vAlign w:val="center"/>
          </w:tcPr>
          <w:p w14:paraId="7F7FC864">
            <w:pPr>
              <w:rPr>
                <w:sz w:val="21"/>
                <w:szCs w:val="21"/>
                <w:highlight w:val="none"/>
              </w:rPr>
            </w:pPr>
            <w:r>
              <w:rPr>
                <w:rFonts w:hint="eastAsia"/>
                <w:sz w:val="21"/>
                <w:szCs w:val="21"/>
                <w:highlight w:val="none"/>
              </w:rPr>
              <w:t>　</w:t>
            </w:r>
          </w:p>
        </w:tc>
        <w:tc>
          <w:tcPr>
            <w:tcW w:w="708" w:type="dxa"/>
            <w:tcBorders>
              <w:top w:val="nil"/>
              <w:left w:val="nil"/>
              <w:bottom w:val="single" w:color="auto" w:sz="4" w:space="0"/>
              <w:right w:val="single" w:color="auto" w:sz="4" w:space="0"/>
            </w:tcBorders>
            <w:shd w:val="clear" w:color="auto" w:fill="auto"/>
            <w:vAlign w:val="center"/>
          </w:tcPr>
          <w:p w14:paraId="643790D3">
            <w:pPr>
              <w:rPr>
                <w:sz w:val="21"/>
                <w:szCs w:val="21"/>
                <w:highlight w:val="none"/>
              </w:rPr>
            </w:pPr>
            <w:r>
              <w:rPr>
                <w:rFonts w:hint="eastAsia"/>
                <w:sz w:val="21"/>
                <w:szCs w:val="21"/>
                <w:highlight w:val="none"/>
              </w:rPr>
              <w:t>　</w:t>
            </w:r>
          </w:p>
        </w:tc>
      </w:tr>
      <w:tr w14:paraId="723B0E68">
        <w:tblPrEx>
          <w:tblCellMar>
            <w:top w:w="0" w:type="dxa"/>
            <w:left w:w="108" w:type="dxa"/>
            <w:bottom w:w="0" w:type="dxa"/>
            <w:right w:w="108" w:type="dxa"/>
          </w:tblCellMar>
        </w:tblPrEx>
        <w:trPr>
          <w:trHeight w:val="720" w:hRule="atLeast"/>
        </w:trPr>
        <w:tc>
          <w:tcPr>
            <w:tcW w:w="857" w:type="dxa"/>
            <w:tcBorders>
              <w:top w:val="nil"/>
              <w:left w:val="single" w:color="auto" w:sz="4" w:space="0"/>
              <w:bottom w:val="single" w:color="auto" w:sz="4" w:space="0"/>
              <w:right w:val="single" w:color="auto" w:sz="4" w:space="0"/>
            </w:tcBorders>
            <w:shd w:val="clear" w:color="auto" w:fill="auto"/>
            <w:noWrap/>
            <w:vAlign w:val="center"/>
          </w:tcPr>
          <w:p w14:paraId="391E5A69">
            <w:pPr>
              <w:rPr>
                <w:sz w:val="21"/>
                <w:szCs w:val="21"/>
                <w:highlight w:val="none"/>
              </w:rPr>
            </w:pPr>
            <w:r>
              <w:rPr>
                <w:rFonts w:hint="eastAsia"/>
                <w:sz w:val="21"/>
                <w:szCs w:val="21"/>
                <w:highlight w:val="none"/>
              </w:rPr>
              <w:t>4</w:t>
            </w:r>
          </w:p>
        </w:tc>
        <w:tc>
          <w:tcPr>
            <w:tcW w:w="1710" w:type="dxa"/>
            <w:tcBorders>
              <w:top w:val="nil"/>
              <w:left w:val="nil"/>
              <w:bottom w:val="single" w:color="auto" w:sz="4" w:space="0"/>
              <w:right w:val="single" w:color="auto" w:sz="4" w:space="0"/>
            </w:tcBorders>
            <w:shd w:val="clear" w:color="auto" w:fill="auto"/>
            <w:vAlign w:val="center"/>
          </w:tcPr>
          <w:p w14:paraId="5C7F4CED">
            <w:pPr>
              <w:rPr>
                <w:sz w:val="21"/>
                <w:szCs w:val="21"/>
                <w:highlight w:val="none"/>
              </w:rPr>
            </w:pPr>
            <w:r>
              <w:rPr>
                <w:rFonts w:hint="eastAsia"/>
                <w:sz w:val="21"/>
                <w:szCs w:val="21"/>
                <w:highlight w:val="none"/>
              </w:rPr>
              <w:t>铜芯电线</w:t>
            </w:r>
          </w:p>
        </w:tc>
        <w:tc>
          <w:tcPr>
            <w:tcW w:w="2835" w:type="dxa"/>
            <w:tcBorders>
              <w:top w:val="nil"/>
              <w:left w:val="nil"/>
              <w:bottom w:val="single" w:color="auto" w:sz="4" w:space="0"/>
              <w:right w:val="single" w:color="auto" w:sz="4" w:space="0"/>
            </w:tcBorders>
            <w:shd w:val="clear" w:color="auto" w:fill="auto"/>
            <w:vAlign w:val="center"/>
          </w:tcPr>
          <w:p w14:paraId="1AB717B0">
            <w:pPr>
              <w:rPr>
                <w:sz w:val="21"/>
                <w:szCs w:val="21"/>
                <w:highlight w:val="none"/>
              </w:rPr>
            </w:pPr>
            <w:r>
              <w:rPr>
                <w:rFonts w:hint="eastAsia"/>
                <w:sz w:val="21"/>
                <w:szCs w:val="21"/>
                <w:highlight w:val="none"/>
              </w:rPr>
              <w:t>BV2.5mm2铜芯线，吊顶内套管安装</w:t>
            </w:r>
          </w:p>
        </w:tc>
        <w:tc>
          <w:tcPr>
            <w:tcW w:w="715" w:type="dxa"/>
            <w:tcBorders>
              <w:top w:val="nil"/>
              <w:left w:val="nil"/>
              <w:bottom w:val="single" w:color="auto" w:sz="4" w:space="0"/>
              <w:right w:val="single" w:color="auto" w:sz="4" w:space="0"/>
            </w:tcBorders>
            <w:shd w:val="clear" w:color="auto" w:fill="auto"/>
            <w:vAlign w:val="center"/>
          </w:tcPr>
          <w:p w14:paraId="7D146A83">
            <w:pPr>
              <w:rPr>
                <w:sz w:val="21"/>
                <w:szCs w:val="21"/>
                <w:highlight w:val="none"/>
              </w:rPr>
            </w:pPr>
            <w:r>
              <w:rPr>
                <w:rFonts w:hint="eastAsia"/>
                <w:sz w:val="21"/>
                <w:szCs w:val="21"/>
                <w:highlight w:val="none"/>
              </w:rPr>
              <w:t>米</w:t>
            </w:r>
          </w:p>
        </w:tc>
        <w:tc>
          <w:tcPr>
            <w:tcW w:w="844" w:type="dxa"/>
            <w:tcBorders>
              <w:top w:val="nil"/>
              <w:left w:val="nil"/>
              <w:bottom w:val="single" w:color="auto" w:sz="4" w:space="0"/>
              <w:right w:val="single" w:color="auto" w:sz="4" w:space="0"/>
            </w:tcBorders>
            <w:shd w:val="clear" w:color="auto" w:fill="auto"/>
            <w:vAlign w:val="center"/>
          </w:tcPr>
          <w:p w14:paraId="134730E8">
            <w:pPr>
              <w:rPr>
                <w:sz w:val="21"/>
                <w:szCs w:val="21"/>
                <w:highlight w:val="none"/>
              </w:rPr>
            </w:pPr>
            <w:r>
              <w:rPr>
                <w:rFonts w:hint="eastAsia"/>
                <w:sz w:val="21"/>
                <w:szCs w:val="21"/>
                <w:highlight w:val="none"/>
              </w:rPr>
              <w:t>30</w:t>
            </w:r>
          </w:p>
        </w:tc>
        <w:tc>
          <w:tcPr>
            <w:tcW w:w="992" w:type="dxa"/>
            <w:tcBorders>
              <w:top w:val="nil"/>
              <w:left w:val="nil"/>
              <w:bottom w:val="single" w:color="auto" w:sz="4" w:space="0"/>
              <w:right w:val="single" w:color="auto" w:sz="4" w:space="0"/>
            </w:tcBorders>
            <w:shd w:val="clear" w:color="auto" w:fill="auto"/>
            <w:noWrap/>
            <w:vAlign w:val="center"/>
          </w:tcPr>
          <w:p w14:paraId="2D2BFDF0">
            <w:pPr>
              <w:rPr>
                <w:sz w:val="21"/>
                <w:szCs w:val="21"/>
                <w:highlight w:val="none"/>
              </w:rPr>
            </w:pPr>
            <w:r>
              <w:rPr>
                <w:rFonts w:hint="eastAsia"/>
                <w:sz w:val="21"/>
                <w:szCs w:val="21"/>
                <w:highlight w:val="none"/>
              </w:rPr>
              <w:t>　</w:t>
            </w:r>
          </w:p>
        </w:tc>
        <w:tc>
          <w:tcPr>
            <w:tcW w:w="851" w:type="dxa"/>
            <w:tcBorders>
              <w:top w:val="nil"/>
              <w:left w:val="nil"/>
              <w:bottom w:val="single" w:color="auto" w:sz="4" w:space="0"/>
              <w:right w:val="single" w:color="auto" w:sz="4" w:space="0"/>
            </w:tcBorders>
            <w:shd w:val="clear" w:color="auto" w:fill="auto"/>
            <w:noWrap/>
            <w:vAlign w:val="center"/>
          </w:tcPr>
          <w:p w14:paraId="0BB9A8DF">
            <w:pPr>
              <w:rPr>
                <w:sz w:val="21"/>
                <w:szCs w:val="21"/>
                <w:highlight w:val="none"/>
              </w:rPr>
            </w:pPr>
            <w:r>
              <w:rPr>
                <w:rFonts w:hint="eastAsia"/>
                <w:sz w:val="21"/>
                <w:szCs w:val="21"/>
                <w:highlight w:val="none"/>
              </w:rPr>
              <w:t>　</w:t>
            </w:r>
          </w:p>
        </w:tc>
        <w:tc>
          <w:tcPr>
            <w:tcW w:w="708" w:type="dxa"/>
            <w:tcBorders>
              <w:top w:val="nil"/>
              <w:left w:val="nil"/>
              <w:bottom w:val="single" w:color="auto" w:sz="4" w:space="0"/>
              <w:right w:val="single" w:color="auto" w:sz="4" w:space="0"/>
            </w:tcBorders>
            <w:shd w:val="clear" w:color="auto" w:fill="auto"/>
            <w:vAlign w:val="center"/>
          </w:tcPr>
          <w:p w14:paraId="6C902DD4">
            <w:pPr>
              <w:rPr>
                <w:sz w:val="21"/>
                <w:szCs w:val="21"/>
                <w:highlight w:val="none"/>
              </w:rPr>
            </w:pPr>
            <w:r>
              <w:rPr>
                <w:rFonts w:hint="eastAsia"/>
                <w:sz w:val="21"/>
                <w:szCs w:val="21"/>
                <w:highlight w:val="none"/>
              </w:rPr>
              <w:t>　</w:t>
            </w:r>
          </w:p>
        </w:tc>
      </w:tr>
      <w:tr w14:paraId="4B080085">
        <w:tblPrEx>
          <w:tblCellMar>
            <w:top w:w="0" w:type="dxa"/>
            <w:left w:w="108" w:type="dxa"/>
            <w:bottom w:w="0" w:type="dxa"/>
            <w:right w:w="108" w:type="dxa"/>
          </w:tblCellMar>
        </w:tblPrEx>
        <w:trPr>
          <w:trHeight w:val="720" w:hRule="atLeast"/>
        </w:trPr>
        <w:tc>
          <w:tcPr>
            <w:tcW w:w="857" w:type="dxa"/>
            <w:tcBorders>
              <w:top w:val="nil"/>
              <w:left w:val="single" w:color="auto" w:sz="4" w:space="0"/>
              <w:bottom w:val="single" w:color="auto" w:sz="4" w:space="0"/>
              <w:right w:val="single" w:color="auto" w:sz="4" w:space="0"/>
            </w:tcBorders>
            <w:shd w:val="clear" w:color="auto" w:fill="auto"/>
            <w:noWrap/>
            <w:vAlign w:val="center"/>
          </w:tcPr>
          <w:p w14:paraId="5EA4974D">
            <w:pPr>
              <w:rPr>
                <w:sz w:val="21"/>
                <w:szCs w:val="21"/>
                <w:highlight w:val="none"/>
              </w:rPr>
            </w:pPr>
            <w:r>
              <w:rPr>
                <w:rFonts w:hint="eastAsia"/>
                <w:sz w:val="21"/>
                <w:szCs w:val="21"/>
                <w:highlight w:val="none"/>
              </w:rPr>
              <w:t>5</w:t>
            </w:r>
          </w:p>
        </w:tc>
        <w:tc>
          <w:tcPr>
            <w:tcW w:w="1710" w:type="dxa"/>
            <w:tcBorders>
              <w:top w:val="nil"/>
              <w:left w:val="nil"/>
              <w:bottom w:val="single" w:color="auto" w:sz="4" w:space="0"/>
              <w:right w:val="single" w:color="auto" w:sz="4" w:space="0"/>
            </w:tcBorders>
            <w:shd w:val="clear" w:color="auto" w:fill="auto"/>
            <w:vAlign w:val="center"/>
          </w:tcPr>
          <w:p w14:paraId="6B4D57FC">
            <w:pPr>
              <w:rPr>
                <w:sz w:val="21"/>
                <w:szCs w:val="21"/>
                <w:highlight w:val="none"/>
              </w:rPr>
            </w:pPr>
            <w:r>
              <w:rPr>
                <w:rFonts w:hint="eastAsia"/>
                <w:sz w:val="21"/>
                <w:szCs w:val="21"/>
                <w:highlight w:val="none"/>
              </w:rPr>
              <w:t>PVC线管</w:t>
            </w:r>
          </w:p>
        </w:tc>
        <w:tc>
          <w:tcPr>
            <w:tcW w:w="2835" w:type="dxa"/>
            <w:tcBorders>
              <w:top w:val="nil"/>
              <w:left w:val="nil"/>
              <w:bottom w:val="single" w:color="auto" w:sz="4" w:space="0"/>
              <w:right w:val="single" w:color="auto" w:sz="4" w:space="0"/>
            </w:tcBorders>
            <w:shd w:val="clear" w:color="auto" w:fill="auto"/>
            <w:vAlign w:val="center"/>
          </w:tcPr>
          <w:p w14:paraId="113557C9">
            <w:pPr>
              <w:rPr>
                <w:sz w:val="21"/>
                <w:szCs w:val="21"/>
                <w:highlight w:val="none"/>
              </w:rPr>
            </w:pPr>
            <w:r>
              <w:rPr>
                <w:rFonts w:hint="eastAsia"/>
                <w:sz w:val="21"/>
                <w:szCs w:val="21"/>
                <w:highlight w:val="none"/>
              </w:rPr>
              <w:t>DN20PVC电线管</w:t>
            </w:r>
          </w:p>
        </w:tc>
        <w:tc>
          <w:tcPr>
            <w:tcW w:w="715" w:type="dxa"/>
            <w:tcBorders>
              <w:top w:val="nil"/>
              <w:left w:val="nil"/>
              <w:bottom w:val="single" w:color="auto" w:sz="4" w:space="0"/>
              <w:right w:val="single" w:color="auto" w:sz="4" w:space="0"/>
            </w:tcBorders>
            <w:shd w:val="clear" w:color="auto" w:fill="auto"/>
            <w:vAlign w:val="center"/>
          </w:tcPr>
          <w:p w14:paraId="46756999">
            <w:pPr>
              <w:rPr>
                <w:sz w:val="21"/>
                <w:szCs w:val="21"/>
                <w:highlight w:val="none"/>
              </w:rPr>
            </w:pPr>
            <w:r>
              <w:rPr>
                <w:rFonts w:hint="eastAsia"/>
                <w:sz w:val="21"/>
                <w:szCs w:val="21"/>
                <w:highlight w:val="none"/>
              </w:rPr>
              <w:t>米</w:t>
            </w:r>
          </w:p>
        </w:tc>
        <w:tc>
          <w:tcPr>
            <w:tcW w:w="844" w:type="dxa"/>
            <w:tcBorders>
              <w:top w:val="nil"/>
              <w:left w:val="nil"/>
              <w:bottom w:val="single" w:color="auto" w:sz="4" w:space="0"/>
              <w:right w:val="single" w:color="auto" w:sz="4" w:space="0"/>
            </w:tcBorders>
            <w:shd w:val="clear" w:color="auto" w:fill="auto"/>
            <w:vAlign w:val="center"/>
          </w:tcPr>
          <w:p w14:paraId="2160F989">
            <w:pPr>
              <w:rPr>
                <w:sz w:val="21"/>
                <w:szCs w:val="21"/>
                <w:highlight w:val="none"/>
              </w:rPr>
            </w:pPr>
            <w:r>
              <w:rPr>
                <w:rFonts w:hint="eastAsia"/>
                <w:sz w:val="21"/>
                <w:szCs w:val="21"/>
                <w:highlight w:val="none"/>
              </w:rPr>
              <w:t>10</w:t>
            </w:r>
          </w:p>
        </w:tc>
        <w:tc>
          <w:tcPr>
            <w:tcW w:w="992" w:type="dxa"/>
            <w:tcBorders>
              <w:top w:val="nil"/>
              <w:left w:val="nil"/>
              <w:bottom w:val="single" w:color="auto" w:sz="4" w:space="0"/>
              <w:right w:val="single" w:color="auto" w:sz="4" w:space="0"/>
            </w:tcBorders>
            <w:shd w:val="clear" w:color="auto" w:fill="auto"/>
            <w:noWrap/>
            <w:vAlign w:val="center"/>
          </w:tcPr>
          <w:p w14:paraId="2051C647">
            <w:pPr>
              <w:rPr>
                <w:sz w:val="21"/>
                <w:szCs w:val="21"/>
                <w:highlight w:val="none"/>
              </w:rPr>
            </w:pPr>
            <w:r>
              <w:rPr>
                <w:rFonts w:hint="eastAsia"/>
                <w:sz w:val="21"/>
                <w:szCs w:val="21"/>
                <w:highlight w:val="none"/>
              </w:rPr>
              <w:t>　</w:t>
            </w:r>
          </w:p>
        </w:tc>
        <w:tc>
          <w:tcPr>
            <w:tcW w:w="851" w:type="dxa"/>
            <w:tcBorders>
              <w:top w:val="nil"/>
              <w:left w:val="nil"/>
              <w:bottom w:val="single" w:color="auto" w:sz="4" w:space="0"/>
              <w:right w:val="single" w:color="auto" w:sz="4" w:space="0"/>
            </w:tcBorders>
            <w:shd w:val="clear" w:color="auto" w:fill="auto"/>
            <w:noWrap/>
            <w:vAlign w:val="center"/>
          </w:tcPr>
          <w:p w14:paraId="7C304C89">
            <w:pPr>
              <w:rPr>
                <w:sz w:val="21"/>
                <w:szCs w:val="21"/>
                <w:highlight w:val="none"/>
              </w:rPr>
            </w:pPr>
            <w:r>
              <w:rPr>
                <w:rFonts w:hint="eastAsia"/>
                <w:sz w:val="21"/>
                <w:szCs w:val="21"/>
                <w:highlight w:val="none"/>
              </w:rPr>
              <w:t>　</w:t>
            </w:r>
          </w:p>
        </w:tc>
        <w:tc>
          <w:tcPr>
            <w:tcW w:w="708" w:type="dxa"/>
            <w:tcBorders>
              <w:top w:val="nil"/>
              <w:left w:val="nil"/>
              <w:bottom w:val="single" w:color="auto" w:sz="4" w:space="0"/>
              <w:right w:val="single" w:color="auto" w:sz="4" w:space="0"/>
            </w:tcBorders>
            <w:shd w:val="clear" w:color="auto" w:fill="auto"/>
            <w:vAlign w:val="center"/>
          </w:tcPr>
          <w:p w14:paraId="63F50D31">
            <w:pPr>
              <w:rPr>
                <w:sz w:val="21"/>
                <w:szCs w:val="21"/>
                <w:highlight w:val="none"/>
              </w:rPr>
            </w:pPr>
            <w:r>
              <w:rPr>
                <w:rFonts w:hint="eastAsia"/>
                <w:sz w:val="21"/>
                <w:szCs w:val="21"/>
                <w:highlight w:val="none"/>
              </w:rPr>
              <w:t>　</w:t>
            </w:r>
          </w:p>
        </w:tc>
      </w:tr>
      <w:tr w14:paraId="7F0E8192">
        <w:tblPrEx>
          <w:tblCellMar>
            <w:top w:w="0" w:type="dxa"/>
            <w:left w:w="108" w:type="dxa"/>
            <w:bottom w:w="0" w:type="dxa"/>
            <w:right w:w="108" w:type="dxa"/>
          </w:tblCellMar>
        </w:tblPrEx>
        <w:trPr>
          <w:trHeight w:val="720" w:hRule="atLeast"/>
        </w:trPr>
        <w:tc>
          <w:tcPr>
            <w:tcW w:w="857" w:type="dxa"/>
            <w:tcBorders>
              <w:top w:val="nil"/>
              <w:left w:val="single" w:color="auto" w:sz="4" w:space="0"/>
              <w:bottom w:val="single" w:color="auto" w:sz="4" w:space="0"/>
              <w:right w:val="single" w:color="auto" w:sz="4" w:space="0"/>
            </w:tcBorders>
            <w:shd w:val="clear" w:color="auto" w:fill="auto"/>
            <w:noWrap/>
            <w:vAlign w:val="center"/>
          </w:tcPr>
          <w:p w14:paraId="0D08C17E">
            <w:pPr>
              <w:rPr>
                <w:sz w:val="21"/>
                <w:szCs w:val="21"/>
                <w:highlight w:val="none"/>
              </w:rPr>
            </w:pPr>
            <w:r>
              <w:rPr>
                <w:rFonts w:hint="eastAsia"/>
                <w:sz w:val="21"/>
                <w:szCs w:val="21"/>
                <w:highlight w:val="none"/>
              </w:rPr>
              <w:t>6</w:t>
            </w:r>
          </w:p>
        </w:tc>
        <w:tc>
          <w:tcPr>
            <w:tcW w:w="1710" w:type="dxa"/>
            <w:tcBorders>
              <w:top w:val="nil"/>
              <w:left w:val="nil"/>
              <w:bottom w:val="single" w:color="auto" w:sz="4" w:space="0"/>
              <w:right w:val="single" w:color="auto" w:sz="4" w:space="0"/>
            </w:tcBorders>
            <w:shd w:val="clear" w:color="auto" w:fill="auto"/>
            <w:vAlign w:val="center"/>
          </w:tcPr>
          <w:p w14:paraId="23F3A3B7">
            <w:pPr>
              <w:rPr>
                <w:sz w:val="21"/>
                <w:szCs w:val="21"/>
                <w:highlight w:val="none"/>
              </w:rPr>
            </w:pPr>
            <w:r>
              <w:rPr>
                <w:rFonts w:hint="eastAsia"/>
                <w:sz w:val="21"/>
                <w:szCs w:val="21"/>
                <w:highlight w:val="none"/>
              </w:rPr>
              <w:t>配电箱改造</w:t>
            </w:r>
          </w:p>
        </w:tc>
        <w:tc>
          <w:tcPr>
            <w:tcW w:w="2835" w:type="dxa"/>
            <w:tcBorders>
              <w:top w:val="nil"/>
              <w:left w:val="nil"/>
              <w:bottom w:val="single" w:color="auto" w:sz="4" w:space="0"/>
              <w:right w:val="single" w:color="auto" w:sz="4" w:space="0"/>
            </w:tcBorders>
            <w:shd w:val="clear" w:color="auto" w:fill="auto"/>
            <w:vAlign w:val="center"/>
          </w:tcPr>
          <w:p w14:paraId="54DC6C03">
            <w:pPr>
              <w:rPr>
                <w:sz w:val="21"/>
                <w:szCs w:val="21"/>
                <w:highlight w:val="none"/>
              </w:rPr>
            </w:pPr>
            <w:r>
              <w:rPr>
                <w:rFonts w:hint="eastAsia"/>
                <w:sz w:val="21"/>
                <w:szCs w:val="21"/>
                <w:highlight w:val="none"/>
              </w:rPr>
              <w:t>按使用需求增加电子元器件和线路改造等</w:t>
            </w:r>
          </w:p>
        </w:tc>
        <w:tc>
          <w:tcPr>
            <w:tcW w:w="715" w:type="dxa"/>
            <w:tcBorders>
              <w:top w:val="nil"/>
              <w:left w:val="nil"/>
              <w:bottom w:val="single" w:color="auto" w:sz="4" w:space="0"/>
              <w:right w:val="single" w:color="auto" w:sz="4" w:space="0"/>
            </w:tcBorders>
            <w:shd w:val="clear" w:color="auto" w:fill="auto"/>
            <w:vAlign w:val="center"/>
          </w:tcPr>
          <w:p w14:paraId="27288256">
            <w:pPr>
              <w:rPr>
                <w:sz w:val="21"/>
                <w:szCs w:val="21"/>
                <w:highlight w:val="none"/>
              </w:rPr>
            </w:pPr>
            <w:r>
              <w:rPr>
                <w:rFonts w:hint="eastAsia"/>
                <w:sz w:val="21"/>
                <w:szCs w:val="21"/>
                <w:highlight w:val="none"/>
              </w:rPr>
              <w:t>台</w:t>
            </w:r>
          </w:p>
        </w:tc>
        <w:tc>
          <w:tcPr>
            <w:tcW w:w="844" w:type="dxa"/>
            <w:tcBorders>
              <w:top w:val="nil"/>
              <w:left w:val="nil"/>
              <w:bottom w:val="single" w:color="auto" w:sz="4" w:space="0"/>
              <w:right w:val="single" w:color="auto" w:sz="4" w:space="0"/>
            </w:tcBorders>
            <w:shd w:val="clear" w:color="auto" w:fill="auto"/>
            <w:vAlign w:val="center"/>
          </w:tcPr>
          <w:p w14:paraId="581CEF83">
            <w:pPr>
              <w:rPr>
                <w:sz w:val="21"/>
                <w:szCs w:val="21"/>
                <w:highlight w:val="none"/>
              </w:rPr>
            </w:pPr>
            <w:r>
              <w:rPr>
                <w:rFonts w:hint="eastAsia"/>
                <w:sz w:val="21"/>
                <w:szCs w:val="21"/>
                <w:highlight w:val="none"/>
              </w:rPr>
              <w:t>1</w:t>
            </w:r>
          </w:p>
        </w:tc>
        <w:tc>
          <w:tcPr>
            <w:tcW w:w="992" w:type="dxa"/>
            <w:tcBorders>
              <w:top w:val="nil"/>
              <w:left w:val="nil"/>
              <w:bottom w:val="single" w:color="auto" w:sz="4" w:space="0"/>
              <w:right w:val="single" w:color="auto" w:sz="4" w:space="0"/>
            </w:tcBorders>
            <w:shd w:val="clear" w:color="auto" w:fill="auto"/>
            <w:noWrap/>
            <w:vAlign w:val="center"/>
          </w:tcPr>
          <w:p w14:paraId="691D5F5C">
            <w:pPr>
              <w:rPr>
                <w:sz w:val="21"/>
                <w:szCs w:val="21"/>
                <w:highlight w:val="none"/>
              </w:rPr>
            </w:pPr>
            <w:r>
              <w:rPr>
                <w:rFonts w:hint="eastAsia"/>
                <w:sz w:val="21"/>
                <w:szCs w:val="21"/>
                <w:highlight w:val="none"/>
              </w:rPr>
              <w:t>　</w:t>
            </w:r>
          </w:p>
        </w:tc>
        <w:tc>
          <w:tcPr>
            <w:tcW w:w="851" w:type="dxa"/>
            <w:tcBorders>
              <w:top w:val="nil"/>
              <w:left w:val="nil"/>
              <w:bottom w:val="single" w:color="auto" w:sz="4" w:space="0"/>
              <w:right w:val="single" w:color="auto" w:sz="4" w:space="0"/>
            </w:tcBorders>
            <w:shd w:val="clear" w:color="auto" w:fill="auto"/>
            <w:noWrap/>
            <w:vAlign w:val="center"/>
          </w:tcPr>
          <w:p w14:paraId="26E04668">
            <w:pPr>
              <w:rPr>
                <w:sz w:val="21"/>
                <w:szCs w:val="21"/>
                <w:highlight w:val="none"/>
              </w:rPr>
            </w:pPr>
            <w:r>
              <w:rPr>
                <w:rFonts w:hint="eastAsia"/>
                <w:sz w:val="21"/>
                <w:szCs w:val="21"/>
                <w:highlight w:val="none"/>
              </w:rPr>
              <w:t>　</w:t>
            </w:r>
          </w:p>
        </w:tc>
        <w:tc>
          <w:tcPr>
            <w:tcW w:w="708" w:type="dxa"/>
            <w:tcBorders>
              <w:top w:val="nil"/>
              <w:left w:val="nil"/>
              <w:bottom w:val="single" w:color="auto" w:sz="4" w:space="0"/>
              <w:right w:val="single" w:color="auto" w:sz="4" w:space="0"/>
            </w:tcBorders>
            <w:shd w:val="clear" w:color="auto" w:fill="auto"/>
            <w:vAlign w:val="center"/>
          </w:tcPr>
          <w:p w14:paraId="04F9D289">
            <w:pPr>
              <w:rPr>
                <w:sz w:val="21"/>
                <w:szCs w:val="21"/>
                <w:highlight w:val="none"/>
              </w:rPr>
            </w:pPr>
            <w:r>
              <w:rPr>
                <w:rFonts w:hint="eastAsia"/>
                <w:sz w:val="21"/>
                <w:szCs w:val="21"/>
                <w:highlight w:val="none"/>
              </w:rPr>
              <w:t>　</w:t>
            </w:r>
          </w:p>
        </w:tc>
      </w:tr>
      <w:tr w14:paraId="75455610">
        <w:tblPrEx>
          <w:tblCellMar>
            <w:top w:w="0" w:type="dxa"/>
            <w:left w:w="108" w:type="dxa"/>
            <w:bottom w:w="0" w:type="dxa"/>
            <w:right w:w="108" w:type="dxa"/>
          </w:tblCellMar>
        </w:tblPrEx>
        <w:trPr>
          <w:trHeight w:val="720" w:hRule="atLeast"/>
        </w:trPr>
        <w:tc>
          <w:tcPr>
            <w:tcW w:w="857" w:type="dxa"/>
            <w:tcBorders>
              <w:top w:val="nil"/>
              <w:left w:val="single" w:color="auto" w:sz="4" w:space="0"/>
              <w:bottom w:val="single" w:color="auto" w:sz="4" w:space="0"/>
              <w:right w:val="single" w:color="auto" w:sz="4" w:space="0"/>
            </w:tcBorders>
            <w:shd w:val="clear" w:color="auto" w:fill="auto"/>
            <w:noWrap/>
            <w:vAlign w:val="center"/>
          </w:tcPr>
          <w:p w14:paraId="6A8DB9E5">
            <w:pPr>
              <w:rPr>
                <w:sz w:val="21"/>
                <w:szCs w:val="21"/>
                <w:highlight w:val="none"/>
              </w:rPr>
            </w:pPr>
            <w:r>
              <w:rPr>
                <w:rFonts w:hint="eastAsia"/>
                <w:sz w:val="21"/>
                <w:szCs w:val="21"/>
                <w:highlight w:val="none"/>
              </w:rPr>
              <w:t>　</w:t>
            </w:r>
          </w:p>
        </w:tc>
        <w:tc>
          <w:tcPr>
            <w:tcW w:w="1710" w:type="dxa"/>
            <w:tcBorders>
              <w:top w:val="nil"/>
              <w:left w:val="nil"/>
              <w:bottom w:val="single" w:color="auto" w:sz="4" w:space="0"/>
              <w:right w:val="single" w:color="auto" w:sz="4" w:space="0"/>
            </w:tcBorders>
            <w:shd w:val="clear" w:color="auto" w:fill="auto"/>
            <w:vAlign w:val="center"/>
          </w:tcPr>
          <w:p w14:paraId="5A2169C5">
            <w:pPr>
              <w:rPr>
                <w:sz w:val="21"/>
                <w:szCs w:val="21"/>
                <w:highlight w:val="none"/>
              </w:rPr>
            </w:pPr>
            <w:r>
              <w:rPr>
                <w:rFonts w:hint="eastAsia"/>
                <w:sz w:val="21"/>
                <w:szCs w:val="21"/>
                <w:highlight w:val="none"/>
              </w:rPr>
              <w:t>　</w:t>
            </w:r>
          </w:p>
        </w:tc>
        <w:tc>
          <w:tcPr>
            <w:tcW w:w="2835" w:type="dxa"/>
            <w:tcBorders>
              <w:top w:val="nil"/>
              <w:left w:val="nil"/>
              <w:bottom w:val="single" w:color="auto" w:sz="4" w:space="0"/>
              <w:right w:val="single" w:color="auto" w:sz="4" w:space="0"/>
            </w:tcBorders>
            <w:shd w:val="clear" w:color="auto" w:fill="auto"/>
            <w:vAlign w:val="center"/>
          </w:tcPr>
          <w:p w14:paraId="4EE393C4">
            <w:pPr>
              <w:rPr>
                <w:sz w:val="21"/>
                <w:szCs w:val="21"/>
                <w:highlight w:val="none"/>
              </w:rPr>
            </w:pPr>
            <w:r>
              <w:rPr>
                <w:rFonts w:hint="eastAsia"/>
                <w:sz w:val="21"/>
                <w:szCs w:val="21"/>
                <w:highlight w:val="none"/>
              </w:rPr>
              <w:t>　</w:t>
            </w:r>
          </w:p>
        </w:tc>
        <w:tc>
          <w:tcPr>
            <w:tcW w:w="715" w:type="dxa"/>
            <w:tcBorders>
              <w:top w:val="nil"/>
              <w:left w:val="nil"/>
              <w:bottom w:val="single" w:color="auto" w:sz="4" w:space="0"/>
              <w:right w:val="single" w:color="auto" w:sz="4" w:space="0"/>
            </w:tcBorders>
            <w:shd w:val="clear" w:color="auto" w:fill="auto"/>
            <w:vAlign w:val="center"/>
          </w:tcPr>
          <w:p w14:paraId="0BA8A0F2">
            <w:pPr>
              <w:rPr>
                <w:sz w:val="21"/>
                <w:szCs w:val="21"/>
                <w:highlight w:val="none"/>
              </w:rPr>
            </w:pPr>
            <w:r>
              <w:rPr>
                <w:rFonts w:hint="eastAsia"/>
                <w:sz w:val="21"/>
                <w:szCs w:val="21"/>
                <w:highlight w:val="none"/>
              </w:rPr>
              <w:t>　</w:t>
            </w:r>
          </w:p>
        </w:tc>
        <w:tc>
          <w:tcPr>
            <w:tcW w:w="844" w:type="dxa"/>
            <w:tcBorders>
              <w:top w:val="nil"/>
              <w:left w:val="nil"/>
              <w:bottom w:val="single" w:color="auto" w:sz="4" w:space="0"/>
              <w:right w:val="single" w:color="auto" w:sz="4" w:space="0"/>
            </w:tcBorders>
            <w:shd w:val="clear" w:color="auto" w:fill="auto"/>
            <w:vAlign w:val="center"/>
          </w:tcPr>
          <w:p w14:paraId="5F33161D">
            <w:pPr>
              <w:rPr>
                <w:sz w:val="21"/>
                <w:szCs w:val="21"/>
                <w:highlight w:val="none"/>
              </w:rPr>
            </w:pPr>
            <w:r>
              <w:rPr>
                <w:rFonts w:hint="eastAsia"/>
                <w:sz w:val="21"/>
                <w:szCs w:val="21"/>
                <w:highlight w:val="none"/>
              </w:rPr>
              <w:t>　</w:t>
            </w:r>
          </w:p>
        </w:tc>
        <w:tc>
          <w:tcPr>
            <w:tcW w:w="992" w:type="dxa"/>
            <w:tcBorders>
              <w:top w:val="nil"/>
              <w:left w:val="nil"/>
              <w:bottom w:val="single" w:color="auto" w:sz="4" w:space="0"/>
              <w:right w:val="single" w:color="auto" w:sz="4" w:space="0"/>
            </w:tcBorders>
            <w:shd w:val="clear" w:color="auto" w:fill="auto"/>
            <w:noWrap/>
            <w:vAlign w:val="center"/>
          </w:tcPr>
          <w:p w14:paraId="45E44B33">
            <w:pPr>
              <w:rPr>
                <w:sz w:val="21"/>
                <w:szCs w:val="21"/>
                <w:highlight w:val="none"/>
              </w:rPr>
            </w:pPr>
            <w:r>
              <w:rPr>
                <w:rFonts w:hint="eastAsia"/>
                <w:sz w:val="21"/>
                <w:szCs w:val="21"/>
                <w:highlight w:val="none"/>
              </w:rPr>
              <w:t>　</w:t>
            </w:r>
          </w:p>
        </w:tc>
        <w:tc>
          <w:tcPr>
            <w:tcW w:w="851" w:type="dxa"/>
            <w:tcBorders>
              <w:top w:val="nil"/>
              <w:left w:val="nil"/>
              <w:bottom w:val="single" w:color="auto" w:sz="4" w:space="0"/>
              <w:right w:val="single" w:color="auto" w:sz="4" w:space="0"/>
            </w:tcBorders>
            <w:shd w:val="clear" w:color="auto" w:fill="auto"/>
            <w:noWrap/>
            <w:vAlign w:val="center"/>
          </w:tcPr>
          <w:p w14:paraId="6225B63F">
            <w:pPr>
              <w:rPr>
                <w:sz w:val="21"/>
                <w:szCs w:val="21"/>
                <w:highlight w:val="none"/>
              </w:rPr>
            </w:pPr>
            <w:r>
              <w:rPr>
                <w:rFonts w:hint="eastAsia"/>
                <w:sz w:val="21"/>
                <w:szCs w:val="21"/>
                <w:highlight w:val="none"/>
              </w:rPr>
              <w:t>　</w:t>
            </w:r>
          </w:p>
        </w:tc>
        <w:tc>
          <w:tcPr>
            <w:tcW w:w="708" w:type="dxa"/>
            <w:tcBorders>
              <w:top w:val="nil"/>
              <w:left w:val="nil"/>
              <w:bottom w:val="single" w:color="auto" w:sz="4" w:space="0"/>
              <w:right w:val="single" w:color="auto" w:sz="4" w:space="0"/>
            </w:tcBorders>
            <w:shd w:val="clear" w:color="auto" w:fill="auto"/>
            <w:vAlign w:val="center"/>
          </w:tcPr>
          <w:p w14:paraId="5BCD7D1B">
            <w:pPr>
              <w:rPr>
                <w:sz w:val="21"/>
                <w:szCs w:val="21"/>
                <w:highlight w:val="none"/>
              </w:rPr>
            </w:pPr>
            <w:r>
              <w:rPr>
                <w:rFonts w:hint="eastAsia"/>
                <w:sz w:val="21"/>
                <w:szCs w:val="21"/>
                <w:highlight w:val="none"/>
              </w:rPr>
              <w:t>　</w:t>
            </w:r>
          </w:p>
        </w:tc>
      </w:tr>
      <w:tr w14:paraId="75462626">
        <w:tblPrEx>
          <w:tblCellMar>
            <w:top w:w="0" w:type="dxa"/>
            <w:left w:w="108" w:type="dxa"/>
            <w:bottom w:w="0" w:type="dxa"/>
            <w:right w:w="108" w:type="dxa"/>
          </w:tblCellMar>
        </w:tblPrEx>
        <w:trPr>
          <w:trHeight w:val="720" w:hRule="atLeast"/>
        </w:trPr>
        <w:tc>
          <w:tcPr>
            <w:tcW w:w="857" w:type="dxa"/>
            <w:tcBorders>
              <w:top w:val="nil"/>
              <w:left w:val="single" w:color="auto" w:sz="4" w:space="0"/>
              <w:bottom w:val="single" w:color="auto" w:sz="4" w:space="0"/>
              <w:right w:val="single" w:color="auto" w:sz="4" w:space="0"/>
            </w:tcBorders>
            <w:shd w:val="clear" w:color="auto" w:fill="auto"/>
            <w:noWrap/>
            <w:vAlign w:val="center"/>
          </w:tcPr>
          <w:p w14:paraId="00039B2D">
            <w:pPr>
              <w:rPr>
                <w:sz w:val="21"/>
                <w:szCs w:val="21"/>
                <w:highlight w:val="none"/>
              </w:rPr>
            </w:pPr>
            <w:r>
              <w:rPr>
                <w:rFonts w:hint="eastAsia"/>
                <w:sz w:val="21"/>
                <w:szCs w:val="21"/>
                <w:highlight w:val="none"/>
              </w:rPr>
              <w:t>五</w:t>
            </w:r>
          </w:p>
        </w:tc>
        <w:tc>
          <w:tcPr>
            <w:tcW w:w="1710" w:type="dxa"/>
            <w:tcBorders>
              <w:top w:val="nil"/>
              <w:left w:val="nil"/>
              <w:bottom w:val="single" w:color="auto" w:sz="4" w:space="0"/>
              <w:right w:val="single" w:color="auto" w:sz="4" w:space="0"/>
            </w:tcBorders>
            <w:shd w:val="clear" w:color="auto" w:fill="auto"/>
            <w:vAlign w:val="center"/>
          </w:tcPr>
          <w:p w14:paraId="2564CE76">
            <w:pPr>
              <w:rPr>
                <w:sz w:val="21"/>
                <w:szCs w:val="21"/>
                <w:highlight w:val="none"/>
              </w:rPr>
            </w:pPr>
            <w:r>
              <w:rPr>
                <w:rFonts w:hint="eastAsia"/>
                <w:sz w:val="21"/>
                <w:szCs w:val="21"/>
                <w:highlight w:val="none"/>
              </w:rPr>
              <w:t>医务室配套</w:t>
            </w:r>
          </w:p>
        </w:tc>
        <w:tc>
          <w:tcPr>
            <w:tcW w:w="2835" w:type="dxa"/>
            <w:tcBorders>
              <w:top w:val="nil"/>
              <w:left w:val="nil"/>
              <w:bottom w:val="single" w:color="auto" w:sz="4" w:space="0"/>
              <w:right w:val="single" w:color="auto" w:sz="4" w:space="0"/>
            </w:tcBorders>
            <w:shd w:val="clear" w:color="auto" w:fill="auto"/>
            <w:vAlign w:val="center"/>
          </w:tcPr>
          <w:p w14:paraId="275158CA">
            <w:pPr>
              <w:rPr>
                <w:sz w:val="21"/>
                <w:szCs w:val="21"/>
                <w:highlight w:val="none"/>
              </w:rPr>
            </w:pPr>
            <w:r>
              <w:rPr>
                <w:rFonts w:hint="eastAsia"/>
                <w:sz w:val="21"/>
                <w:szCs w:val="21"/>
                <w:highlight w:val="none"/>
              </w:rPr>
              <w:t>　</w:t>
            </w:r>
          </w:p>
        </w:tc>
        <w:tc>
          <w:tcPr>
            <w:tcW w:w="715" w:type="dxa"/>
            <w:tcBorders>
              <w:top w:val="nil"/>
              <w:left w:val="nil"/>
              <w:bottom w:val="single" w:color="auto" w:sz="4" w:space="0"/>
              <w:right w:val="single" w:color="auto" w:sz="4" w:space="0"/>
            </w:tcBorders>
            <w:shd w:val="clear" w:color="auto" w:fill="auto"/>
            <w:vAlign w:val="center"/>
          </w:tcPr>
          <w:p w14:paraId="76C80F77">
            <w:pPr>
              <w:rPr>
                <w:sz w:val="21"/>
                <w:szCs w:val="21"/>
                <w:highlight w:val="none"/>
              </w:rPr>
            </w:pPr>
            <w:r>
              <w:rPr>
                <w:rFonts w:hint="eastAsia"/>
                <w:sz w:val="21"/>
                <w:szCs w:val="21"/>
                <w:highlight w:val="none"/>
              </w:rPr>
              <w:t>　</w:t>
            </w:r>
          </w:p>
        </w:tc>
        <w:tc>
          <w:tcPr>
            <w:tcW w:w="844" w:type="dxa"/>
            <w:tcBorders>
              <w:top w:val="nil"/>
              <w:left w:val="nil"/>
              <w:bottom w:val="single" w:color="auto" w:sz="4" w:space="0"/>
              <w:right w:val="single" w:color="auto" w:sz="4" w:space="0"/>
            </w:tcBorders>
            <w:shd w:val="clear" w:color="auto" w:fill="auto"/>
            <w:vAlign w:val="center"/>
          </w:tcPr>
          <w:p w14:paraId="740634C3">
            <w:pPr>
              <w:rPr>
                <w:sz w:val="21"/>
                <w:szCs w:val="21"/>
                <w:highlight w:val="none"/>
              </w:rPr>
            </w:pPr>
            <w:r>
              <w:rPr>
                <w:rFonts w:hint="eastAsia"/>
                <w:sz w:val="21"/>
                <w:szCs w:val="21"/>
                <w:highlight w:val="none"/>
              </w:rPr>
              <w:t>　</w:t>
            </w:r>
          </w:p>
        </w:tc>
        <w:tc>
          <w:tcPr>
            <w:tcW w:w="992" w:type="dxa"/>
            <w:tcBorders>
              <w:top w:val="nil"/>
              <w:left w:val="nil"/>
              <w:bottom w:val="single" w:color="auto" w:sz="4" w:space="0"/>
              <w:right w:val="single" w:color="auto" w:sz="4" w:space="0"/>
            </w:tcBorders>
            <w:shd w:val="clear" w:color="auto" w:fill="auto"/>
            <w:noWrap/>
            <w:vAlign w:val="center"/>
          </w:tcPr>
          <w:p w14:paraId="2D230E0F">
            <w:pPr>
              <w:rPr>
                <w:sz w:val="21"/>
                <w:szCs w:val="21"/>
                <w:highlight w:val="none"/>
              </w:rPr>
            </w:pPr>
            <w:r>
              <w:rPr>
                <w:rFonts w:hint="eastAsia"/>
                <w:sz w:val="21"/>
                <w:szCs w:val="21"/>
                <w:highlight w:val="none"/>
              </w:rPr>
              <w:t>　</w:t>
            </w:r>
          </w:p>
        </w:tc>
        <w:tc>
          <w:tcPr>
            <w:tcW w:w="851" w:type="dxa"/>
            <w:tcBorders>
              <w:top w:val="nil"/>
              <w:left w:val="nil"/>
              <w:bottom w:val="single" w:color="auto" w:sz="4" w:space="0"/>
              <w:right w:val="single" w:color="auto" w:sz="4" w:space="0"/>
            </w:tcBorders>
            <w:shd w:val="clear" w:color="auto" w:fill="auto"/>
            <w:noWrap/>
            <w:vAlign w:val="center"/>
          </w:tcPr>
          <w:p w14:paraId="34DF1A9C">
            <w:pPr>
              <w:rPr>
                <w:sz w:val="21"/>
                <w:szCs w:val="21"/>
                <w:highlight w:val="none"/>
              </w:rPr>
            </w:pPr>
            <w:r>
              <w:rPr>
                <w:rFonts w:hint="eastAsia"/>
                <w:sz w:val="21"/>
                <w:szCs w:val="21"/>
                <w:highlight w:val="none"/>
              </w:rPr>
              <w:t>　</w:t>
            </w:r>
          </w:p>
        </w:tc>
        <w:tc>
          <w:tcPr>
            <w:tcW w:w="708" w:type="dxa"/>
            <w:tcBorders>
              <w:top w:val="nil"/>
              <w:left w:val="nil"/>
              <w:bottom w:val="single" w:color="auto" w:sz="4" w:space="0"/>
              <w:right w:val="single" w:color="auto" w:sz="4" w:space="0"/>
            </w:tcBorders>
            <w:shd w:val="clear" w:color="auto" w:fill="auto"/>
            <w:vAlign w:val="center"/>
          </w:tcPr>
          <w:p w14:paraId="6E0C9F3F">
            <w:pPr>
              <w:rPr>
                <w:sz w:val="21"/>
                <w:szCs w:val="21"/>
                <w:highlight w:val="none"/>
              </w:rPr>
            </w:pPr>
            <w:r>
              <w:rPr>
                <w:rFonts w:hint="eastAsia"/>
                <w:sz w:val="21"/>
                <w:szCs w:val="21"/>
                <w:highlight w:val="none"/>
              </w:rPr>
              <w:t>　</w:t>
            </w:r>
          </w:p>
        </w:tc>
      </w:tr>
      <w:tr w14:paraId="69E8CE58">
        <w:tblPrEx>
          <w:tblCellMar>
            <w:top w:w="0" w:type="dxa"/>
            <w:left w:w="108" w:type="dxa"/>
            <w:bottom w:w="0" w:type="dxa"/>
            <w:right w:w="108" w:type="dxa"/>
          </w:tblCellMar>
        </w:tblPrEx>
        <w:trPr>
          <w:trHeight w:val="945" w:hRule="atLeast"/>
        </w:trPr>
        <w:tc>
          <w:tcPr>
            <w:tcW w:w="857" w:type="dxa"/>
            <w:tcBorders>
              <w:top w:val="nil"/>
              <w:left w:val="single" w:color="auto" w:sz="4" w:space="0"/>
              <w:bottom w:val="single" w:color="auto" w:sz="4" w:space="0"/>
              <w:right w:val="single" w:color="auto" w:sz="4" w:space="0"/>
            </w:tcBorders>
            <w:shd w:val="clear" w:color="auto" w:fill="auto"/>
            <w:noWrap/>
            <w:vAlign w:val="center"/>
          </w:tcPr>
          <w:p w14:paraId="1F328029">
            <w:pPr>
              <w:rPr>
                <w:sz w:val="21"/>
                <w:szCs w:val="21"/>
                <w:highlight w:val="none"/>
              </w:rPr>
            </w:pPr>
            <w:r>
              <w:rPr>
                <w:rFonts w:hint="eastAsia"/>
                <w:sz w:val="21"/>
                <w:szCs w:val="21"/>
                <w:highlight w:val="none"/>
              </w:rPr>
              <w:t>1</w:t>
            </w:r>
          </w:p>
        </w:tc>
        <w:tc>
          <w:tcPr>
            <w:tcW w:w="1710" w:type="dxa"/>
            <w:tcBorders>
              <w:top w:val="nil"/>
              <w:left w:val="nil"/>
              <w:bottom w:val="single" w:color="auto" w:sz="4" w:space="0"/>
              <w:right w:val="single" w:color="auto" w:sz="4" w:space="0"/>
            </w:tcBorders>
            <w:shd w:val="clear" w:color="auto" w:fill="auto"/>
            <w:noWrap/>
            <w:vAlign w:val="center"/>
          </w:tcPr>
          <w:p w14:paraId="6F6B5E36">
            <w:pPr>
              <w:rPr>
                <w:sz w:val="21"/>
                <w:szCs w:val="21"/>
                <w:highlight w:val="none"/>
              </w:rPr>
            </w:pPr>
            <w:r>
              <w:rPr>
                <w:rFonts w:hint="eastAsia"/>
                <w:sz w:val="21"/>
                <w:szCs w:val="21"/>
                <w:highlight w:val="none"/>
              </w:rPr>
              <w:t>大门口pvc软门帘</w:t>
            </w:r>
          </w:p>
        </w:tc>
        <w:tc>
          <w:tcPr>
            <w:tcW w:w="2835" w:type="dxa"/>
            <w:tcBorders>
              <w:top w:val="nil"/>
              <w:left w:val="nil"/>
              <w:bottom w:val="single" w:color="auto" w:sz="4" w:space="0"/>
              <w:right w:val="single" w:color="auto" w:sz="4" w:space="0"/>
            </w:tcBorders>
            <w:shd w:val="clear" w:color="auto" w:fill="auto"/>
            <w:vAlign w:val="center"/>
          </w:tcPr>
          <w:p w14:paraId="050A3C1A">
            <w:pPr>
              <w:rPr>
                <w:sz w:val="21"/>
                <w:szCs w:val="21"/>
                <w:highlight w:val="none"/>
              </w:rPr>
            </w:pPr>
            <w:r>
              <w:rPr>
                <w:rFonts w:hint="eastAsia"/>
                <w:sz w:val="21"/>
                <w:szCs w:val="21"/>
                <w:highlight w:val="none"/>
              </w:rPr>
              <w:t>3.1mm厚透明白条形软帘，不锈钢固定夹片，不含甲醛，</w:t>
            </w:r>
          </w:p>
        </w:tc>
        <w:tc>
          <w:tcPr>
            <w:tcW w:w="715" w:type="dxa"/>
            <w:tcBorders>
              <w:top w:val="nil"/>
              <w:left w:val="nil"/>
              <w:bottom w:val="single" w:color="auto" w:sz="4" w:space="0"/>
              <w:right w:val="single" w:color="auto" w:sz="4" w:space="0"/>
            </w:tcBorders>
            <w:shd w:val="clear" w:color="auto" w:fill="auto"/>
            <w:noWrap/>
            <w:vAlign w:val="center"/>
          </w:tcPr>
          <w:p w14:paraId="74B055EF">
            <w:pPr>
              <w:rPr>
                <w:sz w:val="21"/>
                <w:szCs w:val="21"/>
                <w:highlight w:val="none"/>
              </w:rPr>
            </w:pPr>
            <w:r>
              <w:rPr>
                <w:rFonts w:hint="eastAsia"/>
                <w:sz w:val="21"/>
                <w:szCs w:val="21"/>
                <w:highlight w:val="none"/>
              </w:rPr>
              <w:t>平米</w:t>
            </w:r>
          </w:p>
        </w:tc>
        <w:tc>
          <w:tcPr>
            <w:tcW w:w="844" w:type="dxa"/>
            <w:tcBorders>
              <w:top w:val="nil"/>
              <w:left w:val="nil"/>
              <w:bottom w:val="single" w:color="auto" w:sz="4" w:space="0"/>
              <w:right w:val="single" w:color="auto" w:sz="4" w:space="0"/>
            </w:tcBorders>
            <w:shd w:val="clear" w:color="auto" w:fill="auto"/>
            <w:noWrap/>
            <w:vAlign w:val="center"/>
          </w:tcPr>
          <w:p w14:paraId="2BDD9D46">
            <w:pPr>
              <w:rPr>
                <w:sz w:val="21"/>
                <w:szCs w:val="21"/>
                <w:highlight w:val="none"/>
              </w:rPr>
            </w:pPr>
            <w:r>
              <w:rPr>
                <w:rFonts w:hint="eastAsia"/>
                <w:sz w:val="21"/>
                <w:szCs w:val="21"/>
                <w:highlight w:val="none"/>
              </w:rPr>
              <w:t>5.25</w:t>
            </w:r>
          </w:p>
        </w:tc>
        <w:tc>
          <w:tcPr>
            <w:tcW w:w="992" w:type="dxa"/>
            <w:tcBorders>
              <w:top w:val="nil"/>
              <w:left w:val="nil"/>
              <w:bottom w:val="single" w:color="auto" w:sz="4" w:space="0"/>
              <w:right w:val="single" w:color="auto" w:sz="4" w:space="0"/>
            </w:tcBorders>
            <w:shd w:val="clear" w:color="auto" w:fill="auto"/>
            <w:noWrap/>
            <w:vAlign w:val="center"/>
          </w:tcPr>
          <w:p w14:paraId="6FE74C2F">
            <w:pPr>
              <w:rPr>
                <w:sz w:val="21"/>
                <w:szCs w:val="21"/>
                <w:highlight w:val="none"/>
              </w:rPr>
            </w:pPr>
            <w:r>
              <w:rPr>
                <w:rFonts w:hint="eastAsia"/>
                <w:sz w:val="21"/>
                <w:szCs w:val="21"/>
                <w:highlight w:val="none"/>
              </w:rPr>
              <w:t>　</w:t>
            </w:r>
          </w:p>
        </w:tc>
        <w:tc>
          <w:tcPr>
            <w:tcW w:w="851" w:type="dxa"/>
            <w:tcBorders>
              <w:top w:val="nil"/>
              <w:left w:val="nil"/>
              <w:bottom w:val="single" w:color="auto" w:sz="4" w:space="0"/>
              <w:right w:val="single" w:color="auto" w:sz="4" w:space="0"/>
            </w:tcBorders>
            <w:shd w:val="clear" w:color="auto" w:fill="auto"/>
            <w:noWrap/>
            <w:vAlign w:val="center"/>
          </w:tcPr>
          <w:p w14:paraId="1762AB67">
            <w:pPr>
              <w:rPr>
                <w:sz w:val="21"/>
                <w:szCs w:val="21"/>
                <w:highlight w:val="none"/>
              </w:rPr>
            </w:pPr>
            <w:r>
              <w:rPr>
                <w:rFonts w:hint="eastAsia"/>
                <w:sz w:val="21"/>
                <w:szCs w:val="21"/>
                <w:highlight w:val="none"/>
              </w:rPr>
              <w:t>　</w:t>
            </w:r>
          </w:p>
        </w:tc>
        <w:tc>
          <w:tcPr>
            <w:tcW w:w="708" w:type="dxa"/>
            <w:tcBorders>
              <w:top w:val="nil"/>
              <w:left w:val="nil"/>
              <w:bottom w:val="single" w:color="auto" w:sz="4" w:space="0"/>
              <w:right w:val="single" w:color="auto" w:sz="4" w:space="0"/>
            </w:tcBorders>
            <w:shd w:val="clear" w:color="auto" w:fill="auto"/>
            <w:vAlign w:val="center"/>
          </w:tcPr>
          <w:p w14:paraId="3F563981">
            <w:pPr>
              <w:rPr>
                <w:sz w:val="21"/>
                <w:szCs w:val="21"/>
                <w:highlight w:val="none"/>
              </w:rPr>
            </w:pPr>
            <w:r>
              <w:rPr>
                <w:rFonts w:hint="eastAsia"/>
                <w:sz w:val="21"/>
                <w:szCs w:val="21"/>
                <w:highlight w:val="none"/>
              </w:rPr>
              <w:t>　</w:t>
            </w:r>
          </w:p>
        </w:tc>
      </w:tr>
      <w:tr w14:paraId="64149FF1">
        <w:tblPrEx>
          <w:tblCellMar>
            <w:top w:w="0" w:type="dxa"/>
            <w:left w:w="108" w:type="dxa"/>
            <w:bottom w:w="0" w:type="dxa"/>
            <w:right w:w="108" w:type="dxa"/>
          </w:tblCellMar>
        </w:tblPrEx>
        <w:trPr>
          <w:trHeight w:val="810" w:hRule="atLeast"/>
        </w:trPr>
        <w:tc>
          <w:tcPr>
            <w:tcW w:w="857" w:type="dxa"/>
            <w:tcBorders>
              <w:top w:val="nil"/>
              <w:left w:val="single" w:color="auto" w:sz="4" w:space="0"/>
              <w:bottom w:val="single" w:color="auto" w:sz="4" w:space="0"/>
              <w:right w:val="single" w:color="auto" w:sz="4" w:space="0"/>
            </w:tcBorders>
            <w:shd w:val="clear" w:color="auto" w:fill="auto"/>
            <w:noWrap/>
            <w:vAlign w:val="center"/>
          </w:tcPr>
          <w:p w14:paraId="234106EC">
            <w:pPr>
              <w:rPr>
                <w:sz w:val="21"/>
                <w:szCs w:val="21"/>
                <w:highlight w:val="none"/>
              </w:rPr>
            </w:pPr>
            <w:r>
              <w:rPr>
                <w:rFonts w:hint="eastAsia"/>
                <w:sz w:val="21"/>
                <w:szCs w:val="21"/>
                <w:highlight w:val="none"/>
              </w:rPr>
              <w:t>2</w:t>
            </w:r>
          </w:p>
        </w:tc>
        <w:tc>
          <w:tcPr>
            <w:tcW w:w="1710" w:type="dxa"/>
            <w:tcBorders>
              <w:top w:val="nil"/>
              <w:left w:val="nil"/>
              <w:bottom w:val="single" w:color="auto" w:sz="4" w:space="0"/>
              <w:right w:val="single" w:color="auto" w:sz="4" w:space="0"/>
            </w:tcBorders>
            <w:shd w:val="clear" w:color="auto" w:fill="auto"/>
            <w:noWrap/>
            <w:vAlign w:val="center"/>
          </w:tcPr>
          <w:p w14:paraId="10B3565E">
            <w:pPr>
              <w:rPr>
                <w:sz w:val="21"/>
                <w:szCs w:val="21"/>
                <w:highlight w:val="none"/>
              </w:rPr>
            </w:pPr>
            <w:r>
              <w:rPr>
                <w:rFonts w:hint="eastAsia"/>
                <w:sz w:val="21"/>
                <w:szCs w:val="21"/>
                <w:highlight w:val="none"/>
              </w:rPr>
              <w:t>挂号服务台加高</w:t>
            </w:r>
          </w:p>
        </w:tc>
        <w:tc>
          <w:tcPr>
            <w:tcW w:w="2835" w:type="dxa"/>
            <w:tcBorders>
              <w:top w:val="nil"/>
              <w:left w:val="nil"/>
              <w:bottom w:val="single" w:color="auto" w:sz="4" w:space="0"/>
              <w:right w:val="single" w:color="auto" w:sz="4" w:space="0"/>
            </w:tcBorders>
            <w:shd w:val="clear" w:color="auto" w:fill="auto"/>
            <w:vAlign w:val="center"/>
          </w:tcPr>
          <w:p w14:paraId="4B050454">
            <w:pPr>
              <w:rPr>
                <w:sz w:val="21"/>
                <w:szCs w:val="21"/>
                <w:highlight w:val="none"/>
              </w:rPr>
            </w:pPr>
            <w:r>
              <w:rPr>
                <w:rFonts w:hint="eastAsia"/>
                <w:sz w:val="21"/>
                <w:szCs w:val="21"/>
                <w:highlight w:val="none"/>
              </w:rPr>
              <w:t>同色大理石窗台板，宽度约35cm，双侧挂边约15cm，细木工板龙骨</w:t>
            </w:r>
          </w:p>
        </w:tc>
        <w:tc>
          <w:tcPr>
            <w:tcW w:w="715" w:type="dxa"/>
            <w:tcBorders>
              <w:top w:val="nil"/>
              <w:left w:val="nil"/>
              <w:bottom w:val="single" w:color="auto" w:sz="4" w:space="0"/>
              <w:right w:val="single" w:color="auto" w:sz="4" w:space="0"/>
            </w:tcBorders>
            <w:shd w:val="clear" w:color="auto" w:fill="auto"/>
            <w:noWrap/>
            <w:vAlign w:val="center"/>
          </w:tcPr>
          <w:p w14:paraId="1A83DC7D">
            <w:pPr>
              <w:rPr>
                <w:sz w:val="21"/>
                <w:szCs w:val="21"/>
                <w:highlight w:val="none"/>
              </w:rPr>
            </w:pPr>
            <w:r>
              <w:rPr>
                <w:rFonts w:hint="eastAsia"/>
                <w:sz w:val="21"/>
                <w:szCs w:val="21"/>
                <w:highlight w:val="none"/>
              </w:rPr>
              <w:t>项</w:t>
            </w:r>
          </w:p>
        </w:tc>
        <w:tc>
          <w:tcPr>
            <w:tcW w:w="844" w:type="dxa"/>
            <w:tcBorders>
              <w:top w:val="nil"/>
              <w:left w:val="nil"/>
              <w:bottom w:val="single" w:color="auto" w:sz="4" w:space="0"/>
              <w:right w:val="single" w:color="auto" w:sz="4" w:space="0"/>
            </w:tcBorders>
            <w:shd w:val="clear" w:color="auto" w:fill="auto"/>
            <w:noWrap/>
            <w:vAlign w:val="center"/>
          </w:tcPr>
          <w:p w14:paraId="4FAE764F">
            <w:pPr>
              <w:rPr>
                <w:sz w:val="21"/>
                <w:szCs w:val="21"/>
                <w:highlight w:val="none"/>
              </w:rPr>
            </w:pPr>
            <w:r>
              <w:rPr>
                <w:rFonts w:hint="eastAsia"/>
                <w:sz w:val="21"/>
                <w:szCs w:val="21"/>
                <w:highlight w:val="none"/>
              </w:rPr>
              <w:t>1</w:t>
            </w:r>
          </w:p>
        </w:tc>
        <w:tc>
          <w:tcPr>
            <w:tcW w:w="992" w:type="dxa"/>
            <w:tcBorders>
              <w:top w:val="nil"/>
              <w:left w:val="nil"/>
              <w:bottom w:val="single" w:color="auto" w:sz="4" w:space="0"/>
              <w:right w:val="single" w:color="auto" w:sz="4" w:space="0"/>
            </w:tcBorders>
            <w:shd w:val="clear" w:color="auto" w:fill="auto"/>
            <w:noWrap/>
            <w:vAlign w:val="center"/>
          </w:tcPr>
          <w:p w14:paraId="72FD98CD">
            <w:pPr>
              <w:rPr>
                <w:sz w:val="21"/>
                <w:szCs w:val="21"/>
                <w:highlight w:val="none"/>
              </w:rPr>
            </w:pPr>
            <w:r>
              <w:rPr>
                <w:rFonts w:hint="eastAsia"/>
                <w:sz w:val="21"/>
                <w:szCs w:val="21"/>
                <w:highlight w:val="none"/>
              </w:rPr>
              <w:t>　</w:t>
            </w:r>
          </w:p>
        </w:tc>
        <w:tc>
          <w:tcPr>
            <w:tcW w:w="851" w:type="dxa"/>
            <w:tcBorders>
              <w:top w:val="nil"/>
              <w:left w:val="nil"/>
              <w:bottom w:val="single" w:color="auto" w:sz="4" w:space="0"/>
              <w:right w:val="single" w:color="auto" w:sz="4" w:space="0"/>
            </w:tcBorders>
            <w:shd w:val="clear" w:color="auto" w:fill="auto"/>
            <w:noWrap/>
            <w:vAlign w:val="center"/>
          </w:tcPr>
          <w:p w14:paraId="05DBE417">
            <w:pPr>
              <w:rPr>
                <w:sz w:val="21"/>
                <w:szCs w:val="21"/>
                <w:highlight w:val="none"/>
              </w:rPr>
            </w:pPr>
            <w:r>
              <w:rPr>
                <w:rFonts w:hint="eastAsia"/>
                <w:sz w:val="21"/>
                <w:szCs w:val="21"/>
                <w:highlight w:val="none"/>
              </w:rPr>
              <w:t>　</w:t>
            </w:r>
          </w:p>
        </w:tc>
        <w:tc>
          <w:tcPr>
            <w:tcW w:w="708" w:type="dxa"/>
            <w:tcBorders>
              <w:top w:val="nil"/>
              <w:left w:val="nil"/>
              <w:bottom w:val="single" w:color="auto" w:sz="4" w:space="0"/>
              <w:right w:val="single" w:color="auto" w:sz="4" w:space="0"/>
            </w:tcBorders>
            <w:shd w:val="clear" w:color="auto" w:fill="auto"/>
            <w:vAlign w:val="center"/>
          </w:tcPr>
          <w:p w14:paraId="5FCA0452">
            <w:pPr>
              <w:rPr>
                <w:sz w:val="21"/>
                <w:szCs w:val="21"/>
                <w:highlight w:val="none"/>
              </w:rPr>
            </w:pPr>
            <w:r>
              <w:rPr>
                <w:rFonts w:hint="eastAsia"/>
                <w:sz w:val="21"/>
                <w:szCs w:val="21"/>
                <w:highlight w:val="none"/>
              </w:rPr>
              <w:t>　</w:t>
            </w:r>
          </w:p>
        </w:tc>
      </w:tr>
      <w:tr w14:paraId="682C9F0F">
        <w:tblPrEx>
          <w:tblCellMar>
            <w:top w:w="0" w:type="dxa"/>
            <w:left w:w="108" w:type="dxa"/>
            <w:bottom w:w="0" w:type="dxa"/>
            <w:right w:w="108" w:type="dxa"/>
          </w:tblCellMar>
        </w:tblPrEx>
        <w:trPr>
          <w:trHeight w:val="600" w:hRule="atLeast"/>
        </w:trPr>
        <w:tc>
          <w:tcPr>
            <w:tcW w:w="857" w:type="dxa"/>
            <w:tcBorders>
              <w:top w:val="nil"/>
              <w:left w:val="single" w:color="auto" w:sz="4" w:space="0"/>
              <w:bottom w:val="single" w:color="auto" w:sz="4" w:space="0"/>
              <w:right w:val="single" w:color="auto" w:sz="4" w:space="0"/>
            </w:tcBorders>
            <w:shd w:val="clear" w:color="auto" w:fill="auto"/>
            <w:noWrap/>
            <w:vAlign w:val="center"/>
          </w:tcPr>
          <w:p w14:paraId="0648DECF">
            <w:pPr>
              <w:rPr>
                <w:sz w:val="21"/>
                <w:szCs w:val="21"/>
                <w:highlight w:val="none"/>
              </w:rPr>
            </w:pPr>
            <w:r>
              <w:rPr>
                <w:rFonts w:hint="eastAsia"/>
                <w:sz w:val="21"/>
                <w:szCs w:val="21"/>
                <w:highlight w:val="none"/>
              </w:rPr>
              <w:t>　</w:t>
            </w:r>
          </w:p>
        </w:tc>
        <w:tc>
          <w:tcPr>
            <w:tcW w:w="1710" w:type="dxa"/>
            <w:tcBorders>
              <w:top w:val="nil"/>
              <w:left w:val="nil"/>
              <w:bottom w:val="single" w:color="auto" w:sz="4" w:space="0"/>
              <w:right w:val="single" w:color="auto" w:sz="4" w:space="0"/>
            </w:tcBorders>
            <w:shd w:val="clear" w:color="auto" w:fill="auto"/>
            <w:noWrap/>
            <w:vAlign w:val="center"/>
          </w:tcPr>
          <w:p w14:paraId="34986126">
            <w:pPr>
              <w:rPr>
                <w:sz w:val="21"/>
                <w:szCs w:val="21"/>
                <w:highlight w:val="none"/>
              </w:rPr>
            </w:pPr>
            <w:r>
              <w:rPr>
                <w:rFonts w:hint="eastAsia"/>
                <w:sz w:val="21"/>
                <w:szCs w:val="21"/>
                <w:highlight w:val="none"/>
              </w:rPr>
              <w:t>　</w:t>
            </w:r>
          </w:p>
        </w:tc>
        <w:tc>
          <w:tcPr>
            <w:tcW w:w="2835" w:type="dxa"/>
            <w:tcBorders>
              <w:top w:val="nil"/>
              <w:left w:val="nil"/>
              <w:bottom w:val="single" w:color="auto" w:sz="4" w:space="0"/>
              <w:right w:val="single" w:color="auto" w:sz="4" w:space="0"/>
            </w:tcBorders>
            <w:shd w:val="clear" w:color="auto" w:fill="auto"/>
            <w:vAlign w:val="center"/>
          </w:tcPr>
          <w:p w14:paraId="54D3C040">
            <w:pPr>
              <w:rPr>
                <w:sz w:val="21"/>
                <w:szCs w:val="21"/>
                <w:highlight w:val="none"/>
              </w:rPr>
            </w:pPr>
            <w:r>
              <w:rPr>
                <w:rFonts w:hint="eastAsia"/>
                <w:sz w:val="21"/>
                <w:szCs w:val="21"/>
                <w:highlight w:val="none"/>
              </w:rPr>
              <w:t>　</w:t>
            </w:r>
          </w:p>
        </w:tc>
        <w:tc>
          <w:tcPr>
            <w:tcW w:w="715" w:type="dxa"/>
            <w:tcBorders>
              <w:top w:val="nil"/>
              <w:left w:val="nil"/>
              <w:bottom w:val="single" w:color="auto" w:sz="4" w:space="0"/>
              <w:right w:val="single" w:color="auto" w:sz="4" w:space="0"/>
            </w:tcBorders>
            <w:shd w:val="clear" w:color="auto" w:fill="auto"/>
            <w:noWrap/>
            <w:vAlign w:val="center"/>
          </w:tcPr>
          <w:p w14:paraId="5A834219">
            <w:pPr>
              <w:rPr>
                <w:sz w:val="21"/>
                <w:szCs w:val="21"/>
                <w:highlight w:val="none"/>
              </w:rPr>
            </w:pPr>
            <w:r>
              <w:rPr>
                <w:rFonts w:hint="eastAsia"/>
                <w:sz w:val="21"/>
                <w:szCs w:val="21"/>
                <w:highlight w:val="none"/>
              </w:rPr>
              <w:t>　</w:t>
            </w:r>
          </w:p>
        </w:tc>
        <w:tc>
          <w:tcPr>
            <w:tcW w:w="844" w:type="dxa"/>
            <w:tcBorders>
              <w:top w:val="nil"/>
              <w:left w:val="nil"/>
              <w:bottom w:val="single" w:color="auto" w:sz="4" w:space="0"/>
              <w:right w:val="single" w:color="auto" w:sz="4" w:space="0"/>
            </w:tcBorders>
            <w:shd w:val="clear" w:color="auto" w:fill="auto"/>
            <w:noWrap/>
            <w:vAlign w:val="center"/>
          </w:tcPr>
          <w:p w14:paraId="788B93AB">
            <w:pPr>
              <w:rPr>
                <w:sz w:val="21"/>
                <w:szCs w:val="21"/>
                <w:highlight w:val="none"/>
              </w:rPr>
            </w:pPr>
            <w:r>
              <w:rPr>
                <w:rFonts w:hint="eastAsia"/>
                <w:sz w:val="21"/>
                <w:szCs w:val="21"/>
                <w:highlight w:val="none"/>
              </w:rPr>
              <w:t>　</w:t>
            </w:r>
          </w:p>
        </w:tc>
        <w:tc>
          <w:tcPr>
            <w:tcW w:w="992" w:type="dxa"/>
            <w:tcBorders>
              <w:top w:val="nil"/>
              <w:left w:val="nil"/>
              <w:bottom w:val="single" w:color="auto" w:sz="4" w:space="0"/>
              <w:right w:val="single" w:color="auto" w:sz="4" w:space="0"/>
            </w:tcBorders>
            <w:shd w:val="clear" w:color="auto" w:fill="auto"/>
            <w:noWrap/>
            <w:vAlign w:val="center"/>
          </w:tcPr>
          <w:p w14:paraId="1DACF81E">
            <w:pPr>
              <w:rPr>
                <w:sz w:val="21"/>
                <w:szCs w:val="21"/>
                <w:highlight w:val="none"/>
              </w:rPr>
            </w:pPr>
            <w:r>
              <w:rPr>
                <w:rFonts w:hint="eastAsia"/>
                <w:sz w:val="21"/>
                <w:szCs w:val="21"/>
                <w:highlight w:val="none"/>
              </w:rPr>
              <w:t>　</w:t>
            </w:r>
          </w:p>
        </w:tc>
        <w:tc>
          <w:tcPr>
            <w:tcW w:w="851" w:type="dxa"/>
            <w:tcBorders>
              <w:top w:val="nil"/>
              <w:left w:val="nil"/>
              <w:bottom w:val="single" w:color="auto" w:sz="4" w:space="0"/>
              <w:right w:val="single" w:color="auto" w:sz="4" w:space="0"/>
            </w:tcBorders>
            <w:shd w:val="clear" w:color="auto" w:fill="auto"/>
            <w:noWrap/>
            <w:vAlign w:val="center"/>
          </w:tcPr>
          <w:p w14:paraId="0FB74715">
            <w:pPr>
              <w:rPr>
                <w:sz w:val="21"/>
                <w:szCs w:val="21"/>
                <w:highlight w:val="none"/>
              </w:rPr>
            </w:pPr>
            <w:r>
              <w:rPr>
                <w:rFonts w:hint="eastAsia"/>
                <w:sz w:val="21"/>
                <w:szCs w:val="21"/>
                <w:highlight w:val="none"/>
              </w:rPr>
              <w:t>　</w:t>
            </w:r>
          </w:p>
        </w:tc>
        <w:tc>
          <w:tcPr>
            <w:tcW w:w="708" w:type="dxa"/>
            <w:tcBorders>
              <w:top w:val="nil"/>
              <w:left w:val="nil"/>
              <w:bottom w:val="single" w:color="auto" w:sz="4" w:space="0"/>
              <w:right w:val="single" w:color="auto" w:sz="4" w:space="0"/>
            </w:tcBorders>
            <w:shd w:val="clear" w:color="auto" w:fill="auto"/>
            <w:vAlign w:val="center"/>
          </w:tcPr>
          <w:p w14:paraId="052E9C3E">
            <w:pPr>
              <w:rPr>
                <w:sz w:val="21"/>
                <w:szCs w:val="21"/>
                <w:highlight w:val="none"/>
              </w:rPr>
            </w:pPr>
            <w:r>
              <w:rPr>
                <w:rFonts w:hint="eastAsia"/>
                <w:sz w:val="21"/>
                <w:szCs w:val="21"/>
                <w:highlight w:val="none"/>
              </w:rPr>
              <w:t>　</w:t>
            </w:r>
          </w:p>
        </w:tc>
      </w:tr>
      <w:tr w14:paraId="64BEE032">
        <w:tblPrEx>
          <w:tblCellMar>
            <w:top w:w="0" w:type="dxa"/>
            <w:left w:w="108" w:type="dxa"/>
            <w:bottom w:w="0" w:type="dxa"/>
            <w:right w:w="108" w:type="dxa"/>
          </w:tblCellMar>
        </w:tblPrEx>
        <w:trPr>
          <w:trHeight w:val="600" w:hRule="atLeast"/>
        </w:trPr>
        <w:tc>
          <w:tcPr>
            <w:tcW w:w="857" w:type="dxa"/>
            <w:tcBorders>
              <w:top w:val="nil"/>
              <w:left w:val="single" w:color="auto" w:sz="4" w:space="0"/>
              <w:bottom w:val="single" w:color="auto" w:sz="4" w:space="0"/>
              <w:right w:val="single" w:color="auto" w:sz="4" w:space="0"/>
            </w:tcBorders>
            <w:shd w:val="clear" w:color="auto" w:fill="auto"/>
            <w:noWrap/>
            <w:vAlign w:val="center"/>
          </w:tcPr>
          <w:p w14:paraId="12DEE68E">
            <w:pPr>
              <w:rPr>
                <w:sz w:val="21"/>
                <w:szCs w:val="21"/>
                <w:highlight w:val="none"/>
              </w:rPr>
            </w:pPr>
            <w:r>
              <w:rPr>
                <w:rFonts w:hint="eastAsia"/>
                <w:sz w:val="21"/>
                <w:szCs w:val="21"/>
                <w:highlight w:val="none"/>
              </w:rPr>
              <w:t>六</w:t>
            </w:r>
          </w:p>
        </w:tc>
        <w:tc>
          <w:tcPr>
            <w:tcW w:w="1710" w:type="dxa"/>
            <w:tcBorders>
              <w:top w:val="nil"/>
              <w:left w:val="nil"/>
              <w:bottom w:val="single" w:color="auto" w:sz="4" w:space="0"/>
              <w:right w:val="single" w:color="auto" w:sz="4" w:space="0"/>
            </w:tcBorders>
            <w:shd w:val="clear" w:color="auto" w:fill="auto"/>
            <w:noWrap/>
            <w:vAlign w:val="center"/>
          </w:tcPr>
          <w:p w14:paraId="0C3FA2D7">
            <w:pPr>
              <w:rPr>
                <w:sz w:val="21"/>
                <w:szCs w:val="21"/>
                <w:highlight w:val="none"/>
              </w:rPr>
            </w:pPr>
            <w:r>
              <w:rPr>
                <w:rFonts w:hint="eastAsia"/>
                <w:sz w:val="21"/>
                <w:szCs w:val="21"/>
                <w:highlight w:val="none"/>
              </w:rPr>
              <w:t>体育錧篮球场防撞网</w:t>
            </w:r>
          </w:p>
        </w:tc>
        <w:tc>
          <w:tcPr>
            <w:tcW w:w="2835" w:type="dxa"/>
            <w:tcBorders>
              <w:top w:val="nil"/>
              <w:left w:val="nil"/>
              <w:bottom w:val="single" w:color="auto" w:sz="4" w:space="0"/>
              <w:right w:val="single" w:color="auto" w:sz="4" w:space="0"/>
            </w:tcBorders>
            <w:shd w:val="clear" w:color="auto" w:fill="auto"/>
            <w:vAlign w:val="center"/>
          </w:tcPr>
          <w:p w14:paraId="0056D000">
            <w:pPr>
              <w:rPr>
                <w:sz w:val="21"/>
                <w:szCs w:val="21"/>
                <w:highlight w:val="none"/>
              </w:rPr>
            </w:pPr>
            <w:r>
              <w:rPr>
                <w:rFonts w:hint="eastAsia"/>
                <w:sz w:val="21"/>
                <w:szCs w:val="21"/>
                <w:highlight w:val="none"/>
              </w:rPr>
              <w:t>　</w:t>
            </w:r>
          </w:p>
        </w:tc>
        <w:tc>
          <w:tcPr>
            <w:tcW w:w="715" w:type="dxa"/>
            <w:tcBorders>
              <w:top w:val="nil"/>
              <w:left w:val="nil"/>
              <w:bottom w:val="single" w:color="auto" w:sz="4" w:space="0"/>
              <w:right w:val="single" w:color="auto" w:sz="4" w:space="0"/>
            </w:tcBorders>
            <w:shd w:val="clear" w:color="auto" w:fill="auto"/>
            <w:noWrap/>
            <w:vAlign w:val="center"/>
          </w:tcPr>
          <w:p w14:paraId="1D7644D4">
            <w:pPr>
              <w:rPr>
                <w:sz w:val="21"/>
                <w:szCs w:val="21"/>
                <w:highlight w:val="none"/>
              </w:rPr>
            </w:pPr>
            <w:r>
              <w:rPr>
                <w:rFonts w:hint="eastAsia"/>
                <w:sz w:val="21"/>
                <w:szCs w:val="21"/>
                <w:highlight w:val="none"/>
              </w:rPr>
              <w:t>　</w:t>
            </w:r>
          </w:p>
        </w:tc>
        <w:tc>
          <w:tcPr>
            <w:tcW w:w="844" w:type="dxa"/>
            <w:tcBorders>
              <w:top w:val="nil"/>
              <w:left w:val="nil"/>
              <w:bottom w:val="single" w:color="auto" w:sz="4" w:space="0"/>
              <w:right w:val="single" w:color="auto" w:sz="4" w:space="0"/>
            </w:tcBorders>
            <w:shd w:val="clear" w:color="auto" w:fill="auto"/>
            <w:noWrap/>
            <w:vAlign w:val="center"/>
          </w:tcPr>
          <w:p w14:paraId="5D3B2EAA">
            <w:pPr>
              <w:rPr>
                <w:sz w:val="21"/>
                <w:szCs w:val="21"/>
                <w:highlight w:val="none"/>
              </w:rPr>
            </w:pPr>
            <w:r>
              <w:rPr>
                <w:rFonts w:hint="eastAsia"/>
                <w:sz w:val="21"/>
                <w:szCs w:val="21"/>
                <w:highlight w:val="none"/>
              </w:rPr>
              <w:t>　</w:t>
            </w:r>
          </w:p>
        </w:tc>
        <w:tc>
          <w:tcPr>
            <w:tcW w:w="992" w:type="dxa"/>
            <w:tcBorders>
              <w:top w:val="nil"/>
              <w:left w:val="nil"/>
              <w:bottom w:val="single" w:color="auto" w:sz="4" w:space="0"/>
              <w:right w:val="single" w:color="auto" w:sz="4" w:space="0"/>
            </w:tcBorders>
            <w:shd w:val="clear" w:color="auto" w:fill="auto"/>
            <w:noWrap/>
            <w:vAlign w:val="center"/>
          </w:tcPr>
          <w:p w14:paraId="427A1A15">
            <w:pPr>
              <w:rPr>
                <w:sz w:val="21"/>
                <w:szCs w:val="21"/>
                <w:highlight w:val="none"/>
              </w:rPr>
            </w:pPr>
            <w:r>
              <w:rPr>
                <w:rFonts w:hint="eastAsia"/>
                <w:sz w:val="21"/>
                <w:szCs w:val="21"/>
                <w:highlight w:val="none"/>
              </w:rPr>
              <w:t>　</w:t>
            </w:r>
          </w:p>
        </w:tc>
        <w:tc>
          <w:tcPr>
            <w:tcW w:w="851" w:type="dxa"/>
            <w:tcBorders>
              <w:top w:val="nil"/>
              <w:left w:val="nil"/>
              <w:bottom w:val="single" w:color="auto" w:sz="4" w:space="0"/>
              <w:right w:val="single" w:color="auto" w:sz="4" w:space="0"/>
            </w:tcBorders>
            <w:shd w:val="clear" w:color="auto" w:fill="auto"/>
            <w:noWrap/>
            <w:vAlign w:val="center"/>
          </w:tcPr>
          <w:p w14:paraId="614767CD">
            <w:pPr>
              <w:rPr>
                <w:sz w:val="21"/>
                <w:szCs w:val="21"/>
                <w:highlight w:val="none"/>
              </w:rPr>
            </w:pPr>
            <w:r>
              <w:rPr>
                <w:rFonts w:hint="eastAsia"/>
                <w:sz w:val="21"/>
                <w:szCs w:val="21"/>
                <w:highlight w:val="none"/>
              </w:rPr>
              <w:t>　</w:t>
            </w:r>
          </w:p>
        </w:tc>
        <w:tc>
          <w:tcPr>
            <w:tcW w:w="708" w:type="dxa"/>
            <w:tcBorders>
              <w:top w:val="nil"/>
              <w:left w:val="nil"/>
              <w:bottom w:val="single" w:color="auto" w:sz="4" w:space="0"/>
              <w:right w:val="single" w:color="auto" w:sz="4" w:space="0"/>
            </w:tcBorders>
            <w:shd w:val="clear" w:color="auto" w:fill="auto"/>
            <w:noWrap/>
            <w:vAlign w:val="center"/>
          </w:tcPr>
          <w:p w14:paraId="0B660AF4">
            <w:pPr>
              <w:rPr>
                <w:sz w:val="21"/>
                <w:szCs w:val="21"/>
                <w:highlight w:val="none"/>
              </w:rPr>
            </w:pPr>
            <w:r>
              <w:rPr>
                <w:rFonts w:hint="eastAsia"/>
                <w:sz w:val="21"/>
                <w:szCs w:val="21"/>
                <w:highlight w:val="none"/>
              </w:rPr>
              <w:t>　</w:t>
            </w:r>
          </w:p>
        </w:tc>
      </w:tr>
      <w:tr w14:paraId="525EE010">
        <w:tblPrEx>
          <w:tblCellMar>
            <w:top w:w="0" w:type="dxa"/>
            <w:left w:w="108" w:type="dxa"/>
            <w:bottom w:w="0" w:type="dxa"/>
            <w:right w:w="108" w:type="dxa"/>
          </w:tblCellMar>
        </w:tblPrEx>
        <w:trPr>
          <w:trHeight w:val="2772" w:hRule="atLeast"/>
        </w:trPr>
        <w:tc>
          <w:tcPr>
            <w:tcW w:w="857" w:type="dxa"/>
            <w:tcBorders>
              <w:top w:val="nil"/>
              <w:left w:val="single" w:color="auto" w:sz="4" w:space="0"/>
              <w:bottom w:val="single" w:color="auto" w:sz="4" w:space="0"/>
              <w:right w:val="single" w:color="auto" w:sz="4" w:space="0"/>
            </w:tcBorders>
            <w:shd w:val="clear" w:color="auto" w:fill="auto"/>
            <w:noWrap/>
            <w:vAlign w:val="center"/>
          </w:tcPr>
          <w:p w14:paraId="09ABC8CA">
            <w:pPr>
              <w:rPr>
                <w:sz w:val="21"/>
                <w:szCs w:val="21"/>
                <w:highlight w:val="none"/>
              </w:rPr>
            </w:pPr>
            <w:r>
              <w:rPr>
                <w:rFonts w:hint="eastAsia"/>
                <w:sz w:val="21"/>
                <w:szCs w:val="21"/>
                <w:highlight w:val="none"/>
              </w:rPr>
              <w:t>1</w:t>
            </w:r>
          </w:p>
        </w:tc>
        <w:tc>
          <w:tcPr>
            <w:tcW w:w="1710" w:type="dxa"/>
            <w:tcBorders>
              <w:top w:val="nil"/>
              <w:left w:val="nil"/>
              <w:bottom w:val="single" w:color="auto" w:sz="4" w:space="0"/>
              <w:right w:val="single" w:color="auto" w:sz="4" w:space="0"/>
            </w:tcBorders>
            <w:shd w:val="clear" w:color="auto" w:fill="auto"/>
            <w:noWrap/>
            <w:vAlign w:val="center"/>
          </w:tcPr>
          <w:p w14:paraId="1E42B312">
            <w:pPr>
              <w:rPr>
                <w:sz w:val="21"/>
                <w:szCs w:val="21"/>
                <w:highlight w:val="none"/>
              </w:rPr>
            </w:pPr>
            <w:r>
              <w:rPr>
                <w:rFonts w:hint="eastAsia"/>
                <w:sz w:val="21"/>
                <w:szCs w:val="21"/>
                <w:highlight w:val="none"/>
              </w:rPr>
              <w:t>室内篮球场防撞网</w:t>
            </w:r>
          </w:p>
        </w:tc>
        <w:tc>
          <w:tcPr>
            <w:tcW w:w="2835" w:type="dxa"/>
            <w:tcBorders>
              <w:top w:val="nil"/>
              <w:left w:val="nil"/>
              <w:bottom w:val="single" w:color="auto" w:sz="4" w:space="0"/>
              <w:right w:val="single" w:color="auto" w:sz="4" w:space="0"/>
            </w:tcBorders>
            <w:shd w:val="clear" w:color="auto" w:fill="auto"/>
            <w:vAlign w:val="center"/>
          </w:tcPr>
          <w:p w14:paraId="7FDC6A2A">
            <w:pPr>
              <w:rPr>
                <w:sz w:val="21"/>
                <w:szCs w:val="21"/>
                <w:highlight w:val="none"/>
              </w:rPr>
            </w:pPr>
            <w:r>
              <w:rPr>
                <w:rFonts w:hint="eastAsia"/>
                <w:sz w:val="21"/>
                <w:szCs w:val="21"/>
                <w:highlight w:val="none"/>
              </w:rPr>
              <w:t>1.304不锈钢管外框和主龙骨40*60*1.5mm，焊接安装；</w:t>
            </w:r>
            <w:r>
              <w:rPr>
                <w:rFonts w:hint="eastAsia"/>
                <w:sz w:val="21"/>
                <w:szCs w:val="21"/>
                <w:highlight w:val="none"/>
              </w:rPr>
              <w:br w:type="textWrapping"/>
            </w:r>
            <w:r>
              <w:rPr>
                <w:rFonts w:hint="eastAsia"/>
                <w:sz w:val="21"/>
                <w:szCs w:val="21"/>
                <w:highlight w:val="none"/>
              </w:rPr>
              <w:t>2.内框加固横竖档40*40*1.5mm，间距≤0.8米，焊接安装；</w:t>
            </w:r>
            <w:r>
              <w:rPr>
                <w:rFonts w:hint="eastAsia"/>
                <w:sz w:val="21"/>
                <w:szCs w:val="21"/>
                <w:highlight w:val="none"/>
              </w:rPr>
              <w:br w:type="textWrapping"/>
            </w:r>
            <w:r>
              <w:rPr>
                <w:rFonts w:hint="eastAsia"/>
                <w:sz w:val="21"/>
                <w:szCs w:val="21"/>
                <w:highlight w:val="none"/>
              </w:rPr>
              <w:t>3.焊接304材质波浪钩，5mm丝粗高度20mm间距50mm，，焊接安装；</w:t>
            </w:r>
            <w:r>
              <w:rPr>
                <w:rFonts w:hint="eastAsia"/>
                <w:sz w:val="21"/>
                <w:szCs w:val="21"/>
                <w:highlight w:val="none"/>
              </w:rPr>
              <w:br w:type="textWrapping"/>
            </w:r>
            <w:r>
              <w:rPr>
                <w:rFonts w:hint="eastAsia"/>
                <w:sz w:val="21"/>
                <w:szCs w:val="21"/>
                <w:highlight w:val="none"/>
              </w:rPr>
              <w:t>4.绑扎固定尼龙网，绳子粗8mm，网格≤100mm。</w:t>
            </w:r>
            <w:r>
              <w:rPr>
                <w:rFonts w:hint="eastAsia"/>
                <w:sz w:val="21"/>
                <w:szCs w:val="21"/>
                <w:highlight w:val="none"/>
              </w:rPr>
              <w:br w:type="textWrapping"/>
            </w:r>
            <w:r>
              <w:rPr>
                <w:rFonts w:hint="eastAsia"/>
                <w:sz w:val="21"/>
                <w:szCs w:val="21"/>
                <w:highlight w:val="none"/>
              </w:rPr>
              <w:t>5.含预埋件安装，饰面板修复</w:t>
            </w:r>
          </w:p>
        </w:tc>
        <w:tc>
          <w:tcPr>
            <w:tcW w:w="715" w:type="dxa"/>
            <w:tcBorders>
              <w:top w:val="nil"/>
              <w:left w:val="nil"/>
              <w:bottom w:val="single" w:color="auto" w:sz="4" w:space="0"/>
              <w:right w:val="single" w:color="auto" w:sz="4" w:space="0"/>
            </w:tcBorders>
            <w:shd w:val="clear" w:color="auto" w:fill="auto"/>
            <w:noWrap/>
            <w:vAlign w:val="center"/>
          </w:tcPr>
          <w:p w14:paraId="45E1C90A">
            <w:pPr>
              <w:rPr>
                <w:sz w:val="21"/>
                <w:szCs w:val="21"/>
                <w:highlight w:val="none"/>
              </w:rPr>
            </w:pPr>
            <w:r>
              <w:rPr>
                <w:rFonts w:hint="eastAsia"/>
                <w:sz w:val="21"/>
                <w:szCs w:val="21"/>
                <w:highlight w:val="none"/>
              </w:rPr>
              <w:t>平米</w:t>
            </w:r>
          </w:p>
        </w:tc>
        <w:tc>
          <w:tcPr>
            <w:tcW w:w="844" w:type="dxa"/>
            <w:tcBorders>
              <w:top w:val="nil"/>
              <w:left w:val="nil"/>
              <w:bottom w:val="single" w:color="auto" w:sz="4" w:space="0"/>
              <w:right w:val="single" w:color="auto" w:sz="4" w:space="0"/>
            </w:tcBorders>
            <w:shd w:val="clear" w:color="auto" w:fill="auto"/>
            <w:noWrap/>
            <w:vAlign w:val="center"/>
          </w:tcPr>
          <w:p w14:paraId="01EA612C">
            <w:pPr>
              <w:rPr>
                <w:sz w:val="21"/>
                <w:szCs w:val="21"/>
                <w:highlight w:val="none"/>
              </w:rPr>
            </w:pPr>
            <w:r>
              <w:rPr>
                <w:rFonts w:hint="eastAsia"/>
                <w:sz w:val="21"/>
                <w:szCs w:val="21"/>
                <w:highlight w:val="none"/>
              </w:rPr>
              <w:t>159.6</w:t>
            </w:r>
          </w:p>
        </w:tc>
        <w:tc>
          <w:tcPr>
            <w:tcW w:w="992" w:type="dxa"/>
            <w:tcBorders>
              <w:top w:val="nil"/>
              <w:left w:val="nil"/>
              <w:bottom w:val="single" w:color="auto" w:sz="4" w:space="0"/>
              <w:right w:val="single" w:color="auto" w:sz="4" w:space="0"/>
            </w:tcBorders>
            <w:shd w:val="clear" w:color="auto" w:fill="auto"/>
            <w:noWrap/>
            <w:vAlign w:val="center"/>
          </w:tcPr>
          <w:p w14:paraId="179E94FA">
            <w:pPr>
              <w:rPr>
                <w:sz w:val="21"/>
                <w:szCs w:val="21"/>
                <w:highlight w:val="none"/>
              </w:rPr>
            </w:pPr>
            <w:r>
              <w:rPr>
                <w:rFonts w:hint="eastAsia"/>
                <w:sz w:val="21"/>
                <w:szCs w:val="21"/>
                <w:highlight w:val="none"/>
              </w:rPr>
              <w:t>　</w:t>
            </w:r>
          </w:p>
        </w:tc>
        <w:tc>
          <w:tcPr>
            <w:tcW w:w="851" w:type="dxa"/>
            <w:tcBorders>
              <w:top w:val="nil"/>
              <w:left w:val="nil"/>
              <w:bottom w:val="single" w:color="auto" w:sz="4" w:space="0"/>
              <w:right w:val="single" w:color="auto" w:sz="4" w:space="0"/>
            </w:tcBorders>
            <w:shd w:val="clear" w:color="auto" w:fill="auto"/>
            <w:noWrap/>
            <w:vAlign w:val="center"/>
          </w:tcPr>
          <w:p w14:paraId="39C5F2F2">
            <w:pPr>
              <w:rPr>
                <w:sz w:val="21"/>
                <w:szCs w:val="21"/>
                <w:highlight w:val="none"/>
              </w:rPr>
            </w:pPr>
            <w:r>
              <w:rPr>
                <w:rFonts w:hint="eastAsia"/>
                <w:sz w:val="21"/>
                <w:szCs w:val="21"/>
                <w:highlight w:val="none"/>
              </w:rPr>
              <w:t>　</w:t>
            </w:r>
          </w:p>
        </w:tc>
        <w:tc>
          <w:tcPr>
            <w:tcW w:w="708" w:type="dxa"/>
            <w:tcBorders>
              <w:top w:val="nil"/>
              <w:left w:val="nil"/>
              <w:bottom w:val="single" w:color="auto" w:sz="4" w:space="0"/>
              <w:right w:val="single" w:color="auto" w:sz="4" w:space="0"/>
            </w:tcBorders>
            <w:shd w:val="clear" w:color="auto" w:fill="auto"/>
            <w:noWrap/>
            <w:vAlign w:val="center"/>
          </w:tcPr>
          <w:p w14:paraId="7A05FA43">
            <w:pPr>
              <w:rPr>
                <w:sz w:val="21"/>
                <w:szCs w:val="21"/>
                <w:highlight w:val="none"/>
              </w:rPr>
            </w:pPr>
            <w:r>
              <w:rPr>
                <w:rFonts w:hint="eastAsia"/>
                <w:sz w:val="21"/>
                <w:szCs w:val="21"/>
                <w:highlight w:val="none"/>
              </w:rPr>
              <w:t>　</w:t>
            </w:r>
          </w:p>
        </w:tc>
      </w:tr>
      <w:tr w14:paraId="54AFE27C">
        <w:tblPrEx>
          <w:tblCellMar>
            <w:top w:w="0" w:type="dxa"/>
            <w:left w:w="108" w:type="dxa"/>
            <w:bottom w:w="0" w:type="dxa"/>
            <w:right w:w="108" w:type="dxa"/>
          </w:tblCellMar>
        </w:tblPrEx>
        <w:trPr>
          <w:trHeight w:val="600" w:hRule="atLeast"/>
        </w:trPr>
        <w:tc>
          <w:tcPr>
            <w:tcW w:w="857" w:type="dxa"/>
            <w:tcBorders>
              <w:top w:val="nil"/>
              <w:left w:val="single" w:color="auto" w:sz="4" w:space="0"/>
              <w:bottom w:val="single" w:color="auto" w:sz="4" w:space="0"/>
              <w:right w:val="single" w:color="auto" w:sz="4" w:space="0"/>
            </w:tcBorders>
            <w:shd w:val="clear" w:color="auto" w:fill="auto"/>
            <w:noWrap/>
            <w:vAlign w:val="center"/>
          </w:tcPr>
          <w:p w14:paraId="1CC6AC3E">
            <w:pPr>
              <w:rPr>
                <w:sz w:val="21"/>
                <w:szCs w:val="21"/>
                <w:highlight w:val="none"/>
              </w:rPr>
            </w:pPr>
            <w:r>
              <w:rPr>
                <w:rFonts w:hint="eastAsia"/>
                <w:sz w:val="21"/>
                <w:szCs w:val="21"/>
                <w:highlight w:val="none"/>
              </w:rPr>
              <w:t>　</w:t>
            </w:r>
          </w:p>
        </w:tc>
        <w:tc>
          <w:tcPr>
            <w:tcW w:w="1710" w:type="dxa"/>
            <w:tcBorders>
              <w:top w:val="nil"/>
              <w:left w:val="nil"/>
              <w:bottom w:val="single" w:color="auto" w:sz="4" w:space="0"/>
              <w:right w:val="single" w:color="auto" w:sz="4" w:space="0"/>
            </w:tcBorders>
            <w:shd w:val="clear" w:color="auto" w:fill="auto"/>
            <w:noWrap/>
            <w:vAlign w:val="center"/>
          </w:tcPr>
          <w:p w14:paraId="0CCA859E">
            <w:pPr>
              <w:rPr>
                <w:sz w:val="21"/>
                <w:szCs w:val="21"/>
                <w:highlight w:val="none"/>
              </w:rPr>
            </w:pPr>
            <w:r>
              <w:rPr>
                <w:rFonts w:hint="eastAsia"/>
                <w:sz w:val="21"/>
                <w:szCs w:val="21"/>
                <w:highlight w:val="none"/>
              </w:rPr>
              <w:t>　</w:t>
            </w:r>
          </w:p>
        </w:tc>
        <w:tc>
          <w:tcPr>
            <w:tcW w:w="2835" w:type="dxa"/>
            <w:tcBorders>
              <w:top w:val="nil"/>
              <w:left w:val="nil"/>
              <w:bottom w:val="single" w:color="auto" w:sz="4" w:space="0"/>
              <w:right w:val="single" w:color="auto" w:sz="4" w:space="0"/>
            </w:tcBorders>
            <w:shd w:val="clear" w:color="auto" w:fill="auto"/>
            <w:vAlign w:val="center"/>
          </w:tcPr>
          <w:p w14:paraId="5074AFA0">
            <w:pPr>
              <w:rPr>
                <w:sz w:val="21"/>
                <w:szCs w:val="21"/>
                <w:highlight w:val="none"/>
              </w:rPr>
            </w:pPr>
            <w:r>
              <w:rPr>
                <w:rFonts w:hint="eastAsia"/>
                <w:sz w:val="21"/>
                <w:szCs w:val="21"/>
                <w:highlight w:val="none"/>
              </w:rPr>
              <w:t>　</w:t>
            </w:r>
          </w:p>
        </w:tc>
        <w:tc>
          <w:tcPr>
            <w:tcW w:w="715" w:type="dxa"/>
            <w:tcBorders>
              <w:top w:val="nil"/>
              <w:left w:val="nil"/>
              <w:bottom w:val="single" w:color="auto" w:sz="4" w:space="0"/>
              <w:right w:val="single" w:color="auto" w:sz="4" w:space="0"/>
            </w:tcBorders>
            <w:shd w:val="clear" w:color="auto" w:fill="auto"/>
            <w:noWrap/>
            <w:vAlign w:val="center"/>
          </w:tcPr>
          <w:p w14:paraId="278273EE">
            <w:pPr>
              <w:rPr>
                <w:sz w:val="21"/>
                <w:szCs w:val="21"/>
                <w:highlight w:val="none"/>
              </w:rPr>
            </w:pPr>
            <w:r>
              <w:rPr>
                <w:rFonts w:hint="eastAsia"/>
                <w:sz w:val="21"/>
                <w:szCs w:val="21"/>
                <w:highlight w:val="none"/>
              </w:rPr>
              <w:t>　</w:t>
            </w:r>
          </w:p>
        </w:tc>
        <w:tc>
          <w:tcPr>
            <w:tcW w:w="844" w:type="dxa"/>
            <w:tcBorders>
              <w:top w:val="nil"/>
              <w:left w:val="nil"/>
              <w:bottom w:val="single" w:color="auto" w:sz="4" w:space="0"/>
              <w:right w:val="single" w:color="auto" w:sz="4" w:space="0"/>
            </w:tcBorders>
            <w:shd w:val="clear" w:color="auto" w:fill="auto"/>
            <w:noWrap/>
            <w:vAlign w:val="center"/>
          </w:tcPr>
          <w:p w14:paraId="52A62D07">
            <w:pPr>
              <w:rPr>
                <w:sz w:val="21"/>
                <w:szCs w:val="21"/>
                <w:highlight w:val="none"/>
              </w:rPr>
            </w:pPr>
            <w:r>
              <w:rPr>
                <w:rFonts w:hint="eastAsia"/>
                <w:sz w:val="21"/>
                <w:szCs w:val="21"/>
                <w:highlight w:val="none"/>
              </w:rPr>
              <w:t>　</w:t>
            </w:r>
          </w:p>
        </w:tc>
        <w:tc>
          <w:tcPr>
            <w:tcW w:w="992" w:type="dxa"/>
            <w:tcBorders>
              <w:top w:val="nil"/>
              <w:left w:val="nil"/>
              <w:bottom w:val="single" w:color="auto" w:sz="4" w:space="0"/>
              <w:right w:val="single" w:color="auto" w:sz="4" w:space="0"/>
            </w:tcBorders>
            <w:shd w:val="clear" w:color="auto" w:fill="auto"/>
            <w:noWrap/>
            <w:vAlign w:val="center"/>
          </w:tcPr>
          <w:p w14:paraId="4C1A4EE4">
            <w:pPr>
              <w:rPr>
                <w:sz w:val="21"/>
                <w:szCs w:val="21"/>
                <w:highlight w:val="none"/>
              </w:rPr>
            </w:pPr>
            <w:r>
              <w:rPr>
                <w:rFonts w:hint="eastAsia"/>
                <w:sz w:val="21"/>
                <w:szCs w:val="21"/>
                <w:highlight w:val="none"/>
              </w:rPr>
              <w:t>　</w:t>
            </w:r>
          </w:p>
        </w:tc>
        <w:tc>
          <w:tcPr>
            <w:tcW w:w="851" w:type="dxa"/>
            <w:tcBorders>
              <w:top w:val="nil"/>
              <w:left w:val="nil"/>
              <w:bottom w:val="single" w:color="auto" w:sz="4" w:space="0"/>
              <w:right w:val="single" w:color="auto" w:sz="4" w:space="0"/>
            </w:tcBorders>
            <w:shd w:val="clear" w:color="auto" w:fill="auto"/>
            <w:noWrap/>
            <w:vAlign w:val="center"/>
          </w:tcPr>
          <w:p w14:paraId="28516981">
            <w:pPr>
              <w:rPr>
                <w:sz w:val="21"/>
                <w:szCs w:val="21"/>
                <w:highlight w:val="none"/>
              </w:rPr>
            </w:pPr>
            <w:r>
              <w:rPr>
                <w:rFonts w:hint="eastAsia"/>
                <w:sz w:val="21"/>
                <w:szCs w:val="21"/>
                <w:highlight w:val="none"/>
              </w:rPr>
              <w:t>　</w:t>
            </w:r>
          </w:p>
        </w:tc>
        <w:tc>
          <w:tcPr>
            <w:tcW w:w="708" w:type="dxa"/>
            <w:tcBorders>
              <w:top w:val="nil"/>
              <w:left w:val="nil"/>
              <w:bottom w:val="single" w:color="auto" w:sz="4" w:space="0"/>
              <w:right w:val="single" w:color="auto" w:sz="4" w:space="0"/>
            </w:tcBorders>
            <w:shd w:val="clear" w:color="auto" w:fill="auto"/>
            <w:noWrap/>
            <w:vAlign w:val="center"/>
          </w:tcPr>
          <w:p w14:paraId="56494A2F">
            <w:pPr>
              <w:rPr>
                <w:sz w:val="21"/>
                <w:szCs w:val="21"/>
                <w:highlight w:val="none"/>
              </w:rPr>
            </w:pPr>
            <w:r>
              <w:rPr>
                <w:rFonts w:hint="eastAsia"/>
                <w:sz w:val="21"/>
                <w:szCs w:val="21"/>
                <w:highlight w:val="none"/>
              </w:rPr>
              <w:t>　</w:t>
            </w:r>
          </w:p>
        </w:tc>
      </w:tr>
      <w:tr w14:paraId="1F32FED3">
        <w:tblPrEx>
          <w:tblCellMar>
            <w:top w:w="0" w:type="dxa"/>
            <w:left w:w="108" w:type="dxa"/>
            <w:bottom w:w="0" w:type="dxa"/>
            <w:right w:w="108" w:type="dxa"/>
          </w:tblCellMar>
        </w:tblPrEx>
        <w:trPr>
          <w:trHeight w:val="600" w:hRule="atLeast"/>
        </w:trPr>
        <w:tc>
          <w:tcPr>
            <w:tcW w:w="857" w:type="dxa"/>
            <w:tcBorders>
              <w:top w:val="nil"/>
              <w:left w:val="single" w:color="auto" w:sz="4" w:space="0"/>
              <w:bottom w:val="single" w:color="auto" w:sz="4" w:space="0"/>
              <w:right w:val="single" w:color="auto" w:sz="4" w:space="0"/>
            </w:tcBorders>
            <w:shd w:val="clear" w:color="auto" w:fill="auto"/>
            <w:noWrap/>
            <w:vAlign w:val="center"/>
          </w:tcPr>
          <w:p w14:paraId="7A90A116">
            <w:pPr>
              <w:rPr>
                <w:sz w:val="21"/>
                <w:szCs w:val="21"/>
                <w:highlight w:val="none"/>
              </w:rPr>
            </w:pPr>
            <w:r>
              <w:rPr>
                <w:rFonts w:hint="eastAsia"/>
                <w:sz w:val="21"/>
                <w:szCs w:val="21"/>
                <w:highlight w:val="none"/>
              </w:rPr>
              <w:t>七</w:t>
            </w:r>
          </w:p>
        </w:tc>
        <w:tc>
          <w:tcPr>
            <w:tcW w:w="1710" w:type="dxa"/>
            <w:tcBorders>
              <w:top w:val="nil"/>
              <w:left w:val="nil"/>
              <w:bottom w:val="single" w:color="auto" w:sz="4" w:space="0"/>
              <w:right w:val="single" w:color="auto" w:sz="4" w:space="0"/>
            </w:tcBorders>
            <w:shd w:val="clear" w:color="auto" w:fill="auto"/>
            <w:vAlign w:val="center"/>
          </w:tcPr>
          <w:p w14:paraId="1980B45E">
            <w:pPr>
              <w:rPr>
                <w:sz w:val="21"/>
                <w:szCs w:val="21"/>
                <w:highlight w:val="none"/>
              </w:rPr>
            </w:pPr>
            <w:r>
              <w:rPr>
                <w:rFonts w:hint="eastAsia"/>
                <w:sz w:val="21"/>
                <w:szCs w:val="21"/>
                <w:highlight w:val="none"/>
              </w:rPr>
              <w:t>零星电气线路安装</w:t>
            </w:r>
          </w:p>
        </w:tc>
        <w:tc>
          <w:tcPr>
            <w:tcW w:w="2835" w:type="dxa"/>
            <w:tcBorders>
              <w:top w:val="nil"/>
              <w:left w:val="nil"/>
              <w:bottom w:val="single" w:color="auto" w:sz="4" w:space="0"/>
              <w:right w:val="single" w:color="auto" w:sz="4" w:space="0"/>
            </w:tcBorders>
            <w:shd w:val="clear" w:color="auto" w:fill="auto"/>
            <w:vAlign w:val="center"/>
          </w:tcPr>
          <w:p w14:paraId="799438DC">
            <w:pPr>
              <w:rPr>
                <w:sz w:val="21"/>
                <w:szCs w:val="21"/>
                <w:highlight w:val="none"/>
              </w:rPr>
            </w:pPr>
            <w:r>
              <w:rPr>
                <w:rFonts w:hint="eastAsia"/>
                <w:sz w:val="21"/>
                <w:szCs w:val="21"/>
                <w:highlight w:val="none"/>
              </w:rPr>
              <w:t>　</w:t>
            </w:r>
          </w:p>
        </w:tc>
        <w:tc>
          <w:tcPr>
            <w:tcW w:w="715" w:type="dxa"/>
            <w:tcBorders>
              <w:top w:val="nil"/>
              <w:left w:val="nil"/>
              <w:bottom w:val="single" w:color="auto" w:sz="4" w:space="0"/>
              <w:right w:val="single" w:color="auto" w:sz="4" w:space="0"/>
            </w:tcBorders>
            <w:shd w:val="clear" w:color="auto" w:fill="auto"/>
            <w:vAlign w:val="center"/>
          </w:tcPr>
          <w:p w14:paraId="46565166">
            <w:pPr>
              <w:rPr>
                <w:sz w:val="21"/>
                <w:szCs w:val="21"/>
                <w:highlight w:val="none"/>
              </w:rPr>
            </w:pPr>
            <w:r>
              <w:rPr>
                <w:rFonts w:hint="eastAsia"/>
                <w:sz w:val="21"/>
                <w:szCs w:val="21"/>
                <w:highlight w:val="none"/>
              </w:rPr>
              <w:t>　</w:t>
            </w:r>
          </w:p>
        </w:tc>
        <w:tc>
          <w:tcPr>
            <w:tcW w:w="844" w:type="dxa"/>
            <w:tcBorders>
              <w:top w:val="nil"/>
              <w:left w:val="nil"/>
              <w:bottom w:val="single" w:color="auto" w:sz="4" w:space="0"/>
              <w:right w:val="single" w:color="auto" w:sz="4" w:space="0"/>
            </w:tcBorders>
            <w:shd w:val="clear" w:color="auto" w:fill="auto"/>
            <w:vAlign w:val="center"/>
          </w:tcPr>
          <w:p w14:paraId="787D8B18">
            <w:pPr>
              <w:rPr>
                <w:sz w:val="21"/>
                <w:szCs w:val="21"/>
                <w:highlight w:val="none"/>
              </w:rPr>
            </w:pPr>
            <w:r>
              <w:rPr>
                <w:rFonts w:hint="eastAsia"/>
                <w:sz w:val="21"/>
                <w:szCs w:val="21"/>
                <w:highlight w:val="none"/>
              </w:rPr>
              <w:t>　</w:t>
            </w:r>
          </w:p>
        </w:tc>
        <w:tc>
          <w:tcPr>
            <w:tcW w:w="992" w:type="dxa"/>
            <w:tcBorders>
              <w:top w:val="nil"/>
              <w:left w:val="nil"/>
              <w:bottom w:val="single" w:color="auto" w:sz="4" w:space="0"/>
              <w:right w:val="single" w:color="auto" w:sz="4" w:space="0"/>
            </w:tcBorders>
            <w:shd w:val="clear" w:color="auto" w:fill="auto"/>
            <w:noWrap/>
            <w:vAlign w:val="center"/>
          </w:tcPr>
          <w:p w14:paraId="034E1E25">
            <w:pPr>
              <w:rPr>
                <w:sz w:val="21"/>
                <w:szCs w:val="21"/>
                <w:highlight w:val="none"/>
              </w:rPr>
            </w:pPr>
            <w:r>
              <w:rPr>
                <w:rFonts w:hint="eastAsia"/>
                <w:sz w:val="21"/>
                <w:szCs w:val="21"/>
                <w:highlight w:val="none"/>
              </w:rPr>
              <w:t>　</w:t>
            </w:r>
          </w:p>
        </w:tc>
        <w:tc>
          <w:tcPr>
            <w:tcW w:w="851" w:type="dxa"/>
            <w:tcBorders>
              <w:top w:val="nil"/>
              <w:left w:val="nil"/>
              <w:bottom w:val="single" w:color="auto" w:sz="4" w:space="0"/>
              <w:right w:val="single" w:color="auto" w:sz="4" w:space="0"/>
            </w:tcBorders>
            <w:shd w:val="clear" w:color="auto" w:fill="auto"/>
            <w:noWrap/>
            <w:vAlign w:val="center"/>
          </w:tcPr>
          <w:p w14:paraId="66E71FD2">
            <w:pPr>
              <w:rPr>
                <w:sz w:val="21"/>
                <w:szCs w:val="21"/>
                <w:highlight w:val="none"/>
              </w:rPr>
            </w:pPr>
            <w:r>
              <w:rPr>
                <w:rFonts w:hint="eastAsia"/>
                <w:sz w:val="21"/>
                <w:szCs w:val="21"/>
                <w:highlight w:val="none"/>
              </w:rPr>
              <w:t>　</w:t>
            </w:r>
          </w:p>
        </w:tc>
        <w:tc>
          <w:tcPr>
            <w:tcW w:w="708" w:type="dxa"/>
            <w:tcBorders>
              <w:top w:val="nil"/>
              <w:left w:val="nil"/>
              <w:bottom w:val="single" w:color="auto" w:sz="4" w:space="0"/>
              <w:right w:val="single" w:color="auto" w:sz="4" w:space="0"/>
            </w:tcBorders>
            <w:shd w:val="clear" w:color="auto" w:fill="auto"/>
            <w:noWrap/>
            <w:vAlign w:val="center"/>
          </w:tcPr>
          <w:p w14:paraId="4BBCA5D7">
            <w:pPr>
              <w:rPr>
                <w:sz w:val="21"/>
                <w:szCs w:val="21"/>
                <w:highlight w:val="none"/>
              </w:rPr>
            </w:pPr>
            <w:r>
              <w:rPr>
                <w:rFonts w:hint="eastAsia"/>
                <w:sz w:val="21"/>
                <w:szCs w:val="21"/>
                <w:highlight w:val="none"/>
              </w:rPr>
              <w:t>　</w:t>
            </w:r>
          </w:p>
        </w:tc>
      </w:tr>
      <w:tr w14:paraId="0A15C2F9">
        <w:tblPrEx>
          <w:tblCellMar>
            <w:top w:w="0" w:type="dxa"/>
            <w:left w:w="108" w:type="dxa"/>
            <w:bottom w:w="0" w:type="dxa"/>
            <w:right w:w="108" w:type="dxa"/>
          </w:tblCellMar>
        </w:tblPrEx>
        <w:trPr>
          <w:trHeight w:val="600" w:hRule="atLeast"/>
        </w:trPr>
        <w:tc>
          <w:tcPr>
            <w:tcW w:w="857" w:type="dxa"/>
            <w:tcBorders>
              <w:top w:val="nil"/>
              <w:left w:val="single" w:color="auto" w:sz="4" w:space="0"/>
              <w:bottom w:val="single" w:color="auto" w:sz="4" w:space="0"/>
              <w:right w:val="single" w:color="auto" w:sz="4" w:space="0"/>
            </w:tcBorders>
            <w:shd w:val="clear" w:color="auto" w:fill="auto"/>
            <w:noWrap/>
            <w:vAlign w:val="center"/>
          </w:tcPr>
          <w:p w14:paraId="0266B6B4">
            <w:pPr>
              <w:rPr>
                <w:sz w:val="21"/>
                <w:szCs w:val="21"/>
                <w:highlight w:val="none"/>
              </w:rPr>
            </w:pPr>
            <w:r>
              <w:rPr>
                <w:rFonts w:hint="eastAsia"/>
                <w:sz w:val="21"/>
                <w:szCs w:val="21"/>
                <w:highlight w:val="none"/>
              </w:rPr>
              <w:t>1</w:t>
            </w:r>
          </w:p>
        </w:tc>
        <w:tc>
          <w:tcPr>
            <w:tcW w:w="1710" w:type="dxa"/>
            <w:tcBorders>
              <w:top w:val="nil"/>
              <w:left w:val="nil"/>
              <w:bottom w:val="single" w:color="auto" w:sz="4" w:space="0"/>
              <w:right w:val="single" w:color="auto" w:sz="4" w:space="0"/>
            </w:tcBorders>
            <w:shd w:val="clear" w:color="auto" w:fill="auto"/>
            <w:vAlign w:val="center"/>
          </w:tcPr>
          <w:p w14:paraId="397BC6E5">
            <w:pPr>
              <w:rPr>
                <w:sz w:val="21"/>
                <w:szCs w:val="21"/>
                <w:highlight w:val="none"/>
              </w:rPr>
            </w:pPr>
            <w:r>
              <w:rPr>
                <w:rFonts w:hint="eastAsia"/>
                <w:sz w:val="21"/>
                <w:szCs w:val="21"/>
                <w:highlight w:val="none"/>
              </w:rPr>
              <w:t>石膏板吊顶开检修孔</w:t>
            </w:r>
          </w:p>
        </w:tc>
        <w:tc>
          <w:tcPr>
            <w:tcW w:w="2835" w:type="dxa"/>
            <w:tcBorders>
              <w:top w:val="nil"/>
              <w:left w:val="nil"/>
              <w:bottom w:val="single" w:color="auto" w:sz="4" w:space="0"/>
              <w:right w:val="single" w:color="auto" w:sz="4" w:space="0"/>
            </w:tcBorders>
            <w:shd w:val="clear" w:color="auto" w:fill="auto"/>
            <w:vAlign w:val="center"/>
          </w:tcPr>
          <w:p w14:paraId="5C8A1F2D">
            <w:pPr>
              <w:rPr>
                <w:sz w:val="21"/>
                <w:szCs w:val="21"/>
                <w:highlight w:val="none"/>
              </w:rPr>
            </w:pPr>
            <w:r>
              <w:rPr>
                <w:rFonts w:hint="eastAsia"/>
                <w:sz w:val="21"/>
                <w:szCs w:val="21"/>
                <w:highlight w:val="none"/>
              </w:rPr>
              <w:t>原石膏板吊顶新开检修孔，内径500*500mm，含周边原有龙骨移位加固</w:t>
            </w:r>
          </w:p>
        </w:tc>
        <w:tc>
          <w:tcPr>
            <w:tcW w:w="715" w:type="dxa"/>
            <w:tcBorders>
              <w:top w:val="nil"/>
              <w:left w:val="nil"/>
              <w:bottom w:val="single" w:color="auto" w:sz="4" w:space="0"/>
              <w:right w:val="single" w:color="auto" w:sz="4" w:space="0"/>
            </w:tcBorders>
            <w:shd w:val="clear" w:color="auto" w:fill="auto"/>
            <w:vAlign w:val="center"/>
          </w:tcPr>
          <w:p w14:paraId="39DAE5FA">
            <w:pPr>
              <w:rPr>
                <w:sz w:val="21"/>
                <w:szCs w:val="21"/>
                <w:highlight w:val="none"/>
              </w:rPr>
            </w:pPr>
            <w:r>
              <w:rPr>
                <w:rFonts w:hint="eastAsia"/>
                <w:sz w:val="21"/>
                <w:szCs w:val="21"/>
                <w:highlight w:val="none"/>
              </w:rPr>
              <w:t>只</w:t>
            </w:r>
          </w:p>
        </w:tc>
        <w:tc>
          <w:tcPr>
            <w:tcW w:w="844" w:type="dxa"/>
            <w:tcBorders>
              <w:top w:val="nil"/>
              <w:left w:val="nil"/>
              <w:bottom w:val="single" w:color="auto" w:sz="4" w:space="0"/>
              <w:right w:val="single" w:color="auto" w:sz="4" w:space="0"/>
            </w:tcBorders>
            <w:shd w:val="clear" w:color="auto" w:fill="auto"/>
            <w:vAlign w:val="center"/>
          </w:tcPr>
          <w:p w14:paraId="1DB57F7D">
            <w:pPr>
              <w:rPr>
                <w:sz w:val="21"/>
                <w:szCs w:val="21"/>
                <w:highlight w:val="none"/>
              </w:rPr>
            </w:pPr>
            <w:r>
              <w:rPr>
                <w:rFonts w:hint="eastAsia"/>
                <w:sz w:val="21"/>
                <w:szCs w:val="21"/>
                <w:highlight w:val="none"/>
              </w:rPr>
              <w:t>4</w:t>
            </w:r>
          </w:p>
        </w:tc>
        <w:tc>
          <w:tcPr>
            <w:tcW w:w="992" w:type="dxa"/>
            <w:tcBorders>
              <w:top w:val="nil"/>
              <w:left w:val="nil"/>
              <w:bottom w:val="single" w:color="auto" w:sz="4" w:space="0"/>
              <w:right w:val="single" w:color="auto" w:sz="4" w:space="0"/>
            </w:tcBorders>
            <w:shd w:val="clear" w:color="auto" w:fill="auto"/>
            <w:noWrap/>
            <w:vAlign w:val="center"/>
          </w:tcPr>
          <w:p w14:paraId="56E8A5D1">
            <w:pPr>
              <w:rPr>
                <w:sz w:val="21"/>
                <w:szCs w:val="21"/>
                <w:highlight w:val="none"/>
              </w:rPr>
            </w:pPr>
            <w:r>
              <w:rPr>
                <w:rFonts w:hint="eastAsia"/>
                <w:sz w:val="21"/>
                <w:szCs w:val="21"/>
                <w:highlight w:val="none"/>
              </w:rPr>
              <w:t>　</w:t>
            </w:r>
          </w:p>
        </w:tc>
        <w:tc>
          <w:tcPr>
            <w:tcW w:w="851" w:type="dxa"/>
            <w:tcBorders>
              <w:top w:val="nil"/>
              <w:left w:val="nil"/>
              <w:bottom w:val="single" w:color="auto" w:sz="4" w:space="0"/>
              <w:right w:val="single" w:color="auto" w:sz="4" w:space="0"/>
            </w:tcBorders>
            <w:shd w:val="clear" w:color="auto" w:fill="auto"/>
            <w:noWrap/>
            <w:vAlign w:val="center"/>
          </w:tcPr>
          <w:p w14:paraId="362E20BD">
            <w:pPr>
              <w:rPr>
                <w:sz w:val="21"/>
                <w:szCs w:val="21"/>
                <w:highlight w:val="none"/>
              </w:rPr>
            </w:pPr>
            <w:r>
              <w:rPr>
                <w:rFonts w:hint="eastAsia"/>
                <w:sz w:val="21"/>
                <w:szCs w:val="21"/>
                <w:highlight w:val="none"/>
              </w:rPr>
              <w:t>　</w:t>
            </w:r>
          </w:p>
        </w:tc>
        <w:tc>
          <w:tcPr>
            <w:tcW w:w="708" w:type="dxa"/>
            <w:tcBorders>
              <w:top w:val="nil"/>
              <w:left w:val="nil"/>
              <w:bottom w:val="single" w:color="auto" w:sz="4" w:space="0"/>
              <w:right w:val="single" w:color="auto" w:sz="4" w:space="0"/>
            </w:tcBorders>
            <w:shd w:val="clear" w:color="auto" w:fill="auto"/>
            <w:noWrap/>
            <w:vAlign w:val="center"/>
          </w:tcPr>
          <w:p w14:paraId="22AAB606">
            <w:pPr>
              <w:rPr>
                <w:sz w:val="21"/>
                <w:szCs w:val="21"/>
                <w:highlight w:val="none"/>
              </w:rPr>
            </w:pPr>
            <w:r>
              <w:rPr>
                <w:rFonts w:hint="eastAsia"/>
                <w:sz w:val="21"/>
                <w:szCs w:val="21"/>
                <w:highlight w:val="none"/>
              </w:rPr>
              <w:t>　</w:t>
            </w:r>
          </w:p>
        </w:tc>
      </w:tr>
      <w:tr w14:paraId="30A25D7F">
        <w:tblPrEx>
          <w:tblCellMar>
            <w:top w:w="0" w:type="dxa"/>
            <w:left w:w="108" w:type="dxa"/>
            <w:bottom w:w="0" w:type="dxa"/>
            <w:right w:w="108" w:type="dxa"/>
          </w:tblCellMar>
        </w:tblPrEx>
        <w:trPr>
          <w:trHeight w:val="600" w:hRule="atLeast"/>
        </w:trPr>
        <w:tc>
          <w:tcPr>
            <w:tcW w:w="857" w:type="dxa"/>
            <w:tcBorders>
              <w:top w:val="nil"/>
              <w:left w:val="single" w:color="auto" w:sz="4" w:space="0"/>
              <w:bottom w:val="single" w:color="auto" w:sz="4" w:space="0"/>
              <w:right w:val="single" w:color="auto" w:sz="4" w:space="0"/>
            </w:tcBorders>
            <w:shd w:val="clear" w:color="auto" w:fill="auto"/>
            <w:noWrap/>
            <w:vAlign w:val="center"/>
          </w:tcPr>
          <w:p w14:paraId="7FE5862C">
            <w:pPr>
              <w:rPr>
                <w:sz w:val="21"/>
                <w:szCs w:val="21"/>
                <w:highlight w:val="none"/>
              </w:rPr>
            </w:pPr>
            <w:r>
              <w:rPr>
                <w:rFonts w:hint="eastAsia"/>
                <w:sz w:val="21"/>
                <w:szCs w:val="21"/>
                <w:highlight w:val="none"/>
              </w:rPr>
              <w:t>2</w:t>
            </w:r>
          </w:p>
        </w:tc>
        <w:tc>
          <w:tcPr>
            <w:tcW w:w="1710" w:type="dxa"/>
            <w:tcBorders>
              <w:top w:val="nil"/>
              <w:left w:val="nil"/>
              <w:bottom w:val="single" w:color="auto" w:sz="4" w:space="0"/>
              <w:right w:val="single" w:color="auto" w:sz="4" w:space="0"/>
            </w:tcBorders>
            <w:shd w:val="clear" w:color="auto" w:fill="auto"/>
            <w:vAlign w:val="center"/>
          </w:tcPr>
          <w:p w14:paraId="23593D46">
            <w:pPr>
              <w:rPr>
                <w:sz w:val="21"/>
                <w:szCs w:val="21"/>
                <w:highlight w:val="none"/>
              </w:rPr>
            </w:pPr>
            <w:r>
              <w:rPr>
                <w:rFonts w:hint="eastAsia"/>
                <w:sz w:val="21"/>
                <w:szCs w:val="21"/>
                <w:highlight w:val="none"/>
              </w:rPr>
              <w:t>电力电缆</w:t>
            </w:r>
          </w:p>
        </w:tc>
        <w:tc>
          <w:tcPr>
            <w:tcW w:w="2835" w:type="dxa"/>
            <w:tcBorders>
              <w:top w:val="nil"/>
              <w:left w:val="nil"/>
              <w:bottom w:val="single" w:color="auto" w:sz="4" w:space="0"/>
              <w:right w:val="single" w:color="auto" w:sz="4" w:space="0"/>
            </w:tcBorders>
            <w:shd w:val="clear" w:color="auto" w:fill="auto"/>
            <w:vAlign w:val="center"/>
          </w:tcPr>
          <w:p w14:paraId="31906080">
            <w:pPr>
              <w:rPr>
                <w:sz w:val="21"/>
                <w:szCs w:val="21"/>
                <w:highlight w:val="none"/>
              </w:rPr>
            </w:pPr>
            <w:r>
              <w:rPr>
                <w:rFonts w:hint="eastAsia"/>
                <w:sz w:val="21"/>
                <w:szCs w:val="21"/>
                <w:highlight w:val="none"/>
              </w:rPr>
              <w:t>YJV5*4mm2铜芯电缆安装，暗敷</w:t>
            </w:r>
          </w:p>
        </w:tc>
        <w:tc>
          <w:tcPr>
            <w:tcW w:w="715" w:type="dxa"/>
            <w:tcBorders>
              <w:top w:val="nil"/>
              <w:left w:val="nil"/>
              <w:bottom w:val="single" w:color="auto" w:sz="4" w:space="0"/>
              <w:right w:val="single" w:color="auto" w:sz="4" w:space="0"/>
            </w:tcBorders>
            <w:shd w:val="clear" w:color="auto" w:fill="auto"/>
            <w:vAlign w:val="center"/>
          </w:tcPr>
          <w:p w14:paraId="0AD2DF93">
            <w:pPr>
              <w:rPr>
                <w:sz w:val="21"/>
                <w:szCs w:val="21"/>
                <w:highlight w:val="none"/>
              </w:rPr>
            </w:pPr>
            <w:r>
              <w:rPr>
                <w:rFonts w:hint="eastAsia"/>
                <w:sz w:val="21"/>
                <w:szCs w:val="21"/>
                <w:highlight w:val="none"/>
              </w:rPr>
              <w:t>米</w:t>
            </w:r>
          </w:p>
        </w:tc>
        <w:tc>
          <w:tcPr>
            <w:tcW w:w="844" w:type="dxa"/>
            <w:tcBorders>
              <w:top w:val="nil"/>
              <w:left w:val="nil"/>
              <w:bottom w:val="single" w:color="auto" w:sz="4" w:space="0"/>
              <w:right w:val="single" w:color="auto" w:sz="4" w:space="0"/>
            </w:tcBorders>
            <w:shd w:val="clear" w:color="auto" w:fill="auto"/>
            <w:vAlign w:val="center"/>
          </w:tcPr>
          <w:p w14:paraId="56D7D268">
            <w:pPr>
              <w:rPr>
                <w:sz w:val="21"/>
                <w:szCs w:val="21"/>
                <w:highlight w:val="none"/>
              </w:rPr>
            </w:pPr>
            <w:r>
              <w:rPr>
                <w:rFonts w:hint="eastAsia"/>
                <w:sz w:val="21"/>
                <w:szCs w:val="21"/>
                <w:highlight w:val="none"/>
              </w:rPr>
              <w:t>45</w:t>
            </w:r>
          </w:p>
        </w:tc>
        <w:tc>
          <w:tcPr>
            <w:tcW w:w="992" w:type="dxa"/>
            <w:tcBorders>
              <w:top w:val="nil"/>
              <w:left w:val="nil"/>
              <w:bottom w:val="single" w:color="auto" w:sz="4" w:space="0"/>
              <w:right w:val="single" w:color="auto" w:sz="4" w:space="0"/>
            </w:tcBorders>
            <w:shd w:val="clear" w:color="auto" w:fill="auto"/>
            <w:noWrap/>
            <w:vAlign w:val="center"/>
          </w:tcPr>
          <w:p w14:paraId="30AFCEFA">
            <w:pPr>
              <w:rPr>
                <w:sz w:val="21"/>
                <w:szCs w:val="21"/>
                <w:highlight w:val="none"/>
              </w:rPr>
            </w:pPr>
            <w:r>
              <w:rPr>
                <w:rFonts w:hint="eastAsia"/>
                <w:sz w:val="21"/>
                <w:szCs w:val="21"/>
                <w:highlight w:val="none"/>
              </w:rPr>
              <w:t>　</w:t>
            </w:r>
          </w:p>
        </w:tc>
        <w:tc>
          <w:tcPr>
            <w:tcW w:w="851" w:type="dxa"/>
            <w:tcBorders>
              <w:top w:val="nil"/>
              <w:left w:val="nil"/>
              <w:bottom w:val="single" w:color="auto" w:sz="4" w:space="0"/>
              <w:right w:val="single" w:color="auto" w:sz="4" w:space="0"/>
            </w:tcBorders>
            <w:shd w:val="clear" w:color="auto" w:fill="auto"/>
            <w:noWrap/>
            <w:vAlign w:val="center"/>
          </w:tcPr>
          <w:p w14:paraId="63A41593">
            <w:pPr>
              <w:rPr>
                <w:sz w:val="21"/>
                <w:szCs w:val="21"/>
                <w:highlight w:val="none"/>
              </w:rPr>
            </w:pPr>
            <w:r>
              <w:rPr>
                <w:rFonts w:hint="eastAsia"/>
                <w:sz w:val="21"/>
                <w:szCs w:val="21"/>
                <w:highlight w:val="none"/>
              </w:rPr>
              <w:t>　</w:t>
            </w:r>
          </w:p>
        </w:tc>
        <w:tc>
          <w:tcPr>
            <w:tcW w:w="708" w:type="dxa"/>
            <w:tcBorders>
              <w:top w:val="nil"/>
              <w:left w:val="nil"/>
              <w:bottom w:val="single" w:color="auto" w:sz="4" w:space="0"/>
              <w:right w:val="single" w:color="auto" w:sz="4" w:space="0"/>
            </w:tcBorders>
            <w:shd w:val="clear" w:color="auto" w:fill="auto"/>
            <w:noWrap/>
            <w:vAlign w:val="center"/>
          </w:tcPr>
          <w:p w14:paraId="28DC908E">
            <w:pPr>
              <w:rPr>
                <w:sz w:val="21"/>
                <w:szCs w:val="21"/>
                <w:highlight w:val="none"/>
              </w:rPr>
            </w:pPr>
            <w:r>
              <w:rPr>
                <w:rFonts w:hint="eastAsia"/>
                <w:sz w:val="21"/>
                <w:szCs w:val="21"/>
                <w:highlight w:val="none"/>
              </w:rPr>
              <w:t>　</w:t>
            </w:r>
          </w:p>
        </w:tc>
      </w:tr>
      <w:tr w14:paraId="54D4F870">
        <w:tblPrEx>
          <w:tblCellMar>
            <w:top w:w="0" w:type="dxa"/>
            <w:left w:w="108" w:type="dxa"/>
            <w:bottom w:w="0" w:type="dxa"/>
            <w:right w:w="108" w:type="dxa"/>
          </w:tblCellMar>
        </w:tblPrEx>
        <w:trPr>
          <w:trHeight w:val="600" w:hRule="atLeast"/>
        </w:trPr>
        <w:tc>
          <w:tcPr>
            <w:tcW w:w="857" w:type="dxa"/>
            <w:tcBorders>
              <w:top w:val="nil"/>
              <w:left w:val="single" w:color="auto" w:sz="4" w:space="0"/>
              <w:bottom w:val="single" w:color="auto" w:sz="4" w:space="0"/>
              <w:right w:val="single" w:color="auto" w:sz="4" w:space="0"/>
            </w:tcBorders>
            <w:shd w:val="clear" w:color="auto" w:fill="auto"/>
            <w:noWrap/>
            <w:vAlign w:val="center"/>
          </w:tcPr>
          <w:p w14:paraId="5FE996AB">
            <w:pPr>
              <w:rPr>
                <w:sz w:val="21"/>
                <w:szCs w:val="21"/>
                <w:highlight w:val="none"/>
              </w:rPr>
            </w:pPr>
            <w:r>
              <w:rPr>
                <w:rFonts w:hint="eastAsia"/>
                <w:sz w:val="21"/>
                <w:szCs w:val="21"/>
                <w:highlight w:val="none"/>
              </w:rPr>
              <w:t>3</w:t>
            </w:r>
          </w:p>
        </w:tc>
        <w:tc>
          <w:tcPr>
            <w:tcW w:w="1710" w:type="dxa"/>
            <w:tcBorders>
              <w:top w:val="nil"/>
              <w:left w:val="nil"/>
              <w:bottom w:val="single" w:color="auto" w:sz="4" w:space="0"/>
              <w:right w:val="single" w:color="auto" w:sz="4" w:space="0"/>
            </w:tcBorders>
            <w:shd w:val="clear" w:color="auto" w:fill="auto"/>
            <w:vAlign w:val="center"/>
          </w:tcPr>
          <w:p w14:paraId="1F460D8B">
            <w:pPr>
              <w:rPr>
                <w:sz w:val="21"/>
                <w:szCs w:val="21"/>
                <w:highlight w:val="none"/>
              </w:rPr>
            </w:pPr>
            <w:r>
              <w:rPr>
                <w:rFonts w:hint="eastAsia"/>
                <w:sz w:val="21"/>
                <w:szCs w:val="21"/>
                <w:highlight w:val="none"/>
              </w:rPr>
              <w:t>铜芯电线</w:t>
            </w:r>
          </w:p>
        </w:tc>
        <w:tc>
          <w:tcPr>
            <w:tcW w:w="2835" w:type="dxa"/>
            <w:tcBorders>
              <w:top w:val="nil"/>
              <w:left w:val="nil"/>
              <w:bottom w:val="single" w:color="auto" w:sz="4" w:space="0"/>
              <w:right w:val="single" w:color="auto" w:sz="4" w:space="0"/>
            </w:tcBorders>
            <w:shd w:val="clear" w:color="auto" w:fill="auto"/>
            <w:vAlign w:val="center"/>
          </w:tcPr>
          <w:p w14:paraId="5D8244CB">
            <w:pPr>
              <w:rPr>
                <w:sz w:val="21"/>
                <w:szCs w:val="21"/>
                <w:highlight w:val="none"/>
              </w:rPr>
            </w:pPr>
            <w:r>
              <w:rPr>
                <w:rFonts w:hint="eastAsia"/>
                <w:sz w:val="21"/>
                <w:szCs w:val="21"/>
                <w:highlight w:val="none"/>
              </w:rPr>
              <w:t>BV2.5mm2铜芯线安装</w:t>
            </w:r>
          </w:p>
        </w:tc>
        <w:tc>
          <w:tcPr>
            <w:tcW w:w="715" w:type="dxa"/>
            <w:tcBorders>
              <w:top w:val="nil"/>
              <w:left w:val="nil"/>
              <w:bottom w:val="single" w:color="auto" w:sz="4" w:space="0"/>
              <w:right w:val="single" w:color="auto" w:sz="4" w:space="0"/>
            </w:tcBorders>
            <w:shd w:val="clear" w:color="auto" w:fill="auto"/>
            <w:vAlign w:val="center"/>
          </w:tcPr>
          <w:p w14:paraId="6995FB88">
            <w:pPr>
              <w:rPr>
                <w:sz w:val="21"/>
                <w:szCs w:val="21"/>
                <w:highlight w:val="none"/>
              </w:rPr>
            </w:pPr>
            <w:r>
              <w:rPr>
                <w:rFonts w:hint="eastAsia"/>
                <w:sz w:val="21"/>
                <w:szCs w:val="21"/>
                <w:highlight w:val="none"/>
              </w:rPr>
              <w:t>米</w:t>
            </w:r>
          </w:p>
        </w:tc>
        <w:tc>
          <w:tcPr>
            <w:tcW w:w="844" w:type="dxa"/>
            <w:tcBorders>
              <w:top w:val="nil"/>
              <w:left w:val="nil"/>
              <w:bottom w:val="single" w:color="auto" w:sz="4" w:space="0"/>
              <w:right w:val="single" w:color="auto" w:sz="4" w:space="0"/>
            </w:tcBorders>
            <w:shd w:val="clear" w:color="auto" w:fill="auto"/>
            <w:vAlign w:val="center"/>
          </w:tcPr>
          <w:p w14:paraId="39DF7DCD">
            <w:pPr>
              <w:rPr>
                <w:sz w:val="21"/>
                <w:szCs w:val="21"/>
                <w:highlight w:val="none"/>
              </w:rPr>
            </w:pPr>
            <w:r>
              <w:rPr>
                <w:rFonts w:hint="eastAsia"/>
                <w:sz w:val="21"/>
                <w:szCs w:val="21"/>
                <w:highlight w:val="none"/>
              </w:rPr>
              <w:t>30</w:t>
            </w:r>
          </w:p>
        </w:tc>
        <w:tc>
          <w:tcPr>
            <w:tcW w:w="992" w:type="dxa"/>
            <w:tcBorders>
              <w:top w:val="nil"/>
              <w:left w:val="nil"/>
              <w:bottom w:val="single" w:color="auto" w:sz="4" w:space="0"/>
              <w:right w:val="single" w:color="auto" w:sz="4" w:space="0"/>
            </w:tcBorders>
            <w:shd w:val="clear" w:color="auto" w:fill="auto"/>
            <w:noWrap/>
            <w:vAlign w:val="center"/>
          </w:tcPr>
          <w:p w14:paraId="4DEA02CE">
            <w:pPr>
              <w:rPr>
                <w:sz w:val="21"/>
                <w:szCs w:val="21"/>
                <w:highlight w:val="none"/>
              </w:rPr>
            </w:pPr>
            <w:r>
              <w:rPr>
                <w:rFonts w:hint="eastAsia"/>
                <w:sz w:val="21"/>
                <w:szCs w:val="21"/>
                <w:highlight w:val="none"/>
              </w:rPr>
              <w:t>　</w:t>
            </w:r>
          </w:p>
        </w:tc>
        <w:tc>
          <w:tcPr>
            <w:tcW w:w="851" w:type="dxa"/>
            <w:tcBorders>
              <w:top w:val="nil"/>
              <w:left w:val="nil"/>
              <w:bottom w:val="single" w:color="auto" w:sz="4" w:space="0"/>
              <w:right w:val="single" w:color="auto" w:sz="4" w:space="0"/>
            </w:tcBorders>
            <w:shd w:val="clear" w:color="auto" w:fill="auto"/>
            <w:noWrap/>
            <w:vAlign w:val="center"/>
          </w:tcPr>
          <w:p w14:paraId="257A70CE">
            <w:pPr>
              <w:rPr>
                <w:sz w:val="21"/>
                <w:szCs w:val="21"/>
                <w:highlight w:val="none"/>
              </w:rPr>
            </w:pPr>
            <w:r>
              <w:rPr>
                <w:rFonts w:hint="eastAsia"/>
                <w:sz w:val="21"/>
                <w:szCs w:val="21"/>
                <w:highlight w:val="none"/>
              </w:rPr>
              <w:t>　</w:t>
            </w:r>
          </w:p>
        </w:tc>
        <w:tc>
          <w:tcPr>
            <w:tcW w:w="708" w:type="dxa"/>
            <w:tcBorders>
              <w:top w:val="nil"/>
              <w:left w:val="nil"/>
              <w:bottom w:val="single" w:color="auto" w:sz="4" w:space="0"/>
              <w:right w:val="single" w:color="auto" w:sz="4" w:space="0"/>
            </w:tcBorders>
            <w:shd w:val="clear" w:color="auto" w:fill="auto"/>
            <w:noWrap/>
            <w:vAlign w:val="center"/>
          </w:tcPr>
          <w:p w14:paraId="65464BC0">
            <w:pPr>
              <w:rPr>
                <w:sz w:val="21"/>
                <w:szCs w:val="21"/>
                <w:highlight w:val="none"/>
              </w:rPr>
            </w:pPr>
            <w:r>
              <w:rPr>
                <w:rFonts w:hint="eastAsia"/>
                <w:sz w:val="21"/>
                <w:szCs w:val="21"/>
                <w:highlight w:val="none"/>
              </w:rPr>
              <w:t>　</w:t>
            </w:r>
          </w:p>
        </w:tc>
      </w:tr>
      <w:tr w14:paraId="4EB91034">
        <w:tblPrEx>
          <w:tblCellMar>
            <w:top w:w="0" w:type="dxa"/>
            <w:left w:w="108" w:type="dxa"/>
            <w:bottom w:w="0" w:type="dxa"/>
            <w:right w:w="108" w:type="dxa"/>
          </w:tblCellMar>
        </w:tblPrEx>
        <w:trPr>
          <w:trHeight w:val="600" w:hRule="atLeast"/>
        </w:trPr>
        <w:tc>
          <w:tcPr>
            <w:tcW w:w="857" w:type="dxa"/>
            <w:tcBorders>
              <w:top w:val="nil"/>
              <w:left w:val="single" w:color="auto" w:sz="4" w:space="0"/>
              <w:bottom w:val="single" w:color="auto" w:sz="4" w:space="0"/>
              <w:right w:val="single" w:color="auto" w:sz="4" w:space="0"/>
            </w:tcBorders>
            <w:shd w:val="clear" w:color="auto" w:fill="auto"/>
            <w:noWrap/>
            <w:vAlign w:val="center"/>
          </w:tcPr>
          <w:p w14:paraId="094BCBEA">
            <w:pPr>
              <w:rPr>
                <w:sz w:val="21"/>
                <w:szCs w:val="21"/>
                <w:highlight w:val="none"/>
              </w:rPr>
            </w:pPr>
            <w:r>
              <w:rPr>
                <w:rFonts w:hint="eastAsia"/>
                <w:sz w:val="21"/>
                <w:szCs w:val="21"/>
                <w:highlight w:val="none"/>
              </w:rPr>
              <w:t>4</w:t>
            </w:r>
          </w:p>
        </w:tc>
        <w:tc>
          <w:tcPr>
            <w:tcW w:w="1710" w:type="dxa"/>
            <w:tcBorders>
              <w:top w:val="nil"/>
              <w:left w:val="nil"/>
              <w:bottom w:val="single" w:color="auto" w:sz="4" w:space="0"/>
              <w:right w:val="single" w:color="auto" w:sz="4" w:space="0"/>
            </w:tcBorders>
            <w:shd w:val="clear" w:color="auto" w:fill="auto"/>
            <w:vAlign w:val="center"/>
          </w:tcPr>
          <w:p w14:paraId="3BDA80B6">
            <w:pPr>
              <w:rPr>
                <w:sz w:val="21"/>
                <w:szCs w:val="21"/>
                <w:highlight w:val="none"/>
              </w:rPr>
            </w:pPr>
            <w:r>
              <w:rPr>
                <w:rFonts w:hint="eastAsia"/>
                <w:sz w:val="21"/>
                <w:szCs w:val="21"/>
                <w:highlight w:val="none"/>
              </w:rPr>
              <w:t>铜芯电线</w:t>
            </w:r>
          </w:p>
        </w:tc>
        <w:tc>
          <w:tcPr>
            <w:tcW w:w="2835" w:type="dxa"/>
            <w:tcBorders>
              <w:top w:val="nil"/>
              <w:left w:val="nil"/>
              <w:bottom w:val="single" w:color="auto" w:sz="4" w:space="0"/>
              <w:right w:val="single" w:color="auto" w:sz="4" w:space="0"/>
            </w:tcBorders>
            <w:shd w:val="clear" w:color="auto" w:fill="auto"/>
            <w:vAlign w:val="center"/>
          </w:tcPr>
          <w:p w14:paraId="4888A281">
            <w:pPr>
              <w:rPr>
                <w:sz w:val="21"/>
                <w:szCs w:val="21"/>
                <w:highlight w:val="none"/>
              </w:rPr>
            </w:pPr>
            <w:r>
              <w:rPr>
                <w:rFonts w:hint="eastAsia"/>
                <w:sz w:val="21"/>
                <w:szCs w:val="21"/>
                <w:highlight w:val="none"/>
              </w:rPr>
              <w:t>BV4.0mm2铜芯线安装</w:t>
            </w:r>
          </w:p>
        </w:tc>
        <w:tc>
          <w:tcPr>
            <w:tcW w:w="715" w:type="dxa"/>
            <w:tcBorders>
              <w:top w:val="nil"/>
              <w:left w:val="nil"/>
              <w:bottom w:val="single" w:color="auto" w:sz="4" w:space="0"/>
              <w:right w:val="single" w:color="auto" w:sz="4" w:space="0"/>
            </w:tcBorders>
            <w:shd w:val="clear" w:color="auto" w:fill="auto"/>
            <w:vAlign w:val="center"/>
          </w:tcPr>
          <w:p w14:paraId="3CCF0747">
            <w:pPr>
              <w:rPr>
                <w:sz w:val="21"/>
                <w:szCs w:val="21"/>
                <w:highlight w:val="none"/>
              </w:rPr>
            </w:pPr>
            <w:r>
              <w:rPr>
                <w:rFonts w:hint="eastAsia"/>
                <w:sz w:val="21"/>
                <w:szCs w:val="21"/>
                <w:highlight w:val="none"/>
              </w:rPr>
              <w:t>米</w:t>
            </w:r>
          </w:p>
        </w:tc>
        <w:tc>
          <w:tcPr>
            <w:tcW w:w="844" w:type="dxa"/>
            <w:tcBorders>
              <w:top w:val="nil"/>
              <w:left w:val="nil"/>
              <w:bottom w:val="single" w:color="auto" w:sz="4" w:space="0"/>
              <w:right w:val="single" w:color="auto" w:sz="4" w:space="0"/>
            </w:tcBorders>
            <w:shd w:val="clear" w:color="auto" w:fill="auto"/>
            <w:vAlign w:val="center"/>
          </w:tcPr>
          <w:p w14:paraId="6D571584">
            <w:pPr>
              <w:rPr>
                <w:sz w:val="21"/>
                <w:szCs w:val="21"/>
                <w:highlight w:val="none"/>
              </w:rPr>
            </w:pPr>
            <w:r>
              <w:rPr>
                <w:rFonts w:hint="eastAsia"/>
                <w:sz w:val="21"/>
                <w:szCs w:val="21"/>
                <w:highlight w:val="none"/>
              </w:rPr>
              <w:t>30</w:t>
            </w:r>
          </w:p>
        </w:tc>
        <w:tc>
          <w:tcPr>
            <w:tcW w:w="992" w:type="dxa"/>
            <w:tcBorders>
              <w:top w:val="nil"/>
              <w:left w:val="nil"/>
              <w:bottom w:val="single" w:color="auto" w:sz="4" w:space="0"/>
              <w:right w:val="single" w:color="auto" w:sz="4" w:space="0"/>
            </w:tcBorders>
            <w:shd w:val="clear" w:color="auto" w:fill="auto"/>
            <w:noWrap/>
            <w:vAlign w:val="center"/>
          </w:tcPr>
          <w:p w14:paraId="40E16A48">
            <w:pPr>
              <w:rPr>
                <w:sz w:val="21"/>
                <w:szCs w:val="21"/>
                <w:highlight w:val="none"/>
              </w:rPr>
            </w:pPr>
            <w:r>
              <w:rPr>
                <w:rFonts w:hint="eastAsia"/>
                <w:sz w:val="21"/>
                <w:szCs w:val="21"/>
                <w:highlight w:val="none"/>
              </w:rPr>
              <w:t>　</w:t>
            </w:r>
          </w:p>
        </w:tc>
        <w:tc>
          <w:tcPr>
            <w:tcW w:w="851" w:type="dxa"/>
            <w:tcBorders>
              <w:top w:val="nil"/>
              <w:left w:val="nil"/>
              <w:bottom w:val="single" w:color="auto" w:sz="4" w:space="0"/>
              <w:right w:val="single" w:color="auto" w:sz="4" w:space="0"/>
            </w:tcBorders>
            <w:shd w:val="clear" w:color="auto" w:fill="auto"/>
            <w:noWrap/>
            <w:vAlign w:val="center"/>
          </w:tcPr>
          <w:p w14:paraId="22B7136A">
            <w:pPr>
              <w:rPr>
                <w:sz w:val="21"/>
                <w:szCs w:val="21"/>
                <w:highlight w:val="none"/>
              </w:rPr>
            </w:pPr>
            <w:r>
              <w:rPr>
                <w:rFonts w:hint="eastAsia"/>
                <w:sz w:val="21"/>
                <w:szCs w:val="21"/>
                <w:highlight w:val="none"/>
              </w:rPr>
              <w:t>　</w:t>
            </w:r>
          </w:p>
        </w:tc>
        <w:tc>
          <w:tcPr>
            <w:tcW w:w="708" w:type="dxa"/>
            <w:tcBorders>
              <w:top w:val="nil"/>
              <w:left w:val="nil"/>
              <w:bottom w:val="single" w:color="auto" w:sz="4" w:space="0"/>
              <w:right w:val="single" w:color="auto" w:sz="4" w:space="0"/>
            </w:tcBorders>
            <w:shd w:val="clear" w:color="auto" w:fill="auto"/>
            <w:noWrap/>
            <w:vAlign w:val="center"/>
          </w:tcPr>
          <w:p w14:paraId="64709961">
            <w:pPr>
              <w:rPr>
                <w:sz w:val="21"/>
                <w:szCs w:val="21"/>
                <w:highlight w:val="none"/>
              </w:rPr>
            </w:pPr>
            <w:r>
              <w:rPr>
                <w:rFonts w:hint="eastAsia"/>
                <w:sz w:val="21"/>
                <w:szCs w:val="21"/>
                <w:highlight w:val="none"/>
              </w:rPr>
              <w:t>　</w:t>
            </w:r>
          </w:p>
        </w:tc>
      </w:tr>
      <w:tr w14:paraId="3EAF5F0B">
        <w:tblPrEx>
          <w:tblCellMar>
            <w:top w:w="0" w:type="dxa"/>
            <w:left w:w="108" w:type="dxa"/>
            <w:bottom w:w="0" w:type="dxa"/>
            <w:right w:w="108" w:type="dxa"/>
          </w:tblCellMar>
        </w:tblPrEx>
        <w:trPr>
          <w:trHeight w:val="600" w:hRule="atLeast"/>
        </w:trPr>
        <w:tc>
          <w:tcPr>
            <w:tcW w:w="857" w:type="dxa"/>
            <w:tcBorders>
              <w:top w:val="nil"/>
              <w:left w:val="single" w:color="auto" w:sz="4" w:space="0"/>
              <w:bottom w:val="single" w:color="auto" w:sz="4" w:space="0"/>
              <w:right w:val="single" w:color="auto" w:sz="4" w:space="0"/>
            </w:tcBorders>
            <w:shd w:val="clear" w:color="auto" w:fill="auto"/>
            <w:noWrap/>
            <w:vAlign w:val="center"/>
          </w:tcPr>
          <w:p w14:paraId="2CAF7F4C">
            <w:pPr>
              <w:rPr>
                <w:sz w:val="21"/>
                <w:szCs w:val="21"/>
                <w:highlight w:val="none"/>
              </w:rPr>
            </w:pPr>
            <w:r>
              <w:rPr>
                <w:rFonts w:hint="eastAsia"/>
                <w:sz w:val="21"/>
                <w:szCs w:val="21"/>
                <w:highlight w:val="none"/>
              </w:rPr>
              <w:t>5</w:t>
            </w:r>
          </w:p>
        </w:tc>
        <w:tc>
          <w:tcPr>
            <w:tcW w:w="1710" w:type="dxa"/>
            <w:tcBorders>
              <w:top w:val="nil"/>
              <w:left w:val="nil"/>
              <w:bottom w:val="single" w:color="auto" w:sz="4" w:space="0"/>
              <w:right w:val="single" w:color="auto" w:sz="4" w:space="0"/>
            </w:tcBorders>
            <w:shd w:val="clear" w:color="auto" w:fill="auto"/>
            <w:vAlign w:val="center"/>
          </w:tcPr>
          <w:p w14:paraId="63B3495E">
            <w:pPr>
              <w:rPr>
                <w:sz w:val="21"/>
                <w:szCs w:val="21"/>
                <w:highlight w:val="none"/>
              </w:rPr>
            </w:pPr>
            <w:r>
              <w:rPr>
                <w:rFonts w:hint="eastAsia"/>
                <w:sz w:val="21"/>
                <w:szCs w:val="21"/>
                <w:highlight w:val="none"/>
              </w:rPr>
              <w:t>空调插座</w:t>
            </w:r>
          </w:p>
        </w:tc>
        <w:tc>
          <w:tcPr>
            <w:tcW w:w="2835" w:type="dxa"/>
            <w:tcBorders>
              <w:top w:val="nil"/>
              <w:left w:val="nil"/>
              <w:bottom w:val="single" w:color="auto" w:sz="4" w:space="0"/>
              <w:right w:val="single" w:color="auto" w:sz="4" w:space="0"/>
            </w:tcBorders>
            <w:shd w:val="clear" w:color="auto" w:fill="auto"/>
            <w:vAlign w:val="center"/>
          </w:tcPr>
          <w:p w14:paraId="70129547">
            <w:pPr>
              <w:rPr>
                <w:sz w:val="21"/>
                <w:szCs w:val="21"/>
                <w:highlight w:val="none"/>
              </w:rPr>
            </w:pPr>
            <w:r>
              <w:rPr>
                <w:rFonts w:hint="eastAsia"/>
                <w:sz w:val="21"/>
                <w:szCs w:val="21"/>
                <w:highlight w:val="none"/>
              </w:rPr>
              <w:t>三相四线25a空调插座，明装，含接线盒</w:t>
            </w:r>
          </w:p>
        </w:tc>
        <w:tc>
          <w:tcPr>
            <w:tcW w:w="715" w:type="dxa"/>
            <w:tcBorders>
              <w:top w:val="nil"/>
              <w:left w:val="nil"/>
              <w:bottom w:val="single" w:color="auto" w:sz="4" w:space="0"/>
              <w:right w:val="single" w:color="auto" w:sz="4" w:space="0"/>
            </w:tcBorders>
            <w:shd w:val="clear" w:color="auto" w:fill="auto"/>
            <w:vAlign w:val="center"/>
          </w:tcPr>
          <w:p w14:paraId="13F5C7D8">
            <w:pPr>
              <w:rPr>
                <w:sz w:val="21"/>
                <w:szCs w:val="21"/>
                <w:highlight w:val="none"/>
              </w:rPr>
            </w:pPr>
            <w:r>
              <w:rPr>
                <w:rFonts w:hint="eastAsia"/>
                <w:sz w:val="21"/>
                <w:szCs w:val="21"/>
                <w:highlight w:val="none"/>
              </w:rPr>
              <w:t>只</w:t>
            </w:r>
          </w:p>
        </w:tc>
        <w:tc>
          <w:tcPr>
            <w:tcW w:w="844" w:type="dxa"/>
            <w:tcBorders>
              <w:top w:val="nil"/>
              <w:left w:val="nil"/>
              <w:bottom w:val="single" w:color="auto" w:sz="4" w:space="0"/>
              <w:right w:val="single" w:color="auto" w:sz="4" w:space="0"/>
            </w:tcBorders>
            <w:shd w:val="clear" w:color="auto" w:fill="auto"/>
            <w:vAlign w:val="center"/>
          </w:tcPr>
          <w:p w14:paraId="57007778">
            <w:pPr>
              <w:rPr>
                <w:sz w:val="21"/>
                <w:szCs w:val="21"/>
                <w:highlight w:val="none"/>
              </w:rPr>
            </w:pPr>
            <w:r>
              <w:rPr>
                <w:rFonts w:hint="eastAsia"/>
                <w:sz w:val="21"/>
                <w:szCs w:val="21"/>
                <w:highlight w:val="none"/>
              </w:rPr>
              <w:t>3</w:t>
            </w:r>
          </w:p>
        </w:tc>
        <w:tc>
          <w:tcPr>
            <w:tcW w:w="992" w:type="dxa"/>
            <w:tcBorders>
              <w:top w:val="nil"/>
              <w:left w:val="nil"/>
              <w:bottom w:val="single" w:color="auto" w:sz="4" w:space="0"/>
              <w:right w:val="single" w:color="auto" w:sz="4" w:space="0"/>
            </w:tcBorders>
            <w:shd w:val="clear" w:color="auto" w:fill="auto"/>
            <w:noWrap/>
            <w:vAlign w:val="center"/>
          </w:tcPr>
          <w:p w14:paraId="47F413CE">
            <w:pPr>
              <w:rPr>
                <w:sz w:val="21"/>
                <w:szCs w:val="21"/>
                <w:highlight w:val="none"/>
              </w:rPr>
            </w:pPr>
            <w:r>
              <w:rPr>
                <w:rFonts w:hint="eastAsia"/>
                <w:sz w:val="21"/>
                <w:szCs w:val="21"/>
                <w:highlight w:val="none"/>
              </w:rPr>
              <w:t>　</w:t>
            </w:r>
          </w:p>
        </w:tc>
        <w:tc>
          <w:tcPr>
            <w:tcW w:w="851" w:type="dxa"/>
            <w:tcBorders>
              <w:top w:val="nil"/>
              <w:left w:val="nil"/>
              <w:bottom w:val="single" w:color="auto" w:sz="4" w:space="0"/>
              <w:right w:val="single" w:color="auto" w:sz="4" w:space="0"/>
            </w:tcBorders>
            <w:shd w:val="clear" w:color="auto" w:fill="auto"/>
            <w:noWrap/>
            <w:vAlign w:val="center"/>
          </w:tcPr>
          <w:p w14:paraId="79A89E2C">
            <w:pPr>
              <w:rPr>
                <w:sz w:val="21"/>
                <w:szCs w:val="21"/>
                <w:highlight w:val="none"/>
              </w:rPr>
            </w:pPr>
            <w:r>
              <w:rPr>
                <w:rFonts w:hint="eastAsia"/>
                <w:sz w:val="21"/>
                <w:szCs w:val="21"/>
                <w:highlight w:val="none"/>
              </w:rPr>
              <w:t>　</w:t>
            </w:r>
          </w:p>
        </w:tc>
        <w:tc>
          <w:tcPr>
            <w:tcW w:w="708" w:type="dxa"/>
            <w:tcBorders>
              <w:top w:val="nil"/>
              <w:left w:val="nil"/>
              <w:bottom w:val="single" w:color="auto" w:sz="4" w:space="0"/>
              <w:right w:val="single" w:color="auto" w:sz="4" w:space="0"/>
            </w:tcBorders>
            <w:shd w:val="clear" w:color="auto" w:fill="auto"/>
            <w:noWrap/>
            <w:vAlign w:val="center"/>
          </w:tcPr>
          <w:p w14:paraId="54C9041B">
            <w:pPr>
              <w:rPr>
                <w:sz w:val="21"/>
                <w:szCs w:val="21"/>
                <w:highlight w:val="none"/>
              </w:rPr>
            </w:pPr>
            <w:r>
              <w:rPr>
                <w:rFonts w:hint="eastAsia"/>
                <w:sz w:val="21"/>
                <w:szCs w:val="21"/>
                <w:highlight w:val="none"/>
              </w:rPr>
              <w:t>　</w:t>
            </w:r>
          </w:p>
        </w:tc>
      </w:tr>
      <w:tr w14:paraId="096B2CF7">
        <w:tblPrEx>
          <w:tblCellMar>
            <w:top w:w="0" w:type="dxa"/>
            <w:left w:w="108" w:type="dxa"/>
            <w:bottom w:w="0" w:type="dxa"/>
            <w:right w:w="108" w:type="dxa"/>
          </w:tblCellMar>
        </w:tblPrEx>
        <w:trPr>
          <w:trHeight w:val="600" w:hRule="atLeast"/>
        </w:trPr>
        <w:tc>
          <w:tcPr>
            <w:tcW w:w="857" w:type="dxa"/>
            <w:tcBorders>
              <w:top w:val="nil"/>
              <w:left w:val="single" w:color="auto" w:sz="4" w:space="0"/>
              <w:bottom w:val="single" w:color="auto" w:sz="4" w:space="0"/>
              <w:right w:val="single" w:color="auto" w:sz="4" w:space="0"/>
            </w:tcBorders>
            <w:shd w:val="clear" w:color="auto" w:fill="auto"/>
            <w:noWrap/>
            <w:vAlign w:val="center"/>
          </w:tcPr>
          <w:p w14:paraId="68DDFDAA">
            <w:pPr>
              <w:rPr>
                <w:sz w:val="21"/>
                <w:szCs w:val="21"/>
                <w:highlight w:val="none"/>
              </w:rPr>
            </w:pPr>
            <w:r>
              <w:rPr>
                <w:rFonts w:hint="eastAsia"/>
                <w:sz w:val="21"/>
                <w:szCs w:val="21"/>
                <w:highlight w:val="none"/>
              </w:rPr>
              <w:t>6</w:t>
            </w:r>
          </w:p>
        </w:tc>
        <w:tc>
          <w:tcPr>
            <w:tcW w:w="1710" w:type="dxa"/>
            <w:tcBorders>
              <w:top w:val="nil"/>
              <w:left w:val="nil"/>
              <w:bottom w:val="single" w:color="auto" w:sz="4" w:space="0"/>
              <w:right w:val="single" w:color="auto" w:sz="4" w:space="0"/>
            </w:tcBorders>
            <w:shd w:val="clear" w:color="auto" w:fill="auto"/>
            <w:vAlign w:val="center"/>
          </w:tcPr>
          <w:p w14:paraId="27594657">
            <w:pPr>
              <w:rPr>
                <w:sz w:val="21"/>
                <w:szCs w:val="21"/>
                <w:highlight w:val="none"/>
              </w:rPr>
            </w:pPr>
            <w:r>
              <w:rPr>
                <w:rFonts w:hint="eastAsia"/>
                <w:sz w:val="21"/>
                <w:szCs w:val="21"/>
                <w:highlight w:val="none"/>
              </w:rPr>
              <w:t>插座</w:t>
            </w:r>
          </w:p>
        </w:tc>
        <w:tc>
          <w:tcPr>
            <w:tcW w:w="2835" w:type="dxa"/>
            <w:tcBorders>
              <w:top w:val="nil"/>
              <w:left w:val="nil"/>
              <w:bottom w:val="single" w:color="auto" w:sz="4" w:space="0"/>
              <w:right w:val="single" w:color="auto" w:sz="4" w:space="0"/>
            </w:tcBorders>
            <w:shd w:val="clear" w:color="auto" w:fill="auto"/>
            <w:vAlign w:val="center"/>
          </w:tcPr>
          <w:p w14:paraId="26EC3A72">
            <w:pPr>
              <w:rPr>
                <w:sz w:val="21"/>
                <w:szCs w:val="21"/>
                <w:highlight w:val="none"/>
              </w:rPr>
            </w:pPr>
            <w:r>
              <w:rPr>
                <w:rFonts w:hint="eastAsia"/>
                <w:sz w:val="21"/>
                <w:szCs w:val="21"/>
                <w:highlight w:val="none"/>
              </w:rPr>
              <w:t>10A三二插座，明装，含接线盒</w:t>
            </w:r>
          </w:p>
        </w:tc>
        <w:tc>
          <w:tcPr>
            <w:tcW w:w="715" w:type="dxa"/>
            <w:tcBorders>
              <w:top w:val="nil"/>
              <w:left w:val="nil"/>
              <w:bottom w:val="single" w:color="auto" w:sz="4" w:space="0"/>
              <w:right w:val="single" w:color="auto" w:sz="4" w:space="0"/>
            </w:tcBorders>
            <w:shd w:val="clear" w:color="auto" w:fill="auto"/>
            <w:vAlign w:val="center"/>
          </w:tcPr>
          <w:p w14:paraId="4F8ADBCA">
            <w:pPr>
              <w:rPr>
                <w:sz w:val="21"/>
                <w:szCs w:val="21"/>
                <w:highlight w:val="none"/>
              </w:rPr>
            </w:pPr>
            <w:r>
              <w:rPr>
                <w:rFonts w:hint="eastAsia"/>
                <w:sz w:val="21"/>
                <w:szCs w:val="21"/>
                <w:highlight w:val="none"/>
              </w:rPr>
              <w:t>只</w:t>
            </w:r>
          </w:p>
        </w:tc>
        <w:tc>
          <w:tcPr>
            <w:tcW w:w="844" w:type="dxa"/>
            <w:tcBorders>
              <w:top w:val="nil"/>
              <w:left w:val="nil"/>
              <w:bottom w:val="single" w:color="auto" w:sz="4" w:space="0"/>
              <w:right w:val="single" w:color="auto" w:sz="4" w:space="0"/>
            </w:tcBorders>
            <w:shd w:val="clear" w:color="auto" w:fill="auto"/>
            <w:vAlign w:val="center"/>
          </w:tcPr>
          <w:p w14:paraId="1D1EACF3">
            <w:pPr>
              <w:rPr>
                <w:sz w:val="21"/>
                <w:szCs w:val="21"/>
                <w:highlight w:val="none"/>
              </w:rPr>
            </w:pPr>
            <w:r>
              <w:rPr>
                <w:rFonts w:hint="eastAsia"/>
                <w:sz w:val="21"/>
                <w:szCs w:val="21"/>
                <w:highlight w:val="none"/>
              </w:rPr>
              <w:t>3</w:t>
            </w:r>
          </w:p>
        </w:tc>
        <w:tc>
          <w:tcPr>
            <w:tcW w:w="992" w:type="dxa"/>
            <w:tcBorders>
              <w:top w:val="nil"/>
              <w:left w:val="nil"/>
              <w:bottom w:val="single" w:color="auto" w:sz="4" w:space="0"/>
              <w:right w:val="single" w:color="auto" w:sz="4" w:space="0"/>
            </w:tcBorders>
            <w:shd w:val="clear" w:color="auto" w:fill="auto"/>
            <w:noWrap/>
            <w:vAlign w:val="center"/>
          </w:tcPr>
          <w:p w14:paraId="3CDDB494">
            <w:pPr>
              <w:rPr>
                <w:sz w:val="21"/>
                <w:szCs w:val="21"/>
                <w:highlight w:val="none"/>
              </w:rPr>
            </w:pPr>
            <w:r>
              <w:rPr>
                <w:rFonts w:hint="eastAsia"/>
                <w:sz w:val="21"/>
                <w:szCs w:val="21"/>
                <w:highlight w:val="none"/>
              </w:rPr>
              <w:t>　</w:t>
            </w:r>
          </w:p>
        </w:tc>
        <w:tc>
          <w:tcPr>
            <w:tcW w:w="851" w:type="dxa"/>
            <w:tcBorders>
              <w:top w:val="nil"/>
              <w:left w:val="nil"/>
              <w:bottom w:val="single" w:color="auto" w:sz="4" w:space="0"/>
              <w:right w:val="single" w:color="auto" w:sz="4" w:space="0"/>
            </w:tcBorders>
            <w:shd w:val="clear" w:color="auto" w:fill="auto"/>
            <w:noWrap/>
            <w:vAlign w:val="center"/>
          </w:tcPr>
          <w:p w14:paraId="2065647D">
            <w:pPr>
              <w:rPr>
                <w:sz w:val="21"/>
                <w:szCs w:val="21"/>
                <w:highlight w:val="none"/>
              </w:rPr>
            </w:pPr>
            <w:r>
              <w:rPr>
                <w:rFonts w:hint="eastAsia"/>
                <w:sz w:val="21"/>
                <w:szCs w:val="21"/>
                <w:highlight w:val="none"/>
              </w:rPr>
              <w:t>　</w:t>
            </w:r>
          </w:p>
        </w:tc>
        <w:tc>
          <w:tcPr>
            <w:tcW w:w="708" w:type="dxa"/>
            <w:tcBorders>
              <w:top w:val="nil"/>
              <w:left w:val="nil"/>
              <w:bottom w:val="single" w:color="auto" w:sz="4" w:space="0"/>
              <w:right w:val="single" w:color="auto" w:sz="4" w:space="0"/>
            </w:tcBorders>
            <w:shd w:val="clear" w:color="auto" w:fill="auto"/>
            <w:noWrap/>
            <w:vAlign w:val="center"/>
          </w:tcPr>
          <w:p w14:paraId="6CCCD744">
            <w:pPr>
              <w:rPr>
                <w:sz w:val="21"/>
                <w:szCs w:val="21"/>
                <w:highlight w:val="none"/>
              </w:rPr>
            </w:pPr>
            <w:r>
              <w:rPr>
                <w:rFonts w:hint="eastAsia"/>
                <w:sz w:val="21"/>
                <w:szCs w:val="21"/>
                <w:highlight w:val="none"/>
              </w:rPr>
              <w:t>　</w:t>
            </w:r>
          </w:p>
        </w:tc>
      </w:tr>
      <w:tr w14:paraId="4F8DF6D7">
        <w:tblPrEx>
          <w:tblCellMar>
            <w:top w:w="0" w:type="dxa"/>
            <w:left w:w="108" w:type="dxa"/>
            <w:bottom w:w="0" w:type="dxa"/>
            <w:right w:w="108" w:type="dxa"/>
          </w:tblCellMar>
        </w:tblPrEx>
        <w:trPr>
          <w:trHeight w:val="600" w:hRule="atLeast"/>
        </w:trPr>
        <w:tc>
          <w:tcPr>
            <w:tcW w:w="857" w:type="dxa"/>
            <w:tcBorders>
              <w:top w:val="nil"/>
              <w:left w:val="single" w:color="auto" w:sz="4" w:space="0"/>
              <w:bottom w:val="single" w:color="auto" w:sz="4" w:space="0"/>
              <w:right w:val="single" w:color="auto" w:sz="4" w:space="0"/>
            </w:tcBorders>
            <w:shd w:val="clear" w:color="auto" w:fill="auto"/>
            <w:noWrap/>
            <w:vAlign w:val="center"/>
          </w:tcPr>
          <w:p w14:paraId="6FA8AA83">
            <w:pPr>
              <w:rPr>
                <w:sz w:val="21"/>
                <w:szCs w:val="21"/>
                <w:highlight w:val="none"/>
              </w:rPr>
            </w:pPr>
            <w:r>
              <w:rPr>
                <w:rFonts w:hint="eastAsia"/>
                <w:sz w:val="21"/>
                <w:szCs w:val="21"/>
                <w:highlight w:val="none"/>
              </w:rPr>
              <w:t>7</w:t>
            </w:r>
          </w:p>
        </w:tc>
        <w:tc>
          <w:tcPr>
            <w:tcW w:w="1710" w:type="dxa"/>
            <w:tcBorders>
              <w:top w:val="nil"/>
              <w:left w:val="nil"/>
              <w:bottom w:val="single" w:color="auto" w:sz="4" w:space="0"/>
              <w:right w:val="single" w:color="auto" w:sz="4" w:space="0"/>
            </w:tcBorders>
            <w:shd w:val="clear" w:color="auto" w:fill="auto"/>
            <w:vAlign w:val="center"/>
          </w:tcPr>
          <w:p w14:paraId="34A258EE">
            <w:pPr>
              <w:rPr>
                <w:sz w:val="21"/>
                <w:szCs w:val="21"/>
                <w:highlight w:val="none"/>
              </w:rPr>
            </w:pPr>
            <w:r>
              <w:rPr>
                <w:rFonts w:hint="eastAsia"/>
                <w:sz w:val="21"/>
                <w:szCs w:val="21"/>
                <w:highlight w:val="none"/>
              </w:rPr>
              <w:t>电线管</w:t>
            </w:r>
          </w:p>
        </w:tc>
        <w:tc>
          <w:tcPr>
            <w:tcW w:w="2835" w:type="dxa"/>
            <w:tcBorders>
              <w:top w:val="nil"/>
              <w:left w:val="nil"/>
              <w:bottom w:val="single" w:color="auto" w:sz="4" w:space="0"/>
              <w:right w:val="single" w:color="auto" w:sz="4" w:space="0"/>
            </w:tcBorders>
            <w:shd w:val="clear" w:color="auto" w:fill="auto"/>
            <w:vAlign w:val="center"/>
          </w:tcPr>
          <w:p w14:paraId="533A6752">
            <w:pPr>
              <w:rPr>
                <w:sz w:val="21"/>
                <w:szCs w:val="21"/>
                <w:highlight w:val="none"/>
              </w:rPr>
            </w:pPr>
            <w:r>
              <w:rPr>
                <w:rFonts w:hint="eastAsia"/>
                <w:sz w:val="21"/>
                <w:szCs w:val="21"/>
                <w:highlight w:val="none"/>
              </w:rPr>
              <w:t>DN25PVC电线管安装</w:t>
            </w:r>
          </w:p>
        </w:tc>
        <w:tc>
          <w:tcPr>
            <w:tcW w:w="715" w:type="dxa"/>
            <w:tcBorders>
              <w:top w:val="nil"/>
              <w:left w:val="nil"/>
              <w:bottom w:val="single" w:color="auto" w:sz="4" w:space="0"/>
              <w:right w:val="single" w:color="auto" w:sz="4" w:space="0"/>
            </w:tcBorders>
            <w:shd w:val="clear" w:color="auto" w:fill="auto"/>
            <w:vAlign w:val="center"/>
          </w:tcPr>
          <w:p w14:paraId="029A8BDC">
            <w:pPr>
              <w:rPr>
                <w:sz w:val="21"/>
                <w:szCs w:val="21"/>
                <w:highlight w:val="none"/>
              </w:rPr>
            </w:pPr>
            <w:r>
              <w:rPr>
                <w:rFonts w:hint="eastAsia"/>
                <w:sz w:val="21"/>
                <w:szCs w:val="21"/>
                <w:highlight w:val="none"/>
              </w:rPr>
              <w:t>米</w:t>
            </w:r>
          </w:p>
        </w:tc>
        <w:tc>
          <w:tcPr>
            <w:tcW w:w="844" w:type="dxa"/>
            <w:tcBorders>
              <w:top w:val="nil"/>
              <w:left w:val="nil"/>
              <w:bottom w:val="single" w:color="auto" w:sz="4" w:space="0"/>
              <w:right w:val="single" w:color="auto" w:sz="4" w:space="0"/>
            </w:tcBorders>
            <w:shd w:val="clear" w:color="auto" w:fill="auto"/>
            <w:vAlign w:val="center"/>
          </w:tcPr>
          <w:p w14:paraId="7DF42CF1">
            <w:pPr>
              <w:rPr>
                <w:sz w:val="21"/>
                <w:szCs w:val="21"/>
                <w:highlight w:val="none"/>
              </w:rPr>
            </w:pPr>
            <w:r>
              <w:rPr>
                <w:rFonts w:hint="eastAsia"/>
                <w:sz w:val="21"/>
                <w:szCs w:val="21"/>
                <w:highlight w:val="none"/>
              </w:rPr>
              <w:t>45</w:t>
            </w:r>
          </w:p>
        </w:tc>
        <w:tc>
          <w:tcPr>
            <w:tcW w:w="992" w:type="dxa"/>
            <w:tcBorders>
              <w:top w:val="nil"/>
              <w:left w:val="nil"/>
              <w:bottom w:val="single" w:color="auto" w:sz="4" w:space="0"/>
              <w:right w:val="single" w:color="auto" w:sz="4" w:space="0"/>
            </w:tcBorders>
            <w:shd w:val="clear" w:color="auto" w:fill="auto"/>
            <w:noWrap/>
            <w:vAlign w:val="center"/>
          </w:tcPr>
          <w:p w14:paraId="1B6D1856">
            <w:pPr>
              <w:rPr>
                <w:sz w:val="21"/>
                <w:szCs w:val="21"/>
                <w:highlight w:val="none"/>
              </w:rPr>
            </w:pPr>
            <w:r>
              <w:rPr>
                <w:rFonts w:hint="eastAsia"/>
                <w:sz w:val="21"/>
                <w:szCs w:val="21"/>
                <w:highlight w:val="none"/>
              </w:rPr>
              <w:t>　</w:t>
            </w:r>
          </w:p>
        </w:tc>
        <w:tc>
          <w:tcPr>
            <w:tcW w:w="851" w:type="dxa"/>
            <w:tcBorders>
              <w:top w:val="nil"/>
              <w:left w:val="nil"/>
              <w:bottom w:val="single" w:color="auto" w:sz="4" w:space="0"/>
              <w:right w:val="single" w:color="auto" w:sz="4" w:space="0"/>
            </w:tcBorders>
            <w:shd w:val="clear" w:color="auto" w:fill="auto"/>
            <w:noWrap/>
            <w:vAlign w:val="center"/>
          </w:tcPr>
          <w:p w14:paraId="434B4C52">
            <w:pPr>
              <w:rPr>
                <w:sz w:val="21"/>
                <w:szCs w:val="21"/>
                <w:highlight w:val="none"/>
              </w:rPr>
            </w:pPr>
            <w:r>
              <w:rPr>
                <w:rFonts w:hint="eastAsia"/>
                <w:sz w:val="21"/>
                <w:szCs w:val="21"/>
                <w:highlight w:val="none"/>
              </w:rPr>
              <w:t>　</w:t>
            </w:r>
          </w:p>
        </w:tc>
        <w:tc>
          <w:tcPr>
            <w:tcW w:w="708" w:type="dxa"/>
            <w:tcBorders>
              <w:top w:val="nil"/>
              <w:left w:val="nil"/>
              <w:bottom w:val="single" w:color="auto" w:sz="4" w:space="0"/>
              <w:right w:val="single" w:color="auto" w:sz="4" w:space="0"/>
            </w:tcBorders>
            <w:shd w:val="clear" w:color="auto" w:fill="auto"/>
            <w:noWrap/>
            <w:vAlign w:val="center"/>
          </w:tcPr>
          <w:p w14:paraId="3ABBBEA8">
            <w:pPr>
              <w:rPr>
                <w:sz w:val="21"/>
                <w:szCs w:val="21"/>
                <w:highlight w:val="none"/>
              </w:rPr>
            </w:pPr>
            <w:r>
              <w:rPr>
                <w:rFonts w:hint="eastAsia"/>
                <w:sz w:val="21"/>
                <w:szCs w:val="21"/>
                <w:highlight w:val="none"/>
              </w:rPr>
              <w:t>　</w:t>
            </w:r>
          </w:p>
        </w:tc>
      </w:tr>
      <w:tr w14:paraId="1C53B79B">
        <w:tblPrEx>
          <w:tblCellMar>
            <w:top w:w="0" w:type="dxa"/>
            <w:left w:w="108" w:type="dxa"/>
            <w:bottom w:w="0" w:type="dxa"/>
            <w:right w:w="108" w:type="dxa"/>
          </w:tblCellMar>
        </w:tblPrEx>
        <w:trPr>
          <w:trHeight w:val="600" w:hRule="atLeast"/>
        </w:trPr>
        <w:tc>
          <w:tcPr>
            <w:tcW w:w="857" w:type="dxa"/>
            <w:tcBorders>
              <w:top w:val="nil"/>
              <w:left w:val="single" w:color="auto" w:sz="4" w:space="0"/>
              <w:bottom w:val="single" w:color="auto" w:sz="4" w:space="0"/>
              <w:right w:val="single" w:color="auto" w:sz="4" w:space="0"/>
            </w:tcBorders>
            <w:shd w:val="clear" w:color="auto" w:fill="auto"/>
            <w:noWrap/>
            <w:vAlign w:val="center"/>
          </w:tcPr>
          <w:p w14:paraId="14437EB5">
            <w:pPr>
              <w:rPr>
                <w:sz w:val="21"/>
                <w:szCs w:val="21"/>
                <w:highlight w:val="none"/>
              </w:rPr>
            </w:pPr>
            <w:r>
              <w:rPr>
                <w:rFonts w:hint="eastAsia"/>
                <w:sz w:val="21"/>
                <w:szCs w:val="21"/>
                <w:highlight w:val="none"/>
              </w:rPr>
              <w:t>8</w:t>
            </w:r>
          </w:p>
        </w:tc>
        <w:tc>
          <w:tcPr>
            <w:tcW w:w="1710" w:type="dxa"/>
            <w:tcBorders>
              <w:top w:val="nil"/>
              <w:left w:val="nil"/>
              <w:bottom w:val="single" w:color="auto" w:sz="4" w:space="0"/>
              <w:right w:val="single" w:color="auto" w:sz="4" w:space="0"/>
            </w:tcBorders>
            <w:shd w:val="clear" w:color="auto" w:fill="auto"/>
            <w:noWrap/>
            <w:vAlign w:val="center"/>
          </w:tcPr>
          <w:p w14:paraId="7C60AF1B">
            <w:pPr>
              <w:rPr>
                <w:sz w:val="21"/>
                <w:szCs w:val="21"/>
                <w:highlight w:val="none"/>
              </w:rPr>
            </w:pPr>
            <w:r>
              <w:rPr>
                <w:rFonts w:hint="eastAsia"/>
                <w:sz w:val="21"/>
                <w:szCs w:val="21"/>
                <w:highlight w:val="none"/>
              </w:rPr>
              <w:t>楼板、墙面开孔</w:t>
            </w:r>
          </w:p>
        </w:tc>
        <w:tc>
          <w:tcPr>
            <w:tcW w:w="2835" w:type="dxa"/>
            <w:tcBorders>
              <w:top w:val="nil"/>
              <w:left w:val="nil"/>
              <w:bottom w:val="single" w:color="auto" w:sz="4" w:space="0"/>
              <w:right w:val="single" w:color="auto" w:sz="4" w:space="0"/>
            </w:tcBorders>
            <w:shd w:val="clear" w:color="auto" w:fill="auto"/>
            <w:vAlign w:val="center"/>
          </w:tcPr>
          <w:p w14:paraId="242A9858">
            <w:pPr>
              <w:rPr>
                <w:sz w:val="21"/>
                <w:szCs w:val="21"/>
                <w:highlight w:val="none"/>
              </w:rPr>
            </w:pPr>
            <w:r>
              <w:rPr>
                <w:rFonts w:hint="eastAsia"/>
                <w:sz w:val="21"/>
                <w:szCs w:val="21"/>
                <w:highlight w:val="none"/>
              </w:rPr>
              <w:t>楼板、墙面开孔及周边防水修补，DN30-50</w:t>
            </w:r>
          </w:p>
        </w:tc>
        <w:tc>
          <w:tcPr>
            <w:tcW w:w="715" w:type="dxa"/>
            <w:tcBorders>
              <w:top w:val="nil"/>
              <w:left w:val="nil"/>
              <w:bottom w:val="single" w:color="auto" w:sz="4" w:space="0"/>
              <w:right w:val="single" w:color="auto" w:sz="4" w:space="0"/>
            </w:tcBorders>
            <w:shd w:val="clear" w:color="auto" w:fill="auto"/>
            <w:noWrap/>
            <w:vAlign w:val="center"/>
          </w:tcPr>
          <w:p w14:paraId="1123336D">
            <w:pPr>
              <w:rPr>
                <w:sz w:val="21"/>
                <w:szCs w:val="21"/>
                <w:highlight w:val="none"/>
              </w:rPr>
            </w:pPr>
            <w:r>
              <w:rPr>
                <w:rFonts w:hint="eastAsia"/>
                <w:sz w:val="21"/>
                <w:szCs w:val="21"/>
                <w:highlight w:val="none"/>
              </w:rPr>
              <w:t>只</w:t>
            </w:r>
          </w:p>
        </w:tc>
        <w:tc>
          <w:tcPr>
            <w:tcW w:w="844" w:type="dxa"/>
            <w:tcBorders>
              <w:top w:val="nil"/>
              <w:left w:val="nil"/>
              <w:bottom w:val="single" w:color="auto" w:sz="4" w:space="0"/>
              <w:right w:val="single" w:color="auto" w:sz="4" w:space="0"/>
            </w:tcBorders>
            <w:shd w:val="clear" w:color="auto" w:fill="auto"/>
            <w:noWrap/>
            <w:vAlign w:val="center"/>
          </w:tcPr>
          <w:p w14:paraId="0E788CB4">
            <w:pPr>
              <w:rPr>
                <w:sz w:val="21"/>
                <w:szCs w:val="21"/>
                <w:highlight w:val="none"/>
              </w:rPr>
            </w:pPr>
            <w:r>
              <w:rPr>
                <w:rFonts w:hint="eastAsia"/>
                <w:sz w:val="21"/>
                <w:szCs w:val="21"/>
                <w:highlight w:val="none"/>
              </w:rPr>
              <w:t>5</w:t>
            </w:r>
          </w:p>
        </w:tc>
        <w:tc>
          <w:tcPr>
            <w:tcW w:w="992" w:type="dxa"/>
            <w:tcBorders>
              <w:top w:val="nil"/>
              <w:left w:val="nil"/>
              <w:bottom w:val="single" w:color="auto" w:sz="4" w:space="0"/>
              <w:right w:val="single" w:color="auto" w:sz="4" w:space="0"/>
            </w:tcBorders>
            <w:shd w:val="clear" w:color="auto" w:fill="auto"/>
            <w:noWrap/>
            <w:vAlign w:val="center"/>
          </w:tcPr>
          <w:p w14:paraId="41BAA065">
            <w:pPr>
              <w:rPr>
                <w:sz w:val="21"/>
                <w:szCs w:val="21"/>
                <w:highlight w:val="none"/>
              </w:rPr>
            </w:pPr>
            <w:r>
              <w:rPr>
                <w:rFonts w:hint="eastAsia"/>
                <w:sz w:val="21"/>
                <w:szCs w:val="21"/>
                <w:highlight w:val="none"/>
              </w:rPr>
              <w:t>　</w:t>
            </w:r>
          </w:p>
        </w:tc>
        <w:tc>
          <w:tcPr>
            <w:tcW w:w="851" w:type="dxa"/>
            <w:tcBorders>
              <w:top w:val="nil"/>
              <w:left w:val="nil"/>
              <w:bottom w:val="single" w:color="auto" w:sz="4" w:space="0"/>
              <w:right w:val="single" w:color="auto" w:sz="4" w:space="0"/>
            </w:tcBorders>
            <w:shd w:val="clear" w:color="auto" w:fill="auto"/>
            <w:noWrap/>
            <w:vAlign w:val="center"/>
          </w:tcPr>
          <w:p w14:paraId="2FA815B7">
            <w:pPr>
              <w:rPr>
                <w:sz w:val="21"/>
                <w:szCs w:val="21"/>
                <w:highlight w:val="none"/>
              </w:rPr>
            </w:pPr>
            <w:r>
              <w:rPr>
                <w:rFonts w:hint="eastAsia"/>
                <w:sz w:val="21"/>
                <w:szCs w:val="21"/>
                <w:highlight w:val="none"/>
              </w:rPr>
              <w:t>　</w:t>
            </w:r>
          </w:p>
        </w:tc>
        <w:tc>
          <w:tcPr>
            <w:tcW w:w="708" w:type="dxa"/>
            <w:tcBorders>
              <w:top w:val="nil"/>
              <w:left w:val="nil"/>
              <w:bottom w:val="single" w:color="auto" w:sz="4" w:space="0"/>
              <w:right w:val="single" w:color="auto" w:sz="4" w:space="0"/>
            </w:tcBorders>
            <w:shd w:val="clear" w:color="auto" w:fill="auto"/>
            <w:noWrap/>
            <w:vAlign w:val="center"/>
          </w:tcPr>
          <w:p w14:paraId="5E55CAD8">
            <w:pPr>
              <w:rPr>
                <w:sz w:val="21"/>
                <w:szCs w:val="21"/>
                <w:highlight w:val="none"/>
              </w:rPr>
            </w:pPr>
            <w:r>
              <w:rPr>
                <w:rFonts w:hint="eastAsia"/>
                <w:sz w:val="21"/>
                <w:szCs w:val="21"/>
                <w:highlight w:val="none"/>
              </w:rPr>
              <w:t>　</w:t>
            </w:r>
          </w:p>
        </w:tc>
      </w:tr>
      <w:tr w14:paraId="60A76F2A">
        <w:tblPrEx>
          <w:tblCellMar>
            <w:top w:w="0" w:type="dxa"/>
            <w:left w:w="108" w:type="dxa"/>
            <w:bottom w:w="0" w:type="dxa"/>
            <w:right w:w="108" w:type="dxa"/>
          </w:tblCellMar>
        </w:tblPrEx>
        <w:trPr>
          <w:trHeight w:val="600" w:hRule="atLeast"/>
        </w:trPr>
        <w:tc>
          <w:tcPr>
            <w:tcW w:w="857" w:type="dxa"/>
            <w:tcBorders>
              <w:top w:val="nil"/>
              <w:left w:val="single" w:color="auto" w:sz="4" w:space="0"/>
              <w:bottom w:val="single" w:color="auto" w:sz="4" w:space="0"/>
              <w:right w:val="single" w:color="auto" w:sz="4" w:space="0"/>
            </w:tcBorders>
            <w:shd w:val="clear" w:color="auto" w:fill="auto"/>
            <w:noWrap/>
            <w:vAlign w:val="center"/>
          </w:tcPr>
          <w:p w14:paraId="52B787CE">
            <w:pPr>
              <w:rPr>
                <w:sz w:val="21"/>
                <w:szCs w:val="21"/>
                <w:highlight w:val="none"/>
              </w:rPr>
            </w:pPr>
            <w:r>
              <w:rPr>
                <w:rFonts w:hint="eastAsia"/>
                <w:sz w:val="21"/>
                <w:szCs w:val="21"/>
                <w:highlight w:val="none"/>
              </w:rPr>
              <w:t>　</w:t>
            </w:r>
          </w:p>
        </w:tc>
        <w:tc>
          <w:tcPr>
            <w:tcW w:w="1710" w:type="dxa"/>
            <w:tcBorders>
              <w:top w:val="nil"/>
              <w:left w:val="nil"/>
              <w:bottom w:val="single" w:color="auto" w:sz="4" w:space="0"/>
              <w:right w:val="single" w:color="auto" w:sz="4" w:space="0"/>
            </w:tcBorders>
            <w:shd w:val="clear" w:color="auto" w:fill="auto"/>
            <w:noWrap/>
            <w:vAlign w:val="center"/>
          </w:tcPr>
          <w:p w14:paraId="65E1C326">
            <w:pPr>
              <w:rPr>
                <w:sz w:val="21"/>
                <w:szCs w:val="21"/>
                <w:highlight w:val="none"/>
              </w:rPr>
            </w:pPr>
            <w:r>
              <w:rPr>
                <w:rFonts w:hint="eastAsia"/>
                <w:sz w:val="21"/>
                <w:szCs w:val="21"/>
                <w:highlight w:val="none"/>
              </w:rPr>
              <w:t>　</w:t>
            </w:r>
          </w:p>
        </w:tc>
        <w:tc>
          <w:tcPr>
            <w:tcW w:w="2835" w:type="dxa"/>
            <w:tcBorders>
              <w:top w:val="nil"/>
              <w:left w:val="nil"/>
              <w:bottom w:val="single" w:color="auto" w:sz="4" w:space="0"/>
              <w:right w:val="single" w:color="auto" w:sz="4" w:space="0"/>
            </w:tcBorders>
            <w:shd w:val="clear" w:color="auto" w:fill="auto"/>
            <w:vAlign w:val="center"/>
          </w:tcPr>
          <w:p w14:paraId="2108766D">
            <w:pPr>
              <w:rPr>
                <w:sz w:val="21"/>
                <w:szCs w:val="21"/>
                <w:highlight w:val="none"/>
              </w:rPr>
            </w:pPr>
            <w:r>
              <w:rPr>
                <w:rFonts w:hint="eastAsia"/>
                <w:sz w:val="21"/>
                <w:szCs w:val="21"/>
                <w:highlight w:val="none"/>
              </w:rPr>
              <w:t>　</w:t>
            </w:r>
          </w:p>
        </w:tc>
        <w:tc>
          <w:tcPr>
            <w:tcW w:w="715" w:type="dxa"/>
            <w:tcBorders>
              <w:top w:val="nil"/>
              <w:left w:val="nil"/>
              <w:bottom w:val="single" w:color="auto" w:sz="4" w:space="0"/>
              <w:right w:val="single" w:color="auto" w:sz="4" w:space="0"/>
            </w:tcBorders>
            <w:shd w:val="clear" w:color="auto" w:fill="auto"/>
            <w:noWrap/>
            <w:vAlign w:val="center"/>
          </w:tcPr>
          <w:p w14:paraId="5CB40378">
            <w:pPr>
              <w:rPr>
                <w:sz w:val="21"/>
                <w:szCs w:val="21"/>
                <w:highlight w:val="none"/>
              </w:rPr>
            </w:pPr>
            <w:r>
              <w:rPr>
                <w:rFonts w:hint="eastAsia"/>
                <w:sz w:val="21"/>
                <w:szCs w:val="21"/>
                <w:highlight w:val="none"/>
              </w:rPr>
              <w:t>　</w:t>
            </w:r>
          </w:p>
        </w:tc>
        <w:tc>
          <w:tcPr>
            <w:tcW w:w="844" w:type="dxa"/>
            <w:tcBorders>
              <w:top w:val="nil"/>
              <w:left w:val="nil"/>
              <w:bottom w:val="single" w:color="auto" w:sz="4" w:space="0"/>
              <w:right w:val="single" w:color="auto" w:sz="4" w:space="0"/>
            </w:tcBorders>
            <w:shd w:val="clear" w:color="auto" w:fill="auto"/>
            <w:noWrap/>
            <w:vAlign w:val="center"/>
          </w:tcPr>
          <w:p w14:paraId="00F60490">
            <w:pPr>
              <w:rPr>
                <w:sz w:val="21"/>
                <w:szCs w:val="21"/>
                <w:highlight w:val="none"/>
              </w:rPr>
            </w:pPr>
            <w:r>
              <w:rPr>
                <w:rFonts w:hint="eastAsia"/>
                <w:sz w:val="21"/>
                <w:szCs w:val="21"/>
                <w:highlight w:val="none"/>
              </w:rPr>
              <w:t>　</w:t>
            </w:r>
          </w:p>
        </w:tc>
        <w:tc>
          <w:tcPr>
            <w:tcW w:w="992" w:type="dxa"/>
            <w:tcBorders>
              <w:top w:val="nil"/>
              <w:left w:val="nil"/>
              <w:bottom w:val="single" w:color="auto" w:sz="4" w:space="0"/>
              <w:right w:val="single" w:color="auto" w:sz="4" w:space="0"/>
            </w:tcBorders>
            <w:shd w:val="clear" w:color="auto" w:fill="auto"/>
            <w:noWrap/>
            <w:vAlign w:val="center"/>
          </w:tcPr>
          <w:p w14:paraId="7919C65A">
            <w:pPr>
              <w:rPr>
                <w:sz w:val="21"/>
                <w:szCs w:val="21"/>
                <w:highlight w:val="none"/>
              </w:rPr>
            </w:pPr>
            <w:r>
              <w:rPr>
                <w:rFonts w:hint="eastAsia"/>
                <w:sz w:val="21"/>
                <w:szCs w:val="21"/>
                <w:highlight w:val="none"/>
              </w:rPr>
              <w:t>　</w:t>
            </w:r>
          </w:p>
        </w:tc>
        <w:tc>
          <w:tcPr>
            <w:tcW w:w="851" w:type="dxa"/>
            <w:tcBorders>
              <w:top w:val="nil"/>
              <w:left w:val="nil"/>
              <w:bottom w:val="single" w:color="auto" w:sz="4" w:space="0"/>
              <w:right w:val="single" w:color="auto" w:sz="4" w:space="0"/>
            </w:tcBorders>
            <w:shd w:val="clear" w:color="auto" w:fill="auto"/>
            <w:noWrap/>
            <w:vAlign w:val="center"/>
          </w:tcPr>
          <w:p w14:paraId="6CDB53D2">
            <w:pPr>
              <w:rPr>
                <w:sz w:val="21"/>
                <w:szCs w:val="21"/>
                <w:highlight w:val="none"/>
              </w:rPr>
            </w:pPr>
            <w:r>
              <w:rPr>
                <w:rFonts w:hint="eastAsia"/>
                <w:sz w:val="21"/>
                <w:szCs w:val="21"/>
                <w:highlight w:val="none"/>
              </w:rPr>
              <w:t>　</w:t>
            </w:r>
          </w:p>
        </w:tc>
        <w:tc>
          <w:tcPr>
            <w:tcW w:w="708" w:type="dxa"/>
            <w:tcBorders>
              <w:top w:val="nil"/>
              <w:left w:val="nil"/>
              <w:bottom w:val="single" w:color="auto" w:sz="4" w:space="0"/>
              <w:right w:val="single" w:color="auto" w:sz="4" w:space="0"/>
            </w:tcBorders>
            <w:shd w:val="clear" w:color="auto" w:fill="auto"/>
            <w:vAlign w:val="center"/>
          </w:tcPr>
          <w:p w14:paraId="352B7EAC">
            <w:pPr>
              <w:rPr>
                <w:sz w:val="21"/>
                <w:szCs w:val="21"/>
                <w:highlight w:val="none"/>
              </w:rPr>
            </w:pPr>
            <w:r>
              <w:rPr>
                <w:rFonts w:hint="eastAsia"/>
                <w:sz w:val="21"/>
                <w:szCs w:val="21"/>
                <w:highlight w:val="none"/>
              </w:rPr>
              <w:t>　</w:t>
            </w:r>
          </w:p>
        </w:tc>
      </w:tr>
      <w:tr w14:paraId="6ABDD360">
        <w:tblPrEx>
          <w:tblCellMar>
            <w:top w:w="0" w:type="dxa"/>
            <w:left w:w="108" w:type="dxa"/>
            <w:bottom w:w="0" w:type="dxa"/>
            <w:right w:w="108" w:type="dxa"/>
          </w:tblCellMar>
        </w:tblPrEx>
        <w:trPr>
          <w:trHeight w:val="600" w:hRule="atLeast"/>
        </w:trPr>
        <w:tc>
          <w:tcPr>
            <w:tcW w:w="857" w:type="dxa"/>
            <w:tcBorders>
              <w:top w:val="nil"/>
              <w:left w:val="single" w:color="auto" w:sz="4" w:space="0"/>
              <w:bottom w:val="single" w:color="auto" w:sz="4" w:space="0"/>
              <w:right w:val="single" w:color="auto" w:sz="4" w:space="0"/>
            </w:tcBorders>
            <w:shd w:val="clear" w:color="auto" w:fill="auto"/>
            <w:noWrap/>
            <w:vAlign w:val="center"/>
          </w:tcPr>
          <w:p w14:paraId="12608091">
            <w:pPr>
              <w:rPr>
                <w:sz w:val="21"/>
                <w:szCs w:val="21"/>
                <w:highlight w:val="none"/>
              </w:rPr>
            </w:pPr>
            <w:r>
              <w:rPr>
                <w:rFonts w:hint="eastAsia"/>
                <w:sz w:val="21"/>
                <w:szCs w:val="21"/>
                <w:highlight w:val="none"/>
              </w:rPr>
              <w:t>　</w:t>
            </w:r>
          </w:p>
        </w:tc>
        <w:tc>
          <w:tcPr>
            <w:tcW w:w="1710" w:type="dxa"/>
            <w:tcBorders>
              <w:top w:val="nil"/>
              <w:left w:val="nil"/>
              <w:bottom w:val="single" w:color="auto" w:sz="4" w:space="0"/>
              <w:right w:val="single" w:color="auto" w:sz="4" w:space="0"/>
            </w:tcBorders>
            <w:shd w:val="clear" w:color="auto" w:fill="auto"/>
            <w:noWrap/>
            <w:vAlign w:val="center"/>
          </w:tcPr>
          <w:p w14:paraId="1B30FA25">
            <w:pPr>
              <w:rPr>
                <w:sz w:val="21"/>
                <w:szCs w:val="21"/>
                <w:highlight w:val="none"/>
              </w:rPr>
            </w:pPr>
            <w:r>
              <w:rPr>
                <w:rFonts w:hint="eastAsia"/>
                <w:sz w:val="21"/>
                <w:szCs w:val="21"/>
                <w:highlight w:val="none"/>
              </w:rPr>
              <w:t>直接费合计</w:t>
            </w:r>
          </w:p>
        </w:tc>
        <w:tc>
          <w:tcPr>
            <w:tcW w:w="2835" w:type="dxa"/>
            <w:tcBorders>
              <w:top w:val="nil"/>
              <w:left w:val="nil"/>
              <w:bottom w:val="single" w:color="auto" w:sz="4" w:space="0"/>
              <w:right w:val="single" w:color="auto" w:sz="4" w:space="0"/>
            </w:tcBorders>
            <w:shd w:val="clear" w:color="auto" w:fill="auto"/>
            <w:vAlign w:val="center"/>
          </w:tcPr>
          <w:p w14:paraId="40F90B26">
            <w:pPr>
              <w:rPr>
                <w:sz w:val="21"/>
                <w:szCs w:val="21"/>
                <w:highlight w:val="none"/>
              </w:rPr>
            </w:pPr>
            <w:r>
              <w:rPr>
                <w:rFonts w:hint="eastAsia"/>
                <w:sz w:val="21"/>
                <w:szCs w:val="21"/>
                <w:highlight w:val="none"/>
              </w:rPr>
              <w:t>　</w:t>
            </w:r>
          </w:p>
        </w:tc>
        <w:tc>
          <w:tcPr>
            <w:tcW w:w="715" w:type="dxa"/>
            <w:tcBorders>
              <w:top w:val="nil"/>
              <w:left w:val="nil"/>
              <w:bottom w:val="single" w:color="auto" w:sz="4" w:space="0"/>
              <w:right w:val="single" w:color="auto" w:sz="4" w:space="0"/>
            </w:tcBorders>
            <w:shd w:val="clear" w:color="auto" w:fill="auto"/>
            <w:noWrap/>
            <w:vAlign w:val="center"/>
          </w:tcPr>
          <w:p w14:paraId="2D2D8301">
            <w:pPr>
              <w:rPr>
                <w:sz w:val="21"/>
                <w:szCs w:val="21"/>
                <w:highlight w:val="none"/>
              </w:rPr>
            </w:pPr>
            <w:r>
              <w:rPr>
                <w:rFonts w:hint="eastAsia"/>
                <w:sz w:val="21"/>
                <w:szCs w:val="21"/>
                <w:highlight w:val="none"/>
              </w:rPr>
              <w:t>元</w:t>
            </w:r>
          </w:p>
        </w:tc>
        <w:tc>
          <w:tcPr>
            <w:tcW w:w="844" w:type="dxa"/>
            <w:tcBorders>
              <w:top w:val="nil"/>
              <w:left w:val="nil"/>
              <w:bottom w:val="single" w:color="auto" w:sz="4" w:space="0"/>
              <w:right w:val="single" w:color="auto" w:sz="4" w:space="0"/>
            </w:tcBorders>
            <w:shd w:val="clear" w:color="auto" w:fill="auto"/>
            <w:noWrap/>
            <w:vAlign w:val="center"/>
          </w:tcPr>
          <w:p w14:paraId="46077ACE">
            <w:pPr>
              <w:rPr>
                <w:sz w:val="21"/>
                <w:szCs w:val="21"/>
                <w:highlight w:val="none"/>
              </w:rPr>
            </w:pPr>
            <w:r>
              <w:rPr>
                <w:rFonts w:hint="eastAsia"/>
                <w:sz w:val="21"/>
                <w:szCs w:val="21"/>
                <w:highlight w:val="none"/>
              </w:rPr>
              <w:t>　</w:t>
            </w:r>
          </w:p>
        </w:tc>
        <w:tc>
          <w:tcPr>
            <w:tcW w:w="992" w:type="dxa"/>
            <w:tcBorders>
              <w:top w:val="nil"/>
              <w:left w:val="nil"/>
              <w:bottom w:val="single" w:color="auto" w:sz="4" w:space="0"/>
              <w:right w:val="single" w:color="auto" w:sz="4" w:space="0"/>
            </w:tcBorders>
            <w:shd w:val="clear" w:color="auto" w:fill="auto"/>
            <w:noWrap/>
            <w:vAlign w:val="center"/>
          </w:tcPr>
          <w:p w14:paraId="27FF0894">
            <w:pPr>
              <w:rPr>
                <w:sz w:val="21"/>
                <w:szCs w:val="21"/>
                <w:highlight w:val="none"/>
              </w:rPr>
            </w:pPr>
            <w:r>
              <w:rPr>
                <w:rFonts w:hint="eastAsia"/>
                <w:sz w:val="21"/>
                <w:szCs w:val="21"/>
                <w:highlight w:val="none"/>
              </w:rPr>
              <w:t>　</w:t>
            </w:r>
          </w:p>
        </w:tc>
        <w:tc>
          <w:tcPr>
            <w:tcW w:w="851" w:type="dxa"/>
            <w:tcBorders>
              <w:top w:val="nil"/>
              <w:left w:val="nil"/>
              <w:bottom w:val="single" w:color="auto" w:sz="4" w:space="0"/>
              <w:right w:val="single" w:color="auto" w:sz="4" w:space="0"/>
            </w:tcBorders>
            <w:shd w:val="clear" w:color="auto" w:fill="auto"/>
            <w:noWrap/>
            <w:vAlign w:val="center"/>
          </w:tcPr>
          <w:p w14:paraId="7DF8E423">
            <w:pPr>
              <w:rPr>
                <w:sz w:val="21"/>
                <w:szCs w:val="21"/>
                <w:highlight w:val="none"/>
              </w:rPr>
            </w:pPr>
            <w:r>
              <w:rPr>
                <w:rFonts w:hint="eastAsia"/>
                <w:sz w:val="21"/>
                <w:szCs w:val="21"/>
                <w:highlight w:val="none"/>
              </w:rPr>
              <w:t>　</w:t>
            </w:r>
          </w:p>
        </w:tc>
        <w:tc>
          <w:tcPr>
            <w:tcW w:w="708" w:type="dxa"/>
            <w:tcBorders>
              <w:top w:val="nil"/>
              <w:left w:val="nil"/>
              <w:bottom w:val="single" w:color="auto" w:sz="4" w:space="0"/>
              <w:right w:val="single" w:color="auto" w:sz="4" w:space="0"/>
            </w:tcBorders>
            <w:shd w:val="clear" w:color="auto" w:fill="auto"/>
            <w:vAlign w:val="center"/>
          </w:tcPr>
          <w:p w14:paraId="505512C4">
            <w:pPr>
              <w:rPr>
                <w:sz w:val="21"/>
                <w:szCs w:val="21"/>
                <w:highlight w:val="none"/>
              </w:rPr>
            </w:pPr>
            <w:r>
              <w:rPr>
                <w:rFonts w:hint="eastAsia"/>
                <w:sz w:val="21"/>
                <w:szCs w:val="21"/>
                <w:highlight w:val="none"/>
              </w:rPr>
              <w:t>　</w:t>
            </w:r>
          </w:p>
        </w:tc>
      </w:tr>
      <w:tr w14:paraId="1E7A38B0">
        <w:tblPrEx>
          <w:tblCellMar>
            <w:top w:w="0" w:type="dxa"/>
            <w:left w:w="108" w:type="dxa"/>
            <w:bottom w:w="0" w:type="dxa"/>
            <w:right w:w="108" w:type="dxa"/>
          </w:tblCellMar>
        </w:tblPrEx>
        <w:trPr>
          <w:trHeight w:val="600" w:hRule="atLeast"/>
        </w:trPr>
        <w:tc>
          <w:tcPr>
            <w:tcW w:w="857" w:type="dxa"/>
            <w:tcBorders>
              <w:top w:val="nil"/>
              <w:left w:val="single" w:color="auto" w:sz="4" w:space="0"/>
              <w:bottom w:val="single" w:color="auto" w:sz="4" w:space="0"/>
              <w:right w:val="single" w:color="auto" w:sz="4" w:space="0"/>
            </w:tcBorders>
            <w:shd w:val="clear" w:color="auto" w:fill="auto"/>
            <w:noWrap/>
            <w:vAlign w:val="center"/>
          </w:tcPr>
          <w:p w14:paraId="0F62F27A">
            <w:pPr>
              <w:rPr>
                <w:sz w:val="21"/>
                <w:szCs w:val="21"/>
                <w:highlight w:val="none"/>
              </w:rPr>
            </w:pPr>
            <w:r>
              <w:rPr>
                <w:rFonts w:hint="eastAsia"/>
                <w:sz w:val="21"/>
                <w:szCs w:val="21"/>
                <w:highlight w:val="none"/>
              </w:rPr>
              <w:t>　</w:t>
            </w:r>
          </w:p>
        </w:tc>
        <w:tc>
          <w:tcPr>
            <w:tcW w:w="1710" w:type="dxa"/>
            <w:tcBorders>
              <w:top w:val="nil"/>
              <w:left w:val="nil"/>
              <w:bottom w:val="single" w:color="auto" w:sz="4" w:space="0"/>
              <w:right w:val="single" w:color="auto" w:sz="4" w:space="0"/>
            </w:tcBorders>
            <w:shd w:val="clear" w:color="auto" w:fill="auto"/>
            <w:noWrap/>
            <w:vAlign w:val="center"/>
          </w:tcPr>
          <w:p w14:paraId="61FCFBAC">
            <w:pPr>
              <w:rPr>
                <w:sz w:val="21"/>
                <w:szCs w:val="21"/>
                <w:highlight w:val="none"/>
              </w:rPr>
            </w:pPr>
            <w:r>
              <w:rPr>
                <w:rFonts w:hint="eastAsia"/>
                <w:sz w:val="21"/>
                <w:szCs w:val="21"/>
                <w:highlight w:val="none"/>
              </w:rPr>
              <w:t>税金及规费等9%</w:t>
            </w:r>
          </w:p>
        </w:tc>
        <w:tc>
          <w:tcPr>
            <w:tcW w:w="2835" w:type="dxa"/>
            <w:tcBorders>
              <w:top w:val="nil"/>
              <w:left w:val="nil"/>
              <w:bottom w:val="single" w:color="auto" w:sz="4" w:space="0"/>
              <w:right w:val="single" w:color="auto" w:sz="4" w:space="0"/>
            </w:tcBorders>
            <w:shd w:val="clear" w:color="auto" w:fill="auto"/>
            <w:vAlign w:val="center"/>
          </w:tcPr>
          <w:p w14:paraId="414FEF05">
            <w:pPr>
              <w:rPr>
                <w:sz w:val="21"/>
                <w:szCs w:val="21"/>
                <w:highlight w:val="none"/>
              </w:rPr>
            </w:pPr>
            <w:r>
              <w:rPr>
                <w:rFonts w:hint="eastAsia"/>
                <w:sz w:val="21"/>
                <w:szCs w:val="21"/>
                <w:highlight w:val="none"/>
              </w:rPr>
              <w:t>　</w:t>
            </w:r>
          </w:p>
        </w:tc>
        <w:tc>
          <w:tcPr>
            <w:tcW w:w="715" w:type="dxa"/>
            <w:tcBorders>
              <w:top w:val="nil"/>
              <w:left w:val="nil"/>
              <w:bottom w:val="single" w:color="auto" w:sz="4" w:space="0"/>
              <w:right w:val="single" w:color="auto" w:sz="4" w:space="0"/>
            </w:tcBorders>
            <w:shd w:val="clear" w:color="auto" w:fill="auto"/>
            <w:noWrap/>
            <w:vAlign w:val="center"/>
          </w:tcPr>
          <w:p w14:paraId="32915E1F">
            <w:pPr>
              <w:rPr>
                <w:sz w:val="21"/>
                <w:szCs w:val="21"/>
                <w:highlight w:val="none"/>
              </w:rPr>
            </w:pPr>
            <w:r>
              <w:rPr>
                <w:rFonts w:hint="eastAsia"/>
                <w:sz w:val="21"/>
                <w:szCs w:val="21"/>
                <w:highlight w:val="none"/>
              </w:rPr>
              <w:t>元</w:t>
            </w:r>
          </w:p>
        </w:tc>
        <w:tc>
          <w:tcPr>
            <w:tcW w:w="844" w:type="dxa"/>
            <w:tcBorders>
              <w:top w:val="nil"/>
              <w:left w:val="nil"/>
              <w:bottom w:val="single" w:color="auto" w:sz="4" w:space="0"/>
              <w:right w:val="single" w:color="auto" w:sz="4" w:space="0"/>
            </w:tcBorders>
            <w:shd w:val="clear" w:color="auto" w:fill="auto"/>
            <w:noWrap/>
            <w:vAlign w:val="center"/>
          </w:tcPr>
          <w:p w14:paraId="0DD493CC">
            <w:pPr>
              <w:rPr>
                <w:sz w:val="21"/>
                <w:szCs w:val="21"/>
                <w:highlight w:val="none"/>
              </w:rPr>
            </w:pPr>
            <w:r>
              <w:rPr>
                <w:rFonts w:hint="eastAsia"/>
                <w:sz w:val="21"/>
                <w:szCs w:val="21"/>
                <w:highlight w:val="none"/>
              </w:rPr>
              <w:t>　</w:t>
            </w:r>
          </w:p>
        </w:tc>
        <w:tc>
          <w:tcPr>
            <w:tcW w:w="992" w:type="dxa"/>
            <w:tcBorders>
              <w:top w:val="nil"/>
              <w:left w:val="nil"/>
              <w:bottom w:val="single" w:color="auto" w:sz="4" w:space="0"/>
              <w:right w:val="single" w:color="auto" w:sz="4" w:space="0"/>
            </w:tcBorders>
            <w:shd w:val="clear" w:color="auto" w:fill="auto"/>
            <w:noWrap/>
            <w:vAlign w:val="center"/>
          </w:tcPr>
          <w:p w14:paraId="2F36A5FE">
            <w:pPr>
              <w:rPr>
                <w:sz w:val="21"/>
                <w:szCs w:val="21"/>
                <w:highlight w:val="none"/>
              </w:rPr>
            </w:pPr>
            <w:r>
              <w:rPr>
                <w:rFonts w:hint="eastAsia"/>
                <w:sz w:val="21"/>
                <w:szCs w:val="21"/>
                <w:highlight w:val="none"/>
              </w:rPr>
              <w:t>　</w:t>
            </w:r>
          </w:p>
        </w:tc>
        <w:tc>
          <w:tcPr>
            <w:tcW w:w="851" w:type="dxa"/>
            <w:tcBorders>
              <w:top w:val="nil"/>
              <w:left w:val="nil"/>
              <w:bottom w:val="single" w:color="auto" w:sz="4" w:space="0"/>
              <w:right w:val="single" w:color="auto" w:sz="4" w:space="0"/>
            </w:tcBorders>
            <w:shd w:val="clear" w:color="auto" w:fill="auto"/>
            <w:noWrap/>
            <w:vAlign w:val="center"/>
          </w:tcPr>
          <w:p w14:paraId="5E8AD38B">
            <w:pPr>
              <w:rPr>
                <w:sz w:val="21"/>
                <w:szCs w:val="21"/>
                <w:highlight w:val="none"/>
              </w:rPr>
            </w:pPr>
            <w:r>
              <w:rPr>
                <w:rFonts w:hint="eastAsia"/>
                <w:sz w:val="21"/>
                <w:szCs w:val="21"/>
                <w:highlight w:val="none"/>
              </w:rPr>
              <w:t>　</w:t>
            </w:r>
          </w:p>
        </w:tc>
        <w:tc>
          <w:tcPr>
            <w:tcW w:w="708" w:type="dxa"/>
            <w:tcBorders>
              <w:top w:val="nil"/>
              <w:left w:val="nil"/>
              <w:bottom w:val="single" w:color="auto" w:sz="4" w:space="0"/>
              <w:right w:val="single" w:color="auto" w:sz="4" w:space="0"/>
            </w:tcBorders>
            <w:shd w:val="clear" w:color="auto" w:fill="auto"/>
            <w:vAlign w:val="center"/>
          </w:tcPr>
          <w:p w14:paraId="0EE26646">
            <w:pPr>
              <w:rPr>
                <w:sz w:val="21"/>
                <w:szCs w:val="21"/>
                <w:highlight w:val="none"/>
              </w:rPr>
            </w:pPr>
            <w:r>
              <w:rPr>
                <w:rFonts w:hint="eastAsia"/>
                <w:sz w:val="21"/>
                <w:szCs w:val="21"/>
                <w:highlight w:val="none"/>
              </w:rPr>
              <w:t>　</w:t>
            </w:r>
          </w:p>
        </w:tc>
      </w:tr>
      <w:tr w14:paraId="0EDD8080">
        <w:tblPrEx>
          <w:tblCellMar>
            <w:top w:w="0" w:type="dxa"/>
            <w:left w:w="108" w:type="dxa"/>
            <w:bottom w:w="0" w:type="dxa"/>
            <w:right w:w="108" w:type="dxa"/>
          </w:tblCellMar>
        </w:tblPrEx>
        <w:trPr>
          <w:trHeight w:val="600" w:hRule="atLeast"/>
        </w:trPr>
        <w:tc>
          <w:tcPr>
            <w:tcW w:w="857" w:type="dxa"/>
            <w:tcBorders>
              <w:top w:val="nil"/>
              <w:left w:val="single" w:color="auto" w:sz="4" w:space="0"/>
              <w:bottom w:val="single" w:color="auto" w:sz="4" w:space="0"/>
              <w:right w:val="single" w:color="auto" w:sz="4" w:space="0"/>
            </w:tcBorders>
            <w:shd w:val="clear" w:color="auto" w:fill="auto"/>
            <w:noWrap/>
            <w:vAlign w:val="center"/>
          </w:tcPr>
          <w:p w14:paraId="51DD86B0">
            <w:pPr>
              <w:rPr>
                <w:sz w:val="21"/>
                <w:szCs w:val="21"/>
                <w:highlight w:val="none"/>
              </w:rPr>
            </w:pPr>
            <w:r>
              <w:rPr>
                <w:rFonts w:hint="eastAsia"/>
                <w:sz w:val="21"/>
                <w:szCs w:val="21"/>
                <w:highlight w:val="none"/>
              </w:rPr>
              <w:t>　</w:t>
            </w:r>
          </w:p>
        </w:tc>
        <w:tc>
          <w:tcPr>
            <w:tcW w:w="1710" w:type="dxa"/>
            <w:tcBorders>
              <w:top w:val="nil"/>
              <w:left w:val="nil"/>
              <w:bottom w:val="single" w:color="auto" w:sz="4" w:space="0"/>
              <w:right w:val="single" w:color="auto" w:sz="4" w:space="0"/>
            </w:tcBorders>
            <w:shd w:val="clear" w:color="auto" w:fill="auto"/>
            <w:noWrap/>
            <w:vAlign w:val="center"/>
          </w:tcPr>
          <w:p w14:paraId="3A84E41B">
            <w:pPr>
              <w:rPr>
                <w:sz w:val="21"/>
                <w:szCs w:val="21"/>
                <w:highlight w:val="none"/>
              </w:rPr>
            </w:pPr>
            <w:r>
              <w:rPr>
                <w:rFonts w:hint="eastAsia"/>
                <w:sz w:val="21"/>
                <w:szCs w:val="21"/>
                <w:highlight w:val="none"/>
              </w:rPr>
              <w:t>工程造价</w:t>
            </w:r>
          </w:p>
        </w:tc>
        <w:tc>
          <w:tcPr>
            <w:tcW w:w="2835" w:type="dxa"/>
            <w:tcBorders>
              <w:top w:val="nil"/>
              <w:left w:val="nil"/>
              <w:bottom w:val="single" w:color="auto" w:sz="4" w:space="0"/>
              <w:right w:val="single" w:color="auto" w:sz="4" w:space="0"/>
            </w:tcBorders>
            <w:shd w:val="clear" w:color="auto" w:fill="auto"/>
            <w:vAlign w:val="center"/>
          </w:tcPr>
          <w:p w14:paraId="172FB54E">
            <w:pPr>
              <w:rPr>
                <w:sz w:val="21"/>
                <w:szCs w:val="21"/>
                <w:highlight w:val="none"/>
              </w:rPr>
            </w:pPr>
            <w:r>
              <w:rPr>
                <w:rFonts w:hint="eastAsia"/>
                <w:sz w:val="21"/>
                <w:szCs w:val="21"/>
                <w:highlight w:val="none"/>
              </w:rPr>
              <w:t>　</w:t>
            </w:r>
          </w:p>
        </w:tc>
        <w:tc>
          <w:tcPr>
            <w:tcW w:w="715" w:type="dxa"/>
            <w:tcBorders>
              <w:top w:val="nil"/>
              <w:left w:val="nil"/>
              <w:bottom w:val="single" w:color="auto" w:sz="4" w:space="0"/>
              <w:right w:val="single" w:color="auto" w:sz="4" w:space="0"/>
            </w:tcBorders>
            <w:shd w:val="clear" w:color="auto" w:fill="auto"/>
            <w:noWrap/>
            <w:vAlign w:val="center"/>
          </w:tcPr>
          <w:p w14:paraId="1C4B2E7B">
            <w:pPr>
              <w:rPr>
                <w:sz w:val="21"/>
                <w:szCs w:val="21"/>
                <w:highlight w:val="none"/>
              </w:rPr>
            </w:pPr>
            <w:r>
              <w:rPr>
                <w:rFonts w:hint="eastAsia"/>
                <w:sz w:val="21"/>
                <w:szCs w:val="21"/>
                <w:highlight w:val="none"/>
              </w:rPr>
              <w:t>元</w:t>
            </w:r>
          </w:p>
        </w:tc>
        <w:tc>
          <w:tcPr>
            <w:tcW w:w="844" w:type="dxa"/>
            <w:tcBorders>
              <w:top w:val="nil"/>
              <w:left w:val="nil"/>
              <w:bottom w:val="single" w:color="auto" w:sz="4" w:space="0"/>
              <w:right w:val="single" w:color="auto" w:sz="4" w:space="0"/>
            </w:tcBorders>
            <w:shd w:val="clear" w:color="auto" w:fill="auto"/>
            <w:noWrap/>
            <w:vAlign w:val="center"/>
          </w:tcPr>
          <w:p w14:paraId="0B42E08E">
            <w:pPr>
              <w:rPr>
                <w:sz w:val="21"/>
                <w:szCs w:val="21"/>
                <w:highlight w:val="none"/>
              </w:rPr>
            </w:pPr>
            <w:r>
              <w:rPr>
                <w:rFonts w:hint="eastAsia"/>
                <w:sz w:val="21"/>
                <w:szCs w:val="21"/>
                <w:highlight w:val="none"/>
              </w:rPr>
              <w:t>　</w:t>
            </w:r>
          </w:p>
        </w:tc>
        <w:tc>
          <w:tcPr>
            <w:tcW w:w="992" w:type="dxa"/>
            <w:tcBorders>
              <w:top w:val="nil"/>
              <w:left w:val="nil"/>
              <w:bottom w:val="single" w:color="auto" w:sz="4" w:space="0"/>
              <w:right w:val="single" w:color="auto" w:sz="4" w:space="0"/>
            </w:tcBorders>
            <w:shd w:val="clear" w:color="auto" w:fill="auto"/>
            <w:noWrap/>
            <w:vAlign w:val="center"/>
          </w:tcPr>
          <w:p w14:paraId="1FAD6016">
            <w:pPr>
              <w:rPr>
                <w:sz w:val="21"/>
                <w:szCs w:val="21"/>
                <w:highlight w:val="none"/>
              </w:rPr>
            </w:pPr>
            <w:r>
              <w:rPr>
                <w:rFonts w:hint="eastAsia"/>
                <w:sz w:val="21"/>
                <w:szCs w:val="21"/>
                <w:highlight w:val="none"/>
              </w:rPr>
              <w:t>　</w:t>
            </w:r>
          </w:p>
        </w:tc>
        <w:tc>
          <w:tcPr>
            <w:tcW w:w="851" w:type="dxa"/>
            <w:tcBorders>
              <w:top w:val="nil"/>
              <w:left w:val="nil"/>
              <w:bottom w:val="single" w:color="auto" w:sz="4" w:space="0"/>
              <w:right w:val="single" w:color="auto" w:sz="4" w:space="0"/>
            </w:tcBorders>
            <w:shd w:val="clear" w:color="auto" w:fill="auto"/>
            <w:noWrap/>
            <w:vAlign w:val="center"/>
          </w:tcPr>
          <w:p w14:paraId="594BDDD1">
            <w:pPr>
              <w:rPr>
                <w:sz w:val="21"/>
                <w:szCs w:val="21"/>
                <w:highlight w:val="none"/>
              </w:rPr>
            </w:pPr>
            <w:r>
              <w:rPr>
                <w:rFonts w:hint="eastAsia"/>
                <w:sz w:val="21"/>
                <w:szCs w:val="21"/>
                <w:highlight w:val="none"/>
              </w:rPr>
              <w:t>　</w:t>
            </w:r>
          </w:p>
        </w:tc>
        <w:tc>
          <w:tcPr>
            <w:tcW w:w="708" w:type="dxa"/>
            <w:tcBorders>
              <w:top w:val="nil"/>
              <w:left w:val="nil"/>
              <w:bottom w:val="single" w:color="auto" w:sz="4" w:space="0"/>
              <w:right w:val="single" w:color="auto" w:sz="4" w:space="0"/>
            </w:tcBorders>
            <w:shd w:val="clear" w:color="auto" w:fill="auto"/>
            <w:vAlign w:val="center"/>
          </w:tcPr>
          <w:p w14:paraId="4E89931C">
            <w:pPr>
              <w:rPr>
                <w:sz w:val="21"/>
                <w:szCs w:val="21"/>
                <w:highlight w:val="none"/>
              </w:rPr>
            </w:pPr>
            <w:r>
              <w:rPr>
                <w:rFonts w:hint="eastAsia"/>
                <w:sz w:val="21"/>
                <w:szCs w:val="21"/>
                <w:highlight w:val="none"/>
              </w:rPr>
              <w:t>　</w:t>
            </w:r>
          </w:p>
        </w:tc>
      </w:tr>
    </w:tbl>
    <w:p w14:paraId="6297747B">
      <w:pPr>
        <w:adjustRightInd w:val="0"/>
        <w:snapToGrid w:val="0"/>
        <w:spacing w:line="288" w:lineRule="auto"/>
        <w:rPr>
          <w:sz w:val="21"/>
          <w:szCs w:val="21"/>
          <w:highlight w:val="none"/>
        </w:rPr>
      </w:pPr>
      <w:r>
        <w:rPr>
          <w:rFonts w:hint="eastAsia"/>
          <w:sz w:val="21"/>
          <w:szCs w:val="21"/>
          <w:highlight w:val="none"/>
        </w:rPr>
        <w:t>注：综合单价为完成本标段工程范围内的准备、施工、维护、保修等及履行本合同工作内容而产生的全部费用。</w:t>
      </w:r>
      <w:r>
        <w:rPr>
          <w:rFonts w:hint="eastAsia"/>
          <w:sz w:val="21"/>
          <w:szCs w:val="21"/>
          <w:highlight w:val="none"/>
        </w:rPr>
        <w:br w:type="page"/>
      </w:r>
    </w:p>
    <w:p w14:paraId="675C858C">
      <w:pPr>
        <w:adjustRightInd w:val="0"/>
        <w:snapToGrid w:val="0"/>
        <w:spacing w:line="288" w:lineRule="auto"/>
        <w:rPr>
          <w:highlight w:val="none"/>
        </w:rPr>
      </w:pPr>
    </w:p>
    <w:p w14:paraId="637C3728">
      <w:pPr>
        <w:adjustRightInd w:val="0"/>
        <w:snapToGrid w:val="0"/>
        <w:spacing w:line="288" w:lineRule="auto"/>
        <w:jc w:val="center"/>
        <w:outlineLvl w:val="1"/>
        <w:rPr>
          <w:b/>
          <w:bCs/>
          <w:sz w:val="84"/>
          <w:szCs w:val="84"/>
          <w:highlight w:val="none"/>
        </w:rPr>
      </w:pPr>
      <w:r>
        <w:rPr>
          <w:rFonts w:hint="eastAsia"/>
          <w:b/>
          <w:bCs/>
          <w:sz w:val="84"/>
          <w:szCs w:val="84"/>
          <w:highlight w:val="none"/>
        </w:rPr>
        <w:t>商务和技术文件</w:t>
      </w:r>
    </w:p>
    <w:p w14:paraId="2F5CD791">
      <w:pPr>
        <w:adjustRightInd w:val="0"/>
        <w:snapToGrid w:val="0"/>
        <w:spacing w:line="288" w:lineRule="auto"/>
        <w:rPr>
          <w:highlight w:val="none"/>
        </w:rPr>
      </w:pPr>
      <w:r>
        <w:rPr>
          <w:rFonts w:hint="eastAsia"/>
          <w:highlight w:val="none"/>
        </w:rPr>
        <w:br w:type="page"/>
      </w:r>
    </w:p>
    <w:p w14:paraId="17C6ADF2">
      <w:pPr>
        <w:adjustRightInd w:val="0"/>
        <w:snapToGrid w:val="0"/>
        <w:spacing w:line="288" w:lineRule="auto"/>
        <w:jc w:val="center"/>
        <w:outlineLvl w:val="2"/>
        <w:rPr>
          <w:b/>
          <w:bCs/>
          <w:sz w:val="21"/>
          <w:szCs w:val="21"/>
          <w:highlight w:val="none"/>
        </w:rPr>
      </w:pPr>
      <w:r>
        <w:rPr>
          <w:rFonts w:hint="eastAsia"/>
          <w:b/>
          <w:bCs/>
          <w:sz w:val="21"/>
          <w:szCs w:val="21"/>
          <w:highlight w:val="none"/>
        </w:rPr>
        <w:t>（1）响应函</w:t>
      </w:r>
    </w:p>
    <w:p w14:paraId="3C0BCF57">
      <w:pPr>
        <w:adjustRightInd w:val="0"/>
        <w:snapToGrid w:val="0"/>
        <w:spacing w:line="288" w:lineRule="auto"/>
        <w:rPr>
          <w:sz w:val="21"/>
          <w:szCs w:val="21"/>
          <w:highlight w:val="none"/>
        </w:rPr>
      </w:pPr>
    </w:p>
    <w:p w14:paraId="2C1E1FD0">
      <w:pPr>
        <w:adjustRightInd w:val="0"/>
        <w:snapToGrid w:val="0"/>
        <w:spacing w:line="288" w:lineRule="auto"/>
        <w:rPr>
          <w:b/>
          <w:bCs/>
          <w:sz w:val="21"/>
          <w:szCs w:val="21"/>
          <w:highlight w:val="none"/>
        </w:rPr>
      </w:pPr>
      <w:r>
        <w:rPr>
          <w:rFonts w:hint="eastAsia"/>
          <w:b/>
          <w:bCs/>
          <w:sz w:val="21"/>
          <w:szCs w:val="21"/>
          <w:highlight w:val="none"/>
        </w:rPr>
        <w:t>致：浙江交通职业技术学院、浙江求是招标代理有限公司</w:t>
      </w:r>
    </w:p>
    <w:p w14:paraId="1AB734EC">
      <w:pPr>
        <w:adjustRightInd w:val="0"/>
        <w:snapToGrid w:val="0"/>
        <w:spacing w:line="288" w:lineRule="auto"/>
        <w:rPr>
          <w:rFonts w:cs="Times New Roman"/>
          <w:spacing w:val="-6"/>
          <w:sz w:val="21"/>
          <w:szCs w:val="21"/>
          <w:highlight w:val="none"/>
        </w:rPr>
      </w:pPr>
    </w:p>
    <w:p w14:paraId="01760AB8">
      <w:pPr>
        <w:adjustRightInd w:val="0"/>
        <w:snapToGrid w:val="0"/>
        <w:spacing w:line="288" w:lineRule="auto"/>
        <w:ind w:firstLine="396" w:firstLineChars="200"/>
        <w:rPr>
          <w:sz w:val="21"/>
          <w:szCs w:val="21"/>
          <w:highlight w:val="none"/>
        </w:rPr>
      </w:pPr>
      <w:bookmarkStart w:id="59" w:name="_Hlk97040115"/>
      <w:r>
        <w:rPr>
          <w:rFonts w:hint="eastAsia" w:cs="Times New Roman"/>
          <w:spacing w:val="-6"/>
          <w:sz w:val="21"/>
          <w:szCs w:val="21"/>
          <w:highlight w:val="none"/>
        </w:rPr>
        <w:t>我方参加</w:t>
      </w:r>
      <w:r>
        <w:rPr>
          <w:rFonts w:hint="eastAsia" w:cs="Times New Roman"/>
          <w:bCs/>
          <w:spacing w:val="-6"/>
          <w:sz w:val="21"/>
          <w:szCs w:val="21"/>
          <w:highlight w:val="none"/>
          <w:u w:val="single"/>
        </w:rPr>
        <w:t>浙江交通职业技术学院长兴校区局部修缮项目</w:t>
      </w:r>
      <w:r>
        <w:rPr>
          <w:rFonts w:hint="eastAsia" w:cs="Times New Roman"/>
          <w:spacing w:val="-6"/>
          <w:sz w:val="21"/>
          <w:szCs w:val="21"/>
          <w:highlight w:val="none"/>
          <w:u w:val="single"/>
        </w:rPr>
        <w:t>（项目编号</w:t>
      </w:r>
      <w:r>
        <w:rPr>
          <w:rFonts w:hint="eastAsia" w:cs="Times New Roman"/>
          <w:bCs/>
          <w:spacing w:val="-6"/>
          <w:sz w:val="21"/>
          <w:szCs w:val="21"/>
          <w:highlight w:val="none"/>
          <w:u w:val="single"/>
        </w:rPr>
        <w:t xml:space="preserve">：QSZB-Z(G)-C24372(CS)   </w:t>
      </w:r>
      <w:r>
        <w:rPr>
          <w:rFonts w:hint="eastAsia" w:cs="Times New Roman"/>
          <w:spacing w:val="-6"/>
          <w:sz w:val="21"/>
          <w:szCs w:val="21"/>
          <w:highlight w:val="none"/>
          <w:u w:val="single"/>
        </w:rPr>
        <w:t>）</w:t>
      </w:r>
      <w:r>
        <w:rPr>
          <w:rFonts w:hint="eastAsia" w:cs="Times New Roman"/>
          <w:spacing w:val="-6"/>
          <w:sz w:val="21"/>
          <w:szCs w:val="21"/>
          <w:highlight w:val="none"/>
        </w:rPr>
        <w:t>项目，为此，我方提交电子加密响应文件一份、以介质（U盘）存储的数据电文形式的</w:t>
      </w:r>
      <w:r>
        <w:rPr>
          <w:rFonts w:hint="eastAsia" w:cs="Times New Roman"/>
          <w:spacing w:val="-6"/>
          <w:sz w:val="21"/>
          <w:szCs w:val="21"/>
          <w:highlight w:val="none"/>
          <w:u w:val="single"/>
        </w:rPr>
        <w:t xml:space="preserve">备份响应文件 </w:t>
      </w:r>
      <w:r>
        <w:rPr>
          <w:rFonts w:cs="Times New Roman"/>
          <w:spacing w:val="-6"/>
          <w:sz w:val="21"/>
          <w:szCs w:val="21"/>
          <w:highlight w:val="none"/>
          <w:u w:val="single"/>
        </w:rPr>
        <w:t xml:space="preserve">    </w:t>
      </w:r>
      <w:r>
        <w:rPr>
          <w:rFonts w:hint="eastAsia" w:cs="Times New Roman"/>
          <w:spacing w:val="-6"/>
          <w:sz w:val="21"/>
          <w:szCs w:val="21"/>
          <w:highlight w:val="none"/>
          <w:u w:val="single"/>
        </w:rPr>
        <w:t>份</w:t>
      </w:r>
      <w:r>
        <w:rPr>
          <w:rFonts w:hint="eastAsia" w:cs="Times New Roman"/>
          <w:spacing w:val="-6"/>
          <w:sz w:val="21"/>
          <w:szCs w:val="21"/>
          <w:highlight w:val="none"/>
        </w:rPr>
        <w:t>。宣布同意如下：</w:t>
      </w:r>
    </w:p>
    <w:bookmarkEnd w:id="59"/>
    <w:p w14:paraId="2885E52D">
      <w:pPr>
        <w:adjustRightInd w:val="0"/>
        <w:snapToGrid w:val="0"/>
        <w:spacing w:line="288" w:lineRule="auto"/>
        <w:ind w:firstLine="420" w:firstLineChars="200"/>
        <w:rPr>
          <w:sz w:val="21"/>
          <w:szCs w:val="21"/>
          <w:highlight w:val="none"/>
        </w:rPr>
      </w:pPr>
      <w:r>
        <w:rPr>
          <w:rFonts w:hint="eastAsia"/>
          <w:sz w:val="21"/>
          <w:szCs w:val="21"/>
          <w:highlight w:val="none"/>
        </w:rPr>
        <w:t>1.我方已详细审查全部“磋商文件”，包括修改文件（如有）以及全部参考资料和有关附件，已经了解我方对于磋商文件、采购过程、成交结果有依法进行询问、质疑、投诉的权利及相关渠道和要求。</w:t>
      </w:r>
    </w:p>
    <w:p w14:paraId="33B5A8E5">
      <w:pPr>
        <w:adjustRightInd w:val="0"/>
        <w:snapToGrid w:val="0"/>
        <w:spacing w:line="288" w:lineRule="auto"/>
        <w:ind w:firstLine="420" w:firstLineChars="200"/>
        <w:rPr>
          <w:sz w:val="21"/>
          <w:szCs w:val="21"/>
          <w:highlight w:val="none"/>
        </w:rPr>
      </w:pPr>
      <w:r>
        <w:rPr>
          <w:rFonts w:hint="eastAsia"/>
          <w:sz w:val="21"/>
          <w:szCs w:val="21"/>
          <w:highlight w:val="none"/>
        </w:rPr>
        <w:t>2.我方在磋商响应之前已经与贵方进行了充分的沟通，完全理解并接受磋商文件的各项规定和要求，对磋商文件的合理性、合法性不再有异议。</w:t>
      </w:r>
    </w:p>
    <w:p w14:paraId="5B1D2B59">
      <w:pPr>
        <w:adjustRightInd w:val="0"/>
        <w:snapToGrid w:val="0"/>
        <w:spacing w:line="288" w:lineRule="auto"/>
        <w:ind w:firstLine="420" w:firstLineChars="200"/>
        <w:rPr>
          <w:sz w:val="21"/>
          <w:szCs w:val="21"/>
          <w:highlight w:val="none"/>
        </w:rPr>
      </w:pPr>
      <w:r>
        <w:rPr>
          <w:rFonts w:hint="eastAsia"/>
          <w:sz w:val="21"/>
          <w:szCs w:val="21"/>
          <w:highlight w:val="none"/>
        </w:rPr>
        <w:t>3.响应有效期自提交响应文件的截止之日起</w:t>
      </w:r>
      <w:r>
        <w:rPr>
          <w:rFonts w:hint="eastAsia"/>
          <w:sz w:val="21"/>
          <w:szCs w:val="21"/>
          <w:highlight w:val="none"/>
          <w:u w:val="single"/>
        </w:rPr>
        <w:t>90</w:t>
      </w:r>
      <w:r>
        <w:rPr>
          <w:rFonts w:hint="eastAsia"/>
          <w:sz w:val="21"/>
          <w:szCs w:val="21"/>
          <w:highlight w:val="none"/>
        </w:rPr>
        <w:t>天。</w:t>
      </w:r>
    </w:p>
    <w:p w14:paraId="0914E8D6">
      <w:pPr>
        <w:adjustRightInd w:val="0"/>
        <w:snapToGrid w:val="0"/>
        <w:spacing w:line="288" w:lineRule="auto"/>
        <w:ind w:firstLine="420" w:firstLineChars="200"/>
        <w:rPr>
          <w:sz w:val="21"/>
          <w:szCs w:val="21"/>
          <w:highlight w:val="none"/>
        </w:rPr>
      </w:pPr>
      <w:r>
        <w:rPr>
          <w:rFonts w:hint="eastAsia"/>
          <w:sz w:val="21"/>
          <w:szCs w:val="21"/>
          <w:highlight w:val="none"/>
        </w:rPr>
        <w:t>4.如成交，本响应文件至本项目合同履行完毕止均保持有效，我方将按“磋商文件”及政府采购法律、法规的规定履行合同责任和义务。关于代理服务费，我方承诺按照磋商文件的规定履行并承担相应的责任。</w:t>
      </w:r>
    </w:p>
    <w:p w14:paraId="02352054">
      <w:pPr>
        <w:adjustRightInd w:val="0"/>
        <w:snapToGrid w:val="0"/>
        <w:spacing w:line="288" w:lineRule="auto"/>
        <w:ind w:firstLine="420" w:firstLineChars="200"/>
        <w:rPr>
          <w:sz w:val="21"/>
          <w:szCs w:val="21"/>
          <w:highlight w:val="none"/>
        </w:rPr>
      </w:pPr>
      <w:r>
        <w:rPr>
          <w:rFonts w:hint="eastAsia"/>
          <w:sz w:val="21"/>
          <w:szCs w:val="21"/>
          <w:highlight w:val="none"/>
        </w:rPr>
        <w:t>5.我方同意按照贵方要求提供与磋商有关的一切数据或资料。</w:t>
      </w:r>
    </w:p>
    <w:p w14:paraId="4B25EE0A">
      <w:pPr>
        <w:adjustRightInd w:val="0"/>
        <w:snapToGrid w:val="0"/>
        <w:spacing w:line="288" w:lineRule="auto"/>
        <w:ind w:firstLine="420" w:firstLineChars="200"/>
        <w:rPr>
          <w:sz w:val="21"/>
          <w:szCs w:val="21"/>
          <w:highlight w:val="none"/>
        </w:rPr>
      </w:pPr>
      <w:r>
        <w:rPr>
          <w:rFonts w:hint="eastAsia"/>
          <w:sz w:val="21"/>
          <w:szCs w:val="21"/>
          <w:highlight w:val="none"/>
        </w:rPr>
        <w:t>6.与本磋商有关的一切正式往来信函联系：</w:t>
      </w:r>
    </w:p>
    <w:tbl>
      <w:tblPr>
        <w:tblStyle w:val="33"/>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6808"/>
      </w:tblGrid>
      <w:tr w14:paraId="669EA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0929BFF8">
            <w:pPr>
              <w:adjustRightInd w:val="0"/>
              <w:snapToGrid w:val="0"/>
              <w:spacing w:line="288" w:lineRule="auto"/>
              <w:rPr>
                <w:rFonts w:cs="Times New Roman"/>
                <w:spacing w:val="-6"/>
                <w:kern w:val="0"/>
                <w:sz w:val="21"/>
                <w:szCs w:val="21"/>
                <w:highlight w:val="none"/>
              </w:rPr>
            </w:pPr>
            <w:bookmarkStart w:id="60" w:name="_Hlk97040154"/>
            <w:r>
              <w:rPr>
                <w:rFonts w:hint="eastAsia" w:cs="Times New Roman"/>
                <w:spacing w:val="-6"/>
                <w:kern w:val="0"/>
                <w:sz w:val="21"/>
                <w:szCs w:val="21"/>
                <w:highlight w:val="none"/>
              </w:rPr>
              <w:t>联系人：</w:t>
            </w:r>
          </w:p>
        </w:tc>
        <w:tc>
          <w:tcPr>
            <w:tcW w:w="6808" w:type="dxa"/>
          </w:tcPr>
          <w:p w14:paraId="21B63868">
            <w:pPr>
              <w:adjustRightInd w:val="0"/>
              <w:snapToGrid w:val="0"/>
              <w:spacing w:line="288" w:lineRule="auto"/>
              <w:rPr>
                <w:rFonts w:cs="Times New Roman"/>
                <w:spacing w:val="-6"/>
                <w:kern w:val="0"/>
                <w:sz w:val="21"/>
                <w:szCs w:val="21"/>
                <w:highlight w:val="none"/>
              </w:rPr>
            </w:pPr>
          </w:p>
        </w:tc>
      </w:tr>
      <w:tr w14:paraId="32DE1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6E8BF36C">
            <w:pPr>
              <w:adjustRightInd w:val="0"/>
              <w:snapToGrid w:val="0"/>
              <w:spacing w:line="288" w:lineRule="auto"/>
              <w:rPr>
                <w:rFonts w:cs="Times New Roman"/>
                <w:spacing w:val="-6"/>
                <w:kern w:val="0"/>
                <w:sz w:val="21"/>
                <w:szCs w:val="21"/>
                <w:highlight w:val="none"/>
              </w:rPr>
            </w:pPr>
            <w:r>
              <w:rPr>
                <w:rFonts w:hint="eastAsia" w:cs="Times New Roman"/>
                <w:spacing w:val="-6"/>
                <w:kern w:val="0"/>
                <w:sz w:val="21"/>
                <w:szCs w:val="21"/>
                <w:highlight w:val="none"/>
              </w:rPr>
              <w:t>职务：</w:t>
            </w:r>
          </w:p>
        </w:tc>
        <w:tc>
          <w:tcPr>
            <w:tcW w:w="6808" w:type="dxa"/>
          </w:tcPr>
          <w:p w14:paraId="0A06685B">
            <w:pPr>
              <w:adjustRightInd w:val="0"/>
              <w:snapToGrid w:val="0"/>
              <w:spacing w:line="288" w:lineRule="auto"/>
              <w:rPr>
                <w:rFonts w:cs="Times New Roman"/>
                <w:spacing w:val="-6"/>
                <w:kern w:val="0"/>
                <w:sz w:val="21"/>
                <w:szCs w:val="21"/>
                <w:highlight w:val="none"/>
              </w:rPr>
            </w:pPr>
          </w:p>
        </w:tc>
      </w:tr>
      <w:tr w14:paraId="14703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0C35573E">
            <w:pPr>
              <w:adjustRightInd w:val="0"/>
              <w:snapToGrid w:val="0"/>
              <w:spacing w:line="288" w:lineRule="auto"/>
              <w:rPr>
                <w:rFonts w:cs="Times New Roman"/>
                <w:spacing w:val="-6"/>
                <w:kern w:val="0"/>
                <w:sz w:val="21"/>
                <w:szCs w:val="21"/>
                <w:highlight w:val="none"/>
              </w:rPr>
            </w:pPr>
            <w:r>
              <w:rPr>
                <w:rFonts w:hint="eastAsia" w:cs="Times New Roman"/>
                <w:spacing w:val="-6"/>
                <w:kern w:val="0"/>
                <w:sz w:val="21"/>
                <w:szCs w:val="21"/>
                <w:highlight w:val="none"/>
              </w:rPr>
              <w:t>手机：</w:t>
            </w:r>
          </w:p>
        </w:tc>
        <w:tc>
          <w:tcPr>
            <w:tcW w:w="6808" w:type="dxa"/>
          </w:tcPr>
          <w:p w14:paraId="75608F8E">
            <w:pPr>
              <w:adjustRightInd w:val="0"/>
              <w:snapToGrid w:val="0"/>
              <w:spacing w:line="288" w:lineRule="auto"/>
              <w:rPr>
                <w:rFonts w:cs="Times New Roman"/>
                <w:spacing w:val="-6"/>
                <w:kern w:val="0"/>
                <w:sz w:val="21"/>
                <w:szCs w:val="21"/>
                <w:highlight w:val="none"/>
              </w:rPr>
            </w:pPr>
          </w:p>
        </w:tc>
      </w:tr>
      <w:tr w14:paraId="2E963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2FF98FA7">
            <w:pPr>
              <w:adjustRightInd w:val="0"/>
              <w:snapToGrid w:val="0"/>
              <w:spacing w:line="288" w:lineRule="auto"/>
              <w:rPr>
                <w:rFonts w:cs="Times New Roman"/>
                <w:spacing w:val="-6"/>
                <w:kern w:val="0"/>
                <w:sz w:val="21"/>
                <w:szCs w:val="21"/>
                <w:highlight w:val="none"/>
              </w:rPr>
            </w:pPr>
            <w:r>
              <w:rPr>
                <w:rFonts w:hint="eastAsia" w:cs="Times New Roman"/>
                <w:spacing w:val="-6"/>
                <w:kern w:val="0"/>
                <w:sz w:val="21"/>
                <w:szCs w:val="21"/>
                <w:highlight w:val="none"/>
              </w:rPr>
              <w:t>电子邮箱：</w:t>
            </w:r>
          </w:p>
        </w:tc>
        <w:tc>
          <w:tcPr>
            <w:tcW w:w="6808" w:type="dxa"/>
          </w:tcPr>
          <w:p w14:paraId="1408BF0E">
            <w:pPr>
              <w:adjustRightInd w:val="0"/>
              <w:snapToGrid w:val="0"/>
              <w:spacing w:line="288" w:lineRule="auto"/>
              <w:rPr>
                <w:rFonts w:cs="Times New Roman"/>
                <w:spacing w:val="-6"/>
                <w:kern w:val="0"/>
                <w:sz w:val="21"/>
                <w:szCs w:val="21"/>
                <w:highlight w:val="none"/>
              </w:rPr>
            </w:pPr>
          </w:p>
        </w:tc>
      </w:tr>
      <w:tr w14:paraId="585C9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53D0ABCB">
            <w:pPr>
              <w:adjustRightInd w:val="0"/>
              <w:snapToGrid w:val="0"/>
              <w:spacing w:line="288" w:lineRule="auto"/>
              <w:rPr>
                <w:rFonts w:cs="Times New Roman"/>
                <w:spacing w:val="-6"/>
                <w:kern w:val="0"/>
                <w:sz w:val="21"/>
                <w:szCs w:val="21"/>
                <w:highlight w:val="none"/>
              </w:rPr>
            </w:pPr>
            <w:r>
              <w:rPr>
                <w:rFonts w:hint="eastAsia" w:cs="Times New Roman"/>
                <w:spacing w:val="-6"/>
                <w:kern w:val="0"/>
                <w:sz w:val="21"/>
                <w:szCs w:val="21"/>
                <w:highlight w:val="none"/>
              </w:rPr>
              <w:t>地址：</w:t>
            </w:r>
          </w:p>
        </w:tc>
        <w:tc>
          <w:tcPr>
            <w:tcW w:w="6808" w:type="dxa"/>
          </w:tcPr>
          <w:p w14:paraId="075B65CA">
            <w:pPr>
              <w:adjustRightInd w:val="0"/>
              <w:snapToGrid w:val="0"/>
              <w:spacing w:line="288" w:lineRule="auto"/>
              <w:rPr>
                <w:rFonts w:cs="Times New Roman"/>
                <w:spacing w:val="-6"/>
                <w:kern w:val="0"/>
                <w:sz w:val="21"/>
                <w:szCs w:val="21"/>
                <w:highlight w:val="none"/>
              </w:rPr>
            </w:pPr>
          </w:p>
        </w:tc>
      </w:tr>
      <w:tr w14:paraId="3F373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7429E2E5">
            <w:pPr>
              <w:adjustRightInd w:val="0"/>
              <w:snapToGrid w:val="0"/>
              <w:spacing w:line="288" w:lineRule="auto"/>
              <w:rPr>
                <w:rFonts w:cs="Times New Roman"/>
                <w:spacing w:val="-6"/>
                <w:kern w:val="0"/>
                <w:sz w:val="21"/>
                <w:szCs w:val="21"/>
                <w:highlight w:val="none"/>
              </w:rPr>
            </w:pPr>
            <w:r>
              <w:rPr>
                <w:rFonts w:hint="eastAsia" w:cs="Times New Roman"/>
                <w:spacing w:val="-6"/>
                <w:kern w:val="0"/>
                <w:sz w:val="21"/>
                <w:szCs w:val="21"/>
                <w:highlight w:val="none"/>
              </w:rPr>
              <w:t>开户银行：</w:t>
            </w:r>
          </w:p>
        </w:tc>
        <w:tc>
          <w:tcPr>
            <w:tcW w:w="6808" w:type="dxa"/>
          </w:tcPr>
          <w:p w14:paraId="05F265C7">
            <w:pPr>
              <w:adjustRightInd w:val="0"/>
              <w:snapToGrid w:val="0"/>
              <w:spacing w:line="288" w:lineRule="auto"/>
              <w:rPr>
                <w:rFonts w:cs="Times New Roman"/>
                <w:spacing w:val="-6"/>
                <w:kern w:val="0"/>
                <w:sz w:val="21"/>
                <w:szCs w:val="21"/>
                <w:highlight w:val="none"/>
              </w:rPr>
            </w:pPr>
          </w:p>
        </w:tc>
      </w:tr>
      <w:tr w14:paraId="2A748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452E6A60">
            <w:pPr>
              <w:adjustRightInd w:val="0"/>
              <w:snapToGrid w:val="0"/>
              <w:spacing w:line="288" w:lineRule="auto"/>
              <w:rPr>
                <w:rFonts w:cs="Times New Roman"/>
                <w:spacing w:val="-6"/>
                <w:kern w:val="0"/>
                <w:sz w:val="21"/>
                <w:szCs w:val="21"/>
                <w:highlight w:val="none"/>
              </w:rPr>
            </w:pPr>
            <w:r>
              <w:rPr>
                <w:rFonts w:hint="eastAsia" w:cs="Times New Roman"/>
                <w:spacing w:val="-6"/>
                <w:kern w:val="0"/>
                <w:sz w:val="21"/>
                <w:szCs w:val="21"/>
                <w:highlight w:val="none"/>
              </w:rPr>
              <w:t>银行账号：</w:t>
            </w:r>
          </w:p>
        </w:tc>
        <w:tc>
          <w:tcPr>
            <w:tcW w:w="6808" w:type="dxa"/>
          </w:tcPr>
          <w:p w14:paraId="20B3BD5E">
            <w:pPr>
              <w:adjustRightInd w:val="0"/>
              <w:snapToGrid w:val="0"/>
              <w:spacing w:line="288" w:lineRule="auto"/>
              <w:rPr>
                <w:rFonts w:cs="Times New Roman"/>
                <w:spacing w:val="-6"/>
                <w:kern w:val="0"/>
                <w:sz w:val="21"/>
                <w:szCs w:val="21"/>
                <w:highlight w:val="none"/>
              </w:rPr>
            </w:pPr>
          </w:p>
        </w:tc>
      </w:tr>
      <w:bookmarkEnd w:id="60"/>
    </w:tbl>
    <w:p w14:paraId="5357F386">
      <w:pPr>
        <w:adjustRightInd w:val="0"/>
        <w:snapToGrid w:val="0"/>
        <w:spacing w:line="288" w:lineRule="auto"/>
        <w:rPr>
          <w:sz w:val="21"/>
          <w:szCs w:val="21"/>
          <w:highlight w:val="none"/>
        </w:rPr>
      </w:pPr>
    </w:p>
    <w:p w14:paraId="70264986">
      <w:pPr>
        <w:adjustRightInd w:val="0"/>
        <w:snapToGrid w:val="0"/>
        <w:spacing w:line="288" w:lineRule="auto"/>
        <w:rPr>
          <w:sz w:val="21"/>
          <w:szCs w:val="21"/>
          <w:highlight w:val="none"/>
        </w:rPr>
      </w:pPr>
    </w:p>
    <w:p w14:paraId="07DF7E76">
      <w:pPr>
        <w:adjustRightInd w:val="0"/>
        <w:snapToGrid w:val="0"/>
        <w:spacing w:line="288" w:lineRule="auto"/>
        <w:rPr>
          <w:rFonts w:cs="Times New Roman"/>
          <w:b/>
          <w:bCs/>
          <w:spacing w:val="-6"/>
          <w:sz w:val="21"/>
          <w:szCs w:val="21"/>
          <w:highlight w:val="none"/>
        </w:rPr>
      </w:pPr>
      <w:bookmarkStart w:id="61" w:name="_Hlk97040160"/>
      <w:r>
        <w:rPr>
          <w:rFonts w:hint="eastAsia" w:cs="Times New Roman"/>
          <w:b/>
          <w:bCs/>
          <w:spacing w:val="-6"/>
          <w:sz w:val="21"/>
          <w:szCs w:val="21"/>
          <w:highlight w:val="none"/>
        </w:rPr>
        <w:t>供应商名称（</w:t>
      </w:r>
      <w:r>
        <w:rPr>
          <w:rFonts w:cs="Times New Roman"/>
          <w:b/>
          <w:bCs/>
          <w:spacing w:val="-6"/>
          <w:sz w:val="21"/>
          <w:szCs w:val="21"/>
          <w:highlight w:val="none"/>
        </w:rPr>
        <w:t>电子签名/公章</w:t>
      </w:r>
      <w:r>
        <w:rPr>
          <w:rFonts w:hint="eastAsia" w:cs="Times New Roman"/>
          <w:b/>
          <w:bCs/>
          <w:spacing w:val="-6"/>
          <w:sz w:val="21"/>
          <w:szCs w:val="21"/>
          <w:highlight w:val="none"/>
        </w:rPr>
        <w:t>）：</w:t>
      </w:r>
    </w:p>
    <w:p w14:paraId="2403342F">
      <w:pPr>
        <w:adjustRightInd w:val="0"/>
        <w:snapToGrid w:val="0"/>
        <w:spacing w:line="288" w:lineRule="auto"/>
        <w:rPr>
          <w:rFonts w:cs="Times New Roman"/>
          <w:b/>
          <w:bCs/>
          <w:spacing w:val="-6"/>
          <w:sz w:val="21"/>
          <w:szCs w:val="21"/>
          <w:highlight w:val="none"/>
        </w:rPr>
      </w:pPr>
      <w:r>
        <w:rPr>
          <w:rFonts w:hint="eastAsia" w:cs="Times New Roman"/>
          <w:b/>
          <w:bCs/>
          <w:spacing w:val="-6"/>
          <w:sz w:val="21"/>
          <w:szCs w:val="21"/>
          <w:highlight w:val="none"/>
        </w:rPr>
        <w:t>日期：     年   月   日</w:t>
      </w:r>
    </w:p>
    <w:bookmarkEnd w:id="61"/>
    <w:p w14:paraId="29F5B535">
      <w:pPr>
        <w:widowControl/>
        <w:adjustRightInd w:val="0"/>
        <w:snapToGrid w:val="0"/>
        <w:spacing w:line="288" w:lineRule="auto"/>
        <w:jc w:val="left"/>
        <w:rPr>
          <w:sz w:val="21"/>
          <w:szCs w:val="21"/>
          <w:highlight w:val="none"/>
        </w:rPr>
      </w:pPr>
      <w:r>
        <w:rPr>
          <w:sz w:val="21"/>
          <w:szCs w:val="21"/>
          <w:highlight w:val="none"/>
        </w:rPr>
        <w:br w:type="page"/>
      </w:r>
    </w:p>
    <w:p w14:paraId="52358CB1">
      <w:pPr>
        <w:adjustRightInd w:val="0"/>
        <w:snapToGrid w:val="0"/>
        <w:spacing w:line="288" w:lineRule="auto"/>
        <w:ind w:firstLine="498" w:firstLineChars="236"/>
        <w:jc w:val="center"/>
        <w:outlineLvl w:val="2"/>
        <w:rPr>
          <w:rFonts w:cs="Times New Roman"/>
          <w:b/>
          <w:bCs/>
          <w:sz w:val="21"/>
          <w:szCs w:val="21"/>
          <w:highlight w:val="none"/>
        </w:rPr>
      </w:pPr>
      <w:bookmarkStart w:id="62" w:name="_Hlk97040253"/>
      <w:r>
        <w:rPr>
          <w:rFonts w:hint="eastAsia" w:cs="Times New Roman"/>
          <w:b/>
          <w:bCs/>
          <w:sz w:val="21"/>
          <w:szCs w:val="21"/>
          <w:highlight w:val="none"/>
        </w:rPr>
        <w:t>（</w:t>
      </w:r>
      <w:r>
        <w:rPr>
          <w:rFonts w:cs="Times New Roman"/>
          <w:b/>
          <w:bCs/>
          <w:sz w:val="21"/>
          <w:szCs w:val="21"/>
          <w:highlight w:val="none"/>
        </w:rPr>
        <w:t>2</w:t>
      </w:r>
      <w:r>
        <w:rPr>
          <w:rFonts w:hint="eastAsia" w:cs="Times New Roman"/>
          <w:b/>
          <w:bCs/>
          <w:sz w:val="21"/>
          <w:szCs w:val="21"/>
          <w:highlight w:val="none"/>
        </w:rPr>
        <w:t>）授权委托书</w:t>
      </w:r>
    </w:p>
    <w:p w14:paraId="6B63455B">
      <w:pPr>
        <w:adjustRightInd w:val="0"/>
        <w:snapToGrid w:val="0"/>
        <w:spacing w:line="288" w:lineRule="auto"/>
        <w:rPr>
          <w:sz w:val="21"/>
          <w:szCs w:val="21"/>
          <w:highlight w:val="none"/>
        </w:rPr>
      </w:pPr>
      <w:r>
        <w:rPr>
          <w:rFonts w:hint="eastAsia"/>
          <w:sz w:val="21"/>
          <w:szCs w:val="21"/>
          <w:highlight w:val="none"/>
        </w:rPr>
        <w:t>致：浙江交通职业技术学院、浙江求是招标代理有限公司</w:t>
      </w:r>
    </w:p>
    <w:p w14:paraId="5A6892D7">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现授权委托：</w:t>
      </w:r>
      <w:r>
        <w:rPr>
          <w:rFonts w:cs="Times New Roman"/>
          <w:spacing w:val="-6"/>
          <w:sz w:val="21"/>
          <w:szCs w:val="21"/>
          <w:highlight w:val="none"/>
          <w:u w:val="single"/>
        </w:rPr>
        <w:t xml:space="preserve">            </w:t>
      </w:r>
      <w:r>
        <w:rPr>
          <w:rFonts w:hint="eastAsia" w:cs="Times New Roman"/>
          <w:spacing w:val="-6"/>
          <w:sz w:val="21"/>
          <w:szCs w:val="21"/>
          <w:highlight w:val="none"/>
        </w:rPr>
        <w:t>（授权代表姓名）（身份证号码：</w:t>
      </w:r>
      <w:r>
        <w:rPr>
          <w:rFonts w:cs="Times New Roman"/>
          <w:spacing w:val="-6"/>
          <w:sz w:val="21"/>
          <w:szCs w:val="21"/>
          <w:highlight w:val="none"/>
          <w:u w:val="single"/>
        </w:rPr>
        <w:t xml:space="preserve">            </w:t>
      </w:r>
      <w:r>
        <w:rPr>
          <w:rFonts w:hint="eastAsia" w:cs="Times New Roman"/>
          <w:spacing w:val="-6"/>
          <w:sz w:val="21"/>
          <w:szCs w:val="21"/>
          <w:highlight w:val="none"/>
        </w:rPr>
        <w:t>，手机：</w:t>
      </w:r>
      <w:r>
        <w:rPr>
          <w:rFonts w:cs="Times New Roman"/>
          <w:spacing w:val="-6"/>
          <w:sz w:val="21"/>
          <w:szCs w:val="21"/>
          <w:highlight w:val="none"/>
          <w:u w:val="single"/>
        </w:rPr>
        <w:t xml:space="preserve">            </w:t>
      </w:r>
      <w:r>
        <w:rPr>
          <w:rFonts w:hint="eastAsia" w:cs="Times New Roman"/>
          <w:spacing w:val="-6"/>
          <w:sz w:val="21"/>
          <w:szCs w:val="21"/>
          <w:highlight w:val="none"/>
        </w:rPr>
        <w:t>）以我方的名义参加</w:t>
      </w:r>
      <w:r>
        <w:rPr>
          <w:rFonts w:hint="eastAsia" w:cs="Times New Roman"/>
          <w:bCs/>
          <w:spacing w:val="-6"/>
          <w:sz w:val="21"/>
          <w:szCs w:val="21"/>
          <w:highlight w:val="none"/>
        </w:rPr>
        <w:t>浙江交通职业技术学院长兴校区局部修缮项目标项</w:t>
      </w:r>
      <w:r>
        <w:rPr>
          <w:rFonts w:hint="eastAsia" w:cs="Times New Roman"/>
          <w:bCs/>
          <w:spacing w:val="-6"/>
          <w:sz w:val="21"/>
          <w:szCs w:val="21"/>
          <w:highlight w:val="none"/>
          <w:u w:val="single"/>
        </w:rPr>
        <w:t xml:space="preserve">  </w:t>
      </w:r>
      <w:r>
        <w:rPr>
          <w:rFonts w:cs="Times New Roman"/>
          <w:bCs/>
          <w:spacing w:val="-6"/>
          <w:sz w:val="21"/>
          <w:szCs w:val="21"/>
          <w:highlight w:val="none"/>
          <w:u w:val="single"/>
        </w:rPr>
        <w:t xml:space="preserve"> </w:t>
      </w:r>
      <w:r>
        <w:rPr>
          <w:rFonts w:hint="eastAsia" w:cs="Times New Roman"/>
          <w:bCs/>
          <w:spacing w:val="-6"/>
          <w:sz w:val="21"/>
          <w:szCs w:val="21"/>
          <w:highlight w:val="none"/>
          <w:u w:val="single"/>
        </w:rPr>
        <w:t xml:space="preserve"> </w:t>
      </w:r>
      <w:r>
        <w:rPr>
          <w:rFonts w:hint="eastAsia" w:cs="Times New Roman"/>
          <w:spacing w:val="-6"/>
          <w:sz w:val="21"/>
          <w:szCs w:val="21"/>
          <w:highlight w:val="none"/>
        </w:rPr>
        <w:t>的</w:t>
      </w:r>
      <w:bookmarkEnd w:id="62"/>
      <w:r>
        <w:rPr>
          <w:rFonts w:hint="eastAsia" w:cs="Times New Roman"/>
          <w:spacing w:val="-6"/>
          <w:sz w:val="21"/>
          <w:szCs w:val="21"/>
          <w:highlight w:val="none"/>
        </w:rPr>
        <w:t>的采购活动，并代表我方全权办理针对上述项目的响应、评审、签约等具体事务和签署相关文件。</w:t>
      </w:r>
    </w:p>
    <w:p w14:paraId="78D639C3">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我方对被授权人的签名负全部责任。</w:t>
      </w:r>
    </w:p>
    <w:p w14:paraId="4D72F11D">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在撤销授权的书面通知以前，本授权书一直有效。被授权人在授权书有效期内签署的所有文件不因授权的撤销而失效。</w:t>
      </w:r>
    </w:p>
    <w:p w14:paraId="4D98C85D">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被授权人无转委托权，特此告知。</w:t>
      </w:r>
    </w:p>
    <w:p w14:paraId="794B8806">
      <w:pPr>
        <w:adjustRightInd w:val="0"/>
        <w:snapToGrid w:val="0"/>
        <w:spacing w:line="288" w:lineRule="auto"/>
        <w:ind w:firstLine="368" w:firstLineChars="186"/>
        <w:rPr>
          <w:rFonts w:cs="Times New Roman"/>
          <w:spacing w:val="-6"/>
          <w:sz w:val="21"/>
          <w:szCs w:val="21"/>
          <w:highlight w:val="none"/>
          <w:u w:val="single"/>
        </w:rPr>
      </w:pPr>
      <w:r>
        <w:rPr>
          <w:rFonts w:hint="eastAsia" w:cs="Times New Roman"/>
          <w:spacing w:val="-6"/>
          <w:sz w:val="21"/>
          <w:szCs w:val="21"/>
          <w:highlight w:val="none"/>
          <w:u w:val="single"/>
        </w:rPr>
        <w:t>▲提供授权代表社保缴纳证明（2023年1月（含）以后任意一月）。</w:t>
      </w:r>
    </w:p>
    <w:p w14:paraId="61AE5220">
      <w:pPr>
        <w:adjustRightInd w:val="0"/>
        <w:snapToGrid w:val="0"/>
        <w:spacing w:line="288" w:lineRule="auto"/>
        <w:rPr>
          <w:rFonts w:cs="Times New Roman"/>
          <w:spacing w:val="-6"/>
          <w:sz w:val="21"/>
          <w:szCs w:val="21"/>
          <w:highlight w:val="none"/>
        </w:rPr>
      </w:pPr>
    </w:p>
    <w:p w14:paraId="779190E1">
      <w:pPr>
        <w:adjustRightInd w:val="0"/>
        <w:snapToGrid w:val="0"/>
        <w:spacing w:line="288" w:lineRule="auto"/>
        <w:rPr>
          <w:rFonts w:cs="Times New Roman"/>
          <w:b/>
          <w:bCs/>
          <w:spacing w:val="-6"/>
          <w:sz w:val="21"/>
          <w:szCs w:val="21"/>
          <w:highlight w:val="none"/>
        </w:rPr>
      </w:pPr>
      <w:r>
        <w:rPr>
          <w:rFonts w:hint="eastAsia" w:cs="Times New Roman"/>
          <w:b/>
          <w:bCs/>
          <w:spacing w:val="-6"/>
          <w:sz w:val="21"/>
          <w:szCs w:val="21"/>
          <w:highlight w:val="none"/>
        </w:rPr>
        <w:t>供应商名称（</w:t>
      </w:r>
      <w:r>
        <w:rPr>
          <w:rFonts w:cs="Times New Roman"/>
          <w:b/>
          <w:bCs/>
          <w:spacing w:val="-6"/>
          <w:sz w:val="21"/>
          <w:szCs w:val="21"/>
          <w:highlight w:val="none"/>
        </w:rPr>
        <w:t>电子签名/公章</w:t>
      </w:r>
      <w:r>
        <w:rPr>
          <w:rFonts w:hint="eastAsia" w:cs="Times New Roman"/>
          <w:b/>
          <w:bCs/>
          <w:spacing w:val="-6"/>
          <w:sz w:val="21"/>
          <w:szCs w:val="21"/>
          <w:highlight w:val="none"/>
        </w:rPr>
        <w:t>）：</w:t>
      </w:r>
    </w:p>
    <w:p w14:paraId="2670003A">
      <w:pPr>
        <w:adjustRightInd w:val="0"/>
        <w:snapToGrid w:val="0"/>
        <w:spacing w:line="288" w:lineRule="auto"/>
        <w:rPr>
          <w:rFonts w:cs="Times New Roman"/>
          <w:b/>
          <w:bCs/>
          <w:spacing w:val="-6"/>
          <w:sz w:val="21"/>
          <w:szCs w:val="21"/>
          <w:highlight w:val="none"/>
        </w:rPr>
      </w:pPr>
      <w:r>
        <w:rPr>
          <w:rFonts w:hint="eastAsia" w:cs="Times New Roman"/>
          <w:b/>
          <w:bCs/>
          <w:spacing w:val="-6"/>
          <w:sz w:val="21"/>
          <w:szCs w:val="21"/>
          <w:highlight w:val="none"/>
        </w:rPr>
        <w:t>日期：     年   月   日</w:t>
      </w:r>
    </w:p>
    <w:p w14:paraId="31C5678B">
      <w:pPr>
        <w:adjustRightInd w:val="0"/>
        <w:snapToGrid w:val="0"/>
        <w:spacing w:line="288" w:lineRule="auto"/>
        <w:rPr>
          <w:rFonts w:cs="Times New Roman"/>
          <w:sz w:val="21"/>
          <w:szCs w:val="21"/>
          <w:highlight w:val="none"/>
        </w:rPr>
      </w:pPr>
    </w:p>
    <w:p w14:paraId="7D221B5B">
      <w:pPr>
        <w:adjustRightInd w:val="0"/>
        <w:snapToGrid w:val="0"/>
        <w:spacing w:line="288" w:lineRule="auto"/>
        <w:rPr>
          <w:rFonts w:cs="Times New Roman"/>
          <w:sz w:val="21"/>
          <w:szCs w:val="21"/>
          <w:highlight w:val="none"/>
        </w:rPr>
      </w:pPr>
      <w:r>
        <w:rPr>
          <w:rFonts w:hint="eastAsia" w:cs="Times New Roman"/>
          <w:sz w:val="21"/>
          <w:szCs w:val="21"/>
          <w:highlight w:val="none"/>
        </w:rPr>
        <w:t>注：</w:t>
      </w:r>
    </w:p>
    <w:p w14:paraId="2080666D">
      <w:pPr>
        <w:adjustRightInd w:val="0"/>
        <w:snapToGrid w:val="0"/>
        <w:spacing w:line="288" w:lineRule="auto"/>
        <w:rPr>
          <w:rFonts w:cs="Times New Roman"/>
          <w:sz w:val="21"/>
          <w:szCs w:val="21"/>
          <w:highlight w:val="none"/>
        </w:rPr>
      </w:pPr>
      <w:r>
        <w:rPr>
          <w:rFonts w:hint="eastAsia" w:cs="Times New Roman"/>
          <w:sz w:val="21"/>
          <w:szCs w:val="21"/>
          <w:highlight w:val="none"/>
        </w:rPr>
        <w:t>1、供应商委派不在本单位缴纳社保的人员作为授权代表的，应当在响应文件中，说明具体原因、授权代表缴纳社保的单位，并附列该授权代表缴纳社保清单。</w:t>
      </w:r>
    </w:p>
    <w:p w14:paraId="78E61A84">
      <w:pPr>
        <w:adjustRightInd w:val="0"/>
        <w:snapToGrid w:val="0"/>
        <w:spacing w:line="288" w:lineRule="auto"/>
        <w:rPr>
          <w:rFonts w:cs="Times New Roman"/>
          <w:sz w:val="21"/>
          <w:szCs w:val="21"/>
          <w:highlight w:val="none"/>
        </w:rPr>
      </w:pPr>
      <w:r>
        <w:rPr>
          <w:rFonts w:hint="eastAsia" w:cs="Times New Roman"/>
          <w:sz w:val="21"/>
          <w:szCs w:val="21"/>
          <w:highlight w:val="none"/>
        </w:rPr>
        <w:t>2、供应商是联合体的，联合体各成员均应在“授权委托书”上盖章（电子签名</w:t>
      </w:r>
      <w:r>
        <w:rPr>
          <w:rFonts w:cs="Times New Roman"/>
          <w:sz w:val="21"/>
          <w:szCs w:val="21"/>
          <w:highlight w:val="none"/>
        </w:rPr>
        <w:t>/公章）</w:t>
      </w:r>
      <w:r>
        <w:rPr>
          <w:rFonts w:hint="eastAsia" w:cs="Times New Roman"/>
          <w:sz w:val="21"/>
          <w:szCs w:val="21"/>
          <w:highlight w:val="none"/>
        </w:rPr>
        <w:t>。</w:t>
      </w:r>
    </w:p>
    <w:p w14:paraId="2E943FA0">
      <w:pPr>
        <w:adjustRightInd w:val="0"/>
        <w:snapToGrid w:val="0"/>
        <w:spacing w:line="288" w:lineRule="auto"/>
        <w:rPr>
          <w:rFonts w:cs="Times New Roman"/>
          <w:sz w:val="21"/>
          <w:szCs w:val="21"/>
          <w:highlight w:val="none"/>
        </w:rPr>
      </w:pPr>
    </w:p>
    <w:p w14:paraId="0859B8C4">
      <w:pPr>
        <w:adjustRightInd w:val="0"/>
        <w:snapToGrid w:val="0"/>
        <w:spacing w:line="288" w:lineRule="auto"/>
        <w:rPr>
          <w:rFonts w:cs="Times New Roman"/>
          <w:sz w:val="21"/>
          <w:szCs w:val="21"/>
          <w:highlight w:val="none"/>
        </w:rPr>
      </w:pPr>
    </w:p>
    <w:p w14:paraId="7511F04C">
      <w:pPr>
        <w:adjustRightInd w:val="0"/>
        <w:snapToGrid w:val="0"/>
        <w:spacing w:line="288" w:lineRule="auto"/>
        <w:jc w:val="center"/>
        <w:outlineLvl w:val="2"/>
        <w:rPr>
          <w:rFonts w:cs="Times New Roman"/>
          <w:b/>
          <w:bCs/>
          <w:spacing w:val="-6"/>
          <w:sz w:val="21"/>
          <w:szCs w:val="21"/>
          <w:highlight w:val="none"/>
        </w:rPr>
      </w:pPr>
      <w:r>
        <w:rPr>
          <w:rFonts w:hint="eastAsia" w:cs="Times New Roman"/>
          <w:b/>
          <w:bCs/>
          <w:sz w:val="21"/>
          <w:szCs w:val="21"/>
          <w:highlight w:val="none"/>
        </w:rPr>
        <w:t>（2）法定代表人（单位负责人、自然人本人）</w:t>
      </w:r>
      <w:r>
        <w:rPr>
          <w:rFonts w:hint="eastAsia" w:cs="Times New Roman"/>
          <w:b/>
          <w:bCs/>
          <w:spacing w:val="-6"/>
          <w:sz w:val="21"/>
          <w:szCs w:val="21"/>
          <w:highlight w:val="none"/>
        </w:rPr>
        <w:t>身份证明</w:t>
      </w:r>
    </w:p>
    <w:p w14:paraId="4C3C7D2F">
      <w:pPr>
        <w:adjustRightInd w:val="0"/>
        <w:snapToGrid w:val="0"/>
        <w:spacing w:line="288" w:lineRule="auto"/>
        <w:ind w:firstLine="495" w:firstLineChars="236"/>
        <w:jc w:val="center"/>
        <w:rPr>
          <w:rFonts w:cs="Times New Roman"/>
          <w:sz w:val="21"/>
          <w:szCs w:val="21"/>
          <w:highlight w:val="none"/>
        </w:rPr>
      </w:pPr>
      <w:r>
        <w:rPr>
          <w:rFonts w:hint="eastAsia" w:cs="Times New Roman"/>
          <w:sz w:val="21"/>
          <w:szCs w:val="21"/>
          <w:highlight w:val="none"/>
        </w:rPr>
        <w:t>（适用于：法定代表人（单位负责人、自然人本人）</w:t>
      </w:r>
      <w:r>
        <w:rPr>
          <w:rFonts w:hint="eastAsia" w:cs="Times New Roman"/>
          <w:spacing w:val="-6"/>
          <w:sz w:val="21"/>
          <w:szCs w:val="21"/>
          <w:highlight w:val="none"/>
        </w:rPr>
        <w:t>代表供应商参加采购活动</w:t>
      </w:r>
      <w:r>
        <w:rPr>
          <w:rFonts w:hint="eastAsia" w:cs="Times New Roman"/>
          <w:sz w:val="21"/>
          <w:szCs w:val="21"/>
          <w:highlight w:val="none"/>
        </w:rPr>
        <w:t>）</w:t>
      </w:r>
    </w:p>
    <w:p w14:paraId="479B4B5E">
      <w:pPr>
        <w:adjustRightInd w:val="0"/>
        <w:snapToGrid w:val="0"/>
        <w:spacing w:line="288" w:lineRule="auto"/>
        <w:jc w:val="left"/>
        <w:rPr>
          <w:rFonts w:cs="Times New Roman"/>
          <w:sz w:val="21"/>
          <w:szCs w:val="21"/>
          <w:highlight w:val="none"/>
        </w:rPr>
      </w:pPr>
      <w:r>
        <w:rPr>
          <w:rFonts w:hint="eastAsia"/>
          <w:bCs/>
          <w:sz w:val="21"/>
          <w:szCs w:val="21"/>
          <w:highlight w:val="none"/>
        </w:rPr>
        <w:t>身份证件复印件</w:t>
      </w:r>
    </w:p>
    <w:tbl>
      <w:tblPr>
        <w:tblStyle w:val="1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4"/>
        <w:gridCol w:w="4814"/>
      </w:tblGrid>
      <w:tr w14:paraId="50CFE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9" w:hRule="atLeast"/>
        </w:trPr>
        <w:tc>
          <w:tcPr>
            <w:tcW w:w="4951" w:type="dxa"/>
          </w:tcPr>
          <w:p w14:paraId="2BA72014">
            <w:pPr>
              <w:adjustRightInd w:val="0"/>
              <w:snapToGrid w:val="0"/>
              <w:spacing w:line="288" w:lineRule="auto"/>
              <w:rPr>
                <w:bCs/>
                <w:sz w:val="21"/>
                <w:szCs w:val="21"/>
                <w:highlight w:val="none"/>
              </w:rPr>
            </w:pPr>
            <w:r>
              <w:rPr>
                <w:rFonts w:hint="eastAsia"/>
                <w:bCs/>
                <w:sz w:val="21"/>
                <w:szCs w:val="21"/>
                <w:highlight w:val="none"/>
              </w:rPr>
              <w:t>正面：</w:t>
            </w:r>
          </w:p>
        </w:tc>
        <w:tc>
          <w:tcPr>
            <w:tcW w:w="4951" w:type="dxa"/>
          </w:tcPr>
          <w:p w14:paraId="45866B51">
            <w:pPr>
              <w:adjustRightInd w:val="0"/>
              <w:snapToGrid w:val="0"/>
              <w:spacing w:line="288" w:lineRule="auto"/>
              <w:rPr>
                <w:bCs/>
                <w:sz w:val="21"/>
                <w:szCs w:val="21"/>
                <w:highlight w:val="none"/>
              </w:rPr>
            </w:pPr>
            <w:r>
              <w:rPr>
                <w:rFonts w:hint="eastAsia"/>
                <w:bCs/>
                <w:sz w:val="21"/>
                <w:szCs w:val="21"/>
                <w:highlight w:val="none"/>
              </w:rPr>
              <w:t>反面：</w:t>
            </w:r>
          </w:p>
        </w:tc>
      </w:tr>
    </w:tbl>
    <w:p w14:paraId="535B7631">
      <w:pPr>
        <w:adjustRightInd w:val="0"/>
        <w:snapToGrid w:val="0"/>
        <w:spacing w:line="288" w:lineRule="auto"/>
        <w:rPr>
          <w:rFonts w:cs="Times New Roman"/>
          <w:sz w:val="21"/>
          <w:szCs w:val="21"/>
          <w:highlight w:val="none"/>
        </w:rPr>
      </w:pPr>
    </w:p>
    <w:p w14:paraId="76D20BD1">
      <w:pPr>
        <w:widowControl/>
        <w:adjustRightInd w:val="0"/>
        <w:snapToGrid w:val="0"/>
        <w:spacing w:line="288" w:lineRule="auto"/>
        <w:jc w:val="left"/>
        <w:rPr>
          <w:rFonts w:cs="Times New Roman"/>
          <w:sz w:val="21"/>
          <w:szCs w:val="21"/>
          <w:highlight w:val="none"/>
        </w:rPr>
      </w:pPr>
      <w:r>
        <w:rPr>
          <w:rFonts w:cs="Times New Roman"/>
          <w:sz w:val="21"/>
          <w:szCs w:val="21"/>
          <w:highlight w:val="none"/>
        </w:rPr>
        <w:br w:type="page"/>
      </w:r>
    </w:p>
    <w:p w14:paraId="731C3ED8">
      <w:pPr>
        <w:adjustRightInd w:val="0"/>
        <w:snapToGrid w:val="0"/>
        <w:spacing w:line="288" w:lineRule="auto"/>
        <w:jc w:val="left"/>
        <w:outlineLvl w:val="2"/>
        <w:rPr>
          <w:rFonts w:cs="Times New Roman"/>
          <w:b/>
          <w:bCs/>
          <w:sz w:val="21"/>
          <w:szCs w:val="21"/>
          <w:highlight w:val="none"/>
        </w:rPr>
      </w:pPr>
      <w:r>
        <w:rPr>
          <w:rFonts w:hint="eastAsia" w:cs="Times New Roman"/>
          <w:b/>
          <w:bCs/>
          <w:sz w:val="21"/>
          <w:szCs w:val="21"/>
          <w:highlight w:val="none"/>
        </w:rPr>
        <w:t>附：授权代表社保缴纳证明（2023年1月（含）以后任意一月）</w:t>
      </w:r>
    </w:p>
    <w:p w14:paraId="1DA3D04B">
      <w:pPr>
        <w:widowControl/>
        <w:jc w:val="left"/>
        <w:rPr>
          <w:sz w:val="21"/>
          <w:szCs w:val="21"/>
          <w:highlight w:val="none"/>
        </w:rPr>
      </w:pPr>
      <w:r>
        <w:rPr>
          <w:sz w:val="21"/>
          <w:szCs w:val="21"/>
          <w:highlight w:val="none"/>
        </w:rPr>
        <w:br w:type="page"/>
      </w:r>
    </w:p>
    <w:p w14:paraId="307A8F69">
      <w:pPr>
        <w:widowControl/>
        <w:jc w:val="left"/>
        <w:rPr>
          <w:sz w:val="21"/>
          <w:szCs w:val="21"/>
          <w:highlight w:val="none"/>
        </w:rPr>
      </w:pPr>
    </w:p>
    <w:p w14:paraId="68DC7187">
      <w:pPr>
        <w:adjustRightInd w:val="0"/>
        <w:snapToGrid w:val="0"/>
        <w:spacing w:line="288" w:lineRule="auto"/>
        <w:jc w:val="center"/>
        <w:outlineLvl w:val="2"/>
        <w:rPr>
          <w:b/>
          <w:bCs/>
          <w:sz w:val="21"/>
          <w:szCs w:val="21"/>
          <w:highlight w:val="none"/>
        </w:rPr>
      </w:pPr>
      <w:r>
        <w:rPr>
          <w:rFonts w:hint="eastAsia"/>
          <w:b/>
          <w:bCs/>
          <w:sz w:val="21"/>
          <w:szCs w:val="21"/>
          <w:highlight w:val="none"/>
        </w:rPr>
        <w:t>（</w:t>
      </w:r>
      <w:r>
        <w:rPr>
          <w:b/>
          <w:bCs/>
          <w:sz w:val="21"/>
          <w:szCs w:val="21"/>
          <w:highlight w:val="none"/>
        </w:rPr>
        <w:t>3</w:t>
      </w:r>
      <w:r>
        <w:rPr>
          <w:rFonts w:hint="eastAsia"/>
          <w:b/>
          <w:bCs/>
          <w:sz w:val="21"/>
          <w:szCs w:val="21"/>
          <w:highlight w:val="none"/>
        </w:rPr>
        <w:t>）项目经理无在建工程声明函</w:t>
      </w:r>
    </w:p>
    <w:p w14:paraId="6BFC45B2">
      <w:pPr>
        <w:pStyle w:val="17"/>
        <w:adjustRightInd w:val="0"/>
        <w:snapToGrid w:val="0"/>
        <w:spacing w:before="120" w:after="120" w:line="360" w:lineRule="auto"/>
        <w:rPr>
          <w:rFonts w:ascii="宋体" w:hAnsi="宋体" w:eastAsia="宋体" w:cs="宋体"/>
          <w:sz w:val="21"/>
          <w:szCs w:val="21"/>
          <w:highlight w:val="none"/>
        </w:rPr>
      </w:pPr>
      <w:r>
        <w:rPr>
          <w:rFonts w:hint="eastAsia" w:ascii="宋体" w:hAnsi="宋体" w:eastAsia="宋体" w:cs="宋体"/>
          <w:sz w:val="21"/>
          <w:szCs w:val="21"/>
          <w:highlight w:val="none"/>
        </w:rPr>
        <w:t>浙江交通职业技术学院、浙江求是招标代理有限公司：</w:t>
      </w:r>
    </w:p>
    <w:p w14:paraId="480AAEF5">
      <w:pPr>
        <w:snapToGrid w:val="0"/>
        <w:spacing w:line="360" w:lineRule="auto"/>
        <w:ind w:firstLine="420" w:firstLineChars="200"/>
        <w:rPr>
          <w:sz w:val="21"/>
          <w:szCs w:val="21"/>
          <w:highlight w:val="none"/>
          <w:u w:val="single"/>
        </w:rPr>
      </w:pPr>
      <w:r>
        <w:rPr>
          <w:rFonts w:hint="eastAsia"/>
          <w:sz w:val="21"/>
          <w:szCs w:val="21"/>
          <w:highlight w:val="none"/>
        </w:rPr>
        <w:t>我方参加</w:t>
      </w:r>
      <w:r>
        <w:rPr>
          <w:rFonts w:hint="eastAsia"/>
          <w:sz w:val="21"/>
          <w:szCs w:val="21"/>
          <w:highlight w:val="none"/>
          <w:u w:val="single"/>
        </w:rPr>
        <w:t xml:space="preserve"> 浙江交通职业技术学院</w:t>
      </w:r>
      <w:r>
        <w:rPr>
          <w:rFonts w:hint="eastAsia"/>
          <w:sz w:val="21"/>
          <w:szCs w:val="21"/>
          <w:highlight w:val="none"/>
        </w:rPr>
        <w:t>（采购人）</w:t>
      </w:r>
      <w:r>
        <w:rPr>
          <w:rFonts w:hint="eastAsia"/>
          <w:sz w:val="21"/>
          <w:szCs w:val="21"/>
          <w:highlight w:val="none"/>
          <w:u w:val="single"/>
        </w:rPr>
        <w:t xml:space="preserve"> 长兴校区局部修缮项目</w:t>
      </w:r>
      <w:r>
        <w:rPr>
          <w:rFonts w:hint="eastAsia"/>
          <w:sz w:val="21"/>
          <w:szCs w:val="21"/>
          <w:highlight w:val="none"/>
        </w:rPr>
        <w:t>（项目名称）</w:t>
      </w:r>
      <w:r>
        <w:rPr>
          <w:rFonts w:hint="eastAsia"/>
          <w:sz w:val="21"/>
          <w:szCs w:val="21"/>
          <w:highlight w:val="none"/>
          <w:u w:val="single"/>
        </w:rPr>
        <w:t xml:space="preserve"> QSZB-Z(G)-C24372(CS)  </w:t>
      </w:r>
      <w:r>
        <w:rPr>
          <w:sz w:val="21"/>
          <w:szCs w:val="21"/>
          <w:highlight w:val="none"/>
          <w:u w:val="single"/>
        </w:rPr>
        <w:t xml:space="preserve"> </w:t>
      </w:r>
      <w:r>
        <w:rPr>
          <w:rFonts w:hint="eastAsia"/>
          <w:sz w:val="21"/>
          <w:szCs w:val="21"/>
          <w:highlight w:val="none"/>
        </w:rPr>
        <w:t>（项目编号）采购活动，拟派项目经理_</w:t>
      </w:r>
      <w:r>
        <w:rPr>
          <w:sz w:val="21"/>
          <w:szCs w:val="21"/>
          <w:highlight w:val="none"/>
        </w:rPr>
        <w:t>_________________________</w:t>
      </w:r>
      <w:r>
        <w:rPr>
          <w:rFonts w:hint="eastAsia"/>
          <w:sz w:val="21"/>
          <w:szCs w:val="21"/>
          <w:highlight w:val="none"/>
        </w:rPr>
        <w:t>（</w:t>
      </w:r>
      <w:r>
        <w:rPr>
          <w:rFonts w:hint="eastAsia"/>
          <w:sz w:val="21"/>
          <w:szCs w:val="21"/>
          <w:highlight w:val="none"/>
          <w:u w:val="single"/>
        </w:rPr>
        <w:t>姓名及身份证号码</w:t>
      </w:r>
      <w:r>
        <w:rPr>
          <w:rFonts w:hint="eastAsia"/>
          <w:sz w:val="21"/>
          <w:szCs w:val="21"/>
          <w:highlight w:val="none"/>
        </w:rPr>
        <w:t>）无在建工程。</w:t>
      </w:r>
    </w:p>
    <w:p w14:paraId="5CE6B90E">
      <w:pPr>
        <w:snapToGrid w:val="0"/>
        <w:spacing w:line="360" w:lineRule="auto"/>
        <w:ind w:firstLine="420" w:firstLineChars="200"/>
        <w:rPr>
          <w:kern w:val="0"/>
          <w:sz w:val="21"/>
          <w:szCs w:val="21"/>
          <w:highlight w:val="none"/>
        </w:rPr>
      </w:pPr>
      <w:r>
        <w:rPr>
          <w:rFonts w:hint="eastAsia"/>
          <w:kern w:val="0"/>
          <w:sz w:val="21"/>
          <w:szCs w:val="21"/>
          <w:highlight w:val="none"/>
        </w:rPr>
        <w:t>本公司对上述声明的真实性负责。如有虚假，愿意承担相应法律责任，对此无任何异议。</w:t>
      </w:r>
    </w:p>
    <w:p w14:paraId="1A5635F0">
      <w:pPr>
        <w:snapToGrid w:val="0"/>
        <w:spacing w:line="360" w:lineRule="auto"/>
        <w:ind w:firstLine="420" w:firstLineChars="200"/>
        <w:rPr>
          <w:sz w:val="21"/>
          <w:szCs w:val="21"/>
          <w:highlight w:val="none"/>
        </w:rPr>
      </w:pPr>
      <w:r>
        <w:rPr>
          <w:rFonts w:hint="eastAsia"/>
          <w:sz w:val="21"/>
          <w:szCs w:val="21"/>
          <w:highlight w:val="none"/>
        </w:rPr>
        <w:t>特此声明！</w:t>
      </w:r>
    </w:p>
    <w:p w14:paraId="78600895">
      <w:pPr>
        <w:adjustRightInd w:val="0"/>
        <w:snapToGrid w:val="0"/>
        <w:spacing w:line="360" w:lineRule="auto"/>
        <w:ind w:firstLine="420" w:firstLineChars="200"/>
        <w:rPr>
          <w:sz w:val="21"/>
          <w:szCs w:val="21"/>
          <w:highlight w:val="none"/>
        </w:rPr>
      </w:pPr>
    </w:p>
    <w:p w14:paraId="17363883">
      <w:pPr>
        <w:adjustRightInd w:val="0"/>
        <w:snapToGrid w:val="0"/>
        <w:spacing w:line="360" w:lineRule="auto"/>
        <w:ind w:firstLine="422" w:firstLineChars="200"/>
        <w:rPr>
          <w:b/>
          <w:bCs/>
          <w:sz w:val="21"/>
          <w:szCs w:val="21"/>
          <w:highlight w:val="none"/>
        </w:rPr>
      </w:pPr>
      <w:r>
        <w:rPr>
          <w:rFonts w:hint="eastAsia"/>
          <w:b/>
          <w:bCs/>
          <w:sz w:val="21"/>
          <w:szCs w:val="21"/>
          <w:highlight w:val="none"/>
        </w:rPr>
        <w:t>供应商全称：（加盖单位公章）</w:t>
      </w:r>
    </w:p>
    <w:p w14:paraId="1622C126">
      <w:pPr>
        <w:pStyle w:val="70"/>
        <w:ind w:firstLine="420"/>
        <w:rPr>
          <w:rFonts w:ascii="宋体"/>
          <w:sz w:val="21"/>
          <w:szCs w:val="21"/>
          <w:highlight w:val="none"/>
        </w:rPr>
      </w:pPr>
    </w:p>
    <w:p w14:paraId="4E589430">
      <w:pPr>
        <w:pStyle w:val="70"/>
        <w:ind w:firstLine="420"/>
        <w:rPr>
          <w:rFonts w:ascii="宋体"/>
          <w:sz w:val="21"/>
          <w:szCs w:val="21"/>
          <w:highlight w:val="none"/>
        </w:rPr>
      </w:pPr>
    </w:p>
    <w:p w14:paraId="3739D6EC">
      <w:pPr>
        <w:pStyle w:val="70"/>
        <w:ind w:firstLine="422"/>
        <w:rPr>
          <w:rFonts w:ascii="宋体"/>
          <w:b/>
          <w:bCs/>
          <w:sz w:val="21"/>
          <w:szCs w:val="21"/>
          <w:highlight w:val="none"/>
        </w:rPr>
      </w:pPr>
      <w:r>
        <w:rPr>
          <w:rFonts w:hint="eastAsia" w:ascii="宋体"/>
          <w:b/>
          <w:bCs/>
          <w:sz w:val="21"/>
          <w:szCs w:val="21"/>
          <w:highlight w:val="none"/>
        </w:rPr>
        <w:t>项目经理：（加盖项目经理执业章）</w:t>
      </w:r>
    </w:p>
    <w:p w14:paraId="40F6DB46">
      <w:pPr>
        <w:pStyle w:val="14"/>
        <w:spacing w:line="360" w:lineRule="auto"/>
        <w:ind w:firstLine="404" w:firstLineChars="200"/>
        <w:jc w:val="right"/>
        <w:rPr>
          <w:rFonts w:hAnsi="宋体" w:cs="宋体"/>
          <w:sz w:val="21"/>
          <w:szCs w:val="21"/>
          <w:highlight w:val="none"/>
        </w:rPr>
      </w:pPr>
    </w:p>
    <w:p w14:paraId="5946E777">
      <w:pPr>
        <w:pStyle w:val="14"/>
        <w:spacing w:line="360" w:lineRule="auto"/>
        <w:ind w:firstLine="404" w:firstLineChars="200"/>
        <w:jc w:val="right"/>
        <w:rPr>
          <w:rFonts w:hAnsi="宋体" w:cs="宋体"/>
          <w:sz w:val="21"/>
          <w:szCs w:val="21"/>
          <w:highlight w:val="none"/>
        </w:rPr>
      </w:pPr>
    </w:p>
    <w:p w14:paraId="102AB4AC">
      <w:pPr>
        <w:pStyle w:val="14"/>
        <w:spacing w:line="360" w:lineRule="auto"/>
        <w:ind w:firstLine="404" w:firstLineChars="200"/>
        <w:jc w:val="right"/>
        <w:rPr>
          <w:rFonts w:hAnsi="宋体" w:cs="宋体"/>
          <w:sz w:val="21"/>
          <w:szCs w:val="21"/>
          <w:highlight w:val="none"/>
        </w:rPr>
      </w:pPr>
    </w:p>
    <w:p w14:paraId="5161E84D">
      <w:pPr>
        <w:adjustRightInd w:val="0"/>
        <w:snapToGrid w:val="0"/>
        <w:spacing w:line="360" w:lineRule="auto"/>
        <w:rPr>
          <w:sz w:val="21"/>
          <w:szCs w:val="21"/>
          <w:highlight w:val="none"/>
        </w:rPr>
      </w:pPr>
      <w:r>
        <w:rPr>
          <w:rFonts w:hint="eastAsia"/>
          <w:sz w:val="21"/>
          <w:szCs w:val="21"/>
          <w:highlight w:val="none"/>
        </w:rPr>
        <w:t>日期：2023年  月  日</w:t>
      </w:r>
    </w:p>
    <w:p w14:paraId="3419A631">
      <w:pPr>
        <w:widowControl/>
        <w:jc w:val="left"/>
        <w:rPr>
          <w:sz w:val="21"/>
          <w:szCs w:val="21"/>
          <w:highlight w:val="none"/>
        </w:rPr>
      </w:pPr>
      <w:r>
        <w:rPr>
          <w:sz w:val="21"/>
          <w:szCs w:val="21"/>
          <w:highlight w:val="none"/>
        </w:rPr>
        <w:br w:type="page"/>
      </w:r>
    </w:p>
    <w:p w14:paraId="570985EF">
      <w:pPr>
        <w:adjustRightInd w:val="0"/>
        <w:snapToGrid w:val="0"/>
        <w:spacing w:line="288" w:lineRule="auto"/>
        <w:jc w:val="center"/>
        <w:outlineLvl w:val="2"/>
        <w:rPr>
          <w:b/>
          <w:bCs/>
          <w:sz w:val="21"/>
          <w:szCs w:val="21"/>
          <w:highlight w:val="none"/>
        </w:rPr>
      </w:pPr>
      <w:r>
        <w:rPr>
          <w:rFonts w:hint="eastAsia"/>
          <w:b/>
          <w:bCs/>
          <w:sz w:val="21"/>
          <w:szCs w:val="21"/>
          <w:highlight w:val="none"/>
        </w:rPr>
        <w:t>（</w:t>
      </w:r>
      <w:r>
        <w:rPr>
          <w:b/>
          <w:bCs/>
          <w:sz w:val="21"/>
          <w:szCs w:val="21"/>
          <w:highlight w:val="none"/>
        </w:rPr>
        <w:t>4</w:t>
      </w:r>
      <w:r>
        <w:rPr>
          <w:rFonts w:hint="eastAsia"/>
          <w:b/>
          <w:bCs/>
          <w:sz w:val="21"/>
          <w:szCs w:val="21"/>
          <w:highlight w:val="none"/>
        </w:rPr>
        <w:t>）分包意向协议（如有）</w:t>
      </w:r>
    </w:p>
    <w:p w14:paraId="2363FD63">
      <w:pPr>
        <w:adjustRightInd w:val="0"/>
        <w:snapToGrid w:val="0"/>
        <w:spacing w:line="288" w:lineRule="auto"/>
        <w:rPr>
          <w:sz w:val="21"/>
          <w:szCs w:val="21"/>
          <w:highlight w:val="none"/>
        </w:rPr>
      </w:pPr>
    </w:p>
    <w:p w14:paraId="4DFC9774">
      <w:pPr>
        <w:adjustRightInd w:val="0"/>
        <w:snapToGrid w:val="0"/>
        <w:spacing w:line="288" w:lineRule="auto"/>
        <w:rPr>
          <w:sz w:val="21"/>
          <w:szCs w:val="21"/>
          <w:highlight w:val="none"/>
        </w:rPr>
      </w:pPr>
      <w:r>
        <w:rPr>
          <w:rFonts w:hint="eastAsia"/>
          <w:sz w:val="21"/>
          <w:szCs w:val="21"/>
          <w:highlight w:val="none"/>
        </w:rPr>
        <w:br w:type="page"/>
      </w:r>
    </w:p>
    <w:p w14:paraId="6E4B2AD5">
      <w:pPr>
        <w:adjustRightInd w:val="0"/>
        <w:snapToGrid w:val="0"/>
        <w:spacing w:line="288" w:lineRule="auto"/>
        <w:jc w:val="center"/>
        <w:outlineLvl w:val="2"/>
        <w:rPr>
          <w:b/>
          <w:bCs/>
          <w:sz w:val="21"/>
          <w:szCs w:val="21"/>
          <w:highlight w:val="none"/>
        </w:rPr>
      </w:pPr>
      <w:r>
        <w:rPr>
          <w:rFonts w:hint="eastAsia"/>
          <w:b/>
          <w:bCs/>
          <w:sz w:val="21"/>
          <w:szCs w:val="21"/>
          <w:highlight w:val="none"/>
        </w:rPr>
        <w:t>（</w:t>
      </w:r>
      <w:r>
        <w:rPr>
          <w:b/>
          <w:bCs/>
          <w:sz w:val="21"/>
          <w:szCs w:val="21"/>
          <w:highlight w:val="none"/>
        </w:rPr>
        <w:t>5</w:t>
      </w:r>
      <w:r>
        <w:rPr>
          <w:rFonts w:hint="eastAsia"/>
          <w:b/>
          <w:bCs/>
          <w:sz w:val="21"/>
          <w:szCs w:val="21"/>
          <w:highlight w:val="none"/>
        </w:rPr>
        <w:t>）供应商同类合同一览表</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8"/>
        <w:gridCol w:w="1268"/>
        <w:gridCol w:w="1282"/>
        <w:gridCol w:w="1432"/>
        <w:gridCol w:w="1256"/>
        <w:gridCol w:w="899"/>
        <w:gridCol w:w="995"/>
        <w:gridCol w:w="1718"/>
      </w:tblGrid>
      <w:tr w14:paraId="19F82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14:paraId="54B72A95">
            <w:pPr>
              <w:adjustRightInd w:val="0"/>
              <w:snapToGrid w:val="0"/>
              <w:spacing w:line="288" w:lineRule="auto"/>
              <w:jc w:val="center"/>
              <w:rPr>
                <w:b/>
                <w:bCs/>
                <w:kern w:val="0"/>
                <w:sz w:val="21"/>
                <w:szCs w:val="21"/>
                <w:highlight w:val="none"/>
              </w:rPr>
            </w:pPr>
            <w:r>
              <w:rPr>
                <w:rFonts w:hint="eastAsia"/>
                <w:b/>
                <w:bCs/>
                <w:kern w:val="0"/>
                <w:sz w:val="21"/>
                <w:szCs w:val="21"/>
                <w:highlight w:val="none"/>
              </w:rPr>
              <w:t>序号</w:t>
            </w:r>
          </w:p>
        </w:tc>
        <w:tc>
          <w:tcPr>
            <w:tcW w:w="1268" w:type="dxa"/>
            <w:vAlign w:val="center"/>
          </w:tcPr>
          <w:p w14:paraId="11E9840D">
            <w:pPr>
              <w:adjustRightInd w:val="0"/>
              <w:snapToGrid w:val="0"/>
              <w:spacing w:line="288" w:lineRule="auto"/>
              <w:jc w:val="center"/>
              <w:rPr>
                <w:b/>
                <w:bCs/>
                <w:kern w:val="0"/>
                <w:sz w:val="21"/>
                <w:szCs w:val="21"/>
                <w:highlight w:val="none"/>
              </w:rPr>
            </w:pPr>
            <w:r>
              <w:rPr>
                <w:rFonts w:hint="eastAsia"/>
                <w:b/>
                <w:bCs/>
                <w:kern w:val="0"/>
                <w:sz w:val="21"/>
                <w:szCs w:val="21"/>
                <w:highlight w:val="none"/>
              </w:rPr>
              <w:t>采购人</w:t>
            </w:r>
          </w:p>
        </w:tc>
        <w:tc>
          <w:tcPr>
            <w:tcW w:w="1282" w:type="dxa"/>
            <w:vAlign w:val="center"/>
          </w:tcPr>
          <w:p w14:paraId="467BAC1B">
            <w:pPr>
              <w:adjustRightInd w:val="0"/>
              <w:snapToGrid w:val="0"/>
              <w:spacing w:line="288" w:lineRule="auto"/>
              <w:jc w:val="center"/>
              <w:rPr>
                <w:b/>
                <w:bCs/>
                <w:kern w:val="0"/>
                <w:sz w:val="21"/>
                <w:szCs w:val="21"/>
                <w:highlight w:val="none"/>
              </w:rPr>
            </w:pPr>
            <w:r>
              <w:rPr>
                <w:rFonts w:hint="eastAsia"/>
                <w:b/>
                <w:bCs/>
                <w:kern w:val="0"/>
                <w:sz w:val="21"/>
                <w:szCs w:val="21"/>
                <w:highlight w:val="none"/>
              </w:rPr>
              <w:t>项目名称</w:t>
            </w:r>
          </w:p>
        </w:tc>
        <w:tc>
          <w:tcPr>
            <w:tcW w:w="1432" w:type="dxa"/>
            <w:vAlign w:val="center"/>
          </w:tcPr>
          <w:p w14:paraId="1186694B">
            <w:pPr>
              <w:adjustRightInd w:val="0"/>
              <w:snapToGrid w:val="0"/>
              <w:spacing w:line="288" w:lineRule="auto"/>
              <w:jc w:val="center"/>
              <w:rPr>
                <w:b/>
                <w:bCs/>
                <w:kern w:val="0"/>
                <w:sz w:val="21"/>
                <w:szCs w:val="21"/>
                <w:highlight w:val="none"/>
              </w:rPr>
            </w:pPr>
            <w:r>
              <w:rPr>
                <w:rFonts w:hint="eastAsia"/>
                <w:b/>
                <w:bCs/>
                <w:kern w:val="0"/>
                <w:sz w:val="21"/>
                <w:szCs w:val="21"/>
                <w:highlight w:val="none"/>
              </w:rPr>
              <w:t>数量</w:t>
            </w:r>
          </w:p>
        </w:tc>
        <w:tc>
          <w:tcPr>
            <w:tcW w:w="1256" w:type="dxa"/>
            <w:vAlign w:val="center"/>
          </w:tcPr>
          <w:p w14:paraId="6C8221C8">
            <w:pPr>
              <w:adjustRightInd w:val="0"/>
              <w:snapToGrid w:val="0"/>
              <w:spacing w:line="288" w:lineRule="auto"/>
              <w:jc w:val="center"/>
              <w:rPr>
                <w:b/>
                <w:bCs/>
                <w:kern w:val="0"/>
                <w:sz w:val="21"/>
                <w:szCs w:val="21"/>
                <w:highlight w:val="none"/>
              </w:rPr>
            </w:pPr>
            <w:r>
              <w:rPr>
                <w:rFonts w:hint="eastAsia"/>
                <w:b/>
                <w:bCs/>
                <w:kern w:val="0"/>
                <w:sz w:val="21"/>
                <w:szCs w:val="21"/>
                <w:highlight w:val="none"/>
              </w:rPr>
              <w:t>合同金额</w:t>
            </w:r>
          </w:p>
          <w:p w14:paraId="5756F70E">
            <w:pPr>
              <w:adjustRightInd w:val="0"/>
              <w:snapToGrid w:val="0"/>
              <w:spacing w:line="288" w:lineRule="auto"/>
              <w:jc w:val="center"/>
              <w:rPr>
                <w:b/>
                <w:bCs/>
                <w:kern w:val="0"/>
                <w:sz w:val="21"/>
                <w:szCs w:val="21"/>
                <w:highlight w:val="none"/>
              </w:rPr>
            </w:pPr>
            <w:r>
              <w:rPr>
                <w:rFonts w:hint="eastAsia"/>
                <w:b/>
                <w:bCs/>
                <w:kern w:val="0"/>
                <w:sz w:val="21"/>
                <w:szCs w:val="21"/>
                <w:highlight w:val="none"/>
              </w:rPr>
              <w:t>（万元）</w:t>
            </w:r>
          </w:p>
        </w:tc>
        <w:tc>
          <w:tcPr>
            <w:tcW w:w="899" w:type="dxa"/>
            <w:vAlign w:val="center"/>
          </w:tcPr>
          <w:p w14:paraId="3E50C89A">
            <w:pPr>
              <w:adjustRightInd w:val="0"/>
              <w:snapToGrid w:val="0"/>
              <w:spacing w:line="288" w:lineRule="auto"/>
              <w:jc w:val="center"/>
              <w:rPr>
                <w:b/>
                <w:bCs/>
                <w:kern w:val="0"/>
                <w:sz w:val="21"/>
                <w:szCs w:val="21"/>
                <w:highlight w:val="none"/>
              </w:rPr>
            </w:pPr>
            <w:r>
              <w:rPr>
                <w:rFonts w:hint="eastAsia"/>
                <w:b/>
                <w:bCs/>
                <w:kern w:val="0"/>
                <w:sz w:val="21"/>
                <w:szCs w:val="21"/>
                <w:highlight w:val="none"/>
              </w:rPr>
              <w:t>附件页码</w:t>
            </w:r>
          </w:p>
        </w:tc>
        <w:tc>
          <w:tcPr>
            <w:tcW w:w="995" w:type="dxa"/>
            <w:vAlign w:val="center"/>
          </w:tcPr>
          <w:p w14:paraId="3C2C80BB">
            <w:pPr>
              <w:adjustRightInd w:val="0"/>
              <w:snapToGrid w:val="0"/>
              <w:spacing w:line="288" w:lineRule="auto"/>
              <w:jc w:val="center"/>
              <w:rPr>
                <w:b/>
                <w:bCs/>
                <w:kern w:val="0"/>
                <w:sz w:val="21"/>
                <w:szCs w:val="21"/>
                <w:highlight w:val="none"/>
              </w:rPr>
            </w:pPr>
            <w:r>
              <w:rPr>
                <w:rFonts w:hint="eastAsia"/>
                <w:b/>
                <w:bCs/>
                <w:kern w:val="0"/>
                <w:sz w:val="21"/>
                <w:szCs w:val="21"/>
                <w:highlight w:val="none"/>
              </w:rPr>
              <w:t>合同签订时间</w:t>
            </w:r>
          </w:p>
        </w:tc>
        <w:tc>
          <w:tcPr>
            <w:tcW w:w="1718" w:type="dxa"/>
            <w:vAlign w:val="center"/>
          </w:tcPr>
          <w:p w14:paraId="12535609">
            <w:pPr>
              <w:adjustRightInd w:val="0"/>
              <w:snapToGrid w:val="0"/>
              <w:spacing w:line="288" w:lineRule="auto"/>
              <w:jc w:val="center"/>
              <w:rPr>
                <w:b/>
                <w:bCs/>
                <w:kern w:val="0"/>
                <w:sz w:val="21"/>
                <w:szCs w:val="21"/>
                <w:highlight w:val="none"/>
              </w:rPr>
            </w:pPr>
            <w:r>
              <w:rPr>
                <w:rFonts w:hint="eastAsia"/>
                <w:b/>
                <w:bCs/>
                <w:kern w:val="0"/>
                <w:sz w:val="21"/>
                <w:szCs w:val="21"/>
                <w:highlight w:val="none"/>
              </w:rPr>
              <w:t>采购人联系人</w:t>
            </w:r>
          </w:p>
          <w:p w14:paraId="2218516B">
            <w:pPr>
              <w:adjustRightInd w:val="0"/>
              <w:snapToGrid w:val="0"/>
              <w:spacing w:line="288" w:lineRule="auto"/>
              <w:jc w:val="center"/>
              <w:rPr>
                <w:b/>
                <w:bCs/>
                <w:kern w:val="0"/>
                <w:sz w:val="21"/>
                <w:szCs w:val="21"/>
                <w:highlight w:val="none"/>
              </w:rPr>
            </w:pPr>
            <w:r>
              <w:rPr>
                <w:rFonts w:hint="eastAsia"/>
                <w:b/>
                <w:bCs/>
                <w:kern w:val="0"/>
                <w:sz w:val="21"/>
                <w:szCs w:val="21"/>
                <w:highlight w:val="none"/>
              </w:rPr>
              <w:t>联系方式</w:t>
            </w:r>
          </w:p>
        </w:tc>
      </w:tr>
      <w:tr w14:paraId="72CF3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14:paraId="6012101B">
            <w:pPr>
              <w:adjustRightInd w:val="0"/>
              <w:snapToGrid w:val="0"/>
              <w:spacing w:line="288" w:lineRule="auto"/>
              <w:jc w:val="center"/>
              <w:rPr>
                <w:kern w:val="0"/>
                <w:sz w:val="21"/>
                <w:szCs w:val="21"/>
                <w:highlight w:val="none"/>
              </w:rPr>
            </w:pPr>
          </w:p>
        </w:tc>
        <w:tc>
          <w:tcPr>
            <w:tcW w:w="1268" w:type="dxa"/>
            <w:vAlign w:val="center"/>
          </w:tcPr>
          <w:p w14:paraId="3000CB61">
            <w:pPr>
              <w:adjustRightInd w:val="0"/>
              <w:snapToGrid w:val="0"/>
              <w:spacing w:line="288" w:lineRule="auto"/>
              <w:jc w:val="center"/>
              <w:rPr>
                <w:kern w:val="0"/>
                <w:sz w:val="21"/>
                <w:szCs w:val="21"/>
                <w:highlight w:val="none"/>
              </w:rPr>
            </w:pPr>
          </w:p>
        </w:tc>
        <w:tc>
          <w:tcPr>
            <w:tcW w:w="1282" w:type="dxa"/>
            <w:vAlign w:val="center"/>
          </w:tcPr>
          <w:p w14:paraId="29870D79">
            <w:pPr>
              <w:adjustRightInd w:val="0"/>
              <w:snapToGrid w:val="0"/>
              <w:spacing w:line="288" w:lineRule="auto"/>
              <w:jc w:val="center"/>
              <w:rPr>
                <w:kern w:val="0"/>
                <w:sz w:val="21"/>
                <w:szCs w:val="21"/>
                <w:highlight w:val="none"/>
              </w:rPr>
            </w:pPr>
          </w:p>
        </w:tc>
        <w:tc>
          <w:tcPr>
            <w:tcW w:w="1432" w:type="dxa"/>
            <w:vAlign w:val="center"/>
          </w:tcPr>
          <w:p w14:paraId="3D1CAE81">
            <w:pPr>
              <w:adjustRightInd w:val="0"/>
              <w:snapToGrid w:val="0"/>
              <w:spacing w:line="288" w:lineRule="auto"/>
              <w:jc w:val="center"/>
              <w:rPr>
                <w:kern w:val="0"/>
                <w:sz w:val="21"/>
                <w:szCs w:val="21"/>
                <w:highlight w:val="none"/>
              </w:rPr>
            </w:pPr>
          </w:p>
        </w:tc>
        <w:tc>
          <w:tcPr>
            <w:tcW w:w="1256" w:type="dxa"/>
            <w:vAlign w:val="center"/>
          </w:tcPr>
          <w:p w14:paraId="105F52A6">
            <w:pPr>
              <w:adjustRightInd w:val="0"/>
              <w:snapToGrid w:val="0"/>
              <w:spacing w:line="288" w:lineRule="auto"/>
              <w:jc w:val="center"/>
              <w:rPr>
                <w:kern w:val="0"/>
                <w:sz w:val="21"/>
                <w:szCs w:val="21"/>
                <w:highlight w:val="none"/>
              </w:rPr>
            </w:pPr>
          </w:p>
        </w:tc>
        <w:tc>
          <w:tcPr>
            <w:tcW w:w="899" w:type="dxa"/>
            <w:vAlign w:val="center"/>
          </w:tcPr>
          <w:p w14:paraId="33F25E3B">
            <w:pPr>
              <w:adjustRightInd w:val="0"/>
              <w:snapToGrid w:val="0"/>
              <w:spacing w:line="288" w:lineRule="auto"/>
              <w:jc w:val="center"/>
              <w:rPr>
                <w:kern w:val="0"/>
                <w:sz w:val="21"/>
                <w:szCs w:val="21"/>
                <w:highlight w:val="none"/>
              </w:rPr>
            </w:pPr>
          </w:p>
        </w:tc>
        <w:tc>
          <w:tcPr>
            <w:tcW w:w="995" w:type="dxa"/>
            <w:vAlign w:val="center"/>
          </w:tcPr>
          <w:p w14:paraId="7415D28D">
            <w:pPr>
              <w:adjustRightInd w:val="0"/>
              <w:snapToGrid w:val="0"/>
              <w:spacing w:line="288" w:lineRule="auto"/>
              <w:jc w:val="center"/>
              <w:rPr>
                <w:kern w:val="0"/>
                <w:sz w:val="21"/>
                <w:szCs w:val="21"/>
                <w:highlight w:val="none"/>
              </w:rPr>
            </w:pPr>
          </w:p>
        </w:tc>
        <w:tc>
          <w:tcPr>
            <w:tcW w:w="1718" w:type="dxa"/>
            <w:vAlign w:val="center"/>
          </w:tcPr>
          <w:p w14:paraId="043B5241">
            <w:pPr>
              <w:adjustRightInd w:val="0"/>
              <w:snapToGrid w:val="0"/>
              <w:spacing w:line="288" w:lineRule="auto"/>
              <w:jc w:val="center"/>
              <w:rPr>
                <w:kern w:val="0"/>
                <w:sz w:val="21"/>
                <w:szCs w:val="21"/>
                <w:highlight w:val="none"/>
              </w:rPr>
            </w:pPr>
          </w:p>
        </w:tc>
      </w:tr>
      <w:tr w14:paraId="7A492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14:paraId="11B64311">
            <w:pPr>
              <w:adjustRightInd w:val="0"/>
              <w:snapToGrid w:val="0"/>
              <w:spacing w:line="288" w:lineRule="auto"/>
              <w:jc w:val="center"/>
              <w:rPr>
                <w:kern w:val="0"/>
                <w:sz w:val="21"/>
                <w:szCs w:val="21"/>
                <w:highlight w:val="none"/>
              </w:rPr>
            </w:pPr>
          </w:p>
        </w:tc>
        <w:tc>
          <w:tcPr>
            <w:tcW w:w="1268" w:type="dxa"/>
            <w:vAlign w:val="center"/>
          </w:tcPr>
          <w:p w14:paraId="1837A2A5">
            <w:pPr>
              <w:adjustRightInd w:val="0"/>
              <w:snapToGrid w:val="0"/>
              <w:spacing w:line="288" w:lineRule="auto"/>
              <w:jc w:val="center"/>
              <w:rPr>
                <w:kern w:val="0"/>
                <w:sz w:val="21"/>
                <w:szCs w:val="21"/>
                <w:highlight w:val="none"/>
              </w:rPr>
            </w:pPr>
          </w:p>
        </w:tc>
        <w:tc>
          <w:tcPr>
            <w:tcW w:w="1282" w:type="dxa"/>
            <w:vAlign w:val="center"/>
          </w:tcPr>
          <w:p w14:paraId="296741A6">
            <w:pPr>
              <w:adjustRightInd w:val="0"/>
              <w:snapToGrid w:val="0"/>
              <w:spacing w:line="288" w:lineRule="auto"/>
              <w:jc w:val="center"/>
              <w:rPr>
                <w:kern w:val="0"/>
                <w:sz w:val="21"/>
                <w:szCs w:val="21"/>
                <w:highlight w:val="none"/>
              </w:rPr>
            </w:pPr>
          </w:p>
        </w:tc>
        <w:tc>
          <w:tcPr>
            <w:tcW w:w="1432" w:type="dxa"/>
            <w:vAlign w:val="center"/>
          </w:tcPr>
          <w:p w14:paraId="794E4F7F">
            <w:pPr>
              <w:adjustRightInd w:val="0"/>
              <w:snapToGrid w:val="0"/>
              <w:spacing w:line="288" w:lineRule="auto"/>
              <w:jc w:val="center"/>
              <w:rPr>
                <w:kern w:val="0"/>
                <w:sz w:val="21"/>
                <w:szCs w:val="21"/>
                <w:highlight w:val="none"/>
              </w:rPr>
            </w:pPr>
          </w:p>
        </w:tc>
        <w:tc>
          <w:tcPr>
            <w:tcW w:w="1256" w:type="dxa"/>
            <w:vAlign w:val="center"/>
          </w:tcPr>
          <w:p w14:paraId="4C4CC54E">
            <w:pPr>
              <w:adjustRightInd w:val="0"/>
              <w:snapToGrid w:val="0"/>
              <w:spacing w:line="288" w:lineRule="auto"/>
              <w:jc w:val="center"/>
              <w:rPr>
                <w:kern w:val="0"/>
                <w:sz w:val="21"/>
                <w:szCs w:val="21"/>
                <w:highlight w:val="none"/>
              </w:rPr>
            </w:pPr>
          </w:p>
        </w:tc>
        <w:tc>
          <w:tcPr>
            <w:tcW w:w="899" w:type="dxa"/>
            <w:vAlign w:val="center"/>
          </w:tcPr>
          <w:p w14:paraId="383A1914">
            <w:pPr>
              <w:adjustRightInd w:val="0"/>
              <w:snapToGrid w:val="0"/>
              <w:spacing w:line="288" w:lineRule="auto"/>
              <w:jc w:val="center"/>
              <w:rPr>
                <w:kern w:val="0"/>
                <w:sz w:val="21"/>
                <w:szCs w:val="21"/>
                <w:highlight w:val="none"/>
              </w:rPr>
            </w:pPr>
          </w:p>
        </w:tc>
        <w:tc>
          <w:tcPr>
            <w:tcW w:w="995" w:type="dxa"/>
            <w:vAlign w:val="center"/>
          </w:tcPr>
          <w:p w14:paraId="27E0E2A4">
            <w:pPr>
              <w:adjustRightInd w:val="0"/>
              <w:snapToGrid w:val="0"/>
              <w:spacing w:line="288" w:lineRule="auto"/>
              <w:jc w:val="center"/>
              <w:rPr>
                <w:kern w:val="0"/>
                <w:sz w:val="21"/>
                <w:szCs w:val="21"/>
                <w:highlight w:val="none"/>
              </w:rPr>
            </w:pPr>
          </w:p>
        </w:tc>
        <w:tc>
          <w:tcPr>
            <w:tcW w:w="1718" w:type="dxa"/>
            <w:vAlign w:val="center"/>
          </w:tcPr>
          <w:p w14:paraId="79638744">
            <w:pPr>
              <w:adjustRightInd w:val="0"/>
              <w:snapToGrid w:val="0"/>
              <w:spacing w:line="288" w:lineRule="auto"/>
              <w:jc w:val="center"/>
              <w:rPr>
                <w:kern w:val="0"/>
                <w:sz w:val="21"/>
                <w:szCs w:val="21"/>
                <w:highlight w:val="none"/>
              </w:rPr>
            </w:pPr>
          </w:p>
        </w:tc>
      </w:tr>
      <w:tr w14:paraId="01316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14:paraId="633C0B1A">
            <w:pPr>
              <w:adjustRightInd w:val="0"/>
              <w:snapToGrid w:val="0"/>
              <w:spacing w:line="288" w:lineRule="auto"/>
              <w:jc w:val="center"/>
              <w:rPr>
                <w:kern w:val="0"/>
                <w:sz w:val="21"/>
                <w:szCs w:val="21"/>
                <w:highlight w:val="none"/>
              </w:rPr>
            </w:pPr>
          </w:p>
        </w:tc>
        <w:tc>
          <w:tcPr>
            <w:tcW w:w="1268" w:type="dxa"/>
            <w:vAlign w:val="center"/>
          </w:tcPr>
          <w:p w14:paraId="1182D85D">
            <w:pPr>
              <w:adjustRightInd w:val="0"/>
              <w:snapToGrid w:val="0"/>
              <w:spacing w:line="288" w:lineRule="auto"/>
              <w:jc w:val="center"/>
              <w:rPr>
                <w:kern w:val="0"/>
                <w:sz w:val="21"/>
                <w:szCs w:val="21"/>
                <w:highlight w:val="none"/>
              </w:rPr>
            </w:pPr>
          </w:p>
        </w:tc>
        <w:tc>
          <w:tcPr>
            <w:tcW w:w="1282" w:type="dxa"/>
            <w:vAlign w:val="center"/>
          </w:tcPr>
          <w:p w14:paraId="63B31B2F">
            <w:pPr>
              <w:adjustRightInd w:val="0"/>
              <w:snapToGrid w:val="0"/>
              <w:spacing w:line="288" w:lineRule="auto"/>
              <w:jc w:val="center"/>
              <w:rPr>
                <w:kern w:val="0"/>
                <w:sz w:val="21"/>
                <w:szCs w:val="21"/>
                <w:highlight w:val="none"/>
              </w:rPr>
            </w:pPr>
          </w:p>
        </w:tc>
        <w:tc>
          <w:tcPr>
            <w:tcW w:w="1432" w:type="dxa"/>
            <w:vAlign w:val="center"/>
          </w:tcPr>
          <w:p w14:paraId="6926CB24">
            <w:pPr>
              <w:adjustRightInd w:val="0"/>
              <w:snapToGrid w:val="0"/>
              <w:spacing w:line="288" w:lineRule="auto"/>
              <w:jc w:val="center"/>
              <w:rPr>
                <w:kern w:val="0"/>
                <w:sz w:val="21"/>
                <w:szCs w:val="21"/>
                <w:highlight w:val="none"/>
              </w:rPr>
            </w:pPr>
          </w:p>
        </w:tc>
        <w:tc>
          <w:tcPr>
            <w:tcW w:w="1256" w:type="dxa"/>
            <w:vAlign w:val="center"/>
          </w:tcPr>
          <w:p w14:paraId="104C0198">
            <w:pPr>
              <w:adjustRightInd w:val="0"/>
              <w:snapToGrid w:val="0"/>
              <w:spacing w:line="288" w:lineRule="auto"/>
              <w:jc w:val="center"/>
              <w:rPr>
                <w:kern w:val="0"/>
                <w:sz w:val="21"/>
                <w:szCs w:val="21"/>
                <w:highlight w:val="none"/>
              </w:rPr>
            </w:pPr>
          </w:p>
        </w:tc>
        <w:tc>
          <w:tcPr>
            <w:tcW w:w="899" w:type="dxa"/>
            <w:vAlign w:val="center"/>
          </w:tcPr>
          <w:p w14:paraId="4EE5CBB5">
            <w:pPr>
              <w:adjustRightInd w:val="0"/>
              <w:snapToGrid w:val="0"/>
              <w:spacing w:line="288" w:lineRule="auto"/>
              <w:jc w:val="center"/>
              <w:rPr>
                <w:kern w:val="0"/>
                <w:sz w:val="21"/>
                <w:szCs w:val="21"/>
                <w:highlight w:val="none"/>
              </w:rPr>
            </w:pPr>
          </w:p>
        </w:tc>
        <w:tc>
          <w:tcPr>
            <w:tcW w:w="995" w:type="dxa"/>
            <w:vAlign w:val="center"/>
          </w:tcPr>
          <w:p w14:paraId="60C4AE07">
            <w:pPr>
              <w:adjustRightInd w:val="0"/>
              <w:snapToGrid w:val="0"/>
              <w:spacing w:line="288" w:lineRule="auto"/>
              <w:jc w:val="center"/>
              <w:rPr>
                <w:kern w:val="0"/>
                <w:sz w:val="21"/>
                <w:szCs w:val="21"/>
                <w:highlight w:val="none"/>
              </w:rPr>
            </w:pPr>
          </w:p>
        </w:tc>
        <w:tc>
          <w:tcPr>
            <w:tcW w:w="1718" w:type="dxa"/>
            <w:vAlign w:val="center"/>
          </w:tcPr>
          <w:p w14:paraId="7455231F">
            <w:pPr>
              <w:adjustRightInd w:val="0"/>
              <w:snapToGrid w:val="0"/>
              <w:spacing w:line="288" w:lineRule="auto"/>
              <w:jc w:val="center"/>
              <w:rPr>
                <w:kern w:val="0"/>
                <w:sz w:val="21"/>
                <w:szCs w:val="21"/>
                <w:highlight w:val="none"/>
              </w:rPr>
            </w:pPr>
          </w:p>
        </w:tc>
      </w:tr>
      <w:tr w14:paraId="1D211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14:paraId="5E7B69FA">
            <w:pPr>
              <w:adjustRightInd w:val="0"/>
              <w:snapToGrid w:val="0"/>
              <w:spacing w:line="288" w:lineRule="auto"/>
              <w:jc w:val="center"/>
              <w:rPr>
                <w:kern w:val="0"/>
                <w:sz w:val="21"/>
                <w:szCs w:val="21"/>
                <w:highlight w:val="none"/>
              </w:rPr>
            </w:pPr>
          </w:p>
        </w:tc>
        <w:tc>
          <w:tcPr>
            <w:tcW w:w="1268" w:type="dxa"/>
            <w:vAlign w:val="center"/>
          </w:tcPr>
          <w:p w14:paraId="3F9D8BC4">
            <w:pPr>
              <w:adjustRightInd w:val="0"/>
              <w:snapToGrid w:val="0"/>
              <w:spacing w:line="288" w:lineRule="auto"/>
              <w:jc w:val="center"/>
              <w:rPr>
                <w:kern w:val="0"/>
                <w:sz w:val="21"/>
                <w:szCs w:val="21"/>
                <w:highlight w:val="none"/>
              </w:rPr>
            </w:pPr>
          </w:p>
        </w:tc>
        <w:tc>
          <w:tcPr>
            <w:tcW w:w="1282" w:type="dxa"/>
            <w:vAlign w:val="center"/>
          </w:tcPr>
          <w:p w14:paraId="1A07AB62">
            <w:pPr>
              <w:adjustRightInd w:val="0"/>
              <w:snapToGrid w:val="0"/>
              <w:spacing w:line="288" w:lineRule="auto"/>
              <w:jc w:val="center"/>
              <w:rPr>
                <w:kern w:val="0"/>
                <w:sz w:val="21"/>
                <w:szCs w:val="21"/>
                <w:highlight w:val="none"/>
              </w:rPr>
            </w:pPr>
          </w:p>
        </w:tc>
        <w:tc>
          <w:tcPr>
            <w:tcW w:w="1432" w:type="dxa"/>
            <w:vAlign w:val="center"/>
          </w:tcPr>
          <w:p w14:paraId="33468586">
            <w:pPr>
              <w:adjustRightInd w:val="0"/>
              <w:snapToGrid w:val="0"/>
              <w:spacing w:line="288" w:lineRule="auto"/>
              <w:jc w:val="center"/>
              <w:rPr>
                <w:kern w:val="0"/>
                <w:sz w:val="21"/>
                <w:szCs w:val="21"/>
                <w:highlight w:val="none"/>
              </w:rPr>
            </w:pPr>
          </w:p>
        </w:tc>
        <w:tc>
          <w:tcPr>
            <w:tcW w:w="1256" w:type="dxa"/>
            <w:vAlign w:val="center"/>
          </w:tcPr>
          <w:p w14:paraId="337D44FD">
            <w:pPr>
              <w:adjustRightInd w:val="0"/>
              <w:snapToGrid w:val="0"/>
              <w:spacing w:line="288" w:lineRule="auto"/>
              <w:jc w:val="center"/>
              <w:rPr>
                <w:kern w:val="0"/>
                <w:sz w:val="21"/>
                <w:szCs w:val="21"/>
                <w:highlight w:val="none"/>
              </w:rPr>
            </w:pPr>
          </w:p>
        </w:tc>
        <w:tc>
          <w:tcPr>
            <w:tcW w:w="899" w:type="dxa"/>
            <w:vAlign w:val="center"/>
          </w:tcPr>
          <w:p w14:paraId="67CC798C">
            <w:pPr>
              <w:adjustRightInd w:val="0"/>
              <w:snapToGrid w:val="0"/>
              <w:spacing w:line="288" w:lineRule="auto"/>
              <w:jc w:val="center"/>
              <w:rPr>
                <w:kern w:val="0"/>
                <w:sz w:val="21"/>
                <w:szCs w:val="21"/>
                <w:highlight w:val="none"/>
              </w:rPr>
            </w:pPr>
          </w:p>
        </w:tc>
        <w:tc>
          <w:tcPr>
            <w:tcW w:w="995" w:type="dxa"/>
            <w:vAlign w:val="center"/>
          </w:tcPr>
          <w:p w14:paraId="2A5FCF52">
            <w:pPr>
              <w:adjustRightInd w:val="0"/>
              <w:snapToGrid w:val="0"/>
              <w:spacing w:line="288" w:lineRule="auto"/>
              <w:jc w:val="center"/>
              <w:rPr>
                <w:kern w:val="0"/>
                <w:sz w:val="21"/>
                <w:szCs w:val="21"/>
                <w:highlight w:val="none"/>
              </w:rPr>
            </w:pPr>
          </w:p>
        </w:tc>
        <w:tc>
          <w:tcPr>
            <w:tcW w:w="1718" w:type="dxa"/>
            <w:vAlign w:val="center"/>
          </w:tcPr>
          <w:p w14:paraId="38A14000">
            <w:pPr>
              <w:adjustRightInd w:val="0"/>
              <w:snapToGrid w:val="0"/>
              <w:spacing w:line="288" w:lineRule="auto"/>
              <w:jc w:val="center"/>
              <w:rPr>
                <w:kern w:val="0"/>
                <w:sz w:val="21"/>
                <w:szCs w:val="21"/>
                <w:highlight w:val="none"/>
              </w:rPr>
            </w:pPr>
          </w:p>
        </w:tc>
      </w:tr>
    </w:tbl>
    <w:p w14:paraId="1984834E">
      <w:pPr>
        <w:adjustRightInd w:val="0"/>
        <w:snapToGrid w:val="0"/>
        <w:spacing w:line="288" w:lineRule="auto"/>
        <w:rPr>
          <w:sz w:val="21"/>
          <w:szCs w:val="21"/>
          <w:highlight w:val="none"/>
        </w:rPr>
      </w:pPr>
    </w:p>
    <w:p w14:paraId="0BAE1783">
      <w:pPr>
        <w:adjustRightInd w:val="0"/>
        <w:snapToGrid w:val="0"/>
        <w:spacing w:line="288" w:lineRule="auto"/>
        <w:rPr>
          <w:b/>
          <w:bCs/>
          <w:sz w:val="21"/>
          <w:szCs w:val="21"/>
          <w:highlight w:val="none"/>
        </w:rPr>
      </w:pPr>
      <w:r>
        <w:rPr>
          <w:rFonts w:hint="eastAsia"/>
          <w:b/>
          <w:bCs/>
          <w:sz w:val="21"/>
          <w:szCs w:val="21"/>
          <w:highlight w:val="none"/>
        </w:rPr>
        <w:t>说明：</w:t>
      </w:r>
    </w:p>
    <w:p w14:paraId="30C8BDB4">
      <w:pPr>
        <w:adjustRightInd w:val="0"/>
        <w:snapToGrid w:val="0"/>
        <w:spacing w:line="288" w:lineRule="auto"/>
        <w:rPr>
          <w:b/>
          <w:bCs/>
          <w:sz w:val="21"/>
          <w:szCs w:val="21"/>
          <w:highlight w:val="none"/>
        </w:rPr>
      </w:pPr>
      <w:r>
        <w:rPr>
          <w:rFonts w:hint="eastAsia"/>
          <w:b/>
          <w:bCs/>
          <w:sz w:val="21"/>
          <w:szCs w:val="21"/>
          <w:highlight w:val="none"/>
        </w:rPr>
        <w:t>1.供应商须提供上述业绩合同扫描件；</w:t>
      </w:r>
    </w:p>
    <w:p w14:paraId="20227650">
      <w:pPr>
        <w:adjustRightInd w:val="0"/>
        <w:snapToGrid w:val="0"/>
        <w:spacing w:line="288" w:lineRule="auto"/>
        <w:rPr>
          <w:b/>
          <w:bCs/>
          <w:sz w:val="21"/>
          <w:szCs w:val="21"/>
          <w:highlight w:val="none"/>
        </w:rPr>
      </w:pPr>
      <w:r>
        <w:rPr>
          <w:rFonts w:hint="eastAsia"/>
          <w:b/>
          <w:bCs/>
          <w:sz w:val="21"/>
          <w:szCs w:val="21"/>
          <w:highlight w:val="none"/>
        </w:rPr>
        <w:t>2.所有合同扫描件应清晰，应能体现合同签订时间、双方签名盖章等内容；</w:t>
      </w:r>
    </w:p>
    <w:p w14:paraId="65219F52">
      <w:pPr>
        <w:adjustRightInd w:val="0"/>
        <w:snapToGrid w:val="0"/>
        <w:spacing w:line="288" w:lineRule="auto"/>
        <w:rPr>
          <w:b/>
          <w:bCs/>
          <w:sz w:val="21"/>
          <w:szCs w:val="21"/>
          <w:highlight w:val="none"/>
        </w:rPr>
      </w:pPr>
      <w:r>
        <w:rPr>
          <w:rFonts w:hint="eastAsia"/>
          <w:b/>
          <w:bCs/>
          <w:sz w:val="21"/>
          <w:szCs w:val="21"/>
          <w:highlight w:val="none"/>
        </w:rPr>
        <w:t>3.供应商应在不涉及商业秘密的前提下尽可能提供详细的合同扫描件内容。</w:t>
      </w:r>
    </w:p>
    <w:p w14:paraId="55E9F8D6">
      <w:pPr>
        <w:adjustRightInd w:val="0"/>
        <w:snapToGrid w:val="0"/>
        <w:spacing w:line="288" w:lineRule="auto"/>
        <w:rPr>
          <w:sz w:val="21"/>
          <w:szCs w:val="21"/>
          <w:highlight w:val="none"/>
        </w:rPr>
      </w:pPr>
    </w:p>
    <w:p w14:paraId="0BFC00BD">
      <w:pPr>
        <w:adjustRightInd w:val="0"/>
        <w:snapToGrid w:val="0"/>
        <w:spacing w:line="288" w:lineRule="auto"/>
        <w:rPr>
          <w:sz w:val="21"/>
          <w:szCs w:val="21"/>
          <w:highlight w:val="none"/>
        </w:rPr>
      </w:pPr>
    </w:p>
    <w:p w14:paraId="5DB501B7">
      <w:pPr>
        <w:adjustRightInd w:val="0"/>
        <w:snapToGrid w:val="0"/>
        <w:spacing w:line="288" w:lineRule="auto"/>
        <w:rPr>
          <w:sz w:val="21"/>
          <w:szCs w:val="21"/>
          <w:highlight w:val="none"/>
        </w:rPr>
      </w:pPr>
    </w:p>
    <w:p w14:paraId="040FA605">
      <w:pPr>
        <w:adjustRightInd w:val="0"/>
        <w:snapToGrid w:val="0"/>
        <w:spacing w:line="288" w:lineRule="auto"/>
        <w:rPr>
          <w:rFonts w:cs="Times New Roman"/>
          <w:b/>
          <w:bCs/>
          <w:spacing w:val="-6"/>
          <w:sz w:val="21"/>
          <w:szCs w:val="21"/>
          <w:highlight w:val="none"/>
        </w:rPr>
      </w:pPr>
      <w:r>
        <w:rPr>
          <w:rFonts w:hint="eastAsia" w:cs="Times New Roman"/>
          <w:b/>
          <w:bCs/>
          <w:spacing w:val="-6"/>
          <w:sz w:val="21"/>
          <w:szCs w:val="21"/>
          <w:highlight w:val="none"/>
        </w:rPr>
        <w:t>供应商名称（</w:t>
      </w:r>
      <w:r>
        <w:rPr>
          <w:rFonts w:cs="Times New Roman"/>
          <w:b/>
          <w:bCs/>
          <w:spacing w:val="-6"/>
          <w:sz w:val="21"/>
          <w:szCs w:val="21"/>
          <w:highlight w:val="none"/>
        </w:rPr>
        <w:t>电子签名/公章</w:t>
      </w:r>
      <w:r>
        <w:rPr>
          <w:rFonts w:hint="eastAsia" w:cs="Times New Roman"/>
          <w:b/>
          <w:bCs/>
          <w:spacing w:val="-6"/>
          <w:sz w:val="21"/>
          <w:szCs w:val="21"/>
          <w:highlight w:val="none"/>
        </w:rPr>
        <w:t>）：</w:t>
      </w:r>
    </w:p>
    <w:p w14:paraId="6760CDCE">
      <w:pPr>
        <w:adjustRightInd w:val="0"/>
        <w:snapToGrid w:val="0"/>
        <w:spacing w:line="288" w:lineRule="auto"/>
        <w:rPr>
          <w:rFonts w:cs="Times New Roman"/>
          <w:b/>
          <w:bCs/>
          <w:spacing w:val="-6"/>
          <w:sz w:val="21"/>
          <w:szCs w:val="21"/>
          <w:highlight w:val="none"/>
        </w:rPr>
      </w:pPr>
      <w:r>
        <w:rPr>
          <w:rFonts w:hint="eastAsia" w:cs="Times New Roman"/>
          <w:b/>
          <w:bCs/>
          <w:spacing w:val="-6"/>
          <w:sz w:val="21"/>
          <w:szCs w:val="21"/>
          <w:highlight w:val="none"/>
        </w:rPr>
        <w:t>日期：     年   月   日</w:t>
      </w:r>
    </w:p>
    <w:p w14:paraId="07C43653">
      <w:pPr>
        <w:widowControl/>
        <w:jc w:val="left"/>
        <w:rPr>
          <w:rFonts w:cs="Times New Roman"/>
          <w:b/>
          <w:bCs/>
          <w:spacing w:val="-6"/>
          <w:sz w:val="21"/>
          <w:szCs w:val="21"/>
          <w:highlight w:val="none"/>
        </w:rPr>
      </w:pPr>
      <w:r>
        <w:rPr>
          <w:rFonts w:cs="Times New Roman"/>
          <w:b/>
          <w:bCs/>
          <w:spacing w:val="-6"/>
          <w:sz w:val="21"/>
          <w:szCs w:val="21"/>
          <w:highlight w:val="none"/>
        </w:rPr>
        <w:br w:type="page"/>
      </w:r>
    </w:p>
    <w:p w14:paraId="0D64C381">
      <w:pPr>
        <w:adjustRightInd w:val="0"/>
        <w:snapToGrid w:val="0"/>
        <w:spacing w:line="288" w:lineRule="auto"/>
        <w:jc w:val="center"/>
        <w:outlineLvl w:val="2"/>
        <w:rPr>
          <w:b/>
          <w:bCs/>
          <w:sz w:val="21"/>
          <w:szCs w:val="21"/>
          <w:highlight w:val="none"/>
        </w:rPr>
      </w:pPr>
      <w:r>
        <w:rPr>
          <w:rFonts w:hint="eastAsia"/>
          <w:b/>
          <w:bCs/>
          <w:sz w:val="21"/>
          <w:szCs w:val="21"/>
          <w:highlight w:val="none"/>
        </w:rPr>
        <w:t>（</w:t>
      </w:r>
      <w:r>
        <w:rPr>
          <w:b/>
          <w:bCs/>
          <w:sz w:val="21"/>
          <w:szCs w:val="21"/>
          <w:highlight w:val="none"/>
        </w:rPr>
        <w:t>6</w:t>
      </w:r>
      <w:r>
        <w:rPr>
          <w:rFonts w:hint="eastAsia"/>
          <w:b/>
          <w:bCs/>
          <w:sz w:val="21"/>
          <w:szCs w:val="21"/>
          <w:highlight w:val="none"/>
        </w:rPr>
        <w:t>）商务分相关证明材料（如有）</w:t>
      </w:r>
    </w:p>
    <w:p w14:paraId="6DACEBED">
      <w:pPr>
        <w:adjustRightInd w:val="0"/>
        <w:snapToGrid w:val="0"/>
        <w:spacing w:line="288" w:lineRule="auto"/>
        <w:rPr>
          <w:rFonts w:cs="Times New Roman"/>
          <w:b/>
          <w:bCs/>
          <w:spacing w:val="-6"/>
          <w:sz w:val="21"/>
          <w:szCs w:val="21"/>
          <w:highlight w:val="none"/>
        </w:rPr>
      </w:pPr>
    </w:p>
    <w:p w14:paraId="1DE3C88E">
      <w:pPr>
        <w:adjustRightInd w:val="0"/>
        <w:snapToGrid w:val="0"/>
        <w:spacing w:line="288" w:lineRule="auto"/>
        <w:rPr>
          <w:rFonts w:cs="Times New Roman"/>
          <w:b/>
          <w:bCs/>
          <w:spacing w:val="-6"/>
          <w:sz w:val="21"/>
          <w:szCs w:val="21"/>
          <w:highlight w:val="none"/>
        </w:rPr>
      </w:pPr>
    </w:p>
    <w:p w14:paraId="4691A0F7">
      <w:pPr>
        <w:adjustRightInd w:val="0"/>
        <w:snapToGrid w:val="0"/>
        <w:spacing w:line="288" w:lineRule="auto"/>
        <w:rPr>
          <w:sz w:val="21"/>
          <w:szCs w:val="21"/>
          <w:highlight w:val="none"/>
        </w:rPr>
      </w:pPr>
      <w:r>
        <w:rPr>
          <w:rFonts w:hint="eastAsia"/>
          <w:sz w:val="21"/>
          <w:szCs w:val="21"/>
          <w:highlight w:val="none"/>
        </w:rPr>
        <w:br w:type="page"/>
      </w:r>
    </w:p>
    <w:p w14:paraId="5BD8F21B">
      <w:pPr>
        <w:adjustRightInd w:val="0"/>
        <w:snapToGrid w:val="0"/>
        <w:spacing w:line="288" w:lineRule="auto"/>
        <w:jc w:val="center"/>
        <w:outlineLvl w:val="2"/>
        <w:rPr>
          <w:b/>
          <w:bCs/>
          <w:sz w:val="21"/>
          <w:szCs w:val="21"/>
          <w:highlight w:val="none"/>
        </w:rPr>
      </w:pPr>
      <w:r>
        <w:rPr>
          <w:rFonts w:hint="eastAsia"/>
          <w:b/>
          <w:bCs/>
          <w:sz w:val="21"/>
          <w:szCs w:val="21"/>
          <w:highlight w:val="none"/>
        </w:rPr>
        <w:t>（</w:t>
      </w:r>
      <w:r>
        <w:rPr>
          <w:b/>
          <w:bCs/>
          <w:sz w:val="21"/>
          <w:szCs w:val="21"/>
          <w:highlight w:val="none"/>
        </w:rPr>
        <w:t>7</w:t>
      </w:r>
      <w:r>
        <w:rPr>
          <w:rFonts w:hint="eastAsia"/>
          <w:b/>
          <w:bCs/>
          <w:sz w:val="21"/>
          <w:szCs w:val="21"/>
          <w:highlight w:val="none"/>
        </w:rPr>
        <w:t>）采购需求偏离表</w:t>
      </w:r>
    </w:p>
    <w:p w14:paraId="2CCCCF80">
      <w:pPr>
        <w:adjustRightInd w:val="0"/>
        <w:snapToGrid w:val="0"/>
        <w:spacing w:line="288" w:lineRule="auto"/>
        <w:rPr>
          <w:sz w:val="21"/>
          <w:szCs w:val="21"/>
          <w:highlight w:val="none"/>
        </w:rPr>
      </w:pPr>
      <w:r>
        <w:rPr>
          <w:rFonts w:hint="eastAsia"/>
          <w:sz w:val="21"/>
          <w:szCs w:val="21"/>
          <w:highlight w:val="none"/>
        </w:rPr>
        <w:t>采 购 人：浙江交通职业技术学院</w:t>
      </w:r>
    </w:p>
    <w:p w14:paraId="4841253C">
      <w:pPr>
        <w:adjustRightInd w:val="0"/>
        <w:snapToGrid w:val="0"/>
        <w:spacing w:line="288" w:lineRule="auto"/>
        <w:rPr>
          <w:sz w:val="21"/>
          <w:szCs w:val="21"/>
          <w:highlight w:val="none"/>
        </w:rPr>
      </w:pPr>
      <w:r>
        <w:rPr>
          <w:rFonts w:hint="eastAsia"/>
          <w:sz w:val="21"/>
          <w:szCs w:val="21"/>
          <w:highlight w:val="none"/>
        </w:rPr>
        <w:t>项目名称：长兴校区局部修缮项目</w:t>
      </w:r>
    </w:p>
    <w:p w14:paraId="063E506F">
      <w:pPr>
        <w:adjustRightInd w:val="0"/>
        <w:snapToGrid w:val="0"/>
        <w:spacing w:line="288" w:lineRule="auto"/>
        <w:rPr>
          <w:sz w:val="21"/>
          <w:szCs w:val="21"/>
          <w:highlight w:val="none"/>
        </w:rPr>
      </w:pPr>
      <w:r>
        <w:rPr>
          <w:rFonts w:hint="eastAsia"/>
          <w:sz w:val="21"/>
          <w:szCs w:val="21"/>
          <w:highlight w:val="none"/>
        </w:rPr>
        <w:t xml:space="preserve">项目编号：QSZB-Z(G)-C24372(CS)   </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2"/>
        <w:gridCol w:w="3200"/>
        <w:gridCol w:w="2836"/>
        <w:gridCol w:w="2354"/>
      </w:tblGrid>
      <w:tr w14:paraId="0DB21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12" w:type="dxa"/>
            <w:vAlign w:val="center"/>
          </w:tcPr>
          <w:p w14:paraId="1FA05970">
            <w:pPr>
              <w:adjustRightInd w:val="0"/>
              <w:snapToGrid w:val="0"/>
              <w:spacing w:line="288" w:lineRule="auto"/>
              <w:jc w:val="center"/>
              <w:rPr>
                <w:b/>
                <w:bCs/>
                <w:kern w:val="0"/>
                <w:sz w:val="21"/>
                <w:szCs w:val="21"/>
                <w:highlight w:val="none"/>
              </w:rPr>
            </w:pPr>
            <w:bookmarkStart w:id="63" w:name="_Hlk97040421"/>
            <w:r>
              <w:rPr>
                <w:rFonts w:hint="eastAsia"/>
                <w:b/>
                <w:bCs/>
                <w:kern w:val="0"/>
                <w:sz w:val="21"/>
                <w:szCs w:val="21"/>
                <w:highlight w:val="none"/>
              </w:rPr>
              <w:t>序号</w:t>
            </w:r>
          </w:p>
        </w:tc>
        <w:tc>
          <w:tcPr>
            <w:tcW w:w="3200" w:type="dxa"/>
            <w:vAlign w:val="center"/>
          </w:tcPr>
          <w:p w14:paraId="6593F07B">
            <w:pPr>
              <w:adjustRightInd w:val="0"/>
              <w:snapToGrid w:val="0"/>
              <w:spacing w:line="288" w:lineRule="auto"/>
              <w:jc w:val="center"/>
              <w:rPr>
                <w:b/>
                <w:bCs/>
                <w:kern w:val="0"/>
                <w:sz w:val="21"/>
                <w:szCs w:val="21"/>
                <w:highlight w:val="none"/>
              </w:rPr>
            </w:pPr>
            <w:r>
              <w:rPr>
                <w:rFonts w:hint="eastAsia"/>
                <w:b/>
                <w:bCs/>
                <w:kern w:val="0"/>
                <w:sz w:val="21"/>
                <w:szCs w:val="21"/>
                <w:highlight w:val="none"/>
              </w:rPr>
              <w:t>磋商文件要求</w:t>
            </w:r>
          </w:p>
        </w:tc>
        <w:tc>
          <w:tcPr>
            <w:tcW w:w="2836" w:type="dxa"/>
            <w:vAlign w:val="center"/>
          </w:tcPr>
          <w:p w14:paraId="777D93DE">
            <w:pPr>
              <w:adjustRightInd w:val="0"/>
              <w:snapToGrid w:val="0"/>
              <w:spacing w:line="288" w:lineRule="auto"/>
              <w:jc w:val="center"/>
              <w:rPr>
                <w:b/>
                <w:bCs/>
                <w:kern w:val="0"/>
                <w:sz w:val="21"/>
                <w:szCs w:val="21"/>
                <w:highlight w:val="none"/>
              </w:rPr>
            </w:pPr>
            <w:r>
              <w:rPr>
                <w:rFonts w:hint="eastAsia"/>
                <w:b/>
                <w:bCs/>
                <w:kern w:val="0"/>
                <w:sz w:val="21"/>
                <w:szCs w:val="21"/>
                <w:highlight w:val="none"/>
              </w:rPr>
              <w:t>响应规格</w:t>
            </w:r>
          </w:p>
        </w:tc>
        <w:tc>
          <w:tcPr>
            <w:tcW w:w="2354" w:type="dxa"/>
            <w:vAlign w:val="center"/>
          </w:tcPr>
          <w:p w14:paraId="279EAF26">
            <w:pPr>
              <w:adjustRightInd w:val="0"/>
              <w:snapToGrid w:val="0"/>
              <w:spacing w:line="288" w:lineRule="auto"/>
              <w:jc w:val="center"/>
              <w:rPr>
                <w:b/>
                <w:bCs/>
                <w:kern w:val="0"/>
                <w:sz w:val="21"/>
                <w:szCs w:val="21"/>
                <w:highlight w:val="none"/>
              </w:rPr>
            </w:pPr>
            <w:r>
              <w:rPr>
                <w:rFonts w:hint="eastAsia"/>
                <w:b/>
                <w:bCs/>
                <w:kern w:val="0"/>
                <w:sz w:val="21"/>
                <w:szCs w:val="21"/>
                <w:highlight w:val="none"/>
              </w:rPr>
              <w:t>是否偏离（提供说明）</w:t>
            </w:r>
          </w:p>
        </w:tc>
      </w:tr>
      <w:tr w14:paraId="662C3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12" w:type="dxa"/>
            <w:vAlign w:val="center"/>
          </w:tcPr>
          <w:p w14:paraId="040C801A">
            <w:pPr>
              <w:adjustRightInd w:val="0"/>
              <w:snapToGrid w:val="0"/>
              <w:spacing w:line="288" w:lineRule="auto"/>
              <w:jc w:val="center"/>
              <w:rPr>
                <w:kern w:val="0"/>
                <w:sz w:val="21"/>
                <w:szCs w:val="21"/>
                <w:highlight w:val="none"/>
              </w:rPr>
            </w:pPr>
            <w:r>
              <w:rPr>
                <w:rFonts w:hint="eastAsia"/>
                <w:kern w:val="0"/>
                <w:sz w:val="21"/>
                <w:szCs w:val="21"/>
                <w:highlight w:val="none"/>
              </w:rPr>
              <w:t>1</w:t>
            </w:r>
          </w:p>
        </w:tc>
        <w:tc>
          <w:tcPr>
            <w:tcW w:w="3200" w:type="dxa"/>
            <w:vAlign w:val="center"/>
          </w:tcPr>
          <w:p w14:paraId="6E9B19AB">
            <w:pPr>
              <w:adjustRightInd w:val="0"/>
              <w:snapToGrid w:val="0"/>
              <w:spacing w:line="288" w:lineRule="auto"/>
              <w:jc w:val="center"/>
              <w:rPr>
                <w:kern w:val="0"/>
                <w:sz w:val="21"/>
                <w:szCs w:val="21"/>
                <w:highlight w:val="none"/>
              </w:rPr>
            </w:pPr>
          </w:p>
        </w:tc>
        <w:tc>
          <w:tcPr>
            <w:tcW w:w="2836" w:type="dxa"/>
            <w:vAlign w:val="center"/>
          </w:tcPr>
          <w:p w14:paraId="4F34A61D">
            <w:pPr>
              <w:adjustRightInd w:val="0"/>
              <w:snapToGrid w:val="0"/>
              <w:spacing w:line="288" w:lineRule="auto"/>
              <w:jc w:val="center"/>
              <w:rPr>
                <w:kern w:val="0"/>
                <w:sz w:val="21"/>
                <w:szCs w:val="21"/>
                <w:highlight w:val="none"/>
              </w:rPr>
            </w:pPr>
          </w:p>
        </w:tc>
        <w:tc>
          <w:tcPr>
            <w:tcW w:w="2354" w:type="dxa"/>
            <w:vAlign w:val="center"/>
          </w:tcPr>
          <w:p w14:paraId="31D57D14">
            <w:pPr>
              <w:adjustRightInd w:val="0"/>
              <w:snapToGrid w:val="0"/>
              <w:spacing w:line="288" w:lineRule="auto"/>
              <w:jc w:val="center"/>
              <w:rPr>
                <w:kern w:val="0"/>
                <w:sz w:val="21"/>
                <w:szCs w:val="21"/>
                <w:highlight w:val="none"/>
              </w:rPr>
            </w:pPr>
          </w:p>
        </w:tc>
      </w:tr>
      <w:tr w14:paraId="0C498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12" w:type="dxa"/>
            <w:vAlign w:val="center"/>
          </w:tcPr>
          <w:p w14:paraId="49C3050F">
            <w:pPr>
              <w:adjustRightInd w:val="0"/>
              <w:snapToGrid w:val="0"/>
              <w:spacing w:line="288" w:lineRule="auto"/>
              <w:jc w:val="center"/>
              <w:rPr>
                <w:kern w:val="0"/>
                <w:sz w:val="21"/>
                <w:szCs w:val="21"/>
                <w:highlight w:val="none"/>
              </w:rPr>
            </w:pPr>
            <w:r>
              <w:rPr>
                <w:rFonts w:hint="eastAsia"/>
                <w:kern w:val="0"/>
                <w:sz w:val="21"/>
                <w:szCs w:val="21"/>
                <w:highlight w:val="none"/>
              </w:rPr>
              <w:t>2</w:t>
            </w:r>
          </w:p>
        </w:tc>
        <w:tc>
          <w:tcPr>
            <w:tcW w:w="3200" w:type="dxa"/>
            <w:vAlign w:val="center"/>
          </w:tcPr>
          <w:p w14:paraId="59A5F48D">
            <w:pPr>
              <w:adjustRightInd w:val="0"/>
              <w:snapToGrid w:val="0"/>
              <w:spacing w:line="288" w:lineRule="auto"/>
              <w:jc w:val="center"/>
              <w:rPr>
                <w:kern w:val="0"/>
                <w:sz w:val="21"/>
                <w:szCs w:val="21"/>
                <w:highlight w:val="none"/>
              </w:rPr>
            </w:pPr>
          </w:p>
        </w:tc>
        <w:tc>
          <w:tcPr>
            <w:tcW w:w="2836" w:type="dxa"/>
            <w:vAlign w:val="center"/>
          </w:tcPr>
          <w:p w14:paraId="4EA3B8D6">
            <w:pPr>
              <w:adjustRightInd w:val="0"/>
              <w:snapToGrid w:val="0"/>
              <w:spacing w:line="288" w:lineRule="auto"/>
              <w:jc w:val="center"/>
              <w:rPr>
                <w:kern w:val="0"/>
                <w:sz w:val="21"/>
                <w:szCs w:val="21"/>
                <w:highlight w:val="none"/>
              </w:rPr>
            </w:pPr>
          </w:p>
        </w:tc>
        <w:tc>
          <w:tcPr>
            <w:tcW w:w="2354" w:type="dxa"/>
            <w:vAlign w:val="center"/>
          </w:tcPr>
          <w:p w14:paraId="79F6CDFE">
            <w:pPr>
              <w:adjustRightInd w:val="0"/>
              <w:snapToGrid w:val="0"/>
              <w:spacing w:line="288" w:lineRule="auto"/>
              <w:jc w:val="center"/>
              <w:rPr>
                <w:kern w:val="0"/>
                <w:sz w:val="21"/>
                <w:szCs w:val="21"/>
                <w:highlight w:val="none"/>
              </w:rPr>
            </w:pPr>
          </w:p>
        </w:tc>
      </w:tr>
      <w:tr w14:paraId="47263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012" w:type="dxa"/>
            <w:vAlign w:val="center"/>
          </w:tcPr>
          <w:p w14:paraId="7C5F9CBC">
            <w:pPr>
              <w:adjustRightInd w:val="0"/>
              <w:snapToGrid w:val="0"/>
              <w:spacing w:line="288" w:lineRule="auto"/>
              <w:jc w:val="center"/>
              <w:rPr>
                <w:kern w:val="0"/>
                <w:sz w:val="21"/>
                <w:szCs w:val="21"/>
                <w:highlight w:val="none"/>
              </w:rPr>
            </w:pPr>
            <w:r>
              <w:rPr>
                <w:rFonts w:hint="eastAsia"/>
                <w:kern w:val="0"/>
                <w:sz w:val="21"/>
                <w:szCs w:val="21"/>
                <w:highlight w:val="none"/>
              </w:rPr>
              <w:t>……</w:t>
            </w:r>
          </w:p>
        </w:tc>
        <w:tc>
          <w:tcPr>
            <w:tcW w:w="3200" w:type="dxa"/>
            <w:vAlign w:val="center"/>
          </w:tcPr>
          <w:p w14:paraId="7B0CE190">
            <w:pPr>
              <w:adjustRightInd w:val="0"/>
              <w:snapToGrid w:val="0"/>
              <w:spacing w:line="288" w:lineRule="auto"/>
              <w:jc w:val="center"/>
              <w:rPr>
                <w:kern w:val="0"/>
                <w:sz w:val="21"/>
                <w:szCs w:val="21"/>
                <w:highlight w:val="none"/>
              </w:rPr>
            </w:pPr>
          </w:p>
        </w:tc>
        <w:tc>
          <w:tcPr>
            <w:tcW w:w="2836" w:type="dxa"/>
            <w:vAlign w:val="center"/>
          </w:tcPr>
          <w:p w14:paraId="38364886">
            <w:pPr>
              <w:adjustRightInd w:val="0"/>
              <w:snapToGrid w:val="0"/>
              <w:spacing w:line="288" w:lineRule="auto"/>
              <w:jc w:val="center"/>
              <w:rPr>
                <w:kern w:val="0"/>
                <w:sz w:val="21"/>
                <w:szCs w:val="21"/>
                <w:highlight w:val="none"/>
              </w:rPr>
            </w:pPr>
          </w:p>
        </w:tc>
        <w:tc>
          <w:tcPr>
            <w:tcW w:w="2354" w:type="dxa"/>
            <w:vAlign w:val="center"/>
          </w:tcPr>
          <w:p w14:paraId="15891639">
            <w:pPr>
              <w:adjustRightInd w:val="0"/>
              <w:snapToGrid w:val="0"/>
              <w:spacing w:line="288" w:lineRule="auto"/>
              <w:jc w:val="center"/>
              <w:rPr>
                <w:kern w:val="0"/>
                <w:sz w:val="21"/>
                <w:szCs w:val="21"/>
                <w:highlight w:val="none"/>
              </w:rPr>
            </w:pPr>
          </w:p>
        </w:tc>
      </w:tr>
      <w:tr w14:paraId="6B484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12" w:type="dxa"/>
            <w:vAlign w:val="center"/>
          </w:tcPr>
          <w:p w14:paraId="2138C4BD">
            <w:pPr>
              <w:adjustRightInd w:val="0"/>
              <w:snapToGrid w:val="0"/>
              <w:spacing w:line="288" w:lineRule="auto"/>
              <w:jc w:val="center"/>
              <w:rPr>
                <w:kern w:val="0"/>
                <w:sz w:val="21"/>
                <w:szCs w:val="21"/>
                <w:highlight w:val="none"/>
              </w:rPr>
            </w:pPr>
          </w:p>
        </w:tc>
        <w:tc>
          <w:tcPr>
            <w:tcW w:w="3200" w:type="dxa"/>
            <w:vAlign w:val="center"/>
          </w:tcPr>
          <w:p w14:paraId="19E05364">
            <w:pPr>
              <w:adjustRightInd w:val="0"/>
              <w:snapToGrid w:val="0"/>
              <w:spacing w:line="288" w:lineRule="auto"/>
              <w:jc w:val="center"/>
              <w:rPr>
                <w:kern w:val="0"/>
                <w:sz w:val="21"/>
                <w:szCs w:val="21"/>
                <w:highlight w:val="none"/>
              </w:rPr>
            </w:pPr>
          </w:p>
        </w:tc>
        <w:tc>
          <w:tcPr>
            <w:tcW w:w="2836" w:type="dxa"/>
            <w:vAlign w:val="center"/>
          </w:tcPr>
          <w:p w14:paraId="4DEBD6CE">
            <w:pPr>
              <w:adjustRightInd w:val="0"/>
              <w:snapToGrid w:val="0"/>
              <w:spacing w:line="288" w:lineRule="auto"/>
              <w:jc w:val="center"/>
              <w:rPr>
                <w:kern w:val="0"/>
                <w:sz w:val="21"/>
                <w:szCs w:val="21"/>
                <w:highlight w:val="none"/>
              </w:rPr>
            </w:pPr>
          </w:p>
        </w:tc>
        <w:tc>
          <w:tcPr>
            <w:tcW w:w="2354" w:type="dxa"/>
            <w:vAlign w:val="center"/>
          </w:tcPr>
          <w:p w14:paraId="6B9C6E81">
            <w:pPr>
              <w:adjustRightInd w:val="0"/>
              <w:snapToGrid w:val="0"/>
              <w:spacing w:line="288" w:lineRule="auto"/>
              <w:jc w:val="center"/>
              <w:rPr>
                <w:kern w:val="0"/>
                <w:sz w:val="21"/>
                <w:szCs w:val="21"/>
                <w:highlight w:val="none"/>
              </w:rPr>
            </w:pPr>
          </w:p>
        </w:tc>
      </w:tr>
      <w:tr w14:paraId="747F8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12" w:type="dxa"/>
            <w:vAlign w:val="center"/>
          </w:tcPr>
          <w:p w14:paraId="4F635DB3">
            <w:pPr>
              <w:adjustRightInd w:val="0"/>
              <w:snapToGrid w:val="0"/>
              <w:spacing w:line="288" w:lineRule="auto"/>
              <w:jc w:val="center"/>
              <w:rPr>
                <w:kern w:val="0"/>
                <w:sz w:val="21"/>
                <w:szCs w:val="21"/>
                <w:highlight w:val="none"/>
              </w:rPr>
            </w:pPr>
          </w:p>
        </w:tc>
        <w:tc>
          <w:tcPr>
            <w:tcW w:w="3200" w:type="dxa"/>
            <w:vAlign w:val="center"/>
          </w:tcPr>
          <w:p w14:paraId="320E6ED3">
            <w:pPr>
              <w:adjustRightInd w:val="0"/>
              <w:snapToGrid w:val="0"/>
              <w:spacing w:line="288" w:lineRule="auto"/>
              <w:jc w:val="center"/>
              <w:rPr>
                <w:kern w:val="0"/>
                <w:sz w:val="21"/>
                <w:szCs w:val="21"/>
                <w:highlight w:val="none"/>
              </w:rPr>
            </w:pPr>
          </w:p>
        </w:tc>
        <w:tc>
          <w:tcPr>
            <w:tcW w:w="2836" w:type="dxa"/>
            <w:vAlign w:val="center"/>
          </w:tcPr>
          <w:p w14:paraId="6EBE6379">
            <w:pPr>
              <w:adjustRightInd w:val="0"/>
              <w:snapToGrid w:val="0"/>
              <w:spacing w:line="288" w:lineRule="auto"/>
              <w:jc w:val="center"/>
              <w:rPr>
                <w:kern w:val="0"/>
                <w:sz w:val="21"/>
                <w:szCs w:val="21"/>
                <w:highlight w:val="none"/>
              </w:rPr>
            </w:pPr>
          </w:p>
        </w:tc>
        <w:tc>
          <w:tcPr>
            <w:tcW w:w="2354" w:type="dxa"/>
            <w:vAlign w:val="center"/>
          </w:tcPr>
          <w:p w14:paraId="18FB1C75">
            <w:pPr>
              <w:adjustRightInd w:val="0"/>
              <w:snapToGrid w:val="0"/>
              <w:spacing w:line="288" w:lineRule="auto"/>
              <w:jc w:val="center"/>
              <w:rPr>
                <w:kern w:val="0"/>
                <w:sz w:val="21"/>
                <w:szCs w:val="21"/>
                <w:highlight w:val="none"/>
              </w:rPr>
            </w:pPr>
          </w:p>
        </w:tc>
      </w:tr>
      <w:tr w14:paraId="55A6B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12" w:type="dxa"/>
            <w:vAlign w:val="center"/>
          </w:tcPr>
          <w:p w14:paraId="5B42A620">
            <w:pPr>
              <w:adjustRightInd w:val="0"/>
              <w:snapToGrid w:val="0"/>
              <w:spacing w:line="288" w:lineRule="auto"/>
              <w:jc w:val="center"/>
              <w:rPr>
                <w:kern w:val="0"/>
                <w:sz w:val="21"/>
                <w:szCs w:val="21"/>
                <w:highlight w:val="none"/>
              </w:rPr>
            </w:pPr>
          </w:p>
        </w:tc>
        <w:tc>
          <w:tcPr>
            <w:tcW w:w="3200" w:type="dxa"/>
            <w:vAlign w:val="center"/>
          </w:tcPr>
          <w:p w14:paraId="26EBF45D">
            <w:pPr>
              <w:adjustRightInd w:val="0"/>
              <w:snapToGrid w:val="0"/>
              <w:spacing w:line="288" w:lineRule="auto"/>
              <w:jc w:val="center"/>
              <w:rPr>
                <w:kern w:val="0"/>
                <w:sz w:val="21"/>
                <w:szCs w:val="21"/>
                <w:highlight w:val="none"/>
              </w:rPr>
            </w:pPr>
          </w:p>
        </w:tc>
        <w:tc>
          <w:tcPr>
            <w:tcW w:w="2836" w:type="dxa"/>
            <w:vAlign w:val="center"/>
          </w:tcPr>
          <w:p w14:paraId="450A6C5A">
            <w:pPr>
              <w:adjustRightInd w:val="0"/>
              <w:snapToGrid w:val="0"/>
              <w:spacing w:line="288" w:lineRule="auto"/>
              <w:jc w:val="center"/>
              <w:rPr>
                <w:kern w:val="0"/>
                <w:sz w:val="21"/>
                <w:szCs w:val="21"/>
                <w:highlight w:val="none"/>
              </w:rPr>
            </w:pPr>
          </w:p>
        </w:tc>
        <w:tc>
          <w:tcPr>
            <w:tcW w:w="2354" w:type="dxa"/>
            <w:vAlign w:val="center"/>
          </w:tcPr>
          <w:p w14:paraId="3BEB86FF">
            <w:pPr>
              <w:adjustRightInd w:val="0"/>
              <w:snapToGrid w:val="0"/>
              <w:spacing w:line="288" w:lineRule="auto"/>
              <w:jc w:val="center"/>
              <w:rPr>
                <w:kern w:val="0"/>
                <w:sz w:val="21"/>
                <w:szCs w:val="21"/>
                <w:highlight w:val="none"/>
              </w:rPr>
            </w:pPr>
          </w:p>
        </w:tc>
      </w:tr>
      <w:tr w14:paraId="0C21E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012" w:type="dxa"/>
            <w:vAlign w:val="center"/>
          </w:tcPr>
          <w:p w14:paraId="77D50C46">
            <w:pPr>
              <w:adjustRightInd w:val="0"/>
              <w:snapToGrid w:val="0"/>
              <w:spacing w:line="288" w:lineRule="auto"/>
              <w:jc w:val="center"/>
              <w:rPr>
                <w:kern w:val="0"/>
                <w:sz w:val="21"/>
                <w:szCs w:val="21"/>
                <w:highlight w:val="none"/>
              </w:rPr>
            </w:pPr>
          </w:p>
        </w:tc>
        <w:tc>
          <w:tcPr>
            <w:tcW w:w="3200" w:type="dxa"/>
            <w:vAlign w:val="center"/>
          </w:tcPr>
          <w:p w14:paraId="4344E10D">
            <w:pPr>
              <w:adjustRightInd w:val="0"/>
              <w:snapToGrid w:val="0"/>
              <w:spacing w:line="288" w:lineRule="auto"/>
              <w:jc w:val="center"/>
              <w:rPr>
                <w:kern w:val="0"/>
                <w:sz w:val="21"/>
                <w:szCs w:val="21"/>
                <w:highlight w:val="none"/>
              </w:rPr>
            </w:pPr>
          </w:p>
        </w:tc>
        <w:tc>
          <w:tcPr>
            <w:tcW w:w="2836" w:type="dxa"/>
            <w:vAlign w:val="center"/>
          </w:tcPr>
          <w:p w14:paraId="447A80DF">
            <w:pPr>
              <w:adjustRightInd w:val="0"/>
              <w:snapToGrid w:val="0"/>
              <w:spacing w:line="288" w:lineRule="auto"/>
              <w:jc w:val="center"/>
              <w:rPr>
                <w:kern w:val="0"/>
                <w:sz w:val="21"/>
                <w:szCs w:val="21"/>
                <w:highlight w:val="none"/>
              </w:rPr>
            </w:pPr>
          </w:p>
        </w:tc>
        <w:tc>
          <w:tcPr>
            <w:tcW w:w="2354" w:type="dxa"/>
            <w:vAlign w:val="center"/>
          </w:tcPr>
          <w:p w14:paraId="2AAEB9FD">
            <w:pPr>
              <w:adjustRightInd w:val="0"/>
              <w:snapToGrid w:val="0"/>
              <w:spacing w:line="288" w:lineRule="auto"/>
              <w:jc w:val="center"/>
              <w:rPr>
                <w:kern w:val="0"/>
                <w:sz w:val="21"/>
                <w:szCs w:val="21"/>
                <w:highlight w:val="none"/>
              </w:rPr>
            </w:pPr>
          </w:p>
        </w:tc>
      </w:tr>
      <w:tr w14:paraId="1D568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012" w:type="dxa"/>
            <w:vAlign w:val="center"/>
          </w:tcPr>
          <w:p w14:paraId="0B2613E5">
            <w:pPr>
              <w:adjustRightInd w:val="0"/>
              <w:snapToGrid w:val="0"/>
              <w:spacing w:line="288" w:lineRule="auto"/>
              <w:jc w:val="center"/>
              <w:rPr>
                <w:kern w:val="0"/>
                <w:sz w:val="21"/>
                <w:szCs w:val="21"/>
                <w:highlight w:val="none"/>
              </w:rPr>
            </w:pPr>
          </w:p>
        </w:tc>
        <w:tc>
          <w:tcPr>
            <w:tcW w:w="3200" w:type="dxa"/>
            <w:vAlign w:val="center"/>
          </w:tcPr>
          <w:p w14:paraId="4ED5F675">
            <w:pPr>
              <w:adjustRightInd w:val="0"/>
              <w:snapToGrid w:val="0"/>
              <w:spacing w:line="288" w:lineRule="auto"/>
              <w:jc w:val="center"/>
              <w:rPr>
                <w:kern w:val="0"/>
                <w:sz w:val="21"/>
                <w:szCs w:val="21"/>
                <w:highlight w:val="none"/>
              </w:rPr>
            </w:pPr>
          </w:p>
        </w:tc>
        <w:tc>
          <w:tcPr>
            <w:tcW w:w="2836" w:type="dxa"/>
            <w:vAlign w:val="center"/>
          </w:tcPr>
          <w:p w14:paraId="015CBE2D">
            <w:pPr>
              <w:adjustRightInd w:val="0"/>
              <w:snapToGrid w:val="0"/>
              <w:spacing w:line="288" w:lineRule="auto"/>
              <w:jc w:val="center"/>
              <w:rPr>
                <w:kern w:val="0"/>
                <w:sz w:val="21"/>
                <w:szCs w:val="21"/>
                <w:highlight w:val="none"/>
              </w:rPr>
            </w:pPr>
          </w:p>
        </w:tc>
        <w:tc>
          <w:tcPr>
            <w:tcW w:w="2354" w:type="dxa"/>
            <w:vAlign w:val="center"/>
          </w:tcPr>
          <w:p w14:paraId="5DF86564">
            <w:pPr>
              <w:adjustRightInd w:val="0"/>
              <w:snapToGrid w:val="0"/>
              <w:spacing w:line="288" w:lineRule="auto"/>
              <w:jc w:val="center"/>
              <w:rPr>
                <w:kern w:val="0"/>
                <w:sz w:val="21"/>
                <w:szCs w:val="21"/>
                <w:highlight w:val="none"/>
              </w:rPr>
            </w:pPr>
          </w:p>
        </w:tc>
      </w:tr>
      <w:tr w14:paraId="4F413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12" w:type="dxa"/>
            <w:vAlign w:val="center"/>
          </w:tcPr>
          <w:p w14:paraId="1C24B2E8">
            <w:pPr>
              <w:adjustRightInd w:val="0"/>
              <w:snapToGrid w:val="0"/>
              <w:spacing w:line="288" w:lineRule="auto"/>
              <w:jc w:val="center"/>
              <w:rPr>
                <w:kern w:val="0"/>
                <w:sz w:val="21"/>
                <w:szCs w:val="21"/>
                <w:highlight w:val="none"/>
              </w:rPr>
            </w:pPr>
          </w:p>
        </w:tc>
        <w:tc>
          <w:tcPr>
            <w:tcW w:w="3200" w:type="dxa"/>
            <w:vAlign w:val="center"/>
          </w:tcPr>
          <w:p w14:paraId="46F0250E">
            <w:pPr>
              <w:adjustRightInd w:val="0"/>
              <w:snapToGrid w:val="0"/>
              <w:spacing w:line="288" w:lineRule="auto"/>
              <w:jc w:val="center"/>
              <w:rPr>
                <w:kern w:val="0"/>
                <w:sz w:val="21"/>
                <w:szCs w:val="21"/>
                <w:highlight w:val="none"/>
              </w:rPr>
            </w:pPr>
          </w:p>
        </w:tc>
        <w:tc>
          <w:tcPr>
            <w:tcW w:w="2836" w:type="dxa"/>
            <w:vAlign w:val="center"/>
          </w:tcPr>
          <w:p w14:paraId="05CA5B76">
            <w:pPr>
              <w:adjustRightInd w:val="0"/>
              <w:snapToGrid w:val="0"/>
              <w:spacing w:line="288" w:lineRule="auto"/>
              <w:jc w:val="center"/>
              <w:rPr>
                <w:kern w:val="0"/>
                <w:sz w:val="21"/>
                <w:szCs w:val="21"/>
                <w:highlight w:val="none"/>
              </w:rPr>
            </w:pPr>
          </w:p>
        </w:tc>
        <w:tc>
          <w:tcPr>
            <w:tcW w:w="2354" w:type="dxa"/>
            <w:vAlign w:val="center"/>
          </w:tcPr>
          <w:p w14:paraId="3F237B62">
            <w:pPr>
              <w:adjustRightInd w:val="0"/>
              <w:snapToGrid w:val="0"/>
              <w:spacing w:line="288" w:lineRule="auto"/>
              <w:jc w:val="center"/>
              <w:rPr>
                <w:kern w:val="0"/>
                <w:sz w:val="21"/>
                <w:szCs w:val="21"/>
                <w:highlight w:val="none"/>
              </w:rPr>
            </w:pPr>
          </w:p>
        </w:tc>
      </w:tr>
      <w:bookmarkEnd w:id="63"/>
    </w:tbl>
    <w:p w14:paraId="14D9F052">
      <w:pPr>
        <w:adjustRightInd w:val="0"/>
        <w:snapToGrid w:val="0"/>
        <w:spacing w:line="288" w:lineRule="auto"/>
        <w:rPr>
          <w:sz w:val="21"/>
          <w:szCs w:val="21"/>
          <w:highlight w:val="none"/>
        </w:rPr>
      </w:pPr>
    </w:p>
    <w:p w14:paraId="07E52D7E">
      <w:pPr>
        <w:adjustRightInd w:val="0"/>
        <w:snapToGrid w:val="0"/>
        <w:spacing w:line="288" w:lineRule="auto"/>
        <w:rPr>
          <w:b/>
          <w:bCs/>
          <w:sz w:val="21"/>
          <w:szCs w:val="21"/>
          <w:highlight w:val="none"/>
        </w:rPr>
      </w:pPr>
      <w:r>
        <w:rPr>
          <w:rFonts w:hint="eastAsia"/>
          <w:b/>
          <w:bCs/>
          <w:sz w:val="21"/>
          <w:szCs w:val="21"/>
          <w:highlight w:val="none"/>
        </w:rPr>
        <w:t>说明：</w:t>
      </w:r>
    </w:p>
    <w:p w14:paraId="7E0EFAFC">
      <w:pPr>
        <w:adjustRightInd w:val="0"/>
        <w:snapToGrid w:val="0"/>
        <w:spacing w:line="288" w:lineRule="auto"/>
        <w:rPr>
          <w:b/>
          <w:bCs/>
          <w:sz w:val="21"/>
          <w:szCs w:val="21"/>
          <w:highlight w:val="none"/>
        </w:rPr>
      </w:pPr>
      <w:r>
        <w:rPr>
          <w:rFonts w:hint="eastAsia"/>
          <w:b/>
          <w:bCs/>
          <w:sz w:val="21"/>
          <w:szCs w:val="21"/>
          <w:highlight w:val="none"/>
        </w:rPr>
        <w:t>1.逐项按照磋商文件要求填写响应规格；</w:t>
      </w:r>
    </w:p>
    <w:p w14:paraId="1FBF88F0">
      <w:pPr>
        <w:adjustRightInd w:val="0"/>
        <w:snapToGrid w:val="0"/>
        <w:spacing w:line="288" w:lineRule="auto"/>
        <w:rPr>
          <w:b/>
          <w:bCs/>
          <w:sz w:val="21"/>
          <w:szCs w:val="21"/>
          <w:highlight w:val="none"/>
        </w:rPr>
      </w:pPr>
      <w:r>
        <w:rPr>
          <w:rFonts w:hint="eastAsia"/>
          <w:b/>
          <w:bCs/>
          <w:sz w:val="21"/>
          <w:szCs w:val="21"/>
          <w:highlight w:val="none"/>
        </w:rPr>
        <w:t>2.偏离说明是指对磋商文件要求存在不同之处的解释说明。偏离系指：正偏离（高于采购需求）、负偏离（低于采购需求）、无偏离（满足采购需求）；</w:t>
      </w:r>
    </w:p>
    <w:p w14:paraId="11F52E8A">
      <w:pPr>
        <w:adjustRightInd w:val="0"/>
        <w:snapToGrid w:val="0"/>
        <w:spacing w:line="288" w:lineRule="auto"/>
        <w:rPr>
          <w:b/>
          <w:bCs/>
          <w:sz w:val="21"/>
          <w:szCs w:val="21"/>
          <w:highlight w:val="none"/>
        </w:rPr>
      </w:pPr>
      <w:r>
        <w:rPr>
          <w:rFonts w:hint="eastAsia"/>
          <w:b/>
          <w:bCs/>
          <w:sz w:val="21"/>
          <w:szCs w:val="21"/>
          <w:highlight w:val="none"/>
        </w:rPr>
        <w:t>3.如不填写或未如实填写，自行承担磋商响应风险。</w:t>
      </w:r>
    </w:p>
    <w:p w14:paraId="06072553">
      <w:pPr>
        <w:adjustRightInd w:val="0"/>
        <w:snapToGrid w:val="0"/>
        <w:spacing w:line="288" w:lineRule="auto"/>
        <w:rPr>
          <w:sz w:val="21"/>
          <w:szCs w:val="21"/>
          <w:highlight w:val="none"/>
        </w:rPr>
      </w:pPr>
    </w:p>
    <w:p w14:paraId="5B2F95AD">
      <w:pPr>
        <w:adjustRightInd w:val="0"/>
        <w:snapToGrid w:val="0"/>
        <w:spacing w:line="288" w:lineRule="auto"/>
        <w:rPr>
          <w:sz w:val="21"/>
          <w:szCs w:val="21"/>
          <w:highlight w:val="none"/>
        </w:rPr>
      </w:pPr>
    </w:p>
    <w:p w14:paraId="4B8DF459">
      <w:pPr>
        <w:adjustRightInd w:val="0"/>
        <w:snapToGrid w:val="0"/>
        <w:spacing w:line="288" w:lineRule="auto"/>
        <w:rPr>
          <w:sz w:val="21"/>
          <w:szCs w:val="21"/>
          <w:highlight w:val="none"/>
        </w:rPr>
      </w:pPr>
    </w:p>
    <w:p w14:paraId="1FE3E6C1">
      <w:pPr>
        <w:adjustRightInd w:val="0"/>
        <w:snapToGrid w:val="0"/>
        <w:spacing w:line="288" w:lineRule="auto"/>
        <w:rPr>
          <w:rFonts w:cs="Times New Roman"/>
          <w:b/>
          <w:bCs/>
          <w:spacing w:val="-6"/>
          <w:sz w:val="21"/>
          <w:szCs w:val="21"/>
          <w:highlight w:val="none"/>
        </w:rPr>
      </w:pPr>
      <w:r>
        <w:rPr>
          <w:rFonts w:hint="eastAsia" w:cs="Times New Roman"/>
          <w:b/>
          <w:bCs/>
          <w:spacing w:val="-6"/>
          <w:sz w:val="21"/>
          <w:szCs w:val="21"/>
          <w:highlight w:val="none"/>
        </w:rPr>
        <w:t>供应商名称（</w:t>
      </w:r>
      <w:r>
        <w:rPr>
          <w:rFonts w:cs="Times New Roman"/>
          <w:b/>
          <w:bCs/>
          <w:spacing w:val="-6"/>
          <w:sz w:val="21"/>
          <w:szCs w:val="21"/>
          <w:highlight w:val="none"/>
        </w:rPr>
        <w:t>电子签名/公章</w:t>
      </w:r>
      <w:r>
        <w:rPr>
          <w:rFonts w:hint="eastAsia" w:cs="Times New Roman"/>
          <w:b/>
          <w:bCs/>
          <w:spacing w:val="-6"/>
          <w:sz w:val="21"/>
          <w:szCs w:val="21"/>
          <w:highlight w:val="none"/>
        </w:rPr>
        <w:t>）：</w:t>
      </w:r>
    </w:p>
    <w:p w14:paraId="05184D96">
      <w:pPr>
        <w:adjustRightInd w:val="0"/>
        <w:snapToGrid w:val="0"/>
        <w:spacing w:line="288" w:lineRule="auto"/>
        <w:rPr>
          <w:rFonts w:cs="Times New Roman"/>
          <w:b/>
          <w:bCs/>
          <w:spacing w:val="-6"/>
          <w:sz w:val="21"/>
          <w:szCs w:val="21"/>
          <w:highlight w:val="none"/>
        </w:rPr>
      </w:pPr>
      <w:r>
        <w:rPr>
          <w:rFonts w:hint="eastAsia" w:cs="Times New Roman"/>
          <w:b/>
          <w:bCs/>
          <w:spacing w:val="-6"/>
          <w:sz w:val="21"/>
          <w:szCs w:val="21"/>
          <w:highlight w:val="none"/>
        </w:rPr>
        <w:t>日期：     年   月   日</w:t>
      </w:r>
    </w:p>
    <w:p w14:paraId="1065344F">
      <w:pPr>
        <w:adjustRightInd w:val="0"/>
        <w:snapToGrid w:val="0"/>
        <w:spacing w:line="288" w:lineRule="auto"/>
        <w:rPr>
          <w:sz w:val="21"/>
          <w:szCs w:val="21"/>
          <w:highlight w:val="none"/>
        </w:rPr>
      </w:pPr>
      <w:r>
        <w:rPr>
          <w:rFonts w:hint="eastAsia"/>
          <w:sz w:val="21"/>
          <w:szCs w:val="21"/>
          <w:highlight w:val="none"/>
        </w:rPr>
        <w:br w:type="page"/>
      </w:r>
    </w:p>
    <w:p w14:paraId="159472C0">
      <w:pPr>
        <w:adjustRightInd w:val="0"/>
        <w:snapToGrid w:val="0"/>
        <w:spacing w:line="288" w:lineRule="auto"/>
        <w:outlineLvl w:val="2"/>
        <w:rPr>
          <w:b/>
          <w:spacing w:val="-6"/>
          <w:sz w:val="21"/>
          <w:szCs w:val="21"/>
          <w:highlight w:val="none"/>
        </w:rPr>
      </w:pPr>
      <w:bookmarkStart w:id="64" w:name="_Hlk71885757"/>
      <w:r>
        <w:rPr>
          <w:rFonts w:hint="eastAsia"/>
          <w:b/>
          <w:spacing w:val="-6"/>
          <w:sz w:val="21"/>
          <w:szCs w:val="21"/>
          <w:highlight w:val="none"/>
        </w:rPr>
        <w:t>（</w:t>
      </w:r>
      <w:r>
        <w:rPr>
          <w:b/>
          <w:spacing w:val="-6"/>
          <w:sz w:val="21"/>
          <w:szCs w:val="21"/>
          <w:highlight w:val="none"/>
        </w:rPr>
        <w:t>8）技术方案【可根据评分细则结合自身情况提供】</w:t>
      </w:r>
    </w:p>
    <w:p w14:paraId="7B02DE21">
      <w:pPr>
        <w:adjustRightInd w:val="0"/>
        <w:snapToGrid w:val="0"/>
        <w:spacing w:line="288" w:lineRule="auto"/>
        <w:outlineLvl w:val="2"/>
        <w:rPr>
          <w:b/>
          <w:spacing w:val="-6"/>
          <w:sz w:val="21"/>
          <w:szCs w:val="21"/>
          <w:highlight w:val="none"/>
        </w:rPr>
      </w:pPr>
      <w:r>
        <w:rPr>
          <w:rFonts w:hint="eastAsia"/>
          <w:b/>
          <w:spacing w:val="-6"/>
          <w:sz w:val="21"/>
          <w:szCs w:val="21"/>
          <w:highlight w:val="none"/>
        </w:rPr>
        <w:t>（</w:t>
      </w:r>
      <w:r>
        <w:rPr>
          <w:b/>
          <w:spacing w:val="-6"/>
          <w:sz w:val="21"/>
          <w:szCs w:val="21"/>
          <w:highlight w:val="none"/>
        </w:rPr>
        <w:t>9）拟派人员【可根据评分细则结合自身情况提供】</w:t>
      </w:r>
    </w:p>
    <w:p w14:paraId="3810828A">
      <w:pPr>
        <w:adjustRightInd w:val="0"/>
        <w:snapToGrid w:val="0"/>
        <w:spacing w:line="288" w:lineRule="auto"/>
        <w:outlineLvl w:val="2"/>
        <w:rPr>
          <w:b/>
          <w:spacing w:val="-6"/>
          <w:sz w:val="21"/>
          <w:szCs w:val="21"/>
          <w:highlight w:val="none"/>
        </w:rPr>
      </w:pPr>
      <w:r>
        <w:rPr>
          <w:rFonts w:hint="eastAsia"/>
          <w:b/>
          <w:spacing w:val="-6"/>
          <w:sz w:val="21"/>
          <w:szCs w:val="21"/>
          <w:highlight w:val="none"/>
        </w:rPr>
        <w:t>（</w:t>
      </w:r>
      <w:r>
        <w:rPr>
          <w:b/>
          <w:spacing w:val="-6"/>
          <w:sz w:val="21"/>
          <w:szCs w:val="21"/>
          <w:highlight w:val="none"/>
        </w:rPr>
        <w:t>10）其它服务承诺【可根据评分细则结合自身情况提供】</w:t>
      </w:r>
    </w:p>
    <w:p w14:paraId="6C6CA6FF">
      <w:pPr>
        <w:adjustRightInd w:val="0"/>
        <w:snapToGrid w:val="0"/>
        <w:spacing w:line="288" w:lineRule="auto"/>
        <w:outlineLvl w:val="2"/>
        <w:rPr>
          <w:b/>
          <w:spacing w:val="-6"/>
          <w:sz w:val="21"/>
          <w:szCs w:val="21"/>
          <w:highlight w:val="none"/>
        </w:rPr>
      </w:pPr>
      <w:r>
        <w:rPr>
          <w:rFonts w:hint="eastAsia"/>
          <w:b/>
          <w:spacing w:val="-6"/>
          <w:sz w:val="21"/>
          <w:szCs w:val="21"/>
          <w:highlight w:val="none"/>
        </w:rPr>
        <w:t>（</w:t>
      </w:r>
      <w:r>
        <w:rPr>
          <w:b/>
          <w:spacing w:val="-6"/>
          <w:sz w:val="21"/>
          <w:szCs w:val="21"/>
          <w:highlight w:val="none"/>
        </w:rPr>
        <w:t>11</w:t>
      </w:r>
      <w:r>
        <w:rPr>
          <w:rFonts w:hint="eastAsia"/>
          <w:b/>
          <w:spacing w:val="-6"/>
          <w:sz w:val="21"/>
          <w:szCs w:val="21"/>
          <w:highlight w:val="none"/>
        </w:rPr>
        <w:t>）节能环保产品证明材料</w:t>
      </w:r>
    </w:p>
    <w:p w14:paraId="1F4F6DB0">
      <w:pPr>
        <w:adjustRightInd w:val="0"/>
        <w:snapToGrid w:val="0"/>
        <w:spacing w:line="288" w:lineRule="auto"/>
        <w:rPr>
          <w:rFonts w:cs="Times New Roman"/>
          <w:b/>
          <w:sz w:val="21"/>
          <w:szCs w:val="21"/>
          <w:highlight w:val="none"/>
        </w:rPr>
      </w:pPr>
      <w:r>
        <w:rPr>
          <w:rFonts w:hint="eastAsia" w:cs="Times New Roman"/>
          <w:b/>
          <w:sz w:val="21"/>
          <w:szCs w:val="21"/>
          <w:highlight w:val="none"/>
        </w:rPr>
        <w:t>说明：产品属于品目清单范围且提供国家确定的认证机构出具的有效的节能产品、环境标志产品认证证书（扫描件）。</w:t>
      </w:r>
    </w:p>
    <w:p w14:paraId="452FC5E4">
      <w:pPr>
        <w:adjustRightInd w:val="0"/>
        <w:snapToGrid w:val="0"/>
        <w:spacing w:line="288" w:lineRule="auto"/>
        <w:ind w:firstLine="396" w:firstLineChars="200"/>
        <w:jc w:val="left"/>
        <w:rPr>
          <w:rFonts w:cs="Times New Roman"/>
          <w:spacing w:val="-6"/>
          <w:sz w:val="21"/>
          <w:szCs w:val="21"/>
          <w:highlight w:val="none"/>
        </w:rPr>
      </w:pPr>
      <w:r>
        <w:rPr>
          <w:rFonts w:cs="Times New Roman"/>
          <w:spacing w:val="-6"/>
          <w:sz w:val="21"/>
          <w:szCs w:val="21"/>
          <w:highlight w:val="none"/>
        </w:rPr>
        <w:t>采购人拟采购的产品属于品目清单范围的，采购人及其委托的采购代理机构将依据国家确定的认证机构出具的、有效的节能产品、环境标志产品认证证书，对获得证书的产品实施政府优先采购或强制采购。供应商须按</w:t>
      </w:r>
      <w:r>
        <w:rPr>
          <w:rFonts w:hint="eastAsia" w:cs="Times New Roman"/>
          <w:spacing w:val="-6"/>
          <w:sz w:val="21"/>
          <w:szCs w:val="21"/>
          <w:highlight w:val="none"/>
        </w:rPr>
        <w:t>磋商</w:t>
      </w:r>
      <w:r>
        <w:rPr>
          <w:rFonts w:cs="Times New Roman"/>
          <w:spacing w:val="-6"/>
          <w:sz w:val="21"/>
          <w:szCs w:val="21"/>
          <w:highlight w:val="none"/>
        </w:rPr>
        <w:t>文件要求提供相关产品认证证书。</w:t>
      </w:r>
    </w:p>
    <w:p w14:paraId="54C78435">
      <w:pPr>
        <w:adjustRightInd w:val="0"/>
        <w:snapToGrid w:val="0"/>
        <w:spacing w:line="288" w:lineRule="auto"/>
        <w:ind w:firstLine="396" w:firstLineChars="200"/>
        <w:jc w:val="left"/>
        <w:rPr>
          <w:rFonts w:cs="Times New Roman"/>
          <w:spacing w:val="-6"/>
          <w:sz w:val="21"/>
          <w:szCs w:val="21"/>
          <w:highlight w:val="none"/>
        </w:rPr>
      </w:pPr>
      <w:r>
        <w:rPr>
          <w:rFonts w:cs="Times New Roman"/>
          <w:spacing w:val="-6"/>
          <w:sz w:val="21"/>
          <w:szCs w:val="21"/>
          <w:highlight w:val="none"/>
        </w:rPr>
        <w:t>▲采购人拟采购的产品属于政府强制采购的节能产品品目清单范围的，供应商未按</w:t>
      </w:r>
      <w:r>
        <w:rPr>
          <w:rFonts w:hint="eastAsia" w:cs="Times New Roman"/>
          <w:spacing w:val="-6"/>
          <w:sz w:val="21"/>
          <w:szCs w:val="21"/>
          <w:highlight w:val="none"/>
        </w:rPr>
        <w:t>磋商</w:t>
      </w:r>
      <w:r>
        <w:rPr>
          <w:rFonts w:cs="Times New Roman"/>
          <w:spacing w:val="-6"/>
          <w:sz w:val="21"/>
          <w:szCs w:val="21"/>
          <w:highlight w:val="none"/>
        </w:rPr>
        <w:t>文件要求提供国家确定的认证机构出具的、有效的节能产品认证证书的，</w:t>
      </w:r>
      <w:r>
        <w:rPr>
          <w:rFonts w:hint="eastAsia" w:cs="Times New Roman"/>
          <w:spacing w:val="-6"/>
          <w:sz w:val="21"/>
          <w:szCs w:val="21"/>
          <w:highlight w:val="none"/>
        </w:rPr>
        <w:t>响应</w:t>
      </w:r>
      <w:r>
        <w:rPr>
          <w:rFonts w:cs="Times New Roman"/>
          <w:spacing w:val="-6"/>
          <w:sz w:val="21"/>
          <w:szCs w:val="21"/>
          <w:highlight w:val="none"/>
        </w:rPr>
        <w:t>无效。</w:t>
      </w:r>
    </w:p>
    <w:p w14:paraId="0527D0EE">
      <w:pPr>
        <w:keepNext/>
        <w:widowControl/>
        <w:rPr>
          <w:highlight w:val="none"/>
        </w:rPr>
      </w:pPr>
    </w:p>
    <w:p w14:paraId="6386EE9C">
      <w:pPr>
        <w:keepNext/>
        <w:widowControl/>
        <w:rPr>
          <w:highlight w:val="none"/>
        </w:rPr>
      </w:pPr>
      <w:r>
        <w:rPr>
          <w:rFonts w:hint="eastAsia"/>
          <w:highlight w:val="none"/>
        </w:rPr>
        <w:t>附件：节能产品政府采购品目清单</w:t>
      </w:r>
    </w:p>
    <w:tbl>
      <w:tblPr>
        <w:tblStyle w:val="32"/>
        <w:tblW w:w="0" w:type="auto"/>
        <w:jc w:val="center"/>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Layout w:type="fixed"/>
        <w:tblCellMar>
          <w:top w:w="0" w:type="dxa"/>
          <w:left w:w="108" w:type="dxa"/>
          <w:bottom w:w="0" w:type="dxa"/>
          <w:right w:w="108" w:type="dxa"/>
        </w:tblCellMar>
      </w:tblPr>
      <w:tblGrid>
        <w:gridCol w:w="690"/>
        <w:gridCol w:w="1933"/>
        <w:gridCol w:w="2209"/>
        <w:gridCol w:w="1807"/>
        <w:gridCol w:w="3301"/>
      </w:tblGrid>
      <w:tr w14:paraId="1CDFB1F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tblHeader/>
          <w:jc w:val="center"/>
        </w:trPr>
        <w:tc>
          <w:tcPr>
            <w:tcW w:w="690" w:type="dxa"/>
            <w:shd w:val="clear" w:color="auto" w:fill="DAEEF3"/>
            <w:vAlign w:val="center"/>
          </w:tcPr>
          <w:p w14:paraId="4A7CC0B2">
            <w:pPr>
              <w:jc w:val="center"/>
              <w:rPr>
                <w:b/>
                <w:w w:val="90"/>
                <w:szCs w:val="21"/>
                <w:highlight w:val="none"/>
              </w:rPr>
            </w:pPr>
            <w:r>
              <w:rPr>
                <w:rFonts w:hint="eastAsia"/>
                <w:b/>
                <w:w w:val="90"/>
                <w:szCs w:val="21"/>
                <w:highlight w:val="none"/>
              </w:rPr>
              <w:t>品目序号</w:t>
            </w:r>
          </w:p>
        </w:tc>
        <w:tc>
          <w:tcPr>
            <w:tcW w:w="5949" w:type="dxa"/>
            <w:gridSpan w:val="3"/>
            <w:shd w:val="clear" w:color="auto" w:fill="DAEEF3"/>
            <w:vAlign w:val="center"/>
          </w:tcPr>
          <w:p w14:paraId="2EF94754">
            <w:pPr>
              <w:jc w:val="center"/>
              <w:rPr>
                <w:b/>
                <w:w w:val="90"/>
                <w:szCs w:val="21"/>
                <w:highlight w:val="none"/>
              </w:rPr>
            </w:pPr>
            <w:r>
              <w:rPr>
                <w:rFonts w:hint="eastAsia"/>
                <w:b/>
                <w:w w:val="90"/>
                <w:szCs w:val="21"/>
                <w:highlight w:val="none"/>
              </w:rPr>
              <w:t>名称</w:t>
            </w:r>
          </w:p>
        </w:tc>
        <w:tc>
          <w:tcPr>
            <w:tcW w:w="3301" w:type="dxa"/>
            <w:shd w:val="clear" w:color="auto" w:fill="DAEEF3"/>
            <w:vAlign w:val="center"/>
          </w:tcPr>
          <w:p w14:paraId="2C32331D">
            <w:pPr>
              <w:jc w:val="center"/>
              <w:rPr>
                <w:b/>
                <w:w w:val="90"/>
                <w:szCs w:val="21"/>
                <w:highlight w:val="none"/>
              </w:rPr>
            </w:pPr>
            <w:r>
              <w:rPr>
                <w:rFonts w:hint="eastAsia"/>
                <w:b/>
                <w:w w:val="90"/>
                <w:szCs w:val="21"/>
                <w:highlight w:val="none"/>
              </w:rPr>
              <w:t>依据的标准</w:t>
            </w:r>
          </w:p>
        </w:tc>
      </w:tr>
      <w:tr w14:paraId="7A23D35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vAlign w:val="center"/>
          </w:tcPr>
          <w:p w14:paraId="4CBAD65A">
            <w:pPr>
              <w:jc w:val="center"/>
              <w:rPr>
                <w:w w:val="90"/>
                <w:szCs w:val="21"/>
                <w:highlight w:val="none"/>
              </w:rPr>
            </w:pPr>
            <w:r>
              <w:rPr>
                <w:rFonts w:hint="eastAsia"/>
                <w:w w:val="90"/>
                <w:szCs w:val="21"/>
                <w:highlight w:val="none"/>
              </w:rPr>
              <w:t>1</w:t>
            </w:r>
          </w:p>
        </w:tc>
        <w:tc>
          <w:tcPr>
            <w:tcW w:w="1933" w:type="dxa"/>
            <w:vMerge w:val="restart"/>
            <w:vAlign w:val="center"/>
          </w:tcPr>
          <w:p w14:paraId="36BE0613">
            <w:pPr>
              <w:jc w:val="left"/>
              <w:rPr>
                <w:w w:val="90"/>
                <w:szCs w:val="21"/>
                <w:highlight w:val="none"/>
              </w:rPr>
            </w:pPr>
            <w:r>
              <w:rPr>
                <w:rFonts w:hint="eastAsia"/>
                <w:w w:val="90"/>
                <w:szCs w:val="21"/>
                <w:highlight w:val="none"/>
              </w:rPr>
              <w:t>A020101计算机设备</w:t>
            </w:r>
          </w:p>
        </w:tc>
        <w:tc>
          <w:tcPr>
            <w:tcW w:w="2209" w:type="dxa"/>
            <w:vAlign w:val="center"/>
          </w:tcPr>
          <w:p w14:paraId="32FBD667">
            <w:pPr>
              <w:jc w:val="left"/>
              <w:rPr>
                <w:b/>
                <w:w w:val="90"/>
                <w:szCs w:val="21"/>
                <w:highlight w:val="none"/>
              </w:rPr>
            </w:pPr>
            <w:r>
              <w:rPr>
                <w:rFonts w:hint="eastAsia"/>
                <w:w w:val="90"/>
                <w:szCs w:val="21"/>
                <w:highlight w:val="none"/>
              </w:rPr>
              <w:t>★</w:t>
            </w:r>
            <w:r>
              <w:rPr>
                <w:rFonts w:hint="eastAsia"/>
                <w:b/>
                <w:w w:val="90"/>
                <w:szCs w:val="21"/>
                <w:highlight w:val="none"/>
              </w:rPr>
              <w:t>A02010104台式计算机</w:t>
            </w:r>
          </w:p>
        </w:tc>
        <w:tc>
          <w:tcPr>
            <w:tcW w:w="1807" w:type="dxa"/>
            <w:vAlign w:val="center"/>
          </w:tcPr>
          <w:p w14:paraId="025CFC8C">
            <w:pPr>
              <w:jc w:val="center"/>
              <w:rPr>
                <w:w w:val="90"/>
                <w:szCs w:val="21"/>
                <w:highlight w:val="none"/>
              </w:rPr>
            </w:pPr>
          </w:p>
        </w:tc>
        <w:tc>
          <w:tcPr>
            <w:tcW w:w="3301" w:type="dxa"/>
            <w:vAlign w:val="center"/>
          </w:tcPr>
          <w:p w14:paraId="44513324">
            <w:pPr>
              <w:jc w:val="left"/>
              <w:rPr>
                <w:w w:val="90"/>
                <w:szCs w:val="21"/>
                <w:highlight w:val="none"/>
              </w:rPr>
            </w:pPr>
            <w:r>
              <w:rPr>
                <w:rFonts w:hint="eastAsia"/>
                <w:w w:val="90"/>
                <w:szCs w:val="21"/>
                <w:highlight w:val="none"/>
              </w:rPr>
              <w:t>《微型计算机能效限定值及能效等级》（GB 28380）</w:t>
            </w:r>
          </w:p>
        </w:tc>
      </w:tr>
      <w:tr w14:paraId="235BE41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4B6F39E5">
            <w:pPr>
              <w:jc w:val="center"/>
              <w:rPr>
                <w:w w:val="90"/>
                <w:szCs w:val="21"/>
                <w:highlight w:val="none"/>
              </w:rPr>
            </w:pPr>
          </w:p>
        </w:tc>
        <w:tc>
          <w:tcPr>
            <w:tcW w:w="1933" w:type="dxa"/>
            <w:vMerge w:val="continue"/>
            <w:vAlign w:val="center"/>
          </w:tcPr>
          <w:p w14:paraId="050CF41D">
            <w:pPr>
              <w:jc w:val="left"/>
              <w:rPr>
                <w:w w:val="90"/>
                <w:szCs w:val="21"/>
                <w:highlight w:val="none"/>
              </w:rPr>
            </w:pPr>
          </w:p>
        </w:tc>
        <w:tc>
          <w:tcPr>
            <w:tcW w:w="2209" w:type="dxa"/>
            <w:vAlign w:val="center"/>
          </w:tcPr>
          <w:p w14:paraId="5CFDC1EB">
            <w:pPr>
              <w:jc w:val="left"/>
              <w:rPr>
                <w:b/>
                <w:w w:val="90"/>
                <w:szCs w:val="21"/>
                <w:highlight w:val="none"/>
              </w:rPr>
            </w:pPr>
            <w:r>
              <w:rPr>
                <w:rFonts w:hint="eastAsia"/>
                <w:w w:val="90"/>
                <w:szCs w:val="21"/>
                <w:highlight w:val="none"/>
              </w:rPr>
              <w:t>★</w:t>
            </w:r>
            <w:r>
              <w:rPr>
                <w:rFonts w:hint="eastAsia"/>
                <w:b/>
                <w:w w:val="90"/>
                <w:szCs w:val="21"/>
                <w:highlight w:val="none"/>
              </w:rPr>
              <w:t>A02010105便携式计算</w:t>
            </w:r>
          </w:p>
        </w:tc>
        <w:tc>
          <w:tcPr>
            <w:tcW w:w="1807" w:type="dxa"/>
            <w:vAlign w:val="center"/>
          </w:tcPr>
          <w:p w14:paraId="0E0535DB">
            <w:pPr>
              <w:jc w:val="center"/>
              <w:rPr>
                <w:w w:val="90"/>
                <w:szCs w:val="21"/>
                <w:highlight w:val="none"/>
              </w:rPr>
            </w:pPr>
          </w:p>
        </w:tc>
        <w:tc>
          <w:tcPr>
            <w:tcW w:w="3301" w:type="dxa"/>
            <w:vAlign w:val="center"/>
          </w:tcPr>
          <w:p w14:paraId="78EFD218">
            <w:pPr>
              <w:jc w:val="left"/>
              <w:rPr>
                <w:w w:val="90"/>
                <w:szCs w:val="21"/>
                <w:highlight w:val="none"/>
              </w:rPr>
            </w:pPr>
            <w:r>
              <w:rPr>
                <w:rFonts w:hint="eastAsia"/>
                <w:w w:val="90"/>
                <w:szCs w:val="21"/>
                <w:highlight w:val="none"/>
              </w:rPr>
              <w:t>《微型计算机能效限定值及能效等级》（GB 28380）</w:t>
            </w:r>
          </w:p>
        </w:tc>
      </w:tr>
      <w:tr w14:paraId="367A36A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174B476A">
            <w:pPr>
              <w:jc w:val="center"/>
              <w:rPr>
                <w:w w:val="90"/>
                <w:szCs w:val="21"/>
                <w:highlight w:val="none"/>
              </w:rPr>
            </w:pPr>
          </w:p>
        </w:tc>
        <w:tc>
          <w:tcPr>
            <w:tcW w:w="1933" w:type="dxa"/>
            <w:vMerge w:val="continue"/>
            <w:vAlign w:val="center"/>
          </w:tcPr>
          <w:p w14:paraId="3DFF724B">
            <w:pPr>
              <w:jc w:val="left"/>
              <w:rPr>
                <w:w w:val="90"/>
                <w:szCs w:val="21"/>
                <w:highlight w:val="none"/>
              </w:rPr>
            </w:pPr>
          </w:p>
        </w:tc>
        <w:tc>
          <w:tcPr>
            <w:tcW w:w="2209" w:type="dxa"/>
            <w:vAlign w:val="center"/>
          </w:tcPr>
          <w:p w14:paraId="0BD07759">
            <w:pPr>
              <w:jc w:val="left"/>
              <w:rPr>
                <w:b/>
                <w:w w:val="90"/>
                <w:szCs w:val="21"/>
                <w:highlight w:val="none"/>
              </w:rPr>
            </w:pPr>
            <w:r>
              <w:rPr>
                <w:rFonts w:hint="eastAsia"/>
                <w:w w:val="90"/>
                <w:szCs w:val="21"/>
                <w:highlight w:val="none"/>
              </w:rPr>
              <w:t>★</w:t>
            </w:r>
            <w:r>
              <w:rPr>
                <w:rFonts w:hint="eastAsia"/>
                <w:b/>
                <w:w w:val="90"/>
                <w:szCs w:val="21"/>
                <w:highlight w:val="none"/>
              </w:rPr>
              <w:t>A02010107平板式微型计算机</w:t>
            </w:r>
          </w:p>
        </w:tc>
        <w:tc>
          <w:tcPr>
            <w:tcW w:w="1807" w:type="dxa"/>
            <w:vAlign w:val="center"/>
          </w:tcPr>
          <w:p w14:paraId="577F4B7A">
            <w:pPr>
              <w:jc w:val="center"/>
              <w:rPr>
                <w:w w:val="90"/>
                <w:szCs w:val="21"/>
                <w:highlight w:val="none"/>
              </w:rPr>
            </w:pPr>
          </w:p>
        </w:tc>
        <w:tc>
          <w:tcPr>
            <w:tcW w:w="3301" w:type="dxa"/>
            <w:vAlign w:val="center"/>
          </w:tcPr>
          <w:p w14:paraId="497F5F5C">
            <w:pPr>
              <w:jc w:val="left"/>
              <w:rPr>
                <w:w w:val="90"/>
                <w:szCs w:val="21"/>
                <w:highlight w:val="none"/>
              </w:rPr>
            </w:pPr>
            <w:r>
              <w:rPr>
                <w:rFonts w:hint="eastAsia"/>
                <w:w w:val="90"/>
                <w:szCs w:val="21"/>
                <w:highlight w:val="none"/>
              </w:rPr>
              <w:t>《微型计算机能效限定值及能效等级》（GB 28380）</w:t>
            </w:r>
          </w:p>
        </w:tc>
      </w:tr>
      <w:tr w14:paraId="3AAD0082">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vAlign w:val="center"/>
          </w:tcPr>
          <w:p w14:paraId="09902DB1">
            <w:pPr>
              <w:jc w:val="center"/>
              <w:rPr>
                <w:w w:val="90"/>
                <w:szCs w:val="21"/>
                <w:highlight w:val="none"/>
              </w:rPr>
            </w:pPr>
            <w:r>
              <w:rPr>
                <w:rFonts w:hint="eastAsia"/>
                <w:w w:val="90"/>
                <w:szCs w:val="21"/>
                <w:highlight w:val="none"/>
              </w:rPr>
              <w:t>2</w:t>
            </w:r>
          </w:p>
        </w:tc>
        <w:tc>
          <w:tcPr>
            <w:tcW w:w="1933" w:type="dxa"/>
            <w:vMerge w:val="restart"/>
            <w:vAlign w:val="center"/>
          </w:tcPr>
          <w:p w14:paraId="7B35A488">
            <w:pPr>
              <w:jc w:val="left"/>
              <w:rPr>
                <w:w w:val="90"/>
                <w:szCs w:val="21"/>
                <w:highlight w:val="none"/>
              </w:rPr>
            </w:pPr>
            <w:r>
              <w:rPr>
                <w:rFonts w:hint="eastAsia"/>
                <w:w w:val="90"/>
                <w:szCs w:val="21"/>
                <w:highlight w:val="none"/>
              </w:rPr>
              <w:t>A020106输入输出设备</w:t>
            </w:r>
          </w:p>
        </w:tc>
        <w:tc>
          <w:tcPr>
            <w:tcW w:w="2209" w:type="dxa"/>
            <w:vMerge w:val="restart"/>
            <w:vAlign w:val="center"/>
          </w:tcPr>
          <w:p w14:paraId="53F5EF50">
            <w:pPr>
              <w:jc w:val="left"/>
              <w:rPr>
                <w:w w:val="90"/>
                <w:szCs w:val="21"/>
                <w:highlight w:val="none"/>
              </w:rPr>
            </w:pPr>
            <w:r>
              <w:rPr>
                <w:rFonts w:hint="eastAsia"/>
                <w:w w:val="90"/>
                <w:szCs w:val="21"/>
                <w:highlight w:val="none"/>
              </w:rPr>
              <w:t>A02010601打印设备</w:t>
            </w:r>
          </w:p>
        </w:tc>
        <w:tc>
          <w:tcPr>
            <w:tcW w:w="1807" w:type="dxa"/>
            <w:vAlign w:val="center"/>
          </w:tcPr>
          <w:p w14:paraId="1CEABE49">
            <w:pPr>
              <w:jc w:val="left"/>
              <w:rPr>
                <w:w w:val="90"/>
                <w:szCs w:val="21"/>
                <w:highlight w:val="none"/>
              </w:rPr>
            </w:pPr>
            <w:r>
              <w:rPr>
                <w:rFonts w:hint="eastAsia"/>
                <w:b/>
                <w:bCs/>
                <w:w w:val="90"/>
                <w:szCs w:val="21"/>
                <w:highlight w:val="none"/>
              </w:rPr>
              <w:t>A0201060101喷墨打印机</w:t>
            </w:r>
          </w:p>
        </w:tc>
        <w:tc>
          <w:tcPr>
            <w:tcW w:w="3301" w:type="dxa"/>
            <w:vAlign w:val="center"/>
          </w:tcPr>
          <w:p w14:paraId="7492B169">
            <w:pPr>
              <w:jc w:val="left"/>
              <w:rPr>
                <w:w w:val="90"/>
                <w:szCs w:val="21"/>
                <w:highlight w:val="none"/>
              </w:rPr>
            </w:pPr>
            <w:r>
              <w:rPr>
                <w:rFonts w:hint="eastAsia"/>
                <w:w w:val="90"/>
                <w:szCs w:val="21"/>
                <w:highlight w:val="none"/>
              </w:rPr>
              <w:t>《复印机、打印机和传真机能效限定值及能效等级》（GB 21521）</w:t>
            </w:r>
          </w:p>
        </w:tc>
      </w:tr>
      <w:tr w14:paraId="5269B25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19F93C58">
            <w:pPr>
              <w:jc w:val="center"/>
              <w:rPr>
                <w:w w:val="90"/>
                <w:szCs w:val="21"/>
                <w:highlight w:val="none"/>
              </w:rPr>
            </w:pPr>
          </w:p>
        </w:tc>
        <w:tc>
          <w:tcPr>
            <w:tcW w:w="1933" w:type="dxa"/>
            <w:vMerge w:val="continue"/>
            <w:vAlign w:val="center"/>
          </w:tcPr>
          <w:p w14:paraId="098CA987">
            <w:pPr>
              <w:jc w:val="left"/>
              <w:rPr>
                <w:w w:val="90"/>
                <w:szCs w:val="21"/>
                <w:highlight w:val="none"/>
              </w:rPr>
            </w:pPr>
          </w:p>
        </w:tc>
        <w:tc>
          <w:tcPr>
            <w:tcW w:w="2209" w:type="dxa"/>
            <w:vMerge w:val="continue"/>
            <w:vAlign w:val="center"/>
          </w:tcPr>
          <w:p w14:paraId="7450644D">
            <w:pPr>
              <w:jc w:val="left"/>
              <w:rPr>
                <w:w w:val="90"/>
                <w:szCs w:val="21"/>
                <w:highlight w:val="none"/>
              </w:rPr>
            </w:pPr>
          </w:p>
        </w:tc>
        <w:tc>
          <w:tcPr>
            <w:tcW w:w="1807" w:type="dxa"/>
            <w:vAlign w:val="center"/>
          </w:tcPr>
          <w:p w14:paraId="4B24CA05">
            <w:pPr>
              <w:jc w:val="left"/>
              <w:rPr>
                <w:b/>
                <w:w w:val="90"/>
                <w:szCs w:val="21"/>
                <w:highlight w:val="none"/>
              </w:rPr>
            </w:pPr>
            <w:r>
              <w:rPr>
                <w:rFonts w:hint="eastAsia"/>
                <w:w w:val="90"/>
                <w:szCs w:val="21"/>
                <w:highlight w:val="none"/>
              </w:rPr>
              <w:t>★</w:t>
            </w:r>
            <w:r>
              <w:rPr>
                <w:rFonts w:hint="eastAsia"/>
                <w:b/>
                <w:w w:val="90"/>
                <w:szCs w:val="21"/>
                <w:highlight w:val="none"/>
              </w:rPr>
              <w:t>A0201060102激光打印机</w:t>
            </w:r>
          </w:p>
        </w:tc>
        <w:tc>
          <w:tcPr>
            <w:tcW w:w="3301" w:type="dxa"/>
            <w:vAlign w:val="center"/>
          </w:tcPr>
          <w:p w14:paraId="5D66F8F5">
            <w:pPr>
              <w:jc w:val="left"/>
              <w:rPr>
                <w:w w:val="90"/>
                <w:szCs w:val="21"/>
                <w:highlight w:val="none"/>
              </w:rPr>
            </w:pPr>
            <w:r>
              <w:rPr>
                <w:rFonts w:hint="eastAsia"/>
                <w:w w:val="90"/>
                <w:szCs w:val="21"/>
                <w:highlight w:val="none"/>
              </w:rPr>
              <w:t>《复印机、打印机和传真机能效限定值及能效等级》（GB 21521）</w:t>
            </w:r>
          </w:p>
        </w:tc>
      </w:tr>
      <w:tr w14:paraId="6720A2C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3BEC47B7">
            <w:pPr>
              <w:jc w:val="center"/>
              <w:rPr>
                <w:w w:val="90"/>
                <w:szCs w:val="21"/>
                <w:highlight w:val="none"/>
              </w:rPr>
            </w:pPr>
          </w:p>
        </w:tc>
        <w:tc>
          <w:tcPr>
            <w:tcW w:w="1933" w:type="dxa"/>
            <w:vMerge w:val="continue"/>
            <w:vAlign w:val="center"/>
          </w:tcPr>
          <w:p w14:paraId="72881E94">
            <w:pPr>
              <w:jc w:val="left"/>
              <w:rPr>
                <w:w w:val="90"/>
                <w:szCs w:val="21"/>
                <w:highlight w:val="none"/>
              </w:rPr>
            </w:pPr>
          </w:p>
        </w:tc>
        <w:tc>
          <w:tcPr>
            <w:tcW w:w="2209" w:type="dxa"/>
            <w:vMerge w:val="continue"/>
            <w:vAlign w:val="center"/>
          </w:tcPr>
          <w:p w14:paraId="6B0A1191">
            <w:pPr>
              <w:jc w:val="left"/>
              <w:rPr>
                <w:w w:val="90"/>
                <w:szCs w:val="21"/>
                <w:highlight w:val="none"/>
              </w:rPr>
            </w:pPr>
          </w:p>
        </w:tc>
        <w:tc>
          <w:tcPr>
            <w:tcW w:w="1807" w:type="dxa"/>
            <w:vAlign w:val="center"/>
          </w:tcPr>
          <w:p w14:paraId="7C50E6FA">
            <w:pPr>
              <w:jc w:val="left"/>
              <w:rPr>
                <w:b/>
                <w:w w:val="90"/>
                <w:szCs w:val="21"/>
                <w:highlight w:val="none"/>
              </w:rPr>
            </w:pPr>
            <w:r>
              <w:rPr>
                <w:rFonts w:hint="eastAsia"/>
                <w:w w:val="90"/>
                <w:szCs w:val="21"/>
                <w:highlight w:val="none"/>
              </w:rPr>
              <w:t>★</w:t>
            </w:r>
            <w:r>
              <w:rPr>
                <w:rFonts w:hint="eastAsia"/>
                <w:b/>
                <w:w w:val="90"/>
                <w:szCs w:val="21"/>
                <w:highlight w:val="none"/>
              </w:rPr>
              <w:t>A0201060104针式打印机</w:t>
            </w:r>
          </w:p>
        </w:tc>
        <w:tc>
          <w:tcPr>
            <w:tcW w:w="3301" w:type="dxa"/>
            <w:vAlign w:val="center"/>
          </w:tcPr>
          <w:p w14:paraId="46B9F609">
            <w:pPr>
              <w:jc w:val="left"/>
              <w:rPr>
                <w:w w:val="90"/>
                <w:szCs w:val="21"/>
                <w:highlight w:val="none"/>
              </w:rPr>
            </w:pPr>
            <w:r>
              <w:rPr>
                <w:rFonts w:hint="eastAsia"/>
                <w:w w:val="90"/>
                <w:szCs w:val="21"/>
                <w:highlight w:val="none"/>
              </w:rPr>
              <w:t>《复印机、打印机和传真机能效限定值及能效等级》（GB 21521）</w:t>
            </w:r>
          </w:p>
        </w:tc>
      </w:tr>
      <w:tr w14:paraId="5E95186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6A121252">
            <w:pPr>
              <w:jc w:val="center"/>
              <w:rPr>
                <w:w w:val="90"/>
                <w:szCs w:val="21"/>
                <w:highlight w:val="none"/>
              </w:rPr>
            </w:pPr>
          </w:p>
        </w:tc>
        <w:tc>
          <w:tcPr>
            <w:tcW w:w="1933" w:type="dxa"/>
            <w:vMerge w:val="continue"/>
            <w:vAlign w:val="center"/>
          </w:tcPr>
          <w:p w14:paraId="5255C60E">
            <w:pPr>
              <w:jc w:val="left"/>
              <w:rPr>
                <w:w w:val="90"/>
                <w:szCs w:val="21"/>
                <w:highlight w:val="none"/>
              </w:rPr>
            </w:pPr>
          </w:p>
        </w:tc>
        <w:tc>
          <w:tcPr>
            <w:tcW w:w="2209" w:type="dxa"/>
            <w:vAlign w:val="center"/>
          </w:tcPr>
          <w:p w14:paraId="3F9BE100">
            <w:pPr>
              <w:jc w:val="left"/>
              <w:rPr>
                <w:w w:val="90"/>
                <w:szCs w:val="21"/>
                <w:highlight w:val="none"/>
              </w:rPr>
            </w:pPr>
            <w:r>
              <w:rPr>
                <w:rFonts w:hint="eastAsia"/>
                <w:w w:val="90"/>
                <w:szCs w:val="21"/>
                <w:highlight w:val="none"/>
              </w:rPr>
              <w:t>A02010604显示设备</w:t>
            </w:r>
          </w:p>
        </w:tc>
        <w:tc>
          <w:tcPr>
            <w:tcW w:w="1807" w:type="dxa"/>
            <w:vAlign w:val="center"/>
          </w:tcPr>
          <w:p w14:paraId="5A1395A4">
            <w:pPr>
              <w:jc w:val="left"/>
              <w:rPr>
                <w:b/>
                <w:w w:val="90"/>
                <w:szCs w:val="21"/>
                <w:highlight w:val="none"/>
              </w:rPr>
            </w:pPr>
            <w:r>
              <w:rPr>
                <w:rFonts w:hint="eastAsia"/>
                <w:w w:val="90"/>
                <w:szCs w:val="21"/>
                <w:highlight w:val="none"/>
              </w:rPr>
              <w:t>★</w:t>
            </w:r>
            <w:r>
              <w:rPr>
                <w:rFonts w:hint="eastAsia"/>
                <w:b/>
                <w:w w:val="90"/>
                <w:szCs w:val="21"/>
                <w:highlight w:val="none"/>
              </w:rPr>
              <w:t>A0201060401液晶显示器</w:t>
            </w:r>
          </w:p>
        </w:tc>
        <w:tc>
          <w:tcPr>
            <w:tcW w:w="3301" w:type="dxa"/>
            <w:vAlign w:val="center"/>
          </w:tcPr>
          <w:p w14:paraId="3C6089D9">
            <w:pPr>
              <w:jc w:val="left"/>
              <w:rPr>
                <w:w w:val="90"/>
                <w:szCs w:val="21"/>
                <w:highlight w:val="none"/>
              </w:rPr>
            </w:pPr>
            <w:r>
              <w:rPr>
                <w:rFonts w:hint="eastAsia"/>
                <w:w w:val="90"/>
                <w:szCs w:val="21"/>
                <w:highlight w:val="none"/>
              </w:rPr>
              <w:t>《计算机显示器能效限定值及能效等级》（GB 21520）</w:t>
            </w:r>
          </w:p>
        </w:tc>
      </w:tr>
      <w:tr w14:paraId="0F92ACE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18D7228F">
            <w:pPr>
              <w:jc w:val="center"/>
              <w:rPr>
                <w:w w:val="90"/>
                <w:szCs w:val="21"/>
                <w:highlight w:val="none"/>
              </w:rPr>
            </w:pPr>
          </w:p>
        </w:tc>
        <w:tc>
          <w:tcPr>
            <w:tcW w:w="1933" w:type="dxa"/>
            <w:vMerge w:val="continue"/>
            <w:vAlign w:val="center"/>
          </w:tcPr>
          <w:p w14:paraId="10557F53">
            <w:pPr>
              <w:jc w:val="left"/>
              <w:rPr>
                <w:w w:val="90"/>
                <w:szCs w:val="21"/>
                <w:highlight w:val="none"/>
              </w:rPr>
            </w:pPr>
          </w:p>
        </w:tc>
        <w:tc>
          <w:tcPr>
            <w:tcW w:w="2209" w:type="dxa"/>
            <w:vAlign w:val="center"/>
          </w:tcPr>
          <w:p w14:paraId="3B024F8C">
            <w:pPr>
              <w:jc w:val="left"/>
              <w:rPr>
                <w:w w:val="90"/>
                <w:szCs w:val="21"/>
                <w:highlight w:val="none"/>
              </w:rPr>
            </w:pPr>
            <w:r>
              <w:rPr>
                <w:rFonts w:hint="eastAsia"/>
                <w:w w:val="90"/>
                <w:szCs w:val="21"/>
                <w:highlight w:val="none"/>
              </w:rPr>
              <w:t>A02010609图形图像输入设备</w:t>
            </w:r>
          </w:p>
        </w:tc>
        <w:tc>
          <w:tcPr>
            <w:tcW w:w="1807" w:type="dxa"/>
            <w:vAlign w:val="center"/>
          </w:tcPr>
          <w:p w14:paraId="62B270C5">
            <w:pPr>
              <w:jc w:val="left"/>
              <w:rPr>
                <w:w w:val="90"/>
                <w:szCs w:val="21"/>
                <w:highlight w:val="none"/>
              </w:rPr>
            </w:pPr>
            <w:r>
              <w:rPr>
                <w:rFonts w:hint="eastAsia"/>
                <w:w w:val="90"/>
                <w:szCs w:val="21"/>
                <w:highlight w:val="none"/>
              </w:rPr>
              <w:t>A0201060901扫描仪</w:t>
            </w:r>
          </w:p>
        </w:tc>
        <w:tc>
          <w:tcPr>
            <w:tcW w:w="3301" w:type="dxa"/>
            <w:vAlign w:val="center"/>
          </w:tcPr>
          <w:p w14:paraId="729D1745">
            <w:pPr>
              <w:jc w:val="left"/>
              <w:rPr>
                <w:w w:val="90"/>
                <w:szCs w:val="21"/>
                <w:highlight w:val="none"/>
              </w:rPr>
            </w:pPr>
            <w:r>
              <w:rPr>
                <w:rFonts w:hint="eastAsia"/>
                <w:w w:val="90"/>
                <w:szCs w:val="21"/>
                <w:highlight w:val="none"/>
              </w:rPr>
              <w:t>参照《复印机、打印机和传真机能效限定值及能效等级》（GB 21521中打印速度为 15 页/分的针式打印机相关要求</w:t>
            </w:r>
          </w:p>
        </w:tc>
      </w:tr>
      <w:tr w14:paraId="2667B8C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08FEDC21">
            <w:pPr>
              <w:jc w:val="center"/>
              <w:rPr>
                <w:w w:val="90"/>
                <w:szCs w:val="21"/>
                <w:highlight w:val="none"/>
              </w:rPr>
            </w:pPr>
            <w:r>
              <w:rPr>
                <w:rFonts w:hint="eastAsia"/>
                <w:w w:val="90"/>
                <w:szCs w:val="21"/>
                <w:highlight w:val="none"/>
              </w:rPr>
              <w:t>3</w:t>
            </w:r>
          </w:p>
        </w:tc>
        <w:tc>
          <w:tcPr>
            <w:tcW w:w="1933" w:type="dxa"/>
            <w:vAlign w:val="center"/>
          </w:tcPr>
          <w:p w14:paraId="344F8DCB">
            <w:pPr>
              <w:jc w:val="left"/>
              <w:rPr>
                <w:w w:val="90"/>
                <w:szCs w:val="21"/>
                <w:highlight w:val="none"/>
              </w:rPr>
            </w:pPr>
            <w:r>
              <w:rPr>
                <w:rFonts w:hint="eastAsia"/>
                <w:w w:val="90"/>
                <w:szCs w:val="21"/>
                <w:highlight w:val="none"/>
              </w:rPr>
              <w:t>A020202投影仪</w:t>
            </w:r>
          </w:p>
        </w:tc>
        <w:tc>
          <w:tcPr>
            <w:tcW w:w="2209" w:type="dxa"/>
            <w:vAlign w:val="center"/>
          </w:tcPr>
          <w:p w14:paraId="6AFF7A3D">
            <w:pPr>
              <w:jc w:val="left"/>
              <w:rPr>
                <w:w w:val="90"/>
                <w:szCs w:val="21"/>
                <w:highlight w:val="none"/>
              </w:rPr>
            </w:pPr>
          </w:p>
        </w:tc>
        <w:tc>
          <w:tcPr>
            <w:tcW w:w="1807" w:type="dxa"/>
            <w:vAlign w:val="center"/>
          </w:tcPr>
          <w:p w14:paraId="660159AA">
            <w:pPr>
              <w:jc w:val="center"/>
              <w:rPr>
                <w:w w:val="90"/>
                <w:szCs w:val="21"/>
                <w:highlight w:val="none"/>
              </w:rPr>
            </w:pPr>
          </w:p>
        </w:tc>
        <w:tc>
          <w:tcPr>
            <w:tcW w:w="3301" w:type="dxa"/>
            <w:vAlign w:val="center"/>
          </w:tcPr>
          <w:p w14:paraId="5CD9B0FD">
            <w:pPr>
              <w:jc w:val="left"/>
              <w:rPr>
                <w:w w:val="90"/>
                <w:szCs w:val="21"/>
                <w:highlight w:val="none"/>
              </w:rPr>
            </w:pPr>
            <w:r>
              <w:rPr>
                <w:rFonts w:hint="eastAsia"/>
                <w:w w:val="90"/>
                <w:szCs w:val="21"/>
                <w:highlight w:val="none"/>
              </w:rPr>
              <w:t>《投影机能效限定值及能效等级（GB 32028）</w:t>
            </w:r>
          </w:p>
        </w:tc>
      </w:tr>
      <w:tr w14:paraId="472DE05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742835C1">
            <w:pPr>
              <w:jc w:val="center"/>
              <w:rPr>
                <w:w w:val="90"/>
                <w:szCs w:val="21"/>
                <w:highlight w:val="none"/>
              </w:rPr>
            </w:pPr>
            <w:r>
              <w:rPr>
                <w:rFonts w:hint="eastAsia"/>
                <w:w w:val="90"/>
                <w:szCs w:val="21"/>
                <w:highlight w:val="none"/>
              </w:rPr>
              <w:t>4</w:t>
            </w:r>
          </w:p>
        </w:tc>
        <w:tc>
          <w:tcPr>
            <w:tcW w:w="1933" w:type="dxa"/>
            <w:vAlign w:val="center"/>
          </w:tcPr>
          <w:p w14:paraId="45A3254C">
            <w:pPr>
              <w:jc w:val="left"/>
              <w:rPr>
                <w:w w:val="90"/>
                <w:szCs w:val="21"/>
                <w:highlight w:val="none"/>
              </w:rPr>
            </w:pPr>
            <w:r>
              <w:rPr>
                <w:rFonts w:hint="eastAsia"/>
                <w:w w:val="90"/>
                <w:szCs w:val="21"/>
                <w:highlight w:val="none"/>
              </w:rPr>
              <w:t>A020204352多功能一体机</w:t>
            </w:r>
          </w:p>
        </w:tc>
        <w:tc>
          <w:tcPr>
            <w:tcW w:w="2209" w:type="dxa"/>
            <w:vAlign w:val="center"/>
          </w:tcPr>
          <w:p w14:paraId="1EDABBF0">
            <w:pPr>
              <w:jc w:val="left"/>
              <w:rPr>
                <w:w w:val="90"/>
                <w:szCs w:val="21"/>
                <w:highlight w:val="none"/>
              </w:rPr>
            </w:pPr>
          </w:p>
        </w:tc>
        <w:tc>
          <w:tcPr>
            <w:tcW w:w="1807" w:type="dxa"/>
            <w:vAlign w:val="center"/>
          </w:tcPr>
          <w:p w14:paraId="4868AC2C">
            <w:pPr>
              <w:jc w:val="center"/>
              <w:rPr>
                <w:w w:val="90"/>
                <w:szCs w:val="21"/>
                <w:highlight w:val="none"/>
              </w:rPr>
            </w:pPr>
          </w:p>
        </w:tc>
        <w:tc>
          <w:tcPr>
            <w:tcW w:w="3301" w:type="dxa"/>
            <w:vAlign w:val="center"/>
          </w:tcPr>
          <w:p w14:paraId="72A1E07C">
            <w:pPr>
              <w:jc w:val="left"/>
              <w:rPr>
                <w:w w:val="90"/>
                <w:szCs w:val="21"/>
                <w:highlight w:val="none"/>
              </w:rPr>
            </w:pPr>
            <w:r>
              <w:rPr>
                <w:rFonts w:hint="eastAsia"/>
                <w:w w:val="90"/>
                <w:szCs w:val="21"/>
                <w:highlight w:val="none"/>
              </w:rPr>
              <w:t>《复印机、打印机和传真机能效限定值及能效等级》（GB 21521）</w:t>
            </w:r>
          </w:p>
        </w:tc>
      </w:tr>
      <w:tr w14:paraId="3D36906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46046E01">
            <w:pPr>
              <w:jc w:val="center"/>
              <w:rPr>
                <w:w w:val="90"/>
                <w:szCs w:val="21"/>
                <w:highlight w:val="none"/>
              </w:rPr>
            </w:pPr>
            <w:r>
              <w:rPr>
                <w:rFonts w:hint="eastAsia"/>
                <w:w w:val="90"/>
                <w:szCs w:val="21"/>
                <w:highlight w:val="none"/>
              </w:rPr>
              <w:t>5</w:t>
            </w:r>
          </w:p>
        </w:tc>
        <w:tc>
          <w:tcPr>
            <w:tcW w:w="1933" w:type="dxa"/>
            <w:vAlign w:val="center"/>
          </w:tcPr>
          <w:p w14:paraId="32FCF4A1">
            <w:pPr>
              <w:jc w:val="left"/>
              <w:rPr>
                <w:w w:val="90"/>
                <w:szCs w:val="21"/>
                <w:highlight w:val="none"/>
              </w:rPr>
            </w:pPr>
            <w:r>
              <w:rPr>
                <w:rFonts w:hint="eastAsia"/>
                <w:w w:val="90"/>
                <w:szCs w:val="21"/>
                <w:highlight w:val="none"/>
              </w:rPr>
              <w:t>A020519泵</w:t>
            </w:r>
          </w:p>
        </w:tc>
        <w:tc>
          <w:tcPr>
            <w:tcW w:w="2209" w:type="dxa"/>
            <w:vAlign w:val="center"/>
          </w:tcPr>
          <w:p w14:paraId="2D419D48">
            <w:pPr>
              <w:jc w:val="left"/>
              <w:rPr>
                <w:w w:val="90"/>
                <w:szCs w:val="21"/>
                <w:highlight w:val="none"/>
              </w:rPr>
            </w:pPr>
            <w:r>
              <w:rPr>
                <w:rFonts w:hint="eastAsia"/>
                <w:w w:val="90"/>
                <w:szCs w:val="21"/>
                <w:highlight w:val="none"/>
              </w:rPr>
              <w:t>A02051901离心泵</w:t>
            </w:r>
          </w:p>
        </w:tc>
        <w:tc>
          <w:tcPr>
            <w:tcW w:w="1807" w:type="dxa"/>
            <w:vAlign w:val="center"/>
          </w:tcPr>
          <w:p w14:paraId="493B8FFF">
            <w:pPr>
              <w:jc w:val="center"/>
              <w:rPr>
                <w:w w:val="90"/>
                <w:szCs w:val="21"/>
                <w:highlight w:val="none"/>
              </w:rPr>
            </w:pPr>
          </w:p>
        </w:tc>
        <w:tc>
          <w:tcPr>
            <w:tcW w:w="3301" w:type="dxa"/>
            <w:vAlign w:val="center"/>
          </w:tcPr>
          <w:p w14:paraId="0D10165C">
            <w:pPr>
              <w:jc w:val="left"/>
              <w:rPr>
                <w:w w:val="90"/>
                <w:szCs w:val="21"/>
                <w:highlight w:val="none"/>
              </w:rPr>
            </w:pPr>
            <w:r>
              <w:rPr>
                <w:rFonts w:hint="eastAsia"/>
                <w:w w:val="90"/>
                <w:szCs w:val="21"/>
                <w:highlight w:val="none"/>
              </w:rPr>
              <w:t>《清水离心泵能效限定值及节能评价值》（GB 19762）</w:t>
            </w:r>
          </w:p>
        </w:tc>
      </w:tr>
      <w:tr w14:paraId="7607BEE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vAlign w:val="center"/>
          </w:tcPr>
          <w:p w14:paraId="714E961B">
            <w:pPr>
              <w:jc w:val="center"/>
              <w:rPr>
                <w:w w:val="90"/>
                <w:szCs w:val="21"/>
                <w:highlight w:val="none"/>
              </w:rPr>
            </w:pPr>
            <w:r>
              <w:rPr>
                <w:rFonts w:hint="eastAsia"/>
                <w:w w:val="90"/>
                <w:szCs w:val="21"/>
                <w:highlight w:val="none"/>
              </w:rPr>
              <w:t>6</w:t>
            </w:r>
          </w:p>
        </w:tc>
        <w:tc>
          <w:tcPr>
            <w:tcW w:w="1933" w:type="dxa"/>
            <w:vMerge w:val="restart"/>
            <w:vAlign w:val="center"/>
          </w:tcPr>
          <w:p w14:paraId="6EE19014">
            <w:pPr>
              <w:jc w:val="left"/>
              <w:rPr>
                <w:w w:val="90"/>
                <w:szCs w:val="21"/>
                <w:highlight w:val="none"/>
              </w:rPr>
            </w:pPr>
            <w:r>
              <w:rPr>
                <w:rFonts w:hint="eastAsia"/>
                <w:w w:val="90"/>
                <w:szCs w:val="21"/>
                <w:highlight w:val="none"/>
              </w:rPr>
              <w:t>A020523制冷空调设备</w:t>
            </w:r>
          </w:p>
        </w:tc>
        <w:tc>
          <w:tcPr>
            <w:tcW w:w="2209" w:type="dxa"/>
            <w:vMerge w:val="restart"/>
            <w:vAlign w:val="center"/>
          </w:tcPr>
          <w:p w14:paraId="5E613C49">
            <w:pPr>
              <w:jc w:val="left"/>
              <w:rPr>
                <w:b/>
                <w:w w:val="90"/>
                <w:szCs w:val="21"/>
                <w:highlight w:val="none"/>
              </w:rPr>
            </w:pPr>
            <w:r>
              <w:rPr>
                <w:rFonts w:hint="eastAsia"/>
                <w:w w:val="90"/>
                <w:szCs w:val="21"/>
                <w:highlight w:val="none"/>
              </w:rPr>
              <w:t>★</w:t>
            </w:r>
            <w:r>
              <w:rPr>
                <w:rFonts w:hint="eastAsia"/>
                <w:b/>
                <w:w w:val="90"/>
                <w:szCs w:val="21"/>
                <w:highlight w:val="none"/>
              </w:rPr>
              <w:t>A02052301制冷压缩机</w:t>
            </w:r>
          </w:p>
        </w:tc>
        <w:tc>
          <w:tcPr>
            <w:tcW w:w="1807" w:type="dxa"/>
            <w:vAlign w:val="center"/>
          </w:tcPr>
          <w:p w14:paraId="5352A172">
            <w:pPr>
              <w:jc w:val="left"/>
              <w:rPr>
                <w:b/>
                <w:w w:val="90"/>
                <w:szCs w:val="21"/>
                <w:highlight w:val="none"/>
              </w:rPr>
            </w:pPr>
            <w:r>
              <w:rPr>
                <w:rFonts w:hint="eastAsia"/>
                <w:b/>
                <w:w w:val="90"/>
                <w:szCs w:val="21"/>
                <w:highlight w:val="none"/>
              </w:rPr>
              <w:t>冷水机组</w:t>
            </w:r>
          </w:p>
        </w:tc>
        <w:tc>
          <w:tcPr>
            <w:tcW w:w="3301" w:type="dxa"/>
            <w:vAlign w:val="center"/>
          </w:tcPr>
          <w:p w14:paraId="240885F5">
            <w:pPr>
              <w:jc w:val="left"/>
              <w:rPr>
                <w:w w:val="90"/>
                <w:szCs w:val="21"/>
                <w:highlight w:val="none"/>
              </w:rPr>
            </w:pPr>
            <w:r>
              <w:rPr>
                <w:rFonts w:hint="eastAsia"/>
                <w:w w:val="90"/>
                <w:szCs w:val="21"/>
                <w:highlight w:val="none"/>
              </w:rPr>
              <w:t>《冷水机组能效限定值及能效等级》（GB 19577），《低环境温度空气源热泵（冷水）机组能效限定值及能效等级》（GB 37480）</w:t>
            </w:r>
          </w:p>
        </w:tc>
      </w:tr>
      <w:tr w14:paraId="0389CE5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22346969">
            <w:pPr>
              <w:jc w:val="center"/>
              <w:rPr>
                <w:w w:val="90"/>
                <w:szCs w:val="21"/>
                <w:highlight w:val="none"/>
              </w:rPr>
            </w:pPr>
          </w:p>
        </w:tc>
        <w:tc>
          <w:tcPr>
            <w:tcW w:w="1933" w:type="dxa"/>
            <w:vMerge w:val="continue"/>
            <w:vAlign w:val="center"/>
          </w:tcPr>
          <w:p w14:paraId="4FBC966B">
            <w:pPr>
              <w:jc w:val="left"/>
              <w:rPr>
                <w:w w:val="90"/>
                <w:szCs w:val="21"/>
                <w:highlight w:val="none"/>
              </w:rPr>
            </w:pPr>
          </w:p>
        </w:tc>
        <w:tc>
          <w:tcPr>
            <w:tcW w:w="2209" w:type="dxa"/>
            <w:vMerge w:val="continue"/>
            <w:vAlign w:val="center"/>
          </w:tcPr>
          <w:p w14:paraId="10E36655">
            <w:pPr>
              <w:jc w:val="left"/>
              <w:rPr>
                <w:b/>
                <w:w w:val="90"/>
                <w:szCs w:val="21"/>
                <w:highlight w:val="none"/>
              </w:rPr>
            </w:pPr>
          </w:p>
        </w:tc>
        <w:tc>
          <w:tcPr>
            <w:tcW w:w="1807" w:type="dxa"/>
            <w:vAlign w:val="center"/>
          </w:tcPr>
          <w:p w14:paraId="7ED98E16">
            <w:pPr>
              <w:jc w:val="left"/>
              <w:rPr>
                <w:b/>
                <w:w w:val="90"/>
                <w:szCs w:val="21"/>
                <w:highlight w:val="none"/>
              </w:rPr>
            </w:pPr>
            <w:r>
              <w:rPr>
                <w:rFonts w:hint="eastAsia"/>
                <w:b/>
                <w:w w:val="90"/>
                <w:szCs w:val="21"/>
                <w:highlight w:val="none"/>
              </w:rPr>
              <w:t>水源热泵机组</w:t>
            </w:r>
          </w:p>
        </w:tc>
        <w:tc>
          <w:tcPr>
            <w:tcW w:w="3301" w:type="dxa"/>
            <w:vAlign w:val="center"/>
          </w:tcPr>
          <w:p w14:paraId="7B2CDF92">
            <w:pPr>
              <w:jc w:val="left"/>
              <w:rPr>
                <w:w w:val="90"/>
                <w:szCs w:val="21"/>
                <w:highlight w:val="none"/>
              </w:rPr>
            </w:pPr>
            <w:r>
              <w:rPr>
                <w:rFonts w:hint="eastAsia"/>
                <w:w w:val="90"/>
                <w:szCs w:val="21"/>
                <w:highlight w:val="none"/>
              </w:rPr>
              <w:t>《水（地）源热泵机组能效限定值及能效等级》（GB 30721）</w:t>
            </w:r>
          </w:p>
        </w:tc>
      </w:tr>
      <w:tr w14:paraId="6EADC81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58BE9608">
            <w:pPr>
              <w:jc w:val="center"/>
              <w:rPr>
                <w:w w:val="90"/>
                <w:szCs w:val="21"/>
                <w:highlight w:val="none"/>
              </w:rPr>
            </w:pPr>
          </w:p>
        </w:tc>
        <w:tc>
          <w:tcPr>
            <w:tcW w:w="1933" w:type="dxa"/>
            <w:vMerge w:val="continue"/>
            <w:vAlign w:val="center"/>
          </w:tcPr>
          <w:p w14:paraId="228E9F5A">
            <w:pPr>
              <w:jc w:val="left"/>
              <w:rPr>
                <w:w w:val="90"/>
                <w:szCs w:val="21"/>
                <w:highlight w:val="none"/>
              </w:rPr>
            </w:pPr>
          </w:p>
        </w:tc>
        <w:tc>
          <w:tcPr>
            <w:tcW w:w="2209" w:type="dxa"/>
            <w:vMerge w:val="continue"/>
            <w:vAlign w:val="center"/>
          </w:tcPr>
          <w:p w14:paraId="54840F7E">
            <w:pPr>
              <w:jc w:val="left"/>
              <w:rPr>
                <w:b/>
                <w:w w:val="90"/>
                <w:szCs w:val="21"/>
                <w:highlight w:val="none"/>
              </w:rPr>
            </w:pPr>
          </w:p>
        </w:tc>
        <w:tc>
          <w:tcPr>
            <w:tcW w:w="1807" w:type="dxa"/>
            <w:vAlign w:val="center"/>
          </w:tcPr>
          <w:p w14:paraId="69533FC5">
            <w:pPr>
              <w:jc w:val="left"/>
              <w:rPr>
                <w:b/>
                <w:w w:val="90"/>
                <w:szCs w:val="21"/>
                <w:highlight w:val="none"/>
              </w:rPr>
            </w:pPr>
            <w:r>
              <w:rPr>
                <w:rFonts w:hint="eastAsia"/>
                <w:b/>
                <w:w w:val="90"/>
                <w:szCs w:val="21"/>
                <w:highlight w:val="none"/>
              </w:rPr>
              <w:t>溴化锂吸收式冷水机组</w:t>
            </w:r>
          </w:p>
        </w:tc>
        <w:tc>
          <w:tcPr>
            <w:tcW w:w="3301" w:type="dxa"/>
            <w:vAlign w:val="center"/>
          </w:tcPr>
          <w:p w14:paraId="39C25118">
            <w:pPr>
              <w:jc w:val="left"/>
              <w:rPr>
                <w:w w:val="90"/>
                <w:szCs w:val="21"/>
                <w:highlight w:val="none"/>
              </w:rPr>
            </w:pPr>
            <w:r>
              <w:rPr>
                <w:rFonts w:hint="eastAsia"/>
                <w:w w:val="90"/>
                <w:szCs w:val="21"/>
                <w:highlight w:val="none"/>
              </w:rPr>
              <w:t>《溴化锂吸收式冷水机组能效限定值及能效等级》（GB 29540）</w:t>
            </w:r>
          </w:p>
        </w:tc>
      </w:tr>
      <w:tr w14:paraId="63FEF43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1BE28B1A">
            <w:pPr>
              <w:jc w:val="center"/>
              <w:rPr>
                <w:w w:val="90"/>
                <w:szCs w:val="21"/>
                <w:highlight w:val="none"/>
              </w:rPr>
            </w:pPr>
          </w:p>
        </w:tc>
        <w:tc>
          <w:tcPr>
            <w:tcW w:w="1933" w:type="dxa"/>
            <w:vMerge w:val="continue"/>
            <w:vAlign w:val="center"/>
          </w:tcPr>
          <w:p w14:paraId="5CFF2F72">
            <w:pPr>
              <w:jc w:val="left"/>
              <w:rPr>
                <w:w w:val="90"/>
                <w:szCs w:val="21"/>
                <w:highlight w:val="none"/>
              </w:rPr>
            </w:pPr>
          </w:p>
        </w:tc>
        <w:tc>
          <w:tcPr>
            <w:tcW w:w="2209" w:type="dxa"/>
            <w:vMerge w:val="restart"/>
            <w:vAlign w:val="center"/>
          </w:tcPr>
          <w:p w14:paraId="44CC21CC">
            <w:pPr>
              <w:jc w:val="left"/>
              <w:rPr>
                <w:b/>
                <w:w w:val="90"/>
                <w:szCs w:val="21"/>
                <w:highlight w:val="none"/>
              </w:rPr>
            </w:pPr>
            <w:r>
              <w:rPr>
                <w:rFonts w:hint="eastAsia"/>
                <w:w w:val="90"/>
                <w:szCs w:val="21"/>
                <w:highlight w:val="none"/>
              </w:rPr>
              <w:t>★</w:t>
            </w:r>
            <w:r>
              <w:rPr>
                <w:rFonts w:hint="eastAsia"/>
                <w:b/>
                <w:w w:val="90"/>
                <w:szCs w:val="21"/>
                <w:highlight w:val="none"/>
              </w:rPr>
              <w:t>A02052305空调机组</w:t>
            </w:r>
          </w:p>
        </w:tc>
        <w:tc>
          <w:tcPr>
            <w:tcW w:w="1807" w:type="dxa"/>
            <w:vAlign w:val="center"/>
          </w:tcPr>
          <w:p w14:paraId="663972D6">
            <w:pPr>
              <w:jc w:val="left"/>
              <w:rPr>
                <w:b/>
                <w:w w:val="90"/>
                <w:szCs w:val="21"/>
                <w:highlight w:val="none"/>
              </w:rPr>
            </w:pPr>
            <w:r>
              <w:rPr>
                <w:rFonts w:hint="eastAsia"/>
                <w:b/>
                <w:w w:val="90"/>
                <w:szCs w:val="21"/>
                <w:highlight w:val="none"/>
              </w:rPr>
              <w:t>多联式空调（热泵）机组(制冷量&gt;14000W)</w:t>
            </w:r>
          </w:p>
        </w:tc>
        <w:tc>
          <w:tcPr>
            <w:tcW w:w="3301" w:type="dxa"/>
            <w:vAlign w:val="center"/>
          </w:tcPr>
          <w:p w14:paraId="44F772E1">
            <w:pPr>
              <w:jc w:val="left"/>
              <w:rPr>
                <w:w w:val="90"/>
                <w:szCs w:val="21"/>
                <w:highlight w:val="none"/>
              </w:rPr>
            </w:pPr>
            <w:r>
              <w:rPr>
                <w:rFonts w:hint="eastAsia"/>
                <w:w w:val="90"/>
                <w:szCs w:val="21"/>
                <w:highlight w:val="none"/>
              </w:rPr>
              <w:t>《多联式空调（热泵）机组能效限定值及能源效率等级》（GB 21454）</w:t>
            </w:r>
          </w:p>
        </w:tc>
      </w:tr>
      <w:tr w14:paraId="7EA11E7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46EC7B1C">
            <w:pPr>
              <w:jc w:val="center"/>
              <w:rPr>
                <w:w w:val="90"/>
                <w:szCs w:val="21"/>
                <w:highlight w:val="none"/>
              </w:rPr>
            </w:pPr>
          </w:p>
        </w:tc>
        <w:tc>
          <w:tcPr>
            <w:tcW w:w="1933" w:type="dxa"/>
            <w:vMerge w:val="continue"/>
            <w:vAlign w:val="center"/>
          </w:tcPr>
          <w:p w14:paraId="793BCECA">
            <w:pPr>
              <w:jc w:val="left"/>
              <w:rPr>
                <w:w w:val="90"/>
                <w:szCs w:val="21"/>
                <w:highlight w:val="none"/>
              </w:rPr>
            </w:pPr>
          </w:p>
        </w:tc>
        <w:tc>
          <w:tcPr>
            <w:tcW w:w="2209" w:type="dxa"/>
            <w:vMerge w:val="continue"/>
            <w:vAlign w:val="center"/>
          </w:tcPr>
          <w:p w14:paraId="067911A0">
            <w:pPr>
              <w:jc w:val="left"/>
              <w:rPr>
                <w:b/>
                <w:w w:val="90"/>
                <w:szCs w:val="21"/>
                <w:highlight w:val="none"/>
              </w:rPr>
            </w:pPr>
          </w:p>
        </w:tc>
        <w:tc>
          <w:tcPr>
            <w:tcW w:w="1807" w:type="dxa"/>
            <w:vAlign w:val="center"/>
          </w:tcPr>
          <w:p w14:paraId="6DA5CC83">
            <w:pPr>
              <w:jc w:val="left"/>
              <w:rPr>
                <w:b/>
                <w:w w:val="90"/>
                <w:szCs w:val="21"/>
                <w:highlight w:val="none"/>
              </w:rPr>
            </w:pPr>
            <w:r>
              <w:rPr>
                <w:rFonts w:hint="eastAsia"/>
                <w:b/>
                <w:w w:val="90"/>
                <w:szCs w:val="21"/>
                <w:highlight w:val="none"/>
              </w:rPr>
              <w:t>单元式空气调节机(制冷量&gt;14000W)</w:t>
            </w:r>
          </w:p>
        </w:tc>
        <w:tc>
          <w:tcPr>
            <w:tcW w:w="3301" w:type="dxa"/>
            <w:vAlign w:val="center"/>
          </w:tcPr>
          <w:p w14:paraId="0CA3AFEF">
            <w:pPr>
              <w:jc w:val="left"/>
              <w:rPr>
                <w:w w:val="90"/>
                <w:szCs w:val="21"/>
                <w:highlight w:val="none"/>
              </w:rPr>
            </w:pPr>
            <w:r>
              <w:rPr>
                <w:rFonts w:hint="eastAsia"/>
                <w:w w:val="90"/>
                <w:szCs w:val="21"/>
                <w:highlight w:val="none"/>
              </w:rPr>
              <w:t>《单元式空气调节机能效限定值及能效等级》（GB 19576）《风管送风式空调机组能效限定值及能效等级》（GB 37479）</w:t>
            </w:r>
          </w:p>
        </w:tc>
      </w:tr>
      <w:tr w14:paraId="75147042">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061BAA3C">
            <w:pPr>
              <w:jc w:val="center"/>
              <w:rPr>
                <w:w w:val="90"/>
                <w:szCs w:val="21"/>
                <w:highlight w:val="none"/>
              </w:rPr>
            </w:pPr>
          </w:p>
        </w:tc>
        <w:tc>
          <w:tcPr>
            <w:tcW w:w="1933" w:type="dxa"/>
            <w:vMerge w:val="continue"/>
            <w:vAlign w:val="center"/>
          </w:tcPr>
          <w:p w14:paraId="6E5E66FB">
            <w:pPr>
              <w:jc w:val="left"/>
              <w:rPr>
                <w:w w:val="90"/>
                <w:szCs w:val="21"/>
                <w:highlight w:val="none"/>
              </w:rPr>
            </w:pPr>
          </w:p>
        </w:tc>
        <w:tc>
          <w:tcPr>
            <w:tcW w:w="2209" w:type="dxa"/>
            <w:vAlign w:val="center"/>
          </w:tcPr>
          <w:p w14:paraId="36A1AB50">
            <w:pPr>
              <w:jc w:val="left"/>
              <w:rPr>
                <w:b/>
                <w:w w:val="90"/>
                <w:szCs w:val="21"/>
                <w:highlight w:val="none"/>
              </w:rPr>
            </w:pPr>
            <w:r>
              <w:rPr>
                <w:rFonts w:hint="eastAsia"/>
                <w:w w:val="90"/>
                <w:szCs w:val="21"/>
                <w:highlight w:val="none"/>
              </w:rPr>
              <w:t>★</w:t>
            </w:r>
            <w:r>
              <w:rPr>
                <w:rFonts w:hint="eastAsia"/>
                <w:b/>
                <w:w w:val="90"/>
                <w:szCs w:val="21"/>
                <w:highlight w:val="none"/>
              </w:rPr>
              <w:t>A02052309专用制冷、空调设备</w:t>
            </w:r>
          </w:p>
        </w:tc>
        <w:tc>
          <w:tcPr>
            <w:tcW w:w="1807" w:type="dxa"/>
            <w:vAlign w:val="center"/>
          </w:tcPr>
          <w:p w14:paraId="7335E6EA">
            <w:pPr>
              <w:jc w:val="left"/>
              <w:rPr>
                <w:b/>
                <w:w w:val="90"/>
                <w:szCs w:val="21"/>
                <w:highlight w:val="none"/>
              </w:rPr>
            </w:pPr>
            <w:r>
              <w:rPr>
                <w:rFonts w:hint="eastAsia"/>
                <w:b/>
                <w:w w:val="90"/>
                <w:szCs w:val="21"/>
                <w:highlight w:val="none"/>
              </w:rPr>
              <w:t>机房空调</w:t>
            </w:r>
          </w:p>
        </w:tc>
        <w:tc>
          <w:tcPr>
            <w:tcW w:w="3301" w:type="dxa"/>
            <w:vAlign w:val="center"/>
          </w:tcPr>
          <w:p w14:paraId="75E88A74">
            <w:pPr>
              <w:jc w:val="left"/>
              <w:rPr>
                <w:w w:val="90"/>
                <w:szCs w:val="21"/>
                <w:highlight w:val="none"/>
              </w:rPr>
            </w:pPr>
            <w:r>
              <w:rPr>
                <w:rFonts w:hint="eastAsia"/>
                <w:w w:val="90"/>
                <w:szCs w:val="21"/>
                <w:highlight w:val="none"/>
              </w:rPr>
              <w:t>《单元式空气调节机能效限定值及能效等级》（GB 19576）</w:t>
            </w:r>
          </w:p>
        </w:tc>
      </w:tr>
      <w:tr w14:paraId="43268C7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2C239860">
            <w:pPr>
              <w:jc w:val="center"/>
              <w:rPr>
                <w:w w:val="90"/>
                <w:szCs w:val="21"/>
                <w:highlight w:val="none"/>
              </w:rPr>
            </w:pPr>
          </w:p>
        </w:tc>
        <w:tc>
          <w:tcPr>
            <w:tcW w:w="1933" w:type="dxa"/>
            <w:vMerge w:val="continue"/>
            <w:vAlign w:val="center"/>
          </w:tcPr>
          <w:p w14:paraId="6C997337">
            <w:pPr>
              <w:jc w:val="left"/>
              <w:rPr>
                <w:w w:val="90"/>
                <w:szCs w:val="21"/>
                <w:highlight w:val="none"/>
              </w:rPr>
            </w:pPr>
          </w:p>
        </w:tc>
        <w:tc>
          <w:tcPr>
            <w:tcW w:w="2209" w:type="dxa"/>
            <w:vAlign w:val="center"/>
          </w:tcPr>
          <w:p w14:paraId="55E5E4BD">
            <w:pPr>
              <w:jc w:val="left"/>
              <w:rPr>
                <w:w w:val="90"/>
                <w:szCs w:val="21"/>
                <w:highlight w:val="none"/>
              </w:rPr>
            </w:pPr>
            <w:r>
              <w:rPr>
                <w:rFonts w:hint="eastAsia"/>
                <w:w w:val="90"/>
                <w:szCs w:val="21"/>
                <w:highlight w:val="none"/>
              </w:rPr>
              <w:t>A02052399其他制冷空调设备</w:t>
            </w:r>
          </w:p>
        </w:tc>
        <w:tc>
          <w:tcPr>
            <w:tcW w:w="1807" w:type="dxa"/>
            <w:vAlign w:val="center"/>
          </w:tcPr>
          <w:p w14:paraId="6F8505E4">
            <w:pPr>
              <w:jc w:val="left"/>
              <w:rPr>
                <w:w w:val="90"/>
                <w:szCs w:val="21"/>
                <w:highlight w:val="none"/>
              </w:rPr>
            </w:pPr>
            <w:r>
              <w:rPr>
                <w:rFonts w:hint="eastAsia"/>
                <w:w w:val="90"/>
                <w:szCs w:val="21"/>
                <w:highlight w:val="none"/>
              </w:rPr>
              <w:t>冷却塔</w:t>
            </w:r>
          </w:p>
        </w:tc>
        <w:tc>
          <w:tcPr>
            <w:tcW w:w="3301" w:type="dxa"/>
            <w:vAlign w:val="center"/>
          </w:tcPr>
          <w:p w14:paraId="5D3FF6DC">
            <w:pPr>
              <w:jc w:val="left"/>
              <w:rPr>
                <w:w w:val="90"/>
                <w:szCs w:val="21"/>
                <w:highlight w:val="none"/>
              </w:rPr>
            </w:pPr>
            <w:r>
              <w:rPr>
                <w:rFonts w:hint="eastAsia"/>
                <w:w w:val="90"/>
                <w:szCs w:val="21"/>
                <w:highlight w:val="none"/>
              </w:rPr>
              <w:t>《机械通风冷却塔 第 1 部分：中小型开式冷却塔》（GB/T 7190.1）</w:t>
            </w:r>
          </w:p>
          <w:p w14:paraId="79EE39A6">
            <w:pPr>
              <w:jc w:val="left"/>
              <w:rPr>
                <w:w w:val="90"/>
                <w:szCs w:val="21"/>
                <w:highlight w:val="none"/>
              </w:rPr>
            </w:pPr>
            <w:r>
              <w:rPr>
                <w:rFonts w:hint="eastAsia"/>
                <w:w w:val="90"/>
                <w:szCs w:val="21"/>
                <w:highlight w:val="none"/>
              </w:rPr>
              <w:t>《机械通风冷却塔 第 2 部分：大型开式冷却塔》（GB/T 7190.2）</w:t>
            </w:r>
          </w:p>
        </w:tc>
      </w:tr>
      <w:tr w14:paraId="400B6D8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38E69DB3">
            <w:pPr>
              <w:jc w:val="center"/>
              <w:rPr>
                <w:w w:val="90"/>
                <w:szCs w:val="21"/>
                <w:highlight w:val="none"/>
              </w:rPr>
            </w:pPr>
            <w:r>
              <w:rPr>
                <w:rFonts w:hint="eastAsia"/>
                <w:w w:val="90"/>
                <w:szCs w:val="21"/>
                <w:highlight w:val="none"/>
              </w:rPr>
              <w:t>7</w:t>
            </w:r>
          </w:p>
        </w:tc>
        <w:tc>
          <w:tcPr>
            <w:tcW w:w="1933" w:type="dxa"/>
            <w:vAlign w:val="center"/>
          </w:tcPr>
          <w:p w14:paraId="023C9CEB">
            <w:pPr>
              <w:jc w:val="left"/>
              <w:rPr>
                <w:w w:val="90"/>
                <w:szCs w:val="21"/>
                <w:highlight w:val="none"/>
              </w:rPr>
            </w:pPr>
            <w:r>
              <w:rPr>
                <w:rFonts w:hint="eastAsia"/>
                <w:w w:val="90"/>
                <w:szCs w:val="21"/>
                <w:highlight w:val="none"/>
              </w:rPr>
              <w:t>A020601电机</w:t>
            </w:r>
          </w:p>
        </w:tc>
        <w:tc>
          <w:tcPr>
            <w:tcW w:w="2209" w:type="dxa"/>
            <w:vAlign w:val="center"/>
          </w:tcPr>
          <w:p w14:paraId="6A5CA262">
            <w:pPr>
              <w:jc w:val="left"/>
              <w:rPr>
                <w:w w:val="90"/>
                <w:szCs w:val="21"/>
                <w:highlight w:val="none"/>
              </w:rPr>
            </w:pPr>
          </w:p>
        </w:tc>
        <w:tc>
          <w:tcPr>
            <w:tcW w:w="1807" w:type="dxa"/>
            <w:vAlign w:val="center"/>
          </w:tcPr>
          <w:p w14:paraId="7ECE8096">
            <w:pPr>
              <w:jc w:val="center"/>
              <w:rPr>
                <w:w w:val="90"/>
                <w:szCs w:val="21"/>
                <w:highlight w:val="none"/>
              </w:rPr>
            </w:pPr>
          </w:p>
        </w:tc>
        <w:tc>
          <w:tcPr>
            <w:tcW w:w="3301" w:type="dxa"/>
            <w:vAlign w:val="center"/>
          </w:tcPr>
          <w:p w14:paraId="5327FC6B">
            <w:pPr>
              <w:jc w:val="left"/>
              <w:rPr>
                <w:w w:val="90"/>
                <w:szCs w:val="21"/>
                <w:highlight w:val="none"/>
              </w:rPr>
            </w:pPr>
            <w:r>
              <w:rPr>
                <w:rFonts w:hint="eastAsia"/>
                <w:w w:val="90"/>
                <w:szCs w:val="21"/>
                <w:highlight w:val="none"/>
              </w:rPr>
              <w:t>《中小型三相异步电动机能效限定值及能效等级》（GB 18613）</w:t>
            </w:r>
          </w:p>
        </w:tc>
      </w:tr>
      <w:tr w14:paraId="1226B58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11750FDD">
            <w:pPr>
              <w:jc w:val="center"/>
              <w:rPr>
                <w:w w:val="90"/>
                <w:szCs w:val="21"/>
                <w:highlight w:val="none"/>
              </w:rPr>
            </w:pPr>
            <w:r>
              <w:rPr>
                <w:rFonts w:hint="eastAsia"/>
                <w:w w:val="90"/>
                <w:szCs w:val="21"/>
                <w:highlight w:val="none"/>
              </w:rPr>
              <w:t>8</w:t>
            </w:r>
          </w:p>
        </w:tc>
        <w:tc>
          <w:tcPr>
            <w:tcW w:w="1933" w:type="dxa"/>
            <w:vAlign w:val="center"/>
          </w:tcPr>
          <w:p w14:paraId="52EE3985">
            <w:pPr>
              <w:jc w:val="left"/>
              <w:rPr>
                <w:w w:val="90"/>
                <w:szCs w:val="21"/>
                <w:highlight w:val="none"/>
              </w:rPr>
            </w:pPr>
            <w:r>
              <w:rPr>
                <w:rFonts w:hint="eastAsia"/>
                <w:w w:val="90"/>
                <w:szCs w:val="21"/>
                <w:highlight w:val="none"/>
              </w:rPr>
              <w:t>A020602变压器</w:t>
            </w:r>
          </w:p>
        </w:tc>
        <w:tc>
          <w:tcPr>
            <w:tcW w:w="2209" w:type="dxa"/>
            <w:vAlign w:val="center"/>
          </w:tcPr>
          <w:p w14:paraId="182191EA">
            <w:pPr>
              <w:jc w:val="left"/>
              <w:rPr>
                <w:w w:val="90"/>
                <w:szCs w:val="21"/>
                <w:highlight w:val="none"/>
              </w:rPr>
            </w:pPr>
            <w:r>
              <w:rPr>
                <w:rFonts w:hint="eastAsia"/>
                <w:w w:val="90"/>
                <w:szCs w:val="21"/>
                <w:highlight w:val="none"/>
              </w:rPr>
              <w:t>配电变压器</w:t>
            </w:r>
          </w:p>
        </w:tc>
        <w:tc>
          <w:tcPr>
            <w:tcW w:w="1807" w:type="dxa"/>
            <w:vAlign w:val="center"/>
          </w:tcPr>
          <w:p w14:paraId="5AE77561">
            <w:pPr>
              <w:jc w:val="center"/>
              <w:rPr>
                <w:w w:val="90"/>
                <w:szCs w:val="21"/>
                <w:highlight w:val="none"/>
              </w:rPr>
            </w:pPr>
          </w:p>
        </w:tc>
        <w:tc>
          <w:tcPr>
            <w:tcW w:w="3301" w:type="dxa"/>
            <w:vAlign w:val="center"/>
          </w:tcPr>
          <w:p w14:paraId="7C8EECFE">
            <w:pPr>
              <w:jc w:val="left"/>
              <w:rPr>
                <w:w w:val="90"/>
                <w:szCs w:val="21"/>
                <w:highlight w:val="none"/>
              </w:rPr>
            </w:pPr>
            <w:r>
              <w:rPr>
                <w:rFonts w:hint="eastAsia"/>
                <w:w w:val="90"/>
                <w:szCs w:val="21"/>
                <w:highlight w:val="none"/>
              </w:rPr>
              <w:t>《三相配电变压器能效限定值及能效等级》（GB 20052）</w:t>
            </w:r>
          </w:p>
        </w:tc>
      </w:tr>
      <w:tr w14:paraId="14BAB3C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720F9DA3">
            <w:pPr>
              <w:jc w:val="center"/>
              <w:rPr>
                <w:w w:val="90"/>
                <w:szCs w:val="21"/>
                <w:highlight w:val="none"/>
              </w:rPr>
            </w:pPr>
            <w:r>
              <w:rPr>
                <w:rFonts w:hint="eastAsia"/>
                <w:w w:val="90"/>
                <w:szCs w:val="21"/>
                <w:highlight w:val="none"/>
              </w:rPr>
              <w:t>9</w:t>
            </w:r>
          </w:p>
        </w:tc>
        <w:tc>
          <w:tcPr>
            <w:tcW w:w="1933" w:type="dxa"/>
            <w:vAlign w:val="center"/>
          </w:tcPr>
          <w:p w14:paraId="5C1F77FD">
            <w:pPr>
              <w:jc w:val="left"/>
              <w:rPr>
                <w:b/>
                <w:w w:val="90"/>
                <w:szCs w:val="21"/>
                <w:highlight w:val="none"/>
              </w:rPr>
            </w:pPr>
            <w:r>
              <w:rPr>
                <w:rFonts w:hint="eastAsia"/>
                <w:w w:val="90"/>
                <w:szCs w:val="21"/>
                <w:highlight w:val="none"/>
              </w:rPr>
              <w:t>★</w:t>
            </w:r>
            <w:r>
              <w:rPr>
                <w:rFonts w:hint="eastAsia"/>
                <w:b/>
                <w:w w:val="90"/>
                <w:szCs w:val="21"/>
                <w:highlight w:val="none"/>
              </w:rPr>
              <w:t>A020609镇流器</w:t>
            </w:r>
          </w:p>
        </w:tc>
        <w:tc>
          <w:tcPr>
            <w:tcW w:w="2209" w:type="dxa"/>
            <w:vAlign w:val="center"/>
          </w:tcPr>
          <w:p w14:paraId="3E4B15D4">
            <w:pPr>
              <w:jc w:val="left"/>
              <w:rPr>
                <w:b/>
                <w:w w:val="90"/>
                <w:szCs w:val="21"/>
                <w:highlight w:val="none"/>
              </w:rPr>
            </w:pPr>
            <w:r>
              <w:rPr>
                <w:rFonts w:hint="eastAsia"/>
                <w:b/>
                <w:w w:val="90"/>
                <w:szCs w:val="21"/>
                <w:highlight w:val="none"/>
              </w:rPr>
              <w:t>管型荧光灯镇流器</w:t>
            </w:r>
          </w:p>
        </w:tc>
        <w:tc>
          <w:tcPr>
            <w:tcW w:w="1807" w:type="dxa"/>
            <w:vAlign w:val="center"/>
          </w:tcPr>
          <w:p w14:paraId="61913596">
            <w:pPr>
              <w:jc w:val="center"/>
              <w:rPr>
                <w:w w:val="90"/>
                <w:szCs w:val="21"/>
                <w:highlight w:val="none"/>
              </w:rPr>
            </w:pPr>
          </w:p>
        </w:tc>
        <w:tc>
          <w:tcPr>
            <w:tcW w:w="3301" w:type="dxa"/>
            <w:vAlign w:val="center"/>
          </w:tcPr>
          <w:p w14:paraId="1AC1B7F3">
            <w:pPr>
              <w:jc w:val="left"/>
              <w:rPr>
                <w:w w:val="90"/>
                <w:szCs w:val="21"/>
                <w:highlight w:val="none"/>
              </w:rPr>
            </w:pPr>
            <w:r>
              <w:rPr>
                <w:rFonts w:hint="eastAsia"/>
                <w:w w:val="90"/>
                <w:szCs w:val="21"/>
                <w:highlight w:val="none"/>
              </w:rPr>
              <w:t>《管形荧光灯镇流器能效限定值及能效等级》（GB 17896）</w:t>
            </w:r>
          </w:p>
        </w:tc>
      </w:tr>
      <w:tr w14:paraId="06B0BAD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vAlign w:val="center"/>
          </w:tcPr>
          <w:p w14:paraId="5990A719">
            <w:pPr>
              <w:jc w:val="center"/>
              <w:rPr>
                <w:w w:val="90"/>
                <w:szCs w:val="21"/>
                <w:highlight w:val="none"/>
              </w:rPr>
            </w:pPr>
            <w:r>
              <w:rPr>
                <w:rFonts w:hint="eastAsia"/>
                <w:w w:val="90"/>
                <w:szCs w:val="21"/>
                <w:highlight w:val="none"/>
              </w:rPr>
              <w:t>10</w:t>
            </w:r>
          </w:p>
        </w:tc>
        <w:tc>
          <w:tcPr>
            <w:tcW w:w="1933" w:type="dxa"/>
            <w:vMerge w:val="restart"/>
            <w:vAlign w:val="center"/>
          </w:tcPr>
          <w:p w14:paraId="1D674BF1">
            <w:pPr>
              <w:jc w:val="left"/>
              <w:rPr>
                <w:w w:val="90"/>
                <w:szCs w:val="21"/>
                <w:highlight w:val="none"/>
              </w:rPr>
            </w:pPr>
            <w:r>
              <w:rPr>
                <w:rFonts w:hint="eastAsia"/>
                <w:w w:val="90"/>
                <w:szCs w:val="21"/>
                <w:highlight w:val="none"/>
              </w:rPr>
              <w:t>A020618 生活用电器</w:t>
            </w:r>
          </w:p>
        </w:tc>
        <w:tc>
          <w:tcPr>
            <w:tcW w:w="2209" w:type="dxa"/>
            <w:vAlign w:val="center"/>
          </w:tcPr>
          <w:p w14:paraId="1ED91892">
            <w:pPr>
              <w:jc w:val="left"/>
              <w:rPr>
                <w:w w:val="90"/>
                <w:szCs w:val="21"/>
                <w:highlight w:val="none"/>
              </w:rPr>
            </w:pPr>
            <w:r>
              <w:rPr>
                <w:rFonts w:hint="eastAsia"/>
                <w:w w:val="90"/>
                <w:szCs w:val="21"/>
                <w:highlight w:val="none"/>
              </w:rPr>
              <w:t>A0206180101电冰箱</w:t>
            </w:r>
          </w:p>
        </w:tc>
        <w:tc>
          <w:tcPr>
            <w:tcW w:w="1807" w:type="dxa"/>
            <w:vAlign w:val="center"/>
          </w:tcPr>
          <w:p w14:paraId="09905F7A">
            <w:pPr>
              <w:jc w:val="center"/>
              <w:rPr>
                <w:w w:val="90"/>
                <w:szCs w:val="21"/>
                <w:highlight w:val="none"/>
              </w:rPr>
            </w:pPr>
          </w:p>
        </w:tc>
        <w:tc>
          <w:tcPr>
            <w:tcW w:w="3301" w:type="dxa"/>
            <w:vAlign w:val="center"/>
          </w:tcPr>
          <w:p w14:paraId="02AB74E9">
            <w:pPr>
              <w:jc w:val="left"/>
              <w:rPr>
                <w:w w:val="90"/>
                <w:szCs w:val="21"/>
                <w:highlight w:val="none"/>
              </w:rPr>
            </w:pPr>
            <w:r>
              <w:rPr>
                <w:rFonts w:hint="eastAsia"/>
                <w:w w:val="90"/>
                <w:szCs w:val="21"/>
                <w:highlight w:val="none"/>
              </w:rPr>
              <w:t>《家用电冰箱耗电量限定值及能效等级》（GB</w:t>
            </w:r>
            <w:r>
              <w:rPr>
                <w:rFonts w:hint="eastAsia"/>
                <w:w w:val="90"/>
                <w:szCs w:val="21"/>
                <w:highlight w:val="none"/>
              </w:rPr>
              <w:tab/>
            </w:r>
            <w:r>
              <w:rPr>
                <w:rFonts w:hint="eastAsia"/>
                <w:w w:val="90"/>
                <w:szCs w:val="21"/>
                <w:highlight w:val="none"/>
              </w:rPr>
              <w:t>12021.2）</w:t>
            </w:r>
          </w:p>
        </w:tc>
      </w:tr>
      <w:tr w14:paraId="7CDEEB92">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44FD1D7B">
            <w:pPr>
              <w:jc w:val="center"/>
              <w:rPr>
                <w:w w:val="90"/>
                <w:szCs w:val="21"/>
                <w:highlight w:val="none"/>
              </w:rPr>
            </w:pPr>
          </w:p>
        </w:tc>
        <w:tc>
          <w:tcPr>
            <w:tcW w:w="1933" w:type="dxa"/>
            <w:vMerge w:val="continue"/>
            <w:vAlign w:val="center"/>
          </w:tcPr>
          <w:p w14:paraId="3D60D1D0">
            <w:pPr>
              <w:jc w:val="left"/>
              <w:rPr>
                <w:w w:val="90"/>
                <w:szCs w:val="21"/>
                <w:highlight w:val="none"/>
              </w:rPr>
            </w:pPr>
          </w:p>
        </w:tc>
        <w:tc>
          <w:tcPr>
            <w:tcW w:w="2209" w:type="dxa"/>
            <w:vMerge w:val="restart"/>
            <w:vAlign w:val="center"/>
          </w:tcPr>
          <w:p w14:paraId="465DF6D2">
            <w:pPr>
              <w:jc w:val="left"/>
              <w:rPr>
                <w:b/>
                <w:w w:val="90"/>
                <w:szCs w:val="21"/>
                <w:highlight w:val="none"/>
              </w:rPr>
            </w:pPr>
            <w:r>
              <w:rPr>
                <w:rFonts w:hint="eastAsia"/>
                <w:w w:val="90"/>
                <w:szCs w:val="21"/>
                <w:highlight w:val="none"/>
              </w:rPr>
              <w:t>★</w:t>
            </w:r>
            <w:r>
              <w:rPr>
                <w:rFonts w:hint="eastAsia"/>
                <w:b/>
                <w:w w:val="90"/>
                <w:szCs w:val="21"/>
                <w:highlight w:val="none"/>
              </w:rPr>
              <w:t>A0206180203空调机</w:t>
            </w:r>
          </w:p>
        </w:tc>
        <w:tc>
          <w:tcPr>
            <w:tcW w:w="1807" w:type="dxa"/>
            <w:vAlign w:val="center"/>
          </w:tcPr>
          <w:p w14:paraId="1DD2C376">
            <w:pPr>
              <w:jc w:val="left"/>
              <w:rPr>
                <w:b/>
                <w:w w:val="90"/>
                <w:szCs w:val="21"/>
                <w:highlight w:val="none"/>
              </w:rPr>
            </w:pPr>
            <w:r>
              <w:rPr>
                <w:rFonts w:hint="eastAsia"/>
                <w:b/>
                <w:w w:val="90"/>
                <w:szCs w:val="21"/>
                <w:highlight w:val="none"/>
              </w:rPr>
              <w:t>房间空气调节器</w:t>
            </w:r>
          </w:p>
        </w:tc>
        <w:tc>
          <w:tcPr>
            <w:tcW w:w="3301" w:type="dxa"/>
            <w:vAlign w:val="center"/>
          </w:tcPr>
          <w:p w14:paraId="39A1524B">
            <w:pPr>
              <w:jc w:val="left"/>
              <w:rPr>
                <w:w w:val="90"/>
                <w:szCs w:val="21"/>
                <w:highlight w:val="none"/>
              </w:rPr>
            </w:pPr>
            <w:r>
              <w:rPr>
                <w:rFonts w:hint="eastAsia"/>
                <w:w w:val="90"/>
                <w:szCs w:val="21"/>
                <w:highlight w:val="none"/>
              </w:rPr>
              <w:t>《转速可控型房间空气调节器能效限定值及能效等级》（GB 21455-2013），待2019年修订发布后，按《房间空气调节器能效限定值及能效等级》（GB21455-2019）实施。</w:t>
            </w:r>
          </w:p>
        </w:tc>
      </w:tr>
      <w:tr w14:paraId="4981A7C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0F004890">
            <w:pPr>
              <w:jc w:val="center"/>
              <w:rPr>
                <w:w w:val="90"/>
                <w:szCs w:val="21"/>
                <w:highlight w:val="none"/>
              </w:rPr>
            </w:pPr>
          </w:p>
        </w:tc>
        <w:tc>
          <w:tcPr>
            <w:tcW w:w="1933" w:type="dxa"/>
            <w:vMerge w:val="continue"/>
            <w:vAlign w:val="center"/>
          </w:tcPr>
          <w:p w14:paraId="18EC6DFE">
            <w:pPr>
              <w:jc w:val="left"/>
              <w:rPr>
                <w:w w:val="90"/>
                <w:szCs w:val="21"/>
                <w:highlight w:val="none"/>
              </w:rPr>
            </w:pPr>
          </w:p>
        </w:tc>
        <w:tc>
          <w:tcPr>
            <w:tcW w:w="2209" w:type="dxa"/>
            <w:vMerge w:val="continue"/>
            <w:vAlign w:val="center"/>
          </w:tcPr>
          <w:p w14:paraId="41446D29">
            <w:pPr>
              <w:jc w:val="left"/>
              <w:rPr>
                <w:b/>
                <w:w w:val="90"/>
                <w:szCs w:val="21"/>
                <w:highlight w:val="none"/>
              </w:rPr>
            </w:pPr>
          </w:p>
        </w:tc>
        <w:tc>
          <w:tcPr>
            <w:tcW w:w="1807" w:type="dxa"/>
            <w:vAlign w:val="center"/>
          </w:tcPr>
          <w:p w14:paraId="791C8719">
            <w:pPr>
              <w:jc w:val="left"/>
              <w:rPr>
                <w:b/>
                <w:w w:val="90"/>
                <w:szCs w:val="21"/>
                <w:highlight w:val="none"/>
              </w:rPr>
            </w:pPr>
            <w:r>
              <w:rPr>
                <w:rFonts w:hint="eastAsia"/>
                <w:b/>
                <w:w w:val="90"/>
                <w:szCs w:val="21"/>
                <w:highlight w:val="none"/>
              </w:rPr>
              <w:t>多联式空调（热泵）机组（制冷量≤ 14000W）</w:t>
            </w:r>
          </w:p>
        </w:tc>
        <w:tc>
          <w:tcPr>
            <w:tcW w:w="3301" w:type="dxa"/>
            <w:vAlign w:val="center"/>
          </w:tcPr>
          <w:p w14:paraId="5677B5AE">
            <w:pPr>
              <w:jc w:val="left"/>
              <w:rPr>
                <w:w w:val="90"/>
                <w:szCs w:val="21"/>
                <w:highlight w:val="none"/>
              </w:rPr>
            </w:pPr>
            <w:r>
              <w:rPr>
                <w:rFonts w:hint="eastAsia"/>
                <w:w w:val="90"/>
                <w:szCs w:val="21"/>
                <w:highlight w:val="none"/>
              </w:rPr>
              <w:t>《多联式空调（热泵）机组能效限定值及能源效率等级》（GB 21454）</w:t>
            </w:r>
          </w:p>
        </w:tc>
      </w:tr>
      <w:tr w14:paraId="1CD98A8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0E0D8543">
            <w:pPr>
              <w:jc w:val="center"/>
              <w:rPr>
                <w:w w:val="90"/>
                <w:szCs w:val="21"/>
                <w:highlight w:val="none"/>
              </w:rPr>
            </w:pPr>
          </w:p>
        </w:tc>
        <w:tc>
          <w:tcPr>
            <w:tcW w:w="1933" w:type="dxa"/>
            <w:vMerge w:val="continue"/>
            <w:vAlign w:val="center"/>
          </w:tcPr>
          <w:p w14:paraId="37BE0F44">
            <w:pPr>
              <w:jc w:val="left"/>
              <w:rPr>
                <w:w w:val="90"/>
                <w:szCs w:val="21"/>
                <w:highlight w:val="none"/>
              </w:rPr>
            </w:pPr>
          </w:p>
        </w:tc>
        <w:tc>
          <w:tcPr>
            <w:tcW w:w="2209" w:type="dxa"/>
            <w:vMerge w:val="continue"/>
            <w:vAlign w:val="center"/>
          </w:tcPr>
          <w:p w14:paraId="115C78D3">
            <w:pPr>
              <w:jc w:val="left"/>
              <w:rPr>
                <w:b/>
                <w:w w:val="90"/>
                <w:szCs w:val="21"/>
                <w:highlight w:val="none"/>
              </w:rPr>
            </w:pPr>
          </w:p>
        </w:tc>
        <w:tc>
          <w:tcPr>
            <w:tcW w:w="1807" w:type="dxa"/>
            <w:vAlign w:val="center"/>
          </w:tcPr>
          <w:p w14:paraId="2393F751">
            <w:pPr>
              <w:jc w:val="left"/>
              <w:rPr>
                <w:b/>
                <w:w w:val="90"/>
                <w:szCs w:val="21"/>
                <w:highlight w:val="none"/>
              </w:rPr>
            </w:pPr>
            <w:r>
              <w:rPr>
                <w:rFonts w:hint="eastAsia"/>
                <w:b/>
                <w:w w:val="90"/>
                <w:szCs w:val="21"/>
                <w:highlight w:val="none"/>
              </w:rPr>
              <w:t>单元式空气调节机(制冷量≤14000W)</w:t>
            </w:r>
          </w:p>
        </w:tc>
        <w:tc>
          <w:tcPr>
            <w:tcW w:w="3301" w:type="dxa"/>
            <w:vAlign w:val="center"/>
          </w:tcPr>
          <w:p w14:paraId="7E83AEE5">
            <w:pPr>
              <w:jc w:val="left"/>
              <w:rPr>
                <w:w w:val="90"/>
                <w:szCs w:val="21"/>
                <w:highlight w:val="none"/>
              </w:rPr>
            </w:pPr>
            <w:r>
              <w:rPr>
                <w:rFonts w:hint="eastAsia"/>
                <w:w w:val="90"/>
                <w:szCs w:val="21"/>
                <w:highlight w:val="none"/>
              </w:rPr>
              <w:t>《单元式空气调节机能效限定值及能源效率等级》（GB 19576）《风管送风式空调机组能效限定值及能效等级》（GB 37479）</w:t>
            </w:r>
          </w:p>
        </w:tc>
      </w:tr>
      <w:tr w14:paraId="085A1A82">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60A4BA01">
            <w:pPr>
              <w:jc w:val="center"/>
              <w:rPr>
                <w:w w:val="90"/>
                <w:szCs w:val="21"/>
                <w:highlight w:val="none"/>
              </w:rPr>
            </w:pPr>
          </w:p>
        </w:tc>
        <w:tc>
          <w:tcPr>
            <w:tcW w:w="1933" w:type="dxa"/>
            <w:vMerge w:val="continue"/>
            <w:vAlign w:val="center"/>
          </w:tcPr>
          <w:p w14:paraId="2A80AB74">
            <w:pPr>
              <w:jc w:val="left"/>
              <w:rPr>
                <w:w w:val="90"/>
                <w:szCs w:val="21"/>
                <w:highlight w:val="none"/>
              </w:rPr>
            </w:pPr>
          </w:p>
        </w:tc>
        <w:tc>
          <w:tcPr>
            <w:tcW w:w="2209" w:type="dxa"/>
            <w:vAlign w:val="center"/>
          </w:tcPr>
          <w:p w14:paraId="253E5AFB">
            <w:pPr>
              <w:jc w:val="left"/>
              <w:rPr>
                <w:w w:val="90"/>
                <w:szCs w:val="21"/>
                <w:highlight w:val="none"/>
              </w:rPr>
            </w:pPr>
            <w:r>
              <w:rPr>
                <w:rFonts w:hint="eastAsia"/>
                <w:w w:val="90"/>
                <w:szCs w:val="21"/>
                <w:highlight w:val="none"/>
              </w:rPr>
              <w:t>A0206180301洗衣机</w:t>
            </w:r>
          </w:p>
        </w:tc>
        <w:tc>
          <w:tcPr>
            <w:tcW w:w="1807" w:type="dxa"/>
            <w:vAlign w:val="center"/>
          </w:tcPr>
          <w:p w14:paraId="643520DB">
            <w:pPr>
              <w:jc w:val="left"/>
              <w:rPr>
                <w:w w:val="90"/>
                <w:szCs w:val="21"/>
                <w:highlight w:val="none"/>
              </w:rPr>
            </w:pPr>
          </w:p>
        </w:tc>
        <w:tc>
          <w:tcPr>
            <w:tcW w:w="3301" w:type="dxa"/>
            <w:vAlign w:val="center"/>
          </w:tcPr>
          <w:p w14:paraId="653A4AF2">
            <w:pPr>
              <w:jc w:val="left"/>
              <w:rPr>
                <w:w w:val="90"/>
                <w:szCs w:val="21"/>
                <w:highlight w:val="none"/>
              </w:rPr>
            </w:pPr>
            <w:r>
              <w:rPr>
                <w:rFonts w:hint="eastAsia"/>
                <w:w w:val="90"/>
                <w:szCs w:val="21"/>
                <w:highlight w:val="none"/>
              </w:rPr>
              <w:t>《电动洗衣机能效水效限定值及等级》（GB 12021.4）</w:t>
            </w:r>
          </w:p>
        </w:tc>
      </w:tr>
      <w:tr w14:paraId="6B9EC93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03B7929F">
            <w:pPr>
              <w:jc w:val="center"/>
              <w:rPr>
                <w:w w:val="90"/>
                <w:szCs w:val="21"/>
                <w:highlight w:val="none"/>
              </w:rPr>
            </w:pPr>
          </w:p>
        </w:tc>
        <w:tc>
          <w:tcPr>
            <w:tcW w:w="1933" w:type="dxa"/>
            <w:vMerge w:val="continue"/>
            <w:vAlign w:val="center"/>
          </w:tcPr>
          <w:p w14:paraId="34808360">
            <w:pPr>
              <w:jc w:val="left"/>
              <w:rPr>
                <w:w w:val="90"/>
                <w:szCs w:val="21"/>
                <w:highlight w:val="none"/>
              </w:rPr>
            </w:pPr>
          </w:p>
        </w:tc>
        <w:tc>
          <w:tcPr>
            <w:tcW w:w="2209" w:type="dxa"/>
            <w:vMerge w:val="restart"/>
            <w:vAlign w:val="center"/>
          </w:tcPr>
          <w:p w14:paraId="413CDAC2">
            <w:pPr>
              <w:jc w:val="left"/>
              <w:rPr>
                <w:w w:val="90"/>
                <w:szCs w:val="21"/>
                <w:highlight w:val="none"/>
              </w:rPr>
            </w:pPr>
            <w:r>
              <w:rPr>
                <w:rFonts w:hint="eastAsia"/>
                <w:w w:val="90"/>
                <w:szCs w:val="21"/>
                <w:highlight w:val="none"/>
              </w:rPr>
              <w:t>A02061808热水器</w:t>
            </w:r>
          </w:p>
        </w:tc>
        <w:tc>
          <w:tcPr>
            <w:tcW w:w="1807" w:type="dxa"/>
            <w:vAlign w:val="center"/>
          </w:tcPr>
          <w:p w14:paraId="56A118FF">
            <w:pPr>
              <w:jc w:val="left"/>
              <w:rPr>
                <w:w w:val="90"/>
                <w:szCs w:val="21"/>
                <w:highlight w:val="none"/>
              </w:rPr>
            </w:pPr>
            <w:r>
              <w:rPr>
                <w:rFonts w:hint="eastAsia"/>
                <w:w w:val="90"/>
                <w:szCs w:val="21"/>
                <w:highlight w:val="none"/>
              </w:rPr>
              <w:t>★</w:t>
            </w:r>
            <w:r>
              <w:rPr>
                <w:rFonts w:hint="eastAsia"/>
                <w:b/>
                <w:w w:val="90"/>
                <w:szCs w:val="21"/>
                <w:highlight w:val="none"/>
              </w:rPr>
              <w:t>电热水器</w:t>
            </w:r>
          </w:p>
        </w:tc>
        <w:tc>
          <w:tcPr>
            <w:tcW w:w="3301" w:type="dxa"/>
            <w:vAlign w:val="center"/>
          </w:tcPr>
          <w:p w14:paraId="7D48C447">
            <w:pPr>
              <w:jc w:val="left"/>
              <w:rPr>
                <w:w w:val="90"/>
                <w:szCs w:val="21"/>
                <w:highlight w:val="none"/>
              </w:rPr>
            </w:pPr>
            <w:r>
              <w:rPr>
                <w:rFonts w:hint="eastAsia"/>
                <w:w w:val="90"/>
                <w:szCs w:val="21"/>
                <w:highlight w:val="none"/>
              </w:rPr>
              <w:t>《储水式电热水器能效限定值及能效等级》（GB 21519）</w:t>
            </w:r>
          </w:p>
        </w:tc>
      </w:tr>
      <w:tr w14:paraId="09C5CEE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459ADCF0">
            <w:pPr>
              <w:jc w:val="center"/>
              <w:rPr>
                <w:w w:val="90"/>
                <w:szCs w:val="21"/>
                <w:highlight w:val="none"/>
              </w:rPr>
            </w:pPr>
          </w:p>
        </w:tc>
        <w:tc>
          <w:tcPr>
            <w:tcW w:w="1933" w:type="dxa"/>
            <w:vMerge w:val="continue"/>
            <w:vAlign w:val="center"/>
          </w:tcPr>
          <w:p w14:paraId="611AAA71">
            <w:pPr>
              <w:jc w:val="left"/>
              <w:rPr>
                <w:w w:val="90"/>
                <w:szCs w:val="21"/>
                <w:highlight w:val="none"/>
              </w:rPr>
            </w:pPr>
          </w:p>
        </w:tc>
        <w:tc>
          <w:tcPr>
            <w:tcW w:w="2209" w:type="dxa"/>
            <w:vMerge w:val="continue"/>
            <w:vAlign w:val="center"/>
          </w:tcPr>
          <w:p w14:paraId="5709A749">
            <w:pPr>
              <w:jc w:val="left"/>
              <w:rPr>
                <w:w w:val="90"/>
                <w:szCs w:val="21"/>
                <w:highlight w:val="none"/>
              </w:rPr>
            </w:pPr>
          </w:p>
        </w:tc>
        <w:tc>
          <w:tcPr>
            <w:tcW w:w="1807" w:type="dxa"/>
            <w:vAlign w:val="center"/>
          </w:tcPr>
          <w:p w14:paraId="28638D7D">
            <w:pPr>
              <w:jc w:val="left"/>
              <w:rPr>
                <w:w w:val="90"/>
                <w:szCs w:val="21"/>
                <w:highlight w:val="none"/>
              </w:rPr>
            </w:pPr>
            <w:r>
              <w:rPr>
                <w:rFonts w:hint="eastAsia"/>
                <w:w w:val="90"/>
                <w:szCs w:val="21"/>
                <w:highlight w:val="none"/>
              </w:rPr>
              <w:t>燃气热水器</w:t>
            </w:r>
          </w:p>
        </w:tc>
        <w:tc>
          <w:tcPr>
            <w:tcW w:w="3301" w:type="dxa"/>
            <w:vAlign w:val="center"/>
          </w:tcPr>
          <w:p w14:paraId="0E37B274">
            <w:pPr>
              <w:jc w:val="left"/>
              <w:rPr>
                <w:w w:val="90"/>
                <w:szCs w:val="21"/>
                <w:highlight w:val="none"/>
              </w:rPr>
            </w:pPr>
            <w:r>
              <w:rPr>
                <w:rFonts w:hint="eastAsia"/>
                <w:w w:val="90"/>
                <w:szCs w:val="21"/>
                <w:highlight w:val="none"/>
              </w:rPr>
              <w:t>《家用燃气快速热水器和燃气采暖热水炉能效限定值及能效等级（GB 20665）</w:t>
            </w:r>
          </w:p>
        </w:tc>
      </w:tr>
      <w:tr w14:paraId="55751E0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049F47B1">
            <w:pPr>
              <w:jc w:val="center"/>
              <w:rPr>
                <w:w w:val="90"/>
                <w:szCs w:val="21"/>
                <w:highlight w:val="none"/>
              </w:rPr>
            </w:pPr>
          </w:p>
        </w:tc>
        <w:tc>
          <w:tcPr>
            <w:tcW w:w="1933" w:type="dxa"/>
            <w:vMerge w:val="continue"/>
            <w:vAlign w:val="center"/>
          </w:tcPr>
          <w:p w14:paraId="6D8E079F">
            <w:pPr>
              <w:jc w:val="left"/>
              <w:rPr>
                <w:w w:val="90"/>
                <w:szCs w:val="21"/>
                <w:highlight w:val="none"/>
              </w:rPr>
            </w:pPr>
          </w:p>
        </w:tc>
        <w:tc>
          <w:tcPr>
            <w:tcW w:w="2209" w:type="dxa"/>
            <w:vMerge w:val="continue"/>
            <w:vAlign w:val="center"/>
          </w:tcPr>
          <w:p w14:paraId="7CC7530C">
            <w:pPr>
              <w:jc w:val="left"/>
              <w:rPr>
                <w:w w:val="90"/>
                <w:szCs w:val="21"/>
                <w:highlight w:val="none"/>
              </w:rPr>
            </w:pPr>
          </w:p>
        </w:tc>
        <w:tc>
          <w:tcPr>
            <w:tcW w:w="1807" w:type="dxa"/>
            <w:vAlign w:val="center"/>
          </w:tcPr>
          <w:p w14:paraId="05C9EFF8">
            <w:pPr>
              <w:jc w:val="left"/>
              <w:rPr>
                <w:w w:val="90"/>
                <w:szCs w:val="21"/>
                <w:highlight w:val="none"/>
              </w:rPr>
            </w:pPr>
            <w:r>
              <w:rPr>
                <w:rFonts w:hint="eastAsia"/>
                <w:w w:val="90"/>
                <w:szCs w:val="21"/>
                <w:highlight w:val="none"/>
              </w:rPr>
              <w:t>热泵热水器</w:t>
            </w:r>
          </w:p>
        </w:tc>
        <w:tc>
          <w:tcPr>
            <w:tcW w:w="3301" w:type="dxa"/>
            <w:vAlign w:val="center"/>
          </w:tcPr>
          <w:p w14:paraId="2F07B345">
            <w:pPr>
              <w:jc w:val="left"/>
              <w:rPr>
                <w:w w:val="90"/>
                <w:szCs w:val="21"/>
                <w:highlight w:val="none"/>
              </w:rPr>
            </w:pPr>
            <w:r>
              <w:rPr>
                <w:rFonts w:hint="eastAsia"/>
                <w:w w:val="90"/>
                <w:szCs w:val="21"/>
                <w:highlight w:val="none"/>
              </w:rPr>
              <w:t>《热泵热水机（器）能效限定值及能效等级》（GB 29541）</w:t>
            </w:r>
          </w:p>
        </w:tc>
      </w:tr>
      <w:tr w14:paraId="4E43089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090EDD93">
            <w:pPr>
              <w:jc w:val="center"/>
              <w:rPr>
                <w:w w:val="90"/>
                <w:szCs w:val="21"/>
                <w:highlight w:val="none"/>
              </w:rPr>
            </w:pPr>
          </w:p>
        </w:tc>
        <w:tc>
          <w:tcPr>
            <w:tcW w:w="1933" w:type="dxa"/>
            <w:vMerge w:val="continue"/>
            <w:vAlign w:val="center"/>
          </w:tcPr>
          <w:p w14:paraId="1A5705C1">
            <w:pPr>
              <w:jc w:val="left"/>
              <w:rPr>
                <w:w w:val="90"/>
                <w:szCs w:val="21"/>
                <w:highlight w:val="none"/>
              </w:rPr>
            </w:pPr>
          </w:p>
        </w:tc>
        <w:tc>
          <w:tcPr>
            <w:tcW w:w="2209" w:type="dxa"/>
            <w:vMerge w:val="continue"/>
            <w:vAlign w:val="center"/>
          </w:tcPr>
          <w:p w14:paraId="17847D2E">
            <w:pPr>
              <w:jc w:val="left"/>
              <w:rPr>
                <w:w w:val="90"/>
                <w:szCs w:val="21"/>
                <w:highlight w:val="none"/>
              </w:rPr>
            </w:pPr>
          </w:p>
        </w:tc>
        <w:tc>
          <w:tcPr>
            <w:tcW w:w="1807" w:type="dxa"/>
            <w:vAlign w:val="center"/>
          </w:tcPr>
          <w:p w14:paraId="50C30CCD">
            <w:pPr>
              <w:jc w:val="left"/>
              <w:rPr>
                <w:w w:val="90"/>
                <w:szCs w:val="21"/>
                <w:highlight w:val="none"/>
              </w:rPr>
            </w:pPr>
            <w:r>
              <w:rPr>
                <w:rFonts w:hint="eastAsia"/>
                <w:w w:val="90"/>
                <w:szCs w:val="21"/>
                <w:highlight w:val="none"/>
              </w:rPr>
              <w:t>太阳能热水系统</w:t>
            </w:r>
          </w:p>
        </w:tc>
        <w:tc>
          <w:tcPr>
            <w:tcW w:w="3301" w:type="dxa"/>
            <w:vAlign w:val="center"/>
          </w:tcPr>
          <w:p w14:paraId="65CEEC10">
            <w:pPr>
              <w:jc w:val="left"/>
              <w:rPr>
                <w:w w:val="90"/>
                <w:szCs w:val="21"/>
                <w:highlight w:val="none"/>
              </w:rPr>
            </w:pPr>
            <w:r>
              <w:rPr>
                <w:rFonts w:hint="eastAsia"/>
                <w:w w:val="90"/>
                <w:szCs w:val="21"/>
                <w:highlight w:val="none"/>
              </w:rPr>
              <w:t>《家用太阳能热水系统能效限定值及能效等级》（GB 26969）</w:t>
            </w:r>
          </w:p>
        </w:tc>
      </w:tr>
      <w:tr w14:paraId="4236C6A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vAlign w:val="center"/>
          </w:tcPr>
          <w:p w14:paraId="7CAE50F7">
            <w:pPr>
              <w:jc w:val="center"/>
              <w:rPr>
                <w:w w:val="90"/>
                <w:szCs w:val="21"/>
                <w:highlight w:val="none"/>
              </w:rPr>
            </w:pPr>
            <w:r>
              <w:rPr>
                <w:rFonts w:hint="eastAsia"/>
                <w:w w:val="90"/>
                <w:szCs w:val="21"/>
                <w:highlight w:val="none"/>
              </w:rPr>
              <w:t>11</w:t>
            </w:r>
          </w:p>
        </w:tc>
        <w:tc>
          <w:tcPr>
            <w:tcW w:w="1933" w:type="dxa"/>
            <w:vMerge w:val="restart"/>
            <w:vAlign w:val="center"/>
          </w:tcPr>
          <w:p w14:paraId="4664FD14">
            <w:pPr>
              <w:jc w:val="left"/>
              <w:rPr>
                <w:w w:val="90"/>
                <w:szCs w:val="21"/>
                <w:highlight w:val="none"/>
              </w:rPr>
            </w:pPr>
            <w:r>
              <w:rPr>
                <w:rFonts w:hint="eastAsia"/>
                <w:w w:val="90"/>
                <w:szCs w:val="21"/>
                <w:highlight w:val="none"/>
              </w:rPr>
              <w:t>A020619 照明设备</w:t>
            </w:r>
          </w:p>
        </w:tc>
        <w:tc>
          <w:tcPr>
            <w:tcW w:w="2209" w:type="dxa"/>
            <w:vAlign w:val="center"/>
          </w:tcPr>
          <w:p w14:paraId="2B4DD118">
            <w:pPr>
              <w:jc w:val="left"/>
              <w:rPr>
                <w:b/>
                <w:w w:val="90"/>
                <w:szCs w:val="21"/>
                <w:highlight w:val="none"/>
              </w:rPr>
            </w:pPr>
            <w:r>
              <w:rPr>
                <w:rFonts w:hint="eastAsia"/>
                <w:w w:val="90"/>
                <w:szCs w:val="21"/>
                <w:highlight w:val="none"/>
              </w:rPr>
              <w:t>★</w:t>
            </w:r>
            <w:r>
              <w:rPr>
                <w:rFonts w:hint="eastAsia"/>
                <w:b/>
                <w:w w:val="90"/>
                <w:szCs w:val="21"/>
                <w:highlight w:val="none"/>
              </w:rPr>
              <w:t>普通照明用双端荧光灯</w:t>
            </w:r>
          </w:p>
        </w:tc>
        <w:tc>
          <w:tcPr>
            <w:tcW w:w="1807" w:type="dxa"/>
            <w:vAlign w:val="center"/>
          </w:tcPr>
          <w:p w14:paraId="635B3D9D">
            <w:pPr>
              <w:jc w:val="center"/>
              <w:rPr>
                <w:w w:val="90"/>
                <w:szCs w:val="21"/>
                <w:highlight w:val="none"/>
              </w:rPr>
            </w:pPr>
          </w:p>
        </w:tc>
        <w:tc>
          <w:tcPr>
            <w:tcW w:w="3301" w:type="dxa"/>
            <w:vAlign w:val="center"/>
          </w:tcPr>
          <w:p w14:paraId="3E579D35">
            <w:pPr>
              <w:jc w:val="left"/>
              <w:rPr>
                <w:w w:val="90"/>
                <w:szCs w:val="21"/>
                <w:highlight w:val="none"/>
              </w:rPr>
            </w:pPr>
            <w:r>
              <w:rPr>
                <w:rFonts w:hint="eastAsia"/>
                <w:w w:val="90"/>
                <w:szCs w:val="21"/>
                <w:highlight w:val="none"/>
              </w:rPr>
              <w:t>《普通照明用双端荧光灯能效限定值及能效等级》（GB 19043）</w:t>
            </w:r>
          </w:p>
        </w:tc>
      </w:tr>
      <w:tr w14:paraId="7076E30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4A70E58A">
            <w:pPr>
              <w:jc w:val="center"/>
              <w:rPr>
                <w:w w:val="90"/>
                <w:szCs w:val="21"/>
                <w:highlight w:val="none"/>
              </w:rPr>
            </w:pPr>
          </w:p>
        </w:tc>
        <w:tc>
          <w:tcPr>
            <w:tcW w:w="1933" w:type="dxa"/>
            <w:vMerge w:val="continue"/>
            <w:vAlign w:val="center"/>
          </w:tcPr>
          <w:p w14:paraId="6822C149">
            <w:pPr>
              <w:jc w:val="left"/>
              <w:rPr>
                <w:w w:val="90"/>
                <w:szCs w:val="21"/>
                <w:highlight w:val="none"/>
              </w:rPr>
            </w:pPr>
          </w:p>
        </w:tc>
        <w:tc>
          <w:tcPr>
            <w:tcW w:w="2209" w:type="dxa"/>
            <w:vAlign w:val="center"/>
          </w:tcPr>
          <w:p w14:paraId="185E0BC7">
            <w:pPr>
              <w:jc w:val="left"/>
              <w:rPr>
                <w:w w:val="90"/>
                <w:szCs w:val="21"/>
                <w:highlight w:val="none"/>
              </w:rPr>
            </w:pPr>
            <w:r>
              <w:rPr>
                <w:rFonts w:hint="eastAsia"/>
                <w:w w:val="90"/>
                <w:szCs w:val="21"/>
                <w:highlight w:val="none"/>
              </w:rPr>
              <w:t>LED道路/隧道照明产品</w:t>
            </w:r>
          </w:p>
        </w:tc>
        <w:tc>
          <w:tcPr>
            <w:tcW w:w="1807" w:type="dxa"/>
            <w:vAlign w:val="center"/>
          </w:tcPr>
          <w:p w14:paraId="6AF6873D">
            <w:pPr>
              <w:jc w:val="center"/>
              <w:rPr>
                <w:w w:val="90"/>
                <w:szCs w:val="21"/>
                <w:highlight w:val="none"/>
              </w:rPr>
            </w:pPr>
          </w:p>
        </w:tc>
        <w:tc>
          <w:tcPr>
            <w:tcW w:w="3301" w:type="dxa"/>
            <w:vAlign w:val="center"/>
          </w:tcPr>
          <w:p w14:paraId="0EAF26F9">
            <w:pPr>
              <w:jc w:val="left"/>
              <w:rPr>
                <w:w w:val="90"/>
                <w:szCs w:val="21"/>
                <w:highlight w:val="none"/>
              </w:rPr>
            </w:pPr>
            <w:r>
              <w:rPr>
                <w:rFonts w:hint="eastAsia"/>
                <w:w w:val="90"/>
                <w:szCs w:val="21"/>
                <w:highlight w:val="none"/>
              </w:rPr>
              <w:t>《道路和隧道照明用LED灯具能效限定值及能效等级》（GB 37478）</w:t>
            </w:r>
          </w:p>
        </w:tc>
      </w:tr>
      <w:tr w14:paraId="62E78A8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1BEFF203">
            <w:pPr>
              <w:jc w:val="center"/>
              <w:rPr>
                <w:w w:val="90"/>
                <w:szCs w:val="21"/>
                <w:highlight w:val="none"/>
              </w:rPr>
            </w:pPr>
          </w:p>
        </w:tc>
        <w:tc>
          <w:tcPr>
            <w:tcW w:w="1933" w:type="dxa"/>
            <w:vMerge w:val="continue"/>
            <w:vAlign w:val="center"/>
          </w:tcPr>
          <w:p w14:paraId="5F2423BF">
            <w:pPr>
              <w:jc w:val="left"/>
              <w:rPr>
                <w:w w:val="90"/>
                <w:szCs w:val="21"/>
                <w:highlight w:val="none"/>
              </w:rPr>
            </w:pPr>
          </w:p>
        </w:tc>
        <w:tc>
          <w:tcPr>
            <w:tcW w:w="2209" w:type="dxa"/>
            <w:vAlign w:val="center"/>
          </w:tcPr>
          <w:p w14:paraId="087C3B3E">
            <w:pPr>
              <w:jc w:val="left"/>
              <w:rPr>
                <w:w w:val="90"/>
                <w:szCs w:val="21"/>
                <w:highlight w:val="none"/>
              </w:rPr>
            </w:pPr>
            <w:r>
              <w:rPr>
                <w:rFonts w:hint="eastAsia"/>
                <w:w w:val="90"/>
                <w:szCs w:val="21"/>
                <w:highlight w:val="none"/>
              </w:rPr>
              <w:t>LED筒灯</w:t>
            </w:r>
          </w:p>
        </w:tc>
        <w:tc>
          <w:tcPr>
            <w:tcW w:w="1807" w:type="dxa"/>
            <w:vAlign w:val="center"/>
          </w:tcPr>
          <w:p w14:paraId="20F97FBC">
            <w:pPr>
              <w:jc w:val="center"/>
              <w:rPr>
                <w:w w:val="90"/>
                <w:szCs w:val="21"/>
                <w:highlight w:val="none"/>
              </w:rPr>
            </w:pPr>
          </w:p>
        </w:tc>
        <w:tc>
          <w:tcPr>
            <w:tcW w:w="3301" w:type="dxa"/>
            <w:vAlign w:val="center"/>
          </w:tcPr>
          <w:p w14:paraId="1EA60A58">
            <w:pPr>
              <w:jc w:val="left"/>
              <w:rPr>
                <w:w w:val="90"/>
                <w:szCs w:val="21"/>
                <w:highlight w:val="none"/>
              </w:rPr>
            </w:pPr>
            <w:r>
              <w:rPr>
                <w:rFonts w:hint="eastAsia"/>
                <w:w w:val="90"/>
                <w:szCs w:val="21"/>
                <w:highlight w:val="none"/>
              </w:rPr>
              <w:t>《室内照明用LED产品能效限定值及能效等级》（GB 30255）</w:t>
            </w:r>
          </w:p>
        </w:tc>
      </w:tr>
      <w:tr w14:paraId="4E98BAE2">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67BAAF4A">
            <w:pPr>
              <w:jc w:val="center"/>
              <w:rPr>
                <w:w w:val="90"/>
                <w:szCs w:val="21"/>
                <w:highlight w:val="none"/>
              </w:rPr>
            </w:pPr>
          </w:p>
        </w:tc>
        <w:tc>
          <w:tcPr>
            <w:tcW w:w="1933" w:type="dxa"/>
            <w:vMerge w:val="continue"/>
            <w:vAlign w:val="center"/>
          </w:tcPr>
          <w:p w14:paraId="7FE39DF1">
            <w:pPr>
              <w:jc w:val="left"/>
              <w:rPr>
                <w:w w:val="90"/>
                <w:szCs w:val="21"/>
                <w:highlight w:val="none"/>
              </w:rPr>
            </w:pPr>
          </w:p>
        </w:tc>
        <w:tc>
          <w:tcPr>
            <w:tcW w:w="2209" w:type="dxa"/>
            <w:vAlign w:val="center"/>
          </w:tcPr>
          <w:p w14:paraId="5A2F349D">
            <w:pPr>
              <w:jc w:val="left"/>
              <w:rPr>
                <w:w w:val="90"/>
                <w:szCs w:val="21"/>
                <w:highlight w:val="none"/>
              </w:rPr>
            </w:pPr>
            <w:r>
              <w:rPr>
                <w:rFonts w:hint="eastAsia"/>
                <w:w w:val="90"/>
                <w:szCs w:val="21"/>
                <w:highlight w:val="none"/>
              </w:rPr>
              <w:t>普通照明用非定向自镇流LED灯</w:t>
            </w:r>
          </w:p>
        </w:tc>
        <w:tc>
          <w:tcPr>
            <w:tcW w:w="1807" w:type="dxa"/>
            <w:vAlign w:val="center"/>
          </w:tcPr>
          <w:p w14:paraId="600253DC">
            <w:pPr>
              <w:jc w:val="center"/>
              <w:rPr>
                <w:w w:val="90"/>
                <w:szCs w:val="21"/>
                <w:highlight w:val="none"/>
              </w:rPr>
            </w:pPr>
          </w:p>
        </w:tc>
        <w:tc>
          <w:tcPr>
            <w:tcW w:w="3301" w:type="dxa"/>
            <w:vAlign w:val="center"/>
          </w:tcPr>
          <w:p w14:paraId="5457FD2E">
            <w:pPr>
              <w:jc w:val="left"/>
              <w:rPr>
                <w:w w:val="90"/>
                <w:szCs w:val="21"/>
                <w:highlight w:val="none"/>
              </w:rPr>
            </w:pPr>
            <w:r>
              <w:rPr>
                <w:rFonts w:hint="eastAsia"/>
                <w:w w:val="90"/>
                <w:szCs w:val="21"/>
                <w:highlight w:val="none"/>
              </w:rPr>
              <w:t>《室内照明用LED产品能效限定值及能效等级》（GB 30255）</w:t>
            </w:r>
          </w:p>
        </w:tc>
      </w:tr>
      <w:tr w14:paraId="54089CD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54463C87">
            <w:pPr>
              <w:jc w:val="center"/>
              <w:rPr>
                <w:w w:val="90"/>
                <w:szCs w:val="21"/>
                <w:highlight w:val="none"/>
              </w:rPr>
            </w:pPr>
            <w:r>
              <w:rPr>
                <w:rFonts w:hint="eastAsia"/>
                <w:w w:val="90"/>
                <w:szCs w:val="21"/>
                <w:highlight w:val="none"/>
              </w:rPr>
              <w:t>12</w:t>
            </w:r>
          </w:p>
        </w:tc>
        <w:tc>
          <w:tcPr>
            <w:tcW w:w="1933" w:type="dxa"/>
            <w:vAlign w:val="center"/>
          </w:tcPr>
          <w:p w14:paraId="258CEB60">
            <w:pPr>
              <w:jc w:val="left"/>
              <w:rPr>
                <w:b/>
                <w:w w:val="90"/>
                <w:szCs w:val="21"/>
                <w:highlight w:val="none"/>
              </w:rPr>
            </w:pPr>
            <w:r>
              <w:rPr>
                <w:rFonts w:hint="eastAsia"/>
                <w:w w:val="90"/>
                <w:szCs w:val="21"/>
                <w:highlight w:val="none"/>
              </w:rPr>
              <w:t>★</w:t>
            </w:r>
            <w:r>
              <w:rPr>
                <w:rFonts w:hint="eastAsia"/>
                <w:b/>
                <w:w w:val="90"/>
                <w:szCs w:val="21"/>
                <w:highlight w:val="none"/>
              </w:rPr>
              <w:t>A020910电视设备</w:t>
            </w:r>
          </w:p>
        </w:tc>
        <w:tc>
          <w:tcPr>
            <w:tcW w:w="2209" w:type="dxa"/>
            <w:vAlign w:val="center"/>
          </w:tcPr>
          <w:p w14:paraId="2A2E7DAB">
            <w:pPr>
              <w:jc w:val="left"/>
              <w:rPr>
                <w:b/>
                <w:w w:val="90"/>
                <w:szCs w:val="21"/>
                <w:highlight w:val="none"/>
              </w:rPr>
            </w:pPr>
            <w:r>
              <w:rPr>
                <w:rFonts w:hint="eastAsia"/>
                <w:b/>
                <w:w w:val="90"/>
                <w:szCs w:val="21"/>
                <w:highlight w:val="none"/>
              </w:rPr>
              <w:t>A02091001普通电视设备（电视机）</w:t>
            </w:r>
          </w:p>
        </w:tc>
        <w:tc>
          <w:tcPr>
            <w:tcW w:w="1807" w:type="dxa"/>
            <w:vAlign w:val="center"/>
          </w:tcPr>
          <w:p w14:paraId="5497E103">
            <w:pPr>
              <w:jc w:val="center"/>
              <w:rPr>
                <w:w w:val="90"/>
                <w:szCs w:val="21"/>
                <w:highlight w:val="none"/>
              </w:rPr>
            </w:pPr>
          </w:p>
        </w:tc>
        <w:tc>
          <w:tcPr>
            <w:tcW w:w="3301" w:type="dxa"/>
            <w:vAlign w:val="center"/>
          </w:tcPr>
          <w:p w14:paraId="61A00C66">
            <w:pPr>
              <w:jc w:val="left"/>
              <w:rPr>
                <w:w w:val="90"/>
                <w:szCs w:val="21"/>
                <w:highlight w:val="none"/>
              </w:rPr>
            </w:pPr>
            <w:r>
              <w:rPr>
                <w:rFonts w:hint="eastAsia"/>
                <w:w w:val="90"/>
                <w:szCs w:val="21"/>
                <w:highlight w:val="none"/>
              </w:rPr>
              <w:t>《平板电视能效限定值及能效等级》（GB 24850）</w:t>
            </w:r>
          </w:p>
        </w:tc>
      </w:tr>
      <w:tr w14:paraId="0126BA6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6976B521">
            <w:pPr>
              <w:jc w:val="center"/>
              <w:rPr>
                <w:w w:val="90"/>
                <w:szCs w:val="21"/>
                <w:highlight w:val="none"/>
              </w:rPr>
            </w:pPr>
            <w:r>
              <w:rPr>
                <w:rFonts w:hint="eastAsia"/>
                <w:w w:val="90"/>
                <w:szCs w:val="21"/>
                <w:highlight w:val="none"/>
              </w:rPr>
              <w:t>13</w:t>
            </w:r>
          </w:p>
        </w:tc>
        <w:tc>
          <w:tcPr>
            <w:tcW w:w="1933" w:type="dxa"/>
            <w:vAlign w:val="center"/>
          </w:tcPr>
          <w:p w14:paraId="0A0FB3F2">
            <w:pPr>
              <w:jc w:val="left"/>
              <w:rPr>
                <w:b/>
                <w:w w:val="90"/>
                <w:szCs w:val="21"/>
                <w:highlight w:val="none"/>
              </w:rPr>
            </w:pPr>
            <w:r>
              <w:rPr>
                <w:rFonts w:hint="eastAsia"/>
                <w:w w:val="90"/>
                <w:szCs w:val="21"/>
                <w:highlight w:val="none"/>
              </w:rPr>
              <w:t>★</w:t>
            </w:r>
            <w:r>
              <w:rPr>
                <w:rFonts w:hint="eastAsia"/>
                <w:b/>
                <w:w w:val="90"/>
                <w:szCs w:val="21"/>
                <w:highlight w:val="none"/>
              </w:rPr>
              <w:t>A020911视频设备</w:t>
            </w:r>
          </w:p>
        </w:tc>
        <w:tc>
          <w:tcPr>
            <w:tcW w:w="2209" w:type="dxa"/>
            <w:vAlign w:val="center"/>
          </w:tcPr>
          <w:p w14:paraId="1776EF2F">
            <w:pPr>
              <w:jc w:val="left"/>
              <w:rPr>
                <w:b/>
                <w:w w:val="90"/>
                <w:szCs w:val="21"/>
                <w:highlight w:val="none"/>
              </w:rPr>
            </w:pPr>
            <w:r>
              <w:rPr>
                <w:rFonts w:hint="eastAsia"/>
                <w:b/>
                <w:w w:val="90"/>
                <w:szCs w:val="21"/>
                <w:highlight w:val="none"/>
              </w:rPr>
              <w:t>A02091107视频监控设备</w:t>
            </w:r>
          </w:p>
        </w:tc>
        <w:tc>
          <w:tcPr>
            <w:tcW w:w="1807" w:type="dxa"/>
            <w:vAlign w:val="center"/>
          </w:tcPr>
          <w:p w14:paraId="48C28E41">
            <w:pPr>
              <w:jc w:val="center"/>
              <w:rPr>
                <w:b/>
                <w:w w:val="90"/>
                <w:szCs w:val="21"/>
                <w:highlight w:val="none"/>
              </w:rPr>
            </w:pPr>
            <w:r>
              <w:rPr>
                <w:rFonts w:hint="eastAsia"/>
                <w:b/>
                <w:w w:val="90"/>
                <w:szCs w:val="21"/>
                <w:highlight w:val="none"/>
              </w:rPr>
              <w:t>监视器</w:t>
            </w:r>
          </w:p>
        </w:tc>
        <w:tc>
          <w:tcPr>
            <w:tcW w:w="3301" w:type="dxa"/>
            <w:vAlign w:val="center"/>
          </w:tcPr>
          <w:p w14:paraId="6AD82595">
            <w:pPr>
              <w:jc w:val="left"/>
              <w:rPr>
                <w:w w:val="90"/>
                <w:szCs w:val="21"/>
                <w:highlight w:val="none"/>
              </w:rPr>
            </w:pPr>
            <w:r>
              <w:rPr>
                <w:rFonts w:hint="eastAsia"/>
                <w:w w:val="90"/>
                <w:szCs w:val="21"/>
                <w:highlight w:val="none"/>
              </w:rPr>
              <w:t>以射频信号为主要信号输入的监视器应符合《平板电视能效限定值及能效等级》（GB 24850），以数字信号为主要信号输入的监视器应符合《计算机显示器能效限定值及能效等级》（GB 21520）</w:t>
            </w:r>
          </w:p>
        </w:tc>
      </w:tr>
      <w:tr w14:paraId="1946F8E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45C97282">
            <w:pPr>
              <w:jc w:val="center"/>
              <w:rPr>
                <w:w w:val="90"/>
                <w:szCs w:val="21"/>
                <w:highlight w:val="none"/>
              </w:rPr>
            </w:pPr>
            <w:r>
              <w:rPr>
                <w:rFonts w:hint="eastAsia"/>
                <w:w w:val="90"/>
                <w:szCs w:val="21"/>
                <w:highlight w:val="none"/>
              </w:rPr>
              <w:t>14</w:t>
            </w:r>
          </w:p>
        </w:tc>
        <w:tc>
          <w:tcPr>
            <w:tcW w:w="1933" w:type="dxa"/>
            <w:vAlign w:val="center"/>
          </w:tcPr>
          <w:p w14:paraId="5C3AB972">
            <w:pPr>
              <w:jc w:val="left"/>
              <w:rPr>
                <w:w w:val="90"/>
                <w:szCs w:val="21"/>
                <w:highlight w:val="none"/>
              </w:rPr>
            </w:pPr>
            <w:r>
              <w:rPr>
                <w:rFonts w:hint="eastAsia"/>
                <w:w w:val="90"/>
                <w:szCs w:val="21"/>
                <w:highlight w:val="none"/>
              </w:rPr>
              <w:t>A031210饮食炊事机械</w:t>
            </w:r>
          </w:p>
        </w:tc>
        <w:tc>
          <w:tcPr>
            <w:tcW w:w="2209" w:type="dxa"/>
            <w:vAlign w:val="center"/>
          </w:tcPr>
          <w:p w14:paraId="53E93603">
            <w:pPr>
              <w:jc w:val="left"/>
              <w:rPr>
                <w:w w:val="90"/>
                <w:szCs w:val="21"/>
                <w:highlight w:val="none"/>
              </w:rPr>
            </w:pPr>
            <w:r>
              <w:rPr>
                <w:rFonts w:hint="eastAsia"/>
                <w:w w:val="90"/>
                <w:szCs w:val="21"/>
                <w:highlight w:val="none"/>
              </w:rPr>
              <w:t>商用燃气灶具</w:t>
            </w:r>
          </w:p>
        </w:tc>
        <w:tc>
          <w:tcPr>
            <w:tcW w:w="1807" w:type="dxa"/>
            <w:vAlign w:val="center"/>
          </w:tcPr>
          <w:p w14:paraId="34C9E4A3">
            <w:pPr>
              <w:jc w:val="center"/>
              <w:rPr>
                <w:w w:val="90"/>
                <w:szCs w:val="21"/>
                <w:highlight w:val="none"/>
              </w:rPr>
            </w:pPr>
          </w:p>
        </w:tc>
        <w:tc>
          <w:tcPr>
            <w:tcW w:w="3301" w:type="dxa"/>
            <w:vAlign w:val="center"/>
          </w:tcPr>
          <w:p w14:paraId="405508FF">
            <w:pPr>
              <w:jc w:val="left"/>
              <w:rPr>
                <w:w w:val="90"/>
                <w:szCs w:val="21"/>
                <w:highlight w:val="none"/>
              </w:rPr>
            </w:pPr>
          </w:p>
        </w:tc>
      </w:tr>
      <w:tr w14:paraId="6366E36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vAlign w:val="center"/>
          </w:tcPr>
          <w:p w14:paraId="52C87137">
            <w:pPr>
              <w:jc w:val="center"/>
              <w:rPr>
                <w:w w:val="90"/>
                <w:szCs w:val="21"/>
                <w:highlight w:val="none"/>
              </w:rPr>
            </w:pPr>
            <w:r>
              <w:rPr>
                <w:rFonts w:hint="eastAsia"/>
                <w:w w:val="90"/>
                <w:szCs w:val="21"/>
                <w:highlight w:val="none"/>
              </w:rPr>
              <w:t>15</w:t>
            </w:r>
          </w:p>
        </w:tc>
        <w:tc>
          <w:tcPr>
            <w:tcW w:w="1933" w:type="dxa"/>
            <w:vMerge w:val="restart"/>
            <w:vAlign w:val="center"/>
          </w:tcPr>
          <w:p w14:paraId="6EAC3201">
            <w:pPr>
              <w:jc w:val="left"/>
              <w:rPr>
                <w:b/>
                <w:w w:val="90"/>
                <w:szCs w:val="21"/>
                <w:highlight w:val="none"/>
              </w:rPr>
            </w:pPr>
            <w:r>
              <w:rPr>
                <w:rFonts w:hint="eastAsia"/>
                <w:w w:val="90"/>
                <w:szCs w:val="21"/>
                <w:highlight w:val="none"/>
              </w:rPr>
              <w:t>★</w:t>
            </w:r>
            <w:r>
              <w:rPr>
                <w:rFonts w:hint="eastAsia"/>
                <w:b/>
                <w:w w:val="90"/>
                <w:szCs w:val="21"/>
                <w:highlight w:val="none"/>
              </w:rPr>
              <w:t>A060805便器</w:t>
            </w:r>
          </w:p>
        </w:tc>
        <w:tc>
          <w:tcPr>
            <w:tcW w:w="2209" w:type="dxa"/>
            <w:vAlign w:val="center"/>
          </w:tcPr>
          <w:p w14:paraId="5F074733">
            <w:pPr>
              <w:jc w:val="left"/>
              <w:rPr>
                <w:b/>
                <w:w w:val="90"/>
                <w:szCs w:val="21"/>
                <w:highlight w:val="none"/>
              </w:rPr>
            </w:pPr>
            <w:r>
              <w:rPr>
                <w:rFonts w:hint="eastAsia"/>
                <w:b/>
                <w:w w:val="90"/>
                <w:szCs w:val="21"/>
                <w:highlight w:val="none"/>
              </w:rPr>
              <w:t>坐便器</w:t>
            </w:r>
          </w:p>
        </w:tc>
        <w:tc>
          <w:tcPr>
            <w:tcW w:w="1807" w:type="dxa"/>
            <w:vAlign w:val="center"/>
          </w:tcPr>
          <w:p w14:paraId="35434CAA">
            <w:pPr>
              <w:jc w:val="center"/>
              <w:rPr>
                <w:w w:val="90"/>
                <w:szCs w:val="21"/>
                <w:highlight w:val="none"/>
              </w:rPr>
            </w:pPr>
          </w:p>
        </w:tc>
        <w:tc>
          <w:tcPr>
            <w:tcW w:w="3301" w:type="dxa"/>
            <w:vAlign w:val="center"/>
          </w:tcPr>
          <w:p w14:paraId="71E0E721">
            <w:pPr>
              <w:jc w:val="left"/>
              <w:rPr>
                <w:w w:val="90"/>
                <w:szCs w:val="21"/>
                <w:highlight w:val="none"/>
              </w:rPr>
            </w:pPr>
            <w:r>
              <w:rPr>
                <w:rFonts w:hint="eastAsia"/>
                <w:w w:val="90"/>
                <w:szCs w:val="21"/>
                <w:highlight w:val="none"/>
              </w:rPr>
              <w:t>《坐便器水效限定值及水效等级</w:t>
            </w:r>
          </w:p>
          <w:p w14:paraId="5C0FC0DE">
            <w:pPr>
              <w:jc w:val="left"/>
              <w:rPr>
                <w:w w:val="90"/>
                <w:szCs w:val="21"/>
                <w:highlight w:val="none"/>
              </w:rPr>
            </w:pPr>
            <w:r>
              <w:rPr>
                <w:rFonts w:hint="eastAsia"/>
                <w:w w:val="90"/>
                <w:szCs w:val="21"/>
                <w:highlight w:val="none"/>
              </w:rPr>
              <w:t>（GB 25502）</w:t>
            </w:r>
          </w:p>
        </w:tc>
      </w:tr>
      <w:tr w14:paraId="673B2CD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7D2FEA8B">
            <w:pPr>
              <w:jc w:val="center"/>
              <w:rPr>
                <w:w w:val="90"/>
                <w:szCs w:val="21"/>
                <w:highlight w:val="none"/>
              </w:rPr>
            </w:pPr>
          </w:p>
        </w:tc>
        <w:tc>
          <w:tcPr>
            <w:tcW w:w="1933" w:type="dxa"/>
            <w:vMerge w:val="continue"/>
            <w:vAlign w:val="center"/>
          </w:tcPr>
          <w:p w14:paraId="3245D2CE">
            <w:pPr>
              <w:jc w:val="left"/>
              <w:rPr>
                <w:b/>
                <w:w w:val="90"/>
                <w:szCs w:val="21"/>
                <w:highlight w:val="none"/>
              </w:rPr>
            </w:pPr>
          </w:p>
        </w:tc>
        <w:tc>
          <w:tcPr>
            <w:tcW w:w="2209" w:type="dxa"/>
            <w:vAlign w:val="center"/>
          </w:tcPr>
          <w:p w14:paraId="3BB4E980">
            <w:pPr>
              <w:jc w:val="left"/>
              <w:rPr>
                <w:b/>
                <w:w w:val="90"/>
                <w:szCs w:val="21"/>
                <w:highlight w:val="none"/>
              </w:rPr>
            </w:pPr>
            <w:r>
              <w:rPr>
                <w:rFonts w:hint="eastAsia"/>
                <w:b/>
                <w:w w:val="90"/>
                <w:szCs w:val="21"/>
                <w:highlight w:val="none"/>
              </w:rPr>
              <w:t>蹲便器</w:t>
            </w:r>
          </w:p>
        </w:tc>
        <w:tc>
          <w:tcPr>
            <w:tcW w:w="1807" w:type="dxa"/>
            <w:vAlign w:val="center"/>
          </w:tcPr>
          <w:p w14:paraId="266EA3FA">
            <w:pPr>
              <w:jc w:val="center"/>
              <w:rPr>
                <w:w w:val="90"/>
                <w:szCs w:val="21"/>
                <w:highlight w:val="none"/>
              </w:rPr>
            </w:pPr>
          </w:p>
        </w:tc>
        <w:tc>
          <w:tcPr>
            <w:tcW w:w="3301" w:type="dxa"/>
            <w:vAlign w:val="center"/>
          </w:tcPr>
          <w:p w14:paraId="7D956471">
            <w:pPr>
              <w:jc w:val="left"/>
              <w:rPr>
                <w:w w:val="90"/>
                <w:szCs w:val="21"/>
                <w:highlight w:val="none"/>
              </w:rPr>
            </w:pPr>
            <w:r>
              <w:rPr>
                <w:rFonts w:hint="eastAsia"/>
                <w:w w:val="90"/>
                <w:szCs w:val="21"/>
                <w:highlight w:val="none"/>
              </w:rPr>
              <w:t>《蹲便器用水效率限定值及用水效率等级》（GB 30717）</w:t>
            </w:r>
          </w:p>
        </w:tc>
      </w:tr>
      <w:tr w14:paraId="62C9FB6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64346CF4">
            <w:pPr>
              <w:jc w:val="center"/>
              <w:rPr>
                <w:w w:val="90"/>
                <w:szCs w:val="21"/>
                <w:highlight w:val="none"/>
              </w:rPr>
            </w:pPr>
          </w:p>
        </w:tc>
        <w:tc>
          <w:tcPr>
            <w:tcW w:w="1933" w:type="dxa"/>
            <w:vMerge w:val="continue"/>
            <w:vAlign w:val="center"/>
          </w:tcPr>
          <w:p w14:paraId="4A44AA9A">
            <w:pPr>
              <w:jc w:val="left"/>
              <w:rPr>
                <w:b/>
                <w:w w:val="90"/>
                <w:szCs w:val="21"/>
                <w:highlight w:val="none"/>
              </w:rPr>
            </w:pPr>
          </w:p>
        </w:tc>
        <w:tc>
          <w:tcPr>
            <w:tcW w:w="2209" w:type="dxa"/>
            <w:vAlign w:val="center"/>
          </w:tcPr>
          <w:p w14:paraId="4751A73E">
            <w:pPr>
              <w:jc w:val="left"/>
              <w:rPr>
                <w:b/>
                <w:w w:val="90"/>
                <w:szCs w:val="21"/>
                <w:highlight w:val="none"/>
              </w:rPr>
            </w:pPr>
            <w:r>
              <w:rPr>
                <w:rFonts w:hint="eastAsia"/>
                <w:b/>
                <w:w w:val="90"/>
                <w:szCs w:val="21"/>
                <w:highlight w:val="none"/>
              </w:rPr>
              <w:t>小便器</w:t>
            </w:r>
          </w:p>
        </w:tc>
        <w:tc>
          <w:tcPr>
            <w:tcW w:w="1807" w:type="dxa"/>
            <w:vAlign w:val="center"/>
          </w:tcPr>
          <w:p w14:paraId="2289D270">
            <w:pPr>
              <w:jc w:val="center"/>
              <w:rPr>
                <w:w w:val="90"/>
                <w:szCs w:val="21"/>
                <w:highlight w:val="none"/>
              </w:rPr>
            </w:pPr>
          </w:p>
        </w:tc>
        <w:tc>
          <w:tcPr>
            <w:tcW w:w="3301" w:type="dxa"/>
            <w:vAlign w:val="center"/>
          </w:tcPr>
          <w:p w14:paraId="1C5ACF28">
            <w:pPr>
              <w:jc w:val="left"/>
              <w:rPr>
                <w:w w:val="90"/>
                <w:szCs w:val="21"/>
                <w:highlight w:val="none"/>
              </w:rPr>
            </w:pPr>
            <w:r>
              <w:rPr>
                <w:rFonts w:hint="eastAsia"/>
                <w:w w:val="90"/>
                <w:szCs w:val="21"/>
                <w:highlight w:val="none"/>
              </w:rPr>
              <w:t>《小便器用水效率限定值及用水效率等级》（GB 28377）</w:t>
            </w:r>
          </w:p>
        </w:tc>
      </w:tr>
      <w:tr w14:paraId="2EE273A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79BEC8BA">
            <w:pPr>
              <w:jc w:val="center"/>
              <w:rPr>
                <w:w w:val="90"/>
                <w:szCs w:val="21"/>
                <w:highlight w:val="none"/>
              </w:rPr>
            </w:pPr>
            <w:r>
              <w:rPr>
                <w:rFonts w:hint="eastAsia"/>
                <w:w w:val="90"/>
                <w:szCs w:val="21"/>
                <w:highlight w:val="none"/>
              </w:rPr>
              <w:t>16</w:t>
            </w:r>
          </w:p>
        </w:tc>
        <w:tc>
          <w:tcPr>
            <w:tcW w:w="1933" w:type="dxa"/>
            <w:vAlign w:val="center"/>
          </w:tcPr>
          <w:p w14:paraId="272782C1">
            <w:pPr>
              <w:jc w:val="left"/>
              <w:rPr>
                <w:b/>
                <w:w w:val="90"/>
                <w:szCs w:val="21"/>
                <w:highlight w:val="none"/>
              </w:rPr>
            </w:pPr>
            <w:r>
              <w:rPr>
                <w:rFonts w:hint="eastAsia"/>
                <w:w w:val="90"/>
                <w:szCs w:val="21"/>
                <w:highlight w:val="none"/>
              </w:rPr>
              <w:t>★</w:t>
            </w:r>
            <w:r>
              <w:rPr>
                <w:rFonts w:hint="eastAsia"/>
                <w:b/>
                <w:w w:val="90"/>
                <w:szCs w:val="21"/>
                <w:highlight w:val="none"/>
              </w:rPr>
              <w:t>A060806水嘴</w:t>
            </w:r>
          </w:p>
        </w:tc>
        <w:tc>
          <w:tcPr>
            <w:tcW w:w="2209" w:type="dxa"/>
            <w:vAlign w:val="center"/>
          </w:tcPr>
          <w:p w14:paraId="31CFF144">
            <w:pPr>
              <w:jc w:val="left"/>
              <w:rPr>
                <w:w w:val="90"/>
                <w:szCs w:val="21"/>
                <w:highlight w:val="none"/>
              </w:rPr>
            </w:pPr>
          </w:p>
        </w:tc>
        <w:tc>
          <w:tcPr>
            <w:tcW w:w="1807" w:type="dxa"/>
            <w:vAlign w:val="center"/>
          </w:tcPr>
          <w:p w14:paraId="11679EAA">
            <w:pPr>
              <w:jc w:val="center"/>
              <w:rPr>
                <w:w w:val="90"/>
                <w:szCs w:val="21"/>
                <w:highlight w:val="none"/>
              </w:rPr>
            </w:pPr>
          </w:p>
        </w:tc>
        <w:tc>
          <w:tcPr>
            <w:tcW w:w="3301" w:type="dxa"/>
            <w:vAlign w:val="center"/>
          </w:tcPr>
          <w:p w14:paraId="4F3E94E2">
            <w:pPr>
              <w:jc w:val="left"/>
              <w:rPr>
                <w:w w:val="90"/>
                <w:szCs w:val="21"/>
                <w:highlight w:val="none"/>
              </w:rPr>
            </w:pPr>
            <w:r>
              <w:rPr>
                <w:rFonts w:hint="eastAsia"/>
                <w:w w:val="90"/>
                <w:szCs w:val="21"/>
                <w:highlight w:val="none"/>
              </w:rPr>
              <w:t>《水嘴用水效率限定值及用水效率等级》（GB 25501）</w:t>
            </w:r>
          </w:p>
        </w:tc>
      </w:tr>
      <w:tr w14:paraId="56DAA1A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407A8C94">
            <w:pPr>
              <w:jc w:val="center"/>
              <w:rPr>
                <w:w w:val="90"/>
                <w:szCs w:val="21"/>
                <w:highlight w:val="none"/>
              </w:rPr>
            </w:pPr>
            <w:r>
              <w:rPr>
                <w:rFonts w:hint="eastAsia"/>
                <w:w w:val="90"/>
                <w:szCs w:val="21"/>
                <w:highlight w:val="none"/>
              </w:rPr>
              <w:t>17</w:t>
            </w:r>
          </w:p>
        </w:tc>
        <w:tc>
          <w:tcPr>
            <w:tcW w:w="1933" w:type="dxa"/>
            <w:vAlign w:val="center"/>
          </w:tcPr>
          <w:p w14:paraId="386FE03C">
            <w:pPr>
              <w:jc w:val="left"/>
              <w:rPr>
                <w:w w:val="90"/>
                <w:szCs w:val="21"/>
                <w:highlight w:val="none"/>
              </w:rPr>
            </w:pPr>
            <w:r>
              <w:rPr>
                <w:rFonts w:hint="eastAsia"/>
                <w:w w:val="90"/>
                <w:szCs w:val="21"/>
                <w:highlight w:val="none"/>
              </w:rPr>
              <w:t>A060807便器冲洗阀</w:t>
            </w:r>
          </w:p>
        </w:tc>
        <w:tc>
          <w:tcPr>
            <w:tcW w:w="2209" w:type="dxa"/>
            <w:vAlign w:val="center"/>
          </w:tcPr>
          <w:p w14:paraId="36FA28CD">
            <w:pPr>
              <w:jc w:val="left"/>
              <w:rPr>
                <w:w w:val="90"/>
                <w:szCs w:val="21"/>
                <w:highlight w:val="none"/>
              </w:rPr>
            </w:pPr>
          </w:p>
        </w:tc>
        <w:tc>
          <w:tcPr>
            <w:tcW w:w="1807" w:type="dxa"/>
            <w:vAlign w:val="center"/>
          </w:tcPr>
          <w:p w14:paraId="35FC137F">
            <w:pPr>
              <w:jc w:val="center"/>
              <w:rPr>
                <w:w w:val="90"/>
                <w:szCs w:val="21"/>
                <w:highlight w:val="none"/>
              </w:rPr>
            </w:pPr>
          </w:p>
        </w:tc>
        <w:tc>
          <w:tcPr>
            <w:tcW w:w="3301" w:type="dxa"/>
            <w:vAlign w:val="center"/>
          </w:tcPr>
          <w:p w14:paraId="2284AC81">
            <w:pPr>
              <w:jc w:val="left"/>
              <w:rPr>
                <w:w w:val="90"/>
                <w:szCs w:val="21"/>
                <w:highlight w:val="none"/>
              </w:rPr>
            </w:pPr>
            <w:r>
              <w:rPr>
                <w:rFonts w:hint="eastAsia"/>
                <w:w w:val="90"/>
                <w:szCs w:val="21"/>
                <w:highlight w:val="none"/>
              </w:rPr>
              <w:t>《便器冲洗阀用水效率限定值及用水效率等级》（GB 28379）</w:t>
            </w:r>
          </w:p>
        </w:tc>
      </w:tr>
      <w:tr w14:paraId="449AE0F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1C77BCB7">
            <w:pPr>
              <w:jc w:val="center"/>
              <w:rPr>
                <w:w w:val="90"/>
                <w:szCs w:val="21"/>
                <w:highlight w:val="none"/>
              </w:rPr>
            </w:pPr>
            <w:r>
              <w:rPr>
                <w:rFonts w:hint="eastAsia"/>
                <w:w w:val="90"/>
                <w:szCs w:val="21"/>
                <w:highlight w:val="none"/>
              </w:rPr>
              <w:t>18</w:t>
            </w:r>
          </w:p>
        </w:tc>
        <w:tc>
          <w:tcPr>
            <w:tcW w:w="1933" w:type="dxa"/>
            <w:vAlign w:val="center"/>
          </w:tcPr>
          <w:p w14:paraId="388F6B6F">
            <w:pPr>
              <w:jc w:val="left"/>
              <w:rPr>
                <w:w w:val="90"/>
                <w:szCs w:val="21"/>
                <w:highlight w:val="none"/>
              </w:rPr>
            </w:pPr>
            <w:r>
              <w:rPr>
                <w:rFonts w:hint="eastAsia"/>
                <w:w w:val="90"/>
                <w:szCs w:val="21"/>
                <w:highlight w:val="none"/>
              </w:rPr>
              <w:t>A060810淋浴器</w:t>
            </w:r>
          </w:p>
        </w:tc>
        <w:tc>
          <w:tcPr>
            <w:tcW w:w="2209" w:type="dxa"/>
            <w:vAlign w:val="center"/>
          </w:tcPr>
          <w:p w14:paraId="71194894">
            <w:pPr>
              <w:jc w:val="left"/>
              <w:rPr>
                <w:w w:val="90"/>
                <w:szCs w:val="21"/>
                <w:highlight w:val="none"/>
              </w:rPr>
            </w:pPr>
          </w:p>
        </w:tc>
        <w:tc>
          <w:tcPr>
            <w:tcW w:w="1807" w:type="dxa"/>
            <w:vAlign w:val="center"/>
          </w:tcPr>
          <w:p w14:paraId="72024C00">
            <w:pPr>
              <w:jc w:val="center"/>
              <w:rPr>
                <w:w w:val="90"/>
                <w:szCs w:val="21"/>
                <w:highlight w:val="none"/>
              </w:rPr>
            </w:pPr>
          </w:p>
        </w:tc>
        <w:tc>
          <w:tcPr>
            <w:tcW w:w="3301" w:type="dxa"/>
            <w:vAlign w:val="center"/>
          </w:tcPr>
          <w:p w14:paraId="5D2A8E1D">
            <w:pPr>
              <w:jc w:val="left"/>
              <w:rPr>
                <w:w w:val="90"/>
                <w:szCs w:val="21"/>
                <w:highlight w:val="none"/>
              </w:rPr>
            </w:pPr>
            <w:r>
              <w:rPr>
                <w:rFonts w:hint="eastAsia"/>
                <w:w w:val="90"/>
                <w:szCs w:val="21"/>
                <w:highlight w:val="none"/>
              </w:rPr>
              <w:t>《淋浴器用水效率限定值及用水效率等级》（GB 28378）</w:t>
            </w:r>
          </w:p>
        </w:tc>
      </w:tr>
    </w:tbl>
    <w:p w14:paraId="04B4B222">
      <w:pPr>
        <w:spacing w:line="360" w:lineRule="auto"/>
        <w:ind w:left="-972" w:leftChars="-405" w:right="-1200" w:rightChars="-500" w:firstLine="436" w:firstLineChars="201"/>
        <w:rPr>
          <w:b/>
          <w:w w:val="90"/>
          <w:highlight w:val="none"/>
        </w:rPr>
      </w:pPr>
      <w:r>
        <w:rPr>
          <w:rFonts w:hint="eastAsia"/>
          <w:b/>
          <w:w w:val="90"/>
          <w:highlight w:val="none"/>
        </w:rPr>
        <w:t>注：1、节能产品认证应依据相关国家标准的最新版本，依据国家标准中二级能效（水效）指标。</w:t>
      </w:r>
    </w:p>
    <w:p w14:paraId="23226C63">
      <w:pPr>
        <w:spacing w:line="360" w:lineRule="auto"/>
        <w:ind w:left="-972" w:leftChars="-405" w:right="-1200" w:rightChars="-500" w:firstLine="436" w:firstLineChars="201"/>
        <w:rPr>
          <w:b/>
          <w:w w:val="90"/>
          <w:highlight w:val="none"/>
        </w:rPr>
      </w:pPr>
      <w:r>
        <w:rPr>
          <w:rFonts w:hint="eastAsia"/>
          <w:b/>
          <w:w w:val="90"/>
          <w:highlight w:val="none"/>
        </w:rPr>
        <w:t>2、上述产品中认证标准发生变更的，依据原认证标准获得的、仍在有效期内的认证证书可使用至2019年6月1日。</w:t>
      </w:r>
    </w:p>
    <w:p w14:paraId="7AA4E7FB">
      <w:pPr>
        <w:adjustRightInd w:val="0"/>
        <w:snapToGrid w:val="0"/>
        <w:spacing w:line="288" w:lineRule="auto"/>
        <w:jc w:val="left"/>
        <w:rPr>
          <w:rFonts w:cs="Times New Roman"/>
          <w:spacing w:val="-6"/>
          <w:sz w:val="21"/>
          <w:szCs w:val="21"/>
          <w:highlight w:val="none"/>
        </w:rPr>
      </w:pPr>
      <w:r>
        <w:rPr>
          <w:rFonts w:hint="eastAsia"/>
          <w:b/>
          <w:w w:val="90"/>
          <w:highlight w:val="none"/>
        </w:rPr>
        <w:t>3、以“★”标注的为政府强制采购产品。</w:t>
      </w:r>
    </w:p>
    <w:p w14:paraId="2364761B">
      <w:pPr>
        <w:adjustRightInd w:val="0"/>
        <w:snapToGrid w:val="0"/>
        <w:spacing w:line="288" w:lineRule="auto"/>
        <w:rPr>
          <w:b/>
          <w:spacing w:val="-6"/>
          <w:sz w:val="21"/>
          <w:szCs w:val="21"/>
          <w:highlight w:val="none"/>
        </w:rPr>
      </w:pPr>
    </w:p>
    <w:p w14:paraId="6013AF44">
      <w:pPr>
        <w:adjustRightInd w:val="0"/>
        <w:snapToGrid w:val="0"/>
        <w:spacing w:line="288" w:lineRule="auto"/>
        <w:outlineLvl w:val="2"/>
        <w:rPr>
          <w:b/>
          <w:spacing w:val="-6"/>
          <w:sz w:val="21"/>
          <w:szCs w:val="21"/>
          <w:highlight w:val="none"/>
        </w:rPr>
      </w:pPr>
      <w:r>
        <w:rPr>
          <w:rFonts w:hint="eastAsia"/>
          <w:b/>
          <w:spacing w:val="-6"/>
          <w:sz w:val="21"/>
          <w:szCs w:val="21"/>
          <w:highlight w:val="none"/>
        </w:rPr>
        <w:t>（1</w:t>
      </w:r>
      <w:r>
        <w:rPr>
          <w:b/>
          <w:spacing w:val="-6"/>
          <w:sz w:val="21"/>
          <w:szCs w:val="21"/>
          <w:highlight w:val="none"/>
        </w:rPr>
        <w:t>2</w:t>
      </w:r>
      <w:r>
        <w:rPr>
          <w:rFonts w:hint="eastAsia"/>
          <w:b/>
          <w:spacing w:val="-6"/>
          <w:sz w:val="21"/>
          <w:szCs w:val="21"/>
          <w:highlight w:val="none"/>
        </w:rPr>
        <w:t>）供应商需要说明的其他文件和材料。</w:t>
      </w:r>
      <w:bookmarkEnd w:id="64"/>
    </w:p>
    <w:p w14:paraId="6E37AC27">
      <w:pPr>
        <w:widowControl/>
        <w:jc w:val="left"/>
        <w:rPr>
          <w:b/>
          <w:spacing w:val="-6"/>
          <w:sz w:val="21"/>
          <w:szCs w:val="21"/>
          <w:highlight w:val="none"/>
        </w:rPr>
      </w:pPr>
      <w:r>
        <w:rPr>
          <w:b/>
          <w:spacing w:val="-6"/>
          <w:sz w:val="21"/>
          <w:szCs w:val="21"/>
          <w:highlight w:val="none"/>
        </w:rPr>
        <w:br w:type="page"/>
      </w:r>
    </w:p>
    <w:p w14:paraId="68D435F2">
      <w:pPr>
        <w:adjustRightInd w:val="0"/>
        <w:snapToGrid w:val="0"/>
        <w:spacing w:line="288" w:lineRule="auto"/>
        <w:outlineLvl w:val="2"/>
        <w:rPr>
          <w:rFonts w:cs="Times New Roman"/>
          <w:b/>
          <w:bCs/>
          <w:sz w:val="21"/>
          <w:szCs w:val="21"/>
          <w:highlight w:val="none"/>
        </w:rPr>
      </w:pPr>
      <w:r>
        <w:rPr>
          <w:rFonts w:cs="Times New Roman"/>
          <w:b/>
          <w:spacing w:val="-6"/>
          <w:sz w:val="21"/>
          <w:szCs w:val="21"/>
          <w:highlight w:val="none"/>
        </w:rPr>
        <w:t>附件</w:t>
      </w:r>
      <w:r>
        <w:rPr>
          <w:rFonts w:hint="eastAsia" w:cs="Times New Roman"/>
          <w:b/>
          <w:spacing w:val="-6"/>
          <w:sz w:val="21"/>
          <w:szCs w:val="21"/>
          <w:highlight w:val="none"/>
        </w:rPr>
        <w:t>1：</w:t>
      </w:r>
      <w:r>
        <w:rPr>
          <w:rFonts w:hint="eastAsia" w:cs="Times New Roman"/>
          <w:b/>
          <w:bCs/>
          <w:sz w:val="21"/>
          <w:szCs w:val="21"/>
          <w:highlight w:val="none"/>
        </w:rPr>
        <w:t>业务专用章使用说明函</w:t>
      </w:r>
    </w:p>
    <w:p w14:paraId="302686C4">
      <w:pPr>
        <w:snapToGrid w:val="0"/>
        <w:spacing w:line="288" w:lineRule="auto"/>
        <w:rPr>
          <w:rFonts w:cs="仿宋_GB2312"/>
          <w:sz w:val="21"/>
          <w:szCs w:val="21"/>
          <w:highlight w:val="none"/>
          <w:u w:val="single"/>
        </w:rPr>
      </w:pPr>
    </w:p>
    <w:p w14:paraId="510CDEB9">
      <w:pPr>
        <w:snapToGrid w:val="0"/>
        <w:spacing w:line="288" w:lineRule="auto"/>
        <w:rPr>
          <w:rFonts w:cs="Times New Roman"/>
          <w:sz w:val="21"/>
          <w:szCs w:val="21"/>
          <w:highlight w:val="none"/>
        </w:rPr>
      </w:pPr>
      <w:r>
        <w:rPr>
          <w:rFonts w:hint="eastAsia" w:cs="仿宋_GB2312"/>
          <w:sz w:val="21"/>
          <w:szCs w:val="21"/>
          <w:highlight w:val="none"/>
          <w:u w:val="single"/>
        </w:rPr>
        <w:t>（采购人）、（采购代理机构）</w:t>
      </w:r>
    </w:p>
    <w:p w14:paraId="75C95105">
      <w:pPr>
        <w:snapToGrid w:val="0"/>
        <w:spacing w:line="288" w:lineRule="auto"/>
        <w:ind w:firstLine="424" w:firstLineChars="202"/>
        <w:rPr>
          <w:sz w:val="21"/>
          <w:szCs w:val="21"/>
          <w:highlight w:val="none"/>
        </w:rPr>
      </w:pPr>
      <w:r>
        <w:rPr>
          <w:rFonts w:hint="eastAsia" w:cs="仿宋_GB2312"/>
          <w:kern w:val="0"/>
          <w:sz w:val="21"/>
          <w:szCs w:val="21"/>
          <w:highlight w:val="none"/>
          <w:lang w:val="zh-CN"/>
        </w:rPr>
        <w:t>我方</w:t>
      </w:r>
      <w:r>
        <w:rPr>
          <w:rFonts w:cs="仿宋_GB2312"/>
          <w:kern w:val="0"/>
          <w:sz w:val="21"/>
          <w:szCs w:val="21"/>
          <w:highlight w:val="none"/>
          <w:u w:val="single"/>
          <w:lang w:val="zh-CN"/>
        </w:rPr>
        <w:t xml:space="preserve">                         </w:t>
      </w:r>
      <w:r>
        <w:rPr>
          <w:rFonts w:cs="仿宋_GB2312"/>
          <w:sz w:val="21"/>
          <w:szCs w:val="21"/>
          <w:highlight w:val="none"/>
        </w:rPr>
        <w:t>(供应商全称)</w:t>
      </w:r>
      <w:r>
        <w:rPr>
          <w:rFonts w:hint="eastAsia" w:cs="Times New Roman"/>
          <w:sz w:val="21"/>
          <w:szCs w:val="21"/>
          <w:highlight w:val="none"/>
        </w:rPr>
        <w:t>是中华人民共和国依法登记注册的合法企业，</w:t>
      </w:r>
      <w:r>
        <w:rPr>
          <w:rFonts w:hint="eastAsia"/>
          <w:bCs/>
          <w:sz w:val="21"/>
          <w:szCs w:val="21"/>
          <w:highlight w:val="none"/>
        </w:rPr>
        <w:t>在参加</w:t>
      </w:r>
      <w:r>
        <w:rPr>
          <w:rFonts w:hint="eastAsia" w:cs="仿宋_GB2312"/>
          <w:sz w:val="21"/>
          <w:szCs w:val="21"/>
          <w:highlight w:val="none"/>
        </w:rPr>
        <w:t>你方组织的</w:t>
      </w:r>
      <w:r>
        <w:rPr>
          <w:rFonts w:hint="eastAsia" w:cs="仿宋_GB2312"/>
          <w:sz w:val="21"/>
          <w:szCs w:val="21"/>
          <w:highlight w:val="none"/>
          <w:u w:val="single"/>
        </w:rPr>
        <w:t>（项目名称）</w:t>
      </w:r>
      <w:r>
        <w:rPr>
          <w:rFonts w:hint="eastAsia" w:cs="仿宋_GB2312"/>
          <w:sz w:val="21"/>
          <w:szCs w:val="21"/>
          <w:highlight w:val="none"/>
        </w:rPr>
        <w:t>项目</w:t>
      </w:r>
      <w:r>
        <w:rPr>
          <w:rFonts w:hint="eastAsia" w:cs="仿宋_GB2312"/>
          <w:sz w:val="21"/>
          <w:szCs w:val="21"/>
          <w:highlight w:val="none"/>
          <w:u w:val="single"/>
        </w:rPr>
        <w:t>（项目编号）</w:t>
      </w:r>
      <w:r>
        <w:rPr>
          <w:rFonts w:hint="eastAsia"/>
          <w:bCs/>
          <w:sz w:val="21"/>
          <w:szCs w:val="21"/>
          <w:highlight w:val="none"/>
        </w:rPr>
        <w:t>响应（响应）活动中作如下说明：</w:t>
      </w:r>
      <w:r>
        <w:rPr>
          <w:rFonts w:hint="eastAsia"/>
          <w:sz w:val="21"/>
          <w:szCs w:val="21"/>
          <w:highlight w:val="none"/>
        </w:rPr>
        <w:t>我方所使用的</w:t>
      </w:r>
      <w:r>
        <w:rPr>
          <w:rFonts w:hint="eastAsia"/>
          <w:sz w:val="21"/>
          <w:szCs w:val="21"/>
          <w:highlight w:val="none"/>
          <w:u w:val="single"/>
        </w:rPr>
        <w:t>“</w:t>
      </w:r>
      <w:r>
        <w:rPr>
          <w:rFonts w:cs="仿宋_GB2312"/>
          <w:sz w:val="21"/>
          <w:szCs w:val="21"/>
          <w:highlight w:val="none"/>
          <w:u w:val="single"/>
        </w:rPr>
        <w:t>XX</w:t>
      </w:r>
      <w:r>
        <w:rPr>
          <w:rFonts w:hint="eastAsia"/>
          <w:sz w:val="21"/>
          <w:szCs w:val="21"/>
          <w:highlight w:val="none"/>
          <w:u w:val="single"/>
        </w:rPr>
        <w:t>专用章”</w:t>
      </w:r>
      <w:r>
        <w:rPr>
          <w:rFonts w:hint="eastAsia"/>
          <w:sz w:val="21"/>
          <w:szCs w:val="21"/>
          <w:highlight w:val="none"/>
        </w:rPr>
        <w:t>与法定名称章具有同等的法律效力，对使用</w:t>
      </w:r>
      <w:r>
        <w:rPr>
          <w:rFonts w:hint="eastAsia"/>
          <w:sz w:val="21"/>
          <w:szCs w:val="21"/>
          <w:highlight w:val="none"/>
          <w:u w:val="single"/>
        </w:rPr>
        <w:t>“</w:t>
      </w:r>
      <w:r>
        <w:rPr>
          <w:rFonts w:cs="仿宋_GB2312"/>
          <w:sz w:val="21"/>
          <w:szCs w:val="21"/>
          <w:highlight w:val="none"/>
          <w:u w:val="single"/>
        </w:rPr>
        <w:t>XX</w:t>
      </w:r>
      <w:r>
        <w:rPr>
          <w:rFonts w:hint="eastAsia"/>
          <w:sz w:val="21"/>
          <w:szCs w:val="21"/>
          <w:highlight w:val="none"/>
          <w:u w:val="single"/>
        </w:rPr>
        <w:t>专用章”</w:t>
      </w:r>
      <w:r>
        <w:rPr>
          <w:rFonts w:hint="eastAsia"/>
          <w:sz w:val="21"/>
          <w:szCs w:val="21"/>
          <w:highlight w:val="none"/>
        </w:rPr>
        <w:t>的行为予以完全承认，并愿意承担相应责任。</w:t>
      </w:r>
    </w:p>
    <w:p w14:paraId="473629A6">
      <w:pPr>
        <w:snapToGrid w:val="0"/>
        <w:spacing w:line="288" w:lineRule="auto"/>
        <w:ind w:firstLine="424" w:firstLineChars="202"/>
        <w:rPr>
          <w:sz w:val="21"/>
          <w:szCs w:val="21"/>
          <w:highlight w:val="none"/>
        </w:rPr>
      </w:pPr>
      <w:r>
        <w:rPr>
          <w:rFonts w:hint="eastAsia"/>
          <w:sz w:val="21"/>
          <w:szCs w:val="21"/>
          <w:highlight w:val="none"/>
        </w:rPr>
        <w:t>特此说明。</w:t>
      </w:r>
    </w:p>
    <w:p w14:paraId="03E89076">
      <w:pPr>
        <w:snapToGrid w:val="0"/>
        <w:spacing w:line="288" w:lineRule="auto"/>
        <w:ind w:right="480" w:firstLine="424" w:firstLineChars="202"/>
        <w:rPr>
          <w:sz w:val="21"/>
          <w:szCs w:val="21"/>
          <w:highlight w:val="none"/>
        </w:rPr>
      </w:pPr>
      <w:r>
        <w:rPr>
          <w:rFonts w:hint="eastAsia"/>
          <w:sz w:val="21"/>
          <w:szCs w:val="21"/>
          <w:highlight w:val="none"/>
        </w:rPr>
        <w:t>供应商（法定名称章）：</w:t>
      </w:r>
    </w:p>
    <w:p w14:paraId="0BFAB977">
      <w:pPr>
        <w:snapToGrid w:val="0"/>
        <w:spacing w:line="288" w:lineRule="auto"/>
        <w:ind w:right="1440" w:firstLine="424" w:firstLineChars="202"/>
        <w:rPr>
          <w:sz w:val="21"/>
          <w:szCs w:val="21"/>
          <w:highlight w:val="none"/>
        </w:rPr>
      </w:pPr>
      <w:r>
        <w:rPr>
          <w:sz w:val="21"/>
          <w:szCs w:val="21"/>
          <w:highlight w:val="none"/>
        </w:rPr>
        <w:t>日期：       年     月     日</w:t>
      </w:r>
    </w:p>
    <w:p w14:paraId="2CA9BF5B">
      <w:pPr>
        <w:snapToGrid w:val="0"/>
        <w:spacing w:line="288" w:lineRule="auto"/>
        <w:rPr>
          <w:b/>
          <w:bCs/>
          <w:sz w:val="21"/>
          <w:szCs w:val="21"/>
          <w:highlight w:val="none"/>
        </w:rPr>
      </w:pPr>
    </w:p>
    <w:p w14:paraId="071ED796">
      <w:pPr>
        <w:snapToGrid w:val="0"/>
        <w:spacing w:line="288" w:lineRule="auto"/>
        <w:rPr>
          <w:sz w:val="21"/>
          <w:szCs w:val="21"/>
          <w:highlight w:val="none"/>
        </w:rPr>
      </w:pPr>
      <w:r>
        <w:rPr>
          <w:rFonts w:hint="eastAsia"/>
          <w:b/>
          <w:bCs/>
          <w:sz w:val="21"/>
          <w:szCs w:val="21"/>
          <w:highlight w:val="none"/>
        </w:rPr>
        <w:t>附：</w:t>
      </w:r>
      <w:r>
        <w:rPr>
          <w:rFonts w:hint="eastAsia"/>
          <w:sz w:val="21"/>
          <w:szCs w:val="21"/>
          <w:highlight w:val="none"/>
        </w:rPr>
        <w:t>供应商法定名称章（印模）</w:t>
      </w:r>
      <w:r>
        <w:rPr>
          <w:sz w:val="21"/>
          <w:szCs w:val="21"/>
          <w:highlight w:val="none"/>
        </w:rPr>
        <w:t xml:space="preserve">                </w:t>
      </w:r>
      <w:r>
        <w:rPr>
          <w:rFonts w:hint="eastAsia"/>
          <w:sz w:val="21"/>
          <w:szCs w:val="21"/>
          <w:highlight w:val="none"/>
        </w:rPr>
        <w:t>供应商“</w:t>
      </w:r>
      <w:r>
        <w:rPr>
          <w:rFonts w:cs="仿宋_GB2312"/>
          <w:sz w:val="21"/>
          <w:szCs w:val="21"/>
          <w:highlight w:val="none"/>
        </w:rPr>
        <w:t>XX</w:t>
      </w:r>
      <w:r>
        <w:rPr>
          <w:rFonts w:hint="eastAsia"/>
          <w:sz w:val="21"/>
          <w:szCs w:val="21"/>
          <w:highlight w:val="none"/>
        </w:rPr>
        <w:t>专用章”（印模）</w:t>
      </w:r>
    </w:p>
    <w:p w14:paraId="45413A95">
      <w:pPr>
        <w:snapToGrid w:val="0"/>
        <w:spacing w:line="288" w:lineRule="auto"/>
        <w:rPr>
          <w:sz w:val="21"/>
          <w:szCs w:val="21"/>
          <w:highlight w:val="none"/>
        </w:rPr>
      </w:pPr>
      <w:r>
        <w:rPr>
          <w:rFonts w:cs="Times New Roman"/>
          <w:b/>
          <w:bCs/>
          <w:sz w:val="21"/>
          <w:szCs w:val="21"/>
          <w:highlight w:val="none"/>
        </w:rPr>
        <mc:AlternateContent>
          <mc:Choice Requires="wps">
            <w:drawing>
              <wp:inline distT="0" distB="0" distL="0" distR="0">
                <wp:extent cx="2704465" cy="2253615"/>
                <wp:effectExtent l="0" t="0" r="19685" b="13335"/>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7" o:spid="_x0000_s1026" o:spt="1" style="height:177.45pt;width:212.95pt;" fillcolor="#FFFFFF" filled="t" stroked="t" coordsize="21600,21600" o:gfxdata="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JNeRvNYAAAAFAQAADwAAAAAAAAABACAAAAAiAAAAZHJzL2Rvd25yZXYueG1sUEsBAhQAFAAA&#10;AAgAh07iQOLXmAkqAgAAdAQAAA4AAAAAAAAAAQAgAAAAJQEAAGRycy9lMm9Eb2MueG1sUEsFBgAA&#10;AAAGAAYAWQEAAMEFAAAAAA==&#10;">
                <v:fill on="t" focussize="0,0"/>
                <v:stroke color="#000000" miterlimit="2" joinstyle="miter"/>
                <v:imagedata o:title=""/>
                <o:lock v:ext="edit" aspectratio="f"/>
                <w10:wrap type="none"/>
                <w10:anchorlock/>
              </v:rect>
            </w:pict>
          </mc:Fallback>
        </mc:AlternateContent>
      </w:r>
      <w:r>
        <w:rPr>
          <w:rFonts w:hint="eastAsia"/>
          <w:sz w:val="21"/>
          <w:szCs w:val="21"/>
          <w:highlight w:val="none"/>
        </w:rPr>
        <w:t xml:space="preserve"> </w:t>
      </w:r>
      <w:r>
        <w:rPr>
          <w:rFonts w:cs="Times New Roman"/>
          <w:b/>
          <w:bCs/>
          <w:sz w:val="21"/>
          <w:szCs w:val="21"/>
          <w:highlight w:val="none"/>
        </w:rPr>
        <mc:AlternateContent>
          <mc:Choice Requires="wps">
            <w:drawing>
              <wp:inline distT="0" distB="0" distL="0" distR="0">
                <wp:extent cx="2647950" cy="2253615"/>
                <wp:effectExtent l="0" t="0" r="19050" b="13335"/>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6" o:spid="_x0000_s1026" o:spt="1" style="height:177.45pt;width:208.5pt;" fillcolor="#FFFFFF" filled="t" stroked="t" coordsize="21600,21600" o:gfxdata="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FVJTLUAAAABQEAAA8AAAAAAAAAAQAgAAAAIgAAAGRycy9kb3ducmV2LnhtbFBLAQIUABQAAAAI&#10;AIdO4kB3gn1EKgIAAHQEAAAOAAAAAAAAAAEAIAAAACMBAABkcnMvZTJvRG9jLnhtbFBLBQYAAAAA&#10;BgAGAFkBAAC/BQAAAAA=&#10;">
                <v:fill on="t" focussize="0,0"/>
                <v:stroke color="#000000" miterlimit="2" joinstyle="miter"/>
                <v:imagedata o:title=""/>
                <o:lock v:ext="edit" aspectratio="f"/>
                <w10:wrap type="none"/>
                <w10:anchorlock/>
              </v:rect>
            </w:pict>
          </mc:Fallback>
        </mc:AlternateContent>
      </w:r>
    </w:p>
    <w:p w14:paraId="72713C98">
      <w:pPr>
        <w:widowControl/>
        <w:jc w:val="left"/>
        <w:rPr>
          <w:b/>
          <w:spacing w:val="-6"/>
          <w:sz w:val="21"/>
          <w:szCs w:val="21"/>
          <w:highlight w:val="none"/>
        </w:rPr>
      </w:pPr>
      <w:r>
        <w:rPr>
          <w:b/>
          <w:spacing w:val="-6"/>
          <w:sz w:val="21"/>
          <w:szCs w:val="21"/>
          <w:highlight w:val="none"/>
        </w:rPr>
        <w:br w:type="page"/>
      </w:r>
    </w:p>
    <w:p w14:paraId="7D2E8495">
      <w:pPr>
        <w:snapToGrid w:val="0"/>
        <w:spacing w:line="288" w:lineRule="auto"/>
        <w:jc w:val="center"/>
        <w:outlineLvl w:val="2"/>
        <w:rPr>
          <w:rFonts w:cs="仿宋_GB2312"/>
          <w:b/>
          <w:kern w:val="0"/>
          <w:sz w:val="21"/>
          <w:szCs w:val="21"/>
          <w:highlight w:val="none"/>
          <w:lang w:val="zh-CN"/>
        </w:rPr>
      </w:pPr>
      <w:r>
        <w:rPr>
          <w:rFonts w:hint="eastAsia" w:cs="仿宋_GB2312"/>
          <w:b/>
          <w:kern w:val="0"/>
          <w:sz w:val="21"/>
          <w:szCs w:val="21"/>
          <w:highlight w:val="none"/>
          <w:lang w:val="zh-CN"/>
        </w:rPr>
        <w:t>附件2</w:t>
      </w:r>
      <w:r>
        <w:rPr>
          <w:rFonts w:cs="仿宋_GB2312"/>
          <w:b/>
          <w:kern w:val="0"/>
          <w:sz w:val="21"/>
          <w:szCs w:val="21"/>
          <w:highlight w:val="none"/>
          <w:lang w:val="zh-CN"/>
        </w:rPr>
        <w:t>：</w:t>
      </w:r>
      <w:r>
        <w:rPr>
          <w:rFonts w:hint="eastAsia" w:cs="仿宋_GB2312"/>
          <w:b/>
          <w:kern w:val="0"/>
          <w:sz w:val="21"/>
          <w:szCs w:val="21"/>
          <w:highlight w:val="none"/>
          <w:lang w:val="zh-CN"/>
        </w:rPr>
        <w:t>联合协议</w:t>
      </w:r>
    </w:p>
    <w:p w14:paraId="7CA14196">
      <w:pPr>
        <w:widowControl/>
        <w:snapToGrid w:val="0"/>
        <w:spacing w:line="288" w:lineRule="auto"/>
        <w:ind w:firstLine="424" w:firstLineChars="201"/>
        <w:jc w:val="left"/>
        <w:rPr>
          <w:rFonts w:cs="仿宋_GB2312"/>
          <w:b/>
          <w:sz w:val="21"/>
          <w:szCs w:val="21"/>
          <w:highlight w:val="none"/>
        </w:rPr>
      </w:pPr>
      <w:r>
        <w:rPr>
          <w:rFonts w:hint="eastAsia" w:cs="仿宋_GB2312"/>
          <w:b/>
          <w:sz w:val="21"/>
          <w:szCs w:val="21"/>
          <w:highlight w:val="none"/>
        </w:rPr>
        <w:t>（以联合体形式响应的，提供联合协议；本项目不接受联合体响应或者供应商不以联合体形式响应的，则不需要提供）</w:t>
      </w:r>
    </w:p>
    <w:p w14:paraId="515E0244">
      <w:pPr>
        <w:snapToGrid w:val="0"/>
        <w:spacing w:line="288" w:lineRule="auto"/>
        <w:ind w:firstLine="422" w:firstLineChars="201"/>
        <w:rPr>
          <w:rFonts w:cs="仿宋_GB2312"/>
          <w:kern w:val="0"/>
          <w:sz w:val="21"/>
          <w:szCs w:val="21"/>
          <w:highlight w:val="none"/>
          <w:lang w:val="zh-CN"/>
        </w:rPr>
      </w:pPr>
      <w:r>
        <w:rPr>
          <w:rFonts w:hint="eastAsia" w:cs="仿宋_GB2312"/>
          <w:kern w:val="0"/>
          <w:sz w:val="21"/>
          <w:szCs w:val="21"/>
          <w:highlight w:val="none"/>
          <w:u w:val="single"/>
        </w:rPr>
        <w:t>（联合体所有成员名称）</w:t>
      </w:r>
      <w:r>
        <w:rPr>
          <w:rFonts w:hint="eastAsia" w:cs="仿宋_GB2312"/>
          <w:kern w:val="0"/>
          <w:sz w:val="21"/>
          <w:szCs w:val="21"/>
          <w:highlight w:val="none"/>
        </w:rPr>
        <w:t>自愿</w:t>
      </w:r>
      <w:r>
        <w:rPr>
          <w:rFonts w:hint="eastAsia" w:cs="仿宋_GB2312"/>
          <w:kern w:val="0"/>
          <w:sz w:val="21"/>
          <w:szCs w:val="21"/>
          <w:highlight w:val="none"/>
          <w:lang w:val="zh-CN"/>
        </w:rPr>
        <w:t>组成一个联合体，以一个供应商的身份</w:t>
      </w:r>
      <w:r>
        <w:rPr>
          <w:rFonts w:hint="eastAsia" w:cs="仿宋_GB2312"/>
          <w:kern w:val="0"/>
          <w:sz w:val="21"/>
          <w:szCs w:val="21"/>
          <w:highlight w:val="none"/>
        </w:rPr>
        <w:t>参加</w:t>
      </w:r>
      <w:r>
        <w:rPr>
          <w:rFonts w:hint="eastAsia" w:cs="仿宋_GB2312"/>
          <w:sz w:val="21"/>
          <w:szCs w:val="21"/>
          <w:highlight w:val="none"/>
        </w:rPr>
        <w:t>（项目名称）【招标编号：</w:t>
      </w:r>
      <w:r>
        <w:rPr>
          <w:rFonts w:hint="eastAsia" w:cs="Times New Roman"/>
          <w:sz w:val="21"/>
          <w:szCs w:val="21"/>
          <w:highlight w:val="none"/>
        </w:rPr>
        <w:t>（采购编号）</w:t>
      </w:r>
      <w:r>
        <w:rPr>
          <w:rFonts w:hint="eastAsia" w:cs="仿宋_GB2312"/>
          <w:sz w:val="21"/>
          <w:szCs w:val="21"/>
          <w:highlight w:val="none"/>
        </w:rPr>
        <w:t>】</w:t>
      </w:r>
      <w:r>
        <w:rPr>
          <w:rFonts w:hint="eastAsia" w:cs="仿宋_GB2312"/>
          <w:kern w:val="0"/>
          <w:sz w:val="21"/>
          <w:szCs w:val="21"/>
          <w:highlight w:val="none"/>
          <w:lang w:val="zh-CN"/>
        </w:rPr>
        <w:t>响应。</w:t>
      </w:r>
    </w:p>
    <w:p w14:paraId="1E89BE67">
      <w:pPr>
        <w:snapToGrid w:val="0"/>
        <w:spacing w:line="288" w:lineRule="auto"/>
        <w:ind w:firstLine="422" w:firstLineChars="201"/>
        <w:rPr>
          <w:rFonts w:cs="仿宋_GB2312"/>
          <w:kern w:val="0"/>
          <w:sz w:val="21"/>
          <w:szCs w:val="21"/>
          <w:highlight w:val="none"/>
          <w:lang w:val="zh-CN"/>
        </w:rPr>
      </w:pPr>
      <w:r>
        <w:rPr>
          <w:rFonts w:hint="eastAsia" w:cs="仿宋_GB2312"/>
          <w:kern w:val="0"/>
          <w:sz w:val="21"/>
          <w:szCs w:val="21"/>
          <w:highlight w:val="none"/>
          <w:lang w:val="zh-CN"/>
        </w:rPr>
        <w:t>一、各方一致决定，</w:t>
      </w:r>
      <w:r>
        <w:rPr>
          <w:rFonts w:hint="eastAsia" w:cs="仿宋_GB2312"/>
          <w:kern w:val="0"/>
          <w:sz w:val="21"/>
          <w:szCs w:val="21"/>
          <w:highlight w:val="none"/>
          <w:u w:val="single"/>
        </w:rPr>
        <w:t>（某联合体成员名称）</w:t>
      </w:r>
      <w:r>
        <w:rPr>
          <w:rFonts w:hint="eastAsia" w:cs="仿宋_GB2312"/>
          <w:kern w:val="0"/>
          <w:sz w:val="21"/>
          <w:szCs w:val="21"/>
          <w:highlight w:val="none"/>
        </w:rPr>
        <w:t>为联合体</w:t>
      </w:r>
      <w:r>
        <w:rPr>
          <w:rFonts w:hint="eastAsia" w:cs="仿宋_GB2312"/>
          <w:kern w:val="0"/>
          <w:sz w:val="21"/>
          <w:szCs w:val="21"/>
          <w:highlight w:val="none"/>
          <w:lang w:val="zh-CN"/>
        </w:rPr>
        <w:t>牵头人</w:t>
      </w:r>
      <w:r>
        <w:rPr>
          <w:rFonts w:hint="eastAsia" w:cs="Arial"/>
          <w:sz w:val="21"/>
          <w:szCs w:val="21"/>
          <w:highlight w:val="none"/>
        </w:rPr>
        <w:t>，代表所有联合体成员负责响应和合同实施阶段的主办、协调工作</w:t>
      </w:r>
      <w:r>
        <w:rPr>
          <w:rFonts w:hint="eastAsia" w:cs="仿宋_GB2312"/>
          <w:kern w:val="0"/>
          <w:sz w:val="21"/>
          <w:szCs w:val="21"/>
          <w:highlight w:val="none"/>
          <w:lang w:val="zh-CN"/>
        </w:rPr>
        <w:t>。</w:t>
      </w:r>
    </w:p>
    <w:p w14:paraId="255A24C6">
      <w:pPr>
        <w:snapToGrid w:val="0"/>
        <w:spacing w:line="288" w:lineRule="auto"/>
        <w:ind w:firstLine="422" w:firstLineChars="201"/>
        <w:rPr>
          <w:rFonts w:cs="仿宋_GB2312"/>
          <w:kern w:val="0"/>
          <w:sz w:val="21"/>
          <w:szCs w:val="21"/>
          <w:highlight w:val="none"/>
          <w:lang w:val="zh-CN"/>
        </w:rPr>
      </w:pPr>
      <w:r>
        <w:rPr>
          <w:rFonts w:hint="eastAsia" w:cs="仿宋_GB2312"/>
          <w:kern w:val="0"/>
          <w:sz w:val="21"/>
          <w:szCs w:val="21"/>
          <w:highlight w:val="none"/>
          <w:lang w:val="zh-CN"/>
        </w:rPr>
        <w:t>二、</w:t>
      </w:r>
      <w:r>
        <w:rPr>
          <w:rFonts w:hint="eastAsia" w:cs="Arial"/>
          <w:sz w:val="21"/>
          <w:szCs w:val="21"/>
          <w:highlight w:val="none"/>
        </w:rPr>
        <w:t>所有联合体成员各方签署授权书，授权书载明的</w:t>
      </w:r>
      <w:r>
        <w:rPr>
          <w:rFonts w:hint="eastAsia" w:cs="仿宋_GB2312"/>
          <w:kern w:val="0"/>
          <w:sz w:val="21"/>
          <w:szCs w:val="21"/>
          <w:highlight w:val="none"/>
          <w:lang w:val="zh-CN"/>
        </w:rPr>
        <w:t>授权代表根据磋商文件规定及响应内容而对采购人、采购机构所作的任何合法承诺，包括书面澄清及相应等均对联合响应各方产生约束力。</w:t>
      </w:r>
    </w:p>
    <w:p w14:paraId="0E4191FB">
      <w:pPr>
        <w:snapToGrid w:val="0"/>
        <w:spacing w:line="288" w:lineRule="auto"/>
        <w:ind w:firstLine="422" w:firstLineChars="201"/>
        <w:rPr>
          <w:rFonts w:cs="仿宋_GB2312"/>
          <w:kern w:val="0"/>
          <w:sz w:val="21"/>
          <w:szCs w:val="21"/>
          <w:highlight w:val="none"/>
          <w:lang w:val="zh-CN"/>
        </w:rPr>
      </w:pPr>
      <w:r>
        <w:rPr>
          <w:rFonts w:hint="eastAsia" w:cs="仿宋_GB2312"/>
          <w:kern w:val="0"/>
          <w:sz w:val="21"/>
          <w:szCs w:val="21"/>
          <w:highlight w:val="none"/>
          <w:lang w:val="zh-CN"/>
        </w:rPr>
        <w:t>三、本次联合响应中，分工如下：</w:t>
      </w:r>
      <w:r>
        <w:rPr>
          <w:rFonts w:hint="eastAsia" w:cs="仿宋_GB2312"/>
          <w:kern w:val="0"/>
          <w:sz w:val="21"/>
          <w:szCs w:val="21"/>
          <w:highlight w:val="none"/>
          <w:u w:val="single"/>
        </w:rPr>
        <w:t>（联合体其中一方成员名称）</w:t>
      </w:r>
      <w:r>
        <w:rPr>
          <w:rFonts w:hint="eastAsia" w:cs="仿宋_GB2312"/>
          <w:kern w:val="0"/>
          <w:sz w:val="21"/>
          <w:szCs w:val="21"/>
          <w:highlight w:val="none"/>
          <w:lang w:val="zh-CN"/>
        </w:rPr>
        <w:t>承担的工作和义务为：</w:t>
      </w:r>
      <w:r>
        <w:rPr>
          <w:rFonts w:cs="Times New Roman"/>
          <w:sz w:val="21"/>
          <w:szCs w:val="21"/>
          <w:highlight w:val="none"/>
          <w:u w:val="single"/>
        </w:rPr>
        <w:t xml:space="preserve">             </w:t>
      </w:r>
      <w:r>
        <w:rPr>
          <w:rFonts w:hint="eastAsia" w:cs="仿宋_GB2312"/>
          <w:kern w:val="0"/>
          <w:sz w:val="21"/>
          <w:szCs w:val="21"/>
          <w:highlight w:val="none"/>
          <w:lang w:val="zh-CN"/>
        </w:rPr>
        <w:t>；</w:t>
      </w:r>
      <w:r>
        <w:rPr>
          <w:rFonts w:cs="仿宋_GB2312"/>
          <w:kern w:val="0"/>
          <w:sz w:val="21"/>
          <w:szCs w:val="21"/>
          <w:highlight w:val="none"/>
          <w:lang w:val="zh-CN"/>
        </w:rPr>
        <w:t>……。</w:t>
      </w:r>
    </w:p>
    <w:p w14:paraId="0489F9B1">
      <w:pPr>
        <w:snapToGrid w:val="0"/>
        <w:spacing w:line="288" w:lineRule="auto"/>
        <w:ind w:firstLine="422" w:firstLineChars="201"/>
        <w:rPr>
          <w:rFonts w:cs="仿宋_GB2312"/>
          <w:b/>
          <w:kern w:val="0"/>
          <w:sz w:val="21"/>
          <w:szCs w:val="21"/>
          <w:highlight w:val="none"/>
          <w:lang w:val="zh-CN"/>
        </w:rPr>
      </w:pPr>
      <w:r>
        <w:rPr>
          <w:rFonts w:hint="eastAsia" w:cs="仿宋_GB2312"/>
          <w:kern w:val="0"/>
          <w:sz w:val="21"/>
          <w:szCs w:val="21"/>
          <w:highlight w:val="none"/>
          <w:lang w:val="zh-CN"/>
        </w:rPr>
        <w:t>四、</w:t>
      </w:r>
      <w:r>
        <w:rPr>
          <w:rFonts w:hint="eastAsia" w:cs="仿宋_GB2312"/>
          <w:kern w:val="0"/>
          <w:sz w:val="21"/>
          <w:szCs w:val="21"/>
          <w:highlight w:val="none"/>
          <w:u w:val="single"/>
        </w:rPr>
        <w:t>（联合体其中一方成员名称）</w:t>
      </w:r>
      <w:r>
        <w:rPr>
          <w:rFonts w:hint="eastAsia" w:cs="仿宋_GB2312"/>
          <w:kern w:val="0"/>
          <w:sz w:val="21"/>
          <w:szCs w:val="21"/>
          <w:highlight w:val="none"/>
        </w:rPr>
        <w:t>提供的全部货物由小微企业制造，其合同份额占到合同总金额</w:t>
      </w:r>
      <w:r>
        <w:rPr>
          <w:rFonts w:cs="仿宋_GB2312"/>
          <w:kern w:val="0"/>
          <w:sz w:val="21"/>
          <w:szCs w:val="21"/>
          <w:highlight w:val="none"/>
          <w:u w:val="single"/>
        </w:rPr>
        <w:t xml:space="preserve">     </w:t>
      </w:r>
      <w:r>
        <w:rPr>
          <w:rFonts w:cs="仿宋_GB2312"/>
          <w:kern w:val="0"/>
          <w:sz w:val="21"/>
          <w:szCs w:val="21"/>
          <w:highlight w:val="none"/>
        </w:rPr>
        <w:t>%以上；</w:t>
      </w:r>
      <w:r>
        <w:rPr>
          <w:rFonts w:hint="eastAsia" w:cs="仿宋_GB2312"/>
          <w:kern w:val="0"/>
          <w:sz w:val="21"/>
          <w:szCs w:val="21"/>
          <w:highlight w:val="none"/>
          <w:lang w:val="zh-CN"/>
        </w:rPr>
        <w:t>……。</w:t>
      </w:r>
      <w:r>
        <w:rPr>
          <w:rFonts w:hint="eastAsia" w:cs="仿宋_GB2312"/>
          <w:b/>
          <w:kern w:val="0"/>
          <w:sz w:val="21"/>
          <w:szCs w:val="21"/>
          <w:highlight w:val="none"/>
          <w:lang w:val="zh-CN"/>
        </w:rPr>
        <w:t>（未预留份额专门面向中小企业采购的的采购项目，以及预留份额中的非预留部分采购包，接受联合体响应的，联合体其中一方提供的货物全部由小微企业制造，且其合同份额占到合同总金额</w:t>
      </w:r>
      <w:r>
        <w:rPr>
          <w:rFonts w:cs="仿宋_GB2312"/>
          <w:b/>
          <w:kern w:val="0"/>
          <w:sz w:val="21"/>
          <w:szCs w:val="21"/>
          <w:highlight w:val="none"/>
          <w:lang w:val="zh-CN"/>
        </w:rPr>
        <w:t xml:space="preserve"> 30%以上</w:t>
      </w:r>
      <w:r>
        <w:rPr>
          <w:rFonts w:hint="eastAsia" w:cs="仿宋_GB2312"/>
          <w:b/>
          <w:kern w:val="0"/>
          <w:sz w:val="21"/>
          <w:szCs w:val="21"/>
          <w:highlight w:val="none"/>
          <w:lang w:val="zh-CN"/>
        </w:rPr>
        <w:t>，对联合体报价给予</w:t>
      </w:r>
      <w:r>
        <w:rPr>
          <w:rFonts w:cs="仿宋_GB2312"/>
          <w:b/>
          <w:kern w:val="0"/>
          <w:sz w:val="21"/>
          <w:szCs w:val="21"/>
          <w:highlight w:val="none"/>
          <w:lang w:val="zh-CN"/>
        </w:rPr>
        <w:t>6%的扣除</w:t>
      </w:r>
      <w:r>
        <w:rPr>
          <w:rFonts w:hint="eastAsia" w:cs="仿宋_GB2312"/>
          <w:b/>
          <w:kern w:val="0"/>
          <w:sz w:val="21"/>
          <w:szCs w:val="21"/>
          <w:highlight w:val="none"/>
          <w:lang w:val="zh-CN"/>
        </w:rPr>
        <w:t>）</w:t>
      </w:r>
    </w:p>
    <w:p w14:paraId="3C3CB4EC">
      <w:pPr>
        <w:snapToGrid w:val="0"/>
        <w:spacing w:line="288" w:lineRule="auto"/>
        <w:ind w:firstLine="422" w:firstLineChars="201"/>
        <w:rPr>
          <w:rFonts w:cs="仿宋_GB2312"/>
          <w:kern w:val="0"/>
          <w:sz w:val="21"/>
          <w:szCs w:val="21"/>
          <w:highlight w:val="none"/>
          <w:lang w:val="zh-CN"/>
        </w:rPr>
      </w:pPr>
      <w:r>
        <w:rPr>
          <w:rFonts w:hint="eastAsia" w:cs="仿宋_GB2312"/>
          <w:kern w:val="0"/>
          <w:sz w:val="21"/>
          <w:szCs w:val="21"/>
          <w:highlight w:val="none"/>
          <w:lang w:val="zh-CN"/>
        </w:rPr>
        <w:t>五、如果成交，</w:t>
      </w:r>
      <w:r>
        <w:rPr>
          <w:rFonts w:hint="eastAsia" w:cs="Times New Roman"/>
          <w:sz w:val="21"/>
          <w:szCs w:val="21"/>
          <w:highlight w:val="none"/>
        </w:rPr>
        <w:t>联合体各成员方共同与采购人签订合同，并就采购合同约定的事项对采购人承担连带责任。</w:t>
      </w:r>
    </w:p>
    <w:p w14:paraId="7FF58F5B">
      <w:pPr>
        <w:snapToGrid w:val="0"/>
        <w:spacing w:line="288" w:lineRule="auto"/>
        <w:ind w:firstLine="422" w:firstLineChars="201"/>
        <w:rPr>
          <w:rFonts w:cs="仿宋_GB2312"/>
          <w:kern w:val="0"/>
          <w:sz w:val="21"/>
          <w:szCs w:val="21"/>
          <w:highlight w:val="none"/>
          <w:lang w:val="zh-CN"/>
        </w:rPr>
      </w:pPr>
      <w:r>
        <w:rPr>
          <w:rFonts w:hint="eastAsia" w:cs="仿宋_GB2312"/>
          <w:kern w:val="0"/>
          <w:sz w:val="21"/>
          <w:szCs w:val="21"/>
          <w:highlight w:val="none"/>
          <w:lang w:val="zh-CN"/>
        </w:rPr>
        <w:t>六、有关本次联合响应的其他事宜：</w:t>
      </w:r>
    </w:p>
    <w:p w14:paraId="0A899D28">
      <w:pPr>
        <w:snapToGrid w:val="0"/>
        <w:spacing w:line="288" w:lineRule="auto"/>
        <w:ind w:firstLine="422" w:firstLineChars="201"/>
        <w:rPr>
          <w:rFonts w:cs="仿宋_GB2312"/>
          <w:kern w:val="0"/>
          <w:sz w:val="21"/>
          <w:szCs w:val="21"/>
          <w:highlight w:val="none"/>
          <w:lang w:val="zh-CN"/>
        </w:rPr>
      </w:pPr>
      <w:r>
        <w:rPr>
          <w:rFonts w:cs="仿宋_GB2312"/>
          <w:kern w:val="0"/>
          <w:sz w:val="21"/>
          <w:szCs w:val="21"/>
          <w:highlight w:val="none"/>
          <w:lang w:val="zh-CN"/>
        </w:rPr>
        <w:t>1、联合体各方不再单独参加或者与其</w:t>
      </w:r>
      <w:r>
        <w:rPr>
          <w:rFonts w:hint="eastAsia" w:cs="仿宋_GB2312"/>
          <w:kern w:val="0"/>
          <w:sz w:val="21"/>
          <w:szCs w:val="21"/>
          <w:highlight w:val="none"/>
          <w:lang w:val="zh-CN"/>
        </w:rPr>
        <w:t>他供应商另外组成联合体参加同一合同项下的政府采购活动。</w:t>
      </w:r>
    </w:p>
    <w:p w14:paraId="5C5ECE30">
      <w:pPr>
        <w:snapToGrid w:val="0"/>
        <w:spacing w:line="288" w:lineRule="auto"/>
        <w:ind w:firstLine="422" w:firstLineChars="201"/>
        <w:rPr>
          <w:rFonts w:cs="仿宋_GB2312"/>
          <w:kern w:val="0"/>
          <w:sz w:val="21"/>
          <w:szCs w:val="21"/>
          <w:highlight w:val="none"/>
          <w:lang w:val="zh-CN"/>
        </w:rPr>
      </w:pPr>
      <w:r>
        <w:rPr>
          <w:rFonts w:cs="仿宋_GB2312"/>
          <w:kern w:val="0"/>
          <w:sz w:val="21"/>
          <w:szCs w:val="21"/>
          <w:highlight w:val="none"/>
          <w:lang w:val="zh-CN"/>
        </w:rPr>
        <w:t>2、联合体中有同类资质的各方按照联合体分工承担相同工作的，按照资质等级较低的供应商确定资质等级。</w:t>
      </w:r>
    </w:p>
    <w:p w14:paraId="3C18EC4B">
      <w:pPr>
        <w:snapToGrid w:val="0"/>
        <w:spacing w:line="288" w:lineRule="auto"/>
        <w:ind w:firstLine="422" w:firstLineChars="201"/>
        <w:rPr>
          <w:rFonts w:cs="仿宋_GB2312"/>
          <w:kern w:val="0"/>
          <w:sz w:val="21"/>
          <w:szCs w:val="21"/>
          <w:highlight w:val="none"/>
          <w:lang w:val="zh-CN"/>
        </w:rPr>
      </w:pPr>
      <w:r>
        <w:rPr>
          <w:rFonts w:cs="仿宋_GB2312"/>
          <w:kern w:val="0"/>
          <w:sz w:val="21"/>
          <w:szCs w:val="21"/>
          <w:highlight w:val="none"/>
          <w:lang w:val="zh-CN"/>
        </w:rPr>
        <w:t>3、本协议提交采购人、采购机构后，联合体各方不得以任何形式对上述内容进行修改或撤销。</w:t>
      </w:r>
    </w:p>
    <w:p w14:paraId="232DBF75">
      <w:pPr>
        <w:snapToGrid w:val="0"/>
        <w:spacing w:line="288" w:lineRule="auto"/>
        <w:ind w:firstLine="422" w:firstLineChars="201"/>
        <w:rPr>
          <w:rFonts w:cs="仿宋_GB2312"/>
          <w:kern w:val="0"/>
          <w:sz w:val="21"/>
          <w:szCs w:val="21"/>
          <w:highlight w:val="none"/>
          <w:lang w:val="zh-CN"/>
        </w:rPr>
      </w:pPr>
    </w:p>
    <w:p w14:paraId="2D16A68D">
      <w:pPr>
        <w:snapToGrid w:val="0"/>
        <w:spacing w:line="288" w:lineRule="auto"/>
        <w:ind w:firstLine="422" w:firstLineChars="201"/>
        <w:rPr>
          <w:rFonts w:cs="仿宋_GB2312"/>
          <w:kern w:val="0"/>
          <w:sz w:val="21"/>
          <w:szCs w:val="21"/>
          <w:highlight w:val="none"/>
          <w:lang w:val="zh-CN"/>
        </w:rPr>
      </w:pPr>
    </w:p>
    <w:p w14:paraId="590027CB">
      <w:pPr>
        <w:snapToGrid w:val="0"/>
        <w:spacing w:line="288" w:lineRule="auto"/>
        <w:ind w:firstLine="424" w:firstLineChars="201"/>
        <w:rPr>
          <w:rFonts w:cs="仿宋_GB2312"/>
          <w:b/>
          <w:bCs/>
          <w:kern w:val="0"/>
          <w:sz w:val="21"/>
          <w:szCs w:val="21"/>
          <w:highlight w:val="none"/>
          <w:lang w:val="zh-CN"/>
        </w:rPr>
      </w:pPr>
      <w:r>
        <w:rPr>
          <w:rFonts w:hint="eastAsia" w:cs="仿宋_GB2312"/>
          <w:b/>
          <w:bCs/>
          <w:kern w:val="0"/>
          <w:sz w:val="21"/>
          <w:szCs w:val="21"/>
          <w:highlight w:val="none"/>
          <w:lang w:val="zh-CN"/>
        </w:rPr>
        <w:t>联合体成员名称</w:t>
      </w:r>
      <w:r>
        <w:rPr>
          <w:rFonts w:cs="仿宋_GB2312"/>
          <w:b/>
          <w:bCs/>
          <w:kern w:val="0"/>
          <w:sz w:val="21"/>
          <w:szCs w:val="21"/>
          <w:highlight w:val="none"/>
          <w:lang w:val="zh-CN"/>
        </w:rPr>
        <w:t>(电子签名/公章)：</w:t>
      </w:r>
    </w:p>
    <w:p w14:paraId="760375E7">
      <w:pPr>
        <w:snapToGrid w:val="0"/>
        <w:spacing w:line="288" w:lineRule="auto"/>
        <w:ind w:firstLine="424" w:firstLineChars="201"/>
        <w:rPr>
          <w:rFonts w:cs="仿宋_GB2312"/>
          <w:b/>
          <w:bCs/>
          <w:kern w:val="0"/>
          <w:sz w:val="21"/>
          <w:szCs w:val="21"/>
          <w:highlight w:val="none"/>
          <w:lang w:val="zh-CN"/>
        </w:rPr>
      </w:pPr>
    </w:p>
    <w:p w14:paraId="7DCF12FA">
      <w:pPr>
        <w:snapToGrid w:val="0"/>
        <w:spacing w:line="288" w:lineRule="auto"/>
        <w:ind w:firstLine="424" w:firstLineChars="201"/>
        <w:rPr>
          <w:rFonts w:cs="Times New Roman"/>
          <w:b/>
          <w:bCs/>
          <w:sz w:val="21"/>
          <w:szCs w:val="21"/>
          <w:highlight w:val="none"/>
        </w:rPr>
      </w:pPr>
    </w:p>
    <w:p w14:paraId="0C180EF6">
      <w:pPr>
        <w:snapToGrid w:val="0"/>
        <w:spacing w:line="288" w:lineRule="auto"/>
        <w:ind w:firstLine="424" w:firstLineChars="201"/>
        <w:rPr>
          <w:rFonts w:cs="仿宋_GB2312"/>
          <w:b/>
          <w:bCs/>
          <w:kern w:val="0"/>
          <w:sz w:val="21"/>
          <w:szCs w:val="21"/>
          <w:highlight w:val="none"/>
          <w:lang w:val="zh-CN"/>
        </w:rPr>
      </w:pPr>
      <w:r>
        <w:rPr>
          <w:rFonts w:cs="仿宋_GB2312"/>
          <w:b/>
          <w:bCs/>
          <w:kern w:val="0"/>
          <w:sz w:val="21"/>
          <w:szCs w:val="21"/>
          <w:highlight w:val="none"/>
          <w:lang w:val="zh-CN"/>
        </w:rPr>
        <w:t>日期：  年  月   日</w:t>
      </w:r>
    </w:p>
    <w:p w14:paraId="1202BCE0">
      <w:pPr>
        <w:widowControl/>
        <w:jc w:val="left"/>
        <w:rPr>
          <w:rFonts w:cs="仿宋_GB2312"/>
          <w:b/>
          <w:kern w:val="0"/>
          <w:sz w:val="21"/>
          <w:szCs w:val="21"/>
          <w:highlight w:val="none"/>
        </w:rPr>
      </w:pPr>
      <w:r>
        <w:rPr>
          <w:rFonts w:cs="仿宋_GB2312"/>
          <w:b/>
          <w:kern w:val="0"/>
          <w:sz w:val="21"/>
          <w:szCs w:val="21"/>
          <w:highlight w:val="none"/>
        </w:rPr>
        <w:br w:type="page"/>
      </w:r>
    </w:p>
    <w:p w14:paraId="0E14981F">
      <w:pPr>
        <w:snapToGrid w:val="0"/>
        <w:spacing w:line="288" w:lineRule="auto"/>
        <w:jc w:val="center"/>
        <w:outlineLvl w:val="2"/>
        <w:rPr>
          <w:rFonts w:cs="仿宋_GB2312"/>
          <w:b/>
          <w:kern w:val="0"/>
          <w:sz w:val="21"/>
          <w:szCs w:val="21"/>
          <w:highlight w:val="none"/>
        </w:rPr>
      </w:pPr>
      <w:r>
        <w:rPr>
          <w:rFonts w:hint="eastAsia" w:cs="仿宋_GB2312"/>
          <w:b/>
          <w:kern w:val="0"/>
          <w:sz w:val="21"/>
          <w:szCs w:val="21"/>
          <w:highlight w:val="none"/>
        </w:rPr>
        <w:t>附件3</w:t>
      </w:r>
      <w:r>
        <w:rPr>
          <w:rFonts w:cs="仿宋_GB2312"/>
          <w:b/>
          <w:kern w:val="0"/>
          <w:sz w:val="21"/>
          <w:szCs w:val="21"/>
          <w:highlight w:val="none"/>
        </w:rPr>
        <w:t>：</w:t>
      </w:r>
      <w:r>
        <w:rPr>
          <w:rFonts w:hint="eastAsia" w:cs="仿宋_GB2312"/>
          <w:b/>
          <w:kern w:val="0"/>
          <w:sz w:val="21"/>
          <w:szCs w:val="21"/>
          <w:highlight w:val="none"/>
        </w:rPr>
        <w:t>分包意向协议</w:t>
      </w:r>
    </w:p>
    <w:p w14:paraId="471CA053">
      <w:pPr>
        <w:widowControl/>
        <w:snapToGrid w:val="0"/>
        <w:spacing w:line="288" w:lineRule="auto"/>
        <w:ind w:firstLine="422" w:firstLineChars="201"/>
        <w:jc w:val="left"/>
        <w:rPr>
          <w:rFonts w:cs="仿宋_GB2312"/>
          <w:sz w:val="21"/>
          <w:szCs w:val="21"/>
          <w:highlight w:val="none"/>
        </w:rPr>
      </w:pPr>
      <w:r>
        <w:rPr>
          <w:rFonts w:hint="eastAsia" w:cs="仿宋_GB2312"/>
          <w:sz w:val="21"/>
          <w:szCs w:val="21"/>
          <w:highlight w:val="none"/>
        </w:rPr>
        <w:t>（</w:t>
      </w:r>
      <w:r>
        <w:rPr>
          <w:rFonts w:hint="eastAsia" w:cs="仿宋_GB2312"/>
          <w:b/>
          <w:sz w:val="21"/>
          <w:szCs w:val="21"/>
          <w:highlight w:val="none"/>
        </w:rPr>
        <w:t>成交后以分包方式履行合同的，提供分包意向协议；采购人不同意分包或者供应商成交后不以分包方式履行合同的，则不需要提供。</w:t>
      </w:r>
      <w:r>
        <w:rPr>
          <w:rFonts w:hint="eastAsia" w:cs="仿宋_GB2312"/>
          <w:sz w:val="21"/>
          <w:szCs w:val="21"/>
          <w:highlight w:val="none"/>
        </w:rPr>
        <w:t>）</w:t>
      </w:r>
    </w:p>
    <w:p w14:paraId="303F596F">
      <w:pPr>
        <w:snapToGrid w:val="0"/>
        <w:spacing w:line="288" w:lineRule="auto"/>
        <w:ind w:firstLine="422" w:firstLineChars="201"/>
        <w:rPr>
          <w:rFonts w:cs="仿宋_GB2312"/>
          <w:kern w:val="0"/>
          <w:sz w:val="21"/>
          <w:szCs w:val="21"/>
          <w:highlight w:val="none"/>
          <w:lang w:val="zh-CN"/>
        </w:rPr>
      </w:pPr>
      <w:r>
        <w:rPr>
          <w:rFonts w:hint="eastAsia" w:cs="仿宋_GB2312"/>
          <w:kern w:val="0"/>
          <w:sz w:val="21"/>
          <w:szCs w:val="21"/>
          <w:highlight w:val="none"/>
          <w:u w:val="single"/>
        </w:rPr>
        <w:t>（供应商名称）</w:t>
      </w:r>
      <w:r>
        <w:rPr>
          <w:rFonts w:hint="eastAsia" w:cs="仿宋_GB2312"/>
          <w:kern w:val="0"/>
          <w:sz w:val="21"/>
          <w:szCs w:val="21"/>
          <w:highlight w:val="none"/>
          <w:lang w:val="zh-CN"/>
        </w:rPr>
        <w:t>若成为</w:t>
      </w:r>
      <w:r>
        <w:rPr>
          <w:rFonts w:hint="eastAsia" w:cs="仿宋_GB2312"/>
          <w:sz w:val="21"/>
          <w:szCs w:val="21"/>
          <w:highlight w:val="none"/>
        </w:rPr>
        <w:t>（项目名称）【招标编号：</w:t>
      </w:r>
      <w:r>
        <w:rPr>
          <w:rFonts w:hint="eastAsia" w:cs="Times New Roman"/>
          <w:sz w:val="21"/>
          <w:szCs w:val="21"/>
          <w:highlight w:val="none"/>
        </w:rPr>
        <w:t>（采购编号）</w:t>
      </w:r>
      <w:r>
        <w:rPr>
          <w:rFonts w:hint="eastAsia" w:cs="仿宋_GB2312"/>
          <w:sz w:val="21"/>
          <w:szCs w:val="21"/>
          <w:highlight w:val="none"/>
        </w:rPr>
        <w:t>】</w:t>
      </w:r>
      <w:r>
        <w:rPr>
          <w:rFonts w:hint="eastAsia" w:cs="仿宋_GB2312"/>
          <w:kern w:val="0"/>
          <w:sz w:val="21"/>
          <w:szCs w:val="21"/>
          <w:highlight w:val="none"/>
          <w:lang w:val="zh-CN"/>
        </w:rPr>
        <w:t>的成交供应商，将依法采取分包方式履行合同。</w:t>
      </w:r>
      <w:r>
        <w:rPr>
          <w:rFonts w:hint="eastAsia" w:cs="仿宋_GB2312"/>
          <w:kern w:val="0"/>
          <w:sz w:val="21"/>
          <w:szCs w:val="21"/>
          <w:highlight w:val="none"/>
          <w:u w:val="single"/>
        </w:rPr>
        <w:t>（供应商名称）</w:t>
      </w:r>
      <w:r>
        <w:rPr>
          <w:rFonts w:hint="eastAsia" w:cs="仿宋_GB2312"/>
          <w:kern w:val="0"/>
          <w:sz w:val="21"/>
          <w:szCs w:val="21"/>
          <w:highlight w:val="none"/>
        </w:rPr>
        <w:t>与</w:t>
      </w:r>
      <w:r>
        <w:rPr>
          <w:rFonts w:hint="eastAsia" w:cs="仿宋_GB2312"/>
          <w:kern w:val="0"/>
          <w:sz w:val="21"/>
          <w:szCs w:val="21"/>
          <w:highlight w:val="none"/>
          <w:u w:val="single"/>
        </w:rPr>
        <w:t>（所有分包供应商名称）</w:t>
      </w:r>
      <w:r>
        <w:rPr>
          <w:rFonts w:hint="eastAsia" w:cs="仿宋_GB2312"/>
          <w:kern w:val="0"/>
          <w:sz w:val="21"/>
          <w:szCs w:val="21"/>
          <w:highlight w:val="none"/>
        </w:rPr>
        <w:t>达成分包意向协议</w:t>
      </w:r>
      <w:r>
        <w:rPr>
          <w:rFonts w:hint="eastAsia" w:cs="仿宋_GB2312"/>
          <w:kern w:val="0"/>
          <w:sz w:val="21"/>
          <w:szCs w:val="21"/>
          <w:highlight w:val="none"/>
          <w:lang w:val="zh-CN"/>
        </w:rPr>
        <w:t>。</w:t>
      </w:r>
      <w:r>
        <w:rPr>
          <w:rFonts w:cs="仿宋_GB2312"/>
          <w:kern w:val="0"/>
          <w:sz w:val="21"/>
          <w:szCs w:val="21"/>
          <w:highlight w:val="none"/>
          <w:lang w:val="zh-CN"/>
        </w:rPr>
        <w:t xml:space="preserve"> </w:t>
      </w:r>
    </w:p>
    <w:p w14:paraId="0956C388">
      <w:pPr>
        <w:snapToGrid w:val="0"/>
        <w:spacing w:line="288" w:lineRule="auto"/>
        <w:ind w:firstLine="422" w:firstLineChars="201"/>
        <w:rPr>
          <w:rFonts w:cs="仿宋_GB2312"/>
          <w:kern w:val="0"/>
          <w:sz w:val="21"/>
          <w:szCs w:val="21"/>
          <w:highlight w:val="none"/>
          <w:lang w:val="zh-CN"/>
        </w:rPr>
      </w:pPr>
      <w:r>
        <w:rPr>
          <w:rFonts w:hint="eastAsia" w:cs="仿宋_GB2312"/>
          <w:kern w:val="0"/>
          <w:sz w:val="21"/>
          <w:szCs w:val="21"/>
          <w:highlight w:val="none"/>
          <w:lang w:val="zh-CN"/>
        </w:rPr>
        <w:t>一、分包标的及数量</w:t>
      </w:r>
    </w:p>
    <w:p w14:paraId="6097E177">
      <w:pPr>
        <w:snapToGrid w:val="0"/>
        <w:spacing w:line="288" w:lineRule="auto"/>
        <w:ind w:firstLine="422" w:firstLineChars="201"/>
        <w:rPr>
          <w:rFonts w:cs="仿宋_GB2312"/>
          <w:kern w:val="0"/>
          <w:sz w:val="21"/>
          <w:szCs w:val="21"/>
          <w:highlight w:val="none"/>
          <w:lang w:val="zh-CN"/>
        </w:rPr>
      </w:pPr>
      <w:r>
        <w:rPr>
          <w:rFonts w:hint="eastAsia" w:cs="仿宋_GB2312"/>
          <w:kern w:val="0"/>
          <w:sz w:val="21"/>
          <w:szCs w:val="21"/>
          <w:highlight w:val="none"/>
          <w:u w:val="single"/>
        </w:rPr>
        <w:t>（供应商名称）</w:t>
      </w:r>
      <w:r>
        <w:rPr>
          <w:rFonts w:hint="eastAsia" w:cs="仿宋_GB2312"/>
          <w:kern w:val="0"/>
          <w:sz w:val="21"/>
          <w:szCs w:val="21"/>
          <w:highlight w:val="none"/>
          <w:lang w:val="zh-CN"/>
        </w:rPr>
        <w:t>将</w:t>
      </w:r>
      <w:r>
        <w:rPr>
          <w:rFonts w:cs="Times New Roman"/>
          <w:sz w:val="21"/>
          <w:szCs w:val="21"/>
          <w:highlight w:val="none"/>
          <w:u w:val="single"/>
        </w:rPr>
        <w:t xml:space="preserve">   XX工作内容   </w:t>
      </w:r>
      <w:r>
        <w:rPr>
          <w:rFonts w:hint="eastAsia" w:cs="Arial"/>
          <w:sz w:val="21"/>
          <w:szCs w:val="21"/>
          <w:highlight w:val="none"/>
        </w:rPr>
        <w:t>分包给</w:t>
      </w:r>
      <w:r>
        <w:rPr>
          <w:rFonts w:hint="eastAsia" w:cs="仿宋_GB2312"/>
          <w:kern w:val="0"/>
          <w:sz w:val="21"/>
          <w:szCs w:val="21"/>
          <w:highlight w:val="none"/>
          <w:u w:val="single"/>
        </w:rPr>
        <w:t>（某分包供应商名称）</w:t>
      </w:r>
      <w:r>
        <w:rPr>
          <w:rFonts w:hint="eastAsia" w:cs="仿宋_GB2312"/>
          <w:kern w:val="0"/>
          <w:sz w:val="21"/>
          <w:szCs w:val="21"/>
          <w:highlight w:val="none"/>
          <w:lang w:val="zh-CN"/>
        </w:rPr>
        <w:t>，</w:t>
      </w:r>
      <w:r>
        <w:rPr>
          <w:rFonts w:hint="eastAsia" w:cs="仿宋_GB2312"/>
          <w:kern w:val="0"/>
          <w:sz w:val="21"/>
          <w:szCs w:val="21"/>
          <w:highlight w:val="none"/>
          <w:u w:val="single"/>
        </w:rPr>
        <w:t>（某分包供应商名称），</w:t>
      </w:r>
      <w:r>
        <w:rPr>
          <w:rFonts w:hint="eastAsia" w:cs="仿宋_GB2312"/>
          <w:kern w:val="0"/>
          <w:sz w:val="21"/>
          <w:szCs w:val="21"/>
          <w:highlight w:val="none"/>
          <w:lang w:val="zh-CN"/>
        </w:rPr>
        <w:t>具备承</w:t>
      </w:r>
      <w:r>
        <w:rPr>
          <w:rFonts w:hint="eastAsia" w:cs="仿宋_GB2312"/>
          <w:kern w:val="0"/>
          <w:sz w:val="21"/>
          <w:szCs w:val="21"/>
          <w:highlight w:val="none"/>
        </w:rPr>
        <w:t>担</w:t>
      </w:r>
      <w:r>
        <w:rPr>
          <w:rFonts w:cs="仿宋_GB2312"/>
          <w:kern w:val="0"/>
          <w:sz w:val="21"/>
          <w:szCs w:val="21"/>
          <w:highlight w:val="none"/>
          <w:u w:val="single"/>
          <w:lang w:val="zh-CN"/>
        </w:rPr>
        <w:t>XX工作内容</w:t>
      </w:r>
      <w:r>
        <w:rPr>
          <w:rFonts w:hint="eastAsia" w:cs="仿宋_GB2312"/>
          <w:kern w:val="0"/>
          <w:sz w:val="21"/>
          <w:szCs w:val="21"/>
          <w:highlight w:val="none"/>
          <w:lang w:val="zh-CN"/>
        </w:rPr>
        <w:t>相应资质条件且不得再次分包；</w:t>
      </w:r>
    </w:p>
    <w:p w14:paraId="3DB180C0">
      <w:pPr>
        <w:snapToGrid w:val="0"/>
        <w:spacing w:line="288" w:lineRule="auto"/>
        <w:ind w:firstLine="422" w:firstLineChars="201"/>
        <w:rPr>
          <w:rFonts w:cs="仿宋_GB2312"/>
          <w:kern w:val="0"/>
          <w:sz w:val="21"/>
          <w:szCs w:val="21"/>
          <w:highlight w:val="none"/>
          <w:lang w:val="zh-CN"/>
        </w:rPr>
      </w:pPr>
      <w:r>
        <w:rPr>
          <w:rFonts w:hint="eastAsia" w:cs="仿宋_GB2312"/>
          <w:kern w:val="0"/>
          <w:sz w:val="21"/>
          <w:szCs w:val="21"/>
          <w:highlight w:val="none"/>
          <w:lang w:val="zh-CN"/>
        </w:rPr>
        <w:t>……</w:t>
      </w:r>
    </w:p>
    <w:p w14:paraId="5DA51C84">
      <w:pPr>
        <w:snapToGrid w:val="0"/>
        <w:spacing w:line="288" w:lineRule="auto"/>
        <w:ind w:firstLine="422" w:firstLineChars="201"/>
        <w:rPr>
          <w:rFonts w:cs="仿宋_GB2312"/>
          <w:kern w:val="0"/>
          <w:sz w:val="21"/>
          <w:szCs w:val="21"/>
          <w:highlight w:val="none"/>
          <w:lang w:val="zh-CN"/>
        </w:rPr>
      </w:pPr>
      <w:r>
        <w:rPr>
          <w:rFonts w:hint="eastAsia" w:cs="仿宋_GB2312"/>
          <w:kern w:val="0"/>
          <w:sz w:val="21"/>
          <w:szCs w:val="21"/>
          <w:highlight w:val="none"/>
          <w:lang w:val="zh-CN"/>
        </w:rPr>
        <w:t>二、分包工作履行期限、地点、方式</w:t>
      </w:r>
    </w:p>
    <w:p w14:paraId="2243DAD5">
      <w:pPr>
        <w:snapToGrid w:val="0"/>
        <w:spacing w:line="288" w:lineRule="auto"/>
        <w:ind w:firstLine="422" w:firstLineChars="201"/>
        <w:rPr>
          <w:rFonts w:cs="Times New Roman"/>
          <w:sz w:val="21"/>
          <w:szCs w:val="21"/>
          <w:highlight w:val="none"/>
          <w:u w:val="single"/>
        </w:rPr>
      </w:pPr>
      <w:r>
        <w:rPr>
          <w:rFonts w:cs="Times New Roman"/>
          <w:sz w:val="21"/>
          <w:szCs w:val="21"/>
          <w:highlight w:val="none"/>
          <w:u w:val="single"/>
        </w:rPr>
        <w:t xml:space="preserve">                                                                                  </w:t>
      </w:r>
    </w:p>
    <w:p w14:paraId="202EDFEB">
      <w:pPr>
        <w:snapToGrid w:val="0"/>
        <w:spacing w:line="288" w:lineRule="auto"/>
        <w:ind w:firstLine="422" w:firstLineChars="201"/>
        <w:rPr>
          <w:rFonts w:cs="仿宋_GB2312"/>
          <w:kern w:val="0"/>
          <w:sz w:val="21"/>
          <w:szCs w:val="21"/>
          <w:highlight w:val="none"/>
          <w:lang w:val="zh-CN"/>
        </w:rPr>
      </w:pPr>
      <w:r>
        <w:rPr>
          <w:rFonts w:hint="eastAsia" w:cs="仿宋_GB2312"/>
          <w:kern w:val="0"/>
          <w:sz w:val="21"/>
          <w:szCs w:val="21"/>
          <w:highlight w:val="none"/>
          <w:lang w:val="zh-CN"/>
        </w:rPr>
        <w:t>三、质量</w:t>
      </w:r>
    </w:p>
    <w:p w14:paraId="4150F93C">
      <w:pPr>
        <w:snapToGrid w:val="0"/>
        <w:spacing w:line="288" w:lineRule="auto"/>
        <w:ind w:firstLine="422" w:firstLineChars="201"/>
        <w:rPr>
          <w:rFonts w:cs="仿宋_GB2312"/>
          <w:kern w:val="0"/>
          <w:sz w:val="21"/>
          <w:szCs w:val="21"/>
          <w:highlight w:val="none"/>
          <w:lang w:val="zh-CN"/>
        </w:rPr>
      </w:pPr>
      <w:r>
        <w:rPr>
          <w:rFonts w:cs="Times New Roman"/>
          <w:sz w:val="21"/>
          <w:szCs w:val="21"/>
          <w:highlight w:val="none"/>
          <w:u w:val="single"/>
        </w:rPr>
        <w:t xml:space="preserve">                                                                                       </w:t>
      </w:r>
    </w:p>
    <w:p w14:paraId="5A765BD8">
      <w:pPr>
        <w:snapToGrid w:val="0"/>
        <w:spacing w:line="288" w:lineRule="auto"/>
        <w:ind w:firstLine="422" w:firstLineChars="201"/>
        <w:rPr>
          <w:rFonts w:cs="仿宋_GB2312"/>
          <w:kern w:val="0"/>
          <w:sz w:val="21"/>
          <w:szCs w:val="21"/>
          <w:highlight w:val="none"/>
          <w:lang w:val="zh-CN"/>
        </w:rPr>
      </w:pPr>
      <w:r>
        <w:rPr>
          <w:rFonts w:hint="eastAsia" w:cs="仿宋_GB2312"/>
          <w:kern w:val="0"/>
          <w:sz w:val="21"/>
          <w:szCs w:val="21"/>
          <w:highlight w:val="none"/>
          <w:lang w:val="zh-CN"/>
        </w:rPr>
        <w:t>四、价款或者报酬</w:t>
      </w:r>
    </w:p>
    <w:p w14:paraId="09AE60A3">
      <w:pPr>
        <w:snapToGrid w:val="0"/>
        <w:spacing w:line="288" w:lineRule="auto"/>
        <w:ind w:firstLine="422" w:firstLineChars="201"/>
        <w:rPr>
          <w:rFonts w:cs="仿宋_GB2312"/>
          <w:kern w:val="0"/>
          <w:sz w:val="21"/>
          <w:szCs w:val="21"/>
          <w:highlight w:val="none"/>
          <w:lang w:val="zh-CN"/>
        </w:rPr>
      </w:pPr>
      <w:r>
        <w:rPr>
          <w:rFonts w:cs="Times New Roman"/>
          <w:sz w:val="21"/>
          <w:szCs w:val="21"/>
          <w:highlight w:val="none"/>
          <w:u w:val="single"/>
        </w:rPr>
        <w:t xml:space="preserve">                                                                                     </w:t>
      </w:r>
    </w:p>
    <w:p w14:paraId="01BE07AA">
      <w:pPr>
        <w:snapToGrid w:val="0"/>
        <w:spacing w:line="288" w:lineRule="auto"/>
        <w:ind w:firstLine="422" w:firstLineChars="201"/>
        <w:rPr>
          <w:rFonts w:cs="仿宋_GB2312"/>
          <w:kern w:val="0"/>
          <w:sz w:val="21"/>
          <w:szCs w:val="21"/>
          <w:highlight w:val="none"/>
          <w:lang w:val="zh-CN"/>
        </w:rPr>
      </w:pPr>
      <w:r>
        <w:rPr>
          <w:rFonts w:hint="eastAsia" w:cs="仿宋_GB2312"/>
          <w:kern w:val="0"/>
          <w:sz w:val="21"/>
          <w:szCs w:val="21"/>
          <w:highlight w:val="none"/>
          <w:lang w:val="zh-CN"/>
        </w:rPr>
        <w:t>五、违约责任</w:t>
      </w:r>
    </w:p>
    <w:p w14:paraId="7238ABF1">
      <w:pPr>
        <w:snapToGrid w:val="0"/>
        <w:spacing w:line="288" w:lineRule="auto"/>
        <w:ind w:firstLine="422" w:firstLineChars="201"/>
        <w:rPr>
          <w:rFonts w:cs="仿宋_GB2312"/>
          <w:kern w:val="0"/>
          <w:sz w:val="21"/>
          <w:szCs w:val="21"/>
          <w:highlight w:val="none"/>
          <w:lang w:val="zh-CN"/>
        </w:rPr>
      </w:pPr>
      <w:r>
        <w:rPr>
          <w:rFonts w:cs="Times New Roman"/>
          <w:sz w:val="21"/>
          <w:szCs w:val="21"/>
          <w:highlight w:val="none"/>
          <w:u w:val="single"/>
        </w:rPr>
        <w:t xml:space="preserve">                                                                                     </w:t>
      </w:r>
    </w:p>
    <w:p w14:paraId="03293CAF">
      <w:pPr>
        <w:snapToGrid w:val="0"/>
        <w:spacing w:line="288" w:lineRule="auto"/>
        <w:ind w:firstLine="422" w:firstLineChars="201"/>
        <w:rPr>
          <w:rFonts w:cs="仿宋_GB2312"/>
          <w:kern w:val="0"/>
          <w:sz w:val="21"/>
          <w:szCs w:val="21"/>
          <w:highlight w:val="none"/>
          <w:lang w:val="zh-CN"/>
        </w:rPr>
      </w:pPr>
      <w:r>
        <w:rPr>
          <w:rFonts w:hint="eastAsia" w:cs="仿宋_GB2312"/>
          <w:kern w:val="0"/>
          <w:sz w:val="21"/>
          <w:szCs w:val="21"/>
          <w:highlight w:val="none"/>
          <w:lang w:val="zh-CN"/>
        </w:rPr>
        <w:t>六、争议解决的办法</w:t>
      </w:r>
    </w:p>
    <w:p w14:paraId="6009C0FE">
      <w:pPr>
        <w:snapToGrid w:val="0"/>
        <w:spacing w:line="288" w:lineRule="auto"/>
        <w:ind w:firstLine="422" w:firstLineChars="201"/>
        <w:rPr>
          <w:rFonts w:cs="仿宋_GB2312"/>
          <w:kern w:val="0"/>
          <w:sz w:val="21"/>
          <w:szCs w:val="21"/>
          <w:highlight w:val="none"/>
          <w:lang w:val="zh-CN"/>
        </w:rPr>
      </w:pPr>
      <w:r>
        <w:rPr>
          <w:rFonts w:cs="Times New Roman"/>
          <w:sz w:val="21"/>
          <w:szCs w:val="21"/>
          <w:highlight w:val="none"/>
          <w:u w:val="single"/>
        </w:rPr>
        <w:t xml:space="preserve">                                                                                  </w:t>
      </w:r>
    </w:p>
    <w:p w14:paraId="713DABB0">
      <w:pPr>
        <w:snapToGrid w:val="0"/>
        <w:spacing w:line="288" w:lineRule="auto"/>
        <w:ind w:firstLine="422" w:firstLineChars="201"/>
        <w:rPr>
          <w:rFonts w:cs="仿宋_GB2312"/>
          <w:kern w:val="0"/>
          <w:sz w:val="21"/>
          <w:szCs w:val="21"/>
          <w:highlight w:val="none"/>
          <w:lang w:val="zh-CN"/>
        </w:rPr>
      </w:pPr>
      <w:r>
        <w:rPr>
          <w:rFonts w:hint="eastAsia" w:cs="仿宋_GB2312"/>
          <w:kern w:val="0"/>
          <w:sz w:val="21"/>
          <w:szCs w:val="21"/>
          <w:highlight w:val="none"/>
          <w:lang w:val="zh-CN"/>
        </w:rPr>
        <w:t>七、其他</w:t>
      </w:r>
    </w:p>
    <w:p w14:paraId="65F0607E">
      <w:pPr>
        <w:snapToGrid w:val="0"/>
        <w:spacing w:line="288" w:lineRule="auto"/>
        <w:ind w:firstLine="422" w:firstLineChars="201"/>
        <w:rPr>
          <w:rFonts w:cs="仿宋_GB2312"/>
          <w:b/>
          <w:kern w:val="0"/>
          <w:sz w:val="21"/>
          <w:szCs w:val="21"/>
          <w:highlight w:val="none"/>
          <w:lang w:val="zh-CN"/>
        </w:rPr>
      </w:pPr>
      <w:r>
        <w:rPr>
          <w:rFonts w:hint="eastAsia" w:cs="仿宋_GB2312"/>
          <w:kern w:val="0"/>
          <w:sz w:val="21"/>
          <w:szCs w:val="21"/>
          <w:highlight w:val="none"/>
          <w:u w:val="single"/>
        </w:rPr>
        <w:t>（分包供应商名称）提供的货物全部由小微企业制造，</w:t>
      </w:r>
      <w:r>
        <w:rPr>
          <w:rFonts w:hint="eastAsia" w:cs="仿宋_GB2312"/>
          <w:kern w:val="0"/>
          <w:sz w:val="21"/>
          <w:szCs w:val="21"/>
          <w:highlight w:val="none"/>
        </w:rPr>
        <w:t>其合同份额占到合同总金额</w:t>
      </w:r>
      <w:r>
        <w:rPr>
          <w:rFonts w:cs="仿宋_GB2312"/>
          <w:kern w:val="0"/>
          <w:sz w:val="21"/>
          <w:szCs w:val="21"/>
          <w:highlight w:val="none"/>
          <w:u w:val="single"/>
        </w:rPr>
        <w:t xml:space="preserve">     </w:t>
      </w:r>
      <w:r>
        <w:rPr>
          <w:rFonts w:cs="仿宋_GB2312"/>
          <w:kern w:val="0"/>
          <w:sz w:val="21"/>
          <w:szCs w:val="21"/>
          <w:highlight w:val="none"/>
        </w:rPr>
        <w:t>%以上</w:t>
      </w:r>
      <w:r>
        <w:rPr>
          <w:rFonts w:hint="eastAsia" w:cs="Times New Roman"/>
          <w:sz w:val="21"/>
          <w:szCs w:val="21"/>
          <w:highlight w:val="none"/>
        </w:rPr>
        <w:t>。</w:t>
      </w:r>
      <w:r>
        <w:rPr>
          <w:rFonts w:hint="eastAsia" w:cs="仿宋_GB2312"/>
          <w:b/>
          <w:kern w:val="0"/>
          <w:sz w:val="21"/>
          <w:szCs w:val="21"/>
          <w:highlight w:val="none"/>
          <w:lang w:val="zh-CN"/>
        </w:rPr>
        <w:t>（未预留份额专门面向中小企业采购的的采购项目，以及预留份额中的非预留部分采购包，允许分包的，分包供应商提供的货物全部由小微企业制造，且其合同份额占到合同总金额</w:t>
      </w:r>
      <w:r>
        <w:rPr>
          <w:rFonts w:cs="仿宋_GB2312"/>
          <w:b/>
          <w:kern w:val="0"/>
          <w:sz w:val="21"/>
          <w:szCs w:val="21"/>
          <w:highlight w:val="none"/>
          <w:lang w:val="zh-CN"/>
        </w:rPr>
        <w:t xml:space="preserve"> 30%以上</w:t>
      </w:r>
      <w:r>
        <w:rPr>
          <w:rFonts w:hint="eastAsia" w:cs="仿宋_GB2312"/>
          <w:b/>
          <w:kern w:val="0"/>
          <w:sz w:val="21"/>
          <w:szCs w:val="21"/>
          <w:highlight w:val="none"/>
          <w:lang w:val="zh-CN"/>
        </w:rPr>
        <w:t>的，对大中型企业的报价给予</w:t>
      </w:r>
      <w:r>
        <w:rPr>
          <w:rFonts w:cs="仿宋_GB2312"/>
          <w:b/>
          <w:kern w:val="0"/>
          <w:sz w:val="21"/>
          <w:szCs w:val="21"/>
          <w:highlight w:val="none"/>
          <w:lang w:val="zh-CN"/>
        </w:rPr>
        <w:t>6%的扣除</w:t>
      </w:r>
      <w:r>
        <w:rPr>
          <w:rFonts w:hint="eastAsia" w:cs="仿宋_GB2312"/>
          <w:b/>
          <w:kern w:val="0"/>
          <w:sz w:val="21"/>
          <w:szCs w:val="21"/>
          <w:highlight w:val="none"/>
          <w:lang w:val="zh-CN"/>
        </w:rPr>
        <w:t>）</w:t>
      </w:r>
    </w:p>
    <w:p w14:paraId="51B2AECB">
      <w:pPr>
        <w:snapToGrid w:val="0"/>
        <w:spacing w:line="288" w:lineRule="auto"/>
        <w:rPr>
          <w:rFonts w:cs="仿宋_GB2312"/>
          <w:kern w:val="0"/>
          <w:sz w:val="21"/>
          <w:szCs w:val="21"/>
          <w:highlight w:val="none"/>
          <w:lang w:val="zh-CN"/>
        </w:rPr>
      </w:pPr>
    </w:p>
    <w:p w14:paraId="4EE88699">
      <w:pPr>
        <w:snapToGrid w:val="0"/>
        <w:spacing w:line="288" w:lineRule="auto"/>
        <w:ind w:firstLine="422" w:firstLineChars="200"/>
        <w:rPr>
          <w:rFonts w:cs="仿宋_GB2312"/>
          <w:b/>
          <w:bCs/>
          <w:kern w:val="0"/>
          <w:sz w:val="21"/>
          <w:szCs w:val="21"/>
          <w:highlight w:val="none"/>
          <w:lang w:val="zh-CN"/>
        </w:rPr>
      </w:pPr>
      <w:r>
        <w:rPr>
          <w:rFonts w:hint="eastAsia" w:cs="仿宋_GB2312"/>
          <w:b/>
          <w:bCs/>
          <w:kern w:val="0"/>
          <w:sz w:val="21"/>
          <w:szCs w:val="21"/>
          <w:highlight w:val="none"/>
          <w:lang w:val="zh-CN"/>
        </w:rPr>
        <w:t>供应商名称（电子签名</w:t>
      </w:r>
      <w:r>
        <w:rPr>
          <w:rFonts w:cs="仿宋_GB2312"/>
          <w:b/>
          <w:bCs/>
          <w:kern w:val="0"/>
          <w:sz w:val="21"/>
          <w:szCs w:val="21"/>
          <w:highlight w:val="none"/>
          <w:lang w:val="zh-CN"/>
        </w:rPr>
        <w:t>/公章）：</w:t>
      </w:r>
    </w:p>
    <w:p w14:paraId="49808827">
      <w:pPr>
        <w:snapToGrid w:val="0"/>
        <w:spacing w:line="288" w:lineRule="auto"/>
        <w:ind w:firstLine="424" w:firstLineChars="201"/>
        <w:rPr>
          <w:rFonts w:cs="仿宋_GB2312"/>
          <w:b/>
          <w:bCs/>
          <w:kern w:val="0"/>
          <w:sz w:val="21"/>
          <w:szCs w:val="21"/>
          <w:highlight w:val="none"/>
          <w:lang w:val="zh-CN"/>
        </w:rPr>
      </w:pPr>
    </w:p>
    <w:p w14:paraId="62F42193">
      <w:pPr>
        <w:snapToGrid w:val="0"/>
        <w:spacing w:line="288" w:lineRule="auto"/>
        <w:ind w:firstLine="424" w:firstLineChars="201"/>
        <w:rPr>
          <w:rFonts w:cs="仿宋_GB2312"/>
          <w:b/>
          <w:bCs/>
          <w:kern w:val="0"/>
          <w:sz w:val="21"/>
          <w:szCs w:val="21"/>
          <w:highlight w:val="none"/>
          <w:lang w:val="zh-CN"/>
        </w:rPr>
      </w:pPr>
      <w:r>
        <w:rPr>
          <w:rFonts w:hint="eastAsia" w:cs="仿宋_GB2312"/>
          <w:b/>
          <w:bCs/>
          <w:kern w:val="0"/>
          <w:sz w:val="21"/>
          <w:szCs w:val="21"/>
          <w:highlight w:val="none"/>
          <w:lang w:val="zh-CN"/>
        </w:rPr>
        <w:t>分包供应商名称：</w:t>
      </w:r>
    </w:p>
    <w:p w14:paraId="4AB8E356">
      <w:pPr>
        <w:snapToGrid w:val="0"/>
        <w:spacing w:line="288" w:lineRule="auto"/>
        <w:rPr>
          <w:rFonts w:cs="仿宋_GB2312"/>
          <w:b/>
          <w:bCs/>
          <w:kern w:val="0"/>
          <w:sz w:val="21"/>
          <w:szCs w:val="21"/>
          <w:highlight w:val="none"/>
          <w:lang w:val="zh-CN"/>
        </w:rPr>
      </w:pPr>
    </w:p>
    <w:p w14:paraId="31F63967">
      <w:pPr>
        <w:snapToGrid w:val="0"/>
        <w:spacing w:line="288" w:lineRule="auto"/>
        <w:ind w:firstLine="424" w:firstLineChars="201"/>
        <w:rPr>
          <w:rFonts w:cs="仿宋_GB2312"/>
          <w:b/>
          <w:bCs/>
          <w:kern w:val="0"/>
          <w:sz w:val="21"/>
          <w:szCs w:val="21"/>
          <w:highlight w:val="none"/>
          <w:lang w:val="zh-CN"/>
        </w:rPr>
      </w:pPr>
      <w:r>
        <w:rPr>
          <w:rFonts w:cs="仿宋_GB2312"/>
          <w:b/>
          <w:bCs/>
          <w:kern w:val="0"/>
          <w:sz w:val="21"/>
          <w:szCs w:val="21"/>
          <w:highlight w:val="none"/>
          <w:lang w:val="zh-CN"/>
        </w:rPr>
        <w:t>日期：  年  月   日</w:t>
      </w:r>
    </w:p>
    <w:p w14:paraId="4E04F21E">
      <w:pPr>
        <w:rPr>
          <w:highlight w:val="none"/>
        </w:rPr>
      </w:pPr>
    </w:p>
    <w:bookmarkEnd w:id="65"/>
    <w:sectPr>
      <w:footerReference r:id="rId7" w:type="default"/>
      <w:pgSz w:w="11906" w:h="16838"/>
      <w:pgMar w:top="1247" w:right="1247" w:bottom="1247" w:left="1247" w:header="142" w:footer="725" w:gutter="0"/>
      <w:pgNumType w:start="73"/>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楷体_GB2312">
    <w:altName w:val="楷体"/>
    <w:panose1 w:val="00000000000000000000"/>
    <w:charset w:val="86"/>
    <w:family w:val="auto"/>
    <w:pitch w:val="default"/>
    <w:sig w:usb0="00000000" w:usb1="0000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Helvetica Neue Light">
    <w:altName w:val="Courier New"/>
    <w:panose1 w:val="00000000000000000000"/>
    <w:charset w:val="00"/>
    <w:family w:val="auto"/>
    <w:pitch w:val="default"/>
    <w:sig w:usb0="00000000" w:usb1="00000000" w:usb2="00000002" w:usb3="00000000" w:csb0="00000007" w:csb1="00000000"/>
  </w:font>
  <w:font w:name="ヒラギノ角ゴ Pro W3">
    <w:altName w:val="MS Gothic"/>
    <w:panose1 w:val="00000000000000000000"/>
    <w:charset w:val="80"/>
    <w:family w:val="auto"/>
    <w:pitch w:val="default"/>
    <w:sig w:usb0="00000000" w:usb1="00000000" w:usb2="00000012" w:usb3="00000000" w:csb0="0002000D" w:csb1="00000000"/>
  </w:font>
  <w:font w:name="Cambria Bold">
    <w:altName w:val="Cambria"/>
    <w:panose1 w:val="02040803050406030204"/>
    <w:charset w:val="00"/>
    <w:family w:val="roman"/>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ˎ̥">
    <w:altName w:val="宋体"/>
    <w:panose1 w:val="00000000000000000000"/>
    <w:charset w:val="00"/>
    <w:family w:val="roman"/>
    <w:pitch w:val="default"/>
    <w:sig w:usb0="00000000" w:usb1="00000000" w:usb2="00000000" w:usb3="00000000" w:csb0="00040001"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D7A979">
    <w:pPr>
      <w:pStyle w:val="20"/>
      <w:jc w:val="center"/>
      <w:rPr>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3A1EF6">
    <w:pPr>
      <w:snapToGrid w:val="0"/>
      <w:jc w:val="left"/>
      <w:rPr>
        <w:rFonts w:ascii="Times New Roman" w:hAnsi="Times New Roman" w:cs="Times New Roman"/>
        <w:sz w:val="18"/>
        <w:szCs w:val="18"/>
      </w:rPr>
    </w:pPr>
    <w:r>
      <w:rPr>
        <w:rFonts w:ascii="Times New Roman" w:hAnsi="Times New Roman" w:cs="Times New Roman"/>
        <w:sz w:val="18"/>
        <w:szCs w:val="18"/>
      </w:rPr>
      <mc:AlternateContent>
        <mc:Choice Requires="wps">
          <w:drawing>
            <wp:anchor distT="0" distB="0" distL="114300" distR="114300" simplePos="0" relativeHeight="251660288" behindDoc="0" locked="0" layoutInCell="1" allowOverlap="1">
              <wp:simplePos x="0" y="0"/>
              <wp:positionH relativeFrom="margin">
                <wp:posOffset>2501265</wp:posOffset>
              </wp:positionH>
              <wp:positionV relativeFrom="paragraph">
                <wp:posOffset>-495300</wp:posOffset>
              </wp:positionV>
              <wp:extent cx="974090" cy="643255"/>
              <wp:effectExtent l="0" t="0" r="0" b="0"/>
              <wp:wrapNone/>
              <wp:docPr id="1" name="文本框 1"/>
              <wp:cNvGraphicFramePr/>
              <a:graphic xmlns:a="http://schemas.openxmlformats.org/drawingml/2006/main">
                <a:graphicData uri="http://schemas.microsoft.com/office/word/2010/wordprocessingShape">
                  <wps:wsp>
                    <wps:cNvSpPr txBox="1"/>
                    <wps:spPr>
                      <a:xfrm>
                        <a:off x="0" y="0"/>
                        <a:ext cx="974090" cy="643255"/>
                      </a:xfrm>
                      <a:prstGeom prst="rect">
                        <a:avLst/>
                      </a:prstGeom>
                      <a:noFill/>
                      <a:ln w="15875">
                        <a:noFill/>
                      </a:ln>
                    </wps:spPr>
                    <wps:txbx>
                      <w:txbxContent>
                        <w:p w14:paraId="08094786">
                          <w:pPr>
                            <w:snapToGrid w:val="0"/>
                            <w:rPr>
                              <w:rFonts w:ascii="Times New Roman" w:hAnsi="Times New Roman" w:cs="Times New Roman"/>
                              <w:sz w:val="18"/>
                              <w:szCs w:val="18"/>
                            </w:rPr>
                          </w:pPr>
                          <w:r>
                            <w:rPr>
                              <w:rFonts w:hint="eastAsia" w:ascii="Times New Roman" w:hAnsi="Times New Roman" w:cs="Times New Roman"/>
                              <w:sz w:val="18"/>
                              <w:szCs w:val="18"/>
                            </w:rPr>
                            <w:fldChar w:fldCharType="begin"/>
                          </w:r>
                          <w:r>
                            <w:rPr>
                              <w:rFonts w:hint="eastAsia" w:ascii="Times New Roman" w:hAnsi="Times New Roman" w:cs="Times New Roman"/>
                              <w:sz w:val="18"/>
                              <w:szCs w:val="18"/>
                            </w:rPr>
                            <w:instrText xml:space="preserve"> PAGE  \* MERGEFORMAT </w:instrText>
                          </w:r>
                          <w:r>
                            <w:rPr>
                              <w:rFonts w:hint="eastAsia" w:ascii="Times New Roman" w:hAnsi="Times New Roman" w:cs="Times New Roman"/>
                              <w:sz w:val="18"/>
                              <w:szCs w:val="18"/>
                            </w:rPr>
                            <w:fldChar w:fldCharType="separate"/>
                          </w:r>
                          <w:r>
                            <w:rPr>
                              <w:rFonts w:ascii="Times New Roman" w:hAnsi="Times New Roman" w:cs="Times New Roman"/>
                              <w:sz w:val="18"/>
                              <w:szCs w:val="18"/>
                            </w:rPr>
                            <w:t>19</w:t>
                          </w:r>
                          <w:r>
                            <w:rPr>
                              <w:rFonts w:hint="eastAsia" w:ascii="Times New Roman" w:hAnsi="Times New Roman" w:cs="Times New Roman"/>
                              <w:sz w:val="18"/>
                              <w:szCs w:val="18"/>
                            </w:rPr>
                            <w:fldChar w:fldCharType="end"/>
                          </w:r>
                        </w:p>
                      </w:txbxContent>
                    </wps:txbx>
                    <wps:bodyPr lIns="0" tIns="0" rIns="0" bIns="0"/>
                  </wps:wsp>
                </a:graphicData>
              </a:graphic>
            </wp:anchor>
          </w:drawing>
        </mc:Choice>
        <mc:Fallback>
          <w:pict>
            <v:shape id="_x0000_s1026" o:spid="_x0000_s1026" o:spt="202" type="#_x0000_t202" style="position:absolute;left:0pt;margin-left:196.95pt;margin-top:-39pt;height:50.65pt;width:76.7pt;mso-position-horizontal-relative:margin;z-index:251660288;mso-width-relative:page;mso-height-relative:page;" filled="f" stroked="f" coordsize="21600,21600" o:gfxdata="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Hef7G2QAAAAoBAAAPAAAAAAAAAAEAIAAAACIAAABkcnMvZG93bnJldi54bWxQ&#10;SwECFAAUAAAACACHTuJAHrBCBL0BAABvAwAADgAAAAAAAAABACAAAAAoAQAAZHJzL2Uyb0RvYy54&#10;bWxQSwUGAAAAAAYABgBZAQAAVwUAAAAA&#10;">
              <v:fill on="f" focussize="0,0"/>
              <v:stroke on="f" weight="1.25pt"/>
              <v:imagedata o:title=""/>
              <o:lock v:ext="edit" aspectratio="f"/>
              <v:textbox inset="0mm,0mm,0mm,0mm">
                <w:txbxContent>
                  <w:p w14:paraId="08094786">
                    <w:pPr>
                      <w:snapToGrid w:val="0"/>
                      <w:rPr>
                        <w:rFonts w:ascii="Times New Roman" w:hAnsi="Times New Roman" w:cs="Times New Roman"/>
                        <w:sz w:val="18"/>
                        <w:szCs w:val="18"/>
                      </w:rPr>
                    </w:pPr>
                    <w:r>
                      <w:rPr>
                        <w:rFonts w:hint="eastAsia" w:ascii="Times New Roman" w:hAnsi="Times New Roman" w:cs="Times New Roman"/>
                        <w:sz w:val="18"/>
                        <w:szCs w:val="18"/>
                      </w:rPr>
                      <w:fldChar w:fldCharType="begin"/>
                    </w:r>
                    <w:r>
                      <w:rPr>
                        <w:rFonts w:hint="eastAsia" w:ascii="Times New Roman" w:hAnsi="Times New Roman" w:cs="Times New Roman"/>
                        <w:sz w:val="18"/>
                        <w:szCs w:val="18"/>
                      </w:rPr>
                      <w:instrText xml:space="preserve"> PAGE  \* MERGEFORMAT </w:instrText>
                    </w:r>
                    <w:r>
                      <w:rPr>
                        <w:rFonts w:hint="eastAsia" w:ascii="Times New Roman" w:hAnsi="Times New Roman" w:cs="Times New Roman"/>
                        <w:sz w:val="18"/>
                        <w:szCs w:val="18"/>
                      </w:rPr>
                      <w:fldChar w:fldCharType="separate"/>
                    </w:r>
                    <w:r>
                      <w:rPr>
                        <w:rFonts w:ascii="Times New Roman" w:hAnsi="Times New Roman" w:cs="Times New Roman"/>
                        <w:sz w:val="18"/>
                        <w:szCs w:val="18"/>
                      </w:rPr>
                      <w:t>19</w:t>
                    </w:r>
                    <w:r>
                      <w:rPr>
                        <w:rFonts w:hint="eastAsia" w:ascii="Times New Roman" w:hAnsi="Times New Roman" w:cs="Times New Roman"/>
                        <w:sz w:val="18"/>
                        <w:szCs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E5C7AD">
    <w:pPr>
      <w:pStyle w:val="20"/>
      <w:jc w:val="center"/>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103</w:t>
    </w:r>
    <w:r>
      <w:rPr>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506AF4">
    <w:pPr>
      <w:jc w:val="center"/>
    </w:pPr>
    <w:r>
      <w:rPr>
        <w:rFonts w:hint="eastAsia"/>
      </w:rPr>
      <w:drawing>
        <wp:inline distT="0" distB="0" distL="114300" distR="114300">
          <wp:extent cx="5905500" cy="676275"/>
          <wp:effectExtent l="0" t="0" r="0" b="9525"/>
          <wp:docPr id="8" name="图片 8"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图片1"/>
                  <pic:cNvPicPr>
                    <a:picLocks noChangeAspect="1"/>
                  </pic:cNvPicPr>
                </pic:nvPicPr>
                <pic:blipFill>
                  <a:blip r:embed="rId1"/>
                  <a:stretch>
                    <a:fillRect/>
                  </a:stretch>
                </pic:blipFill>
                <pic:spPr>
                  <a:xfrm>
                    <a:off x="0" y="0"/>
                    <a:ext cx="5905500" cy="676275"/>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87AF9B">
    <w:pPr>
      <w:jc w:val="center"/>
    </w:pPr>
    <w:r>
      <w:rPr>
        <w:rFonts w:hint="eastAsia"/>
      </w:rPr>
      <w:drawing>
        <wp:inline distT="0" distB="0" distL="114300" distR="114300">
          <wp:extent cx="5905500" cy="676275"/>
          <wp:effectExtent l="0" t="0" r="0" b="9525"/>
          <wp:docPr id="1350651889" name="图片 1350651889"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0651889" name="图片 1350651889" descr="图片1"/>
                  <pic:cNvPicPr>
                    <a:picLocks noChangeAspect="1"/>
                  </pic:cNvPicPr>
                </pic:nvPicPr>
                <pic:blipFill>
                  <a:blip r:embed="rId1"/>
                  <a:stretch>
                    <a:fillRect/>
                  </a:stretch>
                </pic:blipFill>
                <pic:spPr>
                  <a:xfrm>
                    <a:off x="0" y="0"/>
                    <a:ext cx="5905500" cy="67627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B887B6"/>
    <w:multiLevelType w:val="singleLevel"/>
    <w:tmpl w:val="ACB887B6"/>
    <w:lvl w:ilvl="0" w:tentative="0">
      <w:start w:val="1"/>
      <w:numFmt w:val="decimal"/>
      <w:lvlText w:val="(%1)"/>
      <w:lvlJc w:val="left"/>
      <w:pPr>
        <w:tabs>
          <w:tab w:val="left" w:pos="312"/>
        </w:tabs>
      </w:pPr>
    </w:lvl>
  </w:abstractNum>
  <w:abstractNum w:abstractNumId="1">
    <w:nsid w:val="FFFFFF7E"/>
    <w:multiLevelType w:val="singleLevel"/>
    <w:tmpl w:val="FFFFFF7E"/>
    <w:lvl w:ilvl="0" w:tentative="0">
      <w:start w:val="1"/>
      <w:numFmt w:val="decimal"/>
      <w:pStyle w:val="9"/>
      <w:lvlText w:val="%1."/>
      <w:lvlJc w:val="left"/>
      <w:pPr>
        <w:tabs>
          <w:tab w:val="left" w:pos="1200"/>
        </w:tabs>
        <w:ind w:left="1200" w:leftChars="400" w:hanging="360" w:hangingChars="200"/>
      </w:pPr>
    </w:lvl>
  </w:abstractNum>
  <w:abstractNum w:abstractNumId="2">
    <w:nsid w:val="FFFFFF7F"/>
    <w:multiLevelType w:val="singleLevel"/>
    <w:tmpl w:val="FFFFFF7F"/>
    <w:lvl w:ilvl="0" w:tentative="0">
      <w:start w:val="1"/>
      <w:numFmt w:val="decimal"/>
      <w:lvlText w:val="%1."/>
      <w:lvlJc w:val="left"/>
      <w:pPr>
        <w:tabs>
          <w:tab w:val="left" w:pos="780"/>
        </w:tabs>
        <w:ind w:left="780" w:leftChars="200" w:hanging="360" w:hangingChars="200"/>
      </w:pPr>
    </w:lvl>
  </w:abstractNum>
  <w:abstractNum w:abstractNumId="3">
    <w:nsid w:val="FFFFFF88"/>
    <w:multiLevelType w:val="singleLevel"/>
    <w:tmpl w:val="FFFFFF88"/>
    <w:lvl w:ilvl="0" w:tentative="0">
      <w:start w:val="1"/>
      <w:numFmt w:val="decimal"/>
      <w:lvlText w:val="%1."/>
      <w:lvlJc w:val="left"/>
      <w:pPr>
        <w:tabs>
          <w:tab w:val="left" w:pos="360"/>
        </w:tabs>
        <w:ind w:left="360" w:hanging="360" w:hangingChars="200"/>
      </w:pPr>
    </w:lvl>
  </w:abstractNum>
  <w:abstractNum w:abstractNumId="4">
    <w:nsid w:val="1C214DD7"/>
    <w:multiLevelType w:val="multilevel"/>
    <w:tmpl w:val="1C214DD7"/>
    <w:lvl w:ilvl="0" w:tentative="0">
      <w:start w:val="1"/>
      <w:numFmt w:val="chineseCountingThousand"/>
      <w:lvlText w:val="(%1)"/>
      <w:lvlJc w:val="left"/>
      <w:pPr>
        <w:ind w:left="935" w:hanging="440"/>
      </w:pPr>
    </w:lvl>
    <w:lvl w:ilvl="1" w:tentative="0">
      <w:start w:val="1"/>
      <w:numFmt w:val="lowerLetter"/>
      <w:lvlText w:val="%2)"/>
      <w:lvlJc w:val="left"/>
      <w:pPr>
        <w:ind w:left="1375" w:hanging="440"/>
      </w:pPr>
    </w:lvl>
    <w:lvl w:ilvl="2" w:tentative="0">
      <w:start w:val="1"/>
      <w:numFmt w:val="lowerRoman"/>
      <w:lvlText w:val="%3."/>
      <w:lvlJc w:val="right"/>
      <w:pPr>
        <w:ind w:left="1815" w:hanging="440"/>
      </w:pPr>
    </w:lvl>
    <w:lvl w:ilvl="3" w:tentative="0">
      <w:start w:val="1"/>
      <w:numFmt w:val="decimal"/>
      <w:lvlText w:val="%4."/>
      <w:lvlJc w:val="left"/>
      <w:pPr>
        <w:ind w:left="2255" w:hanging="440"/>
      </w:pPr>
    </w:lvl>
    <w:lvl w:ilvl="4" w:tentative="0">
      <w:start w:val="1"/>
      <w:numFmt w:val="lowerLetter"/>
      <w:lvlText w:val="%5)"/>
      <w:lvlJc w:val="left"/>
      <w:pPr>
        <w:ind w:left="2695" w:hanging="440"/>
      </w:pPr>
    </w:lvl>
    <w:lvl w:ilvl="5" w:tentative="0">
      <w:start w:val="1"/>
      <w:numFmt w:val="lowerRoman"/>
      <w:lvlText w:val="%6."/>
      <w:lvlJc w:val="right"/>
      <w:pPr>
        <w:ind w:left="3135" w:hanging="440"/>
      </w:pPr>
    </w:lvl>
    <w:lvl w:ilvl="6" w:tentative="0">
      <w:start w:val="1"/>
      <w:numFmt w:val="decimal"/>
      <w:lvlText w:val="%7."/>
      <w:lvlJc w:val="left"/>
      <w:pPr>
        <w:ind w:left="3575" w:hanging="440"/>
      </w:pPr>
    </w:lvl>
    <w:lvl w:ilvl="7" w:tentative="0">
      <w:start w:val="1"/>
      <w:numFmt w:val="lowerLetter"/>
      <w:lvlText w:val="%8)"/>
      <w:lvlJc w:val="left"/>
      <w:pPr>
        <w:ind w:left="4015" w:hanging="440"/>
      </w:pPr>
    </w:lvl>
    <w:lvl w:ilvl="8" w:tentative="0">
      <w:start w:val="1"/>
      <w:numFmt w:val="lowerRoman"/>
      <w:lvlText w:val="%9."/>
      <w:lvlJc w:val="right"/>
      <w:pPr>
        <w:ind w:left="4455" w:hanging="440"/>
      </w:p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FjNjQyZTEwMThkZmRmNDAyZTZiYmEzYjZiNGZmYTUifQ=="/>
  </w:docVars>
  <w:rsids>
    <w:rsidRoot w:val="0035197B"/>
    <w:rsid w:val="00001683"/>
    <w:rsid w:val="0001104B"/>
    <w:rsid w:val="000275B5"/>
    <w:rsid w:val="00040EC8"/>
    <w:rsid w:val="000509DE"/>
    <w:rsid w:val="0005798E"/>
    <w:rsid w:val="00067C39"/>
    <w:rsid w:val="00076A27"/>
    <w:rsid w:val="000838BE"/>
    <w:rsid w:val="00084B40"/>
    <w:rsid w:val="000856B1"/>
    <w:rsid w:val="00087A12"/>
    <w:rsid w:val="000C0227"/>
    <w:rsid w:val="000E1817"/>
    <w:rsid w:val="000E48E4"/>
    <w:rsid w:val="00101FB6"/>
    <w:rsid w:val="001101B8"/>
    <w:rsid w:val="00111624"/>
    <w:rsid w:val="00135905"/>
    <w:rsid w:val="00140262"/>
    <w:rsid w:val="00155438"/>
    <w:rsid w:val="00161E84"/>
    <w:rsid w:val="00162AE9"/>
    <w:rsid w:val="00165BE9"/>
    <w:rsid w:val="00175059"/>
    <w:rsid w:val="0017776E"/>
    <w:rsid w:val="0018113A"/>
    <w:rsid w:val="00181F0E"/>
    <w:rsid w:val="00185494"/>
    <w:rsid w:val="00185DAE"/>
    <w:rsid w:val="0019618D"/>
    <w:rsid w:val="001A02BC"/>
    <w:rsid w:val="001A71F4"/>
    <w:rsid w:val="001B12AB"/>
    <w:rsid w:val="001B6A2B"/>
    <w:rsid w:val="001C1E63"/>
    <w:rsid w:val="001D0ECB"/>
    <w:rsid w:val="001E3835"/>
    <w:rsid w:val="001E4154"/>
    <w:rsid w:val="00214668"/>
    <w:rsid w:val="00215143"/>
    <w:rsid w:val="0021524B"/>
    <w:rsid w:val="00215824"/>
    <w:rsid w:val="00216C31"/>
    <w:rsid w:val="00231A02"/>
    <w:rsid w:val="0023200E"/>
    <w:rsid w:val="00232E27"/>
    <w:rsid w:val="0024062D"/>
    <w:rsid w:val="00252BBD"/>
    <w:rsid w:val="00253A25"/>
    <w:rsid w:val="00256B2D"/>
    <w:rsid w:val="00263735"/>
    <w:rsid w:val="0026429E"/>
    <w:rsid w:val="00283588"/>
    <w:rsid w:val="002871C9"/>
    <w:rsid w:val="002877B8"/>
    <w:rsid w:val="0029183F"/>
    <w:rsid w:val="002B4786"/>
    <w:rsid w:val="002D250B"/>
    <w:rsid w:val="002D795F"/>
    <w:rsid w:val="002E3481"/>
    <w:rsid w:val="002F0514"/>
    <w:rsid w:val="002F0873"/>
    <w:rsid w:val="002F5175"/>
    <w:rsid w:val="002F7386"/>
    <w:rsid w:val="003072B1"/>
    <w:rsid w:val="00312253"/>
    <w:rsid w:val="00321DDC"/>
    <w:rsid w:val="00325E65"/>
    <w:rsid w:val="0033543C"/>
    <w:rsid w:val="0035197B"/>
    <w:rsid w:val="00370738"/>
    <w:rsid w:val="00370ADF"/>
    <w:rsid w:val="00381A94"/>
    <w:rsid w:val="00382063"/>
    <w:rsid w:val="003B2B77"/>
    <w:rsid w:val="003C4095"/>
    <w:rsid w:val="003D3B73"/>
    <w:rsid w:val="003E2642"/>
    <w:rsid w:val="00460820"/>
    <w:rsid w:val="00471BB2"/>
    <w:rsid w:val="00494ECD"/>
    <w:rsid w:val="004B1E8E"/>
    <w:rsid w:val="004B4D05"/>
    <w:rsid w:val="004C0BDE"/>
    <w:rsid w:val="004C1947"/>
    <w:rsid w:val="004D4B5A"/>
    <w:rsid w:val="004D59ED"/>
    <w:rsid w:val="005057BE"/>
    <w:rsid w:val="00530F87"/>
    <w:rsid w:val="00540873"/>
    <w:rsid w:val="00543D6A"/>
    <w:rsid w:val="0055045F"/>
    <w:rsid w:val="00582091"/>
    <w:rsid w:val="00592AF5"/>
    <w:rsid w:val="00594BBA"/>
    <w:rsid w:val="00594F9C"/>
    <w:rsid w:val="00596CE2"/>
    <w:rsid w:val="005A7F23"/>
    <w:rsid w:val="005B142B"/>
    <w:rsid w:val="005E0425"/>
    <w:rsid w:val="005E27D0"/>
    <w:rsid w:val="005E44F1"/>
    <w:rsid w:val="005F5B44"/>
    <w:rsid w:val="00605C23"/>
    <w:rsid w:val="00626610"/>
    <w:rsid w:val="00626C54"/>
    <w:rsid w:val="006500FA"/>
    <w:rsid w:val="006543E8"/>
    <w:rsid w:val="00655FF5"/>
    <w:rsid w:val="006565F0"/>
    <w:rsid w:val="006639E9"/>
    <w:rsid w:val="006733B3"/>
    <w:rsid w:val="00681924"/>
    <w:rsid w:val="00694420"/>
    <w:rsid w:val="006A206A"/>
    <w:rsid w:val="006B0046"/>
    <w:rsid w:val="006B0EB5"/>
    <w:rsid w:val="006C5779"/>
    <w:rsid w:val="006E6002"/>
    <w:rsid w:val="006F7134"/>
    <w:rsid w:val="00713433"/>
    <w:rsid w:val="007205D8"/>
    <w:rsid w:val="00723439"/>
    <w:rsid w:val="00742B14"/>
    <w:rsid w:val="00746E6D"/>
    <w:rsid w:val="0076018C"/>
    <w:rsid w:val="00764E56"/>
    <w:rsid w:val="0077000C"/>
    <w:rsid w:val="00772D0E"/>
    <w:rsid w:val="007817C8"/>
    <w:rsid w:val="00792093"/>
    <w:rsid w:val="007A67A8"/>
    <w:rsid w:val="007B71AC"/>
    <w:rsid w:val="007D4FE5"/>
    <w:rsid w:val="007E24D2"/>
    <w:rsid w:val="007F20BD"/>
    <w:rsid w:val="00810815"/>
    <w:rsid w:val="00811C21"/>
    <w:rsid w:val="00813E3D"/>
    <w:rsid w:val="00832098"/>
    <w:rsid w:val="0085109B"/>
    <w:rsid w:val="00855401"/>
    <w:rsid w:val="0086147E"/>
    <w:rsid w:val="0087016D"/>
    <w:rsid w:val="008747E2"/>
    <w:rsid w:val="008772E5"/>
    <w:rsid w:val="008956C4"/>
    <w:rsid w:val="008A1CC3"/>
    <w:rsid w:val="008A27B8"/>
    <w:rsid w:val="008A5726"/>
    <w:rsid w:val="008B3B2C"/>
    <w:rsid w:val="008C0F5C"/>
    <w:rsid w:val="008D6327"/>
    <w:rsid w:val="008F3217"/>
    <w:rsid w:val="00913E41"/>
    <w:rsid w:val="009429A3"/>
    <w:rsid w:val="00942A1F"/>
    <w:rsid w:val="009510F5"/>
    <w:rsid w:val="00961336"/>
    <w:rsid w:val="009639D1"/>
    <w:rsid w:val="0096732E"/>
    <w:rsid w:val="009675F7"/>
    <w:rsid w:val="00974472"/>
    <w:rsid w:val="009864BB"/>
    <w:rsid w:val="0099113E"/>
    <w:rsid w:val="009A06C1"/>
    <w:rsid w:val="009A2935"/>
    <w:rsid w:val="009A29CC"/>
    <w:rsid w:val="009A7D7C"/>
    <w:rsid w:val="009B41B0"/>
    <w:rsid w:val="009C02E6"/>
    <w:rsid w:val="009C5C1B"/>
    <w:rsid w:val="009C7E78"/>
    <w:rsid w:val="009E2016"/>
    <w:rsid w:val="009E30C1"/>
    <w:rsid w:val="009E6894"/>
    <w:rsid w:val="00A03752"/>
    <w:rsid w:val="00A11CD5"/>
    <w:rsid w:val="00A16548"/>
    <w:rsid w:val="00A2083E"/>
    <w:rsid w:val="00A21FB5"/>
    <w:rsid w:val="00A229F3"/>
    <w:rsid w:val="00A2354A"/>
    <w:rsid w:val="00A245A6"/>
    <w:rsid w:val="00A33F4A"/>
    <w:rsid w:val="00A44F25"/>
    <w:rsid w:val="00A454C1"/>
    <w:rsid w:val="00A545E9"/>
    <w:rsid w:val="00A570E3"/>
    <w:rsid w:val="00A81554"/>
    <w:rsid w:val="00A86BED"/>
    <w:rsid w:val="00A91679"/>
    <w:rsid w:val="00A91AC5"/>
    <w:rsid w:val="00A92132"/>
    <w:rsid w:val="00A94DDE"/>
    <w:rsid w:val="00AB3577"/>
    <w:rsid w:val="00AB51AE"/>
    <w:rsid w:val="00AC1A95"/>
    <w:rsid w:val="00AC7948"/>
    <w:rsid w:val="00AE2412"/>
    <w:rsid w:val="00AE592F"/>
    <w:rsid w:val="00AE5F71"/>
    <w:rsid w:val="00AE7589"/>
    <w:rsid w:val="00AF591C"/>
    <w:rsid w:val="00B004AC"/>
    <w:rsid w:val="00B46DB3"/>
    <w:rsid w:val="00B67293"/>
    <w:rsid w:val="00B71C8D"/>
    <w:rsid w:val="00B91FF7"/>
    <w:rsid w:val="00B92FC6"/>
    <w:rsid w:val="00B95BBD"/>
    <w:rsid w:val="00B967B2"/>
    <w:rsid w:val="00B968A9"/>
    <w:rsid w:val="00B9740B"/>
    <w:rsid w:val="00BA0249"/>
    <w:rsid w:val="00BB2B24"/>
    <w:rsid w:val="00BB31A4"/>
    <w:rsid w:val="00BC2E33"/>
    <w:rsid w:val="00BD007E"/>
    <w:rsid w:val="00BD0AA5"/>
    <w:rsid w:val="00BD5E66"/>
    <w:rsid w:val="00BD7D80"/>
    <w:rsid w:val="00BF00A1"/>
    <w:rsid w:val="00C001EA"/>
    <w:rsid w:val="00C17454"/>
    <w:rsid w:val="00C2442D"/>
    <w:rsid w:val="00C245DB"/>
    <w:rsid w:val="00C44792"/>
    <w:rsid w:val="00C51003"/>
    <w:rsid w:val="00C51431"/>
    <w:rsid w:val="00C73367"/>
    <w:rsid w:val="00C766F5"/>
    <w:rsid w:val="00C81FED"/>
    <w:rsid w:val="00C84597"/>
    <w:rsid w:val="00C916A4"/>
    <w:rsid w:val="00C94DA7"/>
    <w:rsid w:val="00C96D8A"/>
    <w:rsid w:val="00C97794"/>
    <w:rsid w:val="00CB6735"/>
    <w:rsid w:val="00CC0E27"/>
    <w:rsid w:val="00CC229E"/>
    <w:rsid w:val="00CE7806"/>
    <w:rsid w:val="00CE7C67"/>
    <w:rsid w:val="00D00DFD"/>
    <w:rsid w:val="00D103FA"/>
    <w:rsid w:val="00D15E96"/>
    <w:rsid w:val="00D16917"/>
    <w:rsid w:val="00D242FF"/>
    <w:rsid w:val="00D24582"/>
    <w:rsid w:val="00D648FF"/>
    <w:rsid w:val="00D7208F"/>
    <w:rsid w:val="00D73B59"/>
    <w:rsid w:val="00D82F60"/>
    <w:rsid w:val="00D84757"/>
    <w:rsid w:val="00D96544"/>
    <w:rsid w:val="00D9733D"/>
    <w:rsid w:val="00D97ECD"/>
    <w:rsid w:val="00DB5768"/>
    <w:rsid w:val="00DB66DE"/>
    <w:rsid w:val="00DB6FCF"/>
    <w:rsid w:val="00DC2571"/>
    <w:rsid w:val="00DE0C5F"/>
    <w:rsid w:val="00E0373F"/>
    <w:rsid w:val="00E10009"/>
    <w:rsid w:val="00E11154"/>
    <w:rsid w:val="00E24E35"/>
    <w:rsid w:val="00E25509"/>
    <w:rsid w:val="00E27F2F"/>
    <w:rsid w:val="00E35518"/>
    <w:rsid w:val="00E36355"/>
    <w:rsid w:val="00E46EC2"/>
    <w:rsid w:val="00E52B31"/>
    <w:rsid w:val="00E617E0"/>
    <w:rsid w:val="00E65248"/>
    <w:rsid w:val="00E729FA"/>
    <w:rsid w:val="00E73F4C"/>
    <w:rsid w:val="00E7586A"/>
    <w:rsid w:val="00E8510B"/>
    <w:rsid w:val="00EA66E8"/>
    <w:rsid w:val="00EB515F"/>
    <w:rsid w:val="00EC091A"/>
    <w:rsid w:val="00EC4ED9"/>
    <w:rsid w:val="00ED1230"/>
    <w:rsid w:val="00ED577F"/>
    <w:rsid w:val="00F0192D"/>
    <w:rsid w:val="00F112EE"/>
    <w:rsid w:val="00F156DB"/>
    <w:rsid w:val="00F3383F"/>
    <w:rsid w:val="00F866F9"/>
    <w:rsid w:val="00F927C0"/>
    <w:rsid w:val="00F95A74"/>
    <w:rsid w:val="00FA3106"/>
    <w:rsid w:val="00FA4778"/>
    <w:rsid w:val="00FA4978"/>
    <w:rsid w:val="00FB73FE"/>
    <w:rsid w:val="00FC19D4"/>
    <w:rsid w:val="00FC2099"/>
    <w:rsid w:val="00FC6242"/>
    <w:rsid w:val="00FC669A"/>
    <w:rsid w:val="00FD14BC"/>
    <w:rsid w:val="00FD175D"/>
    <w:rsid w:val="00FD2264"/>
    <w:rsid w:val="00FD2C1D"/>
    <w:rsid w:val="00FF5C84"/>
    <w:rsid w:val="02912A07"/>
    <w:rsid w:val="02F36971"/>
    <w:rsid w:val="04977E91"/>
    <w:rsid w:val="05114EE3"/>
    <w:rsid w:val="05A446DE"/>
    <w:rsid w:val="070D46CE"/>
    <w:rsid w:val="073E1402"/>
    <w:rsid w:val="087419B2"/>
    <w:rsid w:val="0AA2297C"/>
    <w:rsid w:val="0C1E2A75"/>
    <w:rsid w:val="0C802CE0"/>
    <w:rsid w:val="0D39125D"/>
    <w:rsid w:val="11E673C6"/>
    <w:rsid w:val="14385785"/>
    <w:rsid w:val="1942304B"/>
    <w:rsid w:val="19A16159"/>
    <w:rsid w:val="1E521269"/>
    <w:rsid w:val="1EC40E90"/>
    <w:rsid w:val="1FB738B4"/>
    <w:rsid w:val="28DF3BE7"/>
    <w:rsid w:val="29114058"/>
    <w:rsid w:val="29251C96"/>
    <w:rsid w:val="2A4F678A"/>
    <w:rsid w:val="2D04177A"/>
    <w:rsid w:val="2E087E33"/>
    <w:rsid w:val="321512AC"/>
    <w:rsid w:val="332E1F71"/>
    <w:rsid w:val="35C60E4A"/>
    <w:rsid w:val="36001DA7"/>
    <w:rsid w:val="3737254A"/>
    <w:rsid w:val="3BEE5E8F"/>
    <w:rsid w:val="3C7F448B"/>
    <w:rsid w:val="3C834E15"/>
    <w:rsid w:val="3DC71AB6"/>
    <w:rsid w:val="3EF318AB"/>
    <w:rsid w:val="3F6C3481"/>
    <w:rsid w:val="40646634"/>
    <w:rsid w:val="40990B78"/>
    <w:rsid w:val="434703D0"/>
    <w:rsid w:val="473A2575"/>
    <w:rsid w:val="490D761B"/>
    <w:rsid w:val="4AD41724"/>
    <w:rsid w:val="4BA31C4F"/>
    <w:rsid w:val="4C5632AF"/>
    <w:rsid w:val="4F732AC8"/>
    <w:rsid w:val="55DC34C5"/>
    <w:rsid w:val="57B65B66"/>
    <w:rsid w:val="57DF2E42"/>
    <w:rsid w:val="5A6A7E2E"/>
    <w:rsid w:val="5D2863C7"/>
    <w:rsid w:val="5E4B4B1A"/>
    <w:rsid w:val="606D40ED"/>
    <w:rsid w:val="60A45A55"/>
    <w:rsid w:val="64677CEB"/>
    <w:rsid w:val="66DE43EE"/>
    <w:rsid w:val="66FE2995"/>
    <w:rsid w:val="681439AE"/>
    <w:rsid w:val="68354055"/>
    <w:rsid w:val="69DD3507"/>
    <w:rsid w:val="6B564308"/>
    <w:rsid w:val="6CF66663"/>
    <w:rsid w:val="6FE52410"/>
    <w:rsid w:val="70333CAF"/>
    <w:rsid w:val="75462D3B"/>
    <w:rsid w:val="76621903"/>
    <w:rsid w:val="77070218"/>
    <w:rsid w:val="7A977FEB"/>
    <w:rsid w:val="7B147763"/>
    <w:rsid w:val="7DB825BA"/>
    <w:rsid w:val="7F2A63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nhideWhenUsed="0" w:uiPriority="0" w:semiHidden="0"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qFormat="1" w:unhideWhenUsed="0" w:uiPriority="0" w:semiHidden="0"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qFormat="1" w:unhideWhenUsed="0" w:uiPriority="0" w:semiHidden="0" w:name="Block Text"/>
    <w:lsdException w:qFormat="1"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宋体" w:hAnsi="宋体" w:eastAsia="宋体" w:cs="宋体"/>
      <w:kern w:val="2"/>
      <w:sz w:val="24"/>
      <w:szCs w:val="24"/>
      <w:lang w:val="en-US" w:eastAsia="zh-CN" w:bidi="ar-SA"/>
    </w:rPr>
  </w:style>
  <w:style w:type="paragraph" w:styleId="3">
    <w:name w:val="heading 1"/>
    <w:basedOn w:val="1"/>
    <w:next w:val="1"/>
    <w:link w:val="56"/>
    <w:autoRedefine/>
    <w:qFormat/>
    <w:uiPriority w:val="0"/>
    <w:pPr>
      <w:keepNext/>
      <w:keepLines/>
      <w:spacing w:before="340" w:after="330" w:line="578" w:lineRule="auto"/>
      <w:outlineLvl w:val="0"/>
    </w:pPr>
    <w:rPr>
      <w:rFonts w:ascii="Times New Roman" w:hAnsi="Times New Roman" w:cs="Times New Roman"/>
      <w:kern w:val="44"/>
      <w:sz w:val="44"/>
      <w:szCs w:val="44"/>
    </w:rPr>
  </w:style>
  <w:style w:type="paragraph" w:styleId="4">
    <w:name w:val="heading 2"/>
    <w:basedOn w:val="1"/>
    <w:next w:val="1"/>
    <w:link w:val="57"/>
    <w:autoRedefine/>
    <w:qFormat/>
    <w:uiPriority w:val="0"/>
    <w:pPr>
      <w:keepNext/>
      <w:keepLines/>
      <w:spacing w:before="260" w:after="260" w:line="416" w:lineRule="auto"/>
      <w:outlineLvl w:val="1"/>
    </w:pPr>
    <w:rPr>
      <w:rFonts w:ascii="Cambria" w:hAnsi="Cambria" w:cs="Times New Roman"/>
      <w:b/>
      <w:bCs/>
      <w:sz w:val="32"/>
      <w:szCs w:val="32"/>
    </w:rPr>
  </w:style>
  <w:style w:type="paragraph" w:styleId="5">
    <w:name w:val="heading 3"/>
    <w:basedOn w:val="1"/>
    <w:next w:val="1"/>
    <w:autoRedefine/>
    <w:unhideWhenUsed/>
    <w:qFormat/>
    <w:uiPriority w:val="9"/>
    <w:pPr>
      <w:keepNext/>
      <w:keepLines/>
      <w:spacing w:before="260" w:after="260" w:line="413" w:lineRule="auto"/>
      <w:outlineLvl w:val="2"/>
    </w:pPr>
    <w:rPr>
      <w:b/>
      <w:sz w:val="32"/>
    </w:rPr>
  </w:style>
  <w:style w:type="paragraph" w:styleId="6">
    <w:name w:val="heading 4"/>
    <w:basedOn w:val="1"/>
    <w:next w:val="1"/>
    <w:link w:val="58"/>
    <w:autoRedefine/>
    <w:qFormat/>
    <w:uiPriority w:val="0"/>
    <w:pPr>
      <w:keepNext/>
      <w:keepLines/>
      <w:numPr>
        <w:ilvl w:val="3"/>
        <w:numId w:val="1"/>
      </w:numPr>
      <w:tabs>
        <w:tab w:val="left" w:pos="360"/>
        <w:tab w:val="left" w:pos="864"/>
      </w:tabs>
      <w:spacing w:before="280" w:after="290" w:line="376" w:lineRule="auto"/>
      <w:outlineLvl w:val="3"/>
    </w:pPr>
    <w:rPr>
      <w:rFonts w:ascii="Arial" w:hAnsi="Arial" w:eastAsia="黑体" w:cs="Times New Roman"/>
      <w:b/>
      <w:bCs/>
      <w:sz w:val="28"/>
      <w:szCs w:val="28"/>
    </w:rPr>
  </w:style>
  <w:style w:type="paragraph" w:styleId="7">
    <w:name w:val="heading 5"/>
    <w:basedOn w:val="1"/>
    <w:next w:val="1"/>
    <w:link w:val="59"/>
    <w:autoRedefine/>
    <w:qFormat/>
    <w:uiPriority w:val="0"/>
    <w:pPr>
      <w:keepNext/>
      <w:keepLines/>
      <w:numPr>
        <w:ilvl w:val="4"/>
        <w:numId w:val="2"/>
      </w:numPr>
      <w:tabs>
        <w:tab w:val="left" w:pos="780"/>
      </w:tabs>
      <w:spacing w:before="280" w:after="290" w:line="376" w:lineRule="auto"/>
      <w:outlineLvl w:val="4"/>
    </w:pPr>
    <w:rPr>
      <w:rFonts w:ascii="Times New Roman" w:hAnsi="Times New Roman" w:cs="Times New Roman"/>
      <w:b/>
      <w:bCs/>
      <w:sz w:val="28"/>
      <w:szCs w:val="28"/>
    </w:rPr>
  </w:style>
  <w:style w:type="paragraph" w:styleId="8">
    <w:name w:val="heading 6"/>
    <w:basedOn w:val="1"/>
    <w:next w:val="1"/>
    <w:autoRedefine/>
    <w:unhideWhenUsed/>
    <w:qFormat/>
    <w:uiPriority w:val="9"/>
    <w:pPr>
      <w:keepNext/>
      <w:keepLines/>
      <w:spacing w:before="240" w:after="64" w:line="317" w:lineRule="auto"/>
      <w:outlineLvl w:val="5"/>
    </w:pPr>
    <w:rPr>
      <w:rFonts w:ascii="Arial" w:hAnsi="Arial" w:eastAsia="黑体"/>
      <w:b/>
    </w:rPr>
  </w:style>
  <w:style w:type="character" w:default="1" w:styleId="34">
    <w:name w:val="Default Paragraph Font"/>
    <w:semiHidden/>
    <w:unhideWhenUsed/>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unhideWhenUsed/>
    <w:qFormat/>
    <w:uiPriority w:val="39"/>
    <w:pPr>
      <w:widowControl/>
      <w:spacing w:after="100" w:line="259" w:lineRule="auto"/>
    </w:pPr>
    <w:rPr>
      <w:rFonts w:ascii="等线" w:hAnsi="等线" w:eastAsia="等线"/>
      <w:sz w:val="22"/>
      <w:szCs w:val="22"/>
    </w:rPr>
  </w:style>
  <w:style w:type="paragraph" w:styleId="9">
    <w:name w:val="List Number"/>
    <w:basedOn w:val="1"/>
    <w:autoRedefine/>
    <w:qFormat/>
    <w:uiPriority w:val="0"/>
    <w:pPr>
      <w:widowControl/>
      <w:numPr>
        <w:ilvl w:val="0"/>
        <w:numId w:val="3"/>
      </w:numPr>
      <w:tabs>
        <w:tab w:val="left" w:pos="454"/>
      </w:tabs>
      <w:spacing w:after="156" w:afterLines="50"/>
      <w:ind w:left="454" w:hanging="284"/>
      <w:jc w:val="left"/>
    </w:pPr>
    <w:rPr>
      <w:rFonts w:ascii="Times New Roman" w:hAnsi="Times New Roman" w:cs="Times New Roman"/>
      <w:kern w:val="0"/>
      <w:szCs w:val="20"/>
    </w:rPr>
  </w:style>
  <w:style w:type="paragraph" w:styleId="10">
    <w:name w:val="Normal Indent"/>
    <w:basedOn w:val="1"/>
    <w:next w:val="1"/>
    <w:link w:val="60"/>
    <w:autoRedefine/>
    <w:qFormat/>
    <w:uiPriority w:val="0"/>
    <w:pPr>
      <w:ind w:firstLine="420"/>
    </w:pPr>
    <w:rPr>
      <w:rFonts w:ascii="Times New Roman" w:hAnsi="Times New Roman" w:cs="Times New Roman"/>
      <w:sz w:val="21"/>
      <w:szCs w:val="20"/>
    </w:rPr>
  </w:style>
  <w:style w:type="paragraph" w:styleId="11">
    <w:name w:val="caption"/>
    <w:basedOn w:val="1"/>
    <w:next w:val="1"/>
    <w:autoRedefine/>
    <w:qFormat/>
    <w:uiPriority w:val="0"/>
    <w:pPr>
      <w:spacing w:before="152" w:after="160"/>
    </w:pPr>
    <w:rPr>
      <w:rFonts w:ascii="Arial" w:hAnsi="Arial" w:eastAsia="黑体" w:cs="Arial"/>
      <w:sz w:val="20"/>
      <w:szCs w:val="20"/>
    </w:rPr>
  </w:style>
  <w:style w:type="paragraph" w:styleId="12">
    <w:name w:val="annotation text"/>
    <w:basedOn w:val="1"/>
    <w:link w:val="42"/>
    <w:autoRedefine/>
    <w:unhideWhenUsed/>
    <w:qFormat/>
    <w:uiPriority w:val="0"/>
    <w:pPr>
      <w:jc w:val="left"/>
    </w:pPr>
    <w:rPr>
      <w:rFonts w:ascii="Times New Roman" w:hAnsi="Times New Roman" w:cs="Times New Roman"/>
      <w:sz w:val="28"/>
    </w:rPr>
  </w:style>
  <w:style w:type="paragraph" w:styleId="13">
    <w:name w:val="Body Text"/>
    <w:basedOn w:val="1"/>
    <w:link w:val="54"/>
    <w:autoRedefine/>
    <w:qFormat/>
    <w:uiPriority w:val="0"/>
    <w:pPr>
      <w:spacing w:after="120"/>
    </w:pPr>
  </w:style>
  <w:style w:type="paragraph" w:styleId="14">
    <w:name w:val="Body Text Indent"/>
    <w:basedOn w:val="1"/>
    <w:link w:val="45"/>
    <w:autoRedefine/>
    <w:qFormat/>
    <w:uiPriority w:val="0"/>
    <w:pPr>
      <w:spacing w:line="200" w:lineRule="atLeast"/>
      <w:ind w:firstLine="301"/>
    </w:pPr>
    <w:rPr>
      <w:rFonts w:hAnsi="Courier New" w:cs="Times New Roman"/>
      <w:spacing w:val="-4"/>
      <w:sz w:val="18"/>
      <w:szCs w:val="20"/>
    </w:rPr>
  </w:style>
  <w:style w:type="paragraph" w:styleId="15">
    <w:name w:val="List 2"/>
    <w:basedOn w:val="1"/>
    <w:autoRedefine/>
    <w:qFormat/>
    <w:uiPriority w:val="0"/>
    <w:pPr>
      <w:ind w:left="100" w:leftChars="200" w:hanging="200" w:hangingChars="200"/>
      <w:contextualSpacing/>
    </w:pPr>
    <w:rPr>
      <w:rFonts w:ascii="Times New Roman" w:hAnsi="Times New Roman" w:cs="Times New Roman"/>
      <w:sz w:val="28"/>
    </w:rPr>
  </w:style>
  <w:style w:type="paragraph" w:styleId="16">
    <w:name w:val="Block Text"/>
    <w:basedOn w:val="1"/>
    <w:autoRedefine/>
    <w:qFormat/>
    <w:uiPriority w:val="0"/>
    <w:pPr>
      <w:spacing w:after="120"/>
      <w:ind w:left="1440" w:leftChars="700" w:right="1440" w:rightChars="700"/>
    </w:pPr>
    <w:rPr>
      <w:rFonts w:ascii="Times New Roman" w:hAnsi="Times New Roman" w:cs="Times New Roman"/>
      <w:sz w:val="28"/>
    </w:rPr>
  </w:style>
  <w:style w:type="paragraph" w:styleId="17">
    <w:name w:val="Plain Text"/>
    <w:basedOn w:val="1"/>
    <w:link w:val="55"/>
    <w:autoRedefine/>
    <w:unhideWhenUsed/>
    <w:qFormat/>
    <w:uiPriority w:val="0"/>
    <w:rPr>
      <w:rFonts w:hAnsi="Courier New" w:cs="Courier New" w:asciiTheme="minorEastAsia" w:eastAsiaTheme="minorEastAsia"/>
    </w:rPr>
  </w:style>
  <w:style w:type="paragraph" w:styleId="18">
    <w:name w:val="Date"/>
    <w:basedOn w:val="1"/>
    <w:next w:val="1"/>
    <w:link w:val="63"/>
    <w:autoRedefine/>
    <w:qFormat/>
    <w:uiPriority w:val="0"/>
    <w:pPr>
      <w:ind w:left="2500" w:leftChars="2500"/>
    </w:pPr>
    <w:rPr>
      <w:rFonts w:ascii="Times New Roman" w:hAnsi="Times New Roman" w:eastAsia="楷体_GB2312" w:cs="Times New Roman"/>
      <w:sz w:val="32"/>
      <w:szCs w:val="20"/>
    </w:rPr>
  </w:style>
  <w:style w:type="paragraph" w:styleId="19">
    <w:name w:val="Balloon Text"/>
    <w:basedOn w:val="1"/>
    <w:link w:val="44"/>
    <w:autoRedefine/>
    <w:qFormat/>
    <w:uiPriority w:val="0"/>
    <w:rPr>
      <w:sz w:val="18"/>
      <w:szCs w:val="18"/>
    </w:rPr>
  </w:style>
  <w:style w:type="paragraph" w:styleId="20">
    <w:name w:val="footer"/>
    <w:basedOn w:val="1"/>
    <w:link w:val="41"/>
    <w:autoRedefine/>
    <w:unhideWhenUsed/>
    <w:qFormat/>
    <w:uiPriority w:val="0"/>
    <w:pPr>
      <w:tabs>
        <w:tab w:val="center" w:pos="4153"/>
        <w:tab w:val="right" w:pos="8306"/>
      </w:tabs>
      <w:snapToGrid w:val="0"/>
      <w:jc w:val="left"/>
    </w:pPr>
    <w:rPr>
      <w:sz w:val="18"/>
      <w:szCs w:val="18"/>
    </w:rPr>
  </w:style>
  <w:style w:type="paragraph" w:styleId="21">
    <w:name w:val="envelope return"/>
    <w:basedOn w:val="1"/>
    <w:autoRedefine/>
    <w:qFormat/>
    <w:uiPriority w:val="0"/>
    <w:pPr>
      <w:snapToGrid w:val="0"/>
    </w:pPr>
    <w:rPr>
      <w:rFonts w:ascii="Arial" w:hAnsi="Arial" w:cs="Times New Roman"/>
      <w:sz w:val="28"/>
    </w:rPr>
  </w:style>
  <w:style w:type="paragraph" w:styleId="22">
    <w:name w:val="header"/>
    <w:basedOn w:val="1"/>
    <w:link w:val="40"/>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23">
    <w:name w:val="List"/>
    <w:basedOn w:val="1"/>
    <w:autoRedefine/>
    <w:qFormat/>
    <w:uiPriority w:val="0"/>
    <w:pPr>
      <w:ind w:left="200" w:hanging="200" w:hangingChars="200"/>
    </w:pPr>
    <w:rPr>
      <w:rFonts w:ascii="Times New Roman" w:hAnsi="Times New Roman" w:cs="Times New Roman"/>
      <w:sz w:val="28"/>
    </w:rPr>
  </w:style>
  <w:style w:type="paragraph" w:styleId="24">
    <w:name w:val="index 7"/>
    <w:basedOn w:val="1"/>
    <w:next w:val="1"/>
    <w:qFormat/>
    <w:uiPriority w:val="0"/>
    <w:pPr>
      <w:ind w:left="1200" w:leftChars="1200"/>
    </w:pPr>
  </w:style>
  <w:style w:type="paragraph" w:styleId="25">
    <w:name w:val="Body Text 2"/>
    <w:basedOn w:val="1"/>
    <w:link w:val="61"/>
    <w:autoRedefine/>
    <w:qFormat/>
    <w:uiPriority w:val="0"/>
    <w:pPr>
      <w:widowControl/>
      <w:snapToGrid w:val="0"/>
      <w:spacing w:before="50" w:after="156" w:afterLines="50" w:line="400" w:lineRule="atLeast"/>
      <w:jc w:val="left"/>
    </w:pPr>
    <w:rPr>
      <w:rFonts w:hint="eastAsia" w:cs="Times New Roman"/>
      <w:color w:val="000000"/>
    </w:rPr>
  </w:style>
  <w:style w:type="paragraph" w:styleId="26">
    <w:name w:val="HTML Preformatted"/>
    <w:basedOn w:val="1"/>
    <w:link w:val="66"/>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kern w:val="0"/>
    </w:rPr>
  </w:style>
  <w:style w:type="paragraph" w:styleId="27">
    <w:name w:val="Normal (Web)"/>
    <w:basedOn w:val="1"/>
    <w:autoRedefine/>
    <w:unhideWhenUsed/>
    <w:qFormat/>
    <w:uiPriority w:val="0"/>
    <w:pPr>
      <w:widowControl/>
      <w:spacing w:before="100" w:beforeAutospacing="1" w:after="100" w:afterAutospacing="1"/>
      <w:jc w:val="left"/>
    </w:pPr>
    <w:rPr>
      <w:kern w:val="0"/>
    </w:rPr>
  </w:style>
  <w:style w:type="paragraph" w:styleId="28">
    <w:name w:val="Title"/>
    <w:basedOn w:val="1"/>
    <w:link w:val="67"/>
    <w:autoRedefine/>
    <w:qFormat/>
    <w:uiPriority w:val="0"/>
    <w:pPr>
      <w:spacing w:before="240" w:after="60"/>
      <w:jc w:val="center"/>
      <w:outlineLvl w:val="0"/>
    </w:pPr>
    <w:rPr>
      <w:rFonts w:ascii="Calibri Light" w:hAnsi="Calibri Light" w:eastAsia="Calibri Light" w:cs="Times New Roman"/>
      <w:b/>
      <w:bCs/>
      <w:kern w:val="0"/>
      <w:sz w:val="32"/>
      <w:szCs w:val="32"/>
    </w:rPr>
  </w:style>
  <w:style w:type="paragraph" w:styleId="29">
    <w:name w:val="annotation subject"/>
    <w:basedOn w:val="12"/>
    <w:next w:val="12"/>
    <w:link w:val="52"/>
    <w:autoRedefine/>
    <w:unhideWhenUsed/>
    <w:qFormat/>
    <w:uiPriority w:val="0"/>
    <w:rPr>
      <w:rFonts w:ascii="宋体" w:hAnsi="宋体" w:cs="宋体"/>
      <w:b/>
      <w:bCs/>
      <w:sz w:val="24"/>
    </w:rPr>
  </w:style>
  <w:style w:type="paragraph" w:styleId="30">
    <w:name w:val="Body Text First Indent"/>
    <w:basedOn w:val="13"/>
    <w:link w:val="68"/>
    <w:autoRedefine/>
    <w:qFormat/>
    <w:uiPriority w:val="0"/>
    <w:pPr>
      <w:ind w:firstLine="420" w:firstLineChars="100"/>
    </w:pPr>
    <w:rPr>
      <w:rFonts w:ascii="Calibri" w:hAnsi="Calibri" w:cs="Times New Roman"/>
      <w:sz w:val="21"/>
    </w:rPr>
  </w:style>
  <w:style w:type="paragraph" w:styleId="31">
    <w:name w:val="Body Text First Indent 2"/>
    <w:basedOn w:val="14"/>
    <w:link w:val="62"/>
    <w:autoRedefine/>
    <w:qFormat/>
    <w:uiPriority w:val="0"/>
    <w:pPr>
      <w:ind w:firstLine="420"/>
    </w:pPr>
    <w:rPr>
      <w:rFonts w:ascii="Times New Roman" w:hAnsi="Times New Roman"/>
    </w:rPr>
  </w:style>
  <w:style w:type="table" w:styleId="33">
    <w:name w:val="Table Grid"/>
    <w:basedOn w:val="3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5">
    <w:name w:val="Strong"/>
    <w:autoRedefine/>
    <w:qFormat/>
    <w:uiPriority w:val="0"/>
    <w:rPr>
      <w:rFonts w:ascii="Times New Roman" w:hAnsi="Times New Roman" w:eastAsia="宋体" w:cs="Times New Roman"/>
      <w:b/>
      <w:bCs/>
    </w:rPr>
  </w:style>
  <w:style w:type="character" w:styleId="36">
    <w:name w:val="page number"/>
    <w:autoRedefine/>
    <w:qFormat/>
    <w:uiPriority w:val="0"/>
    <w:rPr>
      <w:rFonts w:ascii="Times New Roman" w:hAnsi="Times New Roman" w:eastAsia="宋体" w:cs="Times New Roman"/>
    </w:rPr>
  </w:style>
  <w:style w:type="character" w:styleId="37">
    <w:name w:val="FollowedHyperlink"/>
    <w:autoRedefine/>
    <w:qFormat/>
    <w:uiPriority w:val="0"/>
    <w:rPr>
      <w:rFonts w:ascii="Times New Roman" w:hAnsi="Times New Roman" w:eastAsia="宋体" w:cs="Times New Roman"/>
      <w:color w:val="5579A7"/>
      <w:u w:val="none"/>
    </w:rPr>
  </w:style>
  <w:style w:type="character" w:styleId="38">
    <w:name w:val="Hyperlink"/>
    <w:basedOn w:val="34"/>
    <w:autoRedefine/>
    <w:unhideWhenUsed/>
    <w:qFormat/>
    <w:uiPriority w:val="0"/>
    <w:rPr>
      <w:color w:val="0000FF"/>
      <w:u w:val="single"/>
    </w:rPr>
  </w:style>
  <w:style w:type="character" w:styleId="39">
    <w:name w:val="annotation reference"/>
    <w:autoRedefine/>
    <w:unhideWhenUsed/>
    <w:qFormat/>
    <w:uiPriority w:val="0"/>
    <w:rPr>
      <w:sz w:val="21"/>
      <w:szCs w:val="21"/>
    </w:rPr>
  </w:style>
  <w:style w:type="character" w:customStyle="1" w:styleId="40">
    <w:name w:val="页眉 Char"/>
    <w:basedOn w:val="34"/>
    <w:link w:val="22"/>
    <w:autoRedefine/>
    <w:qFormat/>
    <w:uiPriority w:val="0"/>
    <w:rPr>
      <w:sz w:val="18"/>
      <w:szCs w:val="18"/>
    </w:rPr>
  </w:style>
  <w:style w:type="character" w:customStyle="1" w:styleId="41">
    <w:name w:val="页脚 Char"/>
    <w:basedOn w:val="34"/>
    <w:link w:val="20"/>
    <w:autoRedefine/>
    <w:qFormat/>
    <w:uiPriority w:val="0"/>
    <w:rPr>
      <w:sz w:val="18"/>
      <w:szCs w:val="18"/>
    </w:rPr>
  </w:style>
  <w:style w:type="character" w:customStyle="1" w:styleId="42">
    <w:name w:val="批注文字 Char1"/>
    <w:basedOn w:val="34"/>
    <w:link w:val="12"/>
    <w:autoRedefine/>
    <w:qFormat/>
    <w:uiPriority w:val="0"/>
    <w:rPr>
      <w:rFonts w:ascii="Times New Roman" w:hAnsi="Times New Roman" w:eastAsia="宋体" w:cs="Times New Roman"/>
      <w:sz w:val="28"/>
      <w:szCs w:val="24"/>
    </w:rPr>
  </w:style>
  <w:style w:type="character" w:customStyle="1" w:styleId="43">
    <w:name w:val="正文文本缩进 字符"/>
    <w:basedOn w:val="34"/>
    <w:autoRedefine/>
    <w:qFormat/>
    <w:uiPriority w:val="0"/>
    <w:rPr>
      <w:rFonts w:ascii="宋体" w:hAnsi="宋体" w:eastAsia="宋体" w:cs="宋体"/>
      <w:sz w:val="24"/>
      <w:szCs w:val="24"/>
    </w:rPr>
  </w:style>
  <w:style w:type="character" w:customStyle="1" w:styleId="44">
    <w:name w:val="批注框文本 Char"/>
    <w:basedOn w:val="34"/>
    <w:link w:val="19"/>
    <w:autoRedefine/>
    <w:qFormat/>
    <w:uiPriority w:val="0"/>
    <w:rPr>
      <w:rFonts w:ascii="宋体" w:hAnsi="宋体" w:eastAsia="宋体" w:cs="宋体"/>
      <w:sz w:val="18"/>
      <w:szCs w:val="18"/>
    </w:rPr>
  </w:style>
  <w:style w:type="character" w:customStyle="1" w:styleId="45">
    <w:name w:val="正文文本缩进 Char1"/>
    <w:link w:val="14"/>
    <w:autoRedefine/>
    <w:qFormat/>
    <w:uiPriority w:val="0"/>
    <w:rPr>
      <w:rFonts w:ascii="宋体" w:hAnsi="Courier New" w:eastAsia="宋体" w:cs="Times New Roman"/>
      <w:spacing w:val="-4"/>
      <w:sz w:val="18"/>
      <w:szCs w:val="20"/>
    </w:rPr>
  </w:style>
  <w:style w:type="character" w:customStyle="1" w:styleId="46">
    <w:name w:val="正文文本缩进 字符2"/>
    <w:autoRedefine/>
    <w:qFormat/>
    <w:uiPriority w:val="0"/>
    <w:rPr>
      <w:rFonts w:ascii="宋体" w:hAnsi="Courier New"/>
      <w:spacing w:val="-4"/>
      <w:kern w:val="2"/>
      <w:sz w:val="18"/>
    </w:rPr>
  </w:style>
  <w:style w:type="character" w:customStyle="1" w:styleId="47">
    <w:name w:val="未处理的提及1"/>
    <w:basedOn w:val="34"/>
    <w:autoRedefine/>
    <w:semiHidden/>
    <w:unhideWhenUsed/>
    <w:qFormat/>
    <w:uiPriority w:val="99"/>
    <w:rPr>
      <w:color w:val="605E5C"/>
      <w:shd w:val="clear" w:color="auto" w:fill="E1DFDD"/>
    </w:rPr>
  </w:style>
  <w:style w:type="paragraph" w:styleId="48">
    <w:name w:val="List Paragraph"/>
    <w:basedOn w:val="1"/>
    <w:autoRedefine/>
    <w:qFormat/>
    <w:uiPriority w:val="0"/>
    <w:pPr>
      <w:ind w:firstLine="420" w:firstLineChars="200"/>
    </w:pPr>
  </w:style>
  <w:style w:type="paragraph" w:customStyle="1" w:styleId="49">
    <w:name w:val="纯文本1"/>
    <w:basedOn w:val="1"/>
    <w:next w:val="17"/>
    <w:link w:val="51"/>
    <w:autoRedefine/>
    <w:qFormat/>
    <w:uiPriority w:val="0"/>
    <w:pPr>
      <w:spacing w:before="156" w:beforeLines="50" w:after="156" w:afterLines="50" w:line="400" w:lineRule="atLeast"/>
    </w:pPr>
    <w:rPr>
      <w:rFonts w:hAnsi="Courier New" w:cs="Times New Roman"/>
    </w:rPr>
  </w:style>
  <w:style w:type="character" w:customStyle="1" w:styleId="50">
    <w:name w:val="纯文本 字符"/>
    <w:basedOn w:val="34"/>
    <w:autoRedefine/>
    <w:qFormat/>
    <w:uiPriority w:val="0"/>
    <w:rPr>
      <w:rFonts w:ascii="宋体" w:hAnsi="Courier New" w:eastAsia="宋体" w:cs="Courier New"/>
      <w:kern w:val="2"/>
      <w:sz w:val="24"/>
      <w:szCs w:val="24"/>
    </w:rPr>
  </w:style>
  <w:style w:type="character" w:customStyle="1" w:styleId="51">
    <w:name w:val="纯文本 字符1"/>
    <w:link w:val="49"/>
    <w:autoRedefine/>
    <w:qFormat/>
    <w:uiPriority w:val="0"/>
    <w:rPr>
      <w:rFonts w:ascii="宋体" w:hAnsi="Courier New" w:eastAsia="宋体" w:cs="Times New Roman"/>
      <w:kern w:val="2"/>
      <w:sz w:val="24"/>
      <w:szCs w:val="24"/>
    </w:rPr>
  </w:style>
  <w:style w:type="character" w:customStyle="1" w:styleId="52">
    <w:name w:val="批注主题 Char"/>
    <w:basedOn w:val="42"/>
    <w:link w:val="29"/>
    <w:autoRedefine/>
    <w:qFormat/>
    <w:uiPriority w:val="0"/>
    <w:rPr>
      <w:rFonts w:ascii="宋体" w:hAnsi="宋体" w:eastAsia="宋体" w:cs="宋体"/>
      <w:b/>
      <w:bCs/>
      <w:sz w:val="24"/>
      <w:szCs w:val="24"/>
    </w:rPr>
  </w:style>
  <w:style w:type="character" w:customStyle="1" w:styleId="53">
    <w:name w:val="未处理的提及2"/>
    <w:basedOn w:val="34"/>
    <w:autoRedefine/>
    <w:semiHidden/>
    <w:unhideWhenUsed/>
    <w:qFormat/>
    <w:uiPriority w:val="99"/>
    <w:rPr>
      <w:color w:val="605E5C"/>
      <w:shd w:val="clear" w:color="auto" w:fill="E1DFDD"/>
    </w:rPr>
  </w:style>
  <w:style w:type="character" w:customStyle="1" w:styleId="54">
    <w:name w:val="正文文本 Char"/>
    <w:basedOn w:val="34"/>
    <w:link w:val="13"/>
    <w:autoRedefine/>
    <w:qFormat/>
    <w:uiPriority w:val="0"/>
    <w:rPr>
      <w:rFonts w:ascii="宋体" w:hAnsi="宋体" w:eastAsia="宋体" w:cs="宋体"/>
      <w:sz w:val="24"/>
      <w:szCs w:val="24"/>
    </w:rPr>
  </w:style>
  <w:style w:type="character" w:customStyle="1" w:styleId="55">
    <w:name w:val="纯文本 Char"/>
    <w:basedOn w:val="34"/>
    <w:link w:val="17"/>
    <w:autoRedefine/>
    <w:semiHidden/>
    <w:qFormat/>
    <w:uiPriority w:val="99"/>
    <w:rPr>
      <w:rFonts w:hAnsi="Courier New" w:cs="Courier New" w:asciiTheme="minorEastAsia"/>
      <w:sz w:val="24"/>
      <w:szCs w:val="24"/>
    </w:rPr>
  </w:style>
  <w:style w:type="character" w:customStyle="1" w:styleId="56">
    <w:name w:val="标题 1 Char"/>
    <w:basedOn w:val="34"/>
    <w:link w:val="3"/>
    <w:autoRedefine/>
    <w:qFormat/>
    <w:uiPriority w:val="0"/>
    <w:rPr>
      <w:rFonts w:ascii="Times New Roman" w:hAnsi="Times New Roman" w:eastAsia="宋体" w:cs="Times New Roman"/>
      <w:kern w:val="44"/>
      <w:sz w:val="44"/>
      <w:szCs w:val="44"/>
    </w:rPr>
  </w:style>
  <w:style w:type="character" w:customStyle="1" w:styleId="57">
    <w:name w:val="标题 2 Char"/>
    <w:basedOn w:val="34"/>
    <w:link w:val="4"/>
    <w:autoRedefine/>
    <w:qFormat/>
    <w:uiPriority w:val="0"/>
    <w:rPr>
      <w:rFonts w:ascii="Cambria" w:hAnsi="Cambria" w:eastAsia="宋体" w:cs="Times New Roman"/>
      <w:b/>
      <w:bCs/>
      <w:sz w:val="32"/>
      <w:szCs w:val="32"/>
    </w:rPr>
  </w:style>
  <w:style w:type="character" w:customStyle="1" w:styleId="58">
    <w:name w:val="标题 4 Char"/>
    <w:basedOn w:val="34"/>
    <w:link w:val="6"/>
    <w:autoRedefine/>
    <w:qFormat/>
    <w:uiPriority w:val="0"/>
    <w:rPr>
      <w:rFonts w:ascii="Arial" w:hAnsi="Arial" w:eastAsia="黑体" w:cs="Times New Roman"/>
      <w:b/>
      <w:bCs/>
      <w:sz w:val="28"/>
      <w:szCs w:val="28"/>
    </w:rPr>
  </w:style>
  <w:style w:type="character" w:customStyle="1" w:styleId="59">
    <w:name w:val="标题 5 Char"/>
    <w:basedOn w:val="34"/>
    <w:link w:val="7"/>
    <w:autoRedefine/>
    <w:qFormat/>
    <w:uiPriority w:val="0"/>
    <w:rPr>
      <w:rFonts w:ascii="Times New Roman" w:hAnsi="Times New Roman" w:eastAsia="宋体" w:cs="Times New Roman"/>
      <w:b/>
      <w:bCs/>
      <w:sz w:val="28"/>
      <w:szCs w:val="28"/>
    </w:rPr>
  </w:style>
  <w:style w:type="character" w:customStyle="1" w:styleId="60">
    <w:name w:val="正文缩进 Char"/>
    <w:link w:val="10"/>
    <w:autoRedefine/>
    <w:qFormat/>
    <w:uiPriority w:val="0"/>
    <w:rPr>
      <w:rFonts w:ascii="Times New Roman" w:hAnsi="Times New Roman" w:eastAsia="宋体" w:cs="Times New Roman"/>
      <w:szCs w:val="20"/>
    </w:rPr>
  </w:style>
  <w:style w:type="character" w:customStyle="1" w:styleId="61">
    <w:name w:val="正文文本 2 Char"/>
    <w:basedOn w:val="34"/>
    <w:link w:val="25"/>
    <w:autoRedefine/>
    <w:qFormat/>
    <w:uiPriority w:val="0"/>
    <w:rPr>
      <w:rFonts w:ascii="宋体" w:hAnsi="宋体" w:eastAsia="宋体" w:cs="Times New Roman"/>
      <w:color w:val="000000"/>
      <w:sz w:val="24"/>
      <w:szCs w:val="24"/>
    </w:rPr>
  </w:style>
  <w:style w:type="character" w:customStyle="1" w:styleId="62">
    <w:name w:val="正文首行缩进 2 Char"/>
    <w:basedOn w:val="45"/>
    <w:link w:val="31"/>
    <w:autoRedefine/>
    <w:qFormat/>
    <w:uiPriority w:val="0"/>
    <w:rPr>
      <w:rFonts w:ascii="Times New Roman" w:hAnsi="Times New Roman" w:eastAsia="宋体" w:cs="Times New Roman"/>
      <w:spacing w:val="-4"/>
      <w:sz w:val="18"/>
      <w:szCs w:val="20"/>
    </w:rPr>
  </w:style>
  <w:style w:type="character" w:customStyle="1" w:styleId="63">
    <w:name w:val="日期 Char"/>
    <w:basedOn w:val="34"/>
    <w:link w:val="18"/>
    <w:autoRedefine/>
    <w:qFormat/>
    <w:uiPriority w:val="0"/>
    <w:rPr>
      <w:rFonts w:ascii="Times New Roman" w:hAnsi="Times New Roman" w:eastAsia="楷体_GB2312" w:cs="Times New Roman"/>
      <w:sz w:val="32"/>
      <w:szCs w:val="20"/>
    </w:rPr>
  </w:style>
  <w:style w:type="character" w:customStyle="1" w:styleId="64">
    <w:name w:val="页脚 字符1"/>
    <w:autoRedefine/>
    <w:qFormat/>
    <w:uiPriority w:val="0"/>
    <w:rPr>
      <w:rFonts w:ascii="Times New Roman" w:hAnsi="Times New Roman" w:eastAsia="宋体" w:cs="Times New Roman"/>
      <w:kern w:val="2"/>
      <w:sz w:val="18"/>
      <w:szCs w:val="18"/>
    </w:rPr>
  </w:style>
  <w:style w:type="character" w:customStyle="1" w:styleId="65">
    <w:name w:val="页眉 字符1"/>
    <w:autoRedefine/>
    <w:qFormat/>
    <w:uiPriority w:val="0"/>
    <w:rPr>
      <w:rFonts w:ascii="Times New Roman" w:hAnsi="Times New Roman" w:eastAsia="宋体" w:cs="Times New Roman"/>
      <w:kern w:val="2"/>
      <w:sz w:val="18"/>
      <w:szCs w:val="18"/>
    </w:rPr>
  </w:style>
  <w:style w:type="character" w:customStyle="1" w:styleId="66">
    <w:name w:val="HTML 预设格式 Char"/>
    <w:basedOn w:val="34"/>
    <w:link w:val="26"/>
    <w:autoRedefine/>
    <w:qFormat/>
    <w:uiPriority w:val="0"/>
    <w:rPr>
      <w:rFonts w:ascii="宋体" w:hAnsi="宋体" w:eastAsia="宋体" w:cs="宋体"/>
      <w:kern w:val="0"/>
      <w:sz w:val="24"/>
      <w:szCs w:val="24"/>
    </w:rPr>
  </w:style>
  <w:style w:type="character" w:customStyle="1" w:styleId="67">
    <w:name w:val="标题 Char"/>
    <w:basedOn w:val="34"/>
    <w:link w:val="28"/>
    <w:autoRedefine/>
    <w:qFormat/>
    <w:uiPriority w:val="0"/>
    <w:rPr>
      <w:rFonts w:ascii="Calibri Light" w:hAnsi="Calibri Light" w:eastAsia="Calibri Light" w:cs="Times New Roman"/>
      <w:b/>
      <w:bCs/>
      <w:kern w:val="0"/>
      <w:sz w:val="32"/>
      <w:szCs w:val="32"/>
    </w:rPr>
  </w:style>
  <w:style w:type="character" w:customStyle="1" w:styleId="68">
    <w:name w:val="正文首行缩进 Char"/>
    <w:basedOn w:val="54"/>
    <w:link w:val="30"/>
    <w:autoRedefine/>
    <w:qFormat/>
    <w:uiPriority w:val="99"/>
    <w:rPr>
      <w:rFonts w:ascii="Calibri" w:hAnsi="Calibri" w:eastAsia="宋体" w:cs="Times New Roman"/>
      <w:sz w:val="24"/>
      <w:szCs w:val="24"/>
    </w:rPr>
  </w:style>
  <w:style w:type="paragraph" w:customStyle="1" w:styleId="69">
    <w:name w:val="Normal Indent1"/>
    <w:autoRedefine/>
    <w:qFormat/>
    <w:uiPriority w:val="0"/>
    <w:pPr>
      <w:ind w:firstLine="420"/>
    </w:pPr>
    <w:rPr>
      <w:rFonts w:ascii="Times New Roman" w:hAnsi="Times New Roman" w:eastAsia="仿宋_GB2312" w:cs="宋体"/>
      <w:b/>
      <w:bCs/>
      <w:color w:val="000000"/>
      <w:sz w:val="21"/>
      <w:lang w:val="en-US" w:eastAsia="zh-CN" w:bidi="ar-SA"/>
    </w:rPr>
  </w:style>
  <w:style w:type="paragraph" w:customStyle="1" w:styleId="70">
    <w:name w:val="首行缩进"/>
    <w:basedOn w:val="1"/>
    <w:autoRedefine/>
    <w:qFormat/>
    <w:uiPriority w:val="0"/>
    <w:pPr>
      <w:spacing w:line="360" w:lineRule="auto"/>
      <w:ind w:firstLine="480" w:firstLineChars="200"/>
    </w:pPr>
    <w:rPr>
      <w:rFonts w:ascii="Times New Roman"/>
    </w:rPr>
  </w:style>
  <w:style w:type="character" w:customStyle="1" w:styleId="71">
    <w:name w:val="jbox-icon-loading"/>
    <w:autoRedefine/>
    <w:qFormat/>
    <w:uiPriority w:val="0"/>
    <w:rPr>
      <w:rFonts w:ascii="Times New Roman" w:hAnsi="Times New Roman" w:eastAsia="宋体" w:cs="Times New Roman"/>
    </w:rPr>
  </w:style>
  <w:style w:type="character" w:customStyle="1" w:styleId="72">
    <w:name w:val="正文文本缩进 Char"/>
    <w:autoRedefine/>
    <w:qFormat/>
    <w:uiPriority w:val="0"/>
    <w:rPr>
      <w:rFonts w:ascii="宋体" w:hAnsi="Courier New" w:eastAsia="宋体" w:cs="Times New Roman"/>
      <w:spacing w:val="-4"/>
      <w:kern w:val="2"/>
      <w:sz w:val="18"/>
    </w:rPr>
  </w:style>
  <w:style w:type="character" w:customStyle="1" w:styleId="73">
    <w:name w:val="maywed421"/>
    <w:autoRedefine/>
    <w:qFormat/>
    <w:uiPriority w:val="0"/>
    <w:rPr>
      <w:rFonts w:ascii="Times New Roman" w:hAnsi="Times New Roman" w:eastAsia="宋体" w:cs="Times New Roman"/>
      <w:color w:val="366FB6"/>
      <w:u w:val="none"/>
    </w:rPr>
  </w:style>
  <w:style w:type="character" w:customStyle="1" w:styleId="74">
    <w:name w:val="jbox-icon-success"/>
    <w:autoRedefine/>
    <w:qFormat/>
    <w:uiPriority w:val="0"/>
    <w:rPr>
      <w:rFonts w:ascii="Times New Roman" w:hAnsi="Times New Roman" w:eastAsia="宋体" w:cs="Times New Roman"/>
    </w:rPr>
  </w:style>
  <w:style w:type="character" w:customStyle="1" w:styleId="75">
    <w:name w:val="jbox-icon-error"/>
    <w:autoRedefine/>
    <w:qFormat/>
    <w:uiPriority w:val="0"/>
    <w:rPr>
      <w:rFonts w:ascii="Times New Roman" w:hAnsi="Times New Roman" w:eastAsia="宋体" w:cs="Times New Roman"/>
    </w:rPr>
  </w:style>
  <w:style w:type="character" w:customStyle="1" w:styleId="76">
    <w:name w:val="z-窗体底端 字符"/>
    <w:link w:val="77"/>
    <w:autoRedefine/>
    <w:qFormat/>
    <w:uiPriority w:val="0"/>
    <w:rPr>
      <w:rFonts w:ascii="Arial" w:hAnsi="Arial" w:eastAsia="宋体" w:cs="Times New Roman"/>
      <w:vanish/>
      <w:sz w:val="16"/>
      <w:szCs w:val="16"/>
    </w:rPr>
  </w:style>
  <w:style w:type="paragraph" w:customStyle="1" w:styleId="77">
    <w:name w:val="z-窗体底端1"/>
    <w:basedOn w:val="1"/>
    <w:next w:val="1"/>
    <w:link w:val="76"/>
    <w:autoRedefine/>
    <w:qFormat/>
    <w:uiPriority w:val="0"/>
    <w:pPr>
      <w:widowControl/>
      <w:pBdr>
        <w:top w:val="single" w:color="auto" w:sz="6" w:space="1"/>
      </w:pBdr>
      <w:jc w:val="center"/>
    </w:pPr>
    <w:rPr>
      <w:rFonts w:ascii="Arial" w:hAnsi="Arial" w:cs="Times New Roman"/>
      <w:vanish/>
      <w:sz w:val="16"/>
      <w:szCs w:val="16"/>
    </w:rPr>
  </w:style>
  <w:style w:type="character" w:customStyle="1" w:styleId="78">
    <w:name w:val="z-窗体底端 字符1"/>
    <w:basedOn w:val="34"/>
    <w:autoRedefine/>
    <w:semiHidden/>
    <w:qFormat/>
    <w:uiPriority w:val="99"/>
    <w:rPr>
      <w:rFonts w:ascii="Arial" w:hAnsi="Arial" w:eastAsia="宋体" w:cs="Arial"/>
      <w:vanish/>
      <w:sz w:val="16"/>
      <w:szCs w:val="16"/>
    </w:rPr>
  </w:style>
  <w:style w:type="character" w:customStyle="1" w:styleId="79">
    <w:name w:val="Plain Text Char Char"/>
    <w:autoRedefine/>
    <w:qFormat/>
    <w:uiPriority w:val="0"/>
    <w:rPr>
      <w:rFonts w:ascii="宋体" w:hAnsi="Courier New" w:eastAsia="宋体" w:cs="宋体"/>
    </w:rPr>
  </w:style>
  <w:style w:type="character" w:customStyle="1" w:styleId="80">
    <w:name w:val="jbox-icon-question"/>
    <w:autoRedefine/>
    <w:qFormat/>
    <w:uiPriority w:val="0"/>
    <w:rPr>
      <w:rFonts w:ascii="Times New Roman" w:hAnsi="Times New Roman" w:eastAsia="宋体" w:cs="Times New Roman"/>
    </w:rPr>
  </w:style>
  <w:style w:type="character" w:customStyle="1" w:styleId="81">
    <w:name w:val="jbox-icon-none"/>
    <w:autoRedefine/>
    <w:qFormat/>
    <w:uiPriority w:val="0"/>
    <w:rPr>
      <w:rFonts w:ascii="Times New Roman" w:hAnsi="Times New Roman" w:eastAsia="宋体" w:cs="Times New Roman"/>
      <w:vanish/>
    </w:rPr>
  </w:style>
  <w:style w:type="character" w:customStyle="1" w:styleId="82">
    <w:name w:val="纯文本 Char1"/>
    <w:autoRedefine/>
    <w:qFormat/>
    <w:uiPriority w:val="0"/>
    <w:rPr>
      <w:rFonts w:ascii="宋体" w:hAnsi="Courier New" w:eastAsia="宋体" w:cs="Times New Roman"/>
      <w:kern w:val="2"/>
      <w:sz w:val="21"/>
    </w:rPr>
  </w:style>
  <w:style w:type="character" w:customStyle="1" w:styleId="83">
    <w:name w:val="font51"/>
    <w:autoRedefine/>
    <w:qFormat/>
    <w:uiPriority w:val="0"/>
    <w:rPr>
      <w:rFonts w:hint="eastAsia" w:ascii="宋体" w:hAnsi="宋体" w:eastAsia="宋体" w:cs="宋体"/>
      <w:color w:val="000000"/>
      <w:sz w:val="21"/>
      <w:szCs w:val="21"/>
      <w:u w:val="none"/>
    </w:rPr>
  </w:style>
  <w:style w:type="character" w:customStyle="1" w:styleId="84">
    <w:name w:val="正方框图 Char Char Char"/>
    <w:link w:val="85"/>
    <w:autoRedefine/>
    <w:qFormat/>
    <w:uiPriority w:val="0"/>
    <w:rPr>
      <w:rFonts w:ascii="Times New Roman" w:hAnsi="Times New Roman" w:eastAsia="宋体" w:cs="Times New Roman"/>
      <w:szCs w:val="21"/>
    </w:rPr>
  </w:style>
  <w:style w:type="paragraph" w:customStyle="1" w:styleId="85">
    <w:name w:val="正方框图 Char Char"/>
    <w:basedOn w:val="1"/>
    <w:link w:val="84"/>
    <w:autoRedefine/>
    <w:qFormat/>
    <w:uiPriority w:val="0"/>
    <w:pPr>
      <w:snapToGrid w:val="0"/>
      <w:jc w:val="center"/>
    </w:pPr>
    <w:rPr>
      <w:rFonts w:ascii="Times New Roman" w:hAnsi="Times New Roman" w:cs="Times New Roman"/>
      <w:sz w:val="21"/>
      <w:szCs w:val="21"/>
    </w:rPr>
  </w:style>
  <w:style w:type="character" w:customStyle="1" w:styleId="86">
    <w:name w:val="black601"/>
    <w:autoRedefine/>
    <w:qFormat/>
    <w:uiPriority w:val="0"/>
    <w:rPr>
      <w:rFonts w:ascii="Times New Roman" w:hAnsi="Times New Roman" w:eastAsia="宋体" w:cs="Times New Roman"/>
      <w:color w:val="666666"/>
    </w:rPr>
  </w:style>
  <w:style w:type="character" w:customStyle="1" w:styleId="87">
    <w:name w:val="标题 1 Char Char"/>
    <w:autoRedefine/>
    <w:qFormat/>
    <w:uiPriority w:val="0"/>
    <w:rPr>
      <w:rFonts w:ascii="Times New Roman" w:hAnsi="Times New Roman" w:eastAsia="宋体" w:cs="Times New Roman"/>
      <w:b/>
      <w:spacing w:val="-2"/>
      <w:sz w:val="24"/>
      <w:lang w:val="en-US" w:eastAsia="zh-CN" w:bidi="ar-SA"/>
    </w:rPr>
  </w:style>
  <w:style w:type="character" w:customStyle="1" w:styleId="88">
    <w:name w:val="jbox-icon-warning"/>
    <w:autoRedefine/>
    <w:qFormat/>
    <w:uiPriority w:val="0"/>
    <w:rPr>
      <w:rFonts w:ascii="Times New Roman" w:hAnsi="Times New Roman" w:eastAsia="宋体" w:cs="Times New Roman"/>
    </w:rPr>
  </w:style>
  <w:style w:type="character" w:customStyle="1" w:styleId="89">
    <w:name w:val="纯文本 Char2"/>
    <w:autoRedefine/>
    <w:qFormat/>
    <w:uiPriority w:val="0"/>
    <w:rPr>
      <w:rFonts w:ascii="宋体" w:hAnsi="Courier New" w:eastAsia="宋体" w:cs="Times New Roman"/>
      <w:kern w:val="2"/>
      <w:sz w:val="24"/>
      <w:szCs w:val="24"/>
    </w:rPr>
  </w:style>
  <w:style w:type="character" w:customStyle="1" w:styleId="90">
    <w:name w:val="jbox-icon-info"/>
    <w:autoRedefine/>
    <w:qFormat/>
    <w:uiPriority w:val="0"/>
    <w:rPr>
      <w:rFonts w:ascii="Times New Roman" w:hAnsi="Times New Roman" w:eastAsia="宋体" w:cs="Times New Roman"/>
    </w:rPr>
  </w:style>
  <w:style w:type="character" w:customStyle="1" w:styleId="91">
    <w:name w:val="z-窗体顶端 字符"/>
    <w:link w:val="92"/>
    <w:autoRedefine/>
    <w:qFormat/>
    <w:uiPriority w:val="0"/>
    <w:rPr>
      <w:rFonts w:ascii="Arial" w:hAnsi="Arial" w:eastAsia="宋体" w:cs="Times New Roman"/>
      <w:vanish/>
      <w:sz w:val="16"/>
      <w:szCs w:val="16"/>
    </w:rPr>
  </w:style>
  <w:style w:type="paragraph" w:customStyle="1" w:styleId="92">
    <w:name w:val="z-窗体顶端1"/>
    <w:basedOn w:val="1"/>
    <w:next w:val="1"/>
    <w:link w:val="91"/>
    <w:autoRedefine/>
    <w:qFormat/>
    <w:uiPriority w:val="0"/>
    <w:pPr>
      <w:widowControl/>
      <w:pBdr>
        <w:bottom w:val="single" w:color="auto" w:sz="6" w:space="1"/>
      </w:pBdr>
      <w:jc w:val="center"/>
    </w:pPr>
    <w:rPr>
      <w:rFonts w:ascii="Arial" w:hAnsi="Arial" w:cs="Times New Roman"/>
      <w:vanish/>
      <w:sz w:val="16"/>
      <w:szCs w:val="16"/>
    </w:rPr>
  </w:style>
  <w:style w:type="character" w:customStyle="1" w:styleId="93">
    <w:name w:val="z-窗体顶端 字符1"/>
    <w:basedOn w:val="34"/>
    <w:autoRedefine/>
    <w:semiHidden/>
    <w:qFormat/>
    <w:uiPriority w:val="99"/>
    <w:rPr>
      <w:rFonts w:ascii="Arial" w:hAnsi="Arial" w:eastAsia="宋体" w:cs="Arial"/>
      <w:vanish/>
      <w:sz w:val="16"/>
      <w:szCs w:val="16"/>
    </w:rPr>
  </w:style>
  <w:style w:type="character" w:customStyle="1" w:styleId="94">
    <w:name w:val="批注文字 Char"/>
    <w:autoRedefine/>
    <w:qFormat/>
    <w:uiPriority w:val="0"/>
    <w:rPr>
      <w:rFonts w:ascii="Times New Roman" w:hAnsi="Times New Roman" w:eastAsia="宋体" w:cs="Times New Roman"/>
      <w:kern w:val="2"/>
      <w:sz w:val="28"/>
      <w:szCs w:val="24"/>
    </w:rPr>
  </w:style>
  <w:style w:type="character" w:customStyle="1" w:styleId="95">
    <w:name w:val="jbox-icon"/>
    <w:autoRedefine/>
    <w:qFormat/>
    <w:uiPriority w:val="0"/>
    <w:rPr>
      <w:rFonts w:ascii="Times New Roman" w:hAnsi="Times New Roman" w:eastAsia="宋体" w:cs="Times New Roman"/>
    </w:rPr>
  </w:style>
  <w:style w:type="paragraph" w:customStyle="1" w:styleId="96">
    <w:name w:val="列出段落1"/>
    <w:basedOn w:val="1"/>
    <w:autoRedefine/>
    <w:qFormat/>
    <w:uiPriority w:val="0"/>
    <w:pPr>
      <w:ind w:firstLine="420" w:firstLineChars="200"/>
    </w:pPr>
    <w:rPr>
      <w:rFonts w:ascii="Calibri" w:hAnsi="Calibri" w:cs="Times New Roman"/>
      <w:sz w:val="28"/>
    </w:rPr>
  </w:style>
  <w:style w:type="paragraph" w:customStyle="1" w:styleId="97">
    <w:name w:val="Default"/>
    <w:next w:val="98"/>
    <w:autoRedefine/>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98">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99">
    <w:name w:val="列表段落1"/>
    <w:basedOn w:val="1"/>
    <w:autoRedefine/>
    <w:qFormat/>
    <w:uiPriority w:val="0"/>
    <w:pPr>
      <w:ind w:firstLine="200" w:firstLineChars="200"/>
    </w:pPr>
    <w:rPr>
      <w:rFonts w:ascii="Calibri" w:hAnsi="Calibri" w:cs="Arial"/>
      <w:sz w:val="28"/>
    </w:rPr>
  </w:style>
  <w:style w:type="paragraph" w:customStyle="1" w:styleId="100">
    <w:name w:val="p16"/>
    <w:basedOn w:val="1"/>
    <w:autoRedefine/>
    <w:qFormat/>
    <w:uiPriority w:val="0"/>
    <w:pPr>
      <w:widowControl/>
      <w:spacing w:before="100" w:after="100"/>
      <w:jc w:val="left"/>
    </w:pPr>
    <w:rPr>
      <w:color w:val="000000"/>
      <w:kern w:val="0"/>
    </w:rPr>
  </w:style>
  <w:style w:type="paragraph" w:styleId="101">
    <w:name w:val="No Spacing"/>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2">
    <w:name w:val="样式 标题 2 + Times New Roman 四号 非加粗 段前: 5 磅 段后: 0 磅 行距: 固定值 20..."/>
    <w:autoRedefine/>
    <w:qFormat/>
    <w:uiPriority w:val="0"/>
    <w:pPr>
      <w:keepNext/>
      <w:keepLines/>
      <w:widowControl w:val="0"/>
      <w:spacing w:before="100" w:line="400" w:lineRule="exact"/>
      <w:jc w:val="both"/>
      <w:outlineLvl w:val="1"/>
    </w:pPr>
    <w:rPr>
      <w:rFonts w:ascii="Times New Roman" w:hAnsi="Times New Roman" w:eastAsia="宋体" w:cs="Times New Roman"/>
      <w:kern w:val="2"/>
      <w:sz w:val="28"/>
      <w:szCs w:val="28"/>
      <w:lang w:val="en-US" w:eastAsia="zh-CN" w:bidi="ar-SA"/>
    </w:rPr>
  </w:style>
  <w:style w:type="paragraph" w:customStyle="1" w:styleId="103">
    <w:name w:val="样式 标题 3 + (中文) 黑体 小四 非加粗 段前: 7.8 磅 段后: 0 磅 行距: 固定值 20 磅"/>
    <w:autoRedefine/>
    <w:qFormat/>
    <w:uiPriority w:val="0"/>
    <w:pPr>
      <w:widowControl w:val="0"/>
      <w:spacing w:line="400" w:lineRule="exact"/>
      <w:ind w:left="2220" w:hanging="420"/>
      <w:jc w:val="both"/>
      <w:outlineLvl w:val="2"/>
    </w:pPr>
    <w:rPr>
      <w:rFonts w:ascii="Times New Roman" w:hAnsi="Times New Roman" w:eastAsia="黑体" w:cs="Times New Roman"/>
      <w:b/>
      <w:kern w:val="2"/>
      <w:sz w:val="24"/>
      <w:szCs w:val="24"/>
      <w:lang w:val="en-US" w:eastAsia="zh-CN" w:bidi="ar-SA"/>
    </w:rPr>
  </w:style>
  <w:style w:type="paragraph" w:customStyle="1" w:styleId="104">
    <w:name w:val="正文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5">
    <w:name w:val="List Paragraph1"/>
    <w:basedOn w:val="1"/>
    <w:autoRedefine/>
    <w:qFormat/>
    <w:uiPriority w:val="0"/>
    <w:pPr>
      <w:ind w:firstLine="420" w:firstLineChars="200"/>
    </w:pPr>
    <w:rPr>
      <w:rFonts w:ascii="Times New Roman" w:hAnsi="Times New Roman" w:cs="Times New Roman"/>
      <w:sz w:val="21"/>
    </w:rPr>
  </w:style>
  <w:style w:type="paragraph" w:customStyle="1" w:styleId="106">
    <w:name w:val="目录 71"/>
    <w:next w:val="1"/>
    <w:autoRedefine/>
    <w:qFormat/>
    <w:uiPriority w:val="0"/>
    <w:pPr>
      <w:wordWrap w:val="0"/>
      <w:ind w:left="2550"/>
      <w:jc w:val="both"/>
    </w:pPr>
    <w:rPr>
      <w:rFonts w:ascii="Calibri" w:hAnsi="Calibri" w:eastAsia="宋体" w:cs="Times New Roman"/>
      <w:sz w:val="21"/>
      <w:lang w:val="en-US" w:eastAsia="zh-CN" w:bidi="ar-SA"/>
    </w:rPr>
  </w:style>
  <w:style w:type="paragraph" w:customStyle="1" w:styleId="107">
    <w:name w:val="修订1"/>
    <w:autoRedefine/>
    <w:semiHidden/>
    <w:qFormat/>
    <w:uiPriority w:val="99"/>
    <w:rPr>
      <w:rFonts w:ascii="Times New Roman" w:hAnsi="Times New Roman" w:eastAsia="宋体" w:cs="Times New Roman"/>
      <w:kern w:val="2"/>
      <w:sz w:val="28"/>
      <w:szCs w:val="24"/>
      <w:lang w:val="en-US" w:eastAsia="zh-CN" w:bidi="ar-SA"/>
    </w:rPr>
  </w:style>
  <w:style w:type="paragraph" w:customStyle="1" w:styleId="108">
    <w:name w:val="正文 A"/>
    <w:autoRedefine/>
    <w:qFormat/>
    <w:uiPriority w:val="0"/>
    <w:pPr>
      <w:widowControl w:val="0"/>
      <w:jc w:val="both"/>
    </w:pPr>
    <w:rPr>
      <w:rFonts w:hint="eastAsia" w:ascii="Arial Unicode MS" w:hAnsi="Arial Unicode MS" w:eastAsia="Arial Unicode MS" w:cs="Arial Unicode MS"/>
      <w:color w:val="000000"/>
      <w:kern w:val="2"/>
      <w:sz w:val="21"/>
      <w:szCs w:val="21"/>
      <w:u w:color="000000"/>
      <w:lang w:val="zh-TW" w:eastAsia="zh-TW" w:bidi="ar-SA"/>
    </w:rPr>
  </w:style>
  <w:style w:type="paragraph" w:customStyle="1" w:styleId="109">
    <w:name w:val="Blockquote"/>
    <w:basedOn w:val="1"/>
    <w:autoRedefine/>
    <w:qFormat/>
    <w:uiPriority w:val="0"/>
    <w:pPr>
      <w:autoSpaceDE w:val="0"/>
      <w:autoSpaceDN w:val="0"/>
      <w:adjustRightInd w:val="0"/>
      <w:spacing w:before="100" w:after="100"/>
      <w:ind w:left="360" w:right="360"/>
      <w:jc w:val="left"/>
    </w:pPr>
    <w:rPr>
      <w:rFonts w:ascii="Times New Roman" w:hAnsi="Times New Roman" w:cs="Times New Roman"/>
      <w:kern w:val="0"/>
    </w:rPr>
  </w:style>
  <w:style w:type="paragraph" w:customStyle="1" w:styleId="110">
    <w:name w:val="正文段"/>
    <w:basedOn w:val="1"/>
    <w:autoRedefine/>
    <w:qFormat/>
    <w:uiPriority w:val="0"/>
    <w:pPr>
      <w:widowControl/>
      <w:snapToGrid w:val="0"/>
      <w:spacing w:after="156" w:afterLines="50"/>
      <w:ind w:firstLine="200" w:firstLineChars="200"/>
    </w:pPr>
    <w:rPr>
      <w:rFonts w:ascii="Times New Roman" w:hAnsi="Times New Roman" w:cs="Times New Roman"/>
      <w:kern w:val="0"/>
      <w:szCs w:val="20"/>
    </w:rPr>
  </w:style>
  <w:style w:type="paragraph" w:customStyle="1" w:styleId="111">
    <w:name w:val="Char Char Char Char"/>
    <w:basedOn w:val="1"/>
    <w:autoRedefine/>
    <w:qFormat/>
    <w:uiPriority w:val="0"/>
    <w:pPr>
      <w:widowControl/>
      <w:spacing w:after="160" w:line="240" w:lineRule="exact"/>
      <w:jc w:val="left"/>
    </w:pPr>
    <w:rPr>
      <w:rFonts w:ascii="Verdana" w:hAnsi="Verdana" w:cs="Times New Roman"/>
      <w:kern w:val="0"/>
      <w:sz w:val="20"/>
      <w:szCs w:val="20"/>
      <w:lang w:eastAsia="en-US"/>
    </w:rPr>
  </w:style>
  <w:style w:type="paragraph" w:customStyle="1" w:styleId="112">
    <w:name w:val="xl25"/>
    <w:basedOn w:val="1"/>
    <w:autoRedefine/>
    <w:qFormat/>
    <w:uiPriority w:val="0"/>
    <w:pPr>
      <w:widowControl/>
      <w:spacing w:before="100" w:beforeAutospacing="1" w:after="100" w:afterAutospacing="1"/>
      <w:jc w:val="center"/>
      <w:textAlignment w:val="center"/>
    </w:pPr>
    <w:rPr>
      <w:rFonts w:hint="eastAsia" w:ascii="楷体_GB2312" w:eastAsia="楷体_GB2312" w:cs="Times New Roman"/>
      <w:kern w:val="0"/>
    </w:rPr>
  </w:style>
  <w:style w:type="paragraph" w:customStyle="1" w:styleId="113">
    <w:name w:val="标题 10"/>
    <w:basedOn w:val="4"/>
    <w:autoRedefine/>
    <w:qFormat/>
    <w:uiPriority w:val="0"/>
    <w:pPr>
      <w:jc w:val="center"/>
    </w:pPr>
    <w:rPr>
      <w:rFonts w:ascii="Times New Roman" w:hAnsi="Times New Roman"/>
      <w:kern w:val="0"/>
    </w:rPr>
  </w:style>
  <w:style w:type="paragraph" w:customStyle="1" w:styleId="114">
    <w:name w:val="默认段落字体 Para Char Char Char Char Char Char Char Char Char1 Char Char Char Char"/>
    <w:basedOn w:val="1"/>
    <w:autoRedefine/>
    <w:qFormat/>
    <w:uiPriority w:val="0"/>
    <w:rPr>
      <w:rFonts w:ascii="Tahoma" w:hAnsi="Tahoma" w:cs="Times New Roman"/>
      <w:szCs w:val="20"/>
    </w:rPr>
  </w:style>
  <w:style w:type="paragraph" w:customStyle="1" w:styleId="115">
    <w:name w:val="列表段落2"/>
    <w:basedOn w:val="1"/>
    <w:autoRedefine/>
    <w:qFormat/>
    <w:uiPriority w:val="0"/>
    <w:pPr>
      <w:ind w:firstLine="420" w:firstLineChars="200"/>
    </w:pPr>
    <w:rPr>
      <w:rFonts w:ascii="Calibri" w:hAnsi="Calibri" w:cs="Times New Roman"/>
      <w:sz w:val="21"/>
    </w:rPr>
  </w:style>
  <w:style w:type="paragraph" w:customStyle="1" w:styleId="116">
    <w:name w:val="表内文字"/>
    <w:basedOn w:val="1"/>
    <w:autoRedefine/>
    <w:qFormat/>
    <w:uiPriority w:val="0"/>
    <w:pPr>
      <w:tabs>
        <w:tab w:val="left" w:pos="1418"/>
      </w:tabs>
      <w:spacing w:line="360" w:lineRule="auto"/>
      <w:jc w:val="center"/>
    </w:pPr>
    <w:rPr>
      <w:rFonts w:hint="eastAsia" w:ascii="仿宋_GB2312" w:hAnsi="Times New Roman" w:eastAsia="仿宋_GB2312" w:cs="Times New Roman"/>
      <w:spacing w:val="-20"/>
      <w:kern w:val="0"/>
    </w:rPr>
  </w:style>
  <w:style w:type="paragraph" w:customStyle="1" w:styleId="117">
    <w:name w:val="正文1"/>
    <w:autoRedefine/>
    <w:qFormat/>
    <w:uiPriority w:val="0"/>
    <w:pPr>
      <w:suppressAutoHyphens/>
      <w:spacing w:after="180" w:line="312" w:lineRule="auto"/>
    </w:pPr>
    <w:rPr>
      <w:rFonts w:ascii="Helvetica Neue Light" w:hAnsi="Helvetica Neue Light" w:eastAsia="ヒラギノ角ゴ Pro W3" w:cs="Times New Roman"/>
      <w:color w:val="000000"/>
      <w:sz w:val="18"/>
      <w:lang w:val="en-US" w:eastAsia="zh-CN" w:bidi="ar-SA"/>
    </w:rPr>
  </w:style>
  <w:style w:type="paragraph" w:customStyle="1" w:styleId="118">
    <w:name w:val="标准正文"/>
    <w:basedOn w:val="1"/>
    <w:autoRedefine/>
    <w:qFormat/>
    <w:uiPriority w:val="0"/>
    <w:pPr>
      <w:widowControl/>
      <w:spacing w:before="156" w:after="156" w:line="360" w:lineRule="auto"/>
      <w:ind w:firstLine="480" w:firstLineChars="200"/>
      <w:jc w:val="left"/>
    </w:pPr>
    <w:rPr>
      <w:rFonts w:ascii="Times New Roman" w:hAnsi="Times New Roman" w:cs="Times New Roman"/>
      <w:kern w:val="0"/>
    </w:rPr>
  </w:style>
  <w:style w:type="paragraph" w:customStyle="1" w:styleId="119">
    <w:name w:val="Table Paragraph"/>
    <w:basedOn w:val="1"/>
    <w:autoRedefine/>
    <w:qFormat/>
    <w:uiPriority w:val="1"/>
    <w:rPr>
      <w:sz w:val="28"/>
      <w:lang w:val="zh-CN" w:bidi="zh-CN"/>
    </w:rPr>
  </w:style>
  <w:style w:type="paragraph" w:customStyle="1" w:styleId="120">
    <w:name w:val="表格文字"/>
    <w:basedOn w:val="17"/>
    <w:next w:val="13"/>
    <w:autoRedefine/>
    <w:qFormat/>
    <w:uiPriority w:val="0"/>
    <w:pPr>
      <w:adjustRightInd w:val="0"/>
      <w:spacing w:before="156" w:beforeLines="50" w:after="156" w:afterLines="50" w:line="420" w:lineRule="atLeast"/>
      <w:textAlignment w:val="baseline"/>
    </w:pPr>
    <w:rPr>
      <w:rFonts w:ascii="宋体" w:eastAsia="宋体" w:cs="Times New Roman"/>
    </w:rPr>
  </w:style>
  <w:style w:type="character" w:customStyle="1" w:styleId="121">
    <w:name w:val="font41"/>
    <w:autoRedefine/>
    <w:qFormat/>
    <w:uiPriority w:val="0"/>
    <w:rPr>
      <w:rFonts w:hint="default" w:ascii="Times New Roman" w:hAnsi="Times New Roman" w:cs="Times New Roman"/>
      <w:color w:val="000000"/>
      <w:sz w:val="24"/>
      <w:szCs w:val="24"/>
      <w:u w:val="none"/>
    </w:rPr>
  </w:style>
  <w:style w:type="character" w:customStyle="1" w:styleId="122">
    <w:name w:val="font31"/>
    <w:autoRedefine/>
    <w:qFormat/>
    <w:uiPriority w:val="0"/>
    <w:rPr>
      <w:rFonts w:hint="eastAsia" w:ascii="宋体" w:hAnsi="宋体" w:eastAsia="宋体" w:cs="宋体"/>
      <w:color w:val="000000"/>
      <w:sz w:val="24"/>
      <w:szCs w:val="24"/>
      <w:u w:val="none"/>
    </w:rPr>
  </w:style>
  <w:style w:type="paragraph" w:customStyle="1" w:styleId="123">
    <w:name w:val="修订2"/>
    <w:autoRedefine/>
    <w:hidden/>
    <w:semiHidden/>
    <w:qFormat/>
    <w:uiPriority w:val="99"/>
    <w:rPr>
      <w:rFonts w:ascii="宋体" w:hAnsi="宋体" w:eastAsia="宋体" w:cs="宋体"/>
      <w:kern w:val="2"/>
      <w:sz w:val="24"/>
      <w:szCs w:val="24"/>
      <w:lang w:val="en-US" w:eastAsia="zh-CN" w:bidi="ar-SA"/>
    </w:rPr>
  </w:style>
  <w:style w:type="paragraph" w:customStyle="1" w:styleId="124">
    <w:name w:val="修订3"/>
    <w:autoRedefine/>
    <w:hidden/>
    <w:semiHidden/>
    <w:qFormat/>
    <w:uiPriority w:val="99"/>
    <w:rPr>
      <w:rFonts w:ascii="宋体" w:hAnsi="宋体" w:eastAsia="宋体" w:cs="宋体"/>
      <w:kern w:val="2"/>
      <w:sz w:val="24"/>
      <w:szCs w:val="24"/>
      <w:lang w:val="en-US" w:eastAsia="zh-CN" w:bidi="ar-SA"/>
    </w:rPr>
  </w:style>
  <w:style w:type="paragraph" w:customStyle="1" w:styleId="125">
    <w:name w:val="修订4"/>
    <w:autoRedefine/>
    <w:hidden/>
    <w:semiHidden/>
    <w:qFormat/>
    <w:uiPriority w:val="99"/>
    <w:rPr>
      <w:rFonts w:ascii="宋体" w:hAnsi="宋体" w:eastAsia="宋体" w:cs="宋体"/>
      <w:kern w:val="2"/>
      <w:sz w:val="24"/>
      <w:szCs w:val="24"/>
      <w:lang w:val="en-US" w:eastAsia="zh-CN" w:bidi="ar-SA"/>
    </w:rPr>
  </w:style>
  <w:style w:type="table" w:customStyle="1" w:styleId="126">
    <w:name w:val="网格型1"/>
    <w:basedOn w:val="32"/>
    <w:autoRedefine/>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27">
    <w:name w:val="标题 4_0"/>
    <w:basedOn w:val="104"/>
    <w:next w:val="104"/>
    <w:autoRedefine/>
    <w:qFormat/>
    <w:uiPriority w:val="99"/>
    <w:pPr>
      <w:keepNext/>
      <w:keepLines/>
      <w:spacing w:before="280" w:after="290" w:line="374" w:lineRule="auto"/>
      <w:outlineLvl w:val="3"/>
    </w:pPr>
    <w:rPr>
      <w:rFonts w:ascii="Cambria Bold" w:hAnsi="Cambria Bold" w:eastAsia="ヒラギノ角ゴ Pro W3"/>
      <w:color w:val="000000"/>
      <w:sz w:val="28"/>
    </w:rPr>
  </w:style>
  <w:style w:type="paragraph" w:customStyle="1" w:styleId="128">
    <w:name w:val="纯文本_0"/>
    <w:autoRedefine/>
    <w:qFormat/>
    <w:uiPriority w:val="0"/>
    <w:pPr>
      <w:widowControl w:val="0"/>
      <w:jc w:val="both"/>
    </w:pPr>
    <w:rPr>
      <w:rFonts w:ascii="Arial Unicode MS" w:hAnsi="Arial Unicode MS" w:eastAsia="ヒラギノ角ゴ Pro W3" w:cstheme="minorBidi"/>
      <w:color w:val="000000"/>
      <w:kern w:val="2"/>
      <w:sz w:val="21"/>
      <w:szCs w:val="22"/>
      <w:lang w:val="en-US" w:eastAsia="zh-CN" w:bidi="ar-SA"/>
    </w:rPr>
  </w:style>
  <w:style w:type="paragraph" w:customStyle="1" w:styleId="129">
    <w:name w:val="样式 正文文本"/>
    <w:basedOn w:val="1"/>
    <w:autoRedefine/>
    <w:qFormat/>
    <w:uiPriority w:val="0"/>
    <w:pPr>
      <w:adjustRightInd w:val="0"/>
      <w:snapToGrid w:val="0"/>
      <w:spacing w:line="400" w:lineRule="exact"/>
      <w:ind w:firstLine="200" w:firstLineChars="200"/>
    </w:pPr>
    <w:rPr>
      <w:rFonts w:ascii="Arial" w:hAnsi="Arial" w:cs="Arial"/>
      <w:color w:val="00000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GB.XSL" StyleName="GB7714" Version="2005"/>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B570057-7779-4FDB-8321-34052B12434E}">
  <ds:schemaRefs/>
</ds:datastoreItem>
</file>

<file path=docProps/app.xml><?xml version="1.0" encoding="utf-8"?>
<Properties xmlns="http://schemas.openxmlformats.org/officeDocument/2006/extended-properties" xmlns:vt="http://schemas.openxmlformats.org/officeDocument/2006/docPropsVTypes">
  <Template>Normal.dotm</Template>
  <Pages>82</Pages>
  <Words>18792</Words>
  <Characters>19866</Characters>
  <Lines>405</Lines>
  <Paragraphs>114</Paragraphs>
  <TotalTime>61</TotalTime>
  <ScaleCrop>false</ScaleCrop>
  <LinksUpToDate>false</LinksUpToDate>
  <CharactersWithSpaces>19936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2024-10-25T04:03:00Z</dcterms:created>
  <dc:creator>j hj</dc:creator>
  <cp:lastModifiedBy>温瑶</cp:lastModifiedBy>
  <dcterms:modified xsi:type="dcterms:W3CDTF">2024-10-28T08:52:39Z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B747C5F4E4BB4B78819752525780EA5C_12</vt:lpwstr>
  </property>
</Properties>
</file>