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adjustRightInd/>
        <w:spacing w:line="360" w:lineRule="auto"/>
        <w:jc w:val="center"/>
        <w:rPr>
          <w:rFonts w:ascii="宋体" w:hAnsi="宋体" w:cs="宋体"/>
          <w:b/>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2024-2027年西湖区卫健互联网+综合监管系统运维服务项目（重）</w:t>
      </w:r>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DXGC2025-XH-023-1</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杭州市西湖区卫生健康局</w:t>
      </w:r>
    </w:p>
    <w:p>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浙江鼎欣工程项目管理有限公司</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日</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pPr>
        <w:pStyle w:val="637"/>
        <w:rPr>
          <w:color w:val="auto"/>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2024-2027年西湖区卫健互联网+综合监管系统运维服务项目（重）</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4月22</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DXGC2025-XH-023-1</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2024-2027年西湖区卫健互联网+综合监管系统运维服务项目（重）</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Cs/>
          <w:sz w:val="24"/>
        </w:rPr>
        <w:t>967500</w:t>
      </w:r>
      <w:r>
        <w:rPr>
          <w:rFonts w:ascii="宋体" w:hAnsi="宋体" w:cs="宋体"/>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Cs/>
          <w:sz w:val="24"/>
        </w:rPr>
        <w:t>967500</w:t>
      </w:r>
      <w:r>
        <w:rPr>
          <w:rFonts w:ascii="宋体" w:hAnsi="宋体" w:cs="宋体"/>
          <w:color w:val="auto"/>
          <w:sz w:val="24"/>
          <w:highlight w:val="none"/>
        </w:rPr>
        <w:t xml:space="preserve"> </w:t>
      </w:r>
    </w:p>
    <w:p>
      <w:pPr>
        <w:pStyle w:val="6"/>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2024-2027年西湖区卫健互联网+综合监管系统运维服务项目（重）</w:t>
      </w:r>
      <w:r>
        <w:rPr>
          <w:rFonts w:hint="eastAsia" w:hAnsi="宋体" w:cs="宋体"/>
          <w:bCs/>
          <w:snapToGrid/>
          <w:color w:val="auto"/>
          <w:kern w:val="2"/>
          <w:sz w:val="24"/>
          <w:szCs w:val="24"/>
          <w:highlight w:val="none"/>
        </w:rPr>
        <w:t>主要内容： 主要采购包含1、一单位一平台改造。将多个应用按照“六统一”技术要求应用整合至西湖区卫健互联网+综合监管系统。2、</w:t>
      </w:r>
      <w:r>
        <w:rPr>
          <w:rFonts w:hint="eastAsia" w:hAnsi="宋体" w:cs="宋体"/>
          <w:bCs/>
          <w:snapToGrid/>
          <w:color w:val="auto"/>
          <w:kern w:val="2"/>
          <w:sz w:val="24"/>
          <w:szCs w:val="24"/>
          <w:highlight w:val="none"/>
          <w:lang w:eastAsia="zh-CN"/>
        </w:rPr>
        <w:t>信息技术应用创新改造</w:t>
      </w:r>
      <w:r>
        <w:rPr>
          <w:rFonts w:hint="eastAsia" w:hAnsi="宋体" w:cs="宋体"/>
          <w:bCs/>
          <w:snapToGrid/>
          <w:color w:val="auto"/>
          <w:kern w:val="2"/>
          <w:sz w:val="24"/>
          <w:szCs w:val="24"/>
          <w:highlight w:val="none"/>
        </w:rPr>
        <w:t>。对系统的</w:t>
      </w:r>
      <w:r>
        <w:rPr>
          <w:rFonts w:hint="eastAsia" w:hAnsi="宋体" w:cs="宋体"/>
          <w:bCs/>
          <w:snapToGrid/>
          <w:color w:val="auto"/>
          <w:kern w:val="2"/>
          <w:sz w:val="24"/>
          <w:szCs w:val="24"/>
          <w:highlight w:val="none"/>
          <w:lang w:eastAsia="zh-CN"/>
        </w:rPr>
        <w:t>信息技术应用创新改造</w:t>
      </w:r>
      <w:r>
        <w:rPr>
          <w:rFonts w:hint="eastAsia" w:hAnsi="宋体" w:cs="宋体"/>
          <w:bCs/>
          <w:snapToGrid/>
          <w:color w:val="auto"/>
          <w:kern w:val="2"/>
          <w:sz w:val="24"/>
          <w:szCs w:val="24"/>
          <w:highlight w:val="none"/>
        </w:rPr>
        <w:t>升级，适配国产数据库、国产操作系统、国产中间件等环境，完成各系统的数据迁移部署改造、信创测评。3、三年硬件运维服务。</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合同履约期限：合同签订后120天内完成软件功能的建设并上线，质保期3年；硬件部分三年运维期</w:t>
      </w:r>
      <w:r>
        <w:rPr>
          <w:rFonts w:ascii="宋体" w:hAnsi="宋体" w:cs="宋体"/>
          <w:color w:val="auto"/>
          <w:highlight w:val="none"/>
        </w:rPr>
        <w:t xml:space="preserve"> </w:t>
      </w:r>
    </w:p>
    <w:p>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pPr>
        <w:rPr>
          <w:rFonts w:ascii="宋体" w:hAnsi="宋体" w:cs="宋体"/>
          <w:color w:val="auto"/>
          <w:highlight w:val="none"/>
        </w:rPr>
      </w:pP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4月22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4月22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4月22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址：杭州市西湖区文一西路858号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项目联系人（询问）：郑老师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项目联系方式（询问）：0571-87207186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质疑联系人：周老师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质疑联系方式：0571-89510894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浙江鼎欣工程项目管理有限公司</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址：杭州市西湖区翠苑新村三区11幢5单</w:t>
      </w:r>
      <w:r>
        <w:rPr>
          <w:rFonts w:hint="eastAsia" w:ascii="宋体" w:hAnsi="宋体" w:cs="宋体"/>
          <w:sz w:val="24"/>
        </w:rPr>
        <w:t>元</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sz w:val="24"/>
        </w:rPr>
        <w:t>刘</w:t>
      </w:r>
      <w:r>
        <w:rPr>
          <w:rFonts w:hint="eastAsia" w:ascii="宋体" w:hAnsi="宋体" w:cs="宋体"/>
          <w:sz w:val="24"/>
          <w:lang w:val="en-US" w:eastAsia="zh-CN"/>
        </w:rPr>
        <w:t>先生</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项目联系方式（询问）：13336125345</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质疑联系人：张根源 </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eastAsia" w:ascii="宋体" w:hAnsi="宋体" w:cs="宋体"/>
          <w:color w:val="auto"/>
          <w:sz w:val="24"/>
          <w:highlight w:val="none"/>
          <w:lang w:val="en-US" w:eastAsia="zh-CN"/>
        </w:rPr>
        <w:t>89393932</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kern w:val="0"/>
                <w:sz w:val="24"/>
                <w:u w:val="single"/>
                <w:lang w:eastAsia="zh-CN"/>
              </w:rPr>
              <w:t>2024-2027年西湖区卫健互联网+综合监管系统运维服务项目（重）</w:t>
            </w:r>
            <w:r>
              <w:rPr>
                <w:rFonts w:hint="eastAsia" w:ascii="宋体" w:hAnsi="宋体" w:cs="宋体"/>
                <w:color w:val="auto"/>
                <w:kern w:val="0"/>
                <w:sz w:val="24"/>
                <w:highlight w:val="none"/>
              </w:rPr>
              <w:t>，属于</w:t>
            </w:r>
            <w:r>
              <w:rPr>
                <w:rFonts w:hint="eastAsia" w:ascii="宋体" w:hAnsi="宋体" w:cs="宋体"/>
                <w:kern w:val="0"/>
                <w:sz w:val="24"/>
                <w:u w:val="single"/>
              </w:rPr>
              <w:t>软件和信息技术服务业</w:t>
            </w:r>
            <w:r>
              <w:rPr>
                <w:rFonts w:hint="eastAsia" w:ascii="宋体" w:hAnsi="宋体" w:cs="宋体"/>
                <w:color w:val="auto"/>
                <w:kern w:val="0"/>
                <w:sz w:val="24"/>
                <w:highlight w:val="none"/>
              </w:rPr>
              <w:t>行业；</w:t>
            </w:r>
          </w:p>
          <w:p>
            <w:pPr>
              <w:snapToGrid w:val="0"/>
              <w:spacing w:line="360" w:lineRule="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kern w:val="0"/>
                <w:sz w:val="24"/>
                <w:u w:val="single"/>
              </w:rPr>
              <w:t>软件和信息技术服务业</w:t>
            </w:r>
            <w:r>
              <w:rPr>
                <w:rFonts w:hint="eastAsia" w:ascii="宋体" w:hAnsi="宋体" w:eastAsia="宋体" w:cs="宋体"/>
                <w:b w:val="0"/>
                <w:bCs w:val="0"/>
                <w:color w:val="auto"/>
                <w:kern w:val="0"/>
                <w:sz w:val="24"/>
                <w:szCs w:val="24"/>
                <w:highlight w:val="none"/>
                <w:lang w:val="en-US" w:eastAsia="zh-CN" w:bidi="ar-SA"/>
              </w:rPr>
              <w:t>行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pPr>
              <w:pStyle w:val="79"/>
              <w:ind w:firstLine="0" w:firstLineChars="0"/>
              <w:rPr>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eastAsia="宋体" w:cs="宋体"/>
                <w:color w:val="auto"/>
                <w:kern w:val="0"/>
                <w:sz w:val="24"/>
                <w:highlight w:val="none"/>
                <w:lang w:val="en"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pPr>
              <w:spacing w:line="360" w:lineRule="auto"/>
              <w:rPr>
                <w:rFonts w:hint="eastAsia" w:ascii="宋体" w:hAnsi="宋体" w:cs="宋体"/>
                <w:sz w:val="24"/>
              </w:rPr>
            </w:pPr>
            <w:r>
              <w:rPr>
                <w:rFonts w:hint="eastAsia" w:ascii="宋体" w:hAnsi="宋体" w:cs="宋体"/>
                <w:sz w:val="24"/>
              </w:rPr>
              <w:t>1、成交单位须在领取成交通知书的同时，提供与线上递交的“电子加密响应文件”一致的纸质响应文件并装订成册一正</w:t>
            </w:r>
            <w:r>
              <w:rPr>
                <w:rFonts w:hint="eastAsia" w:ascii="宋体" w:hAnsi="宋体" w:cs="宋体"/>
                <w:sz w:val="24"/>
                <w:lang w:val="en-US" w:eastAsia="zh-CN"/>
              </w:rPr>
              <w:t>二</w:t>
            </w:r>
            <w:r>
              <w:rPr>
                <w:rFonts w:hint="eastAsia" w:ascii="宋体" w:hAnsi="宋体" w:cs="宋体"/>
                <w:sz w:val="24"/>
              </w:rPr>
              <w:t>副给采购代理机构。</w:t>
            </w:r>
          </w:p>
          <w:p>
            <w:pPr>
              <w:spacing w:line="360" w:lineRule="auto"/>
              <w:rPr>
                <w:rFonts w:hint="eastAsia" w:ascii="宋体" w:hAnsi="宋体" w:cs="宋体"/>
                <w:sz w:val="24"/>
              </w:rPr>
            </w:pPr>
            <w:r>
              <w:rPr>
                <w:rFonts w:hint="eastAsia" w:ascii="宋体" w:hAnsi="宋体" w:cs="宋体"/>
                <w:sz w:val="24"/>
              </w:rPr>
              <w:t>2、采购代理服务费金额：参考发改价格(2011)534号文件规定的服务类收费标准9折收取。</w:t>
            </w:r>
          </w:p>
          <w:p>
            <w:pPr>
              <w:spacing w:line="360" w:lineRule="auto"/>
              <w:rPr>
                <w:rFonts w:hint="eastAsia" w:ascii="宋体" w:hAnsi="宋体" w:cs="宋体"/>
                <w:sz w:val="24"/>
              </w:rPr>
            </w:pPr>
            <w:r>
              <w:rPr>
                <w:rFonts w:hint="eastAsia" w:ascii="宋体" w:hAnsi="宋体" w:cs="宋体"/>
                <w:sz w:val="24"/>
              </w:rPr>
              <w:t>采购代理服务费交纳形式：汇票/支票/电汇/现金</w:t>
            </w:r>
          </w:p>
          <w:p>
            <w:pPr>
              <w:spacing w:line="360" w:lineRule="auto"/>
              <w:rPr>
                <w:rFonts w:hint="eastAsia" w:ascii="宋体" w:hAnsi="宋体" w:cs="宋体"/>
                <w:sz w:val="24"/>
              </w:rPr>
            </w:pPr>
            <w:r>
              <w:rPr>
                <w:rFonts w:hint="eastAsia" w:ascii="宋体" w:hAnsi="宋体" w:cs="宋体"/>
                <w:sz w:val="24"/>
              </w:rPr>
              <w:t>采购代理服务费由中标人在发布采购结果公告后5日内以人民币方式向采购代理机构支付。汇入以下账户：</w:t>
            </w:r>
          </w:p>
          <w:p>
            <w:pPr>
              <w:spacing w:line="360" w:lineRule="auto"/>
              <w:ind w:firstLine="480" w:firstLineChars="200"/>
              <w:rPr>
                <w:rFonts w:hint="eastAsia" w:ascii="宋体" w:hAnsi="宋体" w:cs="宋体"/>
                <w:sz w:val="24"/>
              </w:rPr>
            </w:pPr>
            <w:r>
              <w:rPr>
                <w:rFonts w:hint="eastAsia" w:ascii="宋体" w:hAnsi="宋体" w:cs="宋体"/>
                <w:sz w:val="24"/>
              </w:rPr>
              <w:t>户名：浙江鼎欣工程项目管理有限公司</w:t>
            </w:r>
          </w:p>
          <w:p>
            <w:pPr>
              <w:spacing w:line="360" w:lineRule="auto"/>
              <w:ind w:firstLine="480" w:firstLineChars="200"/>
              <w:rPr>
                <w:rFonts w:hint="eastAsia" w:ascii="宋体" w:hAnsi="宋体" w:cs="宋体"/>
                <w:sz w:val="24"/>
              </w:rPr>
            </w:pPr>
            <w:r>
              <w:rPr>
                <w:rFonts w:hint="eastAsia" w:ascii="宋体" w:hAnsi="宋体" w:cs="宋体"/>
                <w:sz w:val="24"/>
              </w:rPr>
              <w:t>开户：杭州联合农村商业银行股份有限公司三墩支行</w:t>
            </w:r>
          </w:p>
          <w:p>
            <w:pPr>
              <w:spacing w:line="360" w:lineRule="auto"/>
              <w:ind w:firstLine="480" w:firstLineChars="200"/>
              <w:rPr>
                <w:rFonts w:hint="eastAsia" w:ascii="宋体" w:hAnsi="宋体" w:eastAsia="宋体" w:cs="宋体"/>
                <w:color w:val="auto"/>
                <w:kern w:val="0"/>
                <w:sz w:val="24"/>
                <w:highlight w:val="none"/>
                <w:lang w:val="en" w:eastAsia="zh-CN"/>
              </w:rPr>
            </w:pPr>
            <w:r>
              <w:rPr>
                <w:rFonts w:hint="eastAsia" w:ascii="宋体" w:hAnsi="宋体" w:cs="宋体"/>
                <w:sz w:val="24"/>
              </w:rPr>
              <w:t>账号：201000295513205</w:t>
            </w:r>
          </w:p>
        </w:tc>
      </w:tr>
    </w:tbl>
    <w:p>
      <w:pPr>
        <w:snapToGrid w:val="0"/>
        <w:spacing w:line="360" w:lineRule="auto"/>
        <w:jc w:val="center"/>
        <w:rPr>
          <w:rFonts w:ascii="宋体" w:hAnsi="宋体" w:cs="宋体"/>
          <w:b/>
          <w:color w:val="auto"/>
          <w:sz w:val="32"/>
          <w:szCs w:val="20"/>
          <w:highlight w:val="none"/>
        </w:rPr>
      </w:pPr>
    </w:p>
    <w:bookmarkEnd w:id="10"/>
    <w:p>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pPr>
        <w:pStyle w:val="889"/>
        <w:shd w:val="clear" w:color="auto" w:fill="FFFFFF"/>
        <w:snapToGrid w:val="0"/>
        <w:spacing w:after="240" w:afterAutospacing="0" w:line="360" w:lineRule="auto"/>
        <w:ind w:firstLine="400"/>
        <w:contextualSpacing/>
        <w:rPr>
          <w:rFonts w:hint="eastAsia"/>
          <w:color w:val="auto"/>
          <w:highlight w:val="none"/>
        </w:rPr>
      </w:pP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pStyle w:val="131"/>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131"/>
        <w:spacing w:before="0"/>
        <w:ind w:firstLine="643"/>
        <w:rPr>
          <w:rFonts w:ascii="宋体" w:hAnsi="宋体" w:cs="宋体"/>
          <w:b/>
          <w:color w:val="auto"/>
          <w:sz w:val="32"/>
          <w:highlight w:val="none"/>
        </w:rPr>
      </w:pPr>
    </w:p>
    <w:p>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31"/>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bCs w:val="0"/>
          <w:color w:val="auto"/>
          <w:szCs w:val="24"/>
          <w:highlight w:val="none"/>
        </w:rPr>
        <w:t>由于中标、成交供应商原因导致重新采购的，应当承担支付代理费和专家评审费等费用在内的赔偿责任。</w:t>
      </w:r>
    </w:p>
    <w:p>
      <w:pPr>
        <w:pStyle w:val="80"/>
        <w:rPr>
          <w:color w:val="auto"/>
          <w:highlight w:val="none"/>
        </w:rPr>
      </w:pP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pPr>
        <w:pStyle w:val="4"/>
        <w:rPr>
          <w:color w:val="auto"/>
          <w:highlight w:val="none"/>
        </w:rPr>
      </w:pPr>
      <w:r>
        <w:rPr>
          <w:rFonts w:ascii="宋体" w:hAnsi="宋体" w:eastAsia="宋体"/>
          <w:b/>
          <w:bCs/>
          <w:color w:val="auto"/>
          <w:sz w:val="24"/>
          <w:szCs w:val="32"/>
          <w:highlight w:val="none"/>
          <w:lang w:val="en-US"/>
        </w:rPr>
        <w:t>27.预付款</w:t>
      </w:r>
    </w:p>
    <w:p>
      <w:pPr>
        <w:adjustRightInd/>
        <w:spacing w:line="360" w:lineRule="auto"/>
        <w:ind w:firstLine="480" w:firstLineChars="200"/>
        <w:rPr>
          <w:rFonts w:ascii="宋体" w:hAnsi="宋体" w:cs="宋体"/>
          <w:b/>
          <w:color w:val="auto"/>
          <w:sz w:val="32"/>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4"/>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pPr>
        <w:pStyle w:val="80"/>
        <w:rPr>
          <w:color w:val="auto"/>
          <w:highlight w:val="none"/>
        </w:rPr>
      </w:pPr>
    </w:p>
    <w:bookmarkEnd w:id="13"/>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29768"/>
      <w:bookmarkEnd w:id="15"/>
      <w:bookmarkStart w:id="16" w:name="_Hlt74714665"/>
      <w:bookmarkEnd w:id="16"/>
      <w:bookmarkStart w:id="17" w:name="_Hlt68072990"/>
      <w:bookmarkEnd w:id="17"/>
      <w:bookmarkStart w:id="18" w:name="_Hlt75236290"/>
      <w:bookmarkEnd w:id="18"/>
      <w:bookmarkStart w:id="19" w:name="_Hlt74730295"/>
      <w:bookmarkEnd w:id="19"/>
      <w:bookmarkStart w:id="20" w:name="_Hlt68073093"/>
      <w:bookmarkEnd w:id="20"/>
      <w:bookmarkStart w:id="21" w:name="_Hlt74707468"/>
      <w:bookmarkEnd w:id="21"/>
      <w:bookmarkStart w:id="22" w:name="_Hlt75236101"/>
      <w:bookmarkEnd w:id="22"/>
      <w:bookmarkStart w:id="23" w:name="_Hlt68403820"/>
      <w:bookmarkEnd w:id="23"/>
      <w:bookmarkStart w:id="24" w:name="_Hlt75236011"/>
      <w:bookmarkEnd w:id="24"/>
      <w:bookmarkStart w:id="25" w:name="_Hlt68072998"/>
      <w:bookmarkEnd w:id="25"/>
      <w:bookmarkStart w:id="26" w:name="_Hlt68057669"/>
      <w:bookmarkEnd w:id="26"/>
    </w:p>
    <w:bookmarkEnd w:id="11"/>
    <w:bookmarkEnd w:id="12"/>
    <w:p>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pPr>
        <w:pStyle w:val="3"/>
        <w:spacing w:before="0" w:after="0" w:line="360" w:lineRule="auto"/>
        <w:ind w:left="0" w:firstLine="0"/>
        <w:rPr>
          <w:rFonts w:hint="eastAsia" w:ascii="宋体" w:hAnsi="宋体" w:cs="宋体"/>
          <w:sz w:val="24"/>
          <w:szCs w:val="24"/>
        </w:rPr>
      </w:pPr>
      <w:r>
        <w:rPr>
          <w:rFonts w:hint="eastAsia" w:ascii="宋体" w:hAnsi="宋体" w:cs="宋体"/>
          <w:sz w:val="24"/>
          <w:szCs w:val="24"/>
        </w:rPr>
        <w:t>一、项目概述</w:t>
      </w:r>
    </w:p>
    <w:p>
      <w:pPr>
        <w:pStyle w:val="4"/>
        <w:numPr>
          <w:ilvl w:val="0"/>
          <w:numId w:val="1"/>
        </w:numPr>
        <w:jc w:val="both"/>
        <w:rPr>
          <w:rFonts w:hint="eastAsia" w:ascii="宋体" w:hAnsi="宋体" w:eastAsia="宋体" w:cs="宋体"/>
          <w:sz w:val="24"/>
          <w:szCs w:val="24"/>
          <w:lang w:val="en-US"/>
        </w:rPr>
      </w:pPr>
      <w:r>
        <w:rPr>
          <w:rFonts w:hint="eastAsia" w:ascii="宋体" w:hAnsi="宋体" w:eastAsia="宋体" w:cs="宋体"/>
          <w:sz w:val="24"/>
          <w:szCs w:val="24"/>
          <w:lang w:val="en-US"/>
        </w:rPr>
        <w:t>建设目标</w:t>
      </w:r>
    </w:p>
    <w:p>
      <w:pPr>
        <w:pStyle w:val="2"/>
        <w:widowControl/>
        <w:autoSpaceDE/>
        <w:autoSpaceDN/>
        <w:adjustRightInd/>
        <w:ind w:firstLine="480" w:firstLineChars="200"/>
        <w:rPr>
          <w:rFonts w:hint="eastAsia" w:hAnsi="宋体" w:cs="宋体"/>
          <w:color w:val="000000"/>
          <w:szCs w:val="24"/>
          <w:shd w:val="clear" w:color="auto" w:fill="FFFFFF"/>
        </w:rPr>
      </w:pPr>
      <w:r>
        <w:rPr>
          <w:rFonts w:hint="eastAsia" w:hAnsi="宋体" w:cs="宋体"/>
          <w:color w:val="000000"/>
          <w:kern w:val="0"/>
          <w:szCs w:val="24"/>
          <w:shd w:val="clear" w:color="auto" w:fill="FFFFFF"/>
          <w:lang w:val="en-US"/>
        </w:rPr>
        <w:t>根据区委办政务系统国产化替代计划2024年完成对系统按照“一单位一平台的统一门户集成、统一用户管理、统一授权管理、统一接入管理统一安全防护、统一资源管理(以下简称“六统一”)的要求，整合为一个互联互通、业务协同、信息共享的“大平台”。强化集成应用，统一数据终端数据服务接口与省、市对应平台完成数据的交互和各业务支撑系统的生态模块的对接，重点打造一体化办案、综合行政执法的集成应用。全面推进办案建设数字化变革，逐步构建全覆盖、一体化的数字化业务应用体系。依托西湖卫健互联网+综合监管平台入口服务，实现整个平台系统的账号服务、数据服务、产品服务、智能监控等。</w:t>
      </w:r>
    </w:p>
    <w:p>
      <w:pPr>
        <w:pStyle w:val="4"/>
        <w:numPr>
          <w:ilvl w:val="0"/>
          <w:numId w:val="1"/>
        </w:numPr>
        <w:jc w:val="both"/>
        <w:rPr>
          <w:rFonts w:hint="eastAsia" w:ascii="宋体" w:hAnsi="宋体" w:eastAsia="宋体" w:cs="宋体"/>
          <w:sz w:val="24"/>
          <w:szCs w:val="24"/>
        </w:rPr>
      </w:pPr>
      <w:r>
        <w:rPr>
          <w:rFonts w:hint="eastAsia" w:ascii="宋体" w:hAnsi="宋体" w:eastAsia="宋体" w:cs="宋体"/>
          <w:sz w:val="24"/>
          <w:szCs w:val="24"/>
          <w:lang w:val="en-US"/>
        </w:rPr>
        <w:t>建设内容</w:t>
      </w:r>
    </w:p>
    <w:p>
      <w:pPr>
        <w:pStyle w:val="57"/>
        <w:autoSpaceDE w:val="0"/>
        <w:autoSpaceDN w:val="0"/>
        <w:adjustRightInd/>
        <w:spacing w:before="0" w:beforeAutospacing="0" w:after="0" w:afterAutospacing="0" w:line="360" w:lineRule="auto"/>
        <w:ind w:firstLine="480" w:firstLineChars="200"/>
        <w:rPr>
          <w:rFonts w:hint="eastAsia" w:cs="宋体"/>
          <w:color w:val="000000"/>
          <w:shd w:val="clear" w:color="auto" w:fill="FFFFFF"/>
        </w:rPr>
      </w:pPr>
      <w:r>
        <w:rPr>
          <w:rFonts w:hint="eastAsia" w:cs="宋体"/>
          <w:color w:val="000000"/>
          <w:shd w:val="clear" w:color="auto" w:fill="FFFFFF"/>
        </w:rPr>
        <w:t>为贯彻落实文件精神，保障系统持续稳定运行，本次建设的主要内容包括：1、一单位一平台改造，将多个应用按照“六统一”技术要求应用整合至西湖区卫健互联网+综合监管系统；2、完成对整合后的西湖区卫健互联网+综合监管系统开展</w:t>
      </w:r>
      <w:r>
        <w:rPr>
          <w:rFonts w:hint="eastAsia" w:cs="宋体"/>
          <w:color w:val="000000"/>
          <w:shd w:val="clear" w:color="auto" w:fill="FFFFFF"/>
          <w:lang w:eastAsia="zh-CN"/>
        </w:rPr>
        <w:t>信创改造</w:t>
      </w:r>
      <w:r>
        <w:rPr>
          <w:rFonts w:hint="eastAsia" w:cs="宋体"/>
          <w:color w:val="000000"/>
          <w:shd w:val="clear" w:color="auto" w:fill="FFFFFF"/>
        </w:rPr>
        <w:t>；3、三年硬件运维服务。</w:t>
      </w:r>
    </w:p>
    <w:p>
      <w:pPr>
        <w:pStyle w:val="4"/>
        <w:numPr>
          <w:ilvl w:val="0"/>
          <w:numId w:val="1"/>
        </w:numPr>
        <w:jc w:val="both"/>
        <w:rPr>
          <w:rFonts w:hint="eastAsia" w:ascii="宋体" w:hAnsi="宋体" w:eastAsia="宋体" w:cs="宋体"/>
          <w:sz w:val="24"/>
          <w:szCs w:val="24"/>
          <w:lang w:val="en-US"/>
        </w:rPr>
      </w:pPr>
      <w:r>
        <w:rPr>
          <w:rFonts w:hint="eastAsia" w:ascii="宋体" w:hAnsi="宋体" w:eastAsia="宋体" w:cs="宋体"/>
          <w:sz w:val="24"/>
          <w:szCs w:val="24"/>
          <w:lang w:val="en-US"/>
        </w:rPr>
        <w:t>规格要求</w:t>
      </w:r>
    </w:p>
    <w:p>
      <w:pPr>
        <w:pStyle w:val="2"/>
        <w:rPr>
          <w:rFonts w:hint="eastAsia" w:hAnsi="宋体" w:cs="宋体"/>
          <w:kern w:val="0"/>
          <w:szCs w:val="24"/>
          <w:lang w:val="en-US"/>
        </w:rPr>
      </w:pPr>
      <w:r>
        <w:rPr>
          <w:rFonts w:hint="eastAsia" w:hAnsi="宋体" w:cs="宋体"/>
          <w:kern w:val="0"/>
          <w:szCs w:val="24"/>
          <w:lang w:val="en-US"/>
        </w:rPr>
        <w:t>（1）改造升级</w:t>
      </w:r>
    </w:p>
    <w:tbl>
      <w:tblPr>
        <w:tblStyle w:val="62"/>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8"/>
        <w:gridCol w:w="565"/>
        <w:gridCol w:w="1835"/>
        <w:gridCol w:w="5159"/>
        <w:gridCol w:w="1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trPr>
        <w:tc>
          <w:tcPr>
            <w:tcW w:w="301" w:type="pct"/>
            <w:noWrap w:val="0"/>
            <w:vAlign w:val="center"/>
          </w:tcPr>
          <w:p>
            <w:pPr>
              <w:pStyle w:val="2"/>
              <w:autoSpaceDE/>
              <w:autoSpaceDN/>
              <w:adjustRightInd/>
              <w:spacing w:line="240" w:lineRule="auto"/>
              <w:jc w:val="center"/>
              <w:rPr>
                <w:rFonts w:hint="eastAsia" w:hAnsi="宋体" w:cs="宋体"/>
                <w:b/>
                <w:bCs/>
                <w:szCs w:val="24"/>
                <w:lang w:val="en-US"/>
              </w:rPr>
            </w:pPr>
            <w:r>
              <w:rPr>
                <w:rFonts w:hint="eastAsia" w:hAnsi="宋体" w:cs="宋体"/>
                <w:b/>
                <w:bCs/>
                <w:szCs w:val="24"/>
                <w:lang w:val="en-US"/>
              </w:rPr>
              <w:t>序号</w:t>
            </w:r>
          </w:p>
        </w:tc>
        <w:tc>
          <w:tcPr>
            <w:tcW w:w="304" w:type="pct"/>
            <w:noWrap w:val="0"/>
            <w:vAlign w:val="center"/>
          </w:tcPr>
          <w:p>
            <w:pPr>
              <w:pStyle w:val="2"/>
              <w:autoSpaceDE/>
              <w:autoSpaceDN/>
              <w:adjustRightInd/>
              <w:spacing w:line="240" w:lineRule="auto"/>
              <w:jc w:val="center"/>
              <w:rPr>
                <w:rFonts w:hint="eastAsia" w:hAnsi="宋体" w:cs="宋体"/>
                <w:b/>
                <w:bCs/>
                <w:szCs w:val="24"/>
                <w:lang w:val="en-US"/>
              </w:rPr>
            </w:pPr>
            <w:r>
              <w:rPr>
                <w:rFonts w:hint="eastAsia" w:hAnsi="宋体" w:cs="宋体"/>
                <w:b/>
                <w:bCs/>
                <w:szCs w:val="24"/>
                <w:lang w:val="en-US"/>
              </w:rPr>
              <w:t>内容</w:t>
            </w:r>
          </w:p>
        </w:tc>
        <w:tc>
          <w:tcPr>
            <w:tcW w:w="988" w:type="pct"/>
            <w:noWrap w:val="0"/>
            <w:vAlign w:val="center"/>
          </w:tcPr>
          <w:p>
            <w:pPr>
              <w:pStyle w:val="2"/>
              <w:autoSpaceDE/>
              <w:autoSpaceDN/>
              <w:adjustRightInd/>
              <w:spacing w:line="240" w:lineRule="auto"/>
              <w:jc w:val="center"/>
              <w:rPr>
                <w:rFonts w:hint="eastAsia" w:hAnsi="宋体" w:cs="宋体"/>
                <w:b/>
                <w:bCs/>
                <w:szCs w:val="24"/>
                <w:lang w:val="en-US"/>
              </w:rPr>
            </w:pPr>
            <w:r>
              <w:rPr>
                <w:rFonts w:hint="eastAsia" w:hAnsi="宋体" w:cs="宋体"/>
                <w:b/>
                <w:bCs/>
                <w:szCs w:val="24"/>
                <w:lang w:val="en-US"/>
              </w:rPr>
              <w:t>分项</w:t>
            </w:r>
          </w:p>
        </w:tc>
        <w:tc>
          <w:tcPr>
            <w:tcW w:w="2777" w:type="pct"/>
            <w:noWrap w:val="0"/>
            <w:vAlign w:val="center"/>
          </w:tcPr>
          <w:p>
            <w:pPr>
              <w:pStyle w:val="2"/>
              <w:autoSpaceDE/>
              <w:autoSpaceDN/>
              <w:adjustRightInd/>
              <w:spacing w:line="240" w:lineRule="auto"/>
              <w:jc w:val="center"/>
              <w:rPr>
                <w:rFonts w:hAnsi="宋体" w:cs="宋体"/>
                <w:b/>
                <w:bCs/>
                <w:szCs w:val="24"/>
                <w:lang w:val="en-US"/>
              </w:rPr>
            </w:pPr>
            <w:r>
              <w:rPr>
                <w:rFonts w:hint="eastAsia" w:hAnsi="宋体" w:cs="宋体"/>
                <w:b/>
                <w:bCs/>
                <w:szCs w:val="24"/>
                <w:lang w:val="en-US"/>
              </w:rPr>
              <w:t>要求</w:t>
            </w:r>
          </w:p>
        </w:tc>
        <w:tc>
          <w:tcPr>
            <w:tcW w:w="627" w:type="pct"/>
            <w:noWrap w:val="0"/>
            <w:vAlign w:val="center"/>
          </w:tcPr>
          <w:p>
            <w:pPr>
              <w:pStyle w:val="2"/>
              <w:autoSpaceDE/>
              <w:autoSpaceDN/>
              <w:adjustRightInd/>
              <w:spacing w:line="240" w:lineRule="auto"/>
              <w:jc w:val="center"/>
              <w:rPr>
                <w:rFonts w:hint="eastAsia" w:hAnsi="宋体" w:cs="宋体"/>
                <w:b/>
                <w:bCs/>
                <w:szCs w:val="24"/>
                <w:lang w:val="en-US"/>
              </w:rPr>
            </w:pPr>
            <w:r>
              <w:rPr>
                <w:rFonts w:hint="eastAsia" w:hAnsi="宋体" w:cs="宋体"/>
                <w:b/>
                <w:bCs/>
                <w:szCs w:val="24"/>
                <w:lang w:val="en-US"/>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w:t>
            </w:r>
          </w:p>
        </w:tc>
        <w:tc>
          <w:tcPr>
            <w:tcW w:w="304" w:type="pct"/>
            <w:vMerge w:val="restart"/>
            <w:noWrap w:val="0"/>
            <w:vAlign w:val="center"/>
          </w:tcPr>
          <w:p>
            <w:pPr>
              <w:pStyle w:val="2"/>
              <w:autoSpaceDE/>
              <w:autoSpaceDN/>
              <w:adjustRightInd/>
              <w:spacing w:line="240" w:lineRule="auto"/>
              <w:jc w:val="center"/>
              <w:rPr>
                <w:rFonts w:hint="eastAsia" w:hAnsi="宋体" w:cs="宋体"/>
                <w:szCs w:val="24"/>
                <w:lang w:val="en-US"/>
              </w:rPr>
            </w:pPr>
            <w:r>
              <w:rPr>
                <w:rFonts w:hAnsi="宋体" w:cs="宋体"/>
                <w:szCs w:val="24"/>
                <w:lang w:val="en-US"/>
              </w:rPr>
              <w:t>统一门户</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统一访问入口</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实现部门所有应用系统整合集成，实现</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所有应用系统统一使用一单位一平台登录地址访问，形成统一的业务资源访问入口，基于统一用户体系，实现对用户身份标识，用户登录后能够看到且只能看到自己权限范围内的所有应用和信息，提供基于可靠访问控制的</w:t>
            </w:r>
            <w:r>
              <w:rPr>
                <w:rFonts w:hint="eastAsia" w:hAnsi="宋体" w:cs="宋体"/>
                <w:szCs w:val="24"/>
                <w:lang w:val="en-US"/>
              </w:rPr>
              <w:t>“</w:t>
            </w:r>
            <w:r>
              <w:rPr>
                <w:rFonts w:hAnsi="宋体" w:cs="宋体"/>
                <w:szCs w:val="24"/>
                <w:lang w:val="en-US"/>
              </w:rPr>
              <w:t>一点登录、多点漫游</w:t>
            </w:r>
            <w:r>
              <w:rPr>
                <w:rFonts w:hint="eastAsia" w:hAnsi="宋体" w:cs="宋体"/>
                <w:szCs w:val="24"/>
                <w:lang w:val="en-US"/>
              </w:rPr>
              <w:t>”</w:t>
            </w:r>
            <w:r>
              <w:rPr>
                <w:rFonts w:hAnsi="宋体" w:cs="宋体"/>
                <w:szCs w:val="24"/>
                <w:lang w:val="en-US"/>
              </w:rPr>
              <w:t>功能，用户只需一次登录就可以访问授权范围内的应用系统。</w:t>
            </w:r>
          </w:p>
        </w:tc>
        <w:tc>
          <w:tcPr>
            <w:tcW w:w="627" w:type="pct"/>
            <w:noWrap w:val="0"/>
            <w:vAlign w:val="center"/>
          </w:tcPr>
          <w:p>
            <w:pPr>
              <w:pStyle w:val="2"/>
              <w:autoSpaceDE/>
              <w:autoSpaceDN/>
              <w:adjustRightInd/>
              <w:spacing w:line="240" w:lineRule="auto"/>
              <w:jc w:val="center"/>
              <w:rPr>
                <w:rFonts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统一域名</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规范域名管理，配合用户制订和管理好应用域名申请和使用规范工作，规范域名所有的应用子系统域名必选为应用主域名的下级域名。</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3</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统一界面风格</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建立一套设计规范，包括颜色、字体、图标、布局等视觉元素的统一，确保在不同设备和屏幕尺寸下，功能的设计和布局都能够自适应调整，确保在不同平台（web端、IOS、Android）上的功能实现和用户体验尽可能一致。</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4</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统一待办</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实现各子应用系统的待办消息的集中展现,包括待办集中呈现、待办单点集中处理、待办标星。</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5</w:t>
            </w:r>
          </w:p>
        </w:tc>
        <w:tc>
          <w:tcPr>
            <w:tcW w:w="304"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统一用户管理</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统一用户体系</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基于</w:t>
            </w:r>
            <w:r>
              <w:rPr>
                <w:rFonts w:hint="eastAsia" w:hAnsi="宋体" w:cs="宋体"/>
                <w:szCs w:val="24"/>
                <w:lang w:val="en-US"/>
              </w:rPr>
              <w:t>使用IRS组织架构与用户体系（浙政钉）组件</w:t>
            </w:r>
            <w:r>
              <w:rPr>
                <w:rFonts w:hAnsi="宋体" w:cs="宋体"/>
                <w:szCs w:val="24"/>
                <w:lang w:val="en-US"/>
              </w:rPr>
              <w:t>，通过和浙政钉用户体系对接，实现对各级各单位用户信息、凭证、组织机构等信息进行集成管理，采用统一用户认证作为用户管理及授权的核心服务，通过统一用户认证，为所有应用提供统一用户认证和授权，实现用户的流程化管理，控制账号的整个生命周期。</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6</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统一机构管理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通过同步浙政钉组织架构，也可手动管理机构的基本信息，包含上级机构、机构简称、机构全称、组织类型关联角色。支持调整组织架构排序和设置机构的启用与禁用状态，当机构禁用时，所在机构的账户登录后无法查看该机构的所有信息。</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7</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vMerge w:val="continue"/>
            <w:noWrap w:val="0"/>
            <w:vAlign w:val="center"/>
          </w:tcPr>
          <w:p>
            <w:pPr>
              <w:pStyle w:val="2"/>
              <w:autoSpaceDE/>
              <w:autoSpaceDN/>
              <w:adjustRightInd/>
              <w:spacing w:line="240" w:lineRule="auto"/>
              <w:jc w:val="center"/>
              <w:rPr>
                <w:rFonts w:hAnsi="宋体" w:cs="宋体"/>
                <w:szCs w:val="24"/>
                <w:lang w:val="en-US"/>
              </w:rPr>
            </w:pP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为平台子应用系统提供组织架构同步接口，包括组织架构全量同步接口、增量同步接口。第三方应用根据组织架构同步接口要求进行接入，实现组织架构新增、变更、停用的统一管理。</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8</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统一账号管理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为用户子系统提供用户同步接口。包括账户全量同步接口、增量同步接口。第三方应用根据用户同步接口要求进行接入，实现用户开通、变更、停用、注销的统一管理。</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9</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统一认证</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基于统一用户体系，实现对用户身份标识，有效区别不同类型的用户，提供基于可靠访问控制的</w:t>
            </w:r>
            <w:r>
              <w:rPr>
                <w:rFonts w:hint="eastAsia" w:hAnsi="宋体" w:cs="宋体"/>
                <w:szCs w:val="24"/>
                <w:lang w:val="en-US"/>
              </w:rPr>
              <w:t>“</w:t>
            </w:r>
            <w:r>
              <w:rPr>
                <w:rFonts w:hAnsi="宋体" w:cs="宋体"/>
                <w:szCs w:val="24"/>
                <w:lang w:val="en-US"/>
              </w:rPr>
              <w:t>一点登录、多点漫游</w:t>
            </w:r>
            <w:r>
              <w:rPr>
                <w:rFonts w:hint="eastAsia" w:hAnsi="宋体" w:cs="宋体"/>
                <w:szCs w:val="24"/>
                <w:lang w:val="en-US"/>
              </w:rPr>
              <w:t>”</w:t>
            </w:r>
            <w:r>
              <w:rPr>
                <w:rFonts w:hAnsi="宋体" w:cs="宋体"/>
                <w:szCs w:val="24"/>
                <w:lang w:val="en-US"/>
              </w:rPr>
              <w:t>功能，用户只需一次登录就可以访问授权范围内的应用系统，同时支撑现有系统集成，包含应用管理及开放认证。</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10</w:t>
            </w:r>
          </w:p>
        </w:tc>
        <w:tc>
          <w:tcPr>
            <w:tcW w:w="304"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统一授权</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统一系统授权</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对接入平台的应用进行上架信息管理，包括应用基本信息的维护，实现平台可进行统一的应用授权，应用上架发布后，被授权的用户可再可在工作台门户常用应用处查看应用。</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11</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日志管理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应用上下架管理过程中产生的日志，包括上架时间、上架申请人、批准人、下架时间等。所有资源授权过程中产生的日志，包括授权人、授权时间、授权应用、授权资源等。</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12</w:t>
            </w:r>
          </w:p>
        </w:tc>
        <w:tc>
          <w:tcPr>
            <w:tcW w:w="304"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统一接入管理</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统一消息服务</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建设统一的消息处理通道，集中系统消息、业务消息、待办消息，实现全系统消息的整合汇总，提供统一消息推送入口，平台消息推送支持平台系统待办、短信、浙政钉消息，建立成熟丰富的消息推送机制，实现消息的统一发布和统一管理。</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13</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统一功能设计</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按照</w:t>
            </w:r>
            <w:r>
              <w:rPr>
                <w:rFonts w:hint="eastAsia" w:hAnsi="宋体" w:cs="宋体"/>
                <w:szCs w:val="24"/>
                <w:lang w:val="en-US"/>
              </w:rPr>
              <w:t>“</w:t>
            </w:r>
            <w:r>
              <w:rPr>
                <w:rFonts w:hAnsi="宋体" w:cs="宋体"/>
                <w:szCs w:val="24"/>
                <w:lang w:val="en-US"/>
              </w:rPr>
              <w:t>一数一源一标准</w:t>
            </w:r>
            <w:r>
              <w:rPr>
                <w:rFonts w:hint="eastAsia" w:hAnsi="宋体" w:cs="宋体"/>
                <w:szCs w:val="24"/>
                <w:lang w:val="en-US"/>
              </w:rPr>
              <w:t>”</w:t>
            </w:r>
            <w:r>
              <w:rPr>
                <w:rFonts w:hAnsi="宋体" w:cs="宋体"/>
                <w:szCs w:val="24"/>
                <w:lang w:val="en-US"/>
              </w:rPr>
              <w:t>的原则，明确规范接入应用数据的业务应用来源和共享使用需求，对于内部系统或对外提供的服务接口，制定统一的API规范，包括数据格式、调用方式、错误处理机制等，方便开发者快速上手和系统间的无缝对接。构建清晰的信息架构，使用户能够直观地理解各个功能之间的关系和层级，便于快速定位所需内容。</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14</w:t>
            </w:r>
          </w:p>
        </w:tc>
        <w:tc>
          <w:tcPr>
            <w:tcW w:w="304"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统一接口</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用户、认证服务接口</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提供用户同步接口、认证服务接口、菜单服务接口、功能项服务接口、角色服务接口、应用服务接口、通讯录服务接口、专用通讯录接口。</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15</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消息接口服务</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为平台接入的子应用提供信息发送到跨网信息交换平台和用于从跨网信息交换平台接收信息的接口。</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16</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门户接口服务</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提供角标集成接口、常用应用数据集成接口、快捷入口数据集成接口。</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17</w:t>
            </w:r>
          </w:p>
        </w:tc>
        <w:tc>
          <w:tcPr>
            <w:tcW w:w="304"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统一安全防护</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统一安全防护</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统筹和指导对接入子系统的网络数据安全技术防护、网络数据安全风险监测、网络数据安全问题处置、安全等级保护测评、</w:t>
            </w:r>
            <w:r>
              <w:rPr>
                <w:rFonts w:hint="eastAsia" w:hAnsi="宋体" w:cs="宋体"/>
                <w:szCs w:val="24"/>
                <w:lang w:val="en-US" w:eastAsia="zh-CN"/>
              </w:rPr>
              <w:t>信创改造</w:t>
            </w:r>
            <w:r>
              <w:rPr>
                <w:rFonts w:hAnsi="宋体" w:cs="宋体"/>
                <w:szCs w:val="24"/>
                <w:lang w:val="en-US"/>
              </w:rPr>
              <w:t>测评工作。</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18</w:t>
            </w:r>
          </w:p>
        </w:tc>
        <w:tc>
          <w:tcPr>
            <w:tcW w:w="304"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统一资源管理</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统一资源管理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统筹和指导对接入子系统和一体化平台的数字资源IRS管理工作，包含应用、数据、组件、云资源编目、申请、审批、使用、变更、注销等数据归集工作，按</w:t>
            </w:r>
            <w:r>
              <w:rPr>
                <w:rFonts w:hint="eastAsia" w:hAnsi="宋体" w:cs="宋体"/>
                <w:szCs w:val="24"/>
                <w:lang w:val="en-US"/>
              </w:rPr>
              <w:t>“</w:t>
            </w:r>
            <w:r>
              <w:rPr>
                <w:rFonts w:hAnsi="宋体" w:cs="宋体"/>
                <w:szCs w:val="24"/>
                <w:lang w:val="en-US"/>
              </w:rPr>
              <w:t>一数一源一标准</w:t>
            </w:r>
            <w:r>
              <w:rPr>
                <w:rFonts w:hint="eastAsia" w:hAnsi="宋体" w:cs="宋体"/>
                <w:szCs w:val="24"/>
                <w:lang w:val="en-US"/>
              </w:rPr>
              <w:t>”</w:t>
            </w:r>
            <w:r>
              <w:rPr>
                <w:rFonts w:hAnsi="宋体" w:cs="宋体"/>
                <w:szCs w:val="24"/>
                <w:lang w:val="en-US"/>
              </w:rPr>
              <w:t>的原则，明确数据的业务应用来源和共享使用要求，统一数据库类型和ODPS项目管理空间。</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19</w:t>
            </w:r>
          </w:p>
        </w:tc>
        <w:tc>
          <w:tcPr>
            <w:tcW w:w="304" w:type="pct"/>
            <w:vMerge w:val="restar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子系统一平台对接</w:t>
            </w: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统一门户集成</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集成在西湖卫健互联网+监管系统</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，统一从</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进行用户访问</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20</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统一用户管理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集成在西湖卫健互联网+监管系统</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，基于浙里办和浙政钉用户登录认证体系，统一从</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进行用户认证，实现单点登录。并实现用户的统一管理</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21</w:t>
            </w:r>
          </w:p>
        </w:tc>
        <w:tc>
          <w:tcPr>
            <w:tcW w:w="304" w:type="pct"/>
            <w:vMerge w:val="continue"/>
            <w:noWrap w:val="0"/>
            <w:vAlign w:val="center"/>
          </w:tcPr>
          <w:p>
            <w:pPr>
              <w:pStyle w:val="2"/>
              <w:autoSpaceDE/>
              <w:autoSpaceDN/>
              <w:adjustRightInd/>
              <w:spacing w:line="240" w:lineRule="auto"/>
              <w:jc w:val="center"/>
              <w:rPr>
                <w:rFonts w:hAnsi="宋体" w:cs="宋体"/>
                <w:szCs w:val="24"/>
                <w:lang w:val="en-US"/>
              </w:rPr>
            </w:pPr>
          </w:p>
        </w:tc>
        <w:tc>
          <w:tcPr>
            <w:tcW w:w="988" w:type="pct"/>
            <w:noWrap w:val="0"/>
            <w:vAlign w:val="center"/>
          </w:tcPr>
          <w:p>
            <w:pPr>
              <w:pStyle w:val="2"/>
              <w:autoSpaceDE/>
              <w:autoSpaceDN/>
              <w:adjustRightInd/>
              <w:spacing w:line="240" w:lineRule="auto"/>
              <w:jc w:val="center"/>
              <w:rPr>
                <w:rFonts w:hAnsi="宋体" w:cs="宋体"/>
                <w:szCs w:val="24"/>
                <w:lang w:val="en-US"/>
              </w:rPr>
            </w:pPr>
            <w:r>
              <w:rPr>
                <w:rFonts w:hAnsi="宋体" w:cs="宋体"/>
                <w:szCs w:val="24"/>
                <w:lang w:val="en-US"/>
              </w:rPr>
              <w:t>统一授权管理</w:t>
            </w:r>
          </w:p>
        </w:tc>
        <w:tc>
          <w:tcPr>
            <w:tcW w:w="2777" w:type="pct"/>
            <w:noWrap w:val="0"/>
            <w:vAlign w:val="center"/>
          </w:tcPr>
          <w:p>
            <w:pPr>
              <w:pStyle w:val="2"/>
              <w:autoSpaceDE/>
              <w:autoSpaceDN/>
              <w:adjustRightInd/>
              <w:spacing w:line="360" w:lineRule="auto"/>
              <w:jc w:val="left"/>
              <w:rPr>
                <w:rFonts w:hAnsi="宋体" w:cs="宋体"/>
                <w:szCs w:val="24"/>
                <w:lang w:val="en-US"/>
              </w:rPr>
            </w:pPr>
            <w:r>
              <w:rPr>
                <w:rFonts w:hAnsi="宋体" w:cs="宋体"/>
                <w:szCs w:val="24"/>
                <w:lang w:val="en-US"/>
              </w:rPr>
              <w:t>对接集成在西湖卫健互联网+监管系统</w:t>
            </w:r>
            <w:r>
              <w:rPr>
                <w:rFonts w:hint="eastAsia" w:hAnsi="宋体" w:cs="宋体"/>
                <w:szCs w:val="24"/>
                <w:lang w:val="en-US"/>
              </w:rPr>
              <w:t>“</w:t>
            </w:r>
            <w:r>
              <w:rPr>
                <w:rFonts w:hAnsi="宋体" w:cs="宋体"/>
                <w:szCs w:val="24"/>
                <w:lang w:val="en-US"/>
              </w:rPr>
              <w:t>一单位一平台</w:t>
            </w:r>
            <w:r>
              <w:rPr>
                <w:rFonts w:hint="eastAsia" w:hAnsi="宋体" w:cs="宋体"/>
                <w:szCs w:val="24"/>
                <w:lang w:val="en-US"/>
              </w:rPr>
              <w:t>”</w:t>
            </w:r>
            <w:r>
              <w:rPr>
                <w:rFonts w:hAnsi="宋体" w:cs="宋体"/>
                <w:szCs w:val="24"/>
                <w:lang w:val="en-US"/>
              </w:rPr>
              <w:t>，实现统一授权管理</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9"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22</w:t>
            </w:r>
          </w:p>
        </w:tc>
        <w:tc>
          <w:tcPr>
            <w:tcW w:w="304" w:type="pct"/>
            <w:vMerge w:val="restart"/>
            <w:noWrap w:val="0"/>
            <w:vAlign w:val="center"/>
          </w:tcPr>
          <w:p>
            <w:pPr>
              <w:pStyle w:val="2"/>
              <w:autoSpaceDE/>
              <w:autoSpaceDN/>
              <w:adjustRightInd/>
              <w:spacing w:line="240" w:lineRule="auto"/>
              <w:jc w:val="center"/>
              <w:rPr>
                <w:rFonts w:hint="eastAsia" w:hAnsi="宋体" w:eastAsia="宋体" w:cs="宋体"/>
                <w:szCs w:val="24"/>
                <w:lang w:val="en-US" w:eastAsia="zh-CN"/>
              </w:rPr>
            </w:pPr>
            <w:r>
              <w:rPr>
                <w:rFonts w:hint="eastAsia" w:hAnsi="宋体" w:cs="宋体"/>
                <w:szCs w:val="24"/>
                <w:lang w:val="en-US" w:eastAsia="zh-CN"/>
              </w:rPr>
              <w:t>信创改造</w:t>
            </w:r>
            <w:bookmarkStart w:id="520" w:name="_GoBack"/>
            <w:bookmarkEnd w:id="520"/>
          </w:p>
        </w:tc>
        <w:tc>
          <w:tcPr>
            <w:tcW w:w="988"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综合集成含：综合监管智慧监管、智能文书辅助办案和评查系统、医废智能监管（含监管和应用端）（关联</w:t>
            </w:r>
            <w:r>
              <w:rPr>
                <w:rFonts w:hAnsi="宋体" w:cs="宋体"/>
                <w:szCs w:val="24"/>
                <w:lang w:val="en-US"/>
              </w:rPr>
              <w:t>一体化医疗废物集成回收终端项目</w:t>
            </w:r>
            <w:r>
              <w:rPr>
                <w:rFonts w:hint="eastAsia" w:hAnsi="宋体" w:cs="宋体"/>
                <w:szCs w:val="24"/>
                <w:lang w:val="en-US"/>
              </w:rPr>
              <w:t>）、“畅心泳”游泳场所三色分级智能监管、住宿卫生在线第二场景</w:t>
            </w:r>
          </w:p>
        </w:tc>
        <w:tc>
          <w:tcPr>
            <w:tcW w:w="2777" w:type="pct"/>
            <w:noWrap w:val="0"/>
            <w:vAlign w:val="top"/>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中间件替换，替换成中间件东方通tongweb7.0或中创V10.0:弹性云计算服务器适配改造，包括国产服务器芯片、国产操作系统:内置库适配国产化数据库改造，内置库适配国产化数据库改造;适配数据库达梦V8。</w:t>
            </w:r>
          </w:p>
        </w:tc>
        <w:tc>
          <w:tcPr>
            <w:tcW w:w="627" w:type="pct"/>
            <w:noWrap w:val="0"/>
            <w:vAlign w:val="center"/>
          </w:tcPr>
          <w:p>
            <w:pPr>
              <w:pStyle w:val="2"/>
              <w:autoSpaceDE/>
              <w:autoSpaceDN/>
              <w:adjustRightInd/>
              <w:spacing w:line="240" w:lineRule="auto"/>
              <w:jc w:val="center"/>
              <w:rPr>
                <w:rFonts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23</w:t>
            </w:r>
          </w:p>
        </w:tc>
        <w:tc>
          <w:tcPr>
            <w:tcW w:w="304" w:type="pct"/>
            <w:vMerge w:val="continue"/>
            <w:noWrap w:val="0"/>
            <w:vAlign w:val="center"/>
          </w:tcPr>
          <w:p>
            <w:pPr>
              <w:pStyle w:val="2"/>
              <w:autoSpaceDE/>
              <w:autoSpaceDN/>
              <w:adjustRightInd/>
              <w:spacing w:line="240" w:lineRule="auto"/>
              <w:jc w:val="center"/>
              <w:rPr>
                <w:rFonts w:hint="eastAsia" w:hAnsi="宋体" w:cs="宋体"/>
                <w:szCs w:val="24"/>
                <w:lang w:val="en-US"/>
              </w:rPr>
            </w:pPr>
          </w:p>
        </w:tc>
        <w:tc>
          <w:tcPr>
            <w:tcW w:w="988"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智慧健康小屋</w:t>
            </w:r>
          </w:p>
        </w:tc>
        <w:tc>
          <w:tcPr>
            <w:tcW w:w="2777" w:type="pct"/>
            <w:noWrap w:val="0"/>
            <w:vAlign w:val="top"/>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中间件替换，替换成中间件东方通tongweb7.0或中创V10.0:弹性云计算服务器适配改造，包括国产服务器芯片、国产操作系统:内置库适配国产化数据库改造，内置库适配国产化数据库改造;适配数据库达梦V8。</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24</w:t>
            </w:r>
          </w:p>
        </w:tc>
        <w:tc>
          <w:tcPr>
            <w:tcW w:w="304" w:type="pct"/>
            <w:vMerge w:val="continue"/>
            <w:noWrap w:val="0"/>
            <w:vAlign w:val="center"/>
          </w:tcPr>
          <w:p>
            <w:pPr>
              <w:pStyle w:val="2"/>
              <w:autoSpaceDE/>
              <w:autoSpaceDN/>
              <w:adjustRightInd/>
              <w:spacing w:line="240" w:lineRule="auto"/>
              <w:jc w:val="center"/>
              <w:rPr>
                <w:rFonts w:hint="eastAsia" w:hAnsi="宋体" w:cs="宋体"/>
                <w:szCs w:val="24"/>
                <w:lang w:val="en-US"/>
              </w:rPr>
            </w:pPr>
          </w:p>
        </w:tc>
        <w:tc>
          <w:tcPr>
            <w:tcW w:w="988"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医美机构阳光手术室数字监管</w:t>
            </w:r>
          </w:p>
        </w:tc>
        <w:tc>
          <w:tcPr>
            <w:tcW w:w="2777" w:type="pct"/>
            <w:noWrap w:val="0"/>
            <w:vAlign w:val="center"/>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中间件替换，替换成中间件东方通tongweb7.0或中创V10.0:弹性云计算服务器适配改造，包括国产服务器芯片、国产操作系统:内置库适配国产化数据库改造，内置库适配国产化数据库改造;适配数据库达梦V8。</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25</w:t>
            </w:r>
          </w:p>
        </w:tc>
        <w:tc>
          <w:tcPr>
            <w:tcW w:w="304"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数据迁移</w:t>
            </w:r>
          </w:p>
        </w:tc>
        <w:tc>
          <w:tcPr>
            <w:tcW w:w="988"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数据迁移</w:t>
            </w:r>
          </w:p>
        </w:tc>
        <w:tc>
          <w:tcPr>
            <w:tcW w:w="2777" w:type="pct"/>
            <w:noWrap w:val="0"/>
            <w:vAlign w:val="center"/>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完成一体化改造涉及系统模块的数据对接迁移、数据清洗作业迁移、管理平台任务迁移、共享接口开发发布、资源池备份数据分批迁移（包含：综合监管智慧监管（150张表）、智能文书辅助办案和评查（70张表）、医废智能监管（95张表）、智慧健康小屋（82张表）、医美机构阳光手术室数字监管（60张表）、“畅心泳”游泳场所三色分级智能监管（48张表）、住宿卫生在线第二场景（52张表）等合计约550张表。</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26</w:t>
            </w:r>
          </w:p>
        </w:tc>
        <w:tc>
          <w:tcPr>
            <w:tcW w:w="304" w:type="pct"/>
            <w:vMerge w:val="restar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其他对接</w:t>
            </w:r>
          </w:p>
        </w:tc>
        <w:tc>
          <w:tcPr>
            <w:tcW w:w="988" w:type="pct"/>
            <w:vMerge w:val="restar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区物联网感知平台对接要求</w:t>
            </w:r>
          </w:p>
        </w:tc>
        <w:tc>
          <w:tcPr>
            <w:tcW w:w="2777" w:type="pct"/>
            <w:noWrap w:val="0"/>
            <w:vAlign w:val="center"/>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医疗废物智能收集设备，1批，按照要求完成数据对接</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301"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27</w:t>
            </w:r>
          </w:p>
        </w:tc>
        <w:tc>
          <w:tcPr>
            <w:tcW w:w="304" w:type="pct"/>
            <w:vMerge w:val="continue"/>
            <w:noWrap w:val="0"/>
            <w:vAlign w:val="center"/>
          </w:tcPr>
          <w:p>
            <w:pPr>
              <w:pStyle w:val="2"/>
              <w:autoSpaceDE/>
              <w:autoSpaceDN/>
              <w:adjustRightInd/>
              <w:spacing w:line="240" w:lineRule="auto"/>
              <w:jc w:val="center"/>
              <w:rPr>
                <w:rFonts w:hint="eastAsia" w:hAnsi="宋体" w:cs="宋体"/>
                <w:szCs w:val="24"/>
                <w:lang w:val="en-US"/>
              </w:rPr>
            </w:pPr>
          </w:p>
        </w:tc>
        <w:tc>
          <w:tcPr>
            <w:tcW w:w="988" w:type="pct"/>
            <w:vMerge w:val="continue"/>
            <w:noWrap w:val="0"/>
            <w:vAlign w:val="center"/>
          </w:tcPr>
          <w:p>
            <w:pPr>
              <w:pStyle w:val="2"/>
              <w:autoSpaceDE/>
              <w:autoSpaceDN/>
              <w:adjustRightInd/>
              <w:spacing w:line="240" w:lineRule="auto"/>
              <w:jc w:val="center"/>
              <w:rPr>
                <w:rFonts w:hint="eastAsia" w:hAnsi="宋体" w:cs="宋体"/>
                <w:szCs w:val="24"/>
                <w:lang w:val="en-US"/>
              </w:rPr>
            </w:pPr>
          </w:p>
        </w:tc>
        <w:tc>
          <w:tcPr>
            <w:tcW w:w="2777" w:type="pct"/>
            <w:noWrap w:val="0"/>
            <w:vAlign w:val="center"/>
          </w:tcPr>
          <w:p>
            <w:pPr>
              <w:pStyle w:val="2"/>
              <w:autoSpaceDE/>
              <w:autoSpaceDN/>
              <w:adjustRightInd/>
              <w:spacing w:line="360" w:lineRule="auto"/>
              <w:jc w:val="left"/>
              <w:rPr>
                <w:rFonts w:hint="eastAsia" w:hAnsi="宋体" w:cs="宋体"/>
                <w:szCs w:val="24"/>
                <w:lang w:val="en-US"/>
              </w:rPr>
            </w:pPr>
            <w:r>
              <w:rPr>
                <w:rFonts w:hint="eastAsia" w:hAnsi="宋体" w:cs="宋体"/>
                <w:szCs w:val="24"/>
                <w:lang w:val="en-US"/>
              </w:rPr>
              <w:t>“畅心泳”游泳场所水质监测设备，1批，按照要求完成数据对接</w:t>
            </w:r>
          </w:p>
        </w:tc>
        <w:tc>
          <w:tcPr>
            <w:tcW w:w="627" w:type="pct"/>
            <w:noWrap w:val="0"/>
            <w:vAlign w:val="center"/>
          </w:tcPr>
          <w:p>
            <w:pPr>
              <w:pStyle w:val="2"/>
              <w:autoSpaceDE/>
              <w:autoSpaceDN/>
              <w:adjustRightInd/>
              <w:spacing w:line="240" w:lineRule="auto"/>
              <w:jc w:val="center"/>
              <w:rPr>
                <w:rFonts w:hint="eastAsia" w:hAnsi="宋体" w:cs="宋体"/>
                <w:szCs w:val="24"/>
                <w:lang w:val="en-US"/>
              </w:rPr>
            </w:pPr>
            <w:r>
              <w:rPr>
                <w:rFonts w:hint="eastAsia" w:hAnsi="宋体" w:cs="宋体"/>
                <w:szCs w:val="24"/>
                <w:lang w:val="en-US"/>
              </w:rPr>
              <w:t>1项</w:t>
            </w:r>
          </w:p>
        </w:tc>
      </w:tr>
    </w:tbl>
    <w:p>
      <w:pPr>
        <w:widowControl/>
        <w:snapToGrid w:val="0"/>
        <w:spacing w:line="560" w:lineRule="exact"/>
        <w:ind w:firstLine="420"/>
        <w:rPr>
          <w:rFonts w:hint="eastAsia" w:ascii="宋体" w:hAnsi="宋体" w:cs="宋体"/>
          <w:kern w:val="0"/>
          <w:sz w:val="24"/>
        </w:rPr>
      </w:pPr>
      <w:r>
        <w:rPr>
          <w:rFonts w:hint="eastAsia" w:ascii="宋体" w:hAnsi="宋体" w:cs="宋体"/>
          <w:kern w:val="0"/>
          <w:sz w:val="24"/>
        </w:rPr>
        <w:t>（2）硬件运维</w:t>
      </w:r>
    </w:p>
    <w:tbl>
      <w:tblPr>
        <w:tblStyle w:val="62"/>
        <w:tblW w:w="4999" w:type="pct"/>
        <w:tblInd w:w="0" w:type="dxa"/>
        <w:tblLayout w:type="fixed"/>
        <w:tblCellMar>
          <w:top w:w="0" w:type="dxa"/>
          <w:left w:w="108" w:type="dxa"/>
          <w:bottom w:w="0" w:type="dxa"/>
          <w:right w:w="108" w:type="dxa"/>
        </w:tblCellMar>
      </w:tblPr>
      <w:tblGrid>
        <w:gridCol w:w="436"/>
        <w:gridCol w:w="7944"/>
        <w:gridCol w:w="907"/>
      </w:tblGrid>
      <w:tr>
        <w:tblPrEx>
          <w:tblCellMar>
            <w:top w:w="0" w:type="dxa"/>
            <w:left w:w="108" w:type="dxa"/>
            <w:bottom w:w="0" w:type="dxa"/>
            <w:right w:w="108" w:type="dxa"/>
          </w:tblCellMar>
        </w:tblPrEx>
        <w:tc>
          <w:tcPr>
            <w:tcW w:w="234" w:type="pct"/>
            <w:tcBorders>
              <w:top w:val="single" w:color="auto" w:sz="4" w:space="0"/>
              <w:left w:val="single" w:color="000000" w:sz="4" w:space="0"/>
              <w:bottom w:val="single" w:color="000000" w:sz="4" w:space="0"/>
              <w:right w:val="single" w:color="000000" w:sz="4" w:space="0"/>
            </w:tcBorders>
            <w:noWrap/>
            <w:vAlign w:val="center"/>
          </w:tcPr>
          <w:p>
            <w:pPr>
              <w:widowControl/>
              <w:adjustRightInd/>
              <w:snapToGrid w:val="0"/>
              <w:jc w:val="center"/>
              <w:rPr>
                <w:rFonts w:hint="eastAsia" w:ascii="宋体" w:hAnsi="宋体" w:cs="宋体"/>
                <w:b/>
                <w:bCs/>
                <w:color w:val="000000"/>
                <w:kern w:val="0"/>
                <w:sz w:val="24"/>
              </w:rPr>
            </w:pPr>
            <w:r>
              <w:rPr>
                <w:rFonts w:hint="eastAsia" w:ascii="宋体" w:hAnsi="宋体" w:cs="宋体"/>
                <w:b/>
                <w:bCs/>
                <w:color w:val="000000"/>
                <w:kern w:val="0"/>
                <w:sz w:val="24"/>
              </w:rPr>
              <w:t>序号</w:t>
            </w:r>
          </w:p>
        </w:tc>
        <w:tc>
          <w:tcPr>
            <w:tcW w:w="4278" w:type="pct"/>
            <w:tcBorders>
              <w:top w:val="single" w:color="auto" w:sz="4" w:space="0"/>
              <w:left w:val="single" w:color="000000" w:sz="4" w:space="0"/>
              <w:bottom w:val="single" w:color="000000" w:sz="4" w:space="0"/>
              <w:right w:val="single" w:color="000000" w:sz="4" w:space="0"/>
            </w:tcBorders>
            <w:noWrap w:val="0"/>
            <w:vAlign w:val="center"/>
          </w:tcPr>
          <w:p>
            <w:pPr>
              <w:widowControl/>
              <w:adjustRightInd/>
              <w:snapToGrid w:val="0"/>
              <w:jc w:val="center"/>
              <w:rPr>
                <w:rFonts w:hint="eastAsia" w:ascii="宋体" w:hAnsi="宋体" w:cs="宋体"/>
                <w:b/>
                <w:bCs/>
                <w:color w:val="000000"/>
                <w:kern w:val="0"/>
                <w:sz w:val="24"/>
              </w:rPr>
            </w:pPr>
            <w:r>
              <w:rPr>
                <w:rFonts w:hint="eastAsia" w:ascii="宋体" w:hAnsi="宋体" w:cs="宋体"/>
                <w:b/>
                <w:bCs/>
                <w:color w:val="000000"/>
                <w:kern w:val="0"/>
                <w:sz w:val="24"/>
              </w:rPr>
              <w:t>硬件运维</w:t>
            </w:r>
          </w:p>
        </w:tc>
        <w:tc>
          <w:tcPr>
            <w:tcW w:w="488" w:type="pct"/>
            <w:tcBorders>
              <w:top w:val="single" w:color="auto" w:sz="4" w:space="0"/>
              <w:left w:val="single" w:color="000000" w:sz="4" w:space="0"/>
              <w:bottom w:val="single" w:color="000000" w:sz="4" w:space="0"/>
              <w:right w:val="single" w:color="000000" w:sz="4" w:space="0"/>
            </w:tcBorders>
            <w:noWrap w:val="0"/>
            <w:vAlign w:val="center"/>
          </w:tcPr>
          <w:p>
            <w:pPr>
              <w:widowControl/>
              <w:adjustRightInd/>
              <w:snapToGrid w:val="0"/>
              <w:jc w:val="center"/>
              <w:rPr>
                <w:rFonts w:hint="eastAsia" w:ascii="宋体" w:hAnsi="宋体" w:cs="宋体"/>
                <w:b/>
                <w:bCs/>
                <w:color w:val="000000"/>
                <w:kern w:val="0"/>
                <w:sz w:val="24"/>
              </w:rPr>
            </w:pPr>
            <w:r>
              <w:rPr>
                <w:rFonts w:hint="eastAsia" w:ascii="宋体" w:hAnsi="宋体" w:cs="宋体"/>
                <w:b/>
                <w:bCs/>
                <w:color w:val="000000"/>
                <w:kern w:val="0"/>
                <w:sz w:val="24"/>
              </w:rPr>
              <w:t>数量</w:t>
            </w:r>
          </w:p>
        </w:tc>
      </w:tr>
      <w:tr>
        <w:tblPrEx>
          <w:tblCellMar>
            <w:top w:w="0" w:type="dxa"/>
            <w:left w:w="108" w:type="dxa"/>
            <w:bottom w:w="0" w:type="dxa"/>
            <w:right w:w="108" w:type="dxa"/>
          </w:tblCellMar>
        </w:tblPrEx>
        <w:trPr>
          <w:trHeight w:val="9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pPr>
              <w:widowControl/>
              <w:adjustRightInd/>
              <w:snapToGrid w:val="0"/>
              <w:jc w:val="left"/>
              <w:rPr>
                <w:rFonts w:hint="eastAsia" w:ascii="宋体" w:hAnsi="宋体" w:cs="宋体"/>
                <w:color w:val="000000"/>
                <w:kern w:val="0"/>
                <w:sz w:val="24"/>
              </w:rPr>
            </w:pPr>
            <w:r>
              <w:rPr>
                <w:rFonts w:hint="eastAsia" w:ascii="宋体" w:hAnsi="宋体" w:cs="宋体"/>
                <w:color w:val="000000"/>
                <w:kern w:val="0"/>
                <w:sz w:val="24"/>
              </w:rPr>
              <w:t>1</w:t>
            </w:r>
          </w:p>
        </w:tc>
        <w:tc>
          <w:tcPr>
            <w:tcW w:w="4278" w:type="pct"/>
            <w:tcBorders>
              <w:top w:val="single" w:color="000000" w:sz="4" w:space="0"/>
              <w:left w:val="single" w:color="000000" w:sz="4" w:space="0"/>
              <w:bottom w:val="single" w:color="000000" w:sz="4" w:space="0"/>
              <w:right w:val="single" w:color="000000" w:sz="4" w:space="0"/>
            </w:tcBorders>
            <w:noWrap w:val="0"/>
            <w:vAlign w:val="center"/>
          </w:tcPr>
          <w:p>
            <w:pPr>
              <w:widowControl/>
              <w:adjustRightInd/>
              <w:snapToGrid w:val="0"/>
              <w:spacing w:line="360" w:lineRule="auto"/>
              <w:jc w:val="left"/>
              <w:rPr>
                <w:rFonts w:hint="eastAsia" w:ascii="宋体" w:hAnsi="宋体" w:cs="宋体"/>
                <w:color w:val="000000"/>
                <w:kern w:val="0"/>
                <w:sz w:val="24"/>
              </w:rPr>
            </w:pPr>
            <w:r>
              <w:rPr>
                <w:rFonts w:hint="eastAsia" w:ascii="宋体" w:hAnsi="宋体" w:cs="宋体"/>
                <w:color w:val="000000"/>
                <w:kern w:val="0"/>
                <w:sz w:val="24"/>
              </w:rPr>
              <w:t>对项目涉及的硬件设备，对设备进行日常维护，对部门的设备对接、数据共享提供技术咨询服务和协助方案，完成系统模块和设备接入、数据共享。（一体化医疗废物集成回收终端项目硬件）</w:t>
            </w:r>
          </w:p>
        </w:tc>
        <w:tc>
          <w:tcPr>
            <w:tcW w:w="488" w:type="pct"/>
            <w:vMerge w:val="restart"/>
            <w:tcBorders>
              <w:top w:val="single" w:color="000000" w:sz="4" w:space="0"/>
              <w:left w:val="single" w:color="000000" w:sz="4" w:space="0"/>
              <w:right w:val="single" w:color="000000" w:sz="4" w:space="0"/>
            </w:tcBorders>
            <w:noWrap w:val="0"/>
            <w:vAlign w:val="center"/>
          </w:tcPr>
          <w:p>
            <w:pPr>
              <w:widowControl/>
              <w:adjustRightInd/>
              <w:snapToGrid w:val="0"/>
              <w:jc w:val="center"/>
              <w:rPr>
                <w:rFonts w:hint="eastAsia" w:ascii="宋体" w:hAnsi="宋体" w:cs="宋体"/>
                <w:color w:val="000000"/>
                <w:kern w:val="0"/>
                <w:sz w:val="24"/>
              </w:rPr>
            </w:pPr>
            <w:r>
              <w:rPr>
                <w:rFonts w:hint="eastAsia" w:ascii="宋体" w:hAnsi="宋体" w:cs="宋体"/>
                <w:color w:val="000000"/>
                <w:kern w:val="0"/>
                <w:sz w:val="24"/>
              </w:rPr>
              <w:t>36月</w:t>
            </w:r>
          </w:p>
        </w:tc>
      </w:tr>
      <w:tr>
        <w:tblPrEx>
          <w:tblCellMar>
            <w:top w:w="0" w:type="dxa"/>
            <w:left w:w="108" w:type="dxa"/>
            <w:bottom w:w="0" w:type="dxa"/>
            <w:right w:w="108" w:type="dxa"/>
          </w:tblCellMar>
        </w:tblPrEx>
        <w:trPr>
          <w:trHeight w:val="90" w:hRule="atLeast"/>
        </w:trPr>
        <w:tc>
          <w:tcPr>
            <w:tcW w:w="234" w:type="pct"/>
            <w:tcBorders>
              <w:top w:val="single" w:color="000000" w:sz="4" w:space="0"/>
              <w:left w:val="single" w:color="000000" w:sz="4" w:space="0"/>
              <w:bottom w:val="single" w:color="000000" w:sz="4" w:space="0"/>
              <w:right w:val="single" w:color="000000" w:sz="4" w:space="0"/>
            </w:tcBorders>
            <w:noWrap/>
            <w:vAlign w:val="center"/>
          </w:tcPr>
          <w:p>
            <w:pPr>
              <w:widowControl/>
              <w:adjustRightInd/>
              <w:snapToGrid w:val="0"/>
              <w:jc w:val="left"/>
              <w:rPr>
                <w:rFonts w:hint="eastAsia" w:ascii="宋体" w:hAnsi="宋体" w:cs="宋体"/>
                <w:color w:val="000000"/>
                <w:kern w:val="0"/>
                <w:sz w:val="24"/>
              </w:rPr>
            </w:pPr>
            <w:r>
              <w:rPr>
                <w:rFonts w:hint="eastAsia" w:ascii="宋体" w:hAnsi="宋体" w:cs="宋体"/>
                <w:color w:val="000000"/>
                <w:kern w:val="0"/>
                <w:sz w:val="24"/>
              </w:rPr>
              <w:t>2</w:t>
            </w:r>
          </w:p>
        </w:tc>
        <w:tc>
          <w:tcPr>
            <w:tcW w:w="4278" w:type="pct"/>
            <w:tcBorders>
              <w:top w:val="single" w:color="000000" w:sz="4" w:space="0"/>
              <w:left w:val="single" w:color="000000" w:sz="4" w:space="0"/>
              <w:bottom w:val="single" w:color="000000" w:sz="4" w:space="0"/>
              <w:right w:val="single" w:color="000000" w:sz="4" w:space="0"/>
            </w:tcBorders>
            <w:noWrap w:val="0"/>
            <w:vAlign w:val="center"/>
          </w:tcPr>
          <w:p>
            <w:pPr>
              <w:widowControl/>
              <w:adjustRightInd/>
              <w:snapToGrid w:val="0"/>
              <w:spacing w:line="360" w:lineRule="auto"/>
              <w:jc w:val="left"/>
              <w:rPr>
                <w:rFonts w:hint="eastAsia" w:ascii="宋体" w:hAnsi="宋体" w:cs="宋体"/>
                <w:color w:val="000000"/>
                <w:kern w:val="0"/>
                <w:sz w:val="24"/>
              </w:rPr>
            </w:pPr>
            <w:r>
              <w:rPr>
                <w:rFonts w:hint="eastAsia" w:ascii="宋体" w:hAnsi="宋体" w:cs="宋体"/>
                <w:color w:val="000000"/>
                <w:kern w:val="0"/>
                <w:sz w:val="24"/>
              </w:rPr>
              <w:t>商务要求：硬件维保期限为：2</w:t>
            </w:r>
            <w:r>
              <w:rPr>
                <w:rFonts w:ascii="宋体" w:hAnsi="宋体" w:cs="宋体"/>
                <w:color w:val="000000"/>
                <w:kern w:val="0"/>
                <w:sz w:val="24"/>
              </w:rPr>
              <w:t>024年</w:t>
            </w:r>
            <w:r>
              <w:rPr>
                <w:rFonts w:hint="eastAsia" w:ascii="宋体" w:hAnsi="宋体" w:cs="宋体"/>
                <w:color w:val="000000"/>
                <w:kern w:val="0"/>
                <w:sz w:val="24"/>
              </w:rPr>
              <w:t>7月1日-</w:t>
            </w:r>
            <w:r>
              <w:rPr>
                <w:rFonts w:ascii="宋体" w:hAnsi="宋体" w:cs="宋体"/>
                <w:color w:val="000000"/>
                <w:kern w:val="0"/>
                <w:sz w:val="24"/>
              </w:rPr>
              <w:t>2027年</w:t>
            </w:r>
            <w:r>
              <w:rPr>
                <w:rFonts w:hint="eastAsia" w:ascii="宋体" w:hAnsi="宋体" w:cs="宋体"/>
                <w:color w:val="000000"/>
                <w:kern w:val="0"/>
                <w:sz w:val="24"/>
              </w:rPr>
              <w:t>6月3</w:t>
            </w:r>
            <w:r>
              <w:rPr>
                <w:rFonts w:ascii="宋体" w:hAnsi="宋体" w:cs="宋体"/>
                <w:color w:val="000000"/>
                <w:kern w:val="0"/>
                <w:sz w:val="24"/>
              </w:rPr>
              <w:t>0日，</w:t>
            </w:r>
            <w:r>
              <w:rPr>
                <w:rFonts w:hint="eastAsia" w:ascii="宋体" w:hAnsi="宋体" w:cs="宋体"/>
                <w:color w:val="000000"/>
                <w:kern w:val="0"/>
                <w:sz w:val="24"/>
              </w:rPr>
              <w:t>逾期结算及义务：如果中标方和上一年度运维厂商不是同一中标人，并且本合同签订日由于某些客观原因在上一年度运维期之后的，乙方按照上一年度运维合同金额，折算逾期运维费用，结算给上一年度运维厂商。如果本合同运维到期后，还未签订新的运维合同，乙方将无条件按照本合同继续履行运维工作，直到下一年度中标厂商和乙方进行逾期结算。</w:t>
            </w:r>
          </w:p>
        </w:tc>
        <w:tc>
          <w:tcPr>
            <w:tcW w:w="488" w:type="pct"/>
            <w:vMerge w:val="continue"/>
            <w:tcBorders>
              <w:left w:val="single" w:color="000000" w:sz="4" w:space="0"/>
              <w:bottom w:val="single" w:color="000000" w:sz="4" w:space="0"/>
              <w:right w:val="single" w:color="000000" w:sz="4" w:space="0"/>
            </w:tcBorders>
            <w:noWrap w:val="0"/>
            <w:vAlign w:val="center"/>
          </w:tcPr>
          <w:p>
            <w:pPr>
              <w:widowControl/>
              <w:adjustRightInd/>
              <w:snapToGrid w:val="0"/>
              <w:jc w:val="center"/>
              <w:rPr>
                <w:rFonts w:hint="eastAsia" w:ascii="宋体" w:hAnsi="宋体" w:cs="宋体"/>
                <w:color w:val="000000"/>
                <w:kern w:val="0"/>
                <w:sz w:val="24"/>
              </w:rPr>
            </w:pPr>
          </w:p>
        </w:tc>
      </w:tr>
    </w:tbl>
    <w:p>
      <w:pPr>
        <w:widowControl/>
        <w:snapToGrid w:val="0"/>
        <w:spacing w:line="560" w:lineRule="exact"/>
        <w:ind w:firstLine="420"/>
        <w:rPr>
          <w:rFonts w:hint="eastAsia" w:ascii="宋体" w:hAnsi="宋体" w:cs="宋体"/>
          <w:kern w:val="0"/>
          <w:sz w:val="24"/>
        </w:rPr>
      </w:pPr>
      <w:r>
        <w:rPr>
          <w:rFonts w:hint="eastAsia" w:ascii="宋体" w:hAnsi="宋体" w:cs="宋体"/>
          <w:kern w:val="0"/>
          <w:sz w:val="24"/>
        </w:rPr>
        <w:t>（3）其他服务</w:t>
      </w:r>
    </w:p>
    <w:tbl>
      <w:tblPr>
        <w:tblStyle w:val="62"/>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1"/>
        <w:gridCol w:w="7845"/>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1" w:type="pct"/>
            <w:noWrap w:val="0"/>
            <w:vAlign w:val="top"/>
          </w:tcPr>
          <w:p>
            <w:pPr>
              <w:widowControl/>
              <w:adjustRightInd/>
              <w:snapToGrid w:val="0"/>
              <w:jc w:val="center"/>
              <w:rPr>
                <w:rFonts w:hint="eastAsia" w:ascii="宋体" w:hAnsi="宋体" w:cs="宋体"/>
                <w:b/>
                <w:bCs/>
                <w:color w:val="000000"/>
                <w:kern w:val="0"/>
                <w:sz w:val="24"/>
              </w:rPr>
            </w:pPr>
            <w:r>
              <w:rPr>
                <w:rFonts w:hint="eastAsia" w:ascii="宋体" w:hAnsi="宋体" w:cs="宋体"/>
                <w:b/>
                <w:bCs/>
                <w:color w:val="000000"/>
                <w:kern w:val="0"/>
                <w:sz w:val="24"/>
              </w:rPr>
              <w:t>序号</w:t>
            </w:r>
          </w:p>
        </w:tc>
        <w:tc>
          <w:tcPr>
            <w:tcW w:w="4222" w:type="pct"/>
            <w:noWrap w:val="0"/>
            <w:vAlign w:val="top"/>
          </w:tcPr>
          <w:p>
            <w:pPr>
              <w:widowControl/>
              <w:adjustRightInd/>
              <w:snapToGrid w:val="0"/>
              <w:spacing w:line="360" w:lineRule="auto"/>
              <w:jc w:val="center"/>
              <w:rPr>
                <w:rFonts w:hint="eastAsia" w:ascii="宋体" w:hAnsi="宋体" w:cs="宋体"/>
                <w:b/>
                <w:bCs/>
                <w:color w:val="000000"/>
                <w:kern w:val="0"/>
                <w:sz w:val="24"/>
              </w:rPr>
            </w:pPr>
            <w:r>
              <w:rPr>
                <w:rFonts w:hint="eastAsia" w:ascii="宋体" w:hAnsi="宋体" w:cs="宋体"/>
                <w:b/>
                <w:bCs/>
                <w:color w:val="000000"/>
                <w:kern w:val="0"/>
                <w:sz w:val="24"/>
              </w:rPr>
              <w:t>内容</w:t>
            </w:r>
          </w:p>
        </w:tc>
        <w:tc>
          <w:tcPr>
            <w:tcW w:w="485" w:type="pct"/>
            <w:noWrap w:val="0"/>
            <w:vAlign w:val="center"/>
          </w:tcPr>
          <w:p>
            <w:pPr>
              <w:pStyle w:val="2"/>
              <w:autoSpaceDE/>
              <w:autoSpaceDN/>
              <w:adjustRightInd/>
              <w:jc w:val="center"/>
              <w:rPr>
                <w:rFonts w:hint="eastAsia" w:hAnsi="宋体" w:cs="宋体"/>
                <w:b/>
                <w:bCs/>
                <w:color w:val="000000"/>
                <w:kern w:val="0"/>
                <w:szCs w:val="24"/>
                <w:lang w:val="en-US"/>
              </w:rPr>
            </w:pPr>
            <w:r>
              <w:rPr>
                <w:rFonts w:hint="eastAsia" w:hAnsi="宋体" w:cs="宋体"/>
                <w:b/>
                <w:bCs/>
                <w:szCs w:val="24"/>
                <w:lang w:val="en-US"/>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1" w:type="pct"/>
            <w:noWrap w:val="0"/>
            <w:vAlign w:val="top"/>
          </w:tcPr>
          <w:p>
            <w:pPr>
              <w:widowControl/>
              <w:adjustRightInd/>
              <w:snapToGrid w:val="0"/>
              <w:jc w:val="center"/>
              <w:rPr>
                <w:rFonts w:hint="eastAsia" w:ascii="宋体" w:hAnsi="宋体" w:cs="宋体"/>
                <w:color w:val="000000"/>
                <w:kern w:val="0"/>
                <w:sz w:val="24"/>
              </w:rPr>
            </w:pPr>
            <w:r>
              <w:rPr>
                <w:rFonts w:hint="eastAsia" w:ascii="宋体" w:hAnsi="宋体" w:cs="宋体"/>
                <w:color w:val="000000"/>
                <w:kern w:val="0"/>
                <w:sz w:val="24"/>
              </w:rPr>
              <w:t>1</w:t>
            </w:r>
          </w:p>
        </w:tc>
        <w:tc>
          <w:tcPr>
            <w:tcW w:w="4222" w:type="pct"/>
            <w:noWrap w:val="0"/>
            <w:vAlign w:val="top"/>
          </w:tcPr>
          <w:p>
            <w:pPr>
              <w:widowControl/>
              <w:adjustRightInd/>
              <w:snapToGrid w:val="0"/>
              <w:spacing w:line="360" w:lineRule="auto"/>
              <w:jc w:val="left"/>
              <w:rPr>
                <w:rFonts w:hint="eastAsia" w:ascii="宋体" w:hAnsi="宋体" w:cs="宋体"/>
                <w:color w:val="000000"/>
                <w:kern w:val="0"/>
                <w:sz w:val="24"/>
              </w:rPr>
            </w:pPr>
            <w:r>
              <w:rPr>
                <w:rFonts w:hint="eastAsia" w:ascii="宋体" w:hAnsi="宋体" w:cs="宋体"/>
                <w:color w:val="000000"/>
                <w:kern w:val="0"/>
                <w:sz w:val="24"/>
              </w:rPr>
              <w:t>信创第三方测评</w:t>
            </w:r>
          </w:p>
        </w:tc>
        <w:tc>
          <w:tcPr>
            <w:tcW w:w="485" w:type="pct"/>
            <w:noWrap w:val="0"/>
            <w:vAlign w:val="center"/>
          </w:tcPr>
          <w:p>
            <w:pPr>
              <w:pStyle w:val="2"/>
              <w:autoSpaceDE/>
              <w:autoSpaceDN/>
              <w:adjustRightInd/>
              <w:jc w:val="center"/>
              <w:rPr>
                <w:rFonts w:hint="eastAsia" w:hAnsi="宋体" w:cs="宋体"/>
                <w:color w:val="000000"/>
                <w:kern w:val="0"/>
                <w:szCs w:val="24"/>
                <w:lang w:val="en-US"/>
              </w:rPr>
            </w:pPr>
            <w:r>
              <w:rPr>
                <w:rFonts w:hint="eastAsia" w:hAnsi="宋体" w:cs="宋体"/>
                <w:szCs w:val="24"/>
                <w:lang w:val="en-US"/>
              </w:rPr>
              <w:t>1项</w:t>
            </w:r>
          </w:p>
        </w:tc>
      </w:tr>
    </w:tbl>
    <w:p>
      <w:pPr>
        <w:rPr>
          <w:rFonts w:hint="eastAsia" w:ascii="宋体" w:hAnsi="宋体" w:cs="宋体"/>
          <w:sz w:val="24"/>
        </w:rPr>
      </w:pPr>
    </w:p>
    <w:p>
      <w:pPr>
        <w:pStyle w:val="3"/>
        <w:spacing w:before="0" w:after="0" w:line="360" w:lineRule="auto"/>
        <w:ind w:left="0" w:firstLine="0"/>
        <w:rPr>
          <w:rFonts w:hint="eastAsia" w:ascii="宋体" w:hAnsi="宋体" w:cs="宋体"/>
          <w:sz w:val="24"/>
          <w:szCs w:val="24"/>
        </w:rPr>
      </w:pPr>
      <w:r>
        <w:rPr>
          <w:rFonts w:hint="eastAsia" w:ascii="宋体" w:hAnsi="宋体" w:cs="宋体"/>
          <w:sz w:val="24"/>
          <w:szCs w:val="24"/>
        </w:rPr>
        <w:t>二、项目实施要求</w:t>
      </w:r>
    </w:p>
    <w:p>
      <w:pPr>
        <w:snapToGrid w:val="0"/>
        <w:spacing w:line="360" w:lineRule="auto"/>
        <w:ind w:firstLine="480" w:firstLineChars="200"/>
        <w:rPr>
          <w:rFonts w:hint="eastAsia" w:ascii="宋体" w:hAnsi="宋体" w:cs="宋体"/>
          <w:sz w:val="24"/>
        </w:rPr>
      </w:pPr>
      <w:r>
        <w:rPr>
          <w:rFonts w:hint="eastAsia" w:ascii="宋体" w:hAnsi="宋体" w:cs="宋体"/>
          <w:sz w:val="24"/>
        </w:rPr>
        <w:t>（一）项目实施进度要求：软件建设内容工期120天；硬件运维工期3年。</w:t>
      </w:r>
    </w:p>
    <w:p>
      <w:pPr>
        <w:snapToGrid w:val="0"/>
        <w:spacing w:line="360" w:lineRule="auto"/>
        <w:ind w:firstLine="480" w:firstLineChars="200"/>
        <w:rPr>
          <w:rFonts w:hint="eastAsia" w:ascii="宋体" w:hAnsi="宋体" w:cs="宋体"/>
          <w:sz w:val="24"/>
        </w:rPr>
      </w:pPr>
      <w:r>
        <w:rPr>
          <w:rFonts w:hint="eastAsia" w:ascii="宋体" w:hAnsi="宋体" w:cs="宋体"/>
          <w:sz w:val="24"/>
        </w:rPr>
        <w:t>软件建设内容工期计划分三个阶段进行:</w:t>
      </w:r>
    </w:p>
    <w:p>
      <w:pPr>
        <w:snapToGrid w:val="0"/>
        <w:spacing w:line="360" w:lineRule="auto"/>
        <w:ind w:firstLine="480" w:firstLineChars="200"/>
        <w:rPr>
          <w:rFonts w:hint="eastAsia" w:ascii="宋体" w:hAnsi="宋体" w:cs="宋体"/>
          <w:sz w:val="24"/>
        </w:rPr>
      </w:pPr>
      <w:r>
        <w:rPr>
          <w:rFonts w:hint="eastAsia" w:ascii="宋体" w:hAnsi="宋体" w:cs="宋体"/>
          <w:sz w:val="24"/>
        </w:rPr>
        <w:t>第一阶段：合同签订后</w:t>
      </w:r>
      <w:r>
        <w:rPr>
          <w:rFonts w:ascii="宋体" w:hAnsi="宋体" w:cs="宋体"/>
          <w:sz w:val="24"/>
        </w:rPr>
        <w:t>20</w:t>
      </w:r>
      <w:r>
        <w:rPr>
          <w:rFonts w:hint="eastAsia" w:ascii="宋体" w:hAnsi="宋体" w:cs="宋体"/>
          <w:sz w:val="24"/>
        </w:rPr>
        <w:t>天内进一步优化需求分析、概要设计、详细设计，并细化系统建设计划、目标任务书和测试验收方案；</w:t>
      </w:r>
    </w:p>
    <w:p>
      <w:pPr>
        <w:snapToGrid w:val="0"/>
        <w:spacing w:line="360" w:lineRule="auto"/>
        <w:ind w:firstLine="480" w:firstLineChars="200"/>
        <w:rPr>
          <w:rFonts w:hint="eastAsia" w:ascii="宋体" w:hAnsi="宋体" w:cs="宋体"/>
          <w:sz w:val="24"/>
        </w:rPr>
      </w:pPr>
      <w:r>
        <w:rPr>
          <w:rFonts w:hint="eastAsia" w:ascii="宋体" w:hAnsi="宋体" w:cs="宋体"/>
          <w:sz w:val="24"/>
        </w:rPr>
        <w:t>第二阶段：合同签订后100天内完成本项目要求的内容开发、测试（含功能测试、性能测试以及压力测试等）、上线等工作，并提交初步验收申请。</w:t>
      </w:r>
    </w:p>
    <w:p>
      <w:pPr>
        <w:snapToGrid w:val="0"/>
        <w:spacing w:line="360" w:lineRule="auto"/>
        <w:ind w:firstLine="480" w:firstLineChars="200"/>
        <w:rPr>
          <w:rFonts w:hint="eastAsia" w:ascii="宋体" w:hAnsi="宋体" w:cs="宋体"/>
          <w:sz w:val="24"/>
        </w:rPr>
      </w:pPr>
      <w:r>
        <w:rPr>
          <w:rFonts w:hint="eastAsia" w:ascii="宋体" w:hAnsi="宋体" w:cs="宋体"/>
          <w:sz w:val="24"/>
        </w:rPr>
        <w:t>第三阶段：经过不少于一个月的试运行期，并完成本项目的培训任务,视运行情况组织终验。</w:t>
      </w:r>
    </w:p>
    <w:p>
      <w:pPr>
        <w:snapToGrid w:val="0"/>
        <w:spacing w:line="360" w:lineRule="auto"/>
        <w:ind w:firstLine="480" w:firstLineChars="200"/>
        <w:rPr>
          <w:rFonts w:hint="eastAsia" w:ascii="宋体" w:hAnsi="宋体" w:cs="宋体"/>
          <w:sz w:val="24"/>
        </w:rPr>
      </w:pPr>
      <w:r>
        <w:rPr>
          <w:rFonts w:hint="eastAsia" w:ascii="宋体" w:hAnsi="宋体" w:cs="宋体"/>
          <w:sz w:val="24"/>
        </w:rPr>
        <w:t>项目开发地点</w:t>
      </w:r>
      <w:r>
        <w:rPr>
          <w:rFonts w:hint="eastAsia" w:ascii="宋体" w:hAnsi="宋体" w:cs="宋体"/>
          <w:sz w:val="24"/>
          <w:lang w:eastAsia="zh-CN"/>
        </w:rPr>
        <w:t>：</w:t>
      </w:r>
      <w:r>
        <w:rPr>
          <w:rFonts w:hint="eastAsia" w:ascii="宋体" w:hAnsi="宋体" w:cs="宋体"/>
          <w:sz w:val="24"/>
        </w:rPr>
        <w:t>采购人指定地点。</w:t>
      </w:r>
    </w:p>
    <w:p>
      <w:pPr>
        <w:snapToGrid w:val="0"/>
        <w:spacing w:line="360" w:lineRule="auto"/>
        <w:ind w:firstLine="480" w:firstLineChars="200"/>
        <w:rPr>
          <w:rFonts w:hint="eastAsia" w:ascii="宋体" w:hAnsi="宋体" w:cs="宋体"/>
          <w:sz w:val="24"/>
        </w:rPr>
      </w:pPr>
      <w:r>
        <w:rPr>
          <w:rFonts w:hint="eastAsia" w:ascii="宋体" w:hAnsi="宋体" w:cs="宋体"/>
          <w:sz w:val="24"/>
        </w:rPr>
        <w:t>驻场要求</w:t>
      </w:r>
    </w:p>
    <w:p>
      <w:pPr>
        <w:snapToGrid w:val="0"/>
        <w:spacing w:line="360" w:lineRule="auto"/>
        <w:ind w:firstLine="480" w:firstLineChars="200"/>
        <w:rPr>
          <w:rFonts w:hint="eastAsia" w:ascii="宋体" w:hAnsi="宋体" w:cs="宋体"/>
          <w:sz w:val="24"/>
        </w:rPr>
      </w:pPr>
      <w:r>
        <w:rPr>
          <w:rFonts w:hint="eastAsia" w:ascii="宋体" w:hAnsi="宋体" w:cs="宋体"/>
          <w:sz w:val="24"/>
        </w:rPr>
        <w:t>驻场的计划安排、人员数量、人员资质等由投标单位在投标文件中详细阐明。</w:t>
      </w:r>
    </w:p>
    <w:p>
      <w:pPr>
        <w:snapToGrid w:val="0"/>
        <w:spacing w:line="360" w:lineRule="auto"/>
        <w:ind w:firstLine="480" w:firstLineChars="200"/>
        <w:rPr>
          <w:rFonts w:hint="eastAsia" w:ascii="宋体" w:hAnsi="宋体" w:cs="宋体"/>
          <w:sz w:val="24"/>
        </w:rPr>
      </w:pPr>
      <w:r>
        <w:rPr>
          <w:rFonts w:hint="eastAsia" w:ascii="宋体" w:hAnsi="宋体" w:cs="宋体"/>
          <w:sz w:val="24"/>
        </w:rPr>
        <w:t>（二）项目部署环境</w:t>
      </w:r>
    </w:p>
    <w:p>
      <w:pPr>
        <w:snapToGrid w:val="0"/>
        <w:spacing w:line="360" w:lineRule="auto"/>
        <w:ind w:firstLine="480" w:firstLineChars="200"/>
        <w:rPr>
          <w:rFonts w:hint="eastAsia" w:ascii="宋体" w:hAnsi="宋体" w:cs="宋体"/>
          <w:sz w:val="24"/>
        </w:rPr>
      </w:pPr>
      <w:r>
        <w:rPr>
          <w:rFonts w:hint="eastAsia" w:ascii="宋体" w:hAnsi="宋体" w:cs="宋体"/>
          <w:sz w:val="24"/>
        </w:rPr>
        <w:t>选用可靠的技术手段保障本项目实现功能更新时的系统稳定。并支持现有环境：</w:t>
      </w:r>
    </w:p>
    <w:p>
      <w:pPr>
        <w:snapToGrid w:val="0"/>
        <w:spacing w:line="360" w:lineRule="auto"/>
        <w:ind w:firstLine="480" w:firstLineChars="200"/>
        <w:rPr>
          <w:rFonts w:hint="eastAsia" w:ascii="宋体" w:hAnsi="宋体" w:cs="宋体"/>
          <w:sz w:val="24"/>
        </w:rPr>
      </w:pPr>
      <w:r>
        <w:rPr>
          <w:rFonts w:hint="eastAsia" w:ascii="宋体" w:hAnsi="宋体" w:cs="宋体"/>
          <w:sz w:val="24"/>
        </w:rPr>
        <w:t>（三）软件安装、调试、开通</w:t>
      </w:r>
    </w:p>
    <w:p>
      <w:pPr>
        <w:snapToGrid w:val="0"/>
        <w:spacing w:line="360" w:lineRule="auto"/>
        <w:ind w:firstLine="480" w:firstLineChars="200"/>
        <w:rPr>
          <w:rFonts w:hint="eastAsia" w:ascii="宋体" w:hAnsi="宋体" w:cs="宋体"/>
          <w:sz w:val="24"/>
        </w:rPr>
      </w:pPr>
      <w:r>
        <w:rPr>
          <w:rFonts w:hint="eastAsia" w:ascii="宋体" w:hAnsi="宋体" w:cs="宋体"/>
          <w:sz w:val="24"/>
        </w:rPr>
        <w:t>1、中标人负责所提供的软件的安装、调试及开通，采购单位予以配合。</w:t>
      </w:r>
    </w:p>
    <w:p>
      <w:pPr>
        <w:snapToGrid w:val="0"/>
        <w:spacing w:line="360" w:lineRule="auto"/>
        <w:ind w:firstLine="480" w:firstLineChars="200"/>
        <w:rPr>
          <w:rFonts w:hint="eastAsia" w:ascii="宋体" w:hAnsi="宋体" w:cs="宋体"/>
          <w:sz w:val="24"/>
        </w:rPr>
      </w:pPr>
      <w:r>
        <w:rPr>
          <w:rFonts w:hint="eastAsia" w:ascii="宋体" w:hAnsi="宋体" w:cs="宋体"/>
          <w:sz w:val="24"/>
        </w:rPr>
        <w:t>2、软件安装、调试所需的工具、仪表及安装材料等应由中标人自行解决。</w:t>
      </w:r>
    </w:p>
    <w:p>
      <w:pPr>
        <w:snapToGrid w:val="0"/>
        <w:spacing w:line="360" w:lineRule="auto"/>
        <w:ind w:firstLine="480" w:firstLineChars="200"/>
        <w:rPr>
          <w:rFonts w:hint="eastAsia" w:ascii="宋体" w:hAnsi="宋体" w:cs="宋体"/>
          <w:sz w:val="24"/>
        </w:rPr>
      </w:pPr>
      <w:r>
        <w:rPr>
          <w:rFonts w:hint="eastAsia" w:ascii="宋体" w:hAnsi="宋体" w:cs="宋体"/>
          <w:sz w:val="24"/>
        </w:rPr>
        <w:t>3、中标人应向采购单位提交测试内容和方法。移交测试计划和技术内容由投标人拟定，经采购人确认。</w:t>
      </w:r>
    </w:p>
    <w:p>
      <w:pPr>
        <w:snapToGrid w:val="0"/>
        <w:spacing w:line="360" w:lineRule="auto"/>
        <w:ind w:firstLine="480" w:firstLineChars="200"/>
        <w:rPr>
          <w:rFonts w:hint="eastAsia" w:ascii="宋体" w:hAnsi="宋体" w:cs="宋体"/>
          <w:b/>
          <w:bCs/>
          <w:sz w:val="24"/>
        </w:rPr>
      </w:pPr>
      <w:r>
        <w:rPr>
          <w:rFonts w:hint="eastAsia" w:ascii="宋体" w:hAnsi="宋体" w:cs="宋体"/>
          <w:sz w:val="24"/>
        </w:rPr>
        <w:t>★</w:t>
      </w:r>
      <w:r>
        <w:rPr>
          <w:rFonts w:hint="eastAsia" w:ascii="宋体" w:hAnsi="宋体" w:cs="宋体"/>
          <w:b/>
          <w:bCs/>
          <w:sz w:val="24"/>
        </w:rPr>
        <w:t>4、本次项目为《西湖卫健互联网+综合监管平台》基础上的定制化开发应用与部署项目，供应商须书面承诺所投产品能够完全满足本次系统的开发和部署需求，支持无缝集成和开发，确保平台正常融合。</w:t>
      </w:r>
    </w:p>
    <w:p>
      <w:pPr>
        <w:snapToGrid w:val="0"/>
        <w:spacing w:line="360" w:lineRule="auto"/>
        <w:ind w:firstLine="480" w:firstLineChars="200"/>
        <w:rPr>
          <w:rFonts w:hint="eastAsia" w:ascii="宋体" w:hAnsi="宋体" w:cs="宋体"/>
          <w:b/>
          <w:bCs/>
          <w:sz w:val="24"/>
        </w:rPr>
      </w:pPr>
      <w:r>
        <w:rPr>
          <w:rFonts w:hint="eastAsia" w:ascii="宋体" w:hAnsi="宋体" w:cs="宋体"/>
          <w:sz w:val="24"/>
        </w:rPr>
        <w:t>★</w:t>
      </w:r>
      <w:r>
        <w:rPr>
          <w:rFonts w:hint="eastAsia" w:ascii="宋体" w:hAnsi="宋体" w:cs="宋体"/>
          <w:b/>
          <w:bCs/>
          <w:sz w:val="24"/>
        </w:rPr>
        <w:t>5、供应商在中标通知起3日内，完成相关平台、各子系统软件供应商的对接调试测试，若因供应商所使用的产品无法进行应用部署，由供应商承担全部责任。</w:t>
      </w:r>
    </w:p>
    <w:p>
      <w:pPr>
        <w:pStyle w:val="3"/>
        <w:spacing w:before="0" w:after="0" w:line="360" w:lineRule="auto"/>
        <w:ind w:left="0" w:firstLine="0"/>
        <w:rPr>
          <w:rFonts w:hint="eastAsia" w:ascii="宋体" w:hAnsi="宋体" w:cs="宋体"/>
          <w:sz w:val="24"/>
          <w:szCs w:val="24"/>
        </w:rPr>
      </w:pPr>
      <w:r>
        <w:rPr>
          <w:rFonts w:hint="eastAsia" w:ascii="宋体" w:hAnsi="宋体" w:cs="宋体"/>
          <w:sz w:val="24"/>
          <w:szCs w:val="24"/>
        </w:rPr>
        <w:t>三、售后服务及培训要求</w:t>
      </w:r>
    </w:p>
    <w:p>
      <w:pPr>
        <w:widowControl/>
        <w:adjustRightInd/>
        <w:snapToGrid w:val="0"/>
        <w:spacing w:line="360" w:lineRule="auto"/>
        <w:ind w:firstLine="480" w:firstLineChars="200"/>
        <w:rPr>
          <w:rFonts w:hint="eastAsia" w:ascii="宋体" w:hAnsi="宋体" w:cs="宋体"/>
          <w:sz w:val="24"/>
        </w:rPr>
      </w:pPr>
      <w:r>
        <w:rPr>
          <w:rFonts w:hint="eastAsia" w:ascii="宋体" w:hAnsi="宋体" w:cs="宋体"/>
          <w:sz w:val="24"/>
        </w:rPr>
        <w:t>（一）售后服务</w:t>
      </w:r>
    </w:p>
    <w:p>
      <w:pPr>
        <w:snapToGrid w:val="0"/>
        <w:spacing w:line="360" w:lineRule="auto"/>
        <w:ind w:firstLine="480" w:firstLineChars="200"/>
        <w:rPr>
          <w:rFonts w:hint="eastAsia" w:ascii="宋体" w:hAnsi="宋体" w:cs="宋体"/>
          <w:sz w:val="24"/>
        </w:rPr>
      </w:pPr>
      <w:r>
        <w:rPr>
          <w:rFonts w:hint="eastAsia" w:ascii="宋体" w:hAnsi="宋体" w:cs="宋体"/>
          <w:sz w:val="24"/>
        </w:rPr>
        <w:t>1、本次项目中涉及的软系统软件和硬件设备提供3年质保服务。</w:t>
      </w:r>
    </w:p>
    <w:p>
      <w:pPr>
        <w:snapToGrid w:val="0"/>
        <w:spacing w:line="360" w:lineRule="auto"/>
        <w:ind w:firstLine="480" w:firstLineChars="200"/>
        <w:rPr>
          <w:rFonts w:hint="eastAsia" w:ascii="宋体" w:hAnsi="宋体" w:cs="宋体"/>
          <w:sz w:val="24"/>
        </w:rPr>
      </w:pPr>
      <w:r>
        <w:rPr>
          <w:rFonts w:hint="eastAsia" w:ascii="宋体" w:hAnsi="宋体" w:cs="宋体"/>
          <w:sz w:val="24"/>
        </w:rPr>
        <w:t>2、投标方应在投标文件中说明在保修期内提供的服务计划，维护范围包括（包括但不限于）软件安装，调试、维修，硬件安装，调试、维修，软硬件接口安装、调试、维修等内容。</w:t>
      </w:r>
    </w:p>
    <w:p>
      <w:pPr>
        <w:snapToGrid w:val="0"/>
        <w:spacing w:line="360" w:lineRule="auto"/>
        <w:ind w:firstLine="480" w:firstLineChars="200"/>
        <w:rPr>
          <w:rFonts w:hint="eastAsia" w:ascii="宋体" w:hAnsi="宋体" w:cs="宋体"/>
          <w:sz w:val="24"/>
        </w:rPr>
      </w:pPr>
      <w:r>
        <w:rPr>
          <w:rFonts w:hint="eastAsia" w:ascii="宋体" w:hAnsi="宋体" w:cs="宋体"/>
          <w:sz w:val="24"/>
        </w:rPr>
        <w:t>3、在系统的服务期内，投标方应确保系统的正常使用。在接到用户服务要求后应立即做出回应，并在承诺的服务时间内实施服务。</w:t>
      </w:r>
    </w:p>
    <w:p>
      <w:pPr>
        <w:snapToGrid w:val="0"/>
        <w:spacing w:line="360" w:lineRule="auto"/>
        <w:ind w:firstLine="480" w:firstLineChars="200"/>
        <w:rPr>
          <w:rFonts w:hint="eastAsia" w:ascii="宋体" w:hAnsi="宋体" w:cs="宋体"/>
          <w:sz w:val="24"/>
        </w:rPr>
      </w:pPr>
      <w:r>
        <w:rPr>
          <w:rFonts w:hint="eastAsia" w:ascii="宋体" w:hAnsi="宋体" w:cs="宋体"/>
          <w:sz w:val="24"/>
        </w:rPr>
        <w:t>（二）培训</w:t>
      </w:r>
    </w:p>
    <w:p>
      <w:pPr>
        <w:snapToGrid w:val="0"/>
        <w:spacing w:line="360" w:lineRule="auto"/>
        <w:ind w:firstLine="480" w:firstLineChars="200"/>
        <w:rPr>
          <w:rFonts w:hint="eastAsia" w:ascii="宋体" w:hAnsi="宋体" w:cs="宋体"/>
          <w:sz w:val="24"/>
        </w:rPr>
      </w:pPr>
      <w:r>
        <w:rPr>
          <w:rFonts w:hint="eastAsia" w:ascii="宋体" w:hAnsi="宋体" w:cs="宋体"/>
          <w:sz w:val="24"/>
        </w:rPr>
        <w:t>为了保障系统和原有业务流程平滑过渡，必须对涉及到本系统的人员进行相关的培训。</w:t>
      </w:r>
    </w:p>
    <w:p>
      <w:pPr>
        <w:spacing w:line="360" w:lineRule="auto"/>
        <w:ind w:firstLine="181" w:firstLineChars="50"/>
        <w:rPr>
          <w:rFonts w:ascii="宋体" w:hAnsi="宋体" w:cs="宋体"/>
          <w:b/>
          <w:color w:val="auto"/>
          <w:sz w:val="36"/>
          <w:szCs w:val="36"/>
          <w:highlight w:val="none"/>
        </w:rPr>
      </w:pPr>
    </w:p>
    <w:p>
      <w:pPr>
        <w:spacing w:line="360" w:lineRule="auto"/>
        <w:rPr>
          <w:rFonts w:ascii="宋体" w:hAnsi="宋体" w:cs="宋体"/>
          <w:color w:val="auto"/>
          <w:sz w:val="24"/>
          <w:highlight w:val="none"/>
        </w:rPr>
      </w:pPr>
    </w:p>
    <w:p>
      <w:pPr>
        <w:widowControl/>
        <w:ind w:firstLine="720" w:firstLineChars="300"/>
        <w:jc w:val="left"/>
        <w:rPr>
          <w:rFonts w:ascii="宋体" w:hAnsi="宋体" w:cs="宋体"/>
          <w:bCs/>
          <w:color w:val="auto"/>
          <w:sz w:val="24"/>
          <w:highlight w:val="none"/>
        </w:rPr>
      </w:pPr>
    </w:p>
    <w:p>
      <w:pPr>
        <w:rPr>
          <w:rFonts w:ascii="宋体" w:hAnsi="宋体" w:cs="宋体"/>
          <w:snapToGrid w:val="0"/>
          <w:color w:val="auto"/>
          <w:kern w:val="0"/>
          <w:sz w:val="24"/>
          <w:highlight w:val="none"/>
        </w:rPr>
      </w:pP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0281"/>
      <w:bookmarkEnd w:id="28"/>
      <w:bookmarkStart w:id="29" w:name="_Toc184310287"/>
      <w:bookmarkEnd w:id="29"/>
      <w:bookmarkStart w:id="30" w:name="_Toc184313256"/>
      <w:bookmarkEnd w:id="30"/>
      <w:bookmarkStart w:id="31" w:name="_Toc184313284"/>
      <w:bookmarkEnd w:id="31"/>
      <w:bookmarkStart w:id="32" w:name="_Toc184314459"/>
      <w:bookmarkEnd w:id="32"/>
      <w:bookmarkStart w:id="33" w:name="_Toc184308098"/>
      <w:bookmarkEnd w:id="33"/>
      <w:bookmarkStart w:id="34" w:name="_Toc184310308"/>
      <w:bookmarkEnd w:id="34"/>
      <w:bookmarkStart w:id="35" w:name="_Toc184314440"/>
      <w:bookmarkEnd w:id="35"/>
      <w:bookmarkStart w:id="36" w:name="_Toc184313270"/>
      <w:bookmarkEnd w:id="36"/>
      <w:bookmarkStart w:id="37" w:name="_Toc184310307"/>
      <w:bookmarkEnd w:id="37"/>
      <w:bookmarkStart w:id="38" w:name="_Toc184313238"/>
      <w:bookmarkEnd w:id="38"/>
      <w:bookmarkStart w:id="39" w:name="_Toc184314422"/>
      <w:bookmarkEnd w:id="39"/>
      <w:bookmarkStart w:id="40" w:name="_Toc184314446"/>
      <w:bookmarkEnd w:id="40"/>
      <w:bookmarkStart w:id="41" w:name="_Toc184313250"/>
      <w:bookmarkEnd w:id="41"/>
      <w:bookmarkStart w:id="42" w:name="_Toc184310296"/>
      <w:bookmarkEnd w:id="42"/>
      <w:bookmarkStart w:id="43" w:name="_Toc184312081"/>
      <w:bookmarkEnd w:id="43"/>
      <w:bookmarkStart w:id="44" w:name="_Toc184308061"/>
      <w:bookmarkEnd w:id="44"/>
      <w:bookmarkStart w:id="45" w:name="_Toc184314434"/>
      <w:bookmarkEnd w:id="45"/>
      <w:bookmarkStart w:id="46" w:name="_Toc184314462"/>
      <w:bookmarkEnd w:id="46"/>
      <w:bookmarkStart w:id="47" w:name="_Toc184310343"/>
      <w:bookmarkEnd w:id="47"/>
      <w:bookmarkStart w:id="48" w:name="_Toc184310330"/>
      <w:bookmarkEnd w:id="48"/>
      <w:bookmarkStart w:id="49" w:name="_Toc184314481"/>
      <w:bookmarkEnd w:id="49"/>
      <w:bookmarkStart w:id="50" w:name="_Toc184313267"/>
      <w:bookmarkEnd w:id="50"/>
      <w:bookmarkStart w:id="51" w:name="_Toc184313303"/>
      <w:bookmarkEnd w:id="51"/>
      <w:bookmarkStart w:id="52" w:name="_Toc184313259"/>
      <w:bookmarkEnd w:id="52"/>
      <w:bookmarkStart w:id="53" w:name="_Toc184308069"/>
      <w:bookmarkEnd w:id="53"/>
      <w:bookmarkStart w:id="54" w:name="_Toc184313272"/>
      <w:bookmarkEnd w:id="54"/>
      <w:bookmarkStart w:id="55" w:name="_Toc184313290"/>
      <w:bookmarkEnd w:id="55"/>
      <w:bookmarkStart w:id="56" w:name="_Toc184313305"/>
      <w:bookmarkEnd w:id="56"/>
      <w:bookmarkStart w:id="57" w:name="_Toc184308081"/>
      <w:bookmarkEnd w:id="57"/>
      <w:bookmarkStart w:id="58" w:name="_Toc184312095"/>
      <w:bookmarkEnd w:id="58"/>
      <w:bookmarkStart w:id="59" w:name="_Toc184313244"/>
      <w:bookmarkEnd w:id="59"/>
      <w:bookmarkStart w:id="60" w:name="_Toc184314437"/>
      <w:bookmarkEnd w:id="60"/>
      <w:bookmarkStart w:id="61" w:name="_Toc184312082"/>
      <w:bookmarkEnd w:id="61"/>
      <w:bookmarkStart w:id="62" w:name="_Toc184312083"/>
      <w:bookmarkEnd w:id="62"/>
      <w:bookmarkStart w:id="63" w:name="_Toc184308067"/>
      <w:bookmarkEnd w:id="63"/>
      <w:bookmarkStart w:id="64" w:name="_Toc184313280"/>
      <w:bookmarkEnd w:id="64"/>
      <w:bookmarkStart w:id="65" w:name="_Toc184314456"/>
      <w:bookmarkEnd w:id="65"/>
      <w:bookmarkStart w:id="66" w:name="_Toc184310284"/>
      <w:bookmarkEnd w:id="66"/>
      <w:bookmarkStart w:id="67" w:name="_Toc184312126"/>
      <w:bookmarkEnd w:id="67"/>
      <w:bookmarkStart w:id="68" w:name="_Toc184312070"/>
      <w:bookmarkEnd w:id="68"/>
      <w:bookmarkStart w:id="69" w:name="_Toc184313285"/>
      <w:bookmarkEnd w:id="69"/>
      <w:bookmarkStart w:id="70" w:name="_Toc184313266"/>
      <w:bookmarkEnd w:id="70"/>
      <w:bookmarkStart w:id="71" w:name="_Toc184308044"/>
      <w:bookmarkEnd w:id="71"/>
      <w:bookmarkStart w:id="72" w:name="_Toc184312097"/>
      <w:bookmarkEnd w:id="72"/>
      <w:bookmarkStart w:id="73" w:name="_Toc184312090"/>
      <w:bookmarkEnd w:id="73"/>
      <w:bookmarkStart w:id="74" w:name="_Toc184308054"/>
      <w:bookmarkEnd w:id="74"/>
      <w:bookmarkStart w:id="75" w:name="_Toc184308084"/>
      <w:bookmarkEnd w:id="75"/>
      <w:bookmarkStart w:id="76" w:name="_Toc184313249"/>
      <w:bookmarkEnd w:id="76"/>
      <w:bookmarkStart w:id="77" w:name="_Toc184314424"/>
      <w:bookmarkEnd w:id="77"/>
      <w:bookmarkStart w:id="78" w:name="_Toc184312093"/>
      <w:bookmarkEnd w:id="78"/>
      <w:bookmarkStart w:id="79" w:name="_Toc184312078"/>
      <w:bookmarkEnd w:id="79"/>
      <w:bookmarkStart w:id="80" w:name="_Toc184314478"/>
      <w:bookmarkEnd w:id="80"/>
      <w:bookmarkStart w:id="81" w:name="_Toc184312105"/>
      <w:bookmarkEnd w:id="81"/>
      <w:bookmarkStart w:id="82" w:name="_Toc184308057"/>
      <w:bookmarkEnd w:id="82"/>
      <w:bookmarkStart w:id="83" w:name="_Toc184312121"/>
      <w:bookmarkEnd w:id="83"/>
      <w:bookmarkStart w:id="84" w:name="_Toc184310274"/>
      <w:bookmarkEnd w:id="84"/>
      <w:bookmarkStart w:id="85" w:name="_Toc184313273"/>
      <w:bookmarkEnd w:id="85"/>
      <w:bookmarkStart w:id="86" w:name="_Toc184310322"/>
      <w:bookmarkEnd w:id="86"/>
      <w:bookmarkStart w:id="87" w:name="_Toc184313292"/>
      <w:bookmarkEnd w:id="87"/>
      <w:bookmarkStart w:id="88" w:name="_Toc184310288"/>
      <w:bookmarkEnd w:id="88"/>
      <w:bookmarkStart w:id="89" w:name="_Toc184310334"/>
      <w:bookmarkEnd w:id="89"/>
      <w:bookmarkStart w:id="90" w:name="_Toc184314435"/>
      <w:bookmarkEnd w:id="90"/>
      <w:bookmarkStart w:id="91" w:name="_Toc184312067"/>
      <w:bookmarkEnd w:id="91"/>
      <w:bookmarkStart w:id="92" w:name="_Toc184308038"/>
      <w:bookmarkEnd w:id="92"/>
      <w:bookmarkStart w:id="93" w:name="_Toc184310313"/>
      <w:bookmarkEnd w:id="93"/>
      <w:bookmarkStart w:id="94" w:name="_Toc184312091"/>
      <w:bookmarkEnd w:id="94"/>
      <w:bookmarkStart w:id="95" w:name="_Toc184308070"/>
      <w:bookmarkEnd w:id="95"/>
      <w:bookmarkStart w:id="96" w:name="_Toc184313248"/>
      <w:bookmarkEnd w:id="96"/>
      <w:bookmarkStart w:id="97" w:name="_Toc184314416"/>
      <w:bookmarkEnd w:id="97"/>
      <w:bookmarkStart w:id="98" w:name="_Toc184310306"/>
      <w:bookmarkEnd w:id="98"/>
      <w:bookmarkStart w:id="99" w:name="_Toc184312125"/>
      <w:bookmarkEnd w:id="99"/>
      <w:bookmarkStart w:id="100" w:name="_Toc184313304"/>
      <w:bookmarkEnd w:id="100"/>
      <w:bookmarkStart w:id="101" w:name="_Toc184314447"/>
      <w:bookmarkEnd w:id="101"/>
      <w:bookmarkStart w:id="102" w:name="_Toc184308051"/>
      <w:bookmarkEnd w:id="102"/>
      <w:bookmarkStart w:id="103" w:name="_Toc184313268"/>
      <w:bookmarkEnd w:id="103"/>
      <w:bookmarkStart w:id="104" w:name="_Toc184310276"/>
      <w:bookmarkEnd w:id="104"/>
      <w:bookmarkStart w:id="105" w:name="_Toc184308065"/>
      <w:bookmarkEnd w:id="105"/>
      <w:bookmarkStart w:id="106" w:name="_Toc184313275"/>
      <w:bookmarkEnd w:id="106"/>
      <w:bookmarkStart w:id="107" w:name="_Toc184308060"/>
      <w:bookmarkEnd w:id="107"/>
      <w:bookmarkStart w:id="108" w:name="_Toc184313300"/>
      <w:bookmarkEnd w:id="108"/>
      <w:bookmarkStart w:id="109" w:name="_Toc184313296"/>
      <w:bookmarkEnd w:id="109"/>
      <w:bookmarkStart w:id="110" w:name="_Toc184313306"/>
      <w:bookmarkEnd w:id="110"/>
      <w:bookmarkStart w:id="111" w:name="_Toc184313288"/>
      <w:bookmarkEnd w:id="111"/>
      <w:bookmarkStart w:id="112" w:name="_Toc184314451"/>
      <w:bookmarkEnd w:id="112"/>
      <w:bookmarkStart w:id="113" w:name="_Toc184308043"/>
      <w:bookmarkEnd w:id="113"/>
      <w:bookmarkStart w:id="114" w:name="_Toc184308107"/>
      <w:bookmarkEnd w:id="114"/>
      <w:bookmarkStart w:id="115" w:name="_Toc184310299"/>
      <w:bookmarkEnd w:id="115"/>
      <w:bookmarkStart w:id="116" w:name="_Toc184313295"/>
      <w:bookmarkEnd w:id="116"/>
      <w:bookmarkStart w:id="117" w:name="_Toc184313246"/>
      <w:bookmarkEnd w:id="117"/>
      <w:bookmarkStart w:id="118" w:name="_Toc184310340"/>
      <w:bookmarkEnd w:id="118"/>
      <w:bookmarkStart w:id="119" w:name="_Toc184310283"/>
      <w:bookmarkEnd w:id="119"/>
      <w:bookmarkStart w:id="120" w:name="_Toc184314450"/>
      <w:bookmarkEnd w:id="120"/>
      <w:bookmarkStart w:id="121" w:name="_Toc184312096"/>
      <w:bookmarkEnd w:id="121"/>
      <w:bookmarkStart w:id="122" w:name="_Toc184308055"/>
      <w:bookmarkEnd w:id="122"/>
      <w:bookmarkStart w:id="123" w:name="_Toc184314464"/>
      <w:bookmarkEnd w:id="123"/>
      <w:bookmarkStart w:id="124" w:name="_Toc184312089"/>
      <w:bookmarkEnd w:id="124"/>
      <w:bookmarkStart w:id="125" w:name="_Toc184308099"/>
      <w:bookmarkEnd w:id="125"/>
      <w:bookmarkStart w:id="126" w:name="_Toc184314471"/>
      <w:bookmarkEnd w:id="126"/>
      <w:bookmarkStart w:id="127" w:name="_Toc184312133"/>
      <w:bookmarkEnd w:id="127"/>
      <w:bookmarkStart w:id="128" w:name="_Toc184313242"/>
      <w:bookmarkEnd w:id="128"/>
      <w:bookmarkStart w:id="129" w:name="_Toc184308091"/>
      <w:bookmarkEnd w:id="129"/>
      <w:bookmarkStart w:id="130" w:name="_Toc184310336"/>
      <w:bookmarkEnd w:id="130"/>
      <w:bookmarkStart w:id="131" w:name="_Toc184310290"/>
      <w:bookmarkEnd w:id="131"/>
      <w:bookmarkStart w:id="132" w:name="_Toc184312123"/>
      <w:bookmarkEnd w:id="132"/>
      <w:bookmarkStart w:id="133" w:name="_Toc184308050"/>
      <w:bookmarkEnd w:id="133"/>
      <w:bookmarkStart w:id="134" w:name="_Toc184308058"/>
      <w:bookmarkEnd w:id="134"/>
      <w:bookmarkStart w:id="135" w:name="_Toc184314429"/>
      <w:bookmarkEnd w:id="135"/>
      <w:bookmarkStart w:id="136" w:name="_Toc184308042"/>
      <w:bookmarkEnd w:id="136"/>
      <w:bookmarkStart w:id="137" w:name="_Toc184313271"/>
      <w:bookmarkEnd w:id="137"/>
      <w:bookmarkStart w:id="138" w:name="_Toc184312122"/>
      <w:bookmarkEnd w:id="138"/>
      <w:bookmarkStart w:id="139" w:name="_Toc184312073"/>
      <w:bookmarkEnd w:id="139"/>
      <w:bookmarkStart w:id="140" w:name="_Toc184308088"/>
      <w:bookmarkEnd w:id="140"/>
      <w:bookmarkStart w:id="141" w:name="_Toc184313287"/>
      <w:bookmarkEnd w:id="141"/>
      <w:bookmarkStart w:id="142" w:name="_Toc184314418"/>
      <w:bookmarkEnd w:id="142"/>
      <w:bookmarkStart w:id="143" w:name="_Toc184312068"/>
      <w:bookmarkEnd w:id="143"/>
      <w:bookmarkStart w:id="144" w:name="_Toc184313282"/>
      <w:bookmarkEnd w:id="144"/>
      <w:bookmarkStart w:id="145" w:name="_Toc184314425"/>
      <w:bookmarkEnd w:id="145"/>
      <w:bookmarkStart w:id="146" w:name="_Toc184308047"/>
      <w:bookmarkEnd w:id="146"/>
      <w:bookmarkStart w:id="147" w:name="_Toc184308079"/>
      <w:bookmarkEnd w:id="147"/>
      <w:bookmarkStart w:id="148" w:name="_Toc184310318"/>
      <w:bookmarkEnd w:id="148"/>
      <w:bookmarkStart w:id="149" w:name="_Toc184313302"/>
      <w:bookmarkEnd w:id="149"/>
      <w:bookmarkStart w:id="150" w:name="_Toc184314442"/>
      <w:bookmarkEnd w:id="150"/>
      <w:bookmarkStart w:id="151" w:name="_Toc184312116"/>
      <w:bookmarkEnd w:id="151"/>
      <w:bookmarkStart w:id="152" w:name="_Toc184313254"/>
      <w:bookmarkEnd w:id="152"/>
      <w:bookmarkStart w:id="153" w:name="_Toc184308086"/>
      <w:bookmarkEnd w:id="153"/>
      <w:bookmarkStart w:id="154" w:name="_Toc184314479"/>
      <w:bookmarkEnd w:id="154"/>
      <w:bookmarkStart w:id="155" w:name="_Toc184314413"/>
      <w:bookmarkEnd w:id="155"/>
      <w:bookmarkStart w:id="156" w:name="_Toc184313298"/>
      <w:bookmarkEnd w:id="156"/>
      <w:bookmarkStart w:id="157" w:name="_Toc184313294"/>
      <w:bookmarkEnd w:id="157"/>
      <w:bookmarkStart w:id="158" w:name="_Toc184313261"/>
      <w:bookmarkEnd w:id="158"/>
      <w:bookmarkStart w:id="159" w:name="_Toc184313263"/>
      <w:bookmarkEnd w:id="159"/>
      <w:bookmarkStart w:id="160" w:name="_Toc184314438"/>
      <w:bookmarkEnd w:id="160"/>
      <w:bookmarkStart w:id="161" w:name="_Toc184314468"/>
      <w:bookmarkEnd w:id="161"/>
      <w:bookmarkStart w:id="162" w:name="_Toc184312119"/>
      <w:bookmarkEnd w:id="162"/>
      <w:bookmarkStart w:id="163" w:name="_Toc184310312"/>
      <w:bookmarkEnd w:id="163"/>
      <w:bookmarkStart w:id="164" w:name="_Toc184308092"/>
      <w:bookmarkEnd w:id="164"/>
      <w:bookmarkStart w:id="165" w:name="_Toc184312124"/>
      <w:bookmarkEnd w:id="165"/>
      <w:bookmarkStart w:id="166" w:name="_Toc184314458"/>
      <w:bookmarkEnd w:id="166"/>
      <w:bookmarkStart w:id="167" w:name="_Toc184312086"/>
      <w:bookmarkEnd w:id="167"/>
      <w:bookmarkStart w:id="168" w:name="_Toc184314430"/>
      <w:bookmarkEnd w:id="168"/>
      <w:bookmarkStart w:id="169" w:name="_Toc184312102"/>
      <w:bookmarkEnd w:id="169"/>
      <w:bookmarkStart w:id="170" w:name="_Toc184314476"/>
      <w:bookmarkEnd w:id="170"/>
      <w:bookmarkStart w:id="171" w:name="_Toc184310325"/>
      <w:bookmarkEnd w:id="171"/>
      <w:bookmarkStart w:id="172" w:name="_Toc184310297"/>
      <w:bookmarkEnd w:id="172"/>
      <w:bookmarkStart w:id="173" w:name="_Toc184310277"/>
      <w:bookmarkEnd w:id="173"/>
      <w:bookmarkStart w:id="174" w:name="_Toc184310338"/>
      <w:bookmarkEnd w:id="174"/>
      <w:bookmarkStart w:id="175" w:name="_Toc184312112"/>
      <w:bookmarkEnd w:id="175"/>
      <w:bookmarkStart w:id="176" w:name="_Toc184313240"/>
      <w:bookmarkEnd w:id="176"/>
      <w:bookmarkStart w:id="177" w:name="_Toc184308082"/>
      <w:bookmarkEnd w:id="177"/>
      <w:bookmarkStart w:id="178" w:name="_Toc184314443"/>
      <w:bookmarkEnd w:id="178"/>
      <w:bookmarkStart w:id="179" w:name="_Toc184314421"/>
      <w:bookmarkEnd w:id="179"/>
      <w:bookmarkStart w:id="180" w:name="_Toc184313260"/>
      <w:bookmarkEnd w:id="180"/>
      <w:bookmarkStart w:id="181" w:name="_Toc184310273"/>
      <w:bookmarkEnd w:id="181"/>
      <w:bookmarkStart w:id="182" w:name="_Toc184308036"/>
      <w:bookmarkEnd w:id="182"/>
      <w:bookmarkStart w:id="183" w:name="_Toc184314427"/>
      <w:bookmarkEnd w:id="183"/>
      <w:bookmarkStart w:id="184" w:name="_Toc184314423"/>
      <w:bookmarkEnd w:id="184"/>
      <w:bookmarkStart w:id="185" w:name="_Toc184313252"/>
      <w:bookmarkEnd w:id="185"/>
      <w:bookmarkStart w:id="186" w:name="_Toc184312134"/>
      <w:bookmarkEnd w:id="186"/>
      <w:bookmarkStart w:id="187" w:name="_Toc184314410"/>
      <w:bookmarkEnd w:id="187"/>
      <w:bookmarkStart w:id="188" w:name="_Toc184310280"/>
      <w:bookmarkEnd w:id="188"/>
      <w:bookmarkStart w:id="189" w:name="_Toc184313277"/>
      <w:bookmarkEnd w:id="189"/>
      <w:bookmarkStart w:id="190" w:name="_Toc184313251"/>
      <w:bookmarkEnd w:id="190"/>
      <w:bookmarkStart w:id="191" w:name="_Toc184314441"/>
      <w:bookmarkEnd w:id="191"/>
      <w:bookmarkStart w:id="192" w:name="_Toc184308066"/>
      <w:bookmarkEnd w:id="192"/>
      <w:bookmarkStart w:id="193" w:name="_Toc184312131"/>
      <w:bookmarkEnd w:id="193"/>
      <w:bookmarkStart w:id="194" w:name="_Toc184312127"/>
      <w:bookmarkEnd w:id="194"/>
      <w:bookmarkStart w:id="195" w:name="_Toc184313289"/>
      <w:bookmarkEnd w:id="195"/>
      <w:bookmarkStart w:id="196" w:name="_Toc184312139"/>
      <w:bookmarkEnd w:id="196"/>
      <w:bookmarkStart w:id="197" w:name="_Toc184313301"/>
      <w:bookmarkEnd w:id="197"/>
      <w:bookmarkStart w:id="198" w:name="_Toc184314448"/>
      <w:bookmarkEnd w:id="198"/>
      <w:bookmarkStart w:id="199" w:name="_Toc184313291"/>
      <w:bookmarkEnd w:id="199"/>
      <w:bookmarkStart w:id="200" w:name="_Toc184310323"/>
      <w:bookmarkEnd w:id="200"/>
      <w:bookmarkStart w:id="201" w:name="_Toc184310293"/>
      <w:bookmarkEnd w:id="201"/>
      <w:bookmarkStart w:id="202" w:name="_Toc184308097"/>
      <w:bookmarkEnd w:id="202"/>
      <w:bookmarkStart w:id="203" w:name="_Toc184310310"/>
      <w:bookmarkEnd w:id="203"/>
      <w:bookmarkStart w:id="204" w:name="_Toc184312138"/>
      <w:bookmarkEnd w:id="204"/>
      <w:bookmarkStart w:id="205" w:name="_Toc184310341"/>
      <w:bookmarkEnd w:id="205"/>
      <w:bookmarkStart w:id="206" w:name="_Toc184310314"/>
      <w:bookmarkEnd w:id="206"/>
      <w:bookmarkStart w:id="207" w:name="_Toc184308105"/>
      <w:bookmarkEnd w:id="207"/>
      <w:bookmarkStart w:id="208" w:name="_Toc184314457"/>
      <w:bookmarkEnd w:id="208"/>
      <w:bookmarkStart w:id="209" w:name="_Toc184310303"/>
      <w:bookmarkEnd w:id="209"/>
      <w:bookmarkStart w:id="210" w:name="_Toc184310279"/>
      <w:bookmarkEnd w:id="210"/>
      <w:bookmarkStart w:id="211" w:name="_Toc184314475"/>
      <w:bookmarkEnd w:id="211"/>
      <w:bookmarkStart w:id="212" w:name="_Toc184314428"/>
      <w:bookmarkEnd w:id="212"/>
      <w:bookmarkStart w:id="213" w:name="_Toc184312128"/>
      <w:bookmarkEnd w:id="213"/>
      <w:bookmarkStart w:id="214" w:name="_Toc184310327"/>
      <w:bookmarkEnd w:id="214"/>
      <w:bookmarkStart w:id="215" w:name="_Toc184310292"/>
      <w:bookmarkEnd w:id="215"/>
      <w:bookmarkStart w:id="216" w:name="_Toc184308049"/>
      <w:bookmarkEnd w:id="216"/>
      <w:bookmarkStart w:id="217" w:name="_Toc184308083"/>
      <w:bookmarkEnd w:id="217"/>
      <w:bookmarkStart w:id="218" w:name="_Toc184314433"/>
      <w:bookmarkEnd w:id="218"/>
      <w:bookmarkStart w:id="219" w:name="_Toc184314444"/>
      <w:bookmarkEnd w:id="219"/>
      <w:bookmarkStart w:id="220" w:name="_Toc184310304"/>
      <w:bookmarkEnd w:id="220"/>
      <w:bookmarkStart w:id="221" w:name="_Toc184310331"/>
      <w:bookmarkEnd w:id="221"/>
      <w:bookmarkStart w:id="222" w:name="_Toc184314477"/>
      <w:bookmarkEnd w:id="222"/>
      <w:bookmarkStart w:id="223" w:name="_Toc184308052"/>
      <w:bookmarkEnd w:id="223"/>
      <w:bookmarkStart w:id="224" w:name="_Toc184313293"/>
      <w:bookmarkEnd w:id="224"/>
      <w:bookmarkStart w:id="225" w:name="_Toc184308064"/>
      <w:bookmarkEnd w:id="225"/>
      <w:bookmarkStart w:id="226" w:name="_Toc184314460"/>
      <w:bookmarkEnd w:id="226"/>
      <w:bookmarkStart w:id="227" w:name="_Toc184313286"/>
      <w:bookmarkEnd w:id="227"/>
      <w:bookmarkStart w:id="228" w:name="_Toc184314414"/>
      <w:bookmarkEnd w:id="228"/>
      <w:bookmarkStart w:id="229" w:name="_Toc184312087"/>
      <w:bookmarkEnd w:id="229"/>
      <w:bookmarkStart w:id="230" w:name="_Toc184310335"/>
      <w:bookmarkEnd w:id="230"/>
      <w:bookmarkStart w:id="231" w:name="_Toc184313247"/>
      <w:bookmarkEnd w:id="231"/>
      <w:bookmarkStart w:id="232" w:name="_Toc184308048"/>
      <w:bookmarkEnd w:id="232"/>
      <w:bookmarkStart w:id="233" w:name="_Toc184313307"/>
      <w:bookmarkEnd w:id="233"/>
      <w:bookmarkStart w:id="234" w:name="_Toc184312100"/>
      <w:bookmarkEnd w:id="234"/>
      <w:bookmarkStart w:id="235" w:name="_Toc184308062"/>
      <w:bookmarkEnd w:id="235"/>
      <w:bookmarkStart w:id="236" w:name="_Toc184312111"/>
      <w:bookmarkEnd w:id="236"/>
      <w:bookmarkStart w:id="237" w:name="_Toc184310329"/>
      <w:bookmarkEnd w:id="237"/>
      <w:bookmarkStart w:id="238" w:name="_Toc184314426"/>
      <w:bookmarkEnd w:id="238"/>
      <w:bookmarkStart w:id="239" w:name="_Toc184313308"/>
      <w:bookmarkEnd w:id="239"/>
      <w:bookmarkStart w:id="240" w:name="_Toc184308089"/>
      <w:bookmarkEnd w:id="240"/>
      <w:bookmarkStart w:id="241" w:name="_Toc184308096"/>
      <w:bookmarkEnd w:id="241"/>
      <w:bookmarkStart w:id="242" w:name="_Toc184313297"/>
      <w:bookmarkEnd w:id="242"/>
      <w:bookmarkStart w:id="243" w:name="_Toc184310285"/>
      <w:bookmarkEnd w:id="243"/>
      <w:bookmarkStart w:id="244" w:name="_Toc184314420"/>
      <w:bookmarkEnd w:id="244"/>
      <w:bookmarkStart w:id="245" w:name="_Toc184314454"/>
      <w:bookmarkEnd w:id="245"/>
      <w:bookmarkStart w:id="246" w:name="_Toc184308059"/>
      <w:bookmarkEnd w:id="246"/>
      <w:bookmarkStart w:id="247" w:name="_Toc184312136"/>
      <w:bookmarkEnd w:id="247"/>
      <w:bookmarkStart w:id="248" w:name="_Toc184308101"/>
      <w:bookmarkEnd w:id="248"/>
      <w:bookmarkStart w:id="249" w:name="_Toc184313281"/>
      <w:bookmarkEnd w:id="249"/>
      <w:bookmarkStart w:id="250" w:name="_Toc184310342"/>
      <w:bookmarkEnd w:id="250"/>
      <w:bookmarkStart w:id="251" w:name="_Toc184312094"/>
      <w:bookmarkEnd w:id="251"/>
      <w:bookmarkStart w:id="252" w:name="_Toc184308073"/>
      <w:bookmarkEnd w:id="252"/>
      <w:bookmarkStart w:id="253" w:name="_Toc184312099"/>
      <w:bookmarkEnd w:id="253"/>
      <w:bookmarkStart w:id="254" w:name="_Toc184308103"/>
      <w:bookmarkEnd w:id="254"/>
      <w:bookmarkStart w:id="255" w:name="_Toc184313258"/>
      <w:bookmarkEnd w:id="255"/>
      <w:bookmarkStart w:id="256" w:name="_Toc184310295"/>
      <w:bookmarkEnd w:id="256"/>
      <w:bookmarkStart w:id="257" w:name="_Toc184308102"/>
      <w:bookmarkEnd w:id="257"/>
      <w:bookmarkStart w:id="258" w:name="_Toc184313264"/>
      <w:bookmarkEnd w:id="258"/>
      <w:bookmarkStart w:id="259" w:name="_Toc184308085"/>
      <w:bookmarkEnd w:id="259"/>
      <w:bookmarkStart w:id="260" w:name="_Toc184312098"/>
      <w:bookmarkEnd w:id="260"/>
      <w:bookmarkStart w:id="261" w:name="_Toc184308077"/>
      <w:bookmarkEnd w:id="261"/>
      <w:bookmarkStart w:id="262" w:name="_Toc184312104"/>
      <w:bookmarkEnd w:id="262"/>
      <w:bookmarkStart w:id="263" w:name="_Toc184310300"/>
      <w:bookmarkEnd w:id="263"/>
      <w:bookmarkStart w:id="264" w:name="_Toc184314463"/>
      <w:bookmarkEnd w:id="264"/>
      <w:bookmarkStart w:id="265" w:name="_Toc184312077"/>
      <w:bookmarkEnd w:id="265"/>
      <w:bookmarkStart w:id="266" w:name="_Toc184310301"/>
      <w:bookmarkEnd w:id="266"/>
      <w:bookmarkStart w:id="267" w:name="_Toc184314439"/>
      <w:bookmarkEnd w:id="267"/>
      <w:bookmarkStart w:id="268" w:name="_Toc184312129"/>
      <w:bookmarkEnd w:id="268"/>
      <w:bookmarkStart w:id="269" w:name="_Toc184313239"/>
      <w:bookmarkEnd w:id="269"/>
      <w:bookmarkStart w:id="270" w:name="_Toc184310294"/>
      <w:bookmarkEnd w:id="270"/>
      <w:bookmarkStart w:id="271" w:name="_Toc184314412"/>
      <w:bookmarkEnd w:id="271"/>
      <w:bookmarkStart w:id="272" w:name="_Toc184308106"/>
      <w:bookmarkEnd w:id="272"/>
      <w:bookmarkStart w:id="273" w:name="_Toc184310309"/>
      <w:bookmarkEnd w:id="273"/>
      <w:bookmarkStart w:id="274" w:name="_Toc184313265"/>
      <w:bookmarkEnd w:id="274"/>
      <w:bookmarkStart w:id="275" w:name="_Toc184312115"/>
      <w:bookmarkEnd w:id="275"/>
      <w:bookmarkStart w:id="276" w:name="_Toc184314411"/>
      <w:bookmarkEnd w:id="276"/>
      <w:bookmarkStart w:id="277" w:name="_Toc184312072"/>
      <w:bookmarkEnd w:id="277"/>
      <w:bookmarkStart w:id="278" w:name="_Toc184312108"/>
      <w:bookmarkEnd w:id="278"/>
      <w:bookmarkStart w:id="279" w:name="_Toc184312076"/>
      <w:bookmarkEnd w:id="279"/>
      <w:bookmarkStart w:id="280" w:name="_Toc184308075"/>
      <w:bookmarkEnd w:id="280"/>
      <w:bookmarkStart w:id="281" w:name="_Toc184313262"/>
      <w:bookmarkEnd w:id="281"/>
      <w:bookmarkStart w:id="282" w:name="_Toc184310324"/>
      <w:bookmarkEnd w:id="282"/>
      <w:bookmarkStart w:id="283" w:name="_Toc184310320"/>
      <w:bookmarkEnd w:id="283"/>
      <w:bookmarkStart w:id="284" w:name="_Toc184308095"/>
      <w:bookmarkEnd w:id="284"/>
      <w:bookmarkStart w:id="285" w:name="_Toc184312114"/>
      <w:bookmarkEnd w:id="285"/>
      <w:bookmarkStart w:id="286" w:name="_Toc184310315"/>
      <w:bookmarkEnd w:id="286"/>
      <w:bookmarkStart w:id="287" w:name="_Toc184310275"/>
      <w:bookmarkEnd w:id="287"/>
      <w:bookmarkStart w:id="288" w:name="_Toc184312107"/>
      <w:bookmarkEnd w:id="288"/>
      <w:bookmarkStart w:id="289" w:name="_Toc184310332"/>
      <w:bookmarkEnd w:id="289"/>
      <w:bookmarkStart w:id="290" w:name="_Toc184308071"/>
      <w:bookmarkEnd w:id="290"/>
      <w:bookmarkStart w:id="291" w:name="_Toc184314482"/>
      <w:bookmarkEnd w:id="291"/>
      <w:bookmarkStart w:id="292" w:name="_Toc184312074"/>
      <w:bookmarkEnd w:id="292"/>
      <w:bookmarkStart w:id="293" w:name="_Toc184312120"/>
      <w:bookmarkEnd w:id="293"/>
      <w:bookmarkStart w:id="294" w:name="_Toc184308094"/>
      <w:bookmarkEnd w:id="294"/>
      <w:bookmarkStart w:id="295" w:name="_Toc184314467"/>
      <w:bookmarkEnd w:id="295"/>
      <w:bookmarkStart w:id="296" w:name="_Toc184314445"/>
      <w:bookmarkEnd w:id="296"/>
      <w:bookmarkStart w:id="297" w:name="_Toc184308087"/>
      <w:bookmarkEnd w:id="297"/>
      <w:bookmarkStart w:id="298" w:name="_Toc184313257"/>
      <w:bookmarkEnd w:id="298"/>
      <w:bookmarkStart w:id="299" w:name="_Toc184314453"/>
      <w:bookmarkEnd w:id="299"/>
      <w:bookmarkStart w:id="300" w:name="_Toc184310321"/>
      <w:bookmarkEnd w:id="300"/>
      <w:bookmarkStart w:id="301" w:name="_Toc184313276"/>
      <w:bookmarkEnd w:id="301"/>
      <w:bookmarkStart w:id="302" w:name="_Toc184313309"/>
      <w:bookmarkEnd w:id="302"/>
      <w:bookmarkStart w:id="303" w:name="_Toc184308053"/>
      <w:bookmarkEnd w:id="303"/>
      <w:bookmarkStart w:id="304" w:name="_Toc184314419"/>
      <w:bookmarkEnd w:id="304"/>
      <w:bookmarkStart w:id="305" w:name="_Toc184312084"/>
      <w:bookmarkEnd w:id="305"/>
      <w:bookmarkStart w:id="306" w:name="_Toc184312079"/>
      <w:bookmarkEnd w:id="306"/>
      <w:bookmarkStart w:id="307" w:name="_Toc184308078"/>
      <w:bookmarkEnd w:id="307"/>
      <w:bookmarkStart w:id="308" w:name="_Toc184310282"/>
      <w:bookmarkEnd w:id="308"/>
      <w:bookmarkStart w:id="309" w:name="_Toc184308074"/>
      <w:bookmarkEnd w:id="309"/>
      <w:bookmarkStart w:id="310" w:name="_Toc184308046"/>
      <w:bookmarkEnd w:id="310"/>
      <w:bookmarkStart w:id="311" w:name="_Toc184314436"/>
      <w:bookmarkEnd w:id="311"/>
      <w:bookmarkStart w:id="312" w:name="_Toc184312069"/>
      <w:bookmarkEnd w:id="312"/>
      <w:bookmarkStart w:id="313" w:name="_Toc184312113"/>
      <w:bookmarkEnd w:id="313"/>
      <w:bookmarkStart w:id="314" w:name="_Toc184312101"/>
      <w:bookmarkEnd w:id="314"/>
      <w:bookmarkStart w:id="315" w:name="_Toc184310319"/>
      <w:bookmarkEnd w:id="315"/>
      <w:bookmarkStart w:id="316" w:name="_Toc184314473"/>
      <w:bookmarkEnd w:id="316"/>
      <w:bookmarkStart w:id="317" w:name="_Toc184308045"/>
      <w:bookmarkEnd w:id="317"/>
      <w:bookmarkStart w:id="318" w:name="_Toc184314480"/>
      <w:bookmarkEnd w:id="318"/>
      <w:bookmarkStart w:id="319" w:name="_Toc184308108"/>
      <w:bookmarkEnd w:id="319"/>
      <w:bookmarkStart w:id="320" w:name="_Toc184312110"/>
      <w:bookmarkEnd w:id="320"/>
      <w:bookmarkStart w:id="321" w:name="_Toc184312109"/>
      <w:bookmarkEnd w:id="321"/>
      <w:bookmarkStart w:id="322" w:name="_Toc184313279"/>
      <w:bookmarkEnd w:id="322"/>
      <w:bookmarkStart w:id="323" w:name="_Toc184314474"/>
      <w:bookmarkEnd w:id="323"/>
      <w:bookmarkStart w:id="324" w:name="_Toc184312103"/>
      <w:bookmarkEnd w:id="324"/>
      <w:bookmarkStart w:id="325" w:name="_Toc184308104"/>
      <w:bookmarkEnd w:id="325"/>
      <w:bookmarkStart w:id="326" w:name="_Toc184314452"/>
      <w:bookmarkEnd w:id="326"/>
      <w:bookmarkStart w:id="327" w:name="_Toc184308040"/>
      <w:bookmarkEnd w:id="327"/>
      <w:bookmarkStart w:id="328" w:name="_Toc184312137"/>
      <w:bookmarkEnd w:id="328"/>
      <w:bookmarkStart w:id="329" w:name="_Toc184312075"/>
      <w:bookmarkEnd w:id="329"/>
      <w:bookmarkStart w:id="330" w:name="_Toc184308072"/>
      <w:bookmarkEnd w:id="330"/>
      <w:bookmarkStart w:id="331" w:name="_Toc184314415"/>
      <w:bookmarkEnd w:id="331"/>
      <w:bookmarkStart w:id="332" w:name="_Toc184313245"/>
      <w:bookmarkEnd w:id="332"/>
      <w:bookmarkStart w:id="333" w:name="_Toc184308080"/>
      <w:bookmarkEnd w:id="333"/>
      <w:bookmarkStart w:id="334" w:name="_Toc184308039"/>
      <w:bookmarkEnd w:id="334"/>
      <w:bookmarkStart w:id="335" w:name="_Toc184310278"/>
      <w:bookmarkEnd w:id="335"/>
      <w:bookmarkStart w:id="336" w:name="_Toc184313278"/>
      <w:bookmarkEnd w:id="336"/>
      <w:bookmarkStart w:id="337" w:name="_Toc184312106"/>
      <w:bookmarkEnd w:id="337"/>
      <w:bookmarkStart w:id="338" w:name="_Toc184314461"/>
      <w:bookmarkEnd w:id="338"/>
      <w:bookmarkStart w:id="339" w:name="_Toc184313241"/>
      <w:bookmarkEnd w:id="339"/>
      <w:bookmarkStart w:id="340" w:name="_Toc184310291"/>
      <w:bookmarkEnd w:id="340"/>
      <w:bookmarkStart w:id="341" w:name="_Toc184312118"/>
      <w:bookmarkEnd w:id="341"/>
      <w:bookmarkStart w:id="342" w:name="_Toc184313310"/>
      <w:bookmarkEnd w:id="342"/>
      <w:bookmarkStart w:id="343" w:name="_Toc184308037"/>
      <w:bookmarkEnd w:id="343"/>
      <w:bookmarkStart w:id="344" w:name="_Toc184314470"/>
      <w:bookmarkEnd w:id="344"/>
      <w:bookmarkStart w:id="345" w:name="_Toc184313274"/>
      <w:bookmarkEnd w:id="345"/>
      <w:bookmarkStart w:id="346" w:name="_Toc184314465"/>
      <w:bookmarkEnd w:id="346"/>
      <w:bookmarkStart w:id="347" w:name="_Toc184312135"/>
      <w:bookmarkEnd w:id="347"/>
      <w:bookmarkStart w:id="348" w:name="_Toc184312080"/>
      <w:bookmarkEnd w:id="348"/>
      <w:bookmarkStart w:id="349" w:name="_Toc184308093"/>
      <w:bookmarkEnd w:id="349"/>
      <w:bookmarkStart w:id="350" w:name="_Toc184314469"/>
      <w:bookmarkEnd w:id="350"/>
      <w:bookmarkStart w:id="351" w:name="_Toc184314455"/>
      <w:bookmarkEnd w:id="351"/>
      <w:bookmarkStart w:id="352" w:name="_Toc184312117"/>
      <w:bookmarkEnd w:id="352"/>
      <w:bookmarkStart w:id="353" w:name="_Toc184308041"/>
      <w:bookmarkEnd w:id="353"/>
      <w:bookmarkStart w:id="354" w:name="_Toc184313269"/>
      <w:bookmarkEnd w:id="354"/>
      <w:bookmarkStart w:id="355" w:name="_Toc184308076"/>
      <w:bookmarkEnd w:id="355"/>
      <w:bookmarkStart w:id="356" w:name="_Toc184313299"/>
      <w:bookmarkEnd w:id="356"/>
      <w:bookmarkStart w:id="357" w:name="_Toc184313253"/>
      <w:bookmarkEnd w:id="357"/>
      <w:bookmarkStart w:id="358" w:name="_Toc184310317"/>
      <w:bookmarkEnd w:id="358"/>
      <w:bookmarkStart w:id="359" w:name="_Toc184308068"/>
      <w:bookmarkEnd w:id="359"/>
      <w:bookmarkStart w:id="360" w:name="_Toc184310286"/>
      <w:bookmarkEnd w:id="360"/>
      <w:bookmarkStart w:id="361" w:name="_Toc184310337"/>
      <w:bookmarkEnd w:id="361"/>
      <w:bookmarkStart w:id="362" w:name="_Toc184314466"/>
      <w:bookmarkEnd w:id="362"/>
      <w:bookmarkStart w:id="363" w:name="_Toc184310326"/>
      <w:bookmarkEnd w:id="363"/>
      <w:bookmarkStart w:id="364" w:name="_Toc184310328"/>
      <w:bookmarkEnd w:id="364"/>
      <w:bookmarkStart w:id="365" w:name="_Toc184310339"/>
      <w:bookmarkEnd w:id="365"/>
      <w:bookmarkStart w:id="366" w:name="_Toc184310344"/>
      <w:bookmarkEnd w:id="366"/>
      <w:bookmarkStart w:id="367" w:name="_Toc184312130"/>
      <w:bookmarkEnd w:id="367"/>
      <w:bookmarkStart w:id="368" w:name="_Toc184310311"/>
      <w:bookmarkEnd w:id="368"/>
      <w:bookmarkStart w:id="369" w:name="_Toc184314449"/>
      <w:bookmarkEnd w:id="369"/>
      <w:bookmarkStart w:id="370" w:name="_Toc184314432"/>
      <w:bookmarkEnd w:id="370"/>
      <w:bookmarkStart w:id="371" w:name="_Toc184312132"/>
      <w:bookmarkEnd w:id="371"/>
      <w:bookmarkStart w:id="372" w:name="_Toc184308063"/>
      <w:bookmarkEnd w:id="372"/>
      <w:bookmarkStart w:id="373" w:name="_Toc184313255"/>
      <w:bookmarkEnd w:id="373"/>
      <w:bookmarkStart w:id="374" w:name="_Toc184314417"/>
      <w:bookmarkEnd w:id="374"/>
      <w:bookmarkStart w:id="375" w:name="_Toc184310305"/>
      <w:bookmarkEnd w:id="375"/>
      <w:bookmarkStart w:id="376" w:name="_Toc184314472"/>
      <w:bookmarkEnd w:id="376"/>
      <w:bookmarkStart w:id="377" w:name="_Toc184310298"/>
      <w:bookmarkEnd w:id="377"/>
      <w:bookmarkStart w:id="378" w:name="_Toc184310316"/>
      <w:bookmarkEnd w:id="378"/>
      <w:bookmarkStart w:id="379" w:name="_Toc184314431"/>
      <w:bookmarkEnd w:id="379"/>
      <w:bookmarkStart w:id="380" w:name="_Toc184313243"/>
      <w:bookmarkEnd w:id="380"/>
      <w:bookmarkStart w:id="381" w:name="_Toc184310289"/>
      <w:bookmarkEnd w:id="381"/>
      <w:bookmarkStart w:id="382" w:name="_Toc184308056"/>
      <w:bookmarkEnd w:id="382"/>
      <w:bookmarkStart w:id="383" w:name="_Toc184312071"/>
      <w:bookmarkEnd w:id="383"/>
      <w:bookmarkStart w:id="384" w:name="_Toc184310272"/>
      <w:bookmarkEnd w:id="384"/>
      <w:bookmarkStart w:id="385" w:name="_Toc184312092"/>
      <w:bookmarkEnd w:id="385"/>
      <w:bookmarkStart w:id="386" w:name="_Toc184313283"/>
      <w:bookmarkEnd w:id="386"/>
      <w:bookmarkStart w:id="387" w:name="_Toc184310333"/>
      <w:bookmarkEnd w:id="387"/>
      <w:bookmarkStart w:id="388" w:name="_Toc184312085"/>
      <w:bookmarkEnd w:id="388"/>
      <w:bookmarkStart w:id="389" w:name="_Toc184310302"/>
      <w:bookmarkEnd w:id="389"/>
      <w:bookmarkStart w:id="390" w:name="_Toc184312088"/>
      <w:bookmarkEnd w:id="390"/>
      <w:bookmarkStart w:id="391" w:name="_Toc184308090"/>
      <w:bookmarkEnd w:id="391"/>
      <w:bookmarkStart w:id="392" w:name="_Toc184308100"/>
      <w:bookmarkEnd w:id="392"/>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100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5625"/>
        <w:gridCol w:w="822"/>
        <w:gridCol w:w="1166"/>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7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center"/>
              <w:rPr>
                <w:rFonts w:hint="eastAsia" w:ascii="宋体" w:hAnsi="宋体" w:cs="宋体"/>
                <w:b/>
                <w:bCs/>
                <w:kern w:val="0"/>
                <w:sz w:val="24"/>
              </w:rPr>
            </w:pPr>
            <w:r>
              <w:rPr>
                <w:rFonts w:hint="eastAsia" w:ascii="宋体" w:hAnsi="宋体" w:cs="宋体"/>
                <w:b/>
                <w:bCs/>
                <w:kern w:val="0"/>
                <w:sz w:val="24"/>
              </w:rPr>
              <w:t>序号</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center"/>
              <w:rPr>
                <w:rFonts w:hint="eastAsia" w:ascii="宋体" w:hAnsi="宋体" w:cs="宋体"/>
                <w:b/>
                <w:bCs/>
                <w:kern w:val="0"/>
                <w:sz w:val="24"/>
              </w:rPr>
            </w:pPr>
            <w:r>
              <w:rPr>
                <w:rFonts w:hint="eastAsia" w:ascii="宋体" w:hAnsi="宋体" w:cs="宋体"/>
                <w:b/>
                <w:bCs/>
                <w:kern w:val="0"/>
                <w:sz w:val="24"/>
              </w:rPr>
              <w:t>评分内容及标准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center"/>
              <w:rPr>
                <w:rFonts w:hint="eastAsia" w:ascii="宋体" w:hAnsi="宋体" w:cs="宋体"/>
                <w:b/>
                <w:bCs/>
                <w:kern w:val="0"/>
                <w:sz w:val="24"/>
              </w:rPr>
            </w:pPr>
            <w:r>
              <w:rPr>
                <w:rFonts w:hint="eastAsia" w:ascii="宋体" w:hAnsi="宋体" w:cs="宋体"/>
                <w:b/>
                <w:bCs/>
                <w:kern w:val="0"/>
                <w:sz w:val="24"/>
              </w:rPr>
              <w:t>权重</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center"/>
              <w:rPr>
                <w:rFonts w:hint="eastAsia" w:ascii="宋体" w:hAnsi="宋体" w:cs="宋体"/>
                <w:b/>
                <w:bCs/>
                <w:kern w:val="0"/>
                <w:sz w:val="24"/>
              </w:rPr>
            </w:pPr>
            <w:r>
              <w:rPr>
                <w:rFonts w:hint="eastAsia" w:ascii="宋体" w:hAnsi="宋体" w:cs="宋体"/>
                <w:b/>
                <w:bCs/>
                <w:kern w:val="0"/>
                <w:sz w:val="24"/>
              </w:rPr>
              <w:t>主观分/客观分 属性</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center"/>
              <w:rPr>
                <w:rFonts w:hint="eastAsia" w:ascii="宋体" w:hAnsi="宋体" w:cs="宋体"/>
                <w:b/>
                <w:bCs/>
                <w:kern w:val="0"/>
                <w:sz w:val="24"/>
              </w:rPr>
            </w:pPr>
            <w:r>
              <w:rPr>
                <w:rFonts w:hint="eastAsia" w:cs="仿宋_GB2312" w:asciiTheme="minorEastAsia" w:hAnsiTheme="minorEastAsia" w:eastAsiaTheme="minorEastAsia"/>
                <w:bCs/>
                <w:color w:val="auto"/>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atLeast"/>
          <w:jc w:val="center"/>
        </w:trPr>
        <w:tc>
          <w:tcPr>
            <w:tcW w:w="779"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1</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sz w:val="24"/>
              </w:rPr>
            </w:pPr>
            <w:bookmarkStart w:id="393" w:name="_Toc95739957"/>
            <w:r>
              <w:rPr>
                <w:rFonts w:hint="eastAsia" w:ascii="宋体" w:hAnsi="宋体" w:cs="宋体"/>
                <w:sz w:val="24"/>
              </w:rPr>
              <w:t>有效投标报价的最低价作为评标基准价，其最低报价为满分；按［投标报价得分=（评标基准价/投标报价）*10］的计算公式计算。</w:t>
            </w:r>
            <w:bookmarkEnd w:id="393"/>
          </w:p>
          <w:p>
            <w:pPr>
              <w:tabs>
                <w:tab w:val="left" w:pos="0"/>
              </w:tabs>
              <w:spacing w:line="360" w:lineRule="auto"/>
              <w:ind w:firstLine="480"/>
              <w:jc w:val="left"/>
              <w:rPr>
                <w:rFonts w:hint="eastAsia" w:ascii="宋体" w:hAnsi="宋体" w:cs="宋体"/>
                <w:sz w:val="24"/>
              </w:rPr>
            </w:pPr>
            <w:r>
              <w:rPr>
                <w:rFonts w:hint="eastAsia" w:ascii="宋体" w:hAnsi="宋体" w:cs="宋体"/>
                <w:sz w:val="24"/>
              </w:rPr>
              <w:t>评标过程中，不得去掉报价中的最高报价和最低报价。</w:t>
            </w:r>
          </w:p>
          <w:p>
            <w:pPr>
              <w:tabs>
                <w:tab w:val="left" w:pos="0"/>
              </w:tabs>
              <w:spacing w:line="360" w:lineRule="auto"/>
              <w:ind w:firstLine="480"/>
              <w:jc w:val="left"/>
              <w:rPr>
                <w:rFonts w:hint="eastAsia" w:ascii="宋体" w:hAnsi="宋体" w:cs="宋体"/>
                <w:sz w:val="24"/>
              </w:rPr>
            </w:pPr>
            <w:r>
              <w:rPr>
                <w:rFonts w:hint="eastAsia" w:ascii="宋体" w:hAnsi="宋体" w:cs="宋体"/>
                <w:b/>
                <w:bCs/>
                <w:sz w:val="24"/>
              </w:rPr>
              <w:t>本项目所有标项均专门面向中小企业采购，报价时无需进行政策价格扣除。</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10</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kern w:val="0"/>
                <w:sz w:val="24"/>
              </w:rPr>
            </w:pPr>
            <w:r>
              <w:rPr>
                <w:rFonts w:hint="eastAsia" w:ascii="宋体" w:hAnsi="宋体" w:cs="宋体"/>
                <w:kern w:val="0"/>
                <w:sz w:val="24"/>
              </w:rPr>
              <w:t>/</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779"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2</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b/>
                <w:sz w:val="24"/>
              </w:rPr>
            </w:pPr>
            <w:r>
              <w:rPr>
                <w:rFonts w:hint="eastAsia" w:ascii="宋体" w:hAnsi="宋体" w:cs="宋体"/>
                <w:b/>
                <w:sz w:val="24"/>
              </w:rPr>
              <w:t>业绩：</w:t>
            </w:r>
          </w:p>
          <w:p>
            <w:pPr>
              <w:tabs>
                <w:tab w:val="left" w:pos="0"/>
              </w:tabs>
              <w:spacing w:line="360" w:lineRule="auto"/>
              <w:ind w:firstLine="480"/>
              <w:jc w:val="left"/>
              <w:rPr>
                <w:rFonts w:hint="eastAsia" w:ascii="宋体" w:hAnsi="宋体" w:cs="宋体"/>
                <w:sz w:val="24"/>
                <w:lang w:val="zh-CN"/>
              </w:rPr>
            </w:pPr>
            <w:r>
              <w:rPr>
                <w:rFonts w:hint="eastAsia" w:ascii="宋体" w:hAnsi="宋体" w:cs="宋体"/>
                <w:sz w:val="24"/>
                <w:lang w:val="zh-CN"/>
              </w:rPr>
              <w:t>投标人具有202</w:t>
            </w:r>
            <w:r>
              <w:rPr>
                <w:rFonts w:hint="eastAsia" w:ascii="宋体" w:hAnsi="宋体" w:cs="宋体"/>
                <w:sz w:val="24"/>
              </w:rPr>
              <w:t>2</w:t>
            </w:r>
            <w:r>
              <w:rPr>
                <w:rFonts w:hint="eastAsia" w:ascii="宋体" w:hAnsi="宋体" w:cs="宋体"/>
                <w:sz w:val="24"/>
                <w:lang w:val="zh-CN"/>
              </w:rPr>
              <w:t>年1月1日以来类似信息化建设项目业绩，每个得0.5分，最高得1分。</w:t>
            </w:r>
          </w:p>
          <w:p>
            <w:pPr>
              <w:tabs>
                <w:tab w:val="left" w:pos="0"/>
              </w:tabs>
              <w:spacing w:line="360" w:lineRule="auto"/>
              <w:ind w:firstLine="480"/>
              <w:jc w:val="left"/>
              <w:rPr>
                <w:rFonts w:hint="eastAsia" w:ascii="宋体" w:hAnsi="宋体" w:cs="宋体"/>
                <w:sz w:val="24"/>
                <w:lang w:val="zh-CN"/>
              </w:rPr>
            </w:pPr>
            <w:r>
              <w:rPr>
                <w:rFonts w:hint="eastAsia" w:ascii="宋体" w:hAnsi="宋体" w:cs="宋体"/>
                <w:sz w:val="24"/>
                <w:lang w:val="zh-CN"/>
              </w:rPr>
              <w:t>证明材料：提供有效期内合同复印件，认定时间以合同起始时间为准。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1</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客观分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3</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sz w:val="24"/>
                <w:lang w:val="zh-CN"/>
              </w:rPr>
            </w:pPr>
            <w:r>
              <w:rPr>
                <w:rFonts w:ascii="宋体" w:hAnsi="宋体" w:cs="宋体"/>
                <w:b/>
                <w:sz w:val="24"/>
                <w:lang w:val="zh-CN"/>
              </w:rPr>
              <w:t>资信：</w:t>
            </w:r>
          </w:p>
          <w:p>
            <w:pPr>
              <w:tabs>
                <w:tab w:val="left" w:pos="0"/>
              </w:tabs>
              <w:spacing w:line="360" w:lineRule="auto"/>
              <w:ind w:firstLine="480"/>
              <w:jc w:val="left"/>
              <w:rPr>
                <w:rFonts w:hint="eastAsia" w:ascii="宋体" w:hAnsi="宋体" w:cs="宋体"/>
                <w:sz w:val="24"/>
                <w:lang w:val="zh-CN"/>
              </w:rPr>
            </w:pPr>
            <w:r>
              <w:rPr>
                <w:rFonts w:hint="eastAsia" w:ascii="宋体" w:hAnsi="宋体" w:cs="宋体"/>
                <w:sz w:val="24"/>
                <w:lang w:val="zh-CN"/>
              </w:rPr>
              <w:t>投标人</w:t>
            </w:r>
            <w:r>
              <w:rPr>
                <w:rFonts w:hint="eastAsia" w:ascii="宋体" w:hAnsi="宋体" w:cs="宋体"/>
                <w:sz w:val="24"/>
              </w:rPr>
              <w:t>具有</w:t>
            </w:r>
            <w:r>
              <w:rPr>
                <w:rFonts w:hint="eastAsia" w:ascii="宋体" w:hAnsi="宋体" w:cs="宋体"/>
                <w:sz w:val="24"/>
                <w:lang w:val="zh-CN"/>
              </w:rPr>
              <w:t>质量管理体系认证的得</w:t>
            </w:r>
            <w:r>
              <w:rPr>
                <w:rFonts w:hint="eastAsia" w:ascii="宋体" w:hAnsi="宋体" w:cs="宋体"/>
                <w:sz w:val="24"/>
              </w:rPr>
              <w:t>1</w:t>
            </w:r>
            <w:r>
              <w:rPr>
                <w:rFonts w:hint="eastAsia" w:ascii="宋体" w:hAnsi="宋体" w:cs="宋体"/>
                <w:sz w:val="24"/>
                <w:lang w:val="zh-CN"/>
              </w:rPr>
              <w:t>分；</w:t>
            </w:r>
            <w:r>
              <w:rPr>
                <w:rFonts w:hint="eastAsia" w:ascii="宋体" w:hAnsi="宋体" w:cs="宋体"/>
                <w:bCs/>
                <w:kern w:val="0"/>
                <w:sz w:val="24"/>
              </w:rPr>
              <w:t>具有环境管理体系认证证书</w:t>
            </w:r>
            <w:r>
              <w:rPr>
                <w:rFonts w:hint="eastAsia" w:ascii="宋体" w:hAnsi="宋体" w:cs="宋体"/>
                <w:sz w:val="24"/>
                <w:lang w:val="zh-CN"/>
              </w:rPr>
              <w:t>的得</w:t>
            </w:r>
            <w:r>
              <w:rPr>
                <w:rFonts w:hint="eastAsia" w:ascii="宋体" w:hAnsi="宋体" w:cs="宋体"/>
                <w:sz w:val="24"/>
              </w:rPr>
              <w:t>1</w:t>
            </w:r>
            <w:r>
              <w:rPr>
                <w:rFonts w:hint="eastAsia" w:ascii="宋体" w:hAnsi="宋体" w:cs="宋体"/>
                <w:sz w:val="24"/>
                <w:lang w:val="zh-CN"/>
              </w:rPr>
              <w:t>分</w:t>
            </w:r>
            <w:r>
              <w:rPr>
                <w:rFonts w:hint="eastAsia" w:ascii="宋体" w:hAnsi="宋体" w:cs="宋体"/>
                <w:bCs/>
                <w:kern w:val="0"/>
                <w:sz w:val="24"/>
              </w:rPr>
              <w:t>，具有职业健康安全管理体系认证</w:t>
            </w:r>
            <w:r>
              <w:rPr>
                <w:rFonts w:hint="eastAsia" w:ascii="宋体" w:hAnsi="宋体" w:cs="宋体"/>
                <w:sz w:val="24"/>
                <w:lang w:val="zh-CN"/>
              </w:rPr>
              <w:t>的得</w:t>
            </w:r>
            <w:r>
              <w:rPr>
                <w:rFonts w:hint="eastAsia" w:ascii="宋体" w:hAnsi="宋体" w:cs="宋体"/>
                <w:sz w:val="24"/>
              </w:rPr>
              <w:t>1</w:t>
            </w:r>
            <w:r>
              <w:rPr>
                <w:rFonts w:hint="eastAsia" w:ascii="宋体" w:hAnsi="宋体" w:cs="宋体"/>
                <w:sz w:val="24"/>
                <w:lang w:val="zh-CN"/>
              </w:rPr>
              <w:t xml:space="preserve">分。 </w:t>
            </w:r>
          </w:p>
          <w:p>
            <w:pPr>
              <w:tabs>
                <w:tab w:val="left" w:pos="0"/>
              </w:tabs>
              <w:spacing w:line="360" w:lineRule="auto"/>
              <w:ind w:firstLine="480"/>
              <w:jc w:val="left"/>
              <w:rPr>
                <w:rFonts w:hint="eastAsia" w:ascii="宋体" w:hAnsi="宋体" w:cs="宋体"/>
                <w:sz w:val="24"/>
                <w:lang w:val="zh-CN"/>
              </w:rPr>
            </w:pPr>
            <w:r>
              <w:rPr>
                <w:rFonts w:hint="eastAsia" w:ascii="宋体" w:hAnsi="宋体" w:cs="宋体"/>
                <w:sz w:val="24"/>
                <w:lang w:val="zh-CN"/>
              </w:rPr>
              <w:t>证明材料：提供有效期内加盖公章的证书复印件</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3</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客观分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4</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rPr>
              <w:t>情况</w:t>
            </w:r>
            <w:r>
              <w:rPr>
                <w:rFonts w:hint="eastAsia" w:ascii="宋体" w:hAnsi="宋体" w:cs="宋体"/>
                <w:b/>
                <w:bCs/>
                <w:kern w:val="0"/>
                <w:sz w:val="24"/>
                <w:lang w:val="zh-CN"/>
              </w:rPr>
              <w:t>分析：</w:t>
            </w:r>
          </w:p>
          <w:p>
            <w:pPr>
              <w:tabs>
                <w:tab w:val="left" w:pos="0"/>
              </w:tabs>
              <w:spacing w:line="360" w:lineRule="auto"/>
              <w:ind w:firstLine="480"/>
              <w:rPr>
                <w:rFonts w:hint="eastAsia" w:ascii="宋体" w:hAnsi="宋体" w:cs="宋体"/>
                <w:kern w:val="0"/>
                <w:sz w:val="24"/>
                <w:lang w:val="zh-CN"/>
              </w:rPr>
            </w:pPr>
            <w:r>
              <w:rPr>
                <w:rFonts w:hint="eastAsia" w:ascii="宋体" w:hAnsi="宋体" w:cs="宋体"/>
                <w:sz w:val="24"/>
                <w:lang w:val="zh-CN"/>
              </w:rPr>
              <w:t>投标人</w:t>
            </w:r>
            <w:r>
              <w:rPr>
                <w:rFonts w:hint="eastAsia" w:ascii="宋体" w:hAnsi="宋体" w:cs="宋体"/>
                <w:kern w:val="0"/>
                <w:sz w:val="24"/>
                <w:lang w:val="zh-CN"/>
              </w:rPr>
              <w:t>根据采购文件阐明的项目背景、建设目标、建设范围、技术要求，对本项目的需求进行理解和分析，理解与分析科学合理、切实全面的得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理解与分析不到位的得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5</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lang w:val="zh-CN"/>
              </w:rPr>
              <w:t>系统整体设计方案：</w:t>
            </w:r>
          </w:p>
          <w:p>
            <w:pPr>
              <w:tabs>
                <w:tab w:val="left" w:pos="0"/>
              </w:tabs>
              <w:spacing w:line="360" w:lineRule="auto"/>
              <w:ind w:firstLine="480"/>
              <w:rPr>
                <w:rFonts w:hint="eastAsia" w:ascii="宋体" w:hAnsi="宋体" w:cs="宋体"/>
                <w:kern w:val="0"/>
                <w:sz w:val="24"/>
              </w:rPr>
            </w:pPr>
            <w:r>
              <w:rPr>
                <w:rFonts w:hint="eastAsia" w:ascii="宋体" w:hAnsi="宋体" w:cs="宋体"/>
                <w:sz w:val="24"/>
                <w:lang w:val="zh-CN"/>
              </w:rPr>
              <w:t>投标人</w:t>
            </w:r>
            <w:r>
              <w:rPr>
                <w:rFonts w:hint="eastAsia" w:ascii="宋体" w:hAnsi="宋体" w:cs="宋体"/>
                <w:kern w:val="0"/>
                <w:sz w:val="24"/>
                <w:lang w:val="zh-CN"/>
              </w:rPr>
              <w:t>对项目系统整体设计方案进行阐述。设计方案科学合理、全面清晰的得</w:t>
            </w:r>
            <w:r>
              <w:rPr>
                <w:rFonts w:ascii="宋体" w:hAnsi="宋体" w:cs="宋体"/>
                <w:kern w:val="0"/>
                <w:sz w:val="24"/>
              </w:rPr>
              <w:t>5</w:t>
            </w:r>
            <w:r>
              <w:rPr>
                <w:rFonts w:hint="eastAsia" w:ascii="宋体" w:hAnsi="宋体" w:cs="宋体"/>
                <w:kern w:val="0"/>
                <w:sz w:val="24"/>
              </w:rPr>
              <w:t>分；</w:t>
            </w:r>
            <w:r>
              <w:rPr>
                <w:rFonts w:hint="eastAsia" w:ascii="宋体" w:hAnsi="宋体" w:cs="宋体"/>
                <w:kern w:val="0"/>
                <w:sz w:val="24"/>
                <w:lang w:val="zh-CN"/>
              </w:rPr>
              <w:t>设计方案较为合理、符合业务发展需求的得</w:t>
            </w:r>
            <w:r>
              <w:rPr>
                <w:rFonts w:ascii="宋体" w:hAnsi="宋体" w:cs="宋体"/>
                <w:kern w:val="0"/>
                <w:sz w:val="24"/>
              </w:rPr>
              <w:t>3</w:t>
            </w:r>
            <w:r>
              <w:rPr>
                <w:rFonts w:hint="eastAsia" w:ascii="宋体" w:hAnsi="宋体" w:cs="宋体"/>
                <w:kern w:val="0"/>
                <w:sz w:val="24"/>
              </w:rPr>
              <w:t>分；</w:t>
            </w:r>
            <w:r>
              <w:rPr>
                <w:rFonts w:hint="eastAsia" w:ascii="宋体" w:hAnsi="宋体" w:cs="宋体"/>
                <w:kern w:val="0"/>
                <w:sz w:val="24"/>
                <w:lang w:val="zh-CN"/>
              </w:rPr>
              <w:t>设计方案存在缺失的得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6</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lang w:val="zh-CN"/>
              </w:rPr>
              <w:t>建设实施重点、难点阐述：</w:t>
            </w:r>
          </w:p>
          <w:p>
            <w:pPr>
              <w:tabs>
                <w:tab w:val="left" w:pos="0"/>
              </w:tabs>
              <w:spacing w:line="360" w:lineRule="auto"/>
              <w:ind w:firstLine="480"/>
              <w:rPr>
                <w:rFonts w:ascii="宋体" w:hAnsi="宋体" w:cs="宋体"/>
                <w:kern w:val="0"/>
                <w:sz w:val="24"/>
              </w:rPr>
            </w:pPr>
            <w:r>
              <w:rPr>
                <w:rFonts w:hint="eastAsia" w:ascii="宋体" w:hAnsi="宋体" w:cs="宋体"/>
                <w:kern w:val="0"/>
                <w:sz w:val="24"/>
                <w:lang w:val="zh-CN"/>
              </w:rPr>
              <w:t>投标人对项目建设实施重点和难点进行阐述并提出相关解决方案。阐述和解决方案科学全面的得</w:t>
            </w:r>
            <w:r>
              <w:rPr>
                <w:rFonts w:hint="eastAsia" w:ascii="宋体" w:hAnsi="宋体" w:cs="宋体"/>
                <w:kern w:val="0"/>
                <w:sz w:val="24"/>
              </w:rPr>
              <w:t>5分；较为合理的得3分；存在缺失且解决方案不可行的得1分；未提供不得分。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7</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lang w:val="zh-CN"/>
              </w:rPr>
              <w:t>项目建设关键技术解决方案：</w:t>
            </w:r>
          </w:p>
          <w:p>
            <w:pPr>
              <w:tabs>
                <w:tab w:val="left" w:pos="0"/>
              </w:tabs>
              <w:spacing w:line="360" w:lineRule="auto"/>
              <w:ind w:firstLine="480"/>
              <w:rPr>
                <w:rFonts w:hint="eastAsia" w:ascii="宋体" w:hAnsi="宋体" w:cs="宋体"/>
                <w:kern w:val="0"/>
                <w:sz w:val="24"/>
                <w:lang w:val="zh-CN"/>
              </w:rPr>
            </w:pPr>
            <w:r>
              <w:rPr>
                <w:rFonts w:hint="eastAsia" w:ascii="宋体" w:hAnsi="宋体" w:cs="宋体"/>
                <w:kern w:val="0"/>
                <w:sz w:val="24"/>
                <w:lang w:val="zh-CN"/>
              </w:rPr>
              <w:t>投标人对本项目建设的关键技术、难题提出解决方案和保障措施，方案和措施科学合理、切实全面的得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方案和措施存在缺失的得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8</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lang w:val="zh-CN"/>
              </w:rPr>
              <w:t>项目组织实施方案：</w:t>
            </w:r>
          </w:p>
          <w:p>
            <w:pPr>
              <w:tabs>
                <w:tab w:val="left" w:pos="0"/>
              </w:tabs>
              <w:spacing w:line="360" w:lineRule="auto"/>
              <w:ind w:firstLine="480"/>
              <w:rPr>
                <w:rFonts w:hint="eastAsia" w:ascii="宋体" w:hAnsi="宋体" w:cs="宋体"/>
                <w:kern w:val="0"/>
                <w:sz w:val="24"/>
                <w:lang w:val="zh-CN"/>
              </w:rPr>
            </w:pPr>
            <w:r>
              <w:rPr>
                <w:rFonts w:hint="eastAsia" w:ascii="宋体" w:hAnsi="宋体" w:cs="宋体"/>
                <w:kern w:val="0"/>
                <w:sz w:val="24"/>
                <w:lang w:val="zh-CN"/>
              </w:rPr>
              <w:t>包括但不限于组织机构、管理和协调方法以及为保障项目顺利实施而指定的各项措施科学合理、切实全面的得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9</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lang w:val="zh-CN"/>
              </w:rPr>
            </w:pPr>
            <w:r>
              <w:rPr>
                <w:rFonts w:hint="eastAsia" w:ascii="宋体" w:hAnsi="宋体" w:cs="宋体"/>
                <w:b/>
                <w:bCs/>
                <w:kern w:val="0"/>
                <w:sz w:val="24"/>
                <w:lang w:val="zh-CN"/>
              </w:rPr>
              <w:t>上线测试方案及措施：</w:t>
            </w:r>
          </w:p>
          <w:p>
            <w:pPr>
              <w:tabs>
                <w:tab w:val="left" w:pos="0"/>
              </w:tabs>
              <w:spacing w:line="360" w:lineRule="auto"/>
              <w:ind w:firstLine="480"/>
              <w:rPr>
                <w:rFonts w:hint="eastAsia" w:ascii="宋体" w:hAnsi="宋体" w:cs="宋体"/>
                <w:kern w:val="0"/>
                <w:sz w:val="24"/>
                <w:lang w:val="zh-CN"/>
              </w:rPr>
            </w:pPr>
            <w:r>
              <w:rPr>
                <w:rFonts w:hint="eastAsia" w:ascii="宋体" w:hAnsi="宋体" w:cs="宋体"/>
                <w:kern w:val="0"/>
                <w:sz w:val="24"/>
                <w:lang w:val="zh-CN"/>
              </w:rPr>
              <w:t>投标人对系统上线测试方案及各项措施提出的阐述科学合理、切实全面的得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方案及措施存在缺失的得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0</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rPr>
            </w:pPr>
            <w:r>
              <w:rPr>
                <w:rFonts w:hint="eastAsia" w:ascii="宋体" w:hAnsi="宋体" w:cs="宋体"/>
                <w:b/>
                <w:bCs/>
                <w:kern w:val="0"/>
                <w:sz w:val="24"/>
              </w:rPr>
              <w:t>试运行方案及措施：</w:t>
            </w:r>
          </w:p>
          <w:p>
            <w:pPr>
              <w:tabs>
                <w:tab w:val="left" w:pos="0"/>
              </w:tabs>
              <w:spacing w:line="360" w:lineRule="auto"/>
              <w:ind w:firstLine="480"/>
              <w:rPr>
                <w:rFonts w:hint="eastAsia" w:ascii="宋体" w:hAnsi="宋体" w:cs="宋体"/>
                <w:kern w:val="0"/>
                <w:sz w:val="24"/>
                <w:lang w:val="zh-CN"/>
              </w:rPr>
            </w:pPr>
            <w:r>
              <w:rPr>
                <w:rFonts w:hint="eastAsia" w:ascii="宋体" w:hAnsi="宋体" w:cs="宋体"/>
                <w:kern w:val="0"/>
                <w:sz w:val="24"/>
                <w:lang w:val="zh-CN"/>
              </w:rPr>
              <w:t>投标人</w:t>
            </w:r>
            <w:r>
              <w:rPr>
                <w:rFonts w:hint="eastAsia" w:ascii="宋体" w:hAnsi="宋体" w:cs="宋体"/>
                <w:kern w:val="0"/>
                <w:sz w:val="24"/>
              </w:rPr>
              <w:t>对系统试运行管理及各项措施</w:t>
            </w:r>
            <w:r>
              <w:rPr>
                <w:rFonts w:hint="eastAsia" w:ascii="宋体" w:hAnsi="宋体" w:cs="宋体"/>
                <w:kern w:val="0"/>
                <w:sz w:val="24"/>
                <w:lang w:val="zh-CN"/>
              </w:rPr>
              <w:t>提出的阐述科学合理、切实全面的得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方案及措施存在缺失的得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1</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rPr>
                <w:rFonts w:hint="eastAsia" w:ascii="宋体" w:hAnsi="宋体" w:cs="宋体"/>
                <w:b/>
                <w:bCs/>
                <w:kern w:val="0"/>
                <w:sz w:val="24"/>
              </w:rPr>
            </w:pPr>
            <w:r>
              <w:rPr>
                <w:rFonts w:hint="eastAsia" w:ascii="宋体" w:hAnsi="宋体" w:cs="宋体"/>
                <w:b/>
                <w:bCs/>
                <w:kern w:val="0"/>
                <w:sz w:val="24"/>
              </w:rPr>
              <w:t>培训方案：</w:t>
            </w:r>
          </w:p>
          <w:p>
            <w:pPr>
              <w:tabs>
                <w:tab w:val="left" w:pos="0"/>
              </w:tabs>
              <w:spacing w:line="360" w:lineRule="auto"/>
              <w:ind w:firstLine="480"/>
              <w:rPr>
                <w:rFonts w:hint="eastAsia" w:ascii="宋体" w:hAnsi="宋体" w:cs="宋体"/>
                <w:kern w:val="0"/>
                <w:sz w:val="24"/>
                <w:lang w:val="zh-CN"/>
              </w:rPr>
            </w:pPr>
            <w:r>
              <w:rPr>
                <w:rFonts w:hint="eastAsia" w:ascii="宋体" w:hAnsi="宋体" w:cs="宋体"/>
                <w:kern w:val="0"/>
                <w:sz w:val="24"/>
              </w:rPr>
              <w:t>包括但不限于培训内容、培训频次、培训目标、培训形式等阐述（技术培训内容要求至少包括应用开发培训、系统管理培训、系统运行维护培训）</w:t>
            </w:r>
            <w:r>
              <w:rPr>
                <w:rFonts w:hint="eastAsia" w:ascii="宋体" w:hAnsi="宋体" w:cs="宋体"/>
                <w:kern w:val="0"/>
                <w:sz w:val="24"/>
                <w:lang w:val="zh-CN"/>
              </w:rPr>
              <w:t>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方案存在缺失的得</w:t>
            </w:r>
            <w:r>
              <w:rPr>
                <w:rFonts w:hint="eastAsia" w:ascii="宋体" w:hAnsi="宋体" w:cs="宋体"/>
                <w:kern w:val="0"/>
                <w:sz w:val="24"/>
              </w:rPr>
              <w:t>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12</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sz w:val="24"/>
              </w:rPr>
            </w:pPr>
            <w:r>
              <w:rPr>
                <w:rFonts w:ascii="宋体" w:hAnsi="宋体" w:cs="宋体"/>
                <w:b/>
                <w:sz w:val="24"/>
              </w:rPr>
              <w:t>项目实施团队：</w:t>
            </w:r>
          </w:p>
          <w:p>
            <w:pPr>
              <w:tabs>
                <w:tab w:val="left" w:pos="0"/>
              </w:tabs>
              <w:spacing w:line="360" w:lineRule="auto"/>
              <w:ind w:firstLine="480"/>
              <w:jc w:val="left"/>
              <w:rPr>
                <w:rFonts w:hint="eastAsia" w:ascii="宋体" w:hAnsi="宋体" w:cs="宋体"/>
                <w:sz w:val="24"/>
              </w:rPr>
            </w:pPr>
            <w:r>
              <w:rPr>
                <w:rFonts w:hint="eastAsia" w:ascii="宋体" w:hAnsi="宋体"/>
                <w:sz w:val="24"/>
                <w:szCs w:val="20"/>
              </w:rPr>
              <w:t>项目实施管理人员，人员配置合理、齐全、数量充足，经验丰富的得5分；人员数量基本满足需求，经验一般得3分；人员数量偏少，经验不丰富得1分；其余不得分。</w:t>
            </w:r>
            <w:r>
              <w:rPr>
                <w:rFonts w:hint="eastAsia" w:ascii="宋体" w:hAnsi="宋体" w:cs="宋体"/>
                <w:sz w:val="24"/>
              </w:rPr>
              <w:t>（提供项目组成员证书扫描件加盖公章和投标人为其缴纳的近三个月内任一一个月社保证明，不符合要求不得分。）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3</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bCs/>
                <w:sz w:val="24"/>
              </w:rPr>
            </w:pPr>
            <w:r>
              <w:rPr>
                <w:rFonts w:hint="eastAsia" w:ascii="宋体" w:hAnsi="宋体" w:cs="宋体"/>
                <w:b/>
                <w:bCs/>
                <w:sz w:val="24"/>
              </w:rPr>
              <w:t>系统日常运维保障方案及系统故障及时排除对策：</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方案和对策详细完善，合理可行，针对性强、具有可操作性、得</w:t>
            </w:r>
            <w:r>
              <w:rPr>
                <w:rFonts w:ascii="宋体" w:hAnsi="宋体" w:cs="宋体"/>
                <w:sz w:val="24"/>
              </w:rPr>
              <w:t>5</w:t>
            </w:r>
            <w:r>
              <w:rPr>
                <w:rFonts w:hint="eastAsia" w:ascii="宋体" w:hAnsi="宋体" w:cs="宋体"/>
                <w:sz w:val="24"/>
              </w:rPr>
              <w:t>分；方案和对策较详细、安排较合理、有一定针对性、操作性一般得</w:t>
            </w:r>
            <w:r>
              <w:rPr>
                <w:rFonts w:ascii="宋体" w:hAnsi="宋体" w:cs="宋体"/>
                <w:sz w:val="24"/>
              </w:rPr>
              <w:t>3</w:t>
            </w:r>
            <w:r>
              <w:rPr>
                <w:rFonts w:hint="eastAsia" w:ascii="宋体" w:hAnsi="宋体" w:cs="宋体"/>
                <w:sz w:val="24"/>
              </w:rPr>
              <w:t xml:space="preserve">分；方案和对策内容简单、缺乏针对性、操作性差的得 </w:t>
            </w:r>
            <w:r>
              <w:rPr>
                <w:rFonts w:ascii="宋体" w:hAnsi="宋体" w:cs="宋体"/>
                <w:sz w:val="24"/>
              </w:rPr>
              <w:t>1</w:t>
            </w:r>
            <w:r>
              <w:rPr>
                <w:rFonts w:hint="eastAsia" w:ascii="宋体" w:hAnsi="宋体" w:cs="宋体"/>
                <w:sz w:val="24"/>
              </w:rPr>
              <w:t>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4</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bCs/>
                <w:sz w:val="24"/>
              </w:rPr>
            </w:pPr>
            <w:r>
              <w:rPr>
                <w:rFonts w:hint="eastAsia" w:ascii="宋体" w:hAnsi="宋体" w:cs="宋体"/>
                <w:b/>
                <w:bCs/>
                <w:sz w:val="24"/>
              </w:rPr>
              <w:t>项目进度方案：</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进度方案详细完善，合理可行，针对性强、具有可操作性的得5分；进度方案较详细、安排较合理、有一定针对性、操作性一般的得3分；进度方案内容简单、缺乏针对性、操作性差的得1分；未提供不得分。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5</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b/>
                <w:bCs/>
                <w:sz w:val="24"/>
              </w:rPr>
            </w:pPr>
            <w:r>
              <w:rPr>
                <w:rFonts w:hint="eastAsia" w:ascii="宋体" w:hAnsi="宋体" w:cs="宋体"/>
                <w:b/>
                <w:bCs/>
                <w:sz w:val="24"/>
              </w:rPr>
              <w:t>项目安装、调试、验收的方案和措施：</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安装、调试、验收的方案和措施详细完善，合理可行，针对性强、具有可操作性的得5分；安装、调试、验收的方案和措施较详细、安排较合理、有一定针对性、操作性一般的得3分；安装、调试、验收的方案和措施内容简单、缺乏针对性、操作性差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ascii="宋体" w:hAnsi="宋体" w:cs="宋体"/>
                <w:kern w:val="0"/>
                <w:sz w:val="24"/>
              </w:rPr>
              <w:t>1</w:t>
            </w:r>
            <w:r>
              <w:rPr>
                <w:rFonts w:hint="eastAsia" w:ascii="宋体" w:hAnsi="宋体" w:cs="宋体"/>
                <w:kern w:val="0"/>
                <w:sz w:val="24"/>
              </w:rPr>
              <w:t>6</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bCs/>
                <w:sz w:val="24"/>
              </w:rPr>
            </w:pPr>
            <w:r>
              <w:rPr>
                <w:rFonts w:hint="eastAsia" w:ascii="宋体" w:hAnsi="宋体" w:cs="宋体"/>
                <w:b/>
                <w:bCs/>
                <w:sz w:val="24"/>
              </w:rPr>
              <w:t>安全方案：</w:t>
            </w:r>
          </w:p>
          <w:p>
            <w:pPr>
              <w:tabs>
                <w:tab w:val="left" w:pos="0"/>
              </w:tabs>
              <w:spacing w:line="360" w:lineRule="auto"/>
              <w:ind w:firstLine="480"/>
              <w:jc w:val="left"/>
              <w:rPr>
                <w:rFonts w:ascii="宋体" w:hAnsi="宋体" w:cs="宋体"/>
                <w:b/>
                <w:bCs/>
                <w:sz w:val="24"/>
              </w:rPr>
            </w:pPr>
            <w:r>
              <w:rPr>
                <w:rFonts w:hint="eastAsia" w:ascii="宋体" w:hAnsi="宋体" w:cs="宋体"/>
                <w:sz w:val="24"/>
              </w:rPr>
              <w:t>对系统的应用安全、隐私保护方面提出了切实可行的措施和解决方案得5分；安全方案较为科学合理的得3分；安全方案存在偏离的得1分；未提供不得分。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ascii="宋体" w:hAnsi="宋体" w:cs="宋体"/>
                <w:kern w:val="0"/>
                <w:sz w:val="24"/>
              </w:rPr>
            </w:pPr>
            <w:r>
              <w:rPr>
                <w:rFonts w:hint="eastAsia" w:ascii="宋体" w:hAnsi="宋体" w:cs="宋体"/>
                <w:kern w:val="0"/>
                <w:sz w:val="24"/>
              </w:rPr>
              <w:t>17</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b/>
                <w:bCs/>
                <w:sz w:val="24"/>
              </w:rPr>
            </w:pPr>
            <w:r>
              <w:rPr>
                <w:rFonts w:hint="eastAsia" w:ascii="宋体" w:hAnsi="宋体" w:cs="宋体"/>
                <w:b/>
                <w:bCs/>
                <w:sz w:val="24"/>
              </w:rPr>
              <w:t>突发事件处理方案：</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突发事件的响应和处理方案，方案详细、完善、可行的得5分；方案较完整，部分可行的得3分；方案较简略，稍有欠缺的得1分；不详细、不完善的不得分。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hint="eastAsia" w:ascii="宋体" w:hAnsi="宋体" w:cs="宋体"/>
                <w:kern w:val="0"/>
                <w:sz w:val="24"/>
              </w:rPr>
            </w:pPr>
            <w:r>
              <w:rPr>
                <w:rFonts w:hint="eastAsia" w:ascii="宋体" w:hAnsi="宋体" w:cs="宋体"/>
                <w:kern w:val="0"/>
                <w:sz w:val="24"/>
              </w:rPr>
              <w:t>18</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bCs/>
                <w:sz w:val="24"/>
              </w:rPr>
            </w:pPr>
            <w:r>
              <w:rPr>
                <w:rFonts w:hint="eastAsia" w:ascii="宋体" w:hAnsi="宋体" w:cs="宋体"/>
                <w:b/>
                <w:bCs/>
                <w:sz w:val="24"/>
              </w:rPr>
              <w:t>内部管理制度：</w:t>
            </w:r>
          </w:p>
          <w:p>
            <w:pPr>
              <w:tabs>
                <w:tab w:val="left" w:pos="0"/>
              </w:tabs>
              <w:spacing w:line="360" w:lineRule="auto"/>
              <w:ind w:firstLine="480"/>
              <w:jc w:val="left"/>
              <w:rPr>
                <w:rFonts w:ascii="宋体" w:hAnsi="宋体" w:cs="宋体"/>
                <w:sz w:val="24"/>
              </w:rPr>
            </w:pPr>
            <w:r>
              <w:rPr>
                <w:rFonts w:hint="eastAsia" w:ascii="宋体" w:hAnsi="宋体" w:cs="宋体"/>
                <w:sz w:val="24"/>
              </w:rPr>
              <w:t>投标人内部管理制度完整，有详细的工作职责、岗位要求、考核细则的得5分；内部管理制度较为完善的得3分；内部管理制度存在缺失且存在偏离的得1分；未提供不得分。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ascii="宋体" w:hAnsi="宋体" w:cs="宋体"/>
                <w:kern w:val="0"/>
                <w:sz w:val="24"/>
              </w:rPr>
            </w:pPr>
            <w:r>
              <w:rPr>
                <w:rFonts w:hint="eastAsia"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ascii="宋体" w:hAnsi="宋体" w:cs="宋体"/>
                <w:kern w:val="0"/>
                <w:sz w:val="24"/>
              </w:rPr>
            </w:pPr>
            <w:r>
              <w:rPr>
                <w:rFonts w:hint="eastAsia" w:ascii="宋体" w:hAnsi="宋体" w:cs="宋体"/>
                <w:kern w:val="0"/>
                <w:sz w:val="24"/>
              </w:rPr>
              <w:t>19</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ascii="宋体" w:hAnsi="宋体" w:cs="宋体"/>
                <w:b/>
                <w:bCs/>
                <w:sz w:val="24"/>
              </w:rPr>
            </w:pPr>
            <w:r>
              <w:rPr>
                <w:rFonts w:ascii="宋体" w:hAnsi="宋体" w:cs="宋体"/>
                <w:b/>
                <w:bCs/>
                <w:sz w:val="24"/>
              </w:rPr>
              <w:t>售后服务：</w:t>
            </w:r>
          </w:p>
          <w:p>
            <w:pPr>
              <w:tabs>
                <w:tab w:val="left" w:pos="0"/>
              </w:tabs>
              <w:spacing w:line="360" w:lineRule="auto"/>
              <w:ind w:firstLine="480"/>
              <w:jc w:val="left"/>
              <w:rPr>
                <w:rFonts w:ascii="宋体" w:hAnsi="宋体" w:cs="宋体"/>
                <w:sz w:val="24"/>
              </w:rPr>
            </w:pPr>
            <w:r>
              <w:rPr>
                <w:rFonts w:hint="eastAsia" w:ascii="宋体" w:hAnsi="宋体" w:cs="宋体"/>
                <w:bCs/>
                <w:sz w:val="24"/>
              </w:rPr>
              <w:t>承诺</w:t>
            </w:r>
            <w:r>
              <w:rPr>
                <w:rFonts w:hint="eastAsia" w:ascii="宋体" w:hAnsi="宋体" w:cs="宋体"/>
                <w:sz w:val="24"/>
              </w:rPr>
              <w:t>项目验收后提供7*24小时售后技术服务，</w:t>
            </w:r>
            <w:r>
              <w:rPr>
                <w:rFonts w:ascii="宋体" w:hAnsi="宋体" w:cs="宋体"/>
                <w:sz w:val="24"/>
              </w:rPr>
              <w:t>2</w:t>
            </w:r>
            <w:r>
              <w:rPr>
                <w:rFonts w:hint="eastAsia" w:ascii="宋体" w:hAnsi="宋体" w:cs="宋体"/>
                <w:sz w:val="24"/>
              </w:rPr>
              <w:t>小时内做出明确响应和安排，现场响应时间要求是接到用户需求电话后</w:t>
            </w:r>
            <w:r>
              <w:rPr>
                <w:rFonts w:ascii="宋体" w:hAnsi="宋体" w:cs="宋体"/>
                <w:sz w:val="24"/>
              </w:rPr>
              <w:t>4</w:t>
            </w:r>
            <w:r>
              <w:rPr>
                <w:rFonts w:hint="eastAsia" w:ascii="宋体" w:hAnsi="宋体" w:cs="宋体"/>
                <w:sz w:val="24"/>
              </w:rPr>
              <w:t>小时内到达（提供满足要求承诺的得</w:t>
            </w:r>
            <w:r>
              <w:rPr>
                <w:rFonts w:ascii="宋体" w:hAnsi="宋体" w:cs="宋体"/>
                <w:sz w:val="24"/>
              </w:rPr>
              <w:t>5</w:t>
            </w:r>
            <w:r>
              <w:rPr>
                <w:rFonts w:hint="eastAsia" w:ascii="宋体" w:hAnsi="宋体" w:cs="宋体"/>
                <w:sz w:val="24"/>
              </w:rPr>
              <w:t>分，缺内容部分满足得3分，不满足或不提供的不得分）。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ascii="宋体" w:hAnsi="宋体" w:cs="宋体"/>
                <w:kern w:val="0"/>
                <w:sz w:val="24"/>
              </w:rPr>
            </w:pPr>
            <w:r>
              <w:rPr>
                <w:rFonts w:ascii="宋体" w:hAnsi="宋体" w:cs="宋体"/>
                <w:kern w:val="0"/>
                <w:sz w:val="24"/>
              </w:rPr>
              <w:t>5</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kern w:val="0"/>
                <w:sz w:val="24"/>
              </w:rPr>
            </w:pPr>
            <w:r>
              <w:rPr>
                <w:rFonts w:hint="eastAsia" w:ascii="宋体" w:hAnsi="宋体" w:cs="宋体"/>
                <w:kern w:val="0"/>
                <w:sz w:val="24"/>
              </w:rPr>
              <w:t>客观分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ascii="宋体" w:hAnsi="宋体" w:cs="宋体"/>
                <w:kern w:val="0"/>
                <w:sz w:val="24"/>
              </w:rPr>
            </w:pPr>
            <w:r>
              <w:rPr>
                <w:rFonts w:hint="eastAsia" w:ascii="宋体" w:hAnsi="宋体" w:cs="宋体"/>
                <w:kern w:val="0"/>
                <w:sz w:val="24"/>
              </w:rPr>
              <w:t>20</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b/>
                <w:bCs/>
                <w:sz w:val="24"/>
              </w:rPr>
            </w:pPr>
            <w:r>
              <w:rPr>
                <w:rFonts w:hint="eastAsia" w:ascii="宋体" w:hAnsi="宋体" w:cs="宋体"/>
                <w:b/>
                <w:bCs/>
                <w:sz w:val="24"/>
              </w:rPr>
              <w:t>合理化建议：</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合理化建议和相应的解决措施,问题分析准确、解决措施到位的得3分；问题分析及解决措施一般的每项得2分；问题分析及解决措施较差的每项得1分；未提供或与本项目偏离较大的不得分。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3</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779" w:type="dxa"/>
            <w:tcBorders>
              <w:left w:val="single" w:color="auto" w:sz="4" w:space="0"/>
              <w:right w:val="single" w:color="auto" w:sz="4" w:space="0"/>
            </w:tcBorders>
            <w:noWrap w:val="0"/>
            <w:vAlign w:val="center"/>
          </w:tcPr>
          <w:p>
            <w:pPr>
              <w:tabs>
                <w:tab w:val="left" w:pos="0"/>
              </w:tabs>
              <w:spacing w:line="360" w:lineRule="auto"/>
              <w:ind w:firstLine="240" w:firstLineChars="100"/>
              <w:jc w:val="left"/>
              <w:rPr>
                <w:rFonts w:ascii="宋体" w:hAnsi="宋体" w:cs="宋体"/>
                <w:kern w:val="0"/>
                <w:sz w:val="24"/>
              </w:rPr>
            </w:pPr>
            <w:r>
              <w:rPr>
                <w:rFonts w:hint="eastAsia" w:ascii="宋体" w:hAnsi="宋体" w:cs="宋体"/>
                <w:kern w:val="0"/>
                <w:sz w:val="24"/>
              </w:rPr>
              <w:t>21</w:t>
            </w:r>
          </w:p>
        </w:tc>
        <w:tc>
          <w:tcPr>
            <w:tcW w:w="5625"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ind w:firstLine="480"/>
              <w:jc w:val="left"/>
              <w:rPr>
                <w:rFonts w:hint="eastAsia" w:ascii="宋体" w:hAnsi="宋体" w:cs="宋体"/>
                <w:b/>
                <w:bCs/>
                <w:sz w:val="24"/>
              </w:rPr>
            </w:pPr>
            <w:r>
              <w:rPr>
                <w:rFonts w:hint="eastAsia" w:ascii="宋体" w:hAnsi="宋体" w:cs="宋体"/>
                <w:b/>
                <w:bCs/>
                <w:sz w:val="24"/>
              </w:rPr>
              <w:t>其他增值或优惠服务：</w:t>
            </w:r>
          </w:p>
          <w:p>
            <w:pPr>
              <w:tabs>
                <w:tab w:val="left" w:pos="0"/>
              </w:tabs>
              <w:spacing w:line="360" w:lineRule="auto"/>
              <w:ind w:firstLine="480"/>
              <w:jc w:val="left"/>
              <w:rPr>
                <w:rFonts w:hint="eastAsia" w:ascii="宋体" w:hAnsi="宋体" w:cs="宋体"/>
                <w:sz w:val="24"/>
              </w:rPr>
            </w:pPr>
            <w:r>
              <w:rPr>
                <w:rFonts w:hint="eastAsia" w:ascii="宋体" w:hAnsi="宋体" w:cs="宋体"/>
                <w:sz w:val="24"/>
              </w:rPr>
              <w:t>增值或优惠方案针对性强、服务方案最优的3分；增值或优惠方案较少、针对性一般的得1分；未提供不得分。</w:t>
            </w:r>
          </w:p>
        </w:tc>
        <w:tc>
          <w:tcPr>
            <w:tcW w:w="822" w:type="dxa"/>
            <w:tcBorders>
              <w:top w:val="single" w:color="auto" w:sz="4" w:space="0"/>
              <w:left w:val="single" w:color="auto" w:sz="4" w:space="0"/>
              <w:bottom w:val="single" w:color="auto" w:sz="4" w:space="0"/>
              <w:right w:val="single" w:color="auto" w:sz="4" w:space="0"/>
            </w:tcBorders>
            <w:noWrap w:val="0"/>
            <w:vAlign w:val="center"/>
          </w:tcPr>
          <w:p>
            <w:pPr>
              <w:tabs>
                <w:tab w:val="left" w:pos="0"/>
              </w:tabs>
              <w:spacing w:line="360" w:lineRule="auto"/>
              <w:jc w:val="center"/>
              <w:rPr>
                <w:rFonts w:hint="eastAsia" w:ascii="宋体" w:hAnsi="宋体" w:cs="宋体"/>
                <w:kern w:val="0"/>
                <w:sz w:val="24"/>
              </w:rPr>
            </w:pPr>
            <w:r>
              <w:rPr>
                <w:rFonts w:hint="eastAsia" w:ascii="宋体" w:hAnsi="宋体" w:cs="宋体"/>
                <w:kern w:val="0"/>
                <w:sz w:val="24"/>
              </w:rPr>
              <w:t>3</w:t>
            </w:r>
          </w:p>
        </w:tc>
        <w:tc>
          <w:tcPr>
            <w:tcW w:w="11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r>
              <w:rPr>
                <w:rFonts w:hint="eastAsia" w:ascii="宋体" w:hAnsi="宋体" w:cs="宋体"/>
                <w:kern w:val="0"/>
                <w:sz w:val="24"/>
              </w:rPr>
              <w:t>主观分</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sz w:val="24"/>
              </w:rPr>
            </w:pPr>
          </w:p>
        </w:tc>
      </w:tr>
    </w:tbl>
    <w:p>
      <w:pPr>
        <w:rPr>
          <w:color w:val="auto"/>
          <w:highlight w:val="none"/>
        </w:rPr>
      </w:pPr>
    </w:p>
    <w:p>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24"/>
        <w:snapToGrid w:val="0"/>
        <w:spacing w:line="360" w:lineRule="auto"/>
        <w:rPr>
          <w:rFonts w:cs="宋体"/>
          <w:color w:val="auto"/>
          <w:highlight w:val="none"/>
        </w:rPr>
      </w:pPr>
      <w:r>
        <w:rPr>
          <w:rFonts w:hint="eastAsia" w:cs="宋体"/>
          <w:color w:val="auto"/>
          <w:highlight w:val="none"/>
        </w:rPr>
        <w:t>5.4因重大变故，采购任务取消的。</w:t>
      </w:r>
    </w:p>
    <w:p>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color w:val="auto"/>
          <w:highlight w:val="none"/>
        </w:rPr>
      </w:pPr>
    </w:p>
    <w:bookmarkEnd w:id="27"/>
    <w:p>
      <w:pPr>
        <w:spacing w:line="360" w:lineRule="auto"/>
        <w:ind w:left="720" w:leftChars="343" w:firstLine="1084" w:firstLineChars="300"/>
        <w:outlineLvl w:val="0"/>
        <w:rPr>
          <w:rFonts w:ascii="宋体" w:hAnsi="宋体" w:cs="宋体"/>
          <w:b/>
          <w:color w:val="auto"/>
          <w:sz w:val="36"/>
          <w:szCs w:val="36"/>
          <w:highlight w:val="none"/>
        </w:rPr>
      </w:pPr>
      <w:bookmarkStart w:id="394" w:name="第五部分"/>
      <w:bookmarkStart w:id="395" w:name="_Toc86217003"/>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p>
    <w:p>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pPr>
        <w:spacing w:before="120" w:line="22" w:lineRule="atLeast"/>
        <w:rPr>
          <w:rFonts w:ascii="宋体" w:hAnsi="宋体" w:cs="宋体"/>
          <w:color w:val="auto"/>
          <w:sz w:val="24"/>
          <w:highlight w:val="none"/>
        </w:rPr>
      </w:pPr>
    </w:p>
    <w:p>
      <w:pPr>
        <w:pStyle w:val="4"/>
        <w:rPr>
          <w:color w:val="auto"/>
          <w:highlight w:val="none"/>
        </w:rPr>
      </w:pPr>
    </w:p>
    <w:p>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pPr>
        <w:pStyle w:val="599"/>
        <w:spacing w:before="120" w:line="22" w:lineRule="atLeast"/>
        <w:rPr>
          <w:rFonts w:ascii="宋体" w:hAnsi="宋体" w:eastAsia="宋体" w:cs="宋体"/>
          <w:color w:val="auto"/>
          <w:szCs w:val="24"/>
          <w:highlight w:val="none"/>
        </w:rPr>
      </w:pPr>
    </w:p>
    <w:p>
      <w:pPr>
        <w:pStyle w:val="599"/>
        <w:spacing w:before="120" w:line="22" w:lineRule="atLeast"/>
        <w:rPr>
          <w:rFonts w:ascii="宋体" w:hAnsi="宋体" w:eastAsia="宋体" w:cs="宋体"/>
          <w:color w:val="auto"/>
          <w:szCs w:val="24"/>
          <w:highlight w:val="none"/>
        </w:rPr>
      </w:pP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widowControl/>
        <w:jc w:val="left"/>
        <w:rPr>
          <w:rFonts w:ascii="宋体" w:hAnsi="宋体" w:cs="宋体"/>
          <w:color w:val="auto"/>
          <w:kern w:val="0"/>
          <w:sz w:val="24"/>
          <w:highlight w:val="none"/>
        </w:rPr>
        <w:sectPr>
          <w:pgSz w:w="11907" w:h="16840"/>
          <w:pgMar w:top="680" w:right="1417" w:bottom="471" w:left="1417" w:header="851" w:footer="851" w:gutter="0"/>
          <w:cols w:space="720" w:num="1"/>
        </w:sectPr>
      </w:pPr>
    </w:p>
    <w:p>
      <w:pPr>
        <w:rPr>
          <w:rFonts w:ascii="宋体" w:hAnsi="宋体" w:cs="宋体"/>
          <w:b/>
          <w:color w:val="auto"/>
          <w:sz w:val="24"/>
          <w:highlight w:val="none"/>
        </w:rPr>
      </w:pPr>
    </w:p>
    <w:p>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杭州市西湖区卫生健康局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2024-2027年西湖区卫健互联网+综合监管系统运维服务项目（重）</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杭州市西湖区卫生健康局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spacing w:line="560" w:lineRule="exact"/>
        <w:ind w:firstLine="482" w:firstLineChars="200"/>
        <w:outlineLvl w:val="0"/>
        <w:rPr>
          <w:rFonts w:ascii="宋体" w:hAnsi="宋体"/>
          <w:color w:val="auto"/>
          <w:sz w:val="24"/>
          <w:highlight w:val="none"/>
        </w:rPr>
      </w:pPr>
      <w:bookmarkStart w:id="396" w:name="_Toc22967"/>
      <w:bookmarkStart w:id="397" w:name="_Toc15367"/>
      <w:bookmarkStart w:id="398" w:name="_Toc28855"/>
      <w:bookmarkStart w:id="399" w:name="_Toc19273"/>
      <w:bookmarkStart w:id="400"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6"/>
      <w:bookmarkEnd w:id="397"/>
      <w:bookmarkEnd w:id="398"/>
      <w:bookmarkEnd w:id="399"/>
      <w:bookmarkEnd w:id="400"/>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spacing w:line="560" w:lineRule="exact"/>
        <w:ind w:firstLine="482" w:firstLineChars="200"/>
        <w:outlineLvl w:val="0"/>
        <w:rPr>
          <w:rFonts w:ascii="宋体" w:hAnsi="宋体"/>
          <w:b/>
          <w:color w:val="auto"/>
          <w:sz w:val="24"/>
          <w:highlight w:val="none"/>
        </w:rPr>
      </w:pPr>
      <w:bookmarkStart w:id="401" w:name="_Toc6773"/>
      <w:bookmarkStart w:id="402" w:name="_Toc22185"/>
      <w:bookmarkStart w:id="403" w:name="_Toc2918"/>
      <w:bookmarkStart w:id="404" w:name="_Toc18585"/>
      <w:bookmarkStart w:id="405"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401"/>
      <w:bookmarkEnd w:id="402"/>
      <w:bookmarkEnd w:id="403"/>
      <w:bookmarkEnd w:id="404"/>
      <w:bookmarkEnd w:id="405"/>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pPr>
        <w:spacing w:line="560" w:lineRule="exact"/>
        <w:ind w:firstLine="480" w:firstLineChars="200"/>
        <w:rPr>
          <w:rFonts w:ascii="宋体" w:hAnsi="宋体" w:cs="宋体"/>
          <w:color w:val="auto"/>
          <w:sz w:val="24"/>
          <w:highlight w:val="none"/>
          <w:u w:val="single"/>
        </w:rPr>
      </w:pPr>
      <w:bookmarkStart w:id="406" w:name="_Toc13918"/>
      <w:bookmarkStart w:id="407" w:name="_Toc21124"/>
      <w:bookmarkStart w:id="408" w:name="_Toc4929"/>
      <w:bookmarkStart w:id="409" w:name="_Toc5635"/>
      <w:bookmarkStart w:id="410"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6"/>
      <w:bookmarkEnd w:id="407"/>
      <w:bookmarkEnd w:id="408"/>
      <w:bookmarkEnd w:id="409"/>
      <w:bookmarkEnd w:id="410"/>
    </w:p>
    <w:p>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320"/>
              <w:spacing w:line="560" w:lineRule="exact"/>
              <w:ind w:firstLine="200"/>
              <w:jc w:val="center"/>
              <w:rPr>
                <w:rFonts w:hAnsi="宋体"/>
                <w:color w:val="auto"/>
                <w:sz w:val="24"/>
                <w:szCs w:val="24"/>
                <w:highlight w:val="none"/>
              </w:rPr>
            </w:pPr>
          </w:p>
        </w:tc>
      </w:tr>
    </w:tbl>
    <w:p>
      <w:pPr>
        <w:pageBreakBefore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rPr>
      </w:pPr>
      <w:bookmarkStart w:id="411" w:name="_Toc30506"/>
      <w:bookmarkStart w:id="412" w:name="_Toc26916"/>
      <w:bookmarkStart w:id="413" w:name="_Toc14993"/>
      <w:bookmarkStart w:id="414" w:name="_Toc30158"/>
      <w:bookmarkStart w:id="415"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pPr>
        <w:pStyle w:val="4"/>
        <w:pageBreakBefore w:val="0"/>
        <w:kinsoku/>
        <w:wordWrap/>
        <w:overflowPunct/>
        <w:topLinePunct w:val="0"/>
        <w:autoSpaceDE/>
        <w:autoSpaceDN/>
        <w:bidi w:val="0"/>
        <w:snapToGrid/>
        <w:spacing w:line="560" w:lineRule="exact"/>
        <w:textAlignment w:val="auto"/>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1"/>
    <w:bookmarkEnd w:id="412"/>
    <w:bookmarkEnd w:id="413"/>
    <w:bookmarkEnd w:id="414"/>
    <w:bookmarkEnd w:id="415"/>
    <w:p>
      <w:pPr>
        <w:pStyle w:val="960"/>
        <w:pageBreakBefore w:val="0"/>
        <w:kinsoku/>
        <w:wordWrap/>
        <w:overflowPunct/>
        <w:topLinePunct w:val="0"/>
        <w:autoSpaceDE/>
        <w:autoSpaceDN/>
        <w:bidi w:val="0"/>
        <w:snapToGrid/>
        <w:spacing w:before="0" w:beforeAutospacing="0" w:after="0" w:afterAutospacing="0" w:line="560" w:lineRule="exact"/>
        <w:ind w:firstLine="480"/>
        <w:textAlignment w:val="auto"/>
        <w:rPr>
          <w:b/>
          <w:color w:val="auto"/>
          <w:highlight w:val="none"/>
        </w:rPr>
      </w:pPr>
      <w:bookmarkStart w:id="416" w:name="_Toc1814"/>
      <w:bookmarkStart w:id="417" w:name="_Toc22618"/>
      <w:bookmarkStart w:id="418" w:name="_Toc10340"/>
      <w:bookmarkStart w:id="419" w:name="_Toc31421"/>
      <w:bookmarkStart w:id="420" w:name="_Toc8772"/>
      <w:bookmarkStart w:id="421" w:name="_Toc11108"/>
      <w:bookmarkStart w:id="422" w:name="_Toc4760"/>
      <w:bookmarkStart w:id="423" w:name="_Toc3625"/>
      <w:r>
        <w:rPr>
          <w:rFonts w:hint="eastAsia"/>
          <w:b/>
          <w:color w:val="auto"/>
          <w:highlight w:val="none"/>
        </w:rPr>
        <w:t>1.4履约保证金</w:t>
      </w:r>
    </w:p>
    <w:p>
      <w:pPr>
        <w:pStyle w:val="960"/>
        <w:pageBreakBefore w:val="0"/>
        <w:kinsoku/>
        <w:wordWrap/>
        <w:overflowPunct/>
        <w:topLinePunct w:val="0"/>
        <w:autoSpaceDE/>
        <w:autoSpaceDN/>
        <w:bidi w:val="0"/>
        <w:snapToGrid/>
        <w:spacing w:before="0" w:beforeAutospacing="0" w:after="0" w:afterAutospacing="0" w:line="560" w:lineRule="exact"/>
        <w:ind w:firstLine="480"/>
        <w:textAlignment w:val="auto"/>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pageBreakBefore w:val="0"/>
        <w:kinsoku/>
        <w:wordWrap/>
        <w:overflowPunct/>
        <w:topLinePunct w:val="0"/>
        <w:autoSpaceDE/>
        <w:autoSpaceDN/>
        <w:bidi w:val="0"/>
        <w:snapToGrid/>
        <w:spacing w:line="560" w:lineRule="exact"/>
        <w:ind w:firstLine="480" w:firstLineChars="200"/>
        <w:textAlignment w:val="auto"/>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ageBreakBefore w:val="0"/>
        <w:kinsoku/>
        <w:wordWrap/>
        <w:overflowPunct/>
        <w:topLinePunct w:val="0"/>
        <w:autoSpaceDE/>
        <w:autoSpaceDN/>
        <w:bidi w:val="0"/>
        <w:snapToGrid/>
        <w:spacing w:line="560" w:lineRule="exact"/>
        <w:ind w:firstLine="480" w:firstLineChars="200"/>
        <w:textAlignment w:val="auto"/>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kinsoku/>
        <w:wordWrap/>
        <w:overflowPunct/>
        <w:topLinePunct w:val="0"/>
        <w:autoSpaceDE/>
        <w:autoSpaceDN/>
        <w:bidi w:val="0"/>
        <w:snapToGrid/>
        <w:spacing w:line="560" w:lineRule="exact"/>
        <w:ind w:firstLine="480" w:firstLineChars="200"/>
        <w:textAlignment w:val="auto"/>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pPr>
        <w:keepNext w:val="0"/>
        <w:keepLines w:val="0"/>
        <w:pageBreakBefore w:val="0"/>
        <w:kinsoku/>
        <w:wordWrap/>
        <w:overflowPunct/>
        <w:topLinePunct w:val="0"/>
        <w:autoSpaceDE/>
        <w:autoSpaceDN/>
        <w:bidi w:val="0"/>
        <w:snapToGrid/>
        <w:spacing w:line="560" w:lineRule="exact"/>
        <w:ind w:firstLine="482" w:firstLineChars="200"/>
        <w:textAlignment w:val="auto"/>
        <w:outlineLvl w:val="0"/>
        <w:rPr>
          <w:rFonts w:ascii="宋体" w:hAnsi="宋体" w:cs="宋体"/>
          <w:b/>
          <w:color w:val="auto"/>
          <w:sz w:val="24"/>
          <w:highlight w:val="none"/>
        </w:rPr>
      </w:pPr>
      <w:r>
        <w:rPr>
          <w:rFonts w:hint="eastAsia" w:ascii="宋体" w:hAnsi="宋体" w:cs="宋体"/>
          <w:b/>
          <w:color w:val="auto"/>
          <w:sz w:val="24"/>
          <w:highlight w:val="none"/>
        </w:rPr>
        <w:t>1.5</w:t>
      </w:r>
      <w:bookmarkEnd w:id="416"/>
      <w:bookmarkEnd w:id="417"/>
      <w:bookmarkEnd w:id="418"/>
      <w:r>
        <w:rPr>
          <w:rFonts w:hint="eastAsia" w:ascii="宋体" w:hAnsi="宋体" w:cs="宋体"/>
          <w:b/>
          <w:color w:val="auto"/>
          <w:sz w:val="24"/>
          <w:highlight w:val="none"/>
        </w:rPr>
        <w:t>预付款</w:t>
      </w:r>
    </w:p>
    <w:p>
      <w:pPr>
        <w:pStyle w:val="960"/>
        <w:keepNext w:val="0"/>
        <w:keepLines w:val="0"/>
        <w:pageBreakBefore w:val="0"/>
        <w:kinsoku/>
        <w:wordWrap/>
        <w:overflowPunct/>
        <w:topLinePunct w:val="0"/>
        <w:autoSpaceDE/>
        <w:autoSpaceDN/>
        <w:bidi w:val="0"/>
        <w:snapToGrid/>
        <w:spacing w:before="0" w:beforeAutospacing="0" w:after="0" w:afterAutospacing="0" w:line="560" w:lineRule="exact"/>
        <w:ind w:firstLine="480"/>
        <w:textAlignment w:val="auto"/>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960"/>
        <w:keepNext w:val="0"/>
        <w:keepLines w:val="0"/>
        <w:pageBreakBefore w:val="0"/>
        <w:kinsoku/>
        <w:wordWrap/>
        <w:overflowPunct/>
        <w:topLinePunct w:val="0"/>
        <w:autoSpaceDE/>
        <w:autoSpaceDN/>
        <w:bidi w:val="0"/>
        <w:snapToGrid/>
        <w:spacing w:before="0" w:beforeAutospacing="0" w:after="0" w:afterAutospacing="0" w:line="560" w:lineRule="exact"/>
        <w:ind w:firstLine="480"/>
        <w:textAlignment w:val="auto"/>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60"/>
        <w:keepNext w:val="0"/>
        <w:keepLines w:val="0"/>
        <w:pageBreakBefore w:val="0"/>
        <w:kinsoku/>
        <w:wordWrap/>
        <w:overflowPunct/>
        <w:topLinePunct w:val="0"/>
        <w:autoSpaceDE/>
        <w:autoSpaceDN/>
        <w:bidi w:val="0"/>
        <w:snapToGrid/>
        <w:spacing w:before="0" w:beforeAutospacing="0" w:after="0" w:afterAutospacing="0" w:line="560" w:lineRule="exact"/>
        <w:ind w:firstLine="480"/>
        <w:textAlignment w:val="auto"/>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60"/>
        <w:keepNext w:val="0"/>
        <w:keepLines w:val="0"/>
        <w:pageBreakBefore w:val="0"/>
        <w:kinsoku/>
        <w:wordWrap/>
        <w:overflowPunct/>
        <w:topLinePunct w:val="0"/>
        <w:autoSpaceDE/>
        <w:autoSpaceDN/>
        <w:bidi w:val="0"/>
        <w:snapToGrid/>
        <w:spacing w:before="0" w:beforeAutospacing="0" w:after="0" w:afterAutospacing="0" w:line="560" w:lineRule="exact"/>
        <w:ind w:firstLine="480"/>
        <w:textAlignment w:val="auto"/>
        <w:rPr>
          <w:b/>
          <w:bCs/>
          <w:color w:val="auto"/>
          <w:highlight w:val="none"/>
        </w:rPr>
      </w:pPr>
      <w:r>
        <w:rPr>
          <w:rFonts w:hint="eastAsia"/>
          <w:b/>
          <w:bCs/>
          <w:color w:val="auto"/>
          <w:highlight w:val="none"/>
        </w:rPr>
        <w:t>1.6资金支付</w:t>
      </w:r>
    </w:p>
    <w:p>
      <w:pPr>
        <w:pStyle w:val="960"/>
        <w:keepNext w:val="0"/>
        <w:keepLines w:val="0"/>
        <w:pageBreakBefore w:val="0"/>
        <w:kinsoku/>
        <w:wordWrap/>
        <w:overflowPunct/>
        <w:topLinePunct w:val="0"/>
        <w:autoSpaceDE/>
        <w:autoSpaceDN/>
        <w:bidi w:val="0"/>
        <w:snapToGrid/>
        <w:spacing w:before="0" w:beforeAutospacing="0" w:after="0" w:afterAutospacing="0" w:line="560" w:lineRule="exact"/>
        <w:ind w:firstLine="480"/>
        <w:textAlignment w:val="auto"/>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keepNext w:val="0"/>
        <w:keepLines w:val="0"/>
        <w:pageBreakBefore w:val="0"/>
        <w:kinsoku/>
        <w:wordWrap/>
        <w:overflowPunct/>
        <w:topLinePunct w:val="0"/>
        <w:autoSpaceDE/>
        <w:autoSpaceDN/>
        <w:bidi w:val="0"/>
        <w:snapToGrid/>
        <w:spacing w:line="560" w:lineRule="exact"/>
        <w:ind w:firstLine="480" w:firstLineChars="200"/>
        <w:textAlignment w:val="auto"/>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2" w:firstLineChars="200"/>
        <w:textAlignment w:val="auto"/>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9"/>
      <w:bookmarkEnd w:id="420"/>
      <w:bookmarkEnd w:id="421"/>
      <w:bookmarkEnd w:id="422"/>
      <w:bookmarkEnd w:id="423"/>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0" w:firstLineChars="200"/>
        <w:textAlignment w:val="auto"/>
        <w:outlineLvl w:val="0"/>
        <w:rPr>
          <w:rFonts w:ascii="宋体" w:hAnsi="宋体"/>
          <w:bCs/>
          <w:color w:val="auto"/>
          <w:sz w:val="24"/>
          <w:highlight w:val="none"/>
        </w:rPr>
      </w:pPr>
      <w:bookmarkStart w:id="424" w:name="_Toc5698"/>
      <w:bookmarkStart w:id="425" w:name="_Toc8586"/>
      <w:bookmarkStart w:id="426" w:name="_Toc24662"/>
      <w:bookmarkStart w:id="427" w:name="_Toc2375"/>
      <w:bookmarkStart w:id="428" w:name="_Toc3079"/>
      <w:r>
        <w:rPr>
          <w:rFonts w:hint="eastAsia" w:ascii="宋体" w:hAnsi="宋体"/>
          <w:bCs/>
          <w:color w:val="auto"/>
          <w:sz w:val="24"/>
          <w:highlight w:val="none"/>
        </w:rPr>
        <w:t>1.7.4若服务</w:t>
      </w:r>
      <w:r>
        <w:rPr>
          <w:rFonts w:hint="eastAsia"/>
          <w:bCs/>
          <w:color w:val="auto"/>
          <w:sz w:val="24"/>
          <w:highlight w:val="none"/>
        </w:rPr>
        <w:t>涉及货物的，则货物的：</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4"/>
      <w:bookmarkEnd w:id="425"/>
      <w:bookmarkEnd w:id="426"/>
      <w:bookmarkEnd w:id="427"/>
      <w:bookmarkEnd w:id="428"/>
    </w:p>
    <w:p>
      <w:pPr>
        <w:pageBreakBefore w:val="0"/>
        <w:widowControl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pPr>
        <w:pStyle w:val="4"/>
        <w:pageBreakBefore w:val="0"/>
        <w:widowControl w:val="0"/>
        <w:kinsoku/>
        <w:wordWrap/>
        <w:overflowPunct/>
        <w:topLinePunct w:val="0"/>
        <w:autoSpaceDE/>
        <w:autoSpaceDN/>
        <w:bidi w:val="0"/>
        <w:snapToGrid/>
        <w:spacing w:line="560" w:lineRule="exact"/>
        <w:ind w:left="0" w:firstLine="480" w:firstLineChars="200"/>
        <w:textAlignment w:val="auto"/>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pageBreakBefore w:val="0"/>
        <w:widowControl w:val="0"/>
        <w:kinsoku/>
        <w:wordWrap/>
        <w:overflowPunct/>
        <w:topLinePunct w:val="0"/>
        <w:autoSpaceDE/>
        <w:autoSpaceDN/>
        <w:bidi w:val="0"/>
        <w:snapToGrid/>
        <w:spacing w:line="560" w:lineRule="exact"/>
        <w:ind w:firstLine="480" w:firstLineChars="20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pPr>
        <w:pageBreakBefore w:val="0"/>
        <w:widowControl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rPr>
      </w:pPr>
      <w:bookmarkStart w:id="429" w:name="_Toc26807"/>
      <w:bookmarkStart w:id="430" w:name="_Toc32454"/>
      <w:bookmarkStart w:id="431" w:name="_Toc30329"/>
      <w:bookmarkStart w:id="432" w:name="_Toc18683"/>
      <w:bookmarkStart w:id="433" w:name="_Toc949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pageBreakBefore w:val="0"/>
        <w:widowControl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pageBreakBefore w:val="0"/>
        <w:widowControl w:val="0"/>
        <w:kinsoku/>
        <w:wordWrap/>
        <w:overflowPunct/>
        <w:topLinePunct w:val="0"/>
        <w:autoSpaceDE/>
        <w:autoSpaceDN/>
        <w:bidi w:val="0"/>
        <w:snapToGrid/>
        <w:spacing w:line="56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pageBreakBefore w:val="0"/>
        <w:widowControl w:val="0"/>
        <w:kinsoku/>
        <w:wordWrap/>
        <w:overflowPunct/>
        <w:topLinePunct w:val="0"/>
        <w:autoSpaceDE/>
        <w:autoSpaceDN/>
        <w:bidi w:val="0"/>
        <w:snapToGrid/>
        <w:spacing w:line="560" w:lineRule="exact"/>
        <w:ind w:right="-420" w:rightChars="-200" w:firstLine="480" w:firstLineChars="200"/>
        <w:textAlignment w:val="auto"/>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9"/>
    <w:bookmarkEnd w:id="430"/>
    <w:bookmarkEnd w:id="431"/>
    <w:bookmarkEnd w:id="432"/>
    <w:bookmarkEnd w:id="433"/>
    <w:p>
      <w:pPr>
        <w:spacing w:line="560" w:lineRule="exact"/>
        <w:ind w:firstLine="482" w:firstLineChars="200"/>
        <w:outlineLvl w:val="0"/>
        <w:rPr>
          <w:rFonts w:ascii="宋体" w:hAnsi="宋体" w:cs="宋体"/>
          <w:b/>
          <w:color w:val="auto"/>
          <w:sz w:val="24"/>
          <w:highlight w:val="none"/>
        </w:rPr>
      </w:pPr>
      <w:bookmarkStart w:id="434" w:name="_Toc28375"/>
      <w:bookmarkStart w:id="435" w:name="_Toc16021"/>
      <w:bookmarkStart w:id="436" w:name="_Toc15583"/>
      <w:r>
        <w:rPr>
          <w:rFonts w:hint="eastAsia" w:ascii="宋体" w:hAnsi="宋体" w:cs="宋体"/>
          <w:b/>
          <w:color w:val="auto"/>
          <w:sz w:val="24"/>
          <w:highlight w:val="none"/>
        </w:rPr>
        <w:t>1.9合同争议的解决</w:t>
      </w:r>
      <w:bookmarkEnd w:id="434"/>
      <w:bookmarkEnd w:id="435"/>
      <w:bookmarkEnd w:id="436"/>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bookmarkStart w:id="437" w:name="_Toc7245"/>
      <w:bookmarkStart w:id="438" w:name="_Toc15322"/>
      <w:bookmarkStart w:id="439" w:name="_Toc11173"/>
      <w:r>
        <w:rPr>
          <w:rFonts w:hint="eastAsia" w:ascii="宋体" w:hAnsi="宋体" w:cs="宋体"/>
          <w:b/>
          <w:color w:val="auto"/>
          <w:sz w:val="24"/>
          <w:highlight w:val="none"/>
        </w:rPr>
        <w:t>2.0 合同生效</w:t>
      </w:r>
      <w:bookmarkEnd w:id="437"/>
      <w:bookmarkEnd w:id="438"/>
      <w:bookmarkEnd w:id="439"/>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pPr>
        <w:widowControl/>
        <w:spacing w:line="560" w:lineRule="exact"/>
        <w:jc w:val="left"/>
        <w:rPr>
          <w:rFonts w:ascii="宋体" w:hAnsi="宋体"/>
          <w:b/>
          <w:color w:val="auto"/>
          <w:sz w:val="24"/>
          <w:highlight w:val="none"/>
        </w:rPr>
      </w:pPr>
    </w:p>
    <w:p>
      <w:pPr>
        <w:widowControl/>
        <w:adjustRightInd/>
        <w:jc w:val="left"/>
        <w:rPr>
          <w:rFonts w:ascii="宋体" w:hAnsi="宋体"/>
          <w:b/>
          <w:color w:val="auto"/>
          <w:sz w:val="24"/>
          <w:highlight w:val="none"/>
        </w:rPr>
      </w:pPr>
      <w:r>
        <w:rPr>
          <w:rFonts w:ascii="宋体" w:hAnsi="宋体"/>
          <w:b/>
          <w:color w:val="auto"/>
          <w:highlight w:val="none"/>
        </w:rPr>
        <w:br w:type="page"/>
      </w:r>
    </w:p>
    <w:p>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pPr>
        <w:spacing w:line="560" w:lineRule="exact"/>
        <w:ind w:firstLine="482" w:firstLineChars="200"/>
        <w:outlineLvl w:val="0"/>
        <w:rPr>
          <w:rFonts w:ascii="宋体" w:hAnsi="宋体"/>
          <w:b/>
          <w:color w:val="auto"/>
          <w:sz w:val="24"/>
          <w:highlight w:val="none"/>
        </w:rPr>
      </w:pPr>
      <w:bookmarkStart w:id="440" w:name="_Toc19680"/>
      <w:bookmarkStart w:id="441" w:name="_Toc14021"/>
      <w:bookmarkStart w:id="442" w:name="_Toc25079"/>
      <w:bookmarkStart w:id="443" w:name="_Toc31297"/>
      <w:bookmarkStart w:id="444" w:name="_Toc5228"/>
      <w:r>
        <w:rPr>
          <w:rFonts w:ascii="宋体" w:hAnsi="宋体"/>
          <w:b/>
          <w:color w:val="auto"/>
          <w:sz w:val="24"/>
          <w:highlight w:val="none"/>
        </w:rPr>
        <w:t>2.1 定义</w:t>
      </w:r>
      <w:bookmarkEnd w:id="440"/>
      <w:bookmarkEnd w:id="441"/>
      <w:bookmarkEnd w:id="442"/>
      <w:bookmarkEnd w:id="443"/>
      <w:bookmarkEnd w:id="444"/>
    </w:p>
    <w:p>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pPr>
        <w:spacing w:line="560" w:lineRule="exact"/>
        <w:ind w:firstLine="482" w:firstLineChars="200"/>
        <w:outlineLvl w:val="0"/>
        <w:rPr>
          <w:rFonts w:ascii="宋体" w:hAnsi="宋体"/>
          <w:b/>
          <w:color w:val="auto"/>
          <w:sz w:val="24"/>
          <w:highlight w:val="none"/>
        </w:rPr>
      </w:pPr>
      <w:bookmarkStart w:id="445" w:name="_Toc31402"/>
      <w:bookmarkStart w:id="446" w:name="_Toc16752"/>
      <w:bookmarkStart w:id="447" w:name="_Toc19539"/>
      <w:bookmarkStart w:id="448" w:name="_Toc3769"/>
      <w:bookmarkStart w:id="449" w:name="_Toc23289"/>
      <w:r>
        <w:rPr>
          <w:rFonts w:ascii="宋体" w:hAnsi="宋体"/>
          <w:b/>
          <w:color w:val="auto"/>
          <w:sz w:val="24"/>
          <w:highlight w:val="none"/>
        </w:rPr>
        <w:t>2.2 技术规范</w:t>
      </w:r>
      <w:bookmarkEnd w:id="445"/>
      <w:bookmarkEnd w:id="446"/>
      <w:bookmarkEnd w:id="447"/>
      <w:bookmarkEnd w:id="448"/>
      <w:bookmarkEnd w:id="449"/>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pPr>
        <w:spacing w:line="560" w:lineRule="exact"/>
        <w:ind w:firstLine="482" w:firstLineChars="200"/>
        <w:outlineLvl w:val="0"/>
        <w:rPr>
          <w:rFonts w:ascii="宋体" w:hAnsi="宋体"/>
          <w:b/>
          <w:color w:val="auto"/>
          <w:sz w:val="24"/>
          <w:highlight w:val="none"/>
        </w:rPr>
      </w:pPr>
      <w:bookmarkStart w:id="450" w:name="_Toc13673"/>
      <w:bookmarkStart w:id="451" w:name="_Toc9161"/>
      <w:bookmarkStart w:id="452" w:name="_Toc12412"/>
      <w:bookmarkStart w:id="453" w:name="_Toc4133"/>
      <w:bookmarkStart w:id="454" w:name="_Toc27945"/>
      <w:r>
        <w:rPr>
          <w:rFonts w:ascii="宋体" w:hAnsi="宋体"/>
          <w:b/>
          <w:color w:val="auto"/>
          <w:sz w:val="24"/>
          <w:highlight w:val="none"/>
        </w:rPr>
        <w:t>2.3 知识产权</w:t>
      </w:r>
      <w:bookmarkEnd w:id="450"/>
      <w:bookmarkEnd w:id="451"/>
      <w:bookmarkEnd w:id="452"/>
      <w:bookmarkEnd w:id="453"/>
      <w:bookmarkEnd w:id="454"/>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highlight w:val="none"/>
        </w:rPr>
      </w:pPr>
      <w:bookmarkStart w:id="455" w:name="_Toc26555"/>
      <w:bookmarkStart w:id="456" w:name="_Toc32670"/>
      <w:bookmarkStart w:id="457" w:name="_Toc22011"/>
      <w:bookmarkStart w:id="458" w:name="_Toc15447"/>
      <w:bookmarkStart w:id="459" w:name="_Toc31233"/>
      <w:r>
        <w:rPr>
          <w:rFonts w:ascii="宋体" w:hAnsi="宋体"/>
          <w:b/>
          <w:color w:val="auto"/>
          <w:sz w:val="24"/>
          <w:highlight w:val="none"/>
        </w:rPr>
        <w:t>2.5 结算方式和付款条件</w:t>
      </w:r>
      <w:bookmarkEnd w:id="455"/>
      <w:bookmarkEnd w:id="456"/>
      <w:bookmarkEnd w:id="457"/>
      <w:bookmarkEnd w:id="458"/>
      <w:bookmarkEnd w:id="459"/>
    </w:p>
    <w:p>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60" w:name="_Toc30507"/>
      <w:bookmarkStart w:id="461" w:name="_Toc13467"/>
      <w:bookmarkStart w:id="462" w:name="_Toc13154"/>
      <w:bookmarkStart w:id="463" w:name="_Toc18990"/>
      <w:bookmarkStart w:id="464" w:name="_Toc16163"/>
      <w:r>
        <w:rPr>
          <w:rFonts w:ascii="宋体" w:hAnsi="宋体"/>
          <w:b/>
          <w:color w:val="auto"/>
          <w:sz w:val="24"/>
          <w:highlight w:val="none"/>
        </w:rPr>
        <w:t>2.6 技术资料和保密义务</w:t>
      </w:r>
      <w:bookmarkEnd w:id="460"/>
      <w:bookmarkEnd w:id="461"/>
      <w:bookmarkEnd w:id="462"/>
      <w:bookmarkEnd w:id="463"/>
      <w:bookmarkEnd w:id="464"/>
    </w:p>
    <w:p>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highlight w:val="none"/>
        </w:rPr>
      </w:pPr>
      <w:bookmarkStart w:id="46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5"/>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highlight w:val="none"/>
        </w:rPr>
      </w:pPr>
      <w:bookmarkStart w:id="46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6"/>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pPr>
        <w:spacing w:line="560" w:lineRule="exact"/>
        <w:ind w:firstLine="482" w:firstLineChars="200"/>
        <w:outlineLvl w:val="0"/>
        <w:rPr>
          <w:rFonts w:ascii="宋体" w:hAnsi="宋体"/>
          <w:b/>
          <w:color w:val="auto"/>
          <w:sz w:val="24"/>
          <w:highlight w:val="none"/>
        </w:rPr>
      </w:pPr>
      <w:bookmarkStart w:id="46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7"/>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468" w:name="_Toc23368"/>
      <w:bookmarkStart w:id="469" w:name="_Toc42"/>
      <w:bookmarkStart w:id="470" w:name="_Toc10663"/>
      <w:bookmarkStart w:id="471" w:name="_Toc26689"/>
      <w:bookmarkStart w:id="472" w:name="_Toc21830"/>
      <w:r>
        <w:rPr>
          <w:rFonts w:ascii="宋体" w:hAnsi="宋体"/>
          <w:b/>
          <w:color w:val="auto"/>
          <w:sz w:val="24"/>
          <w:highlight w:val="none"/>
        </w:rPr>
        <w:t>2.10 合同转让和分包</w:t>
      </w:r>
      <w:bookmarkEnd w:id="468"/>
      <w:bookmarkEnd w:id="469"/>
      <w:bookmarkEnd w:id="470"/>
      <w:bookmarkEnd w:id="471"/>
      <w:bookmarkEnd w:id="472"/>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pPr>
        <w:spacing w:line="560" w:lineRule="exact"/>
        <w:ind w:firstLine="482" w:firstLineChars="200"/>
        <w:outlineLvl w:val="0"/>
        <w:rPr>
          <w:rFonts w:ascii="宋体" w:hAnsi="宋体"/>
          <w:b/>
          <w:color w:val="auto"/>
          <w:sz w:val="24"/>
          <w:highlight w:val="none"/>
        </w:rPr>
      </w:pPr>
      <w:bookmarkStart w:id="473" w:name="_Toc26633"/>
      <w:bookmarkStart w:id="474" w:name="_Toc25571"/>
      <w:bookmarkStart w:id="475" w:name="_Toc14371"/>
      <w:bookmarkStart w:id="476" w:name="_Toc4720"/>
      <w:bookmarkStart w:id="477" w:name="_Toc32494"/>
      <w:r>
        <w:rPr>
          <w:rFonts w:ascii="宋体" w:hAnsi="宋体"/>
          <w:b/>
          <w:color w:val="auto"/>
          <w:sz w:val="24"/>
          <w:highlight w:val="none"/>
        </w:rPr>
        <w:t>2.11 不可抗力</w:t>
      </w:r>
      <w:bookmarkEnd w:id="473"/>
      <w:bookmarkEnd w:id="474"/>
      <w:bookmarkEnd w:id="475"/>
      <w:bookmarkEnd w:id="476"/>
      <w:bookmarkEnd w:id="477"/>
    </w:p>
    <w:p>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78" w:name="_Toc25783"/>
      <w:bookmarkStart w:id="479" w:name="_Toc24465"/>
      <w:bookmarkStart w:id="480" w:name="_Toc14115"/>
      <w:bookmarkStart w:id="481" w:name="_Toc23854"/>
      <w:bookmarkStart w:id="482" w:name="_Toc3638"/>
      <w:r>
        <w:rPr>
          <w:rFonts w:ascii="宋体" w:hAnsi="宋体"/>
          <w:b/>
          <w:color w:val="auto"/>
          <w:sz w:val="24"/>
          <w:highlight w:val="none"/>
        </w:rPr>
        <w:t>2.12 税费</w:t>
      </w:r>
      <w:bookmarkEnd w:id="478"/>
      <w:bookmarkEnd w:id="479"/>
      <w:bookmarkEnd w:id="480"/>
      <w:bookmarkEnd w:id="481"/>
      <w:bookmarkEnd w:id="482"/>
    </w:p>
    <w:p>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pPr>
        <w:spacing w:line="560" w:lineRule="exact"/>
        <w:ind w:firstLine="482" w:firstLineChars="200"/>
        <w:outlineLvl w:val="0"/>
        <w:rPr>
          <w:rFonts w:ascii="宋体" w:hAnsi="宋体"/>
          <w:b/>
          <w:color w:val="auto"/>
          <w:sz w:val="24"/>
          <w:highlight w:val="none"/>
        </w:rPr>
      </w:pPr>
      <w:bookmarkStart w:id="483" w:name="_Toc25525"/>
      <w:bookmarkStart w:id="484" w:name="_Toc7315"/>
      <w:bookmarkStart w:id="485" w:name="_Toc30105"/>
      <w:bookmarkStart w:id="486" w:name="_Toc14814"/>
      <w:bookmarkStart w:id="487" w:name="_Toc26883"/>
      <w:r>
        <w:rPr>
          <w:rFonts w:ascii="宋体" w:hAnsi="宋体"/>
          <w:b/>
          <w:color w:val="auto"/>
          <w:sz w:val="24"/>
          <w:highlight w:val="none"/>
        </w:rPr>
        <w:t>2.13 乙方破产</w:t>
      </w:r>
      <w:bookmarkEnd w:id="483"/>
      <w:bookmarkEnd w:id="484"/>
      <w:bookmarkEnd w:id="485"/>
      <w:bookmarkEnd w:id="486"/>
      <w:bookmarkEnd w:id="487"/>
    </w:p>
    <w:p>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488" w:name="_Toc23323"/>
      <w:bookmarkStart w:id="489" w:name="_Toc2016"/>
      <w:bookmarkStart w:id="490" w:name="_Toc1123"/>
      <w:r>
        <w:rPr>
          <w:rFonts w:ascii="宋体" w:hAnsi="宋体"/>
          <w:b/>
          <w:color w:val="auto"/>
          <w:sz w:val="24"/>
          <w:highlight w:val="none"/>
        </w:rPr>
        <w:t>2.14 合同中止、终止</w:t>
      </w:r>
      <w:bookmarkEnd w:id="488"/>
      <w:bookmarkEnd w:id="489"/>
      <w:bookmarkEnd w:id="490"/>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491" w:name="_Toc17363"/>
      <w:bookmarkStart w:id="492" w:name="_Toc14525"/>
      <w:bookmarkStart w:id="493" w:name="_Toc1969"/>
      <w:r>
        <w:rPr>
          <w:rFonts w:ascii="宋体" w:hAnsi="宋体"/>
          <w:b/>
          <w:color w:val="auto"/>
          <w:sz w:val="24"/>
          <w:highlight w:val="none"/>
        </w:rPr>
        <w:t>2.15 检验和验收</w:t>
      </w:r>
      <w:bookmarkEnd w:id="491"/>
      <w:bookmarkEnd w:id="492"/>
      <w:bookmarkEnd w:id="493"/>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pPr>
        <w:spacing w:line="560" w:lineRule="exact"/>
        <w:ind w:firstLine="482" w:firstLineChars="200"/>
        <w:outlineLvl w:val="0"/>
        <w:rPr>
          <w:rFonts w:ascii="宋体" w:hAnsi="宋体"/>
          <w:b/>
          <w:color w:val="auto"/>
          <w:sz w:val="24"/>
          <w:highlight w:val="none"/>
        </w:rPr>
      </w:pPr>
      <w:bookmarkStart w:id="494" w:name="_Toc2308"/>
      <w:bookmarkStart w:id="495" w:name="_Toc25198"/>
      <w:bookmarkStart w:id="496" w:name="_Toc12666"/>
      <w:bookmarkStart w:id="497" w:name="_Toc31892"/>
      <w:bookmarkStart w:id="498" w:name="_Toc9808"/>
      <w:r>
        <w:rPr>
          <w:rFonts w:ascii="宋体" w:hAnsi="宋体"/>
          <w:b/>
          <w:color w:val="auto"/>
          <w:sz w:val="24"/>
          <w:highlight w:val="none"/>
        </w:rPr>
        <w:t>2.16 通知和送达</w:t>
      </w:r>
      <w:bookmarkEnd w:id="494"/>
      <w:bookmarkEnd w:id="495"/>
      <w:bookmarkEnd w:id="496"/>
      <w:bookmarkEnd w:id="497"/>
      <w:bookmarkEnd w:id="498"/>
    </w:p>
    <w:p>
      <w:pPr>
        <w:spacing w:line="560" w:lineRule="exact"/>
        <w:ind w:firstLine="480" w:firstLineChars="200"/>
        <w:rPr>
          <w:rFonts w:ascii="宋体" w:hAnsi="宋体"/>
          <w:color w:val="auto"/>
          <w:sz w:val="24"/>
          <w:highlight w:val="none"/>
        </w:rPr>
      </w:pPr>
      <w:bookmarkStart w:id="499" w:name="_Toc27674"/>
      <w:bookmarkStart w:id="500"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9"/>
      <w:bookmarkEnd w:id="500"/>
    </w:p>
    <w:p>
      <w:pPr>
        <w:spacing w:line="560" w:lineRule="exact"/>
        <w:ind w:firstLine="482" w:firstLineChars="200"/>
        <w:outlineLvl w:val="0"/>
        <w:rPr>
          <w:rFonts w:ascii="宋体" w:hAnsi="宋体"/>
          <w:b/>
          <w:color w:val="auto"/>
          <w:sz w:val="24"/>
          <w:highlight w:val="none"/>
        </w:rPr>
      </w:pPr>
      <w:bookmarkStart w:id="501" w:name="_Toc20808"/>
      <w:bookmarkStart w:id="502" w:name="_Toc27644"/>
      <w:bookmarkStart w:id="503" w:name="_Toc28906"/>
      <w:bookmarkStart w:id="504" w:name="_Toc12254"/>
      <w:bookmarkStart w:id="505" w:name="_Toc5063"/>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1"/>
      <w:bookmarkEnd w:id="502"/>
      <w:bookmarkEnd w:id="503"/>
      <w:bookmarkEnd w:id="504"/>
      <w:bookmarkEnd w:id="505"/>
    </w:p>
    <w:p>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pPr>
        <w:spacing w:line="560" w:lineRule="exact"/>
        <w:ind w:firstLine="482" w:firstLineChars="200"/>
        <w:outlineLvl w:val="0"/>
        <w:rPr>
          <w:rFonts w:ascii="宋体" w:hAnsi="宋体" w:cs="宋体"/>
          <w:b/>
          <w:color w:val="auto"/>
          <w:sz w:val="24"/>
          <w:highlight w:val="none"/>
        </w:rPr>
      </w:pPr>
      <w:bookmarkStart w:id="506" w:name="_Toc30599"/>
      <w:bookmarkStart w:id="507" w:name="_Toc18540"/>
      <w:bookmarkStart w:id="508" w:name="_Toc4355"/>
      <w:r>
        <w:rPr>
          <w:rFonts w:hint="eastAsia" w:ascii="宋体" w:hAnsi="宋体" w:cs="宋体"/>
          <w:b/>
          <w:color w:val="auto"/>
          <w:sz w:val="24"/>
          <w:highlight w:val="none"/>
        </w:rPr>
        <w:t>2.18 计量单位</w:t>
      </w:r>
      <w:bookmarkEnd w:id="506"/>
      <w:bookmarkEnd w:id="507"/>
      <w:bookmarkEnd w:id="508"/>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9" w:name="_Toc331685784"/>
      <w:r>
        <w:rPr>
          <w:rFonts w:hint="eastAsia" w:ascii="宋体" w:hAnsi="宋体" w:cs="宋体"/>
          <w:b/>
          <w:color w:val="auto"/>
          <w:sz w:val="24"/>
          <w:highlight w:val="none"/>
        </w:rPr>
        <w:t xml:space="preserve"> </w:t>
      </w:r>
      <w:bookmarkEnd w:id="509"/>
      <w:r>
        <w:rPr>
          <w:rFonts w:hint="eastAsia" w:ascii="宋体" w:hAnsi="宋体" w:cs="宋体"/>
          <w:b/>
          <w:color w:val="auto"/>
          <w:sz w:val="24"/>
          <w:highlight w:val="none"/>
        </w:rPr>
        <w:t>第三部分  合同专用条款</w:t>
      </w:r>
    </w:p>
    <w:p>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1.3.</w:t>
            </w:r>
            <w:r>
              <w:rPr>
                <w:rFonts w:hint="eastAsia" w:ascii="宋体" w:hAnsi="宋体" w:cs="宋体"/>
                <w:color w:val="auto"/>
                <w:sz w:val="24"/>
                <w:highlight w:val="none"/>
                <w:lang w:val="en-US" w:eastAsia="zh-CN"/>
              </w:rPr>
              <w:t>1</w:t>
            </w:r>
          </w:p>
        </w:tc>
        <w:tc>
          <w:tcPr>
            <w:tcW w:w="4464" w:type="pct"/>
            <w:vAlign w:val="center"/>
          </w:tcPr>
          <w:p>
            <w:pPr>
              <w:spacing w:line="360" w:lineRule="auto"/>
              <w:rPr>
                <w:rFonts w:ascii="宋体" w:hAnsi="宋体" w:cs="宋体"/>
                <w:color w:val="auto"/>
                <w:sz w:val="24"/>
                <w:highlight w:val="none"/>
              </w:rPr>
            </w:pPr>
            <w:r>
              <w:rPr>
                <w:rFonts w:hint="eastAsia" w:ascii="宋体" w:hAnsi="宋体" w:cs="宋体"/>
                <w:sz w:val="24"/>
              </w:rPr>
              <w:t>本项目采用以下第</w:t>
            </w:r>
            <w:r>
              <w:rPr>
                <w:rFonts w:hint="eastAsia" w:ascii="宋体" w:hAnsi="宋体" w:cs="宋体"/>
                <w:sz w:val="24"/>
                <w:u w:val="single"/>
              </w:rPr>
              <w:t xml:space="preserve"> </w:t>
            </w:r>
            <w:r>
              <w:rPr>
                <w:rFonts w:ascii="宋体" w:hAnsi="宋体" w:cs="宋体"/>
                <w:sz w:val="24"/>
                <w:u w:val="single"/>
              </w:rPr>
              <w:t>1.3.1</w:t>
            </w:r>
            <w:r>
              <w:rPr>
                <w:rFonts w:hint="eastAsia" w:ascii="宋体" w:hAnsi="宋体" w:cs="宋体"/>
                <w:sz w:val="24"/>
                <w:u w:val="single"/>
              </w:rPr>
              <w:t xml:space="preserve"> </w:t>
            </w:r>
            <w:r>
              <w:rPr>
                <w:rFonts w:hint="eastAsia" w:ascii="宋体" w:hAnsi="宋体" w:cs="宋体"/>
                <w:sz w:val="24"/>
              </w:rPr>
              <w:t>条款规定的计价方式计价。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1.4</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sz w:val="24"/>
              </w:rPr>
              <w:t>合同生效并具备实施条件财政资金到位的情况后5个工作日内，采购人向中标供应商支付40%作为预付款；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pPr>
              <w:pStyle w:val="32"/>
              <w:spacing w:line="360" w:lineRule="auto"/>
              <w:rPr>
                <w:rFonts w:hAnsi="宋体" w:cs="宋体"/>
                <w:sz w:val="24"/>
                <w:szCs w:val="24"/>
                <w:highlight w:val="none"/>
              </w:rPr>
            </w:pPr>
            <w:r>
              <w:rPr>
                <w:rFonts w:hint="eastAsia" w:hAnsi="宋体" w:cs="宋体"/>
                <w:sz w:val="24"/>
                <w:szCs w:val="24"/>
                <w:highlight w:val="none"/>
              </w:rPr>
              <w:t>服务款采用分期付款方式结算，具体付款方式如下：</w:t>
            </w:r>
          </w:p>
          <w:p>
            <w:pPr>
              <w:pStyle w:val="32"/>
              <w:spacing w:line="360" w:lineRule="auto"/>
              <w:rPr>
                <w:rFonts w:hint="eastAsia" w:hAnsi="宋体" w:cs="宋体"/>
                <w:sz w:val="24"/>
                <w:szCs w:val="24"/>
                <w:highlight w:val="none"/>
              </w:rPr>
            </w:pPr>
            <w:r>
              <w:rPr>
                <w:rFonts w:hint="eastAsia" w:hAnsi="宋体" w:cs="宋体"/>
                <w:sz w:val="24"/>
                <w:szCs w:val="24"/>
                <w:highlight w:val="none"/>
              </w:rPr>
              <w:t>（1）第一期:</w:t>
            </w:r>
            <w:r>
              <w:rPr>
                <w:rFonts w:hint="eastAsia" w:hAnsi="宋体" w:cs="宋体"/>
                <w:kern w:val="0"/>
                <w:sz w:val="24"/>
                <w:highlight w:val="none"/>
                <w:lang w:val="zh-CN"/>
              </w:rPr>
              <w:t xml:space="preserve"> 合同签订后</w:t>
            </w:r>
            <w:r>
              <w:rPr>
                <w:rFonts w:hint="eastAsia" w:hAnsi="宋体" w:cs="宋体"/>
                <w:sz w:val="24"/>
                <w:highlight w:val="none"/>
                <w:lang w:eastAsia="zh-CN"/>
              </w:rPr>
              <w:t>，</w:t>
            </w:r>
            <w:r>
              <w:rPr>
                <w:rFonts w:hint="eastAsia" w:hAnsi="宋体" w:cs="宋体"/>
                <w:sz w:val="24"/>
                <w:highlight w:val="none"/>
                <w:lang w:val="zh-CN"/>
              </w:rPr>
              <w:t>进行详细的需求调研，进一步优化概要设计、详细设计，并细化系统建设计划、目标任务书和测试验收方案，向甲方提供上述文档并需经甲方审查通过，</w:t>
            </w:r>
            <w:r>
              <w:rPr>
                <w:rFonts w:hint="eastAsia" w:hAnsi="宋体" w:cs="宋体"/>
                <w:sz w:val="24"/>
                <w:szCs w:val="24"/>
                <w:highlight w:val="none"/>
              </w:rPr>
              <w:t>当2</w:t>
            </w:r>
            <w:r>
              <w:rPr>
                <w:rFonts w:hAnsi="宋体" w:cs="宋体"/>
                <w:sz w:val="24"/>
                <w:szCs w:val="24"/>
                <w:highlight w:val="none"/>
              </w:rPr>
              <w:t>025年</w:t>
            </w:r>
            <w:r>
              <w:rPr>
                <w:rFonts w:hint="eastAsia" w:hAnsi="宋体" w:cs="宋体"/>
                <w:sz w:val="24"/>
                <w:szCs w:val="24"/>
                <w:highlight w:val="none"/>
              </w:rPr>
              <w:t>财政预算资金到位后5个工作日内，采购人向中标供应商支付4</w:t>
            </w:r>
            <w:r>
              <w:rPr>
                <w:rFonts w:hAnsi="宋体" w:cs="宋体"/>
                <w:sz w:val="24"/>
                <w:szCs w:val="24"/>
                <w:highlight w:val="none"/>
              </w:rPr>
              <w:t>0%</w:t>
            </w:r>
            <w:r>
              <w:rPr>
                <w:rFonts w:hint="eastAsia" w:hAnsi="宋体" w:cs="宋体"/>
                <w:sz w:val="24"/>
                <w:szCs w:val="24"/>
                <w:highlight w:val="none"/>
              </w:rPr>
              <w:t>作为预付款；</w:t>
            </w:r>
          </w:p>
          <w:p>
            <w:pPr>
              <w:spacing w:line="360" w:lineRule="auto"/>
              <w:rPr>
                <w:rFonts w:ascii="宋体" w:hAnsi="宋体" w:cs="宋体"/>
                <w:snapToGrid w:val="0"/>
                <w:sz w:val="24"/>
                <w:highlight w:val="none"/>
              </w:rPr>
            </w:pPr>
            <w:r>
              <w:rPr>
                <w:rFonts w:hint="eastAsia" w:ascii="宋体" w:hAnsi="宋体" w:cs="宋体"/>
                <w:snapToGrid w:val="0"/>
                <w:sz w:val="24"/>
                <w:highlight w:val="none"/>
              </w:rPr>
              <w:t>（2）第二期：</w:t>
            </w:r>
            <w:r>
              <w:rPr>
                <w:rFonts w:hint="eastAsia" w:ascii="宋体" w:hAnsi="宋体" w:cs="宋体"/>
                <w:bCs/>
                <w:sz w:val="24"/>
                <w:highlight w:val="none"/>
                <w:lang w:val="en-US" w:eastAsia="zh-CN"/>
              </w:rPr>
              <w:t>4</w:t>
            </w:r>
            <w:r>
              <w:rPr>
                <w:rFonts w:hint="eastAsia" w:ascii="宋体" w:hAnsi="宋体" w:cs="宋体"/>
                <w:bCs/>
                <w:sz w:val="24"/>
                <w:highlight w:val="none"/>
              </w:rPr>
              <w:t>个月</w:t>
            </w:r>
            <w:r>
              <w:rPr>
                <w:rFonts w:hint="eastAsia" w:ascii="宋体" w:hAnsi="宋体" w:cs="宋体"/>
                <w:sz w:val="24"/>
                <w:highlight w:val="none"/>
                <w:lang w:val="zh-CN"/>
              </w:rPr>
              <w:t>内完成系统开发建设、上线、培训，</w:t>
            </w:r>
            <w:r>
              <w:rPr>
                <w:rFonts w:hint="eastAsia" w:ascii="宋体" w:hAnsi="宋体" w:cs="宋体"/>
                <w:sz w:val="24"/>
                <w:highlight w:val="none"/>
              </w:rPr>
              <w:t>乙方可申请初步验收，初步验收由采购方或委托区数据资源局组织专家进行联合验收，项目通过初验后采购方向中标人支付总价</w:t>
            </w:r>
            <w:r>
              <w:rPr>
                <w:rFonts w:ascii="宋体" w:hAnsi="宋体" w:cs="宋体"/>
                <w:sz w:val="24"/>
                <w:highlight w:val="none"/>
              </w:rPr>
              <w:t>30</w:t>
            </w:r>
            <w:r>
              <w:rPr>
                <w:rFonts w:hint="eastAsia" w:ascii="宋体" w:hAnsi="宋体" w:cs="宋体"/>
                <w:sz w:val="24"/>
                <w:highlight w:val="none"/>
              </w:rPr>
              <w:t>%的款项支付手续，项目进入试运行。</w:t>
            </w:r>
          </w:p>
          <w:p>
            <w:pPr>
              <w:spacing w:line="360" w:lineRule="auto"/>
              <w:rPr>
                <w:rFonts w:hint="eastAsia" w:ascii="宋体" w:hAnsi="宋体" w:cs="宋体"/>
                <w:snapToGrid w:val="0"/>
                <w:sz w:val="24"/>
                <w:highlight w:val="none"/>
              </w:rPr>
            </w:pPr>
            <w:r>
              <w:rPr>
                <w:rFonts w:hint="eastAsia" w:ascii="宋体" w:hAnsi="宋体" w:cs="宋体"/>
                <w:snapToGrid w:val="0"/>
                <w:sz w:val="24"/>
                <w:highlight w:val="none"/>
              </w:rPr>
              <w:t>（</w:t>
            </w:r>
            <w:r>
              <w:rPr>
                <w:rFonts w:ascii="宋体" w:hAnsi="宋体" w:cs="宋体"/>
                <w:snapToGrid w:val="0"/>
                <w:sz w:val="24"/>
                <w:highlight w:val="none"/>
              </w:rPr>
              <w:t>3</w:t>
            </w:r>
            <w:r>
              <w:rPr>
                <w:rFonts w:hint="eastAsia" w:ascii="宋体" w:hAnsi="宋体" w:cs="宋体"/>
                <w:snapToGrid w:val="0"/>
                <w:sz w:val="24"/>
                <w:highlight w:val="none"/>
              </w:rPr>
              <w:t>）第</w:t>
            </w:r>
            <w:r>
              <w:rPr>
                <w:rFonts w:hint="eastAsia" w:ascii="宋体" w:hAnsi="宋体" w:cs="宋体"/>
                <w:snapToGrid w:val="0"/>
                <w:sz w:val="24"/>
                <w:highlight w:val="none"/>
                <w:lang w:val="en-US" w:eastAsia="zh-CN"/>
              </w:rPr>
              <w:t>三</w:t>
            </w:r>
            <w:r>
              <w:rPr>
                <w:rFonts w:hint="eastAsia" w:ascii="宋体" w:hAnsi="宋体" w:cs="宋体"/>
                <w:snapToGrid w:val="0"/>
                <w:sz w:val="24"/>
                <w:highlight w:val="none"/>
              </w:rPr>
              <w:t>期：</w:t>
            </w:r>
            <w:r>
              <w:rPr>
                <w:rFonts w:hint="eastAsia" w:ascii="宋体" w:hAnsi="宋体" w:cs="宋体"/>
                <w:sz w:val="24"/>
                <w:highlight w:val="none"/>
              </w:rPr>
              <w:t>系统试运行期间无故障，</w:t>
            </w:r>
            <w:r>
              <w:rPr>
                <w:rFonts w:hint="eastAsia" w:ascii="宋体" w:hAnsi="宋体" w:cs="宋体"/>
                <w:snapToGrid w:val="0"/>
                <w:sz w:val="24"/>
                <w:highlight w:val="none"/>
              </w:rPr>
              <w:t>中标供应商可向采购人申请项目最终验收验收，项目验收</w:t>
            </w:r>
            <w:r>
              <w:rPr>
                <w:rFonts w:hint="eastAsia" w:ascii="宋体" w:hAnsi="宋体" w:cs="宋体"/>
                <w:sz w:val="24"/>
                <w:highlight w:val="none"/>
              </w:rPr>
              <w:t>由采购方或委托区数据资源局组织专家进行联合验收，</w:t>
            </w:r>
            <w:r>
              <w:rPr>
                <w:rFonts w:hint="eastAsia" w:ascii="宋体" w:hAnsi="宋体" w:cs="宋体"/>
                <w:snapToGrid w:val="0"/>
                <w:sz w:val="24"/>
                <w:highlight w:val="none"/>
              </w:rPr>
              <w:t>通过项目验收后向采购人支付剩余</w:t>
            </w:r>
            <w:r>
              <w:rPr>
                <w:rFonts w:hint="eastAsia" w:ascii="宋体" w:hAnsi="宋体" w:cs="宋体"/>
                <w:snapToGrid w:val="0"/>
                <w:sz w:val="24"/>
                <w:highlight w:val="none"/>
                <w:lang w:val="en-US" w:eastAsia="zh-CN"/>
              </w:rPr>
              <w:t>15</w:t>
            </w:r>
            <w:r>
              <w:rPr>
                <w:rFonts w:ascii="宋体" w:hAnsi="宋体" w:cs="宋体"/>
                <w:snapToGrid w:val="0"/>
                <w:sz w:val="24"/>
                <w:highlight w:val="none"/>
              </w:rPr>
              <w:t>%</w:t>
            </w:r>
            <w:r>
              <w:rPr>
                <w:rFonts w:hint="eastAsia" w:ascii="宋体" w:hAnsi="宋体" w:cs="宋体"/>
                <w:snapToGrid w:val="0"/>
                <w:sz w:val="24"/>
                <w:highlight w:val="none"/>
              </w:rPr>
              <w:t>款项。</w:t>
            </w:r>
            <w:r>
              <w:rPr>
                <w:rFonts w:hint="eastAsia" w:ascii="宋体" w:hAnsi="宋体" w:cs="宋体"/>
                <w:snapToGrid w:val="0"/>
                <w:sz w:val="24"/>
                <w:highlight w:val="none"/>
              </w:rPr>
              <w:br w:type="textWrapping"/>
            </w:r>
            <w:r>
              <w:rPr>
                <w:rFonts w:hint="eastAsia" w:ascii="宋体" w:hAnsi="宋体" w:cs="宋体"/>
                <w:snapToGrid w:val="0"/>
                <w:sz w:val="24"/>
                <w:highlight w:val="none"/>
              </w:rPr>
              <w:t>（</w:t>
            </w:r>
            <w:r>
              <w:rPr>
                <w:rFonts w:hint="eastAsia" w:ascii="宋体" w:hAnsi="宋体" w:cs="宋体"/>
                <w:snapToGrid w:val="0"/>
                <w:sz w:val="24"/>
                <w:highlight w:val="none"/>
                <w:lang w:val="en-US" w:eastAsia="zh-CN"/>
              </w:rPr>
              <w:t>4</w:t>
            </w:r>
            <w:r>
              <w:rPr>
                <w:rFonts w:hint="eastAsia" w:ascii="宋体" w:hAnsi="宋体" w:cs="宋体"/>
                <w:snapToGrid w:val="0"/>
                <w:sz w:val="24"/>
                <w:highlight w:val="none"/>
              </w:rPr>
              <w:t>）第</w:t>
            </w:r>
            <w:r>
              <w:rPr>
                <w:rFonts w:hint="eastAsia" w:ascii="宋体" w:hAnsi="宋体" w:cs="宋体"/>
                <w:snapToGrid w:val="0"/>
                <w:sz w:val="24"/>
                <w:highlight w:val="none"/>
                <w:lang w:val="en-US" w:eastAsia="zh-CN"/>
              </w:rPr>
              <w:t>四</w:t>
            </w:r>
            <w:r>
              <w:rPr>
                <w:rFonts w:hint="eastAsia" w:ascii="宋体" w:hAnsi="宋体" w:cs="宋体"/>
                <w:snapToGrid w:val="0"/>
                <w:sz w:val="24"/>
                <w:highlight w:val="none"/>
              </w:rPr>
              <w:t>期：</w:t>
            </w:r>
            <w:r>
              <w:rPr>
                <w:rFonts w:hint="eastAsia" w:ascii="宋体" w:hAnsi="宋体" w:cs="宋体"/>
                <w:sz w:val="24"/>
                <w:highlight w:val="none"/>
                <w:lang w:val="en-US" w:eastAsia="zh-CN"/>
              </w:rPr>
              <w:t>合同满一年，</w:t>
            </w:r>
            <w:r>
              <w:rPr>
                <w:rFonts w:hint="eastAsia" w:ascii="宋体" w:hAnsi="宋体" w:cs="宋体"/>
                <w:snapToGrid w:val="0"/>
                <w:sz w:val="24"/>
                <w:highlight w:val="none"/>
              </w:rPr>
              <w:t>向采购人</w:t>
            </w:r>
            <w:r>
              <w:rPr>
                <w:rFonts w:hint="eastAsia" w:ascii="宋体" w:hAnsi="宋体" w:cs="宋体"/>
                <w:snapToGrid w:val="0"/>
                <w:sz w:val="24"/>
                <w:highlight w:val="none"/>
                <w:lang w:val="en-US" w:eastAsia="zh-CN"/>
              </w:rPr>
              <w:t>申请</w:t>
            </w:r>
            <w:r>
              <w:rPr>
                <w:rFonts w:hint="eastAsia" w:ascii="宋体" w:hAnsi="宋体" w:cs="宋体"/>
                <w:snapToGrid w:val="0"/>
                <w:sz w:val="24"/>
                <w:highlight w:val="none"/>
              </w:rPr>
              <w:t>支付</w:t>
            </w:r>
            <w:r>
              <w:rPr>
                <w:rFonts w:hint="eastAsia" w:ascii="宋体" w:hAnsi="宋体" w:cs="宋体"/>
                <w:snapToGrid w:val="0"/>
                <w:sz w:val="24"/>
                <w:highlight w:val="none"/>
                <w:lang w:val="en-US" w:eastAsia="zh-CN"/>
              </w:rPr>
              <w:t>5</w:t>
            </w:r>
            <w:r>
              <w:rPr>
                <w:rFonts w:ascii="宋体" w:hAnsi="宋体" w:cs="宋体"/>
                <w:snapToGrid w:val="0"/>
                <w:sz w:val="24"/>
                <w:highlight w:val="none"/>
              </w:rPr>
              <w:t>%</w:t>
            </w:r>
            <w:r>
              <w:rPr>
                <w:rFonts w:hint="eastAsia" w:ascii="宋体" w:hAnsi="宋体" w:cs="宋体"/>
                <w:snapToGrid w:val="0"/>
                <w:sz w:val="24"/>
                <w:highlight w:val="none"/>
              </w:rPr>
              <w:t>款项。</w:t>
            </w:r>
          </w:p>
          <w:p>
            <w:pPr>
              <w:pStyle w:val="2"/>
              <w:spacing w:line="360" w:lineRule="auto"/>
              <w:rPr>
                <w:rFonts w:hint="eastAsia" w:ascii="宋体" w:hAnsi="宋体" w:cs="宋体"/>
                <w:snapToGrid w:val="0"/>
                <w:sz w:val="24"/>
                <w:highlight w:val="none"/>
              </w:rPr>
            </w:pPr>
            <w:r>
              <w:rPr>
                <w:rFonts w:hint="eastAsia" w:ascii="宋体" w:hAnsi="宋体" w:cs="宋体"/>
                <w:snapToGrid w:val="0"/>
                <w:sz w:val="24"/>
                <w:highlight w:val="none"/>
              </w:rPr>
              <w:t>（</w:t>
            </w:r>
            <w:r>
              <w:rPr>
                <w:rFonts w:hint="eastAsia" w:ascii="宋体" w:hAnsi="宋体" w:cs="宋体"/>
                <w:snapToGrid w:val="0"/>
                <w:sz w:val="24"/>
                <w:highlight w:val="none"/>
                <w:lang w:val="en-US" w:eastAsia="zh-CN"/>
              </w:rPr>
              <w:t>4</w:t>
            </w:r>
            <w:r>
              <w:rPr>
                <w:rFonts w:hint="eastAsia" w:ascii="宋体" w:hAnsi="宋体" w:cs="宋体"/>
                <w:snapToGrid w:val="0"/>
                <w:sz w:val="24"/>
                <w:highlight w:val="none"/>
              </w:rPr>
              <w:t>）第</w:t>
            </w:r>
            <w:r>
              <w:rPr>
                <w:rFonts w:hint="eastAsia" w:ascii="宋体" w:hAnsi="宋体" w:cs="宋体"/>
                <w:snapToGrid w:val="0"/>
                <w:sz w:val="24"/>
                <w:highlight w:val="none"/>
                <w:lang w:val="en-US" w:eastAsia="zh-CN"/>
              </w:rPr>
              <w:t>五</w:t>
            </w:r>
            <w:r>
              <w:rPr>
                <w:rFonts w:hint="eastAsia" w:ascii="宋体" w:hAnsi="宋体" w:cs="宋体"/>
                <w:snapToGrid w:val="0"/>
                <w:sz w:val="24"/>
                <w:highlight w:val="none"/>
              </w:rPr>
              <w:t>期：</w:t>
            </w:r>
            <w:r>
              <w:rPr>
                <w:rFonts w:hint="eastAsia" w:ascii="宋体" w:hAnsi="宋体" w:cs="宋体"/>
                <w:sz w:val="24"/>
                <w:highlight w:val="none"/>
                <w:lang w:val="en-US" w:eastAsia="zh-CN"/>
              </w:rPr>
              <w:t>合同满二年，</w:t>
            </w:r>
            <w:r>
              <w:rPr>
                <w:rFonts w:hint="eastAsia" w:ascii="宋体" w:hAnsi="宋体" w:cs="宋体"/>
                <w:snapToGrid w:val="0"/>
                <w:sz w:val="24"/>
                <w:highlight w:val="none"/>
              </w:rPr>
              <w:t>向采购人</w:t>
            </w:r>
            <w:r>
              <w:rPr>
                <w:rFonts w:hint="eastAsia" w:ascii="宋体" w:hAnsi="宋体" w:cs="宋体"/>
                <w:snapToGrid w:val="0"/>
                <w:sz w:val="24"/>
                <w:highlight w:val="none"/>
                <w:lang w:val="en-US" w:eastAsia="zh-CN"/>
              </w:rPr>
              <w:t>申请</w:t>
            </w:r>
            <w:r>
              <w:rPr>
                <w:rFonts w:hint="eastAsia" w:ascii="宋体" w:hAnsi="宋体" w:cs="宋体"/>
                <w:snapToGrid w:val="0"/>
                <w:sz w:val="24"/>
                <w:highlight w:val="none"/>
              </w:rPr>
              <w:t>支付</w:t>
            </w:r>
            <w:r>
              <w:rPr>
                <w:rFonts w:hint="eastAsia" w:ascii="宋体" w:hAnsi="宋体" w:cs="宋体"/>
                <w:snapToGrid w:val="0"/>
                <w:sz w:val="24"/>
                <w:highlight w:val="none"/>
                <w:lang w:val="en-US" w:eastAsia="zh-CN"/>
              </w:rPr>
              <w:t>5</w:t>
            </w:r>
            <w:r>
              <w:rPr>
                <w:rFonts w:ascii="宋体" w:hAnsi="宋体" w:cs="宋体"/>
                <w:snapToGrid w:val="0"/>
                <w:sz w:val="24"/>
                <w:highlight w:val="none"/>
              </w:rPr>
              <w:t>%</w:t>
            </w:r>
            <w:r>
              <w:rPr>
                <w:rFonts w:hint="eastAsia" w:ascii="宋体" w:hAnsi="宋体" w:cs="宋体"/>
                <w:snapToGrid w:val="0"/>
                <w:sz w:val="24"/>
                <w:highlight w:val="none"/>
              </w:rPr>
              <w:t>款项。</w:t>
            </w:r>
          </w:p>
          <w:p>
            <w:pPr>
              <w:spacing w:line="360" w:lineRule="auto"/>
              <w:rPr>
                <w:rFonts w:ascii="宋体" w:hAnsi="宋体" w:cs="宋体"/>
                <w:color w:val="auto"/>
                <w:sz w:val="24"/>
                <w:highlight w:val="none"/>
              </w:rPr>
            </w:pPr>
            <w:r>
              <w:rPr>
                <w:rFonts w:hint="eastAsia" w:ascii="宋体" w:hAnsi="宋体" w:cs="宋体"/>
                <w:snapToGrid w:val="0"/>
                <w:sz w:val="24"/>
                <w:highlight w:val="none"/>
              </w:rPr>
              <w:t>（</w:t>
            </w:r>
            <w:r>
              <w:rPr>
                <w:rFonts w:hint="eastAsia" w:ascii="宋体" w:hAnsi="宋体" w:cs="宋体"/>
                <w:snapToGrid w:val="0"/>
                <w:sz w:val="24"/>
                <w:highlight w:val="none"/>
                <w:lang w:val="en-US" w:eastAsia="zh-CN"/>
              </w:rPr>
              <w:t>4</w:t>
            </w:r>
            <w:r>
              <w:rPr>
                <w:rFonts w:hint="eastAsia" w:ascii="宋体" w:hAnsi="宋体" w:cs="宋体"/>
                <w:snapToGrid w:val="0"/>
                <w:sz w:val="24"/>
                <w:highlight w:val="none"/>
              </w:rPr>
              <w:t>）第</w:t>
            </w:r>
            <w:r>
              <w:rPr>
                <w:rFonts w:hint="eastAsia" w:ascii="宋体" w:hAnsi="宋体" w:cs="宋体"/>
                <w:snapToGrid w:val="0"/>
                <w:sz w:val="24"/>
                <w:highlight w:val="none"/>
                <w:lang w:val="en-US" w:eastAsia="zh-CN"/>
              </w:rPr>
              <w:t>六</w:t>
            </w:r>
            <w:r>
              <w:rPr>
                <w:rFonts w:hint="eastAsia" w:ascii="宋体" w:hAnsi="宋体" w:cs="宋体"/>
                <w:snapToGrid w:val="0"/>
                <w:sz w:val="24"/>
                <w:highlight w:val="none"/>
              </w:rPr>
              <w:t>期：</w:t>
            </w:r>
            <w:r>
              <w:rPr>
                <w:rFonts w:hint="eastAsia" w:ascii="宋体" w:hAnsi="宋体" w:cs="宋体"/>
                <w:sz w:val="24"/>
                <w:highlight w:val="none"/>
                <w:lang w:val="en-US" w:eastAsia="zh-CN"/>
              </w:rPr>
              <w:t>合同满三年，</w:t>
            </w:r>
            <w:r>
              <w:rPr>
                <w:rFonts w:hint="eastAsia" w:ascii="宋体" w:hAnsi="宋体" w:cs="宋体"/>
                <w:snapToGrid w:val="0"/>
                <w:sz w:val="24"/>
                <w:highlight w:val="none"/>
              </w:rPr>
              <w:t>向采购人</w:t>
            </w:r>
            <w:r>
              <w:rPr>
                <w:rFonts w:hint="eastAsia" w:ascii="宋体" w:hAnsi="宋体" w:cs="宋体"/>
                <w:snapToGrid w:val="0"/>
                <w:sz w:val="24"/>
                <w:highlight w:val="none"/>
                <w:lang w:val="en-US" w:eastAsia="zh-CN"/>
              </w:rPr>
              <w:t>申请</w:t>
            </w:r>
            <w:r>
              <w:rPr>
                <w:rFonts w:hint="eastAsia" w:ascii="宋体" w:hAnsi="宋体" w:cs="宋体"/>
                <w:snapToGrid w:val="0"/>
                <w:sz w:val="24"/>
                <w:highlight w:val="none"/>
              </w:rPr>
              <w:t>支付剩余</w:t>
            </w:r>
            <w:r>
              <w:rPr>
                <w:rFonts w:hint="eastAsia" w:ascii="宋体" w:hAnsi="宋体" w:cs="宋体"/>
                <w:snapToGrid w:val="0"/>
                <w:sz w:val="24"/>
                <w:highlight w:val="none"/>
                <w:lang w:val="en-US" w:eastAsia="zh-CN"/>
              </w:rPr>
              <w:t>5</w:t>
            </w:r>
            <w:r>
              <w:rPr>
                <w:rFonts w:ascii="宋体" w:hAnsi="宋体" w:cs="宋体"/>
                <w:snapToGrid w:val="0"/>
                <w:sz w:val="24"/>
                <w:highlight w:val="none"/>
              </w:rPr>
              <w:t>%</w:t>
            </w:r>
            <w:r>
              <w:rPr>
                <w:rFonts w:hint="eastAsia" w:ascii="宋体" w:hAnsi="宋体" w:cs="宋体"/>
                <w:snapToGrid w:val="0"/>
                <w:sz w:val="24"/>
                <w:highlight w:val="none"/>
              </w:rPr>
              <w:t>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pPr>
              <w:spacing w:line="360" w:lineRule="auto"/>
              <w:rPr>
                <w:rFonts w:ascii="宋体" w:hAnsi="宋体" w:cs="宋体"/>
                <w:color w:val="auto"/>
                <w:sz w:val="24"/>
                <w:highlight w:val="none"/>
              </w:rPr>
            </w:pPr>
            <w:r>
              <w:rPr>
                <w:rFonts w:hint="eastAsia" w:ascii="宋体" w:hAnsi="宋体" w:eastAsia="宋体" w:cs="宋体"/>
                <w:snapToGrid w:val="0"/>
                <w:kern w:val="2"/>
                <w:sz w:val="24"/>
                <w:szCs w:val="21"/>
                <w:highlight w:val="none"/>
                <w:lang w:val="en-US" w:eastAsia="zh-CN" w:bidi="ar-SA"/>
              </w:rPr>
              <w:t>3年，项目起始时间以采购人确认的开工令日期开始计算。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pPr>
              <w:spacing w:line="360" w:lineRule="auto"/>
              <w:rPr>
                <w:rFonts w:ascii="宋体" w:hAnsi="宋体" w:cs="宋体"/>
                <w:color w:val="auto"/>
                <w:sz w:val="24"/>
                <w:highlight w:val="none"/>
              </w:rPr>
            </w:pPr>
            <w:r>
              <w:rPr>
                <w:rFonts w:hint="eastAsia" w:ascii="宋体" w:hAnsi="宋体" w:eastAsia="宋体" w:cs="宋体"/>
                <w:sz w:val="24"/>
              </w:rPr>
              <w:t>杭州市西湖区卫生健康局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pPr>
              <w:spacing w:line="360" w:lineRule="auto"/>
              <w:rPr>
                <w:rFonts w:ascii="宋体" w:hAnsi="宋体" w:cs="宋体"/>
                <w:color w:val="auto"/>
                <w:sz w:val="24"/>
                <w:highlight w:val="none"/>
              </w:rPr>
            </w:pPr>
            <w:r>
              <w:rPr>
                <w:rFonts w:hint="eastAsia" w:ascii="宋体" w:hAnsi="宋体" w:eastAsia="宋体" w:cs="宋体"/>
                <w:sz w:val="24"/>
              </w:rPr>
              <w:t>现场交付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pPr>
              <w:spacing w:line="360" w:lineRule="auto"/>
              <w:jc w:val="left"/>
              <w:rPr>
                <w:rFonts w:hint="eastAsia" w:ascii="宋体" w:hAnsi="宋体" w:cs="宋体"/>
                <w:sz w:val="24"/>
              </w:rPr>
            </w:pPr>
            <w:r>
              <w:rPr>
                <w:rFonts w:hint="eastAsia" w:ascii="宋体" w:hAnsi="宋体" w:cs="宋体"/>
                <w:sz w:val="24"/>
              </w:rPr>
              <w:t>网络数据安全责任。乙方应按照《网络安全法》、《数据安全法》、《个人信息保护法》的要求，履行网络和数据安全相关责任和义务，项目涉及人员需签订《保密承诺书》，对驻场服务人员进行背景审查。乙方应当采取技术措施和其他必要措施，确保网络和数据安全，防止信息泄露、毁损、丢失。在发生或者可能发生信息泄露、毁损、丢失的情况时，应当立即采取补救措施，并在第一时间告知甲方。未经甲方允许，乙方不得对建设、运营、运维的信息系统、应用、数据库等私开账户、擅自更改权限等操作，严禁乙方多名工作人员共用账号，严禁使用弱密码。乙方应加强网络安全风险监测，制定应急预案，完善应急机制。确保第一时间检测发现，第一时间应急处置，第一时间向甲方报告。</w:t>
            </w:r>
          </w:p>
          <w:p>
            <w:pPr>
              <w:spacing w:line="360" w:lineRule="auto"/>
              <w:rPr>
                <w:rFonts w:ascii="宋体" w:hAnsi="宋体" w:cs="宋体"/>
                <w:color w:val="auto"/>
                <w:sz w:val="24"/>
                <w:highlight w:val="none"/>
              </w:rPr>
            </w:pPr>
            <w:r>
              <w:rPr>
                <w:rFonts w:hint="eastAsia" w:ascii="宋体" w:hAnsi="宋体" w:cs="宋体"/>
                <w:sz w:val="24"/>
              </w:rPr>
              <w:t>网络数据安全处罚。由于乙方原因，受到国家级、省级、市级安全问题通报或造成特别重大事故的，每次扣除合同款5万元、3万元、1万元，乙方不及时处置安全事件、隐患的,每次扣除合同款1万元。乙方派驻的驻场人员未按照甲方工作要求进行出勤的，每出现1人次扣除500元。收到国家、省、市通报后，乙方应及时解决并递交书面整改报告给甲方，若乙方未根据整改报告按期整改的，每次扣除合同款1万元。以上扣除总额不超过合同的20%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pPr>
              <w:spacing w:line="360" w:lineRule="auto"/>
              <w:rPr>
                <w:rFonts w:ascii="宋体" w:hAnsi="宋体" w:cs="宋体"/>
                <w:color w:val="auto"/>
                <w:sz w:val="24"/>
                <w:highlight w:val="none"/>
              </w:rPr>
            </w:pPr>
            <w:r>
              <w:rPr>
                <w:rFonts w:hint="eastAsia" w:ascii="宋体" w:hAnsi="宋体" w:cs="宋体"/>
                <w:sz w:val="24"/>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pPr>
              <w:spacing w:line="360" w:lineRule="auto"/>
              <w:ind w:left="-420" w:leftChars="-200" w:right="-420" w:rightChars="-200" w:firstLine="480" w:firstLineChars="200"/>
              <w:rPr>
                <w:rFonts w:ascii="宋体" w:hAnsi="宋体" w:cs="宋体"/>
                <w:color w:val="auto"/>
                <w:sz w:val="24"/>
                <w:highlight w:val="none"/>
              </w:rPr>
            </w:pPr>
            <w:r>
              <w:rPr>
                <w:rFonts w:hint="eastAsia" w:ascii="宋体" w:hAnsi="宋体" w:cs="宋体"/>
                <w:sz w:val="24"/>
              </w:rPr>
              <w:t>同1.6.2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pPr>
              <w:spacing w:line="360" w:lineRule="auto"/>
              <w:rPr>
                <w:rFonts w:ascii="宋体" w:hAnsi="宋体" w:cs="宋体"/>
                <w:color w:val="auto"/>
                <w:sz w:val="24"/>
                <w:highlight w:val="none"/>
              </w:rPr>
            </w:pPr>
            <w:r>
              <w:rPr>
                <w:rFonts w:hint="eastAsia" w:ascii="宋体" w:hAnsi="宋体" w:cs="宋体"/>
                <w:snapToGrid w:val="0"/>
                <w:kern w:val="0"/>
                <w:sz w:val="24"/>
              </w:rPr>
              <w:t>因不可抗力致使合同有变更必要的，双方当事人应在</w:t>
            </w:r>
            <w:r>
              <w:rPr>
                <w:rFonts w:hint="eastAsia" w:ascii="宋体" w:hAnsi="宋体" w:cs="宋体"/>
                <w:snapToGrid w:val="0"/>
                <w:kern w:val="0"/>
                <w:sz w:val="24"/>
                <w:u w:val="single"/>
              </w:rPr>
              <w:t>30日</w:t>
            </w:r>
            <w:r>
              <w:rPr>
                <w:rFonts w:hint="eastAsia" w:ascii="宋体" w:hAnsi="宋体" w:cs="宋体"/>
                <w:snapToGrid w:val="0"/>
                <w:kern w:val="0"/>
                <w:sz w:val="24"/>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pPr>
              <w:spacing w:line="360" w:lineRule="auto"/>
              <w:rPr>
                <w:rFonts w:ascii="宋体" w:hAnsi="宋体" w:cs="宋体"/>
                <w:color w:val="auto"/>
                <w:sz w:val="24"/>
                <w:highlight w:val="none"/>
              </w:rPr>
            </w:pPr>
            <w:r>
              <w:rPr>
                <w:rFonts w:hint="eastAsia" w:ascii="宋体" w:hAnsi="宋体" w:cs="宋体"/>
                <w:snapToGrid w:val="0"/>
                <w:kern w:val="0"/>
                <w:sz w:val="24"/>
              </w:rPr>
              <w:t>受不可抗力影响的一方在不可抗力发生后，应在</w:t>
            </w:r>
            <w:r>
              <w:rPr>
                <w:rFonts w:hint="eastAsia" w:ascii="宋体" w:hAnsi="宋体" w:cs="宋体"/>
                <w:snapToGrid w:val="0"/>
                <w:kern w:val="0"/>
                <w:sz w:val="24"/>
                <w:u w:val="single"/>
              </w:rPr>
              <w:t>15日</w:t>
            </w:r>
            <w:r>
              <w:rPr>
                <w:rFonts w:hint="eastAsia" w:ascii="宋体" w:hAnsi="宋体" w:cs="宋体"/>
                <w:snapToGrid w:val="0"/>
                <w:kern w:val="0"/>
                <w:sz w:val="24"/>
              </w:rPr>
              <w:t>内以书面形式通知对方当事人，并在</w:t>
            </w:r>
            <w:r>
              <w:rPr>
                <w:rFonts w:hint="eastAsia" w:ascii="宋体" w:hAnsi="宋体" w:cs="宋体"/>
                <w:snapToGrid w:val="0"/>
                <w:kern w:val="0"/>
                <w:sz w:val="24"/>
                <w:u w:val="single"/>
              </w:rPr>
              <w:t>15日</w:t>
            </w:r>
            <w:r>
              <w:rPr>
                <w:rFonts w:hint="eastAsia" w:ascii="宋体" w:hAnsi="宋体" w:cs="宋体"/>
                <w:snapToGrid w:val="0"/>
                <w:kern w:val="0"/>
                <w:sz w:val="24"/>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pPr>
              <w:spacing w:line="360" w:lineRule="auto"/>
              <w:rPr>
                <w:rFonts w:ascii="宋体" w:hAnsi="宋体" w:cs="宋体"/>
                <w:color w:val="auto"/>
                <w:sz w:val="24"/>
                <w:highlight w:val="none"/>
              </w:rPr>
            </w:pPr>
            <w:r>
              <w:rPr>
                <w:rFonts w:hint="eastAsia" w:ascii="宋体" w:hAnsi="宋体" w:cs="宋体"/>
                <w:sz w:val="24"/>
              </w:rPr>
              <w:t>按照西湖区数字化项目有关规定执行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pPr>
              <w:spacing w:line="360" w:lineRule="auto"/>
              <w:rPr>
                <w:rFonts w:ascii="宋体" w:hAnsi="宋体" w:cs="宋体"/>
                <w:color w:val="auto"/>
                <w:sz w:val="24"/>
                <w:highlight w:val="none"/>
              </w:rPr>
            </w:pPr>
            <w:r>
              <w:rPr>
                <w:rFonts w:hint="eastAsia" w:ascii="宋体" w:hAnsi="宋体" w:cs="宋体"/>
                <w:sz w:val="24"/>
              </w:rPr>
              <w:t>服务考核办法及招标文件中记载的采购需求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pPr>
              <w:spacing w:line="360" w:lineRule="auto"/>
              <w:rPr>
                <w:rFonts w:ascii="宋体" w:hAnsi="宋体" w:cs="宋体"/>
                <w:color w:val="auto"/>
                <w:sz w:val="24"/>
                <w:highlight w:val="none"/>
              </w:rPr>
            </w:pPr>
            <w:r>
              <w:rPr>
                <w:rFonts w:hint="eastAsia" w:ascii="宋体" w:hAnsi="宋体" w:cs="宋体"/>
                <w:sz w:val="24"/>
              </w:rPr>
              <w:t>壹式陆份，甲方执</w:t>
            </w:r>
            <w:r>
              <w:rPr>
                <w:rFonts w:hint="eastAsia" w:ascii="宋体" w:hAnsi="宋体" w:cs="宋体"/>
                <w:b/>
                <w:bCs/>
                <w:sz w:val="24"/>
              </w:rPr>
              <w:t>叁</w:t>
            </w:r>
            <w:r>
              <w:rPr>
                <w:rFonts w:hint="eastAsia" w:ascii="宋体" w:hAnsi="宋体" w:cs="宋体"/>
                <w:sz w:val="24"/>
              </w:rPr>
              <w:t>份，乙方执</w:t>
            </w:r>
            <w:r>
              <w:rPr>
                <w:rFonts w:hint="eastAsia" w:ascii="宋体" w:hAnsi="宋体" w:cs="宋体"/>
                <w:b/>
                <w:bCs/>
                <w:sz w:val="24"/>
              </w:rPr>
              <w:t>贰</w:t>
            </w:r>
            <w:r>
              <w:rPr>
                <w:rFonts w:hint="eastAsia" w:ascii="宋体" w:hAnsi="宋体" w:cs="宋体"/>
                <w:sz w:val="24"/>
              </w:rPr>
              <w:t>份，采购代理机构执</w:t>
            </w:r>
            <w:r>
              <w:rPr>
                <w:rFonts w:hint="eastAsia" w:ascii="宋体" w:hAnsi="宋体" w:cs="宋体"/>
                <w:b/>
                <w:bCs/>
                <w:sz w:val="24"/>
              </w:rPr>
              <w:t>壹</w:t>
            </w:r>
            <w:r>
              <w:rPr>
                <w:rFonts w:hint="eastAsia" w:ascii="宋体" w:hAnsi="宋体" w:cs="宋体"/>
                <w:sz w:val="24"/>
              </w:rPr>
              <w:t>份</w:t>
            </w:r>
          </w:p>
        </w:tc>
      </w:tr>
    </w:tbl>
    <w:p>
      <w:pPr>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hint="eastAsia"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4"/>
          <w:highlight w:val="none"/>
        </w:rPr>
      </w:pP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0" w:name="_Hlk101257010"/>
      <w:r>
        <w:rPr>
          <w:rFonts w:hint="eastAsia" w:ascii="宋体" w:hAnsi="宋体" w:cs="宋体"/>
          <w:color w:val="auto"/>
          <w:sz w:val="24"/>
          <w:highlight w:val="none"/>
        </w:rPr>
        <w:t>（如果有)</w:t>
      </w:r>
      <w:bookmarkEnd w:id="510"/>
      <w:r>
        <w:rPr>
          <w:rFonts w:hint="eastAsia" w:ascii="宋体" w:hAnsi="宋体" w:cs="宋体"/>
          <w:snapToGrid w:val="0"/>
          <w:color w:val="auto"/>
          <w:kern w:val="28"/>
          <w:sz w:val="24"/>
          <w:szCs w:val="20"/>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widowControl w:val="0"/>
        <w:numPr>
          <w:ilvl w:val="0"/>
          <w:numId w:val="0"/>
        </w:numPr>
        <w:spacing w:line="360" w:lineRule="auto"/>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both"/>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lang w:val="zh-CN"/>
        </w:rPr>
      </w:pPr>
    </w:p>
    <w:p>
      <w:pPr>
        <w:jc w:val="center"/>
        <w:rPr>
          <w:rFonts w:hint="eastAsia" w:ascii="宋体" w:hAnsi="宋体" w:cs="宋体"/>
          <w:b/>
          <w:color w:val="auto"/>
          <w:kern w:val="0"/>
          <w:sz w:val="32"/>
          <w:szCs w:val="32"/>
          <w:highlight w:val="none"/>
          <w:lang w:val="zh-CN"/>
        </w:rPr>
      </w:pPr>
    </w:p>
    <w:p>
      <w:pPr>
        <w:jc w:val="center"/>
        <w:rPr>
          <w:rFonts w:hint="eastAsia" w:ascii="宋体" w:hAnsi="宋体" w:cs="宋体"/>
          <w:b/>
          <w:color w:val="auto"/>
          <w:kern w:val="0"/>
          <w:sz w:val="32"/>
          <w:szCs w:val="32"/>
          <w:highlight w:val="none"/>
          <w:lang w:val="zh-CN"/>
        </w:rPr>
      </w:pPr>
    </w:p>
    <w:p>
      <w:pPr>
        <w:jc w:val="center"/>
        <w:rPr>
          <w:rFonts w:hint="eastAsia" w:ascii="宋体" w:hAnsi="宋体" w:cs="宋体"/>
          <w:b/>
          <w:color w:val="auto"/>
          <w:kern w:val="0"/>
          <w:sz w:val="32"/>
          <w:szCs w:val="32"/>
          <w:highlight w:val="none"/>
          <w:lang w:val="zh-CN"/>
        </w:rPr>
      </w:pPr>
    </w:p>
    <w:p>
      <w:pPr>
        <w:jc w:val="center"/>
        <w:rPr>
          <w:rFonts w:hint="eastAsia" w:ascii="宋体" w:hAnsi="宋体" w:cs="宋体"/>
          <w:b/>
          <w:color w:val="auto"/>
          <w:kern w:val="0"/>
          <w:sz w:val="32"/>
          <w:szCs w:val="32"/>
          <w:highlight w:val="none"/>
          <w:lang w:val="zh-CN"/>
        </w:rPr>
      </w:pPr>
    </w:p>
    <w:p>
      <w:pPr>
        <w:jc w:val="center"/>
        <w:rPr>
          <w:rFonts w:hint="eastAsia" w:ascii="宋体" w:hAnsi="宋体" w:cs="宋体"/>
          <w:b/>
          <w:color w:val="auto"/>
          <w:kern w:val="0"/>
          <w:sz w:val="32"/>
          <w:szCs w:val="32"/>
          <w:highlight w:val="none"/>
          <w:lang w:val="zh-CN"/>
        </w:rPr>
      </w:pP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kern w:val="0"/>
          <w:sz w:val="32"/>
          <w:szCs w:val="32"/>
          <w:highlight w:val="none"/>
          <w:lang w:val="zh-CN"/>
        </w:rPr>
      </w:pPr>
    </w:p>
    <w:p>
      <w:pPr>
        <w:autoSpaceDE w:val="0"/>
        <w:autoSpaceDN w:val="0"/>
        <w:spacing w:line="360" w:lineRule="auto"/>
        <w:jc w:val="center"/>
        <w:rPr>
          <w:rFonts w:hint="eastAsia"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9"/>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p>
        </w:tc>
        <w:tc>
          <w:tcPr>
            <w:tcW w:w="3046" w:type="dxa"/>
          </w:tcPr>
          <w:p>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pPr>
        <w:pStyle w:val="79"/>
        <w:rPr>
          <w:color w:val="auto"/>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pPr>
              <w:jc w:val="center"/>
              <w:rPr>
                <w:rFonts w:ascii="宋体" w:hAnsi="宋体" w:cs="宋体"/>
                <w:b/>
                <w:color w:val="auto"/>
                <w:kern w:val="0"/>
                <w:sz w:val="32"/>
                <w:szCs w:val="32"/>
                <w:highlight w:val="none"/>
              </w:rPr>
            </w:pPr>
          </w:p>
        </w:tc>
        <w:tc>
          <w:tcPr>
            <w:tcW w:w="3062" w:type="dxa"/>
          </w:tcPr>
          <w:p>
            <w:pPr>
              <w:jc w:val="center"/>
              <w:rPr>
                <w:rFonts w:ascii="宋体" w:hAnsi="宋体" w:cs="宋体"/>
                <w:b/>
                <w:color w:val="auto"/>
                <w:kern w:val="0"/>
                <w:sz w:val="32"/>
                <w:szCs w:val="32"/>
                <w:highlight w:val="none"/>
              </w:rPr>
            </w:pPr>
          </w:p>
        </w:tc>
        <w:tc>
          <w:tcPr>
            <w:tcW w:w="1102"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pPr>
        <w:pStyle w:val="80"/>
        <w:rPr>
          <w:rFonts w:hint="eastAsia"/>
          <w:color w:val="auto"/>
          <w:highlight w:val="none"/>
        </w:rPr>
      </w:pPr>
    </w:p>
    <w:p>
      <w:pPr>
        <w:pStyle w:val="80"/>
        <w:rPr>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杭州市西湖区卫生健康局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浙江鼎欣工程项目管理有限公司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pPr>
        <w:pStyle w:val="80"/>
        <w:rPr>
          <w:rFonts w:hint="eastAsia" w:ascii="宋体" w:hAnsi="宋体" w:cs="宋体"/>
          <w:b/>
          <w:color w:val="auto"/>
          <w:sz w:val="24"/>
          <w:highlight w:val="none"/>
        </w:rPr>
      </w:pPr>
    </w:p>
    <w:p>
      <w:pPr>
        <w:pStyle w:val="80"/>
        <w:rPr>
          <w:rFonts w:hint="eastAsia" w:ascii="宋体" w:hAnsi="宋体" w:cs="宋体"/>
          <w:b/>
          <w:color w:val="auto"/>
          <w:sz w:val="24"/>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511" w:name="OLE_LINK13"/>
      <w:bookmarkStart w:id="512" w:name="OLE_LINK14"/>
      <w:r>
        <w:rPr>
          <w:rFonts w:hint="eastAsia" w:ascii="宋体" w:hAnsi="宋体" w:cs="宋体"/>
          <w:b/>
          <w:color w:val="auto"/>
          <w:spacing w:val="6"/>
          <w:sz w:val="32"/>
          <w:szCs w:val="32"/>
          <w:highlight w:val="none"/>
        </w:rPr>
        <w:t>残疾人福利性单位声明函</w:t>
      </w:r>
    </w:p>
    <w:bookmarkEnd w:id="511"/>
    <w:bookmarkEnd w:id="512"/>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2024-2027年西湖区卫健互联网+综合监管系统运维服务项目（重）</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杭州市西湖区卫生健康局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浙江鼎欣工程项目管理有限公司</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4"/>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5"/>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2024-2027年西湖区卫健互联网+综合监管系统运维服务项目（重）</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DXGC2025-XH-023-1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rPr>
          <w:color w:val="auto"/>
          <w:highlight w:val="none"/>
        </w:rPr>
      </w:pPr>
      <w:r>
        <w:rPr>
          <w:rFonts w:hint="eastAsia"/>
          <w:color w:val="auto"/>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pacing w:line="360" w:lineRule="auto"/>
        <w:jc w:val="left"/>
        <w:outlineLvl w:val="0"/>
        <w:rPr>
          <w:rFonts w:hint="eastAsia" w:ascii="宋体" w:hAnsi="宋体" w:cs="宋体"/>
          <w:b/>
          <w:color w:val="auto"/>
          <w:sz w:val="36"/>
          <w:szCs w:val="20"/>
          <w:highlight w:val="none"/>
        </w:rPr>
      </w:pPr>
    </w:p>
    <w:p>
      <w:pPr>
        <w:spacing w:line="360" w:lineRule="auto"/>
        <w:jc w:val="left"/>
        <w:outlineLvl w:val="0"/>
        <w:rPr>
          <w:rFonts w:hint="eastAsia" w:ascii="宋体" w:hAnsi="宋体" w:cs="宋体"/>
          <w:b/>
          <w:color w:val="auto"/>
          <w:sz w:val="36"/>
          <w:szCs w:val="20"/>
          <w:highlight w:val="none"/>
        </w:rPr>
      </w:pPr>
    </w:p>
    <w:p>
      <w:pPr>
        <w:spacing w:line="360" w:lineRule="auto"/>
        <w:jc w:val="left"/>
        <w:outlineLvl w:val="0"/>
        <w:rPr>
          <w:rFonts w:hint="eastAsia" w:ascii="宋体" w:hAnsi="宋体" w:cs="宋体"/>
          <w:b/>
          <w:color w:val="auto"/>
          <w:sz w:val="36"/>
          <w:szCs w:val="20"/>
          <w:highlight w:val="none"/>
        </w:rPr>
      </w:pPr>
    </w:p>
    <w:p>
      <w:pPr>
        <w:spacing w:line="360" w:lineRule="auto"/>
        <w:jc w:val="left"/>
        <w:outlineLvl w:val="0"/>
        <w:rPr>
          <w:rFonts w:hint="eastAsia" w:ascii="宋体" w:hAnsi="宋体" w:cs="宋体"/>
          <w:b/>
          <w:color w:val="auto"/>
          <w:sz w:val="36"/>
          <w:szCs w:val="20"/>
          <w:highlight w:val="none"/>
        </w:rPr>
      </w:pPr>
    </w:p>
    <w:p>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杭州市西湖区卫生健康局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2024-2027年西湖区卫健互联网+综合监管系统运维服务项目（重）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NumberOnly"/>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164085800"/>
    <w:bookmarkStart w:id="517" w:name="_Toc131845147"/>
    <w:bookmarkStart w:id="518" w:name="_Toc91899912"/>
    <w:bookmarkStart w:id="519" w:name="_Toc36110187"/>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769A4CC2"/>
    <w:multiLevelType w:val="multilevel"/>
    <w:tmpl w:val="769A4CC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formatting="1"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632E9"/>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6750BD"/>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A7355A"/>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A96A80"/>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B561A"/>
    <w:rsid w:val="342E63AB"/>
    <w:rsid w:val="34950E68"/>
    <w:rsid w:val="34986E94"/>
    <w:rsid w:val="34AF62C9"/>
    <w:rsid w:val="34CB4388"/>
    <w:rsid w:val="34FA6E12"/>
    <w:rsid w:val="354D7158"/>
    <w:rsid w:val="358D5588"/>
    <w:rsid w:val="363A3B40"/>
    <w:rsid w:val="365302AE"/>
    <w:rsid w:val="36607A0A"/>
    <w:rsid w:val="366A4BE9"/>
    <w:rsid w:val="366E227C"/>
    <w:rsid w:val="366F2E0D"/>
    <w:rsid w:val="367B6A5C"/>
    <w:rsid w:val="36A74ADA"/>
    <w:rsid w:val="36AD60D5"/>
    <w:rsid w:val="36B224F9"/>
    <w:rsid w:val="36EC0CC9"/>
    <w:rsid w:val="373F410B"/>
    <w:rsid w:val="37EE7094"/>
    <w:rsid w:val="38272709"/>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D72DD3"/>
    <w:rsid w:val="4FE625E0"/>
    <w:rsid w:val="4FFE6835"/>
    <w:rsid w:val="5021480F"/>
    <w:rsid w:val="50962ECB"/>
    <w:rsid w:val="509937A3"/>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D36C8"/>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F227A4"/>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065E0F"/>
    <w:rsid w:val="60232584"/>
    <w:rsid w:val="607330CE"/>
    <w:rsid w:val="60825176"/>
    <w:rsid w:val="609F2AC4"/>
    <w:rsid w:val="60FA2EE8"/>
    <w:rsid w:val="60FC0DF8"/>
    <w:rsid w:val="61054A27"/>
    <w:rsid w:val="610A52BC"/>
    <w:rsid w:val="611D2366"/>
    <w:rsid w:val="61421856"/>
    <w:rsid w:val="615227C4"/>
    <w:rsid w:val="61654E3F"/>
    <w:rsid w:val="617B78D6"/>
    <w:rsid w:val="6182292A"/>
    <w:rsid w:val="619F7F92"/>
    <w:rsid w:val="61BF394A"/>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C878AB"/>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924BE5"/>
    <w:rsid w:val="7DB57A34"/>
    <w:rsid w:val="7DE60973"/>
    <w:rsid w:val="7DEF0916"/>
    <w:rsid w:val="7E1E5218"/>
    <w:rsid w:val="7E9A4E1F"/>
    <w:rsid w:val="7EA005A1"/>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6"/>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qFormat/>
    <w:uiPriority w:val="0"/>
    <w:rPr>
      <w:b/>
      <w:bCs/>
    </w:rPr>
  </w:style>
  <w:style w:type="paragraph" w:styleId="60">
    <w:name w:val="Body Text First Indent"/>
    <w:basedOn w:val="2"/>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39454</Words>
  <Characters>41769</Characters>
  <Lines>281</Lines>
  <Paragraphs>79</Paragraphs>
  <TotalTime>85</TotalTime>
  <ScaleCrop>false</ScaleCrop>
  <LinksUpToDate>false</LinksUpToDate>
  <CharactersWithSpaces>47273</CharactersWithSpaces>
  <Application>WPS Office_12.8.2.15091_F1E327BC-269C-435d-A152-05C5408002CA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ZhuanZ</cp:lastModifiedBy>
  <cp:lastPrinted>2021-12-28T03:06:00Z</cp:lastPrinted>
  <dcterms:modified xsi:type="dcterms:W3CDTF">2025-04-01T07:10:30Z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2052-12.8.2.15091</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CBF325B2D0CF421AB6CDE877773EE843_13</vt:lpwstr>
  </property>
  <property fmtid="{D5CDD505-2E9C-101B-9397-08002B2CF9AE}" pid="5" name="KSOTemplateDocerSaveRecord">
    <vt:lpwstr>eyJoZGlkIjoiN2YzNjBkOTgyNWQ1YTMxYzM3MzMwNWFiODNmOWIzYWMiLCJ1c2VySWQiOiI0MjA4OTE4NDAifQ==</vt:lpwstr>
  </property>
</Properties>
</file>