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2024-2027年西湖区卫健互联网+综合监管系统运维服务项目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DXGC2025-XH-023</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杭州市西湖区卫生健康局</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浙江鼎欣工程项目管理有限公司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2024-2027年西湖区卫健互联网+综合监管系统运维服务项目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28</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DXGC2025-XH-023</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2024-2027年西湖区卫健互联网+综合监管系统运维服务项目</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sz w:val="24"/>
        </w:rPr>
        <w:t>967500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sz w:val="24"/>
        </w:rPr>
        <w:t>967500</w:t>
      </w:r>
      <w:r>
        <w:rPr>
          <w:rFonts w:ascii="宋体" w:hAnsi="宋体" w:cs="宋体"/>
          <w:color w:val="auto"/>
          <w:sz w:val="24"/>
          <w:highlight w:val="none"/>
        </w:rPr>
        <w:t xml:space="preserve"> </w:t>
      </w:r>
    </w:p>
    <w:p w14:paraId="6EC5DB8E">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2024-2027年西湖区卫健互联网+综合监管系统运维服务项目</w:t>
      </w:r>
      <w:r>
        <w:rPr>
          <w:rFonts w:hint="eastAsia" w:hAnsi="宋体" w:cs="宋体"/>
          <w:bCs/>
          <w:snapToGrid/>
          <w:color w:val="auto"/>
          <w:kern w:val="2"/>
          <w:sz w:val="24"/>
          <w:szCs w:val="24"/>
          <w:highlight w:val="none"/>
        </w:rPr>
        <w:t>主要内容： 主要采购包含1、一单位一平台改造。将多个应用按照“六统一”技术要求应用整合至西湖区卫健互联网+综合监管系统。2、信创改造。对系统的信创改造升级，适配国产数据库、国产操作系统、国产中间件等环境，完成各系统的数据迁移部署改造、信创测评。3、三年硬件运维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合同履约期限：合同签订后120天内完成软件功能的建设并上线，质保期3年；硬件部分三年运维期</w:t>
      </w:r>
      <w:r>
        <w:rPr>
          <w:rFonts w:ascii="宋体" w:hAnsi="宋体" w:cs="宋体"/>
          <w:color w:val="auto"/>
          <w:highlight w:val="none"/>
        </w:rPr>
        <w:t xml:space="preserve"> </w:t>
      </w:r>
    </w:p>
    <w:p w14:paraId="07281B02">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bookmarkStart w:id="520" w:name="_GoBack"/>
          <w:r>
            <w:rPr>
              <w:rFonts w:hAnsi="宋体" w:cs="宋体"/>
              <w:color w:val="auto"/>
              <w:kern w:val="0"/>
              <w:sz w:val="24"/>
              <w:highlight w:val="none"/>
            </w:rPr>
            <w:sym w:font="Wingdings" w:char="F0FE"/>
          </w:r>
          <w:bookmarkEnd w:id="520"/>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杭州市西湖区卫生健康局</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址：杭州市西湖区文一西路858号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项目联系人（询问）：郑老师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项目联系方式（询问）：0571-87207186 </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质疑联系人：周老师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质疑联系方式：0571-89510894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浙江鼎欣工程项目管理有限公司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址：杭州市西湖区翠苑新村三区11幢5单</w:t>
      </w:r>
      <w:r>
        <w:rPr>
          <w:rFonts w:hint="eastAsia" w:ascii="宋体" w:hAnsi="宋体" w:cs="宋体"/>
          <w:sz w:val="24"/>
        </w:rPr>
        <w:t>元</w:t>
      </w:r>
    </w:p>
    <w:p w14:paraId="4E949C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sz w:val="24"/>
        </w:rPr>
        <w:t>刘</w:t>
      </w:r>
      <w:r>
        <w:rPr>
          <w:rFonts w:hint="eastAsia" w:ascii="宋体" w:hAnsi="宋体" w:cs="宋体"/>
          <w:sz w:val="24"/>
          <w:lang w:val="en-US" w:eastAsia="zh-CN"/>
        </w:rPr>
        <w:t>先生</w:t>
      </w:r>
      <w:r>
        <w:rPr>
          <w:rFonts w:hint="eastAsia" w:ascii="宋体" w:hAnsi="宋体" w:cs="宋体"/>
          <w:color w:val="auto"/>
          <w:sz w:val="24"/>
          <w:highlight w:val="none"/>
        </w:rPr>
        <w:t xml:space="preserve"> </w:t>
      </w:r>
    </w:p>
    <w:p w14:paraId="5C2D72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项目联系方式（询问）：13336125345</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质疑联系人：张根源 </w:t>
      </w:r>
    </w:p>
    <w:p w14:paraId="23E21F3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eastAsia" w:ascii="宋体" w:hAnsi="宋体" w:cs="宋体"/>
          <w:color w:val="auto"/>
          <w:sz w:val="24"/>
          <w:highlight w:val="none"/>
          <w:lang w:val="en-US" w:eastAsia="zh-CN"/>
        </w:rPr>
        <w:t>89393932</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kern w:val="0"/>
                <w:sz w:val="24"/>
                <w:u w:val="single"/>
              </w:rPr>
              <w:t>2024-2027年西湖区卫健互联网+综合监管系统运维服务项目</w:t>
            </w:r>
            <w:r>
              <w:rPr>
                <w:rFonts w:hint="eastAsia" w:ascii="宋体" w:hAnsi="宋体" w:cs="宋体"/>
                <w:color w:val="auto"/>
                <w:kern w:val="0"/>
                <w:sz w:val="24"/>
                <w:highlight w:val="none"/>
              </w:rPr>
              <w:t>，属于</w:t>
            </w:r>
            <w:r>
              <w:rPr>
                <w:rFonts w:hint="eastAsia" w:ascii="宋体" w:hAnsi="宋体" w:cs="宋体"/>
                <w:kern w:val="0"/>
                <w:sz w:val="24"/>
                <w:u w:val="single"/>
              </w:rPr>
              <w:t>软件和信息技术服务业</w:t>
            </w:r>
            <w:r>
              <w:rPr>
                <w:rFonts w:hint="eastAsia" w:ascii="宋体" w:hAnsi="宋体" w:cs="宋体"/>
                <w:color w:val="auto"/>
                <w:kern w:val="0"/>
                <w:sz w:val="24"/>
                <w:highlight w:val="none"/>
              </w:rPr>
              <w:t>行业；</w:t>
            </w:r>
          </w:p>
          <w:p w14:paraId="27019300">
            <w:pPr>
              <w:snapToGrid w:val="0"/>
              <w:spacing w:line="360" w:lineRule="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kern w:val="0"/>
                <w:sz w:val="24"/>
                <w:u w:val="single"/>
              </w:rPr>
              <w:t>软件和信息技术服务业</w:t>
            </w:r>
            <w:r>
              <w:rPr>
                <w:rFonts w:hint="eastAsia" w:ascii="宋体" w:hAnsi="宋体" w:eastAsia="宋体" w:cs="宋体"/>
                <w:b w:val="0"/>
                <w:bCs w:val="0"/>
                <w:color w:val="auto"/>
                <w:kern w:val="0"/>
                <w:sz w:val="24"/>
                <w:szCs w:val="24"/>
                <w:highlight w:val="none"/>
                <w:lang w:val="en-US" w:eastAsia="zh-CN" w:bidi="ar-SA"/>
              </w:rPr>
              <w:t>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823E72C">
            <w:pPr>
              <w:spacing w:line="360" w:lineRule="auto"/>
              <w:rPr>
                <w:rFonts w:hint="eastAsia" w:ascii="宋体" w:hAnsi="宋体" w:cs="宋体"/>
                <w:sz w:val="24"/>
              </w:rPr>
            </w:pPr>
            <w:r>
              <w:rPr>
                <w:rFonts w:hint="eastAsia" w:ascii="宋体" w:hAnsi="宋体" w:cs="宋体"/>
                <w:sz w:val="24"/>
              </w:rPr>
              <w:t>1、成交单位须在领取成交通知书的同时，提供与线上递交的“电子加密响应文件”一致的纸质响应文件并装订成册一正</w:t>
            </w:r>
            <w:r>
              <w:rPr>
                <w:rFonts w:hint="eastAsia" w:ascii="宋体" w:hAnsi="宋体" w:cs="宋体"/>
                <w:sz w:val="24"/>
                <w:lang w:val="en-US" w:eastAsia="zh-CN"/>
              </w:rPr>
              <w:t>二</w:t>
            </w:r>
            <w:r>
              <w:rPr>
                <w:rFonts w:hint="eastAsia" w:ascii="宋体" w:hAnsi="宋体" w:cs="宋体"/>
                <w:sz w:val="24"/>
              </w:rPr>
              <w:t>副给采购代理机构。</w:t>
            </w:r>
          </w:p>
          <w:p w14:paraId="3ABA41B5">
            <w:pPr>
              <w:spacing w:line="360" w:lineRule="auto"/>
              <w:rPr>
                <w:rFonts w:hint="eastAsia" w:ascii="宋体" w:hAnsi="宋体" w:cs="宋体"/>
                <w:sz w:val="24"/>
              </w:rPr>
            </w:pPr>
            <w:r>
              <w:rPr>
                <w:rFonts w:hint="eastAsia" w:ascii="宋体" w:hAnsi="宋体" w:cs="宋体"/>
                <w:sz w:val="24"/>
              </w:rPr>
              <w:t>2、采购代理服务费金额：参考发改价格(2011)534号文件规定的服务类收费标准9折收取。</w:t>
            </w:r>
          </w:p>
          <w:p w14:paraId="6E98BF5D">
            <w:pPr>
              <w:spacing w:line="360" w:lineRule="auto"/>
              <w:rPr>
                <w:rFonts w:hint="eastAsia" w:ascii="宋体" w:hAnsi="宋体" w:cs="宋体"/>
                <w:sz w:val="24"/>
              </w:rPr>
            </w:pPr>
            <w:r>
              <w:rPr>
                <w:rFonts w:hint="eastAsia" w:ascii="宋体" w:hAnsi="宋体" w:cs="宋体"/>
                <w:sz w:val="24"/>
              </w:rPr>
              <w:t>采购代理服务费交纳形式：汇票/支票/电汇/现金</w:t>
            </w:r>
          </w:p>
          <w:p w14:paraId="5774685B">
            <w:pPr>
              <w:spacing w:line="360" w:lineRule="auto"/>
              <w:rPr>
                <w:rFonts w:hint="eastAsia" w:ascii="宋体" w:hAnsi="宋体" w:cs="宋体"/>
                <w:sz w:val="24"/>
              </w:rPr>
            </w:pPr>
            <w:r>
              <w:rPr>
                <w:rFonts w:hint="eastAsia" w:ascii="宋体" w:hAnsi="宋体" w:cs="宋体"/>
                <w:sz w:val="24"/>
              </w:rPr>
              <w:t>采购代理服务费由中标人在发布采购结果公告后5日内以人民币方式向采购代理机构支付。汇入以下账户：</w:t>
            </w:r>
          </w:p>
          <w:p w14:paraId="66C3A514">
            <w:pPr>
              <w:spacing w:line="360" w:lineRule="auto"/>
              <w:ind w:firstLine="480" w:firstLineChars="200"/>
              <w:rPr>
                <w:rFonts w:hint="eastAsia" w:ascii="宋体" w:hAnsi="宋体" w:cs="宋体"/>
                <w:sz w:val="24"/>
              </w:rPr>
            </w:pPr>
            <w:r>
              <w:rPr>
                <w:rFonts w:hint="eastAsia" w:ascii="宋体" w:hAnsi="宋体" w:cs="宋体"/>
                <w:sz w:val="24"/>
              </w:rPr>
              <w:t>户名：浙江鼎欣工程项目管理有限公司</w:t>
            </w:r>
          </w:p>
          <w:p w14:paraId="342B78EE">
            <w:pPr>
              <w:spacing w:line="360" w:lineRule="auto"/>
              <w:ind w:firstLine="480" w:firstLineChars="200"/>
              <w:rPr>
                <w:rFonts w:hint="eastAsia" w:ascii="宋体" w:hAnsi="宋体" w:cs="宋体"/>
                <w:sz w:val="24"/>
              </w:rPr>
            </w:pPr>
            <w:r>
              <w:rPr>
                <w:rFonts w:hint="eastAsia" w:ascii="宋体" w:hAnsi="宋体" w:cs="宋体"/>
                <w:sz w:val="24"/>
              </w:rPr>
              <w:t>开户：杭州联合农村商业银行股份有限公司三墩支行</w:t>
            </w:r>
          </w:p>
          <w:p w14:paraId="78079CA1">
            <w:pPr>
              <w:spacing w:line="360" w:lineRule="auto"/>
              <w:ind w:firstLine="480" w:firstLineChars="200"/>
              <w:rPr>
                <w:rFonts w:hint="eastAsia" w:ascii="宋体" w:hAnsi="宋体" w:eastAsia="宋体" w:cs="宋体"/>
                <w:color w:val="auto"/>
                <w:kern w:val="0"/>
                <w:sz w:val="24"/>
                <w:highlight w:val="none"/>
                <w:lang w:val="en" w:eastAsia="zh-CN"/>
              </w:rPr>
            </w:pPr>
            <w:r>
              <w:rPr>
                <w:rFonts w:hint="eastAsia" w:ascii="宋体" w:hAnsi="宋体" w:cs="宋体"/>
                <w:sz w:val="24"/>
              </w:rPr>
              <w:t>账号：201000295513205</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bCs w:val="0"/>
          <w:color w:val="auto"/>
          <w:szCs w:val="24"/>
          <w:highlight w:val="none"/>
        </w:rPr>
        <w:t>由于中标、成交供应商原因导致重新采购的，应当承担支付代理费和专家评审费等费用在内的赔偿责任。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4"/>
        <w:rPr>
          <w:color w:val="auto"/>
          <w:highlight w:val="none"/>
        </w:rPr>
      </w:pPr>
      <w:r>
        <w:rPr>
          <w:rFonts w:ascii="宋体" w:hAnsi="宋体" w:eastAsia="宋体"/>
          <w:b/>
          <w:bCs/>
          <w:color w:val="auto"/>
          <w:sz w:val="24"/>
          <w:szCs w:val="32"/>
          <w:highlight w:val="none"/>
          <w:lang w:val="en-US"/>
        </w:rPr>
        <w:t>27.预付款</w:t>
      </w:r>
    </w:p>
    <w:p w14:paraId="6CF853D2">
      <w:pPr>
        <w:adjustRightInd/>
        <w:spacing w:line="360" w:lineRule="auto"/>
        <w:ind w:firstLine="480" w:firstLineChars="200"/>
        <w:rPr>
          <w:rFonts w:ascii="宋体" w:hAnsi="宋体" w:cs="宋体"/>
          <w:b/>
          <w:color w:val="auto"/>
          <w:sz w:val="32"/>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24B60821">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4730295"/>
      <w:bookmarkEnd w:id="16"/>
      <w:bookmarkStart w:id="17" w:name="_Hlt75236101"/>
      <w:bookmarkEnd w:id="17"/>
      <w:bookmarkStart w:id="18" w:name="_Hlt74729768"/>
      <w:bookmarkEnd w:id="18"/>
      <w:bookmarkStart w:id="19" w:name="_Hlt68073093"/>
      <w:bookmarkEnd w:id="19"/>
      <w:bookmarkStart w:id="20" w:name="_Hlt74714665"/>
      <w:bookmarkEnd w:id="20"/>
      <w:bookmarkStart w:id="21" w:name="_Hlt74707468"/>
      <w:bookmarkEnd w:id="21"/>
      <w:bookmarkStart w:id="22" w:name="_Hlt68072990"/>
      <w:bookmarkEnd w:id="22"/>
      <w:bookmarkStart w:id="23" w:name="_Hlt68072998"/>
      <w:bookmarkEnd w:id="23"/>
      <w:bookmarkStart w:id="24" w:name="_Hlt75236011"/>
      <w:bookmarkEnd w:id="24"/>
      <w:bookmarkStart w:id="25" w:name="_Hlt68057669"/>
      <w:bookmarkEnd w:id="25"/>
      <w:bookmarkStart w:id="26" w:name="_Hlt75236290"/>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A0F2F9C">
      <w:pPr>
        <w:pStyle w:val="3"/>
        <w:spacing w:before="0" w:after="0" w:line="360" w:lineRule="auto"/>
        <w:ind w:left="0" w:firstLine="0"/>
        <w:rPr>
          <w:rFonts w:hint="eastAsia" w:ascii="宋体" w:hAnsi="宋体" w:cs="宋体"/>
          <w:sz w:val="24"/>
          <w:szCs w:val="24"/>
        </w:rPr>
      </w:pPr>
      <w:r>
        <w:rPr>
          <w:rFonts w:hint="eastAsia" w:ascii="宋体" w:hAnsi="宋体" w:cs="宋体"/>
          <w:sz w:val="24"/>
          <w:szCs w:val="24"/>
        </w:rPr>
        <w:t>一、项目概述</w:t>
      </w:r>
    </w:p>
    <w:p w14:paraId="31467D84">
      <w:pPr>
        <w:pStyle w:val="4"/>
        <w:numPr>
          <w:ilvl w:val="0"/>
          <w:numId w:val="1"/>
        </w:numPr>
        <w:jc w:val="both"/>
        <w:rPr>
          <w:rFonts w:hint="eastAsia" w:ascii="宋体" w:hAnsi="宋体" w:eastAsia="宋体" w:cs="宋体"/>
          <w:sz w:val="24"/>
          <w:szCs w:val="24"/>
          <w:lang w:val="en-US"/>
        </w:rPr>
      </w:pPr>
      <w:r>
        <w:rPr>
          <w:rFonts w:hint="eastAsia" w:ascii="宋体" w:hAnsi="宋体" w:eastAsia="宋体" w:cs="宋体"/>
          <w:sz w:val="24"/>
          <w:szCs w:val="24"/>
          <w:lang w:val="en-US"/>
        </w:rPr>
        <w:t>建设目标</w:t>
      </w:r>
    </w:p>
    <w:p w14:paraId="6687C719">
      <w:pPr>
        <w:pStyle w:val="2"/>
        <w:widowControl/>
        <w:autoSpaceDE/>
        <w:autoSpaceDN/>
        <w:adjustRightInd/>
        <w:ind w:firstLine="480" w:firstLineChars="200"/>
        <w:rPr>
          <w:rFonts w:hint="eastAsia" w:hAnsi="宋体" w:cs="宋体"/>
          <w:color w:val="000000"/>
          <w:szCs w:val="24"/>
          <w:shd w:val="clear" w:color="auto" w:fill="FFFFFF"/>
        </w:rPr>
      </w:pPr>
      <w:r>
        <w:rPr>
          <w:rFonts w:hint="eastAsia" w:hAnsi="宋体" w:cs="宋体"/>
          <w:color w:val="000000"/>
          <w:kern w:val="0"/>
          <w:szCs w:val="24"/>
          <w:shd w:val="clear" w:color="auto" w:fill="FFFFFF"/>
          <w:lang w:val="en-US"/>
        </w:rPr>
        <w:t>根据区委办政务系统国产化替代计划2024年完成对系统按照“一单位一平台的统一门户集成、统一用户管理、统一授权管理、统一接入管理统一安全防护、统一资源管理(以下简称“六统一”)的要求，整合为一个互联互通、业务协同、信息共享的“大平台”。强化集成应用，统一数据终端数据服务接口与省、市对应平台完成数据的交互和各业务支撑系统的生态模块的对接，重点打造一体化办案、综合行政执法的集成应用。全面推进办案建设数字化变革，逐步构建全覆盖、一体化的数字化业务应用体系。依托西湖卫健互联网+综合监管平台入口服务，实现整个平台系统的账号服务、数据服务、产品服务、智能监控等。</w:t>
      </w:r>
    </w:p>
    <w:p w14:paraId="618BA6C4">
      <w:pPr>
        <w:pStyle w:val="4"/>
        <w:numPr>
          <w:ilvl w:val="0"/>
          <w:numId w:val="1"/>
        </w:numPr>
        <w:jc w:val="both"/>
        <w:rPr>
          <w:rFonts w:hint="eastAsia" w:ascii="宋体" w:hAnsi="宋体" w:eastAsia="宋体" w:cs="宋体"/>
          <w:sz w:val="24"/>
          <w:szCs w:val="24"/>
        </w:rPr>
      </w:pPr>
      <w:r>
        <w:rPr>
          <w:rFonts w:hint="eastAsia" w:ascii="宋体" w:hAnsi="宋体" w:eastAsia="宋体" w:cs="宋体"/>
          <w:sz w:val="24"/>
          <w:szCs w:val="24"/>
          <w:lang w:val="en-US"/>
        </w:rPr>
        <w:t>建设内容</w:t>
      </w:r>
    </w:p>
    <w:p w14:paraId="7A42DDF3">
      <w:pPr>
        <w:pStyle w:val="57"/>
        <w:autoSpaceDE w:val="0"/>
        <w:autoSpaceDN w:val="0"/>
        <w:adjustRightInd/>
        <w:spacing w:before="0" w:beforeAutospacing="0" w:after="0" w:afterAutospacing="0" w:line="360" w:lineRule="auto"/>
        <w:ind w:firstLine="480" w:firstLineChars="200"/>
        <w:rPr>
          <w:rFonts w:hint="eastAsia" w:cs="宋体"/>
          <w:color w:val="000000"/>
          <w:shd w:val="clear" w:color="auto" w:fill="FFFFFF"/>
        </w:rPr>
      </w:pPr>
      <w:r>
        <w:rPr>
          <w:rFonts w:hint="eastAsia" w:cs="宋体"/>
          <w:color w:val="000000"/>
          <w:shd w:val="clear" w:color="auto" w:fill="FFFFFF"/>
        </w:rPr>
        <w:t>为贯彻落实文件精神，保障系统持续稳定运行，本次建设的主要内容包括：1、一单位一平台改造，将多个应用按照“六统一”技术要求应用整合至西湖区卫健互联网+综合监管系统；2、完成对整合后的西湖区卫健互联网+综合监管系统开展信创改造；3、三年硬件运维服务。</w:t>
      </w:r>
    </w:p>
    <w:p w14:paraId="63BA47FB">
      <w:pPr>
        <w:pStyle w:val="4"/>
        <w:numPr>
          <w:ilvl w:val="0"/>
          <w:numId w:val="1"/>
        </w:numPr>
        <w:jc w:val="both"/>
        <w:rPr>
          <w:rFonts w:hint="eastAsia" w:ascii="宋体" w:hAnsi="宋体" w:eastAsia="宋体" w:cs="宋体"/>
          <w:sz w:val="24"/>
          <w:szCs w:val="24"/>
          <w:lang w:val="en-US"/>
        </w:rPr>
      </w:pPr>
      <w:r>
        <w:rPr>
          <w:rFonts w:hint="eastAsia" w:ascii="宋体" w:hAnsi="宋体" w:eastAsia="宋体" w:cs="宋体"/>
          <w:sz w:val="24"/>
          <w:szCs w:val="24"/>
          <w:lang w:val="en-US"/>
        </w:rPr>
        <w:t>规格要求</w:t>
      </w:r>
    </w:p>
    <w:p w14:paraId="1946E94D">
      <w:pPr>
        <w:pStyle w:val="2"/>
        <w:rPr>
          <w:rFonts w:hint="eastAsia" w:hAnsi="宋体" w:cs="宋体"/>
          <w:kern w:val="0"/>
          <w:szCs w:val="24"/>
          <w:lang w:val="en-US"/>
        </w:rPr>
      </w:pPr>
      <w:r>
        <w:rPr>
          <w:rFonts w:hint="eastAsia" w:hAnsi="宋体" w:cs="宋体"/>
          <w:kern w:val="0"/>
          <w:szCs w:val="24"/>
          <w:lang w:val="en-US"/>
        </w:rPr>
        <w:t>（1）改造升级</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565"/>
        <w:gridCol w:w="1835"/>
        <w:gridCol w:w="5159"/>
        <w:gridCol w:w="1165"/>
      </w:tblGrid>
      <w:tr w14:paraId="104F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01" w:type="pct"/>
            <w:noWrap w:val="0"/>
            <w:vAlign w:val="center"/>
          </w:tcPr>
          <w:p w14:paraId="4A70432C">
            <w:pPr>
              <w:pStyle w:val="2"/>
              <w:autoSpaceDE/>
              <w:autoSpaceDN/>
              <w:adjustRightInd/>
              <w:spacing w:line="240" w:lineRule="auto"/>
              <w:jc w:val="center"/>
              <w:rPr>
                <w:rFonts w:hint="eastAsia" w:hAnsi="宋体" w:cs="宋体"/>
                <w:b/>
                <w:bCs/>
                <w:szCs w:val="24"/>
                <w:lang w:val="en-US"/>
              </w:rPr>
            </w:pPr>
            <w:r>
              <w:rPr>
                <w:rFonts w:hint="eastAsia" w:hAnsi="宋体" w:cs="宋体"/>
                <w:b/>
                <w:bCs/>
                <w:szCs w:val="24"/>
                <w:lang w:val="en-US"/>
              </w:rPr>
              <w:t>序号</w:t>
            </w:r>
          </w:p>
        </w:tc>
        <w:tc>
          <w:tcPr>
            <w:tcW w:w="304" w:type="pct"/>
            <w:noWrap w:val="0"/>
            <w:vAlign w:val="center"/>
          </w:tcPr>
          <w:p w14:paraId="57F5465D">
            <w:pPr>
              <w:pStyle w:val="2"/>
              <w:autoSpaceDE/>
              <w:autoSpaceDN/>
              <w:adjustRightInd/>
              <w:spacing w:line="240" w:lineRule="auto"/>
              <w:jc w:val="center"/>
              <w:rPr>
                <w:rFonts w:hint="eastAsia" w:hAnsi="宋体" w:cs="宋体"/>
                <w:b/>
                <w:bCs/>
                <w:szCs w:val="24"/>
                <w:lang w:val="en-US"/>
              </w:rPr>
            </w:pPr>
            <w:r>
              <w:rPr>
                <w:rFonts w:hint="eastAsia" w:hAnsi="宋体" w:cs="宋体"/>
                <w:b/>
                <w:bCs/>
                <w:szCs w:val="24"/>
                <w:lang w:val="en-US"/>
              </w:rPr>
              <w:t>内容</w:t>
            </w:r>
          </w:p>
        </w:tc>
        <w:tc>
          <w:tcPr>
            <w:tcW w:w="988" w:type="pct"/>
            <w:noWrap w:val="0"/>
            <w:vAlign w:val="center"/>
          </w:tcPr>
          <w:p w14:paraId="6B335AA4">
            <w:pPr>
              <w:pStyle w:val="2"/>
              <w:autoSpaceDE/>
              <w:autoSpaceDN/>
              <w:adjustRightInd/>
              <w:spacing w:line="240" w:lineRule="auto"/>
              <w:jc w:val="center"/>
              <w:rPr>
                <w:rFonts w:hint="eastAsia" w:hAnsi="宋体" w:cs="宋体"/>
                <w:b/>
                <w:bCs/>
                <w:szCs w:val="24"/>
                <w:lang w:val="en-US"/>
              </w:rPr>
            </w:pPr>
            <w:r>
              <w:rPr>
                <w:rFonts w:hint="eastAsia" w:hAnsi="宋体" w:cs="宋体"/>
                <w:b/>
                <w:bCs/>
                <w:szCs w:val="24"/>
                <w:lang w:val="en-US"/>
              </w:rPr>
              <w:t>分项</w:t>
            </w:r>
          </w:p>
        </w:tc>
        <w:tc>
          <w:tcPr>
            <w:tcW w:w="2777" w:type="pct"/>
            <w:noWrap w:val="0"/>
            <w:vAlign w:val="center"/>
          </w:tcPr>
          <w:p w14:paraId="6648C274">
            <w:pPr>
              <w:pStyle w:val="2"/>
              <w:autoSpaceDE/>
              <w:autoSpaceDN/>
              <w:adjustRightInd/>
              <w:spacing w:line="240" w:lineRule="auto"/>
              <w:jc w:val="center"/>
              <w:rPr>
                <w:rFonts w:hAnsi="宋体" w:cs="宋体"/>
                <w:b/>
                <w:bCs/>
                <w:szCs w:val="24"/>
                <w:lang w:val="en-US"/>
              </w:rPr>
            </w:pPr>
            <w:r>
              <w:rPr>
                <w:rFonts w:hint="eastAsia" w:hAnsi="宋体" w:cs="宋体"/>
                <w:b/>
                <w:bCs/>
                <w:szCs w:val="24"/>
                <w:lang w:val="en-US"/>
              </w:rPr>
              <w:t>要求</w:t>
            </w:r>
          </w:p>
        </w:tc>
        <w:tc>
          <w:tcPr>
            <w:tcW w:w="627" w:type="pct"/>
            <w:noWrap w:val="0"/>
            <w:vAlign w:val="center"/>
          </w:tcPr>
          <w:p w14:paraId="0D4703B5">
            <w:pPr>
              <w:pStyle w:val="2"/>
              <w:autoSpaceDE/>
              <w:autoSpaceDN/>
              <w:adjustRightInd/>
              <w:spacing w:line="240" w:lineRule="auto"/>
              <w:jc w:val="center"/>
              <w:rPr>
                <w:rFonts w:hint="eastAsia" w:hAnsi="宋体" w:cs="宋体"/>
                <w:b/>
                <w:bCs/>
                <w:szCs w:val="24"/>
                <w:lang w:val="en-US"/>
              </w:rPr>
            </w:pPr>
            <w:r>
              <w:rPr>
                <w:rFonts w:hint="eastAsia" w:hAnsi="宋体" w:cs="宋体"/>
                <w:b/>
                <w:bCs/>
                <w:szCs w:val="24"/>
                <w:lang w:val="en-US"/>
              </w:rPr>
              <w:t>数量</w:t>
            </w:r>
          </w:p>
        </w:tc>
      </w:tr>
      <w:tr w14:paraId="4A9C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301" w:type="pct"/>
            <w:noWrap w:val="0"/>
            <w:vAlign w:val="center"/>
          </w:tcPr>
          <w:p w14:paraId="384F7A12">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w:t>
            </w:r>
          </w:p>
        </w:tc>
        <w:tc>
          <w:tcPr>
            <w:tcW w:w="304" w:type="pct"/>
            <w:vMerge w:val="restart"/>
            <w:noWrap w:val="0"/>
            <w:vAlign w:val="center"/>
          </w:tcPr>
          <w:p w14:paraId="5B49F943">
            <w:pPr>
              <w:pStyle w:val="2"/>
              <w:autoSpaceDE/>
              <w:autoSpaceDN/>
              <w:adjustRightInd/>
              <w:spacing w:line="240" w:lineRule="auto"/>
              <w:jc w:val="center"/>
              <w:rPr>
                <w:rFonts w:hint="eastAsia" w:hAnsi="宋体" w:cs="宋体"/>
                <w:szCs w:val="24"/>
                <w:lang w:val="en-US"/>
              </w:rPr>
            </w:pPr>
            <w:r>
              <w:rPr>
                <w:rFonts w:hAnsi="宋体" w:cs="宋体"/>
                <w:szCs w:val="24"/>
                <w:lang w:val="en-US"/>
              </w:rPr>
              <w:t>统一门户</w:t>
            </w:r>
          </w:p>
        </w:tc>
        <w:tc>
          <w:tcPr>
            <w:tcW w:w="988" w:type="pct"/>
            <w:noWrap w:val="0"/>
            <w:vAlign w:val="center"/>
          </w:tcPr>
          <w:p w14:paraId="5EDC3DDB">
            <w:pPr>
              <w:pStyle w:val="2"/>
              <w:autoSpaceDE/>
              <w:autoSpaceDN/>
              <w:adjustRightInd/>
              <w:spacing w:line="240" w:lineRule="auto"/>
              <w:jc w:val="center"/>
              <w:rPr>
                <w:rFonts w:hAnsi="宋体" w:cs="宋体"/>
                <w:szCs w:val="24"/>
                <w:lang w:val="en-US"/>
              </w:rPr>
            </w:pPr>
            <w:r>
              <w:rPr>
                <w:rFonts w:hAnsi="宋体" w:cs="宋体"/>
                <w:szCs w:val="24"/>
                <w:lang w:val="en-US"/>
              </w:rPr>
              <w:t>统一访问入口</w:t>
            </w:r>
          </w:p>
        </w:tc>
        <w:tc>
          <w:tcPr>
            <w:tcW w:w="2777" w:type="pct"/>
            <w:noWrap w:val="0"/>
            <w:vAlign w:val="center"/>
          </w:tcPr>
          <w:p w14:paraId="7DD96CBD">
            <w:pPr>
              <w:pStyle w:val="2"/>
              <w:autoSpaceDE/>
              <w:autoSpaceDN/>
              <w:adjustRightInd/>
              <w:spacing w:line="360" w:lineRule="auto"/>
              <w:jc w:val="left"/>
              <w:rPr>
                <w:rFonts w:hAnsi="宋体" w:cs="宋体"/>
                <w:szCs w:val="24"/>
                <w:lang w:val="en-US"/>
              </w:rPr>
            </w:pPr>
            <w:r>
              <w:rPr>
                <w:rFonts w:hAnsi="宋体" w:cs="宋体"/>
                <w:szCs w:val="24"/>
                <w:lang w:val="en-US"/>
              </w:rPr>
              <w:t>实现部门所有应用系统整合集成，实现</w:t>
            </w:r>
            <w:r>
              <w:rPr>
                <w:rFonts w:hint="eastAsia" w:hAnsi="宋体" w:cs="宋体"/>
                <w:szCs w:val="24"/>
                <w:lang w:val="en-US"/>
              </w:rPr>
              <w:t>“</w:t>
            </w:r>
            <w:r>
              <w:rPr>
                <w:rFonts w:hAnsi="宋体" w:cs="宋体"/>
                <w:szCs w:val="24"/>
                <w:lang w:val="en-US"/>
              </w:rPr>
              <w:t>一单位一平台</w:t>
            </w:r>
            <w:r>
              <w:rPr>
                <w:rFonts w:hint="eastAsia" w:hAnsi="宋体" w:cs="宋体"/>
                <w:szCs w:val="24"/>
                <w:lang w:val="en-US"/>
              </w:rPr>
              <w:t>”</w:t>
            </w:r>
            <w:r>
              <w:rPr>
                <w:rFonts w:hAnsi="宋体" w:cs="宋体"/>
                <w:szCs w:val="24"/>
                <w:lang w:val="en-US"/>
              </w:rPr>
              <w:t>，所有应用系统统一使用一单位一平台登录地址访问，形成统一的业务资源访问入口，基于统一用户体系，实现对用户身份标识，用户登录后能够看到且只能看到自己权限范围内的所有应用和信息，提供基于可靠访问控制的</w:t>
            </w:r>
            <w:r>
              <w:rPr>
                <w:rFonts w:hint="eastAsia" w:hAnsi="宋体" w:cs="宋体"/>
                <w:szCs w:val="24"/>
                <w:lang w:val="en-US"/>
              </w:rPr>
              <w:t>“</w:t>
            </w:r>
            <w:r>
              <w:rPr>
                <w:rFonts w:hAnsi="宋体" w:cs="宋体"/>
                <w:szCs w:val="24"/>
                <w:lang w:val="en-US"/>
              </w:rPr>
              <w:t>一点登录、多点漫游</w:t>
            </w:r>
            <w:r>
              <w:rPr>
                <w:rFonts w:hint="eastAsia" w:hAnsi="宋体" w:cs="宋体"/>
                <w:szCs w:val="24"/>
                <w:lang w:val="en-US"/>
              </w:rPr>
              <w:t>”</w:t>
            </w:r>
            <w:r>
              <w:rPr>
                <w:rFonts w:hAnsi="宋体" w:cs="宋体"/>
                <w:szCs w:val="24"/>
                <w:lang w:val="en-US"/>
              </w:rPr>
              <w:t>功能，用户只需一次登录就可以访问授权范围内的应用系统。</w:t>
            </w:r>
          </w:p>
        </w:tc>
        <w:tc>
          <w:tcPr>
            <w:tcW w:w="627" w:type="pct"/>
            <w:noWrap w:val="0"/>
            <w:vAlign w:val="center"/>
          </w:tcPr>
          <w:p w14:paraId="3712D3B1">
            <w:pPr>
              <w:pStyle w:val="2"/>
              <w:autoSpaceDE/>
              <w:autoSpaceDN/>
              <w:adjustRightInd/>
              <w:spacing w:line="240" w:lineRule="auto"/>
              <w:jc w:val="center"/>
              <w:rPr>
                <w:rFonts w:hAnsi="宋体" w:cs="宋体"/>
                <w:szCs w:val="24"/>
                <w:lang w:val="en-US"/>
              </w:rPr>
            </w:pPr>
            <w:r>
              <w:rPr>
                <w:rFonts w:hint="eastAsia" w:hAnsi="宋体" w:cs="宋体"/>
                <w:szCs w:val="24"/>
                <w:lang w:val="en-US"/>
              </w:rPr>
              <w:t>1项</w:t>
            </w:r>
          </w:p>
        </w:tc>
      </w:tr>
      <w:tr w14:paraId="1AE9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01" w:type="pct"/>
            <w:noWrap w:val="0"/>
            <w:vAlign w:val="center"/>
          </w:tcPr>
          <w:p w14:paraId="019C2804">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2</w:t>
            </w:r>
          </w:p>
        </w:tc>
        <w:tc>
          <w:tcPr>
            <w:tcW w:w="304" w:type="pct"/>
            <w:vMerge w:val="continue"/>
            <w:noWrap w:val="0"/>
            <w:vAlign w:val="center"/>
          </w:tcPr>
          <w:p w14:paraId="353A76CF">
            <w:pPr>
              <w:pStyle w:val="2"/>
              <w:autoSpaceDE/>
              <w:autoSpaceDN/>
              <w:adjustRightInd/>
              <w:spacing w:line="240" w:lineRule="auto"/>
              <w:jc w:val="center"/>
              <w:rPr>
                <w:rFonts w:hAnsi="宋体" w:cs="宋体"/>
                <w:szCs w:val="24"/>
                <w:lang w:val="en-US"/>
              </w:rPr>
            </w:pPr>
          </w:p>
        </w:tc>
        <w:tc>
          <w:tcPr>
            <w:tcW w:w="988" w:type="pct"/>
            <w:noWrap w:val="0"/>
            <w:vAlign w:val="center"/>
          </w:tcPr>
          <w:p w14:paraId="2CC5AA29">
            <w:pPr>
              <w:pStyle w:val="2"/>
              <w:autoSpaceDE/>
              <w:autoSpaceDN/>
              <w:adjustRightInd/>
              <w:spacing w:line="240" w:lineRule="auto"/>
              <w:jc w:val="center"/>
              <w:rPr>
                <w:rFonts w:hAnsi="宋体" w:cs="宋体"/>
                <w:szCs w:val="24"/>
                <w:lang w:val="en-US"/>
              </w:rPr>
            </w:pPr>
            <w:r>
              <w:rPr>
                <w:rFonts w:hAnsi="宋体" w:cs="宋体"/>
                <w:szCs w:val="24"/>
                <w:lang w:val="en-US"/>
              </w:rPr>
              <w:t>统一域名</w:t>
            </w:r>
          </w:p>
        </w:tc>
        <w:tc>
          <w:tcPr>
            <w:tcW w:w="2777" w:type="pct"/>
            <w:noWrap w:val="0"/>
            <w:vAlign w:val="center"/>
          </w:tcPr>
          <w:p w14:paraId="3C0A51E1">
            <w:pPr>
              <w:pStyle w:val="2"/>
              <w:autoSpaceDE/>
              <w:autoSpaceDN/>
              <w:adjustRightInd/>
              <w:spacing w:line="360" w:lineRule="auto"/>
              <w:jc w:val="left"/>
              <w:rPr>
                <w:rFonts w:hAnsi="宋体" w:cs="宋体"/>
                <w:szCs w:val="24"/>
                <w:lang w:val="en-US"/>
              </w:rPr>
            </w:pPr>
            <w:r>
              <w:rPr>
                <w:rFonts w:hAnsi="宋体" w:cs="宋体"/>
                <w:szCs w:val="24"/>
                <w:lang w:val="en-US"/>
              </w:rPr>
              <w:t>规范域名管理，配合用户制订和管理好应用域名申请和使用规范工作，规范域名所有的应用子系统域名必选为应用主域名的下级域名。</w:t>
            </w:r>
          </w:p>
        </w:tc>
        <w:tc>
          <w:tcPr>
            <w:tcW w:w="627" w:type="pct"/>
            <w:noWrap w:val="0"/>
            <w:vAlign w:val="center"/>
          </w:tcPr>
          <w:p w14:paraId="3DA6A94B">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4627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01" w:type="pct"/>
            <w:noWrap w:val="0"/>
            <w:vAlign w:val="center"/>
          </w:tcPr>
          <w:p w14:paraId="3E21024C">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3</w:t>
            </w:r>
          </w:p>
        </w:tc>
        <w:tc>
          <w:tcPr>
            <w:tcW w:w="304" w:type="pct"/>
            <w:vMerge w:val="continue"/>
            <w:noWrap w:val="0"/>
            <w:vAlign w:val="center"/>
          </w:tcPr>
          <w:p w14:paraId="57D3DFBE">
            <w:pPr>
              <w:pStyle w:val="2"/>
              <w:autoSpaceDE/>
              <w:autoSpaceDN/>
              <w:adjustRightInd/>
              <w:spacing w:line="240" w:lineRule="auto"/>
              <w:jc w:val="center"/>
              <w:rPr>
                <w:rFonts w:hAnsi="宋体" w:cs="宋体"/>
                <w:szCs w:val="24"/>
                <w:lang w:val="en-US"/>
              </w:rPr>
            </w:pPr>
          </w:p>
        </w:tc>
        <w:tc>
          <w:tcPr>
            <w:tcW w:w="988" w:type="pct"/>
            <w:noWrap w:val="0"/>
            <w:vAlign w:val="center"/>
          </w:tcPr>
          <w:p w14:paraId="7E83AAC0">
            <w:pPr>
              <w:pStyle w:val="2"/>
              <w:autoSpaceDE/>
              <w:autoSpaceDN/>
              <w:adjustRightInd/>
              <w:spacing w:line="240" w:lineRule="auto"/>
              <w:jc w:val="center"/>
              <w:rPr>
                <w:rFonts w:hAnsi="宋体" w:cs="宋体"/>
                <w:szCs w:val="24"/>
                <w:lang w:val="en-US"/>
              </w:rPr>
            </w:pPr>
            <w:r>
              <w:rPr>
                <w:rFonts w:hAnsi="宋体" w:cs="宋体"/>
                <w:szCs w:val="24"/>
                <w:lang w:val="en-US"/>
              </w:rPr>
              <w:t>统一界面风格</w:t>
            </w:r>
          </w:p>
        </w:tc>
        <w:tc>
          <w:tcPr>
            <w:tcW w:w="2777" w:type="pct"/>
            <w:noWrap w:val="0"/>
            <w:vAlign w:val="center"/>
          </w:tcPr>
          <w:p w14:paraId="1E8F127E">
            <w:pPr>
              <w:pStyle w:val="2"/>
              <w:autoSpaceDE/>
              <w:autoSpaceDN/>
              <w:adjustRightInd/>
              <w:spacing w:line="360" w:lineRule="auto"/>
              <w:jc w:val="left"/>
              <w:rPr>
                <w:rFonts w:hAnsi="宋体" w:cs="宋体"/>
                <w:szCs w:val="24"/>
                <w:lang w:val="en-US"/>
              </w:rPr>
            </w:pPr>
            <w:r>
              <w:rPr>
                <w:rFonts w:hAnsi="宋体" w:cs="宋体"/>
                <w:szCs w:val="24"/>
                <w:lang w:val="en-US"/>
              </w:rPr>
              <w:t>建立一套设计规范，包括颜色、字体、图标、布局等视觉元素的统一，确保在不同设备和屏幕尺寸下，功能的设计和布局都能够自适应调整，确保在不同平台（web端、IOS、Android）上的功能实现和用户体验尽可能一致。</w:t>
            </w:r>
          </w:p>
        </w:tc>
        <w:tc>
          <w:tcPr>
            <w:tcW w:w="627" w:type="pct"/>
            <w:noWrap w:val="0"/>
            <w:vAlign w:val="center"/>
          </w:tcPr>
          <w:p w14:paraId="51D3191A">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03F0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01" w:type="pct"/>
            <w:noWrap w:val="0"/>
            <w:vAlign w:val="center"/>
          </w:tcPr>
          <w:p w14:paraId="2ABAE4E7">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4</w:t>
            </w:r>
          </w:p>
        </w:tc>
        <w:tc>
          <w:tcPr>
            <w:tcW w:w="304" w:type="pct"/>
            <w:vMerge w:val="continue"/>
            <w:noWrap w:val="0"/>
            <w:vAlign w:val="center"/>
          </w:tcPr>
          <w:p w14:paraId="70B0A2E5">
            <w:pPr>
              <w:pStyle w:val="2"/>
              <w:autoSpaceDE/>
              <w:autoSpaceDN/>
              <w:adjustRightInd/>
              <w:spacing w:line="240" w:lineRule="auto"/>
              <w:jc w:val="center"/>
              <w:rPr>
                <w:rFonts w:hAnsi="宋体" w:cs="宋体"/>
                <w:szCs w:val="24"/>
                <w:lang w:val="en-US"/>
              </w:rPr>
            </w:pPr>
          </w:p>
        </w:tc>
        <w:tc>
          <w:tcPr>
            <w:tcW w:w="988" w:type="pct"/>
            <w:noWrap w:val="0"/>
            <w:vAlign w:val="center"/>
          </w:tcPr>
          <w:p w14:paraId="6D15593F">
            <w:pPr>
              <w:pStyle w:val="2"/>
              <w:autoSpaceDE/>
              <w:autoSpaceDN/>
              <w:adjustRightInd/>
              <w:spacing w:line="240" w:lineRule="auto"/>
              <w:jc w:val="center"/>
              <w:rPr>
                <w:rFonts w:hAnsi="宋体" w:cs="宋体"/>
                <w:szCs w:val="24"/>
                <w:lang w:val="en-US"/>
              </w:rPr>
            </w:pPr>
            <w:r>
              <w:rPr>
                <w:rFonts w:hAnsi="宋体" w:cs="宋体"/>
                <w:szCs w:val="24"/>
                <w:lang w:val="en-US"/>
              </w:rPr>
              <w:t>统一待办</w:t>
            </w:r>
          </w:p>
        </w:tc>
        <w:tc>
          <w:tcPr>
            <w:tcW w:w="2777" w:type="pct"/>
            <w:noWrap w:val="0"/>
            <w:vAlign w:val="center"/>
          </w:tcPr>
          <w:p w14:paraId="583174E7">
            <w:pPr>
              <w:pStyle w:val="2"/>
              <w:autoSpaceDE/>
              <w:autoSpaceDN/>
              <w:adjustRightInd/>
              <w:spacing w:line="360" w:lineRule="auto"/>
              <w:jc w:val="left"/>
              <w:rPr>
                <w:rFonts w:hAnsi="宋体" w:cs="宋体"/>
                <w:szCs w:val="24"/>
                <w:lang w:val="en-US"/>
              </w:rPr>
            </w:pPr>
            <w:r>
              <w:rPr>
                <w:rFonts w:hAnsi="宋体" w:cs="宋体"/>
                <w:szCs w:val="24"/>
                <w:lang w:val="en-US"/>
              </w:rPr>
              <w:t>实现各子应用系统的待办消息的集中展现,包括待办集中呈现、待办单点集中处理、待办标星。</w:t>
            </w:r>
          </w:p>
        </w:tc>
        <w:tc>
          <w:tcPr>
            <w:tcW w:w="627" w:type="pct"/>
            <w:noWrap w:val="0"/>
            <w:vAlign w:val="center"/>
          </w:tcPr>
          <w:p w14:paraId="009112CD">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36B1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301" w:type="pct"/>
            <w:noWrap w:val="0"/>
            <w:vAlign w:val="center"/>
          </w:tcPr>
          <w:p w14:paraId="37419D8C">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5</w:t>
            </w:r>
          </w:p>
        </w:tc>
        <w:tc>
          <w:tcPr>
            <w:tcW w:w="304" w:type="pct"/>
            <w:vMerge w:val="restart"/>
            <w:noWrap w:val="0"/>
            <w:vAlign w:val="center"/>
          </w:tcPr>
          <w:p w14:paraId="41E9232B">
            <w:pPr>
              <w:pStyle w:val="2"/>
              <w:autoSpaceDE/>
              <w:autoSpaceDN/>
              <w:adjustRightInd/>
              <w:spacing w:line="240" w:lineRule="auto"/>
              <w:jc w:val="center"/>
              <w:rPr>
                <w:rFonts w:hAnsi="宋体" w:cs="宋体"/>
                <w:szCs w:val="24"/>
                <w:lang w:val="en-US"/>
              </w:rPr>
            </w:pPr>
            <w:r>
              <w:rPr>
                <w:rFonts w:hAnsi="宋体" w:cs="宋体"/>
                <w:szCs w:val="24"/>
                <w:lang w:val="en-US"/>
              </w:rPr>
              <w:t>统一用户管理</w:t>
            </w:r>
          </w:p>
        </w:tc>
        <w:tc>
          <w:tcPr>
            <w:tcW w:w="988" w:type="pct"/>
            <w:noWrap w:val="0"/>
            <w:vAlign w:val="center"/>
          </w:tcPr>
          <w:p w14:paraId="3D43383B">
            <w:pPr>
              <w:pStyle w:val="2"/>
              <w:autoSpaceDE/>
              <w:autoSpaceDN/>
              <w:adjustRightInd/>
              <w:spacing w:line="240" w:lineRule="auto"/>
              <w:jc w:val="center"/>
              <w:rPr>
                <w:rFonts w:hAnsi="宋体" w:cs="宋体"/>
                <w:szCs w:val="24"/>
                <w:lang w:val="en-US"/>
              </w:rPr>
            </w:pPr>
            <w:r>
              <w:rPr>
                <w:rFonts w:hAnsi="宋体" w:cs="宋体"/>
                <w:szCs w:val="24"/>
                <w:lang w:val="en-US"/>
              </w:rPr>
              <w:t>统一用户体系</w:t>
            </w:r>
          </w:p>
        </w:tc>
        <w:tc>
          <w:tcPr>
            <w:tcW w:w="2777" w:type="pct"/>
            <w:noWrap w:val="0"/>
            <w:vAlign w:val="center"/>
          </w:tcPr>
          <w:p w14:paraId="6C10F9B9">
            <w:pPr>
              <w:pStyle w:val="2"/>
              <w:autoSpaceDE/>
              <w:autoSpaceDN/>
              <w:adjustRightInd/>
              <w:spacing w:line="360" w:lineRule="auto"/>
              <w:jc w:val="left"/>
              <w:rPr>
                <w:rFonts w:hAnsi="宋体" w:cs="宋体"/>
                <w:szCs w:val="24"/>
                <w:lang w:val="en-US"/>
              </w:rPr>
            </w:pPr>
            <w:r>
              <w:rPr>
                <w:rFonts w:hAnsi="宋体" w:cs="宋体"/>
                <w:szCs w:val="24"/>
                <w:lang w:val="en-US"/>
              </w:rPr>
              <w:t>基于</w:t>
            </w:r>
            <w:r>
              <w:rPr>
                <w:rFonts w:hint="eastAsia" w:hAnsi="宋体" w:cs="宋体"/>
                <w:szCs w:val="24"/>
                <w:lang w:val="en-US"/>
              </w:rPr>
              <w:t>使用IRS组织架构与用户体系（浙政钉）组件</w:t>
            </w:r>
            <w:r>
              <w:rPr>
                <w:rFonts w:hAnsi="宋体" w:cs="宋体"/>
                <w:szCs w:val="24"/>
                <w:lang w:val="en-US"/>
              </w:rPr>
              <w:t>，通过和浙政钉用户体系对接，实现对各级各单位用户信息、凭证、组织机构等信息进行集成管理，采用统一用户认证作为用户管理及授权的核心服务，通过统一用户认证，为所有应用提供统一用户认证和授权，实现用户的流程化管理，控制账号的整个生命周期。</w:t>
            </w:r>
          </w:p>
        </w:tc>
        <w:tc>
          <w:tcPr>
            <w:tcW w:w="627" w:type="pct"/>
            <w:noWrap w:val="0"/>
            <w:vAlign w:val="center"/>
          </w:tcPr>
          <w:p w14:paraId="599ADB86">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2839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01" w:type="pct"/>
            <w:noWrap w:val="0"/>
            <w:vAlign w:val="center"/>
          </w:tcPr>
          <w:p w14:paraId="5543D0F2">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6</w:t>
            </w:r>
          </w:p>
        </w:tc>
        <w:tc>
          <w:tcPr>
            <w:tcW w:w="304" w:type="pct"/>
            <w:vMerge w:val="continue"/>
            <w:noWrap w:val="0"/>
            <w:vAlign w:val="center"/>
          </w:tcPr>
          <w:p w14:paraId="6FF2A5F7">
            <w:pPr>
              <w:pStyle w:val="2"/>
              <w:autoSpaceDE/>
              <w:autoSpaceDN/>
              <w:adjustRightInd/>
              <w:spacing w:line="240" w:lineRule="auto"/>
              <w:jc w:val="center"/>
              <w:rPr>
                <w:rFonts w:hAnsi="宋体" w:cs="宋体"/>
                <w:szCs w:val="24"/>
                <w:lang w:val="en-US"/>
              </w:rPr>
            </w:pPr>
          </w:p>
        </w:tc>
        <w:tc>
          <w:tcPr>
            <w:tcW w:w="988" w:type="pct"/>
            <w:vMerge w:val="restart"/>
            <w:noWrap w:val="0"/>
            <w:vAlign w:val="center"/>
          </w:tcPr>
          <w:p w14:paraId="758FAC99">
            <w:pPr>
              <w:pStyle w:val="2"/>
              <w:autoSpaceDE/>
              <w:autoSpaceDN/>
              <w:adjustRightInd/>
              <w:spacing w:line="240" w:lineRule="auto"/>
              <w:jc w:val="center"/>
              <w:rPr>
                <w:rFonts w:hAnsi="宋体" w:cs="宋体"/>
                <w:szCs w:val="24"/>
                <w:lang w:val="en-US"/>
              </w:rPr>
            </w:pPr>
            <w:r>
              <w:rPr>
                <w:rFonts w:hAnsi="宋体" w:cs="宋体"/>
                <w:szCs w:val="24"/>
                <w:lang w:val="en-US"/>
              </w:rPr>
              <w:t>统一机构管理</w:t>
            </w:r>
          </w:p>
        </w:tc>
        <w:tc>
          <w:tcPr>
            <w:tcW w:w="2777" w:type="pct"/>
            <w:noWrap w:val="0"/>
            <w:vAlign w:val="center"/>
          </w:tcPr>
          <w:p w14:paraId="512ADD5A">
            <w:pPr>
              <w:pStyle w:val="2"/>
              <w:autoSpaceDE/>
              <w:autoSpaceDN/>
              <w:adjustRightInd/>
              <w:spacing w:line="360" w:lineRule="auto"/>
              <w:jc w:val="left"/>
              <w:rPr>
                <w:rFonts w:hAnsi="宋体" w:cs="宋体"/>
                <w:szCs w:val="24"/>
                <w:lang w:val="en-US"/>
              </w:rPr>
            </w:pPr>
            <w:r>
              <w:rPr>
                <w:rFonts w:hAnsi="宋体" w:cs="宋体"/>
                <w:szCs w:val="24"/>
                <w:lang w:val="en-US"/>
              </w:rPr>
              <w:t>通过同步浙政钉组织架构，也可手动管理机构的基本信息，包含上级机构、机构简称、机构全称、组织类型关联角色。支持调整组织架构排序和设置机构的启用与禁用状态，当机构禁用时，所在机构的账户登录后无法查看该机构的所有信息。</w:t>
            </w:r>
          </w:p>
        </w:tc>
        <w:tc>
          <w:tcPr>
            <w:tcW w:w="627" w:type="pct"/>
            <w:noWrap w:val="0"/>
            <w:vAlign w:val="center"/>
          </w:tcPr>
          <w:p w14:paraId="0403A191">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012D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01" w:type="pct"/>
            <w:noWrap w:val="0"/>
            <w:vAlign w:val="center"/>
          </w:tcPr>
          <w:p w14:paraId="6DA91D37">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7</w:t>
            </w:r>
          </w:p>
        </w:tc>
        <w:tc>
          <w:tcPr>
            <w:tcW w:w="304" w:type="pct"/>
            <w:vMerge w:val="continue"/>
            <w:noWrap w:val="0"/>
            <w:vAlign w:val="center"/>
          </w:tcPr>
          <w:p w14:paraId="29477EBC">
            <w:pPr>
              <w:pStyle w:val="2"/>
              <w:autoSpaceDE/>
              <w:autoSpaceDN/>
              <w:adjustRightInd/>
              <w:spacing w:line="240" w:lineRule="auto"/>
              <w:jc w:val="center"/>
              <w:rPr>
                <w:rFonts w:hAnsi="宋体" w:cs="宋体"/>
                <w:szCs w:val="24"/>
                <w:lang w:val="en-US"/>
              </w:rPr>
            </w:pPr>
          </w:p>
        </w:tc>
        <w:tc>
          <w:tcPr>
            <w:tcW w:w="988" w:type="pct"/>
            <w:vMerge w:val="continue"/>
            <w:noWrap w:val="0"/>
            <w:vAlign w:val="center"/>
          </w:tcPr>
          <w:p w14:paraId="5CC8DE3E">
            <w:pPr>
              <w:pStyle w:val="2"/>
              <w:autoSpaceDE/>
              <w:autoSpaceDN/>
              <w:adjustRightInd/>
              <w:spacing w:line="240" w:lineRule="auto"/>
              <w:jc w:val="center"/>
              <w:rPr>
                <w:rFonts w:hAnsi="宋体" w:cs="宋体"/>
                <w:szCs w:val="24"/>
                <w:lang w:val="en-US"/>
              </w:rPr>
            </w:pPr>
          </w:p>
        </w:tc>
        <w:tc>
          <w:tcPr>
            <w:tcW w:w="2777" w:type="pct"/>
            <w:noWrap w:val="0"/>
            <w:vAlign w:val="center"/>
          </w:tcPr>
          <w:p w14:paraId="182ECB5E">
            <w:pPr>
              <w:pStyle w:val="2"/>
              <w:autoSpaceDE/>
              <w:autoSpaceDN/>
              <w:adjustRightInd/>
              <w:spacing w:line="360" w:lineRule="auto"/>
              <w:jc w:val="left"/>
              <w:rPr>
                <w:rFonts w:hAnsi="宋体" w:cs="宋体"/>
                <w:szCs w:val="24"/>
                <w:lang w:val="en-US"/>
              </w:rPr>
            </w:pPr>
            <w:r>
              <w:rPr>
                <w:rFonts w:hAnsi="宋体" w:cs="宋体"/>
                <w:szCs w:val="24"/>
                <w:lang w:val="en-US"/>
              </w:rPr>
              <w:t>为平台子应用系统提供组织架构同步接口，包括组织架构全量同步接口、增量同步接口。第三方应用根据组织架构同步接口要求进行接入，实现组织架构新增、变更、停用的统一管理。</w:t>
            </w:r>
          </w:p>
        </w:tc>
        <w:tc>
          <w:tcPr>
            <w:tcW w:w="627" w:type="pct"/>
            <w:noWrap w:val="0"/>
            <w:vAlign w:val="center"/>
          </w:tcPr>
          <w:p w14:paraId="7A394EA8">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07AA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01" w:type="pct"/>
            <w:noWrap w:val="0"/>
            <w:vAlign w:val="center"/>
          </w:tcPr>
          <w:p w14:paraId="104E5824">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8</w:t>
            </w:r>
          </w:p>
        </w:tc>
        <w:tc>
          <w:tcPr>
            <w:tcW w:w="304" w:type="pct"/>
            <w:vMerge w:val="continue"/>
            <w:noWrap w:val="0"/>
            <w:vAlign w:val="center"/>
          </w:tcPr>
          <w:p w14:paraId="47F5445F">
            <w:pPr>
              <w:pStyle w:val="2"/>
              <w:autoSpaceDE/>
              <w:autoSpaceDN/>
              <w:adjustRightInd/>
              <w:spacing w:line="240" w:lineRule="auto"/>
              <w:jc w:val="center"/>
              <w:rPr>
                <w:rFonts w:hAnsi="宋体" w:cs="宋体"/>
                <w:szCs w:val="24"/>
                <w:lang w:val="en-US"/>
              </w:rPr>
            </w:pPr>
          </w:p>
        </w:tc>
        <w:tc>
          <w:tcPr>
            <w:tcW w:w="988" w:type="pct"/>
            <w:noWrap w:val="0"/>
            <w:vAlign w:val="center"/>
          </w:tcPr>
          <w:p w14:paraId="776053C0">
            <w:pPr>
              <w:pStyle w:val="2"/>
              <w:autoSpaceDE/>
              <w:autoSpaceDN/>
              <w:adjustRightInd/>
              <w:spacing w:line="240" w:lineRule="auto"/>
              <w:jc w:val="center"/>
              <w:rPr>
                <w:rFonts w:hAnsi="宋体" w:cs="宋体"/>
                <w:szCs w:val="24"/>
                <w:lang w:val="en-US"/>
              </w:rPr>
            </w:pPr>
            <w:r>
              <w:rPr>
                <w:rFonts w:hAnsi="宋体" w:cs="宋体"/>
                <w:szCs w:val="24"/>
                <w:lang w:val="en-US"/>
              </w:rPr>
              <w:t>统一账号管理</w:t>
            </w:r>
          </w:p>
        </w:tc>
        <w:tc>
          <w:tcPr>
            <w:tcW w:w="2777" w:type="pct"/>
            <w:noWrap w:val="0"/>
            <w:vAlign w:val="center"/>
          </w:tcPr>
          <w:p w14:paraId="7BC8192F">
            <w:pPr>
              <w:pStyle w:val="2"/>
              <w:autoSpaceDE/>
              <w:autoSpaceDN/>
              <w:adjustRightInd/>
              <w:spacing w:line="360" w:lineRule="auto"/>
              <w:jc w:val="left"/>
              <w:rPr>
                <w:rFonts w:hAnsi="宋体" w:cs="宋体"/>
                <w:szCs w:val="24"/>
                <w:lang w:val="en-US"/>
              </w:rPr>
            </w:pPr>
            <w:r>
              <w:rPr>
                <w:rFonts w:hAnsi="宋体" w:cs="宋体"/>
                <w:szCs w:val="24"/>
                <w:lang w:val="en-US"/>
              </w:rPr>
              <w:t>为用户子系统提供用户同步接口。包括账户全量同步接口、增量同步接口。第三方应用根据用户同步接口要求进行接入，实现用户开通、变更、停用、注销的统一管理。</w:t>
            </w:r>
          </w:p>
        </w:tc>
        <w:tc>
          <w:tcPr>
            <w:tcW w:w="627" w:type="pct"/>
            <w:noWrap w:val="0"/>
            <w:vAlign w:val="center"/>
          </w:tcPr>
          <w:p w14:paraId="56E89230">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6A4C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01" w:type="pct"/>
            <w:noWrap w:val="0"/>
            <w:vAlign w:val="center"/>
          </w:tcPr>
          <w:p w14:paraId="5900C780">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9</w:t>
            </w:r>
          </w:p>
        </w:tc>
        <w:tc>
          <w:tcPr>
            <w:tcW w:w="304" w:type="pct"/>
            <w:vMerge w:val="continue"/>
            <w:noWrap w:val="0"/>
            <w:vAlign w:val="center"/>
          </w:tcPr>
          <w:p w14:paraId="1E59F36E">
            <w:pPr>
              <w:pStyle w:val="2"/>
              <w:autoSpaceDE/>
              <w:autoSpaceDN/>
              <w:adjustRightInd/>
              <w:spacing w:line="240" w:lineRule="auto"/>
              <w:jc w:val="center"/>
              <w:rPr>
                <w:rFonts w:hAnsi="宋体" w:cs="宋体"/>
                <w:szCs w:val="24"/>
                <w:lang w:val="en-US"/>
              </w:rPr>
            </w:pPr>
          </w:p>
        </w:tc>
        <w:tc>
          <w:tcPr>
            <w:tcW w:w="988" w:type="pct"/>
            <w:noWrap w:val="0"/>
            <w:vAlign w:val="center"/>
          </w:tcPr>
          <w:p w14:paraId="141F42B0">
            <w:pPr>
              <w:pStyle w:val="2"/>
              <w:autoSpaceDE/>
              <w:autoSpaceDN/>
              <w:adjustRightInd/>
              <w:spacing w:line="240" w:lineRule="auto"/>
              <w:jc w:val="center"/>
              <w:rPr>
                <w:rFonts w:hAnsi="宋体" w:cs="宋体"/>
                <w:szCs w:val="24"/>
                <w:lang w:val="en-US"/>
              </w:rPr>
            </w:pPr>
            <w:r>
              <w:rPr>
                <w:rFonts w:hAnsi="宋体" w:cs="宋体"/>
                <w:szCs w:val="24"/>
                <w:lang w:val="en-US"/>
              </w:rPr>
              <w:t>统一认证</w:t>
            </w:r>
          </w:p>
        </w:tc>
        <w:tc>
          <w:tcPr>
            <w:tcW w:w="2777" w:type="pct"/>
            <w:noWrap w:val="0"/>
            <w:vAlign w:val="center"/>
          </w:tcPr>
          <w:p w14:paraId="4D2DDA78">
            <w:pPr>
              <w:pStyle w:val="2"/>
              <w:autoSpaceDE/>
              <w:autoSpaceDN/>
              <w:adjustRightInd/>
              <w:spacing w:line="360" w:lineRule="auto"/>
              <w:jc w:val="left"/>
              <w:rPr>
                <w:rFonts w:hAnsi="宋体" w:cs="宋体"/>
                <w:szCs w:val="24"/>
                <w:lang w:val="en-US"/>
              </w:rPr>
            </w:pPr>
            <w:r>
              <w:rPr>
                <w:rFonts w:hAnsi="宋体" w:cs="宋体"/>
                <w:szCs w:val="24"/>
                <w:lang w:val="en-US"/>
              </w:rPr>
              <w:t>基于统一用户体系，实现对用户身份标识，有效区别不同类型的用户，提供基于可靠访问控制的</w:t>
            </w:r>
            <w:r>
              <w:rPr>
                <w:rFonts w:hint="eastAsia" w:hAnsi="宋体" w:cs="宋体"/>
                <w:szCs w:val="24"/>
                <w:lang w:val="en-US"/>
              </w:rPr>
              <w:t>“</w:t>
            </w:r>
            <w:r>
              <w:rPr>
                <w:rFonts w:hAnsi="宋体" w:cs="宋体"/>
                <w:szCs w:val="24"/>
                <w:lang w:val="en-US"/>
              </w:rPr>
              <w:t>一点登录、多点漫游</w:t>
            </w:r>
            <w:r>
              <w:rPr>
                <w:rFonts w:hint="eastAsia" w:hAnsi="宋体" w:cs="宋体"/>
                <w:szCs w:val="24"/>
                <w:lang w:val="en-US"/>
              </w:rPr>
              <w:t>”</w:t>
            </w:r>
            <w:r>
              <w:rPr>
                <w:rFonts w:hAnsi="宋体" w:cs="宋体"/>
                <w:szCs w:val="24"/>
                <w:lang w:val="en-US"/>
              </w:rPr>
              <w:t>功能，用户只需一次登录就可以访问授权范围内的应用系统，同时支撑现有系统集成，包含应用管理及开放认证。</w:t>
            </w:r>
          </w:p>
        </w:tc>
        <w:tc>
          <w:tcPr>
            <w:tcW w:w="627" w:type="pct"/>
            <w:noWrap w:val="0"/>
            <w:vAlign w:val="center"/>
          </w:tcPr>
          <w:p w14:paraId="6079918E">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6BEB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01" w:type="pct"/>
            <w:noWrap w:val="0"/>
            <w:vAlign w:val="center"/>
          </w:tcPr>
          <w:p w14:paraId="52E87822">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10</w:t>
            </w:r>
          </w:p>
        </w:tc>
        <w:tc>
          <w:tcPr>
            <w:tcW w:w="304" w:type="pct"/>
            <w:vMerge w:val="restart"/>
            <w:noWrap w:val="0"/>
            <w:vAlign w:val="center"/>
          </w:tcPr>
          <w:p w14:paraId="25C0349B">
            <w:pPr>
              <w:pStyle w:val="2"/>
              <w:autoSpaceDE/>
              <w:autoSpaceDN/>
              <w:adjustRightInd/>
              <w:spacing w:line="240" w:lineRule="auto"/>
              <w:jc w:val="center"/>
              <w:rPr>
                <w:rFonts w:hAnsi="宋体" w:cs="宋体"/>
                <w:szCs w:val="24"/>
                <w:lang w:val="en-US"/>
              </w:rPr>
            </w:pPr>
            <w:r>
              <w:rPr>
                <w:rFonts w:hAnsi="宋体" w:cs="宋体"/>
                <w:szCs w:val="24"/>
                <w:lang w:val="en-US"/>
              </w:rPr>
              <w:t>统一授权</w:t>
            </w:r>
          </w:p>
        </w:tc>
        <w:tc>
          <w:tcPr>
            <w:tcW w:w="988" w:type="pct"/>
            <w:noWrap w:val="0"/>
            <w:vAlign w:val="center"/>
          </w:tcPr>
          <w:p w14:paraId="1C281815">
            <w:pPr>
              <w:pStyle w:val="2"/>
              <w:autoSpaceDE/>
              <w:autoSpaceDN/>
              <w:adjustRightInd/>
              <w:spacing w:line="240" w:lineRule="auto"/>
              <w:jc w:val="center"/>
              <w:rPr>
                <w:rFonts w:hAnsi="宋体" w:cs="宋体"/>
                <w:szCs w:val="24"/>
                <w:lang w:val="en-US"/>
              </w:rPr>
            </w:pPr>
            <w:r>
              <w:rPr>
                <w:rFonts w:hAnsi="宋体" w:cs="宋体"/>
                <w:szCs w:val="24"/>
                <w:lang w:val="en-US"/>
              </w:rPr>
              <w:t>统一系统授权</w:t>
            </w:r>
          </w:p>
        </w:tc>
        <w:tc>
          <w:tcPr>
            <w:tcW w:w="2777" w:type="pct"/>
            <w:noWrap w:val="0"/>
            <w:vAlign w:val="center"/>
          </w:tcPr>
          <w:p w14:paraId="3ECD6D1D">
            <w:pPr>
              <w:pStyle w:val="2"/>
              <w:autoSpaceDE/>
              <w:autoSpaceDN/>
              <w:adjustRightInd/>
              <w:spacing w:line="360" w:lineRule="auto"/>
              <w:jc w:val="left"/>
              <w:rPr>
                <w:rFonts w:hAnsi="宋体" w:cs="宋体"/>
                <w:szCs w:val="24"/>
                <w:lang w:val="en-US"/>
              </w:rPr>
            </w:pPr>
            <w:r>
              <w:rPr>
                <w:rFonts w:hAnsi="宋体" w:cs="宋体"/>
                <w:szCs w:val="24"/>
                <w:lang w:val="en-US"/>
              </w:rPr>
              <w:t>对接入平台的应用进行上架信息管理，包括应用基本信息的维护，实现平台可进行统一的应用授权，应用上架发布后，被授权的用户可再可在工作台门户常用应用处查看应用。</w:t>
            </w:r>
          </w:p>
        </w:tc>
        <w:tc>
          <w:tcPr>
            <w:tcW w:w="627" w:type="pct"/>
            <w:noWrap w:val="0"/>
            <w:vAlign w:val="center"/>
          </w:tcPr>
          <w:p w14:paraId="7410220F">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4DBD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01" w:type="pct"/>
            <w:noWrap w:val="0"/>
            <w:vAlign w:val="center"/>
          </w:tcPr>
          <w:p w14:paraId="3647A14F">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11</w:t>
            </w:r>
          </w:p>
        </w:tc>
        <w:tc>
          <w:tcPr>
            <w:tcW w:w="304" w:type="pct"/>
            <w:vMerge w:val="continue"/>
            <w:noWrap w:val="0"/>
            <w:vAlign w:val="center"/>
          </w:tcPr>
          <w:p w14:paraId="27F44F23">
            <w:pPr>
              <w:pStyle w:val="2"/>
              <w:autoSpaceDE/>
              <w:autoSpaceDN/>
              <w:adjustRightInd/>
              <w:spacing w:line="240" w:lineRule="auto"/>
              <w:jc w:val="center"/>
              <w:rPr>
                <w:rFonts w:hAnsi="宋体" w:cs="宋体"/>
                <w:szCs w:val="24"/>
                <w:lang w:val="en-US"/>
              </w:rPr>
            </w:pPr>
          </w:p>
        </w:tc>
        <w:tc>
          <w:tcPr>
            <w:tcW w:w="988" w:type="pct"/>
            <w:noWrap w:val="0"/>
            <w:vAlign w:val="center"/>
          </w:tcPr>
          <w:p w14:paraId="3503158E">
            <w:pPr>
              <w:pStyle w:val="2"/>
              <w:autoSpaceDE/>
              <w:autoSpaceDN/>
              <w:adjustRightInd/>
              <w:spacing w:line="240" w:lineRule="auto"/>
              <w:jc w:val="center"/>
              <w:rPr>
                <w:rFonts w:hAnsi="宋体" w:cs="宋体"/>
                <w:szCs w:val="24"/>
                <w:lang w:val="en-US"/>
              </w:rPr>
            </w:pPr>
            <w:r>
              <w:rPr>
                <w:rFonts w:hAnsi="宋体" w:cs="宋体"/>
                <w:szCs w:val="24"/>
                <w:lang w:val="en-US"/>
              </w:rPr>
              <w:t>日志管理</w:t>
            </w:r>
          </w:p>
        </w:tc>
        <w:tc>
          <w:tcPr>
            <w:tcW w:w="2777" w:type="pct"/>
            <w:noWrap w:val="0"/>
            <w:vAlign w:val="center"/>
          </w:tcPr>
          <w:p w14:paraId="0BB8C297">
            <w:pPr>
              <w:pStyle w:val="2"/>
              <w:autoSpaceDE/>
              <w:autoSpaceDN/>
              <w:adjustRightInd/>
              <w:spacing w:line="360" w:lineRule="auto"/>
              <w:jc w:val="left"/>
              <w:rPr>
                <w:rFonts w:hAnsi="宋体" w:cs="宋体"/>
                <w:szCs w:val="24"/>
                <w:lang w:val="en-US"/>
              </w:rPr>
            </w:pPr>
            <w:r>
              <w:rPr>
                <w:rFonts w:hAnsi="宋体" w:cs="宋体"/>
                <w:szCs w:val="24"/>
                <w:lang w:val="en-US"/>
              </w:rPr>
              <w:t>应用上下架管理过程中产生的日志，包括上架时间、上架申请人、批准人、下架时间等。所有资源授权过程中产生的日志，包括授权人、授权时间、授权应用、授权资源等。</w:t>
            </w:r>
          </w:p>
        </w:tc>
        <w:tc>
          <w:tcPr>
            <w:tcW w:w="627" w:type="pct"/>
            <w:noWrap w:val="0"/>
            <w:vAlign w:val="center"/>
          </w:tcPr>
          <w:p w14:paraId="2520498D">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3394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01" w:type="pct"/>
            <w:noWrap w:val="0"/>
            <w:vAlign w:val="center"/>
          </w:tcPr>
          <w:p w14:paraId="6B5C85C0">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12</w:t>
            </w:r>
          </w:p>
        </w:tc>
        <w:tc>
          <w:tcPr>
            <w:tcW w:w="304" w:type="pct"/>
            <w:vMerge w:val="restart"/>
            <w:noWrap w:val="0"/>
            <w:vAlign w:val="center"/>
          </w:tcPr>
          <w:p w14:paraId="589EA946">
            <w:pPr>
              <w:pStyle w:val="2"/>
              <w:autoSpaceDE/>
              <w:autoSpaceDN/>
              <w:adjustRightInd/>
              <w:spacing w:line="240" w:lineRule="auto"/>
              <w:jc w:val="center"/>
              <w:rPr>
                <w:rFonts w:hAnsi="宋体" w:cs="宋体"/>
                <w:szCs w:val="24"/>
                <w:lang w:val="en-US"/>
              </w:rPr>
            </w:pPr>
            <w:r>
              <w:rPr>
                <w:rFonts w:hAnsi="宋体" w:cs="宋体"/>
                <w:szCs w:val="24"/>
                <w:lang w:val="en-US"/>
              </w:rPr>
              <w:t>统一接入管理</w:t>
            </w:r>
          </w:p>
        </w:tc>
        <w:tc>
          <w:tcPr>
            <w:tcW w:w="988" w:type="pct"/>
            <w:noWrap w:val="0"/>
            <w:vAlign w:val="center"/>
          </w:tcPr>
          <w:p w14:paraId="6B9B0C11">
            <w:pPr>
              <w:pStyle w:val="2"/>
              <w:autoSpaceDE/>
              <w:autoSpaceDN/>
              <w:adjustRightInd/>
              <w:spacing w:line="240" w:lineRule="auto"/>
              <w:jc w:val="center"/>
              <w:rPr>
                <w:rFonts w:hAnsi="宋体" w:cs="宋体"/>
                <w:szCs w:val="24"/>
                <w:lang w:val="en-US"/>
              </w:rPr>
            </w:pPr>
            <w:r>
              <w:rPr>
                <w:rFonts w:hAnsi="宋体" w:cs="宋体"/>
                <w:szCs w:val="24"/>
                <w:lang w:val="en-US"/>
              </w:rPr>
              <w:t>统一消息服务</w:t>
            </w:r>
          </w:p>
        </w:tc>
        <w:tc>
          <w:tcPr>
            <w:tcW w:w="2777" w:type="pct"/>
            <w:noWrap w:val="0"/>
            <w:vAlign w:val="center"/>
          </w:tcPr>
          <w:p w14:paraId="14875E92">
            <w:pPr>
              <w:pStyle w:val="2"/>
              <w:autoSpaceDE/>
              <w:autoSpaceDN/>
              <w:adjustRightInd/>
              <w:spacing w:line="360" w:lineRule="auto"/>
              <w:jc w:val="left"/>
              <w:rPr>
                <w:rFonts w:hAnsi="宋体" w:cs="宋体"/>
                <w:szCs w:val="24"/>
                <w:lang w:val="en-US"/>
              </w:rPr>
            </w:pPr>
            <w:r>
              <w:rPr>
                <w:rFonts w:hAnsi="宋体" w:cs="宋体"/>
                <w:szCs w:val="24"/>
                <w:lang w:val="en-US"/>
              </w:rPr>
              <w:t>建设统一的消息处理通道，集中系统消息、业务消息、待办消息，实现全系统消息的整合汇总，提供统一消息推送入口，平台消息推送支持平台系统待办、短信、浙政钉消息，建立成熟丰富的消息推送机制，实现消息的统一发布和统一管理。</w:t>
            </w:r>
          </w:p>
        </w:tc>
        <w:tc>
          <w:tcPr>
            <w:tcW w:w="627" w:type="pct"/>
            <w:noWrap w:val="0"/>
            <w:vAlign w:val="center"/>
          </w:tcPr>
          <w:p w14:paraId="388F0ADD">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3678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301" w:type="pct"/>
            <w:noWrap w:val="0"/>
            <w:vAlign w:val="center"/>
          </w:tcPr>
          <w:p w14:paraId="7000A074">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13</w:t>
            </w:r>
          </w:p>
        </w:tc>
        <w:tc>
          <w:tcPr>
            <w:tcW w:w="304" w:type="pct"/>
            <w:vMerge w:val="continue"/>
            <w:noWrap w:val="0"/>
            <w:vAlign w:val="center"/>
          </w:tcPr>
          <w:p w14:paraId="199CAAE2">
            <w:pPr>
              <w:pStyle w:val="2"/>
              <w:autoSpaceDE/>
              <w:autoSpaceDN/>
              <w:adjustRightInd/>
              <w:spacing w:line="240" w:lineRule="auto"/>
              <w:jc w:val="center"/>
              <w:rPr>
                <w:rFonts w:hAnsi="宋体" w:cs="宋体"/>
                <w:szCs w:val="24"/>
                <w:lang w:val="en-US"/>
              </w:rPr>
            </w:pPr>
          </w:p>
        </w:tc>
        <w:tc>
          <w:tcPr>
            <w:tcW w:w="988" w:type="pct"/>
            <w:noWrap w:val="0"/>
            <w:vAlign w:val="center"/>
          </w:tcPr>
          <w:p w14:paraId="507ECBFA">
            <w:pPr>
              <w:pStyle w:val="2"/>
              <w:autoSpaceDE/>
              <w:autoSpaceDN/>
              <w:adjustRightInd/>
              <w:spacing w:line="240" w:lineRule="auto"/>
              <w:jc w:val="center"/>
              <w:rPr>
                <w:rFonts w:hAnsi="宋体" w:cs="宋体"/>
                <w:szCs w:val="24"/>
                <w:lang w:val="en-US"/>
              </w:rPr>
            </w:pPr>
            <w:r>
              <w:rPr>
                <w:rFonts w:hAnsi="宋体" w:cs="宋体"/>
                <w:szCs w:val="24"/>
                <w:lang w:val="en-US"/>
              </w:rPr>
              <w:t>统一功能设计</w:t>
            </w:r>
          </w:p>
        </w:tc>
        <w:tc>
          <w:tcPr>
            <w:tcW w:w="2777" w:type="pct"/>
            <w:noWrap w:val="0"/>
            <w:vAlign w:val="center"/>
          </w:tcPr>
          <w:p w14:paraId="4B6A172E">
            <w:pPr>
              <w:pStyle w:val="2"/>
              <w:autoSpaceDE/>
              <w:autoSpaceDN/>
              <w:adjustRightInd/>
              <w:spacing w:line="360" w:lineRule="auto"/>
              <w:jc w:val="left"/>
              <w:rPr>
                <w:rFonts w:hAnsi="宋体" w:cs="宋体"/>
                <w:szCs w:val="24"/>
                <w:lang w:val="en-US"/>
              </w:rPr>
            </w:pPr>
            <w:r>
              <w:rPr>
                <w:rFonts w:hAnsi="宋体" w:cs="宋体"/>
                <w:szCs w:val="24"/>
                <w:lang w:val="en-US"/>
              </w:rPr>
              <w:t>按照</w:t>
            </w:r>
            <w:r>
              <w:rPr>
                <w:rFonts w:hint="eastAsia" w:hAnsi="宋体" w:cs="宋体"/>
                <w:szCs w:val="24"/>
                <w:lang w:val="en-US"/>
              </w:rPr>
              <w:t>“</w:t>
            </w:r>
            <w:r>
              <w:rPr>
                <w:rFonts w:hAnsi="宋体" w:cs="宋体"/>
                <w:szCs w:val="24"/>
                <w:lang w:val="en-US"/>
              </w:rPr>
              <w:t>一数一源一标准</w:t>
            </w:r>
            <w:r>
              <w:rPr>
                <w:rFonts w:hint="eastAsia" w:hAnsi="宋体" w:cs="宋体"/>
                <w:szCs w:val="24"/>
                <w:lang w:val="en-US"/>
              </w:rPr>
              <w:t>”</w:t>
            </w:r>
            <w:r>
              <w:rPr>
                <w:rFonts w:hAnsi="宋体" w:cs="宋体"/>
                <w:szCs w:val="24"/>
                <w:lang w:val="en-US"/>
              </w:rPr>
              <w:t>的原则，明确规范接入应用数据的业务应用来源和共享使用需求，对于内部系统或对外提供的服务接口，制定统一的API规范，包括数据格式、调用方式、错误处理机制等，方便开发者快速上手和系统间的无缝对接。构建清晰的信息架构，使用户能够直观地理解各个功能之间的关系和层级，便于快速定位所需内容。</w:t>
            </w:r>
          </w:p>
        </w:tc>
        <w:tc>
          <w:tcPr>
            <w:tcW w:w="627" w:type="pct"/>
            <w:noWrap w:val="0"/>
            <w:vAlign w:val="center"/>
          </w:tcPr>
          <w:p w14:paraId="2DFEAB98">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5428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01" w:type="pct"/>
            <w:noWrap w:val="0"/>
            <w:vAlign w:val="center"/>
          </w:tcPr>
          <w:p w14:paraId="7D2616F0">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14</w:t>
            </w:r>
          </w:p>
        </w:tc>
        <w:tc>
          <w:tcPr>
            <w:tcW w:w="304" w:type="pct"/>
            <w:vMerge w:val="restart"/>
            <w:noWrap w:val="0"/>
            <w:vAlign w:val="center"/>
          </w:tcPr>
          <w:p w14:paraId="0B0E961B">
            <w:pPr>
              <w:pStyle w:val="2"/>
              <w:autoSpaceDE/>
              <w:autoSpaceDN/>
              <w:adjustRightInd/>
              <w:spacing w:line="240" w:lineRule="auto"/>
              <w:jc w:val="center"/>
              <w:rPr>
                <w:rFonts w:hAnsi="宋体" w:cs="宋体"/>
                <w:szCs w:val="24"/>
                <w:lang w:val="en-US"/>
              </w:rPr>
            </w:pPr>
            <w:r>
              <w:rPr>
                <w:rFonts w:hAnsi="宋体" w:cs="宋体"/>
                <w:szCs w:val="24"/>
                <w:lang w:val="en-US"/>
              </w:rPr>
              <w:t>统一接口</w:t>
            </w:r>
          </w:p>
        </w:tc>
        <w:tc>
          <w:tcPr>
            <w:tcW w:w="988" w:type="pct"/>
            <w:noWrap w:val="0"/>
            <w:vAlign w:val="center"/>
          </w:tcPr>
          <w:p w14:paraId="145DD134">
            <w:pPr>
              <w:pStyle w:val="2"/>
              <w:autoSpaceDE/>
              <w:autoSpaceDN/>
              <w:adjustRightInd/>
              <w:spacing w:line="240" w:lineRule="auto"/>
              <w:jc w:val="center"/>
              <w:rPr>
                <w:rFonts w:hAnsi="宋体" w:cs="宋体"/>
                <w:szCs w:val="24"/>
                <w:lang w:val="en-US"/>
              </w:rPr>
            </w:pPr>
            <w:r>
              <w:rPr>
                <w:rFonts w:hAnsi="宋体" w:cs="宋体"/>
                <w:szCs w:val="24"/>
                <w:lang w:val="en-US"/>
              </w:rPr>
              <w:t>用户、认证服务接口</w:t>
            </w:r>
          </w:p>
        </w:tc>
        <w:tc>
          <w:tcPr>
            <w:tcW w:w="2777" w:type="pct"/>
            <w:noWrap w:val="0"/>
            <w:vAlign w:val="center"/>
          </w:tcPr>
          <w:p w14:paraId="52DF7008">
            <w:pPr>
              <w:pStyle w:val="2"/>
              <w:autoSpaceDE/>
              <w:autoSpaceDN/>
              <w:adjustRightInd/>
              <w:spacing w:line="360" w:lineRule="auto"/>
              <w:jc w:val="left"/>
              <w:rPr>
                <w:rFonts w:hAnsi="宋体" w:cs="宋体"/>
                <w:szCs w:val="24"/>
                <w:lang w:val="en-US"/>
              </w:rPr>
            </w:pPr>
            <w:r>
              <w:rPr>
                <w:rFonts w:hAnsi="宋体" w:cs="宋体"/>
                <w:szCs w:val="24"/>
                <w:lang w:val="en-US"/>
              </w:rPr>
              <w:t>提供用户同步接口、认证服务接口、菜单服务接口、功能项服务接口、角色服务接口、应用服务接口、通讯录服务接口、专用通讯录接口。</w:t>
            </w:r>
          </w:p>
        </w:tc>
        <w:tc>
          <w:tcPr>
            <w:tcW w:w="627" w:type="pct"/>
            <w:noWrap w:val="0"/>
            <w:vAlign w:val="center"/>
          </w:tcPr>
          <w:p w14:paraId="7B2910F1">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06C2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01" w:type="pct"/>
            <w:noWrap w:val="0"/>
            <w:vAlign w:val="center"/>
          </w:tcPr>
          <w:p w14:paraId="2831F8F7">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15</w:t>
            </w:r>
          </w:p>
        </w:tc>
        <w:tc>
          <w:tcPr>
            <w:tcW w:w="304" w:type="pct"/>
            <w:vMerge w:val="continue"/>
            <w:noWrap w:val="0"/>
            <w:vAlign w:val="center"/>
          </w:tcPr>
          <w:p w14:paraId="57C4DF79">
            <w:pPr>
              <w:pStyle w:val="2"/>
              <w:autoSpaceDE/>
              <w:autoSpaceDN/>
              <w:adjustRightInd/>
              <w:spacing w:line="240" w:lineRule="auto"/>
              <w:jc w:val="center"/>
              <w:rPr>
                <w:rFonts w:hAnsi="宋体" w:cs="宋体"/>
                <w:szCs w:val="24"/>
                <w:lang w:val="en-US"/>
              </w:rPr>
            </w:pPr>
          </w:p>
        </w:tc>
        <w:tc>
          <w:tcPr>
            <w:tcW w:w="988" w:type="pct"/>
            <w:noWrap w:val="0"/>
            <w:vAlign w:val="center"/>
          </w:tcPr>
          <w:p w14:paraId="06E41058">
            <w:pPr>
              <w:pStyle w:val="2"/>
              <w:autoSpaceDE/>
              <w:autoSpaceDN/>
              <w:adjustRightInd/>
              <w:spacing w:line="240" w:lineRule="auto"/>
              <w:jc w:val="center"/>
              <w:rPr>
                <w:rFonts w:hAnsi="宋体" w:cs="宋体"/>
                <w:szCs w:val="24"/>
                <w:lang w:val="en-US"/>
              </w:rPr>
            </w:pPr>
            <w:r>
              <w:rPr>
                <w:rFonts w:hAnsi="宋体" w:cs="宋体"/>
                <w:szCs w:val="24"/>
                <w:lang w:val="en-US"/>
              </w:rPr>
              <w:t>消息接口服务</w:t>
            </w:r>
          </w:p>
        </w:tc>
        <w:tc>
          <w:tcPr>
            <w:tcW w:w="2777" w:type="pct"/>
            <w:noWrap w:val="0"/>
            <w:vAlign w:val="center"/>
          </w:tcPr>
          <w:p w14:paraId="649601E9">
            <w:pPr>
              <w:pStyle w:val="2"/>
              <w:autoSpaceDE/>
              <w:autoSpaceDN/>
              <w:adjustRightInd/>
              <w:spacing w:line="360" w:lineRule="auto"/>
              <w:jc w:val="left"/>
              <w:rPr>
                <w:rFonts w:hAnsi="宋体" w:cs="宋体"/>
                <w:szCs w:val="24"/>
                <w:lang w:val="en-US"/>
              </w:rPr>
            </w:pPr>
            <w:r>
              <w:rPr>
                <w:rFonts w:hAnsi="宋体" w:cs="宋体"/>
                <w:szCs w:val="24"/>
                <w:lang w:val="en-US"/>
              </w:rPr>
              <w:t>为平台接入的子应用提供信息发送到跨网信息交换平台和用于从跨网信息交换平台接收信息的接口。</w:t>
            </w:r>
          </w:p>
        </w:tc>
        <w:tc>
          <w:tcPr>
            <w:tcW w:w="627" w:type="pct"/>
            <w:noWrap w:val="0"/>
            <w:vAlign w:val="center"/>
          </w:tcPr>
          <w:p w14:paraId="4BAB292E">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2928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01" w:type="pct"/>
            <w:noWrap w:val="0"/>
            <w:vAlign w:val="center"/>
          </w:tcPr>
          <w:p w14:paraId="6F672E82">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16</w:t>
            </w:r>
          </w:p>
        </w:tc>
        <w:tc>
          <w:tcPr>
            <w:tcW w:w="304" w:type="pct"/>
            <w:vMerge w:val="continue"/>
            <w:noWrap w:val="0"/>
            <w:vAlign w:val="center"/>
          </w:tcPr>
          <w:p w14:paraId="1480A707">
            <w:pPr>
              <w:pStyle w:val="2"/>
              <w:autoSpaceDE/>
              <w:autoSpaceDN/>
              <w:adjustRightInd/>
              <w:spacing w:line="240" w:lineRule="auto"/>
              <w:jc w:val="center"/>
              <w:rPr>
                <w:rFonts w:hAnsi="宋体" w:cs="宋体"/>
                <w:szCs w:val="24"/>
                <w:lang w:val="en-US"/>
              </w:rPr>
            </w:pPr>
          </w:p>
        </w:tc>
        <w:tc>
          <w:tcPr>
            <w:tcW w:w="988" w:type="pct"/>
            <w:noWrap w:val="0"/>
            <w:vAlign w:val="center"/>
          </w:tcPr>
          <w:p w14:paraId="421EFC47">
            <w:pPr>
              <w:pStyle w:val="2"/>
              <w:autoSpaceDE/>
              <w:autoSpaceDN/>
              <w:adjustRightInd/>
              <w:spacing w:line="240" w:lineRule="auto"/>
              <w:jc w:val="center"/>
              <w:rPr>
                <w:rFonts w:hAnsi="宋体" w:cs="宋体"/>
                <w:szCs w:val="24"/>
                <w:lang w:val="en-US"/>
              </w:rPr>
            </w:pPr>
            <w:r>
              <w:rPr>
                <w:rFonts w:hAnsi="宋体" w:cs="宋体"/>
                <w:szCs w:val="24"/>
                <w:lang w:val="en-US"/>
              </w:rPr>
              <w:t>门户接口服务</w:t>
            </w:r>
          </w:p>
        </w:tc>
        <w:tc>
          <w:tcPr>
            <w:tcW w:w="2777" w:type="pct"/>
            <w:noWrap w:val="0"/>
            <w:vAlign w:val="center"/>
          </w:tcPr>
          <w:p w14:paraId="3D29DA22">
            <w:pPr>
              <w:pStyle w:val="2"/>
              <w:autoSpaceDE/>
              <w:autoSpaceDN/>
              <w:adjustRightInd/>
              <w:spacing w:line="360" w:lineRule="auto"/>
              <w:jc w:val="left"/>
              <w:rPr>
                <w:rFonts w:hAnsi="宋体" w:cs="宋体"/>
                <w:szCs w:val="24"/>
                <w:lang w:val="en-US"/>
              </w:rPr>
            </w:pPr>
            <w:r>
              <w:rPr>
                <w:rFonts w:hAnsi="宋体" w:cs="宋体"/>
                <w:szCs w:val="24"/>
                <w:lang w:val="en-US"/>
              </w:rPr>
              <w:t>提供角标集成接口、常用应用数据集成接口、快捷入口数据集成接口。</w:t>
            </w:r>
          </w:p>
        </w:tc>
        <w:tc>
          <w:tcPr>
            <w:tcW w:w="627" w:type="pct"/>
            <w:noWrap w:val="0"/>
            <w:vAlign w:val="center"/>
          </w:tcPr>
          <w:p w14:paraId="2534970E">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48C1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01" w:type="pct"/>
            <w:noWrap w:val="0"/>
            <w:vAlign w:val="center"/>
          </w:tcPr>
          <w:p w14:paraId="4E1EE578">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17</w:t>
            </w:r>
          </w:p>
        </w:tc>
        <w:tc>
          <w:tcPr>
            <w:tcW w:w="304" w:type="pct"/>
            <w:noWrap w:val="0"/>
            <w:vAlign w:val="center"/>
          </w:tcPr>
          <w:p w14:paraId="777F5C44">
            <w:pPr>
              <w:pStyle w:val="2"/>
              <w:autoSpaceDE/>
              <w:autoSpaceDN/>
              <w:adjustRightInd/>
              <w:spacing w:line="240" w:lineRule="auto"/>
              <w:jc w:val="center"/>
              <w:rPr>
                <w:rFonts w:hAnsi="宋体" w:cs="宋体"/>
                <w:szCs w:val="24"/>
                <w:lang w:val="en-US"/>
              </w:rPr>
            </w:pPr>
            <w:r>
              <w:rPr>
                <w:rFonts w:hAnsi="宋体" w:cs="宋体"/>
                <w:szCs w:val="24"/>
                <w:lang w:val="en-US"/>
              </w:rPr>
              <w:t>统一安全防护</w:t>
            </w:r>
          </w:p>
        </w:tc>
        <w:tc>
          <w:tcPr>
            <w:tcW w:w="988" w:type="pct"/>
            <w:noWrap w:val="0"/>
            <w:vAlign w:val="center"/>
          </w:tcPr>
          <w:p w14:paraId="5C5BDEFC">
            <w:pPr>
              <w:pStyle w:val="2"/>
              <w:autoSpaceDE/>
              <w:autoSpaceDN/>
              <w:adjustRightInd/>
              <w:spacing w:line="240" w:lineRule="auto"/>
              <w:jc w:val="center"/>
              <w:rPr>
                <w:rFonts w:hAnsi="宋体" w:cs="宋体"/>
                <w:szCs w:val="24"/>
                <w:lang w:val="en-US"/>
              </w:rPr>
            </w:pPr>
            <w:r>
              <w:rPr>
                <w:rFonts w:hAnsi="宋体" w:cs="宋体"/>
                <w:szCs w:val="24"/>
                <w:lang w:val="en-US"/>
              </w:rPr>
              <w:t>统一安全防护</w:t>
            </w:r>
          </w:p>
        </w:tc>
        <w:tc>
          <w:tcPr>
            <w:tcW w:w="2777" w:type="pct"/>
            <w:noWrap w:val="0"/>
            <w:vAlign w:val="center"/>
          </w:tcPr>
          <w:p w14:paraId="12D8C3A3">
            <w:pPr>
              <w:pStyle w:val="2"/>
              <w:autoSpaceDE/>
              <w:autoSpaceDN/>
              <w:adjustRightInd/>
              <w:spacing w:line="360" w:lineRule="auto"/>
              <w:jc w:val="left"/>
              <w:rPr>
                <w:rFonts w:hAnsi="宋体" w:cs="宋体"/>
                <w:szCs w:val="24"/>
                <w:lang w:val="en-US"/>
              </w:rPr>
            </w:pPr>
            <w:r>
              <w:rPr>
                <w:rFonts w:hAnsi="宋体" w:cs="宋体"/>
                <w:szCs w:val="24"/>
                <w:lang w:val="en-US"/>
              </w:rPr>
              <w:t>统筹和指导对接入子系统的网络数据安全技术防护、网络数据安全风险监测、网络数据安全问题处置、安全等级保护测评、信创改造测评工作。</w:t>
            </w:r>
          </w:p>
        </w:tc>
        <w:tc>
          <w:tcPr>
            <w:tcW w:w="627" w:type="pct"/>
            <w:noWrap w:val="0"/>
            <w:vAlign w:val="center"/>
          </w:tcPr>
          <w:p w14:paraId="0E684A39">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724A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01" w:type="pct"/>
            <w:noWrap w:val="0"/>
            <w:vAlign w:val="center"/>
          </w:tcPr>
          <w:p w14:paraId="20FF82A5">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18</w:t>
            </w:r>
          </w:p>
        </w:tc>
        <w:tc>
          <w:tcPr>
            <w:tcW w:w="304" w:type="pct"/>
            <w:noWrap w:val="0"/>
            <w:vAlign w:val="center"/>
          </w:tcPr>
          <w:p w14:paraId="6F3CF239">
            <w:pPr>
              <w:pStyle w:val="2"/>
              <w:autoSpaceDE/>
              <w:autoSpaceDN/>
              <w:adjustRightInd/>
              <w:spacing w:line="240" w:lineRule="auto"/>
              <w:jc w:val="center"/>
              <w:rPr>
                <w:rFonts w:hAnsi="宋体" w:cs="宋体"/>
                <w:szCs w:val="24"/>
                <w:lang w:val="en-US"/>
              </w:rPr>
            </w:pPr>
            <w:r>
              <w:rPr>
                <w:rFonts w:hAnsi="宋体" w:cs="宋体"/>
                <w:szCs w:val="24"/>
                <w:lang w:val="en-US"/>
              </w:rPr>
              <w:t>统一资源管理</w:t>
            </w:r>
          </w:p>
        </w:tc>
        <w:tc>
          <w:tcPr>
            <w:tcW w:w="988" w:type="pct"/>
            <w:noWrap w:val="0"/>
            <w:vAlign w:val="center"/>
          </w:tcPr>
          <w:p w14:paraId="18C9CD89">
            <w:pPr>
              <w:pStyle w:val="2"/>
              <w:autoSpaceDE/>
              <w:autoSpaceDN/>
              <w:adjustRightInd/>
              <w:spacing w:line="240" w:lineRule="auto"/>
              <w:jc w:val="center"/>
              <w:rPr>
                <w:rFonts w:hAnsi="宋体" w:cs="宋体"/>
                <w:szCs w:val="24"/>
                <w:lang w:val="en-US"/>
              </w:rPr>
            </w:pPr>
            <w:r>
              <w:rPr>
                <w:rFonts w:hAnsi="宋体" w:cs="宋体"/>
                <w:szCs w:val="24"/>
                <w:lang w:val="en-US"/>
              </w:rPr>
              <w:t>统一资源管理</w:t>
            </w:r>
          </w:p>
        </w:tc>
        <w:tc>
          <w:tcPr>
            <w:tcW w:w="2777" w:type="pct"/>
            <w:noWrap w:val="0"/>
            <w:vAlign w:val="center"/>
          </w:tcPr>
          <w:p w14:paraId="6C2D81B9">
            <w:pPr>
              <w:pStyle w:val="2"/>
              <w:autoSpaceDE/>
              <w:autoSpaceDN/>
              <w:adjustRightInd/>
              <w:spacing w:line="360" w:lineRule="auto"/>
              <w:jc w:val="left"/>
              <w:rPr>
                <w:rFonts w:hAnsi="宋体" w:cs="宋体"/>
                <w:szCs w:val="24"/>
                <w:lang w:val="en-US"/>
              </w:rPr>
            </w:pPr>
            <w:r>
              <w:rPr>
                <w:rFonts w:hAnsi="宋体" w:cs="宋体"/>
                <w:szCs w:val="24"/>
                <w:lang w:val="en-US"/>
              </w:rPr>
              <w:t>统筹和指导对接入子系统和一体化平台的数字资源IRS管理工作，包含应用、数据、组件、云资源编目、申请、审批、使用、变更、注销等数据归集工作，按</w:t>
            </w:r>
            <w:r>
              <w:rPr>
                <w:rFonts w:hint="eastAsia" w:hAnsi="宋体" w:cs="宋体"/>
                <w:szCs w:val="24"/>
                <w:lang w:val="en-US"/>
              </w:rPr>
              <w:t>“</w:t>
            </w:r>
            <w:r>
              <w:rPr>
                <w:rFonts w:hAnsi="宋体" w:cs="宋体"/>
                <w:szCs w:val="24"/>
                <w:lang w:val="en-US"/>
              </w:rPr>
              <w:t>一数一源一标准</w:t>
            </w:r>
            <w:r>
              <w:rPr>
                <w:rFonts w:hint="eastAsia" w:hAnsi="宋体" w:cs="宋体"/>
                <w:szCs w:val="24"/>
                <w:lang w:val="en-US"/>
              </w:rPr>
              <w:t>”</w:t>
            </w:r>
            <w:r>
              <w:rPr>
                <w:rFonts w:hAnsi="宋体" w:cs="宋体"/>
                <w:szCs w:val="24"/>
                <w:lang w:val="en-US"/>
              </w:rPr>
              <w:t>的原则，明确数据的业务应用来源和共享使用要求，统一数据库类型和ODPS项目管理空间。</w:t>
            </w:r>
          </w:p>
        </w:tc>
        <w:tc>
          <w:tcPr>
            <w:tcW w:w="627" w:type="pct"/>
            <w:noWrap w:val="0"/>
            <w:vAlign w:val="center"/>
          </w:tcPr>
          <w:p w14:paraId="73B58184">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397A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01" w:type="pct"/>
            <w:noWrap w:val="0"/>
            <w:vAlign w:val="center"/>
          </w:tcPr>
          <w:p w14:paraId="1D4780D3">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19</w:t>
            </w:r>
          </w:p>
        </w:tc>
        <w:tc>
          <w:tcPr>
            <w:tcW w:w="304" w:type="pct"/>
            <w:vMerge w:val="restart"/>
            <w:noWrap w:val="0"/>
            <w:vAlign w:val="center"/>
          </w:tcPr>
          <w:p w14:paraId="4BF9EEEF">
            <w:pPr>
              <w:pStyle w:val="2"/>
              <w:autoSpaceDE/>
              <w:autoSpaceDN/>
              <w:adjustRightInd/>
              <w:spacing w:line="240" w:lineRule="auto"/>
              <w:jc w:val="center"/>
              <w:rPr>
                <w:rFonts w:hAnsi="宋体" w:cs="宋体"/>
                <w:szCs w:val="24"/>
                <w:lang w:val="en-US"/>
              </w:rPr>
            </w:pPr>
            <w:r>
              <w:rPr>
                <w:rFonts w:hAnsi="宋体" w:cs="宋体"/>
                <w:szCs w:val="24"/>
                <w:lang w:val="en-US"/>
              </w:rPr>
              <w:t>子系统一平台对接</w:t>
            </w:r>
          </w:p>
        </w:tc>
        <w:tc>
          <w:tcPr>
            <w:tcW w:w="988" w:type="pct"/>
            <w:noWrap w:val="0"/>
            <w:vAlign w:val="center"/>
          </w:tcPr>
          <w:p w14:paraId="5BA7657D">
            <w:pPr>
              <w:pStyle w:val="2"/>
              <w:autoSpaceDE/>
              <w:autoSpaceDN/>
              <w:adjustRightInd/>
              <w:spacing w:line="240" w:lineRule="auto"/>
              <w:jc w:val="center"/>
              <w:rPr>
                <w:rFonts w:hAnsi="宋体" w:cs="宋体"/>
                <w:szCs w:val="24"/>
                <w:lang w:val="en-US"/>
              </w:rPr>
            </w:pPr>
            <w:r>
              <w:rPr>
                <w:rFonts w:hAnsi="宋体" w:cs="宋体"/>
                <w:szCs w:val="24"/>
                <w:lang w:val="en-US"/>
              </w:rPr>
              <w:t>统一门户集成</w:t>
            </w:r>
          </w:p>
        </w:tc>
        <w:tc>
          <w:tcPr>
            <w:tcW w:w="2777" w:type="pct"/>
            <w:noWrap w:val="0"/>
            <w:vAlign w:val="center"/>
          </w:tcPr>
          <w:p w14:paraId="77CECDC3">
            <w:pPr>
              <w:pStyle w:val="2"/>
              <w:autoSpaceDE/>
              <w:autoSpaceDN/>
              <w:adjustRightInd/>
              <w:spacing w:line="360" w:lineRule="auto"/>
              <w:jc w:val="left"/>
              <w:rPr>
                <w:rFonts w:hAnsi="宋体" w:cs="宋体"/>
                <w:szCs w:val="24"/>
                <w:lang w:val="en-US"/>
              </w:rPr>
            </w:pPr>
            <w:r>
              <w:rPr>
                <w:rFonts w:hAnsi="宋体" w:cs="宋体"/>
                <w:szCs w:val="24"/>
                <w:lang w:val="en-US"/>
              </w:rPr>
              <w:t>集成在西湖卫健互联网+监管系统</w:t>
            </w:r>
            <w:r>
              <w:rPr>
                <w:rFonts w:hint="eastAsia" w:hAnsi="宋体" w:cs="宋体"/>
                <w:szCs w:val="24"/>
                <w:lang w:val="en-US"/>
              </w:rPr>
              <w:t>“</w:t>
            </w:r>
            <w:r>
              <w:rPr>
                <w:rFonts w:hAnsi="宋体" w:cs="宋体"/>
                <w:szCs w:val="24"/>
                <w:lang w:val="en-US"/>
              </w:rPr>
              <w:t>一单位一平台</w:t>
            </w:r>
            <w:r>
              <w:rPr>
                <w:rFonts w:hint="eastAsia" w:hAnsi="宋体" w:cs="宋体"/>
                <w:szCs w:val="24"/>
                <w:lang w:val="en-US"/>
              </w:rPr>
              <w:t>”</w:t>
            </w:r>
            <w:r>
              <w:rPr>
                <w:rFonts w:hAnsi="宋体" w:cs="宋体"/>
                <w:szCs w:val="24"/>
                <w:lang w:val="en-US"/>
              </w:rPr>
              <w:t>，统一从</w:t>
            </w:r>
            <w:r>
              <w:rPr>
                <w:rFonts w:hint="eastAsia" w:hAnsi="宋体" w:cs="宋体"/>
                <w:szCs w:val="24"/>
                <w:lang w:val="en-US"/>
              </w:rPr>
              <w:t>“</w:t>
            </w:r>
            <w:r>
              <w:rPr>
                <w:rFonts w:hAnsi="宋体" w:cs="宋体"/>
                <w:szCs w:val="24"/>
                <w:lang w:val="en-US"/>
              </w:rPr>
              <w:t>一单位一平台</w:t>
            </w:r>
            <w:r>
              <w:rPr>
                <w:rFonts w:hint="eastAsia" w:hAnsi="宋体" w:cs="宋体"/>
                <w:szCs w:val="24"/>
                <w:lang w:val="en-US"/>
              </w:rPr>
              <w:t>”</w:t>
            </w:r>
            <w:r>
              <w:rPr>
                <w:rFonts w:hAnsi="宋体" w:cs="宋体"/>
                <w:szCs w:val="24"/>
                <w:lang w:val="en-US"/>
              </w:rPr>
              <w:t>进行用户访问</w:t>
            </w:r>
          </w:p>
        </w:tc>
        <w:tc>
          <w:tcPr>
            <w:tcW w:w="627" w:type="pct"/>
            <w:noWrap w:val="0"/>
            <w:vAlign w:val="center"/>
          </w:tcPr>
          <w:p w14:paraId="4794D57D">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044A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01" w:type="pct"/>
            <w:noWrap w:val="0"/>
            <w:vAlign w:val="center"/>
          </w:tcPr>
          <w:p w14:paraId="49654814">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20</w:t>
            </w:r>
          </w:p>
        </w:tc>
        <w:tc>
          <w:tcPr>
            <w:tcW w:w="304" w:type="pct"/>
            <w:vMerge w:val="continue"/>
            <w:noWrap w:val="0"/>
            <w:vAlign w:val="center"/>
          </w:tcPr>
          <w:p w14:paraId="2302C7C6">
            <w:pPr>
              <w:pStyle w:val="2"/>
              <w:autoSpaceDE/>
              <w:autoSpaceDN/>
              <w:adjustRightInd/>
              <w:spacing w:line="240" w:lineRule="auto"/>
              <w:jc w:val="center"/>
              <w:rPr>
                <w:rFonts w:hAnsi="宋体" w:cs="宋体"/>
                <w:szCs w:val="24"/>
                <w:lang w:val="en-US"/>
              </w:rPr>
            </w:pPr>
          </w:p>
        </w:tc>
        <w:tc>
          <w:tcPr>
            <w:tcW w:w="988" w:type="pct"/>
            <w:noWrap w:val="0"/>
            <w:vAlign w:val="center"/>
          </w:tcPr>
          <w:p w14:paraId="2E6829C3">
            <w:pPr>
              <w:pStyle w:val="2"/>
              <w:autoSpaceDE/>
              <w:autoSpaceDN/>
              <w:adjustRightInd/>
              <w:spacing w:line="240" w:lineRule="auto"/>
              <w:jc w:val="center"/>
              <w:rPr>
                <w:rFonts w:hAnsi="宋体" w:cs="宋体"/>
                <w:szCs w:val="24"/>
                <w:lang w:val="en-US"/>
              </w:rPr>
            </w:pPr>
            <w:r>
              <w:rPr>
                <w:rFonts w:hAnsi="宋体" w:cs="宋体"/>
                <w:szCs w:val="24"/>
                <w:lang w:val="en-US"/>
              </w:rPr>
              <w:t>统一用户管理</w:t>
            </w:r>
          </w:p>
        </w:tc>
        <w:tc>
          <w:tcPr>
            <w:tcW w:w="2777" w:type="pct"/>
            <w:noWrap w:val="0"/>
            <w:vAlign w:val="center"/>
          </w:tcPr>
          <w:p w14:paraId="4CB7BB55">
            <w:pPr>
              <w:pStyle w:val="2"/>
              <w:autoSpaceDE/>
              <w:autoSpaceDN/>
              <w:adjustRightInd/>
              <w:spacing w:line="360" w:lineRule="auto"/>
              <w:jc w:val="left"/>
              <w:rPr>
                <w:rFonts w:hAnsi="宋体" w:cs="宋体"/>
                <w:szCs w:val="24"/>
                <w:lang w:val="en-US"/>
              </w:rPr>
            </w:pPr>
            <w:r>
              <w:rPr>
                <w:rFonts w:hAnsi="宋体" w:cs="宋体"/>
                <w:szCs w:val="24"/>
                <w:lang w:val="en-US"/>
              </w:rPr>
              <w:t>集成在西湖卫健互联网+监管系统</w:t>
            </w:r>
            <w:r>
              <w:rPr>
                <w:rFonts w:hint="eastAsia" w:hAnsi="宋体" w:cs="宋体"/>
                <w:szCs w:val="24"/>
                <w:lang w:val="en-US"/>
              </w:rPr>
              <w:t>“</w:t>
            </w:r>
            <w:r>
              <w:rPr>
                <w:rFonts w:hAnsi="宋体" w:cs="宋体"/>
                <w:szCs w:val="24"/>
                <w:lang w:val="en-US"/>
              </w:rPr>
              <w:t>一单位一平台</w:t>
            </w:r>
            <w:r>
              <w:rPr>
                <w:rFonts w:hint="eastAsia" w:hAnsi="宋体" w:cs="宋体"/>
                <w:szCs w:val="24"/>
                <w:lang w:val="en-US"/>
              </w:rPr>
              <w:t>”</w:t>
            </w:r>
            <w:r>
              <w:rPr>
                <w:rFonts w:hAnsi="宋体" w:cs="宋体"/>
                <w:szCs w:val="24"/>
                <w:lang w:val="en-US"/>
              </w:rPr>
              <w:t>，基于浙里办和浙政钉用户登录认证体系，统一从</w:t>
            </w:r>
            <w:r>
              <w:rPr>
                <w:rFonts w:hint="eastAsia" w:hAnsi="宋体" w:cs="宋体"/>
                <w:szCs w:val="24"/>
                <w:lang w:val="en-US"/>
              </w:rPr>
              <w:t>“</w:t>
            </w:r>
            <w:r>
              <w:rPr>
                <w:rFonts w:hAnsi="宋体" w:cs="宋体"/>
                <w:szCs w:val="24"/>
                <w:lang w:val="en-US"/>
              </w:rPr>
              <w:t>一单位一平台</w:t>
            </w:r>
            <w:r>
              <w:rPr>
                <w:rFonts w:hint="eastAsia" w:hAnsi="宋体" w:cs="宋体"/>
                <w:szCs w:val="24"/>
                <w:lang w:val="en-US"/>
              </w:rPr>
              <w:t>”</w:t>
            </w:r>
            <w:r>
              <w:rPr>
                <w:rFonts w:hAnsi="宋体" w:cs="宋体"/>
                <w:szCs w:val="24"/>
                <w:lang w:val="en-US"/>
              </w:rPr>
              <w:t>进行用户认证，实现单点登录。并实现用户的统一管理</w:t>
            </w:r>
          </w:p>
        </w:tc>
        <w:tc>
          <w:tcPr>
            <w:tcW w:w="627" w:type="pct"/>
            <w:noWrap w:val="0"/>
            <w:vAlign w:val="center"/>
          </w:tcPr>
          <w:p w14:paraId="705645DA">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2F8F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01" w:type="pct"/>
            <w:noWrap w:val="0"/>
            <w:vAlign w:val="center"/>
          </w:tcPr>
          <w:p w14:paraId="290ECFA7">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21</w:t>
            </w:r>
          </w:p>
        </w:tc>
        <w:tc>
          <w:tcPr>
            <w:tcW w:w="304" w:type="pct"/>
            <w:vMerge w:val="continue"/>
            <w:noWrap w:val="0"/>
            <w:vAlign w:val="center"/>
          </w:tcPr>
          <w:p w14:paraId="253C441C">
            <w:pPr>
              <w:pStyle w:val="2"/>
              <w:autoSpaceDE/>
              <w:autoSpaceDN/>
              <w:adjustRightInd/>
              <w:spacing w:line="240" w:lineRule="auto"/>
              <w:jc w:val="center"/>
              <w:rPr>
                <w:rFonts w:hAnsi="宋体" w:cs="宋体"/>
                <w:szCs w:val="24"/>
                <w:lang w:val="en-US"/>
              </w:rPr>
            </w:pPr>
          </w:p>
        </w:tc>
        <w:tc>
          <w:tcPr>
            <w:tcW w:w="988" w:type="pct"/>
            <w:noWrap w:val="0"/>
            <w:vAlign w:val="center"/>
          </w:tcPr>
          <w:p w14:paraId="4B1EF5EE">
            <w:pPr>
              <w:pStyle w:val="2"/>
              <w:autoSpaceDE/>
              <w:autoSpaceDN/>
              <w:adjustRightInd/>
              <w:spacing w:line="240" w:lineRule="auto"/>
              <w:jc w:val="center"/>
              <w:rPr>
                <w:rFonts w:hAnsi="宋体" w:cs="宋体"/>
                <w:szCs w:val="24"/>
                <w:lang w:val="en-US"/>
              </w:rPr>
            </w:pPr>
            <w:r>
              <w:rPr>
                <w:rFonts w:hAnsi="宋体" w:cs="宋体"/>
                <w:szCs w:val="24"/>
                <w:lang w:val="en-US"/>
              </w:rPr>
              <w:t>统一授权管理</w:t>
            </w:r>
          </w:p>
        </w:tc>
        <w:tc>
          <w:tcPr>
            <w:tcW w:w="2777" w:type="pct"/>
            <w:noWrap w:val="0"/>
            <w:vAlign w:val="center"/>
          </w:tcPr>
          <w:p w14:paraId="05F6A4AA">
            <w:pPr>
              <w:pStyle w:val="2"/>
              <w:autoSpaceDE/>
              <w:autoSpaceDN/>
              <w:adjustRightInd/>
              <w:spacing w:line="360" w:lineRule="auto"/>
              <w:jc w:val="left"/>
              <w:rPr>
                <w:rFonts w:hAnsi="宋体" w:cs="宋体"/>
                <w:szCs w:val="24"/>
                <w:lang w:val="en-US"/>
              </w:rPr>
            </w:pPr>
            <w:r>
              <w:rPr>
                <w:rFonts w:hAnsi="宋体" w:cs="宋体"/>
                <w:szCs w:val="24"/>
                <w:lang w:val="en-US"/>
              </w:rPr>
              <w:t>对接集成在西湖卫健互联网+监管系统</w:t>
            </w:r>
            <w:r>
              <w:rPr>
                <w:rFonts w:hint="eastAsia" w:hAnsi="宋体" w:cs="宋体"/>
                <w:szCs w:val="24"/>
                <w:lang w:val="en-US"/>
              </w:rPr>
              <w:t>“</w:t>
            </w:r>
            <w:r>
              <w:rPr>
                <w:rFonts w:hAnsi="宋体" w:cs="宋体"/>
                <w:szCs w:val="24"/>
                <w:lang w:val="en-US"/>
              </w:rPr>
              <w:t>一单位一平台</w:t>
            </w:r>
            <w:r>
              <w:rPr>
                <w:rFonts w:hint="eastAsia" w:hAnsi="宋体" w:cs="宋体"/>
                <w:szCs w:val="24"/>
                <w:lang w:val="en-US"/>
              </w:rPr>
              <w:t>”</w:t>
            </w:r>
            <w:r>
              <w:rPr>
                <w:rFonts w:hAnsi="宋体" w:cs="宋体"/>
                <w:szCs w:val="24"/>
                <w:lang w:val="en-US"/>
              </w:rPr>
              <w:t>，实现统一授权管理</w:t>
            </w:r>
          </w:p>
        </w:tc>
        <w:tc>
          <w:tcPr>
            <w:tcW w:w="627" w:type="pct"/>
            <w:noWrap w:val="0"/>
            <w:vAlign w:val="center"/>
          </w:tcPr>
          <w:p w14:paraId="07883D01">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402F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301" w:type="pct"/>
            <w:noWrap w:val="0"/>
            <w:vAlign w:val="center"/>
          </w:tcPr>
          <w:p w14:paraId="73C4A936">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22</w:t>
            </w:r>
          </w:p>
        </w:tc>
        <w:tc>
          <w:tcPr>
            <w:tcW w:w="304" w:type="pct"/>
            <w:vMerge w:val="restart"/>
            <w:noWrap w:val="0"/>
            <w:vAlign w:val="center"/>
          </w:tcPr>
          <w:p w14:paraId="104F1F6C">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信创改造</w:t>
            </w:r>
          </w:p>
        </w:tc>
        <w:tc>
          <w:tcPr>
            <w:tcW w:w="988" w:type="pct"/>
            <w:noWrap w:val="0"/>
            <w:vAlign w:val="center"/>
          </w:tcPr>
          <w:p w14:paraId="546C9133">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综合集成含：综合监管智慧监管、智能文书辅助办案和评查系统、医废智能监管（含监管和应用端）（关联</w:t>
            </w:r>
            <w:r>
              <w:rPr>
                <w:rFonts w:hAnsi="宋体" w:cs="宋体"/>
                <w:szCs w:val="24"/>
                <w:lang w:val="en-US"/>
              </w:rPr>
              <w:t>一体化医疗废物集成回收终端项目</w:t>
            </w:r>
            <w:r>
              <w:rPr>
                <w:rFonts w:hint="eastAsia" w:hAnsi="宋体" w:cs="宋体"/>
                <w:szCs w:val="24"/>
                <w:lang w:val="en-US"/>
              </w:rPr>
              <w:t>）、“畅心泳”游泳场所三色分级智能监管、住宿卫生在线第二场景</w:t>
            </w:r>
          </w:p>
        </w:tc>
        <w:tc>
          <w:tcPr>
            <w:tcW w:w="2777" w:type="pct"/>
            <w:noWrap w:val="0"/>
            <w:vAlign w:val="top"/>
          </w:tcPr>
          <w:p w14:paraId="10128875">
            <w:pPr>
              <w:pStyle w:val="2"/>
              <w:autoSpaceDE/>
              <w:autoSpaceDN/>
              <w:adjustRightInd/>
              <w:spacing w:line="360" w:lineRule="auto"/>
              <w:jc w:val="left"/>
              <w:rPr>
                <w:rFonts w:hint="eastAsia" w:hAnsi="宋体" w:cs="宋体"/>
                <w:szCs w:val="24"/>
                <w:lang w:val="en-US"/>
              </w:rPr>
            </w:pPr>
            <w:r>
              <w:rPr>
                <w:rFonts w:hint="eastAsia" w:hAnsi="宋体" w:cs="宋体"/>
                <w:szCs w:val="24"/>
                <w:lang w:val="en-US"/>
              </w:rPr>
              <w:t>中间件替换，替换成中间件东方通tongweb7.0或中创V10.0:弹性云计算服务器适配改造，包括国产服务器芯片、国产操作系统:内置库适配国产化数据库改造，内置库适配国产化数据库改造;适配数据库达梦V8。</w:t>
            </w:r>
          </w:p>
        </w:tc>
        <w:tc>
          <w:tcPr>
            <w:tcW w:w="627" w:type="pct"/>
            <w:noWrap w:val="0"/>
            <w:vAlign w:val="center"/>
          </w:tcPr>
          <w:p w14:paraId="453B1197">
            <w:pPr>
              <w:pStyle w:val="2"/>
              <w:autoSpaceDE/>
              <w:autoSpaceDN/>
              <w:adjustRightInd/>
              <w:spacing w:line="240" w:lineRule="auto"/>
              <w:jc w:val="center"/>
              <w:rPr>
                <w:rFonts w:hAnsi="宋体" w:cs="宋体"/>
                <w:szCs w:val="24"/>
                <w:lang w:val="en-US"/>
              </w:rPr>
            </w:pPr>
            <w:r>
              <w:rPr>
                <w:rFonts w:hint="eastAsia" w:hAnsi="宋体" w:cs="宋体"/>
                <w:szCs w:val="24"/>
                <w:lang w:val="en-US"/>
              </w:rPr>
              <w:t>1项</w:t>
            </w:r>
          </w:p>
        </w:tc>
      </w:tr>
      <w:tr w14:paraId="0AF5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01" w:type="pct"/>
            <w:noWrap w:val="0"/>
            <w:vAlign w:val="center"/>
          </w:tcPr>
          <w:p w14:paraId="35900D63">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23</w:t>
            </w:r>
          </w:p>
        </w:tc>
        <w:tc>
          <w:tcPr>
            <w:tcW w:w="304" w:type="pct"/>
            <w:vMerge w:val="continue"/>
            <w:noWrap w:val="0"/>
            <w:vAlign w:val="center"/>
          </w:tcPr>
          <w:p w14:paraId="767BFD51">
            <w:pPr>
              <w:pStyle w:val="2"/>
              <w:autoSpaceDE/>
              <w:autoSpaceDN/>
              <w:adjustRightInd/>
              <w:spacing w:line="240" w:lineRule="auto"/>
              <w:jc w:val="center"/>
              <w:rPr>
                <w:rFonts w:hint="eastAsia" w:hAnsi="宋体" w:cs="宋体"/>
                <w:szCs w:val="24"/>
                <w:lang w:val="en-US"/>
              </w:rPr>
            </w:pPr>
          </w:p>
        </w:tc>
        <w:tc>
          <w:tcPr>
            <w:tcW w:w="988" w:type="pct"/>
            <w:noWrap w:val="0"/>
            <w:vAlign w:val="center"/>
          </w:tcPr>
          <w:p w14:paraId="4F876BDE">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智慧健康小屋</w:t>
            </w:r>
          </w:p>
        </w:tc>
        <w:tc>
          <w:tcPr>
            <w:tcW w:w="2777" w:type="pct"/>
            <w:noWrap w:val="0"/>
            <w:vAlign w:val="top"/>
          </w:tcPr>
          <w:p w14:paraId="0599A421">
            <w:pPr>
              <w:pStyle w:val="2"/>
              <w:autoSpaceDE/>
              <w:autoSpaceDN/>
              <w:adjustRightInd/>
              <w:spacing w:line="360" w:lineRule="auto"/>
              <w:jc w:val="left"/>
              <w:rPr>
                <w:rFonts w:hint="eastAsia" w:hAnsi="宋体" w:cs="宋体"/>
                <w:szCs w:val="24"/>
                <w:lang w:val="en-US"/>
              </w:rPr>
            </w:pPr>
            <w:r>
              <w:rPr>
                <w:rFonts w:hint="eastAsia" w:hAnsi="宋体" w:cs="宋体"/>
                <w:szCs w:val="24"/>
                <w:lang w:val="en-US"/>
              </w:rPr>
              <w:t>中间件替换，替换成中间件东方通tongweb7.0或中创V10.0:弹性云计算服务器适配改造，包括国产服务器芯片、国产操作系统:内置库适配国产化数据库改造，内置库适配国产化数据库改造;适配数据库达梦V8。</w:t>
            </w:r>
          </w:p>
        </w:tc>
        <w:tc>
          <w:tcPr>
            <w:tcW w:w="627" w:type="pct"/>
            <w:noWrap w:val="0"/>
            <w:vAlign w:val="center"/>
          </w:tcPr>
          <w:p w14:paraId="0EFDEE21">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78D5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01" w:type="pct"/>
            <w:noWrap w:val="0"/>
            <w:vAlign w:val="center"/>
          </w:tcPr>
          <w:p w14:paraId="516EDBF8">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24</w:t>
            </w:r>
          </w:p>
        </w:tc>
        <w:tc>
          <w:tcPr>
            <w:tcW w:w="304" w:type="pct"/>
            <w:vMerge w:val="continue"/>
            <w:noWrap w:val="0"/>
            <w:vAlign w:val="center"/>
          </w:tcPr>
          <w:p w14:paraId="22CCD8D0">
            <w:pPr>
              <w:pStyle w:val="2"/>
              <w:autoSpaceDE/>
              <w:autoSpaceDN/>
              <w:adjustRightInd/>
              <w:spacing w:line="240" w:lineRule="auto"/>
              <w:jc w:val="center"/>
              <w:rPr>
                <w:rFonts w:hint="eastAsia" w:hAnsi="宋体" w:cs="宋体"/>
                <w:szCs w:val="24"/>
                <w:lang w:val="en-US"/>
              </w:rPr>
            </w:pPr>
          </w:p>
        </w:tc>
        <w:tc>
          <w:tcPr>
            <w:tcW w:w="988" w:type="pct"/>
            <w:noWrap w:val="0"/>
            <w:vAlign w:val="center"/>
          </w:tcPr>
          <w:p w14:paraId="6678D6BD">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医美机构阳光手术室数字监管</w:t>
            </w:r>
          </w:p>
        </w:tc>
        <w:tc>
          <w:tcPr>
            <w:tcW w:w="2777" w:type="pct"/>
            <w:noWrap w:val="0"/>
            <w:vAlign w:val="center"/>
          </w:tcPr>
          <w:p w14:paraId="0FE87371">
            <w:pPr>
              <w:pStyle w:val="2"/>
              <w:autoSpaceDE/>
              <w:autoSpaceDN/>
              <w:adjustRightInd/>
              <w:spacing w:line="360" w:lineRule="auto"/>
              <w:jc w:val="left"/>
              <w:rPr>
                <w:rFonts w:hint="eastAsia" w:hAnsi="宋体" w:cs="宋体"/>
                <w:szCs w:val="24"/>
                <w:lang w:val="en-US"/>
              </w:rPr>
            </w:pPr>
            <w:r>
              <w:rPr>
                <w:rFonts w:hint="eastAsia" w:hAnsi="宋体" w:cs="宋体"/>
                <w:szCs w:val="24"/>
                <w:lang w:val="en-US"/>
              </w:rPr>
              <w:t>中间件替换，替换成中间件东方通tongweb7.0或中创V10.0:弹性云计算服务器适配改造，包括国产服务器芯片、国产操作系统:内置库适配国产化数据库改造，内置库适配国产化数据库改造;适配数据库达梦V8。</w:t>
            </w:r>
          </w:p>
        </w:tc>
        <w:tc>
          <w:tcPr>
            <w:tcW w:w="627" w:type="pct"/>
            <w:noWrap w:val="0"/>
            <w:vAlign w:val="center"/>
          </w:tcPr>
          <w:p w14:paraId="06CE0090">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55BA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301" w:type="pct"/>
            <w:noWrap w:val="0"/>
            <w:vAlign w:val="center"/>
          </w:tcPr>
          <w:p w14:paraId="4A3DA1C4">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25</w:t>
            </w:r>
          </w:p>
        </w:tc>
        <w:tc>
          <w:tcPr>
            <w:tcW w:w="304" w:type="pct"/>
            <w:noWrap w:val="0"/>
            <w:vAlign w:val="center"/>
          </w:tcPr>
          <w:p w14:paraId="39BA7B40">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数据迁移</w:t>
            </w:r>
          </w:p>
        </w:tc>
        <w:tc>
          <w:tcPr>
            <w:tcW w:w="988" w:type="pct"/>
            <w:noWrap w:val="0"/>
            <w:vAlign w:val="center"/>
          </w:tcPr>
          <w:p w14:paraId="751D6D67">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数据迁移</w:t>
            </w:r>
          </w:p>
        </w:tc>
        <w:tc>
          <w:tcPr>
            <w:tcW w:w="2777" w:type="pct"/>
            <w:noWrap w:val="0"/>
            <w:vAlign w:val="center"/>
          </w:tcPr>
          <w:p w14:paraId="3EE67CB0">
            <w:pPr>
              <w:pStyle w:val="2"/>
              <w:autoSpaceDE/>
              <w:autoSpaceDN/>
              <w:adjustRightInd/>
              <w:spacing w:line="360" w:lineRule="auto"/>
              <w:jc w:val="left"/>
              <w:rPr>
                <w:rFonts w:hint="eastAsia" w:hAnsi="宋体" w:cs="宋体"/>
                <w:szCs w:val="24"/>
                <w:lang w:val="en-US"/>
              </w:rPr>
            </w:pPr>
            <w:r>
              <w:rPr>
                <w:rFonts w:hint="eastAsia" w:hAnsi="宋体" w:cs="宋体"/>
                <w:szCs w:val="24"/>
                <w:lang w:val="en-US"/>
              </w:rPr>
              <w:t>完成一体化改造涉及系统模块的数据对接迁移、数据清洗作业迁移、管理平台任务迁移、共享接口开发发布、资源池备份数据分批迁移（包含：综合监管智慧监管（150张表）、智能文书辅助办案和评查（70张表）、医废智能监管（95张表）、智慧健康小屋（82张表）、医美机构阳光手术室数字监管（60张表）、“畅心泳”游泳场所三色分级智能监管（48张表）、住宿卫生在线第二场景（52张表）等合计约550张表。</w:t>
            </w:r>
          </w:p>
        </w:tc>
        <w:tc>
          <w:tcPr>
            <w:tcW w:w="627" w:type="pct"/>
            <w:noWrap w:val="0"/>
            <w:vAlign w:val="center"/>
          </w:tcPr>
          <w:p w14:paraId="4B8658FF">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4374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01" w:type="pct"/>
            <w:noWrap w:val="0"/>
            <w:vAlign w:val="center"/>
          </w:tcPr>
          <w:p w14:paraId="4A04F64F">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26</w:t>
            </w:r>
          </w:p>
        </w:tc>
        <w:tc>
          <w:tcPr>
            <w:tcW w:w="304" w:type="pct"/>
            <w:vMerge w:val="restart"/>
            <w:noWrap w:val="0"/>
            <w:vAlign w:val="center"/>
          </w:tcPr>
          <w:p w14:paraId="4509E513">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其他对接</w:t>
            </w:r>
          </w:p>
        </w:tc>
        <w:tc>
          <w:tcPr>
            <w:tcW w:w="988" w:type="pct"/>
            <w:vMerge w:val="restart"/>
            <w:noWrap w:val="0"/>
            <w:vAlign w:val="center"/>
          </w:tcPr>
          <w:p w14:paraId="3F9CD271">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区物联网感知平台对接要求</w:t>
            </w:r>
          </w:p>
        </w:tc>
        <w:tc>
          <w:tcPr>
            <w:tcW w:w="2777" w:type="pct"/>
            <w:noWrap w:val="0"/>
            <w:vAlign w:val="center"/>
          </w:tcPr>
          <w:p w14:paraId="562790E2">
            <w:pPr>
              <w:pStyle w:val="2"/>
              <w:autoSpaceDE/>
              <w:autoSpaceDN/>
              <w:adjustRightInd/>
              <w:spacing w:line="360" w:lineRule="auto"/>
              <w:jc w:val="left"/>
              <w:rPr>
                <w:rFonts w:hint="eastAsia" w:hAnsi="宋体" w:cs="宋体"/>
                <w:szCs w:val="24"/>
                <w:lang w:val="en-US"/>
              </w:rPr>
            </w:pPr>
            <w:r>
              <w:rPr>
                <w:rFonts w:hint="eastAsia" w:hAnsi="宋体" w:cs="宋体"/>
                <w:szCs w:val="24"/>
                <w:lang w:val="en-US"/>
              </w:rPr>
              <w:t>医疗废物智能收集设备，1批，按照要求完成数据对接</w:t>
            </w:r>
          </w:p>
        </w:tc>
        <w:tc>
          <w:tcPr>
            <w:tcW w:w="627" w:type="pct"/>
            <w:noWrap w:val="0"/>
            <w:vAlign w:val="center"/>
          </w:tcPr>
          <w:p w14:paraId="5DC5C3AA">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r w14:paraId="15A0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01" w:type="pct"/>
            <w:noWrap w:val="0"/>
            <w:vAlign w:val="center"/>
          </w:tcPr>
          <w:p w14:paraId="4DBAF625">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27</w:t>
            </w:r>
          </w:p>
        </w:tc>
        <w:tc>
          <w:tcPr>
            <w:tcW w:w="304" w:type="pct"/>
            <w:vMerge w:val="continue"/>
            <w:noWrap w:val="0"/>
            <w:vAlign w:val="center"/>
          </w:tcPr>
          <w:p w14:paraId="276E3851">
            <w:pPr>
              <w:pStyle w:val="2"/>
              <w:autoSpaceDE/>
              <w:autoSpaceDN/>
              <w:adjustRightInd/>
              <w:spacing w:line="240" w:lineRule="auto"/>
              <w:jc w:val="center"/>
              <w:rPr>
                <w:rFonts w:hint="eastAsia" w:hAnsi="宋体" w:cs="宋体"/>
                <w:szCs w:val="24"/>
                <w:lang w:val="en-US"/>
              </w:rPr>
            </w:pPr>
          </w:p>
        </w:tc>
        <w:tc>
          <w:tcPr>
            <w:tcW w:w="988" w:type="pct"/>
            <w:vMerge w:val="continue"/>
            <w:noWrap w:val="0"/>
            <w:vAlign w:val="center"/>
          </w:tcPr>
          <w:p w14:paraId="3D1E295F">
            <w:pPr>
              <w:pStyle w:val="2"/>
              <w:autoSpaceDE/>
              <w:autoSpaceDN/>
              <w:adjustRightInd/>
              <w:spacing w:line="240" w:lineRule="auto"/>
              <w:jc w:val="center"/>
              <w:rPr>
                <w:rFonts w:hint="eastAsia" w:hAnsi="宋体" w:cs="宋体"/>
                <w:szCs w:val="24"/>
                <w:lang w:val="en-US"/>
              </w:rPr>
            </w:pPr>
          </w:p>
        </w:tc>
        <w:tc>
          <w:tcPr>
            <w:tcW w:w="2777" w:type="pct"/>
            <w:noWrap w:val="0"/>
            <w:vAlign w:val="center"/>
          </w:tcPr>
          <w:p w14:paraId="5F07BFBD">
            <w:pPr>
              <w:pStyle w:val="2"/>
              <w:autoSpaceDE/>
              <w:autoSpaceDN/>
              <w:adjustRightInd/>
              <w:spacing w:line="360" w:lineRule="auto"/>
              <w:jc w:val="left"/>
              <w:rPr>
                <w:rFonts w:hint="eastAsia" w:hAnsi="宋体" w:cs="宋体"/>
                <w:szCs w:val="24"/>
                <w:lang w:val="en-US"/>
              </w:rPr>
            </w:pPr>
            <w:r>
              <w:rPr>
                <w:rFonts w:hint="eastAsia" w:hAnsi="宋体" w:cs="宋体"/>
                <w:szCs w:val="24"/>
                <w:lang w:val="en-US"/>
              </w:rPr>
              <w:t>“畅心泳”游泳场所水质监测设备，1批，按照要求完成数据对接</w:t>
            </w:r>
          </w:p>
        </w:tc>
        <w:tc>
          <w:tcPr>
            <w:tcW w:w="627" w:type="pct"/>
            <w:noWrap w:val="0"/>
            <w:vAlign w:val="center"/>
          </w:tcPr>
          <w:p w14:paraId="6924CB63">
            <w:pPr>
              <w:pStyle w:val="2"/>
              <w:autoSpaceDE/>
              <w:autoSpaceDN/>
              <w:adjustRightInd/>
              <w:spacing w:line="240" w:lineRule="auto"/>
              <w:jc w:val="center"/>
              <w:rPr>
                <w:rFonts w:hint="eastAsia" w:hAnsi="宋体" w:cs="宋体"/>
                <w:szCs w:val="24"/>
                <w:lang w:val="en-US"/>
              </w:rPr>
            </w:pPr>
            <w:r>
              <w:rPr>
                <w:rFonts w:hint="eastAsia" w:hAnsi="宋体" w:cs="宋体"/>
                <w:szCs w:val="24"/>
                <w:lang w:val="en-US"/>
              </w:rPr>
              <w:t>1项</w:t>
            </w:r>
          </w:p>
        </w:tc>
      </w:tr>
    </w:tbl>
    <w:p w14:paraId="62EE59BE">
      <w:pPr>
        <w:widowControl/>
        <w:snapToGrid w:val="0"/>
        <w:spacing w:line="560" w:lineRule="exact"/>
        <w:ind w:firstLine="420"/>
        <w:rPr>
          <w:rFonts w:hint="eastAsia" w:ascii="宋体" w:hAnsi="宋体" w:cs="宋体"/>
          <w:kern w:val="0"/>
          <w:sz w:val="24"/>
        </w:rPr>
      </w:pPr>
      <w:r>
        <w:rPr>
          <w:rFonts w:hint="eastAsia" w:ascii="宋体" w:hAnsi="宋体" w:cs="宋体"/>
          <w:kern w:val="0"/>
          <w:sz w:val="24"/>
        </w:rPr>
        <w:t>（2）硬件运维</w:t>
      </w:r>
    </w:p>
    <w:tbl>
      <w:tblPr>
        <w:tblStyle w:val="62"/>
        <w:tblW w:w="4999" w:type="pct"/>
        <w:tblInd w:w="0" w:type="dxa"/>
        <w:tblLayout w:type="fixed"/>
        <w:tblCellMar>
          <w:top w:w="0" w:type="dxa"/>
          <w:left w:w="108" w:type="dxa"/>
          <w:bottom w:w="0" w:type="dxa"/>
          <w:right w:w="108" w:type="dxa"/>
        </w:tblCellMar>
      </w:tblPr>
      <w:tblGrid>
        <w:gridCol w:w="436"/>
        <w:gridCol w:w="7944"/>
        <w:gridCol w:w="907"/>
      </w:tblGrid>
      <w:tr w14:paraId="0D1691DE">
        <w:tblPrEx>
          <w:tblCellMar>
            <w:top w:w="0" w:type="dxa"/>
            <w:left w:w="108" w:type="dxa"/>
            <w:bottom w:w="0" w:type="dxa"/>
            <w:right w:w="108" w:type="dxa"/>
          </w:tblCellMar>
        </w:tblPrEx>
        <w:tc>
          <w:tcPr>
            <w:tcW w:w="234" w:type="pct"/>
            <w:tcBorders>
              <w:top w:val="single" w:color="auto" w:sz="4" w:space="0"/>
              <w:left w:val="single" w:color="000000" w:sz="4" w:space="0"/>
              <w:bottom w:val="single" w:color="000000" w:sz="4" w:space="0"/>
              <w:right w:val="single" w:color="000000" w:sz="4" w:space="0"/>
            </w:tcBorders>
            <w:noWrap/>
            <w:vAlign w:val="center"/>
          </w:tcPr>
          <w:p w14:paraId="52478946">
            <w:pPr>
              <w:widowControl/>
              <w:adjustRightInd/>
              <w:snapToGrid w:val="0"/>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4278" w:type="pct"/>
            <w:tcBorders>
              <w:top w:val="single" w:color="auto" w:sz="4" w:space="0"/>
              <w:left w:val="single" w:color="000000" w:sz="4" w:space="0"/>
              <w:bottom w:val="single" w:color="000000" w:sz="4" w:space="0"/>
              <w:right w:val="single" w:color="000000" w:sz="4" w:space="0"/>
            </w:tcBorders>
            <w:noWrap w:val="0"/>
            <w:vAlign w:val="center"/>
          </w:tcPr>
          <w:p w14:paraId="45BDA767">
            <w:pPr>
              <w:widowControl/>
              <w:adjustRightInd/>
              <w:snapToGrid w:val="0"/>
              <w:jc w:val="center"/>
              <w:rPr>
                <w:rFonts w:hint="eastAsia" w:ascii="宋体" w:hAnsi="宋体" w:cs="宋体"/>
                <w:b/>
                <w:bCs/>
                <w:color w:val="000000"/>
                <w:kern w:val="0"/>
                <w:sz w:val="24"/>
              </w:rPr>
            </w:pPr>
            <w:r>
              <w:rPr>
                <w:rFonts w:hint="eastAsia" w:ascii="宋体" w:hAnsi="宋体" w:cs="宋体"/>
                <w:b/>
                <w:bCs/>
                <w:color w:val="000000"/>
                <w:kern w:val="0"/>
                <w:sz w:val="24"/>
              </w:rPr>
              <w:t>硬件运维</w:t>
            </w:r>
          </w:p>
        </w:tc>
        <w:tc>
          <w:tcPr>
            <w:tcW w:w="488" w:type="pct"/>
            <w:tcBorders>
              <w:top w:val="single" w:color="auto" w:sz="4" w:space="0"/>
              <w:left w:val="single" w:color="000000" w:sz="4" w:space="0"/>
              <w:bottom w:val="single" w:color="000000" w:sz="4" w:space="0"/>
              <w:right w:val="single" w:color="000000" w:sz="4" w:space="0"/>
            </w:tcBorders>
            <w:noWrap w:val="0"/>
            <w:vAlign w:val="center"/>
          </w:tcPr>
          <w:p w14:paraId="28C36B83">
            <w:pPr>
              <w:widowControl/>
              <w:adjustRightInd/>
              <w:snapToGrid w:val="0"/>
              <w:jc w:val="center"/>
              <w:rPr>
                <w:rFonts w:hint="eastAsia" w:ascii="宋体" w:hAnsi="宋体" w:cs="宋体"/>
                <w:b/>
                <w:bCs/>
                <w:color w:val="000000"/>
                <w:kern w:val="0"/>
                <w:sz w:val="24"/>
              </w:rPr>
            </w:pPr>
            <w:r>
              <w:rPr>
                <w:rFonts w:hint="eastAsia" w:ascii="宋体" w:hAnsi="宋体" w:cs="宋体"/>
                <w:b/>
                <w:bCs/>
                <w:color w:val="000000"/>
                <w:kern w:val="0"/>
                <w:sz w:val="24"/>
              </w:rPr>
              <w:t>数量</w:t>
            </w:r>
          </w:p>
        </w:tc>
      </w:tr>
      <w:tr w14:paraId="4E7CE9B0">
        <w:tblPrEx>
          <w:tblCellMar>
            <w:top w:w="0" w:type="dxa"/>
            <w:left w:w="108" w:type="dxa"/>
            <w:bottom w:w="0" w:type="dxa"/>
            <w:right w:w="108" w:type="dxa"/>
          </w:tblCellMar>
        </w:tblPrEx>
        <w:trPr>
          <w:trHeight w:val="9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14:paraId="151BE0F8">
            <w:pPr>
              <w:widowControl/>
              <w:adjustRightInd/>
              <w:snapToGrid w:val="0"/>
              <w:jc w:val="left"/>
              <w:rPr>
                <w:rFonts w:hint="eastAsia" w:ascii="宋体" w:hAnsi="宋体" w:cs="宋体"/>
                <w:color w:val="000000"/>
                <w:kern w:val="0"/>
                <w:sz w:val="24"/>
              </w:rPr>
            </w:pPr>
            <w:r>
              <w:rPr>
                <w:rFonts w:hint="eastAsia" w:ascii="宋体" w:hAnsi="宋体" w:cs="宋体"/>
                <w:color w:val="000000"/>
                <w:kern w:val="0"/>
                <w:sz w:val="24"/>
              </w:rPr>
              <w:t>1</w:t>
            </w:r>
          </w:p>
        </w:tc>
        <w:tc>
          <w:tcPr>
            <w:tcW w:w="4278" w:type="pct"/>
            <w:tcBorders>
              <w:top w:val="single" w:color="000000" w:sz="4" w:space="0"/>
              <w:left w:val="single" w:color="000000" w:sz="4" w:space="0"/>
              <w:bottom w:val="single" w:color="000000" w:sz="4" w:space="0"/>
              <w:right w:val="single" w:color="000000" w:sz="4" w:space="0"/>
            </w:tcBorders>
            <w:noWrap w:val="0"/>
            <w:vAlign w:val="center"/>
          </w:tcPr>
          <w:p w14:paraId="3B78803A">
            <w:pPr>
              <w:widowControl/>
              <w:adjustRightInd/>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对项目涉及的硬件设备，对设备进行日常维护，对部门的设备对接、数据共享提供技术咨询服务和协助方案，完成系统模块和设备接入、数据共享。（一体化医疗废物集成回收终端项目硬件）</w:t>
            </w:r>
          </w:p>
        </w:tc>
        <w:tc>
          <w:tcPr>
            <w:tcW w:w="488" w:type="pct"/>
            <w:vMerge w:val="restart"/>
            <w:tcBorders>
              <w:top w:val="single" w:color="000000" w:sz="4" w:space="0"/>
              <w:left w:val="single" w:color="000000" w:sz="4" w:space="0"/>
              <w:right w:val="single" w:color="000000" w:sz="4" w:space="0"/>
            </w:tcBorders>
            <w:noWrap w:val="0"/>
            <w:vAlign w:val="center"/>
          </w:tcPr>
          <w:p w14:paraId="2A043C02">
            <w:pPr>
              <w:widowControl/>
              <w:adjustRightInd/>
              <w:snapToGrid w:val="0"/>
              <w:jc w:val="center"/>
              <w:rPr>
                <w:rFonts w:hint="eastAsia" w:ascii="宋体" w:hAnsi="宋体" w:cs="宋体"/>
                <w:color w:val="000000"/>
                <w:kern w:val="0"/>
                <w:sz w:val="24"/>
              </w:rPr>
            </w:pPr>
            <w:r>
              <w:rPr>
                <w:rFonts w:hint="eastAsia" w:ascii="宋体" w:hAnsi="宋体" w:cs="宋体"/>
                <w:color w:val="000000"/>
                <w:kern w:val="0"/>
                <w:sz w:val="24"/>
              </w:rPr>
              <w:t>36月</w:t>
            </w:r>
          </w:p>
        </w:tc>
      </w:tr>
      <w:tr w14:paraId="6F1B9A97">
        <w:tblPrEx>
          <w:tblCellMar>
            <w:top w:w="0" w:type="dxa"/>
            <w:left w:w="108" w:type="dxa"/>
            <w:bottom w:w="0" w:type="dxa"/>
            <w:right w:w="108" w:type="dxa"/>
          </w:tblCellMar>
        </w:tblPrEx>
        <w:trPr>
          <w:trHeight w:val="9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14:paraId="08F66BDD">
            <w:pPr>
              <w:widowControl/>
              <w:adjustRightInd/>
              <w:snapToGrid w:val="0"/>
              <w:jc w:val="left"/>
              <w:rPr>
                <w:rFonts w:hint="eastAsia" w:ascii="宋体" w:hAnsi="宋体" w:cs="宋体"/>
                <w:color w:val="000000"/>
                <w:kern w:val="0"/>
                <w:sz w:val="24"/>
              </w:rPr>
            </w:pPr>
            <w:r>
              <w:rPr>
                <w:rFonts w:hint="eastAsia" w:ascii="宋体" w:hAnsi="宋体" w:cs="宋体"/>
                <w:color w:val="000000"/>
                <w:kern w:val="0"/>
                <w:sz w:val="24"/>
              </w:rPr>
              <w:t>2</w:t>
            </w:r>
          </w:p>
        </w:tc>
        <w:tc>
          <w:tcPr>
            <w:tcW w:w="4278" w:type="pct"/>
            <w:tcBorders>
              <w:top w:val="single" w:color="000000" w:sz="4" w:space="0"/>
              <w:left w:val="single" w:color="000000" w:sz="4" w:space="0"/>
              <w:bottom w:val="single" w:color="000000" w:sz="4" w:space="0"/>
              <w:right w:val="single" w:color="000000" w:sz="4" w:space="0"/>
            </w:tcBorders>
            <w:noWrap w:val="0"/>
            <w:vAlign w:val="center"/>
          </w:tcPr>
          <w:p w14:paraId="561DA907">
            <w:pPr>
              <w:widowControl/>
              <w:adjustRightInd/>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商务要求：硬件维保期限为：2</w:t>
            </w:r>
            <w:r>
              <w:rPr>
                <w:rFonts w:ascii="宋体" w:hAnsi="宋体" w:cs="宋体"/>
                <w:color w:val="000000"/>
                <w:kern w:val="0"/>
                <w:sz w:val="24"/>
              </w:rPr>
              <w:t>024年</w:t>
            </w:r>
            <w:r>
              <w:rPr>
                <w:rFonts w:hint="eastAsia" w:ascii="宋体" w:hAnsi="宋体" w:cs="宋体"/>
                <w:color w:val="000000"/>
                <w:kern w:val="0"/>
                <w:sz w:val="24"/>
              </w:rPr>
              <w:t>7月1日-</w:t>
            </w:r>
            <w:r>
              <w:rPr>
                <w:rFonts w:ascii="宋体" w:hAnsi="宋体" w:cs="宋体"/>
                <w:color w:val="000000"/>
                <w:kern w:val="0"/>
                <w:sz w:val="24"/>
              </w:rPr>
              <w:t>2027年</w:t>
            </w:r>
            <w:r>
              <w:rPr>
                <w:rFonts w:hint="eastAsia" w:ascii="宋体" w:hAnsi="宋体" w:cs="宋体"/>
                <w:color w:val="000000"/>
                <w:kern w:val="0"/>
                <w:sz w:val="24"/>
              </w:rPr>
              <w:t>6月3</w:t>
            </w:r>
            <w:r>
              <w:rPr>
                <w:rFonts w:ascii="宋体" w:hAnsi="宋体" w:cs="宋体"/>
                <w:color w:val="000000"/>
                <w:kern w:val="0"/>
                <w:sz w:val="24"/>
              </w:rPr>
              <w:t>0日，</w:t>
            </w:r>
            <w:r>
              <w:rPr>
                <w:rFonts w:hint="eastAsia" w:ascii="宋体" w:hAnsi="宋体" w:cs="宋体"/>
                <w:color w:val="000000"/>
                <w:kern w:val="0"/>
                <w:sz w:val="24"/>
              </w:rPr>
              <w:t>逾期结算及义务：如果中标方和上一年度运维厂商不是同一中标人，并且本合同签订日由于某些客观原因在上一年度运维期之后的，乙方按照上一年度运维合同金额，折算逾期运维费用，结算给上一年度运维厂商。如果本合同运维到期后，还未签订新的运维合同，乙方将无条件按照本合同继续履行运维工作，直到下一年度中标厂商和乙方进行逾期结算。</w:t>
            </w:r>
          </w:p>
        </w:tc>
        <w:tc>
          <w:tcPr>
            <w:tcW w:w="488" w:type="pct"/>
            <w:vMerge w:val="continue"/>
            <w:tcBorders>
              <w:left w:val="single" w:color="000000" w:sz="4" w:space="0"/>
              <w:bottom w:val="single" w:color="000000" w:sz="4" w:space="0"/>
              <w:right w:val="single" w:color="000000" w:sz="4" w:space="0"/>
            </w:tcBorders>
            <w:noWrap w:val="0"/>
            <w:vAlign w:val="center"/>
          </w:tcPr>
          <w:p w14:paraId="77702B25">
            <w:pPr>
              <w:widowControl/>
              <w:adjustRightInd/>
              <w:snapToGrid w:val="0"/>
              <w:jc w:val="center"/>
              <w:rPr>
                <w:rFonts w:hint="eastAsia" w:ascii="宋体" w:hAnsi="宋体" w:cs="宋体"/>
                <w:color w:val="000000"/>
                <w:kern w:val="0"/>
                <w:sz w:val="24"/>
              </w:rPr>
            </w:pPr>
          </w:p>
        </w:tc>
      </w:tr>
    </w:tbl>
    <w:p w14:paraId="5E8500C4">
      <w:pPr>
        <w:widowControl/>
        <w:snapToGrid w:val="0"/>
        <w:spacing w:line="560" w:lineRule="exact"/>
        <w:ind w:firstLine="420"/>
        <w:rPr>
          <w:rFonts w:hint="eastAsia" w:ascii="宋体" w:hAnsi="宋体" w:cs="宋体"/>
          <w:kern w:val="0"/>
          <w:sz w:val="24"/>
        </w:rPr>
      </w:pPr>
      <w:r>
        <w:rPr>
          <w:rFonts w:hint="eastAsia" w:ascii="宋体" w:hAnsi="宋体" w:cs="宋体"/>
          <w:kern w:val="0"/>
          <w:sz w:val="24"/>
        </w:rPr>
        <w:t>（3）其他服务</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7845"/>
        <w:gridCol w:w="901"/>
      </w:tblGrid>
      <w:tr w14:paraId="29E4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top"/>
          </w:tcPr>
          <w:p w14:paraId="10EC439E">
            <w:pPr>
              <w:widowControl/>
              <w:adjustRightInd/>
              <w:snapToGrid w:val="0"/>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4222" w:type="pct"/>
            <w:noWrap w:val="0"/>
            <w:vAlign w:val="top"/>
          </w:tcPr>
          <w:p w14:paraId="790FF89D">
            <w:pPr>
              <w:widowControl/>
              <w:adjustRightInd/>
              <w:snapToGrid w:val="0"/>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内容</w:t>
            </w:r>
          </w:p>
        </w:tc>
        <w:tc>
          <w:tcPr>
            <w:tcW w:w="485" w:type="pct"/>
            <w:noWrap w:val="0"/>
            <w:vAlign w:val="center"/>
          </w:tcPr>
          <w:p w14:paraId="20A9C1DE">
            <w:pPr>
              <w:pStyle w:val="2"/>
              <w:autoSpaceDE/>
              <w:autoSpaceDN/>
              <w:adjustRightInd/>
              <w:jc w:val="center"/>
              <w:rPr>
                <w:rFonts w:hint="eastAsia" w:hAnsi="宋体" w:cs="宋体"/>
                <w:b/>
                <w:bCs/>
                <w:color w:val="000000"/>
                <w:kern w:val="0"/>
                <w:szCs w:val="24"/>
                <w:lang w:val="en-US"/>
              </w:rPr>
            </w:pPr>
            <w:r>
              <w:rPr>
                <w:rFonts w:hint="eastAsia" w:hAnsi="宋体" w:cs="宋体"/>
                <w:b/>
                <w:bCs/>
                <w:szCs w:val="24"/>
                <w:lang w:val="en-US"/>
              </w:rPr>
              <w:t>数量</w:t>
            </w:r>
          </w:p>
        </w:tc>
      </w:tr>
      <w:tr w14:paraId="3EAC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top"/>
          </w:tcPr>
          <w:p w14:paraId="2D146193">
            <w:pPr>
              <w:widowControl/>
              <w:adjustRightInd/>
              <w:snapToGrid w:val="0"/>
              <w:jc w:val="center"/>
              <w:rPr>
                <w:rFonts w:hint="eastAsia" w:ascii="宋体" w:hAnsi="宋体" w:cs="宋体"/>
                <w:color w:val="000000"/>
                <w:kern w:val="0"/>
                <w:sz w:val="24"/>
              </w:rPr>
            </w:pPr>
            <w:r>
              <w:rPr>
                <w:rFonts w:hint="eastAsia" w:ascii="宋体" w:hAnsi="宋体" w:cs="宋体"/>
                <w:color w:val="000000"/>
                <w:kern w:val="0"/>
                <w:sz w:val="24"/>
              </w:rPr>
              <w:t>1</w:t>
            </w:r>
          </w:p>
        </w:tc>
        <w:tc>
          <w:tcPr>
            <w:tcW w:w="4222" w:type="pct"/>
            <w:noWrap w:val="0"/>
            <w:vAlign w:val="top"/>
          </w:tcPr>
          <w:p w14:paraId="77F1F6E5">
            <w:pPr>
              <w:widowControl/>
              <w:adjustRightInd/>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rPr>
              <w:t>信创第三方测评</w:t>
            </w:r>
          </w:p>
        </w:tc>
        <w:tc>
          <w:tcPr>
            <w:tcW w:w="485" w:type="pct"/>
            <w:noWrap w:val="0"/>
            <w:vAlign w:val="center"/>
          </w:tcPr>
          <w:p w14:paraId="2E283D4A">
            <w:pPr>
              <w:pStyle w:val="2"/>
              <w:autoSpaceDE/>
              <w:autoSpaceDN/>
              <w:adjustRightInd/>
              <w:jc w:val="center"/>
              <w:rPr>
                <w:rFonts w:hint="eastAsia" w:hAnsi="宋体" w:cs="宋体"/>
                <w:color w:val="000000"/>
                <w:kern w:val="0"/>
                <w:szCs w:val="24"/>
                <w:lang w:val="en-US"/>
              </w:rPr>
            </w:pPr>
            <w:r>
              <w:rPr>
                <w:rFonts w:hint="eastAsia" w:hAnsi="宋体" w:cs="宋体"/>
                <w:szCs w:val="24"/>
                <w:lang w:val="en-US"/>
              </w:rPr>
              <w:t>1项</w:t>
            </w:r>
          </w:p>
        </w:tc>
      </w:tr>
    </w:tbl>
    <w:p w14:paraId="73699DD0">
      <w:pPr>
        <w:rPr>
          <w:rFonts w:hint="eastAsia" w:ascii="宋体" w:hAnsi="宋体" w:cs="宋体"/>
          <w:sz w:val="24"/>
        </w:rPr>
      </w:pPr>
    </w:p>
    <w:p w14:paraId="4422ED69">
      <w:pPr>
        <w:pStyle w:val="3"/>
        <w:spacing w:before="0" w:after="0" w:line="360" w:lineRule="auto"/>
        <w:ind w:left="0" w:firstLine="0"/>
        <w:rPr>
          <w:rFonts w:hint="eastAsia" w:ascii="宋体" w:hAnsi="宋体" w:cs="宋体"/>
          <w:sz w:val="24"/>
          <w:szCs w:val="24"/>
        </w:rPr>
      </w:pPr>
      <w:r>
        <w:rPr>
          <w:rFonts w:hint="eastAsia" w:ascii="宋体" w:hAnsi="宋体" w:cs="宋体"/>
          <w:sz w:val="24"/>
          <w:szCs w:val="24"/>
        </w:rPr>
        <w:t>二、项目实施要求</w:t>
      </w:r>
    </w:p>
    <w:p w14:paraId="54E73D92">
      <w:pPr>
        <w:snapToGrid w:val="0"/>
        <w:spacing w:line="360" w:lineRule="auto"/>
        <w:ind w:firstLine="480" w:firstLineChars="200"/>
        <w:rPr>
          <w:rFonts w:hint="eastAsia" w:ascii="宋体" w:hAnsi="宋体" w:cs="宋体"/>
          <w:sz w:val="24"/>
        </w:rPr>
      </w:pPr>
      <w:r>
        <w:rPr>
          <w:rFonts w:hint="eastAsia" w:ascii="宋体" w:hAnsi="宋体" w:cs="宋体"/>
          <w:sz w:val="24"/>
        </w:rPr>
        <w:t>（一）项目实施进度要求：软件建设内容工期120天；硬件运维工期3年。</w:t>
      </w:r>
    </w:p>
    <w:p w14:paraId="50E11E72">
      <w:pPr>
        <w:snapToGrid w:val="0"/>
        <w:spacing w:line="360" w:lineRule="auto"/>
        <w:ind w:firstLine="480" w:firstLineChars="200"/>
        <w:rPr>
          <w:rFonts w:hint="eastAsia" w:ascii="宋体" w:hAnsi="宋体" w:cs="宋体"/>
          <w:sz w:val="24"/>
        </w:rPr>
      </w:pPr>
      <w:r>
        <w:rPr>
          <w:rFonts w:hint="eastAsia" w:ascii="宋体" w:hAnsi="宋体" w:cs="宋体"/>
          <w:sz w:val="24"/>
        </w:rPr>
        <w:t>软件建设内容工期计划分三个阶段进行:</w:t>
      </w:r>
    </w:p>
    <w:p w14:paraId="4FD6C737">
      <w:pPr>
        <w:snapToGrid w:val="0"/>
        <w:spacing w:line="360" w:lineRule="auto"/>
        <w:ind w:firstLine="480" w:firstLineChars="200"/>
        <w:rPr>
          <w:rFonts w:hint="eastAsia" w:ascii="宋体" w:hAnsi="宋体" w:cs="宋体"/>
          <w:sz w:val="24"/>
        </w:rPr>
      </w:pPr>
      <w:r>
        <w:rPr>
          <w:rFonts w:hint="eastAsia" w:ascii="宋体" w:hAnsi="宋体" w:cs="宋体"/>
          <w:sz w:val="24"/>
        </w:rPr>
        <w:t>第一阶段：合同签订后</w:t>
      </w:r>
      <w:r>
        <w:rPr>
          <w:rFonts w:ascii="宋体" w:hAnsi="宋体" w:cs="宋体"/>
          <w:sz w:val="24"/>
        </w:rPr>
        <w:t>20</w:t>
      </w:r>
      <w:r>
        <w:rPr>
          <w:rFonts w:hint="eastAsia" w:ascii="宋体" w:hAnsi="宋体" w:cs="宋体"/>
          <w:sz w:val="24"/>
        </w:rPr>
        <w:t>天内进一步优化需求分析、概要设计、详细设计，并细化系统建设计划、目标任务书和测试验收方案；</w:t>
      </w:r>
    </w:p>
    <w:p w14:paraId="2ED0B252">
      <w:pPr>
        <w:snapToGrid w:val="0"/>
        <w:spacing w:line="360" w:lineRule="auto"/>
        <w:ind w:firstLine="480" w:firstLineChars="200"/>
        <w:rPr>
          <w:rFonts w:hint="eastAsia" w:ascii="宋体" w:hAnsi="宋体" w:cs="宋体"/>
          <w:sz w:val="24"/>
        </w:rPr>
      </w:pPr>
      <w:r>
        <w:rPr>
          <w:rFonts w:hint="eastAsia" w:ascii="宋体" w:hAnsi="宋体" w:cs="宋体"/>
          <w:sz w:val="24"/>
        </w:rPr>
        <w:t>第二阶段：合同签订后100天内完成本项目要求的内容开发、测试（含功能测试、性能测试以及压力测试等）、上线等工作，并提交初步验收申请。</w:t>
      </w:r>
    </w:p>
    <w:p w14:paraId="7B2E2733">
      <w:pPr>
        <w:snapToGrid w:val="0"/>
        <w:spacing w:line="360" w:lineRule="auto"/>
        <w:ind w:firstLine="480" w:firstLineChars="200"/>
        <w:rPr>
          <w:rFonts w:hint="eastAsia" w:ascii="宋体" w:hAnsi="宋体" w:cs="宋体"/>
          <w:sz w:val="24"/>
        </w:rPr>
      </w:pPr>
      <w:r>
        <w:rPr>
          <w:rFonts w:hint="eastAsia" w:ascii="宋体" w:hAnsi="宋体" w:cs="宋体"/>
          <w:sz w:val="24"/>
        </w:rPr>
        <w:t>第三阶段：经过不少于一个月的试运行期，并完成本项目的培训任务,视运行情况组织终验。</w:t>
      </w:r>
    </w:p>
    <w:p w14:paraId="40792508">
      <w:pPr>
        <w:snapToGrid w:val="0"/>
        <w:spacing w:line="360" w:lineRule="auto"/>
        <w:ind w:firstLine="480" w:firstLineChars="200"/>
        <w:rPr>
          <w:rFonts w:hint="eastAsia" w:ascii="宋体" w:hAnsi="宋体" w:cs="宋体"/>
          <w:sz w:val="24"/>
        </w:rPr>
      </w:pPr>
      <w:r>
        <w:rPr>
          <w:rFonts w:hint="eastAsia" w:ascii="宋体" w:hAnsi="宋体" w:cs="宋体"/>
          <w:sz w:val="24"/>
        </w:rPr>
        <w:t>项目开发地点</w:t>
      </w:r>
      <w:r>
        <w:rPr>
          <w:rFonts w:hint="eastAsia" w:ascii="宋体" w:hAnsi="宋体" w:cs="宋体"/>
          <w:sz w:val="24"/>
          <w:lang w:eastAsia="zh-CN"/>
        </w:rPr>
        <w:t>：</w:t>
      </w:r>
      <w:r>
        <w:rPr>
          <w:rFonts w:hint="eastAsia" w:ascii="宋体" w:hAnsi="宋体" w:cs="宋体"/>
          <w:sz w:val="24"/>
        </w:rPr>
        <w:t>采购人指定地点。</w:t>
      </w:r>
    </w:p>
    <w:p w14:paraId="36F5570B">
      <w:pPr>
        <w:snapToGrid w:val="0"/>
        <w:spacing w:line="360" w:lineRule="auto"/>
        <w:ind w:firstLine="480" w:firstLineChars="200"/>
        <w:rPr>
          <w:rFonts w:hint="eastAsia" w:ascii="宋体" w:hAnsi="宋体" w:cs="宋体"/>
          <w:sz w:val="24"/>
        </w:rPr>
      </w:pPr>
      <w:r>
        <w:rPr>
          <w:rFonts w:hint="eastAsia" w:ascii="宋体" w:hAnsi="宋体" w:cs="宋体"/>
          <w:sz w:val="24"/>
        </w:rPr>
        <w:t>驻场要求</w:t>
      </w:r>
    </w:p>
    <w:p w14:paraId="1E582FEF">
      <w:pPr>
        <w:snapToGrid w:val="0"/>
        <w:spacing w:line="360" w:lineRule="auto"/>
        <w:ind w:firstLine="480" w:firstLineChars="200"/>
        <w:rPr>
          <w:rFonts w:hint="eastAsia" w:ascii="宋体" w:hAnsi="宋体" w:cs="宋体"/>
          <w:sz w:val="24"/>
        </w:rPr>
      </w:pPr>
      <w:r>
        <w:rPr>
          <w:rFonts w:hint="eastAsia" w:ascii="宋体" w:hAnsi="宋体" w:cs="宋体"/>
          <w:sz w:val="24"/>
        </w:rPr>
        <w:t>驻场的计划安排、人员数量、人员资质等由投标单位在投标文件中详细阐明。</w:t>
      </w:r>
    </w:p>
    <w:p w14:paraId="3BD13E59">
      <w:pPr>
        <w:snapToGrid w:val="0"/>
        <w:spacing w:line="360" w:lineRule="auto"/>
        <w:ind w:firstLine="480" w:firstLineChars="200"/>
        <w:rPr>
          <w:rFonts w:hint="eastAsia" w:ascii="宋体" w:hAnsi="宋体" w:cs="宋体"/>
          <w:sz w:val="24"/>
        </w:rPr>
      </w:pPr>
      <w:r>
        <w:rPr>
          <w:rFonts w:hint="eastAsia" w:ascii="宋体" w:hAnsi="宋体" w:cs="宋体"/>
          <w:sz w:val="24"/>
        </w:rPr>
        <w:t>（二）项目部署环境</w:t>
      </w:r>
    </w:p>
    <w:p w14:paraId="69A9576A">
      <w:pPr>
        <w:snapToGrid w:val="0"/>
        <w:spacing w:line="360" w:lineRule="auto"/>
        <w:ind w:firstLine="480" w:firstLineChars="200"/>
        <w:rPr>
          <w:rFonts w:hint="eastAsia" w:ascii="宋体" w:hAnsi="宋体" w:cs="宋体"/>
          <w:sz w:val="24"/>
        </w:rPr>
      </w:pPr>
      <w:r>
        <w:rPr>
          <w:rFonts w:hint="eastAsia" w:ascii="宋体" w:hAnsi="宋体" w:cs="宋体"/>
          <w:sz w:val="24"/>
        </w:rPr>
        <w:t>选用可靠的技术手段保障本项目实现功能更新时的系统稳定。并支持现有环境：</w:t>
      </w:r>
    </w:p>
    <w:p w14:paraId="4D3F8EC8">
      <w:pPr>
        <w:snapToGrid w:val="0"/>
        <w:spacing w:line="360" w:lineRule="auto"/>
        <w:ind w:firstLine="480" w:firstLineChars="200"/>
        <w:rPr>
          <w:rFonts w:hint="eastAsia" w:ascii="宋体" w:hAnsi="宋体" w:cs="宋体"/>
          <w:sz w:val="24"/>
        </w:rPr>
      </w:pPr>
      <w:r>
        <w:rPr>
          <w:rFonts w:hint="eastAsia" w:ascii="宋体" w:hAnsi="宋体" w:cs="宋体"/>
          <w:sz w:val="24"/>
        </w:rPr>
        <w:t>（三）软件安装、调试、开通</w:t>
      </w:r>
    </w:p>
    <w:p w14:paraId="12B5BD8E">
      <w:pPr>
        <w:snapToGrid w:val="0"/>
        <w:spacing w:line="360" w:lineRule="auto"/>
        <w:ind w:firstLine="480" w:firstLineChars="200"/>
        <w:rPr>
          <w:rFonts w:hint="eastAsia" w:ascii="宋体" w:hAnsi="宋体" w:cs="宋体"/>
          <w:sz w:val="24"/>
        </w:rPr>
      </w:pPr>
      <w:r>
        <w:rPr>
          <w:rFonts w:hint="eastAsia" w:ascii="宋体" w:hAnsi="宋体" w:cs="宋体"/>
          <w:sz w:val="24"/>
        </w:rPr>
        <w:t>1、中标人负责所提供的软件的安装、调试及开通，采购单位予以配合。</w:t>
      </w:r>
    </w:p>
    <w:p w14:paraId="10BE055A">
      <w:pPr>
        <w:snapToGrid w:val="0"/>
        <w:spacing w:line="360" w:lineRule="auto"/>
        <w:ind w:firstLine="480" w:firstLineChars="200"/>
        <w:rPr>
          <w:rFonts w:hint="eastAsia" w:ascii="宋体" w:hAnsi="宋体" w:cs="宋体"/>
          <w:sz w:val="24"/>
        </w:rPr>
      </w:pPr>
      <w:r>
        <w:rPr>
          <w:rFonts w:hint="eastAsia" w:ascii="宋体" w:hAnsi="宋体" w:cs="宋体"/>
          <w:sz w:val="24"/>
        </w:rPr>
        <w:t>2、软件安装、调试所需的工具、仪表及安装材料等应由中标人自行解决。</w:t>
      </w:r>
    </w:p>
    <w:p w14:paraId="7AAFA696">
      <w:pPr>
        <w:snapToGrid w:val="0"/>
        <w:spacing w:line="360" w:lineRule="auto"/>
        <w:ind w:firstLine="480" w:firstLineChars="200"/>
        <w:rPr>
          <w:rFonts w:hint="eastAsia" w:ascii="宋体" w:hAnsi="宋体" w:cs="宋体"/>
          <w:sz w:val="24"/>
        </w:rPr>
      </w:pPr>
      <w:r>
        <w:rPr>
          <w:rFonts w:hint="eastAsia" w:ascii="宋体" w:hAnsi="宋体" w:cs="宋体"/>
          <w:sz w:val="24"/>
        </w:rPr>
        <w:t>3、中标人应向采购单位提交测试内容和方法。移交测试计划和技术内容由投标人拟定，经采购人确认。</w:t>
      </w:r>
    </w:p>
    <w:p w14:paraId="290EF097">
      <w:pPr>
        <w:snapToGrid w:val="0"/>
        <w:spacing w:line="360" w:lineRule="auto"/>
        <w:ind w:firstLine="480" w:firstLineChars="200"/>
        <w:rPr>
          <w:rFonts w:hint="eastAsia" w:ascii="宋体" w:hAnsi="宋体" w:cs="宋体"/>
          <w:b/>
          <w:bCs/>
          <w:sz w:val="24"/>
        </w:rPr>
      </w:pPr>
      <w:r>
        <w:rPr>
          <w:rFonts w:hint="eastAsia" w:ascii="宋体" w:hAnsi="宋体" w:cs="宋体"/>
          <w:sz w:val="24"/>
        </w:rPr>
        <w:t>★</w:t>
      </w:r>
      <w:r>
        <w:rPr>
          <w:rFonts w:hint="eastAsia" w:ascii="宋体" w:hAnsi="宋体" w:cs="宋体"/>
          <w:b/>
          <w:bCs/>
          <w:sz w:val="24"/>
        </w:rPr>
        <w:t>4、本次项目为《西湖卫健互联网+综合监管平台》基础上的定制化开发应用与部署项目，供应商须书面承诺所投产品能够完全满足本次系统的开发和部署需求，支持无缝集成和开发，确保平台正常融合。</w:t>
      </w:r>
    </w:p>
    <w:p w14:paraId="31CFCBDC">
      <w:pPr>
        <w:snapToGrid w:val="0"/>
        <w:spacing w:line="360" w:lineRule="auto"/>
        <w:ind w:firstLine="480" w:firstLineChars="200"/>
        <w:rPr>
          <w:rFonts w:hint="eastAsia" w:ascii="宋体" w:hAnsi="宋体" w:cs="宋体"/>
          <w:b/>
          <w:bCs/>
          <w:sz w:val="24"/>
        </w:rPr>
      </w:pPr>
      <w:r>
        <w:rPr>
          <w:rFonts w:hint="eastAsia" w:ascii="宋体" w:hAnsi="宋体" w:cs="宋体"/>
          <w:sz w:val="24"/>
        </w:rPr>
        <w:t>★</w:t>
      </w:r>
      <w:r>
        <w:rPr>
          <w:rFonts w:hint="eastAsia" w:ascii="宋体" w:hAnsi="宋体" w:cs="宋体"/>
          <w:b/>
          <w:bCs/>
          <w:sz w:val="24"/>
        </w:rPr>
        <w:t>5、供应商在中标通知起3日内，完成相关平台、各子系统软件供应商的对接调试测试，若因供应商所使用的产品无法进行应用部署，由供应商承担全部责任。</w:t>
      </w:r>
    </w:p>
    <w:p w14:paraId="1348DC97">
      <w:pPr>
        <w:pStyle w:val="3"/>
        <w:spacing w:before="0" w:after="0" w:line="360" w:lineRule="auto"/>
        <w:ind w:left="0" w:firstLine="0"/>
        <w:rPr>
          <w:rFonts w:hint="eastAsia" w:ascii="宋体" w:hAnsi="宋体" w:cs="宋体"/>
          <w:sz w:val="24"/>
          <w:szCs w:val="24"/>
        </w:rPr>
      </w:pPr>
      <w:r>
        <w:rPr>
          <w:rFonts w:hint="eastAsia" w:ascii="宋体" w:hAnsi="宋体" w:cs="宋体"/>
          <w:sz w:val="24"/>
          <w:szCs w:val="24"/>
        </w:rPr>
        <w:t>三、售后服务及培训要求</w:t>
      </w:r>
    </w:p>
    <w:p w14:paraId="5CBDE4B0">
      <w:pPr>
        <w:widowControl/>
        <w:adjustRightInd/>
        <w:snapToGrid w:val="0"/>
        <w:spacing w:line="360" w:lineRule="auto"/>
        <w:ind w:firstLine="480" w:firstLineChars="200"/>
        <w:rPr>
          <w:rFonts w:hint="eastAsia" w:ascii="宋体" w:hAnsi="宋体" w:cs="宋体"/>
          <w:sz w:val="24"/>
        </w:rPr>
      </w:pPr>
      <w:r>
        <w:rPr>
          <w:rFonts w:hint="eastAsia" w:ascii="宋体" w:hAnsi="宋体" w:cs="宋体"/>
          <w:sz w:val="24"/>
        </w:rPr>
        <w:t>（一）售后服务</w:t>
      </w:r>
    </w:p>
    <w:p w14:paraId="2DB4BB62">
      <w:pPr>
        <w:snapToGrid w:val="0"/>
        <w:spacing w:line="360" w:lineRule="auto"/>
        <w:ind w:firstLine="480" w:firstLineChars="200"/>
        <w:rPr>
          <w:rFonts w:hint="eastAsia" w:ascii="宋体" w:hAnsi="宋体" w:cs="宋体"/>
          <w:sz w:val="24"/>
        </w:rPr>
      </w:pPr>
      <w:r>
        <w:rPr>
          <w:rFonts w:hint="eastAsia" w:ascii="宋体" w:hAnsi="宋体" w:cs="宋体"/>
          <w:sz w:val="24"/>
        </w:rPr>
        <w:t>1、本次项目中涉及的软系统软件和硬件设备提供3年质保服务。</w:t>
      </w:r>
    </w:p>
    <w:p w14:paraId="07721619">
      <w:pPr>
        <w:snapToGrid w:val="0"/>
        <w:spacing w:line="360" w:lineRule="auto"/>
        <w:ind w:firstLine="480" w:firstLineChars="200"/>
        <w:rPr>
          <w:rFonts w:hint="eastAsia" w:ascii="宋体" w:hAnsi="宋体" w:cs="宋体"/>
          <w:sz w:val="24"/>
        </w:rPr>
      </w:pPr>
      <w:r>
        <w:rPr>
          <w:rFonts w:hint="eastAsia" w:ascii="宋体" w:hAnsi="宋体" w:cs="宋体"/>
          <w:sz w:val="24"/>
        </w:rPr>
        <w:t>2、投标方应在投标文件中说明在保修期内提供的服务计划，维护范围包括（包括但不限于）软件安装，调试、维修，硬件安装，调试、维修，软硬件接口安装、调试、维修等内容。</w:t>
      </w:r>
    </w:p>
    <w:p w14:paraId="525018D3">
      <w:pPr>
        <w:snapToGrid w:val="0"/>
        <w:spacing w:line="360" w:lineRule="auto"/>
        <w:ind w:firstLine="480" w:firstLineChars="200"/>
        <w:rPr>
          <w:rFonts w:hint="eastAsia" w:ascii="宋体" w:hAnsi="宋体" w:cs="宋体"/>
          <w:sz w:val="24"/>
        </w:rPr>
      </w:pPr>
      <w:r>
        <w:rPr>
          <w:rFonts w:hint="eastAsia" w:ascii="宋体" w:hAnsi="宋体" w:cs="宋体"/>
          <w:sz w:val="24"/>
        </w:rPr>
        <w:t>3、在系统的服务期内，投标方应确保系统的正常使用。在接到用户服务要求后应立即做出回应，并在承诺的服务时间内实施服务。</w:t>
      </w:r>
    </w:p>
    <w:p w14:paraId="11A8C090">
      <w:pPr>
        <w:snapToGrid w:val="0"/>
        <w:spacing w:line="360" w:lineRule="auto"/>
        <w:ind w:firstLine="480" w:firstLineChars="200"/>
        <w:rPr>
          <w:rFonts w:hint="eastAsia" w:ascii="宋体" w:hAnsi="宋体" w:cs="宋体"/>
          <w:sz w:val="24"/>
        </w:rPr>
      </w:pPr>
      <w:r>
        <w:rPr>
          <w:rFonts w:hint="eastAsia" w:ascii="宋体" w:hAnsi="宋体" w:cs="宋体"/>
          <w:sz w:val="24"/>
        </w:rPr>
        <w:t>（二）培训</w:t>
      </w:r>
    </w:p>
    <w:p w14:paraId="1FF27673">
      <w:pPr>
        <w:snapToGrid w:val="0"/>
        <w:spacing w:line="360" w:lineRule="auto"/>
        <w:ind w:firstLine="480" w:firstLineChars="200"/>
        <w:rPr>
          <w:rFonts w:hint="eastAsia" w:ascii="宋体" w:hAnsi="宋体" w:cs="宋体"/>
          <w:sz w:val="24"/>
        </w:rPr>
      </w:pPr>
      <w:r>
        <w:rPr>
          <w:rFonts w:hint="eastAsia" w:ascii="宋体" w:hAnsi="宋体" w:cs="宋体"/>
          <w:sz w:val="24"/>
        </w:rPr>
        <w:t>为了保障系统和原有业务流程平滑过渡，必须对涉及到本系统的人员进行相关的培训。</w:t>
      </w:r>
    </w:p>
    <w:p w14:paraId="1F26C298">
      <w:pPr>
        <w:spacing w:line="360" w:lineRule="auto"/>
        <w:ind w:firstLine="181" w:firstLineChars="50"/>
        <w:rPr>
          <w:rFonts w:ascii="宋体" w:hAnsi="宋体" w:cs="宋体"/>
          <w:b/>
          <w:color w:val="auto"/>
          <w:sz w:val="36"/>
          <w:szCs w:val="36"/>
          <w:highlight w:val="none"/>
        </w:rPr>
      </w:pP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280"/>
      <w:bookmarkEnd w:id="28"/>
      <w:bookmarkStart w:id="29" w:name="_Toc184312139"/>
      <w:bookmarkEnd w:id="29"/>
      <w:bookmarkStart w:id="30" w:name="_Toc184308066"/>
      <w:bookmarkEnd w:id="30"/>
      <w:bookmarkStart w:id="31" w:name="_Toc184313277"/>
      <w:bookmarkEnd w:id="31"/>
      <w:bookmarkStart w:id="32" w:name="_Toc184314421"/>
      <w:bookmarkEnd w:id="32"/>
      <w:bookmarkStart w:id="33" w:name="_Toc184313252"/>
      <w:bookmarkEnd w:id="33"/>
      <w:bookmarkStart w:id="34" w:name="_Toc184310314"/>
      <w:bookmarkEnd w:id="34"/>
      <w:bookmarkStart w:id="35" w:name="_Toc184308062"/>
      <w:bookmarkEnd w:id="35"/>
      <w:bookmarkStart w:id="36" w:name="_Toc184314448"/>
      <w:bookmarkEnd w:id="36"/>
      <w:bookmarkStart w:id="37" w:name="_Toc184314441"/>
      <w:bookmarkEnd w:id="37"/>
      <w:bookmarkStart w:id="38" w:name="_Toc184308052"/>
      <w:bookmarkEnd w:id="38"/>
      <w:bookmarkStart w:id="39" w:name="_Toc184312128"/>
      <w:bookmarkEnd w:id="39"/>
      <w:bookmarkStart w:id="40" w:name="_Toc184313286"/>
      <w:bookmarkEnd w:id="40"/>
      <w:bookmarkStart w:id="41" w:name="_Toc184308105"/>
      <w:bookmarkEnd w:id="41"/>
      <w:bookmarkStart w:id="42" w:name="_Toc184314410"/>
      <w:bookmarkEnd w:id="42"/>
      <w:bookmarkStart w:id="43" w:name="_Toc184310303"/>
      <w:bookmarkEnd w:id="43"/>
      <w:bookmarkStart w:id="44" w:name="_Toc184314460"/>
      <w:bookmarkEnd w:id="44"/>
      <w:bookmarkStart w:id="45" w:name="_Toc184310342"/>
      <w:bookmarkEnd w:id="45"/>
      <w:bookmarkStart w:id="46" w:name="_Toc184310327"/>
      <w:bookmarkEnd w:id="46"/>
      <w:bookmarkStart w:id="47" w:name="_Toc184314477"/>
      <w:bookmarkEnd w:id="47"/>
      <w:bookmarkStart w:id="48" w:name="_Toc184312100"/>
      <w:bookmarkEnd w:id="48"/>
      <w:bookmarkStart w:id="49" w:name="_Toc184312111"/>
      <w:bookmarkEnd w:id="49"/>
      <w:bookmarkStart w:id="50" w:name="_Toc184313247"/>
      <w:bookmarkEnd w:id="50"/>
      <w:bookmarkStart w:id="51" w:name="_Toc184308089"/>
      <w:bookmarkEnd w:id="51"/>
      <w:bookmarkStart w:id="52" w:name="_Toc184313293"/>
      <w:bookmarkEnd w:id="52"/>
      <w:bookmarkStart w:id="53" w:name="_Toc184310293"/>
      <w:bookmarkEnd w:id="53"/>
      <w:bookmarkStart w:id="54" w:name="_Toc184308101"/>
      <w:bookmarkEnd w:id="54"/>
      <w:bookmarkStart w:id="55" w:name="_Toc184308048"/>
      <w:bookmarkEnd w:id="55"/>
      <w:bookmarkStart w:id="56" w:name="_Toc184310292"/>
      <w:bookmarkEnd w:id="56"/>
      <w:bookmarkStart w:id="57" w:name="_Toc184308064"/>
      <w:bookmarkEnd w:id="57"/>
      <w:bookmarkStart w:id="58" w:name="_Toc184310323"/>
      <w:bookmarkEnd w:id="58"/>
      <w:bookmarkStart w:id="59" w:name="_Toc184314428"/>
      <w:bookmarkEnd w:id="59"/>
      <w:bookmarkStart w:id="60" w:name="_Toc184310331"/>
      <w:bookmarkEnd w:id="60"/>
      <w:bookmarkStart w:id="61" w:name="_Toc184310341"/>
      <w:bookmarkEnd w:id="61"/>
      <w:bookmarkStart w:id="62" w:name="_Toc184310310"/>
      <w:bookmarkEnd w:id="62"/>
      <w:bookmarkStart w:id="63" w:name="_Toc184313251"/>
      <w:bookmarkEnd w:id="63"/>
      <w:bookmarkStart w:id="64" w:name="_Toc184310329"/>
      <w:bookmarkEnd w:id="64"/>
      <w:bookmarkStart w:id="65" w:name="_Toc184312134"/>
      <w:bookmarkEnd w:id="65"/>
      <w:bookmarkStart w:id="66" w:name="_Toc184314426"/>
      <w:bookmarkEnd w:id="66"/>
      <w:bookmarkStart w:id="67" w:name="_Toc184314427"/>
      <w:bookmarkEnd w:id="67"/>
      <w:bookmarkStart w:id="68" w:name="_Toc184308058"/>
      <w:bookmarkEnd w:id="68"/>
      <w:bookmarkStart w:id="69" w:name="_Toc184313271"/>
      <w:bookmarkEnd w:id="69"/>
      <w:bookmarkStart w:id="70" w:name="_Toc184314433"/>
      <w:bookmarkEnd w:id="70"/>
      <w:bookmarkStart w:id="71" w:name="_Toc184308042"/>
      <w:bookmarkEnd w:id="71"/>
      <w:bookmarkStart w:id="72" w:name="_Toc184310335"/>
      <w:bookmarkEnd w:id="72"/>
      <w:bookmarkStart w:id="73" w:name="_Toc184308070"/>
      <w:bookmarkEnd w:id="73"/>
      <w:bookmarkStart w:id="74" w:name="_Toc184313246"/>
      <w:bookmarkEnd w:id="74"/>
      <w:bookmarkStart w:id="75" w:name="_Toc184314444"/>
      <w:bookmarkEnd w:id="75"/>
      <w:bookmarkStart w:id="76" w:name="_Toc184308088"/>
      <w:bookmarkEnd w:id="76"/>
      <w:bookmarkStart w:id="77" w:name="_Toc184314471"/>
      <w:bookmarkEnd w:id="77"/>
      <w:bookmarkStart w:id="78" w:name="_Toc184312122"/>
      <w:bookmarkEnd w:id="78"/>
      <w:bookmarkStart w:id="79" w:name="_Toc184313287"/>
      <w:bookmarkEnd w:id="79"/>
      <w:bookmarkStart w:id="80" w:name="_Toc184313307"/>
      <w:bookmarkEnd w:id="80"/>
      <w:bookmarkStart w:id="81" w:name="_Toc184313282"/>
      <w:bookmarkEnd w:id="81"/>
      <w:bookmarkStart w:id="82" w:name="_Toc184308055"/>
      <w:bookmarkEnd w:id="82"/>
      <w:bookmarkStart w:id="83" w:name="_Toc184310279"/>
      <w:bookmarkEnd w:id="83"/>
      <w:bookmarkStart w:id="84" w:name="_Toc184313308"/>
      <w:bookmarkEnd w:id="84"/>
      <w:bookmarkStart w:id="85" w:name="_Toc184312087"/>
      <w:bookmarkEnd w:id="85"/>
      <w:bookmarkStart w:id="86" w:name="_Toc184314475"/>
      <w:bookmarkEnd w:id="86"/>
      <w:bookmarkStart w:id="87" w:name="_Toc184308107"/>
      <w:bookmarkEnd w:id="87"/>
      <w:bookmarkStart w:id="88" w:name="_Toc184308099"/>
      <w:bookmarkEnd w:id="88"/>
      <w:bookmarkStart w:id="89" w:name="_Toc184308049"/>
      <w:bookmarkEnd w:id="89"/>
      <w:bookmarkStart w:id="90" w:name="_Toc184310283"/>
      <w:bookmarkEnd w:id="90"/>
      <w:bookmarkStart w:id="91" w:name="_Toc184310304"/>
      <w:bookmarkEnd w:id="91"/>
      <w:bookmarkStart w:id="92" w:name="_Toc184310290"/>
      <w:bookmarkEnd w:id="92"/>
      <w:bookmarkStart w:id="93" w:name="_Toc184314412"/>
      <w:bookmarkEnd w:id="93"/>
      <w:bookmarkStart w:id="94" w:name="_Toc184308065"/>
      <w:bookmarkEnd w:id="94"/>
      <w:bookmarkStart w:id="95" w:name="_Toc184314464"/>
      <w:bookmarkEnd w:id="95"/>
      <w:bookmarkStart w:id="96" w:name="_Toc184312068"/>
      <w:bookmarkEnd w:id="96"/>
      <w:bookmarkStart w:id="97" w:name="_Toc184314414"/>
      <w:bookmarkEnd w:id="97"/>
      <w:bookmarkStart w:id="98" w:name="_Toc184308083"/>
      <w:bookmarkEnd w:id="98"/>
      <w:bookmarkStart w:id="99" w:name="_Toc184313258"/>
      <w:bookmarkEnd w:id="99"/>
      <w:bookmarkStart w:id="100" w:name="_Toc184310340"/>
      <w:bookmarkEnd w:id="100"/>
      <w:bookmarkStart w:id="101" w:name="_Toc184312073"/>
      <w:bookmarkEnd w:id="101"/>
      <w:bookmarkStart w:id="102" w:name="_Toc184314479"/>
      <w:bookmarkEnd w:id="102"/>
      <w:bookmarkStart w:id="103" w:name="_Toc184312089"/>
      <w:bookmarkEnd w:id="103"/>
      <w:bookmarkStart w:id="104" w:name="_Toc184313240"/>
      <w:bookmarkEnd w:id="104"/>
      <w:bookmarkStart w:id="105" w:name="_Toc184308043"/>
      <w:bookmarkEnd w:id="105"/>
      <w:bookmarkStart w:id="106" w:name="_Toc184308038"/>
      <w:bookmarkEnd w:id="106"/>
      <w:bookmarkStart w:id="107" w:name="_Toc184312116"/>
      <w:bookmarkEnd w:id="107"/>
      <w:bookmarkStart w:id="108" w:name="_Toc184314413"/>
      <w:bookmarkEnd w:id="108"/>
      <w:bookmarkStart w:id="109" w:name="_Toc184314416"/>
      <w:bookmarkEnd w:id="109"/>
      <w:bookmarkStart w:id="110" w:name="_Toc184314450"/>
      <w:bookmarkEnd w:id="110"/>
      <w:bookmarkStart w:id="111" w:name="_Toc184310325"/>
      <w:bookmarkEnd w:id="111"/>
      <w:bookmarkStart w:id="112" w:name="_Toc184314435"/>
      <w:bookmarkEnd w:id="112"/>
      <w:bookmarkStart w:id="113" w:name="_Toc184314438"/>
      <w:bookmarkEnd w:id="113"/>
      <w:bookmarkStart w:id="114" w:name="_Toc184310318"/>
      <w:bookmarkEnd w:id="114"/>
      <w:bookmarkStart w:id="115" w:name="_Toc184312133"/>
      <w:bookmarkEnd w:id="115"/>
      <w:bookmarkStart w:id="116" w:name="_Toc184308079"/>
      <w:bookmarkEnd w:id="116"/>
      <w:bookmarkStart w:id="117" w:name="_Toc184310299"/>
      <w:bookmarkEnd w:id="117"/>
      <w:bookmarkStart w:id="118" w:name="_Toc184313304"/>
      <w:bookmarkEnd w:id="118"/>
      <w:bookmarkStart w:id="119" w:name="_Toc184312102"/>
      <w:bookmarkEnd w:id="119"/>
      <w:bookmarkStart w:id="120" w:name="_Toc184308051"/>
      <w:bookmarkEnd w:id="120"/>
      <w:bookmarkStart w:id="121" w:name="_Toc184314418"/>
      <w:bookmarkEnd w:id="121"/>
      <w:bookmarkStart w:id="122" w:name="_Toc184308091"/>
      <w:bookmarkEnd w:id="122"/>
      <w:bookmarkStart w:id="123" w:name="_Toc184308050"/>
      <w:bookmarkEnd w:id="123"/>
      <w:bookmarkStart w:id="124" w:name="_Toc184310338"/>
      <w:bookmarkEnd w:id="124"/>
      <w:bookmarkStart w:id="125" w:name="_Toc184310336"/>
      <w:bookmarkEnd w:id="125"/>
      <w:bookmarkStart w:id="126" w:name="_Toc184313295"/>
      <w:bookmarkEnd w:id="126"/>
      <w:bookmarkStart w:id="127" w:name="_Toc184313298"/>
      <w:bookmarkEnd w:id="127"/>
      <w:bookmarkStart w:id="128" w:name="_Toc184312112"/>
      <w:bookmarkEnd w:id="128"/>
      <w:bookmarkStart w:id="129" w:name="_Toc184314429"/>
      <w:bookmarkEnd w:id="129"/>
      <w:bookmarkStart w:id="130" w:name="_Toc184312096"/>
      <w:bookmarkEnd w:id="130"/>
      <w:bookmarkStart w:id="131" w:name="_Toc184308092"/>
      <w:bookmarkEnd w:id="131"/>
      <w:bookmarkStart w:id="132" w:name="_Toc184313294"/>
      <w:bookmarkEnd w:id="132"/>
      <w:bookmarkStart w:id="133" w:name="_Toc184313289"/>
      <w:bookmarkEnd w:id="133"/>
      <w:bookmarkStart w:id="134" w:name="_Toc184312124"/>
      <w:bookmarkEnd w:id="134"/>
      <w:bookmarkStart w:id="135" w:name="_Toc184310297"/>
      <w:bookmarkEnd w:id="135"/>
      <w:bookmarkStart w:id="136" w:name="_Toc184314458"/>
      <w:bookmarkEnd w:id="136"/>
      <w:bookmarkStart w:id="137" w:name="_Toc184314476"/>
      <w:bookmarkEnd w:id="137"/>
      <w:bookmarkStart w:id="138" w:name="_Toc184313254"/>
      <w:bookmarkEnd w:id="138"/>
      <w:bookmarkStart w:id="139" w:name="_Toc184308047"/>
      <w:bookmarkEnd w:id="139"/>
      <w:bookmarkStart w:id="140" w:name="_Toc184313242"/>
      <w:bookmarkEnd w:id="140"/>
      <w:bookmarkStart w:id="141" w:name="_Toc184312138"/>
      <w:bookmarkEnd w:id="141"/>
      <w:bookmarkStart w:id="142" w:name="_Toc184308036"/>
      <w:bookmarkEnd w:id="142"/>
      <w:bookmarkStart w:id="143" w:name="_Toc184314423"/>
      <w:bookmarkEnd w:id="143"/>
      <w:bookmarkStart w:id="144" w:name="_Toc184310312"/>
      <w:bookmarkEnd w:id="144"/>
      <w:bookmarkStart w:id="145" w:name="_Toc184314425"/>
      <w:bookmarkEnd w:id="145"/>
      <w:bookmarkStart w:id="146" w:name="_Toc184312119"/>
      <w:bookmarkEnd w:id="146"/>
      <w:bookmarkStart w:id="147" w:name="_Toc184314457"/>
      <w:bookmarkEnd w:id="147"/>
      <w:bookmarkStart w:id="148" w:name="_Toc184312131"/>
      <w:bookmarkEnd w:id="148"/>
      <w:bookmarkStart w:id="149" w:name="_Toc184312127"/>
      <w:bookmarkEnd w:id="149"/>
      <w:bookmarkStart w:id="150" w:name="_Toc184310273"/>
      <w:bookmarkEnd w:id="150"/>
      <w:bookmarkStart w:id="151" w:name="_Toc184308082"/>
      <w:bookmarkEnd w:id="151"/>
      <w:bookmarkStart w:id="152" w:name="_Toc184308097"/>
      <w:bookmarkEnd w:id="152"/>
      <w:bookmarkStart w:id="153" w:name="_Toc184313301"/>
      <w:bookmarkEnd w:id="153"/>
      <w:bookmarkStart w:id="154" w:name="_Toc184308086"/>
      <w:bookmarkEnd w:id="154"/>
      <w:bookmarkStart w:id="155" w:name="_Toc184314442"/>
      <w:bookmarkEnd w:id="155"/>
      <w:bookmarkStart w:id="156" w:name="_Toc184313263"/>
      <w:bookmarkEnd w:id="156"/>
      <w:bookmarkStart w:id="157" w:name="_Toc184314443"/>
      <w:bookmarkEnd w:id="157"/>
      <w:bookmarkStart w:id="158" w:name="_Toc184313291"/>
      <w:bookmarkEnd w:id="158"/>
      <w:bookmarkStart w:id="159" w:name="_Toc184310277"/>
      <w:bookmarkEnd w:id="159"/>
      <w:bookmarkStart w:id="160" w:name="_Toc184314468"/>
      <w:bookmarkEnd w:id="160"/>
      <w:bookmarkStart w:id="161" w:name="_Toc184314430"/>
      <w:bookmarkEnd w:id="161"/>
      <w:bookmarkStart w:id="162" w:name="_Toc184312123"/>
      <w:bookmarkEnd w:id="162"/>
      <w:bookmarkStart w:id="163" w:name="_Toc184313260"/>
      <w:bookmarkEnd w:id="163"/>
      <w:bookmarkStart w:id="164" w:name="_Toc184312077"/>
      <w:bookmarkEnd w:id="164"/>
      <w:bookmarkStart w:id="165" w:name="_Toc184308096"/>
      <w:bookmarkEnd w:id="165"/>
      <w:bookmarkStart w:id="166" w:name="_Toc184312086"/>
      <w:bookmarkEnd w:id="166"/>
      <w:bookmarkStart w:id="167" w:name="_Toc184308073"/>
      <w:bookmarkEnd w:id="167"/>
      <w:bookmarkStart w:id="168" w:name="_Toc184310295"/>
      <w:bookmarkEnd w:id="168"/>
      <w:bookmarkStart w:id="169" w:name="_Toc184308059"/>
      <w:bookmarkEnd w:id="169"/>
      <w:bookmarkStart w:id="170" w:name="_Toc184310285"/>
      <w:bookmarkEnd w:id="170"/>
      <w:bookmarkStart w:id="171" w:name="_Toc184312136"/>
      <w:bookmarkEnd w:id="171"/>
      <w:bookmarkStart w:id="172" w:name="_Toc184308103"/>
      <w:bookmarkEnd w:id="172"/>
      <w:bookmarkStart w:id="173" w:name="_Toc184313302"/>
      <w:bookmarkEnd w:id="173"/>
      <w:bookmarkStart w:id="174" w:name="_Toc184308071"/>
      <w:bookmarkEnd w:id="174"/>
      <w:bookmarkStart w:id="175" w:name="_Toc184314419"/>
      <w:bookmarkEnd w:id="175"/>
      <w:bookmarkStart w:id="176" w:name="_Toc184312120"/>
      <w:bookmarkEnd w:id="176"/>
      <w:bookmarkStart w:id="177" w:name="_Toc184314420"/>
      <w:bookmarkEnd w:id="177"/>
      <w:bookmarkStart w:id="178" w:name="_Toc184310300"/>
      <w:bookmarkEnd w:id="178"/>
      <w:bookmarkStart w:id="179" w:name="_Toc184312099"/>
      <w:bookmarkEnd w:id="179"/>
      <w:bookmarkStart w:id="180" w:name="_Toc184312098"/>
      <w:bookmarkEnd w:id="180"/>
      <w:bookmarkStart w:id="181" w:name="_Toc184314454"/>
      <w:bookmarkEnd w:id="181"/>
      <w:bookmarkStart w:id="182" w:name="_Toc184314439"/>
      <w:bookmarkEnd w:id="182"/>
      <w:bookmarkStart w:id="183" w:name="_Toc184314411"/>
      <w:bookmarkEnd w:id="183"/>
      <w:bookmarkStart w:id="184" w:name="_Toc184310301"/>
      <w:bookmarkEnd w:id="184"/>
      <w:bookmarkStart w:id="185" w:name="_Toc184310309"/>
      <w:bookmarkEnd w:id="185"/>
      <w:bookmarkStart w:id="186" w:name="_Toc184312094"/>
      <w:bookmarkEnd w:id="186"/>
      <w:bookmarkStart w:id="187" w:name="_Toc184313261"/>
      <w:bookmarkEnd w:id="187"/>
      <w:bookmarkStart w:id="188" w:name="_Toc184308085"/>
      <w:bookmarkEnd w:id="188"/>
      <w:bookmarkStart w:id="189" w:name="_Toc184310332"/>
      <w:bookmarkEnd w:id="189"/>
      <w:bookmarkStart w:id="190" w:name="_Toc184312107"/>
      <w:bookmarkEnd w:id="190"/>
      <w:bookmarkStart w:id="191" w:name="_Toc184310321"/>
      <w:bookmarkEnd w:id="191"/>
      <w:bookmarkStart w:id="192" w:name="_Toc184312072"/>
      <w:bookmarkEnd w:id="192"/>
      <w:bookmarkStart w:id="193" w:name="_Toc184313257"/>
      <w:bookmarkEnd w:id="193"/>
      <w:bookmarkStart w:id="194" w:name="_Toc184312108"/>
      <w:bookmarkEnd w:id="194"/>
      <w:bookmarkStart w:id="195" w:name="_Toc184310294"/>
      <w:bookmarkEnd w:id="195"/>
      <w:bookmarkStart w:id="196" w:name="_Toc184312104"/>
      <w:bookmarkEnd w:id="196"/>
      <w:bookmarkStart w:id="197" w:name="_Toc184313288"/>
      <w:bookmarkEnd w:id="197"/>
      <w:bookmarkStart w:id="198" w:name="_Toc184308077"/>
      <w:bookmarkEnd w:id="198"/>
      <w:bookmarkStart w:id="199" w:name="_Toc184314467"/>
      <w:bookmarkEnd w:id="199"/>
      <w:bookmarkStart w:id="200" w:name="_Toc184313239"/>
      <w:bookmarkEnd w:id="200"/>
      <w:bookmarkStart w:id="201" w:name="_Toc184313275"/>
      <w:bookmarkEnd w:id="201"/>
      <w:bookmarkStart w:id="202" w:name="_Toc184313266"/>
      <w:bookmarkEnd w:id="202"/>
      <w:bookmarkStart w:id="203" w:name="_Toc184313300"/>
      <w:bookmarkEnd w:id="203"/>
      <w:bookmarkStart w:id="204" w:name="_Toc184312070"/>
      <w:bookmarkEnd w:id="204"/>
      <w:bookmarkStart w:id="205" w:name="_Toc184313268"/>
      <w:bookmarkEnd w:id="205"/>
      <w:bookmarkStart w:id="206" w:name="_Toc184308102"/>
      <w:bookmarkEnd w:id="206"/>
      <w:bookmarkStart w:id="207" w:name="_Toc184308054"/>
      <w:bookmarkEnd w:id="207"/>
      <w:bookmarkStart w:id="208" w:name="_Toc184313297"/>
      <w:bookmarkEnd w:id="208"/>
      <w:bookmarkStart w:id="209" w:name="_Toc184313244"/>
      <w:bookmarkEnd w:id="209"/>
      <w:bookmarkStart w:id="210" w:name="_Toc184310288"/>
      <w:bookmarkEnd w:id="210"/>
      <w:bookmarkStart w:id="211" w:name="_Toc184312090"/>
      <w:bookmarkEnd w:id="211"/>
      <w:bookmarkStart w:id="212" w:name="_Toc184313281"/>
      <w:bookmarkEnd w:id="212"/>
      <w:bookmarkStart w:id="213" w:name="_Toc184310284"/>
      <w:bookmarkEnd w:id="213"/>
      <w:bookmarkStart w:id="214" w:name="_Toc184310306"/>
      <w:bookmarkEnd w:id="214"/>
      <w:bookmarkStart w:id="215" w:name="_Toc184313306"/>
      <w:bookmarkEnd w:id="215"/>
      <w:bookmarkStart w:id="216" w:name="_Toc184313290"/>
      <w:bookmarkEnd w:id="216"/>
      <w:bookmarkStart w:id="217" w:name="_Toc184314463"/>
      <w:bookmarkEnd w:id="217"/>
      <w:bookmarkStart w:id="218" w:name="_Toc184310322"/>
      <w:bookmarkEnd w:id="218"/>
      <w:bookmarkStart w:id="219" w:name="_Toc184310313"/>
      <w:bookmarkEnd w:id="219"/>
      <w:bookmarkStart w:id="220" w:name="_Toc184310276"/>
      <w:bookmarkEnd w:id="220"/>
      <w:bookmarkStart w:id="221" w:name="_Toc184308060"/>
      <w:bookmarkEnd w:id="221"/>
      <w:bookmarkStart w:id="222" w:name="_Toc184313296"/>
      <w:bookmarkEnd w:id="222"/>
      <w:bookmarkStart w:id="223" w:name="_Toc184312105"/>
      <w:bookmarkEnd w:id="223"/>
      <w:bookmarkStart w:id="224" w:name="_Toc184314451"/>
      <w:bookmarkEnd w:id="224"/>
      <w:bookmarkStart w:id="225" w:name="_Toc184308106"/>
      <w:bookmarkEnd w:id="225"/>
      <w:bookmarkStart w:id="226" w:name="_Toc184312129"/>
      <w:bookmarkEnd w:id="226"/>
      <w:bookmarkStart w:id="227" w:name="_Toc184313264"/>
      <w:bookmarkEnd w:id="227"/>
      <w:bookmarkStart w:id="228" w:name="_Toc184313292"/>
      <w:bookmarkEnd w:id="228"/>
      <w:bookmarkStart w:id="229" w:name="_Toc184313280"/>
      <w:bookmarkEnd w:id="229"/>
      <w:bookmarkStart w:id="230" w:name="_Toc184312067"/>
      <w:bookmarkEnd w:id="230"/>
      <w:bookmarkStart w:id="231" w:name="_Toc184314456"/>
      <w:bookmarkEnd w:id="231"/>
      <w:bookmarkStart w:id="232" w:name="_Toc184308069"/>
      <w:bookmarkEnd w:id="232"/>
      <w:bookmarkStart w:id="233" w:name="_Toc184310274"/>
      <w:bookmarkEnd w:id="233"/>
      <w:bookmarkStart w:id="234" w:name="_Toc184313285"/>
      <w:bookmarkEnd w:id="234"/>
      <w:bookmarkStart w:id="235" w:name="_Toc184313248"/>
      <w:bookmarkEnd w:id="235"/>
      <w:bookmarkStart w:id="236" w:name="_Toc184314481"/>
      <w:bookmarkEnd w:id="236"/>
      <w:bookmarkStart w:id="237" w:name="_Toc184312125"/>
      <w:bookmarkEnd w:id="237"/>
      <w:bookmarkStart w:id="238" w:name="_Toc184308057"/>
      <w:bookmarkEnd w:id="238"/>
      <w:bookmarkStart w:id="239" w:name="_Toc184312078"/>
      <w:bookmarkEnd w:id="239"/>
      <w:bookmarkStart w:id="240" w:name="_Toc184308081"/>
      <w:bookmarkEnd w:id="240"/>
      <w:bookmarkStart w:id="241" w:name="_Toc184308084"/>
      <w:bookmarkEnd w:id="241"/>
      <w:bookmarkStart w:id="242" w:name="_Toc184308067"/>
      <w:bookmarkEnd w:id="242"/>
      <w:bookmarkStart w:id="243" w:name="_Toc184313305"/>
      <w:bookmarkEnd w:id="243"/>
      <w:bookmarkStart w:id="244" w:name="_Toc184314424"/>
      <w:bookmarkEnd w:id="244"/>
      <w:bookmarkStart w:id="245" w:name="_Toc184312093"/>
      <w:bookmarkEnd w:id="245"/>
      <w:bookmarkStart w:id="246" w:name="_Toc184312082"/>
      <w:bookmarkEnd w:id="246"/>
      <w:bookmarkStart w:id="247" w:name="_Toc184313267"/>
      <w:bookmarkEnd w:id="247"/>
      <w:bookmarkStart w:id="248" w:name="_Toc184312121"/>
      <w:bookmarkEnd w:id="248"/>
      <w:bookmarkStart w:id="249" w:name="_Toc184308044"/>
      <w:bookmarkEnd w:id="249"/>
      <w:bookmarkStart w:id="250" w:name="_Toc184313259"/>
      <w:bookmarkEnd w:id="250"/>
      <w:bookmarkStart w:id="251" w:name="_Toc184310334"/>
      <w:bookmarkEnd w:id="251"/>
      <w:bookmarkStart w:id="252" w:name="_Toc184312091"/>
      <w:bookmarkEnd w:id="252"/>
      <w:bookmarkStart w:id="253" w:name="_Toc184313272"/>
      <w:bookmarkEnd w:id="253"/>
      <w:bookmarkStart w:id="254" w:name="_Toc184313249"/>
      <w:bookmarkEnd w:id="254"/>
      <w:bookmarkStart w:id="255" w:name="_Toc184314437"/>
      <w:bookmarkEnd w:id="255"/>
      <w:bookmarkStart w:id="256" w:name="_Toc184312097"/>
      <w:bookmarkEnd w:id="256"/>
      <w:bookmarkStart w:id="257" w:name="_Toc184314447"/>
      <w:bookmarkEnd w:id="257"/>
      <w:bookmarkStart w:id="258" w:name="_Toc184312095"/>
      <w:bookmarkEnd w:id="258"/>
      <w:bookmarkStart w:id="259" w:name="_Toc184313273"/>
      <w:bookmarkEnd w:id="259"/>
      <w:bookmarkStart w:id="260" w:name="_Toc184313270"/>
      <w:bookmarkEnd w:id="260"/>
      <w:bookmarkStart w:id="261" w:name="_Toc184313256"/>
      <w:bookmarkEnd w:id="261"/>
      <w:bookmarkStart w:id="262" w:name="_Toc184308075"/>
      <w:bookmarkEnd w:id="262"/>
      <w:bookmarkStart w:id="263" w:name="_Toc184312081"/>
      <w:bookmarkEnd w:id="263"/>
      <w:bookmarkStart w:id="264" w:name="_Toc184314446"/>
      <w:bookmarkEnd w:id="264"/>
      <w:bookmarkStart w:id="265" w:name="_Toc184310330"/>
      <w:bookmarkEnd w:id="265"/>
      <w:bookmarkStart w:id="266" w:name="_Toc184308053"/>
      <w:bookmarkEnd w:id="266"/>
      <w:bookmarkStart w:id="267" w:name="_Toc184313250"/>
      <w:bookmarkEnd w:id="267"/>
      <w:bookmarkStart w:id="268" w:name="_Toc184310308"/>
      <w:bookmarkEnd w:id="268"/>
      <w:bookmarkStart w:id="269" w:name="_Toc184308095"/>
      <w:bookmarkEnd w:id="269"/>
      <w:bookmarkStart w:id="270" w:name="_Toc184310296"/>
      <w:bookmarkEnd w:id="270"/>
      <w:bookmarkStart w:id="271" w:name="_Toc184312126"/>
      <w:bookmarkEnd w:id="271"/>
      <w:bookmarkStart w:id="272" w:name="_Toc184312083"/>
      <w:bookmarkEnd w:id="272"/>
      <w:bookmarkStart w:id="273" w:name="_Toc184314478"/>
      <w:bookmarkEnd w:id="273"/>
      <w:bookmarkStart w:id="274" w:name="_Toc184314422"/>
      <w:bookmarkEnd w:id="274"/>
      <w:bookmarkStart w:id="275" w:name="_Toc184312084"/>
      <w:bookmarkEnd w:id="275"/>
      <w:bookmarkStart w:id="276" w:name="_Toc184310343"/>
      <w:bookmarkEnd w:id="276"/>
      <w:bookmarkStart w:id="277" w:name="_Toc184314462"/>
      <w:bookmarkEnd w:id="277"/>
      <w:bookmarkStart w:id="278" w:name="_Toc184313309"/>
      <w:bookmarkEnd w:id="278"/>
      <w:bookmarkStart w:id="279" w:name="_Toc184310307"/>
      <w:bookmarkEnd w:id="279"/>
      <w:bookmarkStart w:id="280" w:name="_Toc184310287"/>
      <w:bookmarkEnd w:id="280"/>
      <w:bookmarkStart w:id="281" w:name="_Toc184314415"/>
      <w:bookmarkEnd w:id="281"/>
      <w:bookmarkStart w:id="282" w:name="_Toc184314459"/>
      <w:bookmarkEnd w:id="282"/>
      <w:bookmarkStart w:id="283" w:name="_Toc184313238"/>
      <w:bookmarkEnd w:id="283"/>
      <w:bookmarkStart w:id="284" w:name="_Toc184313303"/>
      <w:bookmarkEnd w:id="284"/>
      <w:bookmarkStart w:id="285" w:name="_Toc184308094"/>
      <w:bookmarkEnd w:id="285"/>
      <w:bookmarkStart w:id="286" w:name="_Toc184313284"/>
      <w:bookmarkEnd w:id="286"/>
      <w:bookmarkStart w:id="287" w:name="_Toc184308061"/>
      <w:bookmarkEnd w:id="287"/>
      <w:bookmarkStart w:id="288" w:name="_Toc184314440"/>
      <w:bookmarkEnd w:id="288"/>
      <w:bookmarkStart w:id="289" w:name="_Toc184314434"/>
      <w:bookmarkEnd w:id="289"/>
      <w:bookmarkStart w:id="290" w:name="_Toc184310281"/>
      <w:bookmarkEnd w:id="290"/>
      <w:bookmarkStart w:id="291" w:name="_Toc184308098"/>
      <w:bookmarkEnd w:id="291"/>
      <w:bookmarkStart w:id="292" w:name="_Toc184308080"/>
      <w:bookmarkEnd w:id="292"/>
      <w:bookmarkStart w:id="293" w:name="_Toc184312074"/>
      <w:bookmarkEnd w:id="293"/>
      <w:bookmarkStart w:id="294" w:name="_Toc184312115"/>
      <w:bookmarkEnd w:id="294"/>
      <w:bookmarkStart w:id="295" w:name="_Toc184313279"/>
      <w:bookmarkEnd w:id="295"/>
      <w:bookmarkStart w:id="296" w:name="_Toc184313299"/>
      <w:bookmarkEnd w:id="296"/>
      <w:bookmarkStart w:id="297" w:name="_Toc184313262"/>
      <w:bookmarkEnd w:id="297"/>
      <w:bookmarkStart w:id="298" w:name="_Toc184310320"/>
      <w:bookmarkEnd w:id="298"/>
      <w:bookmarkStart w:id="299" w:name="_Toc184308087"/>
      <w:bookmarkEnd w:id="299"/>
      <w:bookmarkStart w:id="300" w:name="_Toc184314482"/>
      <w:bookmarkEnd w:id="300"/>
      <w:bookmarkStart w:id="301" w:name="_Toc184308039"/>
      <w:bookmarkEnd w:id="301"/>
      <w:bookmarkStart w:id="302" w:name="_Toc184314474"/>
      <w:bookmarkEnd w:id="302"/>
      <w:bookmarkStart w:id="303" w:name="_Toc184314453"/>
      <w:bookmarkEnd w:id="303"/>
      <w:bookmarkStart w:id="304" w:name="_Toc184308045"/>
      <w:bookmarkEnd w:id="304"/>
      <w:bookmarkStart w:id="305" w:name="_Toc184313274"/>
      <w:bookmarkEnd w:id="305"/>
      <w:bookmarkStart w:id="306" w:name="_Toc184310275"/>
      <w:bookmarkEnd w:id="306"/>
      <w:bookmarkStart w:id="307" w:name="_Toc184313276"/>
      <w:bookmarkEnd w:id="307"/>
      <w:bookmarkStart w:id="308" w:name="_Toc184312113"/>
      <w:bookmarkEnd w:id="308"/>
      <w:bookmarkStart w:id="309" w:name="_Toc184308040"/>
      <w:bookmarkEnd w:id="309"/>
      <w:bookmarkStart w:id="310" w:name="_Toc184312137"/>
      <w:bookmarkEnd w:id="310"/>
      <w:bookmarkStart w:id="311" w:name="_Toc184314445"/>
      <w:bookmarkEnd w:id="311"/>
      <w:bookmarkStart w:id="312" w:name="_Toc184314455"/>
      <w:bookmarkEnd w:id="312"/>
      <w:bookmarkStart w:id="313" w:name="_Toc184310315"/>
      <w:bookmarkEnd w:id="313"/>
      <w:bookmarkStart w:id="314" w:name="_Toc184314452"/>
      <w:bookmarkEnd w:id="314"/>
      <w:bookmarkStart w:id="315" w:name="_Toc184312076"/>
      <w:bookmarkEnd w:id="315"/>
      <w:bookmarkStart w:id="316" w:name="_Toc184310324"/>
      <w:bookmarkEnd w:id="316"/>
      <w:bookmarkStart w:id="317" w:name="_Toc184308072"/>
      <w:bookmarkEnd w:id="317"/>
      <w:bookmarkStart w:id="318" w:name="_Toc184312114"/>
      <w:bookmarkEnd w:id="318"/>
      <w:bookmarkStart w:id="319" w:name="_Toc184313265"/>
      <w:bookmarkEnd w:id="319"/>
      <w:bookmarkStart w:id="320" w:name="_Toc184308046"/>
      <w:bookmarkEnd w:id="320"/>
      <w:bookmarkStart w:id="321" w:name="_Toc184313245"/>
      <w:bookmarkEnd w:id="321"/>
      <w:bookmarkStart w:id="322" w:name="_Toc184312069"/>
      <w:bookmarkEnd w:id="322"/>
      <w:bookmarkStart w:id="323" w:name="_Toc184313269"/>
      <w:bookmarkEnd w:id="323"/>
      <w:bookmarkStart w:id="324" w:name="_Toc184312110"/>
      <w:bookmarkEnd w:id="324"/>
      <w:bookmarkStart w:id="325" w:name="_Toc184314417"/>
      <w:bookmarkEnd w:id="325"/>
      <w:bookmarkStart w:id="326" w:name="_Toc184312079"/>
      <w:bookmarkEnd w:id="326"/>
      <w:bookmarkStart w:id="327" w:name="_Toc184310286"/>
      <w:bookmarkEnd w:id="327"/>
      <w:bookmarkStart w:id="328" w:name="_Toc184310326"/>
      <w:bookmarkEnd w:id="328"/>
      <w:bookmarkStart w:id="329" w:name="_Toc184310282"/>
      <w:bookmarkEnd w:id="329"/>
      <w:bookmarkStart w:id="330" w:name="_Toc184310278"/>
      <w:bookmarkEnd w:id="330"/>
      <w:bookmarkStart w:id="331" w:name="_Toc184312103"/>
      <w:bookmarkEnd w:id="331"/>
      <w:bookmarkStart w:id="332" w:name="_Toc184314473"/>
      <w:bookmarkEnd w:id="332"/>
      <w:bookmarkStart w:id="333" w:name="_Toc184312109"/>
      <w:bookmarkEnd w:id="333"/>
      <w:bookmarkStart w:id="334" w:name="_Toc184308076"/>
      <w:bookmarkEnd w:id="334"/>
      <w:bookmarkStart w:id="335" w:name="_Toc184312075"/>
      <w:bookmarkEnd w:id="335"/>
      <w:bookmarkStart w:id="336" w:name="_Toc184314436"/>
      <w:bookmarkEnd w:id="336"/>
      <w:bookmarkStart w:id="337" w:name="_Toc184308108"/>
      <w:bookmarkEnd w:id="337"/>
      <w:bookmarkStart w:id="338" w:name="_Toc184310319"/>
      <w:bookmarkEnd w:id="338"/>
      <w:bookmarkStart w:id="339" w:name="_Toc184310272"/>
      <w:bookmarkEnd w:id="339"/>
      <w:bookmarkStart w:id="340" w:name="_Toc184312106"/>
      <w:bookmarkEnd w:id="340"/>
      <w:bookmarkStart w:id="341" w:name="_Toc184313278"/>
      <w:bookmarkEnd w:id="341"/>
      <w:bookmarkStart w:id="342" w:name="_Toc184308074"/>
      <w:bookmarkEnd w:id="342"/>
      <w:bookmarkStart w:id="343" w:name="_Toc184308078"/>
      <w:bookmarkEnd w:id="343"/>
      <w:bookmarkStart w:id="344" w:name="_Toc184312130"/>
      <w:bookmarkEnd w:id="344"/>
      <w:bookmarkStart w:id="345" w:name="_Toc184314480"/>
      <w:bookmarkEnd w:id="345"/>
      <w:bookmarkStart w:id="346" w:name="_Toc184308041"/>
      <w:bookmarkEnd w:id="346"/>
      <w:bookmarkStart w:id="347" w:name="_Toc184308104"/>
      <w:bookmarkEnd w:id="347"/>
      <w:bookmarkStart w:id="348" w:name="_Toc184308068"/>
      <w:bookmarkEnd w:id="348"/>
      <w:bookmarkStart w:id="349" w:name="_Toc184314469"/>
      <w:bookmarkEnd w:id="349"/>
      <w:bookmarkStart w:id="350" w:name="_Toc184313310"/>
      <w:bookmarkEnd w:id="350"/>
      <w:bookmarkStart w:id="351" w:name="_Toc184312118"/>
      <w:bookmarkEnd w:id="351"/>
      <w:bookmarkStart w:id="352" w:name="_Toc184312101"/>
      <w:bookmarkEnd w:id="352"/>
      <w:bookmarkStart w:id="353" w:name="_Toc184310337"/>
      <w:bookmarkEnd w:id="353"/>
      <w:bookmarkStart w:id="354" w:name="_Toc184310311"/>
      <w:bookmarkEnd w:id="354"/>
      <w:bookmarkStart w:id="355" w:name="_Toc184314470"/>
      <w:bookmarkEnd w:id="355"/>
      <w:bookmarkStart w:id="356" w:name="_Toc184312088"/>
      <w:bookmarkEnd w:id="356"/>
      <w:bookmarkStart w:id="357" w:name="_Toc184310344"/>
      <w:bookmarkEnd w:id="357"/>
      <w:bookmarkStart w:id="358" w:name="_Toc184313241"/>
      <w:bookmarkEnd w:id="358"/>
      <w:bookmarkStart w:id="359" w:name="_Toc184313243"/>
      <w:bookmarkEnd w:id="359"/>
      <w:bookmarkStart w:id="360" w:name="_Toc184314449"/>
      <w:bookmarkEnd w:id="360"/>
      <w:bookmarkStart w:id="361" w:name="_Toc184314472"/>
      <w:bookmarkEnd w:id="361"/>
      <w:bookmarkStart w:id="362" w:name="_Toc184310316"/>
      <w:bookmarkEnd w:id="362"/>
      <w:bookmarkStart w:id="363" w:name="_Toc184312085"/>
      <w:bookmarkEnd w:id="363"/>
      <w:bookmarkStart w:id="364" w:name="_Toc184314461"/>
      <w:bookmarkEnd w:id="364"/>
      <w:bookmarkStart w:id="365" w:name="_Toc184313283"/>
      <w:bookmarkEnd w:id="365"/>
      <w:bookmarkStart w:id="366" w:name="_Toc184310302"/>
      <w:bookmarkEnd w:id="366"/>
      <w:bookmarkStart w:id="367" w:name="_Toc184314431"/>
      <w:bookmarkEnd w:id="367"/>
      <w:bookmarkStart w:id="368" w:name="_Toc184310317"/>
      <w:bookmarkEnd w:id="368"/>
      <w:bookmarkStart w:id="369" w:name="_Toc184308056"/>
      <w:bookmarkEnd w:id="369"/>
      <w:bookmarkStart w:id="370" w:name="_Toc184313253"/>
      <w:bookmarkEnd w:id="370"/>
      <w:bookmarkStart w:id="371" w:name="_Toc184314466"/>
      <w:bookmarkEnd w:id="371"/>
      <w:bookmarkStart w:id="372" w:name="_Toc184312117"/>
      <w:bookmarkEnd w:id="372"/>
      <w:bookmarkStart w:id="373" w:name="_Toc184310298"/>
      <w:bookmarkEnd w:id="373"/>
      <w:bookmarkStart w:id="374" w:name="_Toc184312132"/>
      <w:bookmarkEnd w:id="374"/>
      <w:bookmarkStart w:id="375" w:name="_Toc184314465"/>
      <w:bookmarkEnd w:id="375"/>
      <w:bookmarkStart w:id="376" w:name="_Toc184312080"/>
      <w:bookmarkEnd w:id="376"/>
      <w:bookmarkStart w:id="377" w:name="_Toc184312135"/>
      <w:bookmarkEnd w:id="377"/>
      <w:bookmarkStart w:id="378" w:name="_Toc184308037"/>
      <w:bookmarkEnd w:id="378"/>
      <w:bookmarkStart w:id="379" w:name="_Toc184310328"/>
      <w:bookmarkEnd w:id="379"/>
      <w:bookmarkStart w:id="380" w:name="_Toc184312071"/>
      <w:bookmarkEnd w:id="380"/>
      <w:bookmarkStart w:id="381" w:name="_Toc184308093"/>
      <w:bookmarkEnd w:id="381"/>
      <w:bookmarkStart w:id="382" w:name="_Toc184310291"/>
      <w:bookmarkEnd w:id="382"/>
      <w:bookmarkStart w:id="383" w:name="_Toc184312092"/>
      <w:bookmarkEnd w:id="383"/>
      <w:bookmarkStart w:id="384" w:name="_Toc184314432"/>
      <w:bookmarkEnd w:id="384"/>
      <w:bookmarkStart w:id="385" w:name="_Toc184308100"/>
      <w:bookmarkEnd w:id="385"/>
      <w:bookmarkStart w:id="386" w:name="_Toc184310339"/>
      <w:bookmarkEnd w:id="386"/>
      <w:bookmarkStart w:id="387" w:name="_Toc184310305"/>
      <w:bookmarkEnd w:id="387"/>
      <w:bookmarkStart w:id="388" w:name="_Toc184310289"/>
      <w:bookmarkEnd w:id="388"/>
      <w:bookmarkStart w:id="389" w:name="_Toc184308090"/>
      <w:bookmarkEnd w:id="389"/>
      <w:bookmarkStart w:id="390" w:name="_Toc184310333"/>
      <w:bookmarkEnd w:id="390"/>
      <w:bookmarkStart w:id="391" w:name="_Toc184308063"/>
      <w:bookmarkEnd w:id="391"/>
      <w:bookmarkStart w:id="392" w:name="_Toc184313255"/>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5625"/>
        <w:gridCol w:w="822"/>
        <w:gridCol w:w="1166"/>
        <w:gridCol w:w="1672"/>
      </w:tblGrid>
      <w:tr w14:paraId="7694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588F8F10">
            <w:pPr>
              <w:autoSpaceDE w:val="0"/>
              <w:autoSpaceDN w:val="0"/>
              <w:snapToGrid w:val="0"/>
              <w:jc w:val="center"/>
              <w:rPr>
                <w:rFonts w:hint="eastAsia" w:ascii="宋体" w:hAnsi="宋体" w:cs="宋体"/>
                <w:b/>
                <w:bCs/>
                <w:kern w:val="0"/>
                <w:sz w:val="24"/>
              </w:rPr>
            </w:pPr>
            <w:r>
              <w:rPr>
                <w:rFonts w:hint="eastAsia" w:ascii="宋体" w:hAnsi="宋体" w:cs="宋体"/>
                <w:b/>
                <w:bCs/>
                <w:kern w:val="0"/>
                <w:sz w:val="24"/>
              </w:rPr>
              <w:t>序号</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29D582E9">
            <w:pPr>
              <w:autoSpaceDE w:val="0"/>
              <w:autoSpaceDN w:val="0"/>
              <w:snapToGrid w:val="0"/>
              <w:jc w:val="center"/>
              <w:rPr>
                <w:rFonts w:hint="eastAsia" w:ascii="宋体" w:hAnsi="宋体" w:cs="宋体"/>
                <w:b/>
                <w:bCs/>
                <w:kern w:val="0"/>
                <w:sz w:val="24"/>
              </w:rPr>
            </w:pPr>
            <w:r>
              <w:rPr>
                <w:rFonts w:hint="eastAsia" w:ascii="宋体" w:hAnsi="宋体" w:cs="宋体"/>
                <w:b/>
                <w:bCs/>
                <w:kern w:val="0"/>
                <w:sz w:val="24"/>
              </w:rPr>
              <w:t>评分内容及标准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7C5E1348">
            <w:pPr>
              <w:autoSpaceDE w:val="0"/>
              <w:autoSpaceDN w:val="0"/>
              <w:snapToGrid w:val="0"/>
              <w:jc w:val="center"/>
              <w:rPr>
                <w:rFonts w:hint="eastAsia" w:ascii="宋体" w:hAnsi="宋体" w:cs="宋体"/>
                <w:b/>
                <w:bCs/>
                <w:kern w:val="0"/>
                <w:sz w:val="24"/>
              </w:rPr>
            </w:pPr>
            <w:r>
              <w:rPr>
                <w:rFonts w:hint="eastAsia" w:ascii="宋体" w:hAnsi="宋体" w:cs="宋体"/>
                <w:b/>
                <w:bCs/>
                <w:kern w:val="0"/>
                <w:sz w:val="24"/>
              </w:rPr>
              <w:t>权重</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5B0E898">
            <w:pPr>
              <w:autoSpaceDE w:val="0"/>
              <w:autoSpaceDN w:val="0"/>
              <w:snapToGrid w:val="0"/>
              <w:jc w:val="center"/>
              <w:rPr>
                <w:rFonts w:hint="eastAsia" w:ascii="宋体" w:hAnsi="宋体" w:cs="宋体"/>
                <w:b/>
                <w:bCs/>
                <w:kern w:val="0"/>
                <w:sz w:val="24"/>
              </w:rPr>
            </w:pPr>
            <w:r>
              <w:rPr>
                <w:rFonts w:hint="eastAsia" w:ascii="宋体" w:hAnsi="宋体" w:cs="宋体"/>
                <w:b/>
                <w:bCs/>
                <w:kern w:val="0"/>
                <w:sz w:val="24"/>
              </w:rPr>
              <w:t>主观分/客观分 属性</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54517DA2">
            <w:pPr>
              <w:autoSpaceDE w:val="0"/>
              <w:autoSpaceDN w:val="0"/>
              <w:snapToGrid w:val="0"/>
              <w:jc w:val="center"/>
              <w:rPr>
                <w:rFonts w:hint="eastAsia" w:ascii="宋体" w:hAnsi="宋体" w:cs="宋体"/>
                <w:b/>
                <w:bCs/>
                <w:kern w:val="0"/>
                <w:sz w:val="24"/>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5EE8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329B00D1">
            <w:pPr>
              <w:tabs>
                <w:tab w:val="left" w:pos="0"/>
              </w:tabs>
              <w:spacing w:line="360" w:lineRule="auto"/>
              <w:ind w:firstLine="240" w:firstLineChars="100"/>
              <w:jc w:val="left"/>
              <w:rPr>
                <w:rFonts w:hint="eastAsia" w:ascii="宋体" w:hAnsi="宋体" w:cs="宋体"/>
                <w:kern w:val="0"/>
                <w:sz w:val="24"/>
              </w:rPr>
            </w:pPr>
            <w:r>
              <w:rPr>
                <w:rFonts w:hint="eastAsia" w:ascii="宋体" w:hAnsi="宋体" w:cs="宋体"/>
                <w:kern w:val="0"/>
                <w:sz w:val="24"/>
              </w:rPr>
              <w:t>1</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23A71B46">
            <w:pPr>
              <w:tabs>
                <w:tab w:val="left" w:pos="0"/>
              </w:tabs>
              <w:spacing w:line="360" w:lineRule="auto"/>
              <w:ind w:firstLine="480"/>
              <w:jc w:val="left"/>
              <w:rPr>
                <w:rFonts w:hint="eastAsia" w:ascii="宋体" w:hAnsi="宋体" w:cs="宋体"/>
                <w:sz w:val="24"/>
              </w:rPr>
            </w:pPr>
            <w:bookmarkStart w:id="393" w:name="_Toc95739957"/>
            <w:r>
              <w:rPr>
                <w:rFonts w:hint="eastAsia" w:ascii="宋体" w:hAnsi="宋体" w:cs="宋体"/>
                <w:sz w:val="24"/>
              </w:rPr>
              <w:t>有效投标报价的最低价作为评标基准价，其最低报价为满分；按［投标报价得分=（评标基准价/投标报价）*10］的计算公式计算。</w:t>
            </w:r>
            <w:bookmarkEnd w:id="393"/>
          </w:p>
          <w:p w14:paraId="4AA2FA75">
            <w:pPr>
              <w:tabs>
                <w:tab w:val="left" w:pos="0"/>
              </w:tabs>
              <w:spacing w:line="360" w:lineRule="auto"/>
              <w:ind w:firstLine="480"/>
              <w:jc w:val="left"/>
              <w:rPr>
                <w:rFonts w:hint="eastAsia" w:ascii="宋体" w:hAnsi="宋体" w:cs="宋体"/>
                <w:sz w:val="24"/>
              </w:rPr>
            </w:pPr>
            <w:r>
              <w:rPr>
                <w:rFonts w:hint="eastAsia" w:ascii="宋体" w:hAnsi="宋体" w:cs="宋体"/>
                <w:sz w:val="24"/>
              </w:rPr>
              <w:t>评标过程中，不得去掉报价中的最高报价和最低报价。</w:t>
            </w:r>
          </w:p>
          <w:p w14:paraId="2B4A3746">
            <w:pPr>
              <w:tabs>
                <w:tab w:val="left" w:pos="0"/>
              </w:tabs>
              <w:spacing w:line="360" w:lineRule="auto"/>
              <w:ind w:firstLine="480"/>
              <w:jc w:val="left"/>
              <w:rPr>
                <w:rFonts w:hint="eastAsia" w:ascii="宋体" w:hAnsi="宋体" w:cs="宋体"/>
                <w:sz w:val="24"/>
              </w:rPr>
            </w:pPr>
            <w:r>
              <w:rPr>
                <w:rFonts w:hint="eastAsia" w:ascii="宋体" w:hAnsi="宋体" w:cs="宋体"/>
                <w:b/>
                <w:bCs/>
                <w:sz w:val="24"/>
              </w:rPr>
              <w:t>本项目所有标项均专门面向中小企业采购，报价时无需进行政策价格扣除。</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7F00B197">
            <w:pPr>
              <w:tabs>
                <w:tab w:val="left" w:pos="0"/>
              </w:tabs>
              <w:spacing w:line="360" w:lineRule="auto"/>
              <w:jc w:val="center"/>
              <w:rPr>
                <w:rFonts w:hint="eastAsia" w:ascii="宋体" w:hAnsi="宋体" w:cs="宋体"/>
                <w:kern w:val="0"/>
                <w:sz w:val="24"/>
              </w:rPr>
            </w:pPr>
            <w:r>
              <w:rPr>
                <w:rFonts w:hint="eastAsia" w:ascii="宋体" w:hAnsi="宋体" w:cs="宋体"/>
                <w:kern w:val="0"/>
                <w:sz w:val="24"/>
              </w:rPr>
              <w:t>10</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273B2B1">
            <w:pPr>
              <w:tabs>
                <w:tab w:val="left" w:pos="0"/>
              </w:tabs>
              <w:spacing w:line="360" w:lineRule="auto"/>
              <w:ind w:firstLine="480"/>
              <w:jc w:val="left"/>
              <w:rPr>
                <w:rFonts w:hint="eastAsia" w:ascii="宋体" w:hAnsi="宋体" w:cs="宋体"/>
                <w:kern w:val="0"/>
                <w:sz w:val="24"/>
              </w:rPr>
            </w:pPr>
            <w:r>
              <w:rPr>
                <w:rFonts w:hint="eastAsia" w:ascii="宋体" w:hAnsi="宋体" w:cs="宋体"/>
                <w:kern w:val="0"/>
                <w:sz w:val="24"/>
              </w:rPr>
              <w:t>/</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3251036C">
            <w:pPr>
              <w:tabs>
                <w:tab w:val="left" w:pos="0"/>
              </w:tabs>
              <w:spacing w:line="360" w:lineRule="auto"/>
              <w:ind w:firstLine="480"/>
              <w:jc w:val="left"/>
              <w:rPr>
                <w:rFonts w:hint="eastAsia" w:ascii="宋体" w:hAnsi="宋体" w:cs="宋体"/>
                <w:kern w:val="0"/>
                <w:sz w:val="24"/>
              </w:rPr>
            </w:pPr>
          </w:p>
        </w:tc>
      </w:tr>
      <w:tr w14:paraId="6A6B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1A2CDE0C">
            <w:pPr>
              <w:tabs>
                <w:tab w:val="left" w:pos="0"/>
              </w:tabs>
              <w:spacing w:line="360" w:lineRule="auto"/>
              <w:ind w:firstLine="240" w:firstLineChars="100"/>
              <w:jc w:val="left"/>
              <w:rPr>
                <w:rFonts w:hint="eastAsia" w:ascii="宋体" w:hAnsi="宋体" w:cs="宋体"/>
                <w:kern w:val="0"/>
                <w:sz w:val="24"/>
              </w:rPr>
            </w:pPr>
            <w:r>
              <w:rPr>
                <w:rFonts w:hint="eastAsia" w:ascii="宋体" w:hAnsi="宋体" w:cs="宋体"/>
                <w:kern w:val="0"/>
                <w:sz w:val="24"/>
              </w:rPr>
              <w:t>2</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098CBC86">
            <w:pPr>
              <w:tabs>
                <w:tab w:val="left" w:pos="0"/>
              </w:tabs>
              <w:spacing w:line="360" w:lineRule="auto"/>
              <w:ind w:firstLine="480"/>
              <w:jc w:val="left"/>
              <w:rPr>
                <w:rFonts w:hint="eastAsia" w:ascii="宋体" w:hAnsi="宋体" w:cs="宋体"/>
                <w:b/>
                <w:sz w:val="24"/>
              </w:rPr>
            </w:pPr>
            <w:r>
              <w:rPr>
                <w:rFonts w:hint="eastAsia" w:ascii="宋体" w:hAnsi="宋体" w:cs="宋体"/>
                <w:b/>
                <w:sz w:val="24"/>
              </w:rPr>
              <w:t>业绩：</w:t>
            </w:r>
          </w:p>
          <w:p w14:paraId="2B10C902">
            <w:pPr>
              <w:tabs>
                <w:tab w:val="left" w:pos="0"/>
              </w:tabs>
              <w:spacing w:line="360" w:lineRule="auto"/>
              <w:ind w:firstLine="480"/>
              <w:jc w:val="left"/>
              <w:rPr>
                <w:rFonts w:hint="eastAsia" w:ascii="宋体" w:hAnsi="宋体" w:cs="宋体"/>
                <w:sz w:val="24"/>
                <w:lang w:val="zh-CN"/>
              </w:rPr>
            </w:pPr>
            <w:r>
              <w:rPr>
                <w:rFonts w:hint="eastAsia" w:ascii="宋体" w:hAnsi="宋体" w:cs="宋体"/>
                <w:sz w:val="24"/>
                <w:lang w:val="zh-CN"/>
              </w:rPr>
              <w:t>投标人具有202</w:t>
            </w:r>
            <w:r>
              <w:rPr>
                <w:rFonts w:hint="eastAsia" w:ascii="宋体" w:hAnsi="宋体" w:cs="宋体"/>
                <w:sz w:val="24"/>
              </w:rPr>
              <w:t>2</w:t>
            </w:r>
            <w:r>
              <w:rPr>
                <w:rFonts w:hint="eastAsia" w:ascii="宋体" w:hAnsi="宋体" w:cs="宋体"/>
                <w:sz w:val="24"/>
                <w:lang w:val="zh-CN"/>
              </w:rPr>
              <w:t>年1月1日以来类似信息化建设项目业绩，每个得0.5分，最高得1分。</w:t>
            </w:r>
          </w:p>
          <w:p w14:paraId="325BC656">
            <w:pPr>
              <w:tabs>
                <w:tab w:val="left" w:pos="0"/>
              </w:tabs>
              <w:spacing w:line="360" w:lineRule="auto"/>
              <w:ind w:firstLine="480"/>
              <w:jc w:val="left"/>
              <w:rPr>
                <w:rFonts w:hint="eastAsia" w:ascii="宋体" w:hAnsi="宋体" w:cs="宋体"/>
                <w:sz w:val="24"/>
                <w:lang w:val="zh-CN"/>
              </w:rPr>
            </w:pPr>
            <w:r>
              <w:rPr>
                <w:rFonts w:hint="eastAsia" w:ascii="宋体" w:hAnsi="宋体" w:cs="宋体"/>
                <w:sz w:val="24"/>
                <w:lang w:val="zh-CN"/>
              </w:rPr>
              <w:t>证明材料：提供有效期内合同复印件，认定时间以合同起始时间为准。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5632A2B3">
            <w:pPr>
              <w:tabs>
                <w:tab w:val="left" w:pos="0"/>
              </w:tabs>
              <w:spacing w:line="360" w:lineRule="auto"/>
              <w:jc w:val="center"/>
              <w:rPr>
                <w:rFonts w:hint="eastAsia" w:ascii="宋体" w:hAnsi="宋体" w:cs="宋体"/>
                <w:kern w:val="0"/>
                <w:sz w:val="24"/>
              </w:rPr>
            </w:pPr>
            <w:r>
              <w:rPr>
                <w:rFonts w:hint="eastAsia" w:ascii="宋体" w:hAnsi="宋体" w:cs="宋体"/>
                <w:kern w:val="0"/>
                <w:sz w:val="24"/>
              </w:rPr>
              <w:t>1</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170218F">
            <w:pPr>
              <w:tabs>
                <w:tab w:val="left" w:pos="0"/>
              </w:tabs>
              <w:spacing w:line="360" w:lineRule="auto"/>
              <w:jc w:val="center"/>
              <w:rPr>
                <w:rFonts w:hint="eastAsia" w:ascii="宋体" w:hAnsi="宋体" w:cs="宋体"/>
                <w:kern w:val="0"/>
                <w:sz w:val="24"/>
              </w:rPr>
            </w:pPr>
            <w:r>
              <w:rPr>
                <w:rFonts w:hint="eastAsia" w:ascii="宋体" w:hAnsi="宋体" w:cs="宋体"/>
                <w:kern w:val="0"/>
                <w:sz w:val="24"/>
              </w:rPr>
              <w:t>客观分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6CD53BF0">
            <w:pPr>
              <w:tabs>
                <w:tab w:val="left" w:pos="0"/>
              </w:tabs>
              <w:spacing w:line="360" w:lineRule="auto"/>
              <w:jc w:val="center"/>
              <w:rPr>
                <w:rFonts w:hint="eastAsia" w:ascii="宋体" w:hAnsi="宋体" w:cs="宋体"/>
                <w:kern w:val="0"/>
                <w:sz w:val="24"/>
              </w:rPr>
            </w:pPr>
          </w:p>
        </w:tc>
      </w:tr>
      <w:tr w14:paraId="6B90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single" w:color="auto" w:sz="4" w:space="0"/>
              <w:right w:val="single" w:color="auto" w:sz="4" w:space="0"/>
            </w:tcBorders>
            <w:noWrap w:val="0"/>
            <w:vAlign w:val="center"/>
          </w:tcPr>
          <w:p w14:paraId="039FBF3A">
            <w:pPr>
              <w:tabs>
                <w:tab w:val="left" w:pos="0"/>
              </w:tabs>
              <w:spacing w:line="360" w:lineRule="auto"/>
              <w:ind w:firstLine="240" w:firstLineChars="100"/>
              <w:jc w:val="left"/>
              <w:rPr>
                <w:rFonts w:hint="eastAsia" w:ascii="宋体" w:hAnsi="宋体" w:cs="宋体"/>
                <w:kern w:val="0"/>
                <w:sz w:val="24"/>
              </w:rPr>
            </w:pPr>
            <w:r>
              <w:rPr>
                <w:rFonts w:hint="eastAsia" w:ascii="宋体" w:hAnsi="宋体" w:cs="宋体"/>
                <w:kern w:val="0"/>
                <w:sz w:val="24"/>
              </w:rPr>
              <w:t>3</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6DE92B17">
            <w:pPr>
              <w:tabs>
                <w:tab w:val="left" w:pos="0"/>
              </w:tabs>
              <w:spacing w:line="360" w:lineRule="auto"/>
              <w:ind w:firstLine="480"/>
              <w:jc w:val="left"/>
              <w:rPr>
                <w:rFonts w:ascii="宋体" w:hAnsi="宋体" w:cs="宋体"/>
                <w:b/>
                <w:sz w:val="24"/>
                <w:lang w:val="zh-CN"/>
              </w:rPr>
            </w:pPr>
            <w:r>
              <w:rPr>
                <w:rFonts w:ascii="宋体" w:hAnsi="宋体" w:cs="宋体"/>
                <w:b/>
                <w:sz w:val="24"/>
                <w:lang w:val="zh-CN"/>
              </w:rPr>
              <w:t>资信：</w:t>
            </w:r>
          </w:p>
          <w:p w14:paraId="2F62670C">
            <w:pPr>
              <w:tabs>
                <w:tab w:val="left" w:pos="0"/>
              </w:tabs>
              <w:spacing w:line="360" w:lineRule="auto"/>
              <w:ind w:firstLine="480"/>
              <w:jc w:val="left"/>
              <w:rPr>
                <w:rFonts w:hint="eastAsia" w:ascii="宋体" w:hAnsi="宋体" w:cs="宋体"/>
                <w:sz w:val="24"/>
                <w:lang w:val="zh-CN"/>
              </w:rPr>
            </w:pPr>
            <w:r>
              <w:rPr>
                <w:rFonts w:hint="eastAsia" w:ascii="宋体" w:hAnsi="宋体" w:cs="宋体"/>
                <w:sz w:val="24"/>
                <w:lang w:val="zh-CN"/>
              </w:rPr>
              <w:t>投标人</w:t>
            </w:r>
            <w:r>
              <w:rPr>
                <w:rFonts w:hint="eastAsia" w:ascii="宋体" w:hAnsi="宋体" w:cs="宋体"/>
                <w:sz w:val="24"/>
              </w:rPr>
              <w:t>具有</w:t>
            </w:r>
            <w:r>
              <w:rPr>
                <w:rFonts w:hint="eastAsia" w:ascii="宋体" w:hAnsi="宋体" w:cs="宋体"/>
                <w:sz w:val="24"/>
                <w:lang w:val="zh-CN"/>
              </w:rPr>
              <w:t>质量管理体系认证的得</w:t>
            </w:r>
            <w:r>
              <w:rPr>
                <w:rFonts w:hint="eastAsia" w:ascii="宋体" w:hAnsi="宋体" w:cs="宋体"/>
                <w:sz w:val="24"/>
              </w:rPr>
              <w:t>1</w:t>
            </w:r>
            <w:r>
              <w:rPr>
                <w:rFonts w:hint="eastAsia" w:ascii="宋体" w:hAnsi="宋体" w:cs="宋体"/>
                <w:sz w:val="24"/>
                <w:lang w:val="zh-CN"/>
              </w:rPr>
              <w:t>分；</w:t>
            </w:r>
            <w:r>
              <w:rPr>
                <w:rFonts w:hint="eastAsia" w:ascii="宋体" w:hAnsi="宋体" w:cs="宋体"/>
                <w:bCs/>
                <w:kern w:val="0"/>
                <w:sz w:val="24"/>
              </w:rPr>
              <w:t>具有环境管理体系认证证书</w:t>
            </w:r>
            <w:r>
              <w:rPr>
                <w:rFonts w:hint="eastAsia" w:ascii="宋体" w:hAnsi="宋体" w:cs="宋体"/>
                <w:sz w:val="24"/>
                <w:lang w:val="zh-CN"/>
              </w:rPr>
              <w:t>的得</w:t>
            </w:r>
            <w:r>
              <w:rPr>
                <w:rFonts w:hint="eastAsia" w:ascii="宋体" w:hAnsi="宋体" w:cs="宋体"/>
                <w:sz w:val="24"/>
              </w:rPr>
              <w:t>1</w:t>
            </w:r>
            <w:r>
              <w:rPr>
                <w:rFonts w:hint="eastAsia" w:ascii="宋体" w:hAnsi="宋体" w:cs="宋体"/>
                <w:sz w:val="24"/>
                <w:lang w:val="zh-CN"/>
              </w:rPr>
              <w:t>分</w:t>
            </w:r>
            <w:r>
              <w:rPr>
                <w:rFonts w:hint="eastAsia" w:ascii="宋体" w:hAnsi="宋体" w:cs="宋体"/>
                <w:bCs/>
                <w:kern w:val="0"/>
                <w:sz w:val="24"/>
              </w:rPr>
              <w:t>，具有职业健康安全管理体系认证</w:t>
            </w:r>
            <w:r>
              <w:rPr>
                <w:rFonts w:hint="eastAsia" w:ascii="宋体" w:hAnsi="宋体" w:cs="宋体"/>
                <w:sz w:val="24"/>
                <w:lang w:val="zh-CN"/>
              </w:rPr>
              <w:t>的得</w:t>
            </w:r>
            <w:r>
              <w:rPr>
                <w:rFonts w:hint="eastAsia" w:ascii="宋体" w:hAnsi="宋体" w:cs="宋体"/>
                <w:sz w:val="24"/>
              </w:rPr>
              <w:t>1</w:t>
            </w:r>
            <w:r>
              <w:rPr>
                <w:rFonts w:hint="eastAsia" w:ascii="宋体" w:hAnsi="宋体" w:cs="宋体"/>
                <w:sz w:val="24"/>
                <w:lang w:val="zh-CN"/>
              </w:rPr>
              <w:t xml:space="preserve">分。 </w:t>
            </w:r>
          </w:p>
          <w:p w14:paraId="0F105387">
            <w:pPr>
              <w:tabs>
                <w:tab w:val="left" w:pos="0"/>
              </w:tabs>
              <w:spacing w:line="360" w:lineRule="auto"/>
              <w:ind w:firstLine="480"/>
              <w:jc w:val="left"/>
              <w:rPr>
                <w:rFonts w:hint="eastAsia" w:ascii="宋体" w:hAnsi="宋体" w:cs="宋体"/>
                <w:sz w:val="24"/>
                <w:lang w:val="zh-CN"/>
              </w:rPr>
            </w:pPr>
            <w:r>
              <w:rPr>
                <w:rFonts w:hint="eastAsia" w:ascii="宋体" w:hAnsi="宋体" w:cs="宋体"/>
                <w:sz w:val="24"/>
                <w:lang w:val="zh-CN"/>
              </w:rPr>
              <w:t>证明材料：提供有效期内加盖公章的证书复印件</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5B38F2C4">
            <w:pPr>
              <w:tabs>
                <w:tab w:val="left" w:pos="0"/>
              </w:tabs>
              <w:spacing w:line="360" w:lineRule="auto"/>
              <w:jc w:val="center"/>
              <w:rPr>
                <w:rFonts w:hint="eastAsia" w:ascii="宋体" w:hAnsi="宋体" w:cs="宋体"/>
                <w:kern w:val="0"/>
                <w:sz w:val="24"/>
              </w:rPr>
            </w:pPr>
            <w:r>
              <w:rPr>
                <w:rFonts w:hint="eastAsia" w:ascii="宋体" w:hAnsi="宋体" w:cs="宋体"/>
                <w:kern w:val="0"/>
                <w:sz w:val="24"/>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B780CA1">
            <w:pPr>
              <w:spacing w:line="360" w:lineRule="auto"/>
              <w:jc w:val="center"/>
              <w:rPr>
                <w:rFonts w:hint="eastAsia" w:ascii="宋体" w:hAnsi="宋体" w:cs="宋体"/>
                <w:kern w:val="0"/>
                <w:sz w:val="24"/>
              </w:rPr>
            </w:pPr>
            <w:r>
              <w:rPr>
                <w:rFonts w:hint="eastAsia" w:ascii="宋体" w:hAnsi="宋体" w:cs="宋体"/>
                <w:kern w:val="0"/>
                <w:sz w:val="24"/>
              </w:rPr>
              <w:t>客观分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5C80AE91">
            <w:pPr>
              <w:spacing w:line="360" w:lineRule="auto"/>
              <w:jc w:val="center"/>
              <w:rPr>
                <w:rFonts w:hint="eastAsia" w:ascii="宋体" w:hAnsi="宋体" w:cs="宋体"/>
                <w:kern w:val="0"/>
                <w:sz w:val="24"/>
              </w:rPr>
            </w:pPr>
          </w:p>
        </w:tc>
      </w:tr>
      <w:tr w14:paraId="1F9A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79" w:type="dxa"/>
            <w:tcBorders>
              <w:left w:val="single" w:color="auto" w:sz="4" w:space="0"/>
              <w:right w:val="single" w:color="auto" w:sz="4" w:space="0"/>
            </w:tcBorders>
            <w:noWrap w:val="0"/>
            <w:vAlign w:val="center"/>
          </w:tcPr>
          <w:p w14:paraId="0E4A3092">
            <w:pPr>
              <w:tabs>
                <w:tab w:val="left" w:pos="0"/>
              </w:tabs>
              <w:spacing w:line="360" w:lineRule="auto"/>
              <w:ind w:firstLine="240" w:firstLineChars="100"/>
              <w:jc w:val="left"/>
              <w:rPr>
                <w:rFonts w:hint="eastAsia" w:ascii="宋体" w:hAnsi="宋体" w:cs="宋体"/>
                <w:kern w:val="0"/>
                <w:sz w:val="24"/>
              </w:rPr>
            </w:pPr>
            <w:r>
              <w:rPr>
                <w:rFonts w:hint="eastAsia" w:ascii="宋体" w:hAnsi="宋体" w:cs="宋体"/>
                <w:kern w:val="0"/>
                <w:sz w:val="24"/>
              </w:rPr>
              <w:t>4</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7010754B">
            <w:pPr>
              <w:tabs>
                <w:tab w:val="left" w:pos="0"/>
              </w:tabs>
              <w:spacing w:line="360" w:lineRule="auto"/>
              <w:ind w:firstLine="480"/>
              <w:rPr>
                <w:rFonts w:hint="eastAsia" w:ascii="宋体" w:hAnsi="宋体" w:cs="宋体"/>
                <w:b/>
                <w:bCs/>
                <w:kern w:val="0"/>
                <w:sz w:val="24"/>
                <w:lang w:val="zh-CN"/>
              </w:rPr>
            </w:pPr>
            <w:r>
              <w:rPr>
                <w:rFonts w:hint="eastAsia" w:ascii="宋体" w:hAnsi="宋体" w:cs="宋体"/>
                <w:b/>
                <w:bCs/>
                <w:kern w:val="0"/>
                <w:sz w:val="24"/>
              </w:rPr>
              <w:t>情况</w:t>
            </w:r>
            <w:r>
              <w:rPr>
                <w:rFonts w:hint="eastAsia" w:ascii="宋体" w:hAnsi="宋体" w:cs="宋体"/>
                <w:b/>
                <w:bCs/>
                <w:kern w:val="0"/>
                <w:sz w:val="24"/>
                <w:lang w:val="zh-CN"/>
              </w:rPr>
              <w:t>分析：</w:t>
            </w:r>
          </w:p>
          <w:p w14:paraId="71E898B0">
            <w:pPr>
              <w:tabs>
                <w:tab w:val="left" w:pos="0"/>
              </w:tabs>
              <w:spacing w:line="360" w:lineRule="auto"/>
              <w:ind w:firstLine="480"/>
              <w:rPr>
                <w:rFonts w:hint="eastAsia" w:ascii="宋体" w:hAnsi="宋体" w:cs="宋体"/>
                <w:kern w:val="0"/>
                <w:sz w:val="24"/>
                <w:lang w:val="zh-CN"/>
              </w:rPr>
            </w:pPr>
            <w:r>
              <w:rPr>
                <w:rFonts w:hint="eastAsia" w:ascii="宋体" w:hAnsi="宋体" w:cs="宋体"/>
                <w:sz w:val="24"/>
                <w:lang w:val="zh-CN"/>
              </w:rPr>
              <w:t>投标人</w:t>
            </w:r>
            <w:r>
              <w:rPr>
                <w:rFonts w:hint="eastAsia" w:ascii="宋体" w:hAnsi="宋体" w:cs="宋体"/>
                <w:kern w:val="0"/>
                <w:sz w:val="24"/>
                <w:lang w:val="zh-CN"/>
              </w:rPr>
              <w:t>根据采购文件阐明的项目背景、建设目标、建设范围、技术要求，对本项目的需求进行理解和分析，理解与分析科学合理、切实全面的得</w:t>
            </w:r>
            <w:r>
              <w:rPr>
                <w:rFonts w:hint="eastAsia" w:ascii="宋体" w:hAnsi="宋体" w:cs="宋体"/>
                <w:kern w:val="0"/>
                <w:sz w:val="24"/>
              </w:rPr>
              <w:t>5分；较为科学可行的得3分；</w:t>
            </w:r>
            <w:r>
              <w:rPr>
                <w:rFonts w:hint="eastAsia" w:ascii="宋体" w:hAnsi="宋体" w:cs="宋体"/>
                <w:kern w:val="0"/>
                <w:sz w:val="24"/>
                <w:lang w:val="zh-CN"/>
              </w:rPr>
              <w:t>理解与分析不到位的得</w:t>
            </w:r>
            <w:r>
              <w:rPr>
                <w:rFonts w:hint="eastAsia" w:ascii="宋体" w:hAnsi="宋体" w:cs="宋体"/>
                <w:kern w:val="0"/>
                <w:sz w:val="24"/>
              </w:rPr>
              <w:t>1分；未提供不得分。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29BB72AA">
            <w:pPr>
              <w:tabs>
                <w:tab w:val="left" w:pos="0"/>
              </w:tabs>
              <w:spacing w:line="360" w:lineRule="auto"/>
              <w:jc w:val="center"/>
              <w:rPr>
                <w:rFonts w:ascii="宋体" w:hAnsi="宋体" w:cs="宋体"/>
                <w:kern w:val="0"/>
                <w:sz w:val="24"/>
              </w:rPr>
            </w:pPr>
            <w:r>
              <w:rPr>
                <w:rFonts w:hint="eastAsia" w:ascii="宋体" w:hAnsi="宋体" w:cs="宋体"/>
                <w:kern w:val="0"/>
                <w:sz w:val="24"/>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88A2FCE">
            <w:pPr>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22AAD071">
            <w:pPr>
              <w:spacing w:line="360" w:lineRule="auto"/>
              <w:jc w:val="center"/>
              <w:rPr>
                <w:rFonts w:hint="eastAsia" w:ascii="宋体" w:hAnsi="宋体" w:cs="宋体"/>
                <w:kern w:val="0"/>
                <w:sz w:val="24"/>
              </w:rPr>
            </w:pPr>
          </w:p>
        </w:tc>
      </w:tr>
      <w:tr w14:paraId="7BBB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79" w:type="dxa"/>
            <w:tcBorders>
              <w:left w:val="single" w:color="auto" w:sz="4" w:space="0"/>
              <w:right w:val="single" w:color="auto" w:sz="4" w:space="0"/>
            </w:tcBorders>
            <w:noWrap w:val="0"/>
            <w:vAlign w:val="center"/>
          </w:tcPr>
          <w:p w14:paraId="782B2492">
            <w:pPr>
              <w:tabs>
                <w:tab w:val="left" w:pos="0"/>
              </w:tabs>
              <w:spacing w:line="360" w:lineRule="auto"/>
              <w:ind w:firstLine="240" w:firstLineChars="100"/>
              <w:jc w:val="left"/>
              <w:rPr>
                <w:rFonts w:hint="eastAsia" w:ascii="宋体" w:hAnsi="宋体" w:cs="宋体"/>
                <w:kern w:val="0"/>
                <w:sz w:val="24"/>
              </w:rPr>
            </w:pPr>
            <w:r>
              <w:rPr>
                <w:rFonts w:hint="eastAsia" w:ascii="宋体" w:hAnsi="宋体" w:cs="宋体"/>
                <w:kern w:val="0"/>
                <w:sz w:val="24"/>
              </w:rPr>
              <w:t>5</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0AA55080">
            <w:pPr>
              <w:tabs>
                <w:tab w:val="left" w:pos="0"/>
              </w:tabs>
              <w:spacing w:line="360" w:lineRule="auto"/>
              <w:ind w:firstLine="480"/>
              <w:rPr>
                <w:rFonts w:hint="eastAsia" w:ascii="宋体" w:hAnsi="宋体" w:cs="宋体"/>
                <w:b/>
                <w:bCs/>
                <w:kern w:val="0"/>
                <w:sz w:val="24"/>
                <w:lang w:val="zh-CN"/>
              </w:rPr>
            </w:pPr>
            <w:r>
              <w:rPr>
                <w:rFonts w:hint="eastAsia" w:ascii="宋体" w:hAnsi="宋体" w:cs="宋体"/>
                <w:b/>
                <w:bCs/>
                <w:kern w:val="0"/>
                <w:sz w:val="24"/>
                <w:lang w:val="zh-CN"/>
              </w:rPr>
              <w:t>系统整体设计方案：</w:t>
            </w:r>
          </w:p>
          <w:p w14:paraId="0105E93F">
            <w:pPr>
              <w:tabs>
                <w:tab w:val="left" w:pos="0"/>
              </w:tabs>
              <w:spacing w:line="360" w:lineRule="auto"/>
              <w:ind w:firstLine="480"/>
              <w:rPr>
                <w:rFonts w:hint="eastAsia" w:ascii="宋体" w:hAnsi="宋体" w:cs="宋体"/>
                <w:kern w:val="0"/>
                <w:sz w:val="24"/>
              </w:rPr>
            </w:pPr>
            <w:r>
              <w:rPr>
                <w:rFonts w:hint="eastAsia" w:ascii="宋体" w:hAnsi="宋体" w:cs="宋体"/>
                <w:sz w:val="24"/>
                <w:lang w:val="zh-CN"/>
              </w:rPr>
              <w:t>投标人</w:t>
            </w:r>
            <w:r>
              <w:rPr>
                <w:rFonts w:hint="eastAsia" w:ascii="宋体" w:hAnsi="宋体" w:cs="宋体"/>
                <w:kern w:val="0"/>
                <w:sz w:val="24"/>
                <w:lang w:val="zh-CN"/>
              </w:rPr>
              <w:t>对项目系统整体设计方案进行阐述。设计方案科学合理、全面清晰的得</w:t>
            </w:r>
            <w:r>
              <w:rPr>
                <w:rFonts w:ascii="宋体" w:hAnsi="宋体" w:cs="宋体"/>
                <w:kern w:val="0"/>
                <w:sz w:val="24"/>
              </w:rPr>
              <w:t>5</w:t>
            </w:r>
            <w:r>
              <w:rPr>
                <w:rFonts w:hint="eastAsia" w:ascii="宋体" w:hAnsi="宋体" w:cs="宋体"/>
                <w:kern w:val="0"/>
                <w:sz w:val="24"/>
              </w:rPr>
              <w:t>分；</w:t>
            </w:r>
            <w:r>
              <w:rPr>
                <w:rFonts w:hint="eastAsia" w:ascii="宋体" w:hAnsi="宋体" w:cs="宋体"/>
                <w:kern w:val="0"/>
                <w:sz w:val="24"/>
                <w:lang w:val="zh-CN"/>
              </w:rPr>
              <w:t>设计方案较为合理、符合业务发展需求的得</w:t>
            </w:r>
            <w:r>
              <w:rPr>
                <w:rFonts w:ascii="宋体" w:hAnsi="宋体" w:cs="宋体"/>
                <w:kern w:val="0"/>
                <w:sz w:val="24"/>
              </w:rPr>
              <w:t>3</w:t>
            </w:r>
            <w:r>
              <w:rPr>
                <w:rFonts w:hint="eastAsia" w:ascii="宋体" w:hAnsi="宋体" w:cs="宋体"/>
                <w:kern w:val="0"/>
                <w:sz w:val="24"/>
              </w:rPr>
              <w:t>分；</w:t>
            </w:r>
            <w:r>
              <w:rPr>
                <w:rFonts w:hint="eastAsia" w:ascii="宋体" w:hAnsi="宋体" w:cs="宋体"/>
                <w:kern w:val="0"/>
                <w:sz w:val="24"/>
                <w:lang w:val="zh-CN"/>
              </w:rPr>
              <w:t>设计方案存在缺失的得</w:t>
            </w:r>
            <w:r>
              <w:rPr>
                <w:rFonts w:hint="eastAsia" w:ascii="宋体" w:hAnsi="宋体" w:cs="宋体"/>
                <w:kern w:val="0"/>
                <w:sz w:val="24"/>
              </w:rPr>
              <w:t>1分；未提供不得分。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590A5009">
            <w:pPr>
              <w:tabs>
                <w:tab w:val="left" w:pos="0"/>
              </w:tabs>
              <w:spacing w:line="360" w:lineRule="auto"/>
              <w:jc w:val="center"/>
              <w:rPr>
                <w:rFonts w:hint="eastAsia" w:ascii="宋体" w:hAnsi="宋体" w:cs="宋体"/>
                <w:kern w:val="0"/>
                <w:sz w:val="24"/>
              </w:rPr>
            </w:pPr>
            <w:r>
              <w:rPr>
                <w:rFonts w:ascii="宋体" w:hAnsi="宋体" w:cs="宋体"/>
                <w:kern w:val="0"/>
                <w:sz w:val="24"/>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7A1FD97">
            <w:pPr>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427926C1">
            <w:pPr>
              <w:spacing w:line="360" w:lineRule="auto"/>
              <w:jc w:val="center"/>
              <w:rPr>
                <w:rFonts w:hint="eastAsia" w:ascii="宋体" w:hAnsi="宋体" w:cs="宋体"/>
                <w:kern w:val="0"/>
                <w:sz w:val="24"/>
              </w:rPr>
            </w:pPr>
          </w:p>
        </w:tc>
      </w:tr>
      <w:tr w14:paraId="59A2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9" w:type="dxa"/>
            <w:tcBorders>
              <w:left w:val="single" w:color="auto" w:sz="4" w:space="0"/>
              <w:right w:val="single" w:color="auto" w:sz="4" w:space="0"/>
            </w:tcBorders>
            <w:noWrap w:val="0"/>
            <w:vAlign w:val="center"/>
          </w:tcPr>
          <w:p w14:paraId="7966A09C">
            <w:pPr>
              <w:tabs>
                <w:tab w:val="left" w:pos="0"/>
              </w:tabs>
              <w:spacing w:line="360" w:lineRule="auto"/>
              <w:ind w:firstLine="240" w:firstLineChars="100"/>
              <w:jc w:val="left"/>
              <w:rPr>
                <w:rFonts w:hint="eastAsia" w:ascii="宋体" w:hAnsi="宋体" w:cs="宋体"/>
                <w:kern w:val="0"/>
                <w:sz w:val="24"/>
              </w:rPr>
            </w:pPr>
            <w:r>
              <w:rPr>
                <w:rFonts w:hint="eastAsia" w:ascii="宋体" w:hAnsi="宋体" w:cs="宋体"/>
                <w:kern w:val="0"/>
                <w:sz w:val="24"/>
              </w:rPr>
              <w:t>6</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68686D87">
            <w:pPr>
              <w:tabs>
                <w:tab w:val="left" w:pos="0"/>
              </w:tabs>
              <w:spacing w:line="360" w:lineRule="auto"/>
              <w:ind w:firstLine="480"/>
              <w:rPr>
                <w:rFonts w:hint="eastAsia" w:ascii="宋体" w:hAnsi="宋体" w:cs="宋体"/>
                <w:b/>
                <w:bCs/>
                <w:kern w:val="0"/>
                <w:sz w:val="24"/>
                <w:lang w:val="zh-CN"/>
              </w:rPr>
            </w:pPr>
            <w:r>
              <w:rPr>
                <w:rFonts w:hint="eastAsia" w:ascii="宋体" w:hAnsi="宋体" w:cs="宋体"/>
                <w:b/>
                <w:bCs/>
                <w:kern w:val="0"/>
                <w:sz w:val="24"/>
                <w:lang w:val="zh-CN"/>
              </w:rPr>
              <w:t>建设实施重点、难点阐述：</w:t>
            </w:r>
          </w:p>
          <w:p w14:paraId="38AD3AC1">
            <w:pPr>
              <w:tabs>
                <w:tab w:val="left" w:pos="0"/>
              </w:tabs>
              <w:spacing w:line="360" w:lineRule="auto"/>
              <w:ind w:firstLine="480"/>
              <w:rPr>
                <w:rFonts w:ascii="宋体" w:hAnsi="宋体" w:cs="宋体"/>
                <w:kern w:val="0"/>
                <w:sz w:val="24"/>
              </w:rPr>
            </w:pPr>
            <w:r>
              <w:rPr>
                <w:rFonts w:hint="eastAsia" w:ascii="宋体" w:hAnsi="宋体" w:cs="宋体"/>
                <w:kern w:val="0"/>
                <w:sz w:val="24"/>
                <w:lang w:val="zh-CN"/>
              </w:rPr>
              <w:t>投标人对项目建设实施重点和难点进行阐述并提出相关解决方案。阐述和解决方案科学全面的得</w:t>
            </w:r>
            <w:r>
              <w:rPr>
                <w:rFonts w:hint="eastAsia" w:ascii="宋体" w:hAnsi="宋体" w:cs="宋体"/>
                <w:kern w:val="0"/>
                <w:sz w:val="24"/>
              </w:rPr>
              <w:t>5分；较为合理的得3分；存在缺失且解决方案不可行的得1分；未提供不得分。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009C3849">
            <w:pPr>
              <w:tabs>
                <w:tab w:val="left" w:pos="0"/>
              </w:tabs>
              <w:spacing w:line="360" w:lineRule="auto"/>
              <w:jc w:val="center"/>
              <w:rPr>
                <w:rFonts w:hint="eastAsia" w:ascii="宋体" w:hAnsi="宋体" w:cs="宋体"/>
                <w:kern w:val="0"/>
                <w:sz w:val="24"/>
              </w:rPr>
            </w:pPr>
            <w:r>
              <w:rPr>
                <w:rFonts w:hint="eastAsia" w:ascii="宋体" w:hAnsi="宋体" w:cs="宋体"/>
                <w:kern w:val="0"/>
                <w:sz w:val="24"/>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7DF9BF8">
            <w:pPr>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7D2D8BD3">
            <w:pPr>
              <w:spacing w:line="360" w:lineRule="auto"/>
              <w:jc w:val="center"/>
              <w:rPr>
                <w:rFonts w:hint="eastAsia" w:ascii="宋体" w:hAnsi="宋体" w:cs="宋体"/>
                <w:kern w:val="0"/>
                <w:sz w:val="24"/>
              </w:rPr>
            </w:pPr>
          </w:p>
        </w:tc>
      </w:tr>
      <w:tr w14:paraId="7033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79" w:type="dxa"/>
            <w:tcBorders>
              <w:left w:val="single" w:color="auto" w:sz="4" w:space="0"/>
              <w:right w:val="single" w:color="auto" w:sz="4" w:space="0"/>
            </w:tcBorders>
            <w:noWrap w:val="0"/>
            <w:vAlign w:val="center"/>
          </w:tcPr>
          <w:p w14:paraId="4635CD87">
            <w:pPr>
              <w:tabs>
                <w:tab w:val="left" w:pos="0"/>
              </w:tabs>
              <w:spacing w:line="360" w:lineRule="auto"/>
              <w:ind w:firstLine="240" w:firstLineChars="100"/>
              <w:jc w:val="left"/>
              <w:rPr>
                <w:rFonts w:hint="eastAsia" w:ascii="宋体" w:hAnsi="宋体" w:cs="宋体"/>
                <w:kern w:val="0"/>
                <w:sz w:val="24"/>
              </w:rPr>
            </w:pPr>
            <w:r>
              <w:rPr>
                <w:rFonts w:hint="eastAsia" w:ascii="宋体" w:hAnsi="宋体" w:cs="宋体"/>
                <w:kern w:val="0"/>
                <w:sz w:val="24"/>
              </w:rPr>
              <w:t>7</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35F2D37B">
            <w:pPr>
              <w:tabs>
                <w:tab w:val="left" w:pos="0"/>
              </w:tabs>
              <w:spacing w:line="360" w:lineRule="auto"/>
              <w:ind w:firstLine="480"/>
              <w:rPr>
                <w:rFonts w:hint="eastAsia" w:ascii="宋体" w:hAnsi="宋体" w:cs="宋体"/>
                <w:b/>
                <w:bCs/>
                <w:kern w:val="0"/>
                <w:sz w:val="24"/>
                <w:lang w:val="zh-CN"/>
              </w:rPr>
            </w:pPr>
            <w:r>
              <w:rPr>
                <w:rFonts w:hint="eastAsia" w:ascii="宋体" w:hAnsi="宋体" w:cs="宋体"/>
                <w:b/>
                <w:bCs/>
                <w:kern w:val="0"/>
                <w:sz w:val="24"/>
                <w:lang w:val="zh-CN"/>
              </w:rPr>
              <w:t>项目建设关键技术解决方案：</w:t>
            </w:r>
          </w:p>
          <w:p w14:paraId="6AFB6A90">
            <w:pPr>
              <w:tabs>
                <w:tab w:val="left" w:pos="0"/>
              </w:tabs>
              <w:spacing w:line="360" w:lineRule="auto"/>
              <w:ind w:firstLine="480"/>
              <w:rPr>
                <w:rFonts w:hint="eastAsia" w:ascii="宋体" w:hAnsi="宋体" w:cs="宋体"/>
                <w:kern w:val="0"/>
                <w:sz w:val="24"/>
                <w:lang w:val="zh-CN"/>
              </w:rPr>
            </w:pPr>
            <w:r>
              <w:rPr>
                <w:rFonts w:hint="eastAsia" w:ascii="宋体" w:hAnsi="宋体" w:cs="宋体"/>
                <w:kern w:val="0"/>
                <w:sz w:val="24"/>
                <w:lang w:val="zh-CN"/>
              </w:rPr>
              <w:t>投标人对本项目建设的关键技术、难题提出解决方案和保障措施，方案和措施科学合理、切实全面的得</w:t>
            </w:r>
            <w:r>
              <w:rPr>
                <w:rFonts w:hint="eastAsia" w:ascii="宋体" w:hAnsi="宋体" w:cs="宋体"/>
                <w:kern w:val="0"/>
                <w:sz w:val="24"/>
              </w:rPr>
              <w:t>5分；较为科学可行的得3分；</w:t>
            </w:r>
            <w:r>
              <w:rPr>
                <w:rFonts w:hint="eastAsia" w:ascii="宋体" w:hAnsi="宋体" w:cs="宋体"/>
                <w:kern w:val="0"/>
                <w:sz w:val="24"/>
                <w:lang w:val="zh-CN"/>
              </w:rPr>
              <w:t>方案和措施存在缺失的得</w:t>
            </w:r>
            <w:r>
              <w:rPr>
                <w:rFonts w:hint="eastAsia" w:ascii="宋体" w:hAnsi="宋体" w:cs="宋体"/>
                <w:kern w:val="0"/>
                <w:sz w:val="24"/>
              </w:rPr>
              <w:t>1分；未提供不得分。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21CD5D71">
            <w:pPr>
              <w:tabs>
                <w:tab w:val="left" w:pos="0"/>
              </w:tabs>
              <w:spacing w:line="360" w:lineRule="auto"/>
              <w:jc w:val="center"/>
              <w:rPr>
                <w:rFonts w:hint="eastAsia" w:ascii="宋体" w:hAnsi="宋体" w:cs="宋体"/>
                <w:kern w:val="0"/>
                <w:sz w:val="24"/>
              </w:rPr>
            </w:pPr>
            <w:r>
              <w:rPr>
                <w:rFonts w:hint="eastAsia" w:ascii="宋体" w:hAnsi="宋体" w:cs="宋体"/>
                <w:kern w:val="0"/>
                <w:sz w:val="24"/>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BE29893">
            <w:pPr>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6C6B49A8">
            <w:pPr>
              <w:spacing w:line="360" w:lineRule="auto"/>
              <w:jc w:val="center"/>
              <w:rPr>
                <w:rFonts w:hint="eastAsia" w:ascii="宋体" w:hAnsi="宋体" w:cs="宋体"/>
                <w:kern w:val="0"/>
                <w:sz w:val="24"/>
              </w:rPr>
            </w:pPr>
          </w:p>
        </w:tc>
      </w:tr>
      <w:tr w14:paraId="7BF3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9" w:type="dxa"/>
            <w:tcBorders>
              <w:left w:val="single" w:color="auto" w:sz="4" w:space="0"/>
              <w:right w:val="single" w:color="auto" w:sz="4" w:space="0"/>
            </w:tcBorders>
            <w:noWrap w:val="0"/>
            <w:vAlign w:val="center"/>
          </w:tcPr>
          <w:p w14:paraId="560FCB9B">
            <w:pPr>
              <w:tabs>
                <w:tab w:val="left" w:pos="0"/>
              </w:tabs>
              <w:spacing w:line="360" w:lineRule="auto"/>
              <w:ind w:firstLine="240" w:firstLineChars="100"/>
              <w:jc w:val="left"/>
              <w:rPr>
                <w:rFonts w:hint="eastAsia" w:ascii="宋体" w:hAnsi="宋体" w:cs="宋体"/>
                <w:kern w:val="0"/>
                <w:sz w:val="24"/>
              </w:rPr>
            </w:pPr>
            <w:r>
              <w:rPr>
                <w:rFonts w:hint="eastAsia" w:ascii="宋体" w:hAnsi="宋体" w:cs="宋体"/>
                <w:kern w:val="0"/>
                <w:sz w:val="24"/>
              </w:rPr>
              <w:t>8</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7D5BE768">
            <w:pPr>
              <w:tabs>
                <w:tab w:val="left" w:pos="0"/>
              </w:tabs>
              <w:spacing w:line="360" w:lineRule="auto"/>
              <w:ind w:firstLine="480"/>
              <w:rPr>
                <w:rFonts w:hint="eastAsia" w:ascii="宋体" w:hAnsi="宋体" w:cs="宋体"/>
                <w:b/>
                <w:bCs/>
                <w:kern w:val="0"/>
                <w:sz w:val="24"/>
                <w:lang w:val="zh-CN"/>
              </w:rPr>
            </w:pPr>
            <w:r>
              <w:rPr>
                <w:rFonts w:hint="eastAsia" w:ascii="宋体" w:hAnsi="宋体" w:cs="宋体"/>
                <w:b/>
                <w:bCs/>
                <w:kern w:val="0"/>
                <w:sz w:val="24"/>
                <w:lang w:val="zh-CN"/>
              </w:rPr>
              <w:t>项目组织实施方案：</w:t>
            </w:r>
          </w:p>
          <w:p w14:paraId="7F38D3CD">
            <w:pPr>
              <w:tabs>
                <w:tab w:val="left" w:pos="0"/>
              </w:tabs>
              <w:spacing w:line="360" w:lineRule="auto"/>
              <w:ind w:firstLine="480"/>
              <w:rPr>
                <w:rFonts w:hint="eastAsia" w:ascii="宋体" w:hAnsi="宋体" w:cs="宋体"/>
                <w:kern w:val="0"/>
                <w:sz w:val="24"/>
                <w:lang w:val="zh-CN"/>
              </w:rPr>
            </w:pPr>
            <w:r>
              <w:rPr>
                <w:rFonts w:hint="eastAsia" w:ascii="宋体" w:hAnsi="宋体" w:cs="宋体"/>
                <w:kern w:val="0"/>
                <w:sz w:val="24"/>
                <w:lang w:val="zh-CN"/>
              </w:rPr>
              <w:t>包括但不限于组织机构、管理和协调方法以及为保障项目顺利实施而指定的各项措施科学合理、切实全面的得</w:t>
            </w:r>
            <w:r>
              <w:rPr>
                <w:rFonts w:hint="eastAsia" w:ascii="宋体" w:hAnsi="宋体" w:cs="宋体"/>
                <w:kern w:val="0"/>
                <w:sz w:val="24"/>
              </w:rPr>
              <w:t>5分；较为科学可行的得3分；</w:t>
            </w:r>
            <w:r>
              <w:rPr>
                <w:rFonts w:hint="eastAsia" w:ascii="宋体" w:hAnsi="宋体" w:cs="宋体"/>
                <w:kern w:val="0"/>
                <w:sz w:val="24"/>
                <w:lang w:val="zh-CN"/>
              </w:rPr>
              <w:t>方案存在缺失的得</w:t>
            </w:r>
            <w:r>
              <w:rPr>
                <w:rFonts w:hint="eastAsia" w:ascii="宋体" w:hAnsi="宋体" w:cs="宋体"/>
                <w:kern w:val="0"/>
                <w:sz w:val="24"/>
              </w:rPr>
              <w:t>1分；未提供不得分。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51CEC155">
            <w:pPr>
              <w:tabs>
                <w:tab w:val="left" w:pos="0"/>
              </w:tabs>
              <w:spacing w:line="360" w:lineRule="auto"/>
              <w:jc w:val="center"/>
              <w:rPr>
                <w:rFonts w:hint="eastAsia" w:ascii="宋体" w:hAnsi="宋体" w:cs="宋体"/>
                <w:kern w:val="0"/>
                <w:sz w:val="24"/>
              </w:rPr>
            </w:pPr>
            <w:r>
              <w:rPr>
                <w:rFonts w:hint="eastAsia" w:ascii="宋体" w:hAnsi="宋体" w:cs="宋体"/>
                <w:kern w:val="0"/>
                <w:sz w:val="24"/>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83C52CB">
            <w:pPr>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12EFFD2E">
            <w:pPr>
              <w:spacing w:line="360" w:lineRule="auto"/>
              <w:jc w:val="center"/>
              <w:rPr>
                <w:rFonts w:hint="eastAsia" w:ascii="宋体" w:hAnsi="宋体" w:cs="宋体"/>
                <w:kern w:val="0"/>
                <w:sz w:val="24"/>
              </w:rPr>
            </w:pPr>
          </w:p>
        </w:tc>
      </w:tr>
      <w:tr w14:paraId="3DC4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9" w:type="dxa"/>
            <w:tcBorders>
              <w:left w:val="single" w:color="auto" w:sz="4" w:space="0"/>
              <w:right w:val="single" w:color="auto" w:sz="4" w:space="0"/>
            </w:tcBorders>
            <w:noWrap w:val="0"/>
            <w:vAlign w:val="center"/>
          </w:tcPr>
          <w:p w14:paraId="34F5A8C6">
            <w:pPr>
              <w:tabs>
                <w:tab w:val="left" w:pos="0"/>
              </w:tabs>
              <w:spacing w:line="360" w:lineRule="auto"/>
              <w:ind w:firstLine="240" w:firstLineChars="100"/>
              <w:jc w:val="left"/>
              <w:rPr>
                <w:rFonts w:hint="eastAsia" w:ascii="宋体" w:hAnsi="宋体" w:cs="宋体"/>
                <w:kern w:val="0"/>
                <w:sz w:val="24"/>
              </w:rPr>
            </w:pPr>
            <w:r>
              <w:rPr>
                <w:rFonts w:hint="eastAsia" w:ascii="宋体" w:hAnsi="宋体" w:cs="宋体"/>
                <w:kern w:val="0"/>
                <w:sz w:val="24"/>
              </w:rPr>
              <w:t>9</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68296C64">
            <w:pPr>
              <w:tabs>
                <w:tab w:val="left" w:pos="0"/>
              </w:tabs>
              <w:spacing w:line="360" w:lineRule="auto"/>
              <w:ind w:firstLine="480"/>
              <w:rPr>
                <w:rFonts w:hint="eastAsia" w:ascii="宋体" w:hAnsi="宋体" w:cs="宋体"/>
                <w:b/>
                <w:bCs/>
                <w:kern w:val="0"/>
                <w:sz w:val="24"/>
                <w:lang w:val="zh-CN"/>
              </w:rPr>
            </w:pPr>
            <w:r>
              <w:rPr>
                <w:rFonts w:hint="eastAsia" w:ascii="宋体" w:hAnsi="宋体" w:cs="宋体"/>
                <w:b/>
                <w:bCs/>
                <w:kern w:val="0"/>
                <w:sz w:val="24"/>
                <w:lang w:val="zh-CN"/>
              </w:rPr>
              <w:t>上线测试方案及措施：</w:t>
            </w:r>
          </w:p>
          <w:p w14:paraId="1807E88E">
            <w:pPr>
              <w:tabs>
                <w:tab w:val="left" w:pos="0"/>
              </w:tabs>
              <w:spacing w:line="360" w:lineRule="auto"/>
              <w:ind w:firstLine="480"/>
              <w:rPr>
                <w:rFonts w:hint="eastAsia" w:ascii="宋体" w:hAnsi="宋体" w:cs="宋体"/>
                <w:kern w:val="0"/>
                <w:sz w:val="24"/>
                <w:lang w:val="zh-CN"/>
              </w:rPr>
            </w:pPr>
            <w:r>
              <w:rPr>
                <w:rFonts w:hint="eastAsia" w:ascii="宋体" w:hAnsi="宋体" w:cs="宋体"/>
                <w:kern w:val="0"/>
                <w:sz w:val="24"/>
                <w:lang w:val="zh-CN"/>
              </w:rPr>
              <w:t>投标人对系统上线测试方案及各项措施提出的阐述科学合理、切实全面的得</w:t>
            </w:r>
            <w:r>
              <w:rPr>
                <w:rFonts w:hint="eastAsia" w:ascii="宋体" w:hAnsi="宋体" w:cs="宋体"/>
                <w:kern w:val="0"/>
                <w:sz w:val="24"/>
              </w:rPr>
              <w:t>5分；较为科学可行的得3分；</w:t>
            </w:r>
            <w:r>
              <w:rPr>
                <w:rFonts w:hint="eastAsia" w:ascii="宋体" w:hAnsi="宋体" w:cs="宋体"/>
                <w:kern w:val="0"/>
                <w:sz w:val="24"/>
                <w:lang w:val="zh-CN"/>
              </w:rPr>
              <w:t>方案及措施存在缺失的得</w:t>
            </w:r>
            <w:r>
              <w:rPr>
                <w:rFonts w:hint="eastAsia" w:ascii="宋体" w:hAnsi="宋体" w:cs="宋体"/>
                <w:kern w:val="0"/>
                <w:sz w:val="24"/>
              </w:rPr>
              <w:t>1分；未提供不得分。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2D7E463E">
            <w:pPr>
              <w:tabs>
                <w:tab w:val="left" w:pos="0"/>
              </w:tabs>
              <w:spacing w:line="360" w:lineRule="auto"/>
              <w:jc w:val="center"/>
              <w:rPr>
                <w:rFonts w:hint="eastAsia" w:ascii="宋体" w:hAnsi="宋体" w:cs="宋体"/>
                <w:kern w:val="0"/>
                <w:sz w:val="24"/>
              </w:rPr>
            </w:pPr>
            <w:r>
              <w:rPr>
                <w:rFonts w:hint="eastAsia" w:ascii="宋体" w:hAnsi="宋体" w:cs="宋体"/>
                <w:kern w:val="0"/>
                <w:sz w:val="24"/>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694D934">
            <w:pPr>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4B86C59C">
            <w:pPr>
              <w:spacing w:line="360" w:lineRule="auto"/>
              <w:jc w:val="center"/>
              <w:rPr>
                <w:rFonts w:hint="eastAsia" w:ascii="宋体" w:hAnsi="宋体" w:cs="宋体"/>
                <w:kern w:val="0"/>
                <w:sz w:val="24"/>
              </w:rPr>
            </w:pPr>
          </w:p>
        </w:tc>
      </w:tr>
      <w:tr w14:paraId="08FB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9" w:type="dxa"/>
            <w:tcBorders>
              <w:left w:val="single" w:color="auto" w:sz="4" w:space="0"/>
              <w:right w:val="single" w:color="auto" w:sz="4" w:space="0"/>
            </w:tcBorders>
            <w:noWrap w:val="0"/>
            <w:vAlign w:val="center"/>
          </w:tcPr>
          <w:p w14:paraId="3AEBC749">
            <w:pPr>
              <w:tabs>
                <w:tab w:val="left" w:pos="0"/>
              </w:tabs>
              <w:spacing w:line="360" w:lineRule="auto"/>
              <w:ind w:firstLine="240" w:firstLineChars="100"/>
              <w:jc w:val="left"/>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0</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17EF10E7">
            <w:pPr>
              <w:tabs>
                <w:tab w:val="left" w:pos="0"/>
              </w:tabs>
              <w:spacing w:line="360" w:lineRule="auto"/>
              <w:ind w:firstLine="480"/>
              <w:rPr>
                <w:rFonts w:hint="eastAsia" w:ascii="宋体" w:hAnsi="宋体" w:cs="宋体"/>
                <w:b/>
                <w:bCs/>
                <w:kern w:val="0"/>
                <w:sz w:val="24"/>
              </w:rPr>
            </w:pPr>
            <w:r>
              <w:rPr>
                <w:rFonts w:hint="eastAsia" w:ascii="宋体" w:hAnsi="宋体" w:cs="宋体"/>
                <w:b/>
                <w:bCs/>
                <w:kern w:val="0"/>
                <w:sz w:val="24"/>
              </w:rPr>
              <w:t>试运行方案及措施：</w:t>
            </w:r>
          </w:p>
          <w:p w14:paraId="71FD2668">
            <w:pPr>
              <w:tabs>
                <w:tab w:val="left" w:pos="0"/>
              </w:tabs>
              <w:spacing w:line="360" w:lineRule="auto"/>
              <w:ind w:firstLine="480"/>
              <w:rPr>
                <w:rFonts w:hint="eastAsia" w:ascii="宋体" w:hAnsi="宋体" w:cs="宋体"/>
                <w:kern w:val="0"/>
                <w:sz w:val="24"/>
                <w:lang w:val="zh-CN"/>
              </w:rPr>
            </w:pPr>
            <w:r>
              <w:rPr>
                <w:rFonts w:hint="eastAsia" w:ascii="宋体" w:hAnsi="宋体" w:cs="宋体"/>
                <w:kern w:val="0"/>
                <w:sz w:val="24"/>
                <w:lang w:val="zh-CN"/>
              </w:rPr>
              <w:t>投标人</w:t>
            </w:r>
            <w:r>
              <w:rPr>
                <w:rFonts w:hint="eastAsia" w:ascii="宋体" w:hAnsi="宋体" w:cs="宋体"/>
                <w:kern w:val="0"/>
                <w:sz w:val="24"/>
              </w:rPr>
              <w:t>对系统试运行管理及各项措施</w:t>
            </w:r>
            <w:r>
              <w:rPr>
                <w:rFonts w:hint="eastAsia" w:ascii="宋体" w:hAnsi="宋体" w:cs="宋体"/>
                <w:kern w:val="0"/>
                <w:sz w:val="24"/>
                <w:lang w:val="zh-CN"/>
              </w:rPr>
              <w:t>提出的阐述科学合理、切实全面的得</w:t>
            </w:r>
            <w:r>
              <w:rPr>
                <w:rFonts w:hint="eastAsia" w:ascii="宋体" w:hAnsi="宋体" w:cs="宋体"/>
                <w:kern w:val="0"/>
                <w:sz w:val="24"/>
              </w:rPr>
              <w:t>5分；较为科学可行的得3分；</w:t>
            </w:r>
            <w:r>
              <w:rPr>
                <w:rFonts w:hint="eastAsia" w:ascii="宋体" w:hAnsi="宋体" w:cs="宋体"/>
                <w:kern w:val="0"/>
                <w:sz w:val="24"/>
                <w:lang w:val="zh-CN"/>
              </w:rPr>
              <w:t>方案及措施存在缺失的得</w:t>
            </w:r>
            <w:r>
              <w:rPr>
                <w:rFonts w:hint="eastAsia" w:ascii="宋体" w:hAnsi="宋体" w:cs="宋体"/>
                <w:kern w:val="0"/>
                <w:sz w:val="24"/>
              </w:rPr>
              <w:t>1分；未提供不得分。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0DDF494F">
            <w:pPr>
              <w:tabs>
                <w:tab w:val="left" w:pos="0"/>
              </w:tabs>
              <w:spacing w:line="360" w:lineRule="auto"/>
              <w:jc w:val="center"/>
              <w:rPr>
                <w:rFonts w:hint="eastAsia" w:ascii="宋体" w:hAnsi="宋体" w:cs="宋体"/>
                <w:kern w:val="0"/>
                <w:sz w:val="24"/>
              </w:rPr>
            </w:pPr>
            <w:r>
              <w:rPr>
                <w:rFonts w:hint="eastAsia" w:ascii="宋体" w:hAnsi="宋体" w:cs="宋体"/>
                <w:kern w:val="0"/>
                <w:sz w:val="24"/>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E3EFD8F">
            <w:pPr>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46939A64">
            <w:pPr>
              <w:spacing w:line="360" w:lineRule="auto"/>
              <w:jc w:val="center"/>
              <w:rPr>
                <w:rFonts w:hint="eastAsia" w:ascii="宋体" w:hAnsi="宋体" w:cs="宋体"/>
                <w:kern w:val="0"/>
                <w:sz w:val="24"/>
              </w:rPr>
            </w:pPr>
          </w:p>
        </w:tc>
      </w:tr>
      <w:tr w14:paraId="6C9D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9" w:type="dxa"/>
            <w:tcBorders>
              <w:left w:val="single" w:color="auto" w:sz="4" w:space="0"/>
              <w:right w:val="single" w:color="auto" w:sz="4" w:space="0"/>
            </w:tcBorders>
            <w:noWrap w:val="0"/>
            <w:vAlign w:val="center"/>
          </w:tcPr>
          <w:p w14:paraId="5109BE80">
            <w:pPr>
              <w:tabs>
                <w:tab w:val="left" w:pos="0"/>
              </w:tabs>
              <w:spacing w:line="360" w:lineRule="auto"/>
              <w:ind w:firstLine="240" w:firstLineChars="100"/>
              <w:jc w:val="left"/>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1</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45AEEC55">
            <w:pPr>
              <w:tabs>
                <w:tab w:val="left" w:pos="0"/>
              </w:tabs>
              <w:spacing w:line="360" w:lineRule="auto"/>
              <w:ind w:firstLine="480"/>
              <w:rPr>
                <w:rFonts w:hint="eastAsia" w:ascii="宋体" w:hAnsi="宋体" w:cs="宋体"/>
                <w:b/>
                <w:bCs/>
                <w:kern w:val="0"/>
                <w:sz w:val="24"/>
              </w:rPr>
            </w:pPr>
            <w:r>
              <w:rPr>
                <w:rFonts w:hint="eastAsia" w:ascii="宋体" w:hAnsi="宋体" w:cs="宋体"/>
                <w:b/>
                <w:bCs/>
                <w:kern w:val="0"/>
                <w:sz w:val="24"/>
              </w:rPr>
              <w:t>培训方案：</w:t>
            </w:r>
          </w:p>
          <w:p w14:paraId="2BBD608A">
            <w:pPr>
              <w:tabs>
                <w:tab w:val="left" w:pos="0"/>
              </w:tabs>
              <w:spacing w:line="360" w:lineRule="auto"/>
              <w:ind w:firstLine="480"/>
              <w:rPr>
                <w:rFonts w:hint="eastAsia" w:ascii="宋体" w:hAnsi="宋体" w:cs="宋体"/>
                <w:kern w:val="0"/>
                <w:sz w:val="24"/>
                <w:lang w:val="zh-CN"/>
              </w:rPr>
            </w:pPr>
            <w:r>
              <w:rPr>
                <w:rFonts w:hint="eastAsia" w:ascii="宋体" w:hAnsi="宋体" w:cs="宋体"/>
                <w:kern w:val="0"/>
                <w:sz w:val="24"/>
              </w:rPr>
              <w:t>包括但不限于培训内容、培训频次、培训目标、培训形式等阐述（技术培训内容要求至少包括应用开发培训、系统管理培训、系统运行维护培训）</w:t>
            </w:r>
            <w:r>
              <w:rPr>
                <w:rFonts w:hint="eastAsia" w:ascii="宋体" w:hAnsi="宋体" w:cs="宋体"/>
                <w:kern w:val="0"/>
                <w:sz w:val="24"/>
                <w:lang w:val="zh-CN"/>
              </w:rPr>
              <w:t>科学合理、切实全面的得</w:t>
            </w:r>
            <w:r>
              <w:rPr>
                <w:rFonts w:hint="eastAsia" w:ascii="宋体" w:hAnsi="宋体" w:cs="宋体"/>
                <w:kern w:val="0"/>
                <w:sz w:val="24"/>
              </w:rPr>
              <w:t>5分；较为科学可行的得3分；</w:t>
            </w:r>
            <w:r>
              <w:rPr>
                <w:rFonts w:hint="eastAsia" w:ascii="宋体" w:hAnsi="宋体" w:cs="宋体"/>
                <w:kern w:val="0"/>
                <w:sz w:val="24"/>
                <w:lang w:val="zh-CN"/>
              </w:rPr>
              <w:t>方案存在缺失的得</w:t>
            </w:r>
            <w:r>
              <w:rPr>
                <w:rFonts w:hint="eastAsia" w:ascii="宋体" w:hAnsi="宋体" w:cs="宋体"/>
                <w:kern w:val="0"/>
                <w:sz w:val="24"/>
              </w:rPr>
              <w:t>1分；未提供不得分。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01233110">
            <w:pPr>
              <w:tabs>
                <w:tab w:val="left" w:pos="0"/>
              </w:tabs>
              <w:spacing w:line="360" w:lineRule="auto"/>
              <w:jc w:val="center"/>
              <w:rPr>
                <w:rFonts w:hint="eastAsia" w:ascii="宋体" w:hAnsi="宋体" w:cs="宋体"/>
                <w:kern w:val="0"/>
                <w:sz w:val="24"/>
              </w:rPr>
            </w:pPr>
            <w:r>
              <w:rPr>
                <w:rFonts w:hint="eastAsia" w:ascii="宋体" w:hAnsi="宋体" w:cs="宋体"/>
                <w:kern w:val="0"/>
                <w:sz w:val="24"/>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2F16D8C">
            <w:pPr>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0CD08355">
            <w:pPr>
              <w:spacing w:line="360" w:lineRule="auto"/>
              <w:jc w:val="center"/>
              <w:rPr>
                <w:rFonts w:hint="eastAsia" w:ascii="宋体" w:hAnsi="宋体" w:cs="宋体"/>
                <w:kern w:val="0"/>
                <w:sz w:val="24"/>
              </w:rPr>
            </w:pPr>
          </w:p>
        </w:tc>
      </w:tr>
      <w:tr w14:paraId="74B0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79" w:type="dxa"/>
            <w:tcBorders>
              <w:left w:val="single" w:color="auto" w:sz="4" w:space="0"/>
              <w:right w:val="single" w:color="auto" w:sz="4" w:space="0"/>
            </w:tcBorders>
            <w:noWrap w:val="0"/>
            <w:vAlign w:val="center"/>
          </w:tcPr>
          <w:p w14:paraId="57CE1429">
            <w:pPr>
              <w:tabs>
                <w:tab w:val="left" w:pos="0"/>
              </w:tabs>
              <w:spacing w:line="360" w:lineRule="auto"/>
              <w:ind w:firstLine="240" w:firstLineChars="100"/>
              <w:jc w:val="left"/>
              <w:rPr>
                <w:rFonts w:hint="eastAsia" w:ascii="宋体" w:hAnsi="宋体" w:cs="宋体"/>
                <w:kern w:val="0"/>
                <w:sz w:val="24"/>
              </w:rPr>
            </w:pPr>
            <w:r>
              <w:rPr>
                <w:rFonts w:hint="eastAsia" w:ascii="宋体" w:hAnsi="宋体" w:cs="宋体"/>
                <w:kern w:val="0"/>
                <w:sz w:val="24"/>
              </w:rPr>
              <w:t>12</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25967899">
            <w:pPr>
              <w:tabs>
                <w:tab w:val="left" w:pos="0"/>
              </w:tabs>
              <w:spacing w:line="360" w:lineRule="auto"/>
              <w:ind w:firstLine="480"/>
              <w:jc w:val="left"/>
              <w:rPr>
                <w:rFonts w:ascii="宋体" w:hAnsi="宋体" w:cs="宋体"/>
                <w:b/>
                <w:sz w:val="24"/>
              </w:rPr>
            </w:pPr>
            <w:r>
              <w:rPr>
                <w:rFonts w:ascii="宋体" w:hAnsi="宋体" w:cs="宋体"/>
                <w:b/>
                <w:sz w:val="24"/>
              </w:rPr>
              <w:t>项目实施团队：</w:t>
            </w:r>
          </w:p>
          <w:p w14:paraId="12BC2DA7">
            <w:pPr>
              <w:tabs>
                <w:tab w:val="left" w:pos="0"/>
              </w:tabs>
              <w:spacing w:line="360" w:lineRule="auto"/>
              <w:ind w:firstLine="480"/>
              <w:jc w:val="left"/>
              <w:rPr>
                <w:rFonts w:hint="eastAsia" w:ascii="宋体" w:hAnsi="宋体" w:cs="宋体"/>
                <w:sz w:val="24"/>
              </w:rPr>
            </w:pPr>
            <w:r>
              <w:rPr>
                <w:rFonts w:hint="eastAsia" w:ascii="宋体" w:hAnsi="宋体"/>
                <w:sz w:val="24"/>
                <w:szCs w:val="20"/>
              </w:rPr>
              <w:t>项目实施管理人员，人员配置合理、齐全、数量充足，经验丰富的得5分；人员数量基本满足需求，经验一般得3分；人员数量偏少，经验不丰富得1分；其余不得分。</w:t>
            </w:r>
            <w:r>
              <w:rPr>
                <w:rFonts w:hint="eastAsia" w:ascii="宋体" w:hAnsi="宋体" w:cs="宋体"/>
                <w:sz w:val="24"/>
              </w:rPr>
              <w:t>（提供项目组成员证书扫描件加盖公章和投标人为其缴纳的近三个月内任一一个月社保证明，不符合要求不得分。）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2ABC2CE7">
            <w:pPr>
              <w:tabs>
                <w:tab w:val="left" w:pos="0"/>
              </w:tabs>
              <w:spacing w:line="360" w:lineRule="auto"/>
              <w:jc w:val="center"/>
              <w:rPr>
                <w:rFonts w:ascii="宋体" w:hAnsi="宋体" w:cs="宋体"/>
                <w:kern w:val="0"/>
                <w:sz w:val="24"/>
              </w:rPr>
            </w:pPr>
            <w:r>
              <w:rPr>
                <w:rFonts w:hint="eastAsia" w:ascii="宋体" w:hAnsi="宋体" w:cs="宋体"/>
                <w:kern w:val="0"/>
                <w:sz w:val="24"/>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9FD7465">
            <w:pPr>
              <w:tabs>
                <w:tab w:val="left" w:pos="0"/>
              </w:tabs>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295648DA">
            <w:pPr>
              <w:tabs>
                <w:tab w:val="left" w:pos="0"/>
              </w:tabs>
              <w:spacing w:line="360" w:lineRule="auto"/>
              <w:jc w:val="center"/>
              <w:rPr>
                <w:rFonts w:hint="eastAsia" w:ascii="宋体" w:hAnsi="宋体" w:cs="宋体"/>
                <w:kern w:val="0"/>
                <w:sz w:val="24"/>
              </w:rPr>
            </w:pPr>
          </w:p>
        </w:tc>
      </w:tr>
      <w:tr w14:paraId="11D2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79" w:type="dxa"/>
            <w:tcBorders>
              <w:left w:val="single" w:color="auto" w:sz="4" w:space="0"/>
              <w:right w:val="single" w:color="auto" w:sz="4" w:space="0"/>
            </w:tcBorders>
            <w:noWrap w:val="0"/>
            <w:vAlign w:val="center"/>
          </w:tcPr>
          <w:p w14:paraId="48222F0F">
            <w:pPr>
              <w:tabs>
                <w:tab w:val="left" w:pos="0"/>
              </w:tabs>
              <w:spacing w:line="360" w:lineRule="auto"/>
              <w:ind w:firstLine="240" w:firstLineChars="100"/>
              <w:jc w:val="left"/>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3</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3FE80FF9">
            <w:pPr>
              <w:tabs>
                <w:tab w:val="left" w:pos="0"/>
              </w:tabs>
              <w:spacing w:line="360" w:lineRule="auto"/>
              <w:ind w:firstLine="480"/>
              <w:jc w:val="left"/>
              <w:rPr>
                <w:rFonts w:ascii="宋体" w:hAnsi="宋体" w:cs="宋体"/>
                <w:b/>
                <w:bCs/>
                <w:sz w:val="24"/>
              </w:rPr>
            </w:pPr>
            <w:r>
              <w:rPr>
                <w:rFonts w:hint="eastAsia" w:ascii="宋体" w:hAnsi="宋体" w:cs="宋体"/>
                <w:b/>
                <w:bCs/>
                <w:sz w:val="24"/>
              </w:rPr>
              <w:t>系统日常运维保障方案及系统故障及时排除对策：</w:t>
            </w:r>
          </w:p>
          <w:p w14:paraId="7B786682">
            <w:pPr>
              <w:tabs>
                <w:tab w:val="left" w:pos="0"/>
              </w:tabs>
              <w:spacing w:line="360" w:lineRule="auto"/>
              <w:ind w:firstLine="480"/>
              <w:jc w:val="left"/>
              <w:rPr>
                <w:rFonts w:hint="eastAsia" w:ascii="宋体" w:hAnsi="宋体" w:cs="宋体"/>
                <w:sz w:val="24"/>
              </w:rPr>
            </w:pPr>
            <w:r>
              <w:rPr>
                <w:rFonts w:hint="eastAsia" w:ascii="宋体" w:hAnsi="宋体" w:cs="宋体"/>
                <w:sz w:val="24"/>
              </w:rPr>
              <w:t>方案和对策详细完善，合理可行，针对性强、具有可操作性、得</w:t>
            </w:r>
            <w:r>
              <w:rPr>
                <w:rFonts w:ascii="宋体" w:hAnsi="宋体" w:cs="宋体"/>
                <w:sz w:val="24"/>
              </w:rPr>
              <w:t>5</w:t>
            </w:r>
            <w:r>
              <w:rPr>
                <w:rFonts w:hint="eastAsia" w:ascii="宋体" w:hAnsi="宋体" w:cs="宋体"/>
                <w:sz w:val="24"/>
              </w:rPr>
              <w:t>分；方案和对策较详细、安排较合理、有一定针对性、操作性一般得</w:t>
            </w:r>
            <w:r>
              <w:rPr>
                <w:rFonts w:ascii="宋体" w:hAnsi="宋体" w:cs="宋体"/>
                <w:sz w:val="24"/>
              </w:rPr>
              <w:t>3</w:t>
            </w:r>
            <w:r>
              <w:rPr>
                <w:rFonts w:hint="eastAsia" w:ascii="宋体" w:hAnsi="宋体" w:cs="宋体"/>
                <w:sz w:val="24"/>
              </w:rPr>
              <w:t xml:space="preserve">分；方案和对策内容简单、缺乏针对性、操作性差的得 </w:t>
            </w:r>
            <w:r>
              <w:rPr>
                <w:rFonts w:ascii="宋体" w:hAnsi="宋体" w:cs="宋体"/>
                <w:sz w:val="24"/>
              </w:rPr>
              <w:t>1</w:t>
            </w:r>
            <w:r>
              <w:rPr>
                <w:rFonts w:hint="eastAsia" w:ascii="宋体" w:hAnsi="宋体" w:cs="宋体"/>
                <w:sz w:val="24"/>
              </w:rPr>
              <w:t>分；未提供不得分。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4180FBF5">
            <w:pPr>
              <w:tabs>
                <w:tab w:val="left" w:pos="0"/>
              </w:tabs>
              <w:spacing w:line="360" w:lineRule="auto"/>
              <w:jc w:val="center"/>
              <w:rPr>
                <w:rFonts w:hint="eastAsia" w:ascii="宋体" w:hAnsi="宋体" w:cs="宋体"/>
                <w:kern w:val="0"/>
                <w:sz w:val="24"/>
              </w:rPr>
            </w:pPr>
            <w:r>
              <w:rPr>
                <w:rFonts w:ascii="宋体" w:hAnsi="宋体" w:cs="宋体"/>
                <w:kern w:val="0"/>
                <w:sz w:val="24"/>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38A7BBD">
            <w:pPr>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50E52686">
            <w:pPr>
              <w:spacing w:line="360" w:lineRule="auto"/>
              <w:jc w:val="center"/>
              <w:rPr>
                <w:rFonts w:hint="eastAsia" w:ascii="宋体" w:hAnsi="宋体" w:cs="宋体"/>
                <w:kern w:val="0"/>
                <w:sz w:val="24"/>
              </w:rPr>
            </w:pPr>
          </w:p>
        </w:tc>
      </w:tr>
      <w:tr w14:paraId="7B75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79" w:type="dxa"/>
            <w:tcBorders>
              <w:left w:val="single" w:color="auto" w:sz="4" w:space="0"/>
              <w:right w:val="single" w:color="auto" w:sz="4" w:space="0"/>
            </w:tcBorders>
            <w:noWrap w:val="0"/>
            <w:vAlign w:val="center"/>
          </w:tcPr>
          <w:p w14:paraId="544758AB">
            <w:pPr>
              <w:tabs>
                <w:tab w:val="left" w:pos="0"/>
              </w:tabs>
              <w:spacing w:line="360" w:lineRule="auto"/>
              <w:ind w:firstLine="240" w:firstLineChars="100"/>
              <w:jc w:val="left"/>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4</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40D3FCC3">
            <w:pPr>
              <w:tabs>
                <w:tab w:val="left" w:pos="0"/>
              </w:tabs>
              <w:spacing w:line="360" w:lineRule="auto"/>
              <w:ind w:firstLine="480"/>
              <w:jc w:val="left"/>
              <w:rPr>
                <w:rFonts w:ascii="宋体" w:hAnsi="宋体" w:cs="宋体"/>
                <w:b/>
                <w:bCs/>
                <w:sz w:val="24"/>
              </w:rPr>
            </w:pPr>
            <w:r>
              <w:rPr>
                <w:rFonts w:hint="eastAsia" w:ascii="宋体" w:hAnsi="宋体" w:cs="宋体"/>
                <w:b/>
                <w:bCs/>
                <w:sz w:val="24"/>
              </w:rPr>
              <w:t>项目进度方案：</w:t>
            </w:r>
          </w:p>
          <w:p w14:paraId="10910F38">
            <w:pPr>
              <w:tabs>
                <w:tab w:val="left" w:pos="0"/>
              </w:tabs>
              <w:spacing w:line="360" w:lineRule="auto"/>
              <w:ind w:firstLine="480"/>
              <w:jc w:val="left"/>
              <w:rPr>
                <w:rFonts w:hint="eastAsia" w:ascii="宋体" w:hAnsi="宋体" w:cs="宋体"/>
                <w:sz w:val="24"/>
              </w:rPr>
            </w:pPr>
            <w:r>
              <w:rPr>
                <w:rFonts w:hint="eastAsia" w:ascii="宋体" w:hAnsi="宋体" w:cs="宋体"/>
                <w:sz w:val="24"/>
              </w:rPr>
              <w:t>进度方案详细完善，合理可行，针对性强、具有可操作性的得5分；进度方案较详细、安排较合理、有一定针对性、操作性一般的得3分；进度方案内容简单、缺乏针对性、操作性差的得1分；未提供不得分。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0AC1D16E">
            <w:pPr>
              <w:tabs>
                <w:tab w:val="left" w:pos="0"/>
              </w:tabs>
              <w:spacing w:line="360" w:lineRule="auto"/>
              <w:jc w:val="center"/>
              <w:rPr>
                <w:rFonts w:hint="eastAsia" w:ascii="宋体" w:hAnsi="宋体" w:cs="宋体"/>
                <w:kern w:val="0"/>
                <w:sz w:val="24"/>
              </w:rPr>
            </w:pPr>
            <w:r>
              <w:rPr>
                <w:rFonts w:hint="eastAsia" w:ascii="宋体" w:hAnsi="宋体" w:cs="宋体"/>
                <w:kern w:val="0"/>
                <w:sz w:val="24"/>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A8EFA2D">
            <w:pPr>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6387FB9C">
            <w:pPr>
              <w:spacing w:line="360" w:lineRule="auto"/>
              <w:jc w:val="center"/>
              <w:rPr>
                <w:rFonts w:hint="eastAsia" w:ascii="宋体" w:hAnsi="宋体" w:cs="宋体"/>
                <w:kern w:val="0"/>
                <w:sz w:val="24"/>
              </w:rPr>
            </w:pPr>
          </w:p>
        </w:tc>
      </w:tr>
      <w:tr w14:paraId="41C7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79" w:type="dxa"/>
            <w:tcBorders>
              <w:left w:val="single" w:color="auto" w:sz="4" w:space="0"/>
              <w:right w:val="single" w:color="auto" w:sz="4" w:space="0"/>
            </w:tcBorders>
            <w:noWrap w:val="0"/>
            <w:vAlign w:val="center"/>
          </w:tcPr>
          <w:p w14:paraId="372769D3">
            <w:pPr>
              <w:tabs>
                <w:tab w:val="left" w:pos="0"/>
              </w:tabs>
              <w:spacing w:line="360" w:lineRule="auto"/>
              <w:ind w:firstLine="240" w:firstLineChars="100"/>
              <w:jc w:val="left"/>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5</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36F3FE60">
            <w:pPr>
              <w:tabs>
                <w:tab w:val="left" w:pos="0"/>
              </w:tabs>
              <w:spacing w:line="360" w:lineRule="auto"/>
              <w:ind w:firstLine="480"/>
              <w:jc w:val="left"/>
              <w:rPr>
                <w:rFonts w:hint="eastAsia" w:ascii="宋体" w:hAnsi="宋体" w:cs="宋体"/>
                <w:b/>
                <w:bCs/>
                <w:sz w:val="24"/>
              </w:rPr>
            </w:pPr>
            <w:r>
              <w:rPr>
                <w:rFonts w:hint="eastAsia" w:ascii="宋体" w:hAnsi="宋体" w:cs="宋体"/>
                <w:b/>
                <w:bCs/>
                <w:sz w:val="24"/>
              </w:rPr>
              <w:t>项目安装、调试、验收的方案和措施：</w:t>
            </w:r>
          </w:p>
          <w:p w14:paraId="278C9D53">
            <w:pPr>
              <w:tabs>
                <w:tab w:val="left" w:pos="0"/>
              </w:tabs>
              <w:spacing w:line="360" w:lineRule="auto"/>
              <w:ind w:firstLine="480"/>
              <w:jc w:val="left"/>
              <w:rPr>
                <w:rFonts w:hint="eastAsia" w:ascii="宋体" w:hAnsi="宋体" w:cs="宋体"/>
                <w:sz w:val="24"/>
              </w:rPr>
            </w:pPr>
            <w:r>
              <w:rPr>
                <w:rFonts w:hint="eastAsia" w:ascii="宋体" w:hAnsi="宋体" w:cs="宋体"/>
                <w:sz w:val="24"/>
              </w:rPr>
              <w:t>安装、调试、验收的方案和措施详细完善，合理可行，针对性强、具有可操作性的得5分；安装、调试、验收的方案和措施较详细、安排较合理、有一定针对性、操作性一般的得3分；安装、调试、验收的方案和措施内容简单、缺乏针对性、操作性差的得1分，未提供不得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524B17F4">
            <w:pPr>
              <w:tabs>
                <w:tab w:val="left" w:pos="0"/>
              </w:tabs>
              <w:spacing w:line="360" w:lineRule="auto"/>
              <w:jc w:val="center"/>
              <w:rPr>
                <w:rFonts w:hint="eastAsia" w:ascii="宋体" w:hAnsi="宋体" w:cs="宋体"/>
                <w:kern w:val="0"/>
                <w:sz w:val="24"/>
              </w:rPr>
            </w:pPr>
            <w:r>
              <w:rPr>
                <w:rFonts w:hint="eastAsia" w:ascii="宋体" w:hAnsi="宋体" w:cs="宋体"/>
                <w:kern w:val="0"/>
                <w:sz w:val="24"/>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31DB989">
            <w:pPr>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47370FEC">
            <w:pPr>
              <w:spacing w:line="360" w:lineRule="auto"/>
              <w:jc w:val="center"/>
              <w:rPr>
                <w:rFonts w:hint="eastAsia" w:ascii="宋体" w:hAnsi="宋体" w:cs="宋体"/>
                <w:kern w:val="0"/>
                <w:sz w:val="24"/>
              </w:rPr>
            </w:pPr>
          </w:p>
        </w:tc>
      </w:tr>
      <w:tr w14:paraId="4581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79" w:type="dxa"/>
            <w:tcBorders>
              <w:left w:val="single" w:color="auto" w:sz="4" w:space="0"/>
              <w:right w:val="single" w:color="auto" w:sz="4" w:space="0"/>
            </w:tcBorders>
            <w:noWrap w:val="0"/>
            <w:vAlign w:val="center"/>
          </w:tcPr>
          <w:p w14:paraId="4571BAC6">
            <w:pPr>
              <w:tabs>
                <w:tab w:val="left" w:pos="0"/>
              </w:tabs>
              <w:spacing w:line="360" w:lineRule="auto"/>
              <w:ind w:firstLine="240" w:firstLineChars="100"/>
              <w:jc w:val="left"/>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6</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4B7DBCFD">
            <w:pPr>
              <w:tabs>
                <w:tab w:val="left" w:pos="0"/>
              </w:tabs>
              <w:spacing w:line="360" w:lineRule="auto"/>
              <w:ind w:firstLine="480"/>
              <w:jc w:val="left"/>
              <w:rPr>
                <w:rFonts w:ascii="宋体" w:hAnsi="宋体" w:cs="宋体"/>
                <w:b/>
                <w:bCs/>
                <w:sz w:val="24"/>
              </w:rPr>
            </w:pPr>
            <w:r>
              <w:rPr>
                <w:rFonts w:hint="eastAsia" w:ascii="宋体" w:hAnsi="宋体" w:cs="宋体"/>
                <w:b/>
                <w:bCs/>
                <w:sz w:val="24"/>
              </w:rPr>
              <w:t>安全方案：</w:t>
            </w:r>
          </w:p>
          <w:p w14:paraId="40458A9E">
            <w:pPr>
              <w:tabs>
                <w:tab w:val="left" w:pos="0"/>
              </w:tabs>
              <w:spacing w:line="360" w:lineRule="auto"/>
              <w:ind w:firstLine="480"/>
              <w:jc w:val="left"/>
              <w:rPr>
                <w:rFonts w:ascii="宋体" w:hAnsi="宋体" w:cs="宋体"/>
                <w:b/>
                <w:bCs/>
                <w:sz w:val="24"/>
              </w:rPr>
            </w:pPr>
            <w:r>
              <w:rPr>
                <w:rFonts w:hint="eastAsia" w:ascii="宋体" w:hAnsi="宋体" w:cs="宋体"/>
                <w:sz w:val="24"/>
              </w:rPr>
              <w:t>对系统的应用安全、隐私保护方面提出了切实可行的措施和解决方案得5分；安全方案较为科学合理的得3分；安全方案存在偏离的得1分；未提供不得分。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6D5CBD98">
            <w:pPr>
              <w:tabs>
                <w:tab w:val="left" w:pos="0"/>
              </w:tabs>
              <w:spacing w:line="360" w:lineRule="auto"/>
              <w:jc w:val="center"/>
              <w:rPr>
                <w:rFonts w:ascii="宋体" w:hAnsi="宋体" w:cs="宋体"/>
                <w:kern w:val="0"/>
                <w:sz w:val="24"/>
              </w:rPr>
            </w:pPr>
            <w:r>
              <w:rPr>
                <w:rFonts w:hint="eastAsia" w:ascii="宋体" w:hAnsi="宋体" w:cs="宋体"/>
                <w:kern w:val="0"/>
                <w:sz w:val="24"/>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9316C28">
            <w:pPr>
              <w:spacing w:line="360" w:lineRule="auto"/>
              <w:jc w:val="center"/>
              <w:rPr>
                <w:rFonts w:ascii="宋体" w:hAnsi="宋体" w:cs="宋体"/>
                <w:kern w:val="0"/>
                <w:sz w:val="24"/>
              </w:rPr>
            </w:pPr>
            <w:r>
              <w:rPr>
                <w:rFonts w:hint="eastAsia" w:ascii="宋体" w:hAnsi="宋体" w:cs="宋体"/>
                <w:kern w:val="0"/>
                <w:sz w:val="24"/>
              </w:rPr>
              <w:t>主观分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04A5B2A4">
            <w:pPr>
              <w:spacing w:line="360" w:lineRule="auto"/>
              <w:jc w:val="center"/>
              <w:rPr>
                <w:rFonts w:hint="eastAsia" w:ascii="宋体" w:hAnsi="宋体" w:cs="宋体"/>
                <w:kern w:val="0"/>
                <w:sz w:val="24"/>
              </w:rPr>
            </w:pPr>
          </w:p>
        </w:tc>
      </w:tr>
      <w:tr w14:paraId="4659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79" w:type="dxa"/>
            <w:tcBorders>
              <w:left w:val="single" w:color="auto" w:sz="4" w:space="0"/>
              <w:right w:val="single" w:color="auto" w:sz="4" w:space="0"/>
            </w:tcBorders>
            <w:noWrap w:val="0"/>
            <w:vAlign w:val="center"/>
          </w:tcPr>
          <w:p w14:paraId="75E1E613">
            <w:pPr>
              <w:tabs>
                <w:tab w:val="left" w:pos="0"/>
              </w:tabs>
              <w:spacing w:line="360" w:lineRule="auto"/>
              <w:ind w:firstLine="240" w:firstLineChars="100"/>
              <w:jc w:val="left"/>
              <w:rPr>
                <w:rFonts w:ascii="宋体" w:hAnsi="宋体" w:cs="宋体"/>
                <w:kern w:val="0"/>
                <w:sz w:val="24"/>
              </w:rPr>
            </w:pPr>
            <w:r>
              <w:rPr>
                <w:rFonts w:hint="eastAsia" w:ascii="宋体" w:hAnsi="宋体" w:cs="宋体"/>
                <w:kern w:val="0"/>
                <w:sz w:val="24"/>
              </w:rPr>
              <w:t>17</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34B2E1EB">
            <w:pPr>
              <w:tabs>
                <w:tab w:val="left" w:pos="0"/>
              </w:tabs>
              <w:spacing w:line="360" w:lineRule="auto"/>
              <w:ind w:firstLine="480"/>
              <w:jc w:val="left"/>
              <w:rPr>
                <w:rFonts w:hint="eastAsia" w:ascii="宋体" w:hAnsi="宋体" w:cs="宋体"/>
                <w:b/>
                <w:bCs/>
                <w:sz w:val="24"/>
              </w:rPr>
            </w:pPr>
            <w:r>
              <w:rPr>
                <w:rFonts w:hint="eastAsia" w:ascii="宋体" w:hAnsi="宋体" w:cs="宋体"/>
                <w:b/>
                <w:bCs/>
                <w:sz w:val="24"/>
              </w:rPr>
              <w:t>突发事件处理方案：</w:t>
            </w:r>
          </w:p>
          <w:p w14:paraId="25C59AB2">
            <w:pPr>
              <w:tabs>
                <w:tab w:val="left" w:pos="0"/>
              </w:tabs>
              <w:spacing w:line="360" w:lineRule="auto"/>
              <w:ind w:firstLine="480"/>
              <w:jc w:val="left"/>
              <w:rPr>
                <w:rFonts w:hint="eastAsia" w:ascii="宋体" w:hAnsi="宋体" w:cs="宋体"/>
                <w:sz w:val="24"/>
              </w:rPr>
            </w:pPr>
            <w:r>
              <w:rPr>
                <w:rFonts w:hint="eastAsia" w:ascii="宋体" w:hAnsi="宋体" w:cs="宋体"/>
                <w:sz w:val="24"/>
              </w:rPr>
              <w:t>突发事件的响应和处理方案，方案详细、完善、可行的得5分；方案较完整，部分可行的得3分；方案较简略，稍有欠缺的得1分；不详细、不完善的不得分。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335C6224">
            <w:pPr>
              <w:tabs>
                <w:tab w:val="left" w:pos="0"/>
              </w:tabs>
              <w:spacing w:line="360" w:lineRule="auto"/>
              <w:jc w:val="center"/>
              <w:rPr>
                <w:rFonts w:hint="eastAsia" w:ascii="宋体" w:hAnsi="宋体" w:cs="宋体"/>
                <w:kern w:val="0"/>
                <w:sz w:val="24"/>
              </w:rPr>
            </w:pPr>
            <w:r>
              <w:rPr>
                <w:rFonts w:hint="eastAsia" w:ascii="宋体" w:hAnsi="宋体" w:cs="宋体"/>
                <w:kern w:val="0"/>
                <w:sz w:val="24"/>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7510EAEE">
            <w:pPr>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4E05918F">
            <w:pPr>
              <w:spacing w:line="360" w:lineRule="auto"/>
              <w:jc w:val="center"/>
              <w:rPr>
                <w:rFonts w:hint="eastAsia" w:ascii="宋体" w:hAnsi="宋体" w:cs="宋体"/>
                <w:kern w:val="0"/>
                <w:sz w:val="24"/>
              </w:rPr>
            </w:pPr>
          </w:p>
        </w:tc>
      </w:tr>
      <w:tr w14:paraId="53D8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79" w:type="dxa"/>
            <w:tcBorders>
              <w:left w:val="single" w:color="auto" w:sz="4" w:space="0"/>
              <w:right w:val="single" w:color="auto" w:sz="4" w:space="0"/>
            </w:tcBorders>
            <w:noWrap w:val="0"/>
            <w:vAlign w:val="center"/>
          </w:tcPr>
          <w:p w14:paraId="5FEF61CD">
            <w:pPr>
              <w:tabs>
                <w:tab w:val="left" w:pos="0"/>
              </w:tabs>
              <w:spacing w:line="360" w:lineRule="auto"/>
              <w:ind w:firstLine="240" w:firstLineChars="100"/>
              <w:jc w:val="left"/>
              <w:rPr>
                <w:rFonts w:hint="eastAsia" w:ascii="宋体" w:hAnsi="宋体" w:cs="宋体"/>
                <w:kern w:val="0"/>
                <w:sz w:val="24"/>
              </w:rPr>
            </w:pPr>
            <w:r>
              <w:rPr>
                <w:rFonts w:hint="eastAsia" w:ascii="宋体" w:hAnsi="宋体" w:cs="宋体"/>
                <w:kern w:val="0"/>
                <w:sz w:val="24"/>
              </w:rPr>
              <w:t>18</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0AA103A2">
            <w:pPr>
              <w:tabs>
                <w:tab w:val="left" w:pos="0"/>
              </w:tabs>
              <w:spacing w:line="360" w:lineRule="auto"/>
              <w:ind w:firstLine="480"/>
              <w:jc w:val="left"/>
              <w:rPr>
                <w:rFonts w:ascii="宋体" w:hAnsi="宋体" w:cs="宋体"/>
                <w:b/>
                <w:bCs/>
                <w:sz w:val="24"/>
              </w:rPr>
            </w:pPr>
            <w:r>
              <w:rPr>
                <w:rFonts w:hint="eastAsia" w:ascii="宋体" w:hAnsi="宋体" w:cs="宋体"/>
                <w:b/>
                <w:bCs/>
                <w:sz w:val="24"/>
              </w:rPr>
              <w:t>内部管理制度：</w:t>
            </w:r>
          </w:p>
          <w:p w14:paraId="5D4D2DBC">
            <w:pPr>
              <w:tabs>
                <w:tab w:val="left" w:pos="0"/>
              </w:tabs>
              <w:spacing w:line="360" w:lineRule="auto"/>
              <w:ind w:firstLine="480"/>
              <w:jc w:val="left"/>
              <w:rPr>
                <w:rFonts w:ascii="宋体" w:hAnsi="宋体" w:cs="宋体"/>
                <w:sz w:val="24"/>
              </w:rPr>
            </w:pPr>
            <w:r>
              <w:rPr>
                <w:rFonts w:hint="eastAsia" w:ascii="宋体" w:hAnsi="宋体" w:cs="宋体"/>
                <w:sz w:val="24"/>
              </w:rPr>
              <w:t>投标人内部管理制度完整，有详细的工作职责、岗位要求、考核细则的得5分；内部管理制度较为完善的得3分；内部管理制度存在缺失且存在偏离的得1分；未提供不得分。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05BAE24E">
            <w:pPr>
              <w:tabs>
                <w:tab w:val="left" w:pos="0"/>
              </w:tabs>
              <w:spacing w:line="360" w:lineRule="auto"/>
              <w:jc w:val="center"/>
              <w:rPr>
                <w:rFonts w:ascii="宋体" w:hAnsi="宋体" w:cs="宋体"/>
                <w:kern w:val="0"/>
                <w:sz w:val="24"/>
              </w:rPr>
            </w:pPr>
            <w:r>
              <w:rPr>
                <w:rFonts w:hint="eastAsia" w:ascii="宋体" w:hAnsi="宋体" w:cs="宋体"/>
                <w:kern w:val="0"/>
                <w:sz w:val="24"/>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2E2F546">
            <w:pPr>
              <w:spacing w:line="360" w:lineRule="auto"/>
              <w:jc w:val="center"/>
              <w:rPr>
                <w:rFonts w:ascii="宋体" w:hAnsi="宋体" w:cs="宋体"/>
                <w:kern w:val="0"/>
                <w:sz w:val="24"/>
              </w:rPr>
            </w:pPr>
            <w:r>
              <w:rPr>
                <w:rFonts w:hint="eastAsia" w:ascii="宋体" w:hAnsi="宋体" w:cs="宋体"/>
                <w:kern w:val="0"/>
                <w:sz w:val="24"/>
              </w:rPr>
              <w:t>主观分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02F62571">
            <w:pPr>
              <w:spacing w:line="360" w:lineRule="auto"/>
              <w:jc w:val="center"/>
              <w:rPr>
                <w:rFonts w:hint="eastAsia" w:ascii="宋体" w:hAnsi="宋体" w:cs="宋体"/>
                <w:kern w:val="0"/>
                <w:sz w:val="24"/>
              </w:rPr>
            </w:pPr>
          </w:p>
        </w:tc>
      </w:tr>
      <w:tr w14:paraId="0E0B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79" w:type="dxa"/>
            <w:tcBorders>
              <w:left w:val="single" w:color="auto" w:sz="4" w:space="0"/>
              <w:right w:val="single" w:color="auto" w:sz="4" w:space="0"/>
            </w:tcBorders>
            <w:noWrap w:val="0"/>
            <w:vAlign w:val="center"/>
          </w:tcPr>
          <w:p w14:paraId="6372C7C3">
            <w:pPr>
              <w:tabs>
                <w:tab w:val="left" w:pos="0"/>
              </w:tabs>
              <w:spacing w:line="360" w:lineRule="auto"/>
              <w:ind w:firstLine="240" w:firstLineChars="100"/>
              <w:jc w:val="left"/>
              <w:rPr>
                <w:rFonts w:ascii="宋体" w:hAnsi="宋体" w:cs="宋体"/>
                <w:kern w:val="0"/>
                <w:sz w:val="24"/>
              </w:rPr>
            </w:pPr>
            <w:r>
              <w:rPr>
                <w:rFonts w:hint="eastAsia" w:ascii="宋体" w:hAnsi="宋体" w:cs="宋体"/>
                <w:kern w:val="0"/>
                <w:sz w:val="24"/>
              </w:rPr>
              <w:t>19</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1719B746">
            <w:pPr>
              <w:tabs>
                <w:tab w:val="left" w:pos="0"/>
              </w:tabs>
              <w:spacing w:line="360" w:lineRule="auto"/>
              <w:ind w:firstLine="480"/>
              <w:jc w:val="left"/>
              <w:rPr>
                <w:rFonts w:ascii="宋体" w:hAnsi="宋体" w:cs="宋体"/>
                <w:b/>
                <w:bCs/>
                <w:sz w:val="24"/>
              </w:rPr>
            </w:pPr>
            <w:r>
              <w:rPr>
                <w:rFonts w:ascii="宋体" w:hAnsi="宋体" w:cs="宋体"/>
                <w:b/>
                <w:bCs/>
                <w:sz w:val="24"/>
              </w:rPr>
              <w:t>售后服务：</w:t>
            </w:r>
          </w:p>
          <w:p w14:paraId="14428A89">
            <w:pPr>
              <w:tabs>
                <w:tab w:val="left" w:pos="0"/>
              </w:tabs>
              <w:spacing w:line="360" w:lineRule="auto"/>
              <w:ind w:firstLine="480"/>
              <w:jc w:val="left"/>
              <w:rPr>
                <w:rFonts w:ascii="宋体" w:hAnsi="宋体" w:cs="宋体"/>
                <w:sz w:val="24"/>
              </w:rPr>
            </w:pPr>
            <w:r>
              <w:rPr>
                <w:rFonts w:hint="eastAsia" w:ascii="宋体" w:hAnsi="宋体" w:cs="宋体"/>
                <w:bCs/>
                <w:sz w:val="24"/>
              </w:rPr>
              <w:t>承诺</w:t>
            </w:r>
            <w:r>
              <w:rPr>
                <w:rFonts w:hint="eastAsia" w:ascii="宋体" w:hAnsi="宋体" w:cs="宋体"/>
                <w:sz w:val="24"/>
              </w:rPr>
              <w:t>项目验收后提供7*24小时售后技术服务，</w:t>
            </w:r>
            <w:r>
              <w:rPr>
                <w:rFonts w:ascii="宋体" w:hAnsi="宋体" w:cs="宋体"/>
                <w:sz w:val="24"/>
              </w:rPr>
              <w:t>2</w:t>
            </w:r>
            <w:r>
              <w:rPr>
                <w:rFonts w:hint="eastAsia" w:ascii="宋体" w:hAnsi="宋体" w:cs="宋体"/>
                <w:sz w:val="24"/>
              </w:rPr>
              <w:t>小时内做出明确响应和安排，现场响应时间要求是接到用户需求电话后</w:t>
            </w:r>
            <w:r>
              <w:rPr>
                <w:rFonts w:ascii="宋体" w:hAnsi="宋体" w:cs="宋体"/>
                <w:sz w:val="24"/>
              </w:rPr>
              <w:t>4</w:t>
            </w:r>
            <w:r>
              <w:rPr>
                <w:rFonts w:hint="eastAsia" w:ascii="宋体" w:hAnsi="宋体" w:cs="宋体"/>
                <w:sz w:val="24"/>
              </w:rPr>
              <w:t>小时内到达（提供满足要求承诺的得</w:t>
            </w:r>
            <w:r>
              <w:rPr>
                <w:rFonts w:ascii="宋体" w:hAnsi="宋体" w:cs="宋体"/>
                <w:sz w:val="24"/>
              </w:rPr>
              <w:t>5</w:t>
            </w:r>
            <w:r>
              <w:rPr>
                <w:rFonts w:hint="eastAsia" w:ascii="宋体" w:hAnsi="宋体" w:cs="宋体"/>
                <w:sz w:val="24"/>
              </w:rPr>
              <w:t>分，缺内容部分满足得3分，不满足或不提供的不得分）。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77610F30">
            <w:pPr>
              <w:tabs>
                <w:tab w:val="left" w:pos="0"/>
              </w:tabs>
              <w:spacing w:line="360" w:lineRule="auto"/>
              <w:jc w:val="center"/>
              <w:rPr>
                <w:rFonts w:ascii="宋体" w:hAnsi="宋体" w:cs="宋体"/>
                <w:kern w:val="0"/>
                <w:sz w:val="24"/>
              </w:rPr>
            </w:pPr>
            <w:r>
              <w:rPr>
                <w:rFonts w:ascii="宋体" w:hAnsi="宋体" w:cs="宋体"/>
                <w:kern w:val="0"/>
                <w:sz w:val="24"/>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8BA9730">
            <w:pPr>
              <w:spacing w:line="360" w:lineRule="auto"/>
              <w:jc w:val="center"/>
              <w:rPr>
                <w:rFonts w:ascii="宋体" w:hAnsi="宋体" w:cs="宋体"/>
                <w:kern w:val="0"/>
                <w:sz w:val="24"/>
              </w:rPr>
            </w:pPr>
            <w:r>
              <w:rPr>
                <w:rFonts w:hint="eastAsia" w:ascii="宋体" w:hAnsi="宋体" w:cs="宋体"/>
                <w:kern w:val="0"/>
                <w:sz w:val="24"/>
              </w:rPr>
              <w:t>客观分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7FA0A380">
            <w:pPr>
              <w:spacing w:line="360" w:lineRule="auto"/>
              <w:jc w:val="center"/>
              <w:rPr>
                <w:rFonts w:hint="eastAsia" w:ascii="宋体" w:hAnsi="宋体" w:cs="宋体"/>
                <w:kern w:val="0"/>
                <w:sz w:val="24"/>
              </w:rPr>
            </w:pPr>
          </w:p>
        </w:tc>
      </w:tr>
      <w:tr w14:paraId="1FC9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79" w:type="dxa"/>
            <w:tcBorders>
              <w:left w:val="single" w:color="auto" w:sz="4" w:space="0"/>
              <w:right w:val="single" w:color="auto" w:sz="4" w:space="0"/>
            </w:tcBorders>
            <w:noWrap w:val="0"/>
            <w:vAlign w:val="center"/>
          </w:tcPr>
          <w:p w14:paraId="494FC2A7">
            <w:pPr>
              <w:tabs>
                <w:tab w:val="left" w:pos="0"/>
              </w:tabs>
              <w:spacing w:line="360" w:lineRule="auto"/>
              <w:ind w:firstLine="240" w:firstLineChars="100"/>
              <w:jc w:val="left"/>
              <w:rPr>
                <w:rFonts w:ascii="宋体" w:hAnsi="宋体" w:cs="宋体"/>
                <w:kern w:val="0"/>
                <w:sz w:val="24"/>
              </w:rPr>
            </w:pPr>
            <w:r>
              <w:rPr>
                <w:rFonts w:hint="eastAsia" w:ascii="宋体" w:hAnsi="宋体" w:cs="宋体"/>
                <w:kern w:val="0"/>
                <w:sz w:val="24"/>
              </w:rPr>
              <w:t>20</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4DBCB09F">
            <w:pPr>
              <w:tabs>
                <w:tab w:val="left" w:pos="0"/>
              </w:tabs>
              <w:spacing w:line="360" w:lineRule="auto"/>
              <w:ind w:firstLine="480"/>
              <w:jc w:val="left"/>
              <w:rPr>
                <w:rFonts w:hint="eastAsia" w:ascii="宋体" w:hAnsi="宋体" w:cs="宋体"/>
                <w:b/>
                <w:bCs/>
                <w:sz w:val="24"/>
              </w:rPr>
            </w:pPr>
            <w:r>
              <w:rPr>
                <w:rFonts w:hint="eastAsia" w:ascii="宋体" w:hAnsi="宋体" w:cs="宋体"/>
                <w:b/>
                <w:bCs/>
                <w:sz w:val="24"/>
              </w:rPr>
              <w:t>合理化建议：</w:t>
            </w:r>
          </w:p>
          <w:p w14:paraId="08A81940">
            <w:pPr>
              <w:tabs>
                <w:tab w:val="left" w:pos="0"/>
              </w:tabs>
              <w:spacing w:line="360" w:lineRule="auto"/>
              <w:ind w:firstLine="480"/>
              <w:jc w:val="left"/>
              <w:rPr>
                <w:rFonts w:hint="eastAsia" w:ascii="宋体" w:hAnsi="宋体" w:cs="宋体"/>
                <w:sz w:val="24"/>
              </w:rPr>
            </w:pPr>
            <w:r>
              <w:rPr>
                <w:rFonts w:hint="eastAsia" w:ascii="宋体" w:hAnsi="宋体" w:cs="宋体"/>
                <w:sz w:val="24"/>
              </w:rPr>
              <w:t>合理化建议和相应的解决措施,问题分析准确、解决措施到位的得3分；问题分析及解决措施一般的每项得2分；问题分析及解决措施较差的每项得1分；未提供或与本项目偏离较大的不得分。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6FDCDD85">
            <w:pPr>
              <w:tabs>
                <w:tab w:val="left" w:pos="0"/>
              </w:tabs>
              <w:spacing w:line="360" w:lineRule="auto"/>
              <w:jc w:val="center"/>
              <w:rPr>
                <w:rFonts w:hint="eastAsia" w:ascii="宋体" w:hAnsi="宋体" w:cs="宋体"/>
                <w:kern w:val="0"/>
                <w:sz w:val="24"/>
              </w:rPr>
            </w:pPr>
            <w:r>
              <w:rPr>
                <w:rFonts w:hint="eastAsia" w:ascii="宋体" w:hAnsi="宋体" w:cs="宋体"/>
                <w:kern w:val="0"/>
                <w:sz w:val="24"/>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17C58124">
            <w:pPr>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4DE677C9">
            <w:pPr>
              <w:spacing w:line="360" w:lineRule="auto"/>
              <w:jc w:val="center"/>
              <w:rPr>
                <w:rFonts w:hint="eastAsia" w:ascii="宋体" w:hAnsi="宋体" w:cs="宋体"/>
                <w:kern w:val="0"/>
                <w:sz w:val="24"/>
              </w:rPr>
            </w:pPr>
          </w:p>
        </w:tc>
      </w:tr>
      <w:tr w14:paraId="32CB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79" w:type="dxa"/>
            <w:tcBorders>
              <w:left w:val="single" w:color="auto" w:sz="4" w:space="0"/>
              <w:right w:val="single" w:color="auto" w:sz="4" w:space="0"/>
            </w:tcBorders>
            <w:noWrap w:val="0"/>
            <w:vAlign w:val="center"/>
          </w:tcPr>
          <w:p w14:paraId="702E6C5D">
            <w:pPr>
              <w:tabs>
                <w:tab w:val="left" w:pos="0"/>
              </w:tabs>
              <w:spacing w:line="360" w:lineRule="auto"/>
              <w:ind w:firstLine="240" w:firstLineChars="100"/>
              <w:jc w:val="left"/>
              <w:rPr>
                <w:rFonts w:ascii="宋体" w:hAnsi="宋体" w:cs="宋体"/>
                <w:kern w:val="0"/>
                <w:sz w:val="24"/>
              </w:rPr>
            </w:pPr>
            <w:r>
              <w:rPr>
                <w:rFonts w:hint="eastAsia" w:ascii="宋体" w:hAnsi="宋体" w:cs="宋体"/>
                <w:kern w:val="0"/>
                <w:sz w:val="24"/>
              </w:rPr>
              <w:t>21</w:t>
            </w:r>
          </w:p>
        </w:tc>
        <w:tc>
          <w:tcPr>
            <w:tcW w:w="5625" w:type="dxa"/>
            <w:tcBorders>
              <w:top w:val="single" w:color="auto" w:sz="4" w:space="0"/>
              <w:left w:val="single" w:color="auto" w:sz="4" w:space="0"/>
              <w:bottom w:val="single" w:color="auto" w:sz="4" w:space="0"/>
              <w:right w:val="single" w:color="auto" w:sz="4" w:space="0"/>
            </w:tcBorders>
            <w:noWrap w:val="0"/>
            <w:vAlign w:val="center"/>
          </w:tcPr>
          <w:p w14:paraId="3C3DC974">
            <w:pPr>
              <w:tabs>
                <w:tab w:val="left" w:pos="0"/>
              </w:tabs>
              <w:spacing w:line="360" w:lineRule="auto"/>
              <w:ind w:firstLine="480"/>
              <w:jc w:val="left"/>
              <w:rPr>
                <w:rFonts w:hint="eastAsia" w:ascii="宋体" w:hAnsi="宋体" w:cs="宋体"/>
                <w:b/>
                <w:bCs/>
                <w:sz w:val="24"/>
              </w:rPr>
            </w:pPr>
            <w:r>
              <w:rPr>
                <w:rFonts w:hint="eastAsia" w:ascii="宋体" w:hAnsi="宋体" w:cs="宋体"/>
                <w:b/>
                <w:bCs/>
                <w:sz w:val="24"/>
              </w:rPr>
              <w:t>其他增值或优惠服务：</w:t>
            </w:r>
          </w:p>
          <w:p w14:paraId="7C66A17E">
            <w:pPr>
              <w:tabs>
                <w:tab w:val="left" w:pos="0"/>
              </w:tabs>
              <w:spacing w:line="360" w:lineRule="auto"/>
              <w:ind w:firstLine="480"/>
              <w:jc w:val="left"/>
              <w:rPr>
                <w:rFonts w:hint="eastAsia" w:ascii="宋体" w:hAnsi="宋体" w:cs="宋体"/>
                <w:sz w:val="24"/>
              </w:rPr>
            </w:pPr>
            <w:r>
              <w:rPr>
                <w:rFonts w:hint="eastAsia" w:ascii="宋体" w:hAnsi="宋体" w:cs="宋体"/>
                <w:sz w:val="24"/>
              </w:rPr>
              <w:t>增值或优惠方案针对性强、服务方案最优的3分；增值或优惠方案较少、针对性一般的得1分；未提供不得分。</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075742F1">
            <w:pPr>
              <w:tabs>
                <w:tab w:val="left" w:pos="0"/>
              </w:tabs>
              <w:spacing w:line="360" w:lineRule="auto"/>
              <w:jc w:val="center"/>
              <w:rPr>
                <w:rFonts w:hint="eastAsia" w:ascii="宋体" w:hAnsi="宋体" w:cs="宋体"/>
                <w:kern w:val="0"/>
                <w:sz w:val="24"/>
              </w:rPr>
            </w:pPr>
            <w:r>
              <w:rPr>
                <w:rFonts w:hint="eastAsia" w:ascii="宋体" w:hAnsi="宋体" w:cs="宋体"/>
                <w:kern w:val="0"/>
                <w:sz w:val="24"/>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5AF879A">
            <w:pPr>
              <w:spacing w:line="360" w:lineRule="auto"/>
              <w:jc w:val="center"/>
              <w:rPr>
                <w:rFonts w:hint="eastAsia" w:ascii="宋体" w:hAnsi="宋体" w:cs="宋体"/>
                <w:kern w:val="0"/>
                <w:sz w:val="24"/>
              </w:rPr>
            </w:pPr>
            <w:r>
              <w:rPr>
                <w:rFonts w:hint="eastAsia" w:ascii="宋体" w:hAnsi="宋体" w:cs="宋体"/>
                <w:kern w:val="0"/>
                <w:sz w:val="24"/>
              </w:rPr>
              <w:t>主观分</w:t>
            </w:r>
          </w:p>
        </w:tc>
        <w:tc>
          <w:tcPr>
            <w:tcW w:w="1672" w:type="dxa"/>
            <w:tcBorders>
              <w:top w:val="single" w:color="auto" w:sz="4" w:space="0"/>
              <w:left w:val="single" w:color="auto" w:sz="4" w:space="0"/>
              <w:bottom w:val="single" w:color="auto" w:sz="4" w:space="0"/>
              <w:right w:val="single" w:color="auto" w:sz="4" w:space="0"/>
            </w:tcBorders>
            <w:noWrap w:val="0"/>
            <w:vAlign w:val="center"/>
          </w:tcPr>
          <w:p w14:paraId="2142ECB0">
            <w:pPr>
              <w:spacing w:line="360" w:lineRule="auto"/>
              <w:jc w:val="center"/>
              <w:rPr>
                <w:rFonts w:hint="eastAsia" w:ascii="宋体" w:hAnsi="宋体" w:cs="宋体"/>
                <w:kern w:val="0"/>
                <w:sz w:val="24"/>
              </w:rPr>
            </w:pPr>
          </w:p>
        </w:tc>
      </w:tr>
    </w:tbl>
    <w:p w14:paraId="57EBA9DD">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4"/>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4"/>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27EA019">
      <w:pPr>
        <w:widowControl/>
        <w:jc w:val="left"/>
        <w:rPr>
          <w:rFonts w:ascii="宋体" w:hAnsi="宋体" w:cs="宋体"/>
          <w:color w:val="auto"/>
          <w:kern w:val="0"/>
          <w:sz w:val="24"/>
          <w:highlight w:val="none"/>
        </w:rPr>
        <w:sectPr>
          <w:pgSz w:w="11907" w:h="16840"/>
          <w:pgMar w:top="680" w:right="1417" w:bottom="471" w:left="1417"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杭州市西湖区卫生健康局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2024-2027年西湖区卫健互联网+综合监管系统运维服务项目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杭州市西湖区卫生健康局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6" w:name="_Toc28855"/>
      <w:bookmarkStart w:id="397" w:name="_Toc19273"/>
      <w:bookmarkStart w:id="398" w:name="_Toc15367"/>
      <w:bookmarkStart w:id="399" w:name="_Toc20421"/>
      <w:bookmarkStart w:id="400"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1" w:name="_Toc18585"/>
      <w:bookmarkStart w:id="402" w:name="_Toc2918"/>
      <w:bookmarkStart w:id="403" w:name="_Toc6311"/>
      <w:bookmarkStart w:id="404" w:name="_Toc22185"/>
      <w:bookmarkStart w:id="405"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6" w:name="_Toc1386"/>
      <w:bookmarkStart w:id="407" w:name="_Toc5635"/>
      <w:bookmarkStart w:id="408" w:name="_Toc21124"/>
      <w:bookmarkStart w:id="409" w:name="_Toc4929"/>
      <w:bookmarkStart w:id="410"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rPr>
      </w:pPr>
      <w:bookmarkStart w:id="411" w:name="_Toc14993"/>
      <w:bookmarkStart w:id="412" w:name="_Toc26916"/>
      <w:bookmarkStart w:id="413" w:name="_Toc30506"/>
      <w:bookmarkStart w:id="414" w:name="_Toc3654"/>
      <w:bookmarkStart w:id="415"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4"/>
        <w:pageBreakBefore w:val="0"/>
        <w:kinsoku/>
        <w:wordWrap/>
        <w:overflowPunct/>
        <w:topLinePunct w:val="0"/>
        <w:autoSpaceDE/>
        <w:autoSpaceDN/>
        <w:bidi w:val="0"/>
        <w:snapToGrid/>
        <w:spacing w:line="560" w:lineRule="exact"/>
        <w:textAlignment w:val="auto"/>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2F5CCC91">
      <w:pPr>
        <w:pStyle w:val="960"/>
        <w:pageBreakBefore w:val="0"/>
        <w:kinsoku/>
        <w:wordWrap/>
        <w:overflowPunct/>
        <w:topLinePunct w:val="0"/>
        <w:autoSpaceDE/>
        <w:autoSpaceDN/>
        <w:bidi w:val="0"/>
        <w:snapToGrid/>
        <w:spacing w:before="0" w:beforeAutospacing="0" w:after="0" w:afterAutospacing="0" w:line="560" w:lineRule="exact"/>
        <w:ind w:firstLine="480"/>
        <w:textAlignment w:val="auto"/>
        <w:rPr>
          <w:b/>
          <w:color w:val="auto"/>
          <w:highlight w:val="none"/>
        </w:rPr>
      </w:pPr>
      <w:bookmarkStart w:id="416" w:name="_Toc10340"/>
      <w:bookmarkStart w:id="417" w:name="_Toc22618"/>
      <w:bookmarkStart w:id="418" w:name="_Toc1814"/>
      <w:bookmarkStart w:id="419" w:name="_Toc8772"/>
      <w:bookmarkStart w:id="420" w:name="_Toc4760"/>
      <w:bookmarkStart w:id="421" w:name="_Toc11108"/>
      <w:bookmarkStart w:id="422" w:name="_Toc31421"/>
      <w:bookmarkStart w:id="423" w:name="_Toc3625"/>
      <w:r>
        <w:rPr>
          <w:rFonts w:hint="eastAsia"/>
          <w:b/>
          <w:color w:val="auto"/>
          <w:highlight w:val="none"/>
        </w:rPr>
        <w:t>1.4履约保证金</w:t>
      </w:r>
    </w:p>
    <w:p w14:paraId="74D47AFB">
      <w:pPr>
        <w:pStyle w:val="960"/>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keepNext w:val="0"/>
        <w:keepLines w:val="0"/>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keepNext w:val="0"/>
        <w:keepLines w:val="0"/>
        <w:pageBreakBefore w:val="0"/>
        <w:kinsoku/>
        <w:wordWrap/>
        <w:overflowPunct/>
        <w:topLinePunct w:val="0"/>
        <w:autoSpaceDE/>
        <w:autoSpaceDN/>
        <w:bidi w:val="0"/>
        <w:snapToGrid/>
        <w:spacing w:line="560" w:lineRule="exact"/>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7C829B0B">
      <w:pPr>
        <w:pStyle w:val="960"/>
        <w:keepNext w:val="0"/>
        <w:keepLines w:val="0"/>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keepNext w:val="0"/>
        <w:keepLines w:val="0"/>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keepNext w:val="0"/>
        <w:keepLines w:val="0"/>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keepNext w:val="0"/>
        <w:keepLines w:val="0"/>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keepNext w:val="0"/>
        <w:keepLines w:val="0"/>
        <w:pageBreakBefore w:val="0"/>
        <w:kinsoku/>
        <w:wordWrap/>
        <w:overflowPunct/>
        <w:topLinePunct w:val="0"/>
        <w:autoSpaceDE/>
        <w:autoSpaceDN/>
        <w:bidi w:val="0"/>
        <w:snapToGrid/>
        <w:spacing w:before="0" w:beforeAutospacing="0" w:after="0" w:afterAutospacing="0" w:line="560" w:lineRule="exact"/>
        <w:ind w:firstLine="480"/>
        <w:textAlignment w:val="auto"/>
        <w:rPr>
          <w:b/>
          <w:bCs/>
          <w:color w:val="auto"/>
          <w:highlight w:val="none"/>
        </w:rPr>
      </w:pPr>
      <w:r>
        <w:rPr>
          <w:rFonts w:hint="eastAsia"/>
          <w:b/>
          <w:bCs/>
          <w:color w:val="auto"/>
          <w:highlight w:val="none"/>
        </w:rPr>
        <w:t>1.6资金支付</w:t>
      </w:r>
    </w:p>
    <w:p w14:paraId="48C046E0">
      <w:pPr>
        <w:pStyle w:val="960"/>
        <w:keepNext w:val="0"/>
        <w:keepLines w:val="0"/>
        <w:pageBreakBefore w:val="0"/>
        <w:kinsoku/>
        <w:wordWrap/>
        <w:overflowPunct/>
        <w:topLinePunct w:val="0"/>
        <w:autoSpaceDE/>
        <w:autoSpaceDN/>
        <w:bidi w:val="0"/>
        <w:snapToGrid/>
        <w:spacing w:before="0" w:beforeAutospacing="0" w:after="0" w:afterAutospacing="0" w:line="560" w:lineRule="exact"/>
        <w:ind w:firstLine="480"/>
        <w:textAlignment w:val="auto"/>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keepNext w:val="0"/>
        <w:keepLines w:val="0"/>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keepNext w:val="0"/>
        <w:keepLines w:val="0"/>
        <w:pageBreakBefore w:val="0"/>
        <w:kinsoku/>
        <w:wordWrap/>
        <w:overflowPunct/>
        <w:topLinePunct w:val="0"/>
        <w:autoSpaceDE/>
        <w:autoSpaceDN/>
        <w:bidi w:val="0"/>
        <w:snapToGrid/>
        <w:spacing w:line="560" w:lineRule="exact"/>
        <w:ind w:firstLine="482" w:firstLineChars="200"/>
        <w:textAlignment w:val="auto"/>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14:paraId="15F44DB1">
      <w:pPr>
        <w:keepNext w:val="0"/>
        <w:keepLines w:val="0"/>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keepNext w:val="0"/>
        <w:keepLines w:val="0"/>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keepNext w:val="0"/>
        <w:keepLines w:val="0"/>
        <w:pageBreakBefore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keepNext w:val="0"/>
        <w:keepLines w:val="0"/>
        <w:pageBreakBefore w:val="0"/>
        <w:kinsoku/>
        <w:wordWrap/>
        <w:overflowPunct/>
        <w:topLinePunct w:val="0"/>
        <w:autoSpaceDE/>
        <w:autoSpaceDN/>
        <w:bidi w:val="0"/>
        <w:snapToGrid/>
        <w:spacing w:line="560" w:lineRule="exact"/>
        <w:ind w:firstLine="480" w:firstLineChars="200"/>
        <w:textAlignment w:val="auto"/>
        <w:outlineLvl w:val="0"/>
        <w:rPr>
          <w:rFonts w:ascii="宋体" w:hAnsi="宋体"/>
          <w:bCs/>
          <w:color w:val="auto"/>
          <w:sz w:val="24"/>
          <w:highlight w:val="none"/>
        </w:rPr>
      </w:pPr>
      <w:bookmarkStart w:id="424" w:name="_Toc24662"/>
      <w:bookmarkStart w:id="425" w:name="_Toc2375"/>
      <w:bookmarkStart w:id="426" w:name="_Toc5698"/>
      <w:bookmarkStart w:id="427" w:name="_Toc3079"/>
      <w:bookmarkStart w:id="428"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keepNext w:val="0"/>
        <w:keepLines w:val="0"/>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keepNext w:val="0"/>
        <w:keepLines w:val="0"/>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keepNext w:val="0"/>
        <w:keepLines w:val="0"/>
        <w:pageBreakBefore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14:paraId="6879F767">
      <w:pPr>
        <w:pageBreakBefore w:val="0"/>
        <w:widowControl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4"/>
        <w:pageBreakBefore w:val="0"/>
        <w:widowControl w:val="0"/>
        <w:kinsoku/>
        <w:wordWrap/>
        <w:overflowPunct/>
        <w:topLinePunct w:val="0"/>
        <w:autoSpaceDE/>
        <w:autoSpaceDN/>
        <w:bidi w:val="0"/>
        <w:snapToGrid/>
        <w:spacing w:line="560" w:lineRule="exact"/>
        <w:ind w:left="0" w:firstLine="480" w:firstLineChars="200"/>
        <w:textAlignment w:val="auto"/>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pageBreakBefore w:val="0"/>
        <w:widowControl w:val="0"/>
        <w:kinsoku/>
        <w:wordWrap/>
        <w:overflowPunct/>
        <w:topLinePunct w:val="0"/>
        <w:autoSpaceDE/>
        <w:autoSpaceDN/>
        <w:bidi w:val="0"/>
        <w:snapToGrid/>
        <w:spacing w:line="560" w:lineRule="exact"/>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pageBreakBefore w:val="0"/>
        <w:widowControl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highlight w:val="none"/>
        </w:rPr>
      </w:pPr>
      <w:bookmarkStart w:id="429" w:name="_Toc30329"/>
      <w:bookmarkStart w:id="430" w:name="_Toc18683"/>
      <w:bookmarkStart w:id="431" w:name="_Toc9497"/>
      <w:bookmarkStart w:id="432" w:name="_Toc32454"/>
      <w:bookmarkStart w:id="433"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pageBreakBefore w:val="0"/>
        <w:widowControl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pageBreakBefore w:val="0"/>
        <w:widowControl w:val="0"/>
        <w:kinsoku/>
        <w:wordWrap/>
        <w:overflowPunct/>
        <w:topLinePunct w:val="0"/>
        <w:autoSpaceDE/>
        <w:autoSpaceDN/>
        <w:bidi w:val="0"/>
        <w:snapToGrid/>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pageBreakBefore w:val="0"/>
        <w:widowControl w:val="0"/>
        <w:kinsoku/>
        <w:wordWrap/>
        <w:overflowPunct/>
        <w:topLinePunct w:val="0"/>
        <w:autoSpaceDE/>
        <w:autoSpaceDN/>
        <w:bidi w:val="0"/>
        <w:snapToGrid/>
        <w:spacing w:line="560" w:lineRule="exact"/>
        <w:ind w:right="-420" w:rightChars="-200" w:firstLine="480" w:firstLineChars="200"/>
        <w:textAlignment w:val="auto"/>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14:paraId="1A3040A7">
      <w:pPr>
        <w:spacing w:line="560" w:lineRule="exact"/>
        <w:ind w:firstLine="482" w:firstLineChars="200"/>
        <w:outlineLvl w:val="0"/>
        <w:rPr>
          <w:rFonts w:ascii="宋体" w:hAnsi="宋体" w:cs="宋体"/>
          <w:b/>
          <w:color w:val="auto"/>
          <w:sz w:val="24"/>
          <w:highlight w:val="none"/>
        </w:rPr>
      </w:pPr>
      <w:bookmarkStart w:id="434" w:name="_Toc16021"/>
      <w:bookmarkStart w:id="435" w:name="_Toc28375"/>
      <w:bookmarkStart w:id="436" w:name="_Toc15583"/>
      <w:r>
        <w:rPr>
          <w:rFonts w:hint="eastAsia" w:ascii="宋体" w:hAnsi="宋体" w:cs="宋体"/>
          <w:b/>
          <w:color w:val="auto"/>
          <w:sz w:val="24"/>
          <w:highlight w:val="none"/>
        </w:rPr>
        <w:t>1.9合同争议的解决</w:t>
      </w:r>
      <w:bookmarkEnd w:id="434"/>
      <w:bookmarkEnd w:id="435"/>
      <w:bookmarkEnd w:id="436"/>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7" w:name="_Toc15322"/>
      <w:bookmarkStart w:id="438" w:name="_Toc11173"/>
      <w:bookmarkStart w:id="439" w:name="_Toc7245"/>
      <w:r>
        <w:rPr>
          <w:rFonts w:hint="eastAsia" w:ascii="宋体" w:hAnsi="宋体" w:cs="宋体"/>
          <w:b/>
          <w:color w:val="auto"/>
          <w:sz w:val="24"/>
          <w:highlight w:val="none"/>
        </w:rPr>
        <w:t>2.0 合同生效</w:t>
      </w:r>
      <w:bookmarkEnd w:id="437"/>
      <w:bookmarkEnd w:id="438"/>
      <w:bookmarkEnd w:id="439"/>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40" w:name="_Toc14021"/>
      <w:bookmarkStart w:id="441" w:name="_Toc25079"/>
      <w:bookmarkStart w:id="442" w:name="_Toc5228"/>
      <w:bookmarkStart w:id="443" w:name="_Toc31297"/>
      <w:bookmarkStart w:id="444" w:name="_Toc19680"/>
      <w:r>
        <w:rPr>
          <w:rFonts w:ascii="宋体" w:hAnsi="宋体"/>
          <w:b/>
          <w:color w:val="auto"/>
          <w:sz w:val="24"/>
          <w:highlight w:val="none"/>
        </w:rPr>
        <w:t>2.1 定义</w:t>
      </w:r>
      <w:bookmarkEnd w:id="440"/>
      <w:bookmarkEnd w:id="441"/>
      <w:bookmarkEnd w:id="442"/>
      <w:bookmarkEnd w:id="443"/>
      <w:bookmarkEnd w:id="444"/>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5" w:name="_Toc19539"/>
      <w:bookmarkStart w:id="446" w:name="_Toc31402"/>
      <w:bookmarkStart w:id="447" w:name="_Toc16752"/>
      <w:bookmarkStart w:id="448" w:name="_Toc3769"/>
      <w:bookmarkStart w:id="449" w:name="_Toc23289"/>
      <w:r>
        <w:rPr>
          <w:rFonts w:ascii="宋体" w:hAnsi="宋体"/>
          <w:b/>
          <w:color w:val="auto"/>
          <w:sz w:val="24"/>
          <w:highlight w:val="none"/>
        </w:rPr>
        <w:t>2.2 技术规范</w:t>
      </w:r>
      <w:bookmarkEnd w:id="445"/>
      <w:bookmarkEnd w:id="446"/>
      <w:bookmarkEnd w:id="447"/>
      <w:bookmarkEnd w:id="448"/>
      <w:bookmarkEnd w:id="449"/>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50" w:name="_Toc4133"/>
      <w:bookmarkStart w:id="451" w:name="_Toc9161"/>
      <w:bookmarkStart w:id="452" w:name="_Toc27945"/>
      <w:bookmarkStart w:id="453" w:name="_Toc12412"/>
      <w:bookmarkStart w:id="454" w:name="_Toc13673"/>
      <w:r>
        <w:rPr>
          <w:rFonts w:ascii="宋体" w:hAnsi="宋体"/>
          <w:b/>
          <w:color w:val="auto"/>
          <w:sz w:val="24"/>
          <w:highlight w:val="none"/>
        </w:rPr>
        <w:t>2.3 知识产权</w:t>
      </w:r>
      <w:bookmarkEnd w:id="450"/>
      <w:bookmarkEnd w:id="451"/>
      <w:bookmarkEnd w:id="452"/>
      <w:bookmarkEnd w:id="453"/>
      <w:bookmarkEnd w:id="454"/>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5" w:name="_Toc22011"/>
      <w:bookmarkStart w:id="456" w:name="_Toc32670"/>
      <w:bookmarkStart w:id="457" w:name="_Toc31233"/>
      <w:bookmarkStart w:id="458" w:name="_Toc26555"/>
      <w:bookmarkStart w:id="459" w:name="_Toc15447"/>
      <w:r>
        <w:rPr>
          <w:rFonts w:ascii="宋体" w:hAnsi="宋体"/>
          <w:b/>
          <w:color w:val="auto"/>
          <w:sz w:val="24"/>
          <w:highlight w:val="none"/>
        </w:rPr>
        <w:t>2.5 结算方式和付款条件</w:t>
      </w:r>
      <w:bookmarkEnd w:id="455"/>
      <w:bookmarkEnd w:id="456"/>
      <w:bookmarkEnd w:id="457"/>
      <w:bookmarkEnd w:id="458"/>
      <w:bookmarkEnd w:id="459"/>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60" w:name="_Toc30507"/>
      <w:bookmarkStart w:id="461" w:name="_Toc16163"/>
      <w:bookmarkStart w:id="462" w:name="_Toc13154"/>
      <w:bookmarkStart w:id="463" w:name="_Toc13467"/>
      <w:bookmarkStart w:id="464" w:name="_Toc18990"/>
      <w:r>
        <w:rPr>
          <w:rFonts w:ascii="宋体" w:hAnsi="宋体"/>
          <w:b/>
          <w:color w:val="auto"/>
          <w:sz w:val="24"/>
          <w:highlight w:val="none"/>
        </w:rPr>
        <w:t>2.6 技术资料和保密义务</w:t>
      </w:r>
      <w:bookmarkEnd w:id="460"/>
      <w:bookmarkEnd w:id="461"/>
      <w:bookmarkEnd w:id="462"/>
      <w:bookmarkEnd w:id="463"/>
      <w:bookmarkEnd w:id="464"/>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8" w:name="_Toc26689"/>
      <w:bookmarkStart w:id="469" w:name="_Toc21830"/>
      <w:bookmarkStart w:id="470" w:name="_Toc10663"/>
      <w:bookmarkStart w:id="471" w:name="_Toc23368"/>
      <w:bookmarkStart w:id="472" w:name="_Toc42"/>
      <w:r>
        <w:rPr>
          <w:rFonts w:ascii="宋体" w:hAnsi="宋体"/>
          <w:b/>
          <w:color w:val="auto"/>
          <w:sz w:val="24"/>
          <w:highlight w:val="none"/>
        </w:rPr>
        <w:t>2.10 合同转让和分包</w:t>
      </w:r>
      <w:bookmarkEnd w:id="468"/>
      <w:bookmarkEnd w:id="469"/>
      <w:bookmarkEnd w:id="470"/>
      <w:bookmarkEnd w:id="471"/>
      <w:bookmarkEnd w:id="472"/>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3" w:name="_Toc25571"/>
      <w:bookmarkStart w:id="474" w:name="_Toc4720"/>
      <w:bookmarkStart w:id="475" w:name="_Toc26633"/>
      <w:bookmarkStart w:id="476" w:name="_Toc14371"/>
      <w:bookmarkStart w:id="477" w:name="_Toc32494"/>
      <w:r>
        <w:rPr>
          <w:rFonts w:ascii="宋体" w:hAnsi="宋体"/>
          <w:b/>
          <w:color w:val="auto"/>
          <w:sz w:val="24"/>
          <w:highlight w:val="none"/>
        </w:rPr>
        <w:t>2.11 不可抗力</w:t>
      </w:r>
      <w:bookmarkEnd w:id="473"/>
      <w:bookmarkEnd w:id="474"/>
      <w:bookmarkEnd w:id="475"/>
      <w:bookmarkEnd w:id="476"/>
      <w:bookmarkEnd w:id="477"/>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8" w:name="_Toc14115"/>
      <w:bookmarkStart w:id="479" w:name="_Toc24465"/>
      <w:bookmarkStart w:id="480" w:name="_Toc3638"/>
      <w:bookmarkStart w:id="481" w:name="_Toc25783"/>
      <w:bookmarkStart w:id="482" w:name="_Toc23854"/>
      <w:r>
        <w:rPr>
          <w:rFonts w:ascii="宋体" w:hAnsi="宋体"/>
          <w:b/>
          <w:color w:val="auto"/>
          <w:sz w:val="24"/>
          <w:highlight w:val="none"/>
        </w:rPr>
        <w:t>2.12 税费</w:t>
      </w:r>
      <w:bookmarkEnd w:id="478"/>
      <w:bookmarkEnd w:id="479"/>
      <w:bookmarkEnd w:id="480"/>
      <w:bookmarkEnd w:id="481"/>
      <w:bookmarkEnd w:id="482"/>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3" w:name="_Toc7315"/>
      <w:bookmarkStart w:id="484" w:name="_Toc30105"/>
      <w:bookmarkStart w:id="485" w:name="_Toc26883"/>
      <w:bookmarkStart w:id="486" w:name="_Toc14814"/>
      <w:bookmarkStart w:id="487" w:name="_Toc25525"/>
      <w:r>
        <w:rPr>
          <w:rFonts w:ascii="宋体" w:hAnsi="宋体"/>
          <w:b/>
          <w:color w:val="auto"/>
          <w:sz w:val="24"/>
          <w:highlight w:val="none"/>
        </w:rPr>
        <w:t>2.13 乙方破产</w:t>
      </w:r>
      <w:bookmarkEnd w:id="483"/>
      <w:bookmarkEnd w:id="484"/>
      <w:bookmarkEnd w:id="485"/>
      <w:bookmarkEnd w:id="486"/>
      <w:bookmarkEnd w:id="487"/>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8" w:name="_Toc2016"/>
      <w:bookmarkStart w:id="489" w:name="_Toc23323"/>
      <w:bookmarkStart w:id="490" w:name="_Toc1123"/>
      <w:r>
        <w:rPr>
          <w:rFonts w:ascii="宋体" w:hAnsi="宋体"/>
          <w:b/>
          <w:color w:val="auto"/>
          <w:sz w:val="24"/>
          <w:highlight w:val="none"/>
        </w:rPr>
        <w:t>2.14 合同中止、终止</w:t>
      </w:r>
      <w:bookmarkEnd w:id="488"/>
      <w:bookmarkEnd w:id="489"/>
      <w:bookmarkEnd w:id="490"/>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1" w:name="_Toc17363"/>
      <w:bookmarkStart w:id="492" w:name="_Toc1969"/>
      <w:bookmarkStart w:id="493" w:name="_Toc14525"/>
      <w:r>
        <w:rPr>
          <w:rFonts w:ascii="宋体" w:hAnsi="宋体"/>
          <w:b/>
          <w:color w:val="auto"/>
          <w:sz w:val="24"/>
          <w:highlight w:val="none"/>
        </w:rPr>
        <w:t>2.15 检验和验收</w:t>
      </w:r>
      <w:bookmarkEnd w:id="491"/>
      <w:bookmarkEnd w:id="492"/>
      <w:bookmarkEnd w:id="493"/>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4" w:name="_Toc2308"/>
      <w:bookmarkStart w:id="495" w:name="_Toc9808"/>
      <w:bookmarkStart w:id="496" w:name="_Toc25198"/>
      <w:bookmarkStart w:id="497" w:name="_Toc12666"/>
      <w:bookmarkStart w:id="498" w:name="_Toc31892"/>
      <w:r>
        <w:rPr>
          <w:rFonts w:ascii="宋体" w:hAnsi="宋体"/>
          <w:b/>
          <w:color w:val="auto"/>
          <w:sz w:val="24"/>
          <w:highlight w:val="none"/>
        </w:rPr>
        <w:t>2.16 通知和送达</w:t>
      </w:r>
      <w:bookmarkEnd w:id="494"/>
      <w:bookmarkEnd w:id="495"/>
      <w:bookmarkEnd w:id="496"/>
      <w:bookmarkEnd w:id="497"/>
      <w:bookmarkEnd w:id="498"/>
    </w:p>
    <w:p w14:paraId="2D57AD58">
      <w:pPr>
        <w:spacing w:line="560" w:lineRule="exact"/>
        <w:ind w:firstLine="480" w:firstLineChars="200"/>
        <w:rPr>
          <w:rFonts w:ascii="宋体" w:hAnsi="宋体"/>
          <w:color w:val="auto"/>
          <w:sz w:val="24"/>
          <w:highlight w:val="none"/>
        </w:rPr>
      </w:pPr>
      <w:bookmarkStart w:id="499" w:name="_Toc18401"/>
      <w:bookmarkStart w:id="50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14:paraId="79494EF1">
      <w:pPr>
        <w:spacing w:line="560" w:lineRule="exact"/>
        <w:ind w:firstLine="482" w:firstLineChars="200"/>
        <w:outlineLvl w:val="0"/>
        <w:rPr>
          <w:rFonts w:ascii="宋体" w:hAnsi="宋体"/>
          <w:b/>
          <w:color w:val="auto"/>
          <w:sz w:val="24"/>
          <w:highlight w:val="none"/>
        </w:rPr>
      </w:pPr>
      <w:bookmarkStart w:id="501" w:name="_Toc20808"/>
      <w:bookmarkStart w:id="502" w:name="_Toc12254"/>
      <w:bookmarkStart w:id="503" w:name="_Toc28906"/>
      <w:bookmarkStart w:id="504" w:name="_Toc27644"/>
      <w:bookmarkStart w:id="505"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6" w:name="_Toc30599"/>
      <w:bookmarkStart w:id="507" w:name="_Toc4355"/>
      <w:bookmarkStart w:id="508" w:name="_Toc18540"/>
      <w:r>
        <w:rPr>
          <w:rFonts w:hint="eastAsia" w:ascii="宋体" w:hAnsi="宋体" w:cs="宋体"/>
          <w:b/>
          <w:color w:val="auto"/>
          <w:sz w:val="24"/>
          <w:highlight w:val="none"/>
        </w:rPr>
        <w:t>2.18 计量单位</w:t>
      </w:r>
      <w:bookmarkEnd w:id="506"/>
      <w:bookmarkEnd w:id="507"/>
      <w:bookmarkEnd w:id="508"/>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1.3.</w:t>
            </w:r>
            <w:r>
              <w:rPr>
                <w:rFonts w:hint="eastAsia" w:ascii="宋体" w:hAnsi="宋体" w:cs="宋体"/>
                <w:color w:val="auto"/>
                <w:sz w:val="24"/>
                <w:highlight w:val="none"/>
                <w:lang w:val="en-US" w:eastAsia="zh-CN"/>
              </w:rPr>
              <w:t>1</w:t>
            </w:r>
          </w:p>
        </w:tc>
        <w:tc>
          <w:tcPr>
            <w:tcW w:w="4464" w:type="pct"/>
            <w:vAlign w:val="center"/>
          </w:tcPr>
          <w:p w14:paraId="304DB868">
            <w:pPr>
              <w:spacing w:line="360" w:lineRule="auto"/>
              <w:rPr>
                <w:rFonts w:ascii="宋体" w:hAnsi="宋体" w:cs="宋体"/>
                <w:color w:val="auto"/>
                <w:sz w:val="24"/>
                <w:highlight w:val="none"/>
              </w:rPr>
            </w:pPr>
            <w:r>
              <w:rPr>
                <w:rFonts w:hint="eastAsia" w:ascii="宋体" w:hAnsi="宋体" w:cs="宋体"/>
                <w:sz w:val="24"/>
              </w:rPr>
              <w:t>本项目采用以下第</w:t>
            </w:r>
            <w:r>
              <w:rPr>
                <w:rFonts w:hint="eastAsia" w:ascii="宋体" w:hAnsi="宋体" w:cs="宋体"/>
                <w:sz w:val="24"/>
                <w:u w:val="single"/>
              </w:rPr>
              <w:t xml:space="preserve"> </w:t>
            </w:r>
            <w:r>
              <w:rPr>
                <w:rFonts w:ascii="宋体" w:hAnsi="宋体" w:cs="宋体"/>
                <w:sz w:val="24"/>
                <w:u w:val="single"/>
              </w:rPr>
              <w:t>1.3.1</w:t>
            </w:r>
            <w:r>
              <w:rPr>
                <w:rFonts w:hint="eastAsia" w:ascii="宋体" w:hAnsi="宋体" w:cs="宋体"/>
                <w:sz w:val="24"/>
                <w:u w:val="single"/>
              </w:rPr>
              <w:t xml:space="preserve"> </w:t>
            </w:r>
            <w:r>
              <w:rPr>
                <w:rFonts w:hint="eastAsia" w:ascii="宋体" w:hAnsi="宋体" w:cs="宋体"/>
                <w:sz w:val="24"/>
              </w:rPr>
              <w:t>条款规定的计价方式计价。</w:t>
            </w: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464" w:type="pct"/>
            <w:vAlign w:val="center"/>
          </w:tcPr>
          <w:p w14:paraId="7791C12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否</w:t>
            </w: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sz w:val="24"/>
              </w:rPr>
              <w:t>合同生效并具备实施条件财政资金到位的情况后5个工作日内，采购人向中标供应商支付40%作为预付款；</w:t>
            </w: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695C9768">
            <w:pPr>
              <w:pStyle w:val="32"/>
              <w:spacing w:line="360" w:lineRule="auto"/>
              <w:rPr>
                <w:rFonts w:hAnsi="宋体" w:cs="宋体"/>
                <w:sz w:val="24"/>
                <w:szCs w:val="24"/>
                <w:highlight w:val="none"/>
              </w:rPr>
            </w:pPr>
            <w:r>
              <w:rPr>
                <w:rFonts w:hint="eastAsia" w:hAnsi="宋体" w:cs="宋体"/>
                <w:sz w:val="24"/>
                <w:szCs w:val="24"/>
                <w:highlight w:val="none"/>
              </w:rPr>
              <w:t>服务款采用分期付款方式结算，具体付款方式如下：</w:t>
            </w:r>
          </w:p>
          <w:p w14:paraId="7B7EA760">
            <w:pPr>
              <w:pStyle w:val="32"/>
              <w:spacing w:line="360" w:lineRule="auto"/>
              <w:rPr>
                <w:rFonts w:hint="eastAsia" w:hAnsi="宋体" w:cs="宋体"/>
                <w:sz w:val="24"/>
                <w:szCs w:val="24"/>
                <w:highlight w:val="none"/>
              </w:rPr>
            </w:pPr>
            <w:r>
              <w:rPr>
                <w:rFonts w:hint="eastAsia" w:hAnsi="宋体" w:cs="宋体"/>
                <w:sz w:val="24"/>
                <w:szCs w:val="24"/>
                <w:highlight w:val="none"/>
              </w:rPr>
              <w:t>（1）第一期:</w:t>
            </w:r>
            <w:r>
              <w:rPr>
                <w:rFonts w:hint="eastAsia" w:hAnsi="宋体" w:cs="宋体"/>
                <w:kern w:val="0"/>
                <w:sz w:val="24"/>
                <w:highlight w:val="none"/>
                <w:lang w:val="zh-CN"/>
              </w:rPr>
              <w:t xml:space="preserve"> 合同签订后</w:t>
            </w:r>
            <w:r>
              <w:rPr>
                <w:rFonts w:hint="eastAsia" w:hAnsi="宋体" w:cs="宋体"/>
                <w:sz w:val="24"/>
                <w:highlight w:val="none"/>
                <w:lang w:eastAsia="zh-CN"/>
              </w:rPr>
              <w:t>，</w:t>
            </w:r>
            <w:r>
              <w:rPr>
                <w:rFonts w:hint="eastAsia" w:hAnsi="宋体" w:cs="宋体"/>
                <w:sz w:val="24"/>
                <w:highlight w:val="none"/>
                <w:lang w:val="zh-CN"/>
              </w:rPr>
              <w:t>进行详细的需求调研，进一步优化概要设计、详细设计，并细化系统建设计划、目标任务书和测试验收方案，向甲方提供上述文档并需经甲方审查通过，</w:t>
            </w:r>
            <w:r>
              <w:rPr>
                <w:rFonts w:hint="eastAsia" w:hAnsi="宋体" w:cs="宋体"/>
                <w:sz w:val="24"/>
                <w:szCs w:val="24"/>
                <w:highlight w:val="none"/>
              </w:rPr>
              <w:t>当2</w:t>
            </w:r>
            <w:r>
              <w:rPr>
                <w:rFonts w:hAnsi="宋体" w:cs="宋体"/>
                <w:sz w:val="24"/>
                <w:szCs w:val="24"/>
                <w:highlight w:val="none"/>
              </w:rPr>
              <w:t>025年</w:t>
            </w:r>
            <w:r>
              <w:rPr>
                <w:rFonts w:hint="eastAsia" w:hAnsi="宋体" w:cs="宋体"/>
                <w:sz w:val="24"/>
                <w:szCs w:val="24"/>
                <w:highlight w:val="none"/>
              </w:rPr>
              <w:t>财政预算资金到位后5个工作日内，采购人向中标供应商支付4</w:t>
            </w:r>
            <w:r>
              <w:rPr>
                <w:rFonts w:hAnsi="宋体" w:cs="宋体"/>
                <w:sz w:val="24"/>
                <w:szCs w:val="24"/>
                <w:highlight w:val="none"/>
              </w:rPr>
              <w:t>0%</w:t>
            </w:r>
            <w:r>
              <w:rPr>
                <w:rFonts w:hint="eastAsia" w:hAnsi="宋体" w:cs="宋体"/>
                <w:sz w:val="24"/>
                <w:szCs w:val="24"/>
                <w:highlight w:val="none"/>
              </w:rPr>
              <w:t>作为预付款；</w:t>
            </w:r>
          </w:p>
          <w:p w14:paraId="40D8EC7D">
            <w:pPr>
              <w:spacing w:line="360" w:lineRule="auto"/>
              <w:rPr>
                <w:rFonts w:ascii="宋体" w:hAnsi="宋体" w:cs="宋体"/>
                <w:snapToGrid w:val="0"/>
                <w:sz w:val="24"/>
                <w:highlight w:val="none"/>
              </w:rPr>
            </w:pPr>
            <w:r>
              <w:rPr>
                <w:rFonts w:hint="eastAsia" w:ascii="宋体" w:hAnsi="宋体" w:cs="宋体"/>
                <w:snapToGrid w:val="0"/>
                <w:sz w:val="24"/>
                <w:highlight w:val="none"/>
              </w:rPr>
              <w:t>（2）第二期：</w:t>
            </w:r>
            <w:r>
              <w:rPr>
                <w:rFonts w:hint="eastAsia" w:ascii="宋体" w:hAnsi="宋体" w:cs="宋体"/>
                <w:bCs/>
                <w:sz w:val="24"/>
                <w:highlight w:val="none"/>
                <w:lang w:val="en-US" w:eastAsia="zh-CN"/>
              </w:rPr>
              <w:t>4</w:t>
            </w:r>
            <w:r>
              <w:rPr>
                <w:rFonts w:hint="eastAsia" w:ascii="宋体" w:hAnsi="宋体" w:cs="宋体"/>
                <w:bCs/>
                <w:sz w:val="24"/>
                <w:highlight w:val="none"/>
              </w:rPr>
              <w:t>个月</w:t>
            </w:r>
            <w:r>
              <w:rPr>
                <w:rFonts w:hint="eastAsia" w:ascii="宋体" w:hAnsi="宋体" w:cs="宋体"/>
                <w:sz w:val="24"/>
                <w:highlight w:val="none"/>
                <w:lang w:val="zh-CN"/>
              </w:rPr>
              <w:t>内完成系统开发建设、上线、培训，</w:t>
            </w:r>
            <w:r>
              <w:rPr>
                <w:rFonts w:hint="eastAsia" w:ascii="宋体" w:hAnsi="宋体" w:cs="宋体"/>
                <w:sz w:val="24"/>
                <w:highlight w:val="none"/>
              </w:rPr>
              <w:t>乙方可申请初步验收，初步验收由采购方或委托区数据资源局组织专家进行联合验收，项目通过初验后采购方向中标人支付总价</w:t>
            </w:r>
            <w:r>
              <w:rPr>
                <w:rFonts w:ascii="宋体" w:hAnsi="宋体" w:cs="宋体"/>
                <w:sz w:val="24"/>
                <w:highlight w:val="none"/>
              </w:rPr>
              <w:t>30</w:t>
            </w:r>
            <w:r>
              <w:rPr>
                <w:rFonts w:hint="eastAsia" w:ascii="宋体" w:hAnsi="宋体" w:cs="宋体"/>
                <w:sz w:val="24"/>
                <w:highlight w:val="none"/>
              </w:rPr>
              <w:t>%的款项支付手续，项目进入试运行。</w:t>
            </w:r>
          </w:p>
          <w:p w14:paraId="0230CD82">
            <w:pPr>
              <w:spacing w:line="360" w:lineRule="auto"/>
              <w:rPr>
                <w:rFonts w:hint="eastAsia" w:ascii="宋体" w:hAnsi="宋体" w:cs="宋体"/>
                <w:snapToGrid w:val="0"/>
                <w:sz w:val="24"/>
                <w:highlight w:val="none"/>
              </w:rPr>
            </w:pPr>
            <w:r>
              <w:rPr>
                <w:rFonts w:hint="eastAsia" w:ascii="宋体" w:hAnsi="宋体" w:cs="宋体"/>
                <w:snapToGrid w:val="0"/>
                <w:sz w:val="24"/>
                <w:highlight w:val="none"/>
              </w:rPr>
              <w:t>（</w:t>
            </w:r>
            <w:r>
              <w:rPr>
                <w:rFonts w:ascii="宋体" w:hAnsi="宋体" w:cs="宋体"/>
                <w:snapToGrid w:val="0"/>
                <w:sz w:val="24"/>
                <w:highlight w:val="none"/>
              </w:rPr>
              <w:t>3</w:t>
            </w:r>
            <w:r>
              <w:rPr>
                <w:rFonts w:hint="eastAsia" w:ascii="宋体" w:hAnsi="宋体" w:cs="宋体"/>
                <w:snapToGrid w:val="0"/>
                <w:sz w:val="24"/>
                <w:highlight w:val="none"/>
              </w:rPr>
              <w:t>）第</w:t>
            </w:r>
            <w:r>
              <w:rPr>
                <w:rFonts w:hint="eastAsia" w:ascii="宋体" w:hAnsi="宋体" w:cs="宋体"/>
                <w:snapToGrid w:val="0"/>
                <w:sz w:val="24"/>
                <w:highlight w:val="none"/>
                <w:lang w:val="en-US" w:eastAsia="zh-CN"/>
              </w:rPr>
              <w:t>三</w:t>
            </w:r>
            <w:r>
              <w:rPr>
                <w:rFonts w:hint="eastAsia" w:ascii="宋体" w:hAnsi="宋体" w:cs="宋体"/>
                <w:snapToGrid w:val="0"/>
                <w:sz w:val="24"/>
                <w:highlight w:val="none"/>
              </w:rPr>
              <w:t>期：</w:t>
            </w:r>
            <w:r>
              <w:rPr>
                <w:rFonts w:hint="eastAsia" w:ascii="宋体" w:hAnsi="宋体" w:cs="宋体"/>
                <w:sz w:val="24"/>
                <w:highlight w:val="none"/>
              </w:rPr>
              <w:t>系统试运行期间无故障，</w:t>
            </w:r>
            <w:r>
              <w:rPr>
                <w:rFonts w:hint="eastAsia" w:ascii="宋体" w:hAnsi="宋体" w:cs="宋体"/>
                <w:snapToGrid w:val="0"/>
                <w:sz w:val="24"/>
                <w:highlight w:val="none"/>
              </w:rPr>
              <w:t>中标供应商可向采购人申请项目最终验收验收，项目验收</w:t>
            </w:r>
            <w:r>
              <w:rPr>
                <w:rFonts w:hint="eastAsia" w:ascii="宋体" w:hAnsi="宋体" w:cs="宋体"/>
                <w:sz w:val="24"/>
                <w:highlight w:val="none"/>
              </w:rPr>
              <w:t>由采购方或委托区数据资源局组织专家进行联合验收，</w:t>
            </w:r>
            <w:r>
              <w:rPr>
                <w:rFonts w:hint="eastAsia" w:ascii="宋体" w:hAnsi="宋体" w:cs="宋体"/>
                <w:snapToGrid w:val="0"/>
                <w:sz w:val="24"/>
                <w:highlight w:val="none"/>
              </w:rPr>
              <w:t>通过项目验收后向采购人支付剩余</w:t>
            </w:r>
            <w:r>
              <w:rPr>
                <w:rFonts w:hint="eastAsia" w:ascii="宋体" w:hAnsi="宋体" w:cs="宋体"/>
                <w:snapToGrid w:val="0"/>
                <w:sz w:val="24"/>
                <w:highlight w:val="none"/>
                <w:lang w:val="en-US" w:eastAsia="zh-CN"/>
              </w:rPr>
              <w:t>15</w:t>
            </w:r>
            <w:r>
              <w:rPr>
                <w:rFonts w:ascii="宋体" w:hAnsi="宋体" w:cs="宋体"/>
                <w:snapToGrid w:val="0"/>
                <w:sz w:val="24"/>
                <w:highlight w:val="none"/>
              </w:rPr>
              <w:t>%</w:t>
            </w:r>
            <w:r>
              <w:rPr>
                <w:rFonts w:hint="eastAsia" w:ascii="宋体" w:hAnsi="宋体" w:cs="宋体"/>
                <w:snapToGrid w:val="0"/>
                <w:sz w:val="24"/>
                <w:highlight w:val="none"/>
              </w:rPr>
              <w:t>款项。</w:t>
            </w:r>
            <w:r>
              <w:rPr>
                <w:rFonts w:hint="eastAsia" w:ascii="宋体" w:hAnsi="宋体" w:cs="宋体"/>
                <w:snapToGrid w:val="0"/>
                <w:sz w:val="24"/>
                <w:highlight w:val="none"/>
              </w:rPr>
              <w:br w:type="textWrapping"/>
            </w:r>
            <w:r>
              <w:rPr>
                <w:rFonts w:hint="eastAsia" w:ascii="宋体" w:hAnsi="宋体" w:cs="宋体"/>
                <w:snapToGrid w:val="0"/>
                <w:sz w:val="24"/>
                <w:highlight w:val="none"/>
              </w:rPr>
              <w:t>（</w:t>
            </w:r>
            <w:r>
              <w:rPr>
                <w:rFonts w:hint="eastAsia" w:ascii="宋体" w:hAnsi="宋体" w:cs="宋体"/>
                <w:snapToGrid w:val="0"/>
                <w:sz w:val="24"/>
                <w:highlight w:val="none"/>
                <w:lang w:val="en-US" w:eastAsia="zh-CN"/>
              </w:rPr>
              <w:t>4</w:t>
            </w:r>
            <w:r>
              <w:rPr>
                <w:rFonts w:hint="eastAsia" w:ascii="宋体" w:hAnsi="宋体" w:cs="宋体"/>
                <w:snapToGrid w:val="0"/>
                <w:sz w:val="24"/>
                <w:highlight w:val="none"/>
              </w:rPr>
              <w:t>）第</w:t>
            </w:r>
            <w:r>
              <w:rPr>
                <w:rFonts w:hint="eastAsia" w:ascii="宋体" w:hAnsi="宋体" w:cs="宋体"/>
                <w:snapToGrid w:val="0"/>
                <w:sz w:val="24"/>
                <w:highlight w:val="none"/>
                <w:lang w:val="en-US" w:eastAsia="zh-CN"/>
              </w:rPr>
              <w:t>四</w:t>
            </w:r>
            <w:r>
              <w:rPr>
                <w:rFonts w:hint="eastAsia" w:ascii="宋体" w:hAnsi="宋体" w:cs="宋体"/>
                <w:snapToGrid w:val="0"/>
                <w:sz w:val="24"/>
                <w:highlight w:val="none"/>
              </w:rPr>
              <w:t>期：</w:t>
            </w:r>
            <w:r>
              <w:rPr>
                <w:rFonts w:hint="eastAsia" w:ascii="宋体" w:hAnsi="宋体" w:cs="宋体"/>
                <w:sz w:val="24"/>
                <w:highlight w:val="none"/>
                <w:lang w:val="en-US" w:eastAsia="zh-CN"/>
              </w:rPr>
              <w:t>合同满一年，</w:t>
            </w:r>
            <w:r>
              <w:rPr>
                <w:rFonts w:hint="eastAsia" w:ascii="宋体" w:hAnsi="宋体" w:cs="宋体"/>
                <w:snapToGrid w:val="0"/>
                <w:sz w:val="24"/>
                <w:highlight w:val="none"/>
              </w:rPr>
              <w:t>向采购人</w:t>
            </w:r>
            <w:r>
              <w:rPr>
                <w:rFonts w:hint="eastAsia" w:ascii="宋体" w:hAnsi="宋体" w:cs="宋体"/>
                <w:snapToGrid w:val="0"/>
                <w:sz w:val="24"/>
                <w:highlight w:val="none"/>
                <w:lang w:val="en-US" w:eastAsia="zh-CN"/>
              </w:rPr>
              <w:t>申请</w:t>
            </w:r>
            <w:r>
              <w:rPr>
                <w:rFonts w:hint="eastAsia" w:ascii="宋体" w:hAnsi="宋体" w:cs="宋体"/>
                <w:snapToGrid w:val="0"/>
                <w:sz w:val="24"/>
                <w:highlight w:val="none"/>
              </w:rPr>
              <w:t>支付</w:t>
            </w:r>
            <w:r>
              <w:rPr>
                <w:rFonts w:hint="eastAsia" w:ascii="宋体" w:hAnsi="宋体" w:cs="宋体"/>
                <w:snapToGrid w:val="0"/>
                <w:sz w:val="24"/>
                <w:highlight w:val="none"/>
                <w:lang w:val="en-US" w:eastAsia="zh-CN"/>
              </w:rPr>
              <w:t>5</w:t>
            </w:r>
            <w:r>
              <w:rPr>
                <w:rFonts w:ascii="宋体" w:hAnsi="宋体" w:cs="宋体"/>
                <w:snapToGrid w:val="0"/>
                <w:sz w:val="24"/>
                <w:highlight w:val="none"/>
              </w:rPr>
              <w:t>%</w:t>
            </w:r>
            <w:r>
              <w:rPr>
                <w:rFonts w:hint="eastAsia" w:ascii="宋体" w:hAnsi="宋体" w:cs="宋体"/>
                <w:snapToGrid w:val="0"/>
                <w:sz w:val="24"/>
                <w:highlight w:val="none"/>
              </w:rPr>
              <w:t>款项。</w:t>
            </w:r>
          </w:p>
          <w:p w14:paraId="688A437E">
            <w:pPr>
              <w:pStyle w:val="2"/>
              <w:spacing w:line="360" w:lineRule="auto"/>
              <w:rPr>
                <w:rFonts w:hint="eastAsia" w:ascii="宋体" w:hAnsi="宋体" w:cs="宋体"/>
                <w:snapToGrid w:val="0"/>
                <w:sz w:val="24"/>
                <w:highlight w:val="none"/>
              </w:rPr>
            </w:pPr>
            <w:r>
              <w:rPr>
                <w:rFonts w:hint="eastAsia" w:ascii="宋体" w:hAnsi="宋体" w:cs="宋体"/>
                <w:snapToGrid w:val="0"/>
                <w:sz w:val="24"/>
                <w:highlight w:val="none"/>
              </w:rPr>
              <w:t>（</w:t>
            </w:r>
            <w:r>
              <w:rPr>
                <w:rFonts w:hint="eastAsia" w:ascii="宋体" w:hAnsi="宋体" w:cs="宋体"/>
                <w:snapToGrid w:val="0"/>
                <w:sz w:val="24"/>
                <w:highlight w:val="none"/>
                <w:lang w:val="en-US" w:eastAsia="zh-CN"/>
              </w:rPr>
              <w:t>4</w:t>
            </w:r>
            <w:r>
              <w:rPr>
                <w:rFonts w:hint="eastAsia" w:ascii="宋体" w:hAnsi="宋体" w:cs="宋体"/>
                <w:snapToGrid w:val="0"/>
                <w:sz w:val="24"/>
                <w:highlight w:val="none"/>
              </w:rPr>
              <w:t>）第</w:t>
            </w:r>
            <w:r>
              <w:rPr>
                <w:rFonts w:hint="eastAsia" w:ascii="宋体" w:hAnsi="宋体" w:cs="宋体"/>
                <w:snapToGrid w:val="0"/>
                <w:sz w:val="24"/>
                <w:highlight w:val="none"/>
                <w:lang w:val="en-US" w:eastAsia="zh-CN"/>
              </w:rPr>
              <w:t>五</w:t>
            </w:r>
            <w:r>
              <w:rPr>
                <w:rFonts w:hint="eastAsia" w:ascii="宋体" w:hAnsi="宋体" w:cs="宋体"/>
                <w:snapToGrid w:val="0"/>
                <w:sz w:val="24"/>
                <w:highlight w:val="none"/>
              </w:rPr>
              <w:t>期：</w:t>
            </w:r>
            <w:r>
              <w:rPr>
                <w:rFonts w:hint="eastAsia" w:ascii="宋体" w:hAnsi="宋体" w:cs="宋体"/>
                <w:sz w:val="24"/>
                <w:highlight w:val="none"/>
                <w:lang w:val="en-US" w:eastAsia="zh-CN"/>
              </w:rPr>
              <w:t>合同满二年，</w:t>
            </w:r>
            <w:r>
              <w:rPr>
                <w:rFonts w:hint="eastAsia" w:ascii="宋体" w:hAnsi="宋体" w:cs="宋体"/>
                <w:snapToGrid w:val="0"/>
                <w:sz w:val="24"/>
                <w:highlight w:val="none"/>
              </w:rPr>
              <w:t>向采购人</w:t>
            </w:r>
            <w:r>
              <w:rPr>
                <w:rFonts w:hint="eastAsia" w:ascii="宋体" w:hAnsi="宋体" w:cs="宋体"/>
                <w:snapToGrid w:val="0"/>
                <w:sz w:val="24"/>
                <w:highlight w:val="none"/>
                <w:lang w:val="en-US" w:eastAsia="zh-CN"/>
              </w:rPr>
              <w:t>申请</w:t>
            </w:r>
            <w:r>
              <w:rPr>
                <w:rFonts w:hint="eastAsia" w:ascii="宋体" w:hAnsi="宋体" w:cs="宋体"/>
                <w:snapToGrid w:val="0"/>
                <w:sz w:val="24"/>
                <w:highlight w:val="none"/>
              </w:rPr>
              <w:t>支付</w:t>
            </w:r>
            <w:r>
              <w:rPr>
                <w:rFonts w:hint="eastAsia" w:ascii="宋体" w:hAnsi="宋体" w:cs="宋体"/>
                <w:snapToGrid w:val="0"/>
                <w:sz w:val="24"/>
                <w:highlight w:val="none"/>
                <w:lang w:val="en-US" w:eastAsia="zh-CN"/>
              </w:rPr>
              <w:t>5</w:t>
            </w:r>
            <w:r>
              <w:rPr>
                <w:rFonts w:ascii="宋体" w:hAnsi="宋体" w:cs="宋体"/>
                <w:snapToGrid w:val="0"/>
                <w:sz w:val="24"/>
                <w:highlight w:val="none"/>
              </w:rPr>
              <w:t>%</w:t>
            </w:r>
            <w:r>
              <w:rPr>
                <w:rFonts w:hint="eastAsia" w:ascii="宋体" w:hAnsi="宋体" w:cs="宋体"/>
                <w:snapToGrid w:val="0"/>
                <w:sz w:val="24"/>
                <w:highlight w:val="none"/>
              </w:rPr>
              <w:t>款项。</w:t>
            </w:r>
          </w:p>
          <w:p w14:paraId="1797E479">
            <w:pPr>
              <w:spacing w:line="360" w:lineRule="auto"/>
              <w:rPr>
                <w:rFonts w:ascii="宋体" w:hAnsi="宋体" w:cs="宋体"/>
                <w:color w:val="auto"/>
                <w:sz w:val="24"/>
                <w:highlight w:val="none"/>
              </w:rPr>
            </w:pPr>
            <w:r>
              <w:rPr>
                <w:rFonts w:hint="eastAsia" w:ascii="宋体" w:hAnsi="宋体" w:cs="宋体"/>
                <w:snapToGrid w:val="0"/>
                <w:sz w:val="24"/>
                <w:highlight w:val="none"/>
              </w:rPr>
              <w:t>（</w:t>
            </w:r>
            <w:r>
              <w:rPr>
                <w:rFonts w:hint="eastAsia" w:ascii="宋体" w:hAnsi="宋体" w:cs="宋体"/>
                <w:snapToGrid w:val="0"/>
                <w:sz w:val="24"/>
                <w:highlight w:val="none"/>
                <w:lang w:val="en-US" w:eastAsia="zh-CN"/>
              </w:rPr>
              <w:t>4</w:t>
            </w:r>
            <w:r>
              <w:rPr>
                <w:rFonts w:hint="eastAsia" w:ascii="宋体" w:hAnsi="宋体" w:cs="宋体"/>
                <w:snapToGrid w:val="0"/>
                <w:sz w:val="24"/>
                <w:highlight w:val="none"/>
              </w:rPr>
              <w:t>）第</w:t>
            </w:r>
            <w:r>
              <w:rPr>
                <w:rFonts w:hint="eastAsia" w:ascii="宋体" w:hAnsi="宋体" w:cs="宋体"/>
                <w:snapToGrid w:val="0"/>
                <w:sz w:val="24"/>
                <w:highlight w:val="none"/>
                <w:lang w:val="en-US" w:eastAsia="zh-CN"/>
              </w:rPr>
              <w:t>六</w:t>
            </w:r>
            <w:r>
              <w:rPr>
                <w:rFonts w:hint="eastAsia" w:ascii="宋体" w:hAnsi="宋体" w:cs="宋体"/>
                <w:snapToGrid w:val="0"/>
                <w:sz w:val="24"/>
                <w:highlight w:val="none"/>
              </w:rPr>
              <w:t>期：</w:t>
            </w:r>
            <w:r>
              <w:rPr>
                <w:rFonts w:hint="eastAsia" w:ascii="宋体" w:hAnsi="宋体" w:cs="宋体"/>
                <w:sz w:val="24"/>
                <w:highlight w:val="none"/>
                <w:lang w:val="en-US" w:eastAsia="zh-CN"/>
              </w:rPr>
              <w:t>合同满三年，</w:t>
            </w:r>
            <w:r>
              <w:rPr>
                <w:rFonts w:hint="eastAsia" w:ascii="宋体" w:hAnsi="宋体" w:cs="宋体"/>
                <w:snapToGrid w:val="0"/>
                <w:sz w:val="24"/>
                <w:highlight w:val="none"/>
              </w:rPr>
              <w:t>向采购人</w:t>
            </w:r>
            <w:r>
              <w:rPr>
                <w:rFonts w:hint="eastAsia" w:ascii="宋体" w:hAnsi="宋体" w:cs="宋体"/>
                <w:snapToGrid w:val="0"/>
                <w:sz w:val="24"/>
                <w:highlight w:val="none"/>
                <w:lang w:val="en-US" w:eastAsia="zh-CN"/>
              </w:rPr>
              <w:t>申请</w:t>
            </w:r>
            <w:r>
              <w:rPr>
                <w:rFonts w:hint="eastAsia" w:ascii="宋体" w:hAnsi="宋体" w:cs="宋体"/>
                <w:snapToGrid w:val="0"/>
                <w:sz w:val="24"/>
                <w:highlight w:val="none"/>
              </w:rPr>
              <w:t>支付剩余</w:t>
            </w:r>
            <w:r>
              <w:rPr>
                <w:rFonts w:hint="eastAsia" w:ascii="宋体" w:hAnsi="宋体" w:cs="宋体"/>
                <w:snapToGrid w:val="0"/>
                <w:sz w:val="24"/>
                <w:highlight w:val="none"/>
                <w:lang w:val="en-US" w:eastAsia="zh-CN"/>
              </w:rPr>
              <w:t>5</w:t>
            </w:r>
            <w:r>
              <w:rPr>
                <w:rFonts w:ascii="宋体" w:hAnsi="宋体" w:cs="宋体"/>
                <w:snapToGrid w:val="0"/>
                <w:sz w:val="24"/>
                <w:highlight w:val="none"/>
              </w:rPr>
              <w:t>%</w:t>
            </w:r>
            <w:r>
              <w:rPr>
                <w:rFonts w:hint="eastAsia" w:ascii="宋体" w:hAnsi="宋体" w:cs="宋体"/>
                <w:snapToGrid w:val="0"/>
                <w:sz w:val="24"/>
                <w:highlight w:val="none"/>
              </w:rPr>
              <w:t>款项。</w:t>
            </w: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r>
              <w:rPr>
                <w:rFonts w:hint="eastAsia" w:ascii="宋体" w:hAnsi="宋体" w:eastAsia="宋体" w:cs="宋体"/>
                <w:snapToGrid w:val="0"/>
                <w:kern w:val="2"/>
                <w:sz w:val="24"/>
                <w:szCs w:val="21"/>
                <w:highlight w:val="none"/>
                <w:lang w:val="en-US" w:eastAsia="zh-CN" w:bidi="ar-SA"/>
              </w:rPr>
              <w:t>3年，项目起始时间以采购人确认的开工令日期开始计算。</w:t>
            </w: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r>
              <w:rPr>
                <w:rFonts w:hint="eastAsia" w:ascii="宋体" w:hAnsi="宋体" w:eastAsia="宋体" w:cs="宋体"/>
                <w:sz w:val="24"/>
              </w:rPr>
              <w:t>杭州市西湖区卫生健康局</w:t>
            </w: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r>
              <w:rPr>
                <w:rFonts w:hint="eastAsia" w:ascii="宋体" w:hAnsi="宋体" w:eastAsia="宋体" w:cs="宋体"/>
                <w:sz w:val="24"/>
              </w:rPr>
              <w:t>现场交付</w:t>
            </w: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77BF441F">
            <w:pPr>
              <w:spacing w:line="360" w:lineRule="auto"/>
              <w:jc w:val="left"/>
              <w:rPr>
                <w:rFonts w:hint="eastAsia" w:ascii="宋体" w:hAnsi="宋体" w:cs="宋体"/>
                <w:sz w:val="24"/>
              </w:rPr>
            </w:pPr>
            <w:r>
              <w:rPr>
                <w:rFonts w:hint="eastAsia" w:ascii="宋体" w:hAnsi="宋体" w:cs="宋体"/>
                <w:sz w:val="24"/>
              </w:rPr>
              <w:t>网络数据安全责任。乙方应按照《网络安全法》、《数据安全法》、《个人信息保护法》的要求，履行网络和数据安全相关责任和义务，项目涉及人员需签订《保密承诺书》，对驻场服务人员进行背景审查。乙方应当采取技术措施和其他必要措施，确保网络和数据安全，防止信息泄露、毁损、丢失。在发生或者可能发生信息泄露、毁损、丢失的情况时，应当立即采取补救措施，并在第一时间告知甲方。未经甲方允许，乙方不得对建设、运营、运维的信息系统、应用、数据库等私开账户、擅自更改权限等操作，严禁乙方多名工作人员共用账号，严禁使用弱密码。乙方应加强网络安全风险监测，制定应急预案，完善应急机制。确保第一时间检测发现，第一时间应急处置，第一时间向甲方报告。</w:t>
            </w:r>
          </w:p>
          <w:p w14:paraId="3F1B1BB5">
            <w:pPr>
              <w:spacing w:line="360" w:lineRule="auto"/>
              <w:rPr>
                <w:rFonts w:ascii="宋体" w:hAnsi="宋体" w:cs="宋体"/>
                <w:color w:val="auto"/>
                <w:sz w:val="24"/>
                <w:highlight w:val="none"/>
              </w:rPr>
            </w:pPr>
            <w:r>
              <w:rPr>
                <w:rFonts w:hint="eastAsia" w:ascii="宋体" w:hAnsi="宋体" w:cs="宋体"/>
                <w:sz w:val="24"/>
              </w:rPr>
              <w:t>网络数据安全处罚。由于乙方原因，受到国家级、省级、市级安全问题通报或造成特别重大事故的，每次扣除合同款5万元、3万元、1万元，乙方不及时处置安全事件、隐患的,每次扣除合同款1万元。乙方派驻的驻场人员未按照甲方工作要求进行出勤的，每出现1人次扣除500元。收到国家、省、市通报后，乙方应及时解决并递交书面整改报告给甲方，若乙方未根据整改报告按期整改的，每次扣除合同款1万元。以上扣除总额不超过合同的20%。</w:t>
            </w: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r>
              <w:rPr>
                <w:rFonts w:hint="eastAsia" w:ascii="宋体" w:hAnsi="宋体" w:cs="宋体"/>
                <w:sz w:val="24"/>
              </w:rPr>
              <w:t>甲方所在地</w:t>
            </w: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sz w:val="24"/>
              </w:rPr>
              <w:t>同1.6.2</w:t>
            </w: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r>
              <w:rPr>
                <w:rFonts w:hint="eastAsia" w:ascii="宋体" w:hAnsi="宋体" w:cs="宋体"/>
                <w:snapToGrid w:val="0"/>
                <w:kern w:val="0"/>
                <w:sz w:val="24"/>
              </w:rPr>
              <w:t>因不可抗力致使合同有变更必要的，双方当事人应在</w:t>
            </w:r>
            <w:r>
              <w:rPr>
                <w:rFonts w:hint="eastAsia" w:ascii="宋体" w:hAnsi="宋体" w:cs="宋体"/>
                <w:snapToGrid w:val="0"/>
                <w:kern w:val="0"/>
                <w:sz w:val="24"/>
                <w:u w:val="single"/>
              </w:rPr>
              <w:t>30日</w:t>
            </w:r>
            <w:r>
              <w:rPr>
                <w:rFonts w:hint="eastAsia" w:ascii="宋体" w:hAnsi="宋体" w:cs="宋体"/>
                <w:snapToGrid w:val="0"/>
                <w:kern w:val="0"/>
                <w:sz w:val="24"/>
              </w:rPr>
              <w:t>内以书面形式变更合同</w:t>
            </w: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r>
              <w:rPr>
                <w:rFonts w:hint="eastAsia" w:ascii="宋体" w:hAnsi="宋体" w:cs="宋体"/>
                <w:snapToGrid w:val="0"/>
                <w:kern w:val="0"/>
                <w:sz w:val="24"/>
              </w:rPr>
              <w:t>受不可抗力影响的一方在不可抗力发生后，应在</w:t>
            </w:r>
            <w:r>
              <w:rPr>
                <w:rFonts w:hint="eastAsia" w:ascii="宋体" w:hAnsi="宋体" w:cs="宋体"/>
                <w:snapToGrid w:val="0"/>
                <w:kern w:val="0"/>
                <w:sz w:val="24"/>
                <w:u w:val="single"/>
              </w:rPr>
              <w:t>15日</w:t>
            </w:r>
            <w:r>
              <w:rPr>
                <w:rFonts w:hint="eastAsia" w:ascii="宋体" w:hAnsi="宋体" w:cs="宋体"/>
                <w:snapToGrid w:val="0"/>
                <w:kern w:val="0"/>
                <w:sz w:val="24"/>
              </w:rPr>
              <w:t>内以书面形式通知对方当事人，并在</w:t>
            </w:r>
            <w:r>
              <w:rPr>
                <w:rFonts w:hint="eastAsia" w:ascii="宋体" w:hAnsi="宋体" w:cs="宋体"/>
                <w:snapToGrid w:val="0"/>
                <w:kern w:val="0"/>
                <w:sz w:val="24"/>
                <w:u w:val="single"/>
              </w:rPr>
              <w:t>15日</w:t>
            </w:r>
            <w:r>
              <w:rPr>
                <w:rFonts w:hint="eastAsia" w:ascii="宋体" w:hAnsi="宋体" w:cs="宋体"/>
                <w:snapToGrid w:val="0"/>
                <w:kern w:val="0"/>
                <w:sz w:val="24"/>
              </w:rPr>
              <w:t>内，将有关部门出具的证明文件送达对方当事人。</w:t>
            </w: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r>
              <w:rPr>
                <w:rFonts w:hint="eastAsia" w:ascii="宋体" w:hAnsi="宋体" w:cs="宋体"/>
                <w:sz w:val="24"/>
              </w:rPr>
              <w:t>按照西湖区数字化项目有关规定执行</w:t>
            </w: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r>
              <w:rPr>
                <w:rFonts w:hint="eastAsia" w:ascii="宋体" w:hAnsi="宋体" w:cs="宋体"/>
                <w:sz w:val="24"/>
              </w:rPr>
              <w:t>服务考核办法及招标文件中记载的采购需求</w:t>
            </w: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r>
              <w:rPr>
                <w:rFonts w:hint="eastAsia" w:ascii="宋体" w:hAnsi="宋体" w:cs="宋体"/>
                <w:sz w:val="24"/>
              </w:rPr>
              <w:t>壹式陆份，甲方执</w:t>
            </w:r>
            <w:r>
              <w:rPr>
                <w:rFonts w:hint="eastAsia" w:ascii="宋体" w:hAnsi="宋体" w:cs="宋体"/>
                <w:b/>
                <w:bCs/>
                <w:sz w:val="24"/>
              </w:rPr>
              <w:t>叁</w:t>
            </w:r>
            <w:r>
              <w:rPr>
                <w:rFonts w:hint="eastAsia" w:ascii="宋体" w:hAnsi="宋体" w:cs="宋体"/>
                <w:sz w:val="24"/>
              </w:rPr>
              <w:t>份，乙方执</w:t>
            </w:r>
            <w:r>
              <w:rPr>
                <w:rFonts w:hint="eastAsia" w:ascii="宋体" w:hAnsi="宋体" w:cs="宋体"/>
                <w:b/>
                <w:bCs/>
                <w:sz w:val="24"/>
              </w:rPr>
              <w:t>贰</w:t>
            </w:r>
            <w:r>
              <w:rPr>
                <w:rFonts w:hint="eastAsia" w:ascii="宋体" w:hAnsi="宋体" w:cs="宋体"/>
                <w:sz w:val="24"/>
              </w:rPr>
              <w:t>份，采购代理机构执</w:t>
            </w:r>
            <w:r>
              <w:rPr>
                <w:rFonts w:hint="eastAsia" w:ascii="宋体" w:hAnsi="宋体" w:cs="宋体"/>
                <w:b/>
                <w:bCs/>
                <w:sz w:val="24"/>
              </w:rPr>
              <w:t>壹</w:t>
            </w:r>
            <w:r>
              <w:rPr>
                <w:rFonts w:hint="eastAsia" w:ascii="宋体" w:hAnsi="宋体" w:cs="宋体"/>
                <w:sz w:val="24"/>
              </w:rPr>
              <w:t>份</w:t>
            </w:r>
          </w:p>
        </w:tc>
      </w:tr>
    </w:tbl>
    <w:p w14:paraId="5F30D4DC">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2024-2027年西湖区卫健互联网+综合监管系统运维服务项目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DXGC2025-XH-023</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2024-2027年西湖区卫健互联网+综合监管系统运维服务项目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DXGC2025-XH-023</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spacing w:line="360" w:lineRule="auto"/>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384EDAD4">
      <w:pPr>
        <w:jc w:val="center"/>
        <w:rPr>
          <w:rFonts w:hint="eastAsia" w:ascii="宋体" w:hAnsi="宋体" w:cs="宋体"/>
          <w:b/>
          <w:color w:val="auto"/>
          <w:kern w:val="0"/>
          <w:sz w:val="32"/>
          <w:szCs w:val="32"/>
          <w:highlight w:val="none"/>
          <w:lang w:val="zh-CN"/>
        </w:rPr>
      </w:pPr>
    </w:p>
    <w:p w14:paraId="3C785981">
      <w:pPr>
        <w:jc w:val="center"/>
        <w:rPr>
          <w:rFonts w:hint="eastAsia" w:ascii="宋体" w:hAnsi="宋体" w:cs="宋体"/>
          <w:b/>
          <w:color w:val="auto"/>
          <w:kern w:val="0"/>
          <w:sz w:val="32"/>
          <w:szCs w:val="32"/>
          <w:highlight w:val="none"/>
          <w:lang w:val="zh-CN"/>
        </w:rPr>
      </w:pPr>
    </w:p>
    <w:p w14:paraId="40FFA7CD">
      <w:pPr>
        <w:jc w:val="center"/>
        <w:rPr>
          <w:rFonts w:hint="eastAsia" w:ascii="宋体" w:hAnsi="宋体" w:cs="宋体"/>
          <w:b/>
          <w:color w:val="auto"/>
          <w:kern w:val="0"/>
          <w:sz w:val="32"/>
          <w:szCs w:val="32"/>
          <w:highlight w:val="none"/>
          <w:lang w:val="zh-CN"/>
        </w:rPr>
      </w:pPr>
    </w:p>
    <w:p w14:paraId="73506C9B">
      <w:pPr>
        <w:jc w:val="center"/>
        <w:rPr>
          <w:rFonts w:hint="eastAsia" w:ascii="宋体" w:hAnsi="宋体" w:cs="宋体"/>
          <w:b/>
          <w:color w:val="auto"/>
          <w:kern w:val="0"/>
          <w:sz w:val="32"/>
          <w:szCs w:val="32"/>
          <w:highlight w:val="none"/>
          <w:lang w:val="zh-CN"/>
        </w:rPr>
      </w:pPr>
    </w:p>
    <w:p w14:paraId="0A393BAB">
      <w:pPr>
        <w:jc w:val="center"/>
        <w:rPr>
          <w:rFonts w:hint="eastAsia" w:ascii="宋体" w:hAnsi="宋体" w:cs="宋体"/>
          <w:b/>
          <w:color w:val="auto"/>
          <w:kern w:val="0"/>
          <w:sz w:val="32"/>
          <w:szCs w:val="32"/>
          <w:highlight w:val="none"/>
          <w:lang w:val="zh-CN"/>
        </w:rPr>
      </w:pPr>
    </w:p>
    <w:p w14:paraId="4D58E706">
      <w:pPr>
        <w:jc w:val="center"/>
        <w:rPr>
          <w:rFonts w:hint="eastAsia" w:ascii="宋体" w:hAnsi="宋体" w:cs="宋体"/>
          <w:b/>
          <w:color w:val="auto"/>
          <w:kern w:val="0"/>
          <w:sz w:val="32"/>
          <w:szCs w:val="32"/>
          <w:highlight w:val="none"/>
          <w:lang w:val="zh-CN"/>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2024-2027年西湖区卫健互联网+综合监管系统运维服务项目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2024-2027年西湖区卫健互联网+综合监管系统运维服务项目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66FE0F81">
      <w:pPr>
        <w:autoSpaceDE w:val="0"/>
        <w:autoSpaceDN w:val="0"/>
        <w:spacing w:line="360" w:lineRule="auto"/>
        <w:jc w:val="center"/>
        <w:rPr>
          <w:rFonts w:hint="eastAsia"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4511187F">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648B3199">
      <w:pPr>
        <w:jc w:val="center"/>
        <w:rPr>
          <w:rFonts w:hint="eastAsia" w:ascii="宋体" w:hAnsi="宋体" w:cs="宋体"/>
          <w:b/>
          <w:color w:val="auto"/>
          <w:kern w:val="0"/>
          <w:sz w:val="32"/>
          <w:szCs w:val="32"/>
          <w:highlight w:val="none"/>
        </w:rPr>
      </w:pPr>
    </w:p>
    <w:p w14:paraId="31D4D3EF">
      <w:pPr>
        <w:jc w:val="center"/>
        <w:rPr>
          <w:rFonts w:hint="eastAsia"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A475C96">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6025A58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浙江鼎欣工程项目管理有限公司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2024-2027年西湖区卫健互联网+综合监管系统运维服务项目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DXGC2025-XH-023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F2C2A71">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1" w:name="OLE_LINK14"/>
      <w:bookmarkStart w:id="512" w:name="OLE_LINK13"/>
      <w:r>
        <w:rPr>
          <w:rFonts w:hint="eastAsia" w:ascii="宋体" w:hAnsi="宋体" w:cs="宋体"/>
          <w:b/>
          <w:color w:val="auto"/>
          <w:spacing w:val="6"/>
          <w:sz w:val="32"/>
          <w:szCs w:val="32"/>
          <w:highlight w:val="none"/>
        </w:rPr>
        <w:t>残疾人福利性单位声明函</w:t>
      </w:r>
    </w:p>
    <w:bookmarkEnd w:id="511"/>
    <w:bookmarkEnd w:id="512"/>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2024-2027年西湖区卫健互联网+综合监管系统运维服务项目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1B4A3E61">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5F82112A">
      <w:pPr>
        <w:spacing w:line="360" w:lineRule="auto"/>
        <w:jc w:val="left"/>
        <w:rPr>
          <w:rFonts w:hint="eastAsia" w:ascii="宋体" w:hAnsi="宋体" w:cs="宋体"/>
          <w:b/>
          <w:color w:val="auto"/>
          <w:spacing w:val="6"/>
          <w:sz w:val="32"/>
          <w:szCs w:val="32"/>
          <w:highlight w:val="none"/>
        </w:rPr>
      </w:pPr>
    </w:p>
    <w:p w14:paraId="0D2825E1">
      <w:pPr>
        <w:spacing w:line="360" w:lineRule="auto"/>
        <w:jc w:val="left"/>
        <w:rPr>
          <w:rFonts w:hint="eastAsia" w:ascii="宋体" w:hAnsi="宋体" w:cs="宋体"/>
          <w:b/>
          <w:color w:val="auto"/>
          <w:spacing w:val="6"/>
          <w:sz w:val="32"/>
          <w:szCs w:val="32"/>
          <w:highlight w:val="none"/>
        </w:rPr>
      </w:pPr>
    </w:p>
    <w:p w14:paraId="5A71C404">
      <w:pPr>
        <w:spacing w:line="360" w:lineRule="auto"/>
        <w:jc w:val="left"/>
        <w:rPr>
          <w:rFonts w:hint="eastAsia" w:ascii="宋体" w:hAnsi="宋体" w:cs="宋体"/>
          <w:b/>
          <w:color w:val="auto"/>
          <w:spacing w:val="6"/>
          <w:sz w:val="32"/>
          <w:szCs w:val="32"/>
          <w:highlight w:val="none"/>
        </w:rPr>
      </w:pPr>
    </w:p>
    <w:p w14:paraId="5CA9F9FA">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01C576F6">
      <w:pPr>
        <w:autoSpaceDE w:val="0"/>
        <w:autoSpaceDN w:val="0"/>
        <w:jc w:val="center"/>
        <w:rPr>
          <w:rFonts w:hint="eastAsia" w:ascii="宋体" w:hAnsi="宋体" w:cs="宋体"/>
          <w:b/>
          <w:color w:val="auto"/>
          <w:spacing w:val="6"/>
          <w:sz w:val="32"/>
          <w:szCs w:val="32"/>
          <w:highlight w:val="none"/>
        </w:rPr>
      </w:pPr>
    </w:p>
    <w:p w14:paraId="180243AE">
      <w:pPr>
        <w:autoSpaceDE w:val="0"/>
        <w:autoSpaceDN w:val="0"/>
        <w:jc w:val="center"/>
        <w:rPr>
          <w:rFonts w:hint="eastAsia" w:ascii="宋体" w:hAnsi="宋体" w:cs="宋体"/>
          <w:b/>
          <w:color w:val="auto"/>
          <w:spacing w:val="6"/>
          <w:sz w:val="32"/>
          <w:szCs w:val="32"/>
          <w:highlight w:val="none"/>
        </w:rPr>
      </w:pPr>
    </w:p>
    <w:p w14:paraId="148586C2">
      <w:pPr>
        <w:autoSpaceDE w:val="0"/>
        <w:autoSpaceDN w:val="0"/>
        <w:jc w:val="center"/>
        <w:rPr>
          <w:rFonts w:hint="eastAsia" w:ascii="宋体" w:hAnsi="宋体" w:cs="宋体"/>
          <w:b/>
          <w:color w:val="auto"/>
          <w:spacing w:val="6"/>
          <w:sz w:val="32"/>
          <w:szCs w:val="32"/>
          <w:highlight w:val="none"/>
        </w:rPr>
      </w:pPr>
    </w:p>
    <w:p w14:paraId="0BAF9DA4">
      <w:pPr>
        <w:autoSpaceDE w:val="0"/>
        <w:autoSpaceDN w:val="0"/>
        <w:jc w:val="center"/>
        <w:rPr>
          <w:rFonts w:hint="eastAsia" w:ascii="宋体" w:hAnsi="宋体" w:cs="宋体"/>
          <w:b/>
          <w:color w:val="auto"/>
          <w:spacing w:val="6"/>
          <w:sz w:val="32"/>
          <w:szCs w:val="32"/>
          <w:highlight w:val="none"/>
        </w:rPr>
      </w:pPr>
    </w:p>
    <w:p w14:paraId="01A6FAED">
      <w:pPr>
        <w:autoSpaceDE w:val="0"/>
        <w:autoSpaceDN w:val="0"/>
        <w:jc w:val="center"/>
        <w:rPr>
          <w:rFonts w:hint="eastAsia" w:ascii="宋体" w:hAnsi="宋体" w:cs="宋体"/>
          <w:b/>
          <w:color w:val="auto"/>
          <w:spacing w:val="6"/>
          <w:sz w:val="32"/>
          <w:szCs w:val="32"/>
          <w:highlight w:val="none"/>
        </w:rPr>
      </w:pPr>
    </w:p>
    <w:p w14:paraId="598EAC06">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杭州市西湖区卫生健康局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浙江鼎欣工程项目管理有限公司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2024-2027年西湖区卫健互联网+综合监管系统运维服务项目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DXGC2025-XH-023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159D068C">
      <w:pPr>
        <w:autoSpaceDE w:val="0"/>
        <w:autoSpaceDN w:val="0"/>
        <w:jc w:val="center"/>
        <w:rPr>
          <w:rFonts w:hint="eastAsia" w:ascii="宋体" w:hAnsi="宋体" w:cs="宋体"/>
          <w:b/>
          <w:color w:val="auto"/>
          <w:spacing w:val="6"/>
          <w:sz w:val="32"/>
          <w:szCs w:val="32"/>
          <w:highlight w:val="none"/>
        </w:rPr>
      </w:pPr>
    </w:p>
    <w:p w14:paraId="2B52830D">
      <w:pPr>
        <w:autoSpaceDE w:val="0"/>
        <w:autoSpaceDN w:val="0"/>
        <w:jc w:val="center"/>
        <w:rPr>
          <w:rFonts w:hint="eastAsia" w:ascii="宋体" w:hAnsi="宋体" w:cs="宋体"/>
          <w:b/>
          <w:color w:val="auto"/>
          <w:spacing w:val="6"/>
          <w:sz w:val="32"/>
          <w:szCs w:val="32"/>
          <w:highlight w:val="none"/>
        </w:rPr>
      </w:pPr>
    </w:p>
    <w:p w14:paraId="15018746">
      <w:pPr>
        <w:autoSpaceDE w:val="0"/>
        <w:autoSpaceDN w:val="0"/>
        <w:jc w:val="center"/>
        <w:rPr>
          <w:rFonts w:hint="eastAsia" w:ascii="宋体" w:hAnsi="宋体" w:cs="宋体"/>
          <w:b/>
          <w:color w:val="auto"/>
          <w:spacing w:val="6"/>
          <w:sz w:val="32"/>
          <w:szCs w:val="32"/>
          <w:highlight w:val="none"/>
        </w:rPr>
      </w:pPr>
    </w:p>
    <w:p w14:paraId="5E97547B">
      <w:pPr>
        <w:autoSpaceDE w:val="0"/>
        <w:autoSpaceDN w:val="0"/>
        <w:jc w:val="center"/>
        <w:rPr>
          <w:rFonts w:hint="eastAsia" w:ascii="宋体" w:hAnsi="宋体" w:cs="宋体"/>
          <w:b/>
          <w:color w:val="auto"/>
          <w:spacing w:val="6"/>
          <w:sz w:val="32"/>
          <w:szCs w:val="32"/>
          <w:highlight w:val="none"/>
        </w:rPr>
      </w:pPr>
    </w:p>
    <w:p w14:paraId="65AB4360">
      <w:pPr>
        <w:autoSpaceDE w:val="0"/>
        <w:autoSpaceDN w:val="0"/>
        <w:jc w:val="center"/>
        <w:rPr>
          <w:rFonts w:hint="eastAsia" w:ascii="宋体" w:hAnsi="宋体" w:cs="宋体"/>
          <w:b/>
          <w:color w:val="auto"/>
          <w:spacing w:val="6"/>
          <w:sz w:val="32"/>
          <w:szCs w:val="32"/>
          <w:highlight w:val="none"/>
        </w:rPr>
      </w:pPr>
    </w:p>
    <w:p w14:paraId="29040C9F">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2024-2027年西湖区卫健互联网+综合监管系统运维服务项目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67E23E31">
      <w:pPr>
        <w:snapToGrid w:val="0"/>
        <w:spacing w:line="360" w:lineRule="auto"/>
        <w:ind w:firstLine="3666" w:firstLineChars="1100"/>
        <w:rPr>
          <w:rFonts w:hint="eastAsia" w:ascii="宋体" w:hAnsi="宋体" w:cs="宋体"/>
          <w:b/>
          <w:color w:val="auto"/>
          <w:spacing w:val="6"/>
          <w:sz w:val="32"/>
          <w:szCs w:val="32"/>
          <w:highlight w:val="none"/>
        </w:rPr>
      </w:pPr>
    </w:p>
    <w:p w14:paraId="4FC61B48">
      <w:pPr>
        <w:snapToGrid w:val="0"/>
        <w:spacing w:line="360" w:lineRule="auto"/>
        <w:ind w:firstLine="3666" w:firstLineChars="1100"/>
        <w:rPr>
          <w:rFonts w:hint="eastAsia" w:ascii="宋体" w:hAnsi="宋体" w:cs="宋体"/>
          <w:b/>
          <w:color w:val="auto"/>
          <w:spacing w:val="6"/>
          <w:sz w:val="32"/>
          <w:szCs w:val="32"/>
          <w:highlight w:val="none"/>
        </w:rPr>
      </w:pPr>
    </w:p>
    <w:p w14:paraId="1236A454">
      <w:pPr>
        <w:snapToGrid w:val="0"/>
        <w:spacing w:line="360" w:lineRule="auto"/>
        <w:rPr>
          <w:rFonts w:hint="eastAsia" w:ascii="宋体" w:hAnsi="宋体" w:cs="宋体"/>
          <w:b/>
          <w:color w:val="auto"/>
          <w:spacing w:val="6"/>
          <w:sz w:val="32"/>
          <w:szCs w:val="32"/>
          <w:highlight w:val="none"/>
        </w:rPr>
      </w:pPr>
    </w:p>
    <w:p w14:paraId="7F49C322">
      <w:pPr>
        <w:snapToGrid w:val="0"/>
        <w:spacing w:line="360" w:lineRule="auto"/>
        <w:ind w:firstLine="3666" w:firstLineChars="1100"/>
        <w:rPr>
          <w:rFonts w:hint="eastAsia"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2024-2027年西湖区卫健互联网+综合监管系统运维服务项目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DXGC2025-XH-023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0DD47EF3">
      <w:pPr>
        <w:spacing w:line="360" w:lineRule="auto"/>
        <w:jc w:val="left"/>
        <w:outlineLvl w:val="0"/>
        <w:rPr>
          <w:rFonts w:hint="eastAsia" w:ascii="宋体" w:hAnsi="宋体" w:cs="宋体"/>
          <w:b/>
          <w:color w:val="auto"/>
          <w:sz w:val="36"/>
          <w:szCs w:val="20"/>
          <w:highlight w:val="none"/>
        </w:rPr>
      </w:pPr>
    </w:p>
    <w:p w14:paraId="5DA19EA5">
      <w:pPr>
        <w:spacing w:line="360" w:lineRule="auto"/>
        <w:jc w:val="left"/>
        <w:outlineLvl w:val="0"/>
        <w:rPr>
          <w:rFonts w:hint="eastAsia" w:ascii="宋体" w:hAnsi="宋体" w:cs="宋体"/>
          <w:b/>
          <w:color w:val="auto"/>
          <w:sz w:val="36"/>
          <w:szCs w:val="20"/>
          <w:highlight w:val="none"/>
        </w:rPr>
      </w:pPr>
    </w:p>
    <w:p w14:paraId="17C726C3">
      <w:pPr>
        <w:spacing w:line="360" w:lineRule="auto"/>
        <w:jc w:val="left"/>
        <w:outlineLvl w:val="0"/>
        <w:rPr>
          <w:rFonts w:hint="eastAsia" w:ascii="宋体" w:hAnsi="宋体" w:cs="宋体"/>
          <w:b/>
          <w:color w:val="auto"/>
          <w:sz w:val="36"/>
          <w:szCs w:val="20"/>
          <w:highlight w:val="none"/>
        </w:rPr>
      </w:pPr>
    </w:p>
    <w:p w14:paraId="44281822">
      <w:pPr>
        <w:spacing w:line="360" w:lineRule="auto"/>
        <w:jc w:val="left"/>
        <w:outlineLvl w:val="0"/>
        <w:rPr>
          <w:rFonts w:hint="eastAsia" w:ascii="宋体" w:hAnsi="宋体" w:cs="宋体"/>
          <w:b/>
          <w:color w:val="auto"/>
          <w:sz w:val="36"/>
          <w:szCs w:val="20"/>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杭州市西湖区卫生健康局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2024-2027年西湖区卫健互联网+综合监管系统运维服务项目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31845147"/>
    <w:bookmarkStart w:id="517" w:name="_Toc164085800"/>
    <w:bookmarkStart w:id="518" w:name="_Toc36110187"/>
    <w:bookmarkStart w:id="519" w:name="_Toc91899912"/>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769A4CC2"/>
    <w:multiLevelType w:val="multilevel"/>
    <w:tmpl w:val="769A4CC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0" w:hash="O7Rc9kHIxHAglnT1EONY2eO8yqA=" w:salt="AYD9FTbggQ4feAn/IXyHbQ=="/>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632E9"/>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96A80"/>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B561A"/>
    <w:rsid w:val="342E63AB"/>
    <w:rsid w:val="34950E68"/>
    <w:rsid w:val="34986E94"/>
    <w:rsid w:val="34AF62C9"/>
    <w:rsid w:val="34CB4388"/>
    <w:rsid w:val="34FA6E12"/>
    <w:rsid w:val="354D7158"/>
    <w:rsid w:val="358D5588"/>
    <w:rsid w:val="363A3B40"/>
    <w:rsid w:val="365302AE"/>
    <w:rsid w:val="36607A0A"/>
    <w:rsid w:val="366A4BE9"/>
    <w:rsid w:val="366E227C"/>
    <w:rsid w:val="366F2E0D"/>
    <w:rsid w:val="367B6A5C"/>
    <w:rsid w:val="36A74ADA"/>
    <w:rsid w:val="36AD60D5"/>
    <w:rsid w:val="36B224F9"/>
    <w:rsid w:val="36EC0CC9"/>
    <w:rsid w:val="373F410B"/>
    <w:rsid w:val="37EE7094"/>
    <w:rsid w:val="38272709"/>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D72DD3"/>
    <w:rsid w:val="4FE625E0"/>
    <w:rsid w:val="4FFE6835"/>
    <w:rsid w:val="5021480F"/>
    <w:rsid w:val="50962ECB"/>
    <w:rsid w:val="509937A3"/>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D36C8"/>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F227A4"/>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065E0F"/>
    <w:rsid w:val="60232584"/>
    <w:rsid w:val="607330CE"/>
    <w:rsid w:val="60825176"/>
    <w:rsid w:val="609F2AC4"/>
    <w:rsid w:val="60FA2EE8"/>
    <w:rsid w:val="60FC0DF8"/>
    <w:rsid w:val="61054A27"/>
    <w:rsid w:val="610A52BC"/>
    <w:rsid w:val="611D2366"/>
    <w:rsid w:val="61421856"/>
    <w:rsid w:val="615227C4"/>
    <w:rsid w:val="61654E3F"/>
    <w:rsid w:val="617B78D6"/>
    <w:rsid w:val="6182292A"/>
    <w:rsid w:val="619F7F92"/>
    <w:rsid w:val="61BF394A"/>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C878AB"/>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924BE5"/>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6"/>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39454</Words>
  <Characters>41769</Characters>
  <Lines>281</Lines>
  <Paragraphs>79</Paragraphs>
  <TotalTime>39</TotalTime>
  <ScaleCrop>false</ScaleCrop>
  <LinksUpToDate>false</LinksUpToDate>
  <CharactersWithSpaces>47273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就叫西瓜吧</cp:lastModifiedBy>
  <cp:lastPrinted>2021-12-28T03:06:00Z</cp:lastPrinted>
  <dcterms:modified xsi:type="dcterms:W3CDTF">2025-03-07T02:52:44Z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eyJoZGlkIjoiN2YzNjBkOTgyNWQ1YTMxYzM3MzMwNWFiODNmOWIzYWMiLCJ1c2VySWQiOiI0MjA4OTE4NDAifQ==</vt:lpwstr>
  </property>
</Properties>
</file>