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CEF118">
      <w:pPr>
        <w:jc w:val="center"/>
        <w:rPr>
          <w:rFonts w:hint="eastAsia" w:ascii="宋体" w:eastAsia="宋体"/>
          <w:b/>
          <w:color w:val="auto"/>
          <w:sz w:val="44"/>
          <w:szCs w:val="44"/>
          <w:highlight w:val="none"/>
          <w:lang w:eastAsia="zh-CN"/>
        </w:rPr>
      </w:pPr>
      <w:r>
        <w:rPr>
          <w:rFonts w:hint="eastAsia" w:ascii="宋体" w:hAnsi="宋体"/>
          <w:b/>
          <w:color w:val="auto"/>
          <w:sz w:val="44"/>
          <w:szCs w:val="44"/>
          <w:highlight w:val="none"/>
          <w:lang w:eastAsia="zh-CN"/>
        </w:rPr>
        <w:t>泰宇建筑工程技术咨询有限公司关于东阳市公共视频监控项目监理服务</w:t>
      </w:r>
    </w:p>
    <w:p w14:paraId="30115D71">
      <w:pPr>
        <w:spacing w:beforeLines="50" w:line="360" w:lineRule="auto"/>
        <w:jc w:val="center"/>
        <w:rPr>
          <w:rFonts w:ascii="宋体"/>
          <w:color w:val="auto"/>
          <w:sz w:val="72"/>
          <w:szCs w:val="72"/>
          <w:highlight w:val="none"/>
        </w:rPr>
      </w:pPr>
    </w:p>
    <w:p w14:paraId="269482C7">
      <w:pPr>
        <w:spacing w:beforeLines="50" w:line="360" w:lineRule="auto"/>
        <w:jc w:val="center"/>
        <w:rPr>
          <w:rFonts w:ascii="宋体"/>
          <w:color w:val="auto"/>
          <w:sz w:val="72"/>
          <w:szCs w:val="72"/>
          <w:highlight w:val="none"/>
        </w:rPr>
      </w:pPr>
    </w:p>
    <w:p w14:paraId="4EEF95C7">
      <w:pPr>
        <w:spacing w:beforeLines="50" w:line="360" w:lineRule="auto"/>
        <w:jc w:val="center"/>
        <w:rPr>
          <w:rFonts w:ascii="宋体"/>
          <w:color w:val="auto"/>
          <w:sz w:val="72"/>
          <w:szCs w:val="72"/>
          <w:highlight w:val="none"/>
        </w:rPr>
      </w:pPr>
      <w:r>
        <w:rPr>
          <w:rFonts w:hint="eastAsia" w:ascii="宋体" w:hAnsi="宋体"/>
          <w:color w:val="auto"/>
          <w:sz w:val="72"/>
          <w:szCs w:val="72"/>
          <w:highlight w:val="none"/>
        </w:rPr>
        <w:t>公开招标采购文件</w:t>
      </w:r>
      <w:bookmarkStart w:id="72" w:name="_GoBack"/>
      <w:bookmarkEnd w:id="72"/>
    </w:p>
    <w:p w14:paraId="414D4D70">
      <w:pPr>
        <w:snapToGrid w:val="0"/>
        <w:spacing w:beforeLines="50" w:line="360" w:lineRule="auto"/>
        <w:jc w:val="center"/>
        <w:rPr>
          <w:rFonts w:ascii="宋体"/>
          <w:color w:val="auto"/>
          <w:sz w:val="30"/>
          <w:szCs w:val="72"/>
          <w:highlight w:val="none"/>
        </w:rPr>
      </w:pPr>
    </w:p>
    <w:p w14:paraId="736D942D">
      <w:pPr>
        <w:snapToGrid w:val="0"/>
        <w:spacing w:beforeLines="50" w:line="360" w:lineRule="auto"/>
        <w:jc w:val="center"/>
        <w:rPr>
          <w:rFonts w:ascii="宋体"/>
          <w:color w:val="auto"/>
          <w:sz w:val="30"/>
          <w:szCs w:val="72"/>
          <w:highlight w:val="none"/>
        </w:rPr>
      </w:pPr>
    </w:p>
    <w:p w14:paraId="5F82E9E7">
      <w:pPr>
        <w:snapToGrid w:val="0"/>
        <w:spacing w:beforeLines="50" w:line="360" w:lineRule="auto"/>
        <w:rPr>
          <w:rFonts w:ascii="宋体"/>
          <w:color w:val="auto"/>
          <w:sz w:val="30"/>
          <w:szCs w:val="72"/>
          <w:highlight w:val="none"/>
        </w:rPr>
      </w:pPr>
    </w:p>
    <w:p w14:paraId="3025F696">
      <w:pPr>
        <w:snapToGrid w:val="0"/>
        <w:spacing w:beforeLines="50" w:line="360" w:lineRule="auto"/>
        <w:jc w:val="center"/>
        <w:rPr>
          <w:rFonts w:ascii="宋体"/>
          <w:color w:val="auto"/>
          <w:sz w:val="30"/>
          <w:szCs w:val="72"/>
          <w:highlight w:val="none"/>
        </w:rPr>
      </w:pPr>
    </w:p>
    <w:p w14:paraId="6F3340E5">
      <w:pPr>
        <w:pStyle w:val="26"/>
        <w:snapToGrid w:val="0"/>
        <w:spacing w:before="120" w:after="120" w:line="360" w:lineRule="auto"/>
        <w:rPr>
          <w:rFonts w:hint="eastAsia" w:hAnsi="宋体" w:eastAsia="宋体"/>
          <w:b/>
          <w:bCs/>
          <w:color w:val="auto"/>
          <w:sz w:val="28"/>
          <w:szCs w:val="28"/>
          <w:highlight w:val="none"/>
          <w:lang w:eastAsia="zh-CN"/>
        </w:rPr>
      </w:pPr>
      <w:r>
        <w:rPr>
          <w:rFonts w:hint="eastAsia" w:hAnsi="宋体"/>
          <w:b/>
          <w:bCs/>
          <w:color w:val="auto"/>
          <w:sz w:val="28"/>
          <w:szCs w:val="28"/>
          <w:highlight w:val="none"/>
        </w:rPr>
        <w:t>项目编号：</w:t>
      </w:r>
      <w:r>
        <w:rPr>
          <w:rFonts w:hint="eastAsia" w:hAnsi="宋体"/>
          <w:b/>
          <w:bCs/>
          <w:color w:val="auto"/>
          <w:sz w:val="28"/>
          <w:szCs w:val="28"/>
          <w:highlight w:val="none"/>
          <w:lang w:eastAsia="zh-CN"/>
        </w:rPr>
        <w:t>TYZX2025-001</w:t>
      </w:r>
    </w:p>
    <w:p w14:paraId="7AFE7FD1">
      <w:pPr>
        <w:pStyle w:val="26"/>
        <w:snapToGrid w:val="0"/>
        <w:spacing w:before="120" w:after="120" w:line="360" w:lineRule="auto"/>
        <w:rPr>
          <w:rFonts w:hint="eastAsia" w:hAnsi="宋体" w:eastAsia="宋体"/>
          <w:b/>
          <w:bCs/>
          <w:color w:val="auto"/>
          <w:spacing w:val="-6"/>
          <w:sz w:val="28"/>
          <w:szCs w:val="28"/>
          <w:highlight w:val="none"/>
          <w:lang w:eastAsia="zh-CN"/>
        </w:rPr>
      </w:pPr>
      <w:r>
        <w:rPr>
          <w:rFonts w:hint="eastAsia" w:hAnsi="宋体"/>
          <w:b/>
          <w:bCs/>
          <w:color w:val="auto"/>
          <w:sz w:val="28"/>
          <w:szCs w:val="28"/>
          <w:highlight w:val="none"/>
        </w:rPr>
        <w:t>项目名称：</w:t>
      </w:r>
      <w:r>
        <w:rPr>
          <w:rFonts w:hint="eastAsia" w:hAnsi="宋体"/>
          <w:b/>
          <w:bCs/>
          <w:color w:val="auto"/>
          <w:spacing w:val="-6"/>
          <w:sz w:val="28"/>
          <w:szCs w:val="28"/>
          <w:highlight w:val="none"/>
          <w:lang w:eastAsia="zh-CN"/>
        </w:rPr>
        <w:t>东阳市公共视频监控项目监理服务</w:t>
      </w:r>
    </w:p>
    <w:p w14:paraId="53925FB0">
      <w:pPr>
        <w:pStyle w:val="26"/>
        <w:snapToGrid w:val="0"/>
        <w:spacing w:before="120" w:after="120" w:line="360" w:lineRule="auto"/>
        <w:rPr>
          <w:rFonts w:hint="eastAsia" w:hAnsi="宋体" w:eastAsia="宋体"/>
          <w:b/>
          <w:bCs/>
          <w:color w:val="auto"/>
          <w:sz w:val="28"/>
          <w:szCs w:val="28"/>
          <w:highlight w:val="none"/>
          <w:lang w:eastAsia="zh-CN"/>
        </w:rPr>
      </w:pPr>
      <w:r>
        <w:rPr>
          <w:rFonts w:hint="eastAsia" w:hAnsi="宋体"/>
          <w:b/>
          <w:bCs/>
          <w:color w:val="auto"/>
          <w:sz w:val="28"/>
          <w:szCs w:val="28"/>
          <w:highlight w:val="none"/>
        </w:rPr>
        <w:t>采购单位：</w:t>
      </w:r>
      <w:r>
        <w:rPr>
          <w:rFonts w:hint="eastAsia" w:hAnsi="宋体"/>
          <w:b/>
          <w:bCs/>
          <w:color w:val="auto"/>
          <w:sz w:val="28"/>
          <w:szCs w:val="28"/>
          <w:highlight w:val="none"/>
          <w:lang w:eastAsia="zh-CN"/>
        </w:rPr>
        <w:t>东阳市公安局</w:t>
      </w:r>
    </w:p>
    <w:p w14:paraId="4BF65B0F">
      <w:pPr>
        <w:pStyle w:val="26"/>
        <w:snapToGrid w:val="0"/>
        <w:spacing w:before="120" w:after="120" w:line="360" w:lineRule="auto"/>
        <w:rPr>
          <w:rFonts w:hint="eastAsia" w:hAnsi="宋体" w:eastAsia="宋体"/>
          <w:b/>
          <w:bCs/>
          <w:color w:val="auto"/>
          <w:sz w:val="28"/>
          <w:szCs w:val="28"/>
          <w:highlight w:val="none"/>
          <w:lang w:eastAsia="zh-CN"/>
        </w:rPr>
      </w:pPr>
      <w:r>
        <w:rPr>
          <w:rFonts w:hint="eastAsia" w:hAnsi="宋体"/>
          <w:b/>
          <w:bCs/>
          <w:color w:val="auto"/>
          <w:sz w:val="28"/>
          <w:szCs w:val="28"/>
          <w:highlight w:val="none"/>
        </w:rPr>
        <w:t>招标机构：</w:t>
      </w:r>
      <w:r>
        <w:rPr>
          <w:rFonts w:hint="eastAsia" w:hAnsi="宋体"/>
          <w:b/>
          <w:color w:val="auto"/>
          <w:sz w:val="28"/>
          <w:szCs w:val="44"/>
          <w:highlight w:val="none"/>
          <w:lang w:eastAsia="zh-CN"/>
        </w:rPr>
        <w:t>泰宇建筑工程技术咨询有限公司</w:t>
      </w:r>
    </w:p>
    <w:p w14:paraId="48C2A7D3">
      <w:pPr>
        <w:pStyle w:val="26"/>
        <w:snapToGrid w:val="0"/>
        <w:spacing w:before="120" w:after="120" w:line="360" w:lineRule="auto"/>
        <w:rPr>
          <w:rFonts w:hAnsi="宋体"/>
          <w:b/>
          <w:color w:val="auto"/>
          <w:sz w:val="30"/>
          <w:szCs w:val="48"/>
          <w:highlight w:val="none"/>
        </w:rPr>
      </w:pPr>
    </w:p>
    <w:p w14:paraId="097B578E">
      <w:pPr>
        <w:rPr>
          <w:color w:val="auto"/>
          <w:highlight w:val="none"/>
        </w:rPr>
      </w:pPr>
    </w:p>
    <w:p w14:paraId="0E55AA0C">
      <w:pPr>
        <w:snapToGrid w:val="0"/>
        <w:spacing w:beforeLines="50" w:line="360" w:lineRule="auto"/>
        <w:ind w:left="384" w:leftChars="183" w:firstLine="5633" w:firstLineChars="2004"/>
        <w:rPr>
          <w:rFonts w:hint="eastAsia" w:ascii="宋体" w:hAnsi="宋体"/>
          <w:b/>
          <w:color w:val="auto"/>
          <w:sz w:val="28"/>
          <w:szCs w:val="44"/>
          <w:highlight w:val="none"/>
          <w:lang w:val="en-US" w:eastAsia="zh-CN"/>
        </w:rPr>
        <w:sectPr>
          <w:footerReference r:id="rId5" w:type="first"/>
          <w:headerReference r:id="rId3" w:type="default"/>
          <w:footerReference r:id="rId4" w:type="default"/>
          <w:pgSz w:w="11906" w:h="16838"/>
          <w:pgMar w:top="1587" w:right="907" w:bottom="907" w:left="1588" w:header="851" w:footer="850" w:gutter="0"/>
          <w:pgNumType w:start="1"/>
          <w:cols w:space="720" w:num="1"/>
          <w:titlePg/>
          <w:docGrid w:linePitch="312" w:charSpace="0"/>
        </w:sectPr>
      </w:pPr>
      <w:r>
        <w:rPr>
          <w:rFonts w:hint="eastAsia" w:ascii="宋体" w:hAnsi="宋体"/>
          <w:b/>
          <w:color w:val="auto"/>
          <w:sz w:val="28"/>
          <w:szCs w:val="44"/>
          <w:highlight w:val="none"/>
          <w:lang w:val="en-US" w:eastAsia="zh-CN"/>
        </w:rPr>
        <w:t>2025</w:t>
      </w:r>
      <w:r>
        <w:rPr>
          <w:rFonts w:hint="eastAsia" w:ascii="宋体" w:hAnsi="宋体"/>
          <w:b/>
          <w:color w:val="auto"/>
          <w:sz w:val="28"/>
          <w:szCs w:val="44"/>
          <w:highlight w:val="none"/>
        </w:rPr>
        <w:t>年</w:t>
      </w:r>
      <w:r>
        <w:rPr>
          <w:rFonts w:hint="eastAsia" w:ascii="宋体" w:hAnsi="宋体"/>
          <w:b/>
          <w:color w:val="auto"/>
          <w:sz w:val="28"/>
          <w:szCs w:val="44"/>
          <w:highlight w:val="none"/>
          <w:lang w:val="en-US" w:eastAsia="zh-CN"/>
        </w:rPr>
        <w:t>4月</w:t>
      </w:r>
    </w:p>
    <w:p w14:paraId="7F414562">
      <w:pPr>
        <w:pStyle w:val="26"/>
        <w:spacing w:before="120" w:after="120" w:line="360" w:lineRule="auto"/>
        <w:jc w:val="center"/>
        <w:rPr>
          <w:rFonts w:hint="eastAsia" w:ascii="创艺简标宋" w:hAnsi="宋体" w:eastAsia="创艺简标宋"/>
          <w:color w:val="auto"/>
          <w:sz w:val="44"/>
          <w:szCs w:val="44"/>
          <w:highlight w:val="none"/>
        </w:rPr>
      </w:pPr>
    </w:p>
    <w:p w14:paraId="6FA7A6C8">
      <w:pPr>
        <w:pStyle w:val="26"/>
        <w:spacing w:before="120" w:after="120" w:line="360" w:lineRule="auto"/>
        <w:jc w:val="center"/>
        <w:rPr>
          <w:rFonts w:ascii="创艺简标宋" w:hAnsi="宋体" w:eastAsia="创艺简标宋"/>
          <w:color w:val="auto"/>
          <w:sz w:val="44"/>
          <w:szCs w:val="44"/>
          <w:highlight w:val="none"/>
        </w:rPr>
      </w:pPr>
      <w:r>
        <w:rPr>
          <w:rFonts w:hint="eastAsia" w:ascii="创艺简标宋" w:hAnsi="宋体" w:eastAsia="创艺简标宋"/>
          <w:color w:val="auto"/>
          <w:sz w:val="44"/>
          <w:szCs w:val="44"/>
          <w:highlight w:val="none"/>
        </w:rPr>
        <w:t>目录</w:t>
      </w:r>
    </w:p>
    <w:p w14:paraId="7D6E7B2B">
      <w:pPr>
        <w:numPr>
          <w:ilvl w:val="0"/>
          <w:numId w:val="2"/>
        </w:numPr>
        <w:spacing w:beforeLines="50" w:line="360" w:lineRule="auto"/>
        <w:rPr>
          <w:rFonts w:ascii="宋体"/>
          <w:color w:val="auto"/>
          <w:sz w:val="30"/>
          <w:szCs w:val="20"/>
          <w:highlight w:val="none"/>
        </w:rPr>
      </w:pPr>
      <w:r>
        <w:rPr>
          <w:rFonts w:hint="eastAsia" w:ascii="宋体" w:hAnsi="宋体"/>
          <w:color w:val="auto"/>
          <w:sz w:val="30"/>
          <w:highlight w:val="none"/>
        </w:rPr>
        <w:t>公开招标采购公告</w:t>
      </w:r>
    </w:p>
    <w:p w14:paraId="32F026D2">
      <w:pPr>
        <w:numPr>
          <w:ilvl w:val="0"/>
          <w:numId w:val="2"/>
        </w:numPr>
        <w:spacing w:beforeLines="50" w:line="360" w:lineRule="auto"/>
        <w:rPr>
          <w:rFonts w:ascii="宋体"/>
          <w:color w:val="auto"/>
          <w:sz w:val="30"/>
          <w:szCs w:val="20"/>
          <w:highlight w:val="none"/>
        </w:rPr>
      </w:pPr>
      <w:r>
        <w:rPr>
          <w:rFonts w:hint="eastAsia" w:ascii="宋体" w:hAnsi="宋体"/>
          <w:color w:val="auto"/>
          <w:sz w:val="30"/>
          <w:highlight w:val="none"/>
        </w:rPr>
        <w:t>招标需求</w:t>
      </w:r>
    </w:p>
    <w:p w14:paraId="02603956">
      <w:pPr>
        <w:numPr>
          <w:ilvl w:val="0"/>
          <w:numId w:val="2"/>
        </w:numPr>
        <w:spacing w:beforeLines="50" w:line="360" w:lineRule="auto"/>
        <w:rPr>
          <w:rFonts w:ascii="宋体"/>
          <w:color w:val="auto"/>
          <w:sz w:val="30"/>
          <w:szCs w:val="20"/>
          <w:highlight w:val="none"/>
        </w:rPr>
      </w:pPr>
      <w:r>
        <w:rPr>
          <w:rFonts w:hint="eastAsia" w:ascii="宋体" w:hAnsi="宋体"/>
          <w:color w:val="auto"/>
          <w:sz w:val="30"/>
          <w:highlight w:val="none"/>
        </w:rPr>
        <w:t>投标人须知</w:t>
      </w:r>
    </w:p>
    <w:p w14:paraId="7D674B54">
      <w:pPr>
        <w:numPr>
          <w:ilvl w:val="0"/>
          <w:numId w:val="2"/>
        </w:numPr>
        <w:spacing w:beforeLines="50" w:line="360" w:lineRule="auto"/>
        <w:rPr>
          <w:rFonts w:ascii="宋体"/>
          <w:color w:val="auto"/>
          <w:sz w:val="30"/>
          <w:szCs w:val="20"/>
          <w:highlight w:val="none"/>
        </w:rPr>
      </w:pPr>
      <w:r>
        <w:rPr>
          <w:rFonts w:hint="eastAsia" w:ascii="宋体" w:hAnsi="宋体"/>
          <w:color w:val="auto"/>
          <w:sz w:val="30"/>
          <w:highlight w:val="none"/>
        </w:rPr>
        <w:t>评标办法及评分标准</w:t>
      </w:r>
    </w:p>
    <w:p w14:paraId="3384DC06">
      <w:pPr>
        <w:numPr>
          <w:ilvl w:val="0"/>
          <w:numId w:val="2"/>
        </w:numPr>
        <w:spacing w:beforeLines="50" w:line="360" w:lineRule="auto"/>
        <w:rPr>
          <w:rFonts w:ascii="宋体"/>
          <w:color w:val="auto"/>
          <w:sz w:val="30"/>
          <w:szCs w:val="20"/>
          <w:highlight w:val="none"/>
        </w:rPr>
      </w:pPr>
      <w:r>
        <w:rPr>
          <w:rFonts w:hint="eastAsia" w:ascii="宋体" w:hAnsi="宋体"/>
          <w:color w:val="auto"/>
          <w:sz w:val="30"/>
          <w:highlight w:val="none"/>
        </w:rPr>
        <w:t>政府采购合同主要条款</w:t>
      </w:r>
    </w:p>
    <w:p w14:paraId="7C32A45E">
      <w:pPr>
        <w:numPr>
          <w:ilvl w:val="0"/>
          <w:numId w:val="2"/>
        </w:numPr>
        <w:spacing w:beforeLines="50" w:line="360" w:lineRule="auto"/>
        <w:rPr>
          <w:rFonts w:ascii="宋体"/>
          <w:color w:val="auto"/>
          <w:sz w:val="30"/>
          <w:szCs w:val="20"/>
          <w:highlight w:val="none"/>
        </w:rPr>
      </w:pPr>
      <w:r>
        <w:rPr>
          <w:rFonts w:hint="eastAsia" w:ascii="宋体" w:hAnsi="宋体"/>
          <w:color w:val="auto"/>
          <w:sz w:val="30"/>
          <w:highlight w:val="none"/>
        </w:rPr>
        <w:t>投标文件格式</w:t>
      </w:r>
    </w:p>
    <w:p w14:paraId="67429E1E">
      <w:pPr>
        <w:pStyle w:val="26"/>
        <w:snapToGrid w:val="0"/>
        <w:spacing w:before="120" w:after="120" w:line="360" w:lineRule="auto"/>
        <w:outlineLvl w:val="0"/>
        <w:rPr>
          <w:rFonts w:ascii="黑体" w:hAnsi="宋体" w:eastAsia="黑体"/>
          <w:b/>
          <w:bCs/>
          <w:color w:val="auto"/>
          <w:sz w:val="36"/>
          <w:szCs w:val="36"/>
          <w:highlight w:val="none"/>
        </w:rPr>
      </w:pPr>
    </w:p>
    <w:p w14:paraId="0C99A6B9">
      <w:pPr>
        <w:pStyle w:val="26"/>
        <w:snapToGrid w:val="0"/>
        <w:spacing w:before="120" w:after="120" w:line="360" w:lineRule="auto"/>
        <w:outlineLvl w:val="0"/>
        <w:rPr>
          <w:rFonts w:ascii="黑体" w:hAnsi="宋体" w:eastAsia="黑体"/>
          <w:b/>
          <w:bCs/>
          <w:color w:val="auto"/>
          <w:sz w:val="36"/>
          <w:szCs w:val="36"/>
          <w:highlight w:val="none"/>
        </w:rPr>
      </w:pPr>
    </w:p>
    <w:p w14:paraId="6EC0C952">
      <w:pPr>
        <w:pStyle w:val="26"/>
        <w:snapToGrid w:val="0"/>
        <w:spacing w:before="120" w:after="120" w:line="360" w:lineRule="auto"/>
        <w:outlineLvl w:val="0"/>
        <w:rPr>
          <w:rFonts w:ascii="黑体" w:hAnsi="宋体" w:eastAsia="黑体"/>
          <w:b/>
          <w:bCs/>
          <w:color w:val="auto"/>
          <w:sz w:val="36"/>
          <w:szCs w:val="36"/>
          <w:highlight w:val="none"/>
        </w:rPr>
      </w:pPr>
    </w:p>
    <w:p w14:paraId="79A46ECF">
      <w:pPr>
        <w:widowControl/>
        <w:jc w:val="left"/>
        <w:rPr>
          <w:rFonts w:ascii="仿宋" w:hAnsi="仿宋" w:eastAsia="仿宋"/>
          <w:color w:val="auto"/>
          <w:sz w:val="28"/>
          <w:szCs w:val="28"/>
          <w:highlight w:val="none"/>
        </w:rPr>
      </w:pPr>
    </w:p>
    <w:p w14:paraId="2B6EAA47">
      <w:pPr>
        <w:widowControl/>
        <w:jc w:val="left"/>
        <w:rPr>
          <w:rFonts w:ascii="仿宋" w:hAnsi="仿宋" w:eastAsia="仿宋"/>
          <w:color w:val="auto"/>
          <w:sz w:val="28"/>
          <w:szCs w:val="28"/>
          <w:highlight w:val="none"/>
        </w:rPr>
      </w:pPr>
    </w:p>
    <w:p w14:paraId="7027266A">
      <w:pPr>
        <w:widowControl/>
        <w:jc w:val="left"/>
        <w:rPr>
          <w:rFonts w:ascii="仿宋" w:hAnsi="仿宋" w:eastAsia="仿宋"/>
          <w:color w:val="auto"/>
          <w:sz w:val="28"/>
          <w:szCs w:val="28"/>
          <w:highlight w:val="none"/>
        </w:rPr>
      </w:pPr>
    </w:p>
    <w:p w14:paraId="39D88011">
      <w:pPr>
        <w:pStyle w:val="26"/>
        <w:snapToGrid w:val="0"/>
        <w:spacing w:before="120" w:after="120" w:line="360" w:lineRule="auto"/>
        <w:jc w:val="center"/>
        <w:outlineLvl w:val="0"/>
        <w:rPr>
          <w:rFonts w:ascii="黑体" w:hAnsi="宋体" w:eastAsia="黑体"/>
          <w:b/>
          <w:bCs/>
          <w:color w:val="auto"/>
          <w:sz w:val="32"/>
          <w:szCs w:val="32"/>
          <w:highlight w:val="none"/>
        </w:rPr>
      </w:pPr>
    </w:p>
    <w:p w14:paraId="0D5B5E30">
      <w:pPr>
        <w:pStyle w:val="26"/>
        <w:snapToGrid w:val="0"/>
        <w:spacing w:before="120" w:after="120" w:line="360" w:lineRule="auto"/>
        <w:jc w:val="center"/>
        <w:outlineLvl w:val="0"/>
        <w:rPr>
          <w:rFonts w:ascii="黑体" w:hAnsi="宋体" w:eastAsia="黑体"/>
          <w:b/>
          <w:bCs/>
          <w:color w:val="auto"/>
          <w:sz w:val="32"/>
          <w:szCs w:val="32"/>
          <w:highlight w:val="none"/>
        </w:rPr>
      </w:pPr>
    </w:p>
    <w:p w14:paraId="292DD72D">
      <w:pPr>
        <w:pStyle w:val="26"/>
        <w:snapToGrid w:val="0"/>
        <w:spacing w:before="120" w:after="120" w:line="360" w:lineRule="auto"/>
        <w:jc w:val="center"/>
        <w:outlineLvl w:val="0"/>
        <w:rPr>
          <w:rFonts w:ascii="黑体" w:hAnsi="宋体" w:eastAsia="黑体"/>
          <w:b/>
          <w:bCs/>
          <w:color w:val="auto"/>
          <w:sz w:val="32"/>
          <w:szCs w:val="32"/>
          <w:highlight w:val="none"/>
        </w:rPr>
      </w:pPr>
    </w:p>
    <w:p w14:paraId="458044ED">
      <w:pPr>
        <w:pStyle w:val="26"/>
        <w:snapToGrid w:val="0"/>
        <w:spacing w:before="120" w:after="120" w:line="360" w:lineRule="auto"/>
        <w:jc w:val="center"/>
        <w:outlineLvl w:val="0"/>
        <w:rPr>
          <w:rFonts w:ascii="黑体" w:hAnsi="宋体" w:eastAsia="黑体"/>
          <w:b/>
          <w:bCs/>
          <w:color w:val="auto"/>
          <w:sz w:val="32"/>
          <w:szCs w:val="32"/>
          <w:highlight w:val="none"/>
        </w:rPr>
      </w:pPr>
    </w:p>
    <w:p w14:paraId="32FE7AA3">
      <w:pPr>
        <w:pStyle w:val="26"/>
        <w:snapToGrid w:val="0"/>
        <w:spacing w:before="120" w:after="120" w:line="360" w:lineRule="auto"/>
        <w:jc w:val="center"/>
        <w:outlineLvl w:val="0"/>
        <w:rPr>
          <w:rFonts w:ascii="黑体" w:hAnsi="宋体" w:eastAsia="黑体"/>
          <w:b/>
          <w:bCs/>
          <w:color w:val="auto"/>
          <w:sz w:val="32"/>
          <w:szCs w:val="32"/>
          <w:highlight w:val="none"/>
        </w:rPr>
      </w:pPr>
    </w:p>
    <w:p w14:paraId="7E8A83C0">
      <w:pPr>
        <w:pStyle w:val="26"/>
        <w:snapToGrid w:val="0"/>
        <w:spacing w:before="120" w:after="120" w:line="360" w:lineRule="auto"/>
        <w:jc w:val="center"/>
        <w:outlineLvl w:val="0"/>
        <w:rPr>
          <w:rFonts w:ascii="黑体" w:hAnsi="宋体" w:eastAsia="黑体"/>
          <w:b/>
          <w:bCs/>
          <w:color w:val="auto"/>
          <w:sz w:val="32"/>
          <w:szCs w:val="32"/>
          <w:highlight w:val="none"/>
        </w:rPr>
      </w:pPr>
    </w:p>
    <w:p w14:paraId="4D153C89">
      <w:pPr>
        <w:pStyle w:val="26"/>
        <w:snapToGrid w:val="0"/>
        <w:spacing w:before="120" w:after="120" w:line="360" w:lineRule="auto"/>
        <w:jc w:val="both"/>
        <w:outlineLvl w:val="0"/>
        <w:rPr>
          <w:rFonts w:hint="eastAsia" w:ascii="黑体" w:hAnsi="宋体" w:eastAsia="黑体"/>
          <w:b/>
          <w:bCs/>
          <w:color w:val="auto"/>
          <w:sz w:val="32"/>
          <w:szCs w:val="32"/>
          <w:highlight w:val="none"/>
        </w:rPr>
      </w:pPr>
    </w:p>
    <w:p w14:paraId="76AA77F4">
      <w:pPr>
        <w:pStyle w:val="26"/>
        <w:snapToGrid w:val="0"/>
        <w:spacing w:before="120" w:after="120" w:line="360" w:lineRule="auto"/>
        <w:jc w:val="center"/>
        <w:outlineLvl w:val="0"/>
        <w:rPr>
          <w:rFonts w:ascii="黑体" w:hAnsi="宋体" w:eastAsia="黑体"/>
          <w:color w:val="auto"/>
          <w:sz w:val="28"/>
          <w:szCs w:val="28"/>
          <w:highlight w:val="none"/>
        </w:rPr>
      </w:pPr>
      <w:r>
        <w:rPr>
          <w:rFonts w:hint="eastAsia" w:ascii="黑体" w:hAnsi="宋体" w:eastAsia="黑体"/>
          <w:b/>
          <w:bCs/>
          <w:color w:val="auto"/>
          <w:sz w:val="32"/>
          <w:szCs w:val="32"/>
          <w:highlight w:val="none"/>
        </w:rPr>
        <w:t>第一章</w:t>
      </w:r>
      <w:r>
        <w:rPr>
          <w:rFonts w:ascii="黑体" w:hAnsi="宋体" w:eastAsia="黑体"/>
          <w:b/>
          <w:bCs/>
          <w:color w:val="auto"/>
          <w:sz w:val="32"/>
          <w:szCs w:val="32"/>
          <w:highlight w:val="none"/>
        </w:rPr>
        <w:t xml:space="preserve">  </w:t>
      </w:r>
      <w:r>
        <w:rPr>
          <w:rFonts w:hint="eastAsia" w:ascii="黑体" w:hAnsi="宋体" w:eastAsia="黑体"/>
          <w:b/>
          <w:bCs/>
          <w:color w:val="auto"/>
          <w:sz w:val="32"/>
          <w:szCs w:val="32"/>
          <w:highlight w:val="none"/>
        </w:rPr>
        <w:t>公开招标采购公告</w:t>
      </w:r>
    </w:p>
    <w:p w14:paraId="4EDD99D4">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cs="宋体"/>
          <w:color w:val="auto"/>
          <w:sz w:val="24"/>
          <w:highlight w:val="none"/>
        </w:rPr>
      </w:pPr>
      <w:r>
        <w:rPr>
          <w:rFonts w:hint="eastAsia" w:ascii="宋体" w:hAnsi="宋体" w:cs="宋体"/>
          <w:color w:val="auto"/>
          <w:sz w:val="24"/>
          <w:highlight w:val="none"/>
        </w:rPr>
        <w:t>项目概况</w:t>
      </w:r>
    </w:p>
    <w:p w14:paraId="74C4DED3">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cs="宋体"/>
          <w:color w:val="auto"/>
          <w:sz w:val="24"/>
          <w:highlight w:val="none"/>
        </w:rPr>
      </w:pPr>
      <w:r>
        <w:rPr>
          <w:rFonts w:ascii="宋体" w:hAnsi="宋体" w:cs="宋体"/>
          <w:color w:val="auto"/>
          <w:sz w:val="24"/>
          <w:highlight w:val="none"/>
          <w:u w:val="single"/>
        </w:rPr>
        <w:t xml:space="preserve"> </w:t>
      </w:r>
      <w:r>
        <w:rPr>
          <w:rFonts w:hint="eastAsia" w:ascii="宋体" w:hAnsi="宋体" w:cs="宋体"/>
          <w:b/>
          <w:bCs/>
          <w:color w:val="auto"/>
          <w:sz w:val="24"/>
          <w:highlight w:val="none"/>
          <w:u w:val="single"/>
          <w:lang w:eastAsia="zh-CN"/>
        </w:rPr>
        <w:t>东阳市公共视频监控项目监理服务</w:t>
      </w:r>
      <w:r>
        <w:rPr>
          <w:rFonts w:hint="eastAsia" w:ascii="宋体" w:hAnsi="宋体" w:cs="宋体"/>
          <w:b/>
          <w:bCs/>
          <w:color w:val="auto"/>
          <w:sz w:val="24"/>
          <w:highlight w:val="none"/>
          <w:u w:val="single"/>
        </w:rPr>
        <w:t>（经东阳市财政局</w:t>
      </w:r>
      <w:r>
        <w:rPr>
          <w:rFonts w:hint="eastAsia" w:ascii="宋体" w:hAnsi="宋体" w:cs="宋体"/>
          <w:b/>
          <w:bCs/>
          <w:color w:val="auto"/>
          <w:sz w:val="24"/>
          <w:highlight w:val="none"/>
          <w:u w:val="single"/>
        </w:rPr>
        <w:fldChar w:fldCharType="begin"/>
      </w:r>
      <w:r>
        <w:rPr>
          <w:rFonts w:hint="eastAsia" w:ascii="宋体" w:hAnsi="宋体" w:cs="宋体"/>
          <w:b/>
          <w:bCs/>
          <w:color w:val="auto"/>
          <w:sz w:val="24"/>
          <w:highlight w:val="none"/>
          <w:u w:val="single"/>
        </w:rPr>
        <w:instrText xml:space="preserve"> HYPERLINK "https://pay.zcygov.cn/purchaseplan_front/" \l "/purchasePlans/_blank" \t "https://www.zcygov.cn/bidding-entrust/" </w:instrText>
      </w:r>
      <w:r>
        <w:rPr>
          <w:rFonts w:hint="eastAsia" w:ascii="宋体" w:hAnsi="宋体" w:cs="宋体"/>
          <w:b/>
          <w:bCs/>
          <w:color w:val="auto"/>
          <w:sz w:val="24"/>
          <w:highlight w:val="none"/>
          <w:u w:val="single"/>
        </w:rPr>
        <w:fldChar w:fldCharType="separate"/>
      </w:r>
      <w:r>
        <w:rPr>
          <w:rFonts w:hint="eastAsia" w:ascii="宋体" w:hAnsi="宋体" w:cs="宋体"/>
          <w:b/>
          <w:bCs/>
          <w:color w:val="auto"/>
          <w:sz w:val="24"/>
          <w:highlight w:val="none"/>
          <w:u w:val="single"/>
          <w:lang w:eastAsia="zh-CN"/>
        </w:rPr>
        <w:t>临</w:t>
      </w:r>
      <w:r>
        <w:rPr>
          <w:rFonts w:hint="eastAsia" w:ascii="宋体" w:hAnsi="宋体" w:cs="宋体"/>
          <w:b/>
          <w:bCs/>
          <w:color w:val="auto"/>
          <w:sz w:val="24"/>
          <w:highlight w:val="none"/>
          <w:u w:val="single"/>
          <w:lang w:eastAsia="zh-CN"/>
        </w:rPr>
        <w:t>[202</w:t>
      </w:r>
      <w:r>
        <w:rPr>
          <w:rFonts w:hint="eastAsia" w:ascii="宋体" w:hAnsi="宋体" w:cs="宋体"/>
          <w:b/>
          <w:bCs/>
          <w:color w:val="auto"/>
          <w:sz w:val="24"/>
          <w:highlight w:val="none"/>
          <w:u w:val="single"/>
          <w:lang w:val="en-US" w:eastAsia="zh-CN"/>
        </w:rPr>
        <w:t>5</w:t>
      </w:r>
      <w:r>
        <w:rPr>
          <w:rFonts w:hint="eastAsia" w:ascii="宋体" w:hAnsi="宋体" w:cs="宋体"/>
          <w:b/>
          <w:bCs/>
          <w:color w:val="auto"/>
          <w:sz w:val="24"/>
          <w:highlight w:val="none"/>
          <w:u w:val="single"/>
          <w:lang w:eastAsia="zh-CN"/>
        </w:rPr>
        <w:t>]</w:t>
      </w:r>
      <w:r>
        <w:rPr>
          <w:rFonts w:hint="eastAsia" w:ascii="宋体" w:hAnsi="宋体" w:cs="宋体"/>
          <w:b/>
          <w:bCs/>
          <w:color w:val="auto"/>
          <w:sz w:val="24"/>
          <w:highlight w:val="none"/>
          <w:u w:val="single"/>
          <w:lang w:val="en-US" w:eastAsia="zh-CN"/>
        </w:rPr>
        <w:t>351</w:t>
      </w:r>
      <w:r>
        <w:rPr>
          <w:rFonts w:hint="eastAsia" w:ascii="宋体" w:hAnsi="宋体" w:cs="宋体"/>
          <w:b/>
          <w:bCs/>
          <w:color w:val="auto"/>
          <w:sz w:val="24"/>
          <w:highlight w:val="none"/>
          <w:u w:val="single"/>
          <w:lang w:eastAsia="zh-CN"/>
        </w:rPr>
        <w:t>号</w:t>
      </w:r>
      <w:r>
        <w:rPr>
          <w:rFonts w:hint="eastAsia" w:ascii="宋体" w:hAnsi="宋体" w:cs="宋体"/>
          <w:b/>
          <w:bCs/>
          <w:color w:val="auto"/>
          <w:sz w:val="24"/>
          <w:highlight w:val="none"/>
          <w:u w:val="single"/>
        </w:rPr>
        <w:fldChar w:fldCharType="end"/>
      </w:r>
      <w:r>
        <w:rPr>
          <w:rFonts w:hint="eastAsia" w:ascii="宋体" w:hAnsi="宋体" w:cs="宋体"/>
          <w:b/>
          <w:bCs/>
          <w:color w:val="auto"/>
          <w:sz w:val="24"/>
          <w:highlight w:val="none"/>
          <w:u w:val="single"/>
        </w:rPr>
        <w:t>采购计划确认书批准）</w:t>
      </w:r>
      <w:r>
        <w:rPr>
          <w:rFonts w:hint="eastAsia" w:ascii="宋体" w:hAnsi="宋体" w:cs="宋体"/>
          <w:color w:val="auto"/>
          <w:sz w:val="24"/>
          <w:highlight w:val="none"/>
        </w:rPr>
        <w:t>的潜在投标人应在</w:t>
      </w:r>
      <w:r>
        <w:rPr>
          <w:rFonts w:hint="eastAsia" w:ascii="宋体" w:hAnsi="宋体" w:cs="宋体"/>
          <w:color w:val="auto"/>
          <w:sz w:val="24"/>
          <w:highlight w:val="none"/>
          <w:u w:val="single"/>
        </w:rPr>
        <w:t>（网址：浙江政府采购网</w:t>
      </w:r>
      <w:r>
        <w:rPr>
          <w:rFonts w:ascii="宋体" w:hAnsi="宋体" w:cs="宋体"/>
          <w:color w:val="auto"/>
          <w:sz w:val="24"/>
          <w:highlight w:val="none"/>
          <w:u w:val="single"/>
        </w:rPr>
        <w:t>:</w:t>
      </w:r>
      <w:r>
        <w:rPr>
          <w:rFonts w:ascii="宋体" w:hAnsi="宋体"/>
          <w:color w:val="auto"/>
          <w:sz w:val="24"/>
          <w:highlight w:val="none"/>
          <w:u w:val="single"/>
        </w:rPr>
        <w:t>http://zfcg.czt.zj.gov.cn/</w:t>
      </w:r>
      <w:r>
        <w:rPr>
          <w:rFonts w:hint="eastAsia" w:ascii="宋体" w:hAnsi="宋体" w:cs="宋体"/>
          <w:color w:val="auto"/>
          <w:sz w:val="24"/>
          <w:highlight w:val="none"/>
          <w:u w:val="single"/>
        </w:rPr>
        <w:t>、东阳市公共资源交易网</w:t>
      </w:r>
      <w:r>
        <w:rPr>
          <w:rFonts w:ascii="宋体" w:hAnsi="宋体" w:cs="宋体"/>
          <w:color w:val="auto"/>
          <w:sz w:val="24"/>
          <w:highlight w:val="none"/>
          <w:u w:val="single"/>
        </w:rPr>
        <w:t>:</w:t>
      </w:r>
      <w:r>
        <w:rPr>
          <w:rFonts w:hint="eastAsia" w:ascii="宋体" w:hAnsi="宋体" w:cs="宋体"/>
          <w:b w:val="0"/>
          <w:bCs w:val="0"/>
          <w:color w:val="auto"/>
          <w:sz w:val="24"/>
          <w:highlight w:val="none"/>
          <w:u w:val="single"/>
        </w:rPr>
        <w:t>http://www.dongyang.gov.cn/ggzyjy/index.html</w:t>
      </w:r>
      <w:r>
        <w:rPr>
          <w:rFonts w:ascii="宋体" w:hAnsi="宋体"/>
          <w:color w:val="auto"/>
          <w:sz w:val="24"/>
          <w:highlight w:val="none"/>
          <w:u w:val="single"/>
        </w:rPr>
        <w:t>/</w:t>
      </w:r>
      <w:r>
        <w:rPr>
          <w:rFonts w:hint="eastAsia" w:ascii="宋体" w:hAnsi="宋体" w:cs="宋体"/>
          <w:color w:val="auto"/>
          <w:sz w:val="24"/>
          <w:highlight w:val="none"/>
          <w:u w:val="single"/>
        </w:rPr>
        <w:t>）</w:t>
      </w:r>
      <w:r>
        <w:rPr>
          <w:rFonts w:hint="eastAsia" w:ascii="宋体" w:hAnsi="宋体" w:cs="宋体"/>
          <w:color w:val="auto"/>
          <w:sz w:val="24"/>
          <w:highlight w:val="none"/>
        </w:rPr>
        <w:t>获取招标文件，并于</w:t>
      </w:r>
      <w:r>
        <w:rPr>
          <w:rFonts w:ascii="宋体" w:hAnsi="宋体" w:cs="宋体"/>
          <w:color w:val="auto"/>
          <w:sz w:val="24"/>
          <w:highlight w:val="none"/>
          <w:u w:val="single"/>
        </w:rPr>
        <w:t>20</w:t>
      </w:r>
      <w:r>
        <w:rPr>
          <w:rFonts w:hint="eastAsia" w:ascii="宋体" w:hAnsi="宋体" w:cs="宋体"/>
          <w:color w:val="auto"/>
          <w:sz w:val="24"/>
          <w:highlight w:val="none"/>
          <w:u w:val="single"/>
          <w:lang w:val="en-US" w:eastAsia="zh-CN"/>
        </w:rPr>
        <w:t>25</w:t>
      </w:r>
      <w:r>
        <w:rPr>
          <w:rFonts w:hint="eastAsia" w:ascii="宋体" w:hAnsi="宋体" w:cs="宋体"/>
          <w:bCs/>
          <w:color w:val="auto"/>
          <w:sz w:val="24"/>
          <w:highlight w:val="none"/>
          <w:u w:val="single"/>
        </w:rPr>
        <w:t>年</w:t>
      </w:r>
      <w:r>
        <w:rPr>
          <w:rFonts w:hint="eastAsia" w:ascii="宋体" w:hAnsi="宋体" w:cs="宋体"/>
          <w:bCs/>
          <w:color w:val="auto"/>
          <w:sz w:val="24"/>
          <w:highlight w:val="none"/>
          <w:u w:val="single"/>
          <w:lang w:val="en-US" w:eastAsia="zh-CN"/>
        </w:rPr>
        <w:t>5月6日14时00分</w:t>
      </w:r>
      <w:r>
        <w:rPr>
          <w:rFonts w:hint="eastAsia" w:ascii="宋体" w:hAnsi="宋体" w:cs="宋体"/>
          <w:bCs/>
          <w:color w:val="auto"/>
          <w:sz w:val="24"/>
          <w:highlight w:val="none"/>
          <w:u w:val="single"/>
        </w:rPr>
        <w:t>（</w:t>
      </w:r>
      <w:r>
        <w:rPr>
          <w:rFonts w:hint="eastAsia" w:ascii="宋体" w:hAnsi="宋体" w:cs="宋体"/>
          <w:bCs/>
          <w:color w:val="auto"/>
          <w:sz w:val="24"/>
          <w:highlight w:val="none"/>
        </w:rPr>
        <w:t>北京时间）</w:t>
      </w:r>
      <w:r>
        <w:rPr>
          <w:rFonts w:hint="eastAsia" w:ascii="宋体" w:hAnsi="宋体" w:cs="宋体"/>
          <w:bCs/>
          <w:color w:val="auto"/>
          <w:sz w:val="24"/>
          <w:highlight w:val="none"/>
        </w:rPr>
        <w:t>前递交(上传)投标文件</w:t>
      </w:r>
      <w:r>
        <w:rPr>
          <w:rFonts w:hint="eastAsia" w:ascii="宋体" w:hAnsi="宋体" w:cs="宋体"/>
          <w:color w:val="auto"/>
          <w:sz w:val="24"/>
          <w:highlight w:val="none"/>
        </w:rPr>
        <w:t>。</w:t>
      </w:r>
    </w:p>
    <w:p w14:paraId="77EF9AAF">
      <w:pPr>
        <w:snapToGrid w:val="0"/>
        <w:spacing w:line="312" w:lineRule="auto"/>
        <w:rPr>
          <w:rFonts w:ascii="宋体" w:cs="Arial"/>
          <w:b/>
          <w:bCs/>
          <w:color w:val="auto"/>
          <w:sz w:val="24"/>
          <w:highlight w:val="none"/>
        </w:rPr>
      </w:pPr>
      <w:r>
        <w:rPr>
          <w:rFonts w:hint="eastAsia" w:ascii="宋体" w:hAnsi="宋体" w:cs="Arial"/>
          <w:color w:val="auto"/>
          <w:sz w:val="24"/>
          <w:highlight w:val="none"/>
        </w:rPr>
        <w:t>一、</w:t>
      </w:r>
      <w:r>
        <w:rPr>
          <w:rFonts w:hint="eastAsia" w:ascii="宋体" w:hAnsi="宋体" w:cs="Arial"/>
          <w:b/>
          <w:bCs/>
          <w:color w:val="auto"/>
          <w:sz w:val="24"/>
          <w:highlight w:val="none"/>
        </w:rPr>
        <w:t>基本情况</w:t>
      </w:r>
    </w:p>
    <w:p w14:paraId="238F1A3C">
      <w:pPr>
        <w:snapToGrid w:val="0"/>
        <w:spacing w:line="360" w:lineRule="auto"/>
        <w:ind w:left="479" w:leftChars="228" w:firstLine="0" w:firstLineChars="0"/>
        <w:rPr>
          <w:rFonts w:hint="default" w:ascii="宋体" w:hAnsi="宋体" w:eastAsia="宋体" w:cs="宋体"/>
          <w:color w:val="auto"/>
          <w:sz w:val="24"/>
          <w:highlight w:val="none"/>
          <w:lang w:val="en-US" w:eastAsia="zh-CN"/>
        </w:rPr>
      </w:pPr>
      <w:r>
        <w:rPr>
          <w:rFonts w:hint="eastAsia" w:ascii="宋体" w:hAnsi="宋体" w:eastAsia="宋体" w:cs="宋体"/>
          <w:b/>
          <w:bCs/>
          <w:color w:val="auto"/>
          <w:sz w:val="24"/>
          <w:highlight w:val="none"/>
        </w:rPr>
        <w:t>项目编号：</w:t>
      </w:r>
      <w:r>
        <w:rPr>
          <w:rFonts w:hint="eastAsia" w:ascii="宋体" w:hAnsi="宋体" w:cs="宋体"/>
          <w:color w:val="auto"/>
          <w:sz w:val="24"/>
          <w:highlight w:val="none"/>
          <w:lang w:val="en-US" w:eastAsia="zh-CN"/>
        </w:rPr>
        <w:t>TYZX2025-001</w:t>
      </w:r>
    </w:p>
    <w:p w14:paraId="027EC5AE">
      <w:pPr>
        <w:snapToGrid w:val="0"/>
        <w:spacing w:line="360" w:lineRule="auto"/>
        <w:ind w:left="479" w:leftChars="228" w:firstLine="0" w:firstLineChars="0"/>
        <w:rPr>
          <w:rFonts w:hint="eastAsia" w:ascii="宋体" w:hAnsi="宋体" w:eastAsia="宋体" w:cs="宋体"/>
          <w:color w:val="auto"/>
          <w:sz w:val="24"/>
          <w:highlight w:val="none"/>
          <w:lang w:eastAsia="zh-CN"/>
        </w:rPr>
      </w:pPr>
      <w:r>
        <w:rPr>
          <w:rFonts w:hint="eastAsia" w:ascii="宋体" w:hAnsi="宋体" w:eastAsia="宋体" w:cs="宋体"/>
          <w:b/>
          <w:bCs/>
          <w:color w:val="auto"/>
          <w:sz w:val="24"/>
          <w:highlight w:val="none"/>
        </w:rPr>
        <w:t>项目名称：</w:t>
      </w:r>
      <w:r>
        <w:rPr>
          <w:rFonts w:hint="eastAsia" w:ascii="宋体" w:hAnsi="宋体" w:cs="宋体"/>
          <w:color w:val="auto"/>
          <w:sz w:val="24"/>
          <w:highlight w:val="none"/>
          <w:lang w:val="en-US" w:eastAsia="zh-CN"/>
        </w:rPr>
        <w:t>东阳市公共视频监控项目监理服务</w:t>
      </w:r>
    </w:p>
    <w:p w14:paraId="1E02FD7A">
      <w:pPr>
        <w:snapToGrid w:val="0"/>
        <w:spacing w:line="360" w:lineRule="auto"/>
        <w:ind w:left="479" w:leftChars="228" w:firstLine="0" w:firstLineChars="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预算金额（元）</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40万元</w:t>
      </w:r>
    </w:p>
    <w:p w14:paraId="05C14304">
      <w:pPr>
        <w:snapToGrid w:val="0"/>
        <w:spacing w:line="360" w:lineRule="auto"/>
        <w:ind w:left="479" w:leftChars="228" w:firstLine="0" w:firstLineChars="0"/>
        <w:rPr>
          <w:rFonts w:hint="eastAsia" w:ascii="宋体" w:hAnsi="宋体" w:cs="Arial"/>
          <w:color w:val="auto"/>
          <w:sz w:val="24"/>
          <w:highlight w:val="none"/>
        </w:rPr>
      </w:pPr>
      <w:r>
        <w:rPr>
          <w:rFonts w:hint="eastAsia" w:ascii="宋体" w:hAnsi="宋体" w:eastAsia="宋体" w:cs="宋体"/>
          <w:b/>
          <w:bCs/>
          <w:color w:val="auto"/>
          <w:sz w:val="24"/>
          <w:highlight w:val="none"/>
        </w:rPr>
        <w:t>最高限价（元）</w:t>
      </w:r>
      <w:r>
        <w:rPr>
          <w:rFonts w:hint="eastAsia" w:ascii="宋体" w:hAnsi="宋体" w:eastAsia="宋体" w:cs="宋体"/>
          <w:color w:val="auto"/>
          <w:sz w:val="24"/>
          <w:highlight w:val="none"/>
        </w:rPr>
        <w:t>：</w:t>
      </w:r>
      <w:r>
        <w:rPr>
          <w:rFonts w:hint="eastAsia" w:ascii="宋体" w:hAnsi="宋体" w:cs="宋体"/>
          <w:color w:val="auto"/>
          <w:sz w:val="24"/>
          <w:szCs w:val="24"/>
          <w:highlight w:val="none"/>
          <w:lang w:val="en-US" w:eastAsia="zh-CN"/>
        </w:rPr>
        <w:t>40万元</w:t>
      </w:r>
    </w:p>
    <w:p w14:paraId="71133F21">
      <w:pPr>
        <w:pStyle w:val="3"/>
        <w:spacing w:line="440" w:lineRule="exact"/>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标项一:</w:t>
      </w:r>
    </w:p>
    <w:p w14:paraId="79079257">
      <w:pPr>
        <w:pStyle w:val="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标项名称：</w:t>
      </w:r>
      <w:r>
        <w:rPr>
          <w:rFonts w:hint="eastAsia" w:ascii="宋体" w:hAnsi="宋体" w:cs="宋体"/>
          <w:color w:val="auto"/>
          <w:sz w:val="24"/>
          <w:highlight w:val="none"/>
          <w:lang w:eastAsia="zh-CN"/>
        </w:rPr>
        <w:t>东阳市公共视频监控项目监理服务</w:t>
      </w:r>
    </w:p>
    <w:p w14:paraId="544EF6F0">
      <w:pPr>
        <w:pStyle w:val="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数量：</w:t>
      </w:r>
      <w:r>
        <w:rPr>
          <w:rFonts w:hint="eastAsia" w:ascii="宋体" w:hAnsi="宋体" w:eastAsia="宋体" w:cs="宋体"/>
          <w:color w:val="auto"/>
          <w:sz w:val="24"/>
          <w:szCs w:val="24"/>
          <w:highlight w:val="none"/>
        </w:rPr>
        <w:t>1项</w:t>
      </w:r>
    </w:p>
    <w:p w14:paraId="1CE66FD0">
      <w:pPr>
        <w:snapToGrid w:val="0"/>
        <w:spacing w:line="360" w:lineRule="auto"/>
        <w:ind w:left="479" w:leftChars="228" w:firstLine="0" w:firstLineChars="0"/>
        <w:rPr>
          <w:rFonts w:hint="default" w:ascii="宋体" w:hAnsi="宋体" w:cs="宋体"/>
          <w:color w:val="auto"/>
          <w:sz w:val="24"/>
          <w:highlight w:val="none"/>
          <w:lang w:val="en-US"/>
        </w:rPr>
      </w:pPr>
      <w:r>
        <w:rPr>
          <w:rFonts w:hint="eastAsia" w:ascii="宋体" w:hAnsi="宋体" w:cs="宋体"/>
          <w:color w:val="auto"/>
          <w:sz w:val="24"/>
          <w:highlight w:val="none"/>
        </w:rPr>
        <w:t>预算金额（元）：</w:t>
      </w:r>
      <w:r>
        <w:rPr>
          <w:rFonts w:hint="eastAsia" w:ascii="宋体" w:hAnsi="宋体" w:cs="宋体"/>
          <w:color w:val="auto"/>
          <w:sz w:val="24"/>
          <w:highlight w:val="none"/>
          <w:lang w:val="en-US" w:eastAsia="zh-CN"/>
        </w:rPr>
        <w:t>40万元</w:t>
      </w:r>
      <w:r>
        <w:rPr>
          <w:rFonts w:hint="eastAsia" w:ascii="宋体" w:hAnsi="宋体" w:cs="宋体"/>
          <w:color w:val="auto"/>
          <w:sz w:val="24"/>
          <w:highlight w:val="none"/>
        </w:rPr>
        <w:br w:type="textWrapping"/>
      </w:r>
      <w:r>
        <w:rPr>
          <w:rFonts w:hint="eastAsia" w:ascii="宋体" w:hAnsi="宋体" w:cs="宋体"/>
          <w:color w:val="auto"/>
          <w:sz w:val="24"/>
          <w:highlight w:val="none"/>
        </w:rPr>
        <w:t>简要规格描述或项目基本概况介绍、用途：具体要求详见第二章招标需求</w:t>
      </w:r>
    </w:p>
    <w:p w14:paraId="35F881D5">
      <w:pPr>
        <w:snapToGrid w:val="0"/>
        <w:spacing w:line="312" w:lineRule="auto"/>
        <w:ind w:firstLine="480" w:firstLineChars="200"/>
        <w:rPr>
          <w:rFonts w:hint="eastAsia" w:ascii="宋体" w:hAnsi="宋体" w:cs="宋体"/>
          <w:b/>
          <w:bCs/>
          <w:color w:val="auto"/>
          <w:sz w:val="24"/>
          <w:highlight w:val="none"/>
          <w:lang w:val="en-US" w:eastAsia="zh-CN"/>
        </w:rPr>
      </w:pPr>
      <w:r>
        <w:rPr>
          <w:rFonts w:hint="eastAsia" w:ascii="宋体" w:hAnsi="宋体" w:eastAsia="宋体" w:cs="宋体"/>
          <w:color w:val="auto"/>
          <w:sz w:val="24"/>
          <w:highlight w:val="none"/>
          <w:lang w:eastAsia="zh-CN"/>
        </w:rPr>
        <w:t>项目</w:t>
      </w:r>
      <w:r>
        <w:rPr>
          <w:rFonts w:hint="eastAsia" w:ascii="宋体" w:hAnsi="宋体" w:eastAsia="宋体" w:cs="宋体"/>
          <w:color w:val="auto"/>
          <w:sz w:val="24"/>
          <w:highlight w:val="none"/>
          <w:lang w:val="en-US" w:eastAsia="zh-CN"/>
        </w:rPr>
        <w:t>服务</w:t>
      </w:r>
      <w:r>
        <w:rPr>
          <w:rFonts w:hint="eastAsia" w:ascii="宋体" w:hAnsi="宋体" w:eastAsia="宋体" w:cs="宋体"/>
          <w:color w:val="auto"/>
          <w:sz w:val="24"/>
          <w:highlight w:val="none"/>
          <w:lang w:eastAsia="zh-CN"/>
        </w:rPr>
        <w:t>时间</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9个月（至主体项目终验完成）</w:t>
      </w:r>
    </w:p>
    <w:p w14:paraId="7F995CE5">
      <w:pPr>
        <w:snapToGrid w:val="0"/>
        <w:spacing w:line="312" w:lineRule="auto"/>
        <w:ind w:firstLine="482" w:firstLineChars="200"/>
        <w:rPr>
          <w:rFonts w:ascii="宋体" w:cs="Arial"/>
          <w:b/>
          <w:bCs/>
          <w:color w:val="auto"/>
          <w:sz w:val="24"/>
          <w:szCs w:val="20"/>
          <w:highlight w:val="none"/>
        </w:rPr>
      </w:pPr>
      <w:r>
        <w:rPr>
          <w:rFonts w:hint="eastAsia" w:ascii="宋体" w:hAnsi="宋体" w:cs="宋体"/>
          <w:b/>
          <w:bCs/>
          <w:color w:val="auto"/>
          <w:sz w:val="24"/>
          <w:highlight w:val="none"/>
        </w:rPr>
        <w:t>▲</w:t>
      </w:r>
      <w:r>
        <w:rPr>
          <w:rFonts w:hint="eastAsia" w:ascii="宋体" w:hAnsi="宋体" w:cs="Arial"/>
          <w:b/>
          <w:color w:val="auto"/>
          <w:sz w:val="24"/>
          <w:highlight w:val="none"/>
          <w:lang w:eastAsia="zh-CN"/>
        </w:rPr>
        <w:t>二</w:t>
      </w:r>
      <w:r>
        <w:rPr>
          <w:rFonts w:hint="eastAsia" w:ascii="宋体" w:hAnsi="宋体" w:cs="Arial"/>
          <w:b/>
          <w:color w:val="auto"/>
          <w:sz w:val="24"/>
          <w:highlight w:val="none"/>
        </w:rPr>
        <w:t>、</w:t>
      </w:r>
      <w:r>
        <w:rPr>
          <w:rFonts w:hint="eastAsia" w:ascii="宋体" w:hAnsi="宋体" w:cs="Arial"/>
          <w:b/>
          <w:bCs/>
          <w:color w:val="auto"/>
          <w:sz w:val="24"/>
          <w:highlight w:val="none"/>
        </w:rPr>
        <w:t>申请人的资格要求</w:t>
      </w:r>
    </w:p>
    <w:p w14:paraId="7C174892">
      <w:pPr>
        <w:snapToGrid w:val="0"/>
        <w:spacing w:line="360" w:lineRule="auto"/>
        <w:ind w:firstLine="480" w:firstLineChars="200"/>
        <w:rPr>
          <w:rFonts w:hint="eastAsia" w:ascii="宋体" w:cs="Arial"/>
          <w:color w:val="auto"/>
          <w:sz w:val="24"/>
          <w:highlight w:val="none"/>
        </w:rPr>
      </w:pPr>
      <w:r>
        <w:rPr>
          <w:rFonts w:hint="eastAsia" w:ascii="宋体" w:cs="Arial"/>
          <w:color w:val="auto"/>
          <w:sz w:val="24"/>
          <w:highlight w:val="none"/>
        </w:rPr>
        <w:t>符合《中华人民共和国政府采购法》第二十二条规定的投标人资格条件和本公告设定的特定条件。</w:t>
      </w:r>
    </w:p>
    <w:p w14:paraId="257DC7C8">
      <w:pPr>
        <w:snapToGrid w:val="0"/>
        <w:spacing w:line="360" w:lineRule="auto"/>
        <w:ind w:firstLine="482" w:firstLineChars="200"/>
        <w:rPr>
          <w:rFonts w:hint="eastAsia" w:ascii="宋体" w:hAnsi="Times New Roman" w:eastAsia="宋体" w:cs="Arial"/>
          <w:b/>
          <w:bCs/>
          <w:color w:val="auto"/>
          <w:sz w:val="24"/>
          <w:highlight w:val="none"/>
        </w:rPr>
      </w:pPr>
      <w:r>
        <w:rPr>
          <w:rFonts w:hint="eastAsia" w:ascii="宋体" w:hAnsi="Times New Roman" w:eastAsia="宋体" w:cs="Arial"/>
          <w:b/>
          <w:bCs/>
          <w:color w:val="auto"/>
          <w:sz w:val="24"/>
          <w:highlight w:val="none"/>
        </w:rPr>
        <w:t>（1）《中华人民共和国政府采购法》第二十二条规定的投标人资格条件：</w:t>
      </w:r>
    </w:p>
    <w:p w14:paraId="1B5EA0EC">
      <w:pPr>
        <w:snapToGrid w:val="0"/>
        <w:spacing w:line="360" w:lineRule="auto"/>
        <w:ind w:firstLine="480" w:firstLineChars="200"/>
        <w:rPr>
          <w:rFonts w:hint="eastAsia" w:ascii="宋体" w:hAnsi="Times New Roman" w:eastAsia="宋体" w:cs="Arial"/>
          <w:color w:val="auto"/>
          <w:sz w:val="24"/>
          <w:highlight w:val="none"/>
          <w:lang w:eastAsia="zh-CN"/>
        </w:rPr>
      </w:pPr>
      <w:r>
        <w:rPr>
          <w:rFonts w:hint="eastAsia" w:ascii="宋体" w:hAnsi="Times New Roman" w:eastAsia="宋体" w:cs="Arial"/>
          <w:color w:val="auto"/>
          <w:sz w:val="24"/>
          <w:highlight w:val="none"/>
        </w:rPr>
        <w:t xml:space="preserve">A、具有独立承担民事责任的能力； </w:t>
      </w:r>
    </w:p>
    <w:p w14:paraId="079269D4">
      <w:pPr>
        <w:snapToGrid w:val="0"/>
        <w:spacing w:line="360" w:lineRule="auto"/>
        <w:ind w:firstLine="480" w:firstLineChars="200"/>
        <w:rPr>
          <w:rFonts w:hint="eastAsia" w:ascii="宋体" w:hAnsi="Times New Roman" w:eastAsia="宋体" w:cs="Arial"/>
          <w:color w:val="auto"/>
          <w:sz w:val="24"/>
          <w:highlight w:val="none"/>
          <w:lang w:eastAsia="zh-CN"/>
        </w:rPr>
      </w:pPr>
      <w:r>
        <w:rPr>
          <w:rFonts w:hint="eastAsia" w:ascii="宋体" w:hAnsi="Times New Roman" w:eastAsia="宋体" w:cs="Arial"/>
          <w:color w:val="auto"/>
          <w:sz w:val="24"/>
          <w:highlight w:val="none"/>
        </w:rPr>
        <w:t xml:space="preserve">B、具有良好的商业信誉和健全的财务会计制度； </w:t>
      </w:r>
    </w:p>
    <w:p w14:paraId="0DC13D55">
      <w:pPr>
        <w:snapToGrid w:val="0"/>
        <w:spacing w:line="360" w:lineRule="auto"/>
        <w:ind w:firstLine="480" w:firstLineChars="200"/>
        <w:rPr>
          <w:rFonts w:hint="eastAsia" w:ascii="宋体" w:hAnsi="Times New Roman" w:eastAsia="宋体" w:cs="Arial"/>
          <w:color w:val="auto"/>
          <w:sz w:val="24"/>
          <w:highlight w:val="none"/>
          <w:lang w:eastAsia="zh-CN"/>
        </w:rPr>
      </w:pPr>
      <w:r>
        <w:rPr>
          <w:rFonts w:hint="eastAsia" w:ascii="宋体" w:hAnsi="Times New Roman" w:eastAsia="宋体" w:cs="Arial"/>
          <w:color w:val="auto"/>
          <w:sz w:val="24"/>
          <w:highlight w:val="none"/>
        </w:rPr>
        <w:t xml:space="preserve">C、具有履行合同所必需的设备和专业技术能力； </w:t>
      </w:r>
    </w:p>
    <w:p w14:paraId="5B3A8DD2">
      <w:pPr>
        <w:snapToGrid w:val="0"/>
        <w:spacing w:line="360" w:lineRule="auto"/>
        <w:ind w:firstLine="480" w:firstLineChars="200"/>
        <w:rPr>
          <w:rFonts w:hint="eastAsia" w:ascii="宋体" w:hAnsi="Times New Roman" w:eastAsia="宋体" w:cs="Arial"/>
          <w:color w:val="auto"/>
          <w:sz w:val="24"/>
          <w:highlight w:val="none"/>
          <w:lang w:eastAsia="zh-CN"/>
        </w:rPr>
      </w:pPr>
      <w:r>
        <w:rPr>
          <w:rFonts w:hint="eastAsia" w:ascii="宋体" w:hAnsi="Times New Roman" w:eastAsia="宋体" w:cs="Arial"/>
          <w:color w:val="auto"/>
          <w:sz w:val="24"/>
          <w:highlight w:val="none"/>
        </w:rPr>
        <w:t xml:space="preserve">D、有依法缴纳税收和社会保障资金的良好记录； </w:t>
      </w:r>
    </w:p>
    <w:p w14:paraId="6A8B1E25">
      <w:pPr>
        <w:snapToGrid w:val="0"/>
        <w:spacing w:line="360" w:lineRule="auto"/>
        <w:ind w:firstLine="480" w:firstLineChars="200"/>
        <w:rPr>
          <w:rFonts w:hint="eastAsia" w:ascii="宋体" w:hAnsi="Times New Roman" w:eastAsia="宋体" w:cs="Arial"/>
          <w:color w:val="auto"/>
          <w:sz w:val="24"/>
          <w:highlight w:val="none"/>
          <w:lang w:eastAsia="zh-CN"/>
        </w:rPr>
      </w:pPr>
      <w:r>
        <w:rPr>
          <w:rFonts w:hint="eastAsia" w:ascii="宋体" w:hAnsi="Times New Roman" w:eastAsia="宋体" w:cs="Arial"/>
          <w:color w:val="auto"/>
          <w:sz w:val="24"/>
          <w:highlight w:val="none"/>
        </w:rPr>
        <w:t xml:space="preserve">E、参加政府采购活动前三年内，在经营活动中没有重大违法记录； </w:t>
      </w:r>
    </w:p>
    <w:p w14:paraId="6F71FC1C">
      <w:pPr>
        <w:snapToGrid w:val="0"/>
        <w:spacing w:line="360" w:lineRule="auto"/>
        <w:ind w:firstLine="480" w:firstLineChars="200"/>
        <w:rPr>
          <w:rFonts w:hint="eastAsia" w:ascii="宋体" w:hAnsi="Times New Roman" w:eastAsia="宋体" w:cs="Arial"/>
          <w:color w:val="auto"/>
          <w:sz w:val="24"/>
          <w:highlight w:val="none"/>
        </w:rPr>
      </w:pPr>
      <w:r>
        <w:rPr>
          <w:rFonts w:hint="eastAsia" w:ascii="宋体" w:hAnsi="Times New Roman" w:eastAsia="宋体" w:cs="Arial"/>
          <w:color w:val="auto"/>
          <w:sz w:val="24"/>
          <w:highlight w:val="none"/>
        </w:rPr>
        <w:t>F、法律、行政法规规定的其他条件。</w:t>
      </w:r>
    </w:p>
    <w:p w14:paraId="09472991">
      <w:pPr>
        <w:snapToGrid w:val="0"/>
        <w:spacing w:line="360" w:lineRule="auto"/>
        <w:ind w:firstLine="482" w:firstLineChars="200"/>
        <w:rPr>
          <w:rFonts w:hint="eastAsia" w:ascii="宋体" w:hAnsi="Times New Roman" w:eastAsia="宋体" w:cs="Arial"/>
          <w:b/>
          <w:bCs/>
          <w:color w:val="auto"/>
          <w:sz w:val="24"/>
          <w:highlight w:val="none"/>
        </w:rPr>
      </w:pPr>
      <w:r>
        <w:rPr>
          <w:rFonts w:hint="eastAsia" w:ascii="宋体" w:hAnsi="Times New Roman" w:eastAsia="宋体" w:cs="Arial"/>
          <w:b/>
          <w:bCs/>
          <w:color w:val="auto"/>
          <w:sz w:val="24"/>
          <w:highlight w:val="none"/>
        </w:rPr>
        <w:t>（2）落实政府采购政策需满足的资格要求：</w:t>
      </w:r>
    </w:p>
    <w:p w14:paraId="4C0A8B17">
      <w:pPr>
        <w:keepNext w:val="0"/>
        <w:keepLines w:val="0"/>
        <w:pageBreakBefore w:val="0"/>
        <w:numPr>
          <w:ilvl w:val="0"/>
          <w:numId w:val="0"/>
        </w:numPr>
        <w:kinsoku/>
        <w:wordWrap/>
        <w:overflowPunct/>
        <w:topLinePunct w:val="0"/>
        <w:autoSpaceDE/>
        <w:autoSpaceDN/>
        <w:bidi w:val="0"/>
        <w:adjustRightInd w:val="0"/>
        <w:snapToGrid w:val="0"/>
        <w:spacing w:line="440" w:lineRule="exact"/>
        <w:ind w:firstLine="480" w:firstLineChars="200"/>
        <w:textAlignment w:val="auto"/>
        <w:rPr>
          <w:rFonts w:hint="eastAsia" w:ascii="宋体" w:hAnsi="Times New Roman" w:eastAsia="宋体" w:cs="Arial"/>
          <w:color w:val="auto"/>
          <w:sz w:val="24"/>
          <w:highlight w:val="none"/>
        </w:rPr>
      </w:pPr>
      <w:r>
        <w:rPr>
          <w:rFonts w:hint="eastAsia" w:ascii="宋体" w:hAnsi="Times New Roman" w:eastAsia="宋体" w:cs="Arial"/>
          <w:color w:val="auto"/>
          <w:sz w:val="24"/>
          <w:highlight w:val="none"/>
        </w:rPr>
        <w:t>A、</w:t>
      </w:r>
      <w:r>
        <w:rPr>
          <w:rFonts w:hint="eastAsia" w:ascii="宋体" w:hAnsi="Times New Roman" w:eastAsia="宋体" w:cs="Arial"/>
          <w:color w:val="auto"/>
          <w:sz w:val="24"/>
          <w:highlight w:val="none"/>
          <w:lang w:eastAsia="zh-CN"/>
        </w:rPr>
        <w:t>本项目</w:t>
      </w:r>
      <w:r>
        <w:rPr>
          <w:rFonts w:hint="eastAsia" w:ascii="宋体" w:hAnsi="Times New Roman" w:eastAsia="宋体" w:cs="Arial"/>
          <w:color w:val="auto"/>
          <w:sz w:val="24"/>
          <w:highlight w:val="none"/>
        </w:rPr>
        <w:t>专门面向中小微企业，</w:t>
      </w:r>
      <w:r>
        <w:rPr>
          <w:rFonts w:hint="eastAsia" w:ascii="宋体" w:hAnsi="Times New Roman" w:eastAsia="宋体" w:cs="Arial"/>
          <w:color w:val="auto"/>
          <w:sz w:val="24"/>
          <w:highlight w:val="none"/>
          <w:lang w:eastAsia="zh-CN"/>
        </w:rPr>
        <w:t>服务</w:t>
      </w:r>
      <w:r>
        <w:rPr>
          <w:rFonts w:hint="eastAsia" w:ascii="宋体" w:hAnsi="Times New Roman" w:eastAsia="宋体" w:cs="Arial"/>
          <w:color w:val="auto"/>
          <w:sz w:val="24"/>
          <w:highlight w:val="none"/>
        </w:rPr>
        <w:t>全部由符合政策要求的中小微企业</w:t>
      </w:r>
      <w:r>
        <w:rPr>
          <w:rFonts w:hint="eastAsia" w:ascii="宋体" w:hAnsi="Times New Roman" w:eastAsia="宋体" w:cs="Arial"/>
          <w:color w:val="auto"/>
          <w:sz w:val="24"/>
          <w:highlight w:val="none"/>
          <w:lang w:eastAsia="zh-CN"/>
        </w:rPr>
        <w:t>提供</w:t>
      </w:r>
      <w:r>
        <w:rPr>
          <w:rFonts w:hint="eastAsia" w:ascii="宋体" w:hAnsi="Times New Roman" w:eastAsia="宋体" w:cs="Arial"/>
          <w:color w:val="auto"/>
          <w:sz w:val="24"/>
          <w:highlight w:val="none"/>
        </w:rPr>
        <w:t>，供应商参加投标时，投标文件中须提供中小企业声明函（格式见附件）。</w:t>
      </w:r>
    </w:p>
    <w:p w14:paraId="74046916">
      <w:pPr>
        <w:keepNext w:val="0"/>
        <w:keepLines w:val="0"/>
        <w:pageBreakBefore w:val="0"/>
        <w:numPr>
          <w:ilvl w:val="0"/>
          <w:numId w:val="0"/>
        </w:numPr>
        <w:kinsoku/>
        <w:wordWrap/>
        <w:overflowPunct/>
        <w:topLinePunct w:val="0"/>
        <w:autoSpaceDE/>
        <w:autoSpaceDN/>
        <w:bidi w:val="0"/>
        <w:adjustRightInd w:val="0"/>
        <w:snapToGrid w:val="0"/>
        <w:spacing w:line="440" w:lineRule="exact"/>
        <w:ind w:firstLine="480" w:firstLineChars="200"/>
        <w:textAlignment w:val="auto"/>
        <w:rPr>
          <w:rFonts w:hint="eastAsia" w:ascii="宋体" w:hAnsi="Times New Roman" w:eastAsia="宋体" w:cs="Arial"/>
          <w:color w:val="auto"/>
          <w:sz w:val="24"/>
          <w:highlight w:val="none"/>
        </w:rPr>
      </w:pPr>
      <w:r>
        <w:rPr>
          <w:rFonts w:hint="eastAsia" w:ascii="宋体" w:hAnsi="Times New Roman" w:eastAsia="宋体" w:cs="Arial"/>
          <w:color w:val="auto"/>
          <w:sz w:val="24"/>
          <w:highlight w:val="none"/>
        </w:rPr>
        <w:t>B、接受中型企业与小微企业组成联合体投标，接受中型企业向一家或者多家小微企业分包。组成联合体投标的，需提供联合协议和中小企业声明函；向小微企业分包的，提供分包意向协议和中小企业声明函。本项目已对中小微进行预留，不再重复享受价格扣除的优惠政策。</w:t>
      </w:r>
    </w:p>
    <w:p w14:paraId="6ECBF0A6">
      <w:pPr>
        <w:spacing w:line="360" w:lineRule="auto"/>
        <w:ind w:firstLine="480" w:firstLineChars="200"/>
        <w:rPr>
          <w:rFonts w:hint="eastAsia" w:ascii="宋体" w:cs="Arial"/>
          <w:color w:val="auto"/>
          <w:sz w:val="24"/>
        </w:rPr>
      </w:pPr>
      <w:r>
        <w:rPr>
          <w:rFonts w:hint="eastAsia" w:ascii="宋体" w:cs="Arial"/>
          <w:color w:val="auto"/>
          <w:sz w:val="24"/>
        </w:rPr>
        <w:t>C、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99181F3">
      <w:pPr>
        <w:spacing w:line="360" w:lineRule="auto"/>
        <w:ind w:firstLine="480" w:firstLineChars="200"/>
        <w:rPr>
          <w:rFonts w:hint="eastAsia" w:ascii="宋体" w:cs="宋体"/>
          <w:b/>
          <w:color w:val="auto"/>
          <w:sz w:val="24"/>
        </w:rPr>
      </w:pPr>
      <w:r>
        <w:rPr>
          <w:rFonts w:hint="eastAsia" w:ascii="宋体" w:cs="Arial"/>
          <w:color w:val="auto"/>
          <w:sz w:val="24"/>
        </w:rPr>
        <w:t>D、中小企业享受扶持政策获得政府采购合同的，小微企业不得将合同分包给大中型企业，中型企业不得将合同分包给大型企业。组成联合体或者接受分包的中小微企业与联合体内其他大中型企业、分包的大中型企业之间存在直接控股、管理关系的，不享受《政府采购促进中小企业发展管理办法》规定的优惠政策。</w:t>
      </w:r>
    </w:p>
    <w:p w14:paraId="241787BD">
      <w:pPr>
        <w:spacing w:line="360" w:lineRule="auto"/>
        <w:ind w:firstLine="480" w:firstLineChars="200"/>
        <w:rPr>
          <w:rFonts w:hint="eastAsia" w:ascii="宋体" w:hAnsi="Times New Roman" w:eastAsia="宋体" w:cs="Arial"/>
          <w:color w:val="auto"/>
          <w:sz w:val="24"/>
          <w:lang w:eastAsia="zh-CN"/>
        </w:rPr>
      </w:pPr>
      <w:r>
        <w:rPr>
          <w:rFonts w:hint="eastAsia" w:ascii="宋体" w:hAnsi="Times New Roman" w:eastAsia="宋体" w:cs="Arial"/>
          <w:color w:val="auto"/>
          <w:sz w:val="24"/>
        </w:rPr>
        <w:t>E、采购项目需要落实的政府采购政策：执行节约能源、保护环境相关的节能产品政府强制采购和优先采购政策，执行环境标志产品政府优先采购政策；执行扶持不发达地区和少数民族地区、促进中小企业发展、支持监狱企业发展、促进残疾人就业、支持中小企业信用融资等政府采购政策。</w:t>
      </w:r>
    </w:p>
    <w:p w14:paraId="26696748">
      <w:pPr>
        <w:spacing w:line="360" w:lineRule="auto"/>
        <w:ind w:firstLine="482" w:firstLineChars="200"/>
        <w:rPr>
          <w:rFonts w:hint="eastAsia" w:ascii="宋体" w:hAnsi="Times New Roman" w:eastAsia="宋体" w:cs="Arial"/>
          <w:b/>
          <w:bCs/>
          <w:color w:val="auto"/>
          <w:sz w:val="24"/>
        </w:rPr>
      </w:pPr>
      <w:r>
        <w:rPr>
          <w:rFonts w:hint="eastAsia" w:ascii="宋体" w:hAnsi="Times New Roman" w:eastAsia="宋体" w:cs="Arial"/>
          <w:b/>
          <w:bCs/>
          <w:color w:val="auto"/>
          <w:sz w:val="24"/>
        </w:rPr>
        <w:t>（3）▲投标人的特定条件：</w:t>
      </w:r>
    </w:p>
    <w:p w14:paraId="6387B2A2">
      <w:pPr>
        <w:spacing w:line="360" w:lineRule="auto"/>
        <w:ind w:firstLine="480" w:firstLineChars="200"/>
        <w:rPr>
          <w:rFonts w:hint="eastAsia" w:ascii="宋体" w:hAnsi="Times New Roman" w:eastAsia="宋体" w:cs="Arial"/>
          <w:color w:val="auto"/>
          <w:sz w:val="24"/>
        </w:rPr>
      </w:pPr>
      <w:r>
        <w:rPr>
          <w:rFonts w:hint="eastAsia" w:ascii="宋体" w:hAnsi="Times New Roman" w:eastAsia="宋体" w:cs="Arial"/>
          <w:color w:val="auto"/>
          <w:sz w:val="24"/>
        </w:rPr>
        <w:t>1.符合《中华人民共和国政府采购法》第二十二条和浙财采监【2013】24号《关于规范政府采购供应商资格设定及资格审查的通知》第六条规定,且未被“信用中国”（www.creditchina.gov.cn）、“中国政府采购网”（www.ccgp.gov.cn）列入失信被执行人、重大税收违法失信主体、政府采购严重违法失信行为记录名单。近三年各行政部门处罚的以上两网未记录的其他重大违法记录，经举报查实的，取消中标资格。</w:t>
      </w:r>
    </w:p>
    <w:p w14:paraId="09E97618">
      <w:pPr>
        <w:numPr>
          <w:ilvl w:val="0"/>
          <w:numId w:val="0"/>
        </w:numPr>
        <w:spacing w:line="360" w:lineRule="auto"/>
        <w:ind w:firstLine="480" w:firstLineChars="200"/>
        <w:rPr>
          <w:rFonts w:hint="eastAsia"/>
          <w:color w:val="auto"/>
          <w:highlight w:val="none"/>
        </w:rPr>
      </w:pPr>
      <w:r>
        <w:rPr>
          <w:rFonts w:hint="eastAsia" w:ascii="宋体" w:hAnsi="Times New Roman" w:eastAsia="宋体" w:cs="Arial"/>
          <w:color w:val="auto"/>
          <w:sz w:val="24"/>
        </w:rPr>
        <w:t>2.本项目接受联合体投标，联合体协议书内容、权力和义务、分工等必须明确、具体。</w:t>
      </w:r>
    </w:p>
    <w:p w14:paraId="4B6396A0">
      <w:pPr>
        <w:snapToGrid w:val="0"/>
        <w:spacing w:line="440" w:lineRule="exact"/>
        <w:rPr>
          <w:rFonts w:hint="eastAsia" w:ascii="宋体" w:hAnsi="宋体" w:cs="宋体"/>
          <w:b/>
          <w:bCs/>
          <w:color w:val="auto"/>
          <w:sz w:val="24"/>
          <w:highlight w:val="none"/>
        </w:rPr>
      </w:pPr>
      <w:r>
        <w:rPr>
          <w:rFonts w:hint="eastAsia" w:ascii="宋体" w:hAnsi="宋体" w:cs="宋体"/>
          <w:b/>
          <w:bCs/>
          <w:color w:val="auto"/>
          <w:sz w:val="24"/>
          <w:highlight w:val="none"/>
        </w:rPr>
        <w:t xml:space="preserve">▲三、获取招标文件： </w:t>
      </w:r>
    </w:p>
    <w:p w14:paraId="7C1B4293">
      <w:pPr>
        <w:snapToGrid w:val="0"/>
        <w:spacing w:line="420" w:lineRule="exact"/>
        <w:ind w:firstLine="480" w:firstLineChars="200"/>
        <w:rPr>
          <w:rFonts w:hint="eastAsia" w:ascii="宋体"/>
          <w:color w:val="auto"/>
          <w:sz w:val="24"/>
        </w:rPr>
      </w:pPr>
      <w:r>
        <w:rPr>
          <w:rFonts w:hint="eastAsia" w:ascii="宋体"/>
          <w:color w:val="auto"/>
          <w:sz w:val="24"/>
        </w:rPr>
        <w:t>招标人不再向投标人提供纸质招标文件，请投标人自行在下列网址下载电子版的招标文件，招标文件不收工本费。</w:t>
      </w:r>
    </w:p>
    <w:p w14:paraId="09916D08">
      <w:pPr>
        <w:snapToGrid w:val="0"/>
        <w:spacing w:line="42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地点（网址）：浙江政府采购网（http://zfcg.czt.zj.gov.cn/）；东阳市公共资源交易网</w:t>
      </w:r>
      <w:r>
        <w:rPr>
          <w:rFonts w:hint="eastAsia" w:ascii="宋体" w:hAnsi="宋体" w:cs="Arial"/>
          <w:color w:val="auto"/>
          <w:sz w:val="24"/>
          <w:highlight w:val="none"/>
        </w:rPr>
        <w:t>(</w:t>
      </w:r>
      <w:r>
        <w:rPr>
          <w:rFonts w:hint="eastAsia" w:ascii="宋体" w:hAnsi="宋体" w:cs="宋体"/>
          <w:color w:val="auto"/>
          <w:sz w:val="24"/>
          <w:highlight w:val="none"/>
          <w:u w:val="single"/>
        </w:rPr>
        <w:t>http://www.dongyang.gov.cn/ggzyjy/index.html</w:t>
      </w:r>
      <w:r>
        <w:rPr>
          <w:rFonts w:hint="eastAsia" w:ascii="宋体" w:hAnsi="宋体" w:cs="Arial"/>
          <w:color w:val="auto"/>
          <w:sz w:val="24"/>
          <w:highlight w:val="none"/>
        </w:rPr>
        <w:t>)。</w:t>
      </w:r>
    </w:p>
    <w:p w14:paraId="70A25C71">
      <w:pPr>
        <w:snapToGrid w:val="0"/>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方式：1、由投标人通过登录浙江省政府采购网(http://zfcg.czt.zj.gov.cn/)上的政采云系统进行获取（首次参加投标的单位应先登录浙江省政府采购网(http://zfcg.czt.zj.gov.cn/)进行账户注册，注册完毕待审核成功后方可登录政采云系统获取；注册流程见网址http://zfcg.czt.zj.gov.cn/register/2017-07-24/6728.html?_=2017-11-13%2011:10:28）；</w:t>
      </w:r>
    </w:p>
    <w:p w14:paraId="3A2CC816">
      <w:pPr>
        <w:snapToGrid w:val="0"/>
        <w:spacing w:line="440" w:lineRule="exact"/>
        <w:ind w:firstLine="480" w:firstLineChars="200"/>
        <w:rPr>
          <w:rFonts w:hint="eastAsia" w:ascii="宋体" w:hAnsi="宋体" w:cs="宋体"/>
          <w:color w:val="auto"/>
          <w:highlight w:val="none"/>
        </w:rPr>
      </w:pPr>
      <w:r>
        <w:rPr>
          <w:rFonts w:hint="eastAsia" w:ascii="宋体" w:hAnsi="宋体" w:cs="宋体"/>
          <w:color w:val="auto"/>
          <w:sz w:val="24"/>
          <w:highlight w:val="none"/>
        </w:rPr>
        <w:t>2、招标文件获取流程：浙江政府采购网-政采云用户登录-用户中心-项目采购-获取采购文件管理。</w:t>
      </w:r>
    </w:p>
    <w:p w14:paraId="099CB71D">
      <w:pPr>
        <w:snapToGrid w:val="0"/>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3、浙江政府采购网上以“游客”身份获取的采购文件仅供阅览；潜在供应商应按上述方式获取采购文件；未按上述方式获取采购文件的，不得对采购文件提起质疑投诉。</w:t>
      </w:r>
      <w:bookmarkStart w:id="0" w:name="_Toc22943"/>
    </w:p>
    <w:p w14:paraId="6A1637A7">
      <w:pPr>
        <w:snapToGrid w:val="0"/>
        <w:spacing w:line="440" w:lineRule="exact"/>
        <w:rPr>
          <w:rFonts w:hint="eastAsia" w:ascii="宋体" w:hAnsi="宋体" w:cs="宋体"/>
          <w:b/>
          <w:bCs/>
          <w:color w:val="auto"/>
          <w:sz w:val="24"/>
          <w:highlight w:val="none"/>
        </w:rPr>
      </w:pPr>
      <w:r>
        <w:rPr>
          <w:rFonts w:hint="eastAsia" w:ascii="宋体" w:hAnsi="宋体" w:cs="宋体"/>
          <w:b/>
          <w:bCs/>
          <w:color w:val="auto"/>
          <w:sz w:val="24"/>
          <w:highlight w:val="none"/>
        </w:rPr>
        <w:t>四、提交投标文件截止时间、开标时间和地点</w:t>
      </w:r>
    </w:p>
    <w:p w14:paraId="0EDEADA9">
      <w:pPr>
        <w:snapToGrid w:val="0"/>
        <w:spacing w:line="440" w:lineRule="exact"/>
        <w:ind w:firstLine="482" w:firstLineChars="200"/>
        <w:rPr>
          <w:rFonts w:hint="eastAsia" w:ascii="宋体" w:hAnsi="宋体" w:eastAsia="宋体" w:cs="宋体"/>
          <w:b/>
          <w:bCs/>
          <w:color w:val="auto"/>
          <w:sz w:val="24"/>
          <w:highlight w:val="none"/>
        </w:rPr>
      </w:pPr>
      <w:r>
        <w:rPr>
          <w:rFonts w:hint="eastAsia" w:ascii="宋体" w:hAnsi="宋体" w:cs="宋体"/>
          <w:b/>
          <w:bCs/>
          <w:color w:val="auto"/>
          <w:sz w:val="24"/>
          <w:highlight w:val="none"/>
        </w:rPr>
        <w:t>投标地点（网址）：政采云平台</w:t>
      </w:r>
      <w:r>
        <w:rPr>
          <w:rFonts w:hint="eastAsia" w:ascii="宋体" w:hAnsi="宋体" w:cs="宋体"/>
          <w:b/>
          <w:bCs/>
          <w:color w:val="auto"/>
          <w:sz w:val="24"/>
          <w:highlight w:val="none"/>
          <w:lang w:eastAsia="zh-CN"/>
        </w:rPr>
        <w:t>。</w:t>
      </w:r>
    </w:p>
    <w:p w14:paraId="6BC41563">
      <w:pPr>
        <w:snapToGrid w:val="0"/>
        <w:spacing w:line="440" w:lineRule="exact"/>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提交投标文件截止时间：</w:t>
      </w:r>
      <w:r>
        <w:rPr>
          <w:rFonts w:hint="eastAsia" w:ascii="宋体" w:hAnsi="宋体" w:eastAsia="宋体" w:cs="宋体"/>
          <w:b/>
          <w:bCs/>
          <w:color w:val="auto"/>
          <w:sz w:val="24"/>
          <w:highlight w:val="none"/>
          <w:lang w:eastAsia="zh-CN"/>
        </w:rPr>
        <w:t>202</w:t>
      </w:r>
      <w:r>
        <w:rPr>
          <w:rFonts w:hint="eastAsia" w:ascii="宋体" w:hAnsi="宋体" w:cs="宋体"/>
          <w:b/>
          <w:bCs/>
          <w:color w:val="auto"/>
          <w:sz w:val="24"/>
          <w:highlight w:val="none"/>
          <w:lang w:val="en-US" w:eastAsia="zh-CN"/>
        </w:rPr>
        <w:t>5</w:t>
      </w:r>
      <w:r>
        <w:rPr>
          <w:rFonts w:hint="eastAsia" w:ascii="宋体" w:hAnsi="宋体" w:eastAsia="宋体" w:cs="宋体"/>
          <w:b/>
          <w:bCs/>
          <w:color w:val="auto"/>
          <w:sz w:val="24"/>
          <w:highlight w:val="none"/>
          <w:lang w:eastAsia="zh-CN"/>
        </w:rPr>
        <w:t>年</w:t>
      </w:r>
      <w:r>
        <w:rPr>
          <w:rFonts w:hint="eastAsia" w:ascii="宋体" w:hAnsi="宋体" w:cs="宋体"/>
          <w:b/>
          <w:bCs/>
          <w:color w:val="auto"/>
          <w:sz w:val="24"/>
          <w:highlight w:val="none"/>
          <w:lang w:val="en-US" w:eastAsia="zh-CN"/>
        </w:rPr>
        <w:t>5</w:t>
      </w:r>
      <w:r>
        <w:rPr>
          <w:rFonts w:hint="eastAsia" w:ascii="宋体" w:hAnsi="宋体" w:eastAsia="宋体" w:cs="宋体"/>
          <w:b/>
          <w:bCs/>
          <w:color w:val="auto"/>
          <w:sz w:val="24"/>
          <w:highlight w:val="none"/>
        </w:rPr>
        <w:t>月</w:t>
      </w:r>
      <w:r>
        <w:rPr>
          <w:rFonts w:hint="eastAsia" w:ascii="宋体" w:hAnsi="宋体" w:cs="宋体"/>
          <w:b/>
          <w:bCs/>
          <w:color w:val="auto"/>
          <w:sz w:val="24"/>
          <w:highlight w:val="none"/>
          <w:lang w:val="en-US" w:eastAsia="zh-CN"/>
        </w:rPr>
        <w:t>6</w:t>
      </w:r>
      <w:r>
        <w:rPr>
          <w:rFonts w:hint="eastAsia" w:ascii="宋体" w:hAnsi="宋体" w:eastAsia="宋体" w:cs="宋体"/>
          <w:b/>
          <w:bCs/>
          <w:color w:val="auto"/>
          <w:sz w:val="24"/>
          <w:highlight w:val="none"/>
        </w:rPr>
        <w:t>日</w:t>
      </w:r>
      <w:r>
        <w:rPr>
          <w:rFonts w:hint="eastAsia" w:ascii="宋体" w:hAnsi="宋体" w:cs="宋体"/>
          <w:b/>
          <w:bCs/>
          <w:color w:val="auto"/>
          <w:sz w:val="24"/>
          <w:highlight w:val="none"/>
          <w:lang w:val="en-US" w:eastAsia="zh-CN"/>
        </w:rPr>
        <w:t>14</w:t>
      </w:r>
      <w:r>
        <w:rPr>
          <w:rFonts w:hint="eastAsia" w:ascii="宋体" w:hAnsi="宋体" w:eastAsia="宋体" w:cs="宋体"/>
          <w:b/>
          <w:bCs/>
          <w:color w:val="auto"/>
          <w:sz w:val="24"/>
          <w:highlight w:val="none"/>
        </w:rPr>
        <w:t>点</w:t>
      </w:r>
      <w:r>
        <w:rPr>
          <w:rFonts w:hint="eastAsia" w:ascii="宋体" w:hAnsi="宋体" w:eastAsia="宋体" w:cs="宋体"/>
          <w:b/>
          <w:bCs/>
          <w:color w:val="auto"/>
          <w:sz w:val="24"/>
          <w:highlight w:val="none"/>
          <w:lang w:val="en-US" w:eastAsia="zh-CN"/>
        </w:rPr>
        <w:t>00分</w:t>
      </w:r>
      <w:r>
        <w:rPr>
          <w:rFonts w:hint="eastAsia" w:ascii="宋体" w:hAnsi="宋体" w:eastAsia="宋体" w:cs="宋体"/>
          <w:b/>
          <w:bCs/>
          <w:color w:val="auto"/>
          <w:sz w:val="24"/>
          <w:highlight w:val="none"/>
        </w:rPr>
        <w:t>（北京时间）</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投标人应当在投标截止时间前完成电子投标文件的传输递交，投标截止时间前可以补充、修改或者撤回电子投标文件。补充或者修改电子投标文件的，应当先行撤回原电子投标文件，补充、修改后重新传输递交。投标截止时间前未完成传输的，视为撤回投标文件。</w:t>
      </w:r>
    </w:p>
    <w:p w14:paraId="0EB0DC59">
      <w:pPr>
        <w:snapToGrid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投标人可以在投标截止时间前将电子备份投标文件（经政采云电子交易客户端和CA驱动制作出的后缀名为“bfbs”的加密电子备份投标文件）发送至邮箱：</w:t>
      </w:r>
      <w:r>
        <w:rPr>
          <w:rFonts w:hint="eastAsia" w:ascii="宋体" w:hAnsi="宋体" w:cs="宋体"/>
          <w:color w:val="auto"/>
          <w:sz w:val="24"/>
          <w:highlight w:val="none"/>
          <w:lang w:val="en-US" w:eastAsia="zh-CN"/>
        </w:rPr>
        <w:t>1045381023</w:t>
      </w:r>
      <w:r>
        <w:rPr>
          <w:rFonts w:hint="eastAsia" w:ascii="宋体" w:hAnsi="宋体" w:eastAsia="宋体" w:cs="宋体"/>
          <w:color w:val="auto"/>
          <w:sz w:val="24"/>
          <w:highlight w:val="none"/>
        </w:rPr>
        <w:t>@qq.com，逾期发送或发错后缀名的备份投标文件将被视为无效；电子备份投标文件的提交不作强制要求。</w:t>
      </w:r>
    </w:p>
    <w:p w14:paraId="56CB0083">
      <w:pPr>
        <w:snapToGrid w:val="0"/>
        <w:spacing w:line="440" w:lineRule="exact"/>
        <w:ind w:firstLine="481"/>
        <w:rPr>
          <w:rFonts w:hint="eastAsia" w:ascii="宋体" w:hAnsi="宋体" w:eastAsia="宋体" w:cs="宋体"/>
          <w:b/>
          <w:bCs/>
          <w:color w:val="auto"/>
          <w:sz w:val="24"/>
          <w:highlight w:val="none"/>
          <w:lang w:eastAsia="zh-CN"/>
        </w:rPr>
      </w:pPr>
      <w:r>
        <w:rPr>
          <w:rFonts w:hint="eastAsia" w:ascii="宋体" w:hAnsi="宋体" w:cs="宋体"/>
          <w:b/>
          <w:bCs/>
          <w:color w:val="auto"/>
          <w:sz w:val="24"/>
          <w:highlight w:val="none"/>
        </w:rPr>
        <w:t>开标地点（网址）：政采云平台</w:t>
      </w:r>
      <w:r>
        <w:rPr>
          <w:rFonts w:hint="eastAsia" w:ascii="宋体" w:hAnsi="宋体" w:cs="宋体"/>
          <w:b/>
          <w:bCs/>
          <w:color w:val="auto"/>
          <w:sz w:val="24"/>
          <w:highlight w:val="none"/>
          <w:lang w:eastAsia="zh-CN"/>
        </w:rPr>
        <w:t>。</w:t>
      </w:r>
    </w:p>
    <w:p w14:paraId="53082AA3">
      <w:pPr>
        <w:snapToGrid w:val="0"/>
        <w:spacing w:line="360" w:lineRule="auto"/>
        <w:ind w:firstLine="482" w:firstLineChars="200"/>
        <w:rPr>
          <w:rFonts w:hint="eastAsia" w:ascii="宋体" w:hAnsi="宋体" w:eastAsia="宋体" w:cs="宋体"/>
          <w:color w:val="auto"/>
          <w:sz w:val="24"/>
          <w:highlight w:val="none"/>
        </w:rPr>
      </w:pPr>
      <w:r>
        <w:rPr>
          <w:rFonts w:hint="eastAsia" w:ascii="宋体" w:hAnsi="宋体" w:cs="宋体"/>
          <w:b/>
          <w:bCs/>
          <w:color w:val="auto"/>
          <w:sz w:val="24"/>
          <w:highlight w:val="none"/>
        </w:rPr>
        <w:t>开标时间：</w:t>
      </w:r>
      <w:r>
        <w:rPr>
          <w:rFonts w:hint="eastAsia" w:ascii="宋体" w:hAnsi="宋体" w:cs="宋体"/>
          <w:b/>
          <w:bCs/>
          <w:color w:val="auto"/>
          <w:sz w:val="24"/>
          <w:highlight w:val="none"/>
          <w:u w:val="single"/>
          <w:lang w:eastAsia="zh-CN"/>
        </w:rPr>
        <w:t>202</w:t>
      </w:r>
      <w:r>
        <w:rPr>
          <w:rFonts w:hint="eastAsia" w:ascii="宋体" w:hAnsi="宋体" w:cs="宋体"/>
          <w:b/>
          <w:bCs/>
          <w:color w:val="auto"/>
          <w:sz w:val="24"/>
          <w:highlight w:val="none"/>
          <w:u w:val="single"/>
          <w:lang w:val="en-US" w:eastAsia="zh-CN"/>
        </w:rPr>
        <w:t>5</w:t>
      </w:r>
      <w:r>
        <w:rPr>
          <w:rFonts w:hint="eastAsia" w:ascii="宋体" w:hAnsi="宋体" w:cs="宋体"/>
          <w:b/>
          <w:bCs/>
          <w:color w:val="auto"/>
          <w:sz w:val="24"/>
          <w:highlight w:val="none"/>
          <w:u w:val="single"/>
          <w:lang w:eastAsia="zh-CN"/>
        </w:rPr>
        <w:t>年</w:t>
      </w:r>
      <w:r>
        <w:rPr>
          <w:rFonts w:hint="eastAsia" w:ascii="宋体" w:hAnsi="宋体" w:cs="宋体"/>
          <w:b/>
          <w:bCs/>
          <w:color w:val="auto"/>
          <w:sz w:val="24"/>
          <w:highlight w:val="none"/>
          <w:u w:val="single"/>
          <w:lang w:val="en-US" w:eastAsia="zh-CN"/>
        </w:rPr>
        <w:t>5</w:t>
      </w:r>
      <w:r>
        <w:rPr>
          <w:rFonts w:hint="eastAsia" w:ascii="宋体" w:hAnsi="宋体" w:cs="宋体"/>
          <w:b/>
          <w:bCs/>
          <w:color w:val="auto"/>
          <w:sz w:val="24"/>
          <w:highlight w:val="none"/>
          <w:u w:val="single"/>
        </w:rPr>
        <w:t>月</w:t>
      </w:r>
      <w:r>
        <w:rPr>
          <w:rFonts w:hint="eastAsia" w:ascii="宋体" w:hAnsi="宋体" w:cs="宋体"/>
          <w:b/>
          <w:bCs/>
          <w:color w:val="auto"/>
          <w:sz w:val="24"/>
          <w:highlight w:val="none"/>
          <w:u w:val="single"/>
          <w:lang w:val="en-US" w:eastAsia="zh-CN"/>
        </w:rPr>
        <w:t>6</w:t>
      </w:r>
      <w:r>
        <w:rPr>
          <w:rFonts w:hint="eastAsia" w:ascii="宋体" w:hAnsi="宋体" w:cs="宋体"/>
          <w:b/>
          <w:bCs/>
          <w:color w:val="auto"/>
          <w:sz w:val="24"/>
          <w:highlight w:val="none"/>
          <w:u w:val="single"/>
        </w:rPr>
        <w:t>日</w:t>
      </w:r>
      <w:r>
        <w:rPr>
          <w:rFonts w:hint="eastAsia" w:ascii="宋体" w:hAnsi="宋体" w:cs="宋体"/>
          <w:b/>
          <w:bCs/>
          <w:color w:val="auto"/>
          <w:sz w:val="24"/>
          <w:highlight w:val="none"/>
          <w:u w:val="single"/>
          <w:lang w:val="en-US" w:eastAsia="zh-CN"/>
        </w:rPr>
        <w:t>14</w:t>
      </w:r>
      <w:r>
        <w:rPr>
          <w:rFonts w:hint="eastAsia" w:ascii="宋体" w:hAnsi="宋体" w:cs="宋体"/>
          <w:b/>
          <w:bCs/>
          <w:color w:val="auto"/>
          <w:sz w:val="24"/>
          <w:highlight w:val="none"/>
          <w:u w:val="single"/>
        </w:rPr>
        <w:t>点</w:t>
      </w:r>
      <w:r>
        <w:rPr>
          <w:rFonts w:hint="eastAsia" w:ascii="宋体" w:hAnsi="宋体" w:cs="宋体"/>
          <w:b/>
          <w:bCs/>
          <w:color w:val="auto"/>
          <w:sz w:val="24"/>
          <w:highlight w:val="none"/>
          <w:u w:val="single"/>
          <w:lang w:val="en-US" w:eastAsia="zh-CN"/>
        </w:rPr>
        <w:t>00分</w:t>
      </w:r>
      <w:r>
        <w:rPr>
          <w:rFonts w:hint="eastAsia" w:ascii="宋体" w:hAnsi="宋体" w:eastAsia="宋体" w:cs="宋体"/>
          <w:b/>
          <w:bCs/>
          <w:color w:val="auto"/>
          <w:sz w:val="24"/>
          <w:highlight w:val="none"/>
        </w:rPr>
        <w:t>（北京时间）</w:t>
      </w:r>
      <w:r>
        <w:rPr>
          <w:rFonts w:hint="eastAsia" w:ascii="宋体" w:hAnsi="宋体" w:cs="宋体"/>
          <w:bCs/>
          <w:color w:val="auto"/>
          <w:sz w:val="24"/>
          <w:highlight w:val="none"/>
          <w:u w:val="none"/>
          <w:lang w:val="en-US" w:eastAsia="zh-CN"/>
        </w:rPr>
        <w:t>，</w:t>
      </w:r>
      <w:r>
        <w:rPr>
          <w:rFonts w:hint="eastAsia" w:ascii="宋体" w:hAnsi="宋体" w:eastAsia="宋体" w:cs="宋体"/>
          <w:color w:val="auto"/>
          <w:sz w:val="24"/>
          <w:highlight w:val="none"/>
        </w:rPr>
        <w:t>本项目不要求投标人到开标现场开标，但投标人应派法定代表人或委托代理人【委托代理人应当是投标人的在职正式职工（以社保网站拉具的含授权代表的投标单位社保清单为准，无社保网站拉具的投标单位社保清单的，可以提供投标人注册所在地社保部门出具的投标人本单位缴纳社保花名册）】准时在线出席电子开标会议，随时关注开标进度，如在开标过程中有电子询标，应在规定的时间内对电子询标函进行澄清、答复。</w:t>
      </w:r>
    </w:p>
    <w:p w14:paraId="53E3DC16">
      <w:pPr>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投标人未按招标文件要求派代表参加电子开标会议的，视同认可开标结果，不得对开标过程及开标结果提出质疑。</w:t>
      </w:r>
    </w:p>
    <w:p w14:paraId="5EF38CAD">
      <w:pPr>
        <w:numPr>
          <w:ilvl w:val="0"/>
          <w:numId w:val="0"/>
        </w:numPr>
        <w:snapToGrid w:val="0"/>
        <w:spacing w:line="440" w:lineRule="exact"/>
        <w:rPr>
          <w:rFonts w:hint="eastAsia" w:ascii="宋体" w:hAnsi="宋体" w:eastAsia="宋体" w:cs="宋体"/>
          <w:b/>
          <w:bCs/>
          <w:color w:val="auto"/>
          <w:sz w:val="24"/>
          <w:highlight w:val="none"/>
          <w:lang w:val="en-US" w:eastAsia="zh-CN"/>
        </w:rPr>
      </w:pPr>
      <w:r>
        <w:rPr>
          <w:rFonts w:hint="eastAsia" w:ascii="宋体" w:hAnsi="宋体" w:cs="宋体"/>
          <w:b/>
          <w:bCs/>
          <w:color w:val="auto"/>
          <w:sz w:val="24"/>
          <w:highlight w:val="none"/>
          <w:lang w:val="en-US" w:eastAsia="zh-CN"/>
        </w:rPr>
        <w:t>五、</w:t>
      </w:r>
      <w:r>
        <w:rPr>
          <w:rFonts w:hint="eastAsia" w:ascii="宋体" w:hAnsi="宋体" w:eastAsia="宋体" w:cs="宋体"/>
          <w:b/>
          <w:bCs/>
          <w:color w:val="auto"/>
          <w:sz w:val="24"/>
          <w:highlight w:val="none"/>
          <w:lang w:val="en-US" w:eastAsia="zh-CN"/>
        </w:rPr>
        <w:t>采购意向公开链接</w:t>
      </w:r>
    </w:p>
    <w:p w14:paraId="6745ABF8">
      <w:pPr>
        <w:snapToGrid w:val="0"/>
        <w:spacing w:line="440" w:lineRule="exact"/>
        <w:ind w:firstLine="480" w:firstLineChars="200"/>
        <w:rPr>
          <w:rFonts w:hint="eastAsia" w:ascii="宋体" w:hAnsi="宋体" w:cs="宋体"/>
          <w:color w:val="auto"/>
          <w:sz w:val="24"/>
          <w:highlight w:val="none"/>
          <w:lang w:val="en-US" w:eastAsia="zh-CN"/>
        </w:rPr>
      </w:pPr>
      <w:r>
        <w:rPr>
          <w:rFonts w:hint="eastAsia" w:ascii="宋体" w:hAnsi="宋体" w:eastAsia="宋体" w:cs="宋体"/>
          <w:color w:val="auto"/>
          <w:sz w:val="24"/>
          <w:highlight w:val="none"/>
        </w:rPr>
        <w:fldChar w:fldCharType="begin"/>
      </w:r>
      <w:r>
        <w:rPr>
          <w:rFonts w:hint="eastAsia" w:ascii="宋体" w:hAnsi="宋体" w:eastAsia="宋体" w:cs="宋体"/>
          <w:color w:val="auto"/>
          <w:sz w:val="24"/>
          <w:highlight w:val="none"/>
        </w:rPr>
        <w:instrText xml:space="preserve"> HYPERLINK "https://zfcg.czt.zj.gov.cn/site/detail?parentId=600007&amp;articleId=ndRH8GenAtPNvwNdGiQH3g%3D%3D" </w:instrText>
      </w:r>
      <w:r>
        <w:rPr>
          <w:rFonts w:hint="eastAsia" w:ascii="宋体" w:hAnsi="宋体" w:eastAsia="宋体" w:cs="宋体"/>
          <w:color w:val="auto"/>
          <w:sz w:val="24"/>
          <w:highlight w:val="none"/>
        </w:rPr>
        <w:fldChar w:fldCharType="separate"/>
      </w:r>
      <w:r>
        <w:rPr>
          <w:rStyle w:val="52"/>
          <w:rFonts w:hint="eastAsia" w:ascii="宋体" w:hAnsi="宋体" w:eastAsia="宋体" w:cs="宋体"/>
          <w:color w:val="auto"/>
          <w:sz w:val="24"/>
          <w:highlight w:val="none"/>
        </w:rPr>
        <w:t>https://zfcg.czt.zj.gov.cn/site/detail?parentId=600007&amp;articleId=ndRH8GenAtPNvwNdGiQH3g%3D%3D</w:t>
      </w:r>
      <w:r>
        <w:rPr>
          <w:rFonts w:hint="eastAsia" w:ascii="宋体" w:hAnsi="宋体" w:eastAsia="宋体" w:cs="宋体"/>
          <w:color w:val="auto"/>
          <w:sz w:val="24"/>
          <w:highlight w:val="none"/>
        </w:rPr>
        <w:fldChar w:fldCharType="end"/>
      </w:r>
      <w:r>
        <w:rPr>
          <w:rFonts w:hint="eastAsia" w:ascii="宋体" w:hAnsi="宋体" w:cs="宋体"/>
          <w:color w:val="auto"/>
          <w:sz w:val="24"/>
          <w:highlight w:val="none"/>
          <w:lang w:val="en-US" w:eastAsia="zh-CN"/>
        </w:rPr>
        <w:t xml:space="preserve"> </w:t>
      </w:r>
    </w:p>
    <w:p w14:paraId="2998CAF8">
      <w:pPr>
        <w:snapToGrid w:val="0"/>
        <w:spacing w:line="440" w:lineRule="exact"/>
        <w:rPr>
          <w:rFonts w:ascii="宋体" w:hAnsi="宋体" w:cs="宋体"/>
          <w:b/>
          <w:bCs/>
          <w:color w:val="auto"/>
          <w:sz w:val="24"/>
          <w:highlight w:val="none"/>
        </w:rPr>
      </w:pPr>
      <w:r>
        <w:rPr>
          <w:rFonts w:hint="eastAsia" w:ascii="宋体" w:hAnsi="宋体" w:cs="宋体"/>
          <w:b/>
          <w:bCs/>
          <w:color w:val="auto"/>
          <w:sz w:val="24"/>
          <w:highlight w:val="none"/>
          <w:lang w:eastAsia="zh-CN"/>
        </w:rPr>
        <w:t>六</w:t>
      </w:r>
      <w:r>
        <w:rPr>
          <w:rFonts w:hint="eastAsia" w:ascii="宋体" w:hAnsi="宋体" w:cs="宋体"/>
          <w:b/>
          <w:bCs/>
          <w:color w:val="auto"/>
          <w:sz w:val="24"/>
          <w:highlight w:val="none"/>
        </w:rPr>
        <w:t>、公告期限</w:t>
      </w:r>
    </w:p>
    <w:p w14:paraId="557B6EF1">
      <w:pPr>
        <w:numPr>
          <w:ilvl w:val="0"/>
          <w:numId w:val="0"/>
        </w:numPr>
        <w:snapToGrid w:val="0"/>
        <w:spacing w:line="440" w:lineRule="exact"/>
        <w:ind w:firstLine="480" w:firstLineChars="200"/>
        <w:rPr>
          <w:rFonts w:hint="eastAsia" w:ascii="宋体" w:hAnsi="宋体" w:cs="宋体"/>
          <w:color w:val="auto"/>
          <w:sz w:val="24"/>
        </w:rPr>
      </w:pPr>
      <w:r>
        <w:rPr>
          <w:rFonts w:hint="eastAsia" w:ascii="宋体" w:hAnsi="宋体" w:cs="宋体"/>
          <w:color w:val="auto"/>
          <w:sz w:val="24"/>
        </w:rPr>
        <w:t>自本公告发布之日起5个工作日</w:t>
      </w:r>
    </w:p>
    <w:p w14:paraId="50411E39">
      <w:pPr>
        <w:numPr>
          <w:ilvl w:val="0"/>
          <w:numId w:val="0"/>
        </w:numPr>
        <w:snapToGrid w:val="0"/>
        <w:spacing w:line="440" w:lineRule="exact"/>
        <w:rPr>
          <w:rFonts w:ascii="宋体" w:hAnsi="宋体" w:cs="宋体"/>
          <w:b/>
          <w:bCs/>
          <w:color w:val="auto"/>
          <w:sz w:val="24"/>
          <w:highlight w:val="none"/>
        </w:rPr>
      </w:pPr>
      <w:r>
        <w:rPr>
          <w:rFonts w:hint="eastAsia" w:ascii="宋体" w:hAnsi="宋体" w:cs="宋体"/>
          <w:b/>
          <w:bCs/>
          <w:color w:val="auto"/>
          <w:sz w:val="24"/>
          <w:highlight w:val="none"/>
          <w:lang w:eastAsia="zh-CN"/>
        </w:rPr>
        <w:t>七、</w:t>
      </w:r>
      <w:r>
        <w:rPr>
          <w:rFonts w:hint="eastAsia" w:ascii="宋体" w:hAnsi="宋体" w:cs="宋体"/>
          <w:b/>
          <w:bCs/>
          <w:color w:val="auto"/>
          <w:sz w:val="24"/>
          <w:highlight w:val="none"/>
        </w:rPr>
        <w:t>其他补充事宜</w:t>
      </w:r>
    </w:p>
    <w:p w14:paraId="448FCDEC">
      <w:pPr>
        <w:adjustRightInd w:val="0"/>
        <w:snapToGrid w:val="0"/>
        <w:spacing w:line="440" w:lineRule="exact"/>
        <w:ind w:firstLine="480" w:firstLineChars="200"/>
        <w:rPr>
          <w:rFonts w:hint="eastAsia"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eastAsia="zh-CN"/>
        </w:rPr>
        <w:t>供</w:t>
      </w:r>
      <w:r>
        <w:rPr>
          <w:rFonts w:hint="eastAsia" w:ascii="宋体" w:hAnsi="宋体" w:cs="宋体"/>
          <w:color w:val="auto"/>
          <w:sz w:val="24"/>
        </w:rPr>
        <w:t>应商认为采购文件使自己的权益受到损害的，可以自获取采购文件之日或者采购文件公告期限届满之日（公告期限届满后获取采购文件的，以公告期限届满之日为准）起7个工作日内，以书面形式</w:t>
      </w:r>
      <w:r>
        <w:rPr>
          <w:rFonts w:hint="eastAsia" w:ascii="宋体" w:hAnsi="宋体" w:eastAsia="宋体" w:cs="宋体"/>
          <w:color w:val="auto"/>
          <w:sz w:val="24"/>
        </w:rPr>
        <w:t>（纸质）一次性向采</w:t>
      </w:r>
      <w:r>
        <w:rPr>
          <w:rFonts w:hint="eastAsia" w:ascii="宋体" w:hAnsi="宋体" w:cs="宋体"/>
          <w:color w:val="auto"/>
          <w:sz w:val="24"/>
        </w:rPr>
        <w:t>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B7DE441">
      <w:pPr>
        <w:adjustRightInd w:val="0"/>
        <w:snapToGrid w:val="0"/>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供应商应知其权益受到损害之日，是指：</w:t>
      </w:r>
    </w:p>
    <w:p w14:paraId="5D77BC84">
      <w:pPr>
        <w:adjustRightInd w:val="0"/>
        <w:snapToGrid w:val="0"/>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（1）对可以质疑的采购文件提出质疑的，为获取采购文件之日（采购公告期限届满之日后获取采购文件的为采购公告期限届满之日）。</w:t>
      </w:r>
    </w:p>
    <w:p w14:paraId="7E638405">
      <w:pPr>
        <w:adjustRightInd w:val="0"/>
        <w:snapToGrid w:val="0"/>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（2）对采购过程提出质疑的，为各采购程序环节结束之日。</w:t>
      </w:r>
    </w:p>
    <w:p w14:paraId="41BE773B">
      <w:pPr>
        <w:adjustRightInd w:val="0"/>
        <w:snapToGrid w:val="0"/>
        <w:spacing w:line="440" w:lineRule="exact"/>
        <w:ind w:firstLine="480" w:firstLineChars="200"/>
        <w:rPr>
          <w:color w:val="auto"/>
        </w:rPr>
      </w:pPr>
      <w:r>
        <w:rPr>
          <w:rFonts w:hint="eastAsia" w:ascii="宋体" w:hAnsi="宋体" w:eastAsia="宋体" w:cs="宋体"/>
          <w:color w:val="auto"/>
          <w:sz w:val="24"/>
        </w:rPr>
        <w:t>（3）对成交结果提出质疑的，为成交结果公告期限届满之日。</w:t>
      </w:r>
    </w:p>
    <w:p w14:paraId="454106F3">
      <w:pPr>
        <w:adjustRightInd w:val="0"/>
        <w:snapToGrid w:val="0"/>
        <w:spacing w:line="440" w:lineRule="exact"/>
        <w:ind w:firstLine="480" w:firstLineChars="200"/>
        <w:jc w:val="left"/>
        <w:rPr>
          <w:rFonts w:ascii="宋体" w:hAnsi="宋体" w:cs="宋体"/>
          <w:color w:val="auto"/>
          <w:sz w:val="24"/>
        </w:rPr>
      </w:pPr>
      <w:r>
        <w:rPr>
          <w:rFonts w:hint="eastAsia" w:ascii="宋体" w:hAnsi="宋体" w:cs="宋体"/>
          <w:color w:val="auto"/>
          <w:sz w:val="24"/>
        </w:rPr>
        <w:t>2、浙江省财政厅关于进一步发挥政府采购政策功能全力推动经济稳进提质的通知》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0989FD45">
      <w:pPr>
        <w:adjustRightInd w:val="0"/>
        <w:snapToGrid w:val="0"/>
        <w:spacing w:line="440" w:lineRule="exact"/>
        <w:ind w:firstLine="480" w:firstLineChars="200"/>
        <w:jc w:val="left"/>
        <w:rPr>
          <w:rFonts w:ascii="宋体" w:hAnsi="宋体" w:cs="宋体"/>
          <w:color w:val="auto"/>
          <w:sz w:val="24"/>
        </w:rPr>
      </w:pPr>
      <w:r>
        <w:rPr>
          <w:rFonts w:hint="eastAsia" w:ascii="宋体" w:hAnsi="宋体" w:cs="宋体"/>
          <w:color w:val="auto"/>
          <w:sz w:val="24"/>
        </w:rPr>
        <w:t>3、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CA4CDD4">
      <w:pPr>
        <w:adjustRightInd w:val="0"/>
        <w:snapToGrid w:val="0"/>
        <w:spacing w:line="440" w:lineRule="exact"/>
        <w:ind w:firstLine="480" w:firstLineChars="200"/>
        <w:jc w:val="left"/>
        <w:rPr>
          <w:color w:val="auto"/>
        </w:rPr>
      </w:pPr>
      <w:r>
        <w:rPr>
          <w:rFonts w:hint="eastAsia" w:ascii="宋体" w:hAnsi="宋体" w:cs="宋体"/>
          <w:color w:val="auto"/>
          <w:sz w:val="24"/>
          <w:szCs w:val="22"/>
        </w:rPr>
        <w:t>4、需要落实的政府采购政策：包括节约资源、保护环境、支持创新、促进中小企业发展等。</w:t>
      </w:r>
    </w:p>
    <w:p w14:paraId="04B40E29">
      <w:pPr>
        <w:adjustRightInd w:val="0"/>
        <w:snapToGrid w:val="0"/>
        <w:spacing w:line="440" w:lineRule="exact"/>
        <w:ind w:firstLine="480" w:firstLineChars="200"/>
        <w:rPr>
          <w:rFonts w:ascii="宋体" w:hAnsi="宋体" w:cs="宋体"/>
          <w:color w:val="auto"/>
          <w:sz w:val="24"/>
        </w:rPr>
      </w:pPr>
      <w:r>
        <w:rPr>
          <w:rFonts w:hint="eastAsia" w:ascii="宋体" w:hAnsi="宋体" w:cs="宋体"/>
          <w:color w:val="auto"/>
          <w:sz w:val="24"/>
        </w:rPr>
        <w:t>5、本项目实行电子投标，投标文件应按照本项目招标文件和政采云平台的要求编制、加密并递交。投标人在使用系统进行投标的过程中遇到涉及平台使用的任何问题，可致电政采云平台技术支持热线咨询，联系方式：400-881-7190。</w:t>
      </w:r>
    </w:p>
    <w:p w14:paraId="1927962F">
      <w:pPr>
        <w:adjustRightInd w:val="0"/>
        <w:snapToGrid w:val="0"/>
        <w:spacing w:line="440" w:lineRule="exact"/>
        <w:ind w:firstLine="480" w:firstLineChars="200"/>
        <w:rPr>
          <w:rFonts w:ascii="宋体" w:hAnsi="宋体" w:cs="宋体"/>
          <w:color w:val="auto"/>
          <w:sz w:val="24"/>
        </w:rPr>
      </w:pPr>
      <w:r>
        <w:rPr>
          <w:rFonts w:hint="eastAsia" w:ascii="宋体" w:hAnsi="宋体" w:cs="宋体"/>
          <w:color w:val="auto"/>
          <w:sz w:val="24"/>
        </w:rPr>
        <w:t>6、投 标 人 应 在 开 标 前 完 成 CA 数 字 证 书 办 理 。 （ 办 理 流 程 详 见http://zfcg.czt.zj.gov.cn/bidClientTemplate/2019-05-27/12945.html）。完成 CA 数字证书办理预计一周左右，建议各投标人抓紧时间办理。</w:t>
      </w:r>
    </w:p>
    <w:p w14:paraId="51402D5E">
      <w:pPr>
        <w:adjustRightInd w:val="0"/>
        <w:snapToGrid w:val="0"/>
        <w:spacing w:line="440" w:lineRule="exact"/>
        <w:ind w:firstLine="480" w:firstLineChars="200"/>
        <w:jc w:val="left"/>
        <w:rPr>
          <w:rFonts w:ascii="宋体" w:hAnsi="宋体" w:cs="宋体"/>
          <w:color w:val="auto"/>
          <w:sz w:val="24"/>
        </w:rPr>
      </w:pPr>
      <w:r>
        <w:rPr>
          <w:rFonts w:hint="eastAsia" w:ascii="宋体" w:hAnsi="宋体" w:cs="宋体"/>
          <w:color w:val="auto"/>
          <w:sz w:val="24"/>
        </w:rPr>
        <w:t>7、投标人通过政采云平台电子投标工具制作投标文件，电子投标工具请供应商自行前往浙江省政府采购网下载并安装，（下载网址：http://zfcg.czt.zj.gov.cn/bidClientTemplate/2019-08-30/12975.html），</w:t>
      </w:r>
    </w:p>
    <w:p w14:paraId="332825E5">
      <w:pPr>
        <w:adjustRightInd w:val="0"/>
        <w:snapToGrid w:val="0"/>
        <w:spacing w:line="440" w:lineRule="exact"/>
        <w:jc w:val="left"/>
        <w:rPr>
          <w:rFonts w:ascii="宋体" w:hAnsi="宋体" w:cs="宋体"/>
          <w:color w:val="auto"/>
          <w:sz w:val="24"/>
        </w:rPr>
      </w:pPr>
      <w:r>
        <w:rPr>
          <w:rFonts w:hint="eastAsia" w:ascii="宋体" w:hAnsi="宋体" w:cs="宋体"/>
          <w:color w:val="auto"/>
          <w:sz w:val="24"/>
        </w:rPr>
        <w:t>（电 子 投 标 相 关 学 习 网 址 ：</w:t>
      </w:r>
      <w:r>
        <w:rPr>
          <w:color w:val="auto"/>
        </w:rPr>
        <w:fldChar w:fldCharType="begin"/>
      </w:r>
      <w:r>
        <w:rPr>
          <w:color w:val="auto"/>
        </w:rPr>
        <w:instrText xml:space="preserve"> HYPERLINK "https://edu.zcygov.cn/luban/e-biding?utm=a0004.2ef5001f.0001.0109.2d44db10df9111e9b92b0f36d4889416。）" </w:instrText>
      </w:r>
      <w:r>
        <w:rPr>
          <w:color w:val="auto"/>
        </w:rPr>
        <w:fldChar w:fldCharType="separate"/>
      </w:r>
      <w:r>
        <w:rPr>
          <w:rStyle w:val="52"/>
          <w:rFonts w:hint="eastAsia" w:ascii="宋体" w:hAnsi="宋体" w:cs="宋体"/>
          <w:color w:val="auto"/>
          <w:sz w:val="24"/>
        </w:rPr>
        <w:t>https://edu.zcygov.cn/luban/e-biding?utm=a0004.2ef5001f.0001.0109.2d44db10df9111e9b92b0f36d4889416。）</w:t>
      </w:r>
      <w:r>
        <w:rPr>
          <w:rStyle w:val="52"/>
          <w:rFonts w:hint="eastAsia" w:ascii="宋体" w:hAnsi="宋体" w:cs="宋体"/>
          <w:color w:val="auto"/>
          <w:sz w:val="24"/>
        </w:rPr>
        <w:fldChar w:fldCharType="end"/>
      </w:r>
    </w:p>
    <w:p w14:paraId="6BDF0252">
      <w:pPr>
        <w:adjustRightInd w:val="0"/>
        <w:snapToGrid w:val="0"/>
        <w:spacing w:line="440" w:lineRule="exact"/>
        <w:ind w:left="210" w:leftChars="100" w:firstLine="240" w:firstLineChars="100"/>
        <w:rPr>
          <w:rFonts w:ascii="宋体" w:hAnsi="宋体" w:cs="宋体"/>
          <w:color w:val="auto"/>
          <w:sz w:val="24"/>
        </w:rPr>
      </w:pPr>
      <w:r>
        <w:rPr>
          <w:rFonts w:hint="eastAsia" w:ascii="宋体" w:hAnsi="宋体" w:cs="宋体"/>
          <w:color w:val="auto"/>
          <w:sz w:val="24"/>
        </w:rPr>
        <w:t>8、企业信用融资：省财政厅、浙江银监局、省金融办制定了《浙江省政府采购支</w:t>
      </w:r>
    </w:p>
    <w:p w14:paraId="6DD11552">
      <w:pPr>
        <w:adjustRightInd w:val="0"/>
        <w:snapToGrid w:val="0"/>
        <w:spacing w:line="440" w:lineRule="exact"/>
        <w:rPr>
          <w:rFonts w:ascii="宋体" w:hAnsi="宋体" w:cs="宋体"/>
          <w:color w:val="auto"/>
          <w:sz w:val="24"/>
        </w:rPr>
      </w:pPr>
      <w:r>
        <w:rPr>
          <w:rFonts w:hint="eastAsia" w:ascii="宋体" w:hAnsi="宋体" w:cs="宋体"/>
          <w:color w:val="auto"/>
          <w:sz w:val="24"/>
        </w:rPr>
        <w:t>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 (tp:/www zizfcg gov.cn)的中小企业信用融资栏目了解相关信息。 供应商可以通过浙江政府采购网(https://zfcg. czt.zj. gov.cn/)首页的“浙江政采贷”模块进入申请，还可以通过政府采购云平台(https://wwwzcygov.cn/)首页的“金融服务”模块进入申请。</w:t>
      </w:r>
    </w:p>
    <w:p w14:paraId="47179F51">
      <w:pPr>
        <w:adjustRightInd w:val="0"/>
        <w:snapToGrid w:val="0"/>
        <w:spacing w:line="440" w:lineRule="exact"/>
        <w:ind w:firstLine="480" w:firstLineChars="200"/>
        <w:rPr>
          <w:rFonts w:ascii="宋体" w:hAnsi="宋体" w:cs="宋体"/>
          <w:b w:val="0"/>
          <w:bCs w:val="0"/>
          <w:color w:val="auto"/>
          <w:sz w:val="24"/>
        </w:rPr>
      </w:pPr>
      <w:r>
        <w:rPr>
          <w:rFonts w:hint="eastAsia" w:ascii="宋体" w:hAnsi="宋体" w:cs="宋体"/>
          <w:b w:val="0"/>
          <w:bCs w:val="0"/>
          <w:color w:val="auto"/>
          <w:sz w:val="24"/>
        </w:rPr>
        <w:t>9、本采购项目，中标单位与采购单位签订的政府采购合同适用于政府采购贷款政策，简称“政采贷”，具体内容详见附件《政府采购支持中小企业信用融资相关事项通知》。本项目中的预付款保函也可通过政采云系统办理。</w:t>
      </w:r>
    </w:p>
    <w:p w14:paraId="5CEB430B">
      <w:pPr>
        <w:adjustRightInd w:val="0"/>
        <w:snapToGrid w:val="0"/>
        <w:spacing w:line="440" w:lineRule="exact"/>
        <w:ind w:firstLine="480" w:firstLineChars="200"/>
        <w:rPr>
          <w:rFonts w:ascii="宋体" w:hAnsi="宋体" w:cs="宋体"/>
          <w:b w:val="0"/>
          <w:bCs w:val="0"/>
          <w:color w:val="auto"/>
          <w:sz w:val="24"/>
        </w:rPr>
      </w:pPr>
      <w:r>
        <w:rPr>
          <w:rFonts w:hint="eastAsia" w:ascii="宋体" w:hAnsi="宋体" w:cs="宋体"/>
          <w:b w:val="0"/>
          <w:bCs w:val="0"/>
          <w:color w:val="auto"/>
          <w:sz w:val="24"/>
        </w:rPr>
        <w:t xml:space="preserve">为扩大政府采购金融服务面，除政采云网上金融服务合作银行外，东阳市范围内增加线下合作银行，具体信息如下：   </w:t>
      </w:r>
    </w:p>
    <w:p w14:paraId="78903DEB">
      <w:pPr>
        <w:adjustRightInd w:val="0"/>
        <w:snapToGrid w:val="0"/>
        <w:spacing w:line="440" w:lineRule="exact"/>
        <w:ind w:firstLine="480" w:firstLineChars="200"/>
        <w:rPr>
          <w:rFonts w:ascii="宋体" w:hAnsi="宋体" w:cs="宋体"/>
          <w:b w:val="0"/>
          <w:bCs w:val="0"/>
          <w:color w:val="auto"/>
          <w:sz w:val="24"/>
        </w:rPr>
      </w:pPr>
      <w:r>
        <w:rPr>
          <w:rFonts w:hint="eastAsia" w:ascii="宋体" w:hAnsi="宋体" w:cs="宋体"/>
          <w:b w:val="0"/>
          <w:bCs w:val="0"/>
          <w:color w:val="auto"/>
          <w:sz w:val="24"/>
        </w:rPr>
        <w:t>浙商银行金华东阳支行联系人：许燕  联系电话：13967983441  0579-86222992</w:t>
      </w:r>
    </w:p>
    <w:p w14:paraId="538F4ED4">
      <w:pPr>
        <w:pStyle w:val="3"/>
        <w:numPr>
          <w:ilvl w:val="0"/>
          <w:numId w:val="3"/>
        </w:numPr>
        <w:adjustRightInd w:val="0"/>
        <w:snapToGrid w:val="0"/>
        <w:spacing w:after="0" w:line="440" w:lineRule="exact"/>
        <w:ind w:firstLine="480" w:firstLineChars="200"/>
        <w:jc w:val="left"/>
        <w:rPr>
          <w:rFonts w:ascii="宋体" w:hAnsi="宋体" w:cs="宋体"/>
          <w:color w:val="auto"/>
          <w:sz w:val="24"/>
        </w:rPr>
      </w:pPr>
      <w:r>
        <w:rPr>
          <w:rFonts w:hint="eastAsia" w:ascii="宋体" w:hAnsi="宋体" w:cs="宋体"/>
          <w:color w:val="auto"/>
          <w:sz w:val="24"/>
        </w:rPr>
        <w:t>供应商在线投诉渠道（</w:t>
      </w:r>
      <w:r>
        <w:rPr>
          <w:color w:val="auto"/>
        </w:rPr>
        <w:fldChar w:fldCharType="begin"/>
      </w:r>
      <w:r>
        <w:rPr>
          <w:color w:val="auto"/>
        </w:rPr>
        <w:instrText xml:space="preserve"> HYPERLINK "http://www.zjzwfw.gov.cn/zjservice/item/detail/index.do?localInnerCode=2ca19a7a-aa2d-4cca-a191-a5edf3bf69f8" </w:instrText>
      </w:r>
      <w:r>
        <w:rPr>
          <w:color w:val="auto"/>
        </w:rPr>
        <w:fldChar w:fldCharType="separate"/>
      </w:r>
      <w:r>
        <w:rPr>
          <w:rStyle w:val="52"/>
          <w:rFonts w:hint="eastAsia" w:ascii="宋体" w:hAnsi="宋体" w:cs="宋体"/>
          <w:color w:val="auto"/>
          <w:sz w:val="24"/>
        </w:rPr>
        <w:t>http://www.zjzwfw.gov.cn/zjservice/item/detail/index.do?localInnerCode=2ca19a7a-aa2d-4cca-a191-a5edf3bf69f8</w:t>
      </w:r>
      <w:r>
        <w:rPr>
          <w:rStyle w:val="52"/>
          <w:rFonts w:hint="eastAsia" w:ascii="宋体" w:hAnsi="宋体" w:cs="宋体"/>
          <w:color w:val="auto"/>
          <w:sz w:val="24"/>
        </w:rPr>
        <w:fldChar w:fldCharType="end"/>
      </w:r>
      <w:r>
        <w:rPr>
          <w:rFonts w:hint="eastAsia" w:ascii="宋体" w:hAnsi="宋体" w:cs="宋体"/>
          <w:color w:val="auto"/>
          <w:sz w:val="24"/>
        </w:rPr>
        <w:t>）</w:t>
      </w:r>
    </w:p>
    <w:p w14:paraId="19242AB3">
      <w:pPr>
        <w:numPr>
          <w:ilvl w:val="0"/>
          <w:numId w:val="0"/>
        </w:numPr>
        <w:snapToGrid w:val="0"/>
        <w:spacing w:line="312" w:lineRule="auto"/>
        <w:ind w:firstLine="480" w:firstLineChars="200"/>
        <w:outlineLvl w:val="0"/>
        <w:rPr>
          <w:rFonts w:hint="eastAsia" w:ascii="宋体" w:hAnsi="宋体" w:cs="宋体"/>
          <w:b/>
          <w:bCs/>
          <w:color w:val="auto"/>
          <w:sz w:val="24"/>
          <w:highlight w:val="none"/>
        </w:rPr>
      </w:pPr>
      <w:r>
        <w:rPr>
          <w:rFonts w:hint="eastAsia" w:ascii="宋体" w:hAnsi="宋体" w:cs="宋体"/>
          <w:color w:val="auto"/>
          <w:sz w:val="24"/>
        </w:rPr>
        <w:t>11、根据《浙江省财政厅关于进一步加大政府采购支持中小企业力度 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证明材料。</w:t>
      </w:r>
    </w:p>
    <w:p w14:paraId="03F88E33">
      <w:pPr>
        <w:numPr>
          <w:ilvl w:val="0"/>
          <w:numId w:val="0"/>
        </w:numPr>
        <w:snapToGrid w:val="0"/>
        <w:spacing w:line="312" w:lineRule="auto"/>
        <w:outlineLvl w:val="0"/>
        <w:rPr>
          <w:rFonts w:ascii="宋体" w:cs="Arial"/>
          <w:b/>
          <w:color w:val="auto"/>
          <w:sz w:val="24"/>
          <w:highlight w:val="none"/>
        </w:rPr>
      </w:pPr>
      <w:r>
        <w:rPr>
          <w:rStyle w:val="231"/>
          <w:rFonts w:hint="eastAsia" w:cs="宋体"/>
          <w:bCs/>
          <w:color w:val="auto"/>
          <w:sz w:val="24"/>
          <w:highlight w:val="none"/>
          <w:lang w:val="en-US" w:eastAsia="zh-CN"/>
        </w:rPr>
        <w:t>八、</w:t>
      </w:r>
      <w:r>
        <w:rPr>
          <w:rFonts w:hint="eastAsia" w:ascii="宋体" w:hAnsi="宋体" w:cs="宋体"/>
          <w:b/>
          <w:color w:val="auto"/>
          <w:sz w:val="24"/>
          <w:highlight w:val="none"/>
        </w:rPr>
        <w:t>对本次采购提出询问、质疑、投诉，请按以下方式联系</w:t>
      </w:r>
      <w:r>
        <w:rPr>
          <w:rStyle w:val="231"/>
          <w:rFonts w:hint="eastAsia" w:cs="宋体"/>
          <w:bCs/>
          <w:color w:val="auto"/>
          <w:sz w:val="24"/>
          <w:highlight w:val="none"/>
        </w:rPr>
        <w:t>：</w:t>
      </w:r>
      <w:bookmarkEnd w:id="0"/>
    </w:p>
    <w:p w14:paraId="3F364110">
      <w:pPr>
        <w:tabs>
          <w:tab w:val="right" w:pos="8849"/>
        </w:tabs>
        <w:spacing w:line="312" w:lineRule="auto"/>
        <w:ind w:firstLine="241" w:firstLineChars="100"/>
        <w:rPr>
          <w:rFonts w:ascii="宋体"/>
          <w:b/>
          <w:bCs/>
          <w:color w:val="auto"/>
          <w:sz w:val="24"/>
          <w:highlight w:val="none"/>
        </w:rPr>
      </w:pPr>
      <w:r>
        <w:rPr>
          <w:rFonts w:hint="eastAsia" w:ascii="宋体" w:hAnsi="宋体"/>
          <w:b/>
          <w:bCs/>
          <w:color w:val="auto"/>
          <w:sz w:val="24"/>
          <w:highlight w:val="none"/>
        </w:rPr>
        <w:t>采购人信息</w:t>
      </w:r>
    </w:p>
    <w:p w14:paraId="35B47BA5">
      <w:pPr>
        <w:tabs>
          <w:tab w:val="right" w:pos="8849"/>
        </w:tabs>
        <w:spacing w:line="312" w:lineRule="auto"/>
        <w:ind w:firstLine="241" w:firstLineChars="100"/>
        <w:rPr>
          <w:rFonts w:hint="eastAsia" w:ascii="宋体" w:eastAsia="宋体"/>
          <w:b/>
          <w:bCs/>
          <w:color w:val="auto"/>
          <w:sz w:val="24"/>
          <w:highlight w:val="none"/>
          <w:lang w:eastAsia="zh-CN"/>
        </w:rPr>
      </w:pPr>
      <w:r>
        <w:rPr>
          <w:rFonts w:hint="eastAsia" w:ascii="宋体" w:hAnsi="宋体"/>
          <w:b/>
          <w:bCs/>
          <w:color w:val="auto"/>
          <w:sz w:val="24"/>
          <w:highlight w:val="none"/>
        </w:rPr>
        <w:t>名称：</w:t>
      </w:r>
      <w:r>
        <w:rPr>
          <w:rFonts w:hint="eastAsia" w:ascii="宋体" w:hAnsi="宋体"/>
          <w:b/>
          <w:bCs/>
          <w:color w:val="auto"/>
          <w:sz w:val="24"/>
          <w:highlight w:val="none"/>
          <w:lang w:eastAsia="zh-CN"/>
        </w:rPr>
        <w:t>东阳市公安局</w:t>
      </w:r>
    </w:p>
    <w:p w14:paraId="405F318C">
      <w:pPr>
        <w:tabs>
          <w:tab w:val="right" w:pos="8849"/>
        </w:tabs>
        <w:spacing w:line="312" w:lineRule="auto"/>
        <w:ind w:firstLine="241" w:firstLineChars="100"/>
        <w:rPr>
          <w:rFonts w:hint="eastAsia" w:ascii="宋体" w:hAnsi="宋体"/>
          <w:b/>
          <w:bCs/>
          <w:color w:val="auto"/>
          <w:sz w:val="24"/>
          <w:highlight w:val="none"/>
          <w:lang w:val="en-US" w:eastAsia="zh-CN"/>
        </w:rPr>
      </w:pPr>
      <w:r>
        <w:rPr>
          <w:rFonts w:hint="eastAsia" w:ascii="宋体" w:hAnsi="宋体"/>
          <w:b/>
          <w:bCs/>
          <w:color w:val="auto"/>
          <w:sz w:val="24"/>
          <w:highlight w:val="none"/>
        </w:rPr>
        <w:t>项目联系人</w:t>
      </w:r>
      <w:r>
        <w:rPr>
          <w:rFonts w:hint="eastAsia" w:ascii="宋体" w:hAnsi="宋体"/>
          <w:b/>
          <w:bCs/>
          <w:color w:val="auto"/>
          <w:sz w:val="24"/>
          <w:highlight w:val="none"/>
          <w:lang w:eastAsia="zh-CN"/>
        </w:rPr>
        <w:t>（询问）</w:t>
      </w:r>
      <w:r>
        <w:rPr>
          <w:rFonts w:hint="eastAsia" w:ascii="宋体" w:hAnsi="宋体"/>
          <w:b/>
          <w:bCs/>
          <w:color w:val="auto"/>
          <w:sz w:val="24"/>
          <w:highlight w:val="none"/>
        </w:rPr>
        <w:t>：</w:t>
      </w:r>
      <w:r>
        <w:rPr>
          <w:rFonts w:hint="eastAsia" w:ascii="宋体" w:hAnsi="宋体"/>
          <w:b/>
          <w:bCs/>
          <w:color w:val="auto"/>
          <w:sz w:val="24"/>
          <w:highlight w:val="none"/>
          <w:lang w:val="en-US" w:eastAsia="zh-CN"/>
        </w:rPr>
        <w:t>吴宇将</w:t>
      </w:r>
      <w:r>
        <w:rPr>
          <w:rFonts w:hint="eastAsia" w:ascii="宋体" w:hAnsi="宋体"/>
          <w:b/>
          <w:bCs/>
          <w:color w:val="auto"/>
          <w:sz w:val="24"/>
          <w:highlight w:val="none"/>
        </w:rPr>
        <w:t xml:space="preserve">                 </w:t>
      </w:r>
      <w:r>
        <w:rPr>
          <w:rFonts w:hint="eastAsia" w:ascii="宋体" w:hAnsi="宋体"/>
          <w:b/>
          <w:bCs/>
          <w:color w:val="auto"/>
          <w:sz w:val="24"/>
          <w:highlight w:val="none"/>
          <w:lang w:val="en-US" w:eastAsia="zh-CN"/>
        </w:rPr>
        <w:t xml:space="preserve">        </w:t>
      </w:r>
    </w:p>
    <w:p w14:paraId="1E476B07">
      <w:pPr>
        <w:tabs>
          <w:tab w:val="right" w:pos="8849"/>
        </w:tabs>
        <w:spacing w:line="312" w:lineRule="auto"/>
        <w:ind w:firstLine="241" w:firstLineChars="100"/>
        <w:rPr>
          <w:rFonts w:hint="eastAsia" w:ascii="宋体" w:hAnsi="宋体"/>
          <w:b/>
          <w:bCs/>
          <w:color w:val="auto"/>
          <w:sz w:val="24"/>
          <w:highlight w:val="none"/>
        </w:rPr>
      </w:pPr>
      <w:r>
        <w:rPr>
          <w:rFonts w:hint="eastAsia" w:ascii="宋体" w:hAnsi="宋体"/>
          <w:b/>
          <w:bCs/>
          <w:color w:val="auto"/>
          <w:sz w:val="24"/>
          <w:highlight w:val="none"/>
        </w:rPr>
        <w:t>联系电话：</w:t>
      </w:r>
      <w:r>
        <w:rPr>
          <w:rFonts w:hint="eastAsia" w:ascii="宋体" w:hAnsi="宋体" w:cs="宋体"/>
          <w:b/>
          <w:bCs/>
          <w:color w:val="auto"/>
          <w:sz w:val="24"/>
          <w:highlight w:val="none"/>
          <w:lang w:eastAsia="zh-CN"/>
        </w:rPr>
        <w:t>0579-86096083</w:t>
      </w:r>
    </w:p>
    <w:p w14:paraId="786E8F1B">
      <w:pPr>
        <w:tabs>
          <w:tab w:val="right" w:pos="8849"/>
        </w:tabs>
        <w:spacing w:line="312" w:lineRule="auto"/>
        <w:ind w:firstLine="241" w:firstLineChars="100"/>
        <w:rPr>
          <w:rFonts w:hint="eastAsia" w:ascii="宋体" w:hAnsi="宋体"/>
          <w:b/>
          <w:bCs/>
          <w:color w:val="auto"/>
          <w:sz w:val="24"/>
          <w:highlight w:val="none"/>
        </w:rPr>
      </w:pPr>
      <w:r>
        <w:rPr>
          <w:rFonts w:hint="eastAsia" w:ascii="宋体" w:hAnsi="宋体"/>
          <w:b/>
          <w:bCs/>
          <w:color w:val="auto"/>
          <w:sz w:val="24"/>
          <w:highlight w:val="none"/>
        </w:rPr>
        <w:t>质疑联系人：</w:t>
      </w:r>
      <w:r>
        <w:rPr>
          <w:rFonts w:hint="eastAsia" w:ascii="宋体" w:hAnsi="宋体"/>
          <w:b/>
          <w:bCs/>
          <w:color w:val="auto"/>
          <w:sz w:val="24"/>
          <w:highlight w:val="none"/>
          <w:lang w:eastAsia="zh-CN"/>
        </w:rPr>
        <w:t>楼方杰</w:t>
      </w:r>
      <w:r>
        <w:rPr>
          <w:rFonts w:hint="eastAsia" w:ascii="宋体" w:hAnsi="宋体"/>
          <w:b/>
          <w:bCs/>
          <w:color w:val="auto"/>
          <w:sz w:val="24"/>
          <w:highlight w:val="none"/>
        </w:rPr>
        <w:t xml:space="preserve">                          </w:t>
      </w:r>
    </w:p>
    <w:p w14:paraId="73C7CC28">
      <w:pPr>
        <w:tabs>
          <w:tab w:val="right" w:pos="8849"/>
        </w:tabs>
        <w:spacing w:line="312" w:lineRule="auto"/>
        <w:ind w:firstLine="241" w:firstLineChars="100"/>
        <w:rPr>
          <w:rFonts w:hint="eastAsia" w:ascii="宋体" w:hAnsi="宋体"/>
          <w:b/>
          <w:bCs/>
          <w:color w:val="auto"/>
          <w:sz w:val="24"/>
          <w:highlight w:val="none"/>
        </w:rPr>
      </w:pPr>
      <w:r>
        <w:rPr>
          <w:rFonts w:hint="eastAsia" w:ascii="宋体" w:hAnsi="宋体"/>
          <w:b/>
          <w:bCs/>
          <w:color w:val="auto"/>
          <w:sz w:val="24"/>
          <w:highlight w:val="none"/>
        </w:rPr>
        <w:t>联系电话：</w:t>
      </w:r>
      <w:r>
        <w:rPr>
          <w:rFonts w:hint="eastAsia" w:ascii="宋体" w:hAnsi="宋体" w:cs="宋体"/>
          <w:b/>
          <w:bCs/>
          <w:color w:val="auto"/>
          <w:sz w:val="24"/>
          <w:highlight w:val="none"/>
          <w:lang w:eastAsia="zh-CN"/>
        </w:rPr>
        <w:t>0579-86096083</w:t>
      </w:r>
    </w:p>
    <w:p w14:paraId="45DDCD92">
      <w:pPr>
        <w:tabs>
          <w:tab w:val="right" w:pos="8849"/>
        </w:tabs>
        <w:spacing w:line="312" w:lineRule="auto"/>
        <w:ind w:firstLine="241" w:firstLineChars="100"/>
        <w:rPr>
          <w:rFonts w:hint="eastAsia" w:ascii="宋体" w:hAnsi="宋体"/>
          <w:b/>
          <w:bCs/>
          <w:color w:val="auto"/>
          <w:sz w:val="24"/>
          <w:highlight w:val="none"/>
        </w:rPr>
      </w:pPr>
      <w:r>
        <w:rPr>
          <w:rFonts w:hint="eastAsia" w:ascii="宋体" w:hAnsi="宋体"/>
          <w:b/>
          <w:bCs/>
          <w:color w:val="auto"/>
          <w:sz w:val="24"/>
          <w:highlight w:val="none"/>
        </w:rPr>
        <w:t>联系地址：东阳市江滨北街16号</w:t>
      </w:r>
    </w:p>
    <w:p w14:paraId="7D18C94B">
      <w:pPr>
        <w:tabs>
          <w:tab w:val="right" w:pos="8849"/>
        </w:tabs>
        <w:spacing w:line="312" w:lineRule="auto"/>
        <w:ind w:firstLine="241" w:firstLineChars="100"/>
        <w:rPr>
          <w:rFonts w:hint="eastAsia" w:ascii="宋体" w:hAnsi="宋体" w:eastAsia="宋体" w:cs="Times New Roman"/>
          <w:b/>
          <w:bCs/>
          <w:color w:val="auto"/>
          <w:sz w:val="24"/>
          <w:highlight w:val="none"/>
        </w:rPr>
      </w:pPr>
      <w:r>
        <w:rPr>
          <w:rFonts w:hint="eastAsia" w:ascii="宋体" w:hAnsi="宋体"/>
          <w:b/>
          <w:bCs/>
          <w:color w:val="auto"/>
          <w:sz w:val="24"/>
          <w:highlight w:val="none"/>
        </w:rPr>
        <w:t>采购代</w:t>
      </w:r>
      <w:r>
        <w:rPr>
          <w:rFonts w:hint="eastAsia" w:ascii="宋体" w:hAnsi="宋体" w:eastAsia="宋体" w:cs="Times New Roman"/>
          <w:b/>
          <w:bCs/>
          <w:color w:val="auto"/>
          <w:sz w:val="24"/>
          <w:highlight w:val="none"/>
        </w:rPr>
        <w:t>理机构信息</w:t>
      </w:r>
    </w:p>
    <w:p w14:paraId="454E84C0">
      <w:pPr>
        <w:tabs>
          <w:tab w:val="right" w:pos="8849"/>
        </w:tabs>
        <w:spacing w:line="312" w:lineRule="auto"/>
        <w:ind w:firstLine="241" w:firstLineChars="100"/>
        <w:rPr>
          <w:rFonts w:hint="eastAsia" w:ascii="宋体" w:hAnsi="宋体" w:eastAsia="宋体" w:cs="Times New Roman"/>
          <w:b/>
          <w:bCs/>
          <w:color w:val="auto"/>
          <w:sz w:val="24"/>
          <w:highlight w:val="none"/>
          <w:lang w:eastAsia="zh-CN"/>
        </w:rPr>
      </w:pPr>
      <w:r>
        <w:rPr>
          <w:rFonts w:hint="eastAsia" w:ascii="宋体" w:hAnsi="宋体" w:eastAsia="宋体" w:cs="Times New Roman"/>
          <w:b/>
          <w:bCs/>
          <w:color w:val="auto"/>
          <w:sz w:val="24"/>
          <w:highlight w:val="none"/>
        </w:rPr>
        <w:t>名称：</w:t>
      </w:r>
      <w:r>
        <w:rPr>
          <w:rFonts w:hint="eastAsia" w:ascii="宋体" w:hAnsi="宋体" w:cs="Times New Roman"/>
          <w:b/>
          <w:bCs/>
          <w:color w:val="auto"/>
          <w:sz w:val="24"/>
          <w:highlight w:val="none"/>
          <w:lang w:eastAsia="zh-CN"/>
        </w:rPr>
        <w:t>泰宇建筑工程技术咨询有限公司</w:t>
      </w:r>
    </w:p>
    <w:p w14:paraId="1881FC2B">
      <w:pPr>
        <w:tabs>
          <w:tab w:val="right" w:pos="8849"/>
        </w:tabs>
        <w:spacing w:line="312" w:lineRule="auto"/>
        <w:ind w:firstLine="241" w:firstLineChars="100"/>
        <w:rPr>
          <w:rFonts w:hint="eastAsia" w:ascii="宋体" w:hAnsi="宋体" w:eastAsia="宋体" w:cs="Times New Roman"/>
          <w:b/>
          <w:bCs/>
          <w:color w:val="auto"/>
          <w:sz w:val="24"/>
          <w:highlight w:val="none"/>
          <w:lang w:val="en-US" w:eastAsia="zh-CN"/>
        </w:rPr>
      </w:pPr>
      <w:r>
        <w:rPr>
          <w:rFonts w:hint="eastAsia" w:ascii="宋体" w:hAnsi="宋体" w:eastAsia="宋体" w:cs="Times New Roman"/>
          <w:b/>
          <w:bCs/>
          <w:color w:val="auto"/>
          <w:sz w:val="24"/>
          <w:highlight w:val="none"/>
        </w:rPr>
        <w:t>项目联系人</w:t>
      </w:r>
      <w:r>
        <w:rPr>
          <w:rFonts w:hint="eastAsia" w:ascii="宋体" w:hAnsi="宋体"/>
          <w:b/>
          <w:bCs/>
          <w:color w:val="auto"/>
          <w:sz w:val="24"/>
          <w:highlight w:val="none"/>
          <w:lang w:eastAsia="zh-CN"/>
        </w:rPr>
        <w:t>（询问）</w:t>
      </w:r>
      <w:r>
        <w:rPr>
          <w:rFonts w:hint="eastAsia" w:ascii="宋体" w:hAnsi="宋体" w:eastAsia="宋体" w:cs="Times New Roman"/>
          <w:b/>
          <w:bCs/>
          <w:color w:val="auto"/>
          <w:sz w:val="24"/>
          <w:highlight w:val="none"/>
        </w:rPr>
        <w:t>：</w:t>
      </w:r>
      <w:r>
        <w:rPr>
          <w:rFonts w:hint="eastAsia" w:ascii="宋体" w:hAnsi="宋体" w:cs="Times New Roman"/>
          <w:b/>
          <w:bCs/>
          <w:color w:val="auto"/>
          <w:sz w:val="24"/>
          <w:highlight w:val="none"/>
          <w:lang w:eastAsia="zh-CN"/>
        </w:rPr>
        <w:t>徐璐娅</w:t>
      </w:r>
      <w:r>
        <w:rPr>
          <w:rFonts w:hint="eastAsia" w:ascii="宋体" w:hAnsi="宋体" w:eastAsia="宋体" w:cs="Times New Roman"/>
          <w:b/>
          <w:bCs/>
          <w:color w:val="auto"/>
          <w:sz w:val="24"/>
          <w:highlight w:val="none"/>
          <w:lang w:val="en-US" w:eastAsia="zh-CN"/>
        </w:rPr>
        <w:t xml:space="preserve">                           </w:t>
      </w:r>
    </w:p>
    <w:p w14:paraId="7D2D401A">
      <w:pPr>
        <w:tabs>
          <w:tab w:val="right" w:pos="8849"/>
        </w:tabs>
        <w:spacing w:line="312" w:lineRule="auto"/>
        <w:ind w:firstLine="241" w:firstLineChars="100"/>
        <w:rPr>
          <w:rFonts w:hint="eastAsia" w:ascii="宋体" w:hAnsi="宋体" w:eastAsia="宋体" w:cs="Times New Roman"/>
          <w:b/>
          <w:bCs/>
          <w:color w:val="auto"/>
          <w:sz w:val="24"/>
          <w:highlight w:val="none"/>
        </w:rPr>
      </w:pPr>
      <w:r>
        <w:rPr>
          <w:rFonts w:hint="eastAsia" w:ascii="宋体" w:hAnsi="宋体" w:eastAsia="宋体" w:cs="Times New Roman"/>
          <w:b/>
          <w:bCs/>
          <w:color w:val="auto"/>
          <w:sz w:val="24"/>
          <w:highlight w:val="none"/>
        </w:rPr>
        <w:t>联系电话：</w:t>
      </w:r>
      <w:r>
        <w:rPr>
          <w:rFonts w:hint="eastAsia" w:ascii="宋体" w:hAnsi="宋体" w:cs="Times New Roman"/>
          <w:b/>
          <w:bCs/>
          <w:color w:val="auto"/>
          <w:sz w:val="24"/>
          <w:highlight w:val="none"/>
          <w:lang w:val="en-US" w:eastAsia="zh-CN"/>
        </w:rPr>
        <w:t>15024383632</w:t>
      </w:r>
      <w:r>
        <w:rPr>
          <w:rFonts w:hint="eastAsia" w:ascii="宋体" w:hAnsi="宋体" w:eastAsia="宋体" w:cs="Times New Roman"/>
          <w:b/>
          <w:bCs/>
          <w:color w:val="auto"/>
          <w:sz w:val="24"/>
          <w:highlight w:val="none"/>
        </w:rPr>
        <w:t xml:space="preserve">   </w:t>
      </w:r>
    </w:p>
    <w:p w14:paraId="35A6F826">
      <w:pPr>
        <w:tabs>
          <w:tab w:val="right" w:pos="8849"/>
        </w:tabs>
        <w:spacing w:line="312" w:lineRule="auto"/>
        <w:ind w:firstLine="241" w:firstLineChars="100"/>
        <w:rPr>
          <w:rFonts w:hint="eastAsia" w:ascii="宋体" w:hAnsi="宋体" w:cs="Times New Roman"/>
          <w:b/>
          <w:bCs/>
          <w:color w:val="auto"/>
          <w:sz w:val="24"/>
          <w:highlight w:val="none"/>
          <w:lang w:val="en-US" w:eastAsia="zh-CN"/>
        </w:rPr>
      </w:pPr>
      <w:r>
        <w:rPr>
          <w:rFonts w:hint="eastAsia" w:ascii="宋体" w:hAnsi="宋体" w:eastAsia="宋体" w:cs="Times New Roman"/>
          <w:b/>
          <w:bCs/>
          <w:color w:val="auto"/>
          <w:sz w:val="24"/>
          <w:highlight w:val="none"/>
        </w:rPr>
        <w:t>质疑联系人：</w:t>
      </w:r>
      <w:r>
        <w:rPr>
          <w:rFonts w:hint="eastAsia" w:ascii="宋体" w:hAnsi="宋体" w:cs="Times New Roman"/>
          <w:b/>
          <w:bCs/>
          <w:color w:val="auto"/>
          <w:sz w:val="24"/>
          <w:highlight w:val="none"/>
          <w:lang w:eastAsia="zh-CN"/>
        </w:rPr>
        <w:t>何巍</w:t>
      </w:r>
      <w:r>
        <w:rPr>
          <w:rFonts w:hint="eastAsia" w:ascii="宋体" w:hAnsi="宋体" w:eastAsia="宋体" w:cs="Times New Roman"/>
          <w:b/>
          <w:bCs/>
          <w:color w:val="auto"/>
          <w:sz w:val="24"/>
          <w:highlight w:val="none"/>
          <w:lang w:val="en-US" w:eastAsia="zh-CN"/>
        </w:rPr>
        <w:t xml:space="preserve">                         </w:t>
      </w:r>
      <w:r>
        <w:rPr>
          <w:rFonts w:hint="eastAsia" w:ascii="宋体" w:hAnsi="宋体" w:cs="Times New Roman"/>
          <w:b/>
          <w:bCs/>
          <w:color w:val="auto"/>
          <w:sz w:val="24"/>
          <w:highlight w:val="none"/>
          <w:lang w:val="en-US" w:eastAsia="zh-CN"/>
        </w:rPr>
        <w:t xml:space="preserve">  </w:t>
      </w:r>
    </w:p>
    <w:p w14:paraId="27A17176">
      <w:pPr>
        <w:tabs>
          <w:tab w:val="right" w:pos="8849"/>
        </w:tabs>
        <w:spacing w:line="312" w:lineRule="auto"/>
        <w:ind w:firstLine="241" w:firstLineChars="100"/>
        <w:rPr>
          <w:rFonts w:hint="default" w:ascii="宋体" w:hAnsi="宋体" w:eastAsia="宋体" w:cs="Times New Roman"/>
          <w:b/>
          <w:bCs/>
          <w:color w:val="auto"/>
          <w:sz w:val="24"/>
          <w:highlight w:val="none"/>
          <w:lang w:val="en-US" w:eastAsia="zh-CN"/>
        </w:rPr>
      </w:pPr>
      <w:r>
        <w:rPr>
          <w:rFonts w:hint="eastAsia" w:ascii="宋体" w:hAnsi="宋体" w:eastAsia="宋体" w:cs="Times New Roman"/>
          <w:b/>
          <w:bCs/>
          <w:color w:val="auto"/>
          <w:sz w:val="24"/>
          <w:highlight w:val="none"/>
        </w:rPr>
        <w:t>联系电话：18257949125</w:t>
      </w:r>
    </w:p>
    <w:p w14:paraId="70DAF5C1">
      <w:pPr>
        <w:tabs>
          <w:tab w:val="right" w:pos="8849"/>
        </w:tabs>
        <w:spacing w:line="312" w:lineRule="auto"/>
        <w:ind w:firstLine="241" w:firstLineChars="100"/>
        <w:rPr>
          <w:rFonts w:hint="eastAsia" w:ascii="宋体" w:hAnsi="宋体" w:eastAsia="宋体" w:cs="Times New Roman"/>
          <w:b/>
          <w:bCs/>
          <w:color w:val="auto"/>
          <w:sz w:val="24"/>
          <w:highlight w:val="none"/>
          <w:lang w:val="en-US" w:eastAsia="zh-CN"/>
        </w:rPr>
      </w:pPr>
      <w:r>
        <w:rPr>
          <w:rFonts w:hint="eastAsia" w:ascii="宋体" w:hAnsi="宋体" w:eastAsia="宋体" w:cs="Times New Roman"/>
          <w:b/>
          <w:bCs/>
          <w:color w:val="auto"/>
          <w:sz w:val="24"/>
          <w:highlight w:val="none"/>
        </w:rPr>
        <w:t>联系地址：</w:t>
      </w:r>
      <w:r>
        <w:rPr>
          <w:rFonts w:hint="eastAsia" w:ascii="宋体" w:hAnsi="宋体" w:eastAsia="宋体" w:cs="宋体"/>
          <w:b/>
          <w:bCs/>
          <w:color w:val="auto"/>
          <w:sz w:val="24"/>
          <w:szCs w:val="24"/>
          <w:highlight w:val="none"/>
          <w:lang w:eastAsia="zh-CN"/>
        </w:rPr>
        <w:t>东阳市望江北路22号</w:t>
      </w:r>
      <w:r>
        <w:rPr>
          <w:rFonts w:hint="eastAsia" w:ascii="宋体" w:hAnsi="宋体" w:eastAsia="宋体" w:cs="宋体"/>
          <w:b/>
          <w:bCs/>
          <w:color w:val="auto"/>
          <w:sz w:val="24"/>
          <w:szCs w:val="24"/>
          <w:highlight w:val="none"/>
          <w:lang w:val="en-US" w:eastAsia="zh-CN"/>
        </w:rPr>
        <w:t>2楼</w:t>
      </w:r>
    </w:p>
    <w:p w14:paraId="20309ECE">
      <w:pPr>
        <w:numPr>
          <w:ilvl w:val="0"/>
          <w:numId w:val="0"/>
        </w:numPr>
        <w:tabs>
          <w:tab w:val="right" w:pos="8849"/>
        </w:tabs>
        <w:spacing w:line="312" w:lineRule="auto"/>
        <w:ind w:firstLine="241" w:firstLineChars="100"/>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同级政府采购监督管理部门：</w:t>
      </w:r>
    </w:p>
    <w:p w14:paraId="5325A52D">
      <w:pPr>
        <w:numPr>
          <w:ilvl w:val="0"/>
          <w:numId w:val="0"/>
        </w:numPr>
        <w:tabs>
          <w:tab w:val="right" w:pos="8849"/>
        </w:tabs>
        <w:spacing w:line="312" w:lineRule="auto"/>
        <w:ind w:firstLine="241" w:firstLineChars="100"/>
        <w:rPr>
          <w:rFonts w:ascii="宋体"/>
          <w:b/>
          <w:bCs/>
          <w:color w:val="auto"/>
          <w:sz w:val="24"/>
          <w:highlight w:val="none"/>
        </w:rPr>
      </w:pPr>
      <w:r>
        <w:rPr>
          <w:rFonts w:hint="eastAsia" w:ascii="宋体" w:hAnsi="宋体"/>
          <w:b/>
          <w:bCs/>
          <w:color w:val="auto"/>
          <w:sz w:val="24"/>
          <w:highlight w:val="none"/>
        </w:rPr>
        <w:t>东阳市财政局采购办</w:t>
      </w:r>
    </w:p>
    <w:p w14:paraId="55DD027F">
      <w:pPr>
        <w:tabs>
          <w:tab w:val="right" w:pos="8849"/>
        </w:tabs>
        <w:spacing w:line="312" w:lineRule="auto"/>
        <w:ind w:firstLine="241" w:firstLineChars="100"/>
        <w:rPr>
          <w:rFonts w:hint="eastAsia" w:ascii="宋体" w:hAnsi="宋体"/>
          <w:b/>
          <w:bCs/>
          <w:color w:val="auto"/>
          <w:sz w:val="24"/>
          <w:highlight w:val="none"/>
          <w:lang w:val="en-US" w:eastAsia="zh-CN"/>
        </w:rPr>
      </w:pPr>
      <w:r>
        <w:rPr>
          <w:rFonts w:hint="eastAsia" w:ascii="宋体" w:hAnsi="宋体"/>
          <w:b/>
          <w:bCs/>
          <w:color w:val="auto"/>
          <w:sz w:val="24"/>
          <w:highlight w:val="none"/>
        </w:rPr>
        <w:t>联系地址：东阳市人民北路</w:t>
      </w:r>
      <w:r>
        <w:rPr>
          <w:rFonts w:ascii="宋体" w:hAnsi="宋体"/>
          <w:b/>
          <w:bCs/>
          <w:color w:val="auto"/>
          <w:sz w:val="24"/>
          <w:highlight w:val="none"/>
        </w:rPr>
        <w:t>8</w:t>
      </w:r>
      <w:r>
        <w:rPr>
          <w:rFonts w:hint="eastAsia" w:ascii="宋体" w:hAnsi="宋体"/>
          <w:b/>
          <w:bCs/>
          <w:color w:val="auto"/>
          <w:sz w:val="24"/>
          <w:highlight w:val="none"/>
        </w:rPr>
        <w:t>号</w:t>
      </w:r>
      <w:r>
        <w:rPr>
          <w:rFonts w:hint="eastAsia" w:ascii="宋体" w:hAnsi="宋体"/>
          <w:b/>
          <w:bCs/>
          <w:color w:val="auto"/>
          <w:sz w:val="24"/>
          <w:highlight w:val="none"/>
          <w:lang w:val="en-US" w:eastAsia="zh-CN"/>
        </w:rPr>
        <w:t xml:space="preserve">               </w:t>
      </w:r>
    </w:p>
    <w:p w14:paraId="19F270EA">
      <w:pPr>
        <w:tabs>
          <w:tab w:val="right" w:pos="8849"/>
        </w:tabs>
        <w:spacing w:line="312" w:lineRule="auto"/>
        <w:ind w:firstLine="241" w:firstLineChars="100"/>
        <w:rPr>
          <w:rFonts w:ascii="宋体"/>
          <w:b/>
          <w:bCs/>
          <w:color w:val="auto"/>
          <w:sz w:val="24"/>
          <w:highlight w:val="none"/>
        </w:rPr>
      </w:pPr>
      <w:r>
        <w:rPr>
          <w:rFonts w:hint="eastAsia" w:ascii="宋体" w:hAnsi="宋体"/>
          <w:b/>
          <w:bCs/>
          <w:color w:val="auto"/>
          <w:sz w:val="24"/>
          <w:highlight w:val="none"/>
        </w:rPr>
        <w:t>联系电话：</w:t>
      </w:r>
      <w:r>
        <w:rPr>
          <w:rFonts w:ascii="宋体" w:hAnsi="宋体"/>
          <w:b/>
          <w:bCs/>
          <w:color w:val="auto"/>
          <w:sz w:val="24"/>
          <w:highlight w:val="none"/>
        </w:rPr>
        <w:t>0579-86662677</w:t>
      </w:r>
    </w:p>
    <w:p w14:paraId="0900705D">
      <w:pPr>
        <w:snapToGrid w:val="0"/>
        <w:spacing w:line="312" w:lineRule="auto"/>
        <w:ind w:firstLine="5280" w:firstLineChars="2200"/>
        <w:rPr>
          <w:rFonts w:hint="eastAsia" w:ascii="宋体" w:hAnsi="宋体"/>
          <w:color w:val="auto"/>
          <w:sz w:val="24"/>
          <w:highlight w:val="none"/>
          <w:lang w:eastAsia="zh-CN"/>
        </w:rPr>
      </w:pPr>
    </w:p>
    <w:p w14:paraId="3F812013">
      <w:pPr>
        <w:tabs>
          <w:tab w:val="right" w:pos="8849"/>
        </w:tabs>
        <w:spacing w:line="312" w:lineRule="auto"/>
        <w:ind w:firstLine="241" w:firstLineChars="100"/>
        <w:jc w:val="center"/>
        <w:rPr>
          <w:rFonts w:hint="eastAsia"/>
          <w:color w:val="auto"/>
          <w:highlight w:val="none"/>
          <w:lang w:eastAsia="zh-CN"/>
        </w:rPr>
      </w:pP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lang w:eastAsia="zh-CN"/>
        </w:rPr>
        <w:t>东阳市公安局</w:t>
      </w:r>
    </w:p>
    <w:p w14:paraId="12C9D6EC">
      <w:pPr>
        <w:snapToGrid w:val="0"/>
        <w:spacing w:line="312" w:lineRule="auto"/>
        <w:ind w:firstLine="5301" w:firstLineChars="2200"/>
        <w:rPr>
          <w:rFonts w:hint="eastAsia" w:ascii="宋体" w:hAnsi="宋体" w:eastAsia="宋体" w:cs="Times New Roman"/>
          <w:b/>
          <w:bCs/>
          <w:color w:val="auto"/>
          <w:sz w:val="24"/>
          <w:highlight w:val="none"/>
          <w:lang w:eastAsia="zh-CN"/>
        </w:rPr>
      </w:pPr>
      <w:r>
        <w:rPr>
          <w:rFonts w:hint="eastAsia" w:ascii="宋体" w:hAnsi="宋体" w:cs="Times New Roman"/>
          <w:b/>
          <w:bCs/>
          <w:color w:val="auto"/>
          <w:sz w:val="24"/>
          <w:highlight w:val="none"/>
          <w:lang w:eastAsia="zh-CN"/>
        </w:rPr>
        <w:t>泰宇建筑工程技术咨询有限公司</w:t>
      </w:r>
    </w:p>
    <w:p w14:paraId="7F7EB1D5">
      <w:pPr>
        <w:snapToGrid w:val="0"/>
        <w:spacing w:line="312" w:lineRule="auto"/>
        <w:ind w:firstLine="1687" w:firstLineChars="700"/>
        <w:jc w:val="both"/>
        <w:rPr>
          <w:rStyle w:val="60"/>
          <w:rFonts w:hint="eastAsia"/>
          <w:b/>
          <w:bCs/>
          <w:color w:val="auto"/>
          <w:szCs w:val="44"/>
          <w:highlight w:val="none"/>
        </w:rPr>
      </w:pPr>
      <w:r>
        <w:rPr>
          <w:rFonts w:hint="eastAsia" w:ascii="宋体" w:hAnsi="宋体" w:eastAsia="宋体" w:cs="Times New Roman"/>
          <w:b/>
          <w:bCs/>
          <w:color w:val="auto"/>
          <w:sz w:val="24"/>
          <w:highlight w:val="none"/>
          <w:lang w:eastAsia="zh-CN"/>
        </w:rPr>
        <w:t xml:space="preserve">                                      </w:t>
      </w:r>
      <w:r>
        <w:rPr>
          <w:rFonts w:hint="eastAsia" w:ascii="宋体" w:hAnsi="宋体" w:eastAsia="宋体" w:cs="Times New Roman"/>
          <w:b/>
          <w:bCs/>
          <w:color w:val="auto"/>
          <w:sz w:val="24"/>
          <w:highlight w:val="none"/>
          <w:lang w:eastAsia="zh-CN"/>
        </w:rPr>
        <w:t>202</w:t>
      </w:r>
      <w:r>
        <w:rPr>
          <w:rFonts w:hint="eastAsia" w:ascii="宋体" w:hAnsi="宋体" w:cs="Times New Roman"/>
          <w:b/>
          <w:bCs/>
          <w:color w:val="auto"/>
          <w:sz w:val="24"/>
          <w:highlight w:val="none"/>
          <w:lang w:val="en-US" w:eastAsia="zh-CN"/>
        </w:rPr>
        <w:t>5</w:t>
      </w:r>
      <w:r>
        <w:rPr>
          <w:rFonts w:hint="eastAsia" w:ascii="宋体" w:hAnsi="宋体" w:eastAsia="宋体" w:cs="Times New Roman"/>
          <w:b/>
          <w:bCs/>
          <w:color w:val="auto"/>
          <w:sz w:val="24"/>
          <w:highlight w:val="none"/>
          <w:lang w:eastAsia="zh-CN"/>
        </w:rPr>
        <w:t>年</w:t>
      </w:r>
      <w:r>
        <w:rPr>
          <w:rFonts w:hint="eastAsia" w:ascii="宋体" w:hAnsi="宋体" w:cs="Times New Roman"/>
          <w:b/>
          <w:bCs/>
          <w:color w:val="auto"/>
          <w:sz w:val="24"/>
          <w:highlight w:val="none"/>
          <w:lang w:val="en-US" w:eastAsia="zh-CN"/>
        </w:rPr>
        <w:t>4月15</w:t>
      </w:r>
      <w:r>
        <w:rPr>
          <w:rFonts w:hint="eastAsia" w:ascii="宋体" w:hAnsi="宋体" w:eastAsia="宋体" w:cs="Times New Roman"/>
          <w:b/>
          <w:bCs/>
          <w:color w:val="auto"/>
          <w:sz w:val="24"/>
          <w:highlight w:val="none"/>
          <w:lang w:eastAsia="zh-CN"/>
        </w:rPr>
        <w:t>日</w:t>
      </w:r>
    </w:p>
    <w:p w14:paraId="2F4D918C">
      <w:pPr>
        <w:widowControl/>
        <w:spacing w:line="440" w:lineRule="exact"/>
        <w:jc w:val="left"/>
        <w:rPr>
          <w:rFonts w:hint="eastAsia" w:ascii="宋体" w:hAnsi="宋体" w:cs="宋体"/>
          <w:color w:val="auto"/>
          <w:kern w:val="0"/>
          <w:sz w:val="27"/>
          <w:szCs w:val="27"/>
          <w:highlight w:val="none"/>
        </w:rPr>
      </w:pPr>
    </w:p>
    <w:p w14:paraId="587F8783">
      <w:pPr>
        <w:widowControl/>
        <w:spacing w:line="440" w:lineRule="exact"/>
        <w:jc w:val="left"/>
        <w:rPr>
          <w:rFonts w:hint="eastAsia" w:ascii="宋体" w:hAnsi="宋体" w:cs="宋体"/>
          <w:color w:val="auto"/>
          <w:kern w:val="0"/>
          <w:sz w:val="27"/>
          <w:szCs w:val="27"/>
          <w:highlight w:val="none"/>
        </w:rPr>
      </w:pPr>
    </w:p>
    <w:p w14:paraId="52821B3F">
      <w:pPr>
        <w:tabs>
          <w:tab w:val="right" w:pos="8849"/>
        </w:tabs>
        <w:spacing w:line="312" w:lineRule="auto"/>
        <w:ind w:firstLine="480" w:firstLineChars="200"/>
        <w:rPr>
          <w:rFonts w:ascii="宋体" w:hAnsi="宋体" w:eastAsia="宋体" w:cs="Times New Roman"/>
          <w:b w:val="0"/>
          <w:bCs w:val="0"/>
          <w:color w:val="auto"/>
          <w:sz w:val="24"/>
          <w:highlight w:val="none"/>
        </w:rPr>
      </w:pPr>
      <w:r>
        <w:rPr>
          <w:rFonts w:hint="eastAsia" w:ascii="宋体" w:hAnsi="宋体" w:eastAsia="宋体" w:cs="Times New Roman"/>
          <w:b w:val="0"/>
          <w:bCs w:val="0"/>
          <w:color w:val="auto"/>
          <w:sz w:val="24"/>
          <w:highlight w:val="none"/>
        </w:rPr>
        <w:t>若对项目采购电子交易系统操作有疑问，可登录政采云（https://www.zcygov.cn/），点击右侧咨询小采，获取采小蜜智能服务管家帮助，或拨打政采云服务热线400-881-7190获取热线服务帮助。       </w:t>
      </w:r>
    </w:p>
    <w:p w14:paraId="5129AD3E">
      <w:pPr>
        <w:tabs>
          <w:tab w:val="right" w:pos="8849"/>
        </w:tabs>
        <w:spacing w:line="312" w:lineRule="auto"/>
        <w:ind w:firstLine="480" w:firstLineChars="200"/>
        <w:rPr>
          <w:rFonts w:ascii="宋体" w:hAnsi="宋体" w:eastAsia="宋体" w:cs="Times New Roman"/>
          <w:b w:val="0"/>
          <w:bCs w:val="0"/>
          <w:color w:val="auto"/>
          <w:sz w:val="24"/>
          <w:highlight w:val="none"/>
        </w:rPr>
      </w:pPr>
      <w:r>
        <w:rPr>
          <w:rFonts w:hint="eastAsia" w:ascii="宋体" w:hAnsi="宋体" w:eastAsia="宋体" w:cs="Times New Roman"/>
          <w:b w:val="0"/>
          <w:bCs w:val="0"/>
          <w:color w:val="auto"/>
          <w:sz w:val="24"/>
          <w:highlight w:val="none"/>
        </w:rPr>
        <w:t>CA问题联系电话（人工）：汇信CA 400-888-4636；天谷CA 400-087-8198。</w:t>
      </w:r>
    </w:p>
    <w:p w14:paraId="23C1DCF9">
      <w:pPr>
        <w:adjustRightInd w:val="0"/>
        <w:spacing w:line="360" w:lineRule="auto"/>
        <w:jc w:val="left"/>
        <w:rPr>
          <w:rStyle w:val="60"/>
          <w:rFonts w:hint="eastAsia"/>
          <w:bCs/>
          <w:color w:val="auto"/>
          <w:szCs w:val="44"/>
          <w:highlight w:val="none"/>
        </w:rPr>
      </w:pPr>
    </w:p>
    <w:p w14:paraId="490B8E8C">
      <w:pPr>
        <w:adjustRightInd w:val="0"/>
        <w:spacing w:line="360" w:lineRule="auto"/>
        <w:jc w:val="center"/>
        <w:rPr>
          <w:rStyle w:val="60"/>
          <w:rFonts w:hint="eastAsia"/>
          <w:bCs/>
          <w:color w:val="auto"/>
          <w:szCs w:val="44"/>
          <w:highlight w:val="none"/>
        </w:rPr>
      </w:pPr>
    </w:p>
    <w:p w14:paraId="054F84CA">
      <w:pPr>
        <w:adjustRightInd w:val="0"/>
        <w:spacing w:line="360" w:lineRule="auto"/>
        <w:jc w:val="center"/>
        <w:rPr>
          <w:rStyle w:val="60"/>
          <w:rFonts w:hint="eastAsia"/>
          <w:bCs/>
          <w:color w:val="auto"/>
          <w:szCs w:val="44"/>
          <w:highlight w:val="none"/>
        </w:rPr>
      </w:pPr>
    </w:p>
    <w:p w14:paraId="37564048">
      <w:pPr>
        <w:adjustRightInd w:val="0"/>
        <w:spacing w:line="360" w:lineRule="auto"/>
        <w:jc w:val="center"/>
        <w:rPr>
          <w:rStyle w:val="60"/>
          <w:rFonts w:hint="eastAsia"/>
          <w:bCs/>
          <w:color w:val="auto"/>
          <w:szCs w:val="44"/>
          <w:highlight w:val="none"/>
        </w:rPr>
      </w:pPr>
    </w:p>
    <w:p w14:paraId="35B8433D">
      <w:pPr>
        <w:adjustRightInd w:val="0"/>
        <w:spacing w:line="360" w:lineRule="auto"/>
        <w:jc w:val="center"/>
        <w:rPr>
          <w:rStyle w:val="60"/>
          <w:rFonts w:hint="eastAsia"/>
          <w:bCs/>
          <w:color w:val="auto"/>
          <w:szCs w:val="44"/>
          <w:highlight w:val="none"/>
        </w:rPr>
      </w:pPr>
    </w:p>
    <w:p w14:paraId="29452D43">
      <w:pPr>
        <w:adjustRightInd w:val="0"/>
        <w:spacing w:line="360" w:lineRule="auto"/>
        <w:jc w:val="both"/>
        <w:rPr>
          <w:rStyle w:val="60"/>
          <w:rFonts w:hint="eastAsia"/>
          <w:bCs/>
          <w:color w:val="auto"/>
          <w:szCs w:val="44"/>
          <w:highlight w:val="none"/>
        </w:rPr>
      </w:pPr>
    </w:p>
    <w:p w14:paraId="73DA2399">
      <w:pPr>
        <w:adjustRightInd w:val="0"/>
        <w:spacing w:line="360" w:lineRule="auto"/>
        <w:jc w:val="center"/>
        <w:rPr>
          <w:rStyle w:val="60"/>
          <w:rFonts w:hint="eastAsia"/>
          <w:bCs/>
          <w:color w:val="auto"/>
          <w:szCs w:val="44"/>
          <w:highlight w:val="none"/>
        </w:rPr>
      </w:pPr>
    </w:p>
    <w:p w14:paraId="74A66DB2">
      <w:pPr>
        <w:adjustRightInd w:val="0"/>
        <w:spacing w:line="360" w:lineRule="auto"/>
        <w:jc w:val="center"/>
        <w:rPr>
          <w:rStyle w:val="60"/>
          <w:rFonts w:hint="eastAsia"/>
          <w:bCs/>
          <w:color w:val="auto"/>
          <w:szCs w:val="44"/>
          <w:highlight w:val="none"/>
        </w:rPr>
      </w:pPr>
    </w:p>
    <w:p w14:paraId="39872887">
      <w:pPr>
        <w:adjustRightInd w:val="0"/>
        <w:spacing w:line="360" w:lineRule="auto"/>
        <w:jc w:val="center"/>
        <w:rPr>
          <w:rStyle w:val="60"/>
          <w:rFonts w:hint="eastAsia"/>
          <w:bCs/>
          <w:color w:val="auto"/>
          <w:szCs w:val="44"/>
          <w:highlight w:val="none"/>
        </w:rPr>
      </w:pPr>
    </w:p>
    <w:p w14:paraId="1F063EEA">
      <w:pPr>
        <w:adjustRightInd w:val="0"/>
        <w:spacing w:line="360" w:lineRule="auto"/>
        <w:jc w:val="center"/>
        <w:rPr>
          <w:rFonts w:ascii="黑体" w:hAnsi="宋体" w:eastAsia="黑体"/>
          <w:color w:val="auto"/>
          <w:sz w:val="44"/>
          <w:szCs w:val="44"/>
          <w:highlight w:val="none"/>
        </w:rPr>
      </w:pPr>
      <w:r>
        <w:rPr>
          <w:rStyle w:val="60"/>
          <w:rFonts w:hint="eastAsia"/>
          <w:bCs/>
          <w:color w:val="auto"/>
          <w:szCs w:val="44"/>
          <w:highlight w:val="none"/>
        </w:rPr>
        <w:t>第二章</w:t>
      </w:r>
      <w:r>
        <w:rPr>
          <w:rStyle w:val="60"/>
          <w:bCs/>
          <w:color w:val="auto"/>
          <w:szCs w:val="44"/>
          <w:highlight w:val="none"/>
        </w:rPr>
        <w:t xml:space="preserve">  </w:t>
      </w:r>
      <w:r>
        <w:rPr>
          <w:rStyle w:val="60"/>
          <w:rFonts w:hint="eastAsia"/>
          <w:bCs/>
          <w:color w:val="auto"/>
          <w:szCs w:val="44"/>
          <w:highlight w:val="none"/>
        </w:rPr>
        <w:t>招标需求</w:t>
      </w:r>
    </w:p>
    <w:p w14:paraId="2F6A31DA">
      <w:pPr>
        <w:pStyle w:val="26"/>
        <w:numPr>
          <w:ilvl w:val="0"/>
          <w:numId w:val="0"/>
        </w:numPr>
        <w:spacing w:before="120" w:after="120" w:line="420" w:lineRule="exact"/>
        <w:rPr>
          <w:rFonts w:hint="eastAsia" w:hAnsi="宋体"/>
          <w:b/>
          <w:color w:val="auto"/>
          <w:sz w:val="24"/>
          <w:szCs w:val="24"/>
          <w:highlight w:val="none"/>
          <w:lang w:val="en-US" w:eastAsia="zh-CN"/>
        </w:rPr>
      </w:pPr>
      <w:r>
        <w:rPr>
          <w:rFonts w:hint="eastAsia" w:hAnsi="宋体"/>
          <w:b/>
          <w:color w:val="auto"/>
          <w:sz w:val="24"/>
          <w:szCs w:val="24"/>
          <w:highlight w:val="none"/>
          <w:lang w:val="en-US" w:eastAsia="zh-CN"/>
        </w:rPr>
        <w:t>一、项目基本情况</w:t>
      </w:r>
    </w:p>
    <w:p w14:paraId="6C810A72">
      <w:pPr>
        <w:spacing w:line="360" w:lineRule="auto"/>
        <w:rPr>
          <w:rFonts w:hint="eastAsia" w:ascii="宋体" w:hAnsi="宋体" w:cs="宋体"/>
          <w:color w:val="auto"/>
          <w:sz w:val="24"/>
          <w:szCs w:val="24"/>
          <w:highlight w:val="none"/>
          <w:lang w:val="en-US" w:eastAsia="zh-CN"/>
        </w:rPr>
      </w:pPr>
      <w:r>
        <w:rPr>
          <w:rFonts w:hint="eastAsia"/>
          <w:color w:val="auto"/>
          <w:highlight w:val="none"/>
          <w:lang w:val="en-US" w:eastAsia="zh-CN"/>
        </w:rPr>
        <w:t xml:space="preserve"> </w:t>
      </w:r>
      <w:r>
        <w:rPr>
          <w:rFonts w:hint="eastAsia" w:ascii="宋体" w:hAnsi="宋体" w:cs="宋体"/>
          <w:color w:val="auto"/>
          <w:kern w:val="2"/>
          <w:sz w:val="24"/>
          <w:szCs w:val="24"/>
          <w:highlight w:val="none"/>
          <w:lang w:val="en-US" w:eastAsia="zh-CN" w:bidi="ar-SA"/>
        </w:rPr>
        <w:t xml:space="preserve"> </w:t>
      </w:r>
      <w:r>
        <w:rPr>
          <w:rFonts w:hint="eastAsia" w:ascii="宋体" w:hAnsi="宋体" w:cs="宋体"/>
          <w:color w:val="auto"/>
          <w:sz w:val="24"/>
          <w:szCs w:val="24"/>
          <w:highlight w:val="none"/>
          <w:lang w:val="en-US" w:eastAsia="zh-CN"/>
        </w:rPr>
        <w:t>1、项目名称：</w:t>
      </w:r>
      <w:r>
        <w:rPr>
          <w:rFonts w:hint="eastAsia" w:ascii="宋体" w:hAnsi="宋体" w:cs="宋体"/>
          <w:color w:val="auto"/>
          <w:sz w:val="24"/>
          <w:szCs w:val="24"/>
          <w:highlight w:val="none"/>
          <w:lang w:val="zh-CN" w:eastAsia="zh-CN"/>
        </w:rPr>
        <w:t>东阳市公共视频监控项目监理服务</w:t>
      </w:r>
    </w:p>
    <w:p w14:paraId="329440AF">
      <w:pPr>
        <w:spacing w:line="360" w:lineRule="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 xml:space="preserve">  2、项目编号：TYZX2025-001</w:t>
      </w:r>
    </w:p>
    <w:p w14:paraId="6449A5E9">
      <w:pPr>
        <w:pStyle w:val="43"/>
        <w:ind w:left="0" w:leftChars="0" w:firstLine="232" w:firstLineChars="100"/>
        <w:rPr>
          <w:rFonts w:hint="default" w:ascii="宋体" w:hAnsi="宋体" w:eastAsia="宋体" w:cs="宋体"/>
          <w:color w:val="auto"/>
          <w:kern w:val="2"/>
          <w:sz w:val="24"/>
          <w:szCs w:val="24"/>
          <w:highlight w:val="none"/>
          <w:lang w:val="en-US" w:eastAsia="zh-CN" w:bidi="ar-SA"/>
        </w:rPr>
      </w:pPr>
      <w:r>
        <w:rPr>
          <w:rFonts w:hint="default" w:ascii="宋体" w:hAnsi="宋体" w:eastAsia="宋体" w:cs="宋体"/>
          <w:color w:val="auto"/>
          <w:kern w:val="2"/>
          <w:sz w:val="24"/>
          <w:szCs w:val="24"/>
          <w:highlight w:val="none"/>
          <w:lang w:val="en-US" w:eastAsia="zh-CN" w:bidi="ar-SA"/>
        </w:rPr>
        <w:t>3、服务期限：</w:t>
      </w:r>
      <w:r>
        <w:rPr>
          <w:rFonts w:hint="eastAsia" w:ascii="宋体" w:hAnsi="宋体" w:cs="宋体"/>
          <w:color w:val="auto"/>
          <w:sz w:val="24"/>
          <w:highlight w:val="none"/>
          <w:lang w:val="en-US" w:eastAsia="zh-CN"/>
        </w:rPr>
        <w:t>9个月（至主体项目终验完成）</w:t>
      </w:r>
    </w:p>
    <w:p w14:paraId="0A14D6C1">
      <w:pPr>
        <w:keepNext w:val="0"/>
        <w:keepLines w:val="0"/>
        <w:pageBreakBefore w:val="0"/>
        <w:widowControl w:val="0"/>
        <w:shd w:val="clear"/>
        <w:kinsoku/>
        <w:wordWrap/>
        <w:overflowPunct/>
        <w:topLinePunct w:val="0"/>
        <w:autoSpaceDE/>
        <w:autoSpaceDN/>
        <w:bidi w:val="0"/>
        <w:adjustRightInd/>
        <w:snapToGrid w:val="0"/>
        <w:spacing w:line="360" w:lineRule="auto"/>
        <w:textAlignment w:val="auto"/>
        <w:outlineLvl w:val="0"/>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二、项目服务需求概况</w:t>
      </w:r>
    </w:p>
    <w:p w14:paraId="754B01BD">
      <w:pPr>
        <w:keepNext w:val="0"/>
        <w:keepLines w:val="0"/>
        <w:pageBreakBefore w:val="0"/>
        <w:widowControl w:val="0"/>
        <w:shd w:val="clear"/>
        <w:kinsoku/>
        <w:wordWrap/>
        <w:overflowPunct/>
        <w:topLinePunct w:val="0"/>
        <w:autoSpaceDE/>
        <w:autoSpaceDN/>
        <w:bidi w:val="0"/>
        <w:adjustRightInd/>
        <w:snapToGrid w:val="0"/>
        <w:spacing w:line="560" w:lineRule="exact"/>
        <w:ind w:firstLine="482" w:firstLineChars="200"/>
        <w:textAlignment w:val="auto"/>
        <w:outlineLvl w:val="0"/>
        <w:rPr>
          <w:rFonts w:hint="eastAsia" w:ascii="宋体" w:hAnsi="宋体" w:eastAsia="宋体" w:cs="宋体"/>
          <w:b/>
          <w:bCs/>
          <w:color w:val="auto"/>
          <w:sz w:val="24"/>
          <w:szCs w:val="24"/>
        </w:rPr>
      </w:pPr>
      <w:r>
        <w:rPr>
          <w:rFonts w:hint="eastAsia" w:ascii="宋体" w:hAnsi="宋体" w:eastAsia="宋体" w:cs="宋体"/>
          <w:b/>
          <w:color w:val="auto"/>
          <w:sz w:val="24"/>
          <w:szCs w:val="24"/>
          <w:lang w:val="en-US" w:eastAsia="zh-CN"/>
        </w:rPr>
        <w:t>（一）</w:t>
      </w:r>
      <w:r>
        <w:rPr>
          <w:rFonts w:hint="eastAsia" w:ascii="宋体" w:hAnsi="宋体" w:eastAsia="宋体" w:cs="宋体"/>
          <w:b/>
          <w:color w:val="auto"/>
          <w:sz w:val="24"/>
          <w:szCs w:val="24"/>
        </w:rPr>
        <w:t>项目</w:t>
      </w:r>
      <w:r>
        <w:rPr>
          <w:rFonts w:hint="eastAsia" w:ascii="宋体" w:hAnsi="宋体" w:eastAsia="宋体" w:cs="宋体"/>
          <w:b/>
          <w:bCs/>
          <w:color w:val="auto"/>
          <w:sz w:val="24"/>
          <w:szCs w:val="24"/>
        </w:rPr>
        <w:t>背景：</w:t>
      </w:r>
    </w:p>
    <w:p w14:paraId="58CC2173">
      <w:pPr>
        <w:keepNext w:val="0"/>
        <w:keepLines w:val="0"/>
        <w:pageBreakBefore w:val="0"/>
        <w:widowControl w:val="0"/>
        <w:shd w:val="clear"/>
        <w:kinsoku/>
        <w:wordWrap/>
        <w:overflowPunct/>
        <w:topLinePunct w:val="0"/>
        <w:autoSpaceDE/>
        <w:autoSpaceDN/>
        <w:bidi w:val="0"/>
        <w:adjustRightInd/>
        <w:snapToGrid w:val="0"/>
        <w:spacing w:line="560" w:lineRule="exact"/>
        <w:ind w:firstLine="480" w:firstLineChars="200"/>
        <w:textAlignment w:val="auto"/>
        <w:outlineLvl w:val="0"/>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根据金华市人民政府关于印发金华市公共视频监控前端建设任务（2023-2027年）通知要求，我市结合公安、水利、行政执法、教育等部门需求，统筹开展东阳市公安视频监控建设，围绕“全域覆盖、全网共享、全时可用、全程可控”目标，提升监控资源覆盖面，把数字化技术、数字化思维、数字化认知贯穿到东阳公共视频资源共建共享全过程各方面。</w:t>
      </w:r>
    </w:p>
    <w:p w14:paraId="652F691C">
      <w:pPr>
        <w:keepNext w:val="0"/>
        <w:keepLines w:val="0"/>
        <w:pageBreakBefore w:val="0"/>
        <w:widowControl w:val="0"/>
        <w:numPr>
          <w:ilvl w:val="0"/>
          <w:numId w:val="0"/>
        </w:numPr>
        <w:shd w:val="clear"/>
        <w:kinsoku/>
        <w:wordWrap/>
        <w:overflowPunct/>
        <w:topLinePunct w:val="0"/>
        <w:autoSpaceDE/>
        <w:autoSpaceDN/>
        <w:bidi w:val="0"/>
        <w:adjustRightInd/>
        <w:snapToGrid w:val="0"/>
        <w:spacing w:line="560" w:lineRule="exact"/>
        <w:ind w:firstLine="482" w:firstLineChars="200"/>
        <w:textAlignment w:val="auto"/>
        <w:outlineLvl w:val="0"/>
        <w:rPr>
          <w:rFonts w:hint="eastAsia" w:ascii="宋体" w:hAnsi="宋体" w:eastAsia="宋体" w:cs="宋体"/>
          <w:b/>
          <w:bCs/>
          <w:color w:val="auto"/>
          <w:sz w:val="24"/>
          <w:szCs w:val="24"/>
        </w:rPr>
      </w:pPr>
      <w:r>
        <w:rPr>
          <w:rFonts w:hint="eastAsia" w:ascii="宋体" w:hAnsi="宋体" w:eastAsia="宋体" w:cs="宋体"/>
          <w:b/>
          <w:bCs/>
          <w:color w:val="auto"/>
          <w:sz w:val="24"/>
          <w:szCs w:val="24"/>
          <w:lang w:eastAsia="zh-CN"/>
        </w:rPr>
        <w:t>（二）</w:t>
      </w:r>
      <w:r>
        <w:rPr>
          <w:rFonts w:hint="eastAsia" w:ascii="宋体" w:hAnsi="宋体" w:eastAsia="宋体" w:cs="宋体"/>
          <w:b/>
          <w:bCs/>
          <w:color w:val="auto"/>
          <w:sz w:val="24"/>
          <w:szCs w:val="24"/>
        </w:rPr>
        <w:t>项目建设原则</w:t>
      </w:r>
    </w:p>
    <w:p w14:paraId="218B36F1">
      <w:pPr>
        <w:keepNext w:val="0"/>
        <w:keepLines w:val="0"/>
        <w:pageBreakBefore w:val="0"/>
        <w:widowControl w:val="0"/>
        <w:numPr>
          <w:ilvl w:val="0"/>
          <w:numId w:val="0"/>
        </w:numPr>
        <w:shd w:val="clear"/>
        <w:kinsoku/>
        <w:wordWrap/>
        <w:overflowPunct/>
        <w:topLinePunct w:val="0"/>
        <w:autoSpaceDE/>
        <w:autoSpaceDN/>
        <w:bidi w:val="0"/>
        <w:adjustRightInd/>
        <w:snapToGrid w:val="0"/>
        <w:spacing w:line="560" w:lineRule="exact"/>
        <w:ind w:firstLine="480" w:firstLineChars="200"/>
        <w:textAlignment w:val="auto"/>
        <w:outlineLvl w:val="0"/>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以“先进性、可靠性、实用性、经济性、扩展性”为基本原则，具体如下：</w:t>
      </w:r>
    </w:p>
    <w:p w14:paraId="7D87B17B">
      <w:pPr>
        <w:keepNext w:val="0"/>
        <w:keepLines w:val="0"/>
        <w:pageBreakBefore w:val="0"/>
        <w:widowControl w:val="0"/>
        <w:kinsoku/>
        <w:wordWrap/>
        <w:overflowPunct/>
        <w:topLinePunct w:val="0"/>
        <w:autoSpaceDE/>
        <w:autoSpaceDN/>
        <w:bidi w:val="0"/>
        <w:adjustRightInd/>
        <w:spacing w:line="560" w:lineRule="exact"/>
        <w:ind w:firstLine="480" w:firstLineChars="200"/>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先进性：采用成熟、主流的设备构建系统，系统建设充分利用当前最新的安防、数据、网络等技术，充分兼顾需求和技术的不断变化，提供业内领先的安防技术服务。</w:t>
      </w:r>
    </w:p>
    <w:p w14:paraId="0323EE34">
      <w:pPr>
        <w:keepNext w:val="0"/>
        <w:keepLines w:val="0"/>
        <w:pageBreakBefore w:val="0"/>
        <w:widowControl w:val="0"/>
        <w:kinsoku/>
        <w:wordWrap/>
        <w:overflowPunct/>
        <w:topLinePunct w:val="0"/>
        <w:autoSpaceDE/>
        <w:autoSpaceDN/>
        <w:bidi w:val="0"/>
        <w:adjustRightInd/>
        <w:spacing w:line="560" w:lineRule="exact"/>
        <w:ind w:firstLine="480" w:firstLineChars="200"/>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可靠性：系统硬件采用专业设备，对关键存储采取冗余备份措施，软件采用模块化、分层隔离的设计思想，确保整个系统长期稳定运行。</w:t>
      </w:r>
    </w:p>
    <w:p w14:paraId="5EC8ED55">
      <w:pPr>
        <w:keepNext w:val="0"/>
        <w:keepLines w:val="0"/>
        <w:pageBreakBefore w:val="0"/>
        <w:widowControl w:val="0"/>
        <w:kinsoku/>
        <w:wordWrap/>
        <w:overflowPunct/>
        <w:topLinePunct w:val="0"/>
        <w:autoSpaceDE/>
        <w:autoSpaceDN/>
        <w:bidi w:val="0"/>
        <w:adjustRightInd/>
        <w:spacing w:line="560" w:lineRule="exact"/>
        <w:ind w:firstLine="480" w:firstLineChars="200"/>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实用性：系统的设计突出应用，以现实需求为导向，以有效应用为核心，以技术建设与工作机制的同步协调为保障，确保系统能有效服务于用户的工作需要。</w:t>
      </w:r>
    </w:p>
    <w:p w14:paraId="28546EA9">
      <w:pPr>
        <w:keepNext w:val="0"/>
        <w:keepLines w:val="0"/>
        <w:pageBreakBefore w:val="0"/>
        <w:widowControl w:val="0"/>
        <w:kinsoku/>
        <w:wordWrap/>
        <w:overflowPunct/>
        <w:topLinePunct w:val="0"/>
        <w:autoSpaceDE/>
        <w:autoSpaceDN/>
        <w:bidi w:val="0"/>
        <w:adjustRightInd/>
        <w:spacing w:line="560" w:lineRule="exact"/>
        <w:ind w:firstLine="480" w:firstLineChars="200"/>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经济性：系统整体配置性能高，价格合理，建设成本和投入较低，同时方案考虑原有监控系统的融合。</w:t>
      </w:r>
    </w:p>
    <w:p w14:paraId="6352E2DD">
      <w:pPr>
        <w:keepNext w:val="0"/>
        <w:keepLines w:val="0"/>
        <w:pageBreakBefore w:val="0"/>
        <w:widowControl w:val="0"/>
        <w:kinsoku/>
        <w:wordWrap/>
        <w:overflowPunct/>
        <w:topLinePunct w:val="0"/>
        <w:autoSpaceDE/>
        <w:autoSpaceDN/>
        <w:bidi w:val="0"/>
        <w:adjustRightInd/>
        <w:spacing w:line="560" w:lineRule="exact"/>
        <w:ind w:firstLine="480" w:firstLineChars="200"/>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扩展性：系统采用业界主流的硬件设备，提供标准的协议，具有良好的兼容性和通用的软硬件接口，可以全面兼容主流厂商的设备，并能为其他系统提供接口。</w:t>
      </w:r>
    </w:p>
    <w:p w14:paraId="31567DC1">
      <w:pPr>
        <w:keepNext w:val="0"/>
        <w:keepLines w:val="0"/>
        <w:pageBreakBefore w:val="0"/>
        <w:widowControl w:val="0"/>
        <w:kinsoku/>
        <w:wordWrap/>
        <w:overflowPunct/>
        <w:topLinePunct w:val="0"/>
        <w:autoSpaceDE/>
        <w:autoSpaceDN/>
        <w:bidi w:val="0"/>
        <w:adjustRightInd/>
        <w:snapToGrid w:val="0"/>
        <w:spacing w:line="5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安全性：综合考虑设备安全、网络安全和数据安全。采取可靠手段杜绝对系统的非法访问、入侵或攻击行为。视频监控数据采用中心存储管理方式，对数据的访问采用严格的用户权限控制。</w:t>
      </w:r>
    </w:p>
    <w:p w14:paraId="24A61C3B">
      <w:pPr>
        <w:pStyle w:val="43"/>
        <w:keepNext w:val="0"/>
        <w:keepLines w:val="0"/>
        <w:pageBreakBefore w:val="0"/>
        <w:widowControl w:val="0"/>
        <w:kinsoku/>
        <w:wordWrap/>
        <w:overflowPunct/>
        <w:topLinePunct w:val="0"/>
        <w:autoSpaceDE/>
        <w:autoSpaceDN/>
        <w:bidi w:val="0"/>
        <w:adjustRightInd/>
        <w:spacing w:line="560" w:lineRule="exact"/>
        <w:ind w:left="0" w:leftChars="0" w:firstLine="466"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w:t>
      </w:r>
      <w:r>
        <w:rPr>
          <w:rFonts w:hint="eastAsia" w:ascii="宋体" w:hAnsi="宋体" w:eastAsia="宋体" w:cs="宋体"/>
          <w:b/>
          <w:bCs/>
          <w:color w:val="auto"/>
          <w:sz w:val="24"/>
          <w:szCs w:val="24"/>
          <w:lang w:eastAsia="zh-CN"/>
        </w:rPr>
        <w:t>三</w:t>
      </w:r>
      <w:r>
        <w:rPr>
          <w:rFonts w:hint="eastAsia" w:ascii="宋体" w:hAnsi="宋体" w:eastAsia="宋体" w:cs="宋体"/>
          <w:b/>
          <w:bCs/>
          <w:color w:val="auto"/>
          <w:sz w:val="24"/>
          <w:szCs w:val="24"/>
        </w:rPr>
        <w:t>）建设目标</w:t>
      </w:r>
    </w:p>
    <w:p w14:paraId="2AD97F03">
      <w:pPr>
        <w:pageBreakBefore w:val="0"/>
        <w:kinsoku/>
        <w:wordWrap/>
        <w:overflowPunct/>
        <w:topLinePunct w:val="0"/>
        <w:autoSpaceDE/>
        <w:autoSpaceDN/>
        <w:bidi w:val="0"/>
        <w:spacing w:line="56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按照东阳市公共视频监控建设要求，根据相关部门需求并依据视频监控</w:t>
      </w:r>
      <w:r>
        <w:rPr>
          <w:rFonts w:hint="eastAsia" w:ascii="宋体" w:hAnsi="宋体" w:cs="宋体"/>
          <w:color w:val="auto"/>
          <w:sz w:val="24"/>
          <w:szCs w:val="24"/>
          <w:lang w:val="en-US" w:eastAsia="zh-CN"/>
        </w:rPr>
        <w:t>建设</w:t>
      </w:r>
      <w:r>
        <w:rPr>
          <w:rFonts w:hint="eastAsia" w:ascii="宋体" w:hAnsi="宋体" w:eastAsia="宋体" w:cs="宋体"/>
          <w:color w:val="auto"/>
          <w:sz w:val="24"/>
          <w:szCs w:val="24"/>
        </w:rPr>
        <w:t>生态圈理论体系指导，计划新建改建</w:t>
      </w:r>
      <w:r>
        <w:rPr>
          <w:rFonts w:hint="eastAsia" w:ascii="宋体" w:hAnsi="宋体" w:cs="宋体"/>
          <w:color w:val="auto"/>
          <w:sz w:val="24"/>
          <w:szCs w:val="24"/>
          <w:lang w:val="en-US" w:eastAsia="zh-CN"/>
        </w:rPr>
        <w:t>2917</w:t>
      </w:r>
      <w:r>
        <w:rPr>
          <w:rFonts w:hint="eastAsia" w:ascii="宋体" w:hAnsi="宋体" w:eastAsia="宋体" w:cs="宋体"/>
          <w:color w:val="auto"/>
          <w:sz w:val="24"/>
          <w:szCs w:val="24"/>
        </w:rPr>
        <w:t>路视频监控，采用的设备具备高清</w:t>
      </w:r>
      <w:r>
        <w:rPr>
          <w:rFonts w:hint="eastAsia" w:ascii="宋体" w:hAnsi="宋体" w:cs="宋体"/>
          <w:color w:val="auto"/>
          <w:sz w:val="24"/>
          <w:szCs w:val="24"/>
          <w:lang w:val="en-US" w:eastAsia="zh-CN"/>
        </w:rPr>
        <w:t>化、智能化</w:t>
      </w:r>
      <w:r>
        <w:rPr>
          <w:rFonts w:hint="eastAsia" w:ascii="宋体" w:hAnsi="宋体" w:eastAsia="宋体" w:cs="宋体"/>
          <w:color w:val="auto"/>
          <w:sz w:val="24"/>
          <w:szCs w:val="24"/>
        </w:rPr>
        <w:t>等特性，实现“控得住、查得清、调得出、用得上”的应用目标，让“视频之眼”加快升级为“数据之脑”，最终形成整体“可感知、可防控、可研判”的一张视频监控智网，东阳市公共视频监控防空网从“高清化”向“智能化”转变。</w:t>
      </w:r>
      <w:r>
        <w:rPr>
          <w:rStyle w:val="272"/>
          <w:rFonts w:hint="eastAsia" w:eastAsia="宋体" w:cs="宋体"/>
          <w:color w:val="auto"/>
          <w:lang w:val="en-US" w:eastAsia="zh-CN"/>
        </w:rPr>
        <w:t>配置视频边界、防火墙、准入等安全设备，保障公安网、视频网网络及相关的应用安全。</w:t>
      </w:r>
    </w:p>
    <w:p w14:paraId="19F77E3D">
      <w:pPr>
        <w:keepNext w:val="0"/>
        <w:keepLines w:val="0"/>
        <w:pageBreakBefore w:val="0"/>
        <w:widowControl w:val="0"/>
        <w:numPr>
          <w:ilvl w:val="0"/>
          <w:numId w:val="4"/>
        </w:numPr>
        <w:kinsoku/>
        <w:wordWrap/>
        <w:overflowPunct/>
        <w:topLinePunct w:val="0"/>
        <w:autoSpaceDE/>
        <w:autoSpaceDN/>
        <w:bidi w:val="0"/>
        <w:adjustRightInd/>
        <w:snapToGrid w:val="0"/>
        <w:spacing w:line="560" w:lineRule="exact"/>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项目建设内容</w:t>
      </w:r>
    </w:p>
    <w:p w14:paraId="6D2D1BA1">
      <w:pPr>
        <w:pageBreakBefore w:val="0"/>
        <w:kinsoku/>
        <w:wordWrap/>
        <w:overflowPunct/>
        <w:topLinePunct w:val="0"/>
        <w:autoSpaceDE/>
        <w:autoSpaceDN/>
        <w:bidi w:val="0"/>
        <w:spacing w:line="56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东阳市公共视频监控建设项目</w:t>
      </w:r>
      <w:r>
        <w:rPr>
          <w:rFonts w:hint="eastAsia" w:ascii="宋体" w:hAnsi="宋体" w:eastAsia="宋体" w:cs="宋体"/>
          <w:color w:val="auto"/>
          <w:sz w:val="24"/>
          <w:szCs w:val="24"/>
          <w:lang w:val="en-US" w:eastAsia="zh-CN"/>
        </w:rPr>
        <w:t>在东阳市公共区域</w:t>
      </w:r>
      <w:r>
        <w:rPr>
          <w:rFonts w:hint="eastAsia" w:ascii="宋体" w:hAnsi="宋体" w:eastAsia="宋体" w:cs="宋体"/>
          <w:color w:val="auto"/>
          <w:sz w:val="24"/>
          <w:szCs w:val="24"/>
        </w:rPr>
        <w:t>新建、</w:t>
      </w:r>
      <w:r>
        <w:rPr>
          <w:rFonts w:hint="eastAsia" w:ascii="宋体" w:hAnsi="宋体" w:eastAsia="宋体" w:cs="宋体"/>
          <w:color w:val="auto"/>
          <w:sz w:val="24"/>
          <w:szCs w:val="24"/>
          <w:lang w:val="en-US" w:eastAsia="zh-CN"/>
        </w:rPr>
        <w:t>改造2917路视频监控</w:t>
      </w:r>
      <w:r>
        <w:rPr>
          <w:rFonts w:hint="eastAsia" w:ascii="宋体" w:hAnsi="宋体" w:eastAsia="宋体" w:cs="宋体"/>
          <w:color w:val="auto"/>
          <w:sz w:val="24"/>
          <w:szCs w:val="24"/>
        </w:rPr>
        <w:t>，配置相应的后端视频存储及图片存储、人脸解析能力等配套设备</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配置</w:t>
      </w:r>
      <w:r>
        <w:rPr>
          <w:rFonts w:hint="eastAsia" w:ascii="宋体" w:hAnsi="宋体" w:eastAsia="宋体" w:cs="宋体"/>
          <w:color w:val="auto"/>
          <w:sz w:val="24"/>
          <w:szCs w:val="24"/>
          <w:lang w:val="en-US" w:eastAsia="zh-CN"/>
        </w:rPr>
        <w:t>3台万兆</w:t>
      </w:r>
      <w:r>
        <w:rPr>
          <w:rFonts w:hint="eastAsia" w:ascii="宋体" w:hAnsi="宋体" w:eastAsia="宋体" w:cs="宋体"/>
          <w:color w:val="auto"/>
          <w:sz w:val="24"/>
          <w:szCs w:val="24"/>
        </w:rPr>
        <w:t>防火墙</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1台</w:t>
      </w:r>
      <w:r>
        <w:rPr>
          <w:rFonts w:hint="eastAsia" w:ascii="宋体" w:hAnsi="宋体" w:eastAsia="宋体" w:cs="宋体"/>
          <w:color w:val="auto"/>
          <w:sz w:val="24"/>
          <w:szCs w:val="24"/>
        </w:rPr>
        <w:t>视频边界等设备，保障数据和网络安全，配置</w:t>
      </w:r>
      <w:r>
        <w:rPr>
          <w:rFonts w:hint="eastAsia" w:ascii="宋体" w:hAnsi="宋体" w:eastAsia="宋体" w:cs="宋体"/>
          <w:color w:val="auto"/>
          <w:sz w:val="24"/>
          <w:szCs w:val="24"/>
          <w:lang w:val="en-US" w:eastAsia="zh-CN"/>
        </w:rPr>
        <w:t>2台</w:t>
      </w:r>
      <w:r>
        <w:rPr>
          <w:rFonts w:hint="eastAsia" w:ascii="宋体" w:hAnsi="宋体" w:eastAsia="宋体" w:cs="宋体"/>
          <w:color w:val="auto"/>
          <w:sz w:val="24"/>
          <w:szCs w:val="24"/>
        </w:rPr>
        <w:t>数据摆渡服务器</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1台消息队列服务器</w:t>
      </w:r>
      <w:r>
        <w:rPr>
          <w:rFonts w:hint="eastAsia" w:ascii="宋体" w:hAnsi="宋体" w:eastAsia="宋体" w:cs="宋体"/>
          <w:color w:val="auto"/>
          <w:sz w:val="24"/>
          <w:szCs w:val="24"/>
        </w:rPr>
        <w:t>，将人脸、车辆数据摆渡至公安网数据域</w:t>
      </w:r>
      <w:r>
        <w:rPr>
          <w:rFonts w:hint="eastAsia" w:ascii="宋体" w:hAnsi="宋体" w:eastAsia="宋体" w:cs="宋体"/>
          <w:color w:val="auto"/>
          <w:sz w:val="24"/>
          <w:szCs w:val="24"/>
          <w:lang w:eastAsia="zh-CN"/>
        </w:rPr>
        <w:t>，配置</w:t>
      </w:r>
      <w:r>
        <w:rPr>
          <w:rFonts w:hint="eastAsia" w:ascii="宋体" w:hAnsi="宋体" w:eastAsia="宋体" w:cs="宋体"/>
          <w:color w:val="auto"/>
          <w:sz w:val="24"/>
          <w:szCs w:val="24"/>
          <w:lang w:val="en-US" w:eastAsia="zh-CN"/>
        </w:rPr>
        <w:t>1套公安网</w:t>
      </w:r>
      <w:r>
        <w:rPr>
          <w:rFonts w:hint="eastAsia" w:ascii="宋体" w:hAnsi="宋体" w:eastAsia="宋体" w:cs="宋体"/>
          <w:color w:val="auto"/>
          <w:sz w:val="24"/>
          <w:szCs w:val="24"/>
          <w:lang w:eastAsia="zh-CN"/>
        </w:rPr>
        <w:t>侦听器系统，对网内终端、线路进行网络混联检测，</w:t>
      </w:r>
      <w:r>
        <w:rPr>
          <w:rFonts w:hint="eastAsia" w:ascii="宋体" w:hAnsi="宋体" w:eastAsia="宋体" w:cs="宋体"/>
          <w:color w:val="auto"/>
          <w:sz w:val="24"/>
          <w:szCs w:val="24"/>
          <w:lang w:val="en-US" w:eastAsia="zh-CN"/>
        </w:rPr>
        <w:t>配置网络混联和安全加固等服务，提升公安网视频网的网络安全能力。</w:t>
      </w:r>
    </w:p>
    <w:p w14:paraId="78C1D2B1">
      <w:pPr>
        <w:pStyle w:val="6"/>
        <w:pageBreakBefore w:val="0"/>
        <w:numPr>
          <w:ilvl w:val="0"/>
          <w:numId w:val="0"/>
        </w:numPr>
        <w:kinsoku/>
        <w:wordWrap/>
        <w:overflowPunct/>
        <w:topLinePunct w:val="0"/>
        <w:autoSpaceDE/>
        <w:autoSpaceDN/>
        <w:bidi w:val="0"/>
        <w:adjustRightInd/>
        <w:snapToGrid/>
        <w:spacing w:before="0" w:after="0" w:line="560" w:lineRule="exact"/>
        <w:ind w:leftChars="0" w:firstLine="482" w:firstLineChars="200"/>
        <w:textAlignment w:val="auto"/>
        <w:rPr>
          <w:rFonts w:hint="eastAsia" w:ascii="宋体" w:hAnsi="宋体" w:eastAsia="宋体" w:cs="宋体"/>
          <w:color w:val="auto"/>
          <w:sz w:val="24"/>
          <w:szCs w:val="24"/>
        </w:rPr>
      </w:pPr>
      <w:bookmarkStart w:id="1" w:name="_Toc20338"/>
      <w:bookmarkStart w:id="2" w:name="_Toc59195829"/>
      <w:bookmarkStart w:id="3" w:name="_Toc2581"/>
      <w:bookmarkStart w:id="4" w:name="_Toc26376"/>
      <w:bookmarkStart w:id="5" w:name="_Toc22363"/>
      <w:r>
        <w:rPr>
          <w:rFonts w:hint="eastAsia" w:ascii="宋体" w:hAnsi="宋体" w:eastAsia="宋体" w:cs="宋体"/>
          <w:color w:val="auto"/>
          <w:sz w:val="24"/>
          <w:szCs w:val="24"/>
          <w:lang w:eastAsia="zh-CN"/>
        </w:rPr>
        <w:t>三、</w:t>
      </w:r>
      <w:r>
        <w:rPr>
          <w:rFonts w:hint="eastAsia" w:ascii="宋体" w:hAnsi="宋体" w:eastAsia="宋体" w:cs="宋体"/>
          <w:color w:val="auto"/>
          <w:sz w:val="24"/>
          <w:szCs w:val="24"/>
        </w:rPr>
        <w:t>监理服务总体要求</w:t>
      </w:r>
      <w:bookmarkEnd w:id="1"/>
      <w:bookmarkEnd w:id="2"/>
      <w:bookmarkEnd w:id="3"/>
      <w:bookmarkEnd w:id="4"/>
      <w:bookmarkEnd w:id="5"/>
    </w:p>
    <w:p w14:paraId="76B02391">
      <w:pPr>
        <w:pageBreakBefore w:val="0"/>
        <w:widowControl/>
        <w:kinsoku/>
        <w:wordWrap/>
        <w:overflowPunct/>
        <w:topLinePunct w:val="0"/>
        <w:autoSpaceDE/>
        <w:autoSpaceDN/>
        <w:bidi w:val="0"/>
        <w:adjustRightInd/>
        <w:snapToGrid/>
        <w:spacing w:line="560" w:lineRule="exact"/>
        <w:ind w:firstLine="482" w:firstLineChars="200"/>
        <w:textAlignment w:val="auto"/>
        <w:rPr>
          <w:rFonts w:hint="eastAsia" w:ascii="宋体" w:hAnsi="宋体" w:eastAsia="宋体" w:cs="宋体"/>
          <w:b/>
          <w:bCs/>
          <w:color w:val="auto"/>
          <w:sz w:val="24"/>
          <w:szCs w:val="24"/>
        </w:rPr>
      </w:pPr>
      <w:bookmarkStart w:id="6" w:name="_Toc5588"/>
      <w:bookmarkStart w:id="7" w:name="_Toc9978"/>
      <w:bookmarkStart w:id="8" w:name="_Toc59195831"/>
      <w:bookmarkStart w:id="9" w:name="_Toc19263"/>
      <w:bookmarkStart w:id="10" w:name="_Toc23101"/>
      <w:r>
        <w:rPr>
          <w:rFonts w:hint="eastAsia" w:ascii="宋体" w:hAnsi="宋体" w:eastAsia="宋体" w:cs="宋体"/>
          <w:b/>
          <w:bCs/>
          <w:color w:val="auto"/>
          <w:sz w:val="24"/>
          <w:szCs w:val="24"/>
        </w:rPr>
        <w:t>（一）监理目标</w:t>
      </w:r>
    </w:p>
    <w:p w14:paraId="21F48B82">
      <w:pPr>
        <w:pageBreakBefore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cs="宋体"/>
          <w:color w:val="auto"/>
          <w:sz w:val="24"/>
          <w:szCs w:val="24"/>
          <w:lang w:val="en-US" w:eastAsia="zh-CN" w:bidi="ar"/>
        </w:rPr>
        <w:t>东阳市公共视频监控建设</w:t>
      </w:r>
      <w:r>
        <w:rPr>
          <w:rFonts w:hint="eastAsia" w:ascii="宋体" w:hAnsi="宋体" w:eastAsia="宋体" w:cs="宋体"/>
          <w:color w:val="auto"/>
          <w:sz w:val="24"/>
          <w:szCs w:val="24"/>
          <w:lang w:bidi="ar"/>
        </w:rPr>
        <w:t>项目</w:t>
      </w:r>
      <w:r>
        <w:rPr>
          <w:rFonts w:hint="eastAsia" w:ascii="宋体" w:hAnsi="宋体" w:cs="宋体"/>
          <w:color w:val="auto"/>
          <w:sz w:val="24"/>
          <w:szCs w:val="24"/>
          <w:lang w:val="en-US" w:eastAsia="zh-CN" w:bidi="ar"/>
        </w:rPr>
        <w:t>涉及面广</w:t>
      </w:r>
      <w:r>
        <w:rPr>
          <w:rFonts w:hint="eastAsia" w:ascii="宋体" w:hAnsi="宋体" w:eastAsia="宋体" w:cs="宋体"/>
          <w:color w:val="auto"/>
          <w:sz w:val="24"/>
          <w:szCs w:val="24"/>
          <w:lang w:bidi="ar"/>
        </w:rPr>
        <w:t>，复杂程度高。为此，要求监理单位按照建设目标和要求，遵循国家、省、市信息系统项目建设和监理的标准和规范，依据项目建设合同和用户需求，采用先进、科学、合理的适合本项目特点的项目管理技巧和手段，对项目的各个层面进行全方位的管理、控制和协调。对项目的设备购置、安装调试、系统测试、技术培训等方面的质量、进度和投资等进行全面控制。对项目建设合同的执行、项目建设文件资料等进行管理。从而使本项目“按期、保质、高效、节约”地完成。</w:t>
      </w:r>
    </w:p>
    <w:p w14:paraId="40FEA2F0">
      <w:pPr>
        <w:pageBreakBefore w:val="0"/>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（二）信息监理标准规范</w:t>
      </w:r>
      <w:bookmarkEnd w:id="6"/>
      <w:bookmarkEnd w:id="7"/>
      <w:bookmarkEnd w:id="8"/>
      <w:bookmarkEnd w:id="9"/>
      <w:bookmarkEnd w:id="10"/>
    </w:p>
    <w:p w14:paraId="32D70FA2">
      <w:pPr>
        <w:pageBreakBefore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GB/T 19668.1-2014《信息技术服务监理》第1部分：总则；</w:t>
      </w:r>
    </w:p>
    <w:p w14:paraId="65C31815">
      <w:pPr>
        <w:pageBreakBefore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GB/T 19668.2-2017《信息技术服务监理》第2部分：基础设施工程监理规范；</w:t>
      </w:r>
    </w:p>
    <w:p w14:paraId="5DDE3280">
      <w:pPr>
        <w:pageBreakBefore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GB/T 19668.3-2017《信息技术服务监理》第3部分：运行维护监理规范；</w:t>
      </w:r>
    </w:p>
    <w:p w14:paraId="04ADADFA">
      <w:pPr>
        <w:pageBreakBefore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GB/T 19668.4-2017《信息技术服务监理》第4部分：信息安全监理规范；</w:t>
      </w:r>
    </w:p>
    <w:p w14:paraId="51B28BAB">
      <w:pPr>
        <w:pageBreakBefore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GB/T 19668.5-2018《信息技术服务监理》第5部分：软件工程监理规范；</w:t>
      </w:r>
    </w:p>
    <w:p w14:paraId="2F78D3E1">
      <w:pPr>
        <w:pageBreakBefore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GB/T 19668.6-2019《信息技术服务监理》第6部分：应用系统数据中心工程监理规范；</w:t>
      </w:r>
    </w:p>
    <w:p w14:paraId="5DFED09D">
      <w:pPr>
        <w:pageBreakBefore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以及其他国家、省相关法律法规、政策及制度等。</w:t>
      </w:r>
      <w:bookmarkStart w:id="11" w:name="_Toc7680"/>
      <w:bookmarkStart w:id="12" w:name="_Toc24322"/>
      <w:bookmarkStart w:id="13" w:name="_Toc59195832"/>
      <w:bookmarkStart w:id="14" w:name="_Toc31407"/>
      <w:bookmarkStart w:id="15" w:name="_Toc29574"/>
    </w:p>
    <w:p w14:paraId="5D2D103D">
      <w:pPr>
        <w:pageBreakBefore w:val="0"/>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（三）建设监理服务具体要求</w:t>
      </w:r>
      <w:bookmarkEnd w:id="11"/>
      <w:bookmarkEnd w:id="12"/>
      <w:bookmarkEnd w:id="13"/>
      <w:bookmarkEnd w:id="14"/>
      <w:bookmarkEnd w:id="15"/>
    </w:p>
    <w:p w14:paraId="5504A7BA">
      <w:pPr>
        <w:pageBreakBefore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按照“四控制、三管理、一协调”的原则，控制</w:t>
      </w:r>
      <w:r>
        <w:rPr>
          <w:rFonts w:hint="eastAsia" w:ascii="宋体" w:hAnsi="宋体" w:cs="宋体"/>
          <w:color w:val="auto"/>
          <w:sz w:val="24"/>
          <w:szCs w:val="24"/>
          <w:lang w:val="en-US" w:eastAsia="zh-CN" w:bidi="ar"/>
        </w:rPr>
        <w:t>东阳市公共视频监控建设监理项目</w:t>
      </w:r>
      <w:r>
        <w:rPr>
          <w:rFonts w:hint="eastAsia" w:ascii="宋体" w:hAnsi="宋体" w:eastAsia="宋体" w:cs="宋体"/>
          <w:color w:val="auto"/>
          <w:sz w:val="24"/>
          <w:szCs w:val="24"/>
          <w:lang w:bidi="ar"/>
        </w:rPr>
        <w:t>的质量、进度、投资，以实现项目建设的目标。</w:t>
      </w:r>
      <w:bookmarkStart w:id="16" w:name="_Toc59195833"/>
      <w:bookmarkStart w:id="17" w:name="_Toc30914"/>
      <w:bookmarkStart w:id="18" w:name="_Toc24216"/>
      <w:bookmarkStart w:id="19" w:name="_Toc8828"/>
      <w:bookmarkStart w:id="20" w:name="_Toc18690"/>
    </w:p>
    <w:p w14:paraId="1D2D1E22">
      <w:pPr>
        <w:pageBreakBefore w:val="0"/>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（四）监理服务准则</w:t>
      </w:r>
      <w:bookmarkEnd w:id="16"/>
      <w:bookmarkEnd w:id="17"/>
      <w:bookmarkEnd w:id="18"/>
      <w:bookmarkEnd w:id="19"/>
      <w:bookmarkEnd w:id="20"/>
    </w:p>
    <w:p w14:paraId="0C17FE2B">
      <w:pPr>
        <w:pageBreakBefore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遵照国家信息产业部《信息系统项目监理暂行规定》的规定，以“守法、诚信、公正、科学”的准则执业，维护业主单位与承建单位的合法权益。具体应做到：</w:t>
      </w:r>
    </w:p>
    <w:p w14:paraId="70F8F7C5">
      <w:pPr>
        <w:pageBreakBefore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1.执行有关项目建设的法律法规、标准、规范和制度，履行监理合同规定的义务和职责。</w:t>
      </w:r>
    </w:p>
    <w:p w14:paraId="457AC63F">
      <w:pPr>
        <w:pageBreakBefore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2.不收受被监理单位的任何礼金。</w:t>
      </w:r>
    </w:p>
    <w:p w14:paraId="73C1B127">
      <w:pPr>
        <w:pageBreakBefore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3.不泄漏所监理项目各方认为需要保密的事项。</w:t>
      </w:r>
    </w:p>
    <w:p w14:paraId="0A4CA8BB">
      <w:pPr>
        <w:pageBreakBefore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4.遵守国家的法律和政府的有关条例、规定和办法等。</w:t>
      </w:r>
    </w:p>
    <w:p w14:paraId="701511FD">
      <w:pPr>
        <w:pageBreakBefore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5.坚持公正的立场，独立、公正地处理有关各方的争议。</w:t>
      </w:r>
    </w:p>
    <w:p w14:paraId="4AD6A861">
      <w:pPr>
        <w:pageBreakBefore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6.坚持科学的态度和实事求是的原则。</w:t>
      </w:r>
    </w:p>
    <w:p w14:paraId="7195E813">
      <w:pPr>
        <w:pageBreakBefore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7.在坚持按监理合同的规定向采购人提供技术服务的同时，帮助被监理者完成起担负的建设任务。</w:t>
      </w:r>
    </w:p>
    <w:p w14:paraId="1BDC4CE2">
      <w:pPr>
        <w:pageBreakBefore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8.不泄漏所监理的项目需保密的事项，对涉密项目或业主单位提出保密要求的项目，监理单位应与业主单位签订保密协议。</w:t>
      </w:r>
      <w:bookmarkStart w:id="21" w:name="_Toc24104"/>
      <w:bookmarkStart w:id="22" w:name="_Toc59195834"/>
      <w:bookmarkStart w:id="23" w:name="_Toc3823"/>
      <w:bookmarkStart w:id="24" w:name="_Toc27398"/>
      <w:bookmarkStart w:id="25" w:name="_Toc31513"/>
    </w:p>
    <w:p w14:paraId="1C0110F5">
      <w:pPr>
        <w:pageBreakBefore w:val="0"/>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（五）监理服务遵照的依据</w:t>
      </w:r>
      <w:bookmarkEnd w:id="21"/>
      <w:bookmarkEnd w:id="22"/>
      <w:bookmarkEnd w:id="23"/>
      <w:bookmarkEnd w:id="24"/>
      <w:bookmarkEnd w:id="25"/>
    </w:p>
    <w:p w14:paraId="5AF08EC2">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1.国家有关信息系统工程监理的法规；</w:t>
      </w:r>
    </w:p>
    <w:p w14:paraId="58E62329">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2.采购人与项目承建单位签订的合同；</w:t>
      </w:r>
    </w:p>
    <w:p w14:paraId="4510D36C">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3.采购人与监理单位签订的监理合同；</w:t>
      </w:r>
    </w:p>
    <w:p w14:paraId="5A2AEDCB">
      <w:pPr>
        <w:pageBreakBefore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4.有关国家和行业的技术规范和标准。</w:t>
      </w:r>
    </w:p>
    <w:p w14:paraId="20C7DCCF">
      <w:pPr>
        <w:pStyle w:val="6"/>
        <w:pageBreakBefore w:val="0"/>
        <w:numPr>
          <w:ilvl w:val="0"/>
          <w:numId w:val="0"/>
        </w:numPr>
        <w:kinsoku/>
        <w:wordWrap/>
        <w:overflowPunct/>
        <w:topLinePunct w:val="0"/>
        <w:autoSpaceDE/>
        <w:autoSpaceDN/>
        <w:bidi w:val="0"/>
        <w:adjustRightInd/>
        <w:snapToGrid/>
        <w:spacing w:before="0" w:after="0" w:line="560" w:lineRule="exact"/>
        <w:ind w:leftChars="0" w:firstLine="482" w:firstLineChars="200"/>
        <w:textAlignment w:val="auto"/>
        <w:rPr>
          <w:rFonts w:hint="eastAsia" w:ascii="宋体" w:hAnsi="宋体" w:eastAsia="宋体" w:cs="宋体"/>
          <w:color w:val="auto"/>
          <w:sz w:val="24"/>
          <w:szCs w:val="24"/>
        </w:rPr>
      </w:pPr>
      <w:bookmarkStart w:id="26" w:name="_Toc59005989"/>
      <w:bookmarkStart w:id="27" w:name="_Toc59195835"/>
      <w:bookmarkStart w:id="28" w:name="_Toc14208"/>
      <w:bookmarkStart w:id="29" w:name="_Toc32487"/>
      <w:bookmarkStart w:id="30" w:name="_Toc17083"/>
      <w:bookmarkStart w:id="31" w:name="_Toc6064"/>
      <w:r>
        <w:rPr>
          <w:rFonts w:hint="eastAsia" w:ascii="宋体" w:hAnsi="宋体" w:eastAsia="宋体" w:cs="宋体"/>
          <w:color w:val="auto"/>
          <w:sz w:val="24"/>
          <w:szCs w:val="24"/>
          <w:lang w:eastAsia="zh-CN"/>
        </w:rPr>
        <w:t>四、</w:t>
      </w:r>
      <w:r>
        <w:rPr>
          <w:rFonts w:hint="eastAsia" w:ascii="宋体" w:hAnsi="宋体" w:eastAsia="宋体" w:cs="宋体"/>
          <w:color w:val="auto"/>
          <w:sz w:val="24"/>
          <w:szCs w:val="24"/>
        </w:rPr>
        <w:t>监理工作概述及要求</w:t>
      </w:r>
      <w:bookmarkEnd w:id="26"/>
      <w:bookmarkEnd w:id="27"/>
      <w:bookmarkEnd w:id="28"/>
      <w:bookmarkEnd w:id="29"/>
      <w:bookmarkEnd w:id="30"/>
      <w:bookmarkEnd w:id="31"/>
    </w:p>
    <w:p w14:paraId="180F616F">
      <w:pPr>
        <w:pageBreakBefore w:val="0"/>
        <w:widowControl/>
        <w:numPr>
          <w:ilvl w:val="2"/>
          <w:numId w:val="5"/>
        </w:numPr>
        <w:kinsoku/>
        <w:wordWrap/>
        <w:overflowPunct/>
        <w:topLinePunct w:val="0"/>
        <w:autoSpaceDE/>
        <w:autoSpaceDN/>
        <w:bidi w:val="0"/>
        <w:adjustRightInd/>
        <w:snapToGrid/>
        <w:spacing w:line="560" w:lineRule="exact"/>
        <w:ind w:firstLine="482" w:firstLineChars="200"/>
        <w:textAlignment w:val="auto"/>
        <w:rPr>
          <w:rFonts w:hint="eastAsia" w:ascii="宋体" w:hAnsi="宋体" w:eastAsia="宋体" w:cs="宋体"/>
          <w:b/>
          <w:bCs/>
          <w:color w:val="auto"/>
          <w:sz w:val="24"/>
          <w:szCs w:val="24"/>
        </w:rPr>
      </w:pPr>
      <w:bookmarkStart w:id="32" w:name="_Toc969"/>
      <w:bookmarkStart w:id="33" w:name="_Toc19446"/>
      <w:bookmarkStart w:id="34" w:name="_Toc21136"/>
      <w:bookmarkStart w:id="35" w:name="_Toc59195836"/>
      <w:bookmarkStart w:id="36" w:name="_Toc18251"/>
      <w:bookmarkStart w:id="37" w:name="_Toc26851"/>
      <w:bookmarkStart w:id="38" w:name="_Toc11438"/>
      <w:bookmarkStart w:id="39" w:name="_Toc4477"/>
      <w:r>
        <w:rPr>
          <w:rFonts w:hint="eastAsia" w:ascii="宋体" w:hAnsi="宋体" w:eastAsia="宋体" w:cs="宋体"/>
          <w:b/>
          <w:bCs/>
          <w:color w:val="auto"/>
          <w:sz w:val="24"/>
          <w:szCs w:val="24"/>
          <w:lang w:val="en-US" w:eastAsia="zh-CN"/>
        </w:rPr>
        <w:t xml:space="preserve">   </w:t>
      </w:r>
      <w:r>
        <w:rPr>
          <w:rFonts w:hint="eastAsia" w:ascii="宋体" w:hAnsi="宋体" w:eastAsia="宋体" w:cs="宋体"/>
          <w:b/>
          <w:bCs/>
          <w:color w:val="auto"/>
          <w:sz w:val="24"/>
          <w:szCs w:val="24"/>
        </w:rPr>
        <w:t>（一）监理工作内容</w:t>
      </w:r>
      <w:bookmarkEnd w:id="32"/>
      <w:bookmarkEnd w:id="33"/>
      <w:bookmarkEnd w:id="34"/>
      <w:r>
        <w:rPr>
          <w:rFonts w:hint="eastAsia" w:ascii="宋体" w:hAnsi="宋体" w:eastAsia="宋体" w:cs="宋体"/>
          <w:b/>
          <w:bCs/>
          <w:color w:val="auto"/>
          <w:sz w:val="24"/>
          <w:szCs w:val="24"/>
        </w:rPr>
        <w:t>概述</w:t>
      </w:r>
      <w:bookmarkEnd w:id="35"/>
      <w:bookmarkEnd w:id="36"/>
      <w:bookmarkEnd w:id="37"/>
      <w:bookmarkEnd w:id="38"/>
      <w:bookmarkEnd w:id="39"/>
    </w:p>
    <w:p w14:paraId="46D17B71">
      <w:pPr>
        <w:pageBreakBefore w:val="0"/>
        <w:kinsoku/>
        <w:wordWrap/>
        <w:overflowPunct/>
        <w:topLinePunct w:val="0"/>
        <w:autoSpaceDE/>
        <w:autoSpaceDN/>
        <w:bidi w:val="0"/>
        <w:adjustRightInd/>
        <w:snapToGrid/>
        <w:spacing w:line="560" w:lineRule="exact"/>
        <w:ind w:firstLine="480" w:firstLineChars="200"/>
        <w:jc w:val="left"/>
        <w:textAlignment w:val="auto"/>
        <w:rPr>
          <w:rFonts w:ascii="宋体" w:hAnsi="宋体" w:cs="宋体"/>
          <w:color w:val="auto"/>
          <w:sz w:val="24"/>
          <w:lang w:bidi="ar"/>
        </w:rPr>
      </w:pPr>
      <w:r>
        <w:rPr>
          <w:rFonts w:hint="eastAsia" w:ascii="宋体" w:hAnsi="宋体" w:eastAsia="宋体" w:cs="宋体"/>
          <w:color w:val="auto"/>
          <w:sz w:val="24"/>
          <w:szCs w:val="24"/>
          <w:lang w:bidi="ar"/>
        </w:rPr>
        <w:t>本项目的监理应该严格按照有关规定开展工作，对项目的进度、质量和投资进行有效的控制和管理、督促、检查承建单位落实</w:t>
      </w:r>
      <w:r>
        <w:rPr>
          <w:rFonts w:hint="eastAsia" w:ascii="宋体" w:hAnsi="宋体" w:cs="宋体"/>
          <w:color w:val="auto"/>
          <w:sz w:val="24"/>
          <w:lang w:bidi="ar"/>
        </w:rPr>
        <w:t>安全、质量保证措施，做好组织协调工作，为</w:t>
      </w:r>
      <w:r>
        <w:rPr>
          <w:rFonts w:hint="eastAsia" w:ascii="宋体" w:hAnsi="宋体" w:cs="宋体"/>
          <w:color w:val="auto"/>
          <w:sz w:val="24"/>
          <w:lang w:val="en-US" w:eastAsia="zh-CN" w:bidi="ar"/>
        </w:rPr>
        <w:t>采购人</w:t>
      </w:r>
      <w:r>
        <w:rPr>
          <w:rFonts w:hint="eastAsia" w:ascii="宋体" w:hAnsi="宋体" w:cs="宋体"/>
          <w:color w:val="auto"/>
          <w:sz w:val="24"/>
          <w:lang w:bidi="ar"/>
        </w:rPr>
        <w:t>提供技术、经济和法律等方面的咨询服务，帮助</w:t>
      </w:r>
      <w:r>
        <w:rPr>
          <w:rFonts w:hint="eastAsia" w:ascii="宋体" w:hAnsi="宋体" w:cs="宋体"/>
          <w:color w:val="auto"/>
          <w:sz w:val="24"/>
          <w:lang w:val="en-US" w:eastAsia="zh-CN" w:bidi="ar"/>
        </w:rPr>
        <w:t>采购人</w:t>
      </w:r>
      <w:r>
        <w:rPr>
          <w:rFonts w:hint="eastAsia" w:ascii="宋体" w:hAnsi="宋体" w:cs="宋体"/>
          <w:color w:val="auto"/>
          <w:sz w:val="24"/>
          <w:lang w:bidi="ar"/>
        </w:rPr>
        <w:t>尽可能地实现预定的合理建设目标。</w:t>
      </w:r>
    </w:p>
    <w:p w14:paraId="1C934118">
      <w:pPr>
        <w:pageBreakBefore w:val="0"/>
        <w:kinsoku/>
        <w:wordWrap/>
        <w:overflowPunct/>
        <w:topLinePunct w:val="0"/>
        <w:autoSpaceDE/>
        <w:autoSpaceDN/>
        <w:bidi w:val="0"/>
        <w:spacing w:line="560" w:lineRule="exact"/>
        <w:ind w:firstLine="482" w:firstLineChars="200"/>
        <w:jc w:val="left"/>
        <w:rPr>
          <w:rFonts w:ascii="宋体" w:hAnsi="宋体" w:cs="宋体"/>
          <w:b/>
          <w:bCs/>
          <w:color w:val="auto"/>
          <w:sz w:val="24"/>
          <w:lang w:bidi="ar"/>
        </w:rPr>
      </w:pPr>
      <w:r>
        <w:rPr>
          <w:rFonts w:hint="eastAsia" w:ascii="宋体" w:hAnsi="宋体" w:cs="宋体"/>
          <w:b/>
          <w:bCs/>
          <w:color w:val="auto"/>
          <w:sz w:val="24"/>
          <w:lang w:bidi="ar"/>
        </w:rPr>
        <w:t>1.1项目质量控制</w:t>
      </w:r>
    </w:p>
    <w:p w14:paraId="2700DE25">
      <w:pPr>
        <w:pageBreakBefore w:val="0"/>
        <w:kinsoku/>
        <w:wordWrap/>
        <w:overflowPunct/>
        <w:topLinePunct w:val="0"/>
        <w:autoSpaceDE/>
        <w:autoSpaceDN/>
        <w:bidi w:val="0"/>
        <w:spacing w:line="560" w:lineRule="exact"/>
        <w:ind w:firstLine="482" w:firstLineChars="200"/>
        <w:jc w:val="left"/>
        <w:rPr>
          <w:rFonts w:ascii="宋体" w:hAnsi="宋体" w:cs="宋体"/>
          <w:b/>
          <w:bCs/>
          <w:color w:val="auto"/>
          <w:sz w:val="24"/>
          <w:lang w:bidi="ar"/>
        </w:rPr>
      </w:pPr>
      <w:r>
        <w:rPr>
          <w:rFonts w:hint="eastAsia" w:ascii="宋体" w:hAnsi="宋体" w:cs="宋体"/>
          <w:b/>
          <w:bCs/>
          <w:color w:val="auto"/>
          <w:sz w:val="24"/>
          <w:lang w:bidi="ar"/>
        </w:rPr>
        <w:t>（1）前端施工</w:t>
      </w:r>
      <w:r>
        <w:rPr>
          <w:rFonts w:hint="eastAsia" w:ascii="宋体" w:hAnsi="宋体" w:cs="宋体"/>
          <w:b/>
          <w:bCs/>
          <w:color w:val="auto"/>
          <w:sz w:val="24"/>
          <w:lang w:val="zh-CN" w:bidi="ar"/>
        </w:rPr>
        <w:t>质量的控制</w:t>
      </w:r>
    </w:p>
    <w:p w14:paraId="177B9F75">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1）审核设计图纸，查漏补缺，尽量避免设计缺项；</w:t>
      </w:r>
    </w:p>
    <w:p w14:paraId="3C4BD9F6">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2）认真参加施工图纸会审和设计交底，了解设计意图，审查各专业施工图的相互配合，及时发现存在的问题，尽量避免设计失误造成的损失，坚持做到未经会审的施工图不得投入施工。同时做好技术文件复核工作，并明确项目质量要求，在管理系统中固化；</w:t>
      </w:r>
    </w:p>
    <w:p w14:paraId="3E5B0FA3">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3）组织建设单位、使用单位、承建单位一起踏勘施工现场并对点位进行统一管理并展现；</w:t>
      </w:r>
    </w:p>
    <w:p w14:paraId="1241BC7D">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4）在材料、构配件订货前，由施工单位提出产品资料，经各专业监理工程师审查后才可订货进场，材料进场后必须出具出厂合格证，材料试验单等资料，并上报监理单位，经项目专业监理工程师审查并抽查复验合格后，方可用于建设工程。</w:t>
      </w:r>
    </w:p>
    <w:p w14:paraId="50389171">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5）做好监理旁站，主要包括基础浇筑、管线施工、杆件吊装、设备安装记录当日主要工作内容，监理工作内容、发现的问题和处理的方法。并以图文形式展现；</w:t>
      </w:r>
    </w:p>
    <w:p w14:paraId="436EED6F">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6）对所有隐蔽工程及关键工序进行旁站，形成相应旁站资料，作为验收过程材料；</w:t>
      </w:r>
    </w:p>
    <w:p w14:paraId="409740C6">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7）对施工过程中所有施工单位出现的问题进行记录，作为罚款依据。</w:t>
      </w:r>
    </w:p>
    <w:p w14:paraId="27F15807">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8）试运行巡检，如实记录试运行问题，特别是出现的问题必须做到闭环处理；</w:t>
      </w:r>
    </w:p>
    <w:p w14:paraId="42E0F49B">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9）处理施工单位提交的验收申请，不具备验收条件时，提出各方都能接受的整改方案，便于项目整体验收；</w:t>
      </w:r>
    </w:p>
    <w:p w14:paraId="7FA4BA0B">
      <w:pPr>
        <w:pageBreakBefore w:val="0"/>
        <w:kinsoku/>
        <w:wordWrap/>
        <w:overflowPunct/>
        <w:topLinePunct w:val="0"/>
        <w:autoSpaceDE/>
        <w:autoSpaceDN/>
        <w:bidi w:val="0"/>
        <w:spacing w:line="560" w:lineRule="exact"/>
        <w:ind w:firstLine="482" w:firstLineChars="200"/>
        <w:jc w:val="left"/>
        <w:rPr>
          <w:rFonts w:ascii="宋体" w:hAnsi="宋体" w:cs="宋体"/>
          <w:b/>
          <w:bCs/>
          <w:color w:val="auto"/>
          <w:sz w:val="24"/>
          <w:lang w:bidi="ar"/>
        </w:rPr>
      </w:pPr>
      <w:r>
        <w:rPr>
          <w:rFonts w:hint="eastAsia" w:ascii="宋体" w:hAnsi="宋体" w:cs="宋体"/>
          <w:b/>
          <w:bCs/>
          <w:color w:val="auto"/>
          <w:sz w:val="24"/>
          <w:lang w:bidi="ar"/>
        </w:rPr>
        <w:t>（2）系统集成质量的控制</w:t>
      </w:r>
    </w:p>
    <w:p w14:paraId="3F6CB1CE">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1）审核承建单位提交的系统集成方案等技术方案。</w:t>
      </w:r>
    </w:p>
    <w:p w14:paraId="5987F14A">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2）依据合同要求和有关技术标准，审查、监督、核验本工程设备及设备安装的质量。核对品牌、型号、数量、参数、配件、随机资料等，并要求记录所到设备的序号，与原厂进行验证。</w:t>
      </w:r>
    </w:p>
    <w:p w14:paraId="6EBCC046">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3）组织对采购的硬件设备的质量进行核实、测试和验收。对设备上电测试、安装调试等过程现场监管，形成相应的检查记录。</w:t>
      </w:r>
    </w:p>
    <w:p w14:paraId="04C2E5B4">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4）根据合同核对采购设备的维保情况，并进行查证，形成记录。</w:t>
      </w:r>
    </w:p>
    <w:p w14:paraId="480FDAB8">
      <w:pPr>
        <w:pageBreakBefore w:val="0"/>
        <w:kinsoku/>
        <w:wordWrap/>
        <w:overflowPunct/>
        <w:topLinePunct w:val="0"/>
        <w:autoSpaceDE/>
        <w:autoSpaceDN/>
        <w:bidi w:val="0"/>
        <w:spacing w:line="560" w:lineRule="exact"/>
        <w:ind w:firstLine="482" w:firstLineChars="200"/>
        <w:jc w:val="left"/>
        <w:rPr>
          <w:rFonts w:ascii="宋体" w:hAnsi="宋体" w:cs="宋体"/>
          <w:b/>
          <w:bCs/>
          <w:color w:val="auto"/>
          <w:sz w:val="24"/>
          <w:lang w:bidi="ar"/>
        </w:rPr>
      </w:pPr>
      <w:r>
        <w:rPr>
          <w:rFonts w:hint="eastAsia" w:ascii="宋体" w:hAnsi="宋体" w:cs="宋体"/>
          <w:b/>
          <w:bCs/>
          <w:color w:val="auto"/>
          <w:sz w:val="24"/>
          <w:lang w:bidi="ar"/>
        </w:rPr>
        <w:t>1.2项目进度控制</w:t>
      </w:r>
    </w:p>
    <w:p w14:paraId="7A44BA02">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（1）审核承建单位的进度分解计划，确认分解计划可以保证总体计划目标；</w:t>
      </w:r>
    </w:p>
    <w:p w14:paraId="187D0F6D">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（2）审核承建单位的人员到位情况，是否满足工程进度计划的要求；</w:t>
      </w:r>
    </w:p>
    <w:p w14:paraId="259A761D">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（3）审核施工设备到位情况，是否满足施工进度计划要求；</w:t>
      </w:r>
    </w:p>
    <w:p w14:paraId="18570D87">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（4）审核保证施工进度的措施，是否能够保证工程进度按计划实施；</w:t>
      </w:r>
    </w:p>
    <w:p w14:paraId="2181D47B">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（5）审核承建单位的工程材料采购计划，是否满足进度计划的要求；</w:t>
      </w:r>
    </w:p>
    <w:p w14:paraId="713A3E9F">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（6）督促承建单位办理开工相关的各种手续；</w:t>
      </w:r>
    </w:p>
    <w:p w14:paraId="10943A33">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（7）对各子项目实施进度进行实时跟踪，并要求承建单位对进度计划进行动态调整，以确保项目的阶段和总体进度目标的实现；</w:t>
      </w:r>
    </w:p>
    <w:p w14:paraId="00B448AE">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（8）当工期目标严重偏离时，应及时指出，并提出对策建议，同时督促承建单位尽快采取措施。</w:t>
      </w:r>
    </w:p>
    <w:p w14:paraId="0BAF33D0">
      <w:pPr>
        <w:pageBreakBefore w:val="0"/>
        <w:kinsoku/>
        <w:wordWrap/>
        <w:overflowPunct/>
        <w:topLinePunct w:val="0"/>
        <w:autoSpaceDE/>
        <w:autoSpaceDN/>
        <w:bidi w:val="0"/>
        <w:spacing w:line="560" w:lineRule="exact"/>
        <w:ind w:firstLine="482" w:firstLineChars="200"/>
        <w:jc w:val="left"/>
        <w:rPr>
          <w:rFonts w:ascii="宋体" w:hAnsi="宋体" w:cs="宋体"/>
          <w:b/>
          <w:bCs/>
          <w:color w:val="auto"/>
          <w:sz w:val="24"/>
          <w:lang w:bidi="ar"/>
        </w:rPr>
      </w:pPr>
      <w:r>
        <w:rPr>
          <w:rFonts w:hint="eastAsia" w:ascii="宋体" w:hAnsi="宋体" w:cs="宋体"/>
          <w:b/>
          <w:bCs/>
          <w:color w:val="auto"/>
          <w:sz w:val="24"/>
          <w:lang w:bidi="ar"/>
        </w:rPr>
        <w:t>1.3项目投资及变更控制</w:t>
      </w:r>
    </w:p>
    <w:p w14:paraId="0E80A0C6">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1）审核和确认项目实施中的变更与调整，对变更所带来的投资成本予以评估，并从项目整体投资角度综合考虑控制变更成本；通过对项目实施中的方案及设计的优化，确保投资控制在合理、性价比高的范围内；</w:t>
      </w:r>
    </w:p>
    <w:p w14:paraId="195B5F42">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（2）确认承建单位的所有付款申请，出具监理书面意见后业主单位方可付款；</w:t>
      </w:r>
    </w:p>
    <w:p w14:paraId="73D629B9">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（3）对各子项目的资金使用进行监督，并向业主单位就资金支付提出合理化建议；</w:t>
      </w:r>
    </w:p>
    <w:p w14:paraId="2CB26D39">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（4）对变更执行效果进行检查；</w:t>
      </w:r>
    </w:p>
    <w:p w14:paraId="33BEA98C">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（5）主持业主与承建单位关于工程变更、索赔、有关争议而进行的谈判；</w:t>
      </w:r>
    </w:p>
    <w:p w14:paraId="47211346">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（6）针对本项目有可能存在的风险分析及制定防范性对策。</w:t>
      </w:r>
    </w:p>
    <w:p w14:paraId="2B6D9383">
      <w:pPr>
        <w:pageBreakBefore w:val="0"/>
        <w:kinsoku/>
        <w:wordWrap/>
        <w:overflowPunct/>
        <w:topLinePunct w:val="0"/>
        <w:autoSpaceDE/>
        <w:autoSpaceDN/>
        <w:bidi w:val="0"/>
        <w:spacing w:line="560" w:lineRule="exact"/>
        <w:ind w:firstLine="482" w:firstLineChars="200"/>
        <w:jc w:val="left"/>
        <w:rPr>
          <w:rFonts w:ascii="宋体" w:hAnsi="宋体" w:cs="宋体"/>
          <w:b/>
          <w:bCs/>
          <w:color w:val="auto"/>
          <w:sz w:val="24"/>
          <w:lang w:bidi="ar"/>
        </w:rPr>
      </w:pPr>
      <w:r>
        <w:rPr>
          <w:rFonts w:hint="eastAsia" w:ascii="宋体" w:hAnsi="宋体" w:cs="宋体"/>
          <w:b/>
          <w:bCs/>
          <w:color w:val="auto"/>
          <w:sz w:val="24"/>
          <w:lang w:bidi="ar"/>
        </w:rPr>
        <w:t>1.4项目合同管理</w:t>
      </w:r>
    </w:p>
    <w:p w14:paraId="09F422E5">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（1）跟踪检查合同的执行情况，确保承建单位按时履约；</w:t>
      </w:r>
    </w:p>
    <w:p w14:paraId="0642494E">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（2）对合同工期的延误和延期进行审核确认；</w:t>
      </w:r>
    </w:p>
    <w:p w14:paraId="74D646E1">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（3）对合同变更、索赔等事宜进行审核确认；</w:t>
      </w:r>
    </w:p>
    <w:p w14:paraId="48A49D96">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（4）根据合同约定，审核承建单位提交的支付申请，签发付款凭证。</w:t>
      </w:r>
    </w:p>
    <w:p w14:paraId="3A398FB0">
      <w:pPr>
        <w:pageBreakBefore w:val="0"/>
        <w:kinsoku/>
        <w:wordWrap/>
        <w:overflowPunct/>
        <w:topLinePunct w:val="0"/>
        <w:autoSpaceDE/>
        <w:autoSpaceDN/>
        <w:bidi w:val="0"/>
        <w:spacing w:line="560" w:lineRule="exact"/>
        <w:ind w:firstLine="482" w:firstLineChars="200"/>
        <w:jc w:val="left"/>
        <w:rPr>
          <w:rFonts w:ascii="宋体" w:hAnsi="宋体" w:cs="宋体"/>
          <w:b/>
          <w:bCs/>
          <w:color w:val="auto"/>
          <w:sz w:val="24"/>
          <w:lang w:bidi="ar"/>
        </w:rPr>
      </w:pPr>
      <w:r>
        <w:rPr>
          <w:rFonts w:hint="eastAsia" w:ascii="宋体" w:hAnsi="宋体" w:cs="宋体"/>
          <w:b/>
          <w:bCs/>
          <w:color w:val="auto"/>
          <w:sz w:val="24"/>
          <w:lang w:bidi="ar"/>
        </w:rPr>
        <w:t>1.5信息管理/项目文档管理</w:t>
      </w:r>
    </w:p>
    <w:p w14:paraId="67C602A7">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（1）做好监理日记及项目大事记；</w:t>
      </w:r>
    </w:p>
    <w:p w14:paraId="0BA6EF0A">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（2）做好合同批复等各类往来文件的批复和存档；</w:t>
      </w:r>
    </w:p>
    <w:p w14:paraId="4E2FB60A">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（3）做好项目协调会、技术专题会的会议纪要；</w:t>
      </w:r>
    </w:p>
    <w:p w14:paraId="085CC783">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（4）管理好实施期间的各类技术文档；</w:t>
      </w:r>
    </w:p>
    <w:p w14:paraId="36041F67">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（5）项目周报；</w:t>
      </w:r>
    </w:p>
    <w:p w14:paraId="64D361A1">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（6）监理建议书；</w:t>
      </w:r>
    </w:p>
    <w:p w14:paraId="54EAE125">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（7）监理通知；</w:t>
      </w:r>
    </w:p>
    <w:p w14:paraId="79331C9F">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（8）各种会议纪要；</w:t>
      </w:r>
    </w:p>
    <w:p w14:paraId="7D836EC4">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（9）阶段性项目总结；</w:t>
      </w:r>
    </w:p>
    <w:p w14:paraId="0B394826">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（10）各承建单位提交的技术文档。</w:t>
      </w:r>
    </w:p>
    <w:p w14:paraId="4A04D8FB">
      <w:pPr>
        <w:pageBreakBefore w:val="0"/>
        <w:kinsoku/>
        <w:wordWrap/>
        <w:overflowPunct/>
        <w:topLinePunct w:val="0"/>
        <w:autoSpaceDE/>
        <w:autoSpaceDN/>
        <w:bidi w:val="0"/>
        <w:spacing w:line="560" w:lineRule="exact"/>
        <w:ind w:firstLine="482" w:firstLineChars="200"/>
        <w:jc w:val="left"/>
        <w:rPr>
          <w:rFonts w:ascii="宋体" w:hAnsi="宋体" w:cs="宋体"/>
          <w:b/>
          <w:bCs/>
          <w:color w:val="auto"/>
          <w:sz w:val="24"/>
          <w:lang w:bidi="ar"/>
        </w:rPr>
      </w:pPr>
      <w:r>
        <w:rPr>
          <w:rFonts w:hint="eastAsia" w:ascii="宋体" w:hAnsi="宋体" w:cs="宋体"/>
          <w:b/>
          <w:bCs/>
          <w:color w:val="auto"/>
          <w:sz w:val="24"/>
          <w:lang w:bidi="ar"/>
        </w:rPr>
        <w:t>1.6项目协调沟通管理</w:t>
      </w:r>
    </w:p>
    <w:p w14:paraId="18DB9187">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（1）监理单位将根据承建单位编制的计划安排跟踪承建单位的工作情况，及时与业主单位和总包单位进行沟通，形成每周例会会议纪要；</w:t>
      </w:r>
    </w:p>
    <w:p w14:paraId="148E4E8C">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（2）监理单位组织承建单位召开每周例会，重点掌握各阶段实施情况；</w:t>
      </w:r>
    </w:p>
    <w:p w14:paraId="790DD5E5">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（3）监理单位应负责承建单位的平台、线路之间的技术和非技术性协调；</w:t>
      </w:r>
    </w:p>
    <w:p w14:paraId="507B772D">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（4）经业主委托，负责协调本项目所涉及的各承建单位之间的工作关系，并协调解决项目建设过程中的各类纠纷。</w:t>
      </w:r>
    </w:p>
    <w:p w14:paraId="5068FAF8">
      <w:pPr>
        <w:pageBreakBefore w:val="0"/>
        <w:kinsoku/>
        <w:wordWrap/>
        <w:overflowPunct/>
        <w:topLinePunct w:val="0"/>
        <w:autoSpaceDE/>
        <w:autoSpaceDN/>
        <w:bidi w:val="0"/>
        <w:spacing w:line="560" w:lineRule="exact"/>
        <w:ind w:firstLine="482" w:firstLineChars="200"/>
        <w:jc w:val="left"/>
        <w:rPr>
          <w:rFonts w:ascii="宋体" w:hAnsi="宋体" w:cs="宋体"/>
          <w:b/>
          <w:bCs/>
          <w:color w:val="auto"/>
          <w:sz w:val="24"/>
          <w:lang w:bidi="ar"/>
        </w:rPr>
      </w:pPr>
      <w:r>
        <w:rPr>
          <w:rFonts w:hint="eastAsia" w:ascii="宋体" w:hAnsi="宋体" w:cs="宋体"/>
          <w:b/>
          <w:bCs/>
          <w:color w:val="auto"/>
          <w:sz w:val="24"/>
          <w:lang w:bidi="ar"/>
        </w:rPr>
        <w:t>1.7项目安全管理</w:t>
      </w:r>
    </w:p>
    <w:p w14:paraId="1CC84566">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（1）负责项目建设过程中所涉及的政府敏感数据和资料的保护，保证不被非授权使用；</w:t>
      </w:r>
    </w:p>
    <w:p w14:paraId="01D88C88">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（2）负责项目建设施工过程中安全控制，确保不出现安全事故；</w:t>
      </w:r>
    </w:p>
    <w:p w14:paraId="14717415">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（3）要求承建单位制定相应的安全制度，包括进场、安全值班、安全员职责、安全施工、现场消防、货物与材料进库保管、紧急状况调度等；</w:t>
      </w:r>
    </w:p>
    <w:p w14:paraId="01BA6F6A">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（4）落实安全生产责任制，实行承建单位“一把手”负责制。坚持管生产必须管安全的原则，做到值班领导组织召开安全会议并进行定期检查，落实隐蔽整改，把安全措施贯穿于生产的全过程。</w:t>
      </w:r>
    </w:p>
    <w:p w14:paraId="7903BBFB">
      <w:pPr>
        <w:pageBreakBefore w:val="0"/>
        <w:kinsoku/>
        <w:wordWrap/>
        <w:overflowPunct/>
        <w:topLinePunct w:val="0"/>
        <w:autoSpaceDE/>
        <w:autoSpaceDN/>
        <w:bidi w:val="0"/>
        <w:spacing w:line="560" w:lineRule="exact"/>
        <w:ind w:firstLine="482" w:firstLineChars="200"/>
        <w:jc w:val="left"/>
        <w:rPr>
          <w:rFonts w:ascii="宋体" w:hAnsi="宋体" w:cs="宋体"/>
          <w:b/>
          <w:bCs/>
          <w:color w:val="auto"/>
          <w:sz w:val="24"/>
          <w:lang w:bidi="ar"/>
        </w:rPr>
      </w:pPr>
      <w:r>
        <w:rPr>
          <w:rFonts w:hint="eastAsia" w:ascii="宋体" w:hAnsi="宋体" w:cs="宋体"/>
          <w:b/>
          <w:bCs/>
          <w:color w:val="auto"/>
          <w:sz w:val="24"/>
          <w:lang w:bidi="ar"/>
        </w:rPr>
        <w:t>1.8项目知识产权管理</w:t>
      </w:r>
    </w:p>
    <w:p w14:paraId="7960D687">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（1）负责项目建设过程中所产生成果的知识产权保护，保证不被非授权使用；</w:t>
      </w:r>
    </w:p>
    <w:p w14:paraId="21AAFC9C">
      <w:pPr>
        <w:pageBreakBefore w:val="0"/>
        <w:kinsoku/>
        <w:wordWrap/>
        <w:overflowPunct/>
        <w:topLinePunct w:val="0"/>
        <w:autoSpaceDE/>
        <w:autoSpaceDN/>
        <w:bidi w:val="0"/>
        <w:spacing w:line="560" w:lineRule="exact"/>
        <w:ind w:firstLine="480" w:firstLineChars="200"/>
        <w:jc w:val="left"/>
        <w:rPr>
          <w:rFonts w:ascii="宋体" w:hAnsi="宋体" w:cs="宋体"/>
          <w:color w:val="auto"/>
          <w:sz w:val="24"/>
          <w:lang w:bidi="ar"/>
        </w:rPr>
      </w:pPr>
      <w:r>
        <w:rPr>
          <w:rFonts w:hint="eastAsia" w:ascii="宋体" w:hAnsi="宋体" w:cs="宋体"/>
          <w:color w:val="auto"/>
          <w:sz w:val="24"/>
          <w:lang w:bidi="ar"/>
        </w:rPr>
        <w:t>（2）负责项目建设过程中涉及知识产权的产品和系统的使用审核，保证采购人不在本项目建设中出现违反知识产权的行为。</w:t>
      </w:r>
    </w:p>
    <w:p w14:paraId="22948FB7">
      <w:pPr>
        <w:pageBreakBefore w:val="0"/>
        <w:widowControl/>
        <w:numPr>
          <w:ilvl w:val="2"/>
          <w:numId w:val="5"/>
        </w:numPr>
        <w:kinsoku/>
        <w:wordWrap/>
        <w:overflowPunct/>
        <w:topLinePunct w:val="0"/>
        <w:autoSpaceDE/>
        <w:autoSpaceDN/>
        <w:bidi w:val="0"/>
        <w:spacing w:line="560" w:lineRule="exact"/>
        <w:ind w:firstLine="482" w:firstLineChars="200"/>
        <w:rPr>
          <w:rFonts w:ascii="宋体" w:hAnsi="宋体" w:cs="宋体"/>
          <w:b/>
          <w:bCs/>
          <w:color w:val="auto"/>
          <w:sz w:val="24"/>
          <w:szCs w:val="32"/>
        </w:rPr>
      </w:pPr>
      <w:bookmarkStart w:id="40" w:name="_Toc27370"/>
      <w:bookmarkStart w:id="41" w:name="_Toc18584"/>
      <w:bookmarkStart w:id="42" w:name="_Toc59195837"/>
      <w:bookmarkStart w:id="43" w:name="_Toc1970"/>
      <w:bookmarkStart w:id="44" w:name="_Toc12285"/>
      <w:r>
        <w:rPr>
          <w:rFonts w:hint="eastAsia" w:ascii="宋体" w:hAnsi="宋体" w:cs="宋体"/>
          <w:b/>
          <w:bCs/>
          <w:color w:val="auto"/>
          <w:sz w:val="24"/>
          <w:szCs w:val="32"/>
          <w:lang w:val="en-US" w:eastAsia="zh-CN"/>
        </w:rPr>
        <w:t xml:space="preserve">    </w:t>
      </w:r>
      <w:r>
        <w:rPr>
          <w:rFonts w:hint="eastAsia" w:ascii="宋体" w:hAnsi="宋体" w:cs="宋体"/>
          <w:b/>
          <w:bCs/>
          <w:color w:val="auto"/>
          <w:sz w:val="24"/>
          <w:szCs w:val="32"/>
        </w:rPr>
        <w:t>（二）监理工作要求</w:t>
      </w:r>
      <w:bookmarkEnd w:id="40"/>
      <w:bookmarkEnd w:id="41"/>
      <w:bookmarkEnd w:id="42"/>
      <w:bookmarkEnd w:id="43"/>
      <w:bookmarkEnd w:id="44"/>
    </w:p>
    <w:p w14:paraId="07FC6B2B">
      <w:pPr>
        <w:pageBreakBefore w:val="0"/>
        <w:numPr>
          <w:ilvl w:val="0"/>
          <w:numId w:val="0"/>
        </w:numPr>
        <w:kinsoku/>
        <w:wordWrap/>
        <w:overflowPunct/>
        <w:topLinePunct w:val="0"/>
        <w:autoSpaceDE/>
        <w:autoSpaceDN/>
        <w:bidi w:val="0"/>
        <w:spacing w:line="560" w:lineRule="exact"/>
        <w:ind w:firstLine="482" w:firstLineChars="200"/>
        <w:jc w:val="left"/>
        <w:rPr>
          <w:rFonts w:ascii="宋体" w:hAnsi="宋体" w:cs="宋体"/>
          <w:color w:val="auto"/>
        </w:rPr>
      </w:pPr>
      <w:r>
        <w:rPr>
          <w:rFonts w:hint="eastAsia" w:ascii="宋体" w:hAnsi="宋体" w:cs="宋体"/>
          <w:b/>
          <w:bCs/>
          <w:color w:val="auto"/>
          <w:sz w:val="24"/>
          <w:lang w:val="en-US" w:eastAsia="zh-CN" w:bidi="ar"/>
        </w:rPr>
        <w:t>1.</w:t>
      </w:r>
      <w:r>
        <w:rPr>
          <w:rFonts w:hint="eastAsia" w:ascii="宋体" w:hAnsi="宋体" w:cs="宋体"/>
          <w:b/>
          <w:bCs/>
          <w:color w:val="auto"/>
          <w:sz w:val="24"/>
          <w:lang w:bidi="ar"/>
        </w:rPr>
        <w:t>监理单位要求</w:t>
      </w:r>
    </w:p>
    <w:p w14:paraId="45C64AAE">
      <w:pPr>
        <w:pageBreakBefore w:val="0"/>
        <w:kinsoku/>
        <w:wordWrap/>
        <w:overflowPunct/>
        <w:topLinePunct w:val="0"/>
        <w:autoSpaceDE/>
        <w:autoSpaceDN/>
        <w:bidi w:val="0"/>
        <w:spacing w:line="560" w:lineRule="exact"/>
        <w:ind w:firstLine="480" w:firstLineChars="200"/>
        <w:jc w:val="left"/>
        <w:rPr>
          <w:rFonts w:hint="default"/>
          <w:color w:val="auto"/>
          <w:lang w:val="en-US" w:eastAsia="zh-CN"/>
        </w:rPr>
      </w:pPr>
      <w:r>
        <w:rPr>
          <w:rFonts w:hint="eastAsia" w:ascii="宋体" w:hAnsi="宋体" w:cs="宋体"/>
          <w:color w:val="auto"/>
          <w:sz w:val="24"/>
          <w:lang w:bidi="ar"/>
        </w:rPr>
        <w:t>（1）监理单位应该具有信息系统工程监理履约能力；</w:t>
      </w:r>
    </w:p>
    <w:p w14:paraId="6A85A6E9">
      <w:pPr>
        <w:pageBreakBefore w:val="0"/>
        <w:numPr>
          <w:ilvl w:val="0"/>
          <w:numId w:val="0"/>
        </w:numPr>
        <w:kinsoku/>
        <w:wordWrap/>
        <w:overflowPunct/>
        <w:topLinePunct w:val="0"/>
        <w:autoSpaceDE/>
        <w:autoSpaceDN/>
        <w:bidi w:val="0"/>
        <w:spacing w:line="560" w:lineRule="exact"/>
        <w:ind w:firstLine="480" w:firstLineChars="200"/>
        <w:jc w:val="left"/>
        <w:rPr>
          <w:rFonts w:hint="eastAsia" w:ascii="宋体" w:hAnsi="宋体" w:cs="宋体"/>
          <w:color w:val="auto"/>
          <w:sz w:val="24"/>
          <w:lang w:val="en-US" w:eastAsia="zh-CN" w:bidi="ar"/>
        </w:rPr>
      </w:pPr>
      <w:r>
        <w:rPr>
          <w:rFonts w:hint="eastAsia" w:ascii="宋体" w:hAnsi="宋体" w:cs="宋体"/>
          <w:color w:val="auto"/>
          <w:sz w:val="24"/>
          <w:lang w:bidi="ar"/>
        </w:rPr>
        <w:t>（</w:t>
      </w:r>
      <w:r>
        <w:rPr>
          <w:rFonts w:hint="eastAsia" w:ascii="宋体" w:hAnsi="宋体" w:cs="宋体"/>
          <w:color w:val="auto"/>
          <w:sz w:val="24"/>
          <w:lang w:val="en-US" w:eastAsia="zh-CN" w:bidi="ar"/>
        </w:rPr>
        <w:t>2</w:t>
      </w:r>
      <w:r>
        <w:rPr>
          <w:rFonts w:hint="eastAsia" w:ascii="宋体" w:hAnsi="宋体" w:cs="宋体"/>
          <w:color w:val="auto"/>
          <w:sz w:val="24"/>
          <w:lang w:bidi="ar"/>
        </w:rPr>
        <w:t>）</w:t>
      </w:r>
      <w:r>
        <w:rPr>
          <w:rFonts w:hint="eastAsia" w:ascii="宋体" w:hAnsi="宋体" w:cs="宋体"/>
          <w:color w:val="auto"/>
          <w:sz w:val="24"/>
          <w:lang w:val="en-US" w:eastAsia="zh-CN" w:bidi="ar"/>
        </w:rPr>
        <w:t>负责本项目的总监理工程师要求具有人力资源和社会保障部颁发的信息系统监理师证书、系统集成项目管理工程师；负责本项目的总监理工程师代表要求人力资源和社会保障部颁发的信息系统监理师证书、监理工程师；负责本项目的其他监理人员（除总监理工程师、总监理工程师代表外）要求具有人力资源和社会保障部颁发的信息系统监理师证书。</w:t>
      </w:r>
    </w:p>
    <w:p w14:paraId="217B7EEF">
      <w:pPr>
        <w:spacing w:after="0" w:line="360" w:lineRule="exact"/>
        <w:ind w:firstLine="480" w:firstLineChars="200"/>
        <w:jc w:val="left"/>
        <w:rPr>
          <w:rFonts w:cs="宋体" w:asciiTheme="minorEastAsia" w:hAnsiTheme="minorEastAsia" w:eastAsiaTheme="minorEastAsia"/>
          <w:color w:val="auto"/>
          <w:sz w:val="24"/>
        </w:rPr>
      </w:pPr>
      <w:r>
        <w:rPr>
          <w:rFonts w:hint="eastAsia" w:ascii="宋体" w:hAnsi="宋体" w:cs="宋体"/>
          <w:color w:val="auto"/>
          <w:sz w:val="24"/>
          <w:lang w:bidi="ar"/>
        </w:rPr>
        <w:t>（</w:t>
      </w:r>
      <w:r>
        <w:rPr>
          <w:rFonts w:hint="eastAsia" w:ascii="宋体" w:hAnsi="宋体" w:cs="宋体"/>
          <w:color w:val="auto"/>
          <w:sz w:val="24"/>
          <w:lang w:val="en-US" w:eastAsia="zh-CN" w:bidi="ar"/>
        </w:rPr>
        <w:t>3</w:t>
      </w:r>
      <w:r>
        <w:rPr>
          <w:rFonts w:hint="eastAsia" w:ascii="宋体" w:hAnsi="宋体" w:cs="宋体"/>
          <w:color w:val="auto"/>
          <w:sz w:val="24"/>
          <w:lang w:bidi="ar"/>
        </w:rPr>
        <w:t>）</w:t>
      </w:r>
      <w:r>
        <w:rPr>
          <w:rFonts w:hint="eastAsia" w:cs="宋体" w:asciiTheme="minorEastAsia" w:hAnsiTheme="minorEastAsia" w:eastAsiaTheme="minorEastAsia"/>
          <w:color w:val="auto"/>
          <w:sz w:val="24"/>
        </w:rPr>
        <w:t>监理队伍的专业应该涵盖建设项目的各个方面。</w:t>
      </w:r>
    </w:p>
    <w:p w14:paraId="296DDB09">
      <w:pPr>
        <w:pageBreakBefore w:val="0"/>
        <w:kinsoku/>
        <w:wordWrap/>
        <w:overflowPunct/>
        <w:topLinePunct w:val="0"/>
        <w:autoSpaceDE/>
        <w:autoSpaceDN/>
        <w:bidi w:val="0"/>
        <w:spacing w:line="560" w:lineRule="exact"/>
        <w:ind w:firstLine="482" w:firstLineChars="200"/>
        <w:jc w:val="left"/>
        <w:rPr>
          <w:rFonts w:ascii="宋体" w:hAnsi="宋体" w:cs="宋体"/>
          <w:color w:val="auto"/>
          <w:sz w:val="24"/>
          <w:lang w:bidi="ar"/>
        </w:rPr>
      </w:pPr>
      <w:r>
        <w:rPr>
          <w:rFonts w:hint="eastAsia" w:ascii="宋体" w:hAnsi="宋体" w:cs="宋体"/>
          <w:b/>
          <w:bCs/>
          <w:color w:val="auto"/>
          <w:sz w:val="24"/>
        </w:rPr>
        <w:t>▲</w:t>
      </w:r>
      <w:r>
        <w:rPr>
          <w:rFonts w:hint="eastAsia" w:ascii="宋体" w:hAnsi="宋体" w:cs="宋体"/>
          <w:b/>
          <w:bCs/>
          <w:color w:val="auto"/>
          <w:sz w:val="24"/>
          <w:lang w:bidi="ar"/>
        </w:rPr>
        <w:t>项目建设期间常驻工程现场的人员不得少于</w:t>
      </w:r>
      <w:r>
        <w:rPr>
          <w:rFonts w:hint="eastAsia" w:ascii="宋体" w:hAnsi="宋体" w:cs="宋体"/>
          <w:b/>
          <w:bCs/>
          <w:color w:val="auto"/>
          <w:sz w:val="24"/>
          <w:lang w:val="en-US" w:eastAsia="zh-CN" w:bidi="ar"/>
        </w:rPr>
        <w:t>4</w:t>
      </w:r>
      <w:r>
        <w:rPr>
          <w:rFonts w:hint="eastAsia" w:ascii="宋体" w:hAnsi="宋体" w:cs="宋体"/>
          <w:b/>
          <w:bCs/>
          <w:color w:val="auto"/>
          <w:sz w:val="24"/>
          <w:lang w:bidi="ar"/>
        </w:rPr>
        <w:t>人（不得兼项</w:t>
      </w:r>
      <w:r>
        <w:rPr>
          <w:rFonts w:hint="eastAsia" w:ascii="宋体" w:hAnsi="宋体" w:cs="宋体"/>
          <w:b/>
          <w:bCs/>
          <w:color w:val="auto"/>
          <w:sz w:val="24"/>
          <w:lang w:val="en-US" w:eastAsia="zh-CN" w:bidi="ar"/>
        </w:rPr>
        <w:t>其他项目</w:t>
      </w:r>
      <w:r>
        <w:rPr>
          <w:rFonts w:hint="eastAsia" w:ascii="宋体" w:hAnsi="宋体" w:cs="宋体"/>
          <w:b/>
          <w:bCs/>
          <w:color w:val="auto"/>
          <w:sz w:val="24"/>
          <w:lang w:bidi="ar"/>
        </w:rPr>
        <w:t>）。监理人员不得随意</w:t>
      </w:r>
      <w:r>
        <w:rPr>
          <w:rFonts w:hint="eastAsia" w:ascii="宋体" w:hAnsi="宋体" w:cs="宋体"/>
          <w:b/>
          <w:bCs/>
          <w:color w:val="auto"/>
          <w:sz w:val="24"/>
          <w:lang w:val="en-US" w:eastAsia="zh-CN" w:bidi="ar"/>
        </w:rPr>
        <w:t>更</w:t>
      </w:r>
      <w:r>
        <w:rPr>
          <w:rFonts w:hint="eastAsia" w:ascii="宋体" w:hAnsi="宋体" w:cs="宋体"/>
          <w:b/>
          <w:bCs/>
          <w:color w:val="auto"/>
          <w:sz w:val="24"/>
          <w:lang w:bidi="ar"/>
        </w:rPr>
        <w:t>换，如要更换须书面报采购单位同意</w:t>
      </w:r>
      <w:r>
        <w:rPr>
          <w:rFonts w:hint="eastAsia" w:ascii="宋体" w:hAnsi="宋体" w:cs="宋体"/>
          <w:color w:val="auto"/>
          <w:sz w:val="24"/>
          <w:lang w:bidi="ar"/>
        </w:rPr>
        <w:t>。</w:t>
      </w:r>
    </w:p>
    <w:p w14:paraId="2541B810">
      <w:pPr>
        <w:pageBreakBefore w:val="0"/>
        <w:kinsoku/>
        <w:wordWrap/>
        <w:overflowPunct/>
        <w:topLinePunct w:val="0"/>
        <w:autoSpaceDE/>
        <w:autoSpaceDN/>
        <w:bidi w:val="0"/>
        <w:spacing w:line="560" w:lineRule="exact"/>
        <w:ind w:firstLine="482" w:firstLineChars="200"/>
        <w:jc w:val="left"/>
        <w:rPr>
          <w:rFonts w:hint="eastAsia"/>
          <w:color w:val="auto"/>
          <w:lang w:val="en-US" w:eastAsia="zh-CN"/>
        </w:rPr>
      </w:pPr>
      <w:r>
        <w:rPr>
          <w:rFonts w:hint="eastAsia" w:ascii="宋体" w:hAnsi="宋体" w:cs="宋体"/>
          <w:b/>
          <w:bCs/>
          <w:color w:val="auto"/>
          <w:sz w:val="24"/>
        </w:rPr>
        <w:t>▲</w:t>
      </w:r>
      <w:r>
        <w:rPr>
          <w:rFonts w:hint="eastAsia" w:ascii="宋体" w:hAnsi="宋体" w:cs="宋体"/>
          <w:b/>
          <w:bCs/>
          <w:color w:val="auto"/>
          <w:sz w:val="24"/>
          <w:lang w:bidi="ar"/>
        </w:rPr>
        <w:t>项目建设期间，中标方专门用于</w:t>
      </w:r>
      <w:r>
        <w:rPr>
          <w:rFonts w:hint="eastAsia" w:ascii="宋体" w:hAnsi="宋体" w:cs="宋体"/>
          <w:b/>
          <w:bCs/>
          <w:color w:val="auto"/>
          <w:sz w:val="24"/>
          <w:lang w:eastAsia="zh-CN" w:bidi="ar"/>
        </w:rPr>
        <w:t>东阳市公共视频监控建设项目</w:t>
      </w:r>
      <w:r>
        <w:rPr>
          <w:rFonts w:hint="eastAsia" w:ascii="宋体" w:hAnsi="宋体" w:cs="宋体"/>
          <w:b/>
          <w:bCs/>
          <w:color w:val="auto"/>
          <w:sz w:val="24"/>
          <w:lang w:bidi="ar"/>
        </w:rPr>
        <w:t>监理工作的车辆不得少于</w:t>
      </w:r>
      <w:r>
        <w:rPr>
          <w:rFonts w:hint="eastAsia" w:ascii="宋体" w:hAnsi="宋体" w:cs="宋体"/>
          <w:b/>
          <w:bCs/>
          <w:color w:val="auto"/>
          <w:sz w:val="24"/>
          <w:lang w:val="en-US" w:eastAsia="zh-CN" w:bidi="ar"/>
        </w:rPr>
        <w:t>2</w:t>
      </w:r>
      <w:r>
        <w:rPr>
          <w:rFonts w:hint="eastAsia" w:ascii="宋体" w:hAnsi="宋体" w:cs="宋体"/>
          <w:b/>
          <w:bCs/>
          <w:color w:val="auto"/>
          <w:sz w:val="24"/>
          <w:lang w:bidi="ar"/>
        </w:rPr>
        <w:t>辆</w:t>
      </w:r>
      <w:bookmarkStart w:id="45" w:name="OLE_LINK1"/>
      <w:r>
        <w:rPr>
          <w:rFonts w:hint="eastAsia" w:ascii="宋体" w:hAnsi="宋体" w:cs="宋体"/>
          <w:b/>
          <w:bCs/>
          <w:color w:val="auto"/>
          <w:sz w:val="24"/>
          <w:lang w:bidi="ar"/>
        </w:rPr>
        <w:t>（不得兼项</w:t>
      </w:r>
      <w:r>
        <w:rPr>
          <w:rFonts w:hint="eastAsia" w:ascii="宋体" w:hAnsi="宋体" w:cs="宋体"/>
          <w:b/>
          <w:bCs/>
          <w:color w:val="auto"/>
          <w:sz w:val="24"/>
          <w:lang w:val="en-US" w:eastAsia="zh-CN" w:bidi="ar"/>
        </w:rPr>
        <w:t>其他项目</w:t>
      </w:r>
      <w:r>
        <w:rPr>
          <w:rFonts w:hint="eastAsia" w:ascii="宋体" w:hAnsi="宋体" w:cs="宋体"/>
          <w:b/>
          <w:bCs/>
          <w:color w:val="auto"/>
          <w:sz w:val="24"/>
          <w:lang w:bidi="ar"/>
        </w:rPr>
        <w:t>）</w:t>
      </w:r>
      <w:bookmarkEnd w:id="45"/>
      <w:r>
        <w:rPr>
          <w:rFonts w:hint="eastAsia" w:ascii="宋体" w:hAnsi="宋体" w:cs="宋体"/>
          <w:b/>
          <w:bCs/>
          <w:color w:val="auto"/>
          <w:sz w:val="24"/>
          <w:lang w:bidi="ar"/>
        </w:rPr>
        <w:t>。</w:t>
      </w:r>
      <w:r>
        <w:rPr>
          <w:rFonts w:hint="eastAsia"/>
          <w:color w:val="auto"/>
          <w:lang w:val="en-US" w:eastAsia="zh-CN"/>
        </w:rPr>
        <w:t xml:space="preserve">   </w:t>
      </w:r>
    </w:p>
    <w:p w14:paraId="4339CC9C">
      <w:pPr>
        <w:pageBreakBefore w:val="0"/>
        <w:kinsoku/>
        <w:wordWrap/>
        <w:overflowPunct/>
        <w:topLinePunct w:val="0"/>
        <w:autoSpaceDE/>
        <w:autoSpaceDN/>
        <w:bidi w:val="0"/>
        <w:spacing w:line="560" w:lineRule="exact"/>
        <w:ind w:firstLine="482" w:firstLineChars="200"/>
        <w:jc w:val="left"/>
        <w:rPr>
          <w:rFonts w:hint="eastAsia" w:ascii="宋体" w:hAnsi="宋体" w:cs="宋体"/>
          <w:b/>
          <w:bCs/>
          <w:color w:val="auto"/>
          <w:sz w:val="24"/>
          <w:lang w:bidi="ar"/>
        </w:rPr>
      </w:pPr>
      <w:r>
        <w:rPr>
          <w:rFonts w:hint="eastAsia" w:ascii="宋体" w:hAnsi="宋体" w:cs="宋体"/>
          <w:b/>
          <w:bCs/>
          <w:color w:val="auto"/>
          <w:sz w:val="24"/>
        </w:rPr>
        <w:t>▲</w:t>
      </w:r>
      <w:r>
        <w:rPr>
          <w:rFonts w:hint="eastAsia" w:ascii="宋体" w:hAnsi="宋体" w:cs="宋体"/>
          <w:b/>
          <w:bCs/>
          <w:color w:val="auto"/>
          <w:sz w:val="24"/>
          <w:lang w:bidi="ar"/>
        </w:rPr>
        <w:t>本项目要求项目负责人即为本项目总监。项目负责人在实施工程期间不得擅自离开</w:t>
      </w:r>
      <w:r>
        <w:rPr>
          <w:rFonts w:hint="eastAsia" w:ascii="宋体" w:hAnsi="宋体" w:cs="宋体"/>
          <w:b/>
          <w:bCs/>
          <w:color w:val="auto"/>
          <w:sz w:val="24"/>
          <w:lang w:val="en-US" w:eastAsia="zh-CN" w:bidi="ar"/>
        </w:rPr>
        <w:t>东阳</w:t>
      </w:r>
      <w:r>
        <w:rPr>
          <w:rFonts w:hint="eastAsia" w:ascii="宋体" w:hAnsi="宋体" w:cs="宋体"/>
          <w:b/>
          <w:bCs/>
          <w:color w:val="auto"/>
          <w:sz w:val="24"/>
          <w:lang w:bidi="ar"/>
        </w:rPr>
        <w:t>，确需离开的需向采购单位请假并获批准。</w:t>
      </w:r>
    </w:p>
    <w:p w14:paraId="778DDDF9">
      <w:pPr>
        <w:pageBreakBefore w:val="0"/>
        <w:numPr>
          <w:ilvl w:val="0"/>
          <w:numId w:val="0"/>
        </w:numPr>
        <w:kinsoku/>
        <w:wordWrap/>
        <w:overflowPunct/>
        <w:topLinePunct w:val="0"/>
        <w:autoSpaceDE/>
        <w:autoSpaceDN/>
        <w:bidi w:val="0"/>
        <w:spacing w:line="560" w:lineRule="exact"/>
        <w:ind w:firstLine="482" w:firstLineChars="200"/>
        <w:jc w:val="left"/>
        <w:rPr>
          <w:rFonts w:hint="eastAsia" w:ascii="宋体" w:hAnsi="宋体" w:cs="宋体"/>
          <w:b/>
          <w:bCs/>
          <w:color w:val="auto"/>
          <w:sz w:val="24"/>
          <w:lang w:bidi="ar"/>
        </w:rPr>
      </w:pPr>
      <w:r>
        <w:rPr>
          <w:rFonts w:hint="eastAsia" w:ascii="宋体" w:hAnsi="宋体" w:cs="宋体"/>
          <w:b/>
          <w:bCs/>
          <w:color w:val="auto"/>
          <w:sz w:val="24"/>
        </w:rPr>
        <w:t>▲</w:t>
      </w:r>
      <w:r>
        <w:rPr>
          <w:rFonts w:hint="eastAsia" w:ascii="宋体" w:hAnsi="宋体" w:cs="宋体"/>
          <w:b/>
          <w:bCs/>
          <w:color w:val="auto"/>
          <w:sz w:val="24"/>
          <w:lang w:bidi="ar"/>
        </w:rPr>
        <w:t>在项目监理过程中</w:t>
      </w:r>
      <w:r>
        <w:rPr>
          <w:rFonts w:hint="eastAsia" w:ascii="宋体" w:hAnsi="宋体" w:cs="宋体"/>
          <w:b/>
          <w:bCs/>
          <w:color w:val="auto"/>
          <w:sz w:val="24"/>
          <w:lang w:eastAsia="zh-CN" w:bidi="ar"/>
        </w:rPr>
        <w:t>：</w:t>
      </w:r>
      <w:r>
        <w:rPr>
          <w:rFonts w:hint="eastAsia" w:ascii="宋体" w:hAnsi="宋体" w:cs="宋体"/>
          <w:b/>
          <w:bCs/>
          <w:color w:val="auto"/>
          <w:sz w:val="24"/>
          <w:lang w:bidi="ar"/>
        </w:rPr>
        <w:t>本项目总监及总监代表的信息系统监理师证交由采购方保管，至项目终验结束后返还。</w:t>
      </w:r>
    </w:p>
    <w:p w14:paraId="2D7CC9D4">
      <w:pPr>
        <w:pageBreakBefore w:val="0"/>
        <w:numPr>
          <w:ilvl w:val="0"/>
          <w:numId w:val="0"/>
        </w:numPr>
        <w:kinsoku/>
        <w:wordWrap/>
        <w:overflowPunct/>
        <w:topLinePunct w:val="0"/>
        <w:autoSpaceDE/>
        <w:autoSpaceDN/>
        <w:bidi w:val="0"/>
        <w:spacing w:line="560" w:lineRule="exact"/>
        <w:ind w:firstLine="480" w:firstLineChars="200"/>
        <w:jc w:val="left"/>
        <w:rPr>
          <w:rFonts w:ascii="宋体" w:hAnsi="宋体" w:cs="宋体"/>
          <w:color w:val="auto"/>
          <w:sz w:val="24"/>
        </w:rPr>
      </w:pPr>
      <w:r>
        <w:rPr>
          <w:rFonts w:hint="eastAsia" w:ascii="宋体" w:hAnsi="宋体" w:cs="宋体"/>
          <w:color w:val="auto"/>
          <w:sz w:val="24"/>
          <w:lang w:bidi="ar"/>
        </w:rPr>
        <w:t>（</w:t>
      </w:r>
      <w:r>
        <w:rPr>
          <w:rFonts w:hint="eastAsia" w:ascii="宋体" w:hAnsi="宋体" w:cs="宋体"/>
          <w:color w:val="auto"/>
          <w:sz w:val="24"/>
          <w:lang w:val="en-US" w:eastAsia="zh-CN" w:bidi="ar"/>
        </w:rPr>
        <w:t>5</w:t>
      </w:r>
      <w:r>
        <w:rPr>
          <w:rFonts w:hint="eastAsia" w:ascii="宋体" w:hAnsi="宋体" w:cs="宋体"/>
          <w:color w:val="auto"/>
          <w:sz w:val="24"/>
          <w:lang w:bidi="ar"/>
        </w:rPr>
        <w:t>）施工期间，监理项目组按照以下要求进行考核。</w:t>
      </w:r>
    </w:p>
    <w:tbl>
      <w:tblPr>
        <w:tblStyle w:val="4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1236"/>
        <w:gridCol w:w="7575"/>
      </w:tblGrid>
      <w:tr w14:paraId="16C5F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23" w:type="pct"/>
            <w:noWrap/>
            <w:vAlign w:val="center"/>
          </w:tcPr>
          <w:p w14:paraId="165D908C">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hAnsi="宋体" w:cs="宋体"/>
                <w:color w:val="auto"/>
                <w:sz w:val="24"/>
                <w:szCs w:val="24"/>
                <w:lang w:bidi="ar"/>
              </w:rPr>
            </w:pPr>
            <w:r>
              <w:rPr>
                <w:rFonts w:hint="eastAsia" w:ascii="宋体" w:hAnsi="宋体" w:cs="宋体"/>
                <w:color w:val="auto"/>
                <w:sz w:val="24"/>
                <w:szCs w:val="24"/>
                <w:lang w:bidi="ar"/>
              </w:rPr>
              <w:t>序号</w:t>
            </w:r>
          </w:p>
        </w:tc>
        <w:tc>
          <w:tcPr>
            <w:tcW w:w="641" w:type="pct"/>
            <w:noWrap/>
            <w:vAlign w:val="center"/>
          </w:tcPr>
          <w:p w14:paraId="7B8EA2C1">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ascii="宋体" w:hAnsi="宋体" w:cs="宋体"/>
                <w:color w:val="auto"/>
                <w:sz w:val="24"/>
                <w:szCs w:val="24"/>
                <w:lang w:bidi="ar"/>
              </w:rPr>
            </w:pPr>
            <w:r>
              <w:rPr>
                <w:rFonts w:hint="eastAsia" w:ascii="宋体" w:hAnsi="宋体" w:cs="宋体"/>
                <w:color w:val="auto"/>
                <w:sz w:val="24"/>
                <w:szCs w:val="24"/>
                <w:lang w:bidi="ar"/>
              </w:rPr>
              <w:t>考核项目</w:t>
            </w:r>
          </w:p>
        </w:tc>
        <w:tc>
          <w:tcPr>
            <w:tcW w:w="3934" w:type="pct"/>
            <w:noWrap/>
            <w:vAlign w:val="center"/>
          </w:tcPr>
          <w:p w14:paraId="7B9EDEB7">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center"/>
              <w:textAlignment w:val="auto"/>
              <w:rPr>
                <w:rFonts w:ascii="宋体" w:hAnsi="宋体" w:cs="宋体"/>
                <w:color w:val="auto"/>
                <w:sz w:val="24"/>
                <w:szCs w:val="24"/>
                <w:lang w:bidi="ar"/>
              </w:rPr>
            </w:pPr>
            <w:r>
              <w:rPr>
                <w:rFonts w:hint="eastAsia" w:ascii="宋体" w:hAnsi="宋体" w:cs="宋体"/>
                <w:color w:val="auto"/>
                <w:sz w:val="24"/>
                <w:szCs w:val="24"/>
                <w:lang w:bidi="ar"/>
              </w:rPr>
              <w:t>考核标准</w:t>
            </w:r>
          </w:p>
        </w:tc>
      </w:tr>
      <w:tr w14:paraId="001CA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23" w:type="pct"/>
            <w:vMerge w:val="restart"/>
            <w:noWrap/>
            <w:vAlign w:val="center"/>
          </w:tcPr>
          <w:p w14:paraId="34BC30EF">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宋体" w:hAnsi="宋体" w:cs="宋体"/>
                <w:color w:val="auto"/>
                <w:sz w:val="24"/>
                <w:szCs w:val="24"/>
                <w:lang w:bidi="ar"/>
              </w:rPr>
            </w:pPr>
            <w:r>
              <w:rPr>
                <w:rFonts w:hint="eastAsia" w:ascii="宋体" w:hAnsi="宋体" w:cs="宋体"/>
                <w:color w:val="auto"/>
                <w:sz w:val="24"/>
                <w:szCs w:val="24"/>
                <w:lang w:bidi="ar"/>
              </w:rPr>
              <w:t>1</w:t>
            </w:r>
          </w:p>
        </w:tc>
        <w:tc>
          <w:tcPr>
            <w:tcW w:w="641" w:type="pct"/>
            <w:vMerge w:val="restart"/>
            <w:noWrap/>
            <w:vAlign w:val="center"/>
          </w:tcPr>
          <w:p w14:paraId="14241E6A">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ascii="宋体" w:hAnsi="宋体" w:cs="宋体"/>
                <w:color w:val="auto"/>
                <w:sz w:val="24"/>
                <w:szCs w:val="24"/>
                <w:lang w:bidi="ar"/>
              </w:rPr>
            </w:pPr>
            <w:r>
              <w:rPr>
                <w:rFonts w:hint="eastAsia" w:ascii="宋体" w:hAnsi="宋体" w:cs="宋体"/>
                <w:color w:val="auto"/>
                <w:sz w:val="24"/>
                <w:szCs w:val="24"/>
                <w:lang w:bidi="ar"/>
              </w:rPr>
              <w:t>人员组织</w:t>
            </w:r>
          </w:p>
        </w:tc>
        <w:tc>
          <w:tcPr>
            <w:tcW w:w="3934" w:type="pct"/>
            <w:noWrap/>
            <w:vAlign w:val="center"/>
          </w:tcPr>
          <w:p w14:paraId="5CDF3004">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hAnsi="宋体" w:cs="宋体"/>
                <w:color w:val="auto"/>
                <w:sz w:val="24"/>
                <w:szCs w:val="24"/>
                <w:lang w:bidi="ar"/>
              </w:rPr>
            </w:pPr>
            <w:r>
              <w:rPr>
                <w:rFonts w:hint="eastAsia" w:ascii="宋体" w:hAnsi="宋体" w:cs="宋体"/>
                <w:color w:val="auto"/>
                <w:sz w:val="24"/>
                <w:szCs w:val="24"/>
                <w:lang w:bidi="ar"/>
              </w:rPr>
              <w:t>监理单位应根据工程规模特点及合同约定配备监理人员。在监理过程中，项目班子人员调整须经过业主单位书面同意。如擅自调整项目班子人员，发现一次扣3000元；擅自调整项目主要负责人，发现一次扣5000元。</w:t>
            </w:r>
          </w:p>
        </w:tc>
      </w:tr>
      <w:tr w14:paraId="7D0F5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23" w:type="pct"/>
            <w:vMerge w:val="continue"/>
            <w:noWrap/>
            <w:vAlign w:val="center"/>
          </w:tcPr>
          <w:p w14:paraId="03B0E5DC">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center"/>
              <w:textAlignment w:val="auto"/>
              <w:rPr>
                <w:rFonts w:ascii="宋体" w:hAnsi="宋体" w:cs="宋体"/>
                <w:color w:val="auto"/>
                <w:sz w:val="24"/>
                <w:szCs w:val="24"/>
                <w:lang w:bidi="ar"/>
              </w:rPr>
            </w:pPr>
          </w:p>
        </w:tc>
        <w:tc>
          <w:tcPr>
            <w:tcW w:w="641" w:type="pct"/>
            <w:vMerge w:val="continue"/>
            <w:noWrap/>
            <w:vAlign w:val="center"/>
          </w:tcPr>
          <w:p w14:paraId="09AEE1F7">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center"/>
              <w:textAlignment w:val="auto"/>
              <w:rPr>
                <w:rFonts w:ascii="宋体" w:hAnsi="宋体" w:cs="宋体"/>
                <w:color w:val="auto"/>
                <w:sz w:val="24"/>
                <w:szCs w:val="24"/>
                <w:lang w:bidi="ar"/>
              </w:rPr>
            </w:pPr>
          </w:p>
        </w:tc>
        <w:tc>
          <w:tcPr>
            <w:tcW w:w="3934" w:type="pct"/>
            <w:noWrap/>
            <w:vAlign w:val="center"/>
          </w:tcPr>
          <w:p w14:paraId="32982A3F">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hAnsi="宋体" w:cs="宋体"/>
                <w:color w:val="auto"/>
                <w:sz w:val="24"/>
                <w:szCs w:val="24"/>
                <w:lang w:bidi="ar"/>
              </w:rPr>
            </w:pPr>
            <w:r>
              <w:rPr>
                <w:rFonts w:hint="eastAsia" w:ascii="宋体" w:hAnsi="宋体" w:cs="宋体"/>
                <w:color w:val="auto"/>
                <w:sz w:val="24"/>
                <w:szCs w:val="24"/>
                <w:lang w:bidi="ar"/>
              </w:rPr>
              <w:t>1、监理人员应严格遵守上下班时间，原则上与施工时间同步，上班迟到的，每人每次扣200元；上班时间人员不在岗的，每人每次扣款500元；</w:t>
            </w:r>
          </w:p>
          <w:p w14:paraId="459076E5">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hAnsi="宋体" w:cs="宋体"/>
                <w:color w:val="auto"/>
                <w:sz w:val="24"/>
                <w:szCs w:val="24"/>
                <w:lang w:bidi="ar"/>
              </w:rPr>
            </w:pPr>
            <w:r>
              <w:rPr>
                <w:rFonts w:hint="eastAsia" w:ascii="宋体" w:hAnsi="宋体" w:cs="宋体"/>
                <w:color w:val="auto"/>
                <w:sz w:val="24"/>
                <w:szCs w:val="24"/>
                <w:lang w:bidi="ar"/>
              </w:rPr>
              <w:t>2、工作（值班）时间维护专用电话必须由专职维护工作人员接听，无特殊原因不接听电话的，发现一次扣300元；</w:t>
            </w:r>
          </w:p>
          <w:p w14:paraId="6617AFCB">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hAnsi="宋体" w:cs="宋体"/>
                <w:color w:val="auto"/>
                <w:sz w:val="24"/>
                <w:szCs w:val="24"/>
                <w:lang w:bidi="ar"/>
              </w:rPr>
            </w:pPr>
            <w:r>
              <w:rPr>
                <w:rFonts w:hint="eastAsia" w:ascii="宋体" w:hAnsi="宋体" w:cs="宋体"/>
                <w:color w:val="auto"/>
                <w:sz w:val="24"/>
                <w:szCs w:val="24"/>
                <w:lang w:bidi="ar"/>
              </w:rPr>
              <w:t>3、合同约定的车辆或其它工具不到位，每车（其它工具）每天扣款1000元。</w:t>
            </w:r>
          </w:p>
        </w:tc>
      </w:tr>
      <w:tr w14:paraId="481CC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23" w:type="pct"/>
            <w:vMerge w:val="restart"/>
            <w:noWrap/>
            <w:vAlign w:val="center"/>
          </w:tcPr>
          <w:p w14:paraId="6CF5C3D5">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宋体" w:hAnsi="宋体" w:cs="宋体"/>
                <w:color w:val="auto"/>
                <w:sz w:val="24"/>
                <w:szCs w:val="24"/>
                <w:lang w:bidi="ar"/>
              </w:rPr>
            </w:pPr>
            <w:r>
              <w:rPr>
                <w:rFonts w:hint="eastAsia" w:ascii="宋体" w:hAnsi="宋体" w:cs="宋体"/>
                <w:color w:val="auto"/>
                <w:sz w:val="24"/>
                <w:szCs w:val="24"/>
                <w:lang w:bidi="ar"/>
              </w:rPr>
              <w:t>2</w:t>
            </w:r>
          </w:p>
        </w:tc>
        <w:tc>
          <w:tcPr>
            <w:tcW w:w="641" w:type="pct"/>
            <w:vMerge w:val="restart"/>
            <w:noWrap/>
            <w:vAlign w:val="center"/>
          </w:tcPr>
          <w:p w14:paraId="268FE2DE">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ascii="宋体" w:hAnsi="宋体" w:cs="宋体"/>
                <w:color w:val="auto"/>
                <w:sz w:val="24"/>
                <w:szCs w:val="24"/>
                <w:lang w:bidi="ar"/>
              </w:rPr>
            </w:pPr>
            <w:r>
              <w:rPr>
                <w:rFonts w:hint="eastAsia" w:ascii="宋体" w:hAnsi="宋体" w:cs="宋体"/>
                <w:color w:val="auto"/>
                <w:sz w:val="24"/>
                <w:szCs w:val="24"/>
                <w:lang w:bidi="ar"/>
              </w:rPr>
              <w:t>项目管理</w:t>
            </w:r>
          </w:p>
        </w:tc>
        <w:tc>
          <w:tcPr>
            <w:tcW w:w="3934" w:type="pct"/>
            <w:noWrap/>
            <w:vAlign w:val="center"/>
          </w:tcPr>
          <w:p w14:paraId="44A487DC">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hAnsi="宋体" w:cs="宋体"/>
                <w:color w:val="auto"/>
                <w:sz w:val="24"/>
                <w:szCs w:val="24"/>
                <w:lang w:bidi="ar"/>
              </w:rPr>
            </w:pPr>
            <w:r>
              <w:rPr>
                <w:rFonts w:hint="eastAsia" w:ascii="宋体" w:hAnsi="宋体" w:cs="宋体"/>
                <w:color w:val="auto"/>
                <w:sz w:val="24"/>
                <w:szCs w:val="24"/>
                <w:lang w:bidi="ar"/>
              </w:rPr>
              <w:t>监理例会必须定期举行，项目总监或分项监理负责人须按时参加并形成纪要，无故缺席的发现一次扣1000元。</w:t>
            </w:r>
          </w:p>
        </w:tc>
      </w:tr>
      <w:tr w14:paraId="01431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23" w:type="pct"/>
            <w:vMerge w:val="continue"/>
            <w:noWrap/>
            <w:vAlign w:val="center"/>
          </w:tcPr>
          <w:p w14:paraId="6D354B33">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ascii="宋体" w:hAnsi="宋体" w:cs="宋体"/>
                <w:color w:val="auto"/>
                <w:sz w:val="24"/>
                <w:szCs w:val="24"/>
                <w:lang w:bidi="ar"/>
              </w:rPr>
            </w:pPr>
          </w:p>
        </w:tc>
        <w:tc>
          <w:tcPr>
            <w:tcW w:w="641" w:type="pct"/>
            <w:vMerge w:val="continue"/>
            <w:noWrap/>
            <w:vAlign w:val="center"/>
          </w:tcPr>
          <w:p w14:paraId="07B310DA">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ascii="宋体" w:hAnsi="宋体" w:cs="宋体"/>
                <w:color w:val="auto"/>
                <w:sz w:val="24"/>
                <w:szCs w:val="24"/>
                <w:lang w:bidi="ar"/>
              </w:rPr>
            </w:pPr>
          </w:p>
        </w:tc>
        <w:tc>
          <w:tcPr>
            <w:tcW w:w="3934" w:type="pct"/>
            <w:noWrap/>
            <w:vAlign w:val="center"/>
          </w:tcPr>
          <w:p w14:paraId="1475FBCF">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hAnsi="宋体" w:cs="宋体"/>
                <w:color w:val="auto"/>
                <w:sz w:val="24"/>
                <w:szCs w:val="24"/>
                <w:lang w:bidi="ar"/>
              </w:rPr>
            </w:pPr>
            <w:r>
              <w:rPr>
                <w:rFonts w:hint="eastAsia" w:ascii="宋体" w:hAnsi="宋体" w:cs="宋体"/>
                <w:color w:val="auto"/>
                <w:sz w:val="24"/>
                <w:szCs w:val="24"/>
                <w:lang w:bidi="ar"/>
              </w:rPr>
              <w:t>监理单位对于关键工序、隐蔽工程等要旁站，未实施旁站的，发现一次扣500元。现场维护监理对于各类需现场确认的工作，监理人员均应及时到场并对相关资料进行核实，未进行核实的，发现一次扣500元。</w:t>
            </w:r>
          </w:p>
        </w:tc>
      </w:tr>
      <w:tr w14:paraId="345A8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23" w:type="pct"/>
            <w:vMerge w:val="continue"/>
            <w:noWrap/>
            <w:vAlign w:val="center"/>
          </w:tcPr>
          <w:p w14:paraId="18EF2B77">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ascii="宋体" w:hAnsi="宋体" w:cs="宋体"/>
                <w:color w:val="auto"/>
                <w:sz w:val="24"/>
                <w:szCs w:val="24"/>
                <w:lang w:bidi="ar"/>
              </w:rPr>
            </w:pPr>
          </w:p>
        </w:tc>
        <w:tc>
          <w:tcPr>
            <w:tcW w:w="641" w:type="pct"/>
            <w:vMerge w:val="continue"/>
            <w:noWrap/>
            <w:vAlign w:val="center"/>
          </w:tcPr>
          <w:p w14:paraId="500162E3">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ascii="宋体" w:hAnsi="宋体" w:cs="宋体"/>
                <w:color w:val="auto"/>
                <w:sz w:val="24"/>
                <w:szCs w:val="24"/>
                <w:lang w:bidi="ar"/>
              </w:rPr>
            </w:pPr>
          </w:p>
        </w:tc>
        <w:tc>
          <w:tcPr>
            <w:tcW w:w="3934" w:type="pct"/>
            <w:noWrap/>
            <w:vAlign w:val="center"/>
          </w:tcPr>
          <w:p w14:paraId="268E1CBC">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hAnsi="宋体" w:cs="宋体"/>
                <w:color w:val="auto"/>
                <w:sz w:val="24"/>
                <w:szCs w:val="24"/>
                <w:lang w:bidi="ar"/>
              </w:rPr>
            </w:pPr>
            <w:r>
              <w:rPr>
                <w:rFonts w:hint="eastAsia" w:ascii="宋体" w:hAnsi="宋体" w:cs="宋体"/>
                <w:color w:val="auto"/>
                <w:sz w:val="24"/>
                <w:szCs w:val="24"/>
                <w:lang w:bidi="ar"/>
              </w:rPr>
              <w:t>监理人员应对重要部位或工序进行检查，检查发现施工工艺同设计图纸不符，或违反现行规范要求的，要及时采取措施，落实整改。未做到的，每次扣1000元。</w:t>
            </w:r>
          </w:p>
        </w:tc>
      </w:tr>
      <w:tr w14:paraId="6C413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23" w:type="pct"/>
            <w:vMerge w:val="continue"/>
            <w:noWrap/>
            <w:vAlign w:val="center"/>
          </w:tcPr>
          <w:p w14:paraId="5E7F0F25">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ascii="宋体" w:hAnsi="宋体" w:cs="宋体"/>
                <w:color w:val="auto"/>
                <w:sz w:val="24"/>
                <w:szCs w:val="24"/>
                <w:lang w:bidi="ar"/>
              </w:rPr>
            </w:pPr>
          </w:p>
        </w:tc>
        <w:tc>
          <w:tcPr>
            <w:tcW w:w="641" w:type="pct"/>
            <w:vMerge w:val="continue"/>
            <w:noWrap/>
            <w:vAlign w:val="center"/>
          </w:tcPr>
          <w:p w14:paraId="01D064C0">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ascii="宋体" w:hAnsi="宋体" w:cs="宋体"/>
                <w:color w:val="auto"/>
                <w:sz w:val="24"/>
                <w:szCs w:val="24"/>
                <w:lang w:bidi="ar"/>
              </w:rPr>
            </w:pPr>
          </w:p>
        </w:tc>
        <w:tc>
          <w:tcPr>
            <w:tcW w:w="3934" w:type="pct"/>
            <w:noWrap/>
            <w:vAlign w:val="center"/>
          </w:tcPr>
          <w:p w14:paraId="04102D11">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hAnsi="宋体" w:cs="宋体"/>
                <w:color w:val="auto"/>
                <w:sz w:val="24"/>
                <w:szCs w:val="24"/>
                <w:lang w:bidi="ar"/>
              </w:rPr>
            </w:pPr>
            <w:r>
              <w:rPr>
                <w:rFonts w:hint="eastAsia" w:ascii="宋体" w:hAnsi="宋体" w:cs="宋体"/>
                <w:color w:val="auto"/>
                <w:sz w:val="24"/>
                <w:szCs w:val="24"/>
                <w:lang w:bidi="ar"/>
              </w:rPr>
              <w:t>监理单位须配合施工进度，根据总进度计划，要求承建单位提出各分部、分项工程的月度、周的具体计划安排，组织各专业监理工程师审查其可行性并提出意见。未做到的每次扣1000元。</w:t>
            </w:r>
          </w:p>
        </w:tc>
      </w:tr>
      <w:tr w14:paraId="0C437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23" w:type="pct"/>
            <w:vMerge w:val="continue"/>
            <w:noWrap/>
            <w:vAlign w:val="center"/>
          </w:tcPr>
          <w:p w14:paraId="1E9D589D">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ascii="宋体" w:hAnsi="宋体" w:cs="宋体"/>
                <w:color w:val="auto"/>
                <w:sz w:val="24"/>
                <w:szCs w:val="24"/>
                <w:lang w:bidi="ar"/>
              </w:rPr>
            </w:pPr>
          </w:p>
        </w:tc>
        <w:tc>
          <w:tcPr>
            <w:tcW w:w="641" w:type="pct"/>
            <w:vMerge w:val="continue"/>
            <w:noWrap/>
            <w:vAlign w:val="center"/>
          </w:tcPr>
          <w:p w14:paraId="6C866C91">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ascii="宋体" w:hAnsi="宋体" w:cs="宋体"/>
                <w:color w:val="auto"/>
                <w:sz w:val="24"/>
                <w:szCs w:val="24"/>
                <w:lang w:bidi="ar"/>
              </w:rPr>
            </w:pPr>
          </w:p>
        </w:tc>
        <w:tc>
          <w:tcPr>
            <w:tcW w:w="3934" w:type="pct"/>
            <w:noWrap/>
            <w:vAlign w:val="center"/>
          </w:tcPr>
          <w:p w14:paraId="51CFDA73">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hAnsi="宋体" w:cs="宋体"/>
                <w:color w:val="auto"/>
                <w:sz w:val="24"/>
                <w:szCs w:val="24"/>
                <w:lang w:bidi="ar"/>
              </w:rPr>
            </w:pPr>
            <w:r>
              <w:rPr>
                <w:rFonts w:hint="eastAsia" w:ascii="宋体" w:hAnsi="宋体" w:cs="宋体"/>
                <w:color w:val="auto"/>
                <w:sz w:val="24"/>
                <w:szCs w:val="24"/>
                <w:lang w:bidi="ar"/>
              </w:rPr>
              <w:t>监理人员应按时向业主单位提供项目资料，如实记录各家维护单位的维护信息，每月按时提交维护单位考核月报表。未做到的每次扣300元。</w:t>
            </w:r>
          </w:p>
        </w:tc>
      </w:tr>
      <w:tr w14:paraId="00071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23" w:type="pct"/>
            <w:vMerge w:val="continue"/>
            <w:noWrap/>
            <w:vAlign w:val="center"/>
          </w:tcPr>
          <w:p w14:paraId="4F42C2B0">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ascii="宋体" w:hAnsi="宋体" w:cs="宋体"/>
                <w:color w:val="auto"/>
                <w:sz w:val="24"/>
                <w:szCs w:val="24"/>
                <w:lang w:bidi="ar"/>
              </w:rPr>
            </w:pPr>
          </w:p>
        </w:tc>
        <w:tc>
          <w:tcPr>
            <w:tcW w:w="641" w:type="pct"/>
            <w:vMerge w:val="continue"/>
            <w:noWrap/>
            <w:vAlign w:val="center"/>
          </w:tcPr>
          <w:p w14:paraId="126CE897">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ascii="宋体" w:hAnsi="宋体" w:cs="宋体"/>
                <w:color w:val="auto"/>
                <w:sz w:val="24"/>
                <w:szCs w:val="24"/>
                <w:lang w:bidi="ar"/>
              </w:rPr>
            </w:pPr>
          </w:p>
        </w:tc>
        <w:tc>
          <w:tcPr>
            <w:tcW w:w="3934" w:type="pct"/>
            <w:noWrap/>
            <w:vAlign w:val="center"/>
          </w:tcPr>
          <w:p w14:paraId="6E0BAB7E">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hAnsi="宋体" w:cs="宋体"/>
                <w:color w:val="auto"/>
                <w:sz w:val="24"/>
                <w:szCs w:val="24"/>
                <w:lang w:bidi="ar"/>
              </w:rPr>
            </w:pPr>
            <w:r>
              <w:rPr>
                <w:rFonts w:hint="eastAsia" w:ascii="宋体" w:hAnsi="宋体" w:cs="宋体"/>
                <w:color w:val="auto"/>
                <w:sz w:val="24"/>
                <w:szCs w:val="24"/>
                <w:lang w:bidi="ar"/>
              </w:rPr>
              <w:t>维护监理人员应将故障报修信息及时登录维护系统；故障类型核实准确；故障修复及时确认。未做到的每次扣300元。</w:t>
            </w:r>
          </w:p>
        </w:tc>
      </w:tr>
      <w:tr w14:paraId="22177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423" w:type="pct"/>
            <w:vMerge w:val="continue"/>
            <w:noWrap/>
            <w:vAlign w:val="center"/>
          </w:tcPr>
          <w:p w14:paraId="3E5D8485">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ascii="宋体" w:hAnsi="宋体" w:cs="宋体"/>
                <w:color w:val="auto"/>
                <w:sz w:val="24"/>
                <w:szCs w:val="24"/>
                <w:lang w:bidi="ar"/>
              </w:rPr>
            </w:pPr>
          </w:p>
        </w:tc>
        <w:tc>
          <w:tcPr>
            <w:tcW w:w="641" w:type="pct"/>
            <w:vMerge w:val="continue"/>
            <w:noWrap/>
            <w:vAlign w:val="center"/>
          </w:tcPr>
          <w:p w14:paraId="1AB28190">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ascii="宋体" w:hAnsi="宋体" w:cs="宋体"/>
                <w:color w:val="auto"/>
                <w:sz w:val="24"/>
                <w:szCs w:val="24"/>
                <w:lang w:bidi="ar"/>
              </w:rPr>
            </w:pPr>
          </w:p>
        </w:tc>
        <w:tc>
          <w:tcPr>
            <w:tcW w:w="3934" w:type="pct"/>
            <w:noWrap/>
            <w:vAlign w:val="center"/>
          </w:tcPr>
          <w:p w14:paraId="51C44B8D">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hAnsi="宋体" w:cs="宋体"/>
                <w:color w:val="auto"/>
                <w:sz w:val="24"/>
                <w:szCs w:val="24"/>
                <w:lang w:bidi="ar"/>
              </w:rPr>
            </w:pPr>
            <w:r>
              <w:rPr>
                <w:rFonts w:hint="eastAsia" w:ascii="宋体" w:hAnsi="宋体" w:cs="宋体"/>
                <w:color w:val="auto"/>
                <w:sz w:val="24"/>
                <w:szCs w:val="24"/>
                <w:lang w:bidi="ar"/>
              </w:rPr>
              <w:t>维护监理工作中，对前后端设备故障情况掌握不清，每个点位扣款500元；非正常性维护联系单中工作量核查有误的，每次扣款500元。</w:t>
            </w:r>
          </w:p>
        </w:tc>
      </w:tr>
    </w:tbl>
    <w:p w14:paraId="6CC6EB03">
      <w:pPr>
        <w:pageBreakBefore w:val="0"/>
        <w:numPr>
          <w:ilvl w:val="0"/>
          <w:numId w:val="0"/>
        </w:numPr>
        <w:kinsoku/>
        <w:wordWrap/>
        <w:overflowPunct/>
        <w:topLinePunct w:val="0"/>
        <w:autoSpaceDE/>
        <w:autoSpaceDN/>
        <w:bidi w:val="0"/>
        <w:spacing w:line="560" w:lineRule="exact"/>
        <w:ind w:firstLine="482" w:firstLineChars="200"/>
        <w:jc w:val="left"/>
        <w:rPr>
          <w:rFonts w:eastAsiaTheme="minorEastAsia"/>
          <w:b/>
          <w:bCs/>
          <w:color w:val="auto"/>
          <w:sz w:val="24"/>
        </w:rPr>
      </w:pPr>
      <w:r>
        <w:rPr>
          <w:rFonts w:hint="eastAsia" w:eastAsiaTheme="minorEastAsia"/>
          <w:b/>
          <w:bCs/>
          <w:color w:val="auto"/>
          <w:sz w:val="24"/>
          <w:lang w:val="en-US" w:eastAsia="zh-CN"/>
        </w:rPr>
        <w:t>2.</w:t>
      </w:r>
      <w:r>
        <w:rPr>
          <w:rFonts w:eastAsiaTheme="minorEastAsia"/>
          <w:b/>
          <w:bCs/>
          <w:color w:val="auto"/>
          <w:sz w:val="24"/>
        </w:rPr>
        <w:t>监理措施要求</w:t>
      </w:r>
    </w:p>
    <w:p w14:paraId="39A8D985">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2.1质量控制措施</w:t>
      </w:r>
    </w:p>
    <w:p w14:paraId="4F7E0774">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（1）组织措施：建立健全监理组织，完善职责分工和有关质量监督制度，落实质量控制的责任。</w:t>
      </w:r>
    </w:p>
    <w:p w14:paraId="55357FA7">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（2）技术措施：严格事前、事中和事后的质量控制措施。</w:t>
      </w:r>
    </w:p>
    <w:p w14:paraId="769C854E">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（3）经济、合同措施：严格质量检验和验收，不符合合同规定和相关标准规范要求的，建议委托方拒付工程款。</w:t>
      </w:r>
    </w:p>
    <w:p w14:paraId="6FD3EAED">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2.2进度控制措施</w:t>
      </w:r>
    </w:p>
    <w:p w14:paraId="201F1AA0">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（1）组织措施：落实质量控制的责任，建立进度控制协调制度。</w:t>
      </w:r>
    </w:p>
    <w:p w14:paraId="67835973">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（2）技术措施：建立施工进度计划体系；增加并行工作面；采用新工艺、高效能设备缩短工艺过程时间。</w:t>
      </w:r>
    </w:p>
    <w:p w14:paraId="4012BDDC">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（3）经济合同措施：按照合同约定，对由于施工方造成的工期拖延进行必要的经济处罚。</w:t>
      </w:r>
    </w:p>
    <w:p w14:paraId="119E8194">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2.3投资控制措施</w:t>
      </w:r>
    </w:p>
    <w:p w14:paraId="7A3154B0">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（1）组织措施：健全组织体制，明确职能分工，编制各类投资控制程序及实施计划。</w:t>
      </w:r>
    </w:p>
    <w:p w14:paraId="5C3F2E80">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（2）技术措施：收集有关概、预算文件、定额和单价。审核承建单位选用的定额和单价。</w:t>
      </w:r>
    </w:p>
    <w:p w14:paraId="005E3D28">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（3）经济、合同措施：参与合同的修改、补充工作，着重考虑合同对投资的影响。审核承建单位提出的施工用款月计划，每月上报业主。并将上月计划用款与实际用款进行对比，及时了解项目资金动向。</w:t>
      </w:r>
    </w:p>
    <w:p w14:paraId="4C93D78B">
      <w:pPr>
        <w:pageBreakBefore w:val="0"/>
        <w:numPr>
          <w:ilvl w:val="0"/>
          <w:numId w:val="0"/>
        </w:numPr>
        <w:kinsoku/>
        <w:wordWrap/>
        <w:overflowPunct/>
        <w:topLinePunct w:val="0"/>
        <w:autoSpaceDE/>
        <w:autoSpaceDN/>
        <w:bidi w:val="0"/>
        <w:spacing w:line="560" w:lineRule="exact"/>
        <w:ind w:firstLine="482" w:firstLineChars="200"/>
        <w:jc w:val="left"/>
        <w:rPr>
          <w:rFonts w:eastAsiaTheme="minorEastAsia"/>
          <w:b/>
          <w:bCs/>
          <w:color w:val="auto"/>
          <w:sz w:val="24"/>
          <w:u w:val="none"/>
        </w:rPr>
      </w:pPr>
      <w:r>
        <w:rPr>
          <w:rFonts w:hint="eastAsia" w:eastAsiaTheme="minorEastAsia"/>
          <w:b/>
          <w:bCs/>
          <w:color w:val="auto"/>
          <w:sz w:val="24"/>
          <w:u w:val="none"/>
          <w:lang w:val="en-US" w:eastAsia="zh-CN"/>
        </w:rPr>
        <w:t>3.</w:t>
      </w:r>
      <w:r>
        <w:rPr>
          <w:rFonts w:eastAsiaTheme="minorEastAsia"/>
          <w:b/>
          <w:bCs/>
          <w:color w:val="auto"/>
          <w:sz w:val="24"/>
          <w:u w:val="none"/>
        </w:rPr>
        <w:t>监理管理工作要求</w:t>
      </w:r>
    </w:p>
    <w:p w14:paraId="60BCC24A">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3.1施工准备阶段</w:t>
      </w:r>
    </w:p>
    <w:p w14:paraId="0E7268C9">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（1）审查设计和承建单位的资质。</w:t>
      </w:r>
    </w:p>
    <w:p w14:paraId="74FBDD59">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（2）监督检查承建单位质量保证体系和安全技术措施，完善质量管理程序与制度。</w:t>
      </w:r>
    </w:p>
    <w:p w14:paraId="4EEB2A32">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（3）检查设计文件和施工图纸是否符合设计规范和技术标准。</w:t>
      </w:r>
    </w:p>
    <w:p w14:paraId="23612A90">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（4）审查承建单位上报的实施性组织施工设计，对施工方案、材料、仪器仪表设备的组织及保证施工质量、进度等方面措施进行监督，并向业主单位提出监理意见。</w:t>
      </w:r>
    </w:p>
    <w:p w14:paraId="2453A011">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（5）单位工程开工前的复测资料进行检查。</w:t>
      </w:r>
    </w:p>
    <w:p w14:paraId="1798EA19">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（6）审批一般单项工程、单位工程的开工报告，并报指挥部核准备案。</w:t>
      </w:r>
    </w:p>
    <w:p w14:paraId="74F479B9">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3.2施工阶段</w:t>
      </w:r>
    </w:p>
    <w:p w14:paraId="28D0E080">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（1）工程质量监理</w:t>
      </w:r>
    </w:p>
    <w:p w14:paraId="404A147D">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①对所有隐蔽工程在隐蔽以前进行检查和办理签证。</w:t>
      </w:r>
    </w:p>
    <w:p w14:paraId="62EF0852">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②检查确认运送到现场的工程材料、设备、配件的质量、品牌、型号和数量是否与合同相符，以及出厂合格证是否齐备。</w:t>
      </w:r>
    </w:p>
    <w:p w14:paraId="1A51EB5D">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③监督承建单位严格按照施工规范、设计图纸的要求进行施工。</w:t>
      </w:r>
    </w:p>
    <w:p w14:paraId="7A28C2EF">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④监督承建单位认真处理出现的质量问题，作好监理记录。重大质量问题及时通知</w:t>
      </w:r>
      <w:r>
        <w:rPr>
          <w:rFonts w:hint="eastAsia" w:eastAsiaTheme="minorEastAsia"/>
          <w:color w:val="auto"/>
          <w:sz w:val="24"/>
        </w:rPr>
        <w:t>业主</w:t>
      </w:r>
      <w:r>
        <w:rPr>
          <w:rFonts w:eastAsiaTheme="minorEastAsia"/>
          <w:color w:val="auto"/>
          <w:sz w:val="24"/>
        </w:rPr>
        <w:t>。</w:t>
      </w:r>
    </w:p>
    <w:p w14:paraId="59925375">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（2）工程进度监理</w:t>
      </w:r>
    </w:p>
    <w:p w14:paraId="6E07C324">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①监督监理单位按照合同约定和施工进度计划进行施工，审查进度保证措施。</w:t>
      </w:r>
    </w:p>
    <w:p w14:paraId="16DAA0CA">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②对发生延误的工序，帮助查找延期原因，并监督承建单位及时纠正。</w:t>
      </w:r>
    </w:p>
    <w:p w14:paraId="7D0A5FF3">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③建立工程进度台帐，定期向业主汇报进度情况。</w:t>
      </w:r>
    </w:p>
    <w:p w14:paraId="4272B9EF">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（3）工程投资监理</w:t>
      </w:r>
    </w:p>
    <w:p w14:paraId="1C4A36AE">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①每月编制投资控制报表，应注意对影响投资目标实现的长期和短期因素进行分析，及时采取控制措施。</w:t>
      </w:r>
    </w:p>
    <w:p w14:paraId="56D349AD">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②审核材料购货单，及时了解材料价格的变动，审查材料的质量和规格。</w:t>
      </w:r>
    </w:p>
    <w:p w14:paraId="542F52FB">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③现场签认工程量。</w:t>
      </w:r>
    </w:p>
    <w:p w14:paraId="222BF123">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3.3竣工验收阶段</w:t>
      </w:r>
    </w:p>
    <w:p w14:paraId="7E0559E9">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（1）督促承建单位及时整理竣工文件和验收资料，</w:t>
      </w:r>
      <w:r>
        <w:rPr>
          <w:rFonts w:hint="eastAsia" w:eastAsiaTheme="minorEastAsia"/>
          <w:color w:val="auto"/>
          <w:sz w:val="24"/>
        </w:rPr>
        <w:t>检查</w:t>
      </w:r>
      <w:r>
        <w:rPr>
          <w:rFonts w:eastAsiaTheme="minorEastAsia"/>
          <w:color w:val="auto"/>
          <w:sz w:val="24"/>
        </w:rPr>
        <w:t>竣工验收报告，并提出监理意见。</w:t>
      </w:r>
    </w:p>
    <w:p w14:paraId="2E98EEF2">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（2）据承建单位的竣工报告，提供工程质量检验报告。</w:t>
      </w:r>
    </w:p>
    <w:p w14:paraId="6899D291">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（3）审核承建单位编制的工程决算，提出咨询意见。</w:t>
      </w:r>
    </w:p>
    <w:p w14:paraId="7830D0CB">
      <w:pPr>
        <w:pageBreakBefore w:val="0"/>
        <w:numPr>
          <w:ilvl w:val="0"/>
          <w:numId w:val="0"/>
        </w:numPr>
        <w:kinsoku/>
        <w:wordWrap/>
        <w:overflowPunct/>
        <w:topLinePunct w:val="0"/>
        <w:autoSpaceDE/>
        <w:autoSpaceDN/>
        <w:bidi w:val="0"/>
        <w:spacing w:line="560" w:lineRule="exact"/>
        <w:ind w:firstLine="482" w:firstLineChars="200"/>
        <w:jc w:val="left"/>
        <w:rPr>
          <w:rFonts w:eastAsiaTheme="minorEastAsia"/>
          <w:b/>
          <w:bCs/>
          <w:color w:val="auto"/>
          <w:sz w:val="24"/>
        </w:rPr>
      </w:pPr>
      <w:r>
        <w:rPr>
          <w:rFonts w:hint="eastAsia" w:eastAsiaTheme="minorEastAsia"/>
          <w:b/>
          <w:bCs/>
          <w:color w:val="auto"/>
          <w:sz w:val="24"/>
          <w:lang w:val="en-US" w:eastAsia="zh-CN"/>
        </w:rPr>
        <w:t>4.</w:t>
      </w:r>
      <w:r>
        <w:rPr>
          <w:rFonts w:eastAsiaTheme="minorEastAsia"/>
          <w:b/>
          <w:bCs/>
          <w:color w:val="auto"/>
          <w:sz w:val="24"/>
        </w:rPr>
        <w:t>施工阶段的质量控制要求</w:t>
      </w:r>
    </w:p>
    <w:p w14:paraId="582F2D8F">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4.1质量的事前控制</w:t>
      </w:r>
    </w:p>
    <w:p w14:paraId="09FA3BE5">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（1）工程所需材料、设备的检验验收</w:t>
      </w:r>
    </w:p>
    <w:p w14:paraId="30B31DE3">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①承建单位提交工程所需材料、设备交验单，采购人对所列材料设备的数量、型号、产地、技术指标、质量合格证和权威机构的检测报告进行审核检验。</w:t>
      </w:r>
    </w:p>
    <w:p w14:paraId="19F5A657">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②对关键材料、设备进行抽样检验。</w:t>
      </w:r>
    </w:p>
    <w:p w14:paraId="1F7398C6">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③对符合合同约定和技术规范的，由监理工程师签字，同意验收通过。</w:t>
      </w:r>
    </w:p>
    <w:p w14:paraId="29D6D904">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④不符合合同约定和技术规范的，责令整改后，再行验收。</w:t>
      </w:r>
    </w:p>
    <w:p w14:paraId="1C90343E">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（2）施工方案、质保措施的审核</w:t>
      </w:r>
    </w:p>
    <w:p w14:paraId="0890951E">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①承建单位提交施工组织设计或施工方案、质量保证体系。</w:t>
      </w:r>
    </w:p>
    <w:p w14:paraId="6F36C05E">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②采购人依据技术方案设计和相关技术、工程规范对其审核。监理工程签署审核意见。</w:t>
      </w:r>
    </w:p>
    <w:p w14:paraId="0D899696">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（3）签发开工申请、下达开工令</w:t>
      </w:r>
    </w:p>
    <w:p w14:paraId="4CFEBD50">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①由承建单位提交开工申请单，监理工程师签署开工意见。</w:t>
      </w:r>
    </w:p>
    <w:p w14:paraId="353E69FA">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②下达开工令，确定开工日期，由监理工程师、建设方代表签发。</w:t>
      </w:r>
    </w:p>
    <w:p w14:paraId="01BAE0F5">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4.2质量的事中控制</w:t>
      </w:r>
    </w:p>
    <w:p w14:paraId="33983CCD">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（1）施工工艺过程质量控制</w:t>
      </w:r>
    </w:p>
    <w:p w14:paraId="2A4C1B27">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监理单位应该针对本项目的具体特征，制度施工过程的质量控制计划，确定控制手段。</w:t>
      </w:r>
    </w:p>
    <w:p w14:paraId="3236BDB0">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2）对项目的各个阶段或节点进行质量控制，坚持上道阶段或节点不经检验合格不准进入下个阶段或节点的原则。某个阶段或节点完成后，由承建单位出具检验方案，经监理工程师审验同意后，先由承建单位按照检验方案自检，并出具检验报告。</w:t>
      </w:r>
    </w:p>
    <w:p w14:paraId="7C55E490">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（3）隐蔽工程的检查验收</w:t>
      </w:r>
    </w:p>
    <w:p w14:paraId="6120CFA1">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隐蔽工程完成后，在隐蔽前，先由承建单位自检，并出具检验报告和验收通知单，监理方到现场验收，签署验收意见。合格后，才可隐蔽。</w:t>
      </w:r>
    </w:p>
    <w:p w14:paraId="3CCF8E0F">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（4）工程和设计变更处理</w:t>
      </w:r>
    </w:p>
    <w:p w14:paraId="242BBC93">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承建单位提出变更技术和工程设计，必须经监理审核业主同意并签字才能变更。</w:t>
      </w:r>
    </w:p>
    <w:p w14:paraId="2BD4E2B0">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（5）行使质量监督权，下达停工令</w:t>
      </w:r>
    </w:p>
    <w:p w14:paraId="4974C90C">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为保证工程质量，出现下列情况之一者，监理工程师有权指令承建单位停工整改：</w:t>
      </w:r>
    </w:p>
    <w:p w14:paraId="72B221E0">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①工程质量出现问题或问题未得到纠正而继续作业。</w:t>
      </w:r>
    </w:p>
    <w:p w14:paraId="65EA2A34">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②擅自使用未经认可的材料或设备。</w:t>
      </w:r>
    </w:p>
    <w:p w14:paraId="3AE4D8D7">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③擅自将工程转包。</w:t>
      </w:r>
    </w:p>
    <w:p w14:paraId="09BEB890">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（6）质量技术签证</w:t>
      </w:r>
    </w:p>
    <w:p w14:paraId="4378F656">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凡质量、技术方面问题有法律效力的最后签证，只能由项目监理工程师签字。特别情况，可由项目监理组成员初签，最后必须由监理工程师补签方可生效。</w:t>
      </w:r>
    </w:p>
    <w:p w14:paraId="5D64240C">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（7）组织现场质量协调会</w:t>
      </w:r>
    </w:p>
    <w:p w14:paraId="507D7929">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在必要时，由监理工程师组织业主、承建单位、监理人员召开现场质量协调会，协调解决质量问题，会后印发会议纪要。</w:t>
      </w:r>
    </w:p>
    <w:p w14:paraId="41A5636A">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（8）分阶段向业主汇报有关工程质量动态情况。</w:t>
      </w:r>
    </w:p>
    <w:p w14:paraId="0C964372">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4.3质量的事后控制</w:t>
      </w:r>
    </w:p>
    <w:p w14:paraId="06CCCF88">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（1）单项工程竣工验收</w:t>
      </w:r>
    </w:p>
    <w:p w14:paraId="26781E5F">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单项工程完工后，先由施工单项初验合格，再提出验收申请表，分系统测试表，业主和监理签字同意才能进行单项工程竣工验收。验收是进行单项工程系统测试，形成分系统测试报告，质量合格后签署单项工程验收证书。</w:t>
      </w:r>
    </w:p>
    <w:p w14:paraId="6CF6DC5B">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（2）竣工初步验收</w:t>
      </w:r>
    </w:p>
    <w:p w14:paraId="2190980B">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项目竣工初步验收程序如下：</w:t>
      </w:r>
    </w:p>
    <w:p w14:paraId="3A8840BA">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①由承建单位提交竣工初验报验单、工程技术资料、单项工程验收证书、质量签证文件、项目竣工验收方案和系统测试报告等文档资料。</w:t>
      </w:r>
    </w:p>
    <w:p w14:paraId="3D80CC0C">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②项目监理工程师审核竣工图及相关技术资料，组织系统初验，形成初步验收系统测试报告，初验合格，签署初验合格证。初验不合格，由承建单位继续调试。</w:t>
      </w:r>
    </w:p>
    <w:p w14:paraId="318F1DD6">
      <w:pPr>
        <w:pageBreakBefore w:val="0"/>
        <w:numPr>
          <w:ilvl w:val="0"/>
          <w:numId w:val="0"/>
        </w:numPr>
        <w:kinsoku/>
        <w:wordWrap/>
        <w:overflowPunct/>
        <w:topLinePunct w:val="0"/>
        <w:autoSpaceDE/>
        <w:autoSpaceDN/>
        <w:bidi w:val="0"/>
        <w:spacing w:line="560" w:lineRule="exact"/>
        <w:ind w:firstLine="482" w:firstLineChars="200"/>
        <w:jc w:val="left"/>
        <w:rPr>
          <w:rFonts w:eastAsiaTheme="minorEastAsia"/>
          <w:b/>
          <w:bCs/>
          <w:color w:val="auto"/>
          <w:sz w:val="24"/>
        </w:rPr>
      </w:pPr>
      <w:r>
        <w:rPr>
          <w:rFonts w:hint="eastAsia" w:eastAsiaTheme="minorEastAsia"/>
          <w:b/>
          <w:bCs/>
          <w:color w:val="auto"/>
          <w:sz w:val="24"/>
          <w:lang w:val="en-US" w:eastAsia="zh-CN"/>
        </w:rPr>
        <w:t>5.</w:t>
      </w:r>
      <w:r>
        <w:rPr>
          <w:rFonts w:eastAsiaTheme="minorEastAsia"/>
          <w:b/>
          <w:bCs/>
          <w:color w:val="auto"/>
          <w:sz w:val="24"/>
        </w:rPr>
        <w:t>施工阶段的进度控制</w:t>
      </w:r>
    </w:p>
    <w:p w14:paraId="0BD00804">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5.1进度的事前控制</w:t>
      </w:r>
    </w:p>
    <w:p w14:paraId="44AA14DC">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（1）承建单位编制项目实施进度计划，各分项工程、阶段节点的作业时间和完成时间。</w:t>
      </w:r>
    </w:p>
    <w:p w14:paraId="2FA6C1A0">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（2）施工进度计划审核。审核进度计划是否符合合同约定分阶段工期和总工期控制目标的要求，以及与施工方案的协调性和合理性等。</w:t>
      </w:r>
    </w:p>
    <w:p w14:paraId="2F50D9D8">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（3）审核承建单位提交的施工方案，主要审核保证工期，充分利用时间的技术组织措施的可行性、合理性。</w:t>
      </w:r>
    </w:p>
    <w:p w14:paraId="56834043">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5.2进度的事中控制</w:t>
      </w:r>
    </w:p>
    <w:p w14:paraId="102C063F">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u w:val="none"/>
        </w:rPr>
        <w:t>（1）建立反映工程进度的监理</w:t>
      </w:r>
      <w:r>
        <w:rPr>
          <w:rFonts w:eastAsiaTheme="minorEastAsia"/>
          <w:color w:val="auto"/>
          <w:sz w:val="24"/>
        </w:rPr>
        <w:t>日志。</w:t>
      </w:r>
    </w:p>
    <w:p w14:paraId="4D44AB9C">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（2）工程进度的检查，检查计划进度与实际进度的差异情况。</w:t>
      </w:r>
    </w:p>
    <w:p w14:paraId="3844A17B">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（3）进度计量的签证。</w:t>
      </w:r>
    </w:p>
    <w:p w14:paraId="0C84A0E3">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（4）工程进度的动态管理，计划进度与实际进度产生差异时，协助分析产生差异的原因，协助制订进度调整的措施和方案。</w:t>
      </w:r>
    </w:p>
    <w:p w14:paraId="019F36FC">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（5）分阶段向业主汇报工程进度情况。</w:t>
      </w:r>
    </w:p>
    <w:p w14:paraId="69F06B8F">
      <w:pPr>
        <w:pageBreakBefore w:val="0"/>
        <w:kinsoku/>
        <w:wordWrap/>
        <w:overflowPunct/>
        <w:topLinePunct w:val="0"/>
        <w:autoSpaceDE/>
        <w:autoSpaceDN/>
        <w:bidi w:val="0"/>
        <w:spacing w:line="560" w:lineRule="exact"/>
        <w:ind w:firstLine="480" w:firstLineChars="200"/>
        <w:jc w:val="left"/>
        <w:rPr>
          <w:rFonts w:eastAsiaTheme="minorEastAsia"/>
          <w:color w:val="auto"/>
          <w:sz w:val="24"/>
          <w:u w:val="none"/>
        </w:rPr>
      </w:pPr>
      <w:r>
        <w:rPr>
          <w:rFonts w:eastAsiaTheme="minorEastAsia"/>
          <w:color w:val="auto"/>
          <w:sz w:val="24"/>
          <w:u w:val="none"/>
        </w:rPr>
        <w:t>5.3进度的事后控制</w:t>
      </w:r>
    </w:p>
    <w:p w14:paraId="1C023B6F">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（1）实际进度与进度计划产生差异时，在分析基础上，采取措施保证总工期不突破。</w:t>
      </w:r>
    </w:p>
    <w:p w14:paraId="21644A16">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（2）技术措施：缩短工艺时间、减少技术间歇期、实行平行流水立体交叉作业等。</w:t>
      </w:r>
    </w:p>
    <w:p w14:paraId="4BF2DC36">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（3）组织措施：增加作业人数、增加工作班次、延长作业时间。</w:t>
      </w:r>
    </w:p>
    <w:p w14:paraId="0C9DE7C1">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（4）其他措施：改善外部条件、改善劳动条件、奖励激励措施等。</w:t>
      </w:r>
    </w:p>
    <w:p w14:paraId="1641E0CB">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（5）制订总工期突破后的补救措施。</w:t>
      </w:r>
    </w:p>
    <w:p w14:paraId="1AAA53DD">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（6）调整相应的施工计划、设备材料供应和现场施工条件的改善等，在新的条件下，组织新的实施计划。</w:t>
      </w:r>
    </w:p>
    <w:p w14:paraId="03907FB6">
      <w:pPr>
        <w:pageBreakBefore w:val="0"/>
        <w:numPr>
          <w:ilvl w:val="0"/>
          <w:numId w:val="0"/>
        </w:numPr>
        <w:kinsoku/>
        <w:wordWrap/>
        <w:overflowPunct/>
        <w:topLinePunct w:val="0"/>
        <w:autoSpaceDE/>
        <w:autoSpaceDN/>
        <w:bidi w:val="0"/>
        <w:spacing w:line="560" w:lineRule="exact"/>
        <w:ind w:firstLine="482" w:firstLineChars="200"/>
        <w:jc w:val="left"/>
        <w:rPr>
          <w:rFonts w:eastAsiaTheme="minorEastAsia"/>
          <w:b/>
          <w:bCs/>
          <w:color w:val="auto"/>
          <w:sz w:val="24"/>
        </w:rPr>
      </w:pPr>
      <w:r>
        <w:rPr>
          <w:rFonts w:hint="eastAsia" w:eastAsiaTheme="minorEastAsia"/>
          <w:b/>
          <w:bCs/>
          <w:color w:val="auto"/>
          <w:sz w:val="24"/>
          <w:lang w:val="en-US" w:eastAsia="zh-CN"/>
        </w:rPr>
        <w:t>6.</w:t>
      </w:r>
      <w:r>
        <w:rPr>
          <w:rFonts w:eastAsiaTheme="minorEastAsia"/>
          <w:b/>
          <w:bCs/>
          <w:color w:val="auto"/>
          <w:sz w:val="24"/>
        </w:rPr>
        <w:t>施工阶段的投资控制</w:t>
      </w:r>
    </w:p>
    <w:p w14:paraId="0E1BD391">
      <w:pPr>
        <w:pageBreakBefore w:val="0"/>
        <w:kinsoku/>
        <w:wordWrap/>
        <w:overflowPunct/>
        <w:topLinePunct w:val="0"/>
        <w:autoSpaceDE/>
        <w:autoSpaceDN/>
        <w:bidi w:val="0"/>
        <w:spacing w:line="560" w:lineRule="exact"/>
        <w:ind w:firstLine="480" w:firstLineChars="200"/>
        <w:rPr>
          <w:rFonts w:eastAsiaTheme="minorEastAsia"/>
          <w:color w:val="auto"/>
          <w:sz w:val="24"/>
        </w:rPr>
      </w:pPr>
      <w:r>
        <w:rPr>
          <w:rFonts w:eastAsiaTheme="minorEastAsia"/>
          <w:color w:val="auto"/>
          <w:sz w:val="24"/>
        </w:rPr>
        <w:t>工作重点：动态控制、合同执行、以起到事中控制作用，具体包括：</w:t>
      </w:r>
    </w:p>
    <w:p w14:paraId="3A0238FA">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（1）审查施工图预算：根据施工图出图进程及合同价款，跟踪编制施工图预算，以反映最新出图对造价的影响。</w:t>
      </w:r>
    </w:p>
    <w:p w14:paraId="3BF53ACF">
      <w:pPr>
        <w:pageBreakBefore w:val="0"/>
        <w:kinsoku/>
        <w:wordWrap/>
        <w:overflowPunct/>
        <w:topLinePunct w:val="0"/>
        <w:autoSpaceDE/>
        <w:autoSpaceDN/>
        <w:bidi w:val="0"/>
        <w:spacing w:line="560" w:lineRule="exact"/>
        <w:ind w:firstLine="480" w:firstLineChars="200"/>
        <w:jc w:val="left"/>
        <w:rPr>
          <w:rFonts w:eastAsiaTheme="minorEastAsia"/>
          <w:color w:val="auto"/>
          <w:sz w:val="24"/>
        </w:rPr>
      </w:pPr>
      <w:r>
        <w:rPr>
          <w:rFonts w:eastAsiaTheme="minorEastAsia"/>
          <w:color w:val="auto"/>
          <w:sz w:val="24"/>
        </w:rPr>
        <w:t>（2）评估承包人已完成的工程量及所需支付的有关款项，负责编审每月工程进度款及预付款支付的凭证。</w:t>
      </w:r>
    </w:p>
    <w:p w14:paraId="621FA13E">
      <w:pPr>
        <w:pageBreakBefore w:val="0"/>
        <w:kinsoku/>
        <w:wordWrap/>
        <w:overflowPunct/>
        <w:topLinePunct w:val="0"/>
        <w:autoSpaceDE/>
        <w:autoSpaceDN/>
        <w:bidi w:val="0"/>
        <w:spacing w:line="560" w:lineRule="exact"/>
        <w:ind w:firstLine="480" w:firstLineChars="200"/>
        <w:jc w:val="left"/>
        <w:rPr>
          <w:rFonts w:eastAsiaTheme="minorEastAsia"/>
          <w:color w:val="auto"/>
          <w:sz w:val="24"/>
          <w:szCs w:val="24"/>
        </w:rPr>
      </w:pPr>
      <w:r>
        <w:rPr>
          <w:rFonts w:eastAsiaTheme="minorEastAsia"/>
          <w:color w:val="auto"/>
          <w:sz w:val="24"/>
        </w:rPr>
        <w:t>（3）负责设计变更的计算与估算，并审核承包人对设计变更金额所提交的变更清单</w:t>
      </w:r>
      <w:r>
        <w:rPr>
          <w:rFonts w:eastAsiaTheme="minorEastAsia"/>
          <w:color w:val="auto"/>
          <w:sz w:val="24"/>
          <w:szCs w:val="24"/>
        </w:rPr>
        <w:t>，使业主避免不合理的支出。</w:t>
      </w:r>
    </w:p>
    <w:p w14:paraId="7D64A8DE">
      <w:pPr>
        <w:pageBreakBefore w:val="0"/>
        <w:kinsoku/>
        <w:wordWrap/>
        <w:overflowPunct/>
        <w:topLinePunct w:val="0"/>
        <w:autoSpaceDE/>
        <w:autoSpaceDN/>
        <w:bidi w:val="0"/>
        <w:spacing w:line="560" w:lineRule="exact"/>
        <w:ind w:firstLine="480" w:firstLineChars="200"/>
        <w:jc w:val="left"/>
        <w:rPr>
          <w:rFonts w:eastAsiaTheme="minorEastAsia"/>
          <w:color w:val="auto"/>
          <w:sz w:val="24"/>
          <w:szCs w:val="24"/>
        </w:rPr>
      </w:pPr>
      <w:r>
        <w:rPr>
          <w:rFonts w:eastAsiaTheme="minorEastAsia"/>
          <w:color w:val="auto"/>
          <w:sz w:val="24"/>
          <w:szCs w:val="24"/>
        </w:rPr>
        <w:t>（4）负责对材料、设备市场价格的征询及审核，以及工程现场实际费用的审核与签证。</w:t>
      </w:r>
    </w:p>
    <w:p w14:paraId="63BC31F3">
      <w:pPr>
        <w:pStyle w:val="6"/>
        <w:pageBreakBefore w:val="0"/>
        <w:widowControl w:val="0"/>
        <w:numPr>
          <w:ilvl w:val="1"/>
          <w:numId w:val="5"/>
        </w:numPr>
        <w:kinsoku/>
        <w:wordWrap/>
        <w:overflowPunct/>
        <w:topLinePunct w:val="0"/>
        <w:autoSpaceDE/>
        <w:autoSpaceDN/>
        <w:bidi w:val="0"/>
        <w:adjustRightInd/>
        <w:spacing w:before="0" w:after="0" w:line="560" w:lineRule="exact"/>
        <w:ind w:firstLine="482" w:firstLineChars="200"/>
        <w:textAlignment w:val="auto"/>
        <w:rPr>
          <w:rFonts w:hint="eastAsia" w:ascii="宋体" w:hAnsi="宋体" w:eastAsia="宋体" w:cs="宋体"/>
          <w:color w:val="auto"/>
          <w:sz w:val="24"/>
          <w:szCs w:val="24"/>
        </w:rPr>
      </w:pPr>
      <w:bookmarkStart w:id="46" w:name="_Toc4709"/>
      <w:bookmarkStart w:id="47" w:name="_Toc16463"/>
      <w:bookmarkStart w:id="48" w:name="_Toc25973"/>
      <w:bookmarkStart w:id="49" w:name="_Toc10782"/>
      <w:bookmarkStart w:id="50" w:name="_Toc10479"/>
      <w:bookmarkStart w:id="51" w:name="_Toc2430"/>
      <w:bookmarkStart w:id="52" w:name="_Toc59005990"/>
      <w:bookmarkStart w:id="53" w:name="_Toc59195838"/>
      <w:bookmarkStart w:id="54" w:name="_Toc10636"/>
      <w:r>
        <w:rPr>
          <w:rFonts w:hint="eastAsia" w:ascii="宋体" w:hAnsi="宋体" w:eastAsia="宋体" w:cs="宋体"/>
          <w:color w:val="auto"/>
          <w:sz w:val="24"/>
          <w:szCs w:val="24"/>
        </w:rPr>
        <w:t>▲五、商务要求</w:t>
      </w:r>
      <w:bookmarkEnd w:id="46"/>
      <w:bookmarkEnd w:id="47"/>
      <w:bookmarkEnd w:id="48"/>
      <w:bookmarkEnd w:id="49"/>
      <w:bookmarkEnd w:id="50"/>
      <w:bookmarkEnd w:id="51"/>
      <w:bookmarkEnd w:id="52"/>
      <w:bookmarkEnd w:id="53"/>
      <w:bookmarkEnd w:id="54"/>
    </w:p>
    <w:p w14:paraId="60CE9773">
      <w:pPr>
        <w:pageBreakBefore w:val="0"/>
        <w:widowControl w:val="0"/>
        <w:kinsoku/>
        <w:wordWrap/>
        <w:overflowPunct/>
        <w:topLinePunct w:val="0"/>
        <w:autoSpaceDE/>
        <w:autoSpaceDN/>
        <w:bidi w:val="0"/>
        <w:adjustRightInd/>
        <w:spacing w:line="560" w:lineRule="exact"/>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bidi="ar"/>
        </w:rPr>
        <w:t>（一）项目投标报价要求</w:t>
      </w:r>
    </w:p>
    <w:p w14:paraId="6528B677">
      <w:pPr>
        <w:pageBreakBefore w:val="0"/>
        <w:widowControl w:val="0"/>
        <w:kinsoku/>
        <w:wordWrap/>
        <w:overflowPunct/>
        <w:topLinePunct w:val="0"/>
        <w:autoSpaceDE/>
        <w:autoSpaceDN/>
        <w:bidi w:val="0"/>
        <w:adjustRightIn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1.投标方的报价不得超过预算，超过预算的报价为无效标。</w:t>
      </w:r>
    </w:p>
    <w:p w14:paraId="27724882">
      <w:pPr>
        <w:pageBreakBefore w:val="0"/>
        <w:widowControl w:val="0"/>
        <w:kinsoku/>
        <w:wordWrap/>
        <w:overflowPunct/>
        <w:topLinePunct w:val="0"/>
        <w:autoSpaceDE/>
        <w:autoSpaceDN/>
        <w:bidi w:val="0"/>
        <w:adjustRightIn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2.投标报价须包括监理服务费、技术资料费、人员费用、设备（软件）和仪器使用费、利润、保险费、税费等（包含合同中明示或暗示的所有一般风险、责任和义务等所产生的费用），投标人所投报的投标报价为投标人所能承受的整个项目的一次性最终报价，如有漏项，视同已包含在其它项目中，合同总价和单价不做调整。</w:t>
      </w:r>
    </w:p>
    <w:p w14:paraId="1C9AF40D">
      <w:pPr>
        <w:pageBreakBefore w:val="0"/>
        <w:widowControl w:val="0"/>
        <w:kinsoku/>
        <w:wordWrap/>
        <w:overflowPunct/>
        <w:topLinePunct w:val="0"/>
        <w:autoSpaceDE/>
        <w:autoSpaceDN/>
        <w:bidi w:val="0"/>
        <w:adjustRightIn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3.按国家规定由中标人缴纳的各种税收已包含在投标总价内，由中标人向税务机关缴纳。</w:t>
      </w:r>
    </w:p>
    <w:p w14:paraId="0A800509">
      <w:pPr>
        <w:pageBreakBefore w:val="0"/>
        <w:widowControl w:val="0"/>
        <w:kinsoku/>
        <w:wordWrap/>
        <w:overflowPunct/>
        <w:topLinePunct w:val="0"/>
        <w:autoSpaceDE/>
        <w:autoSpaceDN/>
        <w:bidi w:val="0"/>
        <w:adjustRightInd/>
        <w:spacing w:line="560" w:lineRule="exact"/>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bidi="ar"/>
        </w:rPr>
        <w:t>（二）付款方式</w:t>
      </w:r>
    </w:p>
    <w:p w14:paraId="4FBE6273">
      <w:pPr>
        <w:pageBreakBefore w:val="0"/>
        <w:widowControl w:val="0"/>
        <w:kinsoku/>
        <w:wordWrap/>
        <w:overflowPunct/>
        <w:topLinePunct w:val="0"/>
        <w:autoSpaceDE/>
        <w:autoSpaceDN/>
        <w:bidi w:val="0"/>
        <w:adjustRightInd/>
        <w:spacing w:line="560" w:lineRule="exact"/>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1.在合同生效以及具备实施条件后七个工作日内,采购人向中标人支付合同总价的</w:t>
      </w:r>
      <w:r>
        <w:rPr>
          <w:rFonts w:hint="eastAsia" w:ascii="宋体" w:hAnsi="宋体" w:eastAsia="宋体" w:cs="宋体"/>
          <w:color w:val="auto"/>
          <w:sz w:val="24"/>
          <w:szCs w:val="24"/>
          <w:lang w:val="en-US" w:eastAsia="zh-CN" w:bidi="ar"/>
        </w:rPr>
        <w:t>4</w:t>
      </w:r>
      <w:r>
        <w:rPr>
          <w:rFonts w:hint="eastAsia" w:ascii="宋体" w:hAnsi="宋体" w:eastAsia="宋体" w:cs="宋体"/>
          <w:color w:val="auto"/>
          <w:sz w:val="24"/>
          <w:szCs w:val="24"/>
          <w:lang w:bidi="ar"/>
        </w:rPr>
        <w:t>0%作为预付款</w:t>
      </w:r>
      <w:r>
        <w:rPr>
          <w:rFonts w:hint="eastAsia" w:ascii="宋体" w:hAnsi="宋体" w:cs="宋体"/>
          <w:color w:val="auto"/>
          <w:sz w:val="24"/>
          <w:szCs w:val="24"/>
          <w:lang w:eastAsia="zh-CN" w:bidi="ar"/>
        </w:rPr>
        <w:t>，东阳市公共视频监控建设</w:t>
      </w:r>
      <w:r>
        <w:rPr>
          <w:rFonts w:hint="eastAsia" w:ascii="宋体" w:hAnsi="宋体" w:eastAsia="宋体" w:cs="宋体"/>
          <w:color w:val="auto"/>
          <w:sz w:val="24"/>
          <w:szCs w:val="24"/>
          <w:lang w:bidi="ar"/>
        </w:rPr>
        <w:t>项目</w:t>
      </w:r>
      <w:r>
        <w:rPr>
          <w:rFonts w:hint="eastAsia" w:ascii="宋体" w:hAnsi="宋体" w:cs="宋体"/>
          <w:color w:val="auto"/>
          <w:sz w:val="24"/>
          <w:szCs w:val="24"/>
          <w:lang w:val="en-US" w:eastAsia="zh-CN" w:bidi="ar"/>
        </w:rPr>
        <w:t>完成建设</w:t>
      </w:r>
      <w:r>
        <w:rPr>
          <w:rFonts w:hint="eastAsia" w:ascii="宋体" w:hAnsi="宋体" w:eastAsia="宋体" w:cs="宋体"/>
          <w:color w:val="auto"/>
          <w:sz w:val="24"/>
          <w:szCs w:val="24"/>
          <w:lang w:bidi="ar"/>
        </w:rPr>
        <w:t>起七个工作日内支付至合同金额</w:t>
      </w:r>
      <w:r>
        <w:rPr>
          <w:rFonts w:hint="eastAsia" w:ascii="宋体" w:hAnsi="宋体" w:cs="宋体"/>
          <w:color w:val="auto"/>
          <w:sz w:val="24"/>
          <w:szCs w:val="24"/>
          <w:lang w:val="en-US" w:eastAsia="zh-CN" w:bidi="ar"/>
        </w:rPr>
        <w:t>的8</w:t>
      </w:r>
      <w:r>
        <w:rPr>
          <w:rFonts w:hint="eastAsia" w:ascii="宋体" w:hAnsi="宋体" w:eastAsia="宋体" w:cs="宋体"/>
          <w:color w:val="auto"/>
          <w:sz w:val="24"/>
          <w:szCs w:val="24"/>
          <w:lang w:bidi="ar"/>
        </w:rPr>
        <w:t>0</w:t>
      </w:r>
      <w:r>
        <w:rPr>
          <w:rFonts w:hint="eastAsia" w:ascii="宋体" w:hAnsi="宋体" w:cs="宋体"/>
          <w:color w:val="auto"/>
          <w:sz w:val="24"/>
          <w:szCs w:val="24"/>
          <w:lang w:val="en-US" w:eastAsia="zh-CN" w:bidi="ar"/>
        </w:rPr>
        <w:t>%</w:t>
      </w:r>
      <w:r>
        <w:rPr>
          <w:rFonts w:hint="eastAsia" w:ascii="宋体" w:hAnsi="宋体" w:cs="宋体"/>
          <w:color w:val="auto"/>
          <w:sz w:val="24"/>
          <w:szCs w:val="24"/>
          <w:lang w:eastAsia="zh-CN" w:bidi="ar"/>
        </w:rPr>
        <w:t>，</w:t>
      </w:r>
      <w:r>
        <w:rPr>
          <w:rFonts w:hint="eastAsia" w:ascii="宋体" w:hAnsi="宋体" w:cs="宋体"/>
          <w:color w:val="auto"/>
          <w:sz w:val="24"/>
          <w:szCs w:val="24"/>
          <w:lang w:val="en-US" w:eastAsia="zh-CN" w:bidi="ar"/>
        </w:rPr>
        <w:t>项目终验经审计后，支付至合同金额的100</w:t>
      </w:r>
      <w:r>
        <w:rPr>
          <w:rFonts w:hint="eastAsia" w:ascii="宋体" w:hAnsi="宋体" w:eastAsia="宋体" w:cs="宋体"/>
          <w:color w:val="auto"/>
          <w:sz w:val="24"/>
          <w:szCs w:val="24"/>
          <w:lang w:bidi="ar"/>
        </w:rPr>
        <w:t>%。</w:t>
      </w:r>
    </w:p>
    <w:p w14:paraId="6FD9ED67">
      <w:pPr>
        <w:pageBreakBefore w:val="0"/>
        <w:widowControl w:val="0"/>
        <w:kinsoku/>
        <w:wordWrap/>
        <w:overflowPunct/>
        <w:topLinePunct w:val="0"/>
        <w:autoSpaceDE/>
        <w:autoSpaceDN/>
        <w:bidi w:val="0"/>
        <w:adjustRightInd/>
        <w:spacing w:line="560" w:lineRule="exact"/>
        <w:ind w:firstLine="482" w:firstLineChars="200"/>
        <w:textAlignment w:val="auto"/>
        <w:rPr>
          <w:rFonts w:hint="eastAsia" w:ascii="宋体" w:hAnsi="宋体" w:eastAsia="宋体" w:cs="宋体"/>
          <w:b/>
          <w:iCs/>
          <w:color w:val="auto"/>
          <w:sz w:val="24"/>
          <w:szCs w:val="24"/>
        </w:rPr>
      </w:pPr>
      <w:r>
        <w:rPr>
          <w:rFonts w:hint="eastAsia" w:ascii="宋体" w:hAnsi="宋体" w:eastAsia="宋体" w:cs="宋体"/>
          <w:b/>
          <w:iCs/>
          <w:color w:val="auto"/>
          <w:sz w:val="24"/>
          <w:szCs w:val="24"/>
        </w:rPr>
        <w:t>（</w:t>
      </w:r>
      <w:r>
        <w:rPr>
          <w:rFonts w:hint="eastAsia" w:ascii="宋体" w:hAnsi="宋体" w:eastAsia="宋体" w:cs="宋体"/>
          <w:b/>
          <w:iCs/>
          <w:color w:val="auto"/>
          <w:sz w:val="24"/>
          <w:szCs w:val="24"/>
          <w:lang w:eastAsia="zh-CN"/>
        </w:rPr>
        <w:t>三</w:t>
      </w:r>
      <w:r>
        <w:rPr>
          <w:rFonts w:hint="eastAsia" w:ascii="宋体" w:hAnsi="宋体" w:eastAsia="宋体" w:cs="宋体"/>
          <w:b/>
          <w:iCs/>
          <w:color w:val="auto"/>
          <w:sz w:val="24"/>
          <w:szCs w:val="24"/>
        </w:rPr>
        <w:t>）其它说明</w:t>
      </w:r>
    </w:p>
    <w:p w14:paraId="3A3B5E33">
      <w:pPr>
        <w:pageBreakBefore w:val="0"/>
        <w:widowControl w:val="0"/>
        <w:kinsoku/>
        <w:wordWrap/>
        <w:overflowPunct/>
        <w:topLinePunct w:val="0"/>
        <w:autoSpaceDE/>
        <w:autoSpaceDN/>
        <w:bidi w:val="0"/>
        <w:adjustRightInd/>
        <w:spacing w:line="360" w:lineRule="auto"/>
        <w:ind w:firstLine="480" w:firstLineChars="200"/>
        <w:jc w:val="left"/>
        <w:textAlignment w:val="auto"/>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1.中标之后，如发现投标人的投标文件内容有不一致的，以有利于采购人和使用单位的原则执行。</w:t>
      </w:r>
    </w:p>
    <w:p w14:paraId="130B594B">
      <w:pPr>
        <w:spacing w:line="360" w:lineRule="auto"/>
        <w:ind w:firstLine="240" w:firstLineChars="100"/>
        <w:rPr>
          <w:rFonts w:hint="eastAsia" w:ascii="宋体" w:hAnsi="宋体" w:eastAsia="宋体"/>
          <w:b w:val="0"/>
          <w:bCs w:val="0"/>
          <w:strike w:val="0"/>
          <w:dstrike w:val="0"/>
          <w:color w:val="auto"/>
          <w:sz w:val="24"/>
          <w:highlight w:val="none"/>
          <w:lang w:val="en-US" w:eastAsia="zh-CN"/>
        </w:rPr>
      </w:pPr>
      <w:r>
        <w:rPr>
          <w:rFonts w:hint="eastAsia" w:ascii="宋体" w:hAnsi="宋体" w:eastAsia="宋体"/>
          <w:b w:val="0"/>
          <w:bCs w:val="0"/>
          <w:strike w:val="0"/>
          <w:dstrike w:val="0"/>
          <w:color w:val="auto"/>
          <w:sz w:val="24"/>
          <w:highlight w:val="none"/>
          <w:lang w:val="en-US" w:eastAsia="zh-CN"/>
        </w:rPr>
        <w:t>▲</w:t>
      </w:r>
      <w:r>
        <w:rPr>
          <w:rFonts w:hint="eastAsia" w:ascii="宋体" w:hAnsi="宋体"/>
          <w:b w:val="0"/>
          <w:bCs w:val="0"/>
          <w:strike w:val="0"/>
          <w:dstrike w:val="0"/>
          <w:color w:val="auto"/>
          <w:sz w:val="24"/>
          <w:highlight w:val="none"/>
          <w:lang w:val="en-US" w:eastAsia="zh-CN"/>
        </w:rPr>
        <w:t>2.</w:t>
      </w:r>
      <w:r>
        <w:rPr>
          <w:rFonts w:hint="eastAsia" w:ascii="宋体" w:hAnsi="宋体" w:eastAsia="宋体"/>
          <w:b w:val="0"/>
          <w:bCs w:val="0"/>
          <w:strike w:val="0"/>
          <w:dstrike w:val="0"/>
          <w:color w:val="auto"/>
          <w:sz w:val="24"/>
          <w:highlight w:val="none"/>
          <w:lang w:val="en-US" w:eastAsia="zh-CN"/>
        </w:rPr>
        <w:t>中标单位必须在服务期间时采取安全保障措施，服务过程中产生的安全事故及责任均由中标单位自行承担。</w:t>
      </w:r>
    </w:p>
    <w:p w14:paraId="2F78F931">
      <w:pPr>
        <w:spacing w:line="360" w:lineRule="auto"/>
        <w:rPr>
          <w:rFonts w:hint="eastAsia" w:ascii="宋体" w:hAnsi="宋体" w:eastAsia="宋体"/>
          <w:b/>
          <w:bCs/>
          <w:strike w:val="0"/>
          <w:dstrike w:val="0"/>
          <w:color w:val="auto"/>
          <w:sz w:val="24"/>
          <w:highlight w:val="none"/>
          <w:lang w:val="en-US" w:eastAsia="zh-CN"/>
        </w:rPr>
      </w:pPr>
      <w:r>
        <w:rPr>
          <w:rFonts w:hint="eastAsia" w:ascii="宋体" w:hAnsi="宋体"/>
          <w:b/>
          <w:bCs/>
          <w:strike w:val="0"/>
          <w:dstrike w:val="0"/>
          <w:color w:val="auto"/>
          <w:sz w:val="24"/>
          <w:highlight w:val="none"/>
          <w:lang w:val="en-US" w:eastAsia="zh-CN"/>
        </w:rPr>
        <w:t>六、</w:t>
      </w:r>
      <w:r>
        <w:rPr>
          <w:rFonts w:hint="eastAsia" w:ascii="宋体" w:hAnsi="宋体" w:eastAsia="宋体"/>
          <w:b/>
          <w:bCs/>
          <w:strike w:val="0"/>
          <w:dstrike w:val="0"/>
          <w:color w:val="auto"/>
          <w:sz w:val="24"/>
          <w:highlight w:val="none"/>
          <w:lang w:val="en-US" w:eastAsia="zh-CN"/>
        </w:rPr>
        <w:t>保密</w:t>
      </w:r>
    </w:p>
    <w:p w14:paraId="0A1A8335">
      <w:pPr>
        <w:spacing w:line="360" w:lineRule="auto"/>
        <w:ind w:firstLine="240" w:firstLineChars="100"/>
        <w:rPr>
          <w:rFonts w:hint="eastAsia" w:ascii="宋体" w:hAnsi="宋体" w:eastAsia="宋体"/>
          <w:b w:val="0"/>
          <w:bCs w:val="0"/>
          <w:strike w:val="0"/>
          <w:dstrike w:val="0"/>
          <w:color w:val="auto"/>
          <w:sz w:val="24"/>
          <w:highlight w:val="none"/>
          <w:lang w:val="en-US" w:eastAsia="zh-CN"/>
        </w:rPr>
      </w:pPr>
      <w:r>
        <w:rPr>
          <w:rFonts w:hint="eastAsia" w:ascii="宋体" w:hAnsi="宋体" w:eastAsia="宋体"/>
          <w:b w:val="0"/>
          <w:bCs w:val="0"/>
          <w:strike w:val="0"/>
          <w:dstrike w:val="0"/>
          <w:color w:val="auto"/>
          <w:sz w:val="24"/>
          <w:highlight w:val="none"/>
          <w:lang w:val="en-US" w:eastAsia="zh-CN"/>
        </w:rPr>
        <w:t>招投标双方应分别为对方在投标文件和招标文件中涉及的商业和技术等秘密保密，违者应对由此造成的后果承担责任。</w:t>
      </w:r>
    </w:p>
    <w:p w14:paraId="651FFBF5">
      <w:pPr>
        <w:spacing w:line="360" w:lineRule="auto"/>
        <w:rPr>
          <w:rFonts w:hint="eastAsia" w:ascii="宋体" w:hAnsi="宋体" w:eastAsia="宋体"/>
          <w:b/>
          <w:bCs/>
          <w:strike w:val="0"/>
          <w:dstrike w:val="0"/>
          <w:color w:val="auto"/>
          <w:sz w:val="24"/>
          <w:highlight w:val="none"/>
          <w:lang w:val="en-US" w:eastAsia="zh-CN"/>
        </w:rPr>
      </w:pPr>
      <w:r>
        <w:rPr>
          <w:rFonts w:hint="eastAsia" w:ascii="宋体" w:hAnsi="宋体"/>
          <w:b/>
          <w:bCs/>
          <w:strike w:val="0"/>
          <w:dstrike w:val="0"/>
          <w:color w:val="auto"/>
          <w:sz w:val="24"/>
          <w:highlight w:val="none"/>
          <w:lang w:val="en-US" w:eastAsia="zh-CN"/>
        </w:rPr>
        <w:t>七</w:t>
      </w:r>
      <w:r>
        <w:rPr>
          <w:rFonts w:hint="eastAsia" w:ascii="宋体" w:hAnsi="宋体" w:eastAsia="宋体"/>
          <w:b/>
          <w:bCs/>
          <w:strike w:val="0"/>
          <w:dstrike w:val="0"/>
          <w:color w:val="auto"/>
          <w:sz w:val="24"/>
          <w:highlight w:val="none"/>
          <w:lang w:val="en-US" w:eastAsia="zh-CN"/>
        </w:rPr>
        <w:t>、合同的签订</w:t>
      </w:r>
    </w:p>
    <w:p w14:paraId="06F0162C">
      <w:pPr>
        <w:spacing w:line="360" w:lineRule="auto"/>
        <w:ind w:firstLine="240" w:firstLineChars="100"/>
        <w:rPr>
          <w:rFonts w:hint="eastAsia" w:ascii="宋体" w:hAnsi="宋体" w:eastAsia="宋体"/>
          <w:b w:val="0"/>
          <w:bCs w:val="0"/>
          <w:strike w:val="0"/>
          <w:dstrike w:val="0"/>
          <w:color w:val="auto"/>
          <w:sz w:val="24"/>
          <w:highlight w:val="none"/>
          <w:lang w:val="en-US" w:eastAsia="zh-CN"/>
        </w:rPr>
      </w:pPr>
      <w:r>
        <w:rPr>
          <w:rFonts w:hint="eastAsia" w:ascii="宋体" w:hAnsi="宋体" w:eastAsia="宋体"/>
          <w:b w:val="0"/>
          <w:bCs w:val="0"/>
          <w:strike w:val="0"/>
          <w:dstrike w:val="0"/>
          <w:color w:val="auto"/>
          <w:sz w:val="24"/>
          <w:highlight w:val="none"/>
          <w:lang w:val="en-US" w:eastAsia="zh-CN"/>
        </w:rPr>
        <w:t>中标单位在收到《中标通知书》后20日内与东阳市公安局签订合同。</w:t>
      </w:r>
    </w:p>
    <w:p w14:paraId="0DAA5836">
      <w:pPr>
        <w:pStyle w:val="3"/>
        <w:rPr>
          <w:rFonts w:ascii="宋体"/>
          <w:b/>
          <w:color w:val="auto"/>
          <w:sz w:val="24"/>
          <w:highlight w:val="none"/>
        </w:rPr>
      </w:pPr>
    </w:p>
    <w:p w14:paraId="0F31A99F">
      <w:pPr>
        <w:rPr>
          <w:rFonts w:hint="eastAsia" w:ascii="黑体" w:hAnsi="宋体" w:eastAsia="黑体"/>
          <w:b/>
          <w:bCs/>
          <w:color w:val="auto"/>
          <w:sz w:val="32"/>
          <w:szCs w:val="32"/>
          <w:highlight w:val="none"/>
        </w:rPr>
      </w:pPr>
      <w:r>
        <w:rPr>
          <w:rFonts w:hint="eastAsia" w:ascii="黑体" w:hAnsi="宋体" w:eastAsia="黑体"/>
          <w:b/>
          <w:bCs/>
          <w:color w:val="auto"/>
          <w:sz w:val="32"/>
          <w:szCs w:val="32"/>
          <w:highlight w:val="none"/>
        </w:rPr>
        <w:br w:type="page"/>
      </w:r>
    </w:p>
    <w:p w14:paraId="1D1CC322">
      <w:pPr>
        <w:pStyle w:val="26"/>
        <w:snapToGrid w:val="0"/>
        <w:spacing w:before="120" w:after="120" w:line="336" w:lineRule="auto"/>
        <w:jc w:val="center"/>
        <w:outlineLvl w:val="0"/>
        <w:rPr>
          <w:rFonts w:hint="eastAsia" w:ascii="宋体" w:hAnsi="宋体"/>
          <w:b/>
          <w:color w:val="auto"/>
          <w:sz w:val="24"/>
          <w:highlight w:val="none"/>
        </w:rPr>
      </w:pPr>
      <w:r>
        <w:rPr>
          <w:rFonts w:hint="eastAsia" w:ascii="黑体" w:hAnsi="宋体" w:eastAsia="黑体"/>
          <w:b/>
          <w:bCs/>
          <w:color w:val="auto"/>
          <w:sz w:val="32"/>
          <w:szCs w:val="32"/>
          <w:highlight w:val="none"/>
        </w:rPr>
        <w:t>第三章</w:t>
      </w:r>
      <w:r>
        <w:rPr>
          <w:rFonts w:ascii="黑体" w:hAnsi="宋体" w:eastAsia="黑体"/>
          <w:b/>
          <w:bCs/>
          <w:color w:val="auto"/>
          <w:sz w:val="32"/>
          <w:szCs w:val="32"/>
          <w:highlight w:val="none"/>
        </w:rPr>
        <w:t xml:space="preserve">  </w:t>
      </w:r>
      <w:r>
        <w:rPr>
          <w:rFonts w:hint="eastAsia" w:ascii="黑体" w:hAnsi="宋体" w:eastAsia="黑体"/>
          <w:b/>
          <w:bCs/>
          <w:color w:val="auto"/>
          <w:sz w:val="32"/>
          <w:szCs w:val="32"/>
          <w:highlight w:val="none"/>
        </w:rPr>
        <w:t>投标人须知</w:t>
      </w:r>
    </w:p>
    <w:p w14:paraId="4BE7487A">
      <w:pPr>
        <w:snapToGrid w:val="0"/>
        <w:spacing w:beforeLines="50" w:afterLines="50" w:line="360" w:lineRule="auto"/>
        <w:jc w:val="center"/>
        <w:outlineLvl w:val="1"/>
        <w:rPr>
          <w:rFonts w:ascii="宋体"/>
          <w:b/>
          <w:color w:val="auto"/>
          <w:sz w:val="24"/>
          <w:highlight w:val="none"/>
        </w:rPr>
      </w:pPr>
      <w:r>
        <w:rPr>
          <w:rFonts w:hint="eastAsia" w:ascii="宋体" w:hAnsi="宋体"/>
          <w:b/>
          <w:color w:val="auto"/>
          <w:sz w:val="24"/>
          <w:highlight w:val="none"/>
        </w:rPr>
        <w:t>前附表</w:t>
      </w:r>
    </w:p>
    <w:tbl>
      <w:tblPr>
        <w:tblStyle w:val="45"/>
        <w:tblW w:w="924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48"/>
        <w:gridCol w:w="8592"/>
      </w:tblGrid>
      <w:tr w14:paraId="73C2C0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48" w:type="dxa"/>
            <w:tcBorders>
              <w:top w:val="single" w:color="auto" w:sz="4" w:space="0"/>
              <w:bottom w:val="single" w:color="auto" w:sz="4" w:space="0"/>
              <w:right w:val="single" w:color="auto" w:sz="4" w:space="0"/>
            </w:tcBorders>
            <w:vAlign w:val="center"/>
          </w:tcPr>
          <w:p w14:paraId="4AF16A8B">
            <w:pPr>
              <w:snapToGrid w:val="0"/>
              <w:ind w:left="-105" w:leftChars="-50" w:right="-105" w:rightChars="-50"/>
              <w:jc w:val="center"/>
              <w:rPr>
                <w:rFonts w:ascii="宋体"/>
                <w:color w:val="auto"/>
                <w:sz w:val="24"/>
                <w:highlight w:val="none"/>
              </w:rPr>
            </w:pPr>
            <w:r>
              <w:rPr>
                <w:rFonts w:hint="eastAsia" w:ascii="宋体" w:hAnsi="宋体"/>
                <w:color w:val="auto"/>
                <w:sz w:val="24"/>
                <w:highlight w:val="none"/>
              </w:rPr>
              <w:t>序号</w:t>
            </w:r>
          </w:p>
        </w:tc>
        <w:tc>
          <w:tcPr>
            <w:tcW w:w="8592" w:type="dxa"/>
            <w:tcBorders>
              <w:top w:val="single" w:color="auto" w:sz="4" w:space="0"/>
              <w:left w:val="single" w:color="auto" w:sz="4" w:space="0"/>
              <w:bottom w:val="single" w:color="auto" w:sz="4" w:space="0"/>
            </w:tcBorders>
            <w:vAlign w:val="center"/>
          </w:tcPr>
          <w:p w14:paraId="4731E1BD">
            <w:pPr>
              <w:snapToGrid w:val="0"/>
              <w:jc w:val="center"/>
              <w:rPr>
                <w:rFonts w:ascii="宋体"/>
                <w:color w:val="auto"/>
                <w:sz w:val="24"/>
                <w:highlight w:val="none"/>
              </w:rPr>
            </w:pPr>
            <w:r>
              <w:rPr>
                <w:rFonts w:hint="eastAsia" w:ascii="宋体" w:hAnsi="宋体"/>
                <w:color w:val="auto"/>
                <w:sz w:val="24"/>
                <w:highlight w:val="none"/>
              </w:rPr>
              <w:t>内容、要求</w:t>
            </w:r>
          </w:p>
        </w:tc>
      </w:tr>
      <w:tr w14:paraId="61953E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648" w:type="dxa"/>
            <w:tcBorders>
              <w:top w:val="single" w:color="auto" w:sz="4" w:space="0"/>
              <w:bottom w:val="single" w:color="auto" w:sz="4" w:space="0"/>
              <w:right w:val="single" w:color="auto" w:sz="4" w:space="0"/>
            </w:tcBorders>
            <w:vAlign w:val="center"/>
          </w:tcPr>
          <w:p w14:paraId="5420CA59">
            <w:pPr>
              <w:snapToGrid w:val="0"/>
              <w:jc w:val="center"/>
              <w:rPr>
                <w:rFonts w:ascii="宋体"/>
                <w:color w:val="auto"/>
                <w:sz w:val="24"/>
                <w:highlight w:val="none"/>
              </w:rPr>
            </w:pPr>
            <w:r>
              <w:rPr>
                <w:rFonts w:ascii="宋体" w:hAnsi="宋体"/>
                <w:color w:val="auto"/>
                <w:sz w:val="24"/>
                <w:highlight w:val="none"/>
              </w:rPr>
              <w:t>1</w:t>
            </w:r>
          </w:p>
        </w:tc>
        <w:tc>
          <w:tcPr>
            <w:tcW w:w="8592" w:type="dxa"/>
            <w:tcBorders>
              <w:top w:val="single" w:color="auto" w:sz="4" w:space="0"/>
              <w:left w:val="single" w:color="auto" w:sz="4" w:space="0"/>
              <w:bottom w:val="single" w:color="auto" w:sz="4" w:space="0"/>
            </w:tcBorders>
            <w:vAlign w:val="center"/>
          </w:tcPr>
          <w:p w14:paraId="2BB58DC8">
            <w:pPr>
              <w:snapToGrid w:val="0"/>
              <w:jc w:val="left"/>
              <w:rPr>
                <w:rFonts w:hint="eastAsia" w:ascii="宋体" w:eastAsia="宋体"/>
                <w:color w:val="auto"/>
                <w:sz w:val="24"/>
                <w:highlight w:val="none"/>
                <w:lang w:eastAsia="zh-CN"/>
              </w:rPr>
            </w:pPr>
            <w:r>
              <w:rPr>
                <w:rFonts w:hint="eastAsia" w:ascii="宋体" w:hAnsi="宋体"/>
                <w:color w:val="auto"/>
                <w:sz w:val="24"/>
                <w:highlight w:val="none"/>
              </w:rPr>
              <w:t>项目名称：</w:t>
            </w:r>
            <w:r>
              <w:rPr>
                <w:rFonts w:hint="eastAsia" w:ascii="宋体" w:hAnsi="宋体"/>
                <w:color w:val="auto"/>
                <w:sz w:val="24"/>
                <w:highlight w:val="none"/>
                <w:lang w:eastAsia="zh-CN"/>
              </w:rPr>
              <w:t>东阳市公共视频监控项目监理服务</w:t>
            </w:r>
          </w:p>
        </w:tc>
      </w:tr>
      <w:tr w14:paraId="202FF2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48" w:type="dxa"/>
            <w:tcBorders>
              <w:top w:val="single" w:color="auto" w:sz="4" w:space="0"/>
              <w:bottom w:val="single" w:color="auto" w:sz="4" w:space="0"/>
              <w:right w:val="single" w:color="auto" w:sz="4" w:space="0"/>
            </w:tcBorders>
            <w:vAlign w:val="center"/>
          </w:tcPr>
          <w:p w14:paraId="63321321">
            <w:pPr>
              <w:snapToGrid w:val="0"/>
              <w:jc w:val="center"/>
              <w:rPr>
                <w:rFonts w:ascii="宋体"/>
                <w:color w:val="auto"/>
                <w:sz w:val="24"/>
                <w:highlight w:val="none"/>
              </w:rPr>
            </w:pPr>
            <w:r>
              <w:rPr>
                <w:rFonts w:ascii="宋体" w:hAnsi="宋体"/>
                <w:color w:val="auto"/>
                <w:sz w:val="24"/>
                <w:highlight w:val="none"/>
              </w:rPr>
              <w:t>2</w:t>
            </w:r>
          </w:p>
        </w:tc>
        <w:tc>
          <w:tcPr>
            <w:tcW w:w="8592" w:type="dxa"/>
            <w:tcBorders>
              <w:top w:val="single" w:color="auto" w:sz="4" w:space="0"/>
              <w:left w:val="single" w:color="auto" w:sz="4" w:space="0"/>
              <w:bottom w:val="single" w:color="auto" w:sz="4" w:space="0"/>
            </w:tcBorders>
            <w:vAlign w:val="center"/>
          </w:tcPr>
          <w:p w14:paraId="706AAC51">
            <w:pPr>
              <w:keepNext w:val="0"/>
              <w:keepLines w:val="0"/>
              <w:pageBreakBefore w:val="0"/>
              <w:widowControl w:val="0"/>
              <w:shd w:val="clear"/>
              <w:kinsoku/>
              <w:wordWrap/>
              <w:overflowPunct/>
              <w:topLinePunct w:val="0"/>
              <w:bidi w:val="0"/>
              <w:adjustRightInd w:val="0"/>
              <w:spacing w:line="400" w:lineRule="exact"/>
              <w:rPr>
                <w:rFonts w:ascii="宋体" w:hAnsi="宋体" w:cs="宋体"/>
                <w:color w:val="auto"/>
                <w:sz w:val="24"/>
                <w:szCs w:val="24"/>
              </w:rPr>
            </w:pPr>
            <w:r>
              <w:rPr>
                <w:rFonts w:hint="eastAsia" w:ascii="宋体" w:hAnsi="宋体" w:cs="宋体"/>
                <w:color w:val="auto"/>
                <w:sz w:val="24"/>
                <w:szCs w:val="24"/>
              </w:rPr>
              <w:t>投标报价及费用：</w:t>
            </w:r>
          </w:p>
          <w:p w14:paraId="3D019A4E">
            <w:pPr>
              <w:keepNext w:val="0"/>
              <w:keepLines w:val="0"/>
              <w:pageBreakBefore w:val="0"/>
              <w:widowControl w:val="0"/>
              <w:shd w:val="clear"/>
              <w:kinsoku/>
              <w:wordWrap/>
              <w:overflowPunct/>
              <w:topLinePunct w:val="0"/>
              <w:bidi w:val="0"/>
              <w:adjustRightInd w:val="0"/>
              <w:spacing w:line="400" w:lineRule="exact"/>
              <w:rPr>
                <w:rFonts w:ascii="宋体" w:hAnsi="宋体" w:cs="宋体"/>
                <w:color w:val="auto"/>
                <w:sz w:val="24"/>
                <w:szCs w:val="24"/>
              </w:rPr>
            </w:pPr>
            <w:r>
              <w:rPr>
                <w:rFonts w:hint="eastAsia" w:ascii="宋体" w:hAnsi="宋体" w:cs="宋体"/>
                <w:color w:val="auto"/>
                <w:sz w:val="24"/>
                <w:szCs w:val="24"/>
              </w:rPr>
              <w:t>1、本项目投标应以人民币报价。</w:t>
            </w:r>
          </w:p>
          <w:p w14:paraId="1B79A567">
            <w:pPr>
              <w:keepNext w:val="0"/>
              <w:keepLines w:val="0"/>
              <w:pageBreakBefore w:val="0"/>
              <w:widowControl w:val="0"/>
              <w:shd w:val="clear"/>
              <w:kinsoku/>
              <w:wordWrap/>
              <w:overflowPunct/>
              <w:topLinePunct w:val="0"/>
              <w:bidi w:val="0"/>
              <w:adjustRightInd w:val="0"/>
              <w:spacing w:line="400" w:lineRule="exact"/>
              <w:rPr>
                <w:rFonts w:hint="eastAsia" w:ascii="宋体" w:hAnsi="宋体" w:cs="宋体"/>
                <w:color w:val="auto"/>
                <w:sz w:val="24"/>
                <w:szCs w:val="24"/>
              </w:rPr>
            </w:pPr>
            <w:r>
              <w:rPr>
                <w:rFonts w:hint="eastAsia" w:ascii="宋体" w:hAnsi="宋体" w:cs="宋体"/>
                <w:color w:val="auto"/>
                <w:sz w:val="24"/>
                <w:szCs w:val="24"/>
              </w:rPr>
              <w:t>▲2、</w:t>
            </w:r>
            <w:r>
              <w:rPr>
                <w:rFonts w:hint="eastAsia" w:ascii="宋体" w:hAnsi="宋体" w:cs="宋体"/>
                <w:b/>
                <w:bCs/>
                <w:color w:val="auto"/>
                <w:sz w:val="24"/>
                <w:szCs w:val="24"/>
              </w:rPr>
              <w:t>本项目最高限价</w:t>
            </w:r>
            <w:r>
              <w:rPr>
                <w:rFonts w:hint="eastAsia" w:ascii="宋体" w:hAnsi="宋体" w:cs="宋体"/>
                <w:b/>
                <w:bCs/>
                <w:color w:val="auto"/>
                <w:sz w:val="24"/>
                <w:szCs w:val="24"/>
                <w:lang w:val="en-US" w:eastAsia="zh-CN"/>
              </w:rPr>
              <w:t>为40</w:t>
            </w:r>
            <w:r>
              <w:rPr>
                <w:rFonts w:hint="eastAsia" w:ascii="宋体" w:hAnsi="宋体" w:eastAsia="宋体" w:cs="宋体"/>
                <w:b/>
                <w:bCs/>
                <w:color w:val="auto"/>
                <w:sz w:val="24"/>
                <w:szCs w:val="24"/>
              </w:rPr>
              <w:t>万元</w:t>
            </w:r>
            <w:r>
              <w:rPr>
                <w:rFonts w:hint="eastAsia" w:ascii="宋体" w:hAnsi="宋体" w:cs="宋体"/>
                <w:b/>
                <w:bCs/>
                <w:color w:val="auto"/>
                <w:sz w:val="24"/>
                <w:szCs w:val="24"/>
              </w:rPr>
              <w:t>。</w:t>
            </w:r>
            <w:r>
              <w:rPr>
                <w:rFonts w:hint="eastAsia" w:ascii="宋体" w:hAnsi="宋体" w:cs="宋体"/>
                <w:color w:val="auto"/>
                <w:sz w:val="24"/>
                <w:szCs w:val="24"/>
              </w:rPr>
              <w:t>投标单位必须按招标需求的要求报价，并且报价不得高于或等于最高限价，否则作废标处理。</w:t>
            </w:r>
          </w:p>
          <w:p w14:paraId="770B99A5">
            <w:pPr>
              <w:keepNext w:val="0"/>
              <w:keepLines w:val="0"/>
              <w:pageBreakBefore w:val="0"/>
              <w:widowControl w:val="0"/>
              <w:shd w:val="clear"/>
              <w:kinsoku/>
              <w:wordWrap/>
              <w:overflowPunct/>
              <w:topLinePunct w:val="0"/>
              <w:bidi w:val="0"/>
              <w:adjustRightInd w:val="0"/>
              <w:spacing w:line="400" w:lineRule="exact"/>
              <w:rPr>
                <w:rFonts w:hint="eastAsia" w:ascii="宋体" w:hAnsi="宋体" w:cs="宋体"/>
                <w:color w:val="auto"/>
                <w:sz w:val="24"/>
                <w:szCs w:val="24"/>
                <w:lang w:eastAsia="zh-CN"/>
              </w:rPr>
            </w:pPr>
            <w:r>
              <w:rPr>
                <w:rFonts w:hint="eastAsia" w:ascii="宋体" w:hAnsi="宋体" w:cs="宋体"/>
                <w:color w:val="auto"/>
                <w:sz w:val="24"/>
                <w:szCs w:val="24"/>
                <w:lang w:val="en-US" w:eastAsia="zh-CN"/>
              </w:rPr>
              <w:t>3、</w:t>
            </w:r>
            <w:r>
              <w:rPr>
                <w:rFonts w:hint="eastAsia" w:ascii="宋体" w:hAnsi="宋体" w:cs="宋体"/>
                <w:color w:val="auto"/>
                <w:sz w:val="24"/>
                <w:szCs w:val="24"/>
              </w:rPr>
              <w:t>不论投标结果如何，投标人均应自行承担所有与投标有关的全部费用</w:t>
            </w:r>
            <w:r>
              <w:rPr>
                <w:rFonts w:hint="eastAsia" w:ascii="宋体" w:hAnsi="宋体" w:cs="宋体"/>
                <w:color w:val="auto"/>
                <w:sz w:val="24"/>
                <w:szCs w:val="24"/>
                <w:lang w:eastAsia="zh-CN"/>
              </w:rPr>
              <w:t>。</w:t>
            </w:r>
          </w:p>
          <w:p w14:paraId="4677B48E">
            <w:pPr>
              <w:numPr>
                <w:ilvl w:val="0"/>
                <w:numId w:val="0"/>
              </w:numPr>
              <w:snapToGrid w:val="0"/>
              <w:jc w:val="left"/>
              <w:rPr>
                <w:rFonts w:ascii="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投标费用：</w:t>
            </w:r>
            <w:r>
              <w:rPr>
                <w:rFonts w:hint="eastAsia" w:ascii="宋体" w:hAnsi="宋体" w:cs="宋体"/>
                <w:color w:val="auto"/>
                <w:sz w:val="24"/>
                <w:highlight w:val="none"/>
                <w:lang w:eastAsia="zh-CN"/>
              </w:rPr>
              <w:t>泰宇建筑工程技术咨询有限公司</w:t>
            </w:r>
            <w:r>
              <w:rPr>
                <w:rFonts w:hint="eastAsia" w:ascii="宋体" w:hAnsi="宋体" w:cs="宋体"/>
                <w:color w:val="auto"/>
                <w:sz w:val="24"/>
                <w:highlight w:val="none"/>
              </w:rPr>
              <w:t>按本招标文件总则中的第5条向中标单位收取中标服务费，中标单位在领取中标通知书前交纳。</w:t>
            </w:r>
          </w:p>
        </w:tc>
      </w:tr>
      <w:tr w14:paraId="1776F1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648" w:type="dxa"/>
            <w:tcBorders>
              <w:top w:val="single" w:color="auto" w:sz="4" w:space="0"/>
              <w:bottom w:val="single" w:color="auto" w:sz="4" w:space="0"/>
              <w:right w:val="single" w:color="auto" w:sz="4" w:space="0"/>
            </w:tcBorders>
            <w:vAlign w:val="center"/>
          </w:tcPr>
          <w:p w14:paraId="302920C4">
            <w:pPr>
              <w:snapToGrid w:val="0"/>
              <w:jc w:val="center"/>
              <w:rPr>
                <w:rFonts w:ascii="宋体"/>
                <w:color w:val="auto"/>
                <w:sz w:val="24"/>
                <w:highlight w:val="none"/>
              </w:rPr>
            </w:pPr>
            <w:r>
              <w:rPr>
                <w:rFonts w:ascii="宋体" w:hAnsi="宋体"/>
                <w:color w:val="auto"/>
                <w:sz w:val="24"/>
                <w:highlight w:val="none"/>
              </w:rPr>
              <w:t>3</w:t>
            </w:r>
          </w:p>
        </w:tc>
        <w:tc>
          <w:tcPr>
            <w:tcW w:w="8592" w:type="dxa"/>
            <w:tcBorders>
              <w:top w:val="single" w:color="auto" w:sz="4" w:space="0"/>
              <w:left w:val="single" w:color="auto" w:sz="4" w:space="0"/>
              <w:bottom w:val="single" w:color="auto" w:sz="4" w:space="0"/>
            </w:tcBorders>
            <w:vAlign w:val="center"/>
          </w:tcPr>
          <w:p w14:paraId="56D1F46D">
            <w:pPr>
              <w:snapToGrid w:val="0"/>
              <w:jc w:val="left"/>
              <w:rPr>
                <w:rFonts w:ascii="宋体"/>
                <w:color w:val="auto"/>
                <w:sz w:val="24"/>
                <w:highlight w:val="none"/>
              </w:rPr>
            </w:pPr>
            <w:r>
              <w:rPr>
                <w:rFonts w:hint="eastAsia" w:ascii="宋体" w:hAnsi="宋体" w:cs="宋体"/>
                <w:color w:val="auto"/>
                <w:sz w:val="24"/>
                <w:highlight w:val="none"/>
              </w:rPr>
              <w:t>本项目已对中小微进行预留，不再重复享受价格扣除的优惠政策。</w:t>
            </w:r>
          </w:p>
        </w:tc>
      </w:tr>
      <w:tr w14:paraId="321338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648" w:type="dxa"/>
            <w:tcBorders>
              <w:top w:val="single" w:color="auto" w:sz="4" w:space="0"/>
              <w:bottom w:val="single" w:color="auto" w:sz="4" w:space="0"/>
              <w:right w:val="single" w:color="auto" w:sz="4" w:space="0"/>
            </w:tcBorders>
            <w:vAlign w:val="center"/>
          </w:tcPr>
          <w:p w14:paraId="109B6243">
            <w:pPr>
              <w:snapToGrid w:val="0"/>
              <w:jc w:val="center"/>
              <w:rPr>
                <w:rFonts w:ascii="宋体"/>
                <w:color w:val="auto"/>
                <w:sz w:val="24"/>
                <w:highlight w:val="none"/>
              </w:rPr>
            </w:pPr>
            <w:r>
              <w:rPr>
                <w:rFonts w:ascii="宋体" w:hAnsi="宋体"/>
                <w:color w:val="auto"/>
                <w:sz w:val="24"/>
                <w:highlight w:val="none"/>
              </w:rPr>
              <w:t>4</w:t>
            </w:r>
          </w:p>
        </w:tc>
        <w:tc>
          <w:tcPr>
            <w:tcW w:w="8592" w:type="dxa"/>
            <w:tcBorders>
              <w:top w:val="single" w:color="auto" w:sz="4" w:space="0"/>
              <w:left w:val="single" w:color="auto" w:sz="4" w:space="0"/>
              <w:bottom w:val="single" w:color="auto" w:sz="4" w:space="0"/>
            </w:tcBorders>
            <w:vAlign w:val="center"/>
          </w:tcPr>
          <w:p w14:paraId="1F3407AF">
            <w:pPr>
              <w:snapToGrid w:val="0"/>
              <w:rPr>
                <w:rFonts w:ascii="宋体"/>
                <w:color w:val="auto"/>
                <w:sz w:val="24"/>
                <w:highlight w:val="none"/>
              </w:rPr>
            </w:pPr>
            <w:r>
              <w:rPr>
                <w:rFonts w:hint="eastAsia" w:ascii="宋体" w:hAnsi="宋体"/>
                <w:color w:val="auto"/>
                <w:sz w:val="24"/>
                <w:highlight w:val="none"/>
              </w:rPr>
              <w:t>答疑与澄清：投标人如认为招标文件表述不清晰、存在歧视性、排他性或者其他违法内容的，应当</w:t>
            </w:r>
            <w:r>
              <w:rPr>
                <w:rFonts w:hint="eastAsia" w:ascii="宋体" w:hAnsi="宋体"/>
                <w:color w:val="auto"/>
                <w:sz w:val="24"/>
                <w:highlight w:val="none"/>
                <w:shd w:val="clear" w:color="auto" w:fill="FFFFFF"/>
              </w:rPr>
              <w:t>于</w:t>
            </w:r>
            <w:r>
              <w:rPr>
                <w:rFonts w:hint="eastAsia" w:ascii="宋体" w:hAnsi="宋体"/>
                <w:b/>
                <w:bCs/>
                <w:color w:val="auto"/>
                <w:sz w:val="24"/>
                <w:highlight w:val="none"/>
                <w:u w:val="single"/>
                <w:shd w:val="clear" w:color="auto" w:fill="FFFFFF"/>
              </w:rPr>
              <w:t>质疑期限届满之日</w:t>
            </w:r>
            <w:r>
              <w:rPr>
                <w:rFonts w:hint="eastAsia" w:ascii="宋体" w:hAnsi="宋体"/>
                <w:color w:val="auto"/>
                <w:sz w:val="24"/>
                <w:highlight w:val="none"/>
                <w:shd w:val="clear" w:color="auto" w:fill="FFFFFF"/>
              </w:rPr>
              <w:t>前，</w:t>
            </w:r>
            <w:r>
              <w:rPr>
                <w:rFonts w:hint="eastAsia" w:ascii="宋体" w:hAnsi="宋体"/>
                <w:color w:val="auto"/>
                <w:sz w:val="24"/>
                <w:highlight w:val="none"/>
              </w:rPr>
              <w:t>以书面形式要求招标采购单位作出书面解释、澄清或者向招标采购单位提出书面质疑（</w:t>
            </w:r>
            <w:r>
              <w:rPr>
                <w:rFonts w:hint="eastAsia" w:ascii="宋体" w:hAnsi="宋体"/>
                <w:b/>
                <w:color w:val="auto"/>
                <w:sz w:val="24"/>
                <w:highlight w:val="none"/>
              </w:rPr>
              <w:t>超过此规定时间的质疑函将不予受理）</w:t>
            </w:r>
            <w:r>
              <w:rPr>
                <w:rFonts w:hint="eastAsia" w:ascii="宋体" w:hAnsi="宋体"/>
                <w:color w:val="auto"/>
                <w:sz w:val="24"/>
                <w:highlight w:val="none"/>
              </w:rPr>
              <w:t>；招标采购单位将于</w:t>
            </w:r>
            <w:r>
              <w:rPr>
                <w:rFonts w:hint="eastAsia" w:ascii="宋体" w:hAnsi="宋体"/>
                <w:b/>
                <w:bCs/>
                <w:color w:val="auto"/>
                <w:sz w:val="24"/>
                <w:highlight w:val="none"/>
                <w:u w:val="single"/>
                <w:shd w:val="clear" w:color="auto" w:fill="FFFFFF"/>
              </w:rPr>
              <w:t>答疑期限届满之日</w:t>
            </w:r>
            <w:r>
              <w:rPr>
                <w:rFonts w:hint="eastAsia" w:ascii="宋体" w:hAnsi="宋体"/>
                <w:b/>
                <w:bCs/>
                <w:color w:val="auto"/>
                <w:sz w:val="24"/>
                <w:highlight w:val="none"/>
                <w:shd w:val="clear" w:color="auto" w:fill="FFFFFF"/>
              </w:rPr>
              <w:t>前</w:t>
            </w:r>
            <w:r>
              <w:rPr>
                <w:rFonts w:hint="eastAsia" w:ascii="宋体" w:hAnsi="宋体"/>
                <w:color w:val="auto"/>
                <w:sz w:val="24"/>
                <w:highlight w:val="none"/>
                <w:shd w:val="clear" w:color="auto" w:fill="FFFFFF"/>
              </w:rPr>
              <w:t>将答疑内容以传真或网上发布公告的形式通知所有已报名的投标人；答疑内容是招标</w:t>
            </w:r>
            <w:r>
              <w:rPr>
                <w:rFonts w:hint="eastAsia" w:ascii="宋体" w:hAnsi="宋体"/>
                <w:color w:val="auto"/>
                <w:sz w:val="24"/>
                <w:highlight w:val="none"/>
              </w:rPr>
              <w:t>文件的组成部分；因其他紧急情况影响本项目正常招标活动的，招标采购单位将于投标截止日期</w:t>
            </w:r>
            <w:r>
              <w:rPr>
                <w:rFonts w:ascii="宋体" w:hAnsi="宋体"/>
                <w:color w:val="auto"/>
                <w:sz w:val="24"/>
                <w:highlight w:val="none"/>
              </w:rPr>
              <w:t>5</w:t>
            </w:r>
            <w:r>
              <w:rPr>
                <w:rFonts w:hint="eastAsia" w:ascii="宋体" w:hAnsi="宋体"/>
                <w:color w:val="auto"/>
                <w:sz w:val="24"/>
                <w:highlight w:val="none"/>
              </w:rPr>
              <w:t>天前书面通知所有已报名的投标人。</w:t>
            </w:r>
          </w:p>
        </w:tc>
      </w:tr>
      <w:tr w14:paraId="57EFD4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9" w:hRule="atLeast"/>
        </w:trPr>
        <w:tc>
          <w:tcPr>
            <w:tcW w:w="648" w:type="dxa"/>
            <w:tcBorders>
              <w:top w:val="single" w:color="auto" w:sz="4" w:space="0"/>
              <w:bottom w:val="single" w:color="auto" w:sz="4" w:space="0"/>
              <w:right w:val="single" w:color="auto" w:sz="4" w:space="0"/>
            </w:tcBorders>
            <w:vAlign w:val="center"/>
          </w:tcPr>
          <w:p w14:paraId="62841E50">
            <w:pPr>
              <w:snapToGrid w:val="0"/>
              <w:jc w:val="center"/>
              <w:rPr>
                <w:rFonts w:ascii="宋体"/>
                <w:color w:val="auto"/>
                <w:sz w:val="24"/>
                <w:highlight w:val="none"/>
              </w:rPr>
            </w:pPr>
            <w:r>
              <w:rPr>
                <w:rFonts w:ascii="宋体" w:hAnsi="宋体"/>
                <w:color w:val="auto"/>
                <w:sz w:val="24"/>
                <w:highlight w:val="none"/>
              </w:rPr>
              <w:t>5</w:t>
            </w:r>
          </w:p>
        </w:tc>
        <w:tc>
          <w:tcPr>
            <w:tcW w:w="8592" w:type="dxa"/>
            <w:tcBorders>
              <w:top w:val="single" w:color="auto" w:sz="4" w:space="0"/>
              <w:left w:val="single" w:color="auto" w:sz="4" w:space="0"/>
              <w:bottom w:val="single" w:color="auto" w:sz="4" w:space="0"/>
            </w:tcBorders>
            <w:vAlign w:val="center"/>
          </w:tcPr>
          <w:p w14:paraId="695ED2D9">
            <w:pPr>
              <w:snapToGrid w:val="0"/>
              <w:rPr>
                <w:rFonts w:ascii="宋体"/>
                <w:b/>
                <w:bCs/>
                <w:color w:val="auto"/>
                <w:sz w:val="24"/>
                <w:highlight w:val="none"/>
              </w:rPr>
            </w:pPr>
            <w:r>
              <w:rPr>
                <w:rFonts w:hint="eastAsia" w:ascii="宋体" w:hAnsi="宋体"/>
                <w:b/>
                <w:bCs/>
                <w:color w:val="auto"/>
                <w:sz w:val="24"/>
                <w:highlight w:val="none"/>
              </w:rPr>
              <w:t>投标文件组成：本项目投标文件由</w:t>
            </w:r>
            <w:r>
              <w:rPr>
                <w:rFonts w:hint="eastAsia" w:ascii="宋体" w:hAnsi="宋体"/>
                <w:b/>
                <w:bCs/>
                <w:color w:val="auto"/>
                <w:sz w:val="24"/>
                <w:highlight w:val="none"/>
                <w:lang w:eastAsia="zh-CN"/>
              </w:rPr>
              <w:t>资格响应文件、商务资信技术文件、报价文件</w:t>
            </w:r>
            <w:r>
              <w:rPr>
                <w:rFonts w:hint="eastAsia" w:ascii="宋体" w:hAnsi="宋体"/>
                <w:b/>
                <w:bCs/>
                <w:color w:val="auto"/>
                <w:sz w:val="24"/>
                <w:highlight w:val="none"/>
              </w:rPr>
              <w:t>三部分组成。投标人应按以下方式递交投标文件：</w:t>
            </w:r>
          </w:p>
          <w:p w14:paraId="341C7B23">
            <w:pPr>
              <w:snapToGrid w:val="0"/>
              <w:rPr>
                <w:rFonts w:ascii="宋体"/>
                <w:b/>
                <w:bCs/>
                <w:color w:val="auto"/>
                <w:sz w:val="24"/>
                <w:highlight w:val="none"/>
              </w:rPr>
            </w:pPr>
            <w:r>
              <w:rPr>
                <w:rFonts w:hint="eastAsia" w:ascii="宋体" w:hAnsi="宋体"/>
                <w:b/>
                <w:bCs/>
                <w:color w:val="auto"/>
                <w:sz w:val="24"/>
                <w:highlight w:val="none"/>
              </w:rPr>
              <w:t>▲</w:t>
            </w:r>
            <w:r>
              <w:rPr>
                <w:rFonts w:ascii="宋体" w:hAnsi="宋体"/>
                <w:b/>
                <w:bCs/>
                <w:color w:val="auto"/>
                <w:sz w:val="24"/>
                <w:highlight w:val="none"/>
              </w:rPr>
              <w:t>1</w:t>
            </w:r>
            <w:r>
              <w:rPr>
                <w:rFonts w:hint="eastAsia" w:ascii="宋体" w:hAnsi="宋体"/>
                <w:b/>
                <w:bCs/>
                <w:color w:val="auto"/>
                <w:sz w:val="24"/>
                <w:highlight w:val="none"/>
              </w:rPr>
              <w:t>、本项目采用“网上投标、电子评标”，投标人应于投标截止时间前在“政采云”（电子交易平台）上传输、递交电子版投标文件（包括</w:t>
            </w:r>
            <w:r>
              <w:rPr>
                <w:rFonts w:hint="eastAsia" w:ascii="宋体" w:hAnsi="宋体"/>
                <w:b/>
                <w:bCs/>
                <w:color w:val="auto"/>
                <w:sz w:val="24"/>
                <w:highlight w:val="none"/>
                <w:lang w:eastAsia="zh-CN"/>
              </w:rPr>
              <w:t>资格响应文件、商务资信技术文件、报价文件</w:t>
            </w:r>
            <w:r>
              <w:rPr>
                <w:rFonts w:hint="eastAsia" w:ascii="宋体" w:hAnsi="宋体"/>
                <w:b/>
                <w:bCs/>
                <w:color w:val="auto"/>
                <w:sz w:val="24"/>
                <w:highlight w:val="none"/>
              </w:rPr>
              <w:t>）；</w:t>
            </w:r>
          </w:p>
          <w:p w14:paraId="2B946791">
            <w:pPr>
              <w:snapToGrid w:val="0"/>
              <w:rPr>
                <w:rFonts w:ascii="宋体"/>
                <w:b/>
                <w:bCs/>
                <w:color w:val="auto"/>
                <w:sz w:val="24"/>
                <w:highlight w:val="none"/>
              </w:rPr>
            </w:pPr>
            <w:r>
              <w:rPr>
                <w:rFonts w:ascii="宋体" w:hAnsi="宋体"/>
                <w:b/>
                <w:bCs/>
                <w:color w:val="auto"/>
                <w:sz w:val="24"/>
                <w:highlight w:val="none"/>
              </w:rPr>
              <w:t>2</w:t>
            </w:r>
            <w:r>
              <w:rPr>
                <w:rFonts w:hint="eastAsia" w:ascii="宋体" w:hAnsi="宋体"/>
                <w:b/>
                <w:bCs/>
                <w:color w:val="auto"/>
                <w:sz w:val="24"/>
                <w:highlight w:val="none"/>
              </w:rPr>
              <w:t>、为了避免由于电子交易平台无法正常运行等技术、安全故障等原因造成投标文件无法解密或解密失败，导致投标无效的情况发生，投标人可以在投标截止时间前将电子备份投标文件（经政采云电子交易客户端和</w:t>
            </w:r>
            <w:r>
              <w:rPr>
                <w:rFonts w:ascii="宋体" w:hAnsi="宋体"/>
                <w:b/>
                <w:bCs/>
                <w:color w:val="auto"/>
                <w:sz w:val="24"/>
                <w:highlight w:val="none"/>
              </w:rPr>
              <w:t>CA</w:t>
            </w:r>
            <w:r>
              <w:rPr>
                <w:rFonts w:hint="eastAsia" w:ascii="宋体" w:hAnsi="宋体"/>
                <w:b/>
                <w:bCs/>
                <w:color w:val="auto"/>
                <w:sz w:val="24"/>
                <w:highlight w:val="none"/>
              </w:rPr>
              <w:t>驱动制作出的后缀名为“</w:t>
            </w:r>
            <w:r>
              <w:rPr>
                <w:rFonts w:ascii="宋体" w:hAnsi="宋体"/>
                <w:b/>
                <w:bCs/>
                <w:color w:val="auto"/>
                <w:sz w:val="24"/>
                <w:highlight w:val="none"/>
              </w:rPr>
              <w:t>bfbs</w:t>
            </w:r>
            <w:r>
              <w:rPr>
                <w:rFonts w:hint="eastAsia" w:ascii="宋体" w:hAnsi="宋体"/>
                <w:b/>
                <w:bCs/>
                <w:color w:val="auto"/>
                <w:sz w:val="24"/>
                <w:highlight w:val="none"/>
              </w:rPr>
              <w:t>”的加密电子备份投标文件）发送至邮箱：</w:t>
            </w:r>
            <w:r>
              <w:rPr>
                <w:rFonts w:hint="eastAsia" w:ascii="宋体" w:hAnsi="宋体"/>
                <w:b/>
                <w:bCs/>
                <w:color w:val="auto"/>
                <w:sz w:val="24"/>
                <w:highlight w:val="none"/>
                <w:lang w:eastAsia="zh-CN"/>
              </w:rPr>
              <w:t>1121762642</w:t>
            </w:r>
            <w:r>
              <w:rPr>
                <w:rFonts w:ascii="宋体" w:hAnsi="宋体"/>
                <w:b/>
                <w:bCs/>
                <w:color w:val="auto"/>
                <w:sz w:val="24"/>
                <w:highlight w:val="none"/>
              </w:rPr>
              <w:t>@qq.com</w:t>
            </w:r>
            <w:r>
              <w:rPr>
                <w:rFonts w:hint="eastAsia" w:ascii="宋体" w:hAnsi="宋体"/>
                <w:b/>
                <w:bCs/>
                <w:color w:val="auto"/>
                <w:sz w:val="24"/>
                <w:highlight w:val="none"/>
              </w:rPr>
              <w:t>，逾期发送或发错后缀名的备份投标文件将被视为无效；</w:t>
            </w:r>
          </w:p>
          <w:p w14:paraId="20FD073E">
            <w:pPr>
              <w:snapToGrid w:val="0"/>
              <w:rPr>
                <w:rFonts w:ascii="宋体"/>
                <w:b/>
                <w:bCs/>
                <w:color w:val="auto"/>
                <w:sz w:val="24"/>
                <w:highlight w:val="none"/>
              </w:rPr>
            </w:pPr>
            <w:r>
              <w:rPr>
                <w:rFonts w:ascii="宋体" w:hAnsi="宋体"/>
                <w:b/>
                <w:bCs/>
                <w:color w:val="auto"/>
                <w:sz w:val="24"/>
                <w:highlight w:val="none"/>
              </w:rPr>
              <w:t>3</w:t>
            </w:r>
            <w:r>
              <w:rPr>
                <w:rFonts w:hint="eastAsia" w:ascii="宋体" w:hAnsi="宋体"/>
                <w:b/>
                <w:bCs/>
                <w:color w:val="auto"/>
                <w:sz w:val="24"/>
                <w:highlight w:val="none"/>
              </w:rPr>
              <w:t>、投标人仅提交了电子备份投标文件的，投标无效；</w:t>
            </w:r>
          </w:p>
          <w:p w14:paraId="1D81AAF7">
            <w:pPr>
              <w:snapToGrid w:val="0"/>
              <w:rPr>
                <w:rFonts w:ascii="宋体"/>
                <w:b/>
                <w:bCs/>
                <w:color w:val="auto"/>
                <w:sz w:val="24"/>
                <w:highlight w:val="none"/>
              </w:rPr>
            </w:pPr>
            <w:r>
              <w:rPr>
                <w:rFonts w:ascii="宋体" w:hAnsi="宋体"/>
                <w:b/>
                <w:bCs/>
                <w:color w:val="auto"/>
                <w:sz w:val="24"/>
                <w:highlight w:val="none"/>
              </w:rPr>
              <w:t>4</w:t>
            </w:r>
            <w:r>
              <w:rPr>
                <w:rFonts w:hint="eastAsia" w:ascii="宋体" w:hAnsi="宋体"/>
                <w:b/>
                <w:bCs/>
                <w:color w:val="auto"/>
                <w:sz w:val="24"/>
                <w:highlight w:val="none"/>
              </w:rPr>
              <w:t>、本项目不强制投标人提交电子备份投标文件；但如在开评标时出现电子投标文件无法解密或解密失败等情况，因投标人未提供电子备份投标文件而造成投标无效等一切后果和风险由投标人自行承担。</w:t>
            </w:r>
          </w:p>
          <w:p w14:paraId="614DDF3D">
            <w:pPr>
              <w:snapToGrid w:val="0"/>
              <w:rPr>
                <w:rFonts w:ascii="宋体"/>
                <w:color w:val="auto"/>
                <w:sz w:val="24"/>
                <w:highlight w:val="none"/>
              </w:rPr>
            </w:pPr>
            <w:r>
              <w:rPr>
                <w:rFonts w:ascii="宋体" w:hAnsi="宋体"/>
                <w:b/>
                <w:bCs/>
                <w:color w:val="auto"/>
                <w:sz w:val="24"/>
                <w:highlight w:val="none"/>
              </w:rPr>
              <w:t>5</w:t>
            </w:r>
            <w:r>
              <w:rPr>
                <w:rFonts w:hint="eastAsia" w:ascii="宋体" w:hAnsi="宋体"/>
                <w:b/>
                <w:bCs/>
                <w:color w:val="auto"/>
                <w:sz w:val="24"/>
                <w:highlight w:val="none"/>
              </w:rPr>
              <w:t>、中标方应在领取中标通知书前，向</w:t>
            </w:r>
            <w:r>
              <w:rPr>
                <w:rFonts w:hint="eastAsia" w:ascii="宋体" w:hAnsi="宋体"/>
                <w:b/>
                <w:bCs/>
                <w:color w:val="auto"/>
                <w:sz w:val="24"/>
                <w:highlight w:val="none"/>
                <w:lang w:eastAsia="zh-CN"/>
              </w:rPr>
              <w:t>泰宇建筑工程技术咨询有限公司</w:t>
            </w:r>
            <w:r>
              <w:rPr>
                <w:rFonts w:hint="eastAsia" w:ascii="宋体" w:hAnsi="宋体"/>
                <w:b/>
                <w:bCs/>
                <w:color w:val="auto"/>
                <w:sz w:val="24"/>
                <w:highlight w:val="none"/>
              </w:rPr>
              <w:t>提供纸质投标文件（纸质投标文件递交要求详见本章三、投标文件的编制第（五）条：投标文件的签署和份数的相关规定）。（递交或邮寄地址：</w:t>
            </w:r>
            <w:r>
              <w:rPr>
                <w:rFonts w:hint="eastAsia" w:ascii="宋体" w:hAnsi="宋体"/>
                <w:b/>
                <w:bCs/>
                <w:color w:val="auto"/>
                <w:sz w:val="24"/>
                <w:highlight w:val="none"/>
                <w:lang w:eastAsia="zh-CN"/>
              </w:rPr>
              <w:t>浙江省东阳市望江北路22号2楼</w:t>
            </w:r>
            <w:r>
              <w:rPr>
                <w:rFonts w:hint="eastAsia" w:ascii="宋体" w:hAnsi="宋体"/>
                <w:b/>
                <w:bCs/>
                <w:color w:val="auto"/>
                <w:sz w:val="24"/>
                <w:highlight w:val="none"/>
              </w:rPr>
              <w:t>，</w:t>
            </w:r>
            <w:r>
              <w:rPr>
                <w:rFonts w:hint="eastAsia" w:ascii="宋体" w:hAnsi="宋体"/>
                <w:b/>
                <w:bCs/>
                <w:color w:val="auto"/>
                <w:sz w:val="24"/>
                <w:highlight w:val="none"/>
                <w:lang w:eastAsia="zh-CN"/>
              </w:rPr>
              <w:t>泰宇建筑工程技术咨询有限公司</w:t>
            </w:r>
            <w:r>
              <w:rPr>
                <w:rFonts w:hint="eastAsia" w:ascii="宋体" w:hAnsi="宋体"/>
                <w:b/>
                <w:bCs/>
                <w:color w:val="auto"/>
                <w:sz w:val="24"/>
                <w:highlight w:val="none"/>
              </w:rPr>
              <w:t>；电话：</w:t>
            </w:r>
            <w:r>
              <w:rPr>
                <w:rFonts w:hint="eastAsia" w:ascii="宋体" w:hAnsi="宋体"/>
                <w:b/>
                <w:bCs/>
                <w:color w:val="auto"/>
                <w:sz w:val="24"/>
                <w:highlight w:val="none"/>
                <w:lang w:val="en-US" w:eastAsia="zh-CN"/>
              </w:rPr>
              <w:t>15024383632</w:t>
            </w:r>
            <w:r>
              <w:rPr>
                <w:rFonts w:hint="eastAsia" w:ascii="宋体" w:hAnsi="宋体"/>
                <w:b/>
                <w:bCs/>
                <w:color w:val="auto"/>
                <w:sz w:val="24"/>
                <w:highlight w:val="none"/>
              </w:rPr>
              <w:t>）</w:t>
            </w:r>
          </w:p>
        </w:tc>
      </w:tr>
      <w:tr w14:paraId="58C517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48" w:type="dxa"/>
            <w:tcBorders>
              <w:top w:val="single" w:color="auto" w:sz="4" w:space="0"/>
              <w:bottom w:val="single" w:color="auto" w:sz="4" w:space="0"/>
              <w:right w:val="single" w:color="auto" w:sz="4" w:space="0"/>
            </w:tcBorders>
            <w:vAlign w:val="center"/>
          </w:tcPr>
          <w:p w14:paraId="7E1484F7">
            <w:pPr>
              <w:snapToGrid w:val="0"/>
              <w:jc w:val="center"/>
              <w:rPr>
                <w:rFonts w:ascii="宋体"/>
                <w:color w:val="auto"/>
                <w:sz w:val="24"/>
                <w:highlight w:val="none"/>
              </w:rPr>
            </w:pPr>
            <w:r>
              <w:rPr>
                <w:rFonts w:ascii="宋体" w:hAnsi="宋体"/>
                <w:color w:val="auto"/>
                <w:sz w:val="24"/>
                <w:highlight w:val="none"/>
              </w:rPr>
              <w:t>6</w:t>
            </w:r>
          </w:p>
        </w:tc>
        <w:tc>
          <w:tcPr>
            <w:tcW w:w="8592" w:type="dxa"/>
            <w:tcBorders>
              <w:top w:val="single" w:color="auto" w:sz="4" w:space="0"/>
              <w:left w:val="single" w:color="auto" w:sz="4" w:space="0"/>
              <w:bottom w:val="single" w:color="auto" w:sz="4" w:space="0"/>
            </w:tcBorders>
            <w:vAlign w:val="center"/>
          </w:tcPr>
          <w:p w14:paraId="09540AC2">
            <w:pPr>
              <w:snapToGrid w:val="0"/>
              <w:rPr>
                <w:color w:val="auto"/>
                <w:sz w:val="24"/>
                <w:highlight w:val="none"/>
              </w:rPr>
            </w:pPr>
            <w:r>
              <w:rPr>
                <w:color w:val="auto"/>
                <w:sz w:val="24"/>
                <w:highlight w:val="none"/>
              </w:rPr>
              <w:t>1</w:t>
            </w:r>
            <w:r>
              <w:rPr>
                <w:rFonts w:hint="eastAsia"/>
                <w:color w:val="auto"/>
                <w:sz w:val="24"/>
                <w:highlight w:val="none"/>
              </w:rPr>
              <w:t>、投标人应当在</w:t>
            </w:r>
            <w:r>
              <w:rPr>
                <w:rFonts w:hint="eastAsia" w:ascii="宋体" w:hAnsi="宋体" w:cs="宋体"/>
                <w:b/>
                <w:bCs/>
                <w:color w:val="auto"/>
                <w:sz w:val="24"/>
                <w:highlight w:val="none"/>
                <w:u w:val="single"/>
              </w:rPr>
              <w:t>202</w:t>
            </w:r>
            <w:r>
              <w:rPr>
                <w:rFonts w:hint="eastAsia" w:ascii="宋体" w:hAnsi="宋体" w:cs="宋体"/>
                <w:b/>
                <w:bCs/>
                <w:color w:val="auto"/>
                <w:sz w:val="24"/>
                <w:highlight w:val="none"/>
                <w:u w:val="single"/>
                <w:lang w:val="en-US" w:eastAsia="zh-CN"/>
              </w:rPr>
              <w:t>5</w:t>
            </w:r>
            <w:r>
              <w:rPr>
                <w:rFonts w:hint="eastAsia" w:ascii="宋体" w:hAnsi="宋体" w:cs="宋体"/>
                <w:b/>
                <w:bCs/>
                <w:color w:val="auto"/>
                <w:sz w:val="24"/>
                <w:highlight w:val="none"/>
                <w:u w:val="single"/>
              </w:rPr>
              <w:t>年</w:t>
            </w:r>
            <w:r>
              <w:rPr>
                <w:rFonts w:hint="eastAsia" w:ascii="宋体" w:hAnsi="宋体" w:cs="宋体"/>
                <w:b/>
                <w:bCs/>
                <w:color w:val="auto"/>
                <w:sz w:val="24"/>
                <w:highlight w:val="none"/>
                <w:u w:val="single"/>
                <w:lang w:val="en-US" w:eastAsia="zh-CN"/>
              </w:rPr>
              <w:t>5月6日14</w:t>
            </w:r>
            <w:r>
              <w:rPr>
                <w:rFonts w:hint="eastAsia" w:ascii="宋体" w:hAnsi="宋体" w:cs="宋体"/>
                <w:b/>
                <w:bCs/>
                <w:color w:val="auto"/>
                <w:sz w:val="24"/>
                <w:highlight w:val="none"/>
                <w:u w:val="single"/>
              </w:rPr>
              <w:t>：00</w:t>
            </w:r>
            <w:r>
              <w:rPr>
                <w:rFonts w:hint="eastAsia"/>
                <w:color w:val="auto"/>
                <w:sz w:val="24"/>
                <w:highlight w:val="none"/>
              </w:rPr>
              <w:t>时前在“政采云”（电子交易平台）上自行上传加密的电子投标文件。投标截止时间后递交的电子投标文件，将被政采云平台拒收。</w:t>
            </w:r>
          </w:p>
          <w:p w14:paraId="615CEDBE">
            <w:pPr>
              <w:snapToGrid w:val="0"/>
              <w:rPr>
                <w:color w:val="auto"/>
                <w:sz w:val="24"/>
                <w:highlight w:val="none"/>
              </w:rPr>
            </w:pPr>
            <w:r>
              <w:rPr>
                <w:color w:val="auto"/>
                <w:sz w:val="24"/>
                <w:highlight w:val="none"/>
              </w:rPr>
              <w:t>2</w:t>
            </w:r>
            <w:r>
              <w:rPr>
                <w:rFonts w:hint="eastAsia"/>
                <w:color w:val="auto"/>
                <w:sz w:val="24"/>
                <w:highlight w:val="none"/>
              </w:rPr>
              <w:t>、电子投标文件的传输递交：投标人应当在投标截止时间前完成电子投标文件的传输递交，投标截止时间前可以补充、修改或者撤回电子投标文件。补充或者修改电子投标文件的，应当先行撤回原</w:t>
            </w:r>
            <w:r>
              <w:rPr>
                <w:rFonts w:hint="eastAsia" w:ascii="宋体" w:hAnsi="宋体"/>
                <w:color w:val="auto"/>
                <w:sz w:val="24"/>
                <w:highlight w:val="none"/>
              </w:rPr>
              <w:t>电子投标</w:t>
            </w:r>
            <w:r>
              <w:rPr>
                <w:rFonts w:hint="eastAsia"/>
                <w:color w:val="auto"/>
                <w:sz w:val="24"/>
                <w:highlight w:val="none"/>
              </w:rPr>
              <w:t>文件，补充、修改后重新传输递交。投标截止时间前未完成传输的，视为撤回投标文件。</w:t>
            </w:r>
          </w:p>
          <w:p w14:paraId="32177C2F">
            <w:pPr>
              <w:snapToGrid w:val="0"/>
              <w:rPr>
                <w:color w:val="auto"/>
                <w:sz w:val="24"/>
                <w:highlight w:val="none"/>
              </w:rPr>
            </w:pPr>
            <w:r>
              <w:rPr>
                <w:color w:val="auto"/>
                <w:sz w:val="24"/>
                <w:highlight w:val="none"/>
              </w:rPr>
              <w:t>3</w:t>
            </w:r>
            <w:r>
              <w:rPr>
                <w:rFonts w:hint="eastAsia"/>
                <w:color w:val="auto"/>
                <w:sz w:val="24"/>
                <w:highlight w:val="none"/>
              </w:rPr>
              <w:t>、投标人可以在投标截止时间前将电子备份投标文件（经政采云电子交易客户端和</w:t>
            </w:r>
            <w:r>
              <w:rPr>
                <w:color w:val="auto"/>
                <w:sz w:val="24"/>
                <w:highlight w:val="none"/>
              </w:rPr>
              <w:t>CA</w:t>
            </w:r>
            <w:r>
              <w:rPr>
                <w:rFonts w:hint="eastAsia"/>
                <w:color w:val="auto"/>
                <w:sz w:val="24"/>
                <w:highlight w:val="none"/>
              </w:rPr>
              <w:t>驱动制作出的后缀名为“</w:t>
            </w:r>
            <w:r>
              <w:rPr>
                <w:color w:val="auto"/>
                <w:sz w:val="24"/>
                <w:highlight w:val="none"/>
              </w:rPr>
              <w:t>bfbs</w:t>
            </w:r>
            <w:r>
              <w:rPr>
                <w:rFonts w:hint="eastAsia"/>
                <w:color w:val="auto"/>
                <w:sz w:val="24"/>
                <w:highlight w:val="none"/>
              </w:rPr>
              <w:t>”的加密电子备份投标文件）发送至邮箱：</w:t>
            </w:r>
            <w:r>
              <w:rPr>
                <w:rFonts w:hint="eastAsia"/>
                <w:color w:val="auto"/>
                <w:sz w:val="24"/>
                <w:highlight w:val="none"/>
                <w:lang w:eastAsia="zh-CN"/>
              </w:rPr>
              <w:t>1121762642</w:t>
            </w:r>
            <w:r>
              <w:rPr>
                <w:color w:val="auto"/>
                <w:sz w:val="24"/>
                <w:highlight w:val="none"/>
              </w:rPr>
              <w:t>@qq.com</w:t>
            </w:r>
            <w:r>
              <w:rPr>
                <w:rFonts w:hint="eastAsia"/>
                <w:color w:val="auto"/>
                <w:sz w:val="24"/>
                <w:highlight w:val="none"/>
              </w:rPr>
              <w:t>，逾期发送或发错后缀名的电子备份投标文件将被视为无效；电子备份投标文件的提交不作强制性要求。电子备份投标文件的递交截止时间：投标人应当在</w:t>
            </w:r>
            <w:r>
              <w:rPr>
                <w:rFonts w:hint="eastAsia" w:ascii="宋体" w:hAnsi="宋体" w:cs="宋体"/>
                <w:b/>
                <w:bCs/>
                <w:color w:val="auto"/>
                <w:sz w:val="24"/>
                <w:highlight w:val="none"/>
                <w:u w:val="single"/>
              </w:rPr>
              <w:t>202</w:t>
            </w:r>
            <w:r>
              <w:rPr>
                <w:rFonts w:hint="eastAsia" w:ascii="宋体" w:hAnsi="宋体" w:cs="宋体"/>
                <w:b/>
                <w:bCs/>
                <w:color w:val="auto"/>
                <w:sz w:val="24"/>
                <w:highlight w:val="none"/>
                <w:u w:val="single"/>
                <w:lang w:val="en-US" w:eastAsia="zh-CN"/>
              </w:rPr>
              <w:t>5</w:t>
            </w:r>
            <w:r>
              <w:rPr>
                <w:rFonts w:hint="eastAsia" w:ascii="宋体" w:hAnsi="宋体" w:cs="宋体"/>
                <w:b/>
                <w:bCs/>
                <w:color w:val="auto"/>
                <w:sz w:val="24"/>
                <w:highlight w:val="none"/>
                <w:u w:val="single"/>
              </w:rPr>
              <w:t>年</w:t>
            </w:r>
            <w:r>
              <w:rPr>
                <w:rFonts w:hint="eastAsia" w:ascii="宋体" w:hAnsi="宋体" w:cs="宋体"/>
                <w:b/>
                <w:bCs/>
                <w:color w:val="auto"/>
                <w:sz w:val="24"/>
                <w:highlight w:val="none"/>
                <w:u w:val="single"/>
                <w:lang w:val="en-US" w:eastAsia="zh-CN"/>
              </w:rPr>
              <w:t>5月6日14</w:t>
            </w:r>
            <w:r>
              <w:rPr>
                <w:rFonts w:hint="eastAsia" w:ascii="宋体" w:hAnsi="宋体" w:cs="宋体"/>
                <w:b/>
                <w:bCs/>
                <w:color w:val="auto"/>
                <w:sz w:val="24"/>
                <w:highlight w:val="none"/>
                <w:u w:val="single"/>
              </w:rPr>
              <w:t>：00</w:t>
            </w:r>
            <w:r>
              <w:rPr>
                <w:rFonts w:hint="eastAsia"/>
                <w:color w:val="auto"/>
                <w:sz w:val="24"/>
                <w:highlight w:val="none"/>
              </w:rPr>
              <w:t>时前，逾期未递交的视为自动放弃递交电子备份投标文件。</w:t>
            </w:r>
          </w:p>
        </w:tc>
      </w:tr>
      <w:tr w14:paraId="3D95B2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648" w:type="dxa"/>
            <w:tcBorders>
              <w:top w:val="single" w:color="auto" w:sz="4" w:space="0"/>
              <w:bottom w:val="single" w:color="auto" w:sz="4" w:space="0"/>
              <w:right w:val="single" w:color="auto" w:sz="4" w:space="0"/>
            </w:tcBorders>
            <w:vAlign w:val="center"/>
          </w:tcPr>
          <w:p w14:paraId="2EA33444">
            <w:pPr>
              <w:snapToGrid w:val="0"/>
              <w:jc w:val="center"/>
              <w:rPr>
                <w:rFonts w:ascii="宋体"/>
                <w:color w:val="auto"/>
                <w:sz w:val="24"/>
                <w:highlight w:val="none"/>
              </w:rPr>
            </w:pPr>
            <w:r>
              <w:rPr>
                <w:rFonts w:ascii="宋体" w:hAnsi="宋体"/>
                <w:color w:val="auto"/>
                <w:sz w:val="24"/>
                <w:highlight w:val="none"/>
              </w:rPr>
              <w:t>7</w:t>
            </w:r>
          </w:p>
        </w:tc>
        <w:tc>
          <w:tcPr>
            <w:tcW w:w="8592" w:type="dxa"/>
            <w:tcBorders>
              <w:top w:val="single" w:color="auto" w:sz="4" w:space="0"/>
              <w:left w:val="single" w:color="auto" w:sz="4" w:space="0"/>
              <w:bottom w:val="single" w:color="auto" w:sz="4" w:space="0"/>
            </w:tcBorders>
            <w:vAlign w:val="center"/>
          </w:tcPr>
          <w:p w14:paraId="135EE291">
            <w:pPr>
              <w:snapToGrid w:val="0"/>
              <w:rPr>
                <w:rFonts w:hint="eastAsia" w:ascii="宋体" w:eastAsia="宋体" w:cs="Arial"/>
                <w:b/>
                <w:bCs/>
                <w:color w:val="auto"/>
                <w:sz w:val="24"/>
                <w:highlight w:val="none"/>
                <w:lang w:val="en-US" w:eastAsia="zh-CN"/>
              </w:rPr>
            </w:pPr>
            <w:r>
              <w:rPr>
                <w:rFonts w:hint="eastAsia" w:ascii="宋体" w:hAnsi="宋体" w:cs="Arial"/>
                <w:b/>
                <w:bCs/>
                <w:color w:val="auto"/>
                <w:sz w:val="24"/>
                <w:highlight w:val="none"/>
              </w:rPr>
              <w:t>本项目开标时间：</w:t>
            </w:r>
            <w:r>
              <w:rPr>
                <w:rFonts w:hint="eastAsia" w:ascii="宋体" w:hAnsi="宋体" w:cs="宋体"/>
                <w:b/>
                <w:bCs/>
                <w:color w:val="auto"/>
                <w:sz w:val="24"/>
                <w:highlight w:val="none"/>
                <w:u w:val="single"/>
              </w:rPr>
              <w:t>202</w:t>
            </w:r>
            <w:r>
              <w:rPr>
                <w:rFonts w:hint="eastAsia" w:ascii="宋体" w:hAnsi="宋体" w:cs="宋体"/>
                <w:b/>
                <w:bCs/>
                <w:color w:val="auto"/>
                <w:sz w:val="24"/>
                <w:highlight w:val="none"/>
                <w:u w:val="single"/>
                <w:lang w:val="en-US" w:eastAsia="zh-CN"/>
              </w:rPr>
              <w:t>5</w:t>
            </w:r>
            <w:r>
              <w:rPr>
                <w:rFonts w:hint="eastAsia" w:ascii="宋体" w:hAnsi="宋体" w:cs="宋体"/>
                <w:b/>
                <w:bCs/>
                <w:color w:val="auto"/>
                <w:sz w:val="24"/>
                <w:highlight w:val="none"/>
                <w:u w:val="single"/>
              </w:rPr>
              <w:t>年</w:t>
            </w:r>
            <w:r>
              <w:rPr>
                <w:rFonts w:hint="eastAsia" w:ascii="宋体" w:hAnsi="宋体" w:cs="宋体"/>
                <w:b/>
                <w:bCs/>
                <w:color w:val="auto"/>
                <w:sz w:val="24"/>
                <w:highlight w:val="none"/>
                <w:u w:val="single"/>
                <w:lang w:val="en-US" w:eastAsia="zh-CN"/>
              </w:rPr>
              <w:t>5月6日14</w:t>
            </w:r>
            <w:r>
              <w:rPr>
                <w:rFonts w:hint="eastAsia" w:ascii="宋体" w:hAnsi="宋体" w:cs="宋体"/>
                <w:b/>
                <w:bCs/>
                <w:color w:val="auto"/>
                <w:sz w:val="24"/>
                <w:highlight w:val="none"/>
                <w:u w:val="single"/>
              </w:rPr>
              <w:t>：00</w:t>
            </w:r>
            <w:r>
              <w:rPr>
                <w:rFonts w:hint="eastAsia"/>
                <w:b/>
                <w:bCs/>
                <w:color w:val="auto"/>
                <w:sz w:val="24"/>
                <w:highlight w:val="none"/>
                <w:u w:val="single"/>
                <w:lang w:val="en-US" w:eastAsia="zh-CN"/>
              </w:rPr>
              <w:t>时</w:t>
            </w:r>
          </w:p>
          <w:p w14:paraId="21A97197">
            <w:pPr>
              <w:snapToGrid w:val="0"/>
              <w:rPr>
                <w:color w:val="auto"/>
                <w:sz w:val="24"/>
                <w:highlight w:val="none"/>
              </w:rPr>
            </w:pPr>
            <w:r>
              <w:rPr>
                <w:rFonts w:hint="eastAsia" w:ascii="宋体" w:hAnsi="宋体" w:cs="Arial"/>
                <w:b/>
                <w:bCs/>
                <w:color w:val="auto"/>
                <w:sz w:val="24"/>
                <w:highlight w:val="none"/>
              </w:rPr>
              <w:t>投标截止时间后，政采云（电子交易平台）自动提取所有在投标截止时间前上传好的投标文件，投标人须在投标截止时间后</w:t>
            </w:r>
            <w:r>
              <w:rPr>
                <w:rFonts w:ascii="宋体" w:hAnsi="宋体" w:cs="Arial"/>
                <w:b/>
                <w:bCs/>
                <w:color w:val="auto"/>
                <w:sz w:val="24"/>
                <w:highlight w:val="none"/>
              </w:rPr>
              <w:t>30</w:t>
            </w:r>
            <w:r>
              <w:rPr>
                <w:rFonts w:hint="eastAsia" w:ascii="宋体" w:hAnsi="宋体" w:cs="Arial"/>
                <w:b/>
                <w:bCs/>
                <w:color w:val="auto"/>
                <w:sz w:val="24"/>
                <w:highlight w:val="none"/>
              </w:rPr>
              <w:t>分钟内对上传政采云的投标文件进行解密（为防止解密失败，政采云建议采用制作投标文件的电脑进行解密），所有投标人在规定的解密时限内</w:t>
            </w:r>
            <w:r>
              <w:rPr>
                <w:rFonts w:hint="eastAsia" w:ascii="宋体" w:hAnsi="宋体" w:cs="宋体"/>
                <w:b/>
                <w:bCs/>
                <w:color w:val="auto"/>
                <w:sz w:val="24"/>
                <w:highlight w:val="none"/>
              </w:rPr>
              <w:t>完成</w:t>
            </w:r>
            <w:r>
              <w:rPr>
                <w:rFonts w:hint="eastAsia" w:ascii="宋体" w:hAnsi="宋体" w:cs="Arial"/>
                <w:b/>
                <w:bCs/>
                <w:color w:val="auto"/>
                <w:sz w:val="24"/>
                <w:highlight w:val="none"/>
              </w:rPr>
              <w:t>解</w:t>
            </w:r>
            <w:r>
              <w:rPr>
                <w:rFonts w:hint="eastAsia" w:ascii="宋体" w:hAnsi="宋体" w:cs="宋体"/>
                <w:b/>
                <w:bCs/>
                <w:color w:val="auto"/>
                <w:sz w:val="24"/>
                <w:highlight w:val="none"/>
              </w:rPr>
              <w:t>密</w:t>
            </w:r>
            <w:r>
              <w:rPr>
                <w:rFonts w:hint="eastAsia" w:ascii="宋体" w:hAnsi="宋体" w:cs="Arial"/>
                <w:b/>
                <w:bCs/>
                <w:color w:val="auto"/>
                <w:sz w:val="24"/>
                <w:highlight w:val="none"/>
              </w:rPr>
              <w:t>或解密时限到后，采购代理机构开启投标文件；投标人超过解密时限解密的且采购代理机构无法开启投标文件的，系统默认自动放弃。</w:t>
            </w:r>
          </w:p>
        </w:tc>
      </w:tr>
      <w:tr w14:paraId="0778A9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648" w:type="dxa"/>
            <w:tcBorders>
              <w:top w:val="single" w:color="auto" w:sz="4" w:space="0"/>
              <w:bottom w:val="single" w:color="auto" w:sz="4" w:space="0"/>
              <w:right w:val="single" w:color="auto" w:sz="4" w:space="0"/>
            </w:tcBorders>
            <w:vAlign w:val="center"/>
          </w:tcPr>
          <w:p w14:paraId="4E366540">
            <w:pPr>
              <w:snapToGrid w:val="0"/>
              <w:jc w:val="center"/>
              <w:rPr>
                <w:rFonts w:ascii="宋体"/>
                <w:color w:val="auto"/>
                <w:sz w:val="24"/>
                <w:highlight w:val="none"/>
              </w:rPr>
            </w:pPr>
            <w:r>
              <w:rPr>
                <w:rFonts w:ascii="宋体" w:hAnsi="宋体"/>
                <w:color w:val="auto"/>
                <w:sz w:val="24"/>
                <w:highlight w:val="none"/>
              </w:rPr>
              <w:t>8</w:t>
            </w:r>
          </w:p>
        </w:tc>
        <w:tc>
          <w:tcPr>
            <w:tcW w:w="8592" w:type="dxa"/>
            <w:tcBorders>
              <w:top w:val="single" w:color="auto" w:sz="4" w:space="0"/>
              <w:left w:val="single" w:color="auto" w:sz="4" w:space="0"/>
              <w:bottom w:val="single" w:color="auto" w:sz="4" w:space="0"/>
            </w:tcBorders>
            <w:vAlign w:val="center"/>
          </w:tcPr>
          <w:p w14:paraId="0AAA9252">
            <w:pPr>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ascii="宋体" w:hAnsi="宋体" w:cs="宋体"/>
                <w:b/>
                <w:color w:val="auto"/>
                <w:kern w:val="0"/>
                <w:sz w:val="24"/>
                <w:highlight w:val="none"/>
              </w:rPr>
            </w:pPr>
            <w:r>
              <w:rPr>
                <w:rFonts w:hint="eastAsia" w:ascii="宋体" w:hAnsi="宋体" w:cs="宋体"/>
                <w:b/>
                <w:color w:val="auto"/>
                <w:sz w:val="24"/>
                <w:highlight w:val="none"/>
              </w:rPr>
              <w:t>投标保证金：本项目</w:t>
            </w:r>
            <w:r>
              <w:rPr>
                <w:rFonts w:hint="eastAsia" w:ascii="宋体" w:hAnsi="宋体" w:cs="宋体"/>
                <w:b/>
                <w:color w:val="auto"/>
                <w:kern w:val="0"/>
                <w:sz w:val="24"/>
                <w:highlight w:val="none"/>
              </w:rPr>
              <w:t>不收取投标保证金</w:t>
            </w:r>
          </w:p>
          <w:p w14:paraId="2A81A6CA">
            <w:pPr>
              <w:snapToGrid w:val="0"/>
              <w:rPr>
                <w:rFonts w:hint="eastAsia" w:ascii="宋体" w:eastAsia="宋体"/>
                <w:color w:val="auto"/>
                <w:sz w:val="24"/>
                <w:highlight w:val="none"/>
                <w:lang w:eastAsia="zh-CN"/>
              </w:rPr>
            </w:pPr>
            <w:r>
              <w:rPr>
                <w:rFonts w:hint="eastAsia" w:ascii="宋体" w:hAnsi="宋体" w:cs="宋体"/>
                <w:b/>
                <w:color w:val="auto"/>
                <w:kern w:val="0"/>
                <w:sz w:val="24"/>
                <w:highlight w:val="none"/>
              </w:rPr>
              <w:t xml:space="preserve">履约保证金: </w:t>
            </w:r>
            <w:r>
              <w:rPr>
                <w:rFonts w:hint="eastAsia" w:ascii="宋体" w:hAnsi="宋体" w:eastAsia="宋体" w:cs="宋体"/>
                <w:b/>
                <w:color w:val="auto"/>
                <w:kern w:val="0"/>
                <w:sz w:val="24"/>
                <w:highlight w:val="none"/>
                <w:lang w:val="en-US" w:eastAsia="zh-CN"/>
              </w:rPr>
              <w:t>本项目</w:t>
            </w:r>
            <w:r>
              <w:rPr>
                <w:rFonts w:hint="eastAsia" w:ascii="宋体" w:hAnsi="宋体" w:eastAsia="宋体" w:cs="宋体"/>
                <w:b/>
                <w:color w:val="auto"/>
                <w:kern w:val="0"/>
                <w:sz w:val="24"/>
                <w:highlight w:val="none"/>
              </w:rPr>
              <w:t>不收取</w:t>
            </w:r>
            <w:r>
              <w:rPr>
                <w:rFonts w:hint="eastAsia" w:ascii="宋体" w:hAnsi="宋体" w:eastAsia="宋体" w:cs="宋体"/>
                <w:b/>
                <w:color w:val="auto"/>
                <w:kern w:val="0"/>
                <w:sz w:val="24"/>
                <w:highlight w:val="none"/>
                <w:lang w:val="en-US" w:eastAsia="zh-CN"/>
              </w:rPr>
              <w:t>履约保证金。</w:t>
            </w:r>
          </w:p>
        </w:tc>
      </w:tr>
      <w:tr w14:paraId="15B657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4" w:hRule="atLeast"/>
        </w:trPr>
        <w:tc>
          <w:tcPr>
            <w:tcW w:w="648" w:type="dxa"/>
            <w:tcBorders>
              <w:top w:val="single" w:color="auto" w:sz="4" w:space="0"/>
              <w:bottom w:val="single" w:color="auto" w:sz="4" w:space="0"/>
              <w:right w:val="single" w:color="auto" w:sz="4" w:space="0"/>
            </w:tcBorders>
            <w:vAlign w:val="center"/>
          </w:tcPr>
          <w:p w14:paraId="7C7620D8">
            <w:pPr>
              <w:snapToGrid w:val="0"/>
              <w:jc w:val="center"/>
              <w:rPr>
                <w:rFonts w:ascii="宋体"/>
                <w:color w:val="auto"/>
                <w:sz w:val="24"/>
                <w:highlight w:val="none"/>
              </w:rPr>
            </w:pPr>
            <w:r>
              <w:rPr>
                <w:rFonts w:ascii="宋体" w:hAnsi="宋体"/>
                <w:color w:val="auto"/>
                <w:sz w:val="24"/>
                <w:highlight w:val="none"/>
              </w:rPr>
              <w:t>9</w:t>
            </w:r>
          </w:p>
        </w:tc>
        <w:tc>
          <w:tcPr>
            <w:tcW w:w="8592" w:type="dxa"/>
            <w:tcBorders>
              <w:top w:val="single" w:color="auto" w:sz="4" w:space="0"/>
              <w:left w:val="single" w:color="auto" w:sz="4" w:space="0"/>
              <w:bottom w:val="single" w:color="auto" w:sz="4" w:space="0"/>
            </w:tcBorders>
            <w:vAlign w:val="center"/>
          </w:tcPr>
          <w:p w14:paraId="6FE576AA">
            <w:pPr>
              <w:snapToGrid w:val="0"/>
              <w:rPr>
                <w:rFonts w:ascii="宋体"/>
                <w:color w:val="auto"/>
                <w:sz w:val="24"/>
                <w:highlight w:val="none"/>
              </w:rPr>
            </w:pPr>
            <w:r>
              <w:rPr>
                <w:rFonts w:hint="eastAsia" w:ascii="宋体" w:hAnsi="宋体"/>
                <w:color w:val="auto"/>
                <w:sz w:val="24"/>
                <w:highlight w:val="none"/>
              </w:rPr>
              <w:t>评标办法：综合评分法</w:t>
            </w:r>
          </w:p>
        </w:tc>
      </w:tr>
      <w:tr w14:paraId="0BF536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7" w:hRule="atLeast"/>
        </w:trPr>
        <w:tc>
          <w:tcPr>
            <w:tcW w:w="648" w:type="dxa"/>
            <w:tcBorders>
              <w:top w:val="single" w:color="auto" w:sz="4" w:space="0"/>
              <w:bottom w:val="single" w:color="auto" w:sz="4" w:space="0"/>
              <w:right w:val="single" w:color="auto" w:sz="4" w:space="0"/>
            </w:tcBorders>
            <w:vAlign w:val="center"/>
          </w:tcPr>
          <w:p w14:paraId="0B183444">
            <w:pPr>
              <w:snapToGrid w:val="0"/>
              <w:jc w:val="center"/>
              <w:rPr>
                <w:rFonts w:ascii="宋体"/>
                <w:color w:val="auto"/>
                <w:sz w:val="24"/>
                <w:highlight w:val="none"/>
              </w:rPr>
            </w:pPr>
            <w:r>
              <w:rPr>
                <w:rFonts w:ascii="宋体" w:hAnsi="宋体"/>
                <w:color w:val="auto"/>
                <w:sz w:val="24"/>
                <w:highlight w:val="none"/>
              </w:rPr>
              <w:t>1</w:t>
            </w:r>
            <w:r>
              <w:rPr>
                <w:rFonts w:ascii="宋体"/>
                <w:color w:val="auto"/>
                <w:sz w:val="24"/>
                <w:highlight w:val="none"/>
              </w:rPr>
              <w:t>0</w:t>
            </w:r>
          </w:p>
        </w:tc>
        <w:tc>
          <w:tcPr>
            <w:tcW w:w="8592" w:type="dxa"/>
            <w:tcBorders>
              <w:top w:val="single" w:color="auto" w:sz="4" w:space="0"/>
              <w:left w:val="single" w:color="auto" w:sz="4" w:space="0"/>
              <w:bottom w:val="single" w:color="auto" w:sz="4" w:space="0"/>
            </w:tcBorders>
            <w:vAlign w:val="center"/>
          </w:tcPr>
          <w:p w14:paraId="1819993C">
            <w:pPr>
              <w:snapToGrid w:val="0"/>
              <w:rPr>
                <w:rFonts w:ascii="宋体"/>
                <w:color w:val="auto"/>
                <w:sz w:val="24"/>
                <w:highlight w:val="none"/>
              </w:rPr>
            </w:pPr>
            <w:r>
              <w:rPr>
                <w:rFonts w:hint="eastAsia" w:ascii="宋体" w:hAnsi="宋体"/>
                <w:color w:val="auto"/>
                <w:sz w:val="24"/>
                <w:highlight w:val="none"/>
              </w:rPr>
              <w:t>采购人应当自收到评审报告之日起</w:t>
            </w:r>
            <w:r>
              <w:rPr>
                <w:rFonts w:ascii="宋体" w:hAnsi="宋体"/>
                <w:color w:val="auto"/>
                <w:sz w:val="24"/>
                <w:highlight w:val="none"/>
              </w:rPr>
              <w:t>5</w:t>
            </w:r>
            <w:r>
              <w:rPr>
                <w:rFonts w:hint="eastAsia" w:ascii="宋体" w:hAnsi="宋体"/>
                <w:color w:val="auto"/>
                <w:sz w:val="24"/>
                <w:highlight w:val="none"/>
              </w:rPr>
              <w:t>个工作日内在评审报告推荐的中标或者成交候选人中按顺序确定中标或者成交供应商。如有投标人对评标结果提出质疑的，采购人可在质疑处理完毕后确定中标人。</w:t>
            </w:r>
          </w:p>
        </w:tc>
      </w:tr>
      <w:tr w14:paraId="1AF334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9" w:hRule="atLeast"/>
        </w:trPr>
        <w:tc>
          <w:tcPr>
            <w:tcW w:w="648" w:type="dxa"/>
            <w:tcBorders>
              <w:top w:val="single" w:color="auto" w:sz="4" w:space="0"/>
              <w:bottom w:val="single" w:color="auto" w:sz="4" w:space="0"/>
              <w:right w:val="single" w:color="auto" w:sz="4" w:space="0"/>
            </w:tcBorders>
            <w:vAlign w:val="center"/>
          </w:tcPr>
          <w:p w14:paraId="3B87A544">
            <w:pPr>
              <w:snapToGrid w:val="0"/>
              <w:jc w:val="center"/>
              <w:rPr>
                <w:rFonts w:ascii="宋体"/>
                <w:color w:val="auto"/>
                <w:sz w:val="24"/>
                <w:highlight w:val="none"/>
              </w:rPr>
            </w:pPr>
            <w:r>
              <w:rPr>
                <w:rFonts w:ascii="宋体" w:hAnsi="宋体"/>
                <w:color w:val="auto"/>
                <w:sz w:val="24"/>
                <w:highlight w:val="none"/>
              </w:rPr>
              <w:t>11</w:t>
            </w:r>
          </w:p>
        </w:tc>
        <w:tc>
          <w:tcPr>
            <w:tcW w:w="8592" w:type="dxa"/>
            <w:tcBorders>
              <w:top w:val="single" w:color="auto" w:sz="4" w:space="0"/>
              <w:left w:val="single" w:color="auto" w:sz="4" w:space="0"/>
              <w:bottom w:val="single" w:color="auto" w:sz="4" w:space="0"/>
            </w:tcBorders>
            <w:vAlign w:val="center"/>
          </w:tcPr>
          <w:p w14:paraId="684AAA5A">
            <w:pPr>
              <w:snapToGrid w:val="0"/>
              <w:rPr>
                <w:rFonts w:ascii="宋体"/>
                <w:color w:val="auto"/>
                <w:sz w:val="24"/>
                <w:highlight w:val="none"/>
              </w:rPr>
            </w:pPr>
            <w:r>
              <w:rPr>
                <w:rFonts w:hint="eastAsia" w:ascii="宋体" w:hAnsi="宋体"/>
                <w:color w:val="auto"/>
                <w:sz w:val="24"/>
                <w:highlight w:val="none"/>
              </w:rPr>
              <w:t>采购人或者采购代理机构应当自中标、成交供应商确定之日起</w:t>
            </w:r>
            <w:r>
              <w:rPr>
                <w:rFonts w:ascii="宋体" w:hAnsi="宋体"/>
                <w:color w:val="auto"/>
                <w:sz w:val="24"/>
                <w:highlight w:val="none"/>
              </w:rPr>
              <w:t>2</w:t>
            </w:r>
            <w:r>
              <w:rPr>
                <w:rFonts w:hint="eastAsia" w:ascii="宋体" w:hAnsi="宋体"/>
                <w:color w:val="auto"/>
                <w:sz w:val="24"/>
                <w:highlight w:val="none"/>
              </w:rPr>
              <w:t>个工作日内，发出中标、成交通知书，并在省级以上人民政府财政部门指定的媒体上公告中标、成交结果。</w:t>
            </w:r>
          </w:p>
        </w:tc>
      </w:tr>
      <w:tr w14:paraId="2EFB3E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48" w:type="dxa"/>
            <w:tcBorders>
              <w:top w:val="single" w:color="auto" w:sz="4" w:space="0"/>
              <w:bottom w:val="single" w:color="auto" w:sz="4" w:space="0"/>
              <w:right w:val="single" w:color="auto" w:sz="4" w:space="0"/>
            </w:tcBorders>
            <w:vAlign w:val="center"/>
          </w:tcPr>
          <w:p w14:paraId="57A2A244">
            <w:pPr>
              <w:snapToGrid w:val="0"/>
              <w:jc w:val="center"/>
              <w:rPr>
                <w:rFonts w:ascii="宋体"/>
                <w:color w:val="auto"/>
                <w:sz w:val="24"/>
                <w:highlight w:val="none"/>
              </w:rPr>
            </w:pPr>
            <w:r>
              <w:rPr>
                <w:rFonts w:ascii="宋体" w:hAnsi="宋体"/>
                <w:color w:val="auto"/>
                <w:sz w:val="24"/>
                <w:highlight w:val="none"/>
              </w:rPr>
              <w:t>12</w:t>
            </w:r>
          </w:p>
        </w:tc>
        <w:tc>
          <w:tcPr>
            <w:tcW w:w="8592" w:type="dxa"/>
            <w:tcBorders>
              <w:top w:val="single" w:color="auto" w:sz="4" w:space="0"/>
              <w:left w:val="single" w:color="auto" w:sz="4" w:space="0"/>
              <w:bottom w:val="single" w:color="auto" w:sz="4" w:space="0"/>
            </w:tcBorders>
            <w:vAlign w:val="center"/>
          </w:tcPr>
          <w:p w14:paraId="65538F6D">
            <w:pPr>
              <w:autoSpaceDE w:val="0"/>
              <w:autoSpaceDN w:val="0"/>
              <w:snapToGrid w:val="0"/>
              <w:textAlignment w:val="bottom"/>
              <w:rPr>
                <w:rFonts w:ascii="宋体"/>
                <w:color w:val="auto"/>
                <w:sz w:val="24"/>
                <w:highlight w:val="none"/>
              </w:rPr>
            </w:pPr>
            <w:r>
              <w:rPr>
                <w:rFonts w:hint="eastAsia" w:ascii="宋体" w:hAnsi="宋体"/>
                <w:color w:val="auto"/>
                <w:sz w:val="24"/>
                <w:highlight w:val="none"/>
              </w:rPr>
              <w:t>签订合同：中标通知书发出后</w:t>
            </w:r>
            <w:r>
              <w:rPr>
                <w:rFonts w:hint="eastAsia" w:ascii="宋体" w:hAnsi="宋体"/>
                <w:color w:val="auto"/>
                <w:sz w:val="24"/>
                <w:highlight w:val="none"/>
                <w:lang w:val="en-US" w:eastAsia="zh-CN"/>
              </w:rPr>
              <w:t>20</w:t>
            </w:r>
            <w:r>
              <w:rPr>
                <w:rFonts w:hint="eastAsia" w:ascii="宋体" w:hAnsi="宋体"/>
                <w:color w:val="auto"/>
                <w:sz w:val="24"/>
                <w:highlight w:val="none"/>
              </w:rPr>
              <w:t>日内签订。</w:t>
            </w:r>
          </w:p>
        </w:tc>
      </w:tr>
      <w:tr w14:paraId="6DC464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48" w:type="dxa"/>
            <w:tcBorders>
              <w:top w:val="single" w:color="auto" w:sz="4" w:space="0"/>
              <w:bottom w:val="single" w:color="auto" w:sz="4" w:space="0"/>
              <w:right w:val="single" w:color="auto" w:sz="4" w:space="0"/>
            </w:tcBorders>
            <w:vAlign w:val="center"/>
          </w:tcPr>
          <w:p w14:paraId="47FC74D8">
            <w:pPr>
              <w:snapToGrid w:val="0"/>
              <w:jc w:val="center"/>
              <w:rPr>
                <w:rFonts w:ascii="宋体"/>
                <w:color w:val="auto"/>
                <w:sz w:val="24"/>
                <w:highlight w:val="none"/>
              </w:rPr>
            </w:pPr>
            <w:r>
              <w:rPr>
                <w:rFonts w:ascii="宋体" w:hAnsi="宋体"/>
                <w:color w:val="auto"/>
                <w:sz w:val="24"/>
                <w:highlight w:val="none"/>
              </w:rPr>
              <w:t>13</w:t>
            </w:r>
          </w:p>
        </w:tc>
        <w:tc>
          <w:tcPr>
            <w:tcW w:w="8592" w:type="dxa"/>
            <w:tcBorders>
              <w:top w:val="single" w:color="auto" w:sz="4" w:space="0"/>
              <w:left w:val="single" w:color="auto" w:sz="4" w:space="0"/>
              <w:bottom w:val="single" w:color="auto" w:sz="4" w:space="0"/>
            </w:tcBorders>
            <w:vAlign w:val="center"/>
          </w:tcPr>
          <w:p w14:paraId="5D52C0D3">
            <w:pPr>
              <w:snapToGrid w:val="0"/>
              <w:rPr>
                <w:rFonts w:hint="eastAsia" w:ascii="宋体" w:hAnsi="宋体" w:eastAsia="宋体"/>
                <w:color w:val="auto"/>
                <w:sz w:val="24"/>
                <w:highlight w:val="none"/>
                <w:lang w:eastAsia="zh-CN"/>
              </w:rPr>
            </w:pPr>
            <w:r>
              <w:rPr>
                <w:rFonts w:hint="eastAsia" w:ascii="宋体" w:hAnsi="宋体" w:eastAsia="宋体" w:cs="宋体"/>
                <w:color w:val="auto"/>
                <w:sz w:val="24"/>
                <w:highlight w:val="none"/>
                <w:lang w:val="en-US" w:eastAsia="zh-CN"/>
              </w:rPr>
              <w:t>付款方式：</w:t>
            </w:r>
            <w:r>
              <w:rPr>
                <w:rFonts w:hint="eastAsia" w:ascii="宋体" w:hAnsi="宋体" w:cs="宋体"/>
                <w:b/>
                <w:bCs/>
                <w:color w:val="auto"/>
                <w:sz w:val="24"/>
                <w:szCs w:val="24"/>
              </w:rPr>
              <w:t>详见招标需求</w:t>
            </w:r>
            <w:r>
              <w:rPr>
                <w:rFonts w:hint="eastAsia" w:ascii="宋体" w:hAnsi="宋体" w:cs="宋体"/>
                <w:color w:val="auto"/>
                <w:sz w:val="24"/>
                <w:szCs w:val="24"/>
              </w:rPr>
              <w:t>。</w:t>
            </w:r>
          </w:p>
        </w:tc>
      </w:tr>
      <w:tr w14:paraId="662515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6" w:hRule="atLeast"/>
        </w:trPr>
        <w:tc>
          <w:tcPr>
            <w:tcW w:w="648" w:type="dxa"/>
            <w:tcBorders>
              <w:top w:val="single" w:color="auto" w:sz="4" w:space="0"/>
              <w:bottom w:val="single" w:color="auto" w:sz="4" w:space="0"/>
              <w:right w:val="single" w:color="auto" w:sz="4" w:space="0"/>
            </w:tcBorders>
            <w:vAlign w:val="center"/>
          </w:tcPr>
          <w:p w14:paraId="7092D1F8">
            <w:pPr>
              <w:snapToGrid w:val="0"/>
              <w:jc w:val="center"/>
              <w:rPr>
                <w:rFonts w:ascii="宋体"/>
                <w:color w:val="auto"/>
                <w:sz w:val="24"/>
                <w:highlight w:val="none"/>
              </w:rPr>
            </w:pPr>
            <w:r>
              <w:rPr>
                <w:rFonts w:ascii="宋体" w:hAnsi="宋体"/>
                <w:color w:val="auto"/>
                <w:sz w:val="24"/>
                <w:highlight w:val="none"/>
              </w:rPr>
              <w:t>14</w:t>
            </w:r>
          </w:p>
        </w:tc>
        <w:tc>
          <w:tcPr>
            <w:tcW w:w="8592" w:type="dxa"/>
            <w:tcBorders>
              <w:top w:val="single" w:color="auto" w:sz="4" w:space="0"/>
              <w:left w:val="single" w:color="auto" w:sz="4" w:space="0"/>
              <w:bottom w:val="single" w:color="auto" w:sz="4" w:space="0"/>
            </w:tcBorders>
            <w:vAlign w:val="center"/>
          </w:tcPr>
          <w:p w14:paraId="42BEB888">
            <w:pPr>
              <w:snapToGrid w:val="0"/>
              <w:rPr>
                <w:rFonts w:ascii="宋体"/>
                <w:color w:val="auto"/>
                <w:sz w:val="24"/>
                <w:highlight w:val="none"/>
              </w:rPr>
            </w:pPr>
            <w:r>
              <w:rPr>
                <w:rFonts w:hint="eastAsia" w:ascii="宋体" w:hAnsi="宋体"/>
                <w:color w:val="auto"/>
                <w:sz w:val="24"/>
                <w:highlight w:val="none"/>
              </w:rPr>
              <w:t>投标文件有效期：</w:t>
            </w:r>
            <w:r>
              <w:rPr>
                <w:rFonts w:ascii="宋体" w:hAnsi="宋体" w:cs="Arial"/>
                <w:color w:val="auto"/>
                <w:sz w:val="24"/>
                <w:highlight w:val="none"/>
                <w:u w:val="single"/>
              </w:rPr>
              <w:t xml:space="preserve"> 60 </w:t>
            </w:r>
            <w:r>
              <w:rPr>
                <w:rFonts w:hint="eastAsia" w:ascii="宋体" w:hAnsi="宋体" w:cs="Arial"/>
                <w:color w:val="auto"/>
                <w:sz w:val="24"/>
                <w:highlight w:val="none"/>
              </w:rPr>
              <w:t>天</w:t>
            </w:r>
          </w:p>
        </w:tc>
      </w:tr>
      <w:tr w14:paraId="75DCA3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6" w:hRule="atLeast"/>
        </w:trPr>
        <w:tc>
          <w:tcPr>
            <w:tcW w:w="648" w:type="dxa"/>
            <w:tcBorders>
              <w:top w:val="single" w:color="auto" w:sz="4" w:space="0"/>
              <w:bottom w:val="single" w:color="auto" w:sz="4" w:space="0"/>
              <w:right w:val="single" w:color="auto" w:sz="4" w:space="0"/>
            </w:tcBorders>
            <w:vAlign w:val="center"/>
          </w:tcPr>
          <w:p w14:paraId="24E8272C">
            <w:pPr>
              <w:snapToGrid w:val="0"/>
              <w:jc w:val="center"/>
              <w:rPr>
                <w:rFonts w:hint="default" w:ascii="宋体" w:hAnsi="宋体" w:eastAsia="宋体"/>
                <w:color w:val="auto"/>
                <w:sz w:val="24"/>
                <w:highlight w:val="none"/>
                <w:lang w:val="en-US" w:eastAsia="zh-CN"/>
              </w:rPr>
            </w:pPr>
            <w:r>
              <w:rPr>
                <w:rFonts w:hint="eastAsia" w:ascii="宋体" w:hAnsi="宋体"/>
                <w:color w:val="auto"/>
                <w:sz w:val="24"/>
                <w:highlight w:val="none"/>
                <w:lang w:val="en-US" w:eastAsia="zh-CN"/>
              </w:rPr>
              <w:t>15</w:t>
            </w:r>
          </w:p>
        </w:tc>
        <w:tc>
          <w:tcPr>
            <w:tcW w:w="8592" w:type="dxa"/>
            <w:tcBorders>
              <w:top w:val="single" w:color="auto" w:sz="4" w:space="0"/>
              <w:left w:val="single" w:color="auto" w:sz="4" w:space="0"/>
              <w:bottom w:val="single" w:color="auto" w:sz="4" w:space="0"/>
            </w:tcBorders>
            <w:vAlign w:val="center"/>
          </w:tcPr>
          <w:p w14:paraId="408B5000">
            <w:pPr>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ascii="宋体" w:hAnsi="宋体" w:cs="宋体"/>
                <w:color w:val="auto"/>
                <w:sz w:val="24"/>
                <w:highlight w:val="none"/>
              </w:rPr>
            </w:pPr>
            <w:r>
              <w:rPr>
                <w:rFonts w:hint="eastAsia" w:ascii="宋体" w:hAnsi="宋体" w:cs="宋体"/>
                <w:color w:val="auto"/>
                <w:sz w:val="24"/>
                <w:highlight w:val="none"/>
              </w:rPr>
              <w:t>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 (tp:/www zizfcg gov.cn)的中小企业信用融资栏目了解相关信息。 供应商可以通过浙江政府采购网(https://zfcg. czt.zj. gov.cn/)首页的“浙江政采贷”模块进入申请，还可以通过政府采购云平台(https://wwwzcygov.cn/)首页的“金融服务”模块进入申请。</w:t>
            </w:r>
          </w:p>
          <w:p w14:paraId="1BA64292">
            <w:pPr>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ascii="宋体" w:hAnsi="宋体" w:cs="宋体"/>
                <w:color w:val="auto"/>
                <w:sz w:val="24"/>
                <w:highlight w:val="none"/>
              </w:rPr>
            </w:pPr>
            <w:r>
              <w:rPr>
                <w:rFonts w:hint="eastAsia" w:ascii="宋体" w:hAnsi="宋体" w:cs="宋体"/>
                <w:color w:val="auto"/>
                <w:sz w:val="24"/>
                <w:highlight w:val="none"/>
              </w:rPr>
              <w:t xml:space="preserve">为扩大政府采购金融服务面，除政采云网上金融服务合作银行外，东阳市范围内增加浙商银行金华分行东阳支行作为线下合作银行。   </w:t>
            </w:r>
          </w:p>
          <w:p w14:paraId="35A939B7">
            <w:pPr>
              <w:snapToGrid w:val="0"/>
              <w:rPr>
                <w:rFonts w:hint="eastAsia" w:ascii="宋体" w:hAnsi="宋体"/>
                <w:color w:val="auto"/>
                <w:sz w:val="24"/>
                <w:highlight w:val="none"/>
              </w:rPr>
            </w:pPr>
            <w:r>
              <w:rPr>
                <w:rFonts w:hint="eastAsia" w:ascii="宋体" w:hAnsi="宋体" w:cs="宋体"/>
                <w:color w:val="auto"/>
                <w:sz w:val="24"/>
                <w:highlight w:val="none"/>
              </w:rPr>
              <w:t>浙商银行金华东阳支行联系人：许燕  联系电话：13967983441  0579-86222992</w:t>
            </w:r>
          </w:p>
        </w:tc>
      </w:tr>
      <w:tr w14:paraId="17388E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6" w:hRule="atLeast"/>
        </w:trPr>
        <w:tc>
          <w:tcPr>
            <w:tcW w:w="648" w:type="dxa"/>
            <w:tcBorders>
              <w:top w:val="single" w:color="auto" w:sz="4" w:space="0"/>
              <w:bottom w:val="single" w:color="auto" w:sz="4" w:space="0"/>
              <w:right w:val="single" w:color="auto" w:sz="4" w:space="0"/>
            </w:tcBorders>
            <w:vAlign w:val="center"/>
          </w:tcPr>
          <w:p w14:paraId="44BA6627">
            <w:pPr>
              <w:snapToGrid w:val="0"/>
              <w:jc w:val="center"/>
              <w:rPr>
                <w:rFonts w:hint="eastAsia" w:ascii="宋体" w:hAnsi="宋体" w:eastAsia="宋体"/>
                <w:color w:val="auto"/>
                <w:sz w:val="24"/>
                <w:highlight w:val="none"/>
                <w:lang w:val="en-US"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p>
        </w:tc>
        <w:tc>
          <w:tcPr>
            <w:tcW w:w="8592" w:type="dxa"/>
            <w:tcBorders>
              <w:top w:val="single" w:color="auto" w:sz="4" w:space="0"/>
              <w:left w:val="single" w:color="auto" w:sz="4" w:space="0"/>
              <w:bottom w:val="single" w:color="auto" w:sz="4" w:space="0"/>
            </w:tcBorders>
            <w:vAlign w:val="center"/>
          </w:tcPr>
          <w:p w14:paraId="2D00969B">
            <w:pPr>
              <w:keepNext w:val="0"/>
              <w:keepLines w:val="0"/>
              <w:pageBreakBefore w:val="0"/>
              <w:widowControl w:val="0"/>
              <w:kinsoku/>
              <w:wordWrap/>
              <w:overflowPunct/>
              <w:topLinePunct w:val="0"/>
              <w:autoSpaceDE/>
              <w:autoSpaceDN/>
              <w:bidi w:val="0"/>
              <w:adjustRightInd w:val="0"/>
              <w:snapToGrid w:val="0"/>
              <w:spacing w:line="320" w:lineRule="exact"/>
              <w:jc w:val="left"/>
              <w:textAlignment w:val="auto"/>
              <w:rPr>
                <w:rFonts w:ascii="宋体" w:hAnsi="宋体" w:cs="宋体"/>
                <w:color w:val="auto"/>
                <w:sz w:val="24"/>
                <w:highlight w:val="none"/>
              </w:rPr>
            </w:pPr>
            <w:r>
              <w:rPr>
                <w:rFonts w:hint="eastAsia" w:ascii="宋体" w:hAnsi="宋体" w:cs="宋体"/>
                <w:color w:val="auto"/>
                <w:sz w:val="24"/>
                <w:highlight w:val="none"/>
              </w:rPr>
              <w:t>根据《关于印发&lt;政府采购促进中小企业发展管理办法&gt;的通知》(财库〔2020〕46号)文件、《财政部、司法部关于政府采购支持监狱企业发展有关问题的通知》（财库〔2014〕68号）文件及《财政部、民政部、中国残疾人联合会关于促进残疾人就业政府采购政策的通知》（财库〔2017〕141号）的规定，对小型和微型企业、监狱企业、残疾人福利性单位价格给予20%扣除，用扣除后的价格参与评审，但不重复享受价格扣除。</w:t>
            </w:r>
          </w:p>
          <w:p w14:paraId="46EDEBC1">
            <w:pPr>
              <w:keepNext w:val="0"/>
              <w:keepLines w:val="0"/>
              <w:pageBreakBefore w:val="0"/>
              <w:widowControl w:val="0"/>
              <w:kinsoku/>
              <w:wordWrap/>
              <w:overflowPunct/>
              <w:topLinePunct w:val="0"/>
              <w:autoSpaceDE/>
              <w:autoSpaceDN/>
              <w:bidi w:val="0"/>
              <w:adjustRightInd w:val="0"/>
              <w:snapToGrid w:val="0"/>
              <w:spacing w:line="320" w:lineRule="exact"/>
              <w:jc w:val="left"/>
              <w:textAlignment w:val="auto"/>
              <w:rPr>
                <w:rFonts w:ascii="宋体" w:hAnsi="宋体" w:cs="宋体"/>
                <w:color w:val="auto"/>
                <w:sz w:val="24"/>
                <w:highlight w:val="none"/>
              </w:rPr>
            </w:pPr>
            <w:r>
              <w:rPr>
                <w:rFonts w:hint="eastAsia" w:ascii="宋体" w:hAnsi="宋体" w:cs="宋体"/>
                <w:color w:val="auto"/>
                <w:sz w:val="24"/>
                <w:highlight w:val="none"/>
              </w:rPr>
              <w:t>大中型企业与小微企业组成联合体或者允许大中型企业向一家或者多家小微企业分包的政府采购货物或服务项目，对于联合体协议或者分包意向协议约定小微企业的合同份额占到合同总金额40%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67F1829C">
            <w:pPr>
              <w:widowControl/>
              <w:snapToGrid w:val="0"/>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小型和微型企业是指投标文件中提供了中小企业声明函且符合《关于印发&lt;政府采购促进中小企业发展管理办法&gt;的通知》(财库〔2020〕46号)规定的要求。残疾人福利性单位是指投标文件中提供了残疾人福利性单位声明函且符合《财政部、民政部、中国残疾人联合会关于促进残疾人就业政府采购政策的通知》（财库〔2017〕141号）规定的企业。监狱企业是指投标文件中提供了由省级以上监狱管理局、戒毒管理局（含新疆生产建设兵团）出具的属于监狱企业的证明文件的企业。</w:t>
            </w:r>
          </w:p>
        </w:tc>
      </w:tr>
      <w:tr w14:paraId="08B539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86" w:hRule="atLeast"/>
        </w:trPr>
        <w:tc>
          <w:tcPr>
            <w:tcW w:w="648" w:type="dxa"/>
            <w:tcBorders>
              <w:top w:val="single" w:color="auto" w:sz="4" w:space="0"/>
              <w:bottom w:val="single" w:color="auto" w:sz="4" w:space="0"/>
              <w:right w:val="single" w:color="auto" w:sz="4" w:space="0"/>
            </w:tcBorders>
            <w:vAlign w:val="center"/>
          </w:tcPr>
          <w:p w14:paraId="13308038">
            <w:pPr>
              <w:snapToGrid w:val="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17</w:t>
            </w:r>
          </w:p>
        </w:tc>
        <w:tc>
          <w:tcPr>
            <w:tcW w:w="8592" w:type="dxa"/>
            <w:tcBorders>
              <w:top w:val="single" w:color="auto" w:sz="4" w:space="0"/>
              <w:left w:val="single" w:color="auto" w:sz="4" w:space="0"/>
              <w:bottom w:val="single" w:color="auto" w:sz="4" w:space="0"/>
            </w:tcBorders>
            <w:vAlign w:val="center"/>
          </w:tcPr>
          <w:p w14:paraId="0377998E">
            <w:pPr>
              <w:keepNext w:val="0"/>
              <w:keepLines w:val="0"/>
              <w:pageBreakBefore w:val="0"/>
              <w:widowControl w:val="0"/>
              <w:kinsoku/>
              <w:wordWrap/>
              <w:overflowPunct/>
              <w:topLinePunct w:val="0"/>
              <w:autoSpaceDE/>
              <w:autoSpaceDN/>
              <w:bidi w:val="0"/>
              <w:adjustRightInd w:val="0"/>
              <w:snapToGrid w:val="0"/>
              <w:spacing w:line="320" w:lineRule="exact"/>
              <w:jc w:val="left"/>
              <w:textAlignment w:val="auto"/>
              <w:rPr>
                <w:rFonts w:ascii="宋体" w:hAnsi="宋体" w:cs="宋体"/>
                <w:color w:val="auto"/>
                <w:sz w:val="24"/>
                <w:highlight w:val="none"/>
              </w:rPr>
            </w:pPr>
            <w:r>
              <w:rPr>
                <w:rFonts w:hint="eastAsia" w:ascii="宋体" w:hAnsi="宋体" w:cs="宋体"/>
                <w:color w:val="auto"/>
                <w:sz w:val="24"/>
                <w:highlight w:val="none"/>
              </w:rPr>
              <w:t>根据《关于在政府采购活动中查询及使用信用记录有关问题的通知》财库[2016]125号的规定：</w:t>
            </w:r>
          </w:p>
          <w:p w14:paraId="3D57EA7A">
            <w:pPr>
              <w:keepNext w:val="0"/>
              <w:keepLines w:val="0"/>
              <w:pageBreakBefore w:val="0"/>
              <w:widowControl w:val="0"/>
              <w:kinsoku/>
              <w:wordWrap/>
              <w:overflowPunct/>
              <w:topLinePunct w:val="0"/>
              <w:autoSpaceDE/>
              <w:autoSpaceDN/>
              <w:bidi w:val="0"/>
              <w:adjustRightInd w:val="0"/>
              <w:snapToGrid w:val="0"/>
              <w:spacing w:line="320" w:lineRule="exact"/>
              <w:jc w:val="left"/>
              <w:textAlignment w:val="auto"/>
              <w:rPr>
                <w:rFonts w:ascii="宋体" w:hAnsi="宋体" w:cs="宋体"/>
                <w:color w:val="auto"/>
                <w:sz w:val="24"/>
                <w:highlight w:val="none"/>
              </w:rPr>
            </w:pPr>
            <w:r>
              <w:rPr>
                <w:rFonts w:hint="eastAsia" w:ascii="宋体" w:hAnsi="宋体" w:cs="宋体"/>
                <w:color w:val="auto"/>
                <w:sz w:val="24"/>
                <w:highlight w:val="none"/>
              </w:rPr>
              <w:t>（1）招标人或采购代理机构将对本项目供应商的信用记录进行查询。查询渠道为信用中国网站（www.creditchina.gov.cn）、中国政府采购网（www.ccgp.gov.cn）；</w:t>
            </w:r>
          </w:p>
          <w:p w14:paraId="15FC26D5">
            <w:pPr>
              <w:keepNext w:val="0"/>
              <w:keepLines w:val="0"/>
              <w:pageBreakBefore w:val="0"/>
              <w:widowControl w:val="0"/>
              <w:kinsoku/>
              <w:wordWrap/>
              <w:overflowPunct/>
              <w:topLinePunct w:val="0"/>
              <w:autoSpaceDE/>
              <w:autoSpaceDN/>
              <w:bidi w:val="0"/>
              <w:adjustRightInd w:val="0"/>
              <w:snapToGrid w:val="0"/>
              <w:spacing w:line="320" w:lineRule="exact"/>
              <w:jc w:val="left"/>
              <w:textAlignment w:val="auto"/>
              <w:rPr>
                <w:rFonts w:ascii="宋体" w:hAnsi="宋体" w:cs="宋体"/>
                <w:color w:val="auto"/>
                <w:sz w:val="24"/>
                <w:highlight w:val="none"/>
              </w:rPr>
            </w:pPr>
            <w:r>
              <w:rPr>
                <w:rFonts w:hint="eastAsia" w:ascii="宋体" w:hAnsi="宋体" w:cs="宋体"/>
                <w:color w:val="auto"/>
                <w:sz w:val="24"/>
                <w:highlight w:val="none"/>
              </w:rPr>
              <w:t>（2）截止时点：提交投标文件（响应文件）截止时间前3年内；</w:t>
            </w:r>
          </w:p>
          <w:p w14:paraId="3A563D41">
            <w:pPr>
              <w:keepNext w:val="0"/>
              <w:keepLines w:val="0"/>
              <w:pageBreakBefore w:val="0"/>
              <w:widowControl w:val="0"/>
              <w:kinsoku/>
              <w:wordWrap/>
              <w:overflowPunct/>
              <w:topLinePunct w:val="0"/>
              <w:autoSpaceDE/>
              <w:autoSpaceDN/>
              <w:bidi w:val="0"/>
              <w:adjustRightInd w:val="0"/>
              <w:snapToGrid w:val="0"/>
              <w:spacing w:line="320" w:lineRule="exact"/>
              <w:jc w:val="left"/>
              <w:textAlignment w:val="auto"/>
              <w:rPr>
                <w:rFonts w:ascii="宋体" w:hAnsi="宋体" w:cs="宋体"/>
                <w:color w:val="auto"/>
                <w:sz w:val="24"/>
                <w:highlight w:val="none"/>
              </w:rPr>
            </w:pPr>
            <w:r>
              <w:rPr>
                <w:rFonts w:hint="eastAsia" w:ascii="宋体" w:hAnsi="宋体" w:cs="宋体"/>
                <w:color w:val="auto"/>
                <w:sz w:val="24"/>
                <w:highlight w:val="none"/>
              </w:rPr>
              <w:t>（3）查询记录和证据的留存：信用信息查询记录和证据以网页截图等方式留存。</w:t>
            </w:r>
          </w:p>
          <w:p w14:paraId="3A3F613F">
            <w:pPr>
              <w:keepNext w:val="0"/>
              <w:keepLines w:val="0"/>
              <w:pageBreakBefore w:val="0"/>
              <w:widowControl w:val="0"/>
              <w:kinsoku/>
              <w:wordWrap/>
              <w:overflowPunct/>
              <w:topLinePunct w:val="0"/>
              <w:autoSpaceDE/>
              <w:autoSpaceDN/>
              <w:bidi w:val="0"/>
              <w:adjustRightInd w:val="0"/>
              <w:snapToGrid w:val="0"/>
              <w:spacing w:line="320" w:lineRule="exact"/>
              <w:jc w:val="left"/>
              <w:textAlignment w:val="auto"/>
              <w:rPr>
                <w:rFonts w:ascii="宋体" w:hAnsi="宋体" w:cs="宋体"/>
                <w:color w:val="auto"/>
                <w:sz w:val="24"/>
                <w:highlight w:val="none"/>
              </w:rPr>
            </w:pPr>
            <w:r>
              <w:rPr>
                <w:rFonts w:hint="eastAsia" w:ascii="宋体" w:hAnsi="宋体" w:cs="宋体"/>
                <w:color w:val="auto"/>
                <w:sz w:val="24"/>
                <w:highlight w:val="none"/>
              </w:rPr>
              <w:t>（4）使用规则：被列入失信被执行人、重大税收违法案件当事人名单、政府采购严重违法失信行为记录名单及</w:t>
            </w:r>
            <w:r>
              <w:rPr>
                <w:rFonts w:hint="eastAsia" w:ascii="宋体" w:hAnsi="宋体" w:cs="宋体"/>
                <w:color w:val="auto"/>
                <w:sz w:val="24"/>
                <w:highlight w:val="none"/>
                <w:lang w:eastAsia="zh-CN"/>
              </w:rPr>
              <w:t>其他</w:t>
            </w:r>
            <w:r>
              <w:rPr>
                <w:rFonts w:hint="eastAsia" w:ascii="宋体" w:hAnsi="宋体" w:cs="宋体"/>
                <w:color w:val="auto"/>
                <w:sz w:val="24"/>
                <w:highlight w:val="none"/>
              </w:rPr>
              <w:t>不符合《中华人民共和国政府采购法》第二十二条规定条件的，其投标将被拒绝。</w:t>
            </w:r>
          </w:p>
          <w:p w14:paraId="3AB6297D">
            <w:pPr>
              <w:keepNext w:val="0"/>
              <w:keepLines w:val="0"/>
              <w:pageBreakBefore w:val="0"/>
              <w:widowControl w:val="0"/>
              <w:kinsoku/>
              <w:wordWrap/>
              <w:overflowPunct/>
              <w:topLinePunct w:val="0"/>
              <w:autoSpaceDE/>
              <w:autoSpaceDN/>
              <w:bidi w:val="0"/>
              <w:adjustRightInd w:val="0"/>
              <w:snapToGrid w:val="0"/>
              <w:spacing w:line="320" w:lineRule="exact"/>
              <w:jc w:val="left"/>
              <w:textAlignment w:val="auto"/>
              <w:rPr>
                <w:rFonts w:hint="eastAsia" w:ascii="宋体" w:hAnsi="宋体" w:cs="宋体"/>
                <w:color w:val="auto"/>
                <w:sz w:val="24"/>
                <w:szCs w:val="24"/>
                <w:highlight w:val="none"/>
              </w:rPr>
            </w:pPr>
            <w:r>
              <w:rPr>
                <w:rFonts w:hint="eastAsia" w:ascii="宋体" w:hAnsi="宋体" w:cs="宋体"/>
                <w:color w:val="auto"/>
                <w:sz w:val="24"/>
                <w:highlight w:val="none"/>
              </w:rPr>
              <w:t>（5）联合体成员任意一方存在不良信用记录的，视同联合体存在不良信用记录。</w:t>
            </w:r>
          </w:p>
        </w:tc>
      </w:tr>
      <w:tr w14:paraId="35FA6B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86" w:hRule="atLeast"/>
        </w:trPr>
        <w:tc>
          <w:tcPr>
            <w:tcW w:w="648" w:type="dxa"/>
            <w:tcBorders>
              <w:top w:val="single" w:color="auto" w:sz="4" w:space="0"/>
              <w:bottom w:val="single" w:color="auto" w:sz="4" w:space="0"/>
              <w:right w:val="single" w:color="auto" w:sz="4" w:space="0"/>
            </w:tcBorders>
            <w:vAlign w:val="center"/>
          </w:tcPr>
          <w:p w14:paraId="0F9F0D7D">
            <w:pPr>
              <w:snapToGrid w:val="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18</w:t>
            </w:r>
          </w:p>
        </w:tc>
        <w:tc>
          <w:tcPr>
            <w:tcW w:w="8592" w:type="dxa"/>
            <w:tcBorders>
              <w:top w:val="single" w:color="auto" w:sz="4" w:space="0"/>
              <w:left w:val="single" w:color="auto" w:sz="4" w:space="0"/>
              <w:bottom w:val="single" w:color="auto" w:sz="4" w:space="0"/>
            </w:tcBorders>
            <w:vAlign w:val="center"/>
          </w:tcPr>
          <w:p w14:paraId="5A6D80E8">
            <w:pPr>
              <w:keepNext w:val="0"/>
              <w:keepLines w:val="0"/>
              <w:pageBreakBefore w:val="0"/>
              <w:widowControl w:val="0"/>
              <w:kinsoku/>
              <w:wordWrap/>
              <w:overflowPunct/>
              <w:topLinePunct w:val="0"/>
              <w:autoSpaceDE/>
              <w:autoSpaceDN/>
              <w:bidi w:val="0"/>
              <w:adjustRightInd w:val="0"/>
              <w:snapToGrid w:val="0"/>
              <w:spacing w:line="320" w:lineRule="exact"/>
              <w:jc w:val="left"/>
              <w:textAlignment w:val="auto"/>
              <w:rPr>
                <w:rFonts w:hint="eastAsia" w:ascii="宋体" w:hAnsi="宋体" w:cs="宋体"/>
                <w:color w:val="auto"/>
                <w:sz w:val="24"/>
                <w:szCs w:val="24"/>
                <w:highlight w:val="none"/>
              </w:rPr>
            </w:pPr>
            <w:r>
              <w:rPr>
                <w:rFonts w:hint="eastAsia" w:ascii="宋体" w:hAnsi="宋体" w:cs="宋体"/>
                <w:color w:val="auto"/>
                <w:sz w:val="24"/>
                <w:highlight w:val="none"/>
              </w:rPr>
              <w:t>根据《关于印发中小企业划型标准规定的通知》（工信部联企业〔2011〕300号）,采购标的对应的中小企业划分标准所属行业，本项目属于软件和信息技术服务业；备注：现行中小企业划分标准行业包括农、林、牧、渔业，工业，建筑业，批发业，零售业，交通运输业，仓储业，邮政业，住宿业，餐饮业，信息传输业，软件和信息技术服务业，房地产开发经营，物业管理，租赁和商业服务业和其他未列明行业等十六类。</w:t>
            </w:r>
          </w:p>
        </w:tc>
      </w:tr>
      <w:tr w14:paraId="3F9B90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86" w:hRule="atLeast"/>
        </w:trPr>
        <w:tc>
          <w:tcPr>
            <w:tcW w:w="648" w:type="dxa"/>
            <w:tcBorders>
              <w:top w:val="single" w:color="auto" w:sz="4" w:space="0"/>
              <w:bottom w:val="single" w:color="auto" w:sz="4" w:space="0"/>
              <w:right w:val="single" w:color="auto" w:sz="4" w:space="0"/>
            </w:tcBorders>
            <w:vAlign w:val="center"/>
          </w:tcPr>
          <w:p w14:paraId="6EB8CE0D">
            <w:pPr>
              <w:snapToGrid w:val="0"/>
              <w:jc w:val="center"/>
              <w:rPr>
                <w:rFonts w:hint="eastAsia" w:ascii="宋体" w:hAnsi="宋体" w:eastAsia="宋体"/>
                <w:color w:val="auto"/>
                <w:sz w:val="24"/>
                <w:highlight w:val="none"/>
                <w:lang w:val="en-US"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9</w:t>
            </w:r>
          </w:p>
        </w:tc>
        <w:tc>
          <w:tcPr>
            <w:tcW w:w="8592" w:type="dxa"/>
            <w:tcBorders>
              <w:top w:val="single" w:color="auto" w:sz="4" w:space="0"/>
              <w:left w:val="single" w:color="auto" w:sz="4" w:space="0"/>
              <w:bottom w:val="single" w:color="auto" w:sz="4" w:space="0"/>
            </w:tcBorders>
            <w:vAlign w:val="center"/>
          </w:tcPr>
          <w:p w14:paraId="066B2502">
            <w:pPr>
              <w:pStyle w:val="6"/>
              <w:spacing w:line="24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节能产品：</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 xml:space="preserve"> 强制采购节能产品  </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 xml:space="preserve"> 优先采购节能产品   </w:t>
            </w:r>
            <w:r>
              <w:rPr>
                <w:rFonts w:hint="eastAsia" w:ascii="宋体" w:hAnsi="宋体" w:cs="宋体"/>
                <w:color w:val="auto"/>
                <w:sz w:val="24"/>
                <w:szCs w:val="24"/>
                <w:highlight w:val="none"/>
              </w:rPr>
              <w:sym w:font="Wingdings" w:char="00FE"/>
            </w:r>
            <w:r>
              <w:rPr>
                <w:rFonts w:hint="eastAsia" w:ascii="宋体" w:hAnsi="宋体" w:cs="宋体"/>
                <w:color w:val="auto"/>
                <w:sz w:val="24"/>
                <w:szCs w:val="24"/>
                <w:highlight w:val="none"/>
              </w:rPr>
              <w:t xml:space="preserve"> 不适用</w:t>
            </w:r>
          </w:p>
          <w:p w14:paraId="4695E2CC">
            <w:pPr>
              <w:pStyle w:val="6"/>
              <w:spacing w:line="240" w:lineRule="auto"/>
              <w:rPr>
                <w:rFonts w:hint="eastAsia" w:ascii="宋体" w:hAnsi="宋体" w:cs="宋体"/>
                <w:color w:val="auto"/>
                <w:sz w:val="24"/>
                <w:highlight w:val="none"/>
              </w:rPr>
            </w:pPr>
            <w:r>
              <w:rPr>
                <w:rFonts w:hint="eastAsia" w:ascii="宋体" w:hAnsi="宋体" w:cs="宋体"/>
                <w:color w:val="auto"/>
                <w:sz w:val="24"/>
                <w:szCs w:val="24"/>
                <w:highlight w:val="none"/>
              </w:rPr>
              <w:t xml:space="preserve">环境标志产品： </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 xml:space="preserve"> 优先采购环境标志产品   </w:t>
            </w:r>
            <w:r>
              <w:rPr>
                <w:rFonts w:hint="eastAsia" w:ascii="宋体" w:hAnsi="宋体" w:cs="宋体"/>
                <w:color w:val="auto"/>
                <w:sz w:val="24"/>
                <w:szCs w:val="24"/>
                <w:highlight w:val="none"/>
              </w:rPr>
              <w:sym w:font="Wingdings" w:char="00FE"/>
            </w:r>
            <w:r>
              <w:rPr>
                <w:rFonts w:hint="eastAsia" w:ascii="宋体" w:hAnsi="宋体" w:cs="宋体"/>
                <w:color w:val="auto"/>
                <w:sz w:val="24"/>
                <w:szCs w:val="24"/>
                <w:highlight w:val="none"/>
              </w:rPr>
              <w:t xml:space="preserve"> 不适用</w:t>
            </w:r>
          </w:p>
        </w:tc>
      </w:tr>
      <w:tr w14:paraId="457F53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6" w:hRule="atLeast"/>
        </w:trPr>
        <w:tc>
          <w:tcPr>
            <w:tcW w:w="648" w:type="dxa"/>
            <w:tcBorders>
              <w:top w:val="single" w:color="auto" w:sz="4" w:space="0"/>
              <w:bottom w:val="single" w:color="auto" w:sz="4" w:space="0"/>
              <w:right w:val="single" w:color="auto" w:sz="4" w:space="0"/>
            </w:tcBorders>
            <w:vAlign w:val="center"/>
          </w:tcPr>
          <w:p w14:paraId="05241BD5">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宋体" w:hAnsi="宋体" w:eastAsia="宋体"/>
                <w:color w:val="auto"/>
                <w:sz w:val="24"/>
                <w:highlight w:val="none"/>
                <w:lang w:val="en-US" w:eastAsia="zh-CN"/>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0</w:t>
            </w:r>
          </w:p>
        </w:tc>
        <w:tc>
          <w:tcPr>
            <w:tcW w:w="8592" w:type="dxa"/>
            <w:tcBorders>
              <w:top w:val="single" w:color="auto" w:sz="4" w:space="0"/>
              <w:left w:val="single" w:color="auto" w:sz="4" w:space="0"/>
              <w:bottom w:val="single" w:color="auto" w:sz="4" w:space="0"/>
            </w:tcBorders>
            <w:vAlign w:val="center"/>
          </w:tcPr>
          <w:p w14:paraId="231299B4">
            <w:pPr>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ascii="宋体" w:hAnsi="宋体" w:cs="宋体"/>
                <w:color w:val="auto"/>
                <w:sz w:val="24"/>
                <w:highlight w:val="none"/>
              </w:rPr>
            </w:pPr>
            <w:r>
              <w:rPr>
                <w:rFonts w:hint="eastAsia" w:ascii="宋体" w:hAnsi="宋体" w:cs="宋体"/>
                <w:color w:val="auto"/>
                <w:sz w:val="24"/>
                <w:highlight w:val="none"/>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9F9BE80">
            <w:pPr>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ascii="宋体" w:hAnsi="宋体" w:cs="宋体"/>
                <w:color w:val="auto"/>
                <w:sz w:val="24"/>
                <w:highlight w:val="none"/>
              </w:rPr>
            </w:pPr>
            <w:r>
              <w:rPr>
                <w:rFonts w:hint="eastAsia" w:ascii="宋体" w:hAnsi="宋体" w:cs="宋体"/>
                <w:color w:val="auto"/>
                <w:sz w:val="24"/>
                <w:highlight w:val="none"/>
              </w:rPr>
              <w:t>2.采购人可以邀请参加本项目的其他供应商或者第三方机构参与验收。参与验收的供应商或者第三方机构的意见作为验收书的参考资料一并存档。</w:t>
            </w:r>
          </w:p>
          <w:p w14:paraId="601D55BE">
            <w:pPr>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ascii="宋体" w:hAnsi="宋体" w:cs="宋体"/>
                <w:color w:val="auto"/>
                <w:sz w:val="24"/>
                <w:highlight w:val="none"/>
              </w:rPr>
            </w:pPr>
            <w:r>
              <w:rPr>
                <w:rFonts w:hint="eastAsia" w:ascii="宋体" w:hAnsi="宋体" w:cs="宋体"/>
                <w:color w:val="auto"/>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B3B1816">
            <w:pPr>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ascii="宋体" w:hAnsi="宋体" w:cs="宋体"/>
                <w:color w:val="auto"/>
                <w:sz w:val="24"/>
                <w:highlight w:val="none"/>
              </w:rPr>
            </w:pPr>
            <w:r>
              <w:rPr>
                <w:rFonts w:hint="eastAsia" w:ascii="宋体" w:hAnsi="宋体" w:cs="宋体"/>
                <w:color w:val="auto"/>
                <w:sz w:val="24"/>
                <w:highlight w:val="none"/>
              </w:rPr>
              <w:t>4.采购人原则上应当在履约验收之日起2个工作日内，将履约验收结果在浙江政府采购网上公告。</w:t>
            </w:r>
          </w:p>
          <w:p w14:paraId="7E30801D">
            <w:pPr>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ascii="宋体" w:hAnsi="宋体" w:cs="宋体"/>
                <w:color w:val="auto"/>
                <w:sz w:val="24"/>
                <w:highlight w:val="none"/>
              </w:rPr>
            </w:pPr>
            <w:r>
              <w:rPr>
                <w:rFonts w:hint="eastAsia" w:ascii="宋体" w:hAnsi="宋体" w:cs="宋体"/>
                <w:color w:val="auto"/>
                <w:sz w:val="24"/>
                <w:highlight w:val="none"/>
              </w:rPr>
              <w:t>5.验收合格的项目，采购人将根据采购合同的约定及时向供应商支付采购资金、退还履约保证金。</w:t>
            </w:r>
          </w:p>
          <w:p w14:paraId="5550F60E">
            <w:pPr>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eastAsia" w:ascii="宋体" w:hAnsi="宋体" w:cs="宋体"/>
                <w:color w:val="auto"/>
                <w:sz w:val="24"/>
                <w:highlight w:val="none"/>
              </w:rPr>
            </w:pPr>
            <w:r>
              <w:rPr>
                <w:rFonts w:hint="eastAsia" w:ascii="宋体" w:hAnsi="宋体" w:cs="宋体"/>
                <w:color w:val="auto"/>
                <w:sz w:val="24"/>
                <w:highlight w:val="none"/>
              </w:rPr>
              <w:t>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tc>
      </w:tr>
      <w:tr w14:paraId="403784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9" w:hRule="atLeast"/>
        </w:trPr>
        <w:tc>
          <w:tcPr>
            <w:tcW w:w="648" w:type="dxa"/>
            <w:tcBorders>
              <w:top w:val="single" w:color="auto" w:sz="4" w:space="0"/>
              <w:bottom w:val="single" w:color="auto" w:sz="4" w:space="0"/>
              <w:right w:val="single" w:color="auto" w:sz="4" w:space="0"/>
            </w:tcBorders>
            <w:vAlign w:val="center"/>
          </w:tcPr>
          <w:p w14:paraId="34B6B0BF">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宋体" w:hAnsi="宋体" w:eastAsia="宋体"/>
                <w:color w:val="auto"/>
                <w:sz w:val="24"/>
                <w:highlight w:val="none"/>
                <w:lang w:val="en-US" w:eastAsia="zh-CN"/>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p>
        </w:tc>
        <w:tc>
          <w:tcPr>
            <w:tcW w:w="8592" w:type="dxa"/>
            <w:tcBorders>
              <w:top w:val="single" w:color="auto" w:sz="4" w:space="0"/>
              <w:left w:val="single" w:color="auto" w:sz="4" w:space="0"/>
              <w:bottom w:val="single" w:color="auto" w:sz="4" w:space="0"/>
            </w:tcBorders>
            <w:vAlign w:val="center"/>
          </w:tcPr>
          <w:p w14:paraId="6D0E920C">
            <w:pPr>
              <w:keepNext w:val="0"/>
              <w:keepLines w:val="0"/>
              <w:pageBreakBefore w:val="0"/>
              <w:widowControl w:val="0"/>
              <w:kinsoku/>
              <w:wordWrap/>
              <w:overflowPunct/>
              <w:topLinePunct w:val="0"/>
              <w:autoSpaceDE/>
              <w:autoSpaceDN/>
              <w:bidi w:val="0"/>
              <w:adjustRightInd w:val="0"/>
              <w:snapToGrid w:val="0"/>
              <w:spacing w:line="320" w:lineRule="exact"/>
              <w:jc w:val="left"/>
              <w:textAlignment w:val="auto"/>
              <w:rPr>
                <w:rFonts w:hint="eastAsia"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解释：</w:t>
            </w:r>
            <w:r>
              <w:rPr>
                <w:rFonts w:hint="eastAsia" w:ascii="宋体" w:hAnsi="宋体" w:cs="宋体"/>
                <w:color w:val="auto"/>
                <w:sz w:val="24"/>
                <w:highlight w:val="none"/>
              </w:rPr>
              <w:t>采购人和招标代理机构的任何工作人员对投标人所作的任何口头解释、介绍、答复，仅供投标人参考，不作为招标依据，对采购人、招标代理机构和投标人无任何约束力，一切以网上公告及书面形式为准。</w:t>
            </w:r>
          </w:p>
        </w:tc>
      </w:tr>
    </w:tbl>
    <w:p w14:paraId="7A8FA893">
      <w:pPr>
        <w:rPr>
          <w:color w:val="auto"/>
          <w:highlight w:val="none"/>
        </w:rPr>
      </w:pPr>
    </w:p>
    <w:p w14:paraId="49AD3966">
      <w:pPr>
        <w:snapToGrid w:val="0"/>
        <w:spacing w:line="480" w:lineRule="auto"/>
        <w:rPr>
          <w:rFonts w:hint="eastAsia" w:ascii="宋体" w:hAnsi="宋体" w:cs="宋体"/>
          <w:b/>
          <w:color w:val="auto"/>
          <w:sz w:val="24"/>
          <w:highlight w:val="none"/>
        </w:rPr>
      </w:pPr>
      <w:r>
        <w:rPr>
          <w:rFonts w:hint="eastAsia" w:ascii="宋体" w:hAnsi="宋体" w:cs="宋体"/>
          <w:b/>
          <w:color w:val="auto"/>
          <w:sz w:val="24"/>
          <w:highlight w:val="none"/>
        </w:rPr>
        <w:t>注：如本招标文件后面的条款与本表有矛盾的以本表的内容为准。</w:t>
      </w:r>
    </w:p>
    <w:p w14:paraId="7BE88934">
      <w:pPr>
        <w:pStyle w:val="26"/>
        <w:snapToGrid w:val="0"/>
        <w:spacing w:before="120" w:after="120" w:line="360" w:lineRule="auto"/>
        <w:rPr>
          <w:rFonts w:hint="eastAsia" w:hAnsi="宋体"/>
          <w:b/>
          <w:color w:val="auto"/>
          <w:sz w:val="28"/>
          <w:szCs w:val="28"/>
          <w:highlight w:val="none"/>
        </w:rPr>
      </w:pPr>
    </w:p>
    <w:p w14:paraId="0B5294A4">
      <w:pPr>
        <w:pStyle w:val="26"/>
        <w:snapToGrid w:val="0"/>
        <w:spacing w:before="120" w:after="120" w:line="360" w:lineRule="auto"/>
        <w:rPr>
          <w:rFonts w:hint="eastAsia" w:hAnsi="宋体"/>
          <w:b/>
          <w:color w:val="auto"/>
          <w:sz w:val="28"/>
          <w:szCs w:val="28"/>
          <w:highlight w:val="none"/>
        </w:rPr>
      </w:pPr>
    </w:p>
    <w:p w14:paraId="1611DF5F">
      <w:pPr>
        <w:pStyle w:val="26"/>
        <w:snapToGrid w:val="0"/>
        <w:spacing w:before="120" w:after="120" w:line="360" w:lineRule="auto"/>
        <w:rPr>
          <w:rFonts w:hint="eastAsia" w:hAnsi="宋体"/>
          <w:b/>
          <w:color w:val="auto"/>
          <w:sz w:val="28"/>
          <w:szCs w:val="28"/>
          <w:highlight w:val="none"/>
        </w:rPr>
      </w:pPr>
    </w:p>
    <w:p w14:paraId="5E72A043">
      <w:pPr>
        <w:pStyle w:val="26"/>
        <w:snapToGrid w:val="0"/>
        <w:spacing w:before="120" w:after="120" w:line="360" w:lineRule="auto"/>
        <w:rPr>
          <w:rFonts w:hint="eastAsia" w:hAnsi="宋体"/>
          <w:b/>
          <w:color w:val="auto"/>
          <w:sz w:val="28"/>
          <w:szCs w:val="28"/>
          <w:highlight w:val="none"/>
        </w:rPr>
      </w:pPr>
    </w:p>
    <w:p w14:paraId="0D49DAE3">
      <w:pPr>
        <w:pStyle w:val="26"/>
        <w:snapToGrid w:val="0"/>
        <w:spacing w:before="120" w:after="120" w:line="360" w:lineRule="auto"/>
        <w:rPr>
          <w:rFonts w:hint="eastAsia" w:hAnsi="宋体"/>
          <w:b/>
          <w:color w:val="auto"/>
          <w:sz w:val="28"/>
          <w:szCs w:val="28"/>
          <w:highlight w:val="none"/>
        </w:rPr>
      </w:pPr>
    </w:p>
    <w:p w14:paraId="2EC1D4F1">
      <w:pPr>
        <w:pStyle w:val="26"/>
        <w:snapToGrid w:val="0"/>
        <w:spacing w:before="120" w:after="120" w:line="360" w:lineRule="auto"/>
        <w:rPr>
          <w:rFonts w:hint="eastAsia" w:hAnsi="宋体"/>
          <w:b/>
          <w:color w:val="auto"/>
          <w:sz w:val="28"/>
          <w:szCs w:val="28"/>
          <w:highlight w:val="none"/>
        </w:rPr>
      </w:pPr>
    </w:p>
    <w:p w14:paraId="6C5C2BFA">
      <w:pPr>
        <w:pStyle w:val="26"/>
        <w:snapToGrid w:val="0"/>
        <w:spacing w:before="120" w:after="120" w:line="360" w:lineRule="auto"/>
        <w:rPr>
          <w:rFonts w:hint="eastAsia" w:hAnsi="宋体"/>
          <w:b/>
          <w:color w:val="auto"/>
          <w:sz w:val="28"/>
          <w:szCs w:val="28"/>
          <w:highlight w:val="none"/>
        </w:rPr>
      </w:pPr>
    </w:p>
    <w:p w14:paraId="614783EF">
      <w:pPr>
        <w:pStyle w:val="26"/>
        <w:snapToGrid w:val="0"/>
        <w:spacing w:before="120" w:after="120" w:line="360" w:lineRule="auto"/>
        <w:rPr>
          <w:rFonts w:hint="eastAsia" w:hAnsi="宋体"/>
          <w:b/>
          <w:color w:val="auto"/>
          <w:sz w:val="28"/>
          <w:szCs w:val="28"/>
          <w:highlight w:val="none"/>
        </w:rPr>
      </w:pPr>
    </w:p>
    <w:p w14:paraId="32D35CB4">
      <w:pPr>
        <w:pStyle w:val="26"/>
        <w:snapToGrid w:val="0"/>
        <w:spacing w:before="120" w:after="120" w:line="360" w:lineRule="auto"/>
        <w:rPr>
          <w:rFonts w:hint="eastAsia" w:hAnsi="宋体"/>
          <w:b/>
          <w:color w:val="auto"/>
          <w:sz w:val="28"/>
          <w:szCs w:val="28"/>
          <w:highlight w:val="none"/>
        </w:rPr>
      </w:pPr>
    </w:p>
    <w:p w14:paraId="39191894">
      <w:pPr>
        <w:pStyle w:val="26"/>
        <w:snapToGrid w:val="0"/>
        <w:spacing w:before="120" w:after="120" w:line="360" w:lineRule="auto"/>
        <w:rPr>
          <w:rFonts w:hint="eastAsia" w:hAnsi="宋体"/>
          <w:b/>
          <w:color w:val="auto"/>
          <w:sz w:val="28"/>
          <w:szCs w:val="28"/>
          <w:highlight w:val="none"/>
        </w:rPr>
      </w:pPr>
    </w:p>
    <w:p w14:paraId="794BFBF9">
      <w:pPr>
        <w:pStyle w:val="26"/>
        <w:snapToGrid w:val="0"/>
        <w:spacing w:before="120" w:after="120" w:line="360" w:lineRule="auto"/>
        <w:rPr>
          <w:rFonts w:hint="eastAsia" w:hAnsi="宋体"/>
          <w:b/>
          <w:color w:val="auto"/>
          <w:sz w:val="28"/>
          <w:szCs w:val="28"/>
          <w:highlight w:val="none"/>
        </w:rPr>
      </w:pPr>
    </w:p>
    <w:p w14:paraId="7C4E91BB">
      <w:pPr>
        <w:pStyle w:val="26"/>
        <w:snapToGrid w:val="0"/>
        <w:spacing w:before="120" w:after="120" w:line="360" w:lineRule="auto"/>
        <w:rPr>
          <w:rFonts w:hint="eastAsia" w:hAnsi="宋体"/>
          <w:b/>
          <w:color w:val="auto"/>
          <w:sz w:val="28"/>
          <w:szCs w:val="28"/>
          <w:highlight w:val="none"/>
        </w:rPr>
      </w:pPr>
    </w:p>
    <w:p w14:paraId="0A57A309">
      <w:pPr>
        <w:pStyle w:val="26"/>
        <w:snapToGrid w:val="0"/>
        <w:spacing w:before="120" w:after="120" w:line="360" w:lineRule="auto"/>
        <w:rPr>
          <w:rFonts w:hint="eastAsia" w:hAnsi="宋体"/>
          <w:b/>
          <w:color w:val="auto"/>
          <w:sz w:val="28"/>
          <w:szCs w:val="28"/>
          <w:highlight w:val="none"/>
        </w:rPr>
      </w:pPr>
    </w:p>
    <w:p w14:paraId="33B91E17">
      <w:pPr>
        <w:pStyle w:val="26"/>
        <w:snapToGrid w:val="0"/>
        <w:spacing w:before="120" w:after="120" w:line="360" w:lineRule="auto"/>
        <w:rPr>
          <w:rFonts w:hAnsi="宋体"/>
          <w:b/>
          <w:color w:val="auto"/>
          <w:sz w:val="28"/>
          <w:szCs w:val="28"/>
          <w:highlight w:val="none"/>
        </w:rPr>
      </w:pPr>
      <w:r>
        <w:rPr>
          <w:rFonts w:hint="eastAsia" w:hAnsi="宋体"/>
          <w:b/>
          <w:color w:val="auto"/>
          <w:sz w:val="28"/>
          <w:szCs w:val="28"/>
          <w:highlight w:val="none"/>
        </w:rPr>
        <w:t>一、总则</w:t>
      </w:r>
    </w:p>
    <w:p w14:paraId="2C2F2883">
      <w:pPr>
        <w:snapToGrid w:val="0"/>
        <w:spacing w:line="360" w:lineRule="auto"/>
        <w:ind w:firstLine="472" w:firstLineChars="196"/>
        <w:jc w:val="left"/>
        <w:outlineLvl w:val="1"/>
        <w:rPr>
          <w:rFonts w:ascii="宋体"/>
          <w:b/>
          <w:color w:val="auto"/>
          <w:sz w:val="24"/>
          <w:szCs w:val="20"/>
          <w:highlight w:val="none"/>
        </w:rPr>
      </w:pPr>
      <w:r>
        <w:rPr>
          <w:rFonts w:hint="eastAsia" w:ascii="宋体" w:hAnsi="宋体"/>
          <w:b/>
          <w:color w:val="auto"/>
          <w:sz w:val="24"/>
          <w:highlight w:val="none"/>
        </w:rPr>
        <w:t>（一）适用范围</w:t>
      </w:r>
    </w:p>
    <w:p w14:paraId="64B3E955">
      <w:pPr>
        <w:snapToGrid w:val="0"/>
        <w:spacing w:line="360" w:lineRule="auto"/>
        <w:ind w:firstLine="480" w:firstLineChars="200"/>
        <w:jc w:val="left"/>
        <w:rPr>
          <w:rFonts w:ascii="宋体"/>
          <w:b w:val="0"/>
          <w:bCs w:val="0"/>
          <w:color w:val="auto"/>
          <w:sz w:val="24"/>
          <w:szCs w:val="20"/>
          <w:highlight w:val="none"/>
        </w:rPr>
      </w:pPr>
      <w:r>
        <w:rPr>
          <w:rFonts w:hint="eastAsia" w:ascii="宋体" w:hAnsi="宋体"/>
          <w:b w:val="0"/>
          <w:bCs w:val="0"/>
          <w:color w:val="auto"/>
          <w:sz w:val="24"/>
          <w:highlight w:val="none"/>
        </w:rPr>
        <w:t>本招标文件仅适用于</w:t>
      </w:r>
      <w:r>
        <w:rPr>
          <w:rFonts w:hint="eastAsia" w:ascii="宋体" w:hAnsi="宋体"/>
          <w:b/>
          <w:bCs/>
          <w:color w:val="auto"/>
          <w:sz w:val="24"/>
          <w:szCs w:val="20"/>
          <w:highlight w:val="none"/>
          <w:lang w:eastAsia="zh-CN"/>
        </w:rPr>
        <w:t>东阳市公共视频监控项目监理服务</w:t>
      </w:r>
      <w:r>
        <w:rPr>
          <w:rFonts w:hint="eastAsia" w:ascii="宋体" w:hAnsi="宋体"/>
          <w:b w:val="0"/>
          <w:bCs w:val="0"/>
          <w:color w:val="auto"/>
          <w:sz w:val="24"/>
          <w:szCs w:val="20"/>
          <w:highlight w:val="none"/>
          <w:lang w:eastAsia="zh-CN"/>
        </w:rPr>
        <w:t>的招标、投标、评标、定标、验收、合同履约、付款等行为（法律、法规另有规定的，从其规定）</w:t>
      </w:r>
      <w:r>
        <w:rPr>
          <w:rFonts w:hint="eastAsia" w:ascii="宋体" w:hAnsi="宋体"/>
          <w:b w:val="0"/>
          <w:bCs w:val="0"/>
          <w:color w:val="auto"/>
          <w:sz w:val="24"/>
          <w:highlight w:val="none"/>
        </w:rPr>
        <w:t>。</w:t>
      </w:r>
    </w:p>
    <w:p w14:paraId="7EEC755A">
      <w:pPr>
        <w:snapToGrid w:val="0"/>
        <w:spacing w:beforeLines="50" w:line="360" w:lineRule="auto"/>
        <w:ind w:firstLine="354" w:firstLineChars="147"/>
        <w:jc w:val="left"/>
        <w:outlineLvl w:val="1"/>
        <w:rPr>
          <w:rFonts w:ascii="宋体"/>
          <w:b/>
          <w:color w:val="auto"/>
          <w:sz w:val="24"/>
          <w:szCs w:val="20"/>
          <w:highlight w:val="none"/>
        </w:rPr>
      </w:pPr>
      <w:r>
        <w:rPr>
          <w:rFonts w:hint="eastAsia" w:ascii="宋体" w:hAnsi="宋体"/>
          <w:b/>
          <w:color w:val="auto"/>
          <w:sz w:val="24"/>
          <w:highlight w:val="none"/>
        </w:rPr>
        <w:t>（二）定义</w:t>
      </w:r>
    </w:p>
    <w:p w14:paraId="34BE974B">
      <w:pPr>
        <w:tabs>
          <w:tab w:val="left" w:pos="7140"/>
        </w:tabs>
        <w:snapToGrid w:val="0"/>
        <w:ind w:firstLine="480" w:firstLineChars="200"/>
        <w:jc w:val="left"/>
        <w:rPr>
          <w:rFonts w:ascii="宋体"/>
          <w:color w:val="auto"/>
          <w:sz w:val="24"/>
          <w:highlight w:val="none"/>
        </w:rPr>
      </w:pPr>
      <w:r>
        <w:rPr>
          <w:rFonts w:ascii="宋体" w:hAnsi="宋体"/>
          <w:color w:val="auto"/>
          <w:sz w:val="24"/>
          <w:highlight w:val="none"/>
        </w:rPr>
        <w:t>1</w:t>
      </w:r>
      <w:r>
        <w:rPr>
          <w:rFonts w:ascii="宋体"/>
          <w:color w:val="auto"/>
          <w:sz w:val="24"/>
          <w:highlight w:val="none"/>
        </w:rPr>
        <w:t>.</w:t>
      </w:r>
      <w:r>
        <w:rPr>
          <w:rFonts w:hint="eastAsia" w:ascii="宋体" w:hAnsi="宋体" w:cs="宋体"/>
          <w:color w:val="auto"/>
          <w:sz w:val="24"/>
          <w:highlight w:val="none"/>
        </w:rPr>
        <w:t>招标采购单位系指组织本次招标的</w:t>
      </w:r>
      <w:r>
        <w:rPr>
          <w:rFonts w:hint="eastAsia" w:ascii="宋体" w:hAnsi="宋体" w:cs="宋体"/>
          <w:b/>
          <w:bCs/>
          <w:color w:val="auto"/>
          <w:sz w:val="24"/>
          <w:highlight w:val="none"/>
          <w:lang w:eastAsia="zh-CN"/>
        </w:rPr>
        <w:t>东阳市公安局</w:t>
      </w:r>
      <w:r>
        <w:rPr>
          <w:rFonts w:hint="eastAsia" w:ascii="宋体" w:hAnsi="宋体" w:cs="宋体"/>
          <w:color w:val="auto"/>
          <w:sz w:val="24"/>
          <w:highlight w:val="none"/>
        </w:rPr>
        <w:t>（“采购人”）和</w:t>
      </w:r>
      <w:r>
        <w:rPr>
          <w:rFonts w:hint="eastAsia" w:ascii="宋体" w:hAnsi="宋体"/>
          <w:b/>
          <w:bCs/>
          <w:color w:val="auto"/>
          <w:sz w:val="24"/>
          <w:highlight w:val="none"/>
          <w:lang w:eastAsia="zh-CN"/>
        </w:rPr>
        <w:t>泰宇建筑工程技术咨询有限公司</w:t>
      </w:r>
      <w:r>
        <w:rPr>
          <w:rFonts w:hint="eastAsia" w:ascii="宋体" w:hAnsi="宋体"/>
          <w:color w:val="auto"/>
          <w:sz w:val="24"/>
          <w:highlight w:val="none"/>
        </w:rPr>
        <w:t>（</w:t>
      </w:r>
      <w:r>
        <w:rPr>
          <w:rFonts w:hint="eastAsia" w:ascii="宋体"/>
          <w:color w:val="auto"/>
          <w:sz w:val="24"/>
          <w:highlight w:val="none"/>
        </w:rPr>
        <w:t>“</w:t>
      </w:r>
      <w:r>
        <w:rPr>
          <w:rFonts w:hint="eastAsia" w:ascii="宋体" w:hAnsi="宋体" w:cs="宋体"/>
          <w:color w:val="auto"/>
          <w:sz w:val="24"/>
          <w:highlight w:val="none"/>
        </w:rPr>
        <w:t>采购代理机构</w:t>
      </w:r>
      <w:r>
        <w:rPr>
          <w:rFonts w:hint="eastAsia" w:ascii="宋体"/>
          <w:color w:val="auto"/>
          <w:sz w:val="24"/>
          <w:highlight w:val="none"/>
        </w:rPr>
        <w:t>”</w:t>
      </w:r>
      <w:r>
        <w:rPr>
          <w:rFonts w:hint="eastAsia" w:ascii="宋体" w:hAnsi="宋体"/>
          <w:color w:val="auto"/>
          <w:sz w:val="24"/>
          <w:highlight w:val="none"/>
        </w:rPr>
        <w:t>）。</w:t>
      </w:r>
    </w:p>
    <w:p w14:paraId="6CB20E0F">
      <w:pPr>
        <w:tabs>
          <w:tab w:val="left" w:pos="7140"/>
        </w:tabs>
        <w:snapToGrid w:val="0"/>
        <w:ind w:firstLine="480" w:firstLineChars="200"/>
        <w:jc w:val="left"/>
        <w:rPr>
          <w:rFonts w:ascii="宋体"/>
          <w:color w:val="auto"/>
          <w:sz w:val="24"/>
          <w:highlight w:val="none"/>
        </w:rPr>
      </w:pPr>
      <w:r>
        <w:rPr>
          <w:rFonts w:ascii="宋体" w:hAnsi="宋体"/>
          <w:color w:val="auto"/>
          <w:sz w:val="24"/>
          <w:highlight w:val="none"/>
        </w:rPr>
        <w:t>2</w:t>
      </w:r>
      <w:r>
        <w:rPr>
          <w:rFonts w:ascii="宋体"/>
          <w:color w:val="auto"/>
          <w:sz w:val="24"/>
          <w:highlight w:val="none"/>
        </w:rPr>
        <w:t>.</w:t>
      </w:r>
      <w:r>
        <w:rPr>
          <w:rFonts w:hint="eastAsia" w:ascii="宋体" w:hAnsi="宋体"/>
          <w:color w:val="auto"/>
          <w:sz w:val="24"/>
          <w:highlight w:val="none"/>
        </w:rPr>
        <w:t>“投标人</w:t>
      </w:r>
      <w:r>
        <w:rPr>
          <w:rFonts w:hint="eastAsia" w:ascii="宋体"/>
          <w:color w:val="auto"/>
          <w:sz w:val="24"/>
          <w:highlight w:val="none"/>
        </w:rPr>
        <w:t>”</w:t>
      </w:r>
      <w:r>
        <w:rPr>
          <w:rFonts w:hint="eastAsia" w:ascii="宋体" w:hAnsi="宋体"/>
          <w:color w:val="auto"/>
          <w:sz w:val="24"/>
          <w:highlight w:val="none"/>
        </w:rPr>
        <w:t>系指向招标方提交投标文件的单位。</w:t>
      </w:r>
    </w:p>
    <w:p w14:paraId="6F94ABE5">
      <w:pPr>
        <w:tabs>
          <w:tab w:val="left" w:pos="7140"/>
        </w:tabs>
        <w:snapToGrid w:val="0"/>
        <w:ind w:firstLine="480" w:firstLineChars="200"/>
        <w:jc w:val="left"/>
        <w:rPr>
          <w:rFonts w:ascii="宋体"/>
          <w:color w:val="auto"/>
          <w:sz w:val="24"/>
          <w:highlight w:val="none"/>
        </w:rPr>
      </w:pPr>
      <w:r>
        <w:rPr>
          <w:rFonts w:ascii="宋体" w:hAnsi="宋体"/>
          <w:color w:val="auto"/>
          <w:sz w:val="24"/>
          <w:highlight w:val="none"/>
        </w:rPr>
        <w:t>3</w:t>
      </w:r>
      <w:r>
        <w:rPr>
          <w:rFonts w:ascii="宋体"/>
          <w:color w:val="auto"/>
          <w:sz w:val="24"/>
          <w:highlight w:val="none"/>
        </w:rPr>
        <w:t>.</w:t>
      </w:r>
      <w:r>
        <w:rPr>
          <w:rFonts w:hint="eastAsia" w:ascii="宋体"/>
          <w:color w:val="auto"/>
          <w:sz w:val="24"/>
          <w:highlight w:val="none"/>
        </w:rPr>
        <w:t>“</w:t>
      </w:r>
      <w:r>
        <w:rPr>
          <w:rFonts w:hint="eastAsia" w:ascii="宋体" w:hAnsi="宋体"/>
          <w:color w:val="auto"/>
          <w:sz w:val="24"/>
          <w:highlight w:val="none"/>
        </w:rPr>
        <w:t>产品</w:t>
      </w:r>
      <w:r>
        <w:rPr>
          <w:rFonts w:hint="eastAsia" w:ascii="宋体"/>
          <w:color w:val="auto"/>
          <w:sz w:val="24"/>
          <w:highlight w:val="none"/>
        </w:rPr>
        <w:t>”</w:t>
      </w:r>
      <w:r>
        <w:rPr>
          <w:rFonts w:hint="eastAsia" w:ascii="宋体" w:hAnsi="宋体"/>
          <w:color w:val="auto"/>
          <w:sz w:val="24"/>
          <w:highlight w:val="none"/>
        </w:rPr>
        <w:t>系指供方按招标文件规定，须向采购人提供的一切设备、保险、税金、备品备件、工具、手册及其它有关技术资料和材料。</w:t>
      </w:r>
    </w:p>
    <w:p w14:paraId="2DD6CB7A">
      <w:pPr>
        <w:tabs>
          <w:tab w:val="left" w:pos="7140"/>
        </w:tabs>
        <w:snapToGrid w:val="0"/>
        <w:ind w:firstLine="480" w:firstLineChars="200"/>
        <w:jc w:val="left"/>
        <w:rPr>
          <w:rFonts w:ascii="宋体"/>
          <w:color w:val="auto"/>
          <w:sz w:val="24"/>
          <w:highlight w:val="none"/>
        </w:rPr>
      </w:pPr>
      <w:r>
        <w:rPr>
          <w:rFonts w:ascii="宋体" w:hAnsi="宋体"/>
          <w:color w:val="auto"/>
          <w:sz w:val="24"/>
          <w:highlight w:val="none"/>
        </w:rPr>
        <w:t>4</w:t>
      </w:r>
      <w:r>
        <w:rPr>
          <w:rFonts w:ascii="宋体"/>
          <w:color w:val="auto"/>
          <w:sz w:val="24"/>
          <w:highlight w:val="none"/>
        </w:rPr>
        <w:t>.</w:t>
      </w:r>
      <w:r>
        <w:rPr>
          <w:rFonts w:hint="eastAsia" w:ascii="宋体" w:hAnsi="宋体" w:eastAsia="宋体" w:cs="Times New Roman"/>
          <w:color w:val="auto"/>
          <w:kern w:val="2"/>
          <w:sz w:val="24"/>
          <w:szCs w:val="24"/>
          <w:highlight w:val="none"/>
          <w:lang w:val="en-US" w:eastAsia="zh-CN" w:bidi="ar-SA"/>
        </w:rPr>
        <w:t>“服务”系指招标文件规定投标人须承担的</w:t>
      </w:r>
      <w:r>
        <w:rPr>
          <w:rFonts w:hint="eastAsia" w:ascii="宋体" w:hAnsi="宋体" w:cs="Times New Roman"/>
          <w:color w:val="auto"/>
          <w:kern w:val="2"/>
          <w:sz w:val="24"/>
          <w:szCs w:val="24"/>
          <w:highlight w:val="none"/>
          <w:lang w:val="en-US" w:eastAsia="zh-CN" w:bidi="ar-SA"/>
        </w:rPr>
        <w:t>安装、调试、技术协助、校准、培训、技术指导以及其他类似的附随义务</w:t>
      </w:r>
      <w:r>
        <w:rPr>
          <w:rFonts w:hint="eastAsia" w:ascii="宋体" w:hAnsi="宋体" w:eastAsia="宋体" w:cs="Times New Roman"/>
          <w:color w:val="auto"/>
          <w:kern w:val="2"/>
          <w:sz w:val="24"/>
          <w:szCs w:val="24"/>
          <w:highlight w:val="none"/>
          <w:lang w:val="en-US" w:eastAsia="zh-CN" w:bidi="ar-SA"/>
        </w:rPr>
        <w:t>。</w:t>
      </w:r>
    </w:p>
    <w:p w14:paraId="2E5386EF">
      <w:pPr>
        <w:tabs>
          <w:tab w:val="left" w:pos="7140"/>
        </w:tabs>
        <w:snapToGrid w:val="0"/>
        <w:ind w:firstLine="480" w:firstLineChars="200"/>
        <w:jc w:val="left"/>
        <w:rPr>
          <w:rFonts w:ascii="宋体"/>
          <w:color w:val="auto"/>
          <w:sz w:val="24"/>
          <w:highlight w:val="none"/>
        </w:rPr>
      </w:pPr>
      <w:r>
        <w:rPr>
          <w:rFonts w:ascii="宋体" w:hAnsi="宋体"/>
          <w:color w:val="auto"/>
          <w:sz w:val="24"/>
          <w:highlight w:val="none"/>
        </w:rPr>
        <w:t>5</w:t>
      </w:r>
      <w:r>
        <w:rPr>
          <w:rFonts w:ascii="宋体"/>
          <w:color w:val="auto"/>
          <w:sz w:val="24"/>
          <w:highlight w:val="none"/>
        </w:rPr>
        <w:t>.</w:t>
      </w:r>
      <w:r>
        <w:rPr>
          <w:rFonts w:hint="eastAsia" w:ascii="宋体"/>
          <w:color w:val="auto"/>
          <w:sz w:val="24"/>
          <w:highlight w:val="none"/>
        </w:rPr>
        <w:t>“</w:t>
      </w:r>
      <w:r>
        <w:rPr>
          <w:rFonts w:hint="eastAsia" w:ascii="宋体" w:hAnsi="宋体"/>
          <w:color w:val="auto"/>
          <w:sz w:val="24"/>
          <w:highlight w:val="none"/>
        </w:rPr>
        <w:t>项目</w:t>
      </w:r>
      <w:r>
        <w:rPr>
          <w:rFonts w:hint="eastAsia" w:ascii="宋体"/>
          <w:color w:val="auto"/>
          <w:sz w:val="24"/>
          <w:highlight w:val="none"/>
        </w:rPr>
        <w:t>”</w:t>
      </w:r>
      <w:r>
        <w:rPr>
          <w:rFonts w:hint="eastAsia" w:ascii="宋体" w:hAnsi="宋体"/>
          <w:color w:val="auto"/>
          <w:sz w:val="24"/>
          <w:highlight w:val="none"/>
        </w:rPr>
        <w:t>系指投标人按招标文件规定向</w:t>
      </w:r>
      <w:r>
        <w:rPr>
          <w:rFonts w:hint="eastAsia" w:ascii="宋体" w:hAnsi="宋体"/>
          <w:color w:val="auto"/>
          <w:sz w:val="24"/>
          <w:highlight w:val="none"/>
          <w:lang w:eastAsia="zh-CN"/>
        </w:rPr>
        <w:t>采购人提供的成果和项目服务</w:t>
      </w:r>
      <w:r>
        <w:rPr>
          <w:rFonts w:hint="eastAsia" w:ascii="宋体" w:hAnsi="宋体"/>
          <w:color w:val="auto"/>
          <w:sz w:val="24"/>
          <w:highlight w:val="none"/>
        </w:rPr>
        <w:t>。</w:t>
      </w:r>
    </w:p>
    <w:p w14:paraId="52F08212">
      <w:pPr>
        <w:tabs>
          <w:tab w:val="left" w:pos="7140"/>
        </w:tabs>
        <w:snapToGrid w:val="0"/>
        <w:ind w:firstLine="480" w:firstLineChars="200"/>
        <w:jc w:val="left"/>
        <w:rPr>
          <w:rFonts w:ascii="宋体"/>
          <w:color w:val="auto"/>
          <w:sz w:val="24"/>
          <w:highlight w:val="none"/>
        </w:rPr>
      </w:pPr>
      <w:r>
        <w:rPr>
          <w:rFonts w:ascii="宋体" w:hAnsi="宋体"/>
          <w:color w:val="auto"/>
          <w:sz w:val="24"/>
          <w:highlight w:val="none"/>
        </w:rPr>
        <w:t>6</w:t>
      </w:r>
      <w:r>
        <w:rPr>
          <w:rFonts w:ascii="宋体"/>
          <w:color w:val="auto"/>
          <w:sz w:val="24"/>
          <w:highlight w:val="none"/>
        </w:rPr>
        <w:t>.</w:t>
      </w:r>
      <w:r>
        <w:rPr>
          <w:rFonts w:hint="eastAsia" w:ascii="宋体"/>
          <w:color w:val="auto"/>
          <w:sz w:val="24"/>
          <w:highlight w:val="none"/>
        </w:rPr>
        <w:t>“</w:t>
      </w:r>
      <w:r>
        <w:rPr>
          <w:rFonts w:hint="eastAsia" w:ascii="宋体" w:hAnsi="宋体"/>
          <w:color w:val="auto"/>
          <w:sz w:val="24"/>
          <w:highlight w:val="none"/>
        </w:rPr>
        <w:t>书面形式</w:t>
      </w:r>
      <w:r>
        <w:rPr>
          <w:rFonts w:hint="eastAsia" w:ascii="宋体"/>
          <w:color w:val="auto"/>
          <w:sz w:val="24"/>
          <w:highlight w:val="none"/>
        </w:rPr>
        <w:t>”</w:t>
      </w:r>
      <w:r>
        <w:rPr>
          <w:rFonts w:hint="eastAsia" w:ascii="宋体" w:hAnsi="宋体"/>
          <w:color w:val="auto"/>
          <w:sz w:val="24"/>
          <w:highlight w:val="none"/>
        </w:rPr>
        <w:t>包括信函、传真、电报等。</w:t>
      </w:r>
    </w:p>
    <w:p w14:paraId="2F8710D5">
      <w:pPr>
        <w:tabs>
          <w:tab w:val="left" w:pos="7140"/>
        </w:tabs>
        <w:snapToGrid w:val="0"/>
        <w:ind w:firstLine="480" w:firstLineChars="200"/>
        <w:jc w:val="left"/>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7.本招标文件中带“▲”的有关技术和商务条款为实质性条款，不允许负偏离，否则作无效标处理。</w:t>
      </w:r>
    </w:p>
    <w:p w14:paraId="5046E806">
      <w:pPr>
        <w:snapToGrid w:val="0"/>
        <w:spacing w:beforeLines="50" w:line="360" w:lineRule="auto"/>
        <w:ind w:firstLine="472" w:firstLineChars="196"/>
        <w:jc w:val="left"/>
        <w:outlineLvl w:val="1"/>
        <w:rPr>
          <w:rFonts w:ascii="宋体"/>
          <w:b/>
          <w:color w:val="auto"/>
          <w:sz w:val="24"/>
          <w:szCs w:val="20"/>
          <w:highlight w:val="none"/>
        </w:rPr>
      </w:pPr>
      <w:r>
        <w:rPr>
          <w:rFonts w:hint="eastAsia" w:ascii="宋体" w:hAnsi="宋体"/>
          <w:b/>
          <w:color w:val="auto"/>
          <w:sz w:val="24"/>
          <w:highlight w:val="none"/>
        </w:rPr>
        <w:t>（三）招标方式</w:t>
      </w:r>
    </w:p>
    <w:p w14:paraId="46BFA62E">
      <w:pPr>
        <w:snapToGrid w:val="0"/>
        <w:spacing w:line="360" w:lineRule="auto"/>
        <w:ind w:firstLine="480" w:firstLineChars="200"/>
        <w:jc w:val="left"/>
        <w:rPr>
          <w:rFonts w:ascii="宋体"/>
          <w:color w:val="auto"/>
          <w:sz w:val="24"/>
          <w:szCs w:val="20"/>
          <w:highlight w:val="none"/>
        </w:rPr>
      </w:pPr>
      <w:r>
        <w:rPr>
          <w:rFonts w:hint="eastAsia" w:ascii="宋体" w:hAnsi="宋体"/>
          <w:color w:val="auto"/>
          <w:sz w:val="24"/>
          <w:highlight w:val="none"/>
        </w:rPr>
        <w:t>本次招标采用公开招标方式进行。</w:t>
      </w:r>
    </w:p>
    <w:p w14:paraId="783E5CCD">
      <w:pPr>
        <w:snapToGrid w:val="0"/>
        <w:spacing w:beforeLines="50" w:line="360" w:lineRule="auto"/>
        <w:ind w:firstLine="472" w:firstLineChars="196"/>
        <w:jc w:val="left"/>
        <w:outlineLvl w:val="1"/>
        <w:rPr>
          <w:rFonts w:ascii="宋体"/>
          <w:b/>
          <w:color w:val="auto"/>
          <w:sz w:val="24"/>
          <w:szCs w:val="20"/>
          <w:highlight w:val="none"/>
        </w:rPr>
      </w:pPr>
      <w:r>
        <w:rPr>
          <w:rFonts w:hint="eastAsia" w:ascii="宋体" w:hAnsi="宋体"/>
          <w:b/>
          <w:color w:val="auto"/>
          <w:sz w:val="24"/>
          <w:highlight w:val="none"/>
        </w:rPr>
        <w:t>（四）投标委托</w:t>
      </w:r>
    </w:p>
    <w:p w14:paraId="2D71DDD3">
      <w:pPr>
        <w:snapToGrid w:val="0"/>
        <w:spacing w:line="360" w:lineRule="auto"/>
        <w:ind w:firstLine="480" w:firstLineChars="200"/>
        <w:rPr>
          <w:bCs/>
          <w:color w:val="auto"/>
          <w:highlight w:val="none"/>
        </w:rPr>
      </w:pPr>
      <w:r>
        <w:rPr>
          <w:rFonts w:hint="eastAsia" w:ascii="宋体" w:hAnsi="宋体" w:cs="宋体"/>
          <w:bCs/>
          <w:color w:val="auto"/>
          <w:sz w:val="24"/>
          <w:highlight w:val="none"/>
        </w:rPr>
        <w:t>本项目不要求投标人到开标现场开标，但投标人应派法定代表人或委托代理人【委托代理人应当是投标人的在职正式职工（</w:t>
      </w:r>
      <w:r>
        <w:rPr>
          <w:rFonts w:hint="eastAsia" w:ascii="宋体" w:hAnsi="宋体" w:cs="Arial"/>
          <w:bCs/>
          <w:color w:val="auto"/>
          <w:sz w:val="24"/>
          <w:highlight w:val="none"/>
        </w:rPr>
        <w:t>以社保网站拉具的含授权代表的投标单位社保清单为准，无社保网站拉具的投标单位社保清单的，可以提供投标人注册所在地社保部门出具的投标人本单位缴纳社保花名册</w:t>
      </w:r>
      <w:r>
        <w:rPr>
          <w:rFonts w:hint="eastAsia" w:ascii="宋体" w:hAnsi="宋体" w:cs="宋体"/>
          <w:bCs/>
          <w:color w:val="auto"/>
          <w:sz w:val="24"/>
          <w:highlight w:val="none"/>
        </w:rPr>
        <w:t>）】准时在线出席电子开标会议，随时关注开标进度，如在开标过程中有电子询标，应在规定的时间内对电子询标函进行澄清</w:t>
      </w:r>
      <w:r>
        <w:rPr>
          <w:rFonts w:hint="eastAsia" w:ascii="宋体" w:hAnsi="宋体" w:cs="Arial"/>
          <w:bCs/>
          <w:color w:val="auto"/>
          <w:sz w:val="24"/>
          <w:highlight w:val="none"/>
        </w:rPr>
        <w:t>、答复</w:t>
      </w:r>
      <w:r>
        <w:rPr>
          <w:rFonts w:hint="eastAsia" w:ascii="宋体" w:hAnsi="宋体" w:cs="宋体"/>
          <w:bCs/>
          <w:color w:val="auto"/>
          <w:sz w:val="24"/>
          <w:highlight w:val="none"/>
        </w:rPr>
        <w:t>。超过规定时间的询标函将不予接受，评标为委员会可以作出不利于被询标人的决定。评标委员会只对投标文件内容进行询问，不接受外部补充证据，评标委员会认为投标人不符合招标文件实质性要求明确时，可不经过询标而直接予以无效标认定，但代理机构应将无效标原因当场告知投标人。</w:t>
      </w:r>
    </w:p>
    <w:p w14:paraId="0365EBE1">
      <w:pPr>
        <w:snapToGrid w:val="0"/>
        <w:spacing w:beforeLines="50" w:line="360" w:lineRule="auto"/>
        <w:ind w:firstLine="470" w:firstLineChars="196"/>
        <w:jc w:val="left"/>
        <w:outlineLvl w:val="1"/>
        <w:rPr>
          <w:rFonts w:hint="eastAsia" w:ascii="宋体" w:hAnsi="宋体" w:cs="宋体"/>
          <w:color w:val="auto"/>
          <w:sz w:val="24"/>
          <w:highlight w:val="none"/>
        </w:rPr>
      </w:pPr>
      <w:r>
        <w:rPr>
          <w:rFonts w:hint="eastAsia" w:ascii="宋体" w:hAnsi="宋体" w:cs="Arial"/>
          <w:bCs/>
          <w:color w:val="auto"/>
          <w:sz w:val="24"/>
          <w:highlight w:val="none"/>
        </w:rPr>
        <w:t>投标人未按招标文件要求派代表参加电子开标会议的，视同认可开标结果，不得对开标过程及开标结果提出质疑</w:t>
      </w:r>
      <w:r>
        <w:rPr>
          <w:rFonts w:hint="eastAsia" w:ascii="宋体" w:hAnsi="宋体" w:cs="宋体"/>
          <w:color w:val="auto"/>
          <w:sz w:val="24"/>
          <w:highlight w:val="none"/>
        </w:rPr>
        <w:t>。</w:t>
      </w:r>
    </w:p>
    <w:p w14:paraId="676DAE18">
      <w:pPr>
        <w:snapToGrid w:val="0"/>
        <w:spacing w:beforeLines="50" w:line="360" w:lineRule="auto"/>
        <w:ind w:firstLine="472" w:firstLineChars="196"/>
        <w:jc w:val="left"/>
        <w:outlineLvl w:val="1"/>
        <w:rPr>
          <w:rFonts w:ascii="宋体"/>
          <w:b/>
          <w:color w:val="auto"/>
          <w:sz w:val="24"/>
          <w:szCs w:val="20"/>
          <w:highlight w:val="none"/>
        </w:rPr>
      </w:pPr>
      <w:r>
        <w:rPr>
          <w:rFonts w:hint="eastAsia" w:ascii="宋体" w:hAnsi="宋体"/>
          <w:b/>
          <w:color w:val="auto"/>
          <w:sz w:val="24"/>
          <w:highlight w:val="none"/>
        </w:rPr>
        <w:t>（五）投标费用</w:t>
      </w:r>
    </w:p>
    <w:p w14:paraId="0ACB3D4B">
      <w:pPr>
        <w:snapToGrid w:val="0"/>
        <w:spacing w:line="312" w:lineRule="auto"/>
        <w:ind w:firstLine="720" w:firstLineChars="300"/>
        <w:jc w:val="left"/>
        <w:rPr>
          <w:rFonts w:ascii="宋体" w:hAnsi="宋体" w:cs="宋体"/>
          <w:color w:val="auto"/>
          <w:spacing w:val="-4"/>
          <w:sz w:val="24"/>
          <w:highlight w:val="none"/>
        </w:rPr>
      </w:pPr>
      <w:r>
        <w:rPr>
          <w:rFonts w:hint="eastAsia" w:ascii="宋体" w:hAnsi="宋体"/>
          <w:color w:val="auto"/>
          <w:sz w:val="24"/>
          <w:highlight w:val="none"/>
        </w:rPr>
        <w:t>不论投标结果如何，投标人均应自行承担所有与投标有关的全部费用（招标文件有相反规定除外）。</w:t>
      </w:r>
      <w:r>
        <w:rPr>
          <w:rFonts w:hint="eastAsia" w:ascii="宋体" w:hAnsi="宋体" w:cs="宋体"/>
          <w:color w:val="auto"/>
          <w:sz w:val="24"/>
          <w:highlight w:val="none"/>
          <w:lang w:eastAsia="zh-CN"/>
        </w:rPr>
        <w:t>泰宇建筑工程技术咨询有限公司</w:t>
      </w:r>
      <w:r>
        <w:rPr>
          <w:rFonts w:hint="eastAsia" w:ascii="宋体" w:hAnsi="宋体" w:cs="宋体"/>
          <w:color w:val="auto"/>
          <w:spacing w:val="-4"/>
          <w:sz w:val="24"/>
          <w:highlight w:val="none"/>
        </w:rPr>
        <w:t>根据中标金额按照中标服务费收费标准计收，中标单位须在领取中标通知书前向招标代理机构交纳中标服务费。</w:t>
      </w:r>
    </w:p>
    <w:p w14:paraId="6BF3E31E">
      <w:pPr>
        <w:snapToGrid w:val="0"/>
        <w:spacing w:line="312" w:lineRule="auto"/>
        <w:ind w:firstLine="696" w:firstLineChars="300"/>
        <w:jc w:val="left"/>
        <w:rPr>
          <w:rFonts w:ascii="宋体" w:hAnsi="宋体" w:cs="宋体"/>
          <w:color w:val="auto"/>
          <w:spacing w:val="-4"/>
          <w:sz w:val="24"/>
          <w:highlight w:val="none"/>
        </w:rPr>
      </w:pPr>
      <w:r>
        <w:rPr>
          <w:rFonts w:hint="eastAsia" w:ascii="宋体" w:hAnsi="宋体" w:cs="宋体"/>
          <w:color w:val="auto"/>
          <w:spacing w:val="-4"/>
          <w:sz w:val="24"/>
          <w:highlight w:val="none"/>
        </w:rPr>
        <w:t>中标服务费收费标准如下：</w:t>
      </w:r>
    </w:p>
    <w:tbl>
      <w:tblPr>
        <w:tblStyle w:val="45"/>
        <w:tblW w:w="9180" w:type="dxa"/>
        <w:tblCellSpacing w:w="15" w:type="dxa"/>
        <w:tblInd w:w="98" w:type="dxa"/>
        <w:tblLayout w:type="fixed"/>
        <w:tblCellMar>
          <w:top w:w="15" w:type="dxa"/>
          <w:left w:w="15" w:type="dxa"/>
          <w:bottom w:w="15" w:type="dxa"/>
          <w:right w:w="15" w:type="dxa"/>
        </w:tblCellMar>
      </w:tblPr>
      <w:tblGrid>
        <w:gridCol w:w="4290"/>
        <w:gridCol w:w="4890"/>
      </w:tblGrid>
      <w:tr w14:paraId="218B8966">
        <w:tblPrEx>
          <w:tblCellMar>
            <w:top w:w="15" w:type="dxa"/>
            <w:left w:w="15" w:type="dxa"/>
            <w:bottom w:w="15" w:type="dxa"/>
            <w:right w:w="15" w:type="dxa"/>
          </w:tblCellMar>
        </w:tblPrEx>
        <w:trPr>
          <w:trHeight w:val="300" w:hRule="atLeast"/>
          <w:tblCellSpacing w:w="15" w:type="dxa"/>
        </w:trPr>
        <w:tc>
          <w:tcPr>
            <w:tcW w:w="4245" w:type="dxa"/>
            <w:tcBorders>
              <w:top w:val="inset" w:color="000000" w:sz="6" w:space="0"/>
              <w:left w:val="inset" w:color="000000" w:sz="6" w:space="0"/>
              <w:bottom w:val="inset" w:color="000000" w:sz="6" w:space="0"/>
              <w:right w:val="inset" w:color="000000" w:sz="6" w:space="0"/>
            </w:tcBorders>
            <w:tcMar>
              <w:top w:w="0" w:type="dxa"/>
              <w:left w:w="0" w:type="dxa"/>
              <w:bottom w:w="0" w:type="dxa"/>
              <w:right w:w="0" w:type="dxa"/>
            </w:tcMar>
            <w:vAlign w:val="center"/>
          </w:tcPr>
          <w:p w14:paraId="1DF24827">
            <w:pPr>
              <w:widowControl/>
              <w:ind w:firstLine="211" w:firstLineChars="100"/>
              <w:rPr>
                <w:rFonts w:ascii="宋体" w:hAnsi="宋体" w:cs="宋体"/>
                <w:color w:val="auto"/>
                <w:kern w:val="0"/>
                <w:szCs w:val="21"/>
                <w:highlight w:val="none"/>
              </w:rPr>
            </w:pPr>
            <w:r>
              <w:rPr>
                <w:rFonts w:hint="eastAsia" w:ascii="宋体" w:hAnsi="宋体" w:cs="宋体"/>
                <w:b/>
                <w:bCs/>
                <w:color w:val="auto"/>
                <w:kern w:val="0"/>
                <w:szCs w:val="21"/>
                <w:highlight w:val="none"/>
              </w:rPr>
              <w:t>服务类型</w:t>
            </w:r>
            <w:r>
              <w:rPr>
                <w:rFonts w:ascii="宋体" w:hAnsi="宋体" w:cs="宋体"/>
                <w:b/>
                <w:bCs/>
                <w:color w:val="auto"/>
                <w:kern w:val="0"/>
                <w:szCs w:val="21"/>
                <w:highlight w:val="none"/>
              </w:rPr>
              <w:t xml:space="preserve"> / </w:t>
            </w:r>
            <w:r>
              <w:rPr>
                <w:rFonts w:hint="eastAsia" w:ascii="宋体" w:hAnsi="宋体" w:cs="宋体"/>
                <w:b/>
                <w:bCs/>
                <w:color w:val="auto"/>
                <w:kern w:val="0"/>
                <w:szCs w:val="21"/>
                <w:highlight w:val="none"/>
              </w:rPr>
              <w:t>中标金额（万元）</w:t>
            </w:r>
          </w:p>
        </w:tc>
        <w:tc>
          <w:tcPr>
            <w:tcW w:w="4845" w:type="dxa"/>
            <w:tcBorders>
              <w:top w:val="inset" w:color="000000" w:sz="6" w:space="0"/>
              <w:left w:val="single" w:color="auto" w:sz="0" w:space="0"/>
              <w:bottom w:val="inset" w:color="000000" w:sz="6" w:space="0"/>
              <w:right w:val="inset" w:color="000000" w:sz="6" w:space="0"/>
            </w:tcBorders>
            <w:tcMar>
              <w:top w:w="0" w:type="dxa"/>
              <w:left w:w="0" w:type="dxa"/>
              <w:bottom w:w="0" w:type="dxa"/>
              <w:right w:w="0" w:type="dxa"/>
            </w:tcMar>
            <w:vAlign w:val="center"/>
          </w:tcPr>
          <w:p w14:paraId="5772E837">
            <w:pPr>
              <w:widowControl/>
              <w:spacing w:before="105" w:after="105"/>
              <w:jc w:val="center"/>
              <w:rPr>
                <w:rFonts w:ascii="宋体" w:hAnsi="宋体" w:cs="宋体"/>
                <w:color w:val="auto"/>
                <w:kern w:val="0"/>
                <w:szCs w:val="21"/>
                <w:highlight w:val="none"/>
              </w:rPr>
            </w:pPr>
            <w:r>
              <w:rPr>
                <w:rFonts w:hint="eastAsia" w:ascii="宋体" w:hAnsi="宋体" w:cs="宋体"/>
                <w:b/>
                <w:bCs/>
                <w:color w:val="auto"/>
                <w:kern w:val="0"/>
                <w:szCs w:val="21"/>
                <w:highlight w:val="none"/>
              </w:rPr>
              <w:t>服务招标</w:t>
            </w:r>
          </w:p>
        </w:tc>
      </w:tr>
      <w:tr w14:paraId="09230BA6">
        <w:tblPrEx>
          <w:tblCellMar>
            <w:top w:w="15" w:type="dxa"/>
            <w:left w:w="15" w:type="dxa"/>
            <w:bottom w:w="15" w:type="dxa"/>
            <w:right w:w="15" w:type="dxa"/>
          </w:tblCellMar>
        </w:tblPrEx>
        <w:trPr>
          <w:trHeight w:val="210" w:hRule="atLeast"/>
          <w:tblCellSpacing w:w="15" w:type="dxa"/>
        </w:trPr>
        <w:tc>
          <w:tcPr>
            <w:tcW w:w="4245" w:type="dxa"/>
            <w:tcBorders>
              <w:top w:val="single" w:color="auto" w:sz="0" w:space="0"/>
              <w:left w:val="inset" w:color="000000" w:sz="6" w:space="0"/>
              <w:bottom w:val="single" w:color="auto" w:sz="0" w:space="0"/>
              <w:right w:val="inset" w:color="000000" w:sz="6" w:space="0"/>
            </w:tcBorders>
            <w:tcMar>
              <w:top w:w="0" w:type="dxa"/>
              <w:left w:w="0" w:type="dxa"/>
              <w:bottom w:w="0" w:type="dxa"/>
              <w:right w:w="0" w:type="dxa"/>
            </w:tcMar>
            <w:vAlign w:val="center"/>
          </w:tcPr>
          <w:p w14:paraId="4D7CF4F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100以下</w:t>
            </w:r>
          </w:p>
        </w:tc>
        <w:tc>
          <w:tcPr>
            <w:tcW w:w="4845" w:type="dxa"/>
            <w:tcBorders>
              <w:top w:val="single" w:color="auto" w:sz="0" w:space="0"/>
              <w:left w:val="single" w:color="auto" w:sz="0" w:space="0"/>
              <w:bottom w:val="single" w:color="auto" w:sz="0" w:space="0"/>
              <w:right w:val="inset" w:color="000000" w:sz="6" w:space="0"/>
            </w:tcBorders>
            <w:tcMar>
              <w:top w:w="0" w:type="dxa"/>
              <w:left w:w="0" w:type="dxa"/>
              <w:bottom w:w="0" w:type="dxa"/>
              <w:right w:w="0" w:type="dxa"/>
            </w:tcMar>
            <w:vAlign w:val="center"/>
          </w:tcPr>
          <w:p w14:paraId="75FE082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1.5％</w:t>
            </w:r>
          </w:p>
        </w:tc>
      </w:tr>
    </w:tbl>
    <w:p w14:paraId="20E29F60">
      <w:pPr>
        <w:snapToGrid w:val="0"/>
        <w:spacing w:line="360" w:lineRule="auto"/>
        <w:ind w:firstLine="472" w:firstLineChars="196"/>
        <w:jc w:val="left"/>
        <w:outlineLvl w:val="2"/>
        <w:rPr>
          <w:rFonts w:ascii="宋体" w:hAnsi="宋体" w:cs="宋体"/>
          <w:b/>
          <w:color w:val="auto"/>
          <w:sz w:val="24"/>
          <w:highlight w:val="none"/>
        </w:rPr>
      </w:pPr>
      <w:r>
        <w:rPr>
          <w:rFonts w:hint="eastAsia" w:ascii="宋体" w:hAnsi="宋体" w:cs="宋体"/>
          <w:b/>
          <w:color w:val="auto"/>
          <w:sz w:val="24"/>
          <w:highlight w:val="none"/>
        </w:rPr>
        <w:t>户名：</w:t>
      </w:r>
      <w:r>
        <w:rPr>
          <w:rFonts w:hint="eastAsia" w:ascii="宋体" w:hAnsi="宋体" w:cs="宋体"/>
          <w:b/>
          <w:color w:val="auto"/>
          <w:sz w:val="24"/>
          <w:highlight w:val="none"/>
          <w:lang w:eastAsia="zh-CN"/>
        </w:rPr>
        <w:t>泰宇建筑工程技术咨询有限公司东阳分公司</w:t>
      </w:r>
    </w:p>
    <w:p w14:paraId="4C4CCC28">
      <w:pPr>
        <w:snapToGrid w:val="0"/>
        <w:spacing w:line="360" w:lineRule="auto"/>
        <w:ind w:firstLine="472" w:firstLineChars="196"/>
        <w:jc w:val="left"/>
        <w:outlineLvl w:val="2"/>
        <w:rPr>
          <w:rFonts w:ascii="宋体" w:hAnsi="宋体" w:cs="宋体"/>
          <w:b/>
          <w:color w:val="auto"/>
          <w:sz w:val="24"/>
          <w:highlight w:val="none"/>
        </w:rPr>
      </w:pPr>
      <w:r>
        <w:rPr>
          <w:rFonts w:hint="eastAsia" w:ascii="宋体" w:hAnsi="宋体" w:cs="宋体"/>
          <w:b/>
          <w:color w:val="auto"/>
          <w:sz w:val="24"/>
          <w:highlight w:val="none"/>
        </w:rPr>
        <w:t>开户银行：中国建设银行股份有限公司东阳江北支行</w:t>
      </w:r>
    </w:p>
    <w:p w14:paraId="19B3C900">
      <w:pPr>
        <w:snapToGrid w:val="0"/>
        <w:spacing w:line="360" w:lineRule="auto"/>
        <w:ind w:firstLine="482" w:firstLineChars="200"/>
        <w:jc w:val="left"/>
        <w:rPr>
          <w:rFonts w:hint="default" w:ascii="宋体" w:eastAsia="宋体"/>
          <w:color w:val="auto"/>
          <w:sz w:val="24"/>
          <w:szCs w:val="20"/>
          <w:highlight w:val="none"/>
          <w:lang w:val="en-US" w:eastAsia="zh-CN"/>
        </w:rPr>
      </w:pPr>
      <w:r>
        <w:rPr>
          <w:rFonts w:hint="eastAsia" w:ascii="宋体" w:hAnsi="宋体" w:cs="宋体"/>
          <w:b/>
          <w:color w:val="auto"/>
          <w:sz w:val="24"/>
          <w:highlight w:val="none"/>
        </w:rPr>
        <w:t>账 号：33050167636100000427</w:t>
      </w:r>
    </w:p>
    <w:p w14:paraId="39B5D80E">
      <w:pPr>
        <w:snapToGrid w:val="0"/>
        <w:spacing w:beforeLines="50" w:line="360" w:lineRule="auto"/>
        <w:ind w:firstLine="472" w:firstLineChars="196"/>
        <w:jc w:val="left"/>
        <w:rPr>
          <w:rFonts w:ascii="宋体"/>
          <w:b/>
          <w:color w:val="auto"/>
          <w:sz w:val="24"/>
          <w:szCs w:val="20"/>
          <w:highlight w:val="none"/>
        </w:rPr>
      </w:pPr>
      <w:r>
        <w:rPr>
          <w:rFonts w:hint="eastAsia" w:ascii="宋体" w:hAnsi="宋体"/>
          <w:b/>
          <w:color w:val="auto"/>
          <w:sz w:val="24"/>
          <w:highlight w:val="none"/>
        </w:rPr>
        <w:t>（六）联合体投标</w:t>
      </w:r>
    </w:p>
    <w:p w14:paraId="73E0625D">
      <w:pPr>
        <w:snapToGrid w:val="0"/>
        <w:spacing w:line="360" w:lineRule="auto"/>
        <w:ind w:firstLine="480" w:firstLineChars="200"/>
        <w:jc w:val="left"/>
        <w:rPr>
          <w:rFonts w:ascii="宋体"/>
          <w:color w:val="auto"/>
          <w:sz w:val="24"/>
          <w:highlight w:val="none"/>
        </w:rPr>
      </w:pPr>
      <w:r>
        <w:rPr>
          <w:rFonts w:hint="eastAsia" w:ascii="宋体" w:hAnsi="宋体" w:cs="宋体"/>
          <w:color w:val="auto"/>
          <w:sz w:val="24"/>
          <w:highlight w:val="none"/>
        </w:rPr>
        <w:t>本项目接受联合体投标</w:t>
      </w:r>
      <w:r>
        <w:rPr>
          <w:rFonts w:hint="eastAsia" w:ascii="宋体" w:hAnsi="宋体"/>
          <w:color w:val="auto"/>
          <w:sz w:val="24"/>
          <w:highlight w:val="none"/>
        </w:rPr>
        <w:t>。</w:t>
      </w:r>
    </w:p>
    <w:p w14:paraId="122FC518">
      <w:pPr>
        <w:snapToGrid w:val="0"/>
        <w:spacing w:beforeLines="50" w:line="360" w:lineRule="auto"/>
        <w:ind w:firstLine="472" w:firstLineChars="196"/>
        <w:jc w:val="left"/>
        <w:rPr>
          <w:rFonts w:ascii="宋体"/>
          <w:b/>
          <w:color w:val="auto"/>
          <w:sz w:val="24"/>
          <w:highlight w:val="none"/>
        </w:rPr>
      </w:pPr>
      <w:r>
        <w:rPr>
          <w:rFonts w:hint="eastAsia" w:ascii="宋体" w:hAnsi="宋体"/>
          <w:b/>
          <w:color w:val="auto"/>
          <w:sz w:val="24"/>
          <w:highlight w:val="none"/>
        </w:rPr>
        <w:t>（七）转包与分包</w:t>
      </w:r>
    </w:p>
    <w:p w14:paraId="320AC715">
      <w:pPr>
        <w:snapToGrid w:val="0"/>
        <w:spacing w:before="120" w:beforeLines="50" w:line="360" w:lineRule="auto"/>
        <w:ind w:firstLine="540" w:firstLineChars="225"/>
        <w:jc w:val="left"/>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w:t>
      </w:r>
      <w:r>
        <w:rPr>
          <w:rFonts w:ascii="宋体" w:hAnsi="宋体"/>
          <w:color w:val="auto"/>
          <w:sz w:val="24"/>
          <w:szCs w:val="24"/>
          <w:highlight w:val="none"/>
        </w:rPr>
        <w:t>本项目不允许转包。</w:t>
      </w:r>
    </w:p>
    <w:p w14:paraId="390D68EF">
      <w:pPr>
        <w:snapToGrid w:val="0"/>
        <w:spacing w:before="120" w:beforeLines="50" w:line="360" w:lineRule="auto"/>
        <w:ind w:firstLine="540" w:firstLineChars="225"/>
        <w:jc w:val="left"/>
        <w:rPr>
          <w:rFonts w:hint="eastAsia" w:ascii="宋体" w:hAnsi="宋体"/>
          <w:color w:val="auto"/>
          <w:sz w:val="24"/>
          <w:szCs w:val="24"/>
          <w:highlight w:val="none"/>
        </w:rPr>
      </w:pPr>
      <w:r>
        <w:rPr>
          <w:rFonts w:ascii="宋体" w:hAnsi="宋体"/>
          <w:color w:val="auto"/>
          <w:sz w:val="24"/>
          <w:szCs w:val="24"/>
          <w:highlight w:val="none"/>
        </w:rPr>
        <w:t>2</w:t>
      </w:r>
      <w:r>
        <w:rPr>
          <w:rFonts w:hint="eastAsia" w:ascii="宋体" w:hAnsi="宋体"/>
          <w:color w:val="auto"/>
          <w:sz w:val="24"/>
          <w:szCs w:val="24"/>
          <w:highlight w:val="none"/>
        </w:rPr>
        <w:t>.本项目分包按照浙财采监[2022]3号文件执行。</w:t>
      </w:r>
    </w:p>
    <w:p w14:paraId="4549603F">
      <w:pPr>
        <w:snapToGrid w:val="0"/>
        <w:spacing w:beforeLines="50" w:line="360" w:lineRule="auto"/>
        <w:ind w:firstLine="472" w:firstLineChars="196"/>
        <w:jc w:val="left"/>
        <w:outlineLvl w:val="1"/>
        <w:rPr>
          <w:rFonts w:ascii="宋体"/>
          <w:b/>
          <w:color w:val="auto"/>
          <w:sz w:val="24"/>
          <w:highlight w:val="none"/>
        </w:rPr>
      </w:pPr>
      <w:r>
        <w:rPr>
          <w:rFonts w:hint="eastAsia" w:ascii="宋体" w:hAnsi="宋体"/>
          <w:b/>
          <w:color w:val="auto"/>
          <w:sz w:val="24"/>
          <w:highlight w:val="none"/>
        </w:rPr>
        <w:t>（八）特别说明：</w:t>
      </w:r>
    </w:p>
    <w:p w14:paraId="72282FF5">
      <w:pPr>
        <w:snapToGrid w:val="0"/>
        <w:spacing w:before="120" w:beforeLines="50" w:line="360" w:lineRule="auto"/>
        <w:ind w:firstLine="540" w:firstLineChars="225"/>
        <w:jc w:val="left"/>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▲1.多家投标人参加投标，如其中两家或两家以上投标人的法定代表人为同一人或相互之间存在投资关系且达到控股的，应当按一个投标人认定。</w:t>
      </w:r>
    </w:p>
    <w:p w14:paraId="4CE0C1C2">
      <w:pPr>
        <w:snapToGrid w:val="0"/>
        <w:spacing w:before="120" w:beforeLines="50" w:line="360" w:lineRule="auto"/>
        <w:ind w:firstLine="540" w:firstLineChars="225"/>
        <w:jc w:val="left"/>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▲2.投标人投标所使用的资格、信誉、荣誉、业绩与企业认证必须为本投标单位所拥有。</w:t>
      </w:r>
    </w:p>
    <w:p w14:paraId="4BC55AD2">
      <w:pPr>
        <w:snapToGrid w:val="0"/>
        <w:spacing w:before="120" w:beforeLines="50" w:line="360" w:lineRule="auto"/>
        <w:ind w:firstLine="540" w:firstLineChars="225"/>
        <w:jc w:val="left"/>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w:t>
      </w:r>
      <w:r>
        <w:rPr>
          <w:rFonts w:hint="eastAsia" w:ascii="宋体" w:hAnsi="宋体" w:eastAsia="宋体" w:cs="Times New Roman"/>
          <w:color w:val="auto"/>
          <w:sz w:val="24"/>
          <w:szCs w:val="24"/>
          <w:highlight w:val="none"/>
          <w:lang w:val="en-US" w:eastAsia="zh-CN"/>
        </w:rPr>
        <w:t>3.</w:t>
      </w:r>
      <w:r>
        <w:rPr>
          <w:rFonts w:hint="eastAsia" w:ascii="宋体" w:hAnsi="宋体" w:eastAsia="宋体" w:cs="Times New Roman"/>
          <w:color w:val="auto"/>
          <w:sz w:val="24"/>
          <w:szCs w:val="24"/>
          <w:highlight w:val="none"/>
        </w:rPr>
        <w:t>投标人投标所使用的采购项目实施人员必须为本投标单位员工（或必须为本投标单位或控股公司正式员工）。</w:t>
      </w:r>
    </w:p>
    <w:p w14:paraId="6FA595D6">
      <w:pPr>
        <w:snapToGrid w:val="0"/>
        <w:spacing w:before="120" w:beforeLines="50" w:line="360" w:lineRule="auto"/>
        <w:ind w:firstLine="540" w:firstLineChars="225"/>
        <w:jc w:val="left"/>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w:t>
      </w:r>
      <w:r>
        <w:rPr>
          <w:rFonts w:hint="eastAsia" w:ascii="宋体" w:hAnsi="宋体" w:eastAsia="宋体" w:cs="Times New Roman"/>
          <w:color w:val="auto"/>
          <w:sz w:val="24"/>
          <w:szCs w:val="24"/>
          <w:highlight w:val="none"/>
          <w:lang w:val="en-US" w:eastAsia="zh-CN"/>
        </w:rPr>
        <w:t>4</w:t>
      </w:r>
      <w:r>
        <w:rPr>
          <w:rFonts w:hint="eastAsia" w:ascii="宋体" w:hAnsi="宋体" w:eastAsia="宋体" w:cs="Times New Roman"/>
          <w:color w:val="auto"/>
          <w:sz w:val="24"/>
          <w:szCs w:val="24"/>
          <w:highlight w:val="none"/>
        </w:rPr>
        <w:t>.投标人应仔细阅读招标文件的所有内容，按照招标文件的要求提交投标文件，并对所提供的全部资料的真实性承担法律责任。</w:t>
      </w:r>
    </w:p>
    <w:p w14:paraId="478484D1">
      <w:pPr>
        <w:snapToGrid w:val="0"/>
        <w:spacing w:before="120" w:beforeLines="50" w:line="360" w:lineRule="auto"/>
        <w:ind w:firstLine="540" w:firstLineChars="225"/>
        <w:jc w:val="left"/>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w:t>
      </w:r>
      <w:r>
        <w:rPr>
          <w:rFonts w:hint="eastAsia" w:ascii="宋体" w:hAnsi="宋体" w:eastAsia="宋体" w:cs="Times New Roman"/>
          <w:color w:val="auto"/>
          <w:sz w:val="24"/>
          <w:szCs w:val="24"/>
          <w:highlight w:val="none"/>
          <w:lang w:val="en-US" w:eastAsia="zh-CN"/>
        </w:rPr>
        <w:t>5</w:t>
      </w:r>
      <w:r>
        <w:rPr>
          <w:rFonts w:hint="eastAsia" w:ascii="宋体" w:hAnsi="宋体" w:eastAsia="宋体" w:cs="Times New Roman"/>
          <w:color w:val="auto"/>
          <w:sz w:val="24"/>
          <w:szCs w:val="24"/>
          <w:highlight w:val="none"/>
        </w:rPr>
        <w:t>.投标人在投标活动中提供任何虚假材料,其投标无效，并报监管部门查处；中标后发现的,中标人须依照《中华人民共和国消费者权益保护法》第55条之规定三倍赔偿采购人，且民事赔偿并不免除违法投标人的行政与刑事责任。</w:t>
      </w:r>
    </w:p>
    <w:p w14:paraId="79C16125">
      <w:pPr>
        <w:snapToGrid w:val="0"/>
        <w:spacing w:before="120" w:beforeLines="50" w:line="360" w:lineRule="auto"/>
        <w:ind w:firstLine="540" w:firstLineChars="225"/>
        <w:jc w:val="left"/>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w:t>
      </w:r>
      <w:r>
        <w:rPr>
          <w:rFonts w:hint="eastAsia" w:ascii="宋体" w:hAnsi="宋体" w:eastAsia="宋体" w:cs="Times New Roman"/>
          <w:color w:val="auto"/>
          <w:sz w:val="24"/>
          <w:szCs w:val="24"/>
          <w:highlight w:val="none"/>
          <w:lang w:val="en-US" w:eastAsia="zh-CN"/>
        </w:rPr>
        <w:t>6</w:t>
      </w:r>
      <w:r>
        <w:rPr>
          <w:rFonts w:hint="eastAsia" w:ascii="宋体" w:hAnsi="宋体" w:eastAsia="宋体" w:cs="Times New Roman"/>
          <w:color w:val="auto"/>
          <w:sz w:val="24"/>
          <w:szCs w:val="24"/>
          <w:highlight w:val="none"/>
        </w:rPr>
        <w:t>.评标委员会认为投标人的报价明显低于其他通过符合性审查投标人的报价，有可能影响成果质量或者不能诚信履约的，应当要求其在评标现场合理的时间内提供书面说明，投标人不能证明其报价合理性的，评标委员会应当将其作为无效投标处理。</w:t>
      </w:r>
    </w:p>
    <w:p w14:paraId="512535FA">
      <w:pPr>
        <w:snapToGrid w:val="0"/>
        <w:spacing w:before="120" w:beforeLines="50" w:line="360" w:lineRule="auto"/>
        <w:ind w:firstLine="540" w:firstLineChars="225"/>
        <w:jc w:val="left"/>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w:t>
      </w:r>
      <w:r>
        <w:rPr>
          <w:rFonts w:hint="eastAsia" w:ascii="宋体" w:hAnsi="宋体" w:eastAsia="宋体" w:cs="Times New Roman"/>
          <w:color w:val="auto"/>
          <w:sz w:val="24"/>
          <w:szCs w:val="24"/>
          <w:highlight w:val="none"/>
          <w:lang w:val="en-US" w:eastAsia="zh-CN"/>
        </w:rPr>
        <w:t>7</w:t>
      </w:r>
      <w:r>
        <w:rPr>
          <w:rFonts w:hint="eastAsia" w:ascii="宋体" w:hAnsi="宋体" w:eastAsia="宋体" w:cs="Times New Roman"/>
          <w:color w:val="auto"/>
          <w:sz w:val="24"/>
          <w:szCs w:val="24"/>
          <w:highlight w:val="none"/>
        </w:rPr>
        <w:t>.招标方不保证最低报价者为中标方。</w:t>
      </w:r>
    </w:p>
    <w:p w14:paraId="3916B0AC">
      <w:pPr>
        <w:snapToGrid w:val="0"/>
        <w:spacing w:before="120" w:beforeLines="50" w:line="360" w:lineRule="auto"/>
        <w:ind w:firstLine="540" w:firstLineChars="225"/>
        <w:jc w:val="left"/>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w:t>
      </w:r>
      <w:r>
        <w:rPr>
          <w:rFonts w:hint="eastAsia" w:ascii="宋体" w:hAnsi="宋体" w:eastAsia="宋体" w:cs="Times New Roman"/>
          <w:color w:val="auto"/>
          <w:sz w:val="24"/>
          <w:szCs w:val="24"/>
          <w:highlight w:val="none"/>
          <w:lang w:val="en-US" w:eastAsia="zh-CN"/>
        </w:rPr>
        <w:t>8</w:t>
      </w:r>
      <w:r>
        <w:rPr>
          <w:rFonts w:hint="eastAsia" w:ascii="宋体" w:hAnsi="宋体" w:eastAsia="宋体" w:cs="Times New Roman"/>
          <w:color w:val="auto"/>
          <w:sz w:val="24"/>
          <w:szCs w:val="24"/>
          <w:highlight w:val="none"/>
        </w:rPr>
        <w:t>.为维护国家利益及招标方自身利益，允许招标方在合同签订之前仍有选择或拒绝任何或全部投标的权力。</w:t>
      </w:r>
    </w:p>
    <w:p w14:paraId="5F2970BA">
      <w:pPr>
        <w:snapToGrid w:val="0"/>
        <w:spacing w:before="120" w:beforeLines="50" w:line="360" w:lineRule="auto"/>
        <w:ind w:firstLine="540" w:firstLineChars="225"/>
        <w:jc w:val="left"/>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w:t>
      </w:r>
      <w:r>
        <w:rPr>
          <w:rFonts w:hint="eastAsia" w:ascii="宋体" w:hAnsi="宋体" w:eastAsia="宋体" w:cs="Times New Roman"/>
          <w:color w:val="auto"/>
          <w:sz w:val="24"/>
          <w:szCs w:val="24"/>
          <w:highlight w:val="none"/>
          <w:lang w:val="en-US" w:eastAsia="zh-CN"/>
        </w:rPr>
        <w:t>9</w:t>
      </w:r>
      <w:r>
        <w:rPr>
          <w:rFonts w:hint="eastAsia" w:ascii="宋体" w:hAnsi="宋体" w:eastAsia="宋体" w:cs="Times New Roman"/>
          <w:color w:val="auto"/>
          <w:sz w:val="24"/>
          <w:szCs w:val="24"/>
          <w:highlight w:val="none"/>
        </w:rPr>
        <w:t>.“政采云”平台运营机构以及与该机构有直接控股或者管理关系可能影响采购公正性的任何单位和个人，不得在该平台进行的政府采购项目电子交易中投标、响应政府采购项目。</w:t>
      </w:r>
    </w:p>
    <w:p w14:paraId="3018B819">
      <w:pPr>
        <w:pStyle w:val="26"/>
        <w:snapToGrid w:val="0"/>
        <w:spacing w:beforeLines="0" w:afterLines="0" w:line="360" w:lineRule="auto"/>
        <w:ind w:firstLine="472" w:firstLineChars="196"/>
        <w:outlineLvl w:val="1"/>
        <w:rPr>
          <w:rFonts w:hAnsi="宋体"/>
          <w:b/>
          <w:bCs/>
          <w:color w:val="auto"/>
          <w:highlight w:val="none"/>
        </w:rPr>
      </w:pPr>
      <w:r>
        <w:rPr>
          <w:rFonts w:hint="eastAsia" w:hAnsi="宋体"/>
          <w:b/>
          <w:bCs/>
          <w:color w:val="auto"/>
          <w:highlight w:val="none"/>
        </w:rPr>
        <w:t>（九）质疑和投诉</w:t>
      </w:r>
    </w:p>
    <w:p w14:paraId="5988B236">
      <w:pPr>
        <w:pStyle w:val="26"/>
        <w:snapToGrid w:val="0"/>
        <w:spacing w:beforeLines="0" w:afterLines="0" w:line="360" w:lineRule="auto"/>
        <w:ind w:firstLine="480" w:firstLineChars="200"/>
        <w:rPr>
          <w:rFonts w:hAnsi="宋体"/>
          <w:bCs/>
          <w:color w:val="auto"/>
          <w:highlight w:val="none"/>
        </w:rPr>
      </w:pPr>
      <w:r>
        <w:rPr>
          <w:rFonts w:hAnsi="宋体"/>
          <w:bCs/>
          <w:color w:val="auto"/>
          <w:highlight w:val="none"/>
        </w:rPr>
        <w:t>1.</w:t>
      </w:r>
      <w:r>
        <w:rPr>
          <w:rFonts w:hint="eastAsia" w:hAnsi="宋体"/>
          <w:bCs/>
          <w:color w:val="auto"/>
          <w:highlight w:val="none"/>
        </w:rPr>
        <w:t>投标人认为招标文件、招标过程或中标结果使自己的合法权益受到损害的，应当在知道或者应知其权益受到损害之日起七个工作日内，以书面形式向采购人、招标方提出质疑。</w:t>
      </w:r>
      <w:r>
        <w:rPr>
          <w:rFonts w:hint="eastAsia" w:hAnsi="宋体"/>
          <w:color w:val="auto"/>
          <w:highlight w:val="none"/>
        </w:rPr>
        <w:t>投标人对招标采购单位的质疑答复不满意或者招标采购单位未在规定时间内作出答复的，可以在答复期满后十五个工作日内向同级采购监管部门投诉。</w:t>
      </w:r>
    </w:p>
    <w:p w14:paraId="6FA64D5B">
      <w:pPr>
        <w:pStyle w:val="26"/>
        <w:snapToGrid w:val="0"/>
        <w:spacing w:beforeLines="0" w:afterLines="0" w:line="360" w:lineRule="auto"/>
        <w:ind w:firstLine="480" w:firstLineChars="200"/>
        <w:rPr>
          <w:rFonts w:hint="eastAsia" w:ascii="宋体" w:hAnsi="宋体" w:eastAsia="宋体" w:cs="Times New Roman"/>
          <w:bCs/>
          <w:color w:val="auto"/>
          <w:highlight w:val="none"/>
        </w:rPr>
      </w:pPr>
      <w:r>
        <w:rPr>
          <w:rFonts w:hAnsi="宋体"/>
          <w:bCs/>
          <w:color w:val="auto"/>
          <w:highlight w:val="none"/>
        </w:rPr>
        <w:t>2.</w:t>
      </w:r>
      <w:r>
        <w:rPr>
          <w:rFonts w:hint="eastAsia" w:hAnsi="宋体"/>
          <w:bCs/>
          <w:color w:val="auto"/>
          <w:highlight w:val="none"/>
        </w:rPr>
        <w:t>质疑、投诉应当采用书面形式，质疑书、投诉书均应明确阐述招标文件、招标过程或中标结果中使自己合法权益受到损害的实质性内容，提供相关事实、依据和证据及其来源或线索，便于有关单位调查、答复和</w:t>
      </w:r>
      <w:r>
        <w:rPr>
          <w:rFonts w:hint="eastAsia" w:ascii="宋体" w:hAnsi="宋体" w:eastAsia="宋体" w:cs="Times New Roman"/>
          <w:bCs/>
          <w:color w:val="auto"/>
          <w:highlight w:val="none"/>
        </w:rPr>
        <w:t>处理。</w:t>
      </w:r>
    </w:p>
    <w:p w14:paraId="10056533">
      <w:pPr>
        <w:pStyle w:val="26"/>
        <w:snapToGrid w:val="0"/>
        <w:spacing w:beforeLines="0" w:afterLines="0" w:line="360" w:lineRule="auto"/>
        <w:ind w:firstLine="480" w:firstLineChars="200"/>
        <w:rPr>
          <w:rFonts w:hint="eastAsia"/>
          <w:color w:val="auto"/>
          <w:highlight w:val="none"/>
        </w:rPr>
      </w:pPr>
      <w:r>
        <w:rPr>
          <w:rFonts w:hint="eastAsia" w:ascii="宋体" w:hAnsi="宋体" w:eastAsia="宋体" w:cs="Times New Roman"/>
          <w:bCs/>
          <w:color w:val="auto"/>
          <w:highlight w:val="none"/>
        </w:rPr>
        <w:t>3.采购人、招标方应当按照《浙江省政府采购供应商质疑处理办法》、中华人民共和国财政部第94号令《政府采购质疑和投诉办法》进行受理与答复质疑。</w:t>
      </w:r>
    </w:p>
    <w:p w14:paraId="281E724C">
      <w:pPr>
        <w:pStyle w:val="26"/>
        <w:snapToGrid w:val="0"/>
        <w:spacing w:before="120" w:after="120" w:line="360" w:lineRule="auto"/>
        <w:ind w:firstLine="472" w:firstLineChars="196"/>
        <w:outlineLvl w:val="1"/>
        <w:rPr>
          <w:rFonts w:hint="eastAsia" w:hAnsi="宋体"/>
          <w:b/>
          <w:bCs/>
          <w:color w:val="auto"/>
          <w:highlight w:val="none"/>
        </w:rPr>
      </w:pPr>
      <w:r>
        <w:rPr>
          <w:rFonts w:hint="eastAsia" w:hAnsi="宋体"/>
          <w:b/>
          <w:bCs/>
          <w:color w:val="auto"/>
          <w:highlight w:val="none"/>
          <w:lang w:eastAsia="zh-CN"/>
        </w:rPr>
        <w:t>（十）</w:t>
      </w:r>
      <w:r>
        <w:rPr>
          <w:rFonts w:hint="eastAsia" w:hAnsi="宋体"/>
          <w:b/>
          <w:bCs/>
          <w:color w:val="auto"/>
          <w:highlight w:val="none"/>
        </w:rPr>
        <w:t>政府采购政策落实</w:t>
      </w:r>
    </w:p>
    <w:p w14:paraId="1A9A19CC">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val="en" w:bidi="ar"/>
        </w:rPr>
        <w:t>1</w:t>
      </w:r>
      <w:r>
        <w:rPr>
          <w:rFonts w:hint="eastAsia" w:cs="宋体"/>
          <w:color w:val="auto"/>
          <w:highlight w:val="none"/>
          <w:lang w:bidi="ar"/>
        </w:rPr>
        <w:t>.采购项目需要落实的政府采购政策</w:t>
      </w:r>
    </w:p>
    <w:p w14:paraId="054BC946">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val="en" w:bidi="ar"/>
        </w:rPr>
        <w:t>1</w:t>
      </w:r>
      <w:r>
        <w:rPr>
          <w:rFonts w:hint="eastAsia" w:cs="宋体"/>
          <w:color w:val="auto"/>
          <w:highlight w:val="none"/>
          <w:lang w:bidi="ar"/>
        </w:rPr>
        <w:t xml:space="preserve">.1 </w:t>
      </w:r>
      <w:r>
        <w:rPr>
          <w:rFonts w:hint="eastAsia" w:ascii="宋体" w:hAnsi="宋体" w:cs="宋体"/>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未明确视同不得采购进口产品（但如果因信息不对称等原因，仍有满足需求的国内产品要求参与采购竞争的，采购人、采购机构不会对其加以限制，仍将按照公平竞争原则实施采购）。</w:t>
      </w:r>
    </w:p>
    <w:p w14:paraId="3E03034C">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val="en" w:bidi="ar"/>
        </w:rPr>
        <w:t>1</w:t>
      </w:r>
      <w:r>
        <w:rPr>
          <w:rFonts w:hint="eastAsia" w:cs="宋体"/>
          <w:color w:val="auto"/>
          <w:highlight w:val="none"/>
          <w:lang w:bidi="ar"/>
        </w:rPr>
        <w:t>.2 支持绿色发展</w:t>
      </w:r>
    </w:p>
    <w:p w14:paraId="7A6BD87A">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val="en" w:bidi="ar"/>
        </w:rPr>
        <w:t>1</w:t>
      </w:r>
      <w:r>
        <w:rPr>
          <w:rFonts w:hint="eastAsia" w:cs="宋体"/>
          <w:color w:val="auto"/>
          <w:highlight w:val="none"/>
          <w:lang w:bidi="ar"/>
        </w:rPr>
        <w:t>.2.1</w:t>
      </w:r>
      <w:r>
        <w:rPr>
          <w:rFonts w:hint="eastAsia" w:ascii="宋体" w:hAnsi="宋体" w:cs="宋体"/>
          <w:color w:val="auto"/>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采购人拟采购的产品属于政府强制采购的节能产品品目清单范围的，供应商未按采购文件要求提供国家确定的认证机构出具的、处于有效期之内的节能产品认证证书的，投标无效</w:t>
      </w:r>
      <w:r>
        <w:rPr>
          <w:rFonts w:hint="eastAsia" w:cs="宋体"/>
          <w:color w:val="auto"/>
          <w:highlight w:val="none"/>
          <w:lang w:bidi="ar"/>
        </w:rPr>
        <w:t>。</w:t>
      </w:r>
    </w:p>
    <w:p w14:paraId="4D174E68">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val="en" w:bidi="ar"/>
        </w:rPr>
        <w:t>1</w:t>
      </w:r>
      <w:r>
        <w:rPr>
          <w:rFonts w:hint="eastAsia" w:cs="宋体"/>
          <w:color w:val="auto"/>
          <w:highlight w:val="none"/>
          <w:lang w:bidi="ar"/>
        </w:rPr>
        <w:t>.2.2</w:t>
      </w:r>
      <w:r>
        <w:rPr>
          <w:rFonts w:hint="eastAsia" w:ascii="宋体" w:hAnsi="宋体" w:cs="宋体"/>
          <w:color w:val="auto"/>
          <w:sz w:val="24"/>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4BB99B3F">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val="en" w:bidi="ar"/>
        </w:rPr>
        <w:t>1</w:t>
      </w:r>
      <w:r>
        <w:rPr>
          <w:rFonts w:hint="eastAsia" w:cs="宋体"/>
          <w:color w:val="auto"/>
          <w:highlight w:val="none"/>
          <w:lang w:bidi="ar"/>
        </w:rPr>
        <w:t>.3支持中小企业发展</w:t>
      </w:r>
    </w:p>
    <w:p w14:paraId="68A8D595">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val="en" w:bidi="ar"/>
        </w:rPr>
        <w:t>1</w:t>
      </w:r>
      <w:r>
        <w:rPr>
          <w:rFonts w:hint="eastAsia" w:cs="宋体"/>
          <w:color w:val="auto"/>
          <w:highlight w:val="none"/>
          <w:lang w:bidi="ar"/>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227DB3A4">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bidi="ar"/>
        </w:rPr>
        <w:t>符合中小企业划分标准的个体工商户，在政府采购活动中视同中小企业。</w:t>
      </w:r>
    </w:p>
    <w:p w14:paraId="78784474">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val="en" w:bidi="ar"/>
        </w:rPr>
        <w:t>1</w:t>
      </w:r>
      <w:r>
        <w:rPr>
          <w:rFonts w:hint="eastAsia" w:cs="宋体"/>
          <w:color w:val="auto"/>
          <w:highlight w:val="none"/>
          <w:lang w:bidi="ar"/>
        </w:rPr>
        <w:t>.3.2在政府采购活动中，供应商提供的货物、工程或者服务符合下列情形的，享受中小企业扶持政策：</w:t>
      </w:r>
    </w:p>
    <w:p w14:paraId="51AA438C">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val="en" w:bidi="ar"/>
        </w:rPr>
        <w:t>1</w:t>
      </w:r>
      <w:r>
        <w:rPr>
          <w:rFonts w:hint="eastAsia" w:cs="宋体"/>
          <w:color w:val="auto"/>
          <w:highlight w:val="none"/>
          <w:lang w:bidi="ar"/>
        </w:rPr>
        <w:t>.3.2.1在货物采购项目中，货物由中小企业制造，即货物由中小企业生产且使用该中小企业商号或者注册商标；</w:t>
      </w:r>
    </w:p>
    <w:p w14:paraId="7DEA6BFC">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val="en" w:bidi="ar"/>
        </w:rPr>
        <w:t>1</w:t>
      </w:r>
      <w:r>
        <w:rPr>
          <w:rFonts w:hint="eastAsia" w:cs="宋体"/>
          <w:color w:val="auto"/>
          <w:highlight w:val="none"/>
          <w:lang w:bidi="ar"/>
        </w:rPr>
        <w:t>.3.2.2在工程采购项目中，工程由中小企业承建，即工程施工单位为中小企业；</w:t>
      </w:r>
    </w:p>
    <w:p w14:paraId="51AA7414">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val="en" w:bidi="ar"/>
        </w:rPr>
        <w:t>1</w:t>
      </w:r>
      <w:r>
        <w:rPr>
          <w:rFonts w:hint="eastAsia" w:cs="宋体"/>
          <w:color w:val="auto"/>
          <w:highlight w:val="none"/>
          <w:lang w:bidi="ar"/>
        </w:rPr>
        <w:t>.3.2.3在服务采购项目中，服务由中小企业承接，即提供服务的人员为中小企业依照《中华人民共和国劳动合同法》订立劳动合同的从业人员。</w:t>
      </w:r>
    </w:p>
    <w:p w14:paraId="5714F585">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bidi="ar"/>
        </w:rPr>
        <w:t>在货物采购项目中，供应商提供的货物既有中小企业制造货物，也有大型企业制造货物的，不享受中小企业扶持政策。</w:t>
      </w:r>
    </w:p>
    <w:p w14:paraId="1E4A5E41">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bidi="ar"/>
        </w:rPr>
        <w:t>以联合体形式参加政府采购活动，联合体各方均为中小企业的，联合体视同中小企业。其中，联合体各方均为小微企业的，联合体视同小微企业。</w:t>
      </w:r>
    </w:p>
    <w:p w14:paraId="39770250">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val="en" w:bidi="ar"/>
        </w:rPr>
        <w:t>1</w:t>
      </w:r>
      <w:r>
        <w:rPr>
          <w:rFonts w:hint="eastAsia" w:cs="宋体"/>
          <w:color w:val="auto"/>
          <w:highlight w:val="none"/>
          <w:lang w:bidi="ar"/>
        </w:rPr>
        <w:t>.3.3对于未预留份额专门面向中小企业的政府采购货物或服务项目，以及预留份额政府采购货物或服务项目中的非预留部分标项，对小型和微型企业的投标报价给予</w:t>
      </w:r>
      <w:r>
        <w:rPr>
          <w:rFonts w:hint="eastAsia" w:cs="宋体"/>
          <w:color w:val="auto"/>
          <w:highlight w:val="none"/>
          <w:lang w:val="en-US" w:eastAsia="zh-CN" w:bidi="ar"/>
        </w:rPr>
        <w:t>20</w:t>
      </w:r>
      <w:r>
        <w:rPr>
          <w:rFonts w:hint="eastAsia" w:cs="宋体"/>
          <w:color w:val="auto"/>
          <w:highlight w:val="none"/>
          <w:lang w:bidi="ar"/>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w:t>
      </w:r>
      <w:r>
        <w:rPr>
          <w:rFonts w:hint="eastAsia" w:cs="宋体"/>
          <w:color w:val="auto"/>
          <w:highlight w:val="none"/>
          <w:lang w:val="en-US" w:eastAsia="zh-CN" w:bidi="ar"/>
        </w:rPr>
        <w:t>40</w:t>
      </w:r>
      <w:r>
        <w:rPr>
          <w:rFonts w:hint="eastAsia" w:cs="宋体"/>
          <w:color w:val="auto"/>
          <w:highlight w:val="none"/>
          <w:lang w:bidi="ar"/>
        </w:rPr>
        <w:t>%以上的，对联合体或者大中型企业的报价给予</w:t>
      </w:r>
      <w:r>
        <w:rPr>
          <w:rFonts w:hint="eastAsia" w:cs="宋体"/>
          <w:color w:val="auto"/>
          <w:highlight w:val="none"/>
          <w:lang w:val="en-US" w:eastAsia="zh-CN" w:bidi="ar"/>
        </w:rPr>
        <w:t>6</w:t>
      </w:r>
      <w:r>
        <w:rPr>
          <w:rFonts w:hint="eastAsia" w:cs="宋体"/>
          <w:color w:val="auto"/>
          <w:highlight w:val="none"/>
          <w:lang w:bidi="ar"/>
        </w:rPr>
        <w:t>%的扣除，用扣除后的价格参加评审。组成联合体或者接受分包的小微企业与联合体内其他企业、分包企业之间存在直接控股、管理关系的，不享受价格扣除优惠政策。</w:t>
      </w:r>
    </w:p>
    <w:p w14:paraId="6CFCB77A">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val="en" w:bidi="ar"/>
        </w:rPr>
        <w:t>1</w:t>
      </w:r>
      <w:r>
        <w:rPr>
          <w:rFonts w:hint="eastAsia" w:cs="宋体"/>
          <w:color w:val="auto"/>
          <w:highlight w:val="none"/>
          <w:lang w:bidi="ar"/>
        </w:rPr>
        <w:t>.3.4符合《关于促进残疾人就业政府采购政策的通知》（财库〔2017〕141号）规定的条件并提供《残疾人福利性单位声明函》的残疾人福利性单位视同小型、微型企业；</w:t>
      </w:r>
    </w:p>
    <w:p w14:paraId="483EAA25">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val="en" w:bidi="ar"/>
        </w:rPr>
        <w:t>1</w:t>
      </w:r>
      <w:r>
        <w:rPr>
          <w:rFonts w:hint="eastAsia" w:cs="宋体"/>
          <w:color w:val="auto"/>
          <w:highlight w:val="none"/>
          <w:lang w:bidi="ar"/>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6E485C07">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val="en" w:bidi="ar"/>
        </w:rPr>
        <w:t>1</w:t>
      </w:r>
      <w:r>
        <w:rPr>
          <w:rFonts w:hint="eastAsia" w:cs="宋体"/>
          <w:color w:val="auto"/>
          <w:highlight w:val="none"/>
          <w:lang w:bidi="ar"/>
        </w:rPr>
        <w:t>.3.6可享受中小企业扶持政策的供应商应按照采购文件格式要求提供《中小企业声明函》，供应商提供的《中小企业声明函》与实际情况不符的，供应商未按采购文件要求提供国家确定的认证机构出具的、处于有效期之内的产品认证证书的，不享受中小企业扶持政策。声明内容不实的，属于提供虚假材料谋取中标、成交的，依法承担法律责任。</w:t>
      </w:r>
    </w:p>
    <w:p w14:paraId="1A6EEF7D">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val="en" w:bidi="ar"/>
        </w:rPr>
        <w:t>1</w:t>
      </w:r>
      <w:r>
        <w:rPr>
          <w:rFonts w:hint="eastAsia" w:cs="宋体"/>
          <w:color w:val="auto"/>
          <w:highlight w:val="none"/>
          <w:lang w:bidi="ar"/>
        </w:rPr>
        <w:t>.3.7中小企业享受扶持政策获得政府采购合同的，小微企业不得将合同分包给大中型企业，中型企业不得将合同分包给大型企业。</w:t>
      </w:r>
    </w:p>
    <w:p w14:paraId="4E2E5844">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val="en" w:bidi="ar"/>
        </w:rPr>
        <w:t>1</w:t>
      </w:r>
      <w:r>
        <w:rPr>
          <w:rFonts w:hint="eastAsia" w:cs="宋体"/>
          <w:color w:val="auto"/>
          <w:highlight w:val="none"/>
          <w:lang w:bidi="ar"/>
        </w:rPr>
        <w:t>.4支持创新发展</w:t>
      </w:r>
    </w:p>
    <w:p w14:paraId="48F0A73A">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val="en" w:bidi="ar"/>
        </w:rPr>
        <w:t>1</w:t>
      </w:r>
      <w:r>
        <w:rPr>
          <w:rFonts w:hint="eastAsia" w:cs="宋体"/>
          <w:color w:val="auto"/>
          <w:highlight w:val="none"/>
          <w:lang w:bidi="ar"/>
        </w:rPr>
        <w:t>.4.1 采购人优先采购被认定为首台套产品和“制造精品”的自主创新产品。</w:t>
      </w:r>
    </w:p>
    <w:p w14:paraId="4E30F549">
      <w:pPr>
        <w:pStyle w:val="40"/>
        <w:adjustRightInd w:val="0"/>
        <w:snapToGrid w:val="0"/>
        <w:spacing w:beforeAutospacing="0" w:afterAutospacing="0" w:line="360" w:lineRule="auto"/>
        <w:ind w:firstLine="480" w:firstLineChars="200"/>
        <w:rPr>
          <w:rFonts w:hint="eastAsia" w:cs="宋体"/>
          <w:color w:val="auto"/>
          <w:highlight w:val="none"/>
          <w:lang w:bidi="ar"/>
        </w:rPr>
      </w:pPr>
      <w:r>
        <w:rPr>
          <w:rFonts w:hint="eastAsia" w:cs="宋体"/>
          <w:color w:val="auto"/>
          <w:highlight w:val="none"/>
          <w:lang w:val="en" w:bidi="ar"/>
        </w:rPr>
        <w:t>1</w:t>
      </w:r>
      <w:r>
        <w:rPr>
          <w:rFonts w:hint="eastAsia" w:cs="宋体"/>
          <w:color w:val="auto"/>
          <w:highlight w:val="none"/>
          <w:lang w:bidi="ar"/>
        </w:rPr>
        <w:t>.4.2</w:t>
      </w:r>
      <w:r>
        <w:rPr>
          <w:rFonts w:hint="eastAsia" w:cs="宋体" w:asciiTheme="majorEastAsia" w:hAnsiTheme="majorEastAsia" w:eastAsiaTheme="majorEastAsia"/>
          <w:color w:val="auto"/>
          <w:highlight w:val="none"/>
        </w:rPr>
        <w:t>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12D2CE80">
      <w:pPr>
        <w:pStyle w:val="40"/>
        <w:adjustRightInd w:val="0"/>
        <w:snapToGrid w:val="0"/>
        <w:spacing w:beforeAutospacing="0" w:afterAutospacing="0" w:line="360" w:lineRule="auto"/>
        <w:ind w:firstLine="480" w:firstLineChars="200"/>
        <w:rPr>
          <w:rFonts w:hint="eastAsia" w:eastAsia="宋体"/>
          <w:color w:val="auto"/>
          <w:highlight w:val="none"/>
          <w:lang w:eastAsia="zh-CN"/>
        </w:rPr>
      </w:pPr>
      <w:r>
        <w:rPr>
          <w:rFonts w:hint="eastAsia" w:cs="宋体"/>
          <w:color w:val="auto"/>
          <w:highlight w:val="none"/>
          <w:lang w:val="en" w:bidi="ar"/>
        </w:rPr>
        <w:t>1</w:t>
      </w:r>
      <w:r>
        <w:rPr>
          <w:rFonts w:hint="eastAsia" w:cs="宋体"/>
          <w:color w:val="auto"/>
          <w:highlight w:val="none"/>
          <w:lang w:bidi="ar"/>
        </w:rPr>
        <w:t>.5中小企业信用融资：为支持和促进中小企业发展，进一步发挥政府采购政策功能，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陆浙江政府采购( (tp:/www zizfcg gov.cn)的中小企业信用融资栏目了解相关信息。 供应商可以通过浙江政府采购网(https://zfcg. czt.zj. gov.cn/)首页的“浙江政采贷”模块进入申请，还可以通过政府采购云平台(https://wwwzcygov.cn/)首页的“金融服务”模块进入申请。</w:t>
      </w:r>
    </w:p>
    <w:p w14:paraId="67832DD3">
      <w:pPr>
        <w:pStyle w:val="26"/>
        <w:snapToGrid w:val="0"/>
        <w:spacing w:beforeLines="0" w:afterLines="0" w:line="360" w:lineRule="auto"/>
        <w:ind w:firstLine="551" w:firstLineChars="196"/>
        <w:outlineLvl w:val="0"/>
        <w:rPr>
          <w:rFonts w:hAnsi="宋体"/>
          <w:b/>
          <w:color w:val="auto"/>
          <w:sz w:val="28"/>
          <w:szCs w:val="28"/>
          <w:highlight w:val="none"/>
        </w:rPr>
      </w:pPr>
      <w:r>
        <w:rPr>
          <w:rFonts w:hint="eastAsia" w:hAnsi="宋体"/>
          <w:b/>
          <w:color w:val="auto"/>
          <w:sz w:val="28"/>
          <w:szCs w:val="28"/>
          <w:highlight w:val="none"/>
        </w:rPr>
        <w:t>二、招标文件</w:t>
      </w:r>
    </w:p>
    <w:p w14:paraId="07DEDCA2">
      <w:pPr>
        <w:snapToGrid w:val="0"/>
        <w:spacing w:line="360" w:lineRule="auto"/>
        <w:ind w:firstLine="472" w:firstLineChars="196"/>
        <w:jc w:val="left"/>
        <w:rPr>
          <w:rFonts w:ascii="宋体"/>
          <w:b/>
          <w:color w:val="auto"/>
          <w:sz w:val="24"/>
          <w:szCs w:val="20"/>
          <w:highlight w:val="none"/>
        </w:rPr>
      </w:pPr>
      <w:r>
        <w:rPr>
          <w:rFonts w:hint="eastAsia" w:ascii="宋体" w:hAnsi="宋体"/>
          <w:b/>
          <w:color w:val="auto"/>
          <w:sz w:val="24"/>
          <w:highlight w:val="none"/>
        </w:rPr>
        <w:t>（一）招标文件的构成。本招标文件由以下部分组成：</w:t>
      </w:r>
    </w:p>
    <w:p w14:paraId="4D2CF799">
      <w:pPr>
        <w:snapToGrid w:val="0"/>
        <w:spacing w:line="360" w:lineRule="auto"/>
        <w:ind w:firstLine="480" w:firstLineChars="200"/>
        <w:jc w:val="left"/>
        <w:rPr>
          <w:rFonts w:ascii="宋体"/>
          <w:color w:val="auto"/>
          <w:sz w:val="24"/>
          <w:szCs w:val="20"/>
          <w:highlight w:val="none"/>
        </w:rPr>
      </w:pPr>
      <w:r>
        <w:rPr>
          <w:rFonts w:ascii="宋体" w:hAnsi="宋体"/>
          <w:color w:val="auto"/>
          <w:sz w:val="24"/>
          <w:highlight w:val="none"/>
        </w:rPr>
        <w:t>1</w:t>
      </w:r>
      <w:r>
        <w:rPr>
          <w:rFonts w:ascii="宋体"/>
          <w:color w:val="auto"/>
          <w:sz w:val="24"/>
          <w:highlight w:val="none"/>
        </w:rPr>
        <w:t>.</w:t>
      </w:r>
      <w:r>
        <w:rPr>
          <w:rFonts w:hint="eastAsia" w:ascii="宋体" w:hAnsi="宋体"/>
          <w:color w:val="auto"/>
          <w:sz w:val="24"/>
          <w:highlight w:val="none"/>
        </w:rPr>
        <w:t>招标公告</w:t>
      </w:r>
    </w:p>
    <w:p w14:paraId="3B08FC51">
      <w:pPr>
        <w:snapToGrid w:val="0"/>
        <w:spacing w:line="360" w:lineRule="auto"/>
        <w:ind w:firstLine="480" w:firstLineChars="200"/>
        <w:jc w:val="left"/>
        <w:rPr>
          <w:rFonts w:ascii="宋体"/>
          <w:color w:val="auto"/>
          <w:sz w:val="24"/>
          <w:szCs w:val="20"/>
          <w:highlight w:val="none"/>
        </w:rPr>
      </w:pPr>
      <w:r>
        <w:rPr>
          <w:rFonts w:ascii="宋体" w:hAnsi="宋体"/>
          <w:color w:val="auto"/>
          <w:sz w:val="24"/>
          <w:highlight w:val="none"/>
        </w:rPr>
        <w:t>2</w:t>
      </w:r>
      <w:r>
        <w:rPr>
          <w:rFonts w:ascii="宋体"/>
          <w:color w:val="auto"/>
          <w:sz w:val="24"/>
          <w:highlight w:val="none"/>
        </w:rPr>
        <w:t>.</w:t>
      </w:r>
      <w:r>
        <w:rPr>
          <w:rFonts w:hint="eastAsia" w:ascii="宋体" w:hAnsi="宋体"/>
          <w:color w:val="auto"/>
          <w:sz w:val="24"/>
          <w:highlight w:val="none"/>
        </w:rPr>
        <w:t>招标需求</w:t>
      </w:r>
    </w:p>
    <w:p w14:paraId="09DB6B9D">
      <w:pPr>
        <w:snapToGrid w:val="0"/>
        <w:spacing w:line="360" w:lineRule="auto"/>
        <w:ind w:firstLine="480" w:firstLineChars="200"/>
        <w:jc w:val="left"/>
        <w:rPr>
          <w:rFonts w:ascii="宋体"/>
          <w:color w:val="auto"/>
          <w:sz w:val="24"/>
          <w:szCs w:val="20"/>
          <w:highlight w:val="none"/>
        </w:rPr>
      </w:pPr>
      <w:r>
        <w:rPr>
          <w:rFonts w:ascii="宋体" w:hAnsi="宋体"/>
          <w:color w:val="auto"/>
          <w:sz w:val="24"/>
          <w:highlight w:val="none"/>
        </w:rPr>
        <w:t>3</w:t>
      </w:r>
      <w:r>
        <w:rPr>
          <w:rFonts w:ascii="宋体"/>
          <w:color w:val="auto"/>
          <w:sz w:val="24"/>
          <w:highlight w:val="none"/>
        </w:rPr>
        <w:t>.</w:t>
      </w:r>
      <w:r>
        <w:rPr>
          <w:rFonts w:hint="eastAsia" w:ascii="宋体" w:hAnsi="宋体"/>
          <w:color w:val="auto"/>
          <w:sz w:val="24"/>
          <w:highlight w:val="none"/>
        </w:rPr>
        <w:t>投标人须知</w:t>
      </w:r>
    </w:p>
    <w:p w14:paraId="7F42FD16">
      <w:pPr>
        <w:snapToGrid w:val="0"/>
        <w:spacing w:line="360" w:lineRule="auto"/>
        <w:ind w:firstLine="480" w:firstLineChars="200"/>
        <w:jc w:val="left"/>
        <w:rPr>
          <w:rFonts w:ascii="宋体"/>
          <w:color w:val="auto"/>
          <w:sz w:val="24"/>
          <w:szCs w:val="20"/>
          <w:highlight w:val="none"/>
        </w:rPr>
      </w:pPr>
      <w:r>
        <w:rPr>
          <w:rFonts w:ascii="宋体" w:hAnsi="宋体"/>
          <w:color w:val="auto"/>
          <w:sz w:val="24"/>
          <w:highlight w:val="none"/>
        </w:rPr>
        <w:t>4</w:t>
      </w:r>
      <w:r>
        <w:rPr>
          <w:rFonts w:ascii="宋体"/>
          <w:color w:val="auto"/>
          <w:sz w:val="24"/>
          <w:highlight w:val="none"/>
        </w:rPr>
        <w:t>.</w:t>
      </w:r>
      <w:r>
        <w:rPr>
          <w:rFonts w:hint="eastAsia" w:ascii="宋体" w:hAnsi="宋体"/>
          <w:color w:val="auto"/>
          <w:sz w:val="24"/>
          <w:highlight w:val="none"/>
        </w:rPr>
        <w:t>评标办法及标准</w:t>
      </w:r>
    </w:p>
    <w:p w14:paraId="3CC41708">
      <w:pPr>
        <w:snapToGrid w:val="0"/>
        <w:spacing w:line="360" w:lineRule="auto"/>
        <w:ind w:firstLine="480" w:firstLineChars="200"/>
        <w:jc w:val="left"/>
        <w:rPr>
          <w:rFonts w:ascii="宋体"/>
          <w:color w:val="auto"/>
          <w:sz w:val="24"/>
          <w:szCs w:val="20"/>
          <w:highlight w:val="none"/>
        </w:rPr>
      </w:pPr>
      <w:r>
        <w:rPr>
          <w:rFonts w:ascii="宋体" w:hAnsi="宋体"/>
          <w:color w:val="auto"/>
          <w:sz w:val="24"/>
          <w:highlight w:val="none"/>
        </w:rPr>
        <w:t>5</w:t>
      </w:r>
      <w:r>
        <w:rPr>
          <w:rFonts w:ascii="宋体"/>
          <w:color w:val="auto"/>
          <w:sz w:val="24"/>
          <w:highlight w:val="none"/>
        </w:rPr>
        <w:t>.</w:t>
      </w:r>
      <w:r>
        <w:rPr>
          <w:rFonts w:hint="eastAsia" w:ascii="宋体" w:hAnsi="宋体"/>
          <w:color w:val="auto"/>
          <w:sz w:val="24"/>
          <w:highlight w:val="none"/>
        </w:rPr>
        <w:t>合同主要条款</w:t>
      </w:r>
    </w:p>
    <w:p w14:paraId="39674454">
      <w:pPr>
        <w:snapToGrid w:val="0"/>
        <w:spacing w:line="360" w:lineRule="auto"/>
        <w:ind w:firstLine="480" w:firstLineChars="200"/>
        <w:jc w:val="left"/>
        <w:rPr>
          <w:rFonts w:ascii="宋体"/>
          <w:color w:val="auto"/>
          <w:sz w:val="24"/>
          <w:highlight w:val="none"/>
        </w:rPr>
      </w:pPr>
      <w:r>
        <w:rPr>
          <w:rFonts w:ascii="宋体" w:hAnsi="宋体"/>
          <w:color w:val="auto"/>
          <w:sz w:val="24"/>
          <w:highlight w:val="none"/>
        </w:rPr>
        <w:t>6</w:t>
      </w:r>
      <w:r>
        <w:rPr>
          <w:rFonts w:ascii="宋体"/>
          <w:color w:val="auto"/>
          <w:sz w:val="24"/>
          <w:highlight w:val="none"/>
        </w:rPr>
        <w:t>.</w:t>
      </w:r>
      <w:r>
        <w:rPr>
          <w:rFonts w:hint="eastAsia" w:ascii="宋体" w:hAnsi="宋体"/>
          <w:color w:val="auto"/>
          <w:sz w:val="24"/>
          <w:highlight w:val="none"/>
        </w:rPr>
        <w:t>投标文件格式</w:t>
      </w:r>
    </w:p>
    <w:p w14:paraId="0C34B1A0">
      <w:pPr>
        <w:snapToGrid w:val="0"/>
        <w:spacing w:line="360" w:lineRule="auto"/>
        <w:ind w:firstLine="480" w:firstLineChars="200"/>
        <w:jc w:val="left"/>
        <w:rPr>
          <w:rFonts w:ascii="宋体"/>
          <w:color w:val="auto"/>
          <w:sz w:val="24"/>
          <w:szCs w:val="20"/>
          <w:highlight w:val="none"/>
        </w:rPr>
      </w:pPr>
      <w:r>
        <w:rPr>
          <w:rFonts w:ascii="宋体" w:hAnsi="宋体"/>
          <w:color w:val="auto"/>
          <w:sz w:val="24"/>
          <w:highlight w:val="none"/>
        </w:rPr>
        <w:t>7.</w:t>
      </w:r>
      <w:r>
        <w:rPr>
          <w:rFonts w:hint="eastAsia" w:ascii="宋体" w:hAnsi="宋体"/>
          <w:color w:val="auto"/>
          <w:sz w:val="24"/>
          <w:highlight w:val="none"/>
        </w:rPr>
        <w:t>本项目招标文件的澄清、答复、修改、补充的内容</w:t>
      </w:r>
    </w:p>
    <w:p w14:paraId="2EB00CC6">
      <w:pPr>
        <w:snapToGrid w:val="0"/>
        <w:spacing w:beforeLines="50" w:line="360" w:lineRule="auto"/>
        <w:ind w:firstLine="472" w:firstLineChars="196"/>
        <w:jc w:val="left"/>
        <w:rPr>
          <w:rFonts w:ascii="宋体"/>
          <w:b/>
          <w:color w:val="auto"/>
          <w:sz w:val="24"/>
          <w:szCs w:val="20"/>
          <w:highlight w:val="none"/>
        </w:rPr>
      </w:pPr>
      <w:r>
        <w:rPr>
          <w:rFonts w:hint="eastAsia" w:ascii="宋体" w:hAnsi="宋体"/>
          <w:b/>
          <w:color w:val="auto"/>
          <w:sz w:val="24"/>
          <w:highlight w:val="none"/>
        </w:rPr>
        <w:t>（二）投标人的风险</w:t>
      </w:r>
    </w:p>
    <w:p w14:paraId="7A02EAF0">
      <w:pPr>
        <w:pStyle w:val="36"/>
        <w:spacing w:line="360" w:lineRule="auto"/>
        <w:ind w:firstLine="31680"/>
        <w:rPr>
          <w:rFonts w:ascii="宋体" w:eastAsia="宋体"/>
          <w:color w:val="auto"/>
          <w:szCs w:val="20"/>
          <w:highlight w:val="none"/>
        </w:rPr>
      </w:pPr>
      <w:r>
        <w:rPr>
          <w:rFonts w:hint="eastAsia" w:ascii="宋体" w:eastAsia="宋体"/>
          <w:color w:val="auto"/>
          <w:highlight w:val="none"/>
        </w:rPr>
        <w:t>投标人没有按照招标文件要求提供全部资料，或者投标人没有对招标文件在各方面作出实质性响应是投标人的风险，并可能导致其投标被拒绝。</w:t>
      </w:r>
    </w:p>
    <w:p w14:paraId="7CCE5EE1">
      <w:pPr>
        <w:pStyle w:val="14"/>
        <w:widowControl w:val="0"/>
        <w:tabs>
          <w:tab w:val="clear" w:pos="454"/>
        </w:tabs>
        <w:snapToGrid w:val="0"/>
        <w:spacing w:beforeLines="50" w:afterLines="0" w:line="360" w:lineRule="auto"/>
        <w:ind w:left="0" w:firstLine="472" w:firstLineChars="196"/>
        <w:rPr>
          <w:rFonts w:ascii="宋体"/>
          <w:b/>
          <w:color w:val="auto"/>
          <w:szCs w:val="24"/>
          <w:highlight w:val="none"/>
        </w:rPr>
      </w:pPr>
      <w:r>
        <w:rPr>
          <w:rFonts w:hint="eastAsia" w:ascii="宋体" w:hAnsi="宋体"/>
          <w:b/>
          <w:color w:val="auto"/>
          <w:szCs w:val="24"/>
          <w:highlight w:val="none"/>
        </w:rPr>
        <w:t>（三）招标文件的澄清与修改</w:t>
      </w:r>
    </w:p>
    <w:p w14:paraId="7A431E7B">
      <w:pPr>
        <w:pStyle w:val="26"/>
        <w:snapToGrid w:val="0"/>
        <w:spacing w:beforeLines="0" w:afterLines="0" w:line="360" w:lineRule="auto"/>
        <w:ind w:firstLine="480" w:firstLineChars="200"/>
        <w:rPr>
          <w:rFonts w:hAnsi="宋体"/>
          <w:color w:val="auto"/>
          <w:highlight w:val="none"/>
        </w:rPr>
      </w:pPr>
      <w:r>
        <w:rPr>
          <w:rFonts w:hAnsi="宋体"/>
          <w:color w:val="auto"/>
          <w:highlight w:val="none"/>
        </w:rPr>
        <w:t>1.</w:t>
      </w:r>
      <w:r>
        <w:rPr>
          <w:rFonts w:hint="eastAsia" w:hAnsi="宋体"/>
          <w:bCs/>
          <w:color w:val="auto"/>
          <w:highlight w:val="none"/>
        </w:rPr>
        <w:t>投标人应认真阅读本招标文件，发现其中有误或有不合理要求的，</w:t>
      </w:r>
      <w:r>
        <w:rPr>
          <w:rFonts w:hint="eastAsia" w:ascii="宋体" w:hAnsi="宋体" w:cs="宋体"/>
          <w:color w:val="auto"/>
          <w:sz w:val="24"/>
          <w:highlight w:val="none"/>
        </w:rPr>
        <w:t>投标人应当按照公开招标公告第八条规定以书面形式要求招标方澄清</w:t>
      </w:r>
      <w:r>
        <w:rPr>
          <w:rFonts w:hint="eastAsia" w:hAnsi="宋体"/>
          <w:color w:val="auto"/>
          <w:highlight w:val="none"/>
        </w:rPr>
        <w:t>。</w:t>
      </w:r>
      <w:r>
        <w:rPr>
          <w:rFonts w:hint="eastAsia" w:ascii="宋体" w:hAnsi="宋体" w:cs="宋体"/>
          <w:color w:val="auto"/>
          <w:sz w:val="24"/>
          <w:highlight w:val="none"/>
        </w:rPr>
        <w:t>招标方对已发出的招标文件进行必要澄清、答复、修改或补充的，应当在招标文件要求提交投标文件截止时间15日前，在财政部门指定的政府采购信息发布媒体上发布更正公告，并以书面形式通知所有招标文件收受人</w:t>
      </w:r>
      <w:r>
        <w:rPr>
          <w:rFonts w:hint="eastAsia" w:hAnsi="宋体"/>
          <w:color w:val="auto"/>
          <w:highlight w:val="none"/>
        </w:rPr>
        <w:t>。</w:t>
      </w:r>
    </w:p>
    <w:p w14:paraId="26E63596">
      <w:pPr>
        <w:pStyle w:val="26"/>
        <w:snapToGrid w:val="0"/>
        <w:spacing w:beforeLines="0" w:afterLines="0" w:line="360" w:lineRule="auto"/>
        <w:ind w:firstLine="480" w:firstLineChars="200"/>
        <w:rPr>
          <w:rFonts w:hAnsi="宋体"/>
          <w:color w:val="auto"/>
          <w:highlight w:val="none"/>
        </w:rPr>
      </w:pPr>
      <w:r>
        <w:rPr>
          <w:rFonts w:hAnsi="宋体"/>
          <w:color w:val="auto"/>
          <w:highlight w:val="none"/>
        </w:rPr>
        <w:t>2.</w:t>
      </w:r>
      <w:r>
        <w:rPr>
          <w:rFonts w:hint="eastAsia" w:hAnsi="宋体"/>
          <w:color w:val="auto"/>
          <w:highlight w:val="none"/>
        </w:rPr>
        <w:t>招标方必须以书面形式答复投标人要求澄清的问题，并将不包含问题来源的答复书面通知所有购买招标文件的投标人，除书面答复以外的其他澄清方式及澄清内容均无效。</w:t>
      </w:r>
    </w:p>
    <w:p w14:paraId="15BAC248">
      <w:pPr>
        <w:pStyle w:val="26"/>
        <w:snapToGrid w:val="0"/>
        <w:spacing w:beforeLines="0" w:afterLines="0" w:line="360" w:lineRule="auto"/>
        <w:ind w:firstLine="480" w:firstLineChars="200"/>
        <w:rPr>
          <w:rFonts w:hAnsi="宋体"/>
          <w:color w:val="auto"/>
          <w:highlight w:val="none"/>
        </w:rPr>
      </w:pPr>
      <w:r>
        <w:rPr>
          <w:rFonts w:hAnsi="宋体"/>
          <w:color w:val="auto"/>
          <w:highlight w:val="none"/>
        </w:rPr>
        <w:t>3.</w:t>
      </w:r>
      <w:r>
        <w:rPr>
          <w:rFonts w:hint="eastAsia" w:hAnsi="宋体"/>
          <w:color w:val="auto"/>
          <w:highlight w:val="none"/>
        </w:rPr>
        <w:t>招标文件澄清、答复、修改、补充的内容为招标文件的组成部分。当招标文件与招标文件的答复、澄清、修改、补充通知就同一内容的表述不一致时，以最后发出的书面文件为准。</w:t>
      </w:r>
    </w:p>
    <w:p w14:paraId="272CC23C">
      <w:pPr>
        <w:pStyle w:val="26"/>
        <w:snapToGrid w:val="0"/>
        <w:spacing w:beforeLines="0" w:afterLines="0" w:line="360" w:lineRule="auto"/>
        <w:ind w:firstLine="480" w:firstLineChars="200"/>
        <w:rPr>
          <w:rFonts w:hint="eastAsia" w:hAnsi="宋体"/>
          <w:color w:val="auto"/>
          <w:highlight w:val="none"/>
        </w:rPr>
      </w:pPr>
      <w:r>
        <w:rPr>
          <w:rFonts w:hAnsi="宋体"/>
          <w:color w:val="auto"/>
          <w:highlight w:val="none"/>
        </w:rPr>
        <w:t>4.</w:t>
      </w:r>
      <w:r>
        <w:rPr>
          <w:rFonts w:hint="eastAsia" w:hAnsi="宋体"/>
          <w:color w:val="auto"/>
          <w:highlight w:val="none"/>
        </w:rPr>
        <w:t>招标文件的澄清、答复、修改或补充都应该通过本招标机构以法定形式发布，采购人非通过本机构，不得擅自澄清、答复、修改或补充招标文件。</w:t>
      </w:r>
    </w:p>
    <w:p w14:paraId="4362E427">
      <w:pPr>
        <w:pStyle w:val="26"/>
        <w:snapToGrid w:val="0"/>
        <w:spacing w:beforeLines="0" w:afterLines="0" w:line="360" w:lineRule="auto"/>
        <w:ind w:firstLine="480" w:firstLineChars="200"/>
        <w:rPr>
          <w:rFonts w:hint="eastAsia" w:ascii="宋体" w:hAnsi="宋体" w:eastAsia="宋体" w:cs="Times New Roman"/>
          <w:color w:val="auto"/>
          <w:highlight w:val="none"/>
        </w:rPr>
      </w:pPr>
      <w:r>
        <w:rPr>
          <w:rFonts w:hint="eastAsia" w:ascii="宋体" w:hAnsi="宋体" w:eastAsia="宋体" w:cs="Times New Roman"/>
          <w:color w:val="auto"/>
          <w:highlight w:val="none"/>
        </w:rPr>
        <w:t>5. 采购人和招标代理机构的任何工作人员对投标人所作的任何口头解释、介绍、答复，仅供投标人参考，不作为招标依据，对采购人、招标代理机构和投标人无任何约束力，一切以网上公告及书面形式为准。</w:t>
      </w:r>
    </w:p>
    <w:p w14:paraId="5863F8E3">
      <w:pPr>
        <w:pStyle w:val="26"/>
        <w:snapToGrid w:val="0"/>
        <w:spacing w:beforeLines="0" w:afterLines="0" w:line="360" w:lineRule="auto"/>
        <w:ind w:firstLine="551" w:firstLineChars="196"/>
        <w:outlineLvl w:val="1"/>
        <w:rPr>
          <w:rFonts w:hAnsi="宋体"/>
          <w:b/>
          <w:color w:val="auto"/>
          <w:sz w:val="28"/>
          <w:szCs w:val="28"/>
          <w:highlight w:val="none"/>
        </w:rPr>
      </w:pPr>
      <w:r>
        <w:rPr>
          <w:rFonts w:hint="eastAsia" w:hAnsi="宋体"/>
          <w:b/>
          <w:color w:val="auto"/>
          <w:sz w:val="28"/>
          <w:szCs w:val="28"/>
          <w:highlight w:val="none"/>
        </w:rPr>
        <w:t>三、投标文件的编制</w:t>
      </w:r>
    </w:p>
    <w:p w14:paraId="5EFE2036">
      <w:pPr>
        <w:snapToGrid w:val="0"/>
        <w:spacing w:line="360" w:lineRule="auto"/>
        <w:ind w:firstLine="472" w:firstLineChars="196"/>
        <w:jc w:val="left"/>
        <w:outlineLvl w:val="0"/>
        <w:rPr>
          <w:rFonts w:ascii="宋体"/>
          <w:b/>
          <w:color w:val="auto"/>
          <w:sz w:val="24"/>
          <w:szCs w:val="20"/>
          <w:highlight w:val="none"/>
        </w:rPr>
      </w:pPr>
      <w:r>
        <w:rPr>
          <w:rFonts w:hint="eastAsia" w:ascii="宋体" w:hAnsi="宋体"/>
          <w:b/>
          <w:color w:val="auto"/>
          <w:sz w:val="24"/>
          <w:highlight w:val="none"/>
        </w:rPr>
        <w:t>（一）投标文件的组成</w:t>
      </w:r>
    </w:p>
    <w:p w14:paraId="69214F21">
      <w:pPr>
        <w:snapToGrid w:val="0"/>
        <w:spacing w:line="360" w:lineRule="auto"/>
        <w:ind w:firstLine="470" w:firstLineChars="196"/>
        <w:jc w:val="left"/>
        <w:rPr>
          <w:rFonts w:ascii="宋体"/>
          <w:color w:val="auto"/>
          <w:sz w:val="24"/>
          <w:highlight w:val="none"/>
        </w:rPr>
      </w:pPr>
      <w:r>
        <w:rPr>
          <w:rFonts w:hint="eastAsia" w:ascii="宋体" w:hAnsi="宋体"/>
          <w:color w:val="auto"/>
          <w:sz w:val="24"/>
          <w:highlight w:val="none"/>
        </w:rPr>
        <w:t>投标文件由</w:t>
      </w:r>
      <w:r>
        <w:rPr>
          <w:rFonts w:hint="eastAsia" w:ascii="宋体" w:hAnsi="宋体"/>
          <w:color w:val="auto"/>
          <w:sz w:val="24"/>
          <w:highlight w:val="none"/>
          <w:lang w:eastAsia="zh-CN"/>
        </w:rPr>
        <w:t>资格响应文件、商务资信技术文件、报价文件</w:t>
      </w:r>
      <w:r>
        <w:rPr>
          <w:rFonts w:hint="eastAsia" w:ascii="宋体" w:hAnsi="宋体"/>
          <w:color w:val="auto"/>
          <w:sz w:val="24"/>
          <w:highlight w:val="none"/>
        </w:rPr>
        <w:t>三部份组成。</w:t>
      </w:r>
    </w:p>
    <w:p w14:paraId="5F4B6688">
      <w:pPr>
        <w:numPr>
          <w:ilvl w:val="0"/>
          <w:numId w:val="6"/>
        </w:numPr>
        <w:snapToGrid w:val="0"/>
        <w:spacing w:before="120" w:beforeLines="50" w:line="360" w:lineRule="auto"/>
        <w:ind w:firstLine="470" w:firstLineChars="196"/>
        <w:jc w:val="left"/>
        <w:rPr>
          <w:rFonts w:ascii="宋体" w:hAnsi="宋体"/>
          <w:b/>
          <w:color w:val="auto"/>
          <w:sz w:val="24"/>
          <w:szCs w:val="24"/>
          <w:highlight w:val="none"/>
        </w:rPr>
      </w:pPr>
      <w:r>
        <w:rPr>
          <w:rFonts w:hint="eastAsia" w:ascii="宋体" w:hAnsi="宋体"/>
          <w:color w:val="auto"/>
          <w:sz w:val="24"/>
          <w:szCs w:val="24"/>
          <w:highlight w:val="none"/>
        </w:rPr>
        <w:t>资格响应文件</w:t>
      </w:r>
      <w:r>
        <w:rPr>
          <w:rFonts w:ascii="宋体" w:hAnsi="宋体"/>
          <w:b/>
          <w:color w:val="auto"/>
          <w:sz w:val="24"/>
          <w:szCs w:val="24"/>
          <w:highlight w:val="none"/>
        </w:rPr>
        <w:t>：</w:t>
      </w:r>
    </w:p>
    <w:p w14:paraId="335BFB5F">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（1）有效的企业法人营业执照副本(或事业法人登记证书或</w:t>
      </w:r>
      <w:r>
        <w:rPr>
          <w:rFonts w:hint="eastAsia" w:ascii="宋体" w:hAnsi="宋体" w:eastAsia="宋体" w:cs="宋体"/>
          <w:bCs/>
          <w:color w:val="auto"/>
          <w:sz w:val="24"/>
          <w:highlight w:val="none"/>
          <w:lang w:eastAsia="zh-CN"/>
        </w:rPr>
        <w:t>其他</w:t>
      </w:r>
      <w:r>
        <w:rPr>
          <w:rFonts w:hint="eastAsia" w:ascii="宋体" w:hAnsi="宋体" w:eastAsia="宋体" w:cs="宋体"/>
          <w:bCs/>
          <w:color w:val="auto"/>
          <w:sz w:val="24"/>
          <w:highlight w:val="none"/>
        </w:rPr>
        <w:t>工商等登记证明材料；自然人参与提供身份证)复印件；</w:t>
      </w:r>
    </w:p>
    <w:p w14:paraId="561DAFF5">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ascii="宋体" w:hAnsi="宋体" w:cs="宋体"/>
          <w:bCs/>
          <w:color w:val="auto"/>
          <w:sz w:val="24"/>
          <w:highlight w:val="none"/>
        </w:rPr>
      </w:pPr>
      <w:r>
        <w:rPr>
          <w:rFonts w:hint="eastAsia" w:ascii="宋体" w:hAnsi="宋体" w:eastAsia="宋体" w:cs="宋体"/>
          <w:bCs/>
          <w:color w:val="auto"/>
          <w:sz w:val="24"/>
          <w:highlight w:val="none"/>
        </w:rPr>
        <w:t>（2）法定代表人授权委托</w:t>
      </w:r>
      <w:r>
        <w:rPr>
          <w:rFonts w:hint="eastAsia" w:ascii="宋体" w:hAnsi="宋体" w:cs="宋体"/>
          <w:bCs/>
          <w:color w:val="auto"/>
          <w:sz w:val="24"/>
          <w:highlight w:val="none"/>
        </w:rPr>
        <w:t>书(格式见附件)；</w:t>
      </w:r>
    </w:p>
    <w:p w14:paraId="30DBBA54">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ascii="宋体" w:hAnsi="宋体" w:cs="宋体"/>
          <w:bCs/>
          <w:color w:val="auto"/>
          <w:sz w:val="24"/>
          <w:highlight w:val="none"/>
        </w:rPr>
      </w:pPr>
      <w:r>
        <w:rPr>
          <w:rFonts w:hint="eastAsia" w:ascii="宋体" w:hAnsi="宋体" w:cs="宋体"/>
          <w:bCs/>
          <w:color w:val="auto"/>
          <w:sz w:val="24"/>
          <w:highlight w:val="none"/>
        </w:rPr>
        <w:t>（3）法定代表人身份证复印件或被授权人身份证复印件；</w:t>
      </w:r>
    </w:p>
    <w:p w14:paraId="56ED6FB1">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ascii="宋体" w:hAnsi="宋体" w:cs="宋体"/>
          <w:bCs/>
          <w:color w:val="auto"/>
          <w:sz w:val="24"/>
          <w:highlight w:val="none"/>
        </w:rPr>
      </w:pPr>
      <w:r>
        <w:rPr>
          <w:rFonts w:hint="eastAsia" w:ascii="宋体" w:hAnsi="宋体" w:cs="宋体"/>
          <w:bCs/>
          <w:color w:val="auto"/>
          <w:sz w:val="24"/>
          <w:highlight w:val="none"/>
        </w:rPr>
        <w:t>（</w:t>
      </w:r>
      <w:r>
        <w:rPr>
          <w:rFonts w:hint="eastAsia" w:ascii="宋体" w:hAnsi="宋体" w:cs="宋体"/>
          <w:bCs/>
          <w:color w:val="auto"/>
          <w:sz w:val="24"/>
          <w:highlight w:val="none"/>
          <w:lang w:val="en-US" w:eastAsia="zh-CN"/>
        </w:rPr>
        <w:t>4</w:t>
      </w:r>
      <w:r>
        <w:rPr>
          <w:rFonts w:hint="eastAsia" w:ascii="宋体" w:hAnsi="宋体" w:cs="宋体"/>
          <w:bCs/>
          <w:color w:val="auto"/>
          <w:sz w:val="24"/>
          <w:highlight w:val="none"/>
        </w:rPr>
        <w:t xml:space="preserve">）信用记录网络查询页面截图（信用中国与中国政府采购网）； </w:t>
      </w:r>
    </w:p>
    <w:p w14:paraId="61D3544E">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hint="eastAsia" w:ascii="宋体" w:hAnsi="宋体" w:cs="宋体"/>
          <w:bCs/>
          <w:color w:val="auto"/>
          <w:sz w:val="24"/>
          <w:highlight w:val="none"/>
        </w:rPr>
      </w:pPr>
      <w:r>
        <w:rPr>
          <w:rFonts w:hint="eastAsia" w:ascii="宋体" w:hAnsi="宋体" w:cs="宋体"/>
          <w:bCs/>
          <w:color w:val="auto"/>
          <w:sz w:val="24"/>
          <w:highlight w:val="none"/>
        </w:rPr>
        <w:t>（</w:t>
      </w:r>
      <w:r>
        <w:rPr>
          <w:rFonts w:hint="eastAsia" w:ascii="宋体" w:hAnsi="宋体" w:cs="宋体"/>
          <w:bCs/>
          <w:color w:val="auto"/>
          <w:sz w:val="24"/>
          <w:highlight w:val="none"/>
          <w:lang w:val="en-US" w:eastAsia="zh-CN"/>
        </w:rPr>
        <w:t>5</w:t>
      </w:r>
      <w:r>
        <w:rPr>
          <w:rFonts w:hint="eastAsia" w:ascii="宋体" w:hAnsi="宋体" w:cs="宋体"/>
          <w:bCs/>
          <w:color w:val="auto"/>
          <w:sz w:val="24"/>
          <w:highlight w:val="none"/>
        </w:rPr>
        <w:t>）符合参加政府采购活动应当具备的一般条件的承诺函（格式见附件）；</w:t>
      </w:r>
    </w:p>
    <w:p w14:paraId="12382998">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hint="eastAsia" w:ascii="宋体" w:hAnsi="宋体" w:cs="宋体"/>
          <w:bCs/>
          <w:color w:val="auto"/>
          <w:sz w:val="24"/>
          <w:highlight w:val="none"/>
        </w:rPr>
      </w:pPr>
      <w:r>
        <w:rPr>
          <w:rFonts w:hint="eastAsia" w:ascii="宋体" w:hAnsi="宋体" w:cs="宋体"/>
          <w:bCs/>
          <w:color w:val="auto"/>
          <w:sz w:val="24"/>
          <w:highlight w:val="none"/>
          <w:lang w:eastAsia="zh-CN"/>
        </w:rPr>
        <w:t>（</w:t>
      </w:r>
      <w:r>
        <w:rPr>
          <w:rFonts w:hint="eastAsia" w:ascii="宋体" w:hAnsi="宋体" w:cs="宋体"/>
          <w:bCs/>
          <w:color w:val="auto"/>
          <w:sz w:val="24"/>
          <w:highlight w:val="none"/>
          <w:lang w:val="en-US" w:eastAsia="zh-CN"/>
        </w:rPr>
        <w:t>6</w:t>
      </w:r>
      <w:r>
        <w:rPr>
          <w:rFonts w:hint="eastAsia" w:ascii="宋体" w:hAnsi="宋体" w:cs="宋体"/>
          <w:bCs/>
          <w:color w:val="auto"/>
          <w:sz w:val="24"/>
          <w:highlight w:val="none"/>
          <w:lang w:eastAsia="zh-CN"/>
        </w:rPr>
        <w:t>）</w:t>
      </w:r>
      <w:r>
        <w:rPr>
          <w:rFonts w:hint="eastAsia" w:ascii="宋体" w:hAnsi="宋体" w:cs="宋体"/>
          <w:bCs/>
          <w:color w:val="auto"/>
          <w:sz w:val="24"/>
          <w:highlight w:val="none"/>
        </w:rPr>
        <w:t>投标人依法缴纳税收和社保费、无失信行为的声明函(格式见附件)；</w:t>
      </w:r>
    </w:p>
    <w:p w14:paraId="7D296F4E">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ascii="宋体" w:hAnsi="宋体" w:cs="宋体"/>
          <w:bCs/>
          <w:color w:val="auto"/>
          <w:sz w:val="24"/>
          <w:highlight w:val="none"/>
        </w:rPr>
      </w:pPr>
      <w:r>
        <w:rPr>
          <w:rFonts w:hint="eastAsia" w:ascii="宋体" w:hAnsi="宋体" w:cs="宋体"/>
          <w:bCs/>
          <w:color w:val="auto"/>
          <w:sz w:val="24"/>
          <w:highlight w:val="none"/>
          <w:lang w:eastAsia="zh-CN"/>
        </w:rPr>
        <w:t>（</w:t>
      </w:r>
      <w:r>
        <w:rPr>
          <w:rFonts w:hint="eastAsia" w:ascii="宋体" w:hAnsi="宋体" w:cs="宋体"/>
          <w:bCs/>
          <w:color w:val="auto"/>
          <w:sz w:val="24"/>
          <w:highlight w:val="none"/>
          <w:lang w:val="en-US" w:eastAsia="zh-CN"/>
        </w:rPr>
        <w:t>7</w:t>
      </w:r>
      <w:r>
        <w:rPr>
          <w:rFonts w:hint="eastAsia" w:ascii="宋体" w:hAnsi="宋体" w:cs="宋体"/>
          <w:bCs/>
          <w:color w:val="auto"/>
          <w:sz w:val="24"/>
          <w:highlight w:val="none"/>
          <w:lang w:eastAsia="zh-CN"/>
        </w:rPr>
        <w:t>）</w:t>
      </w:r>
      <w:r>
        <w:rPr>
          <w:rFonts w:hint="eastAsia" w:ascii="宋体" w:hAnsi="宋体" w:cs="宋体"/>
          <w:bCs/>
          <w:color w:val="auto"/>
          <w:sz w:val="24"/>
          <w:highlight w:val="none"/>
        </w:rPr>
        <w:t>浙江政府采购网注册正式供应商的网络截图或承诺书；</w:t>
      </w:r>
    </w:p>
    <w:p w14:paraId="7B8852AA">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ascii="宋体" w:hAnsi="宋体" w:cs="宋体"/>
          <w:bCs/>
          <w:color w:val="auto"/>
          <w:sz w:val="24"/>
          <w:highlight w:val="none"/>
        </w:rPr>
      </w:pPr>
      <w:r>
        <w:rPr>
          <w:rFonts w:hint="eastAsia" w:ascii="宋体" w:hAnsi="宋体" w:cs="宋体"/>
          <w:bCs/>
          <w:color w:val="auto"/>
          <w:sz w:val="24"/>
          <w:highlight w:val="none"/>
        </w:rPr>
        <w:t>（</w:t>
      </w:r>
      <w:r>
        <w:rPr>
          <w:rFonts w:hint="eastAsia" w:ascii="宋体" w:hAnsi="宋体" w:cs="宋体"/>
          <w:bCs/>
          <w:color w:val="auto"/>
          <w:sz w:val="24"/>
          <w:highlight w:val="none"/>
          <w:lang w:val="en-US" w:eastAsia="zh-CN"/>
        </w:rPr>
        <w:t>8</w:t>
      </w:r>
      <w:r>
        <w:rPr>
          <w:rFonts w:hint="eastAsia" w:ascii="宋体" w:hAnsi="宋体" w:cs="宋体"/>
          <w:bCs/>
          <w:color w:val="auto"/>
          <w:sz w:val="24"/>
          <w:highlight w:val="none"/>
        </w:rPr>
        <w:t>）政府采购活动现场确认声明书 (格式见附件) ；</w:t>
      </w:r>
    </w:p>
    <w:p w14:paraId="1FACC504">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w:t>
      </w:r>
      <w:r>
        <w:rPr>
          <w:rFonts w:hint="eastAsia" w:ascii="宋体" w:hAnsi="宋体" w:eastAsia="宋体" w:cs="宋体"/>
          <w:bCs/>
          <w:color w:val="auto"/>
          <w:sz w:val="24"/>
          <w:highlight w:val="none"/>
          <w:lang w:val="en-US" w:eastAsia="zh-CN"/>
        </w:rPr>
        <w:t>9</w:t>
      </w:r>
      <w:r>
        <w:rPr>
          <w:rFonts w:hint="eastAsia" w:ascii="宋体" w:hAnsi="宋体" w:eastAsia="宋体" w:cs="宋体"/>
          <w:bCs/>
          <w:color w:val="auto"/>
          <w:sz w:val="24"/>
          <w:highlight w:val="none"/>
        </w:rPr>
        <w:t>）政府采购代理机构考评表(格式见附件)；</w:t>
      </w:r>
    </w:p>
    <w:p w14:paraId="36C71043">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w:t>
      </w:r>
      <w:r>
        <w:rPr>
          <w:rFonts w:hint="eastAsia" w:ascii="宋体" w:hAnsi="宋体" w:eastAsia="宋体" w:cs="宋体"/>
          <w:bCs/>
          <w:color w:val="auto"/>
          <w:sz w:val="24"/>
          <w:highlight w:val="none"/>
          <w:lang w:val="en-US" w:eastAsia="zh-CN"/>
        </w:rPr>
        <w:t>10</w:t>
      </w:r>
      <w:r>
        <w:rPr>
          <w:rFonts w:hint="eastAsia" w:ascii="宋体" w:hAnsi="宋体" w:eastAsia="宋体" w:cs="宋体"/>
          <w:bCs/>
          <w:color w:val="auto"/>
          <w:sz w:val="24"/>
          <w:highlight w:val="none"/>
        </w:rPr>
        <w:t>）分包协议（分包时提供，格式见附件）；</w:t>
      </w:r>
    </w:p>
    <w:p w14:paraId="6010019D">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rPr>
        <w:t>（</w:t>
      </w:r>
      <w:r>
        <w:rPr>
          <w:rFonts w:hint="eastAsia" w:ascii="宋体" w:hAnsi="宋体" w:eastAsia="宋体" w:cs="宋体"/>
          <w:bCs/>
          <w:color w:val="auto"/>
          <w:sz w:val="24"/>
          <w:highlight w:val="none"/>
          <w:lang w:val="en-US" w:eastAsia="zh-CN"/>
        </w:rPr>
        <w:t>11</w:t>
      </w:r>
      <w:r>
        <w:rPr>
          <w:rFonts w:hint="eastAsia" w:ascii="宋体" w:hAnsi="宋体" w:eastAsia="宋体" w:cs="宋体"/>
          <w:bCs/>
          <w:color w:val="auto"/>
          <w:sz w:val="24"/>
          <w:highlight w:val="none"/>
        </w:rPr>
        <w:t>）中小企业声明函（格式见附件）</w:t>
      </w:r>
      <w:r>
        <w:rPr>
          <w:rFonts w:hint="eastAsia" w:ascii="宋体" w:hAnsi="宋体" w:eastAsia="宋体" w:cs="宋体"/>
          <w:bCs/>
          <w:color w:val="auto"/>
          <w:sz w:val="24"/>
          <w:highlight w:val="none"/>
          <w:lang w:eastAsia="zh-CN"/>
        </w:rPr>
        <w:t>；</w:t>
      </w:r>
    </w:p>
    <w:p w14:paraId="6D41816D">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12</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rPr>
        <w:t>联合体协议书（格式见附件）</w:t>
      </w:r>
      <w:r>
        <w:rPr>
          <w:rFonts w:hint="eastAsia" w:ascii="宋体" w:hAnsi="宋体" w:eastAsia="宋体" w:cs="宋体"/>
          <w:bCs/>
          <w:color w:val="auto"/>
          <w:sz w:val="24"/>
          <w:highlight w:val="none"/>
          <w:lang w:eastAsia="zh-CN"/>
        </w:rPr>
        <w:t>；</w:t>
      </w:r>
    </w:p>
    <w:p w14:paraId="785885CA">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13</w:t>
      </w:r>
      <w:r>
        <w:rPr>
          <w:rFonts w:hint="eastAsia" w:ascii="宋体" w:hAnsi="宋体" w:eastAsia="宋体" w:cs="宋体"/>
          <w:bCs/>
          <w:color w:val="auto"/>
          <w:sz w:val="24"/>
          <w:highlight w:val="none"/>
          <w:lang w:eastAsia="zh-CN"/>
        </w:rPr>
        <w:t>）投标人认为有必要提供的其他文件。</w:t>
      </w:r>
    </w:p>
    <w:p w14:paraId="7422D320">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2.商务资信技术文件：</w:t>
      </w:r>
    </w:p>
    <w:p w14:paraId="428357E5">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（1）评分响应表（格式见附件）；</w:t>
      </w:r>
    </w:p>
    <w:p w14:paraId="4C33ADC7">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（2）投标声明书 (格式见附件)；</w:t>
      </w:r>
    </w:p>
    <w:p w14:paraId="68D1F585">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eastAsia="zh-CN"/>
        </w:rPr>
        <w:t>（3）法定代表人授权委</w:t>
      </w:r>
      <w:r>
        <w:rPr>
          <w:rFonts w:hint="eastAsia" w:ascii="宋体" w:hAnsi="宋体" w:eastAsia="宋体" w:cs="宋体"/>
          <w:bCs/>
          <w:color w:val="auto"/>
          <w:sz w:val="24"/>
          <w:highlight w:val="none"/>
        </w:rPr>
        <w:t>托书(格式见附件)；</w:t>
      </w:r>
    </w:p>
    <w:p w14:paraId="60C0FF5D">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（4）投标单位情况表(格式见附件)；</w:t>
      </w:r>
    </w:p>
    <w:p w14:paraId="49F7CCED">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val="zh-CN" w:eastAsia="zh-CN"/>
        </w:rPr>
        <w:t>（</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lang w:val="zh-CN" w:eastAsia="zh-CN"/>
        </w:rPr>
        <w:t>）</w:t>
      </w:r>
      <w:r>
        <w:rPr>
          <w:rFonts w:hint="eastAsia" w:ascii="宋体" w:hAnsi="宋体" w:eastAsia="宋体" w:cs="宋体"/>
          <w:bCs/>
          <w:color w:val="auto"/>
          <w:sz w:val="24"/>
          <w:highlight w:val="none"/>
          <w:lang w:eastAsia="zh-CN"/>
        </w:rPr>
        <w:t>无重大违法记录声明书(格式见附件)；</w:t>
      </w:r>
    </w:p>
    <w:p w14:paraId="7DFEBE52">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val="zh-CN" w:eastAsia="zh-CN"/>
        </w:rPr>
        <w:t>（</w:t>
      </w:r>
      <w:r>
        <w:rPr>
          <w:rFonts w:hint="eastAsia" w:ascii="宋体" w:hAnsi="宋体" w:eastAsia="宋体" w:cs="宋体"/>
          <w:bCs/>
          <w:color w:val="auto"/>
          <w:sz w:val="24"/>
          <w:highlight w:val="none"/>
          <w:lang w:val="en-US" w:eastAsia="zh-CN"/>
        </w:rPr>
        <w:t>6</w:t>
      </w:r>
      <w:r>
        <w:rPr>
          <w:rFonts w:hint="eastAsia" w:ascii="宋体" w:hAnsi="宋体" w:eastAsia="宋体" w:cs="宋体"/>
          <w:bCs/>
          <w:color w:val="auto"/>
          <w:sz w:val="24"/>
          <w:highlight w:val="none"/>
          <w:lang w:val="zh-CN" w:eastAsia="zh-CN"/>
        </w:rPr>
        <w:t>）政府采购供应商诚信承诺书（格式见附件）；</w:t>
      </w:r>
    </w:p>
    <w:p w14:paraId="4AA6CF76">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7</w:t>
      </w:r>
      <w:r>
        <w:rPr>
          <w:rFonts w:hint="eastAsia" w:ascii="宋体" w:hAnsi="宋体" w:eastAsia="宋体" w:cs="宋体"/>
          <w:bCs/>
          <w:color w:val="auto"/>
          <w:sz w:val="24"/>
          <w:highlight w:val="none"/>
          <w:lang w:eastAsia="zh-CN"/>
        </w:rPr>
        <w:t>）中标服务费承诺书（格式见附件）；</w:t>
      </w:r>
    </w:p>
    <w:p w14:paraId="7F1F3518">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8</w:t>
      </w:r>
      <w:r>
        <w:rPr>
          <w:rFonts w:hint="eastAsia" w:ascii="宋体" w:hAnsi="宋体" w:eastAsia="宋体" w:cs="宋体"/>
          <w:bCs/>
          <w:color w:val="auto"/>
          <w:sz w:val="24"/>
          <w:highlight w:val="none"/>
          <w:lang w:eastAsia="zh-CN"/>
        </w:rPr>
        <w:t>）</w:t>
      </w:r>
      <w:r>
        <w:rPr>
          <w:rFonts w:hint="eastAsia" w:ascii="宋体" w:hAnsi="宋体" w:eastAsia="宋体" w:cs="宋体"/>
          <w:color w:val="auto"/>
          <w:sz w:val="24"/>
          <w:szCs w:val="24"/>
          <w:highlight w:val="none"/>
        </w:rPr>
        <w:t>项目需求理解</w:t>
      </w:r>
      <w:r>
        <w:rPr>
          <w:rFonts w:hint="eastAsia" w:ascii="宋体" w:hAnsi="宋体" w:eastAsia="宋体" w:cs="宋体"/>
          <w:bCs/>
          <w:color w:val="auto"/>
          <w:sz w:val="24"/>
          <w:highlight w:val="none"/>
          <w:lang w:val="en-US" w:eastAsia="zh-CN"/>
        </w:rPr>
        <w:t>；</w:t>
      </w:r>
    </w:p>
    <w:p w14:paraId="6DEC96CA">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9</w:t>
      </w:r>
      <w:r>
        <w:rPr>
          <w:rFonts w:hint="eastAsia" w:ascii="宋体" w:hAnsi="宋体" w:eastAsia="宋体" w:cs="宋体"/>
          <w:bCs/>
          <w:color w:val="auto"/>
          <w:sz w:val="24"/>
          <w:highlight w:val="none"/>
          <w:lang w:eastAsia="zh-CN"/>
        </w:rPr>
        <w:t>）</w:t>
      </w:r>
      <w:r>
        <w:rPr>
          <w:rFonts w:hint="eastAsia" w:ascii="宋体" w:hAnsi="宋体" w:eastAsia="宋体" w:cs="宋体"/>
          <w:color w:val="auto"/>
          <w:sz w:val="24"/>
          <w:szCs w:val="24"/>
          <w:highlight w:val="none"/>
        </w:rPr>
        <w:t>项目监理重点、难点分析</w:t>
      </w:r>
      <w:r>
        <w:rPr>
          <w:rFonts w:hint="eastAsia" w:ascii="宋体" w:hAnsi="宋体" w:eastAsia="宋体" w:cs="宋体"/>
          <w:bCs/>
          <w:color w:val="auto"/>
          <w:sz w:val="24"/>
          <w:highlight w:val="none"/>
          <w:lang w:eastAsia="zh-CN"/>
        </w:rPr>
        <w:t>；</w:t>
      </w:r>
    </w:p>
    <w:p w14:paraId="3F0F04D0">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10</w:t>
      </w:r>
      <w:r>
        <w:rPr>
          <w:rFonts w:hint="eastAsia" w:ascii="宋体" w:hAnsi="宋体" w:eastAsia="宋体" w:cs="宋体"/>
          <w:bCs/>
          <w:color w:val="auto"/>
          <w:sz w:val="24"/>
          <w:highlight w:val="none"/>
          <w:lang w:eastAsia="zh-CN"/>
        </w:rPr>
        <w:t>）</w:t>
      </w:r>
      <w:r>
        <w:rPr>
          <w:rFonts w:hint="eastAsia" w:ascii="宋体" w:hAnsi="宋体" w:cs="宋体"/>
          <w:bCs/>
          <w:iCs/>
          <w:color w:val="auto"/>
          <w:sz w:val="24"/>
          <w:szCs w:val="24"/>
          <w:highlight w:val="none"/>
          <w:lang w:val="en-US" w:eastAsia="zh-CN"/>
        </w:rPr>
        <w:t>监理</w:t>
      </w:r>
      <w:r>
        <w:rPr>
          <w:rFonts w:hint="eastAsia" w:ascii="宋体" w:hAnsi="宋体" w:eastAsia="宋体" w:cs="宋体"/>
          <w:bCs/>
          <w:iCs/>
          <w:color w:val="auto"/>
          <w:sz w:val="24"/>
          <w:szCs w:val="24"/>
          <w:highlight w:val="none"/>
        </w:rPr>
        <w:t>实施方案</w:t>
      </w:r>
      <w:r>
        <w:rPr>
          <w:rFonts w:hint="eastAsia" w:ascii="宋体" w:hAnsi="宋体" w:eastAsia="宋体" w:cs="宋体"/>
          <w:bCs/>
          <w:color w:val="auto"/>
          <w:sz w:val="24"/>
          <w:highlight w:val="none"/>
          <w:lang w:val="en-US" w:eastAsia="zh-CN"/>
        </w:rPr>
        <w:t>；</w:t>
      </w:r>
    </w:p>
    <w:p w14:paraId="644143D4">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val="zh-CN"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11</w:t>
      </w:r>
      <w:r>
        <w:rPr>
          <w:rFonts w:hint="eastAsia" w:ascii="宋体" w:hAnsi="宋体" w:eastAsia="宋体" w:cs="宋体"/>
          <w:bCs/>
          <w:color w:val="auto"/>
          <w:sz w:val="24"/>
          <w:highlight w:val="none"/>
          <w:lang w:eastAsia="zh-CN"/>
        </w:rPr>
        <w:t>）商务响应表</w:t>
      </w:r>
      <w:r>
        <w:rPr>
          <w:rFonts w:hint="eastAsia" w:ascii="宋体" w:hAnsi="宋体" w:eastAsia="宋体" w:cs="宋体"/>
          <w:bCs/>
          <w:color w:val="auto"/>
          <w:sz w:val="24"/>
          <w:highlight w:val="none"/>
          <w:lang w:val="zh-CN" w:eastAsia="zh-CN"/>
        </w:rPr>
        <w:t>（格式见附件）；</w:t>
      </w:r>
    </w:p>
    <w:p w14:paraId="4877644A">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（1</w:t>
      </w:r>
      <w:r>
        <w:rPr>
          <w:rFonts w:hint="eastAsia" w:ascii="宋体" w:hAnsi="宋体" w:eastAsia="宋体" w:cs="宋体"/>
          <w:bCs/>
          <w:color w:val="auto"/>
          <w:sz w:val="24"/>
          <w:highlight w:val="none"/>
          <w:lang w:val="en-US" w:eastAsia="zh-CN"/>
        </w:rPr>
        <w:t>2）</w:t>
      </w:r>
      <w:r>
        <w:rPr>
          <w:rFonts w:hint="eastAsia" w:ascii="宋体" w:hAnsi="宋体" w:eastAsia="宋体" w:cs="宋体"/>
          <w:bCs/>
          <w:color w:val="auto"/>
          <w:sz w:val="24"/>
          <w:highlight w:val="none"/>
          <w:lang w:val="zh-CN" w:eastAsia="zh-CN"/>
        </w:rPr>
        <w:t>同类业绩一览表</w:t>
      </w:r>
      <w:r>
        <w:rPr>
          <w:rFonts w:hint="eastAsia" w:ascii="宋体" w:hAnsi="宋体" w:eastAsia="宋体" w:cs="宋体"/>
          <w:bCs/>
          <w:color w:val="auto"/>
          <w:sz w:val="24"/>
          <w:highlight w:val="none"/>
          <w:lang w:eastAsia="zh-CN"/>
        </w:rPr>
        <w:t>（格式见附件）；</w:t>
      </w:r>
    </w:p>
    <w:p w14:paraId="23B38C59">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default"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13</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项目实施人员一览表</w:t>
      </w:r>
      <w:r>
        <w:rPr>
          <w:rFonts w:hint="eastAsia" w:ascii="宋体" w:hAnsi="宋体" w:eastAsia="宋体" w:cs="宋体"/>
          <w:bCs/>
          <w:color w:val="auto"/>
          <w:sz w:val="24"/>
          <w:highlight w:val="none"/>
          <w:lang w:eastAsia="zh-CN"/>
        </w:rPr>
        <w:t>（格式见附件）；</w:t>
      </w:r>
    </w:p>
    <w:p w14:paraId="1A0BE882">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（1</w:t>
      </w:r>
      <w:r>
        <w:rPr>
          <w:rFonts w:hint="eastAsia" w:ascii="宋体" w:hAnsi="宋体" w:eastAsia="宋体" w:cs="宋体"/>
          <w:bCs/>
          <w:color w:val="auto"/>
          <w:sz w:val="24"/>
          <w:highlight w:val="none"/>
          <w:lang w:val="en-US" w:eastAsia="zh-CN"/>
        </w:rPr>
        <w:t>4</w:t>
      </w:r>
      <w:r>
        <w:rPr>
          <w:rFonts w:hint="eastAsia" w:ascii="宋体" w:hAnsi="宋体" w:eastAsia="宋体" w:cs="宋体"/>
          <w:bCs/>
          <w:color w:val="auto"/>
          <w:sz w:val="24"/>
          <w:highlight w:val="none"/>
          <w:lang w:eastAsia="zh-CN"/>
        </w:rPr>
        <w:t>）其他按照评标办法可加分的内容说明、证明文件；</w:t>
      </w:r>
    </w:p>
    <w:p w14:paraId="48DD9759">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val="zh-CN" w:eastAsia="zh-CN"/>
        </w:rPr>
      </w:pPr>
      <w:r>
        <w:rPr>
          <w:rFonts w:hint="eastAsia" w:ascii="宋体" w:hAnsi="宋体" w:eastAsia="宋体" w:cs="宋体"/>
          <w:bCs/>
          <w:color w:val="auto"/>
          <w:sz w:val="24"/>
          <w:highlight w:val="none"/>
          <w:lang w:val="zh-CN" w:eastAsia="zh-CN"/>
        </w:rPr>
        <w:t>（1</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lang w:val="zh-CN" w:eastAsia="zh-CN"/>
        </w:rPr>
        <w:t>）投标人需要说明的其他文件和说明。</w:t>
      </w:r>
    </w:p>
    <w:p w14:paraId="316B8FE8">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val="zh-CN" w:eastAsia="zh-CN"/>
        </w:rPr>
      </w:pPr>
      <w:r>
        <w:rPr>
          <w:rFonts w:hint="eastAsia" w:ascii="宋体" w:hAnsi="宋体" w:eastAsia="宋体" w:cs="宋体"/>
          <w:bCs/>
          <w:color w:val="auto"/>
          <w:sz w:val="24"/>
          <w:highlight w:val="none"/>
          <w:lang w:val="zh-CN" w:eastAsia="zh-CN"/>
        </w:rPr>
        <w:t>3.报价文件：</w:t>
      </w:r>
    </w:p>
    <w:p w14:paraId="2023674D">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val="zh-CN" w:eastAsia="zh-CN"/>
        </w:rPr>
      </w:pPr>
      <w:r>
        <w:rPr>
          <w:rFonts w:hint="eastAsia" w:ascii="宋体" w:hAnsi="宋体" w:eastAsia="宋体" w:cs="宋体"/>
          <w:bCs/>
          <w:color w:val="auto"/>
          <w:sz w:val="24"/>
          <w:highlight w:val="none"/>
          <w:lang w:val="zh-CN" w:eastAsia="zh-CN"/>
        </w:rPr>
        <w:t>（1）投标函（格式见附件）</w:t>
      </w:r>
    </w:p>
    <w:p w14:paraId="2C45D102">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（2）开标一览表（格式见附件）</w:t>
      </w:r>
    </w:p>
    <w:p w14:paraId="31E0D6B3">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（3）投标人针对报价需要说明的其他文件和说明（不含报价）。</w:t>
      </w:r>
    </w:p>
    <w:p w14:paraId="2E84E6FB">
      <w:pPr>
        <w:snapToGrid w:val="0"/>
        <w:spacing w:beforeLines="50" w:line="360" w:lineRule="auto"/>
        <w:ind w:firstLine="472" w:firstLineChars="196"/>
        <w:jc w:val="left"/>
        <w:outlineLvl w:val="0"/>
        <w:rPr>
          <w:rFonts w:ascii="宋体"/>
          <w:b/>
          <w:color w:val="auto"/>
          <w:sz w:val="24"/>
          <w:highlight w:val="none"/>
        </w:rPr>
      </w:pPr>
      <w:r>
        <w:rPr>
          <w:rFonts w:hint="eastAsia" w:ascii="宋体" w:hAnsi="宋体"/>
          <w:b/>
          <w:color w:val="auto"/>
          <w:sz w:val="24"/>
          <w:highlight w:val="none"/>
        </w:rPr>
        <w:t>（二）投标文件的语言及计量</w:t>
      </w:r>
    </w:p>
    <w:p w14:paraId="6EBECE89">
      <w:pPr>
        <w:snapToGrid w:val="0"/>
        <w:spacing w:line="360" w:lineRule="auto"/>
        <w:ind w:firstLine="420" w:firstLineChars="200"/>
        <w:jc w:val="left"/>
        <w:rPr>
          <w:rFonts w:ascii="宋体"/>
          <w:color w:val="auto"/>
          <w:sz w:val="24"/>
          <w:szCs w:val="20"/>
          <w:highlight w:val="none"/>
        </w:rPr>
      </w:pPr>
      <w:r>
        <w:rPr>
          <w:rFonts w:hint="eastAsia" w:ascii="宋体" w:hAnsi="宋体"/>
          <w:color w:val="auto"/>
          <w:szCs w:val="21"/>
          <w:highlight w:val="none"/>
        </w:rPr>
        <w:t>▲</w:t>
      </w:r>
      <w:r>
        <w:rPr>
          <w:rFonts w:ascii="宋体" w:hAnsi="宋体"/>
          <w:color w:val="auto"/>
          <w:sz w:val="24"/>
          <w:highlight w:val="none"/>
        </w:rPr>
        <w:t>1</w:t>
      </w:r>
      <w:r>
        <w:rPr>
          <w:rFonts w:hint="eastAsia" w:ascii="宋体" w:hAnsi="宋体"/>
          <w:color w:val="auto"/>
          <w:sz w:val="24"/>
          <w:highlight w:val="none"/>
        </w:rPr>
        <w:t>投标文件以及投标方与招标方就有关投标事宜的所有来往函电，均应以中文汉语书写。除签名、盖章、专用名称等特殊情形外，以中文汉语以外的文字表述的投标文件视同未提供。</w:t>
      </w:r>
    </w:p>
    <w:p w14:paraId="1A817DB8">
      <w:pPr>
        <w:snapToGrid w:val="0"/>
        <w:spacing w:line="360" w:lineRule="auto"/>
        <w:ind w:firstLine="420" w:firstLineChars="200"/>
        <w:jc w:val="left"/>
        <w:rPr>
          <w:rFonts w:ascii="宋体"/>
          <w:color w:val="auto"/>
          <w:sz w:val="24"/>
          <w:szCs w:val="20"/>
          <w:highlight w:val="none"/>
        </w:rPr>
      </w:pPr>
      <w:r>
        <w:rPr>
          <w:rFonts w:hint="eastAsia" w:ascii="宋体" w:hAnsi="宋体"/>
          <w:color w:val="auto"/>
          <w:szCs w:val="21"/>
          <w:highlight w:val="none"/>
        </w:rPr>
        <w:t>▲</w:t>
      </w:r>
      <w:r>
        <w:rPr>
          <w:rFonts w:ascii="宋体" w:hAnsi="宋体"/>
          <w:color w:val="auto"/>
          <w:sz w:val="24"/>
          <w:highlight w:val="none"/>
        </w:rPr>
        <w:t>2</w:t>
      </w:r>
      <w:r>
        <w:rPr>
          <w:rFonts w:hint="eastAsia" w:ascii="宋体" w:hAnsi="宋体"/>
          <w:color w:val="auto"/>
          <w:sz w:val="24"/>
          <w:highlight w:val="none"/>
        </w:rPr>
        <w:t>投标计量单位，应采用中华人民共和国法定计量单位（货币单位：人民币元），否则视同未响应。</w:t>
      </w:r>
    </w:p>
    <w:p w14:paraId="7DE8A724">
      <w:pPr>
        <w:snapToGrid w:val="0"/>
        <w:spacing w:beforeLines="50" w:afterLines="50" w:line="360" w:lineRule="auto"/>
        <w:ind w:firstLine="472" w:firstLineChars="196"/>
        <w:jc w:val="left"/>
        <w:outlineLvl w:val="0"/>
        <w:rPr>
          <w:rFonts w:ascii="宋体"/>
          <w:b/>
          <w:color w:val="auto"/>
          <w:sz w:val="24"/>
          <w:szCs w:val="20"/>
          <w:highlight w:val="none"/>
        </w:rPr>
      </w:pPr>
      <w:r>
        <w:rPr>
          <w:rFonts w:hint="eastAsia" w:ascii="宋体" w:hAnsi="宋体"/>
          <w:b/>
          <w:color w:val="auto"/>
          <w:sz w:val="24"/>
          <w:highlight w:val="none"/>
        </w:rPr>
        <w:t>（三）投标报价</w:t>
      </w:r>
    </w:p>
    <w:p w14:paraId="238B51BA">
      <w:pPr>
        <w:pStyle w:val="26"/>
        <w:snapToGrid w:val="0"/>
        <w:spacing w:beforeLines="0" w:afterLines="0" w:line="360" w:lineRule="auto"/>
        <w:ind w:firstLine="720" w:firstLineChars="300"/>
        <w:jc w:val="left"/>
        <w:rPr>
          <w:rFonts w:hAnsi="宋体"/>
          <w:color w:val="auto"/>
          <w:highlight w:val="none"/>
        </w:rPr>
      </w:pPr>
      <w:r>
        <w:rPr>
          <w:rFonts w:hAnsi="宋体"/>
          <w:color w:val="auto"/>
          <w:highlight w:val="none"/>
        </w:rPr>
        <w:t>1.</w:t>
      </w:r>
      <w:r>
        <w:rPr>
          <w:rFonts w:hint="eastAsia" w:hAnsi="宋体"/>
          <w:color w:val="auto"/>
          <w:highlight w:val="none"/>
        </w:rPr>
        <w:t>投</w:t>
      </w:r>
      <w:r>
        <w:rPr>
          <w:rFonts w:hint="eastAsia" w:ascii="宋体" w:hAnsi="宋体" w:cs="宋体"/>
          <w:color w:val="auto"/>
          <w:sz w:val="24"/>
          <w:highlight w:val="none"/>
        </w:rPr>
        <w:t>标报价应按招标文件中相关附表格式填写</w:t>
      </w:r>
      <w:r>
        <w:rPr>
          <w:rFonts w:hint="eastAsia" w:hAnsi="宋体"/>
          <w:color w:val="auto"/>
          <w:highlight w:val="none"/>
        </w:rPr>
        <w:t>。</w:t>
      </w:r>
    </w:p>
    <w:p w14:paraId="68B37E94">
      <w:pPr>
        <w:snapToGrid w:val="0"/>
        <w:spacing w:line="312" w:lineRule="auto"/>
        <w:ind w:firstLine="480" w:firstLineChars="200"/>
        <w:jc w:val="left"/>
        <w:rPr>
          <w:rFonts w:hint="eastAsia" w:ascii="宋体" w:hAnsi="宋体" w:eastAsia="宋体" w:cs="Times New Roman"/>
          <w:color w:val="auto"/>
          <w:kern w:val="2"/>
          <w:sz w:val="24"/>
          <w:szCs w:val="21"/>
          <w:highlight w:val="none"/>
          <w:lang w:val="en-US" w:eastAsia="zh-CN" w:bidi="ar-SA"/>
        </w:rPr>
      </w:pPr>
      <w:r>
        <w:rPr>
          <w:rFonts w:hint="eastAsia" w:ascii="宋体" w:hAnsi="宋体" w:eastAsia="宋体" w:cs="Times New Roman"/>
          <w:color w:val="auto"/>
          <w:kern w:val="2"/>
          <w:sz w:val="24"/>
          <w:szCs w:val="21"/>
          <w:highlight w:val="none"/>
          <w:lang w:val="en-US" w:eastAsia="zh-CN" w:bidi="ar-SA"/>
        </w:rPr>
        <w:t>▲2</w:t>
      </w:r>
      <w:r>
        <w:rPr>
          <w:rFonts w:hint="eastAsia" w:ascii="宋体" w:hAnsi="宋体" w:cs="Times New Roman"/>
          <w:color w:val="auto"/>
          <w:kern w:val="2"/>
          <w:sz w:val="24"/>
          <w:szCs w:val="21"/>
          <w:highlight w:val="none"/>
          <w:lang w:val="en-US" w:eastAsia="zh-CN" w:bidi="ar-SA"/>
        </w:rPr>
        <w:t>.</w:t>
      </w:r>
      <w:r>
        <w:rPr>
          <w:rFonts w:hint="eastAsia" w:ascii="宋体" w:hAnsi="宋体" w:cs="宋体"/>
          <w:color w:val="auto"/>
          <w:sz w:val="24"/>
          <w:highlight w:val="none"/>
        </w:rPr>
        <w:t>投标报价包括</w:t>
      </w:r>
      <w:r>
        <w:rPr>
          <w:rFonts w:hint="eastAsia" w:ascii="宋体" w:hAnsi="宋体" w:cs="宋体"/>
          <w:color w:val="auto"/>
          <w:sz w:val="24"/>
          <w:highlight w:val="none"/>
          <w:lang w:val="en-US" w:eastAsia="zh-CN"/>
        </w:rPr>
        <w:t>招标文件规定相应的服务外还包括人工、设备、材料、差旅费及完成</w:t>
      </w:r>
      <w:r>
        <w:rPr>
          <w:rFonts w:hint="eastAsia" w:ascii="宋体" w:hAnsi="宋体" w:cs="宋体"/>
          <w:color w:val="auto"/>
          <w:sz w:val="24"/>
          <w:highlight w:val="none"/>
        </w:rPr>
        <w:t>本项目的</w:t>
      </w:r>
      <w:r>
        <w:rPr>
          <w:rFonts w:hint="eastAsia" w:ascii="宋体" w:hAnsi="宋体" w:cs="宋体"/>
          <w:color w:val="auto"/>
          <w:sz w:val="24"/>
          <w:highlight w:val="none"/>
          <w:lang w:eastAsia="zh-CN"/>
        </w:rPr>
        <w:t>其他</w:t>
      </w:r>
      <w:r>
        <w:rPr>
          <w:rFonts w:hint="eastAsia" w:ascii="宋体" w:hAnsi="宋体" w:cs="宋体"/>
          <w:color w:val="auto"/>
          <w:sz w:val="24"/>
          <w:highlight w:val="none"/>
        </w:rPr>
        <w:t>费用和政策性文件规定及合同包含的所有风险、责任等各项应有费用。如有漏项，视同已包含在本报价中，合同总价不做调整</w:t>
      </w:r>
      <w:r>
        <w:rPr>
          <w:rFonts w:hint="eastAsia" w:ascii="宋体" w:hAnsi="宋体" w:eastAsia="宋体" w:cs="Times New Roman"/>
          <w:color w:val="auto"/>
          <w:kern w:val="2"/>
          <w:sz w:val="24"/>
          <w:szCs w:val="21"/>
          <w:highlight w:val="none"/>
          <w:lang w:val="en-US" w:eastAsia="zh-CN" w:bidi="ar-SA"/>
        </w:rPr>
        <w:t>。</w:t>
      </w:r>
    </w:p>
    <w:p w14:paraId="357D2C4E">
      <w:pPr>
        <w:pStyle w:val="26"/>
        <w:snapToGrid w:val="0"/>
        <w:spacing w:beforeLines="0" w:afterLines="0" w:line="360" w:lineRule="auto"/>
        <w:ind w:firstLine="480" w:firstLineChars="200"/>
        <w:jc w:val="left"/>
        <w:rPr>
          <w:color w:val="auto"/>
          <w:highlight w:val="none"/>
        </w:rPr>
      </w:pPr>
      <w:r>
        <w:rPr>
          <w:rFonts w:hint="eastAsia" w:ascii="宋体" w:hAnsi="宋体" w:eastAsia="宋体" w:cs="Times New Roman"/>
          <w:color w:val="auto"/>
          <w:szCs w:val="21"/>
          <w:highlight w:val="none"/>
        </w:rPr>
        <w:t>▲</w:t>
      </w:r>
      <w:r>
        <w:rPr>
          <w:rFonts w:hint="eastAsia" w:hAnsi="宋体" w:cs="Times New Roman"/>
          <w:color w:val="auto"/>
          <w:szCs w:val="21"/>
          <w:highlight w:val="none"/>
          <w:lang w:val="en-US" w:eastAsia="zh-CN"/>
        </w:rPr>
        <w:t>3</w:t>
      </w:r>
      <w:r>
        <w:rPr>
          <w:rFonts w:hint="eastAsia" w:ascii="宋体" w:hAnsi="宋体" w:eastAsia="宋体" w:cs="Times New Roman"/>
          <w:color w:val="auto"/>
          <w:szCs w:val="21"/>
          <w:highlight w:val="none"/>
        </w:rPr>
        <w:t>.投标人的报价超出或等于</w:t>
      </w:r>
      <w:r>
        <w:rPr>
          <w:rFonts w:hint="eastAsia" w:hAnsi="宋体" w:cs="Times New Roman"/>
          <w:color w:val="auto"/>
          <w:szCs w:val="21"/>
          <w:highlight w:val="none"/>
          <w:lang w:eastAsia="zh-CN"/>
        </w:rPr>
        <w:t>最高限价的</w:t>
      </w:r>
      <w:r>
        <w:rPr>
          <w:rFonts w:hint="eastAsia" w:ascii="宋体" w:hAnsi="宋体" w:eastAsia="宋体" w:cs="Times New Roman"/>
          <w:color w:val="auto"/>
          <w:szCs w:val="21"/>
          <w:highlight w:val="none"/>
        </w:rPr>
        <w:t>都将做废标处理。</w:t>
      </w:r>
    </w:p>
    <w:p w14:paraId="0924E7A2">
      <w:pPr>
        <w:pStyle w:val="14"/>
        <w:widowControl w:val="0"/>
        <w:tabs>
          <w:tab w:val="clear" w:pos="454"/>
        </w:tabs>
        <w:snapToGrid w:val="0"/>
        <w:spacing w:afterLines="0" w:line="360" w:lineRule="auto"/>
        <w:ind w:left="0" w:firstLine="472" w:firstLineChars="196"/>
        <w:rPr>
          <w:rFonts w:ascii="宋体"/>
          <w:b/>
          <w:color w:val="auto"/>
          <w:szCs w:val="24"/>
          <w:highlight w:val="none"/>
        </w:rPr>
      </w:pPr>
      <w:r>
        <w:rPr>
          <w:rFonts w:hint="eastAsia" w:ascii="宋体" w:hAnsi="宋体"/>
          <w:b/>
          <w:color w:val="auto"/>
          <w:szCs w:val="24"/>
          <w:highlight w:val="none"/>
        </w:rPr>
        <w:t>（四）投标文件的有效期</w:t>
      </w:r>
    </w:p>
    <w:p w14:paraId="007AB09B">
      <w:pPr>
        <w:pStyle w:val="14"/>
        <w:widowControl w:val="0"/>
        <w:tabs>
          <w:tab w:val="clear" w:pos="454"/>
        </w:tabs>
        <w:snapToGrid w:val="0"/>
        <w:spacing w:afterLines="0" w:line="360" w:lineRule="auto"/>
        <w:ind w:left="0" w:firstLine="480" w:firstLineChars="200"/>
        <w:rPr>
          <w:rFonts w:ascii="宋体"/>
          <w:color w:val="auto"/>
          <w:szCs w:val="24"/>
          <w:highlight w:val="none"/>
        </w:rPr>
      </w:pPr>
      <w:r>
        <w:rPr>
          <w:rFonts w:hint="eastAsia" w:ascii="宋体" w:hAnsi="宋体"/>
          <w:color w:val="auto"/>
          <w:szCs w:val="21"/>
          <w:highlight w:val="none"/>
        </w:rPr>
        <w:t>▲</w:t>
      </w:r>
      <w:r>
        <w:rPr>
          <w:rFonts w:ascii="宋体" w:hAnsi="宋体"/>
          <w:color w:val="auto"/>
          <w:szCs w:val="24"/>
          <w:highlight w:val="none"/>
        </w:rPr>
        <w:t>1</w:t>
      </w:r>
      <w:r>
        <w:rPr>
          <w:rFonts w:ascii="宋体"/>
          <w:color w:val="auto"/>
          <w:szCs w:val="24"/>
          <w:highlight w:val="none"/>
        </w:rPr>
        <w:t>.</w:t>
      </w:r>
      <w:r>
        <w:rPr>
          <w:rFonts w:hint="eastAsia" w:ascii="宋体" w:hAnsi="宋体"/>
          <w:color w:val="auto"/>
          <w:szCs w:val="24"/>
          <w:highlight w:val="none"/>
        </w:rPr>
        <w:t>自投标截止日起</w:t>
      </w:r>
      <w:r>
        <w:rPr>
          <w:rFonts w:ascii="宋体" w:hAnsi="宋体"/>
          <w:color w:val="auto"/>
          <w:szCs w:val="24"/>
          <w:highlight w:val="none"/>
          <w:u w:val="single"/>
        </w:rPr>
        <w:t>60</w:t>
      </w:r>
      <w:r>
        <w:rPr>
          <w:rFonts w:hint="eastAsia" w:ascii="宋体" w:hAnsi="宋体"/>
          <w:color w:val="auto"/>
          <w:szCs w:val="24"/>
          <w:highlight w:val="none"/>
        </w:rPr>
        <w:t>天投标文件应保持有效。有效期不足的投标文件将被拒绝。</w:t>
      </w:r>
    </w:p>
    <w:p w14:paraId="140FADB7">
      <w:pPr>
        <w:pStyle w:val="14"/>
        <w:widowControl w:val="0"/>
        <w:numPr>
          <w:ilvl w:val="0"/>
          <w:numId w:val="7"/>
        </w:numPr>
        <w:tabs>
          <w:tab w:val="clear" w:pos="312"/>
          <w:tab w:val="clear" w:pos="454"/>
        </w:tabs>
        <w:snapToGrid w:val="0"/>
        <w:spacing w:afterLines="0" w:line="360" w:lineRule="auto"/>
        <w:ind w:left="0" w:firstLine="480" w:firstLineChars="200"/>
        <w:rPr>
          <w:rFonts w:ascii="宋体"/>
          <w:color w:val="auto"/>
          <w:szCs w:val="24"/>
          <w:highlight w:val="none"/>
        </w:rPr>
      </w:pPr>
      <w:r>
        <w:rPr>
          <w:rFonts w:hint="eastAsia" w:ascii="宋体" w:hAnsi="宋体"/>
          <w:color w:val="auto"/>
          <w:szCs w:val="24"/>
          <w:highlight w:val="none"/>
        </w:rPr>
        <w:t>在特殊情况下，招标人可与投标人协商延长投标书的有效期，这种要求和答复均以书面形式进行。</w:t>
      </w:r>
    </w:p>
    <w:p w14:paraId="0861C0C3">
      <w:pPr>
        <w:pStyle w:val="14"/>
        <w:widowControl w:val="0"/>
        <w:numPr>
          <w:ilvl w:val="0"/>
          <w:numId w:val="7"/>
        </w:numPr>
        <w:tabs>
          <w:tab w:val="clear" w:pos="312"/>
          <w:tab w:val="clear" w:pos="454"/>
        </w:tabs>
        <w:snapToGrid w:val="0"/>
        <w:spacing w:afterLines="0" w:line="360" w:lineRule="auto"/>
        <w:ind w:left="0" w:firstLine="480" w:firstLineChars="200"/>
        <w:rPr>
          <w:rFonts w:ascii="宋体"/>
          <w:color w:val="auto"/>
          <w:szCs w:val="24"/>
          <w:highlight w:val="none"/>
        </w:rPr>
      </w:pPr>
      <w:bookmarkStart w:id="55" w:name="_Toc26731"/>
      <w:r>
        <w:rPr>
          <w:rFonts w:hint="eastAsia" w:ascii="宋体" w:hAnsi="宋体"/>
          <w:color w:val="auto"/>
          <w:highlight w:val="none"/>
        </w:rPr>
        <w:t>投标人可拒绝接受延期要求。同意延长有效期的投标人不能修改投标文件</w:t>
      </w:r>
      <w:r>
        <w:rPr>
          <w:rFonts w:hint="eastAsia" w:ascii="宋体" w:hAnsi="宋体"/>
          <w:color w:val="auto"/>
          <w:szCs w:val="24"/>
          <w:highlight w:val="none"/>
        </w:rPr>
        <w:t>。</w:t>
      </w:r>
      <w:bookmarkEnd w:id="55"/>
      <w:r>
        <w:rPr>
          <w:rFonts w:ascii="宋体" w:hAnsi="宋体"/>
          <w:color w:val="auto"/>
          <w:szCs w:val="24"/>
          <w:highlight w:val="none"/>
        </w:rPr>
        <w:t xml:space="preserve"> </w:t>
      </w:r>
    </w:p>
    <w:p w14:paraId="5F9BDAE2">
      <w:pPr>
        <w:snapToGrid w:val="0"/>
        <w:spacing w:line="360" w:lineRule="auto"/>
        <w:ind w:firstLine="480" w:firstLineChars="200"/>
        <w:jc w:val="left"/>
        <w:outlineLvl w:val="0"/>
        <w:rPr>
          <w:rFonts w:ascii="宋体"/>
          <w:b/>
          <w:color w:val="auto"/>
          <w:sz w:val="24"/>
          <w:highlight w:val="none"/>
        </w:rPr>
      </w:pPr>
      <w:r>
        <w:rPr>
          <w:rFonts w:ascii="宋体" w:hAnsi="宋体"/>
          <w:color w:val="auto"/>
          <w:sz w:val="24"/>
          <w:highlight w:val="none"/>
        </w:rPr>
        <w:t>4.</w:t>
      </w:r>
      <w:r>
        <w:rPr>
          <w:rFonts w:hint="eastAsia" w:ascii="宋体" w:hAnsi="宋体"/>
          <w:color w:val="auto"/>
          <w:sz w:val="24"/>
          <w:highlight w:val="none"/>
        </w:rPr>
        <w:t>中标人的投标文件自开标之日起至合同履行完毕止均应保持有效。</w:t>
      </w:r>
    </w:p>
    <w:p w14:paraId="66C7A885">
      <w:pPr>
        <w:snapToGrid w:val="0"/>
        <w:spacing w:beforeLines="50" w:line="360" w:lineRule="auto"/>
        <w:ind w:firstLine="472" w:firstLineChars="196"/>
        <w:jc w:val="left"/>
        <w:outlineLvl w:val="0"/>
        <w:rPr>
          <w:rFonts w:ascii="宋体"/>
          <w:b/>
          <w:color w:val="auto"/>
          <w:sz w:val="24"/>
          <w:szCs w:val="20"/>
          <w:highlight w:val="none"/>
        </w:rPr>
      </w:pPr>
      <w:r>
        <w:rPr>
          <w:rFonts w:hint="eastAsia" w:ascii="宋体" w:hAnsi="宋体"/>
          <w:b/>
          <w:color w:val="auto"/>
          <w:sz w:val="24"/>
          <w:highlight w:val="none"/>
        </w:rPr>
        <w:t>（五）投标文件的签署和份数</w:t>
      </w:r>
    </w:p>
    <w:p w14:paraId="4F967C0C">
      <w:pPr>
        <w:snapToGrid w:val="0"/>
        <w:spacing w:line="312" w:lineRule="auto"/>
        <w:ind w:firstLine="480" w:firstLineChars="200"/>
        <w:jc w:val="left"/>
        <w:rPr>
          <w:rFonts w:hint="eastAsia" w:ascii="宋体" w:hAnsi="宋体"/>
          <w:b/>
          <w:bCs/>
          <w:color w:val="auto"/>
          <w:sz w:val="24"/>
          <w:highlight w:val="none"/>
        </w:rPr>
      </w:pPr>
      <w:r>
        <w:rPr>
          <w:rFonts w:ascii="宋体" w:hAnsi="宋体"/>
          <w:color w:val="auto"/>
          <w:sz w:val="24"/>
          <w:highlight w:val="none"/>
        </w:rPr>
        <w:t>1</w:t>
      </w:r>
      <w:r>
        <w:rPr>
          <w:rFonts w:hint="eastAsia" w:ascii="宋体" w:hAnsi="宋体"/>
          <w:color w:val="auto"/>
          <w:sz w:val="24"/>
          <w:highlight w:val="none"/>
        </w:rPr>
        <w:t>.投标人应认真阅读招标文件所有内容，按</w:t>
      </w:r>
      <w:r>
        <w:rPr>
          <w:rFonts w:ascii="宋体" w:hAnsi="宋体"/>
          <w:color w:val="auto"/>
          <w:sz w:val="24"/>
          <w:highlight w:val="none"/>
        </w:rPr>
        <w:t>本招标文件规定的</w:t>
      </w:r>
      <w:r>
        <w:rPr>
          <w:rFonts w:hint="eastAsia" w:ascii="宋体" w:hAnsi="宋体"/>
          <w:color w:val="auto"/>
          <w:sz w:val="24"/>
          <w:highlight w:val="none"/>
        </w:rPr>
        <w:t>要求、编制</w:t>
      </w:r>
      <w:r>
        <w:rPr>
          <w:rFonts w:ascii="宋体" w:hAnsi="宋体"/>
          <w:color w:val="auto"/>
          <w:sz w:val="24"/>
          <w:highlight w:val="none"/>
        </w:rPr>
        <w:t>顺序</w:t>
      </w:r>
      <w:r>
        <w:rPr>
          <w:rFonts w:hint="eastAsia" w:ascii="宋体" w:hAnsi="宋体"/>
          <w:color w:val="auto"/>
          <w:sz w:val="24"/>
          <w:highlight w:val="none"/>
        </w:rPr>
        <w:t>和统一</w:t>
      </w:r>
      <w:r>
        <w:rPr>
          <w:rFonts w:ascii="宋体" w:hAnsi="宋体"/>
          <w:color w:val="auto"/>
          <w:sz w:val="24"/>
          <w:highlight w:val="none"/>
        </w:rPr>
        <w:t>格式编制投标文件</w:t>
      </w:r>
      <w:r>
        <w:rPr>
          <w:rFonts w:hint="eastAsia" w:ascii="宋体" w:hAnsi="宋体"/>
          <w:color w:val="auto"/>
          <w:sz w:val="24"/>
          <w:highlight w:val="none"/>
        </w:rPr>
        <w:t>并标注页码</w:t>
      </w:r>
      <w:r>
        <w:rPr>
          <w:rFonts w:ascii="宋体" w:hAnsi="宋体"/>
          <w:color w:val="auto"/>
          <w:sz w:val="24"/>
          <w:highlight w:val="none"/>
        </w:rPr>
        <w:t>，</w:t>
      </w:r>
      <w:r>
        <w:rPr>
          <w:rFonts w:hint="eastAsia" w:ascii="宋体" w:hAnsi="宋体"/>
          <w:b/>
          <w:bCs/>
          <w:color w:val="auto"/>
          <w:sz w:val="24"/>
          <w:highlight w:val="none"/>
        </w:rPr>
        <w:t>电子投标文件须进行关联定位。</w:t>
      </w:r>
      <w:r>
        <w:rPr>
          <w:rFonts w:ascii="宋体" w:hAnsi="宋体"/>
          <w:color w:val="auto"/>
          <w:sz w:val="24"/>
          <w:highlight w:val="none"/>
        </w:rPr>
        <w:t>投标文件</w:t>
      </w:r>
      <w:r>
        <w:rPr>
          <w:rFonts w:hint="eastAsia" w:ascii="宋体" w:hAnsi="宋体"/>
          <w:color w:val="auto"/>
          <w:sz w:val="24"/>
          <w:highlight w:val="none"/>
        </w:rPr>
        <w:t>因</w:t>
      </w:r>
      <w:r>
        <w:rPr>
          <w:rFonts w:ascii="宋体" w:hAnsi="宋体"/>
          <w:color w:val="auto"/>
          <w:sz w:val="24"/>
          <w:highlight w:val="none"/>
        </w:rPr>
        <w:t>内容不完整、编排混乱</w:t>
      </w:r>
      <w:r>
        <w:rPr>
          <w:rFonts w:hint="eastAsia" w:ascii="宋体" w:hAnsi="宋体"/>
          <w:color w:val="auto"/>
          <w:sz w:val="24"/>
          <w:highlight w:val="none"/>
        </w:rPr>
        <w:t>，</w:t>
      </w:r>
      <w:r>
        <w:rPr>
          <w:rFonts w:hint="eastAsia" w:ascii="宋体" w:hAnsi="宋体"/>
          <w:b/>
          <w:bCs/>
          <w:color w:val="auto"/>
          <w:sz w:val="24"/>
          <w:highlight w:val="none"/>
        </w:rPr>
        <w:t>或者电子投标文件未进行关联定位或者关联定位不准确，</w:t>
      </w:r>
      <w:r>
        <w:rPr>
          <w:rFonts w:ascii="宋体" w:hAnsi="宋体"/>
          <w:color w:val="auto"/>
          <w:sz w:val="24"/>
          <w:highlight w:val="none"/>
        </w:rPr>
        <w:t>导致投标文件被误读、漏读或者查找不到相关内容的，是投标人的责任。</w:t>
      </w:r>
      <w:r>
        <w:rPr>
          <w:rFonts w:hint="eastAsia" w:ascii="宋体" w:hAnsi="宋体"/>
          <w:b/>
          <w:color w:val="auto"/>
          <w:sz w:val="24"/>
          <w:highlight w:val="none"/>
        </w:rPr>
        <w:t>电子投标文件须</w:t>
      </w:r>
      <w:r>
        <w:rPr>
          <w:rFonts w:hint="eastAsia" w:ascii="宋体" w:hAnsi="宋体"/>
          <w:b/>
          <w:bCs/>
          <w:color w:val="auto"/>
          <w:sz w:val="24"/>
          <w:highlight w:val="none"/>
        </w:rPr>
        <w:t>按政采云平台供应商项目采购-电子招投标操作指南</w:t>
      </w:r>
      <w:r>
        <w:rPr>
          <w:rFonts w:hint="eastAsia" w:ascii="宋体" w:hAnsi="宋体"/>
          <w:b/>
          <w:color w:val="auto"/>
          <w:sz w:val="24"/>
          <w:highlight w:val="none"/>
        </w:rPr>
        <w:t>及本招标文件要求制作和加密。</w:t>
      </w:r>
      <w:r>
        <w:rPr>
          <w:rFonts w:hint="eastAsia" w:ascii="宋体" w:hAnsi="宋体"/>
          <w:b/>
          <w:bCs/>
          <w:color w:val="auto"/>
          <w:sz w:val="24"/>
          <w:highlight w:val="none"/>
        </w:rPr>
        <w:t>（操作指南下载网址：https://help.zcygov.cn/web/site_2/2018/12-28/2573.html）</w:t>
      </w:r>
    </w:p>
    <w:p w14:paraId="1E4593DD">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cs="宋体"/>
          <w:b w:val="0"/>
          <w:bCs/>
          <w:color w:val="auto"/>
          <w:sz w:val="24"/>
        </w:rPr>
      </w:pPr>
      <w:r>
        <w:rPr>
          <w:rFonts w:hint="eastAsia" w:ascii="宋体" w:hAnsi="宋体" w:cs="宋体"/>
          <w:b w:val="0"/>
          <w:bCs/>
          <w:color w:val="auto"/>
          <w:sz w:val="24"/>
          <w:lang w:val="en-US" w:eastAsia="zh-CN"/>
        </w:rPr>
        <w:t>2</w:t>
      </w:r>
      <w:r>
        <w:rPr>
          <w:rFonts w:hint="eastAsia" w:ascii="宋体" w:hAnsi="宋体" w:cs="宋体"/>
          <w:b w:val="0"/>
          <w:bCs/>
          <w:color w:val="auto"/>
          <w:sz w:val="24"/>
        </w:rPr>
        <w:t>. 投标文件需盖章签字的地方必须由投标人法定代表人或法定代表人的授权委托人签署并加盖单位公章，投标人应写全称。</w:t>
      </w:r>
    </w:p>
    <w:p w14:paraId="69E8FD70">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cs="宋体"/>
          <w:b w:val="0"/>
          <w:bCs/>
          <w:color w:val="auto"/>
          <w:sz w:val="24"/>
        </w:rPr>
      </w:pPr>
      <w:r>
        <w:rPr>
          <w:rFonts w:hint="eastAsia" w:ascii="宋体" w:hAnsi="宋体" w:cs="宋体"/>
          <w:b w:val="0"/>
          <w:bCs/>
          <w:color w:val="auto"/>
          <w:sz w:val="24"/>
          <w:lang w:val="en-US" w:eastAsia="zh-CN"/>
        </w:rPr>
        <w:t>3</w:t>
      </w:r>
      <w:r>
        <w:rPr>
          <w:rFonts w:hint="eastAsia" w:ascii="宋体" w:hAnsi="宋体" w:cs="宋体"/>
          <w:b w:val="0"/>
          <w:bCs/>
          <w:color w:val="auto"/>
          <w:sz w:val="24"/>
        </w:rPr>
        <w:t>.投标文件不得涂改，若有修改错漏处，须加盖单位公章和由法定代表人或授权委托人签字或盖章。投标文件因字迹潦草或表达不清所引起的后果由投标人负责。</w:t>
      </w:r>
    </w:p>
    <w:p w14:paraId="2553D34E">
      <w:pPr>
        <w:keepNext w:val="0"/>
        <w:keepLines w:val="0"/>
        <w:pageBreakBefore w:val="0"/>
        <w:kinsoku/>
        <w:wordWrap/>
        <w:overflowPunct/>
        <w:topLinePunct w:val="0"/>
        <w:autoSpaceDE/>
        <w:autoSpaceDN/>
        <w:bidi w:val="0"/>
        <w:adjustRightInd w:val="0"/>
        <w:snapToGrid w:val="0"/>
        <w:spacing w:line="400" w:lineRule="exact"/>
        <w:ind w:firstLine="480" w:firstLineChars="200"/>
        <w:jc w:val="left"/>
        <w:textAlignment w:val="auto"/>
        <w:rPr>
          <w:rFonts w:hint="eastAsia" w:ascii="宋体" w:hAnsi="宋体" w:eastAsia="宋体" w:cs="Times New Roman"/>
          <w:b/>
          <w:color w:val="auto"/>
          <w:sz w:val="24"/>
          <w:highlight w:val="none"/>
        </w:rPr>
      </w:pPr>
      <w:r>
        <w:rPr>
          <w:rFonts w:hint="eastAsia" w:ascii="宋体" w:hAnsi="宋体" w:cs="宋体"/>
          <w:b w:val="0"/>
          <w:bCs/>
          <w:color w:val="auto"/>
          <w:sz w:val="24"/>
          <w:lang w:val="en-US" w:eastAsia="zh-CN"/>
        </w:rPr>
        <w:t>4</w:t>
      </w:r>
      <w:r>
        <w:rPr>
          <w:rFonts w:hint="eastAsia" w:ascii="宋体" w:hAnsi="宋体" w:cs="宋体"/>
          <w:b w:val="0"/>
          <w:bCs/>
          <w:color w:val="auto"/>
          <w:sz w:val="24"/>
        </w:rPr>
        <w:t>.招标文件对签字、盖章有特别要求的地方，纸质版本投标文件无论正本或副本（副本可以是正本的复印件）必须由投标人法定代表人或法定代表人的授权委托人签署并加盖单位公章。电子投标文件中有签字要求的部分，投标人可以将签字后的扫描件上传至政采云系统，有盖章要求的部分，要求采用CA签章。投标人应写全称。</w:t>
      </w:r>
    </w:p>
    <w:p w14:paraId="48D9C075">
      <w:pPr>
        <w:snapToGrid w:val="0"/>
        <w:spacing w:beforeLines="50" w:line="360" w:lineRule="auto"/>
        <w:jc w:val="left"/>
        <w:rPr>
          <w:rFonts w:ascii="宋体"/>
          <w:b/>
          <w:color w:val="auto"/>
          <w:sz w:val="24"/>
          <w:highlight w:val="none"/>
        </w:rPr>
      </w:pPr>
      <w:r>
        <w:rPr>
          <w:rFonts w:hint="eastAsia" w:ascii="宋体" w:hAnsi="宋体"/>
          <w:b/>
          <w:color w:val="auto"/>
          <w:sz w:val="24"/>
          <w:highlight w:val="none"/>
        </w:rPr>
        <w:t>（六）投标文件的递交、修改和撤回</w:t>
      </w:r>
    </w:p>
    <w:p w14:paraId="673BB5B7">
      <w:pPr>
        <w:snapToGrid w:val="0"/>
        <w:spacing w:beforeLines="50" w:afterLines="50" w:line="312" w:lineRule="auto"/>
        <w:ind w:firstLine="482" w:firstLineChars="200"/>
        <w:outlineLvl w:val="1"/>
        <w:rPr>
          <w:rFonts w:ascii="宋体"/>
          <w:b/>
          <w:bCs/>
          <w:color w:val="auto"/>
          <w:sz w:val="24"/>
          <w:highlight w:val="none"/>
        </w:rPr>
      </w:pPr>
      <w:r>
        <w:rPr>
          <w:rFonts w:ascii="宋体" w:hAnsi="宋体"/>
          <w:b/>
          <w:bCs/>
          <w:color w:val="auto"/>
          <w:sz w:val="24"/>
          <w:highlight w:val="none"/>
        </w:rPr>
        <w:t>1</w:t>
      </w:r>
      <w:r>
        <w:rPr>
          <w:rFonts w:hint="eastAsia" w:ascii="宋体" w:hAnsi="宋体"/>
          <w:b/>
          <w:bCs/>
          <w:color w:val="auto"/>
          <w:sz w:val="24"/>
          <w:highlight w:val="none"/>
        </w:rPr>
        <w:t>、电子投标文件按政采云平台供应商项目采购</w:t>
      </w:r>
      <w:r>
        <w:rPr>
          <w:rFonts w:ascii="宋体"/>
          <w:b/>
          <w:bCs/>
          <w:color w:val="auto"/>
          <w:sz w:val="24"/>
          <w:highlight w:val="none"/>
        </w:rPr>
        <w:t>-</w:t>
      </w:r>
      <w:r>
        <w:rPr>
          <w:rFonts w:hint="eastAsia" w:ascii="宋体" w:hAnsi="宋体"/>
          <w:b/>
          <w:bCs/>
          <w:color w:val="auto"/>
          <w:sz w:val="24"/>
          <w:highlight w:val="none"/>
        </w:rPr>
        <w:t>电子招投标操作指南（网址：</w:t>
      </w:r>
      <w:r>
        <w:rPr>
          <w:color w:val="auto"/>
          <w:highlight w:val="none"/>
        </w:rPr>
        <w:fldChar w:fldCharType="begin"/>
      </w:r>
      <w:r>
        <w:rPr>
          <w:color w:val="auto"/>
          <w:highlight w:val="none"/>
        </w:rPr>
        <w:instrText xml:space="preserve"> HYPERLINK "https://help.zcygov.cn/web/site_2/2018/12-28/2573.html）及本招标文件规定的的要求、编制顺序和统一格式编制电子投标文件并进行关联定位。" </w:instrText>
      </w:r>
      <w:r>
        <w:rPr>
          <w:color w:val="auto"/>
          <w:highlight w:val="none"/>
        </w:rPr>
        <w:fldChar w:fldCharType="separate"/>
      </w:r>
      <w:r>
        <w:rPr>
          <w:rStyle w:val="52"/>
          <w:rFonts w:ascii="宋体" w:hAnsi="宋体"/>
          <w:b/>
          <w:bCs/>
          <w:color w:val="auto"/>
          <w:sz w:val="24"/>
          <w:highlight w:val="none"/>
        </w:rPr>
        <w:t>https://help.zcygov.cn/web/site_2/2018/12-28/2573.html</w:t>
      </w:r>
      <w:r>
        <w:rPr>
          <w:rStyle w:val="52"/>
          <w:rFonts w:hint="eastAsia" w:ascii="宋体" w:hAnsi="宋体"/>
          <w:b/>
          <w:bCs/>
          <w:color w:val="auto"/>
          <w:sz w:val="24"/>
          <w:highlight w:val="none"/>
        </w:rPr>
        <w:t>）及本招标文件规定的的要求、编制顺序和统一格式编制电子投标文件并进行关联定位。</w:t>
      </w:r>
      <w:r>
        <w:rPr>
          <w:rStyle w:val="52"/>
          <w:rFonts w:hint="eastAsia" w:ascii="宋体" w:hAnsi="宋体"/>
          <w:b/>
          <w:bCs/>
          <w:color w:val="auto"/>
          <w:sz w:val="24"/>
          <w:highlight w:val="none"/>
        </w:rPr>
        <w:fldChar w:fldCharType="end"/>
      </w:r>
    </w:p>
    <w:p w14:paraId="0FBAE485">
      <w:pPr>
        <w:snapToGrid w:val="0"/>
        <w:spacing w:line="312" w:lineRule="auto"/>
        <w:ind w:firstLine="480" w:firstLineChars="200"/>
        <w:jc w:val="left"/>
        <w:rPr>
          <w:rFonts w:ascii="宋体"/>
          <w:b/>
          <w:color w:val="auto"/>
          <w:sz w:val="24"/>
          <w:highlight w:val="none"/>
        </w:rPr>
      </w:pPr>
      <w:r>
        <w:rPr>
          <w:rFonts w:hint="eastAsia" w:ascii="宋体" w:hAnsi="宋体"/>
          <w:color w:val="auto"/>
          <w:sz w:val="24"/>
          <w:highlight w:val="none"/>
        </w:rPr>
        <w:t>投标人应当在投标截止时间前完成电子投标文件的传输递交，投标截止时间前可以补充、修改或者撤回电子投标文件。补充或者修改电子投标文件的，应当先行撤回原电子投标文件，补充、修改后重新传输递交。投标截止时间前未完成传输的，视为撤回投标文件。</w:t>
      </w:r>
    </w:p>
    <w:p w14:paraId="7D84D3C2">
      <w:pPr>
        <w:autoSpaceDE w:val="0"/>
        <w:autoSpaceDN w:val="0"/>
        <w:adjustRightInd w:val="0"/>
        <w:snapToGrid w:val="0"/>
        <w:spacing w:line="312" w:lineRule="auto"/>
        <w:ind w:firstLine="482" w:firstLineChars="200"/>
        <w:rPr>
          <w:rFonts w:ascii="宋体"/>
          <w:color w:val="auto"/>
          <w:sz w:val="24"/>
          <w:highlight w:val="none"/>
        </w:rPr>
      </w:pPr>
      <w:r>
        <w:rPr>
          <w:rFonts w:ascii="宋体" w:hAnsi="宋体"/>
          <w:b/>
          <w:color w:val="auto"/>
          <w:sz w:val="24"/>
          <w:highlight w:val="none"/>
        </w:rPr>
        <w:t>2</w:t>
      </w:r>
      <w:r>
        <w:rPr>
          <w:rFonts w:hint="eastAsia" w:ascii="宋体" w:hAnsi="宋体"/>
          <w:b/>
          <w:color w:val="auto"/>
          <w:sz w:val="24"/>
          <w:highlight w:val="none"/>
        </w:rPr>
        <w:t>、投标人应当在投标截止时间前完成电子投标文件的传输递交，投标截止时间前可以补充、修改或者撤回电子投标文件。补充或者修改电子投标文件的，应当先行撤回原电子投标文件，补充、修改后重新传输递交。投标截止时间前未完成传输的，视为撤回投标文件。</w:t>
      </w:r>
    </w:p>
    <w:p w14:paraId="1CBD0BBB">
      <w:pPr>
        <w:snapToGrid w:val="0"/>
        <w:spacing w:beforeLines="50" w:afterLines="50" w:line="312" w:lineRule="auto"/>
        <w:ind w:firstLine="482" w:firstLineChars="200"/>
        <w:outlineLvl w:val="1"/>
        <w:rPr>
          <w:rFonts w:ascii="宋体"/>
          <w:b/>
          <w:bCs/>
          <w:color w:val="auto"/>
          <w:sz w:val="24"/>
          <w:highlight w:val="none"/>
        </w:rPr>
      </w:pPr>
      <w:r>
        <w:rPr>
          <w:rFonts w:ascii="宋体" w:hAnsi="宋体"/>
          <w:b/>
          <w:bCs/>
          <w:color w:val="auto"/>
          <w:sz w:val="24"/>
          <w:highlight w:val="none"/>
        </w:rPr>
        <w:t>3</w:t>
      </w:r>
      <w:r>
        <w:rPr>
          <w:rFonts w:hint="eastAsia" w:ascii="宋体" w:hAnsi="宋体"/>
          <w:b/>
          <w:bCs/>
          <w:color w:val="auto"/>
          <w:sz w:val="24"/>
          <w:highlight w:val="none"/>
        </w:rPr>
        <w:t>、投标人可以在投标截止时间前将电子备份投标文件（经政采云电子交易客户端和</w:t>
      </w:r>
      <w:r>
        <w:rPr>
          <w:rFonts w:ascii="宋体" w:hAnsi="宋体"/>
          <w:b/>
          <w:bCs/>
          <w:color w:val="auto"/>
          <w:sz w:val="24"/>
          <w:highlight w:val="none"/>
        </w:rPr>
        <w:t>CA</w:t>
      </w:r>
      <w:r>
        <w:rPr>
          <w:rFonts w:hint="eastAsia" w:ascii="宋体" w:hAnsi="宋体"/>
          <w:b/>
          <w:bCs/>
          <w:color w:val="auto"/>
          <w:sz w:val="24"/>
          <w:highlight w:val="none"/>
        </w:rPr>
        <w:t>驱动制作出的后缀名为“</w:t>
      </w:r>
      <w:r>
        <w:rPr>
          <w:rFonts w:ascii="宋体" w:hAnsi="宋体"/>
          <w:b/>
          <w:bCs/>
          <w:color w:val="auto"/>
          <w:sz w:val="24"/>
          <w:highlight w:val="none"/>
        </w:rPr>
        <w:t>bfbs</w:t>
      </w:r>
      <w:r>
        <w:rPr>
          <w:rFonts w:hint="eastAsia" w:ascii="宋体" w:hAnsi="宋体"/>
          <w:b/>
          <w:bCs/>
          <w:color w:val="auto"/>
          <w:sz w:val="24"/>
          <w:highlight w:val="none"/>
        </w:rPr>
        <w:t>”的加密电子备份投标文件）发送至邮箱：</w:t>
      </w:r>
      <w:r>
        <w:rPr>
          <w:rFonts w:hint="eastAsia" w:ascii="宋体" w:hAnsi="宋体"/>
          <w:b/>
          <w:bCs/>
          <w:color w:val="auto"/>
          <w:sz w:val="24"/>
          <w:highlight w:val="none"/>
          <w:lang w:eastAsia="zh-CN"/>
        </w:rPr>
        <w:t>1121762642</w:t>
      </w:r>
      <w:r>
        <w:rPr>
          <w:rFonts w:ascii="宋体" w:hAnsi="宋体"/>
          <w:b/>
          <w:bCs/>
          <w:color w:val="auto"/>
          <w:sz w:val="24"/>
          <w:highlight w:val="none"/>
        </w:rPr>
        <w:t>@qq.com</w:t>
      </w:r>
      <w:r>
        <w:rPr>
          <w:rFonts w:hint="eastAsia" w:ascii="宋体" w:hAnsi="宋体"/>
          <w:b/>
          <w:bCs/>
          <w:color w:val="auto"/>
          <w:sz w:val="24"/>
          <w:highlight w:val="none"/>
        </w:rPr>
        <w:t>，逾期发送或发错后缀名的电子备份投标文件将被视为无效；电子备份投标文件的提交不作强制性要求。电子备份投标文件的递交截止时间：投标人应当在</w:t>
      </w:r>
      <w:r>
        <w:rPr>
          <w:rFonts w:hint="eastAsia" w:ascii="宋体" w:hAnsi="宋体" w:cs="宋体"/>
          <w:b/>
          <w:bCs/>
          <w:color w:val="auto"/>
          <w:sz w:val="24"/>
          <w:highlight w:val="none"/>
          <w:u w:val="none"/>
        </w:rPr>
        <w:t>202</w:t>
      </w:r>
      <w:r>
        <w:rPr>
          <w:rFonts w:hint="eastAsia" w:ascii="宋体" w:hAnsi="宋体" w:cs="宋体"/>
          <w:b/>
          <w:bCs/>
          <w:color w:val="auto"/>
          <w:sz w:val="24"/>
          <w:highlight w:val="none"/>
          <w:u w:val="none"/>
          <w:lang w:val="en-US" w:eastAsia="zh-CN"/>
        </w:rPr>
        <w:t>5</w:t>
      </w:r>
      <w:r>
        <w:rPr>
          <w:rFonts w:hint="eastAsia" w:ascii="宋体" w:hAnsi="宋体" w:cs="宋体"/>
          <w:b/>
          <w:bCs/>
          <w:color w:val="auto"/>
          <w:sz w:val="24"/>
          <w:highlight w:val="none"/>
          <w:u w:val="none"/>
        </w:rPr>
        <w:t>年</w:t>
      </w:r>
      <w:r>
        <w:rPr>
          <w:rFonts w:hint="eastAsia" w:ascii="宋体" w:hAnsi="宋体" w:cs="宋体"/>
          <w:b/>
          <w:bCs/>
          <w:color w:val="auto"/>
          <w:sz w:val="24"/>
          <w:highlight w:val="none"/>
          <w:u w:val="none"/>
          <w:lang w:val="en-US" w:eastAsia="zh-CN"/>
        </w:rPr>
        <w:t>5月6日14</w:t>
      </w:r>
      <w:r>
        <w:rPr>
          <w:rFonts w:hint="eastAsia" w:ascii="宋体" w:hAnsi="宋体" w:cs="宋体"/>
          <w:b/>
          <w:bCs/>
          <w:color w:val="auto"/>
          <w:sz w:val="24"/>
          <w:highlight w:val="none"/>
          <w:u w:val="none"/>
        </w:rPr>
        <w:t>：00</w:t>
      </w:r>
      <w:r>
        <w:rPr>
          <w:rFonts w:hint="eastAsia" w:ascii="宋体" w:hAnsi="宋体"/>
          <w:b/>
          <w:bCs/>
          <w:color w:val="auto"/>
          <w:sz w:val="24"/>
          <w:highlight w:val="none"/>
        </w:rPr>
        <w:t>前</w:t>
      </w:r>
      <w:r>
        <w:rPr>
          <w:rFonts w:hint="eastAsia" w:ascii="宋体" w:hAnsi="宋体"/>
          <w:b/>
          <w:bCs/>
          <w:color w:val="auto"/>
          <w:sz w:val="24"/>
          <w:highlight w:val="none"/>
        </w:rPr>
        <w:t>，逾期未递交的视为自动放弃递交电子备份投标文件。</w:t>
      </w:r>
    </w:p>
    <w:p w14:paraId="69B962DA">
      <w:pPr>
        <w:spacing w:line="480" w:lineRule="exact"/>
        <w:ind w:firstLine="482" w:firstLineChars="200"/>
        <w:rPr>
          <w:rFonts w:ascii="宋体" w:hAnsi="宋体" w:eastAsia="宋体" w:cs="Times New Roman"/>
          <w:b/>
          <w:bCs/>
          <w:color w:val="auto"/>
          <w:sz w:val="24"/>
          <w:highlight w:val="none"/>
        </w:rPr>
      </w:pPr>
      <w:r>
        <w:rPr>
          <w:rFonts w:ascii="宋体" w:hAnsi="宋体" w:eastAsia="宋体" w:cs="Times New Roman"/>
          <w:b/>
          <w:bCs/>
          <w:color w:val="auto"/>
          <w:sz w:val="24"/>
          <w:highlight w:val="none"/>
        </w:rPr>
        <w:t>4</w:t>
      </w:r>
      <w:r>
        <w:rPr>
          <w:rFonts w:hint="eastAsia" w:ascii="宋体" w:hAnsi="宋体" w:eastAsia="宋体" w:cs="Times New Roman"/>
          <w:b/>
          <w:bCs/>
          <w:color w:val="auto"/>
          <w:sz w:val="24"/>
          <w:highlight w:val="none"/>
        </w:rPr>
        <w:t>、未按规定上传的电子投标文件将被拒绝，由此造成投标文件解密失败或被误投的风险由投标人承担。</w:t>
      </w:r>
    </w:p>
    <w:p w14:paraId="703B52D2">
      <w:pPr>
        <w:spacing w:line="480" w:lineRule="exact"/>
        <w:ind w:firstLine="482" w:firstLineChars="200"/>
        <w:rPr>
          <w:color w:val="auto"/>
          <w:sz w:val="24"/>
          <w:highlight w:val="none"/>
        </w:rPr>
      </w:pPr>
      <w:r>
        <w:rPr>
          <w:rFonts w:ascii="宋体" w:hAnsi="宋体" w:eastAsia="宋体" w:cs="Times New Roman"/>
          <w:b/>
          <w:bCs/>
          <w:color w:val="auto"/>
          <w:sz w:val="24"/>
          <w:highlight w:val="none"/>
        </w:rPr>
        <w:t>5</w:t>
      </w:r>
      <w:r>
        <w:rPr>
          <w:rFonts w:hint="eastAsia" w:ascii="宋体" w:hAnsi="宋体" w:eastAsia="宋体" w:cs="Times New Roman"/>
          <w:b/>
          <w:bCs/>
          <w:color w:val="auto"/>
          <w:sz w:val="24"/>
          <w:highlight w:val="none"/>
        </w:rPr>
        <w:t>、投标截止时间后，政采云（电子交易平台）自动提取所有在投标截止时间前上传好的投标文件，</w:t>
      </w:r>
      <w:r>
        <w:rPr>
          <w:rFonts w:hint="eastAsia" w:ascii="宋体" w:hAnsi="宋体" w:cs="Arial"/>
          <w:b/>
          <w:bCs/>
          <w:color w:val="auto"/>
          <w:sz w:val="24"/>
          <w:highlight w:val="none"/>
        </w:rPr>
        <w:t>投标人须在投标截止时间后</w:t>
      </w:r>
      <w:r>
        <w:rPr>
          <w:rFonts w:ascii="宋体" w:hAnsi="宋体" w:cs="Arial"/>
          <w:b/>
          <w:bCs/>
          <w:color w:val="auto"/>
          <w:sz w:val="24"/>
          <w:highlight w:val="none"/>
        </w:rPr>
        <w:t>30</w:t>
      </w:r>
      <w:r>
        <w:rPr>
          <w:rFonts w:hint="eastAsia" w:ascii="宋体" w:hAnsi="宋体" w:cs="Arial"/>
          <w:b/>
          <w:bCs/>
          <w:color w:val="auto"/>
          <w:sz w:val="24"/>
          <w:highlight w:val="none"/>
        </w:rPr>
        <w:t>分钟内对上传政采云的投标文件进行解密（为防止解密失败，政采云建议采用制作投标文件的电脑进行解密），所有投标人在规定的解密时限内</w:t>
      </w:r>
      <w:r>
        <w:rPr>
          <w:rFonts w:hint="eastAsia" w:ascii="宋体" w:hAnsi="宋体" w:cs="宋体"/>
          <w:b/>
          <w:bCs/>
          <w:color w:val="auto"/>
          <w:sz w:val="24"/>
          <w:highlight w:val="none"/>
        </w:rPr>
        <w:t>完成</w:t>
      </w:r>
      <w:r>
        <w:rPr>
          <w:rFonts w:hint="eastAsia" w:ascii="宋体" w:hAnsi="宋体" w:cs="Arial"/>
          <w:b/>
          <w:bCs/>
          <w:color w:val="auto"/>
          <w:sz w:val="24"/>
          <w:highlight w:val="none"/>
        </w:rPr>
        <w:t>解</w:t>
      </w:r>
      <w:r>
        <w:rPr>
          <w:rFonts w:hint="eastAsia" w:ascii="宋体" w:hAnsi="宋体" w:cs="宋体"/>
          <w:b/>
          <w:bCs/>
          <w:color w:val="auto"/>
          <w:sz w:val="24"/>
          <w:highlight w:val="none"/>
        </w:rPr>
        <w:t>密</w:t>
      </w:r>
      <w:r>
        <w:rPr>
          <w:rFonts w:hint="eastAsia" w:ascii="宋体" w:hAnsi="宋体" w:cs="Arial"/>
          <w:b/>
          <w:bCs/>
          <w:color w:val="auto"/>
          <w:sz w:val="24"/>
          <w:highlight w:val="none"/>
        </w:rPr>
        <w:t>或解密时限到后，采购代理机构开启投标文件；投标人超过解密时限解密的且采购代理机构无法开启投标文件的，系统默认自动放弃。</w:t>
      </w:r>
    </w:p>
    <w:p w14:paraId="4EB81846">
      <w:pPr>
        <w:spacing w:line="480" w:lineRule="exact"/>
        <w:ind w:firstLine="482" w:firstLineChars="200"/>
        <w:rPr>
          <w:b/>
          <w:bCs/>
          <w:color w:val="auto"/>
          <w:sz w:val="24"/>
          <w:highlight w:val="none"/>
        </w:rPr>
      </w:pPr>
      <w:r>
        <w:rPr>
          <w:rFonts w:ascii="宋体" w:hAnsi="宋体"/>
          <w:b/>
          <w:bCs/>
          <w:color w:val="auto"/>
          <w:sz w:val="24"/>
          <w:highlight w:val="none"/>
        </w:rPr>
        <w:t>6</w:t>
      </w:r>
      <w:r>
        <w:rPr>
          <w:rFonts w:hint="eastAsia" w:ascii="宋体" w:hAnsi="宋体"/>
          <w:b/>
          <w:bCs/>
          <w:color w:val="auto"/>
          <w:sz w:val="24"/>
          <w:highlight w:val="none"/>
        </w:rPr>
        <w:t>、电子投标文件无法解密或解密失败时，投标人提供了电子备份投标文件的，以电子备份投标文件作为评审依据；否则视为投标文件无效。投标文件已按时解密的，电子备份投标文件自动失效。</w:t>
      </w:r>
    </w:p>
    <w:p w14:paraId="19B00335">
      <w:pPr>
        <w:snapToGrid w:val="0"/>
        <w:spacing w:beforeLines="50" w:line="360" w:lineRule="auto"/>
        <w:ind w:firstLine="470" w:firstLineChars="196"/>
        <w:outlineLvl w:val="2"/>
        <w:rPr>
          <w:rFonts w:hint="eastAsia" w:ascii="宋体" w:hAnsi="宋体"/>
          <w:color w:val="auto"/>
          <w:sz w:val="24"/>
          <w:highlight w:val="none"/>
        </w:rPr>
      </w:pPr>
      <w:r>
        <w:rPr>
          <w:rFonts w:ascii="宋体" w:hAnsi="宋体"/>
          <w:color w:val="auto"/>
          <w:sz w:val="24"/>
          <w:highlight w:val="none"/>
        </w:rPr>
        <w:t>7</w:t>
      </w:r>
      <w:r>
        <w:rPr>
          <w:rFonts w:hint="eastAsia" w:ascii="宋体" w:hAnsi="宋体"/>
          <w:color w:val="auto"/>
          <w:sz w:val="24"/>
          <w:highlight w:val="none"/>
        </w:rPr>
        <w:t>、投标截止时间后，投标人不得撤回、修改投标文件。修改后重新递交的投标文件应当按本招标文件的要求签署、盖章。</w:t>
      </w:r>
    </w:p>
    <w:p w14:paraId="0419592D">
      <w:pPr>
        <w:snapToGrid w:val="0"/>
        <w:spacing w:line="360" w:lineRule="auto"/>
        <w:ind w:firstLine="480" w:firstLineChars="200"/>
        <w:jc w:val="left"/>
        <w:rPr>
          <w:color w:val="auto"/>
          <w:highlight w:val="none"/>
        </w:rPr>
      </w:pPr>
      <w:r>
        <w:rPr>
          <w:rFonts w:hint="eastAsia" w:asciiTheme="majorEastAsia" w:hAnsiTheme="majorEastAsia" w:eastAsiaTheme="majorEastAsia"/>
          <w:color w:val="auto"/>
          <w:sz w:val="24"/>
          <w:highlight w:val="none"/>
        </w:rPr>
        <w:t>8、 投标人应按本招标文件规定的格式和顺序编制投标文件并标注页码，因投标文件内容不完整、编排混乱、放弃关联点或关联点错误等原因导致投标文件被误读、漏读或者查找不到相关内容等风险由投标人自行承担。</w:t>
      </w:r>
    </w:p>
    <w:p w14:paraId="690E4CD4">
      <w:pPr>
        <w:snapToGrid w:val="0"/>
        <w:spacing w:beforeLines="50" w:line="360" w:lineRule="auto"/>
        <w:ind w:firstLine="472" w:firstLineChars="196"/>
        <w:outlineLvl w:val="2"/>
        <w:rPr>
          <w:rFonts w:ascii="宋体"/>
          <w:b/>
          <w:color w:val="auto"/>
          <w:sz w:val="24"/>
          <w:highlight w:val="none"/>
        </w:rPr>
      </w:pPr>
      <w:r>
        <w:rPr>
          <w:rFonts w:hint="eastAsia" w:ascii="宋体" w:hAnsi="宋体"/>
          <w:b/>
          <w:color w:val="auto"/>
          <w:sz w:val="24"/>
          <w:highlight w:val="none"/>
        </w:rPr>
        <w:t>（七）供应商有下列情形之一的，列入失信名单，同时依照《政府采购法》第七十七条及《中华人民共和国政府采购法实施条例》第七十二条规定处罚并追求法律责任。</w:t>
      </w:r>
    </w:p>
    <w:p w14:paraId="3E4534D7">
      <w:pPr>
        <w:snapToGrid w:val="0"/>
        <w:spacing w:line="360" w:lineRule="auto"/>
        <w:ind w:left="479" w:leftChars="228"/>
        <w:jc w:val="left"/>
        <w:rPr>
          <w:rFonts w:hint="eastAsia" w:ascii="宋体" w:hAnsi="宋体" w:eastAsia="宋体"/>
          <w:color w:val="auto"/>
          <w:sz w:val="24"/>
          <w:highlight w:val="none"/>
          <w:lang w:eastAsia="zh-CN"/>
        </w:rPr>
      </w:pPr>
      <w:r>
        <w:rPr>
          <w:rFonts w:ascii="宋体" w:hAnsi="宋体"/>
          <w:color w:val="auto"/>
          <w:sz w:val="24"/>
          <w:highlight w:val="none"/>
        </w:rPr>
        <w:t>1</w:t>
      </w:r>
      <w:r>
        <w:rPr>
          <w:rFonts w:hint="eastAsia" w:ascii="宋体" w:hAnsi="宋体"/>
          <w:color w:val="auto"/>
          <w:sz w:val="24"/>
          <w:highlight w:val="none"/>
        </w:rPr>
        <w:t>、提供虚假材料谋取中标、成交的；</w:t>
      </w:r>
      <w:r>
        <w:rPr>
          <w:rFonts w:ascii="宋体" w:hAnsi="宋体"/>
          <w:color w:val="auto"/>
          <w:sz w:val="24"/>
          <w:highlight w:val="none"/>
        </w:rPr>
        <w:t xml:space="preserve"> </w:t>
      </w:r>
    </w:p>
    <w:p w14:paraId="29D6BA45">
      <w:pPr>
        <w:snapToGrid w:val="0"/>
        <w:spacing w:line="360" w:lineRule="auto"/>
        <w:ind w:left="479" w:leftChars="228"/>
        <w:jc w:val="left"/>
        <w:rPr>
          <w:rFonts w:hint="eastAsia" w:ascii="宋体" w:hAnsi="宋体" w:eastAsia="宋体"/>
          <w:color w:val="auto"/>
          <w:sz w:val="24"/>
          <w:highlight w:val="none"/>
          <w:lang w:eastAsia="zh-CN"/>
        </w:rPr>
      </w:pPr>
      <w:r>
        <w:rPr>
          <w:rFonts w:ascii="宋体" w:hAnsi="宋体"/>
          <w:color w:val="auto"/>
          <w:sz w:val="24"/>
          <w:highlight w:val="none"/>
        </w:rPr>
        <w:t>2</w:t>
      </w:r>
      <w:r>
        <w:rPr>
          <w:rFonts w:hint="eastAsia" w:ascii="宋体" w:hAnsi="宋体"/>
          <w:color w:val="auto"/>
          <w:sz w:val="24"/>
          <w:highlight w:val="none"/>
        </w:rPr>
        <w:t>、采取不正当手段诋毁、排挤其他供应商的；</w:t>
      </w:r>
      <w:r>
        <w:rPr>
          <w:rFonts w:ascii="宋体" w:hAnsi="宋体"/>
          <w:color w:val="auto"/>
          <w:sz w:val="24"/>
          <w:highlight w:val="none"/>
        </w:rPr>
        <w:t xml:space="preserve"> </w:t>
      </w:r>
    </w:p>
    <w:p w14:paraId="6B947275">
      <w:pPr>
        <w:snapToGrid w:val="0"/>
        <w:spacing w:line="360" w:lineRule="auto"/>
        <w:ind w:left="479" w:leftChars="228"/>
        <w:jc w:val="left"/>
        <w:rPr>
          <w:rFonts w:hint="eastAsia" w:ascii="宋体" w:hAnsi="宋体" w:eastAsia="宋体"/>
          <w:color w:val="auto"/>
          <w:sz w:val="24"/>
          <w:highlight w:val="none"/>
          <w:lang w:eastAsia="zh-CN"/>
        </w:rPr>
      </w:pPr>
      <w:r>
        <w:rPr>
          <w:rFonts w:ascii="宋体" w:hAnsi="宋体"/>
          <w:color w:val="auto"/>
          <w:sz w:val="24"/>
          <w:highlight w:val="none"/>
        </w:rPr>
        <w:t>3</w:t>
      </w:r>
      <w:r>
        <w:rPr>
          <w:rFonts w:hint="eastAsia" w:ascii="宋体" w:hAnsi="宋体"/>
          <w:color w:val="auto"/>
          <w:sz w:val="24"/>
          <w:highlight w:val="none"/>
        </w:rPr>
        <w:t>、与采购人、其他供应商或者采购代理机构恶意串通的；</w:t>
      </w:r>
      <w:r>
        <w:rPr>
          <w:rFonts w:ascii="宋体" w:hAnsi="宋体"/>
          <w:color w:val="auto"/>
          <w:sz w:val="24"/>
          <w:highlight w:val="none"/>
        </w:rPr>
        <w:t xml:space="preserve"> </w:t>
      </w:r>
    </w:p>
    <w:p w14:paraId="5E4D1E8F">
      <w:pPr>
        <w:snapToGrid w:val="0"/>
        <w:spacing w:line="360" w:lineRule="auto"/>
        <w:ind w:left="479" w:leftChars="228"/>
        <w:jc w:val="left"/>
        <w:rPr>
          <w:rFonts w:hint="eastAsia" w:ascii="宋体" w:hAnsi="宋体" w:eastAsia="宋体"/>
          <w:color w:val="auto"/>
          <w:sz w:val="24"/>
          <w:highlight w:val="none"/>
          <w:lang w:eastAsia="zh-CN"/>
        </w:rPr>
      </w:pPr>
      <w:r>
        <w:rPr>
          <w:rFonts w:ascii="宋体" w:hAnsi="宋体"/>
          <w:color w:val="auto"/>
          <w:sz w:val="24"/>
          <w:highlight w:val="none"/>
        </w:rPr>
        <w:t>4</w:t>
      </w:r>
      <w:r>
        <w:rPr>
          <w:rFonts w:hint="eastAsia" w:ascii="宋体" w:hAnsi="宋体"/>
          <w:color w:val="auto"/>
          <w:sz w:val="24"/>
          <w:highlight w:val="none"/>
        </w:rPr>
        <w:t>、向采购人、采购代理机构行贿或者提供其他不正当利益的；</w:t>
      </w:r>
      <w:r>
        <w:rPr>
          <w:rFonts w:ascii="宋体" w:hAnsi="宋体"/>
          <w:color w:val="auto"/>
          <w:sz w:val="24"/>
          <w:highlight w:val="none"/>
        </w:rPr>
        <w:t xml:space="preserve"> </w:t>
      </w:r>
    </w:p>
    <w:p w14:paraId="6A00918A">
      <w:pPr>
        <w:snapToGrid w:val="0"/>
        <w:spacing w:line="360" w:lineRule="auto"/>
        <w:ind w:left="479" w:leftChars="228"/>
        <w:jc w:val="left"/>
        <w:rPr>
          <w:rFonts w:ascii="宋体"/>
          <w:color w:val="auto"/>
          <w:sz w:val="24"/>
          <w:highlight w:val="none"/>
        </w:rPr>
      </w:pPr>
      <w:r>
        <w:rPr>
          <w:rFonts w:ascii="宋体" w:hAnsi="宋体"/>
          <w:color w:val="auto"/>
          <w:sz w:val="24"/>
          <w:highlight w:val="none"/>
        </w:rPr>
        <w:t>5</w:t>
      </w:r>
      <w:r>
        <w:rPr>
          <w:rFonts w:hint="eastAsia" w:ascii="宋体" w:hAnsi="宋体"/>
          <w:color w:val="auto"/>
          <w:sz w:val="24"/>
          <w:highlight w:val="none"/>
        </w:rPr>
        <w:t>、在招标采购过程中与采购人进行协商谈判的；</w:t>
      </w:r>
      <w:r>
        <w:rPr>
          <w:rFonts w:ascii="宋体" w:hAnsi="宋体"/>
          <w:color w:val="auto"/>
          <w:sz w:val="24"/>
          <w:highlight w:val="none"/>
        </w:rPr>
        <w:t xml:space="preserve"> </w:t>
      </w:r>
    </w:p>
    <w:p w14:paraId="5533EDFE">
      <w:pPr>
        <w:snapToGrid w:val="0"/>
        <w:spacing w:line="360" w:lineRule="auto"/>
        <w:ind w:left="479" w:leftChars="228"/>
        <w:jc w:val="left"/>
        <w:rPr>
          <w:rFonts w:ascii="宋体"/>
          <w:color w:val="auto"/>
          <w:sz w:val="24"/>
          <w:highlight w:val="none"/>
        </w:rPr>
      </w:pPr>
      <w:r>
        <w:rPr>
          <w:rFonts w:ascii="宋体" w:hAnsi="宋体"/>
          <w:color w:val="auto"/>
          <w:sz w:val="24"/>
          <w:highlight w:val="none"/>
        </w:rPr>
        <w:t>6</w:t>
      </w:r>
      <w:r>
        <w:rPr>
          <w:rFonts w:hint="eastAsia" w:ascii="宋体" w:hAnsi="宋体"/>
          <w:color w:val="auto"/>
          <w:sz w:val="24"/>
          <w:highlight w:val="none"/>
        </w:rPr>
        <w:t>、向评标委员会、竞争性谈判小组或者询价小组成员行贿或者提供其他不正当利益；</w:t>
      </w:r>
    </w:p>
    <w:p w14:paraId="3EBA39DB">
      <w:pPr>
        <w:snapToGrid w:val="0"/>
        <w:spacing w:line="360" w:lineRule="auto"/>
        <w:ind w:left="479" w:leftChars="228"/>
        <w:jc w:val="left"/>
        <w:rPr>
          <w:rFonts w:ascii="宋体"/>
          <w:color w:val="auto"/>
          <w:sz w:val="24"/>
          <w:highlight w:val="none"/>
        </w:rPr>
      </w:pPr>
      <w:r>
        <w:rPr>
          <w:rFonts w:ascii="宋体" w:hAnsi="宋体"/>
          <w:color w:val="auto"/>
          <w:sz w:val="24"/>
          <w:highlight w:val="none"/>
        </w:rPr>
        <w:t>7</w:t>
      </w:r>
      <w:r>
        <w:rPr>
          <w:rFonts w:hint="eastAsia" w:ascii="宋体" w:hAnsi="宋体"/>
          <w:color w:val="auto"/>
          <w:sz w:val="24"/>
          <w:highlight w:val="none"/>
        </w:rPr>
        <w:t>、中标或者成交后无正当理由拒不与采购人签订政府采购合同；</w:t>
      </w:r>
    </w:p>
    <w:p w14:paraId="58B718BC">
      <w:pPr>
        <w:snapToGrid w:val="0"/>
        <w:spacing w:line="360" w:lineRule="auto"/>
        <w:ind w:left="479" w:leftChars="228"/>
        <w:jc w:val="left"/>
        <w:rPr>
          <w:rFonts w:ascii="宋体"/>
          <w:color w:val="auto"/>
          <w:sz w:val="24"/>
          <w:highlight w:val="none"/>
        </w:rPr>
      </w:pPr>
      <w:r>
        <w:rPr>
          <w:rFonts w:ascii="宋体" w:hAnsi="宋体"/>
          <w:color w:val="auto"/>
          <w:sz w:val="24"/>
          <w:highlight w:val="none"/>
        </w:rPr>
        <w:t>8</w:t>
      </w:r>
      <w:r>
        <w:rPr>
          <w:rFonts w:hint="eastAsia" w:ascii="宋体" w:hAnsi="宋体"/>
          <w:color w:val="auto"/>
          <w:sz w:val="24"/>
          <w:highlight w:val="none"/>
        </w:rPr>
        <w:t>、未按照采购文件确定的事项签订政府采购合同；</w:t>
      </w:r>
    </w:p>
    <w:p w14:paraId="4E49A5FA">
      <w:pPr>
        <w:snapToGrid w:val="0"/>
        <w:spacing w:line="360" w:lineRule="auto"/>
        <w:ind w:left="479" w:leftChars="228"/>
        <w:jc w:val="left"/>
        <w:rPr>
          <w:rFonts w:ascii="宋体"/>
          <w:color w:val="auto"/>
          <w:sz w:val="24"/>
          <w:highlight w:val="none"/>
        </w:rPr>
      </w:pPr>
      <w:r>
        <w:rPr>
          <w:rFonts w:ascii="宋体" w:hAnsi="宋体"/>
          <w:color w:val="auto"/>
          <w:sz w:val="24"/>
          <w:highlight w:val="none"/>
        </w:rPr>
        <w:t>9</w:t>
      </w:r>
      <w:r>
        <w:rPr>
          <w:rFonts w:hint="eastAsia" w:ascii="宋体" w:hAnsi="宋体"/>
          <w:color w:val="auto"/>
          <w:sz w:val="24"/>
          <w:highlight w:val="none"/>
        </w:rPr>
        <w:t>、将政府采购合同转包；</w:t>
      </w:r>
    </w:p>
    <w:p w14:paraId="5D3EDA3E">
      <w:pPr>
        <w:snapToGrid w:val="0"/>
        <w:spacing w:line="360" w:lineRule="auto"/>
        <w:ind w:left="479" w:leftChars="228"/>
        <w:jc w:val="left"/>
        <w:rPr>
          <w:rFonts w:ascii="宋体"/>
          <w:color w:val="auto"/>
          <w:sz w:val="24"/>
          <w:highlight w:val="none"/>
        </w:rPr>
      </w:pPr>
      <w:r>
        <w:rPr>
          <w:rFonts w:ascii="宋体" w:hAnsi="宋体"/>
          <w:color w:val="auto"/>
          <w:sz w:val="24"/>
          <w:highlight w:val="none"/>
        </w:rPr>
        <w:t>10</w:t>
      </w:r>
      <w:r>
        <w:rPr>
          <w:rFonts w:hint="eastAsia" w:ascii="宋体" w:hAnsi="宋体"/>
          <w:color w:val="auto"/>
          <w:sz w:val="24"/>
          <w:highlight w:val="none"/>
        </w:rPr>
        <w:t>、提供假冒伪劣产品；</w:t>
      </w:r>
    </w:p>
    <w:p w14:paraId="352FA5EB">
      <w:pPr>
        <w:snapToGrid w:val="0"/>
        <w:spacing w:line="360" w:lineRule="auto"/>
        <w:ind w:left="479" w:leftChars="228"/>
        <w:jc w:val="left"/>
        <w:rPr>
          <w:rFonts w:ascii="宋体"/>
          <w:color w:val="auto"/>
          <w:sz w:val="24"/>
          <w:highlight w:val="none"/>
        </w:rPr>
      </w:pPr>
      <w:r>
        <w:rPr>
          <w:rFonts w:ascii="宋体" w:hAnsi="宋体"/>
          <w:color w:val="auto"/>
          <w:sz w:val="24"/>
          <w:highlight w:val="none"/>
        </w:rPr>
        <w:t>11</w:t>
      </w:r>
      <w:r>
        <w:rPr>
          <w:rFonts w:hint="eastAsia" w:ascii="宋体" w:hAnsi="宋体"/>
          <w:color w:val="auto"/>
          <w:sz w:val="24"/>
          <w:highlight w:val="none"/>
        </w:rPr>
        <w:t>、擅自变更、中止或者终止政府采购合同。</w:t>
      </w:r>
    </w:p>
    <w:p w14:paraId="5FE73DD2">
      <w:pPr>
        <w:snapToGrid w:val="0"/>
        <w:spacing w:line="360" w:lineRule="auto"/>
        <w:ind w:left="479" w:leftChars="228"/>
        <w:jc w:val="left"/>
        <w:rPr>
          <w:rFonts w:ascii="宋体"/>
          <w:color w:val="auto"/>
          <w:sz w:val="24"/>
          <w:highlight w:val="none"/>
        </w:rPr>
      </w:pPr>
      <w:r>
        <w:rPr>
          <w:rFonts w:ascii="宋体" w:hAnsi="宋体"/>
          <w:color w:val="auto"/>
          <w:sz w:val="24"/>
          <w:highlight w:val="none"/>
        </w:rPr>
        <w:t>12</w:t>
      </w:r>
      <w:r>
        <w:rPr>
          <w:rFonts w:hint="eastAsia" w:ascii="宋体" w:hAnsi="宋体"/>
          <w:color w:val="auto"/>
          <w:sz w:val="24"/>
          <w:highlight w:val="none"/>
        </w:rPr>
        <w:t>、其他严重扰乱招投标程序的。</w:t>
      </w:r>
    </w:p>
    <w:p w14:paraId="5C23A6CA">
      <w:pPr>
        <w:snapToGrid w:val="0"/>
        <w:spacing w:beforeLines="50" w:line="360" w:lineRule="auto"/>
        <w:ind w:firstLine="472" w:firstLineChars="196"/>
        <w:outlineLvl w:val="2"/>
        <w:rPr>
          <w:rFonts w:ascii="宋体"/>
          <w:color w:val="auto"/>
          <w:sz w:val="24"/>
          <w:highlight w:val="none"/>
        </w:rPr>
      </w:pPr>
      <w:r>
        <w:rPr>
          <w:rFonts w:hint="eastAsia" w:ascii="宋体" w:hAnsi="宋体"/>
          <w:b/>
          <w:color w:val="auto"/>
          <w:sz w:val="24"/>
          <w:highlight w:val="none"/>
        </w:rPr>
        <w:t>（八）投标无效的情形</w:t>
      </w:r>
    </w:p>
    <w:p w14:paraId="23ABA1C7">
      <w:pPr>
        <w:snapToGrid w:val="0"/>
        <w:spacing w:line="312" w:lineRule="auto"/>
        <w:ind w:firstLine="470" w:firstLineChars="196"/>
        <w:rPr>
          <w:rFonts w:ascii="宋体"/>
          <w:color w:val="auto"/>
          <w:sz w:val="24"/>
          <w:highlight w:val="none"/>
        </w:rPr>
      </w:pPr>
      <w:r>
        <w:rPr>
          <w:rFonts w:hint="eastAsia" w:ascii="宋体" w:hAnsi="宋体"/>
          <w:color w:val="auto"/>
          <w:sz w:val="24"/>
          <w:highlight w:val="none"/>
        </w:rPr>
        <w:t>实质上没有响应招标文件要求的投标将被视为无效投标。投标人不得通过修正或撤消不合要求的偏离或保留从而使其投标成为实质上响应的投标，但经评标委员会认定属于投标人疏忽、笔误所造成的差错（带▲的条款不得更正），应当允许其在评标结束之前进行修改或者补正，修改或者补正投标文件必须以书面形式进行。投标人修改、补正投标文件后，不影响评标委员会对其投标文件所作的评价和评分结果。</w:t>
      </w:r>
    </w:p>
    <w:p w14:paraId="6C1C6CFB">
      <w:pPr>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ascii="宋体" w:hAnsi="宋体" w:cs="宋体"/>
          <w:color w:val="auto"/>
          <w:sz w:val="22"/>
          <w:u w:val="single"/>
        </w:rPr>
      </w:pPr>
      <w:r>
        <w:rPr>
          <w:rFonts w:hint="eastAsia" w:ascii="宋体" w:hAnsi="宋体" w:cs="宋体"/>
          <w:b/>
          <w:bCs/>
          <w:color w:val="auto"/>
          <w:sz w:val="24"/>
        </w:rPr>
        <w:t>1.在资格审查时，如发现下列情形之一的，投标无效：</w:t>
      </w:r>
    </w:p>
    <w:p w14:paraId="27BF6EF0">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ascii="宋体" w:hAnsi="宋体" w:cs="宋体"/>
          <w:color w:val="auto"/>
          <w:sz w:val="24"/>
        </w:rPr>
      </w:pPr>
      <w:r>
        <w:rPr>
          <w:rFonts w:hint="eastAsia" w:ascii="宋体" w:hAnsi="宋体" w:cs="宋体"/>
          <w:color w:val="auto"/>
          <w:sz w:val="24"/>
        </w:rPr>
        <w:t>（1）资格审查材料不全的，或者不符合招标文件要求的；</w:t>
      </w:r>
    </w:p>
    <w:p w14:paraId="695079D8">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ascii="宋体" w:hAnsi="宋体" w:cs="宋体"/>
          <w:color w:val="auto"/>
          <w:sz w:val="24"/>
        </w:rPr>
      </w:pPr>
      <w:r>
        <w:rPr>
          <w:rFonts w:hint="eastAsia" w:ascii="宋体" w:hAnsi="宋体" w:cs="宋体"/>
          <w:color w:val="auto"/>
          <w:sz w:val="24"/>
        </w:rPr>
        <w:t>（2）资格审查材料未按招标文件要求签署、盖章的；</w:t>
      </w:r>
    </w:p>
    <w:p w14:paraId="69FE45AE">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ascii="宋体" w:hAnsi="宋体" w:cs="宋体"/>
          <w:color w:val="auto"/>
          <w:sz w:val="24"/>
        </w:rPr>
      </w:pPr>
      <w:r>
        <w:rPr>
          <w:rFonts w:hint="eastAsia" w:ascii="宋体" w:hAnsi="宋体" w:cs="宋体"/>
          <w:color w:val="auto"/>
          <w:sz w:val="24"/>
        </w:rPr>
        <w:t>（3）不具备招标文件中规定的资格条件的；</w:t>
      </w:r>
    </w:p>
    <w:p w14:paraId="3AD5DF17">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ascii="宋体" w:hAnsi="宋体" w:cs="宋体"/>
          <w:color w:val="auto"/>
          <w:sz w:val="24"/>
        </w:rPr>
      </w:pPr>
      <w:r>
        <w:rPr>
          <w:rFonts w:hint="eastAsia" w:ascii="宋体" w:hAnsi="宋体" w:cs="宋体"/>
          <w:color w:val="auto"/>
          <w:sz w:val="24"/>
        </w:rPr>
        <w:t>（4）经查询存在不良信用记录的；</w:t>
      </w:r>
    </w:p>
    <w:p w14:paraId="4CE9784A">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（5）联合体投标的未提供</w:t>
      </w:r>
      <w:r>
        <w:rPr>
          <w:rFonts w:hint="eastAsia" w:ascii="宋体" w:hAnsi="宋体" w:eastAsia="宋体" w:cs="宋体"/>
          <w:color w:val="auto"/>
          <w:sz w:val="24"/>
          <w:lang w:val="zh-CN"/>
        </w:rPr>
        <w:t>联合体协议书的</w:t>
      </w:r>
      <w:r>
        <w:rPr>
          <w:rFonts w:hint="eastAsia" w:ascii="宋体" w:hAnsi="宋体" w:eastAsia="宋体" w:cs="宋体"/>
          <w:color w:val="auto"/>
          <w:sz w:val="24"/>
        </w:rPr>
        <w:t>；</w:t>
      </w:r>
    </w:p>
    <w:p w14:paraId="39A455C9">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（6）联合体各方在同一招标项目中以自己名义单独投标或者参加其他联合体投标的，相关投标均无效。</w:t>
      </w:r>
    </w:p>
    <w:p w14:paraId="02149516">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7</w:t>
      </w:r>
      <w:r>
        <w:rPr>
          <w:rFonts w:hint="eastAsia" w:ascii="宋体" w:hAnsi="宋体" w:eastAsia="宋体" w:cs="宋体"/>
          <w:color w:val="auto"/>
          <w:sz w:val="24"/>
          <w:lang w:eastAsia="zh-CN"/>
        </w:rPr>
        <w:t>）</w:t>
      </w:r>
      <w:r>
        <w:rPr>
          <w:rFonts w:hint="eastAsia" w:ascii="宋体" w:hAnsi="宋体" w:eastAsia="宋体" w:cs="宋体"/>
          <w:color w:val="auto"/>
          <w:sz w:val="24"/>
        </w:rPr>
        <w:t>如为专门面向中小微项目，未提供中小企业声明函的</w:t>
      </w:r>
      <w:r>
        <w:rPr>
          <w:rFonts w:hint="eastAsia" w:ascii="宋体" w:hAnsi="宋体" w:eastAsia="宋体" w:cs="宋体"/>
          <w:color w:val="auto"/>
          <w:sz w:val="24"/>
          <w:lang w:eastAsia="zh-CN"/>
        </w:rPr>
        <w:t>。</w:t>
      </w:r>
    </w:p>
    <w:p w14:paraId="3F9984AC">
      <w:pPr>
        <w:keepNext w:val="0"/>
        <w:keepLines w:val="0"/>
        <w:pageBreakBefore w:val="0"/>
        <w:kinsoku/>
        <w:wordWrap/>
        <w:overflowPunct/>
        <w:topLinePunct w:val="0"/>
        <w:autoSpaceDE/>
        <w:autoSpaceDN/>
        <w:bidi w:val="0"/>
        <w:adjustRightInd w:val="0"/>
        <w:snapToGrid w:val="0"/>
        <w:spacing w:line="400" w:lineRule="exact"/>
        <w:ind w:firstLine="472" w:firstLineChars="196"/>
        <w:textAlignment w:val="auto"/>
        <w:rPr>
          <w:rFonts w:ascii="宋体" w:hAnsi="宋体" w:cs="宋体"/>
          <w:b/>
          <w:bCs/>
          <w:color w:val="auto"/>
          <w:sz w:val="24"/>
        </w:rPr>
      </w:pPr>
      <w:r>
        <w:rPr>
          <w:rFonts w:hint="eastAsia" w:ascii="宋体" w:hAnsi="宋体" w:cs="宋体"/>
          <w:b/>
          <w:bCs/>
          <w:color w:val="auto"/>
          <w:sz w:val="24"/>
        </w:rPr>
        <w:t>2.在符合性审查和商务评审时，如发现下列情形之一的，投标文件将被视为无效：</w:t>
      </w:r>
    </w:p>
    <w:p w14:paraId="74C58935">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ascii="宋体" w:hAnsi="宋体" w:cs="宋体"/>
          <w:color w:val="auto"/>
          <w:sz w:val="24"/>
        </w:rPr>
      </w:pPr>
      <w:r>
        <w:rPr>
          <w:rFonts w:hint="eastAsia" w:ascii="宋体" w:hAnsi="宋体" w:cs="宋体"/>
          <w:color w:val="auto"/>
          <w:sz w:val="24"/>
        </w:rPr>
        <w:t>（1）投标人仅提交电子备份投标文件的；</w:t>
      </w:r>
    </w:p>
    <w:p w14:paraId="5760952A">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ascii="宋体" w:hAnsi="宋体" w:cs="宋体"/>
          <w:color w:val="auto"/>
          <w:sz w:val="24"/>
        </w:rPr>
      </w:pPr>
      <w:r>
        <w:rPr>
          <w:rFonts w:hint="eastAsia" w:ascii="宋体" w:hAnsi="宋体" w:cs="宋体"/>
          <w:color w:val="auto"/>
          <w:sz w:val="24"/>
        </w:rPr>
        <w:t>（2）在开评标时出现电子投标文件无法解密或解密失败等情况，投标人未提供电子备份投标文件，无法对投标人继续进行评审的；</w:t>
      </w:r>
    </w:p>
    <w:p w14:paraId="4929B2C9">
      <w:pPr>
        <w:keepNext w:val="0"/>
        <w:keepLines w:val="0"/>
        <w:pageBreakBefore w:val="0"/>
        <w:kinsoku/>
        <w:wordWrap/>
        <w:overflowPunct/>
        <w:topLinePunct w:val="0"/>
        <w:autoSpaceDE/>
        <w:autoSpaceDN/>
        <w:bidi w:val="0"/>
        <w:adjustRightInd w:val="0"/>
        <w:snapToGrid w:val="0"/>
        <w:spacing w:line="400" w:lineRule="exact"/>
        <w:ind w:firstLine="470" w:firstLineChars="196"/>
        <w:textAlignment w:val="auto"/>
        <w:rPr>
          <w:rFonts w:ascii="宋体" w:hAnsi="宋体" w:cs="宋体"/>
          <w:color w:val="auto"/>
          <w:sz w:val="24"/>
        </w:rPr>
      </w:pPr>
      <w:r>
        <w:rPr>
          <w:rFonts w:hint="eastAsia" w:ascii="宋体" w:hAnsi="宋体" w:cs="宋体"/>
          <w:color w:val="auto"/>
          <w:sz w:val="24"/>
        </w:rPr>
        <w:t>（3）投标人未在规定的时间内对电子询标函进行澄清回复、拒绝澄清回复或澄清回复的内容改变了投标文件的实质性内容的；</w:t>
      </w:r>
    </w:p>
    <w:p w14:paraId="4F1F8F72">
      <w:pPr>
        <w:keepNext w:val="0"/>
        <w:keepLines w:val="0"/>
        <w:pageBreakBefore w:val="0"/>
        <w:kinsoku/>
        <w:wordWrap/>
        <w:overflowPunct/>
        <w:topLinePunct w:val="0"/>
        <w:autoSpaceDE/>
        <w:autoSpaceDN/>
        <w:bidi w:val="0"/>
        <w:adjustRightInd w:val="0"/>
        <w:snapToGrid w:val="0"/>
        <w:spacing w:line="400" w:lineRule="exact"/>
        <w:ind w:firstLine="470" w:firstLineChars="196"/>
        <w:textAlignment w:val="auto"/>
        <w:rPr>
          <w:rFonts w:ascii="宋体" w:hAnsi="宋体" w:cs="宋体"/>
          <w:color w:val="auto"/>
          <w:sz w:val="24"/>
        </w:rPr>
      </w:pPr>
      <w:r>
        <w:rPr>
          <w:rFonts w:hint="eastAsia" w:ascii="宋体" w:hAnsi="宋体" w:cs="宋体"/>
          <w:color w:val="auto"/>
          <w:sz w:val="24"/>
        </w:rPr>
        <w:t>（4）资信及商务标内有商务报价出现的；</w:t>
      </w:r>
    </w:p>
    <w:p w14:paraId="6CCAA87D">
      <w:pPr>
        <w:keepNext w:val="0"/>
        <w:keepLines w:val="0"/>
        <w:pageBreakBefore w:val="0"/>
        <w:kinsoku/>
        <w:wordWrap/>
        <w:overflowPunct/>
        <w:topLinePunct w:val="0"/>
        <w:autoSpaceDE/>
        <w:autoSpaceDN/>
        <w:bidi w:val="0"/>
        <w:adjustRightInd w:val="0"/>
        <w:snapToGrid w:val="0"/>
        <w:spacing w:line="400" w:lineRule="exact"/>
        <w:ind w:firstLine="470" w:firstLineChars="196"/>
        <w:textAlignment w:val="auto"/>
        <w:rPr>
          <w:rFonts w:ascii="宋体" w:hAnsi="宋体" w:cs="宋体"/>
          <w:color w:val="auto"/>
          <w:sz w:val="24"/>
        </w:rPr>
      </w:pPr>
      <w:r>
        <w:rPr>
          <w:rFonts w:hint="eastAsia" w:ascii="宋体" w:hAnsi="宋体" w:cs="宋体"/>
          <w:color w:val="auto"/>
          <w:sz w:val="24"/>
        </w:rPr>
        <w:t>（5）资格证明文件不全的，或者不符合招标文件标明的资格要求的；</w:t>
      </w:r>
    </w:p>
    <w:p w14:paraId="546E87E9">
      <w:pPr>
        <w:keepNext w:val="0"/>
        <w:keepLines w:val="0"/>
        <w:pageBreakBefore w:val="0"/>
        <w:kinsoku/>
        <w:wordWrap/>
        <w:overflowPunct/>
        <w:topLinePunct w:val="0"/>
        <w:autoSpaceDE/>
        <w:autoSpaceDN/>
        <w:bidi w:val="0"/>
        <w:adjustRightInd w:val="0"/>
        <w:snapToGrid w:val="0"/>
        <w:spacing w:line="400" w:lineRule="exact"/>
        <w:ind w:firstLine="470" w:firstLineChars="196"/>
        <w:textAlignment w:val="auto"/>
        <w:rPr>
          <w:rFonts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val="en-US" w:eastAsia="zh-CN"/>
        </w:rPr>
        <w:t>6</w:t>
      </w:r>
      <w:r>
        <w:rPr>
          <w:rFonts w:hint="eastAsia" w:ascii="宋体" w:hAnsi="宋体" w:cs="宋体"/>
          <w:color w:val="auto"/>
          <w:sz w:val="24"/>
        </w:rPr>
        <w:t>）本招标文件明确规定投标文件需要投标人签字、盖章的地方，投标人没有按招标文件的规定进行签字、盖章的,或未提供法定代表人授权委托书、投标声明书或者填写项目不齐全的，或者授权委托书无效的；</w:t>
      </w:r>
    </w:p>
    <w:p w14:paraId="7437E38B">
      <w:pPr>
        <w:keepNext w:val="0"/>
        <w:keepLines w:val="0"/>
        <w:pageBreakBefore w:val="0"/>
        <w:kinsoku/>
        <w:wordWrap/>
        <w:overflowPunct/>
        <w:topLinePunct w:val="0"/>
        <w:autoSpaceDE/>
        <w:autoSpaceDN/>
        <w:bidi w:val="0"/>
        <w:adjustRightInd w:val="0"/>
        <w:snapToGrid w:val="0"/>
        <w:spacing w:line="400" w:lineRule="exact"/>
        <w:ind w:firstLine="470" w:firstLineChars="196"/>
        <w:textAlignment w:val="auto"/>
        <w:rPr>
          <w:rFonts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val="en-US" w:eastAsia="zh-CN"/>
        </w:rPr>
        <w:t>7</w:t>
      </w:r>
      <w:r>
        <w:rPr>
          <w:rFonts w:hint="eastAsia" w:ascii="宋体" w:hAnsi="宋体" w:cs="宋体"/>
          <w:color w:val="auto"/>
          <w:sz w:val="24"/>
        </w:rPr>
        <w:t>）投标文件无法定代表人签字,或未提供法定代表人授权委托书、投标声明书或者填写项目不齐全的；</w:t>
      </w:r>
    </w:p>
    <w:p w14:paraId="401DA10F">
      <w:pPr>
        <w:keepNext w:val="0"/>
        <w:keepLines w:val="0"/>
        <w:pageBreakBefore w:val="0"/>
        <w:kinsoku/>
        <w:wordWrap/>
        <w:overflowPunct/>
        <w:topLinePunct w:val="0"/>
        <w:autoSpaceDE/>
        <w:autoSpaceDN/>
        <w:bidi w:val="0"/>
        <w:adjustRightInd w:val="0"/>
        <w:snapToGrid w:val="0"/>
        <w:spacing w:line="400" w:lineRule="exact"/>
        <w:ind w:firstLine="470" w:firstLineChars="196"/>
        <w:textAlignment w:val="auto"/>
        <w:rPr>
          <w:rFonts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val="en-US" w:eastAsia="zh-CN"/>
        </w:rPr>
        <w:t>8</w:t>
      </w:r>
      <w:r>
        <w:rPr>
          <w:rFonts w:hint="eastAsia" w:ascii="宋体" w:hAnsi="宋体" w:cs="宋体"/>
          <w:color w:val="auto"/>
          <w:sz w:val="24"/>
        </w:rPr>
        <w:t>）投标文件的实质性内容未使用中文表述、意思表述不明确、前后矛盾或者使用计量单位不符合招标文件要求的（经评标委员会认定并允许其当场更正的笔误除外）；</w:t>
      </w:r>
    </w:p>
    <w:p w14:paraId="172A1DDF">
      <w:pPr>
        <w:keepNext w:val="0"/>
        <w:keepLines w:val="0"/>
        <w:pageBreakBefore w:val="0"/>
        <w:kinsoku/>
        <w:wordWrap/>
        <w:overflowPunct/>
        <w:topLinePunct w:val="0"/>
        <w:autoSpaceDE/>
        <w:autoSpaceDN/>
        <w:bidi w:val="0"/>
        <w:adjustRightInd w:val="0"/>
        <w:snapToGrid w:val="0"/>
        <w:spacing w:line="400" w:lineRule="exact"/>
        <w:ind w:firstLine="470" w:firstLineChars="196"/>
        <w:textAlignment w:val="auto"/>
        <w:rPr>
          <w:rFonts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val="en-US" w:eastAsia="zh-CN"/>
        </w:rPr>
        <w:t>9</w:t>
      </w:r>
      <w:r>
        <w:rPr>
          <w:rFonts w:hint="eastAsia" w:ascii="宋体" w:hAnsi="宋体" w:cs="宋体"/>
          <w:color w:val="auto"/>
          <w:sz w:val="24"/>
        </w:rPr>
        <w:t>）投标有效期、服务期（交货期）、质保期、付款方式等商务条款不能满足招标文件要求的；</w:t>
      </w:r>
    </w:p>
    <w:p w14:paraId="0CDABEA5">
      <w:pPr>
        <w:keepNext w:val="0"/>
        <w:keepLines w:val="0"/>
        <w:pageBreakBefore w:val="0"/>
        <w:kinsoku/>
        <w:wordWrap/>
        <w:overflowPunct/>
        <w:topLinePunct w:val="0"/>
        <w:autoSpaceDE/>
        <w:autoSpaceDN/>
        <w:bidi w:val="0"/>
        <w:adjustRightInd w:val="0"/>
        <w:snapToGrid w:val="0"/>
        <w:spacing w:line="400" w:lineRule="exact"/>
        <w:ind w:firstLine="470" w:firstLineChars="196"/>
        <w:textAlignment w:val="auto"/>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0</w:t>
      </w:r>
      <w:r>
        <w:rPr>
          <w:rFonts w:hint="eastAsia" w:ascii="宋体" w:hAnsi="宋体" w:cs="宋体"/>
          <w:color w:val="auto"/>
          <w:sz w:val="24"/>
        </w:rPr>
        <w:t>）未实质性响应招标文件中标有“▲”条款要求的；</w:t>
      </w:r>
    </w:p>
    <w:p w14:paraId="2EC34FAE">
      <w:pPr>
        <w:pStyle w:val="16"/>
        <w:keepNext w:val="0"/>
        <w:keepLines w:val="0"/>
        <w:pageBreakBefore w:val="0"/>
        <w:kinsoku/>
        <w:wordWrap/>
        <w:overflowPunct/>
        <w:topLinePunct w:val="0"/>
        <w:autoSpaceDE/>
        <w:autoSpaceDN/>
        <w:bidi w:val="0"/>
        <w:adjustRightInd w:val="0"/>
        <w:snapToGrid w:val="0"/>
        <w:spacing w:line="400" w:lineRule="exact"/>
        <w:ind w:firstLine="454" w:firstLineChars="196"/>
        <w:textAlignment w:val="auto"/>
        <w:rPr>
          <w:rFonts w:hAnsi="宋体" w:cs="宋体"/>
          <w:color w:val="auto"/>
          <w:sz w:val="24"/>
          <w:szCs w:val="24"/>
        </w:rPr>
      </w:pPr>
      <w:r>
        <w:rPr>
          <w:rFonts w:hint="eastAsia" w:hAnsi="宋体" w:cs="宋体"/>
          <w:color w:val="auto"/>
          <w:sz w:val="24"/>
          <w:szCs w:val="24"/>
        </w:rPr>
        <w:t>（1</w:t>
      </w:r>
      <w:r>
        <w:rPr>
          <w:rFonts w:hint="eastAsia" w:hAnsi="宋体" w:cs="宋体"/>
          <w:color w:val="auto"/>
          <w:sz w:val="24"/>
          <w:szCs w:val="24"/>
          <w:lang w:val="en-US" w:eastAsia="zh-CN"/>
        </w:rPr>
        <w:t>1</w:t>
      </w:r>
      <w:r>
        <w:rPr>
          <w:rFonts w:hint="eastAsia" w:hAnsi="宋体" w:cs="宋体"/>
          <w:color w:val="auto"/>
          <w:sz w:val="24"/>
          <w:szCs w:val="24"/>
        </w:rPr>
        <w:t>）投标文件有招标方不能接受的附加条件的；</w:t>
      </w:r>
    </w:p>
    <w:p w14:paraId="55E6E8A0">
      <w:pPr>
        <w:pStyle w:val="16"/>
        <w:keepNext w:val="0"/>
        <w:keepLines w:val="0"/>
        <w:pageBreakBefore w:val="0"/>
        <w:kinsoku/>
        <w:wordWrap/>
        <w:overflowPunct/>
        <w:topLinePunct w:val="0"/>
        <w:autoSpaceDE/>
        <w:autoSpaceDN/>
        <w:bidi w:val="0"/>
        <w:adjustRightInd w:val="0"/>
        <w:snapToGrid w:val="0"/>
        <w:spacing w:line="400" w:lineRule="exact"/>
        <w:ind w:firstLine="454" w:firstLineChars="196"/>
        <w:textAlignment w:val="auto"/>
        <w:rPr>
          <w:rFonts w:hAnsi="宋体" w:cs="宋体"/>
          <w:color w:val="auto"/>
          <w:sz w:val="24"/>
          <w:szCs w:val="24"/>
        </w:rPr>
      </w:pPr>
      <w:r>
        <w:rPr>
          <w:rFonts w:hint="eastAsia" w:hAnsi="宋体" w:cs="宋体"/>
          <w:color w:val="auto"/>
          <w:sz w:val="24"/>
          <w:szCs w:val="24"/>
        </w:rPr>
        <w:t>（1</w:t>
      </w:r>
      <w:r>
        <w:rPr>
          <w:rFonts w:hint="eastAsia" w:hAnsi="宋体" w:cs="宋体"/>
          <w:color w:val="auto"/>
          <w:sz w:val="24"/>
          <w:szCs w:val="24"/>
          <w:lang w:val="en-US" w:eastAsia="zh-CN"/>
        </w:rPr>
        <w:t>2</w:t>
      </w:r>
      <w:r>
        <w:rPr>
          <w:rFonts w:hint="eastAsia" w:hAnsi="宋体" w:cs="宋体"/>
          <w:color w:val="auto"/>
          <w:sz w:val="24"/>
          <w:szCs w:val="24"/>
        </w:rPr>
        <w:t>）电子投标文件未按规定要求提供电子签章的。</w:t>
      </w:r>
    </w:p>
    <w:p w14:paraId="4E4003F0">
      <w:pPr>
        <w:pStyle w:val="16"/>
        <w:keepNext w:val="0"/>
        <w:keepLines w:val="0"/>
        <w:pageBreakBefore w:val="0"/>
        <w:kinsoku/>
        <w:wordWrap/>
        <w:overflowPunct/>
        <w:topLinePunct w:val="0"/>
        <w:autoSpaceDE/>
        <w:autoSpaceDN/>
        <w:bidi w:val="0"/>
        <w:adjustRightInd w:val="0"/>
        <w:snapToGrid w:val="0"/>
        <w:spacing w:line="400" w:lineRule="exact"/>
        <w:ind w:firstLine="457" w:firstLineChars="196"/>
        <w:textAlignment w:val="auto"/>
        <w:rPr>
          <w:rFonts w:hAnsi="宋体" w:cs="宋体"/>
          <w:b/>
          <w:bCs/>
          <w:color w:val="auto"/>
          <w:sz w:val="24"/>
          <w:szCs w:val="24"/>
        </w:rPr>
      </w:pPr>
      <w:r>
        <w:rPr>
          <w:rFonts w:hint="eastAsia" w:hAnsi="宋体" w:cs="宋体"/>
          <w:b/>
          <w:bCs/>
          <w:color w:val="auto"/>
          <w:sz w:val="24"/>
          <w:szCs w:val="24"/>
        </w:rPr>
        <w:t>3.在技术评审时，如发现下列情形之一的，投标文件将被视为无效：</w:t>
      </w:r>
    </w:p>
    <w:p w14:paraId="7E0CAD00">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ascii="宋体" w:hAnsi="宋体" w:cs="宋体"/>
          <w:color w:val="auto"/>
        </w:rPr>
      </w:pPr>
      <w:r>
        <w:rPr>
          <w:rFonts w:hint="eastAsia" w:ascii="宋体" w:hAnsi="宋体" w:cs="宋体"/>
          <w:color w:val="auto"/>
          <w:sz w:val="24"/>
        </w:rPr>
        <w:t>（1）投标人未在规定的时间内对电子询标函进行澄清回复、拒绝澄清回复或澄清回复的内容改变了投标文件的实质性内容的；</w:t>
      </w:r>
    </w:p>
    <w:p w14:paraId="3758709C">
      <w:pPr>
        <w:keepNext w:val="0"/>
        <w:keepLines w:val="0"/>
        <w:pageBreakBefore w:val="0"/>
        <w:kinsoku/>
        <w:wordWrap/>
        <w:overflowPunct/>
        <w:topLinePunct w:val="0"/>
        <w:autoSpaceDE/>
        <w:autoSpaceDN/>
        <w:bidi w:val="0"/>
        <w:adjustRightInd w:val="0"/>
        <w:snapToGrid w:val="0"/>
        <w:spacing w:line="400" w:lineRule="exact"/>
        <w:ind w:firstLine="470" w:firstLineChars="196"/>
        <w:textAlignment w:val="auto"/>
        <w:rPr>
          <w:rFonts w:ascii="宋体" w:hAnsi="宋体" w:cs="宋体"/>
          <w:color w:val="auto"/>
          <w:sz w:val="24"/>
        </w:rPr>
      </w:pPr>
      <w:r>
        <w:rPr>
          <w:rFonts w:hint="eastAsia" w:ascii="宋体" w:hAnsi="宋体" w:cs="宋体"/>
          <w:color w:val="auto"/>
          <w:sz w:val="24"/>
        </w:rPr>
        <w:t>（2）技术标内有商务报价出现的；</w:t>
      </w:r>
    </w:p>
    <w:p w14:paraId="29FAA678">
      <w:pPr>
        <w:pStyle w:val="16"/>
        <w:keepNext w:val="0"/>
        <w:keepLines w:val="0"/>
        <w:pageBreakBefore w:val="0"/>
        <w:kinsoku/>
        <w:wordWrap/>
        <w:overflowPunct/>
        <w:topLinePunct w:val="0"/>
        <w:autoSpaceDE/>
        <w:autoSpaceDN/>
        <w:bidi w:val="0"/>
        <w:adjustRightInd w:val="0"/>
        <w:snapToGrid w:val="0"/>
        <w:spacing w:line="400" w:lineRule="exact"/>
        <w:ind w:firstLine="454" w:firstLineChars="196"/>
        <w:textAlignment w:val="auto"/>
        <w:rPr>
          <w:rFonts w:hAnsi="宋体" w:cs="宋体"/>
          <w:color w:val="auto"/>
          <w:sz w:val="24"/>
        </w:rPr>
      </w:pPr>
      <w:r>
        <w:rPr>
          <w:rFonts w:hint="eastAsia" w:hAnsi="宋体" w:cs="宋体"/>
          <w:color w:val="auto"/>
          <w:sz w:val="24"/>
          <w:szCs w:val="24"/>
        </w:rPr>
        <w:t>（3）</w:t>
      </w:r>
      <w:r>
        <w:rPr>
          <w:rFonts w:hint="eastAsia" w:hAnsi="宋体" w:cs="宋体"/>
          <w:color w:val="auto"/>
          <w:sz w:val="24"/>
        </w:rPr>
        <w:t>投标技术方案不明确，存在一个或一个以上备选（替代）投标方案的；</w:t>
      </w:r>
    </w:p>
    <w:p w14:paraId="4FBC00DC">
      <w:pPr>
        <w:pStyle w:val="15"/>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ascii="宋体" w:hAnsi="宋体" w:cs="宋体"/>
          <w:color w:val="auto"/>
          <w:sz w:val="24"/>
          <w:szCs w:val="24"/>
        </w:rPr>
      </w:pPr>
      <w:r>
        <w:rPr>
          <w:rFonts w:hint="eastAsia" w:ascii="宋体" w:hAnsi="宋体" w:cs="宋体"/>
          <w:color w:val="auto"/>
          <w:sz w:val="24"/>
          <w:szCs w:val="24"/>
        </w:rPr>
        <w:t>（4）与其他参加本次投标供应商的投标文件（技术文件）的文字表述内容相同连续20行以上或者差错相同2处以上的；</w:t>
      </w:r>
    </w:p>
    <w:p w14:paraId="1C1AF988">
      <w:pPr>
        <w:pStyle w:val="16"/>
        <w:keepNext w:val="0"/>
        <w:keepLines w:val="0"/>
        <w:pageBreakBefore w:val="0"/>
        <w:kinsoku/>
        <w:wordWrap/>
        <w:overflowPunct/>
        <w:topLinePunct w:val="0"/>
        <w:autoSpaceDE/>
        <w:autoSpaceDN/>
        <w:bidi w:val="0"/>
        <w:adjustRightInd w:val="0"/>
        <w:snapToGrid w:val="0"/>
        <w:spacing w:line="400" w:lineRule="exact"/>
        <w:ind w:firstLine="454" w:firstLineChars="196"/>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（5）招标文件规定的</w:t>
      </w:r>
      <w:r>
        <w:rPr>
          <w:rFonts w:hint="eastAsia" w:hAnsi="宋体" w:cs="宋体"/>
          <w:color w:val="auto"/>
          <w:sz w:val="24"/>
          <w:szCs w:val="24"/>
          <w:lang w:eastAsia="zh-CN"/>
        </w:rPr>
        <w:t>其他</w:t>
      </w:r>
      <w:r>
        <w:rPr>
          <w:rFonts w:hint="eastAsia" w:ascii="宋体" w:hAnsi="宋体" w:eastAsia="宋体" w:cs="宋体"/>
          <w:color w:val="auto"/>
          <w:sz w:val="24"/>
          <w:szCs w:val="24"/>
        </w:rPr>
        <w:t>投标无效的情况；</w:t>
      </w:r>
    </w:p>
    <w:p w14:paraId="4F94B49D">
      <w:pPr>
        <w:pStyle w:val="16"/>
        <w:keepNext w:val="0"/>
        <w:keepLines w:val="0"/>
        <w:pageBreakBefore w:val="0"/>
        <w:kinsoku/>
        <w:wordWrap/>
        <w:overflowPunct/>
        <w:topLinePunct w:val="0"/>
        <w:autoSpaceDE/>
        <w:autoSpaceDN/>
        <w:bidi w:val="0"/>
        <w:adjustRightInd w:val="0"/>
        <w:snapToGrid w:val="0"/>
        <w:spacing w:line="400" w:lineRule="exact"/>
        <w:ind w:firstLine="454" w:firstLineChars="196"/>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）电子投标文件未按规定要求提供电子签章的</w:t>
      </w:r>
      <w:r>
        <w:rPr>
          <w:rFonts w:hint="eastAsia" w:ascii="宋体" w:hAnsi="宋体" w:eastAsia="宋体" w:cs="宋体"/>
          <w:color w:val="auto"/>
          <w:sz w:val="24"/>
          <w:szCs w:val="24"/>
          <w:lang w:eastAsia="zh-CN"/>
        </w:rPr>
        <w:t>；</w:t>
      </w:r>
    </w:p>
    <w:p w14:paraId="0C068461">
      <w:pPr>
        <w:pStyle w:val="16"/>
        <w:keepNext w:val="0"/>
        <w:keepLines w:val="0"/>
        <w:pageBreakBefore w:val="0"/>
        <w:kinsoku/>
        <w:wordWrap/>
        <w:overflowPunct/>
        <w:topLinePunct w:val="0"/>
        <w:autoSpaceDE/>
        <w:autoSpaceDN/>
        <w:bidi w:val="0"/>
        <w:adjustRightInd w:val="0"/>
        <w:snapToGrid w:val="0"/>
        <w:spacing w:line="400" w:lineRule="exact"/>
        <w:ind w:firstLine="454" w:firstLineChars="196"/>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）法律、法规规定的</w:t>
      </w:r>
      <w:r>
        <w:rPr>
          <w:rFonts w:hint="eastAsia" w:hAnsi="宋体" w:cs="宋体"/>
          <w:color w:val="auto"/>
          <w:sz w:val="24"/>
          <w:szCs w:val="24"/>
          <w:lang w:eastAsia="zh-CN"/>
        </w:rPr>
        <w:t>其他</w:t>
      </w:r>
      <w:r>
        <w:rPr>
          <w:rFonts w:hint="eastAsia" w:ascii="宋体" w:hAnsi="宋体" w:eastAsia="宋体" w:cs="宋体"/>
          <w:color w:val="auto"/>
          <w:sz w:val="24"/>
          <w:szCs w:val="24"/>
        </w:rPr>
        <w:t>投标无效情况。</w:t>
      </w:r>
    </w:p>
    <w:p w14:paraId="0F1C5612">
      <w:pPr>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ascii="宋体" w:hAnsi="宋体" w:cs="宋体"/>
          <w:b/>
          <w:color w:val="auto"/>
          <w:sz w:val="24"/>
        </w:rPr>
      </w:pPr>
      <w:r>
        <w:rPr>
          <w:rFonts w:hint="eastAsia" w:ascii="宋体" w:hAnsi="宋体" w:cs="宋体"/>
          <w:b/>
          <w:color w:val="auto"/>
          <w:sz w:val="24"/>
        </w:rPr>
        <w:t>4.在报价评审时，如发现下列情形之一的，投标文件将被视为无效：</w:t>
      </w:r>
    </w:p>
    <w:p w14:paraId="3493F95D">
      <w:pPr>
        <w:pStyle w:val="16"/>
        <w:keepNext w:val="0"/>
        <w:keepLines w:val="0"/>
        <w:pageBreakBefore w:val="0"/>
        <w:kinsoku/>
        <w:wordWrap/>
        <w:overflowPunct/>
        <w:topLinePunct w:val="0"/>
        <w:autoSpaceDE/>
        <w:autoSpaceDN/>
        <w:bidi w:val="0"/>
        <w:adjustRightInd w:val="0"/>
        <w:snapToGrid w:val="0"/>
        <w:spacing w:line="400" w:lineRule="exact"/>
        <w:ind w:firstLine="464" w:firstLineChars="200"/>
        <w:textAlignment w:val="auto"/>
        <w:rPr>
          <w:rFonts w:hAnsi="宋体" w:cs="宋体"/>
          <w:color w:val="auto"/>
          <w:sz w:val="24"/>
        </w:rPr>
      </w:pPr>
      <w:r>
        <w:rPr>
          <w:rFonts w:hint="eastAsia" w:hAnsi="宋体" w:cs="宋体"/>
          <w:color w:val="auto"/>
          <w:sz w:val="24"/>
        </w:rPr>
        <w:t>（1）投标人未在规定的时间内对电子询标函进行澄清回复、拒绝澄清回复或者澄清回复的内容改变了投标文件的实质性内容的；</w:t>
      </w:r>
    </w:p>
    <w:p w14:paraId="40B31013">
      <w:pPr>
        <w:pStyle w:val="16"/>
        <w:keepNext w:val="0"/>
        <w:keepLines w:val="0"/>
        <w:pageBreakBefore w:val="0"/>
        <w:kinsoku/>
        <w:wordWrap/>
        <w:overflowPunct/>
        <w:topLinePunct w:val="0"/>
        <w:autoSpaceDE/>
        <w:autoSpaceDN/>
        <w:bidi w:val="0"/>
        <w:adjustRightInd w:val="0"/>
        <w:snapToGrid w:val="0"/>
        <w:spacing w:line="400" w:lineRule="exact"/>
        <w:ind w:firstLine="454" w:firstLineChars="196"/>
        <w:textAlignment w:val="auto"/>
        <w:rPr>
          <w:rFonts w:hAnsi="宋体" w:cs="宋体"/>
          <w:color w:val="auto"/>
          <w:sz w:val="24"/>
          <w:szCs w:val="24"/>
        </w:rPr>
      </w:pPr>
      <w:r>
        <w:rPr>
          <w:rFonts w:hint="eastAsia" w:hAnsi="宋体" w:cs="宋体"/>
          <w:color w:val="auto"/>
          <w:sz w:val="24"/>
          <w:szCs w:val="24"/>
        </w:rPr>
        <w:t>（2）未按照招标文件标明的格式报价的；</w:t>
      </w:r>
    </w:p>
    <w:p w14:paraId="7E32FA18">
      <w:pPr>
        <w:pStyle w:val="16"/>
        <w:keepNext w:val="0"/>
        <w:keepLines w:val="0"/>
        <w:pageBreakBefore w:val="0"/>
        <w:kinsoku/>
        <w:wordWrap/>
        <w:overflowPunct/>
        <w:topLinePunct w:val="0"/>
        <w:autoSpaceDE/>
        <w:autoSpaceDN/>
        <w:bidi w:val="0"/>
        <w:adjustRightInd w:val="0"/>
        <w:snapToGrid w:val="0"/>
        <w:spacing w:line="400" w:lineRule="exact"/>
        <w:ind w:firstLine="454" w:firstLineChars="196"/>
        <w:textAlignment w:val="auto"/>
        <w:rPr>
          <w:rFonts w:hAnsi="宋体" w:cs="宋体"/>
          <w:color w:val="auto"/>
          <w:sz w:val="24"/>
          <w:szCs w:val="24"/>
        </w:rPr>
      </w:pPr>
      <w:r>
        <w:rPr>
          <w:rFonts w:hint="eastAsia" w:hAnsi="宋体" w:cs="宋体"/>
          <w:color w:val="auto"/>
          <w:sz w:val="24"/>
          <w:szCs w:val="24"/>
        </w:rPr>
        <w:t>（3）报价</w:t>
      </w:r>
      <w:r>
        <w:rPr>
          <w:rFonts w:hint="eastAsia" w:hAnsi="宋体" w:cs="宋体"/>
          <w:color w:val="auto"/>
          <w:sz w:val="24"/>
        </w:rPr>
        <w:t>超出限价的</w:t>
      </w:r>
      <w:r>
        <w:rPr>
          <w:rFonts w:hint="eastAsia" w:hAnsi="宋体" w:cs="宋体"/>
          <w:color w:val="auto"/>
          <w:sz w:val="24"/>
          <w:szCs w:val="24"/>
        </w:rPr>
        <w:t>；</w:t>
      </w:r>
    </w:p>
    <w:p w14:paraId="5F5CFA1D">
      <w:pPr>
        <w:pStyle w:val="16"/>
        <w:keepNext w:val="0"/>
        <w:keepLines w:val="0"/>
        <w:pageBreakBefore w:val="0"/>
        <w:kinsoku/>
        <w:wordWrap/>
        <w:overflowPunct/>
        <w:topLinePunct w:val="0"/>
        <w:autoSpaceDE/>
        <w:autoSpaceDN/>
        <w:bidi w:val="0"/>
        <w:adjustRightInd w:val="0"/>
        <w:snapToGrid w:val="0"/>
        <w:spacing w:line="400" w:lineRule="exact"/>
        <w:ind w:firstLine="454" w:firstLineChars="196"/>
        <w:textAlignment w:val="auto"/>
        <w:rPr>
          <w:rFonts w:hAnsi="宋体" w:cs="宋体"/>
          <w:color w:val="auto"/>
          <w:sz w:val="24"/>
          <w:szCs w:val="24"/>
        </w:rPr>
      </w:pPr>
      <w:r>
        <w:rPr>
          <w:rFonts w:hint="eastAsia" w:hAnsi="宋体" w:cs="宋体"/>
          <w:color w:val="auto"/>
          <w:sz w:val="24"/>
          <w:szCs w:val="24"/>
        </w:rPr>
        <w:t>（4）投标报价具有选择性的；</w:t>
      </w:r>
    </w:p>
    <w:p w14:paraId="7D96BDBC">
      <w:pPr>
        <w:pStyle w:val="16"/>
        <w:keepNext w:val="0"/>
        <w:keepLines w:val="0"/>
        <w:pageBreakBefore w:val="0"/>
        <w:kinsoku/>
        <w:wordWrap/>
        <w:overflowPunct/>
        <w:topLinePunct w:val="0"/>
        <w:autoSpaceDE/>
        <w:autoSpaceDN/>
        <w:bidi w:val="0"/>
        <w:adjustRightInd w:val="0"/>
        <w:snapToGrid w:val="0"/>
        <w:spacing w:line="400" w:lineRule="exact"/>
        <w:ind w:firstLine="454" w:firstLineChars="196"/>
        <w:textAlignment w:val="auto"/>
        <w:rPr>
          <w:rFonts w:hAnsi="宋体" w:cs="宋体"/>
          <w:b w:val="0"/>
          <w:bCs w:val="0"/>
          <w:color w:val="auto"/>
          <w:sz w:val="24"/>
          <w:szCs w:val="24"/>
        </w:rPr>
      </w:pPr>
      <w:r>
        <w:rPr>
          <w:rFonts w:hint="eastAsia" w:hAnsi="宋体" w:cs="宋体"/>
          <w:b w:val="0"/>
          <w:bCs w:val="0"/>
          <w:color w:val="auto"/>
          <w:sz w:val="24"/>
          <w:szCs w:val="24"/>
        </w:rPr>
        <w:t>（5）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420CC2F5">
      <w:pPr>
        <w:keepNext w:val="0"/>
        <w:keepLines w:val="0"/>
        <w:pageBreakBefore w:val="0"/>
        <w:widowControl/>
        <w:kinsoku/>
        <w:wordWrap/>
        <w:overflowPunct/>
        <w:topLinePunct w:val="0"/>
        <w:autoSpaceDE/>
        <w:autoSpaceDN/>
        <w:bidi w:val="0"/>
        <w:adjustRightInd w:val="0"/>
        <w:snapToGrid w:val="0"/>
        <w:spacing w:line="400" w:lineRule="exact"/>
        <w:ind w:firstLine="480" w:firstLineChars="200"/>
        <w:jc w:val="left"/>
        <w:textAlignment w:val="auto"/>
        <w:rPr>
          <w:rFonts w:ascii="宋体" w:hAnsi="宋体" w:cs="宋体"/>
          <w:b w:val="0"/>
          <w:bCs w:val="0"/>
          <w:color w:val="auto"/>
          <w:sz w:val="24"/>
        </w:rPr>
      </w:pPr>
      <w:r>
        <w:rPr>
          <w:rFonts w:hint="eastAsia" w:ascii="宋体" w:hAnsi="宋体" w:cs="宋体"/>
          <w:b w:val="0"/>
          <w:bCs w:val="0"/>
          <w:color w:val="auto"/>
          <w:sz w:val="24"/>
        </w:rPr>
        <w:t>（6）电子投标文件解密失败的，且未在规定时间内提交电子备份投标文件的；</w:t>
      </w:r>
    </w:p>
    <w:p w14:paraId="53C53485">
      <w:pPr>
        <w:keepNext w:val="0"/>
        <w:keepLines w:val="0"/>
        <w:pageBreakBefore w:val="0"/>
        <w:widowControl/>
        <w:kinsoku/>
        <w:wordWrap/>
        <w:overflowPunct/>
        <w:topLinePunct w:val="0"/>
        <w:autoSpaceDE/>
        <w:autoSpaceDN/>
        <w:bidi w:val="0"/>
        <w:adjustRightInd w:val="0"/>
        <w:snapToGrid w:val="0"/>
        <w:spacing w:line="400" w:lineRule="exact"/>
        <w:ind w:firstLine="480" w:firstLineChars="200"/>
        <w:jc w:val="left"/>
        <w:textAlignment w:val="auto"/>
        <w:rPr>
          <w:rFonts w:ascii="宋体" w:hAnsi="宋体" w:cs="宋体"/>
          <w:b w:val="0"/>
          <w:bCs w:val="0"/>
          <w:color w:val="auto"/>
          <w:sz w:val="24"/>
        </w:rPr>
      </w:pPr>
      <w:r>
        <w:rPr>
          <w:rFonts w:hint="eastAsia" w:ascii="宋体" w:hAnsi="宋体" w:cs="宋体"/>
          <w:b w:val="0"/>
          <w:bCs w:val="0"/>
          <w:color w:val="auto"/>
          <w:sz w:val="24"/>
        </w:rPr>
        <w:t>（7）电子投标文件未按规定要求进行签字、电子签章的。</w:t>
      </w:r>
    </w:p>
    <w:p w14:paraId="40ED68D4">
      <w:pPr>
        <w:pStyle w:val="16"/>
        <w:snapToGrid w:val="0"/>
        <w:spacing w:line="360" w:lineRule="auto"/>
        <w:ind w:firstLine="457" w:firstLineChars="196"/>
        <w:rPr>
          <w:rFonts w:hAnsi="宋体"/>
          <w:b/>
          <w:color w:val="auto"/>
          <w:sz w:val="24"/>
          <w:szCs w:val="24"/>
          <w:highlight w:val="none"/>
        </w:rPr>
      </w:pPr>
      <w:r>
        <w:rPr>
          <w:rFonts w:hint="eastAsia" w:ascii="宋体" w:hAnsi="宋体" w:cs="宋体"/>
          <w:b/>
          <w:color w:val="auto"/>
          <w:sz w:val="24"/>
        </w:rPr>
        <w:t>5.被拒绝的投标文件为无效。</w:t>
      </w:r>
    </w:p>
    <w:p w14:paraId="4B7B4D80">
      <w:pPr>
        <w:pStyle w:val="16"/>
        <w:snapToGrid w:val="0"/>
        <w:spacing w:line="360" w:lineRule="auto"/>
        <w:ind w:firstLine="457" w:firstLineChars="196"/>
        <w:rPr>
          <w:rFonts w:hAnsi="宋体"/>
          <w:b/>
          <w:color w:val="auto"/>
          <w:sz w:val="24"/>
          <w:szCs w:val="24"/>
          <w:highlight w:val="none"/>
        </w:rPr>
      </w:pPr>
      <w:r>
        <w:rPr>
          <w:rFonts w:hAnsi="宋体"/>
          <w:b/>
          <w:color w:val="auto"/>
          <w:sz w:val="24"/>
          <w:szCs w:val="24"/>
          <w:highlight w:val="none"/>
        </w:rPr>
        <w:t>6</w:t>
      </w:r>
      <w:r>
        <w:rPr>
          <w:rFonts w:hint="eastAsia" w:hAnsi="宋体"/>
          <w:b/>
          <w:color w:val="auto"/>
          <w:sz w:val="24"/>
          <w:szCs w:val="24"/>
          <w:highlight w:val="none"/>
          <w:lang w:val="en-US" w:eastAsia="zh-CN"/>
        </w:rPr>
        <w:t>.</w:t>
      </w:r>
      <w:r>
        <w:rPr>
          <w:rFonts w:hint="eastAsia" w:ascii="宋体" w:hAnsi="宋体" w:cs="宋体"/>
          <w:b/>
          <w:color w:val="auto"/>
          <w:sz w:val="24"/>
        </w:rPr>
        <w:t>根据有关法律、法规规定为无效、废标的，按法律、法规规定执行</w:t>
      </w:r>
      <w:r>
        <w:rPr>
          <w:rFonts w:hint="eastAsia" w:hAnsi="宋体"/>
          <w:b/>
          <w:color w:val="auto"/>
          <w:sz w:val="24"/>
          <w:szCs w:val="24"/>
          <w:highlight w:val="none"/>
        </w:rPr>
        <w:t>。</w:t>
      </w:r>
    </w:p>
    <w:p w14:paraId="1097CF7E">
      <w:pPr>
        <w:pStyle w:val="16"/>
        <w:snapToGrid w:val="0"/>
        <w:spacing w:line="360" w:lineRule="auto"/>
        <w:ind w:firstLine="457" w:firstLineChars="196"/>
        <w:outlineLvl w:val="1"/>
        <w:rPr>
          <w:rFonts w:hAnsi="宋体"/>
          <w:b/>
          <w:snapToGrid w:val="0"/>
          <w:color w:val="auto"/>
          <w:sz w:val="24"/>
          <w:szCs w:val="24"/>
          <w:highlight w:val="none"/>
        </w:rPr>
      </w:pPr>
      <w:r>
        <w:rPr>
          <w:rFonts w:hint="eastAsia" w:hAnsi="宋体"/>
          <w:b/>
          <w:color w:val="auto"/>
          <w:sz w:val="24"/>
          <w:szCs w:val="24"/>
          <w:highlight w:val="none"/>
        </w:rPr>
        <w:t>四、开标</w:t>
      </w:r>
    </w:p>
    <w:p w14:paraId="23F5AAA6">
      <w:pPr>
        <w:pStyle w:val="26"/>
        <w:snapToGrid w:val="0"/>
        <w:spacing w:beforeLines="0" w:afterLines="0" w:line="360" w:lineRule="auto"/>
        <w:ind w:firstLine="241" w:firstLineChars="100"/>
        <w:rPr>
          <w:rFonts w:hAnsi="宋体"/>
          <w:b/>
          <w:color w:val="auto"/>
          <w:highlight w:val="none"/>
        </w:rPr>
      </w:pPr>
      <w:r>
        <w:rPr>
          <w:rFonts w:hint="eastAsia" w:hAnsi="宋体"/>
          <w:b/>
          <w:color w:val="auto"/>
          <w:highlight w:val="none"/>
        </w:rPr>
        <w:t>（一）开标准备</w:t>
      </w:r>
    </w:p>
    <w:p w14:paraId="4EFB80F4">
      <w:pPr>
        <w:snapToGrid w:val="0"/>
        <w:spacing w:line="380" w:lineRule="exact"/>
        <w:ind w:firstLine="482" w:firstLineChars="200"/>
        <w:rPr>
          <w:rFonts w:hint="eastAsia" w:ascii="宋体" w:hAnsi="宋体" w:eastAsia="宋体" w:cs="宋体"/>
          <w:b/>
          <w:bCs/>
          <w:color w:val="auto"/>
          <w:sz w:val="24"/>
          <w:highlight w:val="none"/>
        </w:rPr>
      </w:pPr>
      <w:r>
        <w:rPr>
          <w:rFonts w:hint="eastAsia" w:ascii="宋体" w:hAnsi="宋体" w:cs="宋体"/>
          <w:b/>
          <w:bCs/>
          <w:color w:val="auto"/>
          <w:sz w:val="24"/>
          <w:highlight w:val="none"/>
        </w:rPr>
        <w:t>本项目不要求投标人到开标现场开标，但投标人应派法定代表人或委托代理人【委托代理人应当是投标人的在职正式职工（</w:t>
      </w:r>
      <w:r>
        <w:rPr>
          <w:rFonts w:hint="eastAsia" w:ascii="宋体" w:hAnsi="宋体" w:cs="Arial"/>
          <w:b/>
          <w:bCs/>
          <w:color w:val="auto"/>
          <w:sz w:val="24"/>
          <w:highlight w:val="none"/>
        </w:rPr>
        <w:t>以社保网站拉具的含授权代表的投标单位社保清单为准，无社保网站拉具的投标单位社保清单的，可以提供投标人注册所在地社保部门出具的投标人本单位缴纳社保花名册</w:t>
      </w:r>
      <w:r>
        <w:rPr>
          <w:rFonts w:hint="eastAsia" w:ascii="宋体" w:hAnsi="宋体" w:cs="宋体"/>
          <w:b/>
          <w:bCs/>
          <w:color w:val="auto"/>
          <w:sz w:val="24"/>
          <w:highlight w:val="none"/>
        </w:rPr>
        <w:t>）】准时在线出席电子开标会议，随时关注开标进度，如在开标过程中有电子询标，应在规定的时间内对电子询标函进行澄清</w:t>
      </w:r>
      <w:r>
        <w:rPr>
          <w:rFonts w:hint="eastAsia" w:ascii="宋体" w:hAnsi="宋体" w:cs="Arial"/>
          <w:b/>
          <w:bCs/>
          <w:color w:val="auto"/>
          <w:sz w:val="24"/>
          <w:highlight w:val="none"/>
        </w:rPr>
        <w:t>、答复</w:t>
      </w:r>
      <w:r>
        <w:rPr>
          <w:rFonts w:hint="eastAsia" w:ascii="宋体" w:hAnsi="宋体" w:cs="宋体"/>
          <w:b/>
          <w:bCs/>
          <w:color w:val="auto"/>
          <w:sz w:val="24"/>
          <w:highlight w:val="none"/>
        </w:rPr>
        <w:t>。超过规定时间的询标函将不予接受，评标为委员会可以作出不利于被询标人的决定。评标委员会只对投标文件内容进行询问，以投标文件的内容作为评审依据，不接受外部补充证据，评标委员会</w:t>
      </w:r>
      <w:r>
        <w:rPr>
          <w:rFonts w:hint="eastAsia" w:ascii="宋体" w:hAnsi="宋体" w:eastAsia="宋体" w:cs="宋体"/>
          <w:b/>
          <w:bCs/>
          <w:color w:val="auto"/>
          <w:sz w:val="24"/>
          <w:highlight w:val="none"/>
        </w:rPr>
        <w:t>认为投标人不符合招标文件实质性要求明确时，可不经过询标而直接予以无效标认定，但代理机构应将无效标原因当场告知投标人。</w:t>
      </w:r>
    </w:p>
    <w:p w14:paraId="11FF24DF">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ascii="宋体" w:hAnsi="宋体" w:cs="宋体"/>
          <w:bCs/>
          <w:color w:val="auto"/>
          <w:sz w:val="24"/>
        </w:rPr>
      </w:pPr>
      <w:r>
        <w:rPr>
          <w:rFonts w:hint="eastAsia" w:ascii="宋体" w:hAnsi="宋体" w:cs="宋体"/>
          <w:bCs/>
          <w:color w:val="auto"/>
          <w:sz w:val="24"/>
        </w:rPr>
        <w:t>采购代理机构将在规定的时间和地点进行电子开标，投标人的法定代表人或其委托代理人【委托代理人应当是投标人的在职正式职工（以投标人本单位缴纳社保花名册为准）】应做好投标准备，准时在线参加电子开标会议，随时关注开标进度。</w:t>
      </w:r>
    </w:p>
    <w:p w14:paraId="4C6B9FC4">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ascii="宋体" w:hAnsi="宋体" w:cs="宋体"/>
          <w:bCs/>
          <w:color w:val="auto"/>
          <w:sz w:val="24"/>
        </w:rPr>
      </w:pPr>
      <w:r>
        <w:rPr>
          <w:rFonts w:hint="eastAsia" w:ascii="宋体" w:hAnsi="宋体" w:cs="宋体"/>
          <w:bCs/>
          <w:color w:val="auto"/>
          <w:sz w:val="24"/>
        </w:rPr>
        <w:t>投标人未按招标文件要求派代表参加电子开标会议的，视同认可开标结果，不得对开标过程及开标结果提出质疑。</w:t>
      </w:r>
    </w:p>
    <w:p w14:paraId="71C4A8A9">
      <w:pPr>
        <w:keepNext w:val="0"/>
        <w:keepLines w:val="0"/>
        <w:pageBreakBefore w:val="0"/>
        <w:kinsoku/>
        <w:wordWrap/>
        <w:overflowPunct/>
        <w:topLinePunct w:val="0"/>
        <w:autoSpaceDE/>
        <w:autoSpaceDN/>
        <w:bidi w:val="0"/>
        <w:adjustRightInd w:val="0"/>
        <w:snapToGrid w:val="0"/>
        <w:spacing w:line="400" w:lineRule="exact"/>
        <w:ind w:firstLine="241" w:firstLineChars="100"/>
        <w:textAlignment w:val="auto"/>
        <w:rPr>
          <w:rFonts w:ascii="宋体" w:hAnsi="宋体" w:cs="宋体"/>
          <w:b/>
          <w:color w:val="auto"/>
          <w:sz w:val="24"/>
        </w:rPr>
      </w:pPr>
      <w:r>
        <w:rPr>
          <w:rFonts w:hint="eastAsia" w:ascii="宋体" w:hAnsi="宋体" w:cs="宋体"/>
          <w:b/>
          <w:color w:val="auto"/>
          <w:sz w:val="24"/>
        </w:rPr>
        <w:t>（二）电子招投标开标程序</w:t>
      </w:r>
    </w:p>
    <w:p w14:paraId="23F9EADB">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ascii="宋体" w:hAnsi="宋体" w:cs="宋体"/>
          <w:bCs/>
          <w:color w:val="auto"/>
          <w:sz w:val="24"/>
        </w:rPr>
      </w:pPr>
      <w:r>
        <w:rPr>
          <w:rFonts w:hint="eastAsia" w:ascii="宋体" w:hAnsi="宋体" w:cs="宋体"/>
          <w:bCs/>
          <w:color w:val="auto"/>
          <w:sz w:val="24"/>
        </w:rPr>
        <w:t>1.开标会由招标代理机构主持，主持人宣布开标会议开始；</w:t>
      </w:r>
    </w:p>
    <w:p w14:paraId="4E80957C">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ascii="宋体" w:hAnsi="宋体" w:cs="宋体"/>
          <w:bCs/>
          <w:color w:val="auto"/>
          <w:sz w:val="24"/>
        </w:rPr>
      </w:pPr>
      <w:r>
        <w:rPr>
          <w:rFonts w:hint="eastAsia" w:ascii="宋体" w:hAnsi="宋体" w:cs="宋体"/>
          <w:bCs/>
          <w:color w:val="auto"/>
          <w:sz w:val="24"/>
        </w:rPr>
        <w:t xml:space="preserve">2.主持人介绍参加开标会的人员名单； </w:t>
      </w:r>
    </w:p>
    <w:p w14:paraId="046B2930">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ascii="宋体" w:hAnsi="宋体" w:cs="宋体"/>
          <w:bCs/>
          <w:color w:val="auto"/>
          <w:sz w:val="24"/>
        </w:rPr>
      </w:pPr>
      <w:r>
        <w:rPr>
          <w:rFonts w:hint="eastAsia" w:ascii="宋体" w:hAnsi="宋体" w:cs="宋体"/>
          <w:bCs/>
          <w:color w:val="auto"/>
          <w:sz w:val="24"/>
        </w:rPr>
        <w:t>3.主持人宣布评标室会议纪律及评标期间的有关事项；告知应当回避的情形,提请有关人员回避；</w:t>
      </w:r>
    </w:p>
    <w:p w14:paraId="1A4BDABA">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ascii="宋体" w:hAnsi="宋体" w:cs="宋体"/>
          <w:color w:val="auto"/>
          <w:sz w:val="24"/>
        </w:rPr>
      </w:pPr>
      <w:r>
        <w:rPr>
          <w:rFonts w:hint="eastAsia" w:ascii="宋体" w:hAnsi="宋体" w:cs="宋体"/>
          <w:color w:val="auto"/>
          <w:sz w:val="24"/>
        </w:rPr>
        <w:t>4.开标及评审程序</w:t>
      </w:r>
    </w:p>
    <w:p w14:paraId="13268FD8">
      <w:pPr>
        <w:keepNext w:val="0"/>
        <w:keepLines w:val="0"/>
        <w:pageBreakBefore w:val="0"/>
        <w:kinsoku/>
        <w:wordWrap/>
        <w:overflowPunct/>
        <w:topLinePunct w:val="0"/>
        <w:autoSpaceDE/>
        <w:autoSpaceDN/>
        <w:bidi w:val="0"/>
        <w:adjustRightInd w:val="0"/>
        <w:snapToGrid w:val="0"/>
        <w:spacing w:line="400" w:lineRule="exact"/>
        <w:ind w:firstLine="240" w:firstLineChars="100"/>
        <w:textAlignment w:val="auto"/>
        <w:rPr>
          <w:rFonts w:ascii="宋体" w:hAnsi="宋体" w:cs="宋体"/>
          <w:color w:val="auto"/>
          <w:sz w:val="24"/>
        </w:rPr>
      </w:pPr>
      <w:r>
        <w:rPr>
          <w:rFonts w:hint="eastAsia" w:ascii="宋体" w:hAnsi="宋体" w:cs="宋体"/>
          <w:color w:val="auto"/>
          <w:sz w:val="24"/>
        </w:rPr>
        <w:t>（1）在开标时间截止后30分钟内由各投标人自行对投标文件进行解密；</w:t>
      </w:r>
    </w:p>
    <w:p w14:paraId="73393A19">
      <w:pPr>
        <w:keepNext w:val="0"/>
        <w:keepLines w:val="0"/>
        <w:pageBreakBefore w:val="0"/>
        <w:kinsoku/>
        <w:wordWrap/>
        <w:overflowPunct/>
        <w:topLinePunct w:val="0"/>
        <w:autoSpaceDE/>
        <w:autoSpaceDN/>
        <w:bidi w:val="0"/>
        <w:adjustRightInd w:val="0"/>
        <w:snapToGrid w:val="0"/>
        <w:spacing w:line="400" w:lineRule="exact"/>
        <w:ind w:left="479" w:leftChars="114" w:hanging="240" w:hangingChars="100"/>
        <w:textAlignment w:val="auto"/>
        <w:rPr>
          <w:rFonts w:ascii="宋体" w:hAnsi="宋体" w:cs="宋体"/>
          <w:color w:val="auto"/>
          <w:sz w:val="24"/>
        </w:rPr>
      </w:pPr>
      <w:r>
        <w:rPr>
          <w:rFonts w:hint="eastAsia" w:ascii="宋体" w:hAnsi="宋体" w:cs="宋体"/>
          <w:color w:val="auto"/>
          <w:sz w:val="24"/>
        </w:rPr>
        <w:t>（2）由采购人或代理机构进行资格审查，通过资格审查的投标人进入商务技术响应</w:t>
      </w:r>
    </w:p>
    <w:p w14:paraId="4BFE7B36">
      <w:pPr>
        <w:keepNext w:val="0"/>
        <w:keepLines w:val="0"/>
        <w:pageBreakBefore w:val="0"/>
        <w:kinsoku/>
        <w:wordWrap/>
        <w:overflowPunct/>
        <w:topLinePunct w:val="0"/>
        <w:autoSpaceDE/>
        <w:autoSpaceDN/>
        <w:bidi w:val="0"/>
        <w:adjustRightInd w:val="0"/>
        <w:snapToGrid w:val="0"/>
        <w:spacing w:line="400" w:lineRule="exact"/>
        <w:ind w:left="479" w:leftChars="114" w:hanging="240" w:hangingChars="100"/>
        <w:textAlignment w:val="auto"/>
        <w:rPr>
          <w:rFonts w:ascii="宋体" w:hAnsi="宋体" w:cs="宋体"/>
          <w:color w:val="auto"/>
          <w:sz w:val="24"/>
        </w:rPr>
      </w:pPr>
      <w:r>
        <w:rPr>
          <w:rFonts w:hint="eastAsia" w:ascii="宋体" w:hAnsi="宋体" w:cs="宋体"/>
          <w:color w:val="auto"/>
          <w:sz w:val="24"/>
        </w:rPr>
        <w:t>文件进行评审；</w:t>
      </w:r>
    </w:p>
    <w:p w14:paraId="64A73D9A">
      <w:pPr>
        <w:keepNext w:val="0"/>
        <w:keepLines w:val="0"/>
        <w:pageBreakBefore w:val="0"/>
        <w:kinsoku/>
        <w:wordWrap/>
        <w:overflowPunct/>
        <w:topLinePunct w:val="0"/>
        <w:autoSpaceDE/>
        <w:autoSpaceDN/>
        <w:bidi w:val="0"/>
        <w:adjustRightInd w:val="0"/>
        <w:snapToGrid w:val="0"/>
        <w:spacing w:line="400" w:lineRule="exact"/>
        <w:ind w:firstLine="240" w:firstLineChars="100"/>
        <w:textAlignment w:val="auto"/>
        <w:rPr>
          <w:rFonts w:ascii="宋体" w:hAnsi="宋体" w:cs="宋体"/>
          <w:color w:val="auto"/>
          <w:sz w:val="24"/>
        </w:rPr>
      </w:pPr>
      <w:r>
        <w:rPr>
          <w:rFonts w:hint="eastAsia" w:ascii="宋体" w:hAnsi="宋体" w:cs="宋体"/>
          <w:color w:val="auto"/>
          <w:sz w:val="24"/>
        </w:rPr>
        <w:t>（3）系统对各投标人的商务资信技术进行汇总；</w:t>
      </w:r>
    </w:p>
    <w:p w14:paraId="17508619">
      <w:pPr>
        <w:keepNext w:val="0"/>
        <w:keepLines w:val="0"/>
        <w:pageBreakBefore w:val="0"/>
        <w:kinsoku/>
        <w:wordWrap/>
        <w:overflowPunct/>
        <w:topLinePunct w:val="0"/>
        <w:autoSpaceDE/>
        <w:autoSpaceDN/>
        <w:bidi w:val="0"/>
        <w:adjustRightInd w:val="0"/>
        <w:snapToGrid w:val="0"/>
        <w:spacing w:line="400" w:lineRule="exact"/>
        <w:ind w:firstLine="240" w:firstLineChars="100"/>
        <w:textAlignment w:val="auto"/>
        <w:rPr>
          <w:rFonts w:ascii="宋体" w:hAnsi="宋体" w:cs="宋体"/>
          <w:color w:val="auto"/>
          <w:sz w:val="24"/>
        </w:rPr>
      </w:pPr>
      <w:r>
        <w:rPr>
          <w:rFonts w:hint="eastAsia" w:ascii="宋体" w:hAnsi="宋体" w:cs="宋体"/>
          <w:color w:val="auto"/>
          <w:sz w:val="24"/>
        </w:rPr>
        <w:t>（4）在系统上公开报价开标情况；</w:t>
      </w:r>
    </w:p>
    <w:p w14:paraId="347B397D">
      <w:pPr>
        <w:keepNext w:val="0"/>
        <w:keepLines w:val="0"/>
        <w:pageBreakBefore w:val="0"/>
        <w:kinsoku/>
        <w:wordWrap/>
        <w:overflowPunct/>
        <w:topLinePunct w:val="0"/>
        <w:autoSpaceDE/>
        <w:autoSpaceDN/>
        <w:bidi w:val="0"/>
        <w:adjustRightInd w:val="0"/>
        <w:snapToGrid w:val="0"/>
        <w:spacing w:line="400" w:lineRule="exact"/>
        <w:ind w:firstLine="240" w:firstLineChars="100"/>
        <w:textAlignment w:val="auto"/>
        <w:rPr>
          <w:rFonts w:ascii="宋体" w:hAnsi="宋体" w:cs="宋体"/>
          <w:color w:val="auto"/>
          <w:sz w:val="24"/>
        </w:rPr>
      </w:pPr>
      <w:r>
        <w:rPr>
          <w:rFonts w:hint="eastAsia" w:ascii="宋体" w:hAnsi="宋体" w:cs="宋体"/>
          <w:color w:val="auto"/>
          <w:sz w:val="24"/>
        </w:rPr>
        <w:t>（5）评标委员会对报价情况进行评审；</w:t>
      </w:r>
    </w:p>
    <w:p w14:paraId="20748D42">
      <w:pPr>
        <w:keepNext w:val="0"/>
        <w:keepLines w:val="0"/>
        <w:pageBreakBefore w:val="0"/>
        <w:kinsoku/>
        <w:wordWrap/>
        <w:overflowPunct/>
        <w:topLinePunct w:val="0"/>
        <w:autoSpaceDE/>
        <w:autoSpaceDN/>
        <w:bidi w:val="0"/>
        <w:adjustRightInd w:val="0"/>
        <w:snapToGrid w:val="0"/>
        <w:spacing w:line="400" w:lineRule="exact"/>
        <w:ind w:firstLine="240" w:firstLineChars="100"/>
        <w:textAlignment w:val="auto"/>
        <w:rPr>
          <w:rFonts w:ascii="宋体" w:hAnsi="宋体" w:cs="宋体"/>
          <w:color w:val="auto"/>
          <w:sz w:val="24"/>
        </w:rPr>
      </w:pPr>
      <w:r>
        <w:rPr>
          <w:rFonts w:hint="eastAsia" w:ascii="宋体" w:hAnsi="宋体" w:cs="宋体"/>
          <w:color w:val="auto"/>
          <w:sz w:val="24"/>
        </w:rPr>
        <w:t>（6）在系统上公布评审结果。</w:t>
      </w:r>
    </w:p>
    <w:p w14:paraId="199C5CFE">
      <w:pPr>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ascii="宋体" w:hAnsi="宋体" w:cs="宋体"/>
          <w:b/>
          <w:color w:val="auto"/>
          <w:sz w:val="24"/>
        </w:rPr>
      </w:pPr>
      <w:r>
        <w:rPr>
          <w:rFonts w:hint="eastAsia" w:ascii="宋体" w:hAnsi="宋体" w:cs="宋体"/>
          <w:b/>
          <w:color w:val="auto"/>
          <w:sz w:val="24"/>
        </w:rPr>
        <w:t>特别说明：政采云公司如对电子化开标及评审程序有调整的，按调整后的程序操作。</w:t>
      </w:r>
    </w:p>
    <w:p w14:paraId="2A41068B">
      <w:pPr>
        <w:spacing w:line="440" w:lineRule="exact"/>
        <w:ind w:firstLine="480" w:firstLineChars="200"/>
        <w:rPr>
          <w:color w:val="auto"/>
          <w:highlight w:val="none"/>
        </w:rPr>
      </w:pPr>
      <w:r>
        <w:rPr>
          <w:rFonts w:hint="eastAsia" w:ascii="宋体" w:hAnsi="宋体" w:cs="宋体"/>
          <w:color w:val="auto"/>
          <w:sz w:val="24"/>
        </w:rPr>
        <w:t>5.本项目采用政采云电子招投标开标及评审程序，开评标时出现电子投标文件无法解密或解密失败等情况时，采购代理机构可上传投标人的电子备份投标文件继续评审。</w:t>
      </w:r>
    </w:p>
    <w:p w14:paraId="551BCFEB">
      <w:pPr>
        <w:pStyle w:val="26"/>
        <w:snapToGrid w:val="0"/>
        <w:spacing w:beforeLines="0" w:afterLines="0" w:line="360" w:lineRule="auto"/>
        <w:ind w:left="842" w:leftChars="267" w:hanging="281" w:hangingChars="100"/>
        <w:outlineLvl w:val="1"/>
        <w:rPr>
          <w:rFonts w:hAnsi="宋体"/>
          <w:b/>
          <w:color w:val="auto"/>
          <w:sz w:val="28"/>
          <w:szCs w:val="28"/>
          <w:highlight w:val="none"/>
        </w:rPr>
      </w:pPr>
      <w:r>
        <w:rPr>
          <w:rFonts w:hint="eastAsia" w:hAnsi="宋体"/>
          <w:b/>
          <w:color w:val="auto"/>
          <w:sz w:val="28"/>
          <w:szCs w:val="28"/>
          <w:highlight w:val="none"/>
        </w:rPr>
        <w:t>五、评标</w:t>
      </w:r>
    </w:p>
    <w:p w14:paraId="658A5C83">
      <w:pPr>
        <w:pStyle w:val="26"/>
        <w:snapToGrid w:val="0"/>
        <w:spacing w:beforeLines="0" w:afterLines="0" w:line="360" w:lineRule="auto"/>
        <w:ind w:left="720" w:leftChars="228" w:hanging="241" w:hangingChars="100"/>
        <w:rPr>
          <w:rFonts w:hAnsi="宋体"/>
          <w:b/>
          <w:color w:val="auto"/>
          <w:highlight w:val="none"/>
        </w:rPr>
      </w:pPr>
      <w:r>
        <w:rPr>
          <w:rFonts w:hint="eastAsia" w:hAnsi="宋体"/>
          <w:b/>
          <w:color w:val="auto"/>
          <w:highlight w:val="none"/>
        </w:rPr>
        <w:t>（一）组建评标委员会</w:t>
      </w:r>
    </w:p>
    <w:p w14:paraId="3B7F6DD4">
      <w:pPr>
        <w:pStyle w:val="26"/>
        <w:snapToGrid w:val="0"/>
        <w:spacing w:beforeLines="0" w:afterLines="0" w:line="360" w:lineRule="auto"/>
        <w:ind w:firstLine="480" w:firstLineChars="200"/>
        <w:rPr>
          <w:rFonts w:hAnsi="宋体"/>
          <w:color w:val="auto"/>
          <w:highlight w:val="none"/>
        </w:rPr>
      </w:pPr>
      <w:r>
        <w:rPr>
          <w:rFonts w:hint="eastAsia" w:hAnsi="宋体"/>
          <w:color w:val="auto"/>
          <w:highlight w:val="none"/>
        </w:rPr>
        <w:t>本项目评标委员会由政府采购评审专家</w:t>
      </w:r>
      <w:r>
        <w:rPr>
          <w:rFonts w:hAnsi="宋体"/>
          <w:color w:val="auto"/>
          <w:highlight w:val="none"/>
          <w:u w:val="single"/>
        </w:rPr>
        <w:t>4</w:t>
      </w:r>
      <w:r>
        <w:rPr>
          <w:rFonts w:hint="eastAsia" w:hAnsi="宋体"/>
          <w:color w:val="auto"/>
          <w:highlight w:val="none"/>
        </w:rPr>
        <w:t>人和采购人代表</w:t>
      </w:r>
      <w:r>
        <w:rPr>
          <w:rFonts w:hAnsi="宋体"/>
          <w:color w:val="auto"/>
          <w:highlight w:val="none"/>
          <w:u w:val="single"/>
        </w:rPr>
        <w:t>1</w:t>
      </w:r>
      <w:r>
        <w:rPr>
          <w:rFonts w:hint="eastAsia" w:hAnsi="宋体"/>
          <w:color w:val="auto"/>
          <w:highlight w:val="none"/>
        </w:rPr>
        <w:t>人</w:t>
      </w:r>
      <w:r>
        <w:rPr>
          <w:rFonts w:hAnsi="宋体"/>
          <w:color w:val="auto"/>
          <w:highlight w:val="none"/>
        </w:rPr>
        <w:t>,</w:t>
      </w:r>
      <w:r>
        <w:rPr>
          <w:rFonts w:hint="eastAsia" w:hAnsi="宋体"/>
          <w:color w:val="auto"/>
          <w:highlight w:val="none"/>
        </w:rPr>
        <w:t>共</w:t>
      </w:r>
      <w:r>
        <w:rPr>
          <w:rFonts w:hAnsi="宋体"/>
          <w:color w:val="auto"/>
          <w:highlight w:val="none"/>
          <w:u w:val="single"/>
        </w:rPr>
        <w:t>5</w:t>
      </w:r>
      <w:r>
        <w:rPr>
          <w:rFonts w:hint="eastAsia" w:hAnsi="宋体"/>
          <w:color w:val="auto"/>
          <w:highlight w:val="none"/>
        </w:rPr>
        <w:t>人组成。</w:t>
      </w:r>
    </w:p>
    <w:p w14:paraId="121E0CA5">
      <w:pPr>
        <w:pStyle w:val="26"/>
        <w:snapToGrid w:val="0"/>
        <w:spacing w:beforeLines="0" w:afterLines="0" w:line="360" w:lineRule="auto"/>
        <w:ind w:left="720" w:leftChars="228" w:hanging="241" w:hangingChars="100"/>
        <w:rPr>
          <w:rFonts w:hAnsi="宋体"/>
          <w:b/>
          <w:color w:val="auto"/>
          <w:highlight w:val="none"/>
        </w:rPr>
      </w:pPr>
      <w:r>
        <w:rPr>
          <w:rFonts w:hint="eastAsia" w:hAnsi="宋体"/>
          <w:b/>
          <w:color w:val="auto"/>
          <w:highlight w:val="none"/>
        </w:rPr>
        <w:t>（二）评标的方式</w:t>
      </w:r>
    </w:p>
    <w:p w14:paraId="20D810E7">
      <w:pPr>
        <w:pStyle w:val="26"/>
        <w:snapToGrid w:val="0"/>
        <w:spacing w:beforeLines="0" w:afterLines="0" w:line="360" w:lineRule="auto"/>
        <w:ind w:left="719" w:leftChars="228" w:hanging="240" w:hangingChars="100"/>
        <w:rPr>
          <w:rFonts w:hAnsi="宋体"/>
          <w:color w:val="auto"/>
          <w:highlight w:val="none"/>
        </w:rPr>
      </w:pPr>
      <w:r>
        <w:rPr>
          <w:rFonts w:hint="eastAsia" w:hAnsi="宋体"/>
          <w:color w:val="auto"/>
          <w:highlight w:val="none"/>
        </w:rPr>
        <w:t>本项目采用不公开方式评标，评标的依据为招标文件和投标文件。</w:t>
      </w:r>
    </w:p>
    <w:p w14:paraId="0B3D1E8E">
      <w:pPr>
        <w:pStyle w:val="26"/>
        <w:numPr>
          <w:ilvl w:val="0"/>
          <w:numId w:val="0"/>
        </w:numPr>
        <w:snapToGrid w:val="0"/>
        <w:spacing w:beforeLines="0" w:afterLines="0" w:line="360" w:lineRule="auto"/>
        <w:ind w:left="567" w:leftChars="0"/>
        <w:rPr>
          <w:rFonts w:hAnsi="宋体"/>
          <w:b/>
          <w:bCs/>
          <w:color w:val="auto"/>
          <w:highlight w:val="none"/>
        </w:rPr>
      </w:pPr>
      <w:r>
        <w:rPr>
          <w:rFonts w:hint="eastAsia" w:hAnsi="宋体"/>
          <w:b/>
          <w:bCs/>
          <w:color w:val="auto"/>
          <w:highlight w:val="none"/>
          <w:lang w:val="en-US" w:eastAsia="zh-CN"/>
        </w:rPr>
        <w:t>(三)</w:t>
      </w:r>
      <w:r>
        <w:rPr>
          <w:rFonts w:hint="eastAsia" w:hAnsi="宋体"/>
          <w:b/>
          <w:bCs/>
          <w:color w:val="auto"/>
          <w:highlight w:val="none"/>
        </w:rPr>
        <w:t>评标程序</w:t>
      </w:r>
    </w:p>
    <w:p w14:paraId="14475FBF">
      <w:pPr>
        <w:snapToGrid w:val="0"/>
        <w:spacing w:line="360" w:lineRule="auto"/>
        <w:ind w:firstLine="472" w:firstLineChars="196"/>
        <w:rPr>
          <w:rFonts w:ascii="宋体" w:hAnsi="宋体"/>
          <w:b/>
          <w:bCs/>
          <w:color w:val="auto"/>
          <w:sz w:val="24"/>
          <w:szCs w:val="24"/>
          <w:highlight w:val="none"/>
        </w:rPr>
      </w:pPr>
      <w:r>
        <w:rPr>
          <w:rFonts w:ascii="宋体" w:hAnsi="宋体"/>
          <w:b/>
          <w:bCs/>
          <w:color w:val="auto"/>
          <w:sz w:val="24"/>
          <w:szCs w:val="24"/>
          <w:highlight w:val="none"/>
        </w:rPr>
        <w:t>1</w:t>
      </w:r>
      <w:r>
        <w:rPr>
          <w:rFonts w:hint="eastAsia" w:ascii="宋体" w:hAnsi="宋体"/>
          <w:b/>
          <w:bCs/>
          <w:color w:val="auto"/>
          <w:sz w:val="24"/>
          <w:szCs w:val="24"/>
          <w:highlight w:val="none"/>
        </w:rPr>
        <w:t>.</w:t>
      </w:r>
      <w:r>
        <w:rPr>
          <w:rFonts w:ascii="宋体" w:hAnsi="宋体"/>
          <w:b/>
          <w:bCs/>
          <w:color w:val="auto"/>
          <w:sz w:val="24"/>
          <w:szCs w:val="24"/>
          <w:highlight w:val="none"/>
        </w:rPr>
        <w:t>形式审查</w:t>
      </w:r>
    </w:p>
    <w:p w14:paraId="7E883701">
      <w:pPr>
        <w:snapToGrid w:val="0"/>
        <w:spacing w:line="360" w:lineRule="auto"/>
        <w:ind w:firstLine="480" w:firstLineChars="200"/>
        <w:rPr>
          <w:rFonts w:hint="eastAsia" w:ascii="宋体" w:hAnsi="宋体"/>
          <w:b/>
          <w:color w:val="auto"/>
          <w:sz w:val="24"/>
          <w:szCs w:val="24"/>
          <w:highlight w:val="none"/>
        </w:rPr>
      </w:pPr>
      <w:r>
        <w:rPr>
          <w:rFonts w:hint="eastAsia" w:ascii="宋体" w:hAnsi="宋体" w:cs="宋体"/>
          <w:color w:val="auto"/>
          <w:sz w:val="24"/>
        </w:rPr>
        <w:t>采购人代表和代理机构工作人员对投标人的资格文件的完整性、符合性等进行审查</w:t>
      </w:r>
      <w:r>
        <w:rPr>
          <w:rFonts w:ascii="宋体" w:hAnsi="宋体"/>
          <w:color w:val="auto"/>
          <w:sz w:val="24"/>
          <w:szCs w:val="24"/>
          <w:highlight w:val="none"/>
        </w:rPr>
        <w:t>。</w:t>
      </w:r>
    </w:p>
    <w:p w14:paraId="0AF31D39">
      <w:pPr>
        <w:snapToGrid w:val="0"/>
        <w:spacing w:line="360" w:lineRule="auto"/>
        <w:ind w:firstLine="472" w:firstLineChars="196"/>
        <w:rPr>
          <w:rFonts w:ascii="宋体" w:hAnsi="宋体"/>
          <w:b/>
          <w:bCs/>
          <w:color w:val="auto"/>
          <w:sz w:val="24"/>
          <w:szCs w:val="24"/>
          <w:highlight w:val="none"/>
        </w:rPr>
      </w:pPr>
      <w:r>
        <w:rPr>
          <w:rFonts w:ascii="宋体" w:hAnsi="宋体"/>
          <w:b/>
          <w:bCs/>
          <w:color w:val="auto"/>
          <w:sz w:val="24"/>
          <w:szCs w:val="24"/>
          <w:highlight w:val="none"/>
        </w:rPr>
        <w:t>2</w:t>
      </w:r>
      <w:r>
        <w:rPr>
          <w:rFonts w:hint="eastAsia" w:ascii="宋体" w:hAnsi="宋体"/>
          <w:b/>
          <w:bCs/>
          <w:color w:val="auto"/>
          <w:sz w:val="24"/>
          <w:szCs w:val="24"/>
          <w:highlight w:val="none"/>
        </w:rPr>
        <w:t>.</w:t>
      </w:r>
      <w:r>
        <w:rPr>
          <w:rFonts w:ascii="宋体" w:hAnsi="宋体"/>
          <w:b/>
          <w:bCs/>
          <w:color w:val="auto"/>
          <w:sz w:val="24"/>
          <w:szCs w:val="24"/>
          <w:highlight w:val="none"/>
        </w:rPr>
        <w:t>实质审查与比较</w:t>
      </w:r>
    </w:p>
    <w:p w14:paraId="0B482707">
      <w:pPr>
        <w:snapToGrid w:val="0"/>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1）评标委员会审查投标文件的实质性内容是否符合招标文件的实质性要求。</w:t>
      </w:r>
    </w:p>
    <w:p w14:paraId="522E79B8">
      <w:pPr>
        <w:spacing w:line="360" w:lineRule="auto"/>
        <w:ind w:firstLine="482" w:firstLineChars="200"/>
        <w:rPr>
          <w:rFonts w:hint="eastAsia" w:ascii="宋体" w:hAnsi="宋体"/>
          <w:b/>
          <w:bCs/>
          <w:color w:val="auto"/>
          <w:sz w:val="24"/>
          <w:szCs w:val="24"/>
          <w:highlight w:val="none"/>
        </w:rPr>
      </w:pPr>
      <w:r>
        <w:rPr>
          <w:rFonts w:hint="eastAsia" w:ascii="宋体" w:hAnsi="宋体"/>
          <w:b/>
          <w:bCs/>
          <w:color w:val="auto"/>
          <w:sz w:val="24"/>
          <w:szCs w:val="24"/>
          <w:highlight w:val="none"/>
        </w:rPr>
        <w:t>（2）评标委员会将对投标人的投标文件进行审查、核对,如有疑问,将对投标人进行电子询标,投标人须在规定的时间内向评标委员会澄清有关问题,并在政采云上进行询标答复。</w:t>
      </w:r>
    </w:p>
    <w:p w14:paraId="21CD27DF">
      <w:pPr>
        <w:snapToGrid w:val="0"/>
        <w:spacing w:line="360" w:lineRule="auto"/>
        <w:ind w:firstLine="482" w:firstLineChars="200"/>
        <w:rPr>
          <w:color w:val="auto"/>
          <w:sz w:val="24"/>
          <w:szCs w:val="24"/>
          <w:highlight w:val="none"/>
        </w:rPr>
      </w:pPr>
      <w:r>
        <w:rPr>
          <w:rFonts w:hint="eastAsia" w:ascii="宋体" w:hAnsi="宋体"/>
          <w:b/>
          <w:bCs/>
          <w:color w:val="auto"/>
          <w:sz w:val="24"/>
          <w:szCs w:val="24"/>
          <w:highlight w:val="none"/>
        </w:rPr>
        <w:t>投标人代表未在规定的时间内进行澄清、拒绝澄清或者澄清的内容改变了投标文件的实质性内容的，评标委员会有权对该投标文件作出不利于投标人的评判。</w:t>
      </w:r>
      <w:r>
        <w:rPr>
          <w:rFonts w:hint="eastAsia" w:ascii="宋体" w:hAnsi="宋体" w:cs="宋体"/>
          <w:b/>
          <w:bCs/>
          <w:color w:val="auto"/>
          <w:sz w:val="24"/>
          <w:szCs w:val="24"/>
          <w:highlight w:val="none"/>
        </w:rPr>
        <w:t>评标委员会认为投标人不符合招投文件实质性要求明确时，可不经过询标而直接予以无效标认定，但代理机构应将无效标原因当场告知投标人。</w:t>
      </w:r>
    </w:p>
    <w:p w14:paraId="7A16F3D7">
      <w:pPr>
        <w:snapToGrid w:val="0"/>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3）</w:t>
      </w:r>
      <w:r>
        <w:rPr>
          <w:rFonts w:hint="eastAsia" w:ascii="宋体" w:hAnsi="宋体"/>
          <w:color w:val="auto"/>
          <w:sz w:val="24"/>
          <w:szCs w:val="24"/>
          <w:highlight w:val="none"/>
        </w:rPr>
        <w:t>技术、商务、资信及其他分按照评标委员会成员的独立评分结果的算术平均分计算，</w:t>
      </w:r>
      <w:r>
        <w:rPr>
          <w:rFonts w:ascii="宋体" w:hAnsi="宋体"/>
          <w:color w:val="auto"/>
          <w:sz w:val="24"/>
          <w:szCs w:val="24"/>
          <w:highlight w:val="none"/>
        </w:rPr>
        <w:t>由指定专人进行计算复核。</w:t>
      </w:r>
    </w:p>
    <w:p w14:paraId="25DD8B5F">
      <w:pPr>
        <w:snapToGrid w:val="0"/>
        <w:spacing w:line="360" w:lineRule="auto"/>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4）</w:t>
      </w:r>
      <w:r>
        <w:rPr>
          <w:rFonts w:hint="eastAsia" w:ascii="宋体" w:hAnsi="宋体"/>
          <w:color w:val="auto"/>
          <w:sz w:val="24"/>
          <w:szCs w:val="24"/>
          <w:highlight w:val="none"/>
        </w:rPr>
        <w:t>招标方工作人员协助</w:t>
      </w:r>
      <w:r>
        <w:rPr>
          <w:rFonts w:ascii="宋体" w:hAnsi="宋体"/>
          <w:color w:val="auto"/>
          <w:sz w:val="24"/>
          <w:szCs w:val="24"/>
          <w:highlight w:val="none"/>
        </w:rPr>
        <w:t>评标委员会</w:t>
      </w:r>
      <w:r>
        <w:rPr>
          <w:rFonts w:hint="eastAsia" w:ascii="宋体" w:hAnsi="宋体"/>
          <w:color w:val="auto"/>
          <w:sz w:val="24"/>
          <w:szCs w:val="24"/>
          <w:highlight w:val="none"/>
        </w:rPr>
        <w:t>审核投标报价有无计算错误，政采云系统</w:t>
      </w:r>
      <w:r>
        <w:rPr>
          <w:rFonts w:ascii="宋体" w:hAnsi="宋体"/>
          <w:color w:val="auto"/>
          <w:sz w:val="24"/>
          <w:szCs w:val="24"/>
          <w:highlight w:val="none"/>
        </w:rPr>
        <w:t>根据</w:t>
      </w:r>
      <w:r>
        <w:rPr>
          <w:rFonts w:hint="eastAsia" w:ascii="宋体" w:hAnsi="宋体"/>
          <w:color w:val="auto"/>
          <w:sz w:val="24"/>
          <w:szCs w:val="24"/>
          <w:highlight w:val="none"/>
        </w:rPr>
        <w:t>本项目的评分标准</w:t>
      </w:r>
      <w:r>
        <w:rPr>
          <w:rFonts w:ascii="宋体" w:hAnsi="宋体"/>
          <w:color w:val="auto"/>
          <w:sz w:val="24"/>
          <w:szCs w:val="24"/>
          <w:highlight w:val="none"/>
        </w:rPr>
        <w:t>计算各投标人的报价得分</w:t>
      </w:r>
      <w:r>
        <w:rPr>
          <w:rFonts w:hint="eastAsia" w:ascii="宋体" w:hAnsi="宋体"/>
          <w:color w:val="auto"/>
          <w:sz w:val="24"/>
          <w:szCs w:val="24"/>
          <w:highlight w:val="none"/>
        </w:rPr>
        <w:t>。</w:t>
      </w:r>
    </w:p>
    <w:p w14:paraId="24F6D6B4">
      <w:pPr>
        <w:snapToGrid w:val="0"/>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5）评标委员会完成评标后,</w:t>
      </w:r>
      <w:r>
        <w:rPr>
          <w:rFonts w:hint="eastAsia" w:ascii="宋体" w:hAnsi="宋体"/>
          <w:color w:val="auto"/>
          <w:sz w:val="24"/>
          <w:szCs w:val="24"/>
          <w:highlight w:val="none"/>
        </w:rPr>
        <w:t>招标方工作人员通过政采云系统</w:t>
      </w:r>
      <w:r>
        <w:rPr>
          <w:rFonts w:ascii="宋体" w:hAnsi="宋体"/>
          <w:color w:val="auto"/>
          <w:sz w:val="24"/>
          <w:szCs w:val="24"/>
          <w:highlight w:val="none"/>
        </w:rPr>
        <w:t>对各部分得分</w:t>
      </w:r>
      <w:r>
        <w:rPr>
          <w:rFonts w:hint="eastAsia" w:ascii="宋体" w:hAnsi="宋体"/>
          <w:color w:val="auto"/>
          <w:sz w:val="24"/>
          <w:szCs w:val="24"/>
          <w:highlight w:val="none"/>
        </w:rPr>
        <w:t>进行</w:t>
      </w:r>
      <w:r>
        <w:rPr>
          <w:rFonts w:ascii="宋体" w:hAnsi="宋体"/>
          <w:color w:val="auto"/>
          <w:sz w:val="24"/>
          <w:szCs w:val="24"/>
          <w:highlight w:val="none"/>
        </w:rPr>
        <w:t>汇总,</w:t>
      </w:r>
      <w:r>
        <w:rPr>
          <w:rFonts w:hint="eastAsia" w:ascii="宋体" w:hAnsi="宋体"/>
          <w:color w:val="auto"/>
          <w:sz w:val="24"/>
          <w:szCs w:val="24"/>
          <w:highlight w:val="none"/>
        </w:rPr>
        <w:t>计算</w:t>
      </w:r>
      <w:r>
        <w:rPr>
          <w:rFonts w:ascii="宋体" w:hAnsi="宋体"/>
          <w:color w:val="auto"/>
          <w:sz w:val="24"/>
          <w:szCs w:val="24"/>
          <w:highlight w:val="none"/>
        </w:rPr>
        <w:t>出本项目</w:t>
      </w:r>
      <w:r>
        <w:rPr>
          <w:rFonts w:hint="eastAsia" w:ascii="宋体" w:hAnsi="宋体"/>
          <w:color w:val="auto"/>
          <w:sz w:val="24"/>
          <w:szCs w:val="24"/>
          <w:highlight w:val="none"/>
        </w:rPr>
        <w:t>最终得分</w:t>
      </w:r>
      <w:r>
        <w:rPr>
          <w:rFonts w:ascii="宋体" w:hAnsi="宋体"/>
          <w:color w:val="auto"/>
          <w:sz w:val="24"/>
          <w:szCs w:val="24"/>
          <w:highlight w:val="none"/>
        </w:rPr>
        <w:t>。评标委员会按评标原则推荐中标候选人</w:t>
      </w:r>
      <w:r>
        <w:rPr>
          <w:rFonts w:hint="eastAsia" w:ascii="宋体" w:hAnsi="宋体"/>
          <w:color w:val="auto"/>
          <w:sz w:val="24"/>
          <w:szCs w:val="24"/>
          <w:highlight w:val="none"/>
        </w:rPr>
        <w:t>并</w:t>
      </w:r>
      <w:r>
        <w:rPr>
          <w:rFonts w:ascii="宋体" w:hAnsi="宋体"/>
          <w:color w:val="auto"/>
          <w:sz w:val="24"/>
          <w:szCs w:val="24"/>
          <w:highlight w:val="none"/>
        </w:rPr>
        <w:t>起草评标报告。</w:t>
      </w:r>
    </w:p>
    <w:p w14:paraId="11A9D90B">
      <w:pPr>
        <w:snapToGrid w:val="0"/>
        <w:spacing w:line="360" w:lineRule="auto"/>
        <w:ind w:firstLine="482" w:firstLineChars="200"/>
        <w:rPr>
          <w:rFonts w:ascii="宋体"/>
          <w:b/>
          <w:color w:val="auto"/>
          <w:sz w:val="24"/>
          <w:szCs w:val="20"/>
          <w:highlight w:val="none"/>
        </w:rPr>
      </w:pPr>
      <w:r>
        <w:rPr>
          <w:rFonts w:hint="eastAsia" w:ascii="宋体" w:hAnsi="宋体"/>
          <w:b/>
          <w:color w:val="auto"/>
          <w:sz w:val="24"/>
          <w:highlight w:val="none"/>
        </w:rPr>
        <w:t>（四）澄清问题的形式</w:t>
      </w:r>
    </w:p>
    <w:p w14:paraId="7031F533">
      <w:pPr>
        <w:snapToGrid w:val="0"/>
        <w:spacing w:line="360" w:lineRule="auto"/>
        <w:ind w:firstLine="480" w:firstLineChars="200"/>
        <w:rPr>
          <w:rFonts w:ascii="宋体"/>
          <w:color w:val="auto"/>
          <w:sz w:val="24"/>
          <w:szCs w:val="20"/>
          <w:highlight w:val="none"/>
        </w:rPr>
      </w:pPr>
      <w:r>
        <w:rPr>
          <w:rFonts w:hint="eastAsia" w:ascii="宋体" w:hAnsi="宋体"/>
          <w:color w:val="auto"/>
          <w:sz w:val="24"/>
          <w:highlight w:val="none"/>
        </w:rPr>
        <w:t>对投标文件中含义不明确、同类问题表述不一致或者有明显文字和计算错误的内容，评标委员会可要求投标人作出必要的澄清、说明或者纠正，澄清、说明或者纠正通过政采云系统发起。投标人须在规定的时间内向评标委员会澄清有关问题</w:t>
      </w:r>
      <w:r>
        <w:rPr>
          <w:rFonts w:ascii="宋体"/>
          <w:color w:val="auto"/>
          <w:sz w:val="24"/>
          <w:highlight w:val="none"/>
        </w:rPr>
        <w:t>,</w:t>
      </w:r>
      <w:r>
        <w:rPr>
          <w:rFonts w:hint="eastAsia" w:ascii="宋体" w:hAnsi="宋体"/>
          <w:color w:val="auto"/>
          <w:sz w:val="24"/>
          <w:highlight w:val="none"/>
        </w:rPr>
        <w:t>并在政采云上进行询标答复。投标人的澄清、说明或者补正不得超出投标文件的范围或者改变投标文件的实质性内容。</w:t>
      </w:r>
    </w:p>
    <w:p w14:paraId="7A322C0A">
      <w:pPr>
        <w:pStyle w:val="26"/>
        <w:snapToGrid w:val="0"/>
        <w:spacing w:beforeLines="0" w:afterLines="0" w:line="360" w:lineRule="auto"/>
        <w:ind w:left="720" w:leftChars="228" w:hanging="241" w:hangingChars="100"/>
        <w:rPr>
          <w:rFonts w:hAnsi="宋体"/>
          <w:b/>
          <w:color w:val="auto"/>
          <w:highlight w:val="none"/>
        </w:rPr>
      </w:pPr>
      <w:r>
        <w:rPr>
          <w:rFonts w:hint="eastAsia" w:hAnsi="宋体"/>
          <w:b/>
          <w:color w:val="auto"/>
          <w:highlight w:val="none"/>
        </w:rPr>
        <w:t>（五）错误修正</w:t>
      </w:r>
    </w:p>
    <w:p w14:paraId="48A6932B">
      <w:pPr>
        <w:keepNext w:val="0"/>
        <w:keepLines w:val="0"/>
        <w:pageBreakBefore w:val="0"/>
        <w:kinsoku/>
        <w:wordWrap/>
        <w:overflowPunct/>
        <w:topLinePunct w:val="0"/>
        <w:autoSpaceDE/>
        <w:autoSpaceDN/>
        <w:bidi w:val="0"/>
        <w:adjustRightInd w:val="0"/>
        <w:snapToGrid w:val="0"/>
        <w:spacing w:line="400" w:lineRule="exact"/>
        <w:ind w:left="719" w:leftChars="228" w:hanging="240" w:hangingChars="100"/>
        <w:textAlignment w:val="auto"/>
        <w:rPr>
          <w:rFonts w:ascii="宋体" w:hAnsi="宋体" w:cs="宋体"/>
          <w:color w:val="auto"/>
          <w:sz w:val="24"/>
        </w:rPr>
      </w:pPr>
      <w:r>
        <w:rPr>
          <w:rFonts w:hint="eastAsia" w:ascii="宋体" w:hAnsi="宋体" w:cs="宋体"/>
          <w:color w:val="auto"/>
          <w:sz w:val="24"/>
        </w:rPr>
        <w:t>投标文件如果出现计算或表达上的错误，修正错误的原则如下：</w:t>
      </w:r>
    </w:p>
    <w:p w14:paraId="4602DDC9">
      <w:pPr>
        <w:keepNext w:val="0"/>
        <w:keepLines w:val="0"/>
        <w:pageBreakBefore w:val="0"/>
        <w:tabs>
          <w:tab w:val="left" w:pos="630"/>
        </w:tabs>
        <w:kinsoku/>
        <w:wordWrap/>
        <w:overflowPunct/>
        <w:topLinePunct w:val="0"/>
        <w:autoSpaceDE/>
        <w:autoSpaceDN/>
        <w:bidi w:val="0"/>
        <w:adjustRightInd w:val="0"/>
        <w:snapToGrid w:val="0"/>
        <w:spacing w:line="400" w:lineRule="exact"/>
        <w:ind w:firstLine="470" w:firstLineChars="196"/>
        <w:textAlignment w:val="auto"/>
        <w:rPr>
          <w:rFonts w:ascii="宋体" w:hAnsi="宋体" w:cs="宋体"/>
          <w:bCs/>
          <w:color w:val="auto"/>
          <w:sz w:val="24"/>
        </w:rPr>
      </w:pPr>
      <w:r>
        <w:rPr>
          <w:rFonts w:hint="eastAsia" w:ascii="宋体" w:hAnsi="宋体" w:cs="宋体"/>
          <w:bCs/>
          <w:color w:val="auto"/>
          <w:sz w:val="24"/>
        </w:rPr>
        <w:t>1.投标文件中开标一览表（报价表）内容与与投标文件中相应内容不一致的，以开标一览表（报价表）为准；</w:t>
      </w:r>
    </w:p>
    <w:p w14:paraId="67849E86">
      <w:pPr>
        <w:keepNext w:val="0"/>
        <w:keepLines w:val="0"/>
        <w:pageBreakBefore w:val="0"/>
        <w:tabs>
          <w:tab w:val="left" w:pos="630"/>
        </w:tabs>
        <w:kinsoku/>
        <w:wordWrap/>
        <w:overflowPunct/>
        <w:topLinePunct w:val="0"/>
        <w:autoSpaceDE/>
        <w:autoSpaceDN/>
        <w:bidi w:val="0"/>
        <w:adjustRightInd w:val="0"/>
        <w:snapToGrid w:val="0"/>
        <w:spacing w:line="400" w:lineRule="exact"/>
        <w:ind w:firstLine="470" w:firstLineChars="196"/>
        <w:textAlignment w:val="auto"/>
        <w:rPr>
          <w:rFonts w:ascii="宋体" w:hAnsi="宋体" w:cs="宋体"/>
          <w:bCs/>
          <w:color w:val="auto"/>
          <w:sz w:val="24"/>
        </w:rPr>
      </w:pPr>
      <w:r>
        <w:rPr>
          <w:rFonts w:hint="eastAsia" w:ascii="宋体" w:hAnsi="宋体" w:cs="宋体"/>
          <w:bCs/>
          <w:color w:val="auto"/>
          <w:sz w:val="24"/>
        </w:rPr>
        <w:t>2.大写金额和小写金额不一致的，以大写金额为准；</w:t>
      </w:r>
    </w:p>
    <w:p w14:paraId="221DE604">
      <w:pPr>
        <w:keepNext w:val="0"/>
        <w:keepLines w:val="0"/>
        <w:pageBreakBefore w:val="0"/>
        <w:tabs>
          <w:tab w:val="left" w:pos="630"/>
        </w:tabs>
        <w:kinsoku/>
        <w:wordWrap/>
        <w:overflowPunct/>
        <w:topLinePunct w:val="0"/>
        <w:autoSpaceDE/>
        <w:autoSpaceDN/>
        <w:bidi w:val="0"/>
        <w:adjustRightInd w:val="0"/>
        <w:snapToGrid w:val="0"/>
        <w:spacing w:line="400" w:lineRule="exact"/>
        <w:ind w:firstLine="470" w:firstLineChars="196"/>
        <w:textAlignment w:val="auto"/>
        <w:rPr>
          <w:rFonts w:ascii="宋体" w:hAnsi="宋体" w:cs="宋体"/>
          <w:bCs/>
          <w:color w:val="auto"/>
          <w:sz w:val="24"/>
        </w:rPr>
      </w:pPr>
      <w:r>
        <w:rPr>
          <w:rFonts w:hint="eastAsia" w:ascii="宋体" w:hAnsi="宋体" w:cs="宋体"/>
          <w:bCs/>
          <w:color w:val="auto"/>
          <w:sz w:val="24"/>
        </w:rPr>
        <w:t>3.</w:t>
      </w:r>
      <w:r>
        <w:rPr>
          <w:rFonts w:hint="eastAsia" w:ascii="宋体" w:hAnsi="宋体" w:cs="宋体"/>
          <w:bCs/>
          <w:color w:val="auto"/>
          <w:spacing w:val="-6"/>
          <w:sz w:val="24"/>
        </w:rPr>
        <w:t>单价金额小数点或者百分比有明显错位的，以开标一览表的总价为准，并修改单价</w:t>
      </w:r>
      <w:r>
        <w:rPr>
          <w:rFonts w:hint="eastAsia" w:ascii="宋体" w:hAnsi="宋体" w:cs="宋体"/>
          <w:bCs/>
          <w:color w:val="auto"/>
          <w:sz w:val="24"/>
        </w:rPr>
        <w:t>；</w:t>
      </w:r>
    </w:p>
    <w:p w14:paraId="2CC28B41">
      <w:pPr>
        <w:keepNext w:val="0"/>
        <w:keepLines w:val="0"/>
        <w:pageBreakBefore w:val="0"/>
        <w:tabs>
          <w:tab w:val="left" w:pos="630"/>
        </w:tabs>
        <w:kinsoku/>
        <w:wordWrap/>
        <w:overflowPunct/>
        <w:topLinePunct w:val="0"/>
        <w:autoSpaceDE/>
        <w:autoSpaceDN/>
        <w:bidi w:val="0"/>
        <w:adjustRightInd w:val="0"/>
        <w:snapToGrid w:val="0"/>
        <w:spacing w:line="400" w:lineRule="exact"/>
        <w:ind w:firstLine="470" w:firstLineChars="196"/>
        <w:textAlignment w:val="auto"/>
        <w:rPr>
          <w:rFonts w:ascii="宋体" w:hAnsi="宋体" w:cs="宋体"/>
          <w:bCs/>
          <w:color w:val="auto"/>
          <w:sz w:val="24"/>
        </w:rPr>
      </w:pPr>
      <w:r>
        <w:rPr>
          <w:rFonts w:hint="eastAsia" w:ascii="宋体" w:hAnsi="宋体" w:cs="宋体"/>
          <w:bCs/>
          <w:color w:val="auto"/>
          <w:sz w:val="24"/>
        </w:rPr>
        <w:t>4.总价金额与按单价汇总金额不一致的，以单价金额计算结果为准；</w:t>
      </w:r>
    </w:p>
    <w:p w14:paraId="49199C73">
      <w:pPr>
        <w:keepNext w:val="0"/>
        <w:keepLines w:val="0"/>
        <w:pageBreakBefore w:val="0"/>
        <w:tabs>
          <w:tab w:val="left" w:pos="630"/>
        </w:tabs>
        <w:kinsoku/>
        <w:wordWrap/>
        <w:overflowPunct/>
        <w:topLinePunct w:val="0"/>
        <w:autoSpaceDE/>
        <w:autoSpaceDN/>
        <w:bidi w:val="0"/>
        <w:adjustRightInd w:val="0"/>
        <w:snapToGrid w:val="0"/>
        <w:spacing w:line="400" w:lineRule="exact"/>
        <w:ind w:firstLine="470" w:firstLineChars="196"/>
        <w:textAlignment w:val="auto"/>
        <w:rPr>
          <w:rFonts w:ascii="宋体" w:hAnsi="宋体" w:cs="宋体"/>
          <w:bCs/>
          <w:color w:val="auto"/>
          <w:sz w:val="24"/>
        </w:rPr>
      </w:pPr>
      <w:r>
        <w:rPr>
          <w:rFonts w:hint="eastAsia" w:ascii="宋体" w:hAnsi="宋体" w:cs="宋体"/>
          <w:bCs/>
          <w:color w:val="auto"/>
          <w:sz w:val="24"/>
        </w:rPr>
        <w:t>5.对不同文字文本投标文件的解释发生异议的，以中文文本为准。</w:t>
      </w:r>
    </w:p>
    <w:p w14:paraId="3B83780E">
      <w:pPr>
        <w:pStyle w:val="26"/>
        <w:snapToGrid w:val="0"/>
        <w:spacing w:beforeLines="0" w:afterLines="0" w:line="312" w:lineRule="auto"/>
        <w:ind w:firstLine="480" w:firstLineChars="200"/>
        <w:rPr>
          <w:rFonts w:hAnsi="宋体"/>
          <w:b/>
          <w:bCs/>
          <w:color w:val="auto"/>
          <w:highlight w:val="none"/>
        </w:rPr>
      </w:pPr>
      <w:r>
        <w:rPr>
          <w:rFonts w:hint="eastAsia" w:ascii="宋体" w:hAnsi="宋体" w:cs="宋体"/>
          <w:bCs/>
          <w:color w:val="auto"/>
          <w:sz w:val="24"/>
        </w:rPr>
        <w:t>同时出现两种以上不一致的，按照前款规定的顺序修正。修正后的报价按照《政府采购货物和服务招标投标管理办法》（第87号令）第五十一条第二款规定：投标人的澄清、说明或者补正应当采用书面形式，并加盖公章，或者由法定代表人或其授权的代表签字。投标人的澄清、说明或者补正不得超出投标文件的范围或者改变投标文件的实质性内容的规定经投标人确认后产生约束力，投标人不确认的，其投标无效</w:t>
      </w:r>
      <w:r>
        <w:rPr>
          <w:rFonts w:hint="eastAsia" w:ascii="宋体" w:hAnsi="宋体" w:cs="宋体"/>
          <w:b/>
          <w:color w:val="auto"/>
          <w:sz w:val="24"/>
        </w:rPr>
        <w:t>。</w:t>
      </w:r>
    </w:p>
    <w:p w14:paraId="015A540C">
      <w:pPr>
        <w:pStyle w:val="26"/>
        <w:tabs>
          <w:tab w:val="left" w:pos="630"/>
        </w:tabs>
        <w:snapToGrid w:val="0"/>
        <w:spacing w:beforeLines="0" w:afterLines="0" w:line="360" w:lineRule="auto"/>
        <w:ind w:firstLine="472" w:firstLineChars="196"/>
        <w:rPr>
          <w:rFonts w:hAnsi="宋体"/>
          <w:b/>
          <w:color w:val="auto"/>
          <w:highlight w:val="none"/>
        </w:rPr>
      </w:pPr>
      <w:r>
        <w:rPr>
          <w:rFonts w:hint="eastAsia" w:hAnsi="宋体"/>
          <w:b/>
          <w:color w:val="auto"/>
          <w:highlight w:val="none"/>
        </w:rPr>
        <w:t>（六）评标原则、办法及依据</w:t>
      </w:r>
    </w:p>
    <w:p w14:paraId="1867A029">
      <w:pPr>
        <w:pStyle w:val="26"/>
        <w:snapToGrid w:val="0"/>
        <w:spacing w:beforeLines="0" w:afterLines="0" w:line="360" w:lineRule="auto"/>
        <w:ind w:firstLine="480" w:firstLineChars="200"/>
        <w:rPr>
          <w:rFonts w:hAnsi="宋体"/>
          <w:color w:val="auto"/>
          <w:highlight w:val="none"/>
        </w:rPr>
      </w:pPr>
      <w:r>
        <w:rPr>
          <w:rFonts w:hAnsi="宋体"/>
          <w:color w:val="auto"/>
          <w:highlight w:val="none"/>
        </w:rPr>
        <w:t>1.</w:t>
      </w:r>
      <w:r>
        <w:rPr>
          <w:rFonts w:hint="eastAsia" w:hAnsi="宋体"/>
          <w:color w:val="auto"/>
          <w:highlight w:val="none"/>
        </w:rPr>
        <w:t>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25A229CD">
      <w:pPr>
        <w:pStyle w:val="26"/>
        <w:snapToGrid w:val="0"/>
        <w:spacing w:beforeLines="0" w:afterLines="0" w:line="360" w:lineRule="auto"/>
        <w:ind w:firstLine="480" w:firstLineChars="200"/>
        <w:rPr>
          <w:rFonts w:hAnsi="宋体"/>
          <w:color w:val="auto"/>
          <w:highlight w:val="none"/>
        </w:rPr>
      </w:pPr>
      <w:r>
        <w:rPr>
          <w:rFonts w:hAnsi="宋体"/>
          <w:color w:val="auto"/>
          <w:highlight w:val="none"/>
        </w:rPr>
        <w:t>2.</w:t>
      </w:r>
      <w:r>
        <w:rPr>
          <w:rFonts w:hint="eastAsia" w:hAnsi="宋体"/>
          <w:color w:val="auto"/>
          <w:highlight w:val="none"/>
        </w:rPr>
        <w:t>评标办法。本项目评标办法是</w:t>
      </w:r>
      <w:r>
        <w:rPr>
          <w:rFonts w:hint="eastAsia" w:hAnsi="宋体"/>
          <w:color w:val="auto"/>
          <w:highlight w:val="none"/>
          <w:u w:val="single"/>
        </w:rPr>
        <w:t>综合评分法</w:t>
      </w:r>
      <w:r>
        <w:rPr>
          <w:rFonts w:hint="eastAsia" w:hAnsi="宋体"/>
          <w:color w:val="auto"/>
          <w:highlight w:val="none"/>
        </w:rPr>
        <w:t>，具体评标内容及评分标准等详见《第四章：评标办法及评分标准》。</w:t>
      </w:r>
    </w:p>
    <w:p w14:paraId="7DADC49A">
      <w:pPr>
        <w:pStyle w:val="26"/>
        <w:snapToGrid w:val="0"/>
        <w:spacing w:beforeLines="0" w:afterLines="0" w:line="360" w:lineRule="auto"/>
        <w:ind w:firstLine="480" w:firstLineChars="200"/>
        <w:rPr>
          <w:rFonts w:hAnsi="宋体"/>
          <w:color w:val="auto"/>
          <w:highlight w:val="none"/>
        </w:rPr>
      </w:pPr>
      <w:r>
        <w:rPr>
          <w:rFonts w:hAnsi="宋体"/>
          <w:color w:val="auto"/>
          <w:highlight w:val="none"/>
        </w:rPr>
        <w:t>3</w:t>
      </w:r>
      <w:r>
        <w:rPr>
          <w:rFonts w:hint="eastAsia" w:hAnsi="宋体"/>
          <w:color w:val="auto"/>
          <w:highlight w:val="none"/>
        </w:rPr>
        <w:t>、评标依据：评标委员会决定投标的响应性只根据投标文件的内容，而不寻求外部的证据。</w:t>
      </w:r>
    </w:p>
    <w:p w14:paraId="052BBD84">
      <w:pPr>
        <w:pStyle w:val="26"/>
        <w:snapToGrid w:val="0"/>
        <w:spacing w:beforeLines="0" w:afterLines="0" w:line="360" w:lineRule="auto"/>
        <w:ind w:firstLine="472" w:firstLineChars="196"/>
        <w:rPr>
          <w:rFonts w:hAnsi="宋体"/>
          <w:b/>
          <w:color w:val="auto"/>
          <w:highlight w:val="none"/>
        </w:rPr>
      </w:pPr>
      <w:r>
        <w:rPr>
          <w:rFonts w:hint="eastAsia" w:hAnsi="宋体"/>
          <w:b/>
          <w:color w:val="auto"/>
          <w:highlight w:val="none"/>
        </w:rPr>
        <w:t>（七）评标过程的监控</w:t>
      </w:r>
    </w:p>
    <w:p w14:paraId="630479A3">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本项目评标过程实行全程录音、录像监控，投标人在评标过程中所进行的试图影响评标结果的不公正活动，可能导致其投标被拒绝。</w:t>
      </w:r>
    </w:p>
    <w:p w14:paraId="268B3000">
      <w:pPr>
        <w:pStyle w:val="40"/>
        <w:adjustRightInd w:val="0"/>
        <w:snapToGrid w:val="0"/>
        <w:spacing w:beforeAutospacing="0" w:afterAutospacing="0" w:line="360" w:lineRule="auto"/>
        <w:ind w:firstLine="482" w:firstLineChars="200"/>
        <w:rPr>
          <w:rFonts w:hint="eastAsia"/>
          <w:b/>
          <w:color w:val="auto"/>
          <w:kern w:val="2"/>
          <w:highlight w:val="none"/>
        </w:rPr>
      </w:pPr>
      <w:r>
        <w:rPr>
          <w:rFonts w:hint="eastAsia"/>
          <w:b/>
          <w:color w:val="auto"/>
          <w:kern w:val="2"/>
          <w:highlight w:val="none"/>
        </w:rPr>
        <w:t>（八）评审纪律和要求</w:t>
      </w:r>
    </w:p>
    <w:p w14:paraId="74D7301A">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1.评审专家必须公平、公正评审，遵纪守法，客观、廉洁地履行职责。</w:t>
      </w:r>
    </w:p>
    <w:p w14:paraId="3E0348F5">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2.评审专家在评审开始前，应关闭并上交随身携带的各种通信工具。</w:t>
      </w:r>
    </w:p>
    <w:p w14:paraId="06ED7AD7">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3.评审专家在评审过程中，未经许可不得中途离开评审现场，不得迟到早退。</w:t>
      </w:r>
    </w:p>
    <w:p w14:paraId="1F7B60A3">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4.评审专家和工作人员不得透露评审过程中的讨论情况和评审结果。</w:t>
      </w:r>
    </w:p>
    <w:p w14:paraId="0E260753">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5.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74250D28">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6.采购人、采购代理机构不得向评审委员会的评审专家作倾向性、误导性的解释或者说明。</w:t>
      </w:r>
    </w:p>
    <w:p w14:paraId="24A01BB8">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7.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14:paraId="6DC40F6E">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8.评审专家在评审过程中不得将自己的观点强加给其他评审专家，评审专家应自主发表见解，对评审意见承担个人责任。</w:t>
      </w:r>
    </w:p>
    <w:p w14:paraId="1958B39A">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9.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09C90A8E">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10.评审专家应当独立、客观、公正地提出评审意见，不得带有倾向性，不得影响其他评审专家评审，并在评审报告上签字；如对评审报告有异议的，可在报告上签署不同意见，并说明理由，否则将视为同意。</w:t>
      </w:r>
    </w:p>
    <w:p w14:paraId="71154B96">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11.评审专家应当遵守评审工作纪律，不得泄露评审文件、评审情况和评审中获悉的商业秘密。</w:t>
      </w:r>
    </w:p>
    <w:p w14:paraId="79102576">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评审委员会在评审过程中发现投标人有行贿、提供虚假材料或者串通等违法行为的，应当及时向财政部门报告。</w:t>
      </w:r>
    </w:p>
    <w:p w14:paraId="071D227D">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12.招标文件内容违反国家有关强制性规定的，评审委员会应当停止评审并向采购代理机构说明情况。</w:t>
      </w:r>
    </w:p>
    <w:p w14:paraId="7AC05A6B">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13.评审专家应当配合采购代理机构答复投标人提出的质疑。</w:t>
      </w:r>
    </w:p>
    <w:p w14:paraId="1B0146CA">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14.评审专家应当配合财政部门的投诉处理工作。</w:t>
      </w:r>
    </w:p>
    <w:p w14:paraId="7EB05858">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15.评审专家有如下行为之一的，责令改正，给予警告，可以并处一千元以下的罚款：</w:t>
      </w:r>
    </w:p>
    <w:p w14:paraId="2EB46656">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①明知应当回避而未主动回避的；</w:t>
      </w:r>
    </w:p>
    <w:p w14:paraId="0E334CC8">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②在得知自己为评审专家身份后至评审结束前时段内私下接触投标人的；</w:t>
      </w:r>
    </w:p>
    <w:p w14:paraId="4039F869">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③在评审过程中擅离职守，影响评审程序正常进行的；</w:t>
      </w:r>
    </w:p>
    <w:p w14:paraId="2801035C">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④在评审过程有明显不合理或者不正当倾向性的；</w:t>
      </w:r>
    </w:p>
    <w:p w14:paraId="797EADFE">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⑤未按招标文件规定的评审方法和标准进行评审的。</w:t>
      </w:r>
    </w:p>
    <w:p w14:paraId="3F28C5BE">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⑥上述①至⑤行为影响中标结果的，中标结果无效。</w:t>
      </w:r>
    </w:p>
    <w:p w14:paraId="535453F9">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16.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7B490F9F">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政府采购评审专家与投标人存在利害关系未回避的，处2万元以上5万元以下的罚款，禁止其参加政府采购评审活动。</w:t>
      </w:r>
    </w:p>
    <w:p w14:paraId="175480D9">
      <w:pPr>
        <w:pStyle w:val="26"/>
        <w:snapToGrid w:val="0"/>
        <w:spacing w:beforeLines="0" w:afterLines="0" w:line="360" w:lineRule="auto"/>
        <w:ind w:firstLine="480" w:firstLineChars="200"/>
        <w:rPr>
          <w:rFonts w:hint="eastAsia" w:hAnsi="宋体"/>
          <w:color w:val="auto"/>
          <w:highlight w:val="none"/>
        </w:rPr>
      </w:pPr>
      <w:r>
        <w:rPr>
          <w:rFonts w:hint="eastAsia" w:hAnsi="宋体"/>
          <w:color w:val="auto"/>
          <w:highlight w:val="none"/>
        </w:rPr>
        <w:t>政府采购评审专家收受采购人、采购代理机构、投标人贿赂或者获取其他不正当利益，构成犯罪的，依法追究刑事责任；尚不构成犯罪的，处2万元以上5万元以下的罚款，禁止其参加政府采购评审活动。</w:t>
      </w:r>
    </w:p>
    <w:p w14:paraId="40D46833">
      <w:pPr>
        <w:pStyle w:val="26"/>
        <w:snapToGrid w:val="0"/>
        <w:spacing w:beforeLines="0" w:afterLines="0" w:line="360" w:lineRule="auto"/>
        <w:ind w:firstLine="480" w:firstLineChars="200"/>
        <w:rPr>
          <w:rFonts w:hint="eastAsia" w:ascii="宋体" w:hAnsi="宋体" w:eastAsia="宋体" w:cs="Times New Roman"/>
          <w:color w:val="auto"/>
          <w:highlight w:val="none"/>
        </w:rPr>
      </w:pPr>
      <w:r>
        <w:rPr>
          <w:rFonts w:hint="eastAsia" w:hAnsi="宋体"/>
          <w:color w:val="auto"/>
          <w:highlight w:val="none"/>
        </w:rPr>
        <w:t>政府采购评审专家</w:t>
      </w:r>
      <w:r>
        <w:rPr>
          <w:rFonts w:hint="eastAsia" w:ascii="宋体" w:hAnsi="宋体" w:eastAsia="宋体" w:cs="Times New Roman"/>
          <w:color w:val="auto"/>
          <w:highlight w:val="none"/>
        </w:rPr>
        <w:t>有上述违法行为的，其评审意见无效，不得获取评审费；有违法所得的，没收违法所得；给他人造成损失的，依法承担民事责任。</w:t>
      </w:r>
    </w:p>
    <w:p w14:paraId="1BF21DF7">
      <w:pPr>
        <w:pStyle w:val="26"/>
        <w:snapToGrid w:val="0"/>
        <w:spacing w:beforeLines="0" w:afterLines="0" w:line="360" w:lineRule="auto"/>
        <w:ind w:firstLine="480" w:firstLineChars="200"/>
        <w:rPr>
          <w:rFonts w:hint="eastAsia" w:ascii="宋体" w:hAnsi="宋体" w:eastAsia="宋体" w:cs="Times New Roman"/>
          <w:color w:val="auto"/>
          <w:highlight w:val="none"/>
        </w:rPr>
      </w:pPr>
      <w:r>
        <w:rPr>
          <w:rFonts w:hint="eastAsia" w:ascii="宋体" w:hAnsi="宋体" w:eastAsia="宋体" w:cs="Times New Roman"/>
          <w:color w:val="auto"/>
          <w:highlight w:val="none"/>
        </w:rPr>
        <w:t>17.评标办法。本项目评标办法是：综合评分法 ，具体评标内容及评分标准等详见《第四章：评标办法及评分标准》。</w:t>
      </w:r>
    </w:p>
    <w:p w14:paraId="3F379EB8">
      <w:pPr>
        <w:pStyle w:val="40"/>
        <w:adjustRightInd w:val="0"/>
        <w:snapToGrid w:val="0"/>
        <w:spacing w:beforeAutospacing="0" w:afterAutospacing="0" w:line="360" w:lineRule="auto"/>
        <w:ind w:firstLine="482" w:firstLineChars="200"/>
        <w:rPr>
          <w:rFonts w:hint="eastAsia" w:ascii="宋体" w:hAnsi="宋体" w:eastAsia="宋体" w:cs="Times New Roman"/>
          <w:b/>
          <w:color w:val="auto"/>
          <w:kern w:val="2"/>
          <w:highlight w:val="none"/>
        </w:rPr>
      </w:pPr>
      <w:r>
        <w:rPr>
          <w:rFonts w:hint="eastAsia" w:ascii="宋体" w:hAnsi="宋体" w:eastAsia="宋体" w:cs="Times New Roman"/>
          <w:b/>
          <w:color w:val="auto"/>
          <w:kern w:val="2"/>
          <w:highlight w:val="none"/>
        </w:rPr>
        <w:t>（</w:t>
      </w:r>
      <w:r>
        <w:rPr>
          <w:rFonts w:hint="eastAsia" w:ascii="宋体" w:hAnsi="宋体" w:eastAsia="宋体" w:cs="Times New Roman"/>
          <w:b/>
          <w:color w:val="auto"/>
          <w:kern w:val="2"/>
          <w:highlight w:val="none"/>
          <w:lang w:eastAsia="zh-CN"/>
        </w:rPr>
        <w:t>九</w:t>
      </w:r>
      <w:r>
        <w:rPr>
          <w:rFonts w:hint="eastAsia" w:ascii="宋体" w:hAnsi="宋体" w:eastAsia="宋体" w:cs="Times New Roman"/>
          <w:b/>
          <w:color w:val="auto"/>
          <w:kern w:val="2"/>
          <w:highlight w:val="none"/>
        </w:rPr>
        <w:t>）其他</w:t>
      </w:r>
    </w:p>
    <w:p w14:paraId="54BE5A34">
      <w:pPr>
        <w:pStyle w:val="26"/>
        <w:snapToGrid w:val="0"/>
        <w:spacing w:beforeLines="0" w:afterLines="0" w:line="360" w:lineRule="auto"/>
        <w:ind w:firstLine="480" w:firstLineChars="200"/>
        <w:rPr>
          <w:rFonts w:hint="eastAsia" w:ascii="宋体" w:hAnsi="宋体" w:eastAsia="宋体" w:cs="Times New Roman"/>
          <w:color w:val="auto"/>
          <w:highlight w:val="none"/>
        </w:rPr>
      </w:pPr>
      <w:r>
        <w:rPr>
          <w:rFonts w:hint="eastAsia" w:ascii="宋体" w:hAnsi="宋体" w:eastAsia="宋体" w:cs="Times New Roman"/>
          <w:color w:val="auto"/>
          <w:highlight w:val="none"/>
        </w:rPr>
        <w:t>采购过程中出现以下情形，导致电子交易平台无法正常运行，或者无法保证电子交易的公平、公正和安全时，采购组织机构可中止电子交易活动：</w:t>
      </w:r>
    </w:p>
    <w:p w14:paraId="281B19C5">
      <w:pPr>
        <w:pStyle w:val="26"/>
        <w:snapToGrid w:val="0"/>
        <w:spacing w:beforeLines="0" w:afterLines="0" w:line="360" w:lineRule="auto"/>
        <w:ind w:firstLine="480" w:firstLineChars="200"/>
        <w:rPr>
          <w:rFonts w:hint="eastAsia" w:ascii="宋体" w:hAnsi="宋体" w:eastAsia="宋体" w:cs="Times New Roman"/>
          <w:color w:val="auto"/>
          <w:highlight w:val="none"/>
        </w:rPr>
      </w:pPr>
      <w:r>
        <w:rPr>
          <w:rFonts w:hint="eastAsia" w:ascii="宋体" w:hAnsi="宋体" w:eastAsia="宋体" w:cs="Times New Roman"/>
          <w:color w:val="auto"/>
          <w:highlight w:val="none"/>
        </w:rPr>
        <w:t>1、电子交易平台发生故障而无法登录访问的；</w:t>
      </w:r>
    </w:p>
    <w:p w14:paraId="49059858">
      <w:pPr>
        <w:pStyle w:val="26"/>
        <w:snapToGrid w:val="0"/>
        <w:spacing w:beforeLines="0" w:afterLines="0" w:line="360" w:lineRule="auto"/>
        <w:ind w:firstLine="480" w:firstLineChars="200"/>
        <w:rPr>
          <w:rFonts w:hint="eastAsia" w:ascii="宋体" w:hAnsi="宋体" w:eastAsia="宋体" w:cs="Times New Roman"/>
          <w:color w:val="auto"/>
          <w:highlight w:val="none"/>
        </w:rPr>
      </w:pPr>
      <w:r>
        <w:rPr>
          <w:rFonts w:hint="eastAsia" w:ascii="宋体" w:hAnsi="宋体" w:eastAsia="宋体" w:cs="Times New Roman"/>
          <w:color w:val="auto"/>
          <w:highlight w:val="none"/>
        </w:rPr>
        <w:t>2、电子交易平台应用或数据库出现错误，不能进行正常操作的；</w:t>
      </w:r>
    </w:p>
    <w:p w14:paraId="312CCF9C">
      <w:pPr>
        <w:pStyle w:val="26"/>
        <w:snapToGrid w:val="0"/>
        <w:spacing w:beforeLines="0" w:afterLines="0" w:line="360" w:lineRule="auto"/>
        <w:ind w:firstLine="480" w:firstLineChars="200"/>
        <w:rPr>
          <w:rFonts w:hint="eastAsia" w:ascii="宋体" w:hAnsi="宋体" w:eastAsia="宋体" w:cs="Times New Roman"/>
          <w:color w:val="auto"/>
          <w:highlight w:val="none"/>
        </w:rPr>
      </w:pPr>
      <w:r>
        <w:rPr>
          <w:rFonts w:hint="eastAsia" w:ascii="宋体" w:hAnsi="宋体" w:eastAsia="宋体" w:cs="Times New Roman"/>
          <w:color w:val="auto"/>
          <w:highlight w:val="none"/>
        </w:rPr>
        <w:t>3、电子交易平台发现严重安全漏洞，有潜在泄密危险的；</w:t>
      </w:r>
    </w:p>
    <w:p w14:paraId="3F3CF650">
      <w:pPr>
        <w:pStyle w:val="26"/>
        <w:snapToGrid w:val="0"/>
        <w:spacing w:beforeLines="0" w:afterLines="0" w:line="360" w:lineRule="auto"/>
        <w:ind w:firstLine="480" w:firstLineChars="200"/>
        <w:rPr>
          <w:rFonts w:hint="eastAsia" w:ascii="宋体" w:hAnsi="宋体" w:eastAsia="宋体" w:cs="Times New Roman"/>
          <w:color w:val="auto"/>
          <w:highlight w:val="none"/>
        </w:rPr>
      </w:pPr>
      <w:r>
        <w:rPr>
          <w:rFonts w:hint="eastAsia" w:ascii="宋体" w:hAnsi="宋体" w:eastAsia="宋体" w:cs="Times New Roman"/>
          <w:color w:val="auto"/>
          <w:highlight w:val="none"/>
        </w:rPr>
        <w:t>4、病毒发作导致不能进行正常操作的；</w:t>
      </w:r>
    </w:p>
    <w:p w14:paraId="21064192">
      <w:pPr>
        <w:pStyle w:val="26"/>
        <w:snapToGrid w:val="0"/>
        <w:spacing w:beforeLines="0" w:afterLines="0" w:line="360" w:lineRule="auto"/>
        <w:ind w:firstLine="480" w:firstLineChars="200"/>
        <w:rPr>
          <w:rFonts w:hint="eastAsia" w:ascii="宋体" w:hAnsi="宋体" w:eastAsia="宋体" w:cs="Times New Roman"/>
          <w:color w:val="auto"/>
          <w:highlight w:val="none"/>
        </w:rPr>
      </w:pPr>
      <w:r>
        <w:rPr>
          <w:rFonts w:hint="eastAsia" w:ascii="宋体" w:hAnsi="宋体" w:eastAsia="宋体" w:cs="Times New Roman"/>
          <w:color w:val="auto"/>
          <w:highlight w:val="none"/>
        </w:rPr>
        <w:t>5、其他无法保证电子交易的公平、公正和安全的情况。</w:t>
      </w:r>
    </w:p>
    <w:p w14:paraId="51149000">
      <w:pPr>
        <w:pStyle w:val="26"/>
        <w:snapToGrid w:val="0"/>
        <w:spacing w:beforeLines="0" w:afterLines="0" w:line="360" w:lineRule="auto"/>
        <w:ind w:firstLine="480" w:firstLineChars="200"/>
        <w:rPr>
          <w:rFonts w:hint="eastAsia" w:ascii="宋体" w:hAnsi="宋体" w:eastAsia="宋体" w:cs="Times New Roman"/>
          <w:color w:val="auto"/>
          <w:highlight w:val="none"/>
        </w:rPr>
      </w:pPr>
      <w:r>
        <w:rPr>
          <w:rFonts w:hint="eastAsia" w:ascii="宋体" w:hAnsi="宋体" w:eastAsia="宋体" w:cs="Times New Roman"/>
          <w:color w:val="auto"/>
          <w:highlight w:val="none"/>
        </w:rPr>
        <w:t>出现前款规定情形，不影响采购公平、公正性的，采购组织机构可以待上述情形消除后继续组织电子交易活动；影响或可能影响采购公平、公正性的，应当重新采购。</w:t>
      </w:r>
    </w:p>
    <w:p w14:paraId="49A742DB">
      <w:pPr>
        <w:pStyle w:val="26"/>
        <w:keepNext w:val="0"/>
        <w:keepLines w:val="0"/>
        <w:pageBreakBefore w:val="0"/>
        <w:widowControl w:val="0"/>
        <w:kinsoku/>
        <w:wordWrap/>
        <w:overflowPunct/>
        <w:topLinePunct w:val="0"/>
        <w:autoSpaceDE/>
        <w:autoSpaceDN/>
        <w:bidi w:val="0"/>
        <w:adjustRightInd/>
        <w:snapToGrid w:val="0"/>
        <w:spacing w:beforeLines="0" w:afterLines="0" w:line="336" w:lineRule="auto"/>
        <w:ind w:firstLine="551" w:firstLineChars="196"/>
        <w:textAlignment w:val="auto"/>
        <w:outlineLvl w:val="1"/>
        <w:rPr>
          <w:rFonts w:hAnsi="宋体"/>
          <w:b/>
          <w:color w:val="auto"/>
          <w:sz w:val="28"/>
          <w:szCs w:val="28"/>
          <w:highlight w:val="none"/>
        </w:rPr>
      </w:pPr>
      <w:r>
        <w:rPr>
          <w:rFonts w:hint="eastAsia" w:hAnsi="宋体"/>
          <w:b/>
          <w:color w:val="auto"/>
          <w:sz w:val="28"/>
          <w:szCs w:val="28"/>
          <w:highlight w:val="none"/>
        </w:rPr>
        <w:t>六、定标</w:t>
      </w:r>
    </w:p>
    <w:p w14:paraId="7393317B">
      <w:pPr>
        <w:pStyle w:val="26"/>
        <w:snapToGrid w:val="0"/>
        <w:spacing w:before="120" w:after="120" w:line="360" w:lineRule="auto"/>
        <w:ind w:firstLine="472" w:firstLineChars="196"/>
        <w:outlineLvl w:val="1"/>
        <w:rPr>
          <w:rFonts w:hAnsi="宋体"/>
          <w:b/>
          <w:bCs/>
          <w:color w:val="auto"/>
          <w:highlight w:val="none"/>
        </w:rPr>
      </w:pPr>
      <w:r>
        <w:rPr>
          <w:rFonts w:hint="eastAsia" w:hAnsi="宋体"/>
          <w:b/>
          <w:bCs/>
          <w:color w:val="auto"/>
          <w:highlight w:val="none"/>
        </w:rPr>
        <w:t>（一）确定中标人。本项目由采购人或者采购人授权评标委员会确定中标人。</w:t>
      </w:r>
    </w:p>
    <w:p w14:paraId="5BE17F13">
      <w:pPr>
        <w:pStyle w:val="26"/>
        <w:snapToGrid w:val="0"/>
        <w:spacing w:before="120" w:after="120" w:line="360" w:lineRule="auto"/>
        <w:ind w:firstLine="480" w:firstLineChars="200"/>
        <w:rPr>
          <w:rFonts w:hAnsi="宋体"/>
          <w:color w:val="auto"/>
          <w:highlight w:val="none"/>
        </w:rPr>
      </w:pPr>
      <w:r>
        <w:rPr>
          <w:rFonts w:hint="eastAsia" w:hAnsi="宋体"/>
          <w:color w:val="auto"/>
          <w:highlight w:val="none"/>
        </w:rPr>
        <w:t>1．排名第一的候选供应商，因自身原因放弃中标成交或因不可抗力不能履行合同的，</w:t>
      </w:r>
      <w:r>
        <w:rPr>
          <w:rFonts w:hAnsi="宋体"/>
          <w:color w:val="auto"/>
          <w:highlight w:val="none"/>
        </w:rPr>
        <w:t>采购人</w:t>
      </w:r>
      <w:r>
        <w:rPr>
          <w:rFonts w:hint="eastAsia" w:hAnsi="宋体"/>
          <w:color w:val="auto"/>
          <w:highlight w:val="none"/>
        </w:rPr>
        <w:t>或者采购人授权的评标委员会</w:t>
      </w:r>
      <w:r>
        <w:rPr>
          <w:rFonts w:hAnsi="宋体"/>
          <w:color w:val="auto"/>
          <w:highlight w:val="none"/>
        </w:rPr>
        <w:t>可以按照评审报告推荐的中标或者成交候选人名单排序，确定下一候选人为中标或者成交供应商，也可以重新开展政府采购活动。</w:t>
      </w:r>
    </w:p>
    <w:p w14:paraId="66D08A95">
      <w:pPr>
        <w:pStyle w:val="26"/>
        <w:snapToGrid w:val="0"/>
        <w:spacing w:before="120" w:after="120" w:line="360" w:lineRule="auto"/>
        <w:ind w:firstLine="480" w:firstLineChars="200"/>
        <w:rPr>
          <w:rFonts w:hint="eastAsia" w:hAnsi="宋体"/>
          <w:color w:val="auto"/>
          <w:highlight w:val="none"/>
        </w:rPr>
      </w:pPr>
      <w:r>
        <w:rPr>
          <w:rFonts w:hint="eastAsia" w:hAnsi="宋体"/>
          <w:color w:val="auto"/>
          <w:highlight w:val="none"/>
        </w:rPr>
        <w:t>2.经质疑，采购组织机构审查确认因排名第一的候选供应商在本次采购活动中存在违法违规行为或其他原因使质疑成立的，依照相关法律法规有关规定执行。</w:t>
      </w:r>
    </w:p>
    <w:p w14:paraId="0C41089F">
      <w:pPr>
        <w:pStyle w:val="26"/>
        <w:snapToGrid w:val="0"/>
        <w:spacing w:before="120" w:after="120" w:line="360" w:lineRule="auto"/>
        <w:ind w:firstLine="480" w:firstLineChars="200"/>
        <w:rPr>
          <w:rFonts w:hint="eastAsia" w:hAnsi="宋体" w:cs="宋体"/>
          <w:color w:val="auto"/>
          <w:highlight w:val="none"/>
        </w:rPr>
      </w:pPr>
      <w:r>
        <w:rPr>
          <w:rFonts w:hint="eastAsia" w:hAnsi="宋体" w:cs="宋体"/>
          <w:color w:val="auto"/>
          <w:highlight w:val="none"/>
        </w:rPr>
        <w:t>3.采购人应当自收到评审报告之日起5个工作日内在评审报告推荐的中标或者成交候选人中按顺序确定中标或者成交供应商。如有投标人对评标结果提出质疑的，采购人可在质疑处理完毕后确定中标人。</w:t>
      </w:r>
    </w:p>
    <w:p w14:paraId="0A2836E3">
      <w:pPr>
        <w:pStyle w:val="26"/>
        <w:snapToGrid w:val="0"/>
        <w:spacing w:before="120" w:after="120" w:line="360" w:lineRule="auto"/>
        <w:ind w:firstLine="480" w:firstLineChars="200"/>
        <w:rPr>
          <w:rFonts w:hint="eastAsia" w:hAnsi="宋体" w:cs="宋体"/>
          <w:bCs/>
          <w:color w:val="auto"/>
          <w:highlight w:val="none"/>
        </w:rPr>
      </w:pPr>
      <w:r>
        <w:rPr>
          <w:rFonts w:hint="eastAsia" w:hAnsi="宋体" w:cs="宋体"/>
          <w:color w:val="auto"/>
          <w:highlight w:val="none"/>
        </w:rPr>
        <w:t>4.采购人或者采购代理机构应当自中标、成交供应商确定之日起2个工作日内，发出中标、成交通知书，并在省级以上人民政府财政部门指定的媒体上公告中标、成交结果。</w:t>
      </w:r>
    </w:p>
    <w:p w14:paraId="7D057F33">
      <w:pPr>
        <w:pStyle w:val="26"/>
        <w:keepNext w:val="0"/>
        <w:keepLines w:val="0"/>
        <w:pageBreakBefore w:val="0"/>
        <w:widowControl w:val="0"/>
        <w:kinsoku/>
        <w:wordWrap/>
        <w:overflowPunct/>
        <w:topLinePunct w:val="0"/>
        <w:autoSpaceDE/>
        <w:autoSpaceDN/>
        <w:bidi w:val="0"/>
        <w:adjustRightInd/>
        <w:snapToGrid w:val="0"/>
        <w:spacing w:beforeLines="0" w:afterLines="0" w:line="336" w:lineRule="auto"/>
        <w:ind w:firstLine="551" w:firstLineChars="196"/>
        <w:textAlignment w:val="auto"/>
        <w:outlineLvl w:val="1"/>
        <w:rPr>
          <w:rFonts w:hAnsi="宋体"/>
          <w:b/>
          <w:color w:val="auto"/>
          <w:sz w:val="28"/>
          <w:szCs w:val="28"/>
          <w:highlight w:val="none"/>
        </w:rPr>
      </w:pPr>
      <w:r>
        <w:rPr>
          <w:rFonts w:hint="eastAsia" w:hAnsi="宋体"/>
          <w:b/>
          <w:color w:val="auto"/>
          <w:sz w:val="28"/>
          <w:szCs w:val="28"/>
          <w:highlight w:val="none"/>
        </w:rPr>
        <w:t>七、合同授予</w:t>
      </w:r>
    </w:p>
    <w:p w14:paraId="652994D4">
      <w:pPr>
        <w:snapToGrid w:val="0"/>
        <w:spacing w:line="360" w:lineRule="auto"/>
        <w:ind w:firstLine="472" w:firstLineChars="196"/>
        <w:rPr>
          <w:rFonts w:ascii="宋体" w:hAnsi="宋体"/>
          <w:b/>
          <w:bCs/>
          <w:color w:val="auto"/>
          <w:sz w:val="24"/>
          <w:szCs w:val="20"/>
          <w:highlight w:val="none"/>
        </w:rPr>
      </w:pPr>
      <w:r>
        <w:rPr>
          <w:rFonts w:hint="eastAsia" w:ascii="宋体" w:hAnsi="宋体"/>
          <w:b/>
          <w:bCs/>
          <w:color w:val="auto"/>
          <w:sz w:val="24"/>
          <w:highlight w:val="none"/>
        </w:rPr>
        <w:t>1</w:t>
      </w:r>
      <w:r>
        <w:rPr>
          <w:rFonts w:hint="eastAsia" w:ascii="宋体" w:hAnsi="宋体" w:cs="宋体"/>
          <w:b/>
          <w:color w:val="auto"/>
          <w:sz w:val="24"/>
          <w:highlight w:val="none"/>
        </w:rPr>
        <w:t xml:space="preserve">. </w:t>
      </w:r>
      <w:r>
        <w:rPr>
          <w:rFonts w:hint="eastAsia" w:ascii="宋体" w:hAnsi="宋体"/>
          <w:b/>
          <w:bCs/>
          <w:color w:val="auto"/>
          <w:sz w:val="24"/>
          <w:highlight w:val="none"/>
        </w:rPr>
        <w:t>签订合同</w:t>
      </w:r>
    </w:p>
    <w:p w14:paraId="674AA873">
      <w:pPr>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eastAsia="宋体" w:cs="宋体"/>
          <w:color w:val="auto"/>
          <w:sz w:val="24"/>
          <w:highlight w:val="none"/>
        </w:rPr>
        <w:t>1.1除不可抗力等特殊情况外，采购人原则上应当在中标通知书发出之日起20日内，与成交人按照采购文件确定的事项签订政府采购合同，并在签订之日起2个工作日</w:t>
      </w:r>
      <w:r>
        <w:rPr>
          <w:rFonts w:hint="eastAsia" w:ascii="宋体" w:hAnsi="宋体" w:cs="宋体"/>
          <w:color w:val="auto"/>
          <w:sz w:val="24"/>
          <w:highlight w:val="none"/>
        </w:rPr>
        <w:t>内将政府采购合同在浙江政府采购网上公告。</w:t>
      </w:r>
    </w:p>
    <w:p w14:paraId="6B721749">
      <w:pPr>
        <w:pStyle w:val="122"/>
        <w:adjustRightInd w:val="0"/>
        <w:snapToGrid w:val="0"/>
        <w:spacing w:before="120" w:after="120"/>
        <w:rPr>
          <w:rFonts w:hint="eastAsia" w:ascii="宋体" w:hAnsi="宋体" w:cs="宋体"/>
          <w:color w:val="auto"/>
          <w:kern w:val="0"/>
          <w:szCs w:val="24"/>
          <w:highlight w:val="none"/>
        </w:rPr>
      </w:pPr>
      <w:r>
        <w:rPr>
          <w:rFonts w:hint="eastAsia" w:ascii="宋体" w:hAnsi="宋体" w:cs="宋体"/>
          <w:color w:val="auto"/>
          <w:kern w:val="0"/>
          <w:szCs w:val="24"/>
          <w:highlight w:val="none"/>
        </w:rPr>
        <w:t>1</w:t>
      </w:r>
      <w:r>
        <w:rPr>
          <w:rFonts w:hint="eastAsia" w:ascii="宋体" w:hAnsi="宋体" w:cs="宋体"/>
          <w:color w:val="auto"/>
          <w:kern w:val="0"/>
          <w:szCs w:val="24"/>
          <w:highlight w:val="none"/>
          <w:lang w:val="zh-CN"/>
        </w:rPr>
        <w:t>.2成交人按规定的日期、时间、地点，由法定代表人或其授权代表与采购人代表签订合同。如成交人为联合体的，由联合体成员各方法定代表人或其授权代表与采购人代表签订合同。</w:t>
      </w:r>
    </w:p>
    <w:p w14:paraId="4C1E03BD">
      <w:pPr>
        <w:pStyle w:val="122"/>
        <w:adjustRightInd w:val="0"/>
        <w:snapToGrid w:val="0"/>
        <w:spacing w:before="120" w:after="120"/>
        <w:rPr>
          <w:rFonts w:hint="eastAsia" w:ascii="宋体" w:hAnsi="宋体" w:cs="宋体"/>
          <w:color w:val="auto"/>
          <w:szCs w:val="24"/>
          <w:highlight w:val="none"/>
        </w:rPr>
      </w:pPr>
      <w:r>
        <w:rPr>
          <w:rFonts w:hint="eastAsia" w:ascii="宋体" w:hAnsi="宋体" w:cs="宋体"/>
          <w:color w:val="auto"/>
          <w:szCs w:val="24"/>
          <w:highlight w:val="none"/>
        </w:rPr>
        <w:t>1.3如签订合同并生效后，供应商无故拒绝或延期，除按照合同条款处理外，列入不良行为记录一次，并给予通报。</w:t>
      </w:r>
    </w:p>
    <w:p w14:paraId="5ABE2D15">
      <w:pPr>
        <w:pStyle w:val="122"/>
        <w:adjustRightInd w:val="0"/>
        <w:snapToGrid w:val="0"/>
        <w:spacing w:before="120" w:after="120"/>
        <w:rPr>
          <w:rFonts w:hint="eastAsia" w:ascii="宋体" w:hAnsi="宋体" w:cs="宋体"/>
          <w:b w:val="0"/>
          <w:bCs w:val="0"/>
          <w:color w:val="auto"/>
          <w:szCs w:val="24"/>
          <w:highlight w:val="none"/>
        </w:rPr>
      </w:pPr>
      <w:r>
        <w:rPr>
          <w:rFonts w:hint="eastAsia" w:ascii="宋体" w:hAnsi="宋体" w:cs="宋体"/>
          <w:b w:val="0"/>
          <w:bCs w:val="0"/>
          <w:color w:val="auto"/>
          <w:szCs w:val="24"/>
          <w:highlight w:val="none"/>
        </w:rPr>
        <w:t>1.4成交人拒绝与采购人签订合同的，采购人可以按照评审报告推荐的中标或者成交候选人名单排序，确定下一候选人为成交人，也可以重新开展政府采购活动。</w:t>
      </w:r>
    </w:p>
    <w:p w14:paraId="2BCB3231">
      <w:pPr>
        <w:pStyle w:val="122"/>
        <w:adjustRightInd w:val="0"/>
        <w:snapToGrid w:val="0"/>
        <w:spacing w:before="120" w:after="120"/>
        <w:ind w:firstLine="482"/>
        <w:rPr>
          <w:rFonts w:hint="eastAsia" w:ascii="宋体" w:hAnsi="宋体" w:eastAsia="宋体" w:cs="宋体"/>
          <w:b w:val="0"/>
          <w:bCs w:val="0"/>
          <w:color w:val="auto"/>
          <w:spacing w:val="0"/>
          <w:kern w:val="2"/>
          <w:sz w:val="24"/>
          <w:szCs w:val="24"/>
          <w:highlight w:val="none"/>
          <w:lang w:val="en-US" w:eastAsia="zh-CN" w:bidi="ar-SA"/>
        </w:rPr>
      </w:pPr>
      <w:r>
        <w:rPr>
          <w:rFonts w:hint="eastAsia" w:ascii="宋体" w:hAnsi="宋体" w:cs="宋体"/>
          <w:b w:val="0"/>
          <w:bCs w:val="0"/>
          <w:color w:val="auto"/>
          <w:szCs w:val="24"/>
          <w:highlight w:val="none"/>
        </w:rPr>
        <w:t>1.5政府采购货物和服务项目不得收取质量保证金。政府采购工程以及与工程建设有</w:t>
      </w:r>
      <w:r>
        <w:rPr>
          <w:rFonts w:hint="eastAsia" w:ascii="宋体" w:hAnsi="宋体" w:eastAsia="宋体" w:cs="宋体"/>
          <w:b w:val="0"/>
          <w:bCs w:val="0"/>
          <w:color w:val="auto"/>
          <w:spacing w:val="0"/>
          <w:kern w:val="2"/>
          <w:sz w:val="24"/>
          <w:szCs w:val="24"/>
          <w:highlight w:val="none"/>
          <w:lang w:val="en-US" w:eastAsia="zh-CN" w:bidi="ar-SA"/>
        </w:rPr>
        <w:t>关的货物、服务，采用招标方式采购的，按国家和省有关规定执行。</w:t>
      </w:r>
    </w:p>
    <w:p w14:paraId="798473E7">
      <w:pPr>
        <w:pStyle w:val="16"/>
        <w:adjustRightInd w:val="0"/>
        <w:snapToGrid w:val="0"/>
        <w:spacing w:line="360" w:lineRule="auto"/>
        <w:ind w:left="403" w:leftChars="192" w:firstLine="0"/>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2. 履约保证金</w:t>
      </w:r>
    </w:p>
    <w:p w14:paraId="0722912C">
      <w:pPr>
        <w:pStyle w:val="16"/>
        <w:adjustRightInd w:val="0"/>
        <w:snapToGrid w:val="0"/>
        <w:spacing w:line="360" w:lineRule="auto"/>
        <w:ind w:left="403" w:leftChars="192" w:firstLine="0"/>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本项目无需缴纳履约保证金。</w:t>
      </w:r>
    </w:p>
    <w:p w14:paraId="534CABC0">
      <w:pPr>
        <w:pStyle w:val="26"/>
        <w:keepNext w:val="0"/>
        <w:keepLines w:val="0"/>
        <w:pageBreakBefore w:val="0"/>
        <w:kinsoku/>
        <w:wordWrap/>
        <w:overflowPunct/>
        <w:topLinePunct w:val="0"/>
        <w:autoSpaceDE/>
        <w:autoSpaceDN/>
        <w:bidi w:val="0"/>
        <w:adjustRightInd w:val="0"/>
        <w:snapToGrid w:val="0"/>
        <w:spacing w:before="120" w:after="120" w:line="400" w:lineRule="exact"/>
        <w:ind w:firstLine="241" w:firstLineChars="100"/>
        <w:contextualSpacing/>
        <w:textAlignment w:val="auto"/>
        <w:rPr>
          <w:rFonts w:hint="eastAsia" w:hAnsi="宋体" w:cs="宋体"/>
          <w:b/>
          <w:color w:val="auto"/>
          <w:highlight w:val="none"/>
        </w:rPr>
      </w:pPr>
      <w:r>
        <w:rPr>
          <w:rFonts w:hint="eastAsia" w:hAnsi="宋体" w:cs="宋体"/>
          <w:b/>
          <w:color w:val="auto"/>
          <w:highlight w:val="none"/>
        </w:rPr>
        <w:t>八、公共资源交易领域涉黑涉恶举报</w:t>
      </w:r>
    </w:p>
    <w:p w14:paraId="70F8D94B">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为确保招投标活动的公开、公平、公正，切实维护各方合法权益，凡在招标投标、开标评标过程中，受到敲诈、勒索或发现围标串标、虚假投标、恶意竞标等涉黑涉恶线索者，请及时保留相关证据并向有关部门举报。举报电话：</w:t>
      </w:r>
    </w:p>
    <w:p w14:paraId="4F636B4A">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市扫黑办 ：0579-86655381              市公安局 ：110、0579-86096000</w:t>
      </w:r>
    </w:p>
    <w:p w14:paraId="59E36420">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市检察院 : 0579-86642000              市 法 院 ：0579-86620148</w:t>
      </w:r>
    </w:p>
    <w:p w14:paraId="7A5990FB">
      <w:pPr>
        <w:adjustRightInd w:val="0"/>
        <w:spacing w:line="360" w:lineRule="exact"/>
        <w:ind w:firstLine="480" w:firstLineChars="200"/>
        <w:rPr>
          <w:rFonts w:hint="eastAsia" w:hAnsi="宋体" w:cs="宋体"/>
          <w:b/>
          <w:bCs/>
          <w:color w:val="auto"/>
          <w:sz w:val="32"/>
          <w:szCs w:val="32"/>
          <w:highlight w:val="none"/>
        </w:rPr>
      </w:pPr>
      <w:r>
        <w:rPr>
          <w:rFonts w:hint="eastAsia" w:ascii="宋体" w:hAnsi="宋体" w:cs="宋体"/>
          <w:color w:val="auto"/>
          <w:sz w:val="24"/>
          <w:highlight w:val="none"/>
        </w:rPr>
        <w:t xml:space="preserve">市公共资源办:0579-86691835            市公共资源交易中心:0579-86691729 </w:t>
      </w:r>
    </w:p>
    <w:p w14:paraId="4CC5F182">
      <w:pPr>
        <w:pStyle w:val="26"/>
        <w:snapToGrid w:val="0"/>
        <w:spacing w:before="120" w:after="120" w:line="360" w:lineRule="auto"/>
        <w:jc w:val="center"/>
        <w:rPr>
          <w:rFonts w:hint="eastAsia" w:ascii="黑体" w:hAnsi="宋体" w:eastAsia="黑体"/>
          <w:b/>
          <w:bCs/>
          <w:color w:val="auto"/>
          <w:sz w:val="32"/>
          <w:szCs w:val="32"/>
          <w:highlight w:val="none"/>
        </w:rPr>
      </w:pPr>
    </w:p>
    <w:p w14:paraId="71C4EFB5">
      <w:pPr>
        <w:pStyle w:val="26"/>
        <w:snapToGrid w:val="0"/>
        <w:spacing w:before="120" w:after="120" w:line="360" w:lineRule="auto"/>
        <w:jc w:val="center"/>
        <w:rPr>
          <w:rFonts w:hint="eastAsia" w:ascii="黑体" w:hAnsi="宋体" w:eastAsia="黑体"/>
          <w:b/>
          <w:bCs/>
          <w:color w:val="auto"/>
          <w:sz w:val="32"/>
          <w:szCs w:val="32"/>
          <w:highlight w:val="none"/>
        </w:rPr>
      </w:pPr>
    </w:p>
    <w:p w14:paraId="2B004CE4">
      <w:pPr>
        <w:pStyle w:val="27"/>
        <w:rPr>
          <w:rFonts w:hint="eastAsia"/>
          <w:color w:val="auto"/>
          <w:highlight w:val="none"/>
        </w:rPr>
      </w:pPr>
    </w:p>
    <w:p w14:paraId="43FFF044">
      <w:pPr>
        <w:pStyle w:val="41"/>
        <w:jc w:val="both"/>
        <w:rPr>
          <w:rFonts w:hint="eastAsia"/>
          <w:color w:val="auto"/>
          <w:highlight w:val="none"/>
        </w:rPr>
      </w:pPr>
    </w:p>
    <w:p w14:paraId="1BE3E08A">
      <w:pPr>
        <w:rPr>
          <w:rFonts w:hint="eastAsia"/>
          <w:color w:val="auto"/>
          <w:highlight w:val="none"/>
        </w:rPr>
      </w:pPr>
    </w:p>
    <w:p w14:paraId="35BE2B1C">
      <w:pPr>
        <w:pStyle w:val="2"/>
        <w:rPr>
          <w:rFonts w:hint="eastAsia"/>
          <w:color w:val="auto"/>
          <w:highlight w:val="none"/>
        </w:rPr>
      </w:pPr>
    </w:p>
    <w:p w14:paraId="0DF50896">
      <w:pPr>
        <w:pStyle w:val="4"/>
        <w:rPr>
          <w:rFonts w:hint="eastAsia"/>
          <w:color w:val="auto"/>
          <w:highlight w:val="none"/>
        </w:rPr>
      </w:pPr>
    </w:p>
    <w:p w14:paraId="5C5CD9A2">
      <w:pPr>
        <w:rPr>
          <w:rFonts w:hint="eastAsia"/>
          <w:color w:val="auto"/>
          <w:highlight w:val="none"/>
        </w:rPr>
      </w:pPr>
    </w:p>
    <w:p w14:paraId="399C0FB6">
      <w:pPr>
        <w:pStyle w:val="2"/>
        <w:rPr>
          <w:rFonts w:hint="eastAsia"/>
          <w:color w:val="auto"/>
          <w:highlight w:val="none"/>
        </w:rPr>
      </w:pPr>
    </w:p>
    <w:p w14:paraId="6C291ACF">
      <w:pPr>
        <w:pStyle w:val="4"/>
        <w:rPr>
          <w:rFonts w:hint="eastAsia"/>
          <w:color w:val="auto"/>
          <w:highlight w:val="none"/>
        </w:rPr>
      </w:pPr>
    </w:p>
    <w:p w14:paraId="40713234">
      <w:pPr>
        <w:rPr>
          <w:rFonts w:hint="eastAsia"/>
          <w:color w:val="auto"/>
          <w:highlight w:val="none"/>
        </w:rPr>
      </w:pPr>
    </w:p>
    <w:p w14:paraId="38223B36">
      <w:pPr>
        <w:pStyle w:val="2"/>
        <w:rPr>
          <w:rFonts w:hint="eastAsia"/>
          <w:color w:val="auto"/>
          <w:highlight w:val="none"/>
        </w:rPr>
      </w:pPr>
    </w:p>
    <w:p w14:paraId="0EF1DBB9">
      <w:pPr>
        <w:pStyle w:val="4"/>
        <w:rPr>
          <w:rFonts w:hint="eastAsia"/>
          <w:color w:val="auto"/>
          <w:highlight w:val="none"/>
        </w:rPr>
      </w:pPr>
    </w:p>
    <w:p w14:paraId="0A0C6EB3">
      <w:pPr>
        <w:rPr>
          <w:rFonts w:hint="eastAsia"/>
          <w:color w:val="auto"/>
          <w:highlight w:val="none"/>
        </w:rPr>
      </w:pPr>
    </w:p>
    <w:p w14:paraId="5C3D17E3">
      <w:pPr>
        <w:pStyle w:val="2"/>
        <w:rPr>
          <w:rFonts w:hint="eastAsia"/>
          <w:color w:val="auto"/>
          <w:highlight w:val="none"/>
        </w:rPr>
      </w:pPr>
    </w:p>
    <w:p w14:paraId="6352C35C">
      <w:pPr>
        <w:pStyle w:val="4"/>
        <w:rPr>
          <w:rFonts w:hint="eastAsia"/>
          <w:color w:val="auto"/>
          <w:highlight w:val="none"/>
        </w:rPr>
      </w:pPr>
    </w:p>
    <w:p w14:paraId="0ED0636B">
      <w:pPr>
        <w:rPr>
          <w:rFonts w:hint="eastAsia"/>
          <w:color w:val="auto"/>
          <w:highlight w:val="none"/>
        </w:rPr>
      </w:pPr>
    </w:p>
    <w:p w14:paraId="16941313">
      <w:pPr>
        <w:pStyle w:val="2"/>
        <w:rPr>
          <w:rFonts w:hint="eastAsia"/>
          <w:color w:val="auto"/>
          <w:highlight w:val="none"/>
        </w:rPr>
      </w:pPr>
    </w:p>
    <w:p w14:paraId="59AE74B8">
      <w:pPr>
        <w:pStyle w:val="4"/>
        <w:rPr>
          <w:rFonts w:hint="eastAsia"/>
          <w:color w:val="auto"/>
          <w:highlight w:val="none"/>
        </w:rPr>
      </w:pPr>
    </w:p>
    <w:p w14:paraId="17BA1F33">
      <w:pPr>
        <w:rPr>
          <w:rFonts w:hint="eastAsia"/>
          <w:color w:val="auto"/>
          <w:highlight w:val="none"/>
        </w:rPr>
      </w:pPr>
    </w:p>
    <w:p w14:paraId="334A5D39">
      <w:pPr>
        <w:pStyle w:val="2"/>
        <w:rPr>
          <w:rFonts w:hint="eastAsia"/>
          <w:color w:val="auto"/>
          <w:highlight w:val="none"/>
        </w:rPr>
      </w:pPr>
    </w:p>
    <w:p w14:paraId="0552D78F">
      <w:pPr>
        <w:pStyle w:val="4"/>
        <w:rPr>
          <w:rFonts w:hint="eastAsia"/>
          <w:color w:val="auto"/>
          <w:highlight w:val="none"/>
        </w:rPr>
      </w:pPr>
    </w:p>
    <w:p w14:paraId="76ED2DDA">
      <w:pPr>
        <w:rPr>
          <w:rFonts w:hint="eastAsia"/>
          <w:color w:val="auto"/>
          <w:highlight w:val="none"/>
        </w:rPr>
      </w:pPr>
    </w:p>
    <w:p w14:paraId="13E910CF">
      <w:pPr>
        <w:pStyle w:val="2"/>
        <w:rPr>
          <w:rFonts w:hint="eastAsia"/>
          <w:color w:val="auto"/>
          <w:highlight w:val="none"/>
        </w:rPr>
      </w:pPr>
    </w:p>
    <w:p w14:paraId="01A2A463">
      <w:pPr>
        <w:pStyle w:val="4"/>
        <w:rPr>
          <w:rFonts w:hint="eastAsia"/>
          <w:color w:val="auto"/>
          <w:highlight w:val="none"/>
        </w:rPr>
      </w:pPr>
    </w:p>
    <w:p w14:paraId="563B8883">
      <w:pPr>
        <w:rPr>
          <w:rFonts w:hint="eastAsia"/>
          <w:color w:val="auto"/>
          <w:highlight w:val="none"/>
        </w:rPr>
      </w:pPr>
    </w:p>
    <w:p w14:paraId="3DFE9240">
      <w:pPr>
        <w:pStyle w:val="2"/>
        <w:rPr>
          <w:rFonts w:hint="eastAsia"/>
          <w:color w:val="auto"/>
          <w:highlight w:val="none"/>
        </w:rPr>
      </w:pPr>
    </w:p>
    <w:p w14:paraId="623BBC26">
      <w:pPr>
        <w:pStyle w:val="4"/>
        <w:rPr>
          <w:rFonts w:hint="eastAsia"/>
          <w:color w:val="auto"/>
          <w:highlight w:val="none"/>
        </w:rPr>
      </w:pPr>
    </w:p>
    <w:p w14:paraId="6C0C8649">
      <w:pPr>
        <w:rPr>
          <w:rFonts w:hint="eastAsia"/>
          <w:color w:val="auto"/>
          <w:highlight w:val="none"/>
        </w:rPr>
      </w:pPr>
    </w:p>
    <w:p w14:paraId="598E55C8">
      <w:pPr>
        <w:pStyle w:val="2"/>
        <w:rPr>
          <w:rFonts w:hint="eastAsia"/>
          <w:color w:val="auto"/>
          <w:highlight w:val="none"/>
        </w:rPr>
      </w:pPr>
    </w:p>
    <w:p w14:paraId="630BF00F">
      <w:pPr>
        <w:pStyle w:val="4"/>
        <w:rPr>
          <w:rFonts w:hint="eastAsia"/>
          <w:color w:val="auto"/>
          <w:highlight w:val="none"/>
        </w:rPr>
      </w:pPr>
    </w:p>
    <w:p w14:paraId="6322F653">
      <w:pPr>
        <w:rPr>
          <w:rFonts w:hint="eastAsia"/>
          <w:color w:val="auto"/>
          <w:highlight w:val="none"/>
        </w:rPr>
      </w:pPr>
    </w:p>
    <w:p w14:paraId="5013B417">
      <w:pPr>
        <w:pStyle w:val="2"/>
        <w:rPr>
          <w:rFonts w:hint="eastAsia"/>
          <w:color w:val="auto"/>
        </w:rPr>
      </w:pPr>
    </w:p>
    <w:p w14:paraId="1653290F">
      <w:pPr>
        <w:pStyle w:val="4"/>
        <w:rPr>
          <w:rFonts w:hint="eastAsia"/>
          <w:color w:val="auto"/>
        </w:rPr>
      </w:pPr>
    </w:p>
    <w:p w14:paraId="191734C6">
      <w:pPr>
        <w:rPr>
          <w:rFonts w:hint="eastAsia"/>
          <w:color w:val="auto"/>
        </w:rPr>
      </w:pPr>
    </w:p>
    <w:p w14:paraId="4B20C3DC">
      <w:pPr>
        <w:pStyle w:val="26"/>
        <w:snapToGrid w:val="0"/>
        <w:spacing w:before="120" w:after="120" w:line="360" w:lineRule="auto"/>
        <w:jc w:val="center"/>
        <w:rPr>
          <w:rFonts w:ascii="黑体" w:hAnsi="宋体" w:eastAsia="黑体"/>
          <w:color w:val="auto"/>
          <w:sz w:val="30"/>
          <w:szCs w:val="30"/>
          <w:highlight w:val="none"/>
        </w:rPr>
      </w:pPr>
      <w:r>
        <w:rPr>
          <w:rFonts w:hint="eastAsia" w:ascii="黑体" w:hAnsi="宋体" w:eastAsia="黑体"/>
          <w:b/>
          <w:bCs/>
          <w:color w:val="auto"/>
          <w:sz w:val="32"/>
          <w:szCs w:val="32"/>
          <w:highlight w:val="none"/>
        </w:rPr>
        <w:t>第四章评标办法及评分标准</w:t>
      </w:r>
    </w:p>
    <w:p w14:paraId="4B0985CD">
      <w:pPr>
        <w:spacing w:beforeLines="50" w:afterLines="50" w:line="360" w:lineRule="auto"/>
        <w:ind w:firstLine="480" w:firstLineChars="200"/>
        <w:rPr>
          <w:rFonts w:ascii="宋体"/>
          <w:color w:val="auto"/>
          <w:sz w:val="24"/>
          <w:highlight w:val="none"/>
        </w:rPr>
      </w:pPr>
      <w:r>
        <w:rPr>
          <w:rFonts w:hint="eastAsia" w:ascii="宋体" w:hAnsi="宋体"/>
          <w:color w:val="auto"/>
          <w:sz w:val="24"/>
          <w:highlight w:val="none"/>
        </w:rPr>
        <w:t>为公正、公平、科学地选择中标人，根据《中华人民共和国政府采购法》等有关法律法规的规定，并结合本项目的实际，制定本办法。</w:t>
      </w:r>
    </w:p>
    <w:p w14:paraId="461FD10E">
      <w:pPr>
        <w:spacing w:beforeLines="50" w:afterLines="50" w:line="360" w:lineRule="auto"/>
        <w:ind w:firstLine="470" w:firstLineChars="196"/>
        <w:rPr>
          <w:rFonts w:hint="eastAsia" w:ascii="宋体" w:hAnsi="宋体"/>
          <w:color w:val="auto"/>
          <w:sz w:val="24"/>
          <w:highlight w:val="none"/>
        </w:rPr>
      </w:pPr>
      <w:r>
        <w:rPr>
          <w:rFonts w:hint="eastAsia" w:ascii="宋体" w:hAnsi="宋体"/>
          <w:color w:val="auto"/>
          <w:sz w:val="24"/>
          <w:highlight w:val="none"/>
        </w:rPr>
        <w:t>本办法适用于</w:t>
      </w:r>
      <w:r>
        <w:rPr>
          <w:rFonts w:hint="eastAsia" w:ascii="宋体" w:hAnsi="宋体"/>
          <w:b/>
          <w:color w:val="auto"/>
          <w:sz w:val="24"/>
          <w:highlight w:val="none"/>
          <w:u w:val="single"/>
          <w:lang w:eastAsia="zh-CN"/>
        </w:rPr>
        <w:t>东阳市公共视频监控项目监理服务</w:t>
      </w:r>
      <w:r>
        <w:rPr>
          <w:rFonts w:hint="eastAsia" w:ascii="宋体" w:hAnsi="宋体"/>
          <w:color w:val="auto"/>
          <w:sz w:val="24"/>
          <w:highlight w:val="none"/>
        </w:rPr>
        <w:t>的评标。</w:t>
      </w:r>
    </w:p>
    <w:p w14:paraId="6B14C863">
      <w:pPr>
        <w:spacing w:beforeLines="50" w:afterLines="50" w:line="360" w:lineRule="auto"/>
        <w:ind w:firstLine="472" w:firstLineChars="196"/>
        <w:rPr>
          <w:rFonts w:hint="eastAsia" w:ascii="宋体" w:hAnsi="宋体" w:eastAsia="宋体" w:cs="Times New Roman"/>
          <w:b/>
          <w:bCs/>
          <w:color w:val="auto"/>
          <w:kern w:val="0"/>
          <w:sz w:val="24"/>
          <w:szCs w:val="20"/>
          <w:highlight w:val="none"/>
          <w:lang w:val="en-GB" w:eastAsia="zh-CN" w:bidi="ar-SA"/>
        </w:rPr>
      </w:pPr>
      <w:r>
        <w:rPr>
          <w:rFonts w:hint="eastAsia" w:ascii="宋体" w:hAnsi="宋体" w:eastAsia="宋体" w:cs="Times New Roman"/>
          <w:b/>
          <w:bCs/>
          <w:color w:val="auto"/>
          <w:kern w:val="0"/>
          <w:sz w:val="24"/>
          <w:szCs w:val="20"/>
          <w:highlight w:val="none"/>
          <w:lang w:val="en-GB" w:eastAsia="zh-CN" w:bidi="ar-SA"/>
        </w:rPr>
        <w:t>一、总则</w:t>
      </w:r>
    </w:p>
    <w:p w14:paraId="026F06B8">
      <w:pPr>
        <w:spacing w:before="72" w:beforeLines="30" w:after="72" w:afterLines="30" w:line="440" w:lineRule="exact"/>
        <w:ind w:firstLine="480" w:firstLineChars="200"/>
        <w:rPr>
          <w:rFonts w:ascii="宋体" w:hAnsi="宋体"/>
          <w:bCs/>
          <w:color w:val="auto"/>
          <w:sz w:val="24"/>
          <w:highlight w:val="none"/>
        </w:rPr>
      </w:pPr>
      <w:r>
        <w:rPr>
          <w:rFonts w:hint="eastAsia" w:ascii="宋体" w:hAnsi="宋体"/>
          <w:color w:val="auto"/>
          <w:sz w:val="24"/>
          <w:highlight w:val="none"/>
        </w:rPr>
        <w:t>本次评标采用综合评分法，总分为100分，其中价格分</w:t>
      </w:r>
      <w:r>
        <w:rPr>
          <w:rFonts w:hint="eastAsia" w:ascii="宋体" w:hAnsi="宋体"/>
          <w:color w:val="auto"/>
          <w:sz w:val="24"/>
          <w:highlight w:val="none"/>
          <w:lang w:val="en-US" w:eastAsia="zh-CN"/>
        </w:rPr>
        <w:t>30</w:t>
      </w:r>
      <w:r>
        <w:rPr>
          <w:rFonts w:hint="eastAsia" w:ascii="宋体" w:hAnsi="宋体"/>
          <w:color w:val="auto"/>
          <w:sz w:val="24"/>
          <w:highlight w:val="none"/>
        </w:rPr>
        <w:t>分、技术、商务、资信及其他分值详见各个标的评标内容。合格投标人的评标得分为各项目汇总得分，中标候选资格按评标综合得分由高到低顺序排列，得分相同的，按投标报价由低到高顺序排列；得分且投标报价相同的，按技术得分由高到低顺序排列。排名第一的投标人为中标候选人,排名第二的投标人为候补中标候选人</w:t>
      </w:r>
      <w:r>
        <w:rPr>
          <w:rFonts w:hint="eastAsia" w:ascii="宋体" w:hAnsi="宋体"/>
          <w:color w:val="auto"/>
          <w:sz w:val="24"/>
          <w:highlight w:val="none"/>
          <w:lang w:val="en-US" w:eastAsia="zh-CN"/>
        </w:rPr>
        <w:t>(有效投标人为3家时推荐2名中标候选人，有效标大于3家时，推荐3名中标候选人)</w:t>
      </w:r>
      <w:r>
        <w:rPr>
          <w:rFonts w:hint="eastAsia" w:ascii="宋体" w:hAnsi="宋体"/>
          <w:color w:val="auto"/>
          <w:sz w:val="24"/>
          <w:highlight w:val="none"/>
        </w:rPr>
        <w:t>……其他投标人中标候选资格依此类推。评分过程中采用四舍五入法，并保留小数2位</w:t>
      </w:r>
      <w:r>
        <w:rPr>
          <w:rFonts w:hint="eastAsia" w:ascii="宋体" w:hAnsi="宋体"/>
          <w:bCs/>
          <w:color w:val="auto"/>
          <w:sz w:val="24"/>
          <w:highlight w:val="none"/>
        </w:rPr>
        <w:t>。</w:t>
      </w:r>
    </w:p>
    <w:p w14:paraId="4C9CAA4E">
      <w:pPr>
        <w:numPr>
          <w:ilvl w:val="0"/>
          <w:numId w:val="0"/>
        </w:numPr>
        <w:spacing w:beforeLines="50" w:afterLines="50" w:line="360" w:lineRule="auto"/>
        <w:ind w:firstLine="480" w:firstLineChars="200"/>
        <w:rPr>
          <w:rFonts w:ascii="宋体"/>
          <w:color w:val="auto"/>
          <w:sz w:val="24"/>
          <w:highlight w:val="none"/>
        </w:rPr>
      </w:pPr>
      <w:r>
        <w:rPr>
          <w:rFonts w:hint="eastAsia" w:ascii="宋体" w:hAnsi="宋体"/>
          <w:color w:val="auto"/>
          <w:sz w:val="24"/>
          <w:highlight w:val="none"/>
        </w:rPr>
        <w:t>投标人评标</w:t>
      </w:r>
      <w:r>
        <w:rPr>
          <w:rFonts w:hint="eastAsia" w:ascii="宋体" w:hAnsi="宋体"/>
          <w:bCs/>
          <w:color w:val="auto"/>
          <w:sz w:val="24"/>
          <w:highlight w:val="none"/>
        </w:rPr>
        <w:t>综合得分=价格分+(技术分+商务分+资信及其他分)</w:t>
      </w:r>
    </w:p>
    <w:p w14:paraId="0F2E839C">
      <w:pPr>
        <w:pStyle w:val="41"/>
        <w:numPr>
          <w:ilvl w:val="0"/>
          <w:numId w:val="0"/>
        </w:numPr>
        <w:spacing w:line="360" w:lineRule="auto"/>
        <w:ind w:firstLine="480" w:firstLineChars="200"/>
        <w:jc w:val="both"/>
        <w:rPr>
          <w:rFonts w:hint="eastAsia"/>
          <w:color w:val="auto"/>
          <w:highlight w:val="none"/>
          <w:lang w:val="en-US" w:eastAsia="zh-CN"/>
        </w:rPr>
      </w:pPr>
      <w:r>
        <w:rPr>
          <w:rFonts w:hint="eastAsia" w:ascii="宋体" w:hAnsi="宋体"/>
          <w:b w:val="0"/>
          <w:color w:val="auto"/>
          <w:sz w:val="24"/>
          <w:highlight w:val="none"/>
        </w:rPr>
        <w:t>二、</w:t>
      </w:r>
      <w:r>
        <w:rPr>
          <w:rFonts w:hint="eastAsia"/>
          <w:color w:val="auto"/>
          <w:highlight w:val="none"/>
          <w:lang w:val="en-US" w:eastAsia="zh-CN"/>
        </w:rPr>
        <w:t>价格分（30分</w:t>
      </w:r>
      <w:r>
        <w:rPr>
          <w:rFonts w:hint="eastAsia" w:ascii="宋体" w:hAnsi="宋体" w:cs="宋体"/>
          <w:b/>
          <w:color w:val="auto"/>
          <w:sz w:val="24"/>
          <w:highlight w:val="none"/>
        </w:rPr>
        <w:t>）</w:t>
      </w:r>
    </w:p>
    <w:p w14:paraId="6F721494">
      <w:pPr>
        <w:spacing w:line="360" w:lineRule="auto"/>
        <w:ind w:firstLine="464" w:firstLineChars="200"/>
        <w:rPr>
          <w:rFonts w:ascii="宋体" w:hAnsi="宋体"/>
          <w:bCs/>
          <w:color w:val="auto"/>
          <w:spacing w:val="-4"/>
          <w:sz w:val="24"/>
          <w:szCs w:val="20"/>
          <w:highlight w:val="none"/>
        </w:rPr>
      </w:pPr>
      <w:r>
        <w:rPr>
          <w:rFonts w:hint="eastAsia" w:ascii="宋体" w:hAnsi="宋体"/>
          <w:bCs/>
          <w:color w:val="auto"/>
          <w:spacing w:val="-4"/>
          <w:sz w:val="24"/>
          <w:szCs w:val="20"/>
          <w:highlight w:val="none"/>
        </w:rPr>
        <w:t>价格分采用低价优先法计算，取所有技术、资信商务得分入围投标人中，投标让利下浮率最高的投标报价为评标基准价，其他投标人的价格分按照下列公式计算：</w:t>
      </w:r>
    </w:p>
    <w:p w14:paraId="1FD84094">
      <w:pPr>
        <w:spacing w:line="360" w:lineRule="auto"/>
        <w:ind w:firstLine="466" w:firstLineChars="200"/>
        <w:rPr>
          <w:rFonts w:hint="eastAsia" w:ascii="宋体" w:hAnsi="宋体" w:cs="宋体"/>
          <w:b/>
          <w:bCs w:val="0"/>
          <w:color w:val="auto"/>
          <w:sz w:val="24"/>
          <w:highlight w:val="none"/>
          <w:lang w:val="en-US" w:eastAsia="zh-CN"/>
        </w:rPr>
      </w:pPr>
      <w:r>
        <w:rPr>
          <w:rFonts w:hint="eastAsia" w:ascii="宋体" w:hAnsi="宋体"/>
          <w:b/>
          <w:bCs w:val="0"/>
          <w:color w:val="auto"/>
          <w:spacing w:val="-4"/>
          <w:sz w:val="24"/>
          <w:szCs w:val="20"/>
          <w:highlight w:val="none"/>
        </w:rPr>
        <w:t>价格分=</w:t>
      </w:r>
      <w:r>
        <w:rPr>
          <w:rFonts w:hint="eastAsia" w:ascii="宋体" w:hAnsi="宋体" w:cs="宋体"/>
          <w:b/>
          <w:bCs w:val="0"/>
          <w:color w:val="auto"/>
          <w:sz w:val="24"/>
          <w:highlight w:val="none"/>
          <w:lang w:val="en-US" w:eastAsia="zh-CN"/>
        </w:rPr>
        <w:t>（</w:t>
      </w:r>
      <w:r>
        <w:rPr>
          <w:rFonts w:hint="eastAsia" w:ascii="宋体" w:hAnsi="宋体"/>
          <w:b/>
          <w:bCs w:val="0"/>
          <w:color w:val="auto"/>
          <w:spacing w:val="-4"/>
          <w:sz w:val="24"/>
          <w:szCs w:val="20"/>
          <w:highlight w:val="none"/>
        </w:rPr>
        <w:t>评标基准</w:t>
      </w:r>
      <w:r>
        <w:rPr>
          <w:rFonts w:hint="eastAsia" w:ascii="宋体" w:hAnsi="宋体"/>
          <w:b/>
          <w:bCs w:val="0"/>
          <w:color w:val="auto"/>
          <w:spacing w:val="-4"/>
          <w:sz w:val="24"/>
          <w:szCs w:val="20"/>
          <w:highlight w:val="none"/>
          <w:lang w:eastAsia="zh-CN"/>
        </w:rPr>
        <w:t>价</w:t>
      </w:r>
      <w:r>
        <w:rPr>
          <w:rFonts w:hint="eastAsia" w:ascii="宋体" w:hAnsi="宋体"/>
          <w:b/>
          <w:bCs w:val="0"/>
          <w:color w:val="auto"/>
          <w:spacing w:val="-4"/>
          <w:sz w:val="24"/>
          <w:szCs w:val="20"/>
          <w:highlight w:val="none"/>
        </w:rPr>
        <w:t>/投标</w:t>
      </w:r>
      <w:r>
        <w:rPr>
          <w:rFonts w:hint="eastAsia" w:ascii="宋体" w:hAnsi="宋体"/>
          <w:b/>
          <w:bCs w:val="0"/>
          <w:color w:val="auto"/>
          <w:spacing w:val="-4"/>
          <w:sz w:val="24"/>
          <w:szCs w:val="20"/>
          <w:highlight w:val="none"/>
          <w:lang w:eastAsia="zh-CN"/>
        </w:rPr>
        <w:t>报价</w:t>
      </w:r>
      <w:r>
        <w:rPr>
          <w:rFonts w:hint="eastAsia" w:ascii="宋体" w:hAnsi="宋体"/>
          <w:b/>
          <w:bCs w:val="0"/>
          <w:color w:val="auto"/>
          <w:spacing w:val="-4"/>
          <w:sz w:val="24"/>
          <w:szCs w:val="20"/>
          <w:highlight w:val="none"/>
        </w:rPr>
        <w:t>）×</w:t>
      </w:r>
      <w:r>
        <w:rPr>
          <w:rFonts w:hint="eastAsia" w:ascii="宋体" w:hAnsi="宋体" w:cs="宋体"/>
          <w:b/>
          <w:bCs w:val="0"/>
          <w:color w:val="auto"/>
          <w:sz w:val="24"/>
          <w:highlight w:val="none"/>
          <w:lang w:val="en-US" w:eastAsia="zh-CN"/>
        </w:rPr>
        <w:t>30</w:t>
      </w:r>
      <w:r>
        <w:rPr>
          <w:rFonts w:hint="eastAsia" w:ascii="宋体" w:hAnsi="宋体"/>
          <w:b/>
          <w:bCs w:val="0"/>
          <w:color w:val="auto"/>
          <w:spacing w:val="-4"/>
          <w:sz w:val="24"/>
          <w:szCs w:val="20"/>
          <w:highlight w:val="none"/>
        </w:rPr>
        <w:t>分</w:t>
      </w:r>
      <w:r>
        <w:rPr>
          <w:rFonts w:hint="eastAsia" w:ascii="宋体" w:hAnsi="宋体" w:cs="宋体"/>
          <w:b/>
          <w:bCs w:val="0"/>
          <w:color w:val="auto"/>
          <w:sz w:val="24"/>
          <w:highlight w:val="none"/>
        </w:rPr>
        <w:t xml:space="preserve"> </w:t>
      </w:r>
    </w:p>
    <w:p w14:paraId="1C1B72FE">
      <w:pPr>
        <w:pStyle w:val="16"/>
        <w:spacing w:line="360" w:lineRule="auto"/>
        <w:rPr>
          <w:rFonts w:hint="eastAsia" w:ascii="宋体" w:hAnsi="宋体" w:cs="仿宋_GB2312"/>
          <w:b w:val="0"/>
          <w:bCs/>
          <w:color w:val="auto"/>
          <w:sz w:val="24"/>
          <w:highlight w:val="none"/>
        </w:rPr>
      </w:pPr>
      <w:r>
        <w:rPr>
          <w:rFonts w:hint="eastAsia" w:ascii="宋体" w:hAnsi="宋体" w:cs="仿宋_GB2312"/>
          <w:b w:val="0"/>
          <w:bCs/>
          <w:color w:val="auto"/>
          <w:sz w:val="24"/>
          <w:highlight w:val="none"/>
        </w:rPr>
        <w:t>依据《关于印发&lt;政府采购促进中小企业发展管理办法&gt;的通知》(财库〔2020〕46号)、《财政部、司法部关于政府采购支持监狱企业发展有关问题的通知》（财库〔2014〕68号）文件及《财政部、民政部、中国残疾人联合会关于促进残疾人就业政府采购政策的通知》（财库〔2017〕 141号）、《财政部关于进一步加大政府采购支持中小企业力度的通知》（财库[2022]19号）、《浙江省财政厅关于进一步加大政府采购支持中小企业力度 助力扎实稳住经济的通知》（浙财采监[2022]8号）的规定，对小型和微型企业、监狱企业、残疾人福利性单位生产的产品价格给予10%～20%的扣除，用扣除后的价格参与评审。本项目的扣除比例为</w:t>
      </w:r>
      <w:r>
        <w:rPr>
          <w:rFonts w:hint="eastAsia" w:hAnsi="宋体" w:cs="仿宋_GB2312"/>
          <w:b w:val="0"/>
          <w:bCs/>
          <w:color w:val="auto"/>
          <w:sz w:val="24"/>
          <w:highlight w:val="none"/>
          <w:lang w:val="en-US" w:eastAsia="zh-CN"/>
        </w:rPr>
        <w:t>20</w:t>
      </w:r>
      <w:r>
        <w:rPr>
          <w:rFonts w:hint="eastAsia" w:ascii="宋体" w:hAnsi="宋体" w:cs="仿宋_GB2312"/>
          <w:b w:val="0"/>
          <w:bCs/>
          <w:color w:val="auto"/>
          <w:sz w:val="24"/>
          <w:highlight w:val="none"/>
        </w:rPr>
        <w:t>%。</w:t>
      </w:r>
      <w:r>
        <w:rPr>
          <w:rFonts w:hint="eastAsia" w:ascii="宋体" w:hAnsi="宋体" w:cs="仿宋_GB2312"/>
          <w:b w:val="0"/>
          <w:bCs/>
          <w:color w:val="auto"/>
          <w:sz w:val="24"/>
          <w:highlight w:val="none"/>
          <w:u w:val="single"/>
        </w:rPr>
        <w:t>本项目已对中小微企业进行预留，不再重复享受价格扣除的优惠政策</w:t>
      </w:r>
      <w:r>
        <w:rPr>
          <w:rFonts w:hint="eastAsia" w:ascii="宋体" w:hAnsi="宋体" w:cs="仿宋_GB2312"/>
          <w:b w:val="0"/>
          <w:bCs/>
          <w:color w:val="auto"/>
          <w:sz w:val="24"/>
          <w:highlight w:val="none"/>
        </w:rPr>
        <w:t>。小型和微型企业是指投标文件中提供了中小企业声明函且符合《关于印发&lt;政府采购促进中小企业发展管理办法&gt;的通知》(财库〔2020〕46号)规定的要求并符合《工业和信息化部、国家统计局、国家发展和改革委员会、财政部关于印发中小企业划型标准规定的通知》（工信部联企业〔2011〕300号）规定的小、微企业的划型标准规定。残疾人福利性单位是指投标文件中提供了残疾人福利性单位声明函且符合《财政部、民政部、中国残疾人联合会关于促进残疾人就业政府采购政策的通知》（财库〔2017〕 141号）规定的企业。监狱企业是指投标文件中提供了由省级以上监狱管理局、戒毒管理局（含新疆生产建设兵团）出具的属于监狱企业的证明文件的企业。</w:t>
      </w:r>
    </w:p>
    <w:p w14:paraId="06EF74DA">
      <w:pPr>
        <w:spacing w:beforeLines="50" w:afterLines="50"/>
        <w:ind w:firstLine="472" w:firstLineChars="196"/>
        <w:rPr>
          <w:rFonts w:cs="宋体" w:asciiTheme="majorEastAsia" w:hAnsiTheme="majorEastAsia" w:eastAsiaTheme="majorEastAsia"/>
          <w:b/>
          <w:bCs/>
          <w:color w:val="auto"/>
          <w:sz w:val="24"/>
          <w:highlight w:val="none"/>
        </w:rPr>
      </w:pPr>
      <w:r>
        <w:rPr>
          <w:rFonts w:hint="eastAsia" w:cs="宋体" w:asciiTheme="majorEastAsia" w:hAnsiTheme="majorEastAsia" w:eastAsiaTheme="majorEastAsia"/>
          <w:b/>
          <w:color w:val="auto"/>
          <w:sz w:val="24"/>
          <w:highlight w:val="none"/>
          <w:lang w:eastAsia="zh-CN"/>
        </w:rPr>
        <w:t>三、</w:t>
      </w:r>
      <w:r>
        <w:rPr>
          <w:rFonts w:hint="eastAsia" w:cs="宋体" w:asciiTheme="majorEastAsia" w:hAnsiTheme="majorEastAsia" w:eastAsiaTheme="majorEastAsia"/>
          <w:b/>
          <w:color w:val="auto"/>
          <w:sz w:val="24"/>
          <w:highlight w:val="none"/>
        </w:rPr>
        <w:t>技术分、商务分、资信及其他分，共</w:t>
      </w:r>
      <w:r>
        <w:rPr>
          <w:rFonts w:hint="eastAsia" w:cs="宋体" w:asciiTheme="majorEastAsia" w:hAnsiTheme="majorEastAsia" w:eastAsiaTheme="majorEastAsia"/>
          <w:b/>
          <w:color w:val="auto"/>
          <w:sz w:val="24"/>
          <w:highlight w:val="none"/>
          <w:lang w:val="en-US" w:eastAsia="zh-CN"/>
        </w:rPr>
        <w:t>70</w:t>
      </w:r>
      <w:r>
        <w:rPr>
          <w:rFonts w:hint="eastAsia" w:cs="宋体" w:asciiTheme="majorEastAsia" w:hAnsiTheme="majorEastAsia" w:eastAsiaTheme="majorEastAsia"/>
          <w:b/>
          <w:color w:val="auto"/>
          <w:sz w:val="24"/>
          <w:highlight w:val="none"/>
        </w:rPr>
        <w:t>分。</w:t>
      </w:r>
    </w:p>
    <w:p w14:paraId="62F34F16">
      <w:pPr>
        <w:tabs>
          <w:tab w:val="left" w:pos="1154"/>
        </w:tabs>
        <w:ind w:firstLine="464" w:firstLineChars="200"/>
        <w:rPr>
          <w:rFonts w:hint="eastAsia" w:ascii="宋体" w:hAnsi="宋体" w:eastAsia="宋体" w:cs="仿宋_GB2312"/>
          <w:b w:val="0"/>
          <w:bCs/>
          <w:color w:val="auto"/>
          <w:spacing w:val="-4"/>
          <w:kern w:val="2"/>
          <w:sz w:val="24"/>
          <w:szCs w:val="20"/>
          <w:highlight w:val="none"/>
          <w:lang w:val="en-US" w:eastAsia="zh-CN" w:bidi="ar-SA"/>
        </w:rPr>
      </w:pPr>
      <w:r>
        <w:rPr>
          <w:rFonts w:hint="eastAsia" w:ascii="宋体" w:hAnsi="宋体" w:eastAsia="宋体" w:cs="仿宋_GB2312"/>
          <w:b w:val="0"/>
          <w:bCs/>
          <w:color w:val="auto"/>
          <w:spacing w:val="-4"/>
          <w:kern w:val="2"/>
          <w:sz w:val="24"/>
          <w:szCs w:val="20"/>
          <w:highlight w:val="none"/>
          <w:lang w:val="en-US" w:eastAsia="zh-CN" w:bidi="ar-SA"/>
        </w:rPr>
        <w:t>所有投标人均开启报价文件并唱标，符合第三章（八）特别说明1.规定的情况时，多个供应商按一个供应商计算，并取其中投标让利率最高的一家进入价格评审。有效投标人不足3名时，本标项予以废标，择期将重新组织招标。</w:t>
      </w:r>
    </w:p>
    <w:p w14:paraId="0E2D5CFB">
      <w:pPr>
        <w:spacing w:beforeLines="50" w:afterLines="50"/>
        <w:ind w:firstLine="464" w:firstLineChars="200"/>
        <w:rPr>
          <w:rFonts w:hint="eastAsia" w:ascii="宋体" w:hAnsi="宋体" w:eastAsia="宋体" w:cs="仿宋_GB2312"/>
          <w:b w:val="0"/>
          <w:bCs/>
          <w:color w:val="auto"/>
          <w:spacing w:val="-4"/>
          <w:kern w:val="2"/>
          <w:sz w:val="24"/>
          <w:szCs w:val="20"/>
          <w:highlight w:val="none"/>
          <w:lang w:val="en-US" w:eastAsia="zh-CN" w:bidi="ar-SA"/>
        </w:rPr>
      </w:pPr>
      <w:r>
        <w:rPr>
          <w:rFonts w:hint="eastAsia" w:ascii="宋体" w:hAnsi="宋体" w:eastAsia="宋体" w:cs="仿宋_GB2312"/>
          <w:b w:val="0"/>
          <w:bCs/>
          <w:color w:val="auto"/>
          <w:spacing w:val="-4"/>
          <w:kern w:val="2"/>
          <w:sz w:val="24"/>
          <w:szCs w:val="20"/>
          <w:highlight w:val="none"/>
          <w:lang w:val="en-US" w:eastAsia="zh-CN" w:bidi="ar-SA"/>
        </w:rPr>
        <w:t>技术、商务、资信及其他分按照评标委员会成员的独立评分结果汇总数的算术平均分计算，计算公式为：</w:t>
      </w:r>
    </w:p>
    <w:p w14:paraId="3F891E10">
      <w:pPr>
        <w:tabs>
          <w:tab w:val="left" w:pos="1154"/>
        </w:tabs>
        <w:spacing w:line="360" w:lineRule="auto"/>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技术商务资信及其他分=（评标委员会所有成员评分合计数）/（评标委员会组成人员数）</w:t>
      </w:r>
    </w:p>
    <w:p w14:paraId="29341AC6">
      <w:pPr>
        <w:tabs>
          <w:tab w:val="left" w:pos="1154"/>
        </w:tabs>
        <w:spacing w:line="360" w:lineRule="auto"/>
        <w:rPr>
          <w:rFonts w:hint="eastAsia" w:asciiTheme="majorEastAsia" w:hAnsiTheme="majorEastAsia" w:eastAsiaTheme="majorEastAsia"/>
          <w:b/>
          <w:color w:val="auto"/>
          <w:sz w:val="24"/>
          <w:szCs w:val="22"/>
          <w:highlight w:val="none"/>
        </w:rPr>
      </w:pPr>
      <w:r>
        <w:rPr>
          <w:rFonts w:hint="eastAsia" w:asciiTheme="majorEastAsia" w:hAnsiTheme="majorEastAsia" w:eastAsiaTheme="majorEastAsia"/>
          <w:b/>
          <w:color w:val="auto"/>
          <w:sz w:val="24"/>
          <w:szCs w:val="22"/>
          <w:highlight w:val="none"/>
        </w:rPr>
        <w:t>附件：评分表格式（技术、商务、资信及其他分，共</w:t>
      </w:r>
      <w:r>
        <w:rPr>
          <w:rFonts w:hint="eastAsia" w:asciiTheme="majorEastAsia" w:hAnsiTheme="majorEastAsia" w:eastAsiaTheme="majorEastAsia"/>
          <w:b/>
          <w:color w:val="auto"/>
          <w:sz w:val="24"/>
          <w:szCs w:val="22"/>
          <w:highlight w:val="none"/>
          <w:lang w:val="en-US" w:eastAsia="zh-CN"/>
        </w:rPr>
        <w:t>70</w:t>
      </w:r>
      <w:r>
        <w:rPr>
          <w:rFonts w:hint="eastAsia" w:asciiTheme="majorEastAsia" w:hAnsiTheme="majorEastAsia" w:eastAsiaTheme="majorEastAsia"/>
          <w:b/>
          <w:color w:val="auto"/>
          <w:sz w:val="24"/>
          <w:szCs w:val="22"/>
          <w:highlight w:val="none"/>
        </w:rPr>
        <w:t>分）</w:t>
      </w:r>
    </w:p>
    <w:tbl>
      <w:tblPr>
        <w:tblStyle w:val="45"/>
        <w:tblW w:w="97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6"/>
        <w:gridCol w:w="591"/>
        <w:gridCol w:w="1750"/>
        <w:gridCol w:w="6332"/>
        <w:gridCol w:w="596"/>
      </w:tblGrid>
      <w:tr w14:paraId="5B888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06" w:type="dxa"/>
            <w:noWrap/>
            <w:vAlign w:val="center"/>
          </w:tcPr>
          <w:p w14:paraId="482CFE3A">
            <w:pPr>
              <w:keepNext w:val="0"/>
              <w:keepLines w:val="0"/>
              <w:pageBreakBefore w:val="0"/>
              <w:widowControl w:val="0"/>
              <w:kinsoku/>
              <w:wordWrap/>
              <w:overflowPunct/>
              <w:topLinePunct w:val="0"/>
              <w:bidi w:val="0"/>
              <w:spacing w:line="380" w:lineRule="exact"/>
              <w:jc w:val="center"/>
              <w:textAlignment w:val="auto"/>
              <w:rPr>
                <w:rFonts w:hint="eastAsia" w:ascii="宋体" w:hAnsi="宋体" w:eastAsia="宋体" w:cs="宋体"/>
                <w:bCs/>
                <w:color w:val="auto"/>
                <w:sz w:val="24"/>
                <w:szCs w:val="24"/>
              </w:rPr>
            </w:pPr>
            <w:r>
              <w:rPr>
                <w:rFonts w:hint="eastAsia" w:ascii="宋体" w:hAnsi="宋体" w:eastAsia="宋体" w:cs="宋体"/>
                <w:b/>
                <w:bCs/>
                <w:color w:val="auto"/>
                <w:sz w:val="24"/>
                <w:szCs w:val="24"/>
                <w:lang w:val="en-US" w:eastAsia="zh-CN"/>
              </w:rPr>
              <w:t>序号</w:t>
            </w:r>
          </w:p>
        </w:tc>
        <w:tc>
          <w:tcPr>
            <w:tcW w:w="2341" w:type="dxa"/>
            <w:gridSpan w:val="2"/>
            <w:noWrap/>
            <w:vAlign w:val="center"/>
          </w:tcPr>
          <w:p w14:paraId="2441B149">
            <w:pPr>
              <w:keepNext w:val="0"/>
              <w:keepLines w:val="0"/>
              <w:pageBreakBefore w:val="0"/>
              <w:widowControl w:val="0"/>
              <w:kinsoku/>
              <w:wordWrap/>
              <w:overflowPunct/>
              <w:topLinePunct w:val="0"/>
              <w:bidi w:val="0"/>
              <w:spacing w:line="380" w:lineRule="exact"/>
              <w:jc w:val="center"/>
              <w:textAlignment w:val="auto"/>
              <w:rPr>
                <w:rFonts w:hint="eastAsia" w:ascii="宋体" w:hAnsi="宋体" w:eastAsia="宋体" w:cs="宋体"/>
                <w:bCs/>
                <w:color w:val="auto"/>
                <w:sz w:val="24"/>
                <w:szCs w:val="24"/>
              </w:rPr>
            </w:pPr>
            <w:r>
              <w:rPr>
                <w:rFonts w:hint="eastAsia" w:ascii="宋体" w:hAnsi="宋体" w:eastAsia="宋体" w:cs="宋体"/>
                <w:b/>
                <w:bCs/>
                <w:color w:val="auto"/>
                <w:sz w:val="24"/>
                <w:szCs w:val="24"/>
                <w:lang w:val="en-US" w:eastAsia="zh-CN" w:bidi="ar"/>
              </w:rPr>
              <w:t>评审内容</w:t>
            </w:r>
          </w:p>
        </w:tc>
        <w:tc>
          <w:tcPr>
            <w:tcW w:w="6332" w:type="dxa"/>
            <w:noWrap/>
            <w:vAlign w:val="center"/>
          </w:tcPr>
          <w:p w14:paraId="45C2EA5F">
            <w:pPr>
              <w:keepNext w:val="0"/>
              <w:keepLines w:val="0"/>
              <w:pageBreakBefore w:val="0"/>
              <w:widowControl w:val="0"/>
              <w:kinsoku/>
              <w:wordWrap/>
              <w:overflowPunct/>
              <w:topLinePunct w:val="0"/>
              <w:bidi w:val="0"/>
              <w:spacing w:line="380" w:lineRule="exact"/>
              <w:jc w:val="center"/>
              <w:textAlignment w:val="auto"/>
              <w:rPr>
                <w:rFonts w:hint="eastAsia" w:ascii="宋体" w:hAnsi="宋体" w:eastAsia="宋体" w:cs="宋体"/>
                <w:bCs/>
                <w:color w:val="auto"/>
                <w:sz w:val="24"/>
                <w:szCs w:val="24"/>
              </w:rPr>
            </w:pPr>
            <w:r>
              <w:rPr>
                <w:rFonts w:hint="eastAsia" w:ascii="宋体" w:hAnsi="宋体" w:eastAsia="宋体" w:cs="宋体"/>
                <w:b/>
                <w:bCs/>
                <w:color w:val="auto"/>
                <w:sz w:val="24"/>
                <w:szCs w:val="24"/>
                <w:lang w:eastAsia="zh-CN"/>
              </w:rPr>
              <w:t>评分标准</w:t>
            </w:r>
          </w:p>
        </w:tc>
        <w:tc>
          <w:tcPr>
            <w:tcW w:w="596" w:type="dxa"/>
            <w:noWrap/>
            <w:vAlign w:val="center"/>
          </w:tcPr>
          <w:p w14:paraId="4D80AF9C">
            <w:pPr>
              <w:keepNext w:val="0"/>
              <w:keepLines w:val="0"/>
              <w:pageBreakBefore w:val="0"/>
              <w:widowControl w:val="0"/>
              <w:kinsoku/>
              <w:wordWrap/>
              <w:overflowPunct/>
              <w:topLinePunct w:val="0"/>
              <w:bidi w:val="0"/>
              <w:spacing w:line="380" w:lineRule="exact"/>
              <w:jc w:val="center"/>
              <w:textAlignment w:val="auto"/>
              <w:rPr>
                <w:rFonts w:hint="eastAsia" w:ascii="宋体" w:hAnsi="宋体" w:eastAsia="宋体" w:cs="宋体"/>
                <w:bCs/>
                <w:color w:val="auto"/>
                <w:sz w:val="24"/>
                <w:szCs w:val="24"/>
              </w:rPr>
            </w:pPr>
            <w:r>
              <w:rPr>
                <w:rFonts w:hint="eastAsia" w:ascii="宋体" w:hAnsi="宋体" w:eastAsia="宋体" w:cs="宋体"/>
                <w:b/>
                <w:bCs/>
                <w:color w:val="auto"/>
                <w:sz w:val="24"/>
                <w:szCs w:val="24"/>
                <w:lang w:eastAsia="zh-CN" w:bidi="ar"/>
              </w:rPr>
              <w:t>分值</w:t>
            </w:r>
          </w:p>
        </w:tc>
      </w:tr>
      <w:tr w14:paraId="1895F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jc w:val="center"/>
        </w:trPr>
        <w:tc>
          <w:tcPr>
            <w:tcW w:w="506" w:type="dxa"/>
            <w:noWrap/>
            <w:vAlign w:val="center"/>
          </w:tcPr>
          <w:p w14:paraId="0C34D4C2">
            <w:pPr>
              <w:spacing w:line="240" w:lineRule="auto"/>
              <w:jc w:val="center"/>
              <w:rPr>
                <w:rFonts w:hint="eastAsia" w:ascii="宋体" w:hAnsi="宋体" w:eastAsia="宋体" w:cs="宋体"/>
                <w:bCs/>
                <w:color w:val="auto"/>
                <w:sz w:val="24"/>
                <w:szCs w:val="24"/>
              </w:rPr>
            </w:pPr>
          </w:p>
          <w:p w14:paraId="3F32ED56">
            <w:pPr>
              <w:spacing w:line="240" w:lineRule="auto"/>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1</w:t>
            </w:r>
          </w:p>
        </w:tc>
        <w:tc>
          <w:tcPr>
            <w:tcW w:w="2341" w:type="dxa"/>
            <w:gridSpan w:val="2"/>
            <w:noWrap/>
            <w:vAlign w:val="center"/>
          </w:tcPr>
          <w:p w14:paraId="71F73A0D">
            <w:pPr>
              <w:spacing w:line="240" w:lineRule="auto"/>
              <w:jc w:val="center"/>
              <w:rPr>
                <w:rFonts w:hint="eastAsia" w:ascii="宋体" w:hAnsi="宋体" w:eastAsia="宋体" w:cs="宋体"/>
                <w:color w:val="auto"/>
                <w:sz w:val="24"/>
                <w:szCs w:val="24"/>
              </w:rPr>
            </w:pPr>
          </w:p>
          <w:p w14:paraId="4D4D5DBF">
            <w:pPr>
              <w:spacing w:line="24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企业资信情况(4分)</w:t>
            </w:r>
          </w:p>
        </w:tc>
        <w:tc>
          <w:tcPr>
            <w:tcW w:w="6332" w:type="dxa"/>
            <w:noWrap/>
            <w:vAlign w:val="center"/>
          </w:tcPr>
          <w:p w14:paraId="22071DD6">
            <w:pPr>
              <w:spacing w:line="240" w:lineRule="auto"/>
              <w:rPr>
                <w:rFonts w:hint="eastAsia" w:ascii="宋体" w:hAnsi="宋体" w:eastAsia="宋体" w:cs="宋体"/>
                <w:color w:val="auto"/>
                <w:sz w:val="24"/>
                <w:szCs w:val="24"/>
              </w:rPr>
            </w:pPr>
            <w:r>
              <w:rPr>
                <w:rFonts w:hint="eastAsia" w:ascii="宋体" w:hAnsi="宋体" w:eastAsia="宋体" w:cs="宋体"/>
                <w:color w:val="auto"/>
                <w:sz w:val="24"/>
                <w:szCs w:val="24"/>
              </w:rPr>
              <w:t>投标具有CS信息系统建设和服务能力等级证书、具有安全技术防范行业资信等级证书，每个得2分。</w:t>
            </w:r>
          </w:p>
          <w:p w14:paraId="50F8600B">
            <w:pPr>
              <w:spacing w:line="240" w:lineRule="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注：</w:t>
            </w:r>
            <w:r>
              <w:rPr>
                <w:rFonts w:hint="eastAsia" w:ascii="宋体" w:hAnsi="宋体" w:eastAsia="宋体" w:cs="宋体"/>
                <w:color w:val="auto"/>
                <w:sz w:val="24"/>
                <w:szCs w:val="24"/>
              </w:rPr>
              <w:t>投标文件商务技术响应文件中提供证书扫描件，未提供或提供的材料不符合要求的不得分。</w:t>
            </w:r>
          </w:p>
        </w:tc>
        <w:tc>
          <w:tcPr>
            <w:tcW w:w="596" w:type="dxa"/>
            <w:noWrap/>
            <w:vAlign w:val="center"/>
          </w:tcPr>
          <w:p w14:paraId="745B990F">
            <w:pPr>
              <w:adjustRightInd w:val="0"/>
              <w:snapToGrid w:val="0"/>
              <w:spacing w:line="240" w:lineRule="auto"/>
              <w:jc w:val="center"/>
              <w:textAlignment w:val="baseline"/>
              <w:rPr>
                <w:rFonts w:hint="eastAsia" w:ascii="宋体" w:hAnsi="宋体" w:eastAsia="宋体" w:cs="宋体"/>
                <w:bCs/>
                <w:color w:val="auto"/>
                <w:sz w:val="24"/>
                <w:szCs w:val="24"/>
              </w:rPr>
            </w:pPr>
            <w:r>
              <w:rPr>
                <w:rFonts w:hint="eastAsia" w:ascii="宋体" w:hAnsi="宋体" w:eastAsia="宋体" w:cs="宋体"/>
                <w:bCs/>
                <w:color w:val="auto"/>
                <w:sz w:val="24"/>
                <w:szCs w:val="24"/>
              </w:rPr>
              <w:t>0-4</w:t>
            </w:r>
          </w:p>
        </w:tc>
      </w:tr>
      <w:tr w14:paraId="3FB36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506" w:type="dxa"/>
            <w:noWrap/>
            <w:vAlign w:val="center"/>
          </w:tcPr>
          <w:p w14:paraId="5D277251">
            <w:pPr>
              <w:spacing w:line="240" w:lineRule="auto"/>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2</w:t>
            </w:r>
          </w:p>
        </w:tc>
        <w:tc>
          <w:tcPr>
            <w:tcW w:w="2341" w:type="dxa"/>
            <w:gridSpan w:val="2"/>
            <w:noWrap/>
            <w:vAlign w:val="center"/>
          </w:tcPr>
          <w:p w14:paraId="315B7165">
            <w:pPr>
              <w:spacing w:line="24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同类项目监理业绩（</w:t>
            </w:r>
            <w:r>
              <w:rPr>
                <w:rFonts w:hint="eastAsia" w:ascii="宋体" w:hAnsi="宋体" w:cs="宋体"/>
                <w:color w:val="auto"/>
                <w:sz w:val="24"/>
                <w:szCs w:val="24"/>
                <w:lang w:val="en-US" w:eastAsia="zh-CN"/>
              </w:rPr>
              <w:t>3</w:t>
            </w:r>
            <w:r>
              <w:rPr>
                <w:rFonts w:hint="eastAsia" w:ascii="宋体" w:hAnsi="宋体" w:eastAsia="宋体" w:cs="宋体"/>
                <w:color w:val="auto"/>
                <w:sz w:val="24"/>
                <w:szCs w:val="24"/>
              </w:rPr>
              <w:t>分）</w:t>
            </w:r>
          </w:p>
        </w:tc>
        <w:tc>
          <w:tcPr>
            <w:tcW w:w="6332" w:type="dxa"/>
            <w:noWrap/>
            <w:vAlign w:val="center"/>
          </w:tcPr>
          <w:p w14:paraId="245D7645">
            <w:pPr>
              <w:spacing w:line="240" w:lineRule="auto"/>
              <w:rPr>
                <w:rFonts w:hint="eastAsia" w:ascii="宋体" w:hAnsi="宋体" w:eastAsia="宋体" w:cs="宋体"/>
                <w:color w:val="auto"/>
                <w:sz w:val="24"/>
                <w:szCs w:val="24"/>
              </w:rPr>
            </w:pPr>
            <w:r>
              <w:rPr>
                <w:rFonts w:hint="eastAsia" w:ascii="宋体" w:hAnsi="宋体" w:eastAsia="宋体" w:cs="宋体"/>
                <w:color w:val="auto"/>
                <w:sz w:val="24"/>
                <w:szCs w:val="24"/>
              </w:rPr>
              <w:t>202</w:t>
            </w:r>
            <w:r>
              <w:rPr>
                <w:rFonts w:hint="eastAsia" w:ascii="宋体" w:hAnsi="宋体" w:cs="宋体"/>
                <w:color w:val="auto"/>
                <w:sz w:val="24"/>
                <w:szCs w:val="24"/>
                <w:lang w:val="en-US" w:eastAsia="zh-CN"/>
              </w:rPr>
              <w:t>2</w:t>
            </w:r>
            <w:r>
              <w:rPr>
                <w:rFonts w:hint="eastAsia" w:ascii="宋体" w:hAnsi="宋体" w:eastAsia="宋体" w:cs="宋体"/>
                <w:color w:val="auto"/>
                <w:sz w:val="24"/>
                <w:szCs w:val="24"/>
              </w:rPr>
              <w:t>年1月1日（以合同签订日期为准）以来投标单位监理过类似项目的每个得1分，本项最高得</w:t>
            </w:r>
            <w:r>
              <w:rPr>
                <w:rFonts w:hint="eastAsia" w:ascii="宋体" w:hAnsi="宋体" w:cs="宋体"/>
                <w:color w:val="auto"/>
                <w:sz w:val="24"/>
                <w:szCs w:val="24"/>
                <w:lang w:val="en-US" w:eastAsia="zh-CN"/>
              </w:rPr>
              <w:t>3</w:t>
            </w:r>
            <w:r>
              <w:rPr>
                <w:rFonts w:hint="eastAsia" w:ascii="宋体" w:hAnsi="宋体" w:eastAsia="宋体" w:cs="宋体"/>
                <w:color w:val="auto"/>
                <w:sz w:val="24"/>
                <w:szCs w:val="24"/>
              </w:rPr>
              <w:t>分。</w:t>
            </w:r>
          </w:p>
          <w:p w14:paraId="07F3438A">
            <w:pPr>
              <w:spacing w:line="240" w:lineRule="auto"/>
              <w:rPr>
                <w:rFonts w:hint="eastAsia" w:ascii="宋体" w:hAnsi="宋体" w:eastAsia="宋体" w:cs="宋体"/>
                <w:color w:val="auto"/>
                <w:sz w:val="24"/>
                <w:szCs w:val="24"/>
                <w:lang w:eastAsia="zh-CN"/>
              </w:rPr>
            </w:pPr>
            <w:r>
              <w:rPr>
                <w:rFonts w:hint="eastAsia" w:ascii="宋体" w:hAnsi="宋体" w:cs="宋体"/>
                <w:color w:val="auto"/>
                <w:sz w:val="24"/>
                <w:szCs w:val="24"/>
                <w:lang w:eastAsia="zh-CN"/>
              </w:rPr>
              <w:t>注：</w:t>
            </w:r>
            <w:r>
              <w:rPr>
                <w:rFonts w:hint="eastAsia" w:ascii="宋体" w:hAnsi="宋体" w:eastAsia="宋体" w:cs="宋体"/>
                <w:color w:val="auto"/>
                <w:sz w:val="24"/>
                <w:szCs w:val="24"/>
              </w:rPr>
              <w:t>投标文件商务技术响应文件中提供合同扫描件，未提供或提供的材料不符合要求的不得分</w:t>
            </w:r>
            <w:r>
              <w:rPr>
                <w:rFonts w:hint="eastAsia" w:ascii="宋体" w:hAnsi="宋体" w:cs="宋体"/>
                <w:color w:val="auto"/>
                <w:sz w:val="24"/>
                <w:szCs w:val="24"/>
                <w:lang w:eastAsia="zh-CN"/>
              </w:rPr>
              <w:t>。</w:t>
            </w:r>
          </w:p>
        </w:tc>
        <w:tc>
          <w:tcPr>
            <w:tcW w:w="596" w:type="dxa"/>
            <w:noWrap/>
            <w:vAlign w:val="center"/>
          </w:tcPr>
          <w:p w14:paraId="50AD9653">
            <w:pPr>
              <w:spacing w:line="240" w:lineRule="auto"/>
              <w:jc w:val="center"/>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rPr>
              <w:t>0-</w:t>
            </w:r>
            <w:r>
              <w:rPr>
                <w:rFonts w:hint="eastAsia" w:ascii="宋体" w:hAnsi="宋体" w:cs="宋体"/>
                <w:bCs/>
                <w:color w:val="auto"/>
                <w:sz w:val="24"/>
                <w:szCs w:val="24"/>
                <w:lang w:val="en-US" w:eastAsia="zh-CN"/>
              </w:rPr>
              <w:t>3</w:t>
            </w:r>
          </w:p>
        </w:tc>
      </w:tr>
      <w:tr w14:paraId="5D05F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6" w:hRule="atLeast"/>
          <w:jc w:val="center"/>
        </w:trPr>
        <w:tc>
          <w:tcPr>
            <w:tcW w:w="506" w:type="dxa"/>
            <w:vMerge w:val="restart"/>
            <w:noWrap/>
            <w:vAlign w:val="center"/>
          </w:tcPr>
          <w:p w14:paraId="3488B41F">
            <w:pPr>
              <w:pStyle w:val="43"/>
              <w:spacing w:line="240" w:lineRule="auto"/>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591" w:type="dxa"/>
            <w:vMerge w:val="restart"/>
            <w:noWrap/>
            <w:vAlign w:val="center"/>
          </w:tcPr>
          <w:p w14:paraId="250C141C">
            <w:pPr>
              <w:spacing w:line="24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项目实施监理工作小组情况</w:t>
            </w:r>
          </w:p>
        </w:tc>
        <w:tc>
          <w:tcPr>
            <w:tcW w:w="1750" w:type="dxa"/>
            <w:noWrap/>
            <w:vAlign w:val="center"/>
          </w:tcPr>
          <w:p w14:paraId="6CDC4066">
            <w:pPr>
              <w:spacing w:line="24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项目的总监理工程师资质及经验情况（</w:t>
            </w:r>
            <w:r>
              <w:rPr>
                <w:rFonts w:hint="eastAsia" w:ascii="宋体" w:hAnsi="宋体" w:cs="宋体"/>
                <w:color w:val="auto"/>
                <w:sz w:val="24"/>
                <w:szCs w:val="24"/>
                <w:lang w:val="en-US" w:eastAsia="zh-CN"/>
              </w:rPr>
              <w:t>9</w:t>
            </w:r>
            <w:r>
              <w:rPr>
                <w:rFonts w:hint="eastAsia" w:ascii="宋体" w:hAnsi="宋体" w:eastAsia="宋体" w:cs="宋体"/>
                <w:color w:val="auto"/>
                <w:sz w:val="24"/>
                <w:szCs w:val="24"/>
              </w:rPr>
              <w:t>分）</w:t>
            </w:r>
          </w:p>
        </w:tc>
        <w:tc>
          <w:tcPr>
            <w:tcW w:w="6332" w:type="dxa"/>
            <w:noWrap/>
            <w:vAlign w:val="center"/>
          </w:tcPr>
          <w:p w14:paraId="72D2D78C">
            <w:pPr>
              <w:adjustRightInd w:val="0"/>
              <w:spacing w:line="240" w:lineRule="auto"/>
              <w:rPr>
                <w:rFonts w:hint="eastAsia" w:ascii="宋体" w:hAnsi="宋体" w:cs="宋体"/>
                <w:bCs/>
                <w:color w:val="auto"/>
                <w:sz w:val="24"/>
                <w:szCs w:val="24"/>
                <w:highlight w:val="none"/>
                <w:lang w:eastAsia="zh-CN"/>
              </w:rPr>
            </w:pPr>
            <w:r>
              <w:rPr>
                <w:rFonts w:hint="eastAsia" w:ascii="宋体" w:hAnsi="宋体" w:eastAsia="宋体" w:cs="宋体"/>
                <w:bCs/>
                <w:color w:val="auto"/>
                <w:sz w:val="24"/>
                <w:szCs w:val="24"/>
                <w:highlight w:val="none"/>
                <w:lang w:val="en-US" w:eastAsia="zh-CN"/>
              </w:rPr>
              <w:t>具有</w:t>
            </w:r>
            <w:r>
              <w:rPr>
                <w:rFonts w:hint="eastAsia" w:ascii="宋体" w:hAnsi="宋体" w:eastAsia="宋体" w:cs="宋体"/>
                <w:bCs/>
                <w:color w:val="auto"/>
                <w:sz w:val="24"/>
                <w:szCs w:val="24"/>
                <w:highlight w:val="none"/>
              </w:rPr>
              <w:t>一级建造师（</w:t>
            </w:r>
            <w:r>
              <w:rPr>
                <w:rFonts w:hint="eastAsia" w:ascii="宋体" w:hAnsi="宋体" w:eastAsia="宋体" w:cs="宋体"/>
                <w:bCs/>
                <w:color w:val="auto"/>
                <w:sz w:val="24"/>
                <w:szCs w:val="24"/>
                <w:highlight w:val="none"/>
                <w:lang w:val="en-US" w:eastAsia="zh-CN"/>
              </w:rPr>
              <w:t>机电工程</w:t>
            </w:r>
            <w:r>
              <w:rPr>
                <w:rFonts w:hint="eastAsia" w:ascii="宋体" w:hAnsi="宋体" w:cs="宋体"/>
                <w:bCs/>
                <w:color w:val="auto"/>
                <w:sz w:val="24"/>
                <w:szCs w:val="24"/>
                <w:highlight w:val="none"/>
                <w:lang w:val="en-US" w:eastAsia="zh-CN"/>
              </w:rPr>
              <w:t>或</w:t>
            </w:r>
            <w:r>
              <w:rPr>
                <w:rFonts w:hint="eastAsia" w:ascii="宋体" w:hAnsi="宋体" w:eastAsia="宋体" w:cs="宋体"/>
                <w:bCs/>
                <w:color w:val="auto"/>
                <w:sz w:val="24"/>
                <w:szCs w:val="24"/>
                <w:highlight w:val="none"/>
                <w:lang w:val="en-US" w:eastAsia="zh-CN"/>
              </w:rPr>
              <w:t>市政公用工程</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w:t>
            </w:r>
            <w:r>
              <w:rPr>
                <w:rFonts w:hint="eastAsia" w:ascii="宋体" w:hAnsi="宋体" w:eastAsia="宋体" w:cs="宋体"/>
                <w:bCs/>
                <w:color w:val="auto"/>
                <w:sz w:val="24"/>
                <w:szCs w:val="24"/>
                <w:highlight w:val="none"/>
              </w:rPr>
              <w:t>信息系统项目管理师</w:t>
            </w:r>
            <w:r>
              <w:rPr>
                <w:rFonts w:hint="eastAsia" w:ascii="宋体" w:hAnsi="宋体" w:eastAsia="宋体" w:cs="宋体"/>
                <w:bCs/>
                <w:color w:val="auto"/>
                <w:sz w:val="24"/>
                <w:szCs w:val="24"/>
                <w:highlight w:val="none"/>
                <w:lang w:val="en-US" w:eastAsia="zh-CN"/>
              </w:rPr>
              <w:t>、系统分析师证书</w:t>
            </w:r>
            <w:r>
              <w:rPr>
                <w:rFonts w:hint="eastAsia" w:ascii="宋体" w:hAnsi="宋体" w:eastAsia="宋体" w:cs="宋体"/>
                <w:bCs/>
                <w:color w:val="auto"/>
                <w:sz w:val="24"/>
                <w:szCs w:val="24"/>
                <w:highlight w:val="none"/>
              </w:rPr>
              <w:t>，全部满足得</w:t>
            </w:r>
            <w:r>
              <w:rPr>
                <w:rFonts w:hint="eastAsia" w:ascii="宋体" w:hAnsi="宋体" w:cs="宋体"/>
                <w:bCs/>
                <w:color w:val="auto"/>
                <w:sz w:val="24"/>
                <w:szCs w:val="24"/>
                <w:highlight w:val="none"/>
                <w:lang w:val="en-US" w:eastAsia="zh-CN"/>
              </w:rPr>
              <w:t>9</w:t>
            </w:r>
            <w:r>
              <w:rPr>
                <w:rFonts w:hint="eastAsia" w:ascii="宋体" w:hAnsi="宋体" w:eastAsia="宋体" w:cs="宋体"/>
                <w:bCs/>
                <w:color w:val="auto"/>
                <w:sz w:val="24"/>
                <w:szCs w:val="24"/>
                <w:highlight w:val="none"/>
              </w:rPr>
              <w:t>分，少一项扣</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w:t>
            </w:r>
            <w:r>
              <w:rPr>
                <w:rFonts w:hint="eastAsia" w:ascii="宋体" w:hAnsi="宋体" w:cs="宋体"/>
                <w:bCs/>
                <w:color w:val="auto"/>
                <w:sz w:val="24"/>
                <w:szCs w:val="24"/>
                <w:highlight w:val="none"/>
                <w:lang w:eastAsia="zh-CN"/>
              </w:rPr>
              <w:t>，没有不得分。</w:t>
            </w:r>
          </w:p>
          <w:p w14:paraId="466EC84F">
            <w:pPr>
              <w:adjustRightInd w:val="0"/>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注：</w:t>
            </w:r>
            <w:r>
              <w:rPr>
                <w:rFonts w:hint="eastAsia" w:ascii="宋体" w:hAnsi="宋体" w:eastAsia="宋体" w:cs="宋体"/>
                <w:color w:val="auto"/>
                <w:sz w:val="24"/>
                <w:szCs w:val="24"/>
                <w:highlight w:val="none"/>
                <w:lang w:val="en-US" w:eastAsia="zh-CN"/>
              </w:rPr>
              <w:t>证明材料为有效证书扫描件以及投标截止日前在本单位近3个月（2025年1月-3月）的在册社保缴纳证明</w:t>
            </w:r>
            <w:r>
              <w:rPr>
                <w:rFonts w:hint="eastAsia" w:ascii="宋体" w:hAnsi="宋体" w:cs="宋体"/>
                <w:bCs/>
                <w:color w:val="auto"/>
                <w:sz w:val="24"/>
                <w:highlight w:val="none"/>
                <w:lang w:eastAsia="zh-CN"/>
              </w:rPr>
              <w:t>或已</w:t>
            </w:r>
            <w:r>
              <w:rPr>
                <w:rFonts w:hint="eastAsia" w:ascii="宋体" w:hAnsi="宋体" w:eastAsia="宋体" w:cs="宋体"/>
                <w:bCs/>
                <w:color w:val="auto"/>
                <w:sz w:val="24"/>
                <w:highlight w:val="none"/>
                <w:lang w:val="en-US" w:eastAsia="zh-CN"/>
              </w:rPr>
              <w:t>缴纳社保的承诺书，提供承诺的须在发布中标公告后3个工作日内提供社保缴纳凭证，</w:t>
            </w:r>
            <w:r>
              <w:rPr>
                <w:rFonts w:hint="eastAsia" w:ascii="宋体" w:hAnsi="宋体" w:eastAsia="宋体" w:cs="宋体"/>
                <w:color w:val="auto"/>
                <w:sz w:val="24"/>
                <w:szCs w:val="24"/>
                <w:highlight w:val="none"/>
                <w:lang w:val="en-US" w:eastAsia="zh-CN"/>
              </w:rPr>
              <w:t>否则不得分。</w:t>
            </w:r>
          </w:p>
        </w:tc>
        <w:tc>
          <w:tcPr>
            <w:tcW w:w="596" w:type="dxa"/>
            <w:noWrap/>
            <w:vAlign w:val="center"/>
          </w:tcPr>
          <w:p w14:paraId="7E2E366C">
            <w:pPr>
              <w:spacing w:line="240" w:lineRule="auto"/>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0-</w:t>
            </w:r>
            <w:r>
              <w:rPr>
                <w:rFonts w:hint="eastAsia" w:ascii="宋体" w:hAnsi="宋体" w:cs="宋体"/>
                <w:color w:val="auto"/>
                <w:sz w:val="24"/>
                <w:szCs w:val="24"/>
                <w:lang w:val="en-US" w:eastAsia="zh-CN"/>
              </w:rPr>
              <w:t>9</w:t>
            </w:r>
          </w:p>
        </w:tc>
      </w:tr>
      <w:tr w14:paraId="2BC86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 w:hRule="atLeast"/>
          <w:jc w:val="center"/>
        </w:trPr>
        <w:tc>
          <w:tcPr>
            <w:tcW w:w="506" w:type="dxa"/>
            <w:vMerge w:val="continue"/>
            <w:noWrap/>
            <w:vAlign w:val="center"/>
          </w:tcPr>
          <w:p w14:paraId="26095D84">
            <w:pPr>
              <w:pStyle w:val="43"/>
              <w:spacing w:line="240" w:lineRule="auto"/>
              <w:ind w:left="0" w:leftChars="0" w:firstLine="0" w:firstLineChars="0"/>
              <w:jc w:val="center"/>
              <w:rPr>
                <w:rFonts w:hint="eastAsia" w:ascii="宋体" w:hAnsi="宋体" w:eastAsia="宋体" w:cs="宋体"/>
                <w:color w:val="auto"/>
                <w:sz w:val="24"/>
                <w:szCs w:val="24"/>
              </w:rPr>
            </w:pPr>
          </w:p>
        </w:tc>
        <w:tc>
          <w:tcPr>
            <w:tcW w:w="591" w:type="dxa"/>
            <w:vMerge w:val="continue"/>
            <w:noWrap/>
            <w:vAlign w:val="center"/>
          </w:tcPr>
          <w:p w14:paraId="599B612C">
            <w:pPr>
              <w:spacing w:line="240" w:lineRule="auto"/>
              <w:jc w:val="center"/>
              <w:rPr>
                <w:rFonts w:hint="eastAsia" w:ascii="宋体" w:hAnsi="宋体" w:eastAsia="宋体" w:cs="宋体"/>
                <w:color w:val="auto"/>
                <w:sz w:val="24"/>
                <w:szCs w:val="24"/>
              </w:rPr>
            </w:pPr>
          </w:p>
        </w:tc>
        <w:tc>
          <w:tcPr>
            <w:tcW w:w="1750" w:type="dxa"/>
            <w:vMerge w:val="restart"/>
            <w:noWrap/>
            <w:vAlign w:val="center"/>
          </w:tcPr>
          <w:p w14:paraId="5B167C3B">
            <w:pPr>
              <w:spacing w:line="24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负责项目的工作小组其它人员（不含总监）资质及经验情况（1</w:t>
            </w: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分）</w:t>
            </w:r>
          </w:p>
        </w:tc>
        <w:tc>
          <w:tcPr>
            <w:tcW w:w="6332" w:type="dxa"/>
            <w:noWrap/>
            <w:vAlign w:val="center"/>
          </w:tcPr>
          <w:p w14:paraId="3D5689F8">
            <w:pPr>
              <w:adjustRightInd w:val="0"/>
              <w:spacing w:line="240" w:lineRule="auto"/>
              <w:rPr>
                <w:rFonts w:hint="eastAsia" w:ascii="宋体" w:hAnsi="宋体" w:cs="宋体"/>
                <w:bCs/>
                <w:color w:val="auto"/>
                <w:sz w:val="24"/>
                <w:szCs w:val="24"/>
                <w:highlight w:val="none"/>
                <w:lang w:eastAsia="zh-CN"/>
              </w:rPr>
            </w:pPr>
            <w:r>
              <w:rPr>
                <w:rFonts w:hint="eastAsia" w:ascii="宋体" w:hAnsi="宋体" w:eastAsia="宋体" w:cs="宋体"/>
                <w:bCs/>
                <w:color w:val="auto"/>
                <w:sz w:val="24"/>
                <w:szCs w:val="24"/>
                <w:highlight w:val="none"/>
                <w:lang w:val="en-US" w:eastAsia="zh-CN"/>
              </w:rPr>
              <w:t>总监理工程师代表：</w:t>
            </w:r>
            <w:r>
              <w:rPr>
                <w:rFonts w:hint="eastAsia" w:ascii="宋体" w:hAnsi="宋体" w:cs="宋体"/>
                <w:bCs/>
                <w:color w:val="auto"/>
                <w:sz w:val="24"/>
                <w:szCs w:val="24"/>
                <w:highlight w:val="none"/>
                <w:lang w:val="en-US" w:eastAsia="zh-CN"/>
              </w:rPr>
              <w:t>具有</w:t>
            </w:r>
            <w:r>
              <w:rPr>
                <w:rFonts w:hint="eastAsia" w:ascii="宋体" w:hAnsi="宋体" w:eastAsia="宋体" w:cs="宋体"/>
                <w:bCs/>
                <w:color w:val="auto"/>
                <w:sz w:val="24"/>
                <w:szCs w:val="24"/>
                <w:highlight w:val="none"/>
                <w:lang w:val="en-US" w:eastAsia="zh-CN"/>
              </w:rPr>
              <w:t>一级建造师</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机电工程</w:t>
            </w:r>
            <w:r>
              <w:rPr>
                <w:rFonts w:hint="eastAsia" w:ascii="宋体" w:hAnsi="宋体" w:cs="宋体"/>
                <w:bCs/>
                <w:color w:val="auto"/>
                <w:sz w:val="24"/>
                <w:szCs w:val="24"/>
                <w:highlight w:val="none"/>
                <w:lang w:val="en-US" w:eastAsia="zh-CN"/>
              </w:rPr>
              <w:t>或</w:t>
            </w:r>
            <w:r>
              <w:rPr>
                <w:rFonts w:hint="eastAsia" w:ascii="宋体" w:hAnsi="宋体" w:eastAsia="宋体" w:cs="宋体"/>
                <w:bCs/>
                <w:color w:val="auto"/>
                <w:sz w:val="24"/>
                <w:szCs w:val="24"/>
                <w:highlight w:val="none"/>
                <w:lang w:val="en-US" w:eastAsia="zh-CN"/>
              </w:rPr>
              <w:t>市政公用工程</w:t>
            </w: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电气工程师</w:t>
            </w:r>
            <w:r>
              <w:rPr>
                <w:rFonts w:hint="eastAsia" w:ascii="宋体" w:hAnsi="宋体" w:cs="宋体"/>
                <w:color w:val="auto"/>
                <w:sz w:val="24"/>
                <w:szCs w:val="24"/>
                <w:highlight w:val="none"/>
                <w:lang w:val="en-US" w:eastAsia="zh-CN"/>
              </w:rPr>
              <w:t>、</w:t>
            </w:r>
            <w:r>
              <w:rPr>
                <w:rFonts w:hint="eastAsia" w:ascii="宋体" w:hAnsi="宋体" w:eastAsia="宋体" w:cs="宋体"/>
                <w:bCs/>
                <w:color w:val="auto"/>
                <w:sz w:val="24"/>
                <w:szCs w:val="24"/>
                <w:highlight w:val="none"/>
              </w:rPr>
              <w:t>信息系统项目管理师</w:t>
            </w:r>
            <w:r>
              <w:rPr>
                <w:rFonts w:hint="eastAsia" w:ascii="宋体" w:hAnsi="宋体" w:cs="宋体"/>
                <w:bCs/>
                <w:color w:val="auto"/>
                <w:sz w:val="24"/>
                <w:szCs w:val="24"/>
                <w:highlight w:val="none"/>
                <w:lang w:val="en-US" w:eastAsia="zh-CN"/>
              </w:rPr>
              <w:t>的，全部满足得9分，少一项扣3分，</w:t>
            </w:r>
            <w:r>
              <w:rPr>
                <w:rFonts w:hint="eastAsia" w:ascii="宋体" w:hAnsi="宋体" w:cs="宋体"/>
                <w:bCs/>
                <w:color w:val="auto"/>
                <w:sz w:val="24"/>
                <w:szCs w:val="24"/>
                <w:highlight w:val="none"/>
                <w:lang w:eastAsia="zh-CN"/>
              </w:rPr>
              <w:t>没有不得分。</w:t>
            </w:r>
          </w:p>
          <w:p w14:paraId="70437155">
            <w:pPr>
              <w:adjustRightInd w:val="0"/>
              <w:spacing w:line="24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注：</w:t>
            </w:r>
            <w:r>
              <w:rPr>
                <w:rFonts w:hint="eastAsia" w:ascii="宋体" w:hAnsi="宋体" w:eastAsia="宋体" w:cs="宋体"/>
                <w:color w:val="auto"/>
                <w:sz w:val="24"/>
                <w:szCs w:val="24"/>
                <w:highlight w:val="none"/>
                <w:lang w:val="en-US" w:eastAsia="zh-CN"/>
              </w:rPr>
              <w:t>证明材料为有效证书扫描件以及投标截止日前在本单位近3个月（2025年1月-3月）的在册社保缴纳证明</w:t>
            </w:r>
            <w:r>
              <w:rPr>
                <w:rFonts w:hint="eastAsia" w:ascii="宋体" w:hAnsi="宋体" w:cs="宋体"/>
                <w:bCs/>
                <w:color w:val="auto"/>
                <w:sz w:val="24"/>
                <w:highlight w:val="none"/>
                <w:lang w:eastAsia="zh-CN"/>
              </w:rPr>
              <w:t>或已</w:t>
            </w:r>
            <w:r>
              <w:rPr>
                <w:rFonts w:hint="eastAsia" w:ascii="宋体" w:hAnsi="宋体" w:eastAsia="宋体" w:cs="宋体"/>
                <w:bCs/>
                <w:color w:val="auto"/>
                <w:sz w:val="24"/>
                <w:highlight w:val="none"/>
                <w:lang w:val="en-US" w:eastAsia="zh-CN"/>
              </w:rPr>
              <w:t>缴纳社保的承诺书，提供承诺的须在发布中标公告后3个工作日内提供社保缴纳凭证，</w:t>
            </w:r>
            <w:r>
              <w:rPr>
                <w:rFonts w:hint="eastAsia" w:ascii="宋体" w:hAnsi="宋体" w:eastAsia="宋体" w:cs="宋体"/>
                <w:color w:val="auto"/>
                <w:sz w:val="24"/>
                <w:szCs w:val="24"/>
                <w:highlight w:val="none"/>
                <w:lang w:val="en-US" w:eastAsia="zh-CN"/>
              </w:rPr>
              <w:t>否则不得分。</w:t>
            </w:r>
          </w:p>
        </w:tc>
        <w:tc>
          <w:tcPr>
            <w:tcW w:w="596" w:type="dxa"/>
            <w:noWrap/>
            <w:vAlign w:val="center"/>
          </w:tcPr>
          <w:p w14:paraId="2CFAB814">
            <w:pPr>
              <w:spacing w:line="240" w:lineRule="auto"/>
              <w:jc w:val="center"/>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0-</w:t>
            </w:r>
            <w:r>
              <w:rPr>
                <w:rFonts w:hint="eastAsia" w:ascii="宋体" w:hAnsi="宋体" w:cs="宋体"/>
                <w:bCs/>
                <w:color w:val="auto"/>
                <w:sz w:val="24"/>
                <w:szCs w:val="24"/>
                <w:lang w:val="en-US" w:eastAsia="zh-CN"/>
              </w:rPr>
              <w:t>9</w:t>
            </w:r>
          </w:p>
        </w:tc>
      </w:tr>
      <w:tr w14:paraId="20BB6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 w:hRule="atLeast"/>
          <w:jc w:val="center"/>
        </w:trPr>
        <w:tc>
          <w:tcPr>
            <w:tcW w:w="506" w:type="dxa"/>
            <w:vMerge w:val="continue"/>
            <w:noWrap/>
            <w:vAlign w:val="center"/>
          </w:tcPr>
          <w:p w14:paraId="22032482">
            <w:pPr>
              <w:pStyle w:val="43"/>
              <w:spacing w:line="240" w:lineRule="auto"/>
              <w:ind w:left="0" w:leftChars="0" w:firstLine="0" w:firstLineChars="0"/>
              <w:jc w:val="center"/>
              <w:rPr>
                <w:rFonts w:hint="eastAsia" w:ascii="宋体" w:hAnsi="宋体" w:eastAsia="宋体" w:cs="宋体"/>
                <w:color w:val="auto"/>
                <w:sz w:val="24"/>
                <w:szCs w:val="24"/>
              </w:rPr>
            </w:pPr>
          </w:p>
        </w:tc>
        <w:tc>
          <w:tcPr>
            <w:tcW w:w="591" w:type="dxa"/>
            <w:vMerge w:val="continue"/>
            <w:noWrap/>
            <w:vAlign w:val="center"/>
          </w:tcPr>
          <w:p w14:paraId="1710DF9A">
            <w:pPr>
              <w:spacing w:line="240" w:lineRule="auto"/>
              <w:jc w:val="center"/>
              <w:rPr>
                <w:rFonts w:hint="eastAsia" w:ascii="宋体" w:hAnsi="宋体" w:eastAsia="宋体" w:cs="宋体"/>
                <w:color w:val="auto"/>
                <w:sz w:val="24"/>
                <w:szCs w:val="24"/>
              </w:rPr>
            </w:pPr>
          </w:p>
        </w:tc>
        <w:tc>
          <w:tcPr>
            <w:tcW w:w="1750" w:type="dxa"/>
            <w:vMerge w:val="continue"/>
            <w:noWrap/>
            <w:vAlign w:val="center"/>
          </w:tcPr>
          <w:p w14:paraId="6995D952">
            <w:pPr>
              <w:spacing w:line="240" w:lineRule="auto"/>
              <w:jc w:val="center"/>
              <w:rPr>
                <w:rFonts w:hint="eastAsia" w:ascii="宋体" w:hAnsi="宋体" w:eastAsia="宋体" w:cs="宋体"/>
                <w:color w:val="auto"/>
                <w:sz w:val="24"/>
                <w:szCs w:val="24"/>
              </w:rPr>
            </w:pPr>
          </w:p>
        </w:tc>
        <w:tc>
          <w:tcPr>
            <w:tcW w:w="6332" w:type="dxa"/>
            <w:noWrap/>
            <w:vAlign w:val="center"/>
          </w:tcPr>
          <w:p w14:paraId="0DAD2FB0">
            <w:pPr>
              <w:adjustRightInd w:val="0"/>
              <w:spacing w:line="24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lang w:val="en-US" w:eastAsia="zh-CN"/>
              </w:rPr>
              <w:t>其他监理人员（</w:t>
            </w:r>
            <w:r>
              <w:rPr>
                <w:rFonts w:hint="eastAsia" w:ascii="宋体" w:hAnsi="宋体" w:eastAsia="宋体" w:cs="宋体"/>
                <w:color w:val="auto"/>
                <w:sz w:val="24"/>
                <w:szCs w:val="24"/>
                <w:lang w:val="en-US" w:eastAsia="zh-CN"/>
              </w:rPr>
              <w:t>除总监理工程师、总监理工程师代表外</w:t>
            </w:r>
            <w:r>
              <w:rPr>
                <w:rFonts w:hint="eastAsia" w:ascii="宋体" w:hAnsi="宋体" w:cs="宋体"/>
                <w:color w:val="auto"/>
                <w:sz w:val="24"/>
                <w:szCs w:val="24"/>
                <w:lang w:val="en-US" w:eastAsia="zh-CN"/>
              </w:rPr>
              <w:t>）</w:t>
            </w:r>
            <w:r>
              <w:rPr>
                <w:rFonts w:hint="eastAsia" w:ascii="宋体" w:hAnsi="宋体" w:eastAsia="宋体" w:cs="宋体"/>
                <w:color w:val="auto"/>
                <w:sz w:val="24"/>
                <w:szCs w:val="24"/>
                <w:lang w:val="en-US" w:eastAsia="zh-CN"/>
              </w:rPr>
              <w:t>：具有注册信息安全员（CISM）、网络信息安全工程师，全部满足得6分，少一项扣3分，没有不得分。</w:t>
            </w:r>
          </w:p>
          <w:p w14:paraId="189D5930">
            <w:pPr>
              <w:adjustRightInd w:val="0"/>
              <w:spacing w:line="240" w:lineRule="auto"/>
              <w:rPr>
                <w:rFonts w:hint="eastAsia" w:ascii="宋体" w:hAnsi="宋体" w:eastAsia="宋体" w:cs="宋体"/>
                <w:color w:val="auto"/>
                <w:sz w:val="24"/>
                <w:szCs w:val="24"/>
              </w:rPr>
            </w:pPr>
            <w:r>
              <w:rPr>
                <w:rFonts w:hint="eastAsia" w:ascii="宋体" w:hAnsi="宋体" w:cs="宋体"/>
                <w:color w:val="auto"/>
                <w:sz w:val="24"/>
                <w:szCs w:val="24"/>
                <w:highlight w:val="none"/>
                <w:lang w:val="en-US" w:eastAsia="zh-CN"/>
              </w:rPr>
              <w:t>注：</w:t>
            </w:r>
            <w:r>
              <w:rPr>
                <w:rFonts w:hint="eastAsia" w:ascii="宋体" w:hAnsi="宋体" w:eastAsia="宋体" w:cs="宋体"/>
                <w:color w:val="auto"/>
                <w:sz w:val="24"/>
                <w:szCs w:val="24"/>
                <w:highlight w:val="none"/>
                <w:lang w:val="en-US" w:eastAsia="zh-CN"/>
              </w:rPr>
              <w:t>证明材料为有效证书扫描件以及投标截止日前在本单位近3个月（2025年1月-3月）的在册社保缴纳证明</w:t>
            </w:r>
            <w:r>
              <w:rPr>
                <w:rFonts w:hint="eastAsia" w:ascii="宋体" w:hAnsi="宋体" w:cs="宋体"/>
                <w:bCs/>
                <w:color w:val="auto"/>
                <w:sz w:val="24"/>
                <w:highlight w:val="none"/>
                <w:lang w:eastAsia="zh-CN"/>
              </w:rPr>
              <w:t>或已</w:t>
            </w:r>
            <w:r>
              <w:rPr>
                <w:rFonts w:hint="eastAsia" w:ascii="宋体" w:hAnsi="宋体" w:eastAsia="宋体" w:cs="宋体"/>
                <w:bCs/>
                <w:color w:val="auto"/>
                <w:sz w:val="24"/>
                <w:highlight w:val="none"/>
                <w:lang w:val="en-US" w:eastAsia="zh-CN"/>
              </w:rPr>
              <w:t>缴纳社保的承诺书，提供承诺的须在发布中标公告后3个工作日内提供社保缴纳凭证，</w:t>
            </w:r>
            <w:r>
              <w:rPr>
                <w:rFonts w:hint="eastAsia" w:ascii="宋体" w:hAnsi="宋体" w:eastAsia="宋体" w:cs="宋体"/>
                <w:color w:val="auto"/>
                <w:sz w:val="24"/>
                <w:szCs w:val="24"/>
                <w:highlight w:val="none"/>
                <w:lang w:val="en-US" w:eastAsia="zh-CN"/>
              </w:rPr>
              <w:t>否则不得分。同类型证书只计1次，一人有多证只计1次。</w:t>
            </w:r>
          </w:p>
        </w:tc>
        <w:tc>
          <w:tcPr>
            <w:tcW w:w="596" w:type="dxa"/>
            <w:noWrap/>
            <w:vAlign w:val="center"/>
          </w:tcPr>
          <w:p w14:paraId="1D3868A4">
            <w:pPr>
              <w:spacing w:line="240" w:lineRule="auto"/>
              <w:jc w:val="center"/>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0-</w:t>
            </w:r>
            <w:r>
              <w:rPr>
                <w:rFonts w:hint="eastAsia" w:ascii="宋体" w:hAnsi="宋体" w:cs="宋体"/>
                <w:bCs/>
                <w:color w:val="auto"/>
                <w:sz w:val="24"/>
                <w:szCs w:val="24"/>
                <w:lang w:val="en-US" w:eastAsia="zh-CN"/>
              </w:rPr>
              <w:t>6</w:t>
            </w:r>
          </w:p>
        </w:tc>
      </w:tr>
      <w:tr w14:paraId="57F35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 w:hRule="atLeast"/>
          <w:jc w:val="center"/>
        </w:trPr>
        <w:tc>
          <w:tcPr>
            <w:tcW w:w="506" w:type="dxa"/>
            <w:vMerge w:val="restart"/>
            <w:noWrap/>
            <w:vAlign w:val="center"/>
          </w:tcPr>
          <w:p w14:paraId="0B988BA8">
            <w:pPr>
              <w:pStyle w:val="43"/>
              <w:spacing w:line="240" w:lineRule="auto"/>
              <w:ind w:left="0" w:leftChars="0" w:firstLine="0" w:firstLineChars="0"/>
              <w:jc w:val="center"/>
              <w:rPr>
                <w:rFonts w:hint="eastAsia" w:ascii="宋体" w:hAnsi="宋体" w:eastAsia="宋体" w:cs="宋体"/>
                <w:color w:val="auto"/>
                <w:sz w:val="24"/>
                <w:szCs w:val="24"/>
              </w:rPr>
            </w:pPr>
          </w:p>
          <w:p w14:paraId="50567397">
            <w:pPr>
              <w:pStyle w:val="43"/>
              <w:spacing w:line="240" w:lineRule="auto"/>
              <w:ind w:left="0" w:leftChars="0" w:firstLine="0" w:firstLineChars="0"/>
              <w:jc w:val="center"/>
              <w:rPr>
                <w:rFonts w:hint="eastAsia" w:ascii="宋体" w:hAnsi="宋体" w:eastAsia="宋体" w:cs="宋体"/>
                <w:color w:val="auto"/>
                <w:sz w:val="24"/>
                <w:szCs w:val="24"/>
              </w:rPr>
            </w:pPr>
          </w:p>
          <w:p w14:paraId="285A8DBA">
            <w:pPr>
              <w:pStyle w:val="43"/>
              <w:spacing w:line="240" w:lineRule="auto"/>
              <w:ind w:left="0" w:leftChars="0" w:firstLine="0" w:firstLineChars="0"/>
              <w:jc w:val="center"/>
              <w:rPr>
                <w:rFonts w:hint="eastAsia" w:ascii="宋体" w:hAnsi="宋体" w:eastAsia="宋体" w:cs="宋体"/>
                <w:color w:val="auto"/>
                <w:sz w:val="24"/>
                <w:szCs w:val="24"/>
              </w:rPr>
            </w:pPr>
          </w:p>
          <w:p w14:paraId="68813DC9">
            <w:pPr>
              <w:pStyle w:val="43"/>
              <w:spacing w:line="240" w:lineRule="auto"/>
              <w:ind w:left="0" w:leftChars="0" w:firstLine="0" w:firstLineChars="0"/>
              <w:jc w:val="center"/>
              <w:rPr>
                <w:rFonts w:hint="eastAsia" w:ascii="宋体" w:hAnsi="宋体" w:eastAsia="宋体" w:cs="宋体"/>
                <w:color w:val="auto"/>
                <w:sz w:val="24"/>
                <w:szCs w:val="24"/>
              </w:rPr>
            </w:pPr>
          </w:p>
          <w:p w14:paraId="0AE51945">
            <w:pPr>
              <w:pStyle w:val="43"/>
              <w:spacing w:line="240" w:lineRule="auto"/>
              <w:ind w:left="0" w:leftChars="0" w:firstLine="0" w:firstLineChars="0"/>
              <w:jc w:val="center"/>
              <w:rPr>
                <w:rFonts w:hint="eastAsia" w:ascii="宋体" w:hAnsi="宋体" w:eastAsia="宋体" w:cs="宋体"/>
                <w:color w:val="auto"/>
                <w:sz w:val="24"/>
                <w:szCs w:val="24"/>
              </w:rPr>
            </w:pPr>
          </w:p>
          <w:p w14:paraId="76040D00">
            <w:pPr>
              <w:pStyle w:val="43"/>
              <w:spacing w:line="240" w:lineRule="auto"/>
              <w:ind w:left="0" w:leftChars="0" w:firstLine="0" w:firstLineChars="0"/>
              <w:jc w:val="center"/>
              <w:rPr>
                <w:rFonts w:hint="eastAsia" w:ascii="宋体" w:hAnsi="宋体" w:eastAsia="宋体" w:cs="宋体"/>
                <w:color w:val="auto"/>
                <w:sz w:val="24"/>
                <w:szCs w:val="24"/>
              </w:rPr>
            </w:pPr>
          </w:p>
          <w:p w14:paraId="0620467D">
            <w:pPr>
              <w:pStyle w:val="43"/>
              <w:spacing w:line="240" w:lineRule="auto"/>
              <w:ind w:left="0" w:leftChars="0" w:firstLine="0" w:firstLineChars="0"/>
              <w:jc w:val="center"/>
              <w:rPr>
                <w:rFonts w:hint="eastAsia" w:ascii="宋体" w:hAnsi="宋体" w:eastAsia="宋体" w:cs="宋体"/>
                <w:color w:val="auto"/>
                <w:sz w:val="24"/>
                <w:szCs w:val="24"/>
              </w:rPr>
            </w:pPr>
          </w:p>
          <w:p w14:paraId="11D6BF44">
            <w:pPr>
              <w:pStyle w:val="43"/>
              <w:spacing w:line="240" w:lineRule="auto"/>
              <w:ind w:left="0" w:leftChars="0" w:firstLine="0" w:firstLineChars="0"/>
              <w:jc w:val="center"/>
              <w:rPr>
                <w:rFonts w:hint="eastAsia" w:ascii="宋体" w:hAnsi="宋体" w:eastAsia="宋体" w:cs="宋体"/>
                <w:color w:val="auto"/>
                <w:sz w:val="24"/>
                <w:szCs w:val="24"/>
              </w:rPr>
            </w:pPr>
          </w:p>
          <w:p w14:paraId="698C57B4">
            <w:pPr>
              <w:pStyle w:val="43"/>
              <w:spacing w:line="240" w:lineRule="auto"/>
              <w:ind w:left="0" w:leftChars="0" w:firstLine="0" w:firstLineChars="0"/>
              <w:jc w:val="center"/>
              <w:rPr>
                <w:rFonts w:hint="eastAsia" w:ascii="宋体" w:hAnsi="宋体" w:eastAsia="宋体" w:cs="宋体"/>
                <w:color w:val="auto"/>
                <w:sz w:val="24"/>
                <w:szCs w:val="24"/>
              </w:rPr>
            </w:pPr>
          </w:p>
          <w:p w14:paraId="5A0EA7BF">
            <w:pPr>
              <w:pStyle w:val="43"/>
              <w:spacing w:line="240" w:lineRule="auto"/>
              <w:ind w:left="0" w:leftChars="0" w:firstLine="0" w:firstLineChars="0"/>
              <w:jc w:val="center"/>
              <w:rPr>
                <w:rFonts w:hint="eastAsia" w:ascii="宋体" w:hAnsi="宋体" w:eastAsia="宋体" w:cs="宋体"/>
                <w:color w:val="auto"/>
                <w:sz w:val="24"/>
                <w:szCs w:val="24"/>
              </w:rPr>
            </w:pPr>
          </w:p>
          <w:p w14:paraId="439A5906">
            <w:pPr>
              <w:pStyle w:val="43"/>
              <w:spacing w:line="240" w:lineRule="auto"/>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591" w:type="dxa"/>
            <w:vMerge w:val="restart"/>
            <w:noWrap/>
            <w:vAlign w:val="center"/>
          </w:tcPr>
          <w:p w14:paraId="6A8144CB">
            <w:pPr>
              <w:spacing w:line="240" w:lineRule="auto"/>
              <w:rPr>
                <w:rFonts w:hint="eastAsia" w:ascii="宋体" w:hAnsi="宋体" w:eastAsia="宋体" w:cs="宋体"/>
                <w:bCs/>
                <w:iCs/>
                <w:color w:val="auto"/>
                <w:sz w:val="24"/>
                <w:szCs w:val="24"/>
              </w:rPr>
            </w:pPr>
          </w:p>
          <w:p w14:paraId="1F508A8E">
            <w:pPr>
              <w:spacing w:line="240" w:lineRule="auto"/>
              <w:rPr>
                <w:rFonts w:hint="eastAsia" w:ascii="宋体" w:hAnsi="宋体" w:eastAsia="宋体" w:cs="宋体"/>
                <w:bCs/>
                <w:iCs/>
                <w:color w:val="auto"/>
                <w:sz w:val="24"/>
                <w:szCs w:val="24"/>
              </w:rPr>
            </w:pPr>
          </w:p>
          <w:p w14:paraId="0639D349">
            <w:pPr>
              <w:spacing w:line="240" w:lineRule="auto"/>
              <w:rPr>
                <w:rFonts w:hint="eastAsia" w:ascii="宋体" w:hAnsi="宋体" w:eastAsia="宋体" w:cs="宋体"/>
                <w:bCs/>
                <w:iCs/>
                <w:color w:val="auto"/>
                <w:sz w:val="24"/>
                <w:szCs w:val="24"/>
              </w:rPr>
            </w:pPr>
          </w:p>
          <w:p w14:paraId="075554CF">
            <w:pPr>
              <w:spacing w:line="240" w:lineRule="auto"/>
              <w:rPr>
                <w:rFonts w:hint="eastAsia" w:ascii="宋体" w:hAnsi="宋体" w:eastAsia="宋体" w:cs="宋体"/>
                <w:bCs/>
                <w:iCs/>
                <w:color w:val="auto"/>
                <w:sz w:val="24"/>
                <w:szCs w:val="24"/>
              </w:rPr>
            </w:pPr>
          </w:p>
          <w:p w14:paraId="790EE45E">
            <w:pPr>
              <w:spacing w:line="240" w:lineRule="auto"/>
              <w:rPr>
                <w:rFonts w:hint="eastAsia" w:ascii="宋体" w:hAnsi="宋体" w:eastAsia="宋体" w:cs="宋体"/>
                <w:bCs/>
                <w:iCs/>
                <w:color w:val="auto"/>
                <w:sz w:val="24"/>
                <w:szCs w:val="24"/>
              </w:rPr>
            </w:pPr>
          </w:p>
          <w:p w14:paraId="08873EB8">
            <w:pPr>
              <w:spacing w:line="240" w:lineRule="auto"/>
              <w:rPr>
                <w:rFonts w:hint="eastAsia" w:ascii="宋体" w:hAnsi="宋体" w:eastAsia="宋体" w:cs="宋体"/>
                <w:iCs/>
                <w:color w:val="auto"/>
                <w:sz w:val="24"/>
                <w:szCs w:val="24"/>
              </w:rPr>
            </w:pPr>
            <w:r>
              <w:rPr>
                <w:rFonts w:hint="eastAsia" w:ascii="宋体" w:hAnsi="宋体" w:eastAsia="宋体" w:cs="宋体"/>
                <w:bCs/>
                <w:iCs/>
                <w:color w:val="auto"/>
                <w:sz w:val="24"/>
                <w:szCs w:val="24"/>
              </w:rPr>
              <w:t>监理实施方案</w:t>
            </w:r>
          </w:p>
        </w:tc>
        <w:tc>
          <w:tcPr>
            <w:tcW w:w="1750" w:type="dxa"/>
            <w:noWrap/>
            <w:vAlign w:val="center"/>
          </w:tcPr>
          <w:p w14:paraId="5B079B18">
            <w:pPr>
              <w:spacing w:line="24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项目需求理解（</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p>
        </w:tc>
        <w:tc>
          <w:tcPr>
            <w:tcW w:w="6332" w:type="dxa"/>
            <w:noWrap/>
            <w:vAlign w:val="center"/>
          </w:tcPr>
          <w:p w14:paraId="5E781F3B">
            <w:pPr>
              <w:spacing w:line="240" w:lineRule="auto"/>
              <w:rPr>
                <w:rFonts w:hint="default" w:ascii="宋体" w:hAnsi="宋体" w:eastAsia="宋体" w:cs="宋体"/>
                <w:color w:val="auto"/>
                <w:sz w:val="24"/>
                <w:szCs w:val="24"/>
                <w:lang w:val="en-US"/>
              </w:rPr>
            </w:pPr>
            <w:r>
              <w:rPr>
                <w:rFonts w:hint="eastAsia" w:ascii="宋体" w:hAnsi="宋体" w:cs="宋体"/>
                <w:color w:val="auto"/>
                <w:sz w:val="24"/>
                <w:szCs w:val="24"/>
                <w:lang w:eastAsia="zh-CN"/>
              </w:rPr>
              <w:t>根据</w:t>
            </w:r>
            <w:r>
              <w:rPr>
                <w:rFonts w:hint="eastAsia" w:ascii="宋体" w:hAnsi="宋体" w:eastAsia="宋体" w:cs="宋体"/>
                <w:color w:val="auto"/>
                <w:sz w:val="24"/>
                <w:szCs w:val="24"/>
              </w:rPr>
              <w:t>投标人</w:t>
            </w:r>
            <w:r>
              <w:rPr>
                <w:rFonts w:hint="eastAsia" w:ascii="宋体" w:hAnsi="宋体" w:cs="宋体"/>
                <w:color w:val="auto"/>
                <w:sz w:val="24"/>
                <w:szCs w:val="24"/>
                <w:lang w:eastAsia="zh-CN"/>
              </w:rPr>
              <w:t>对</w:t>
            </w:r>
            <w:r>
              <w:rPr>
                <w:rFonts w:hint="eastAsia" w:ascii="宋体" w:hAnsi="宋体" w:eastAsia="宋体" w:cs="宋体"/>
                <w:color w:val="auto"/>
                <w:sz w:val="24"/>
                <w:szCs w:val="24"/>
              </w:rPr>
              <w:t>该项目建设的背景</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0-2分</w:t>
            </w:r>
            <w:r>
              <w:rPr>
                <w:rFonts w:hint="eastAsia" w:ascii="宋体" w:hAnsi="宋体" w:cs="宋体"/>
                <w:color w:val="auto"/>
                <w:sz w:val="24"/>
                <w:szCs w:val="24"/>
                <w:lang w:eastAsia="zh-CN"/>
              </w:rPr>
              <w:t>）</w:t>
            </w:r>
            <w:r>
              <w:rPr>
                <w:rFonts w:hint="eastAsia" w:ascii="宋体" w:hAnsi="宋体" w:eastAsia="宋体" w:cs="宋体"/>
                <w:color w:val="auto"/>
                <w:sz w:val="24"/>
                <w:szCs w:val="24"/>
              </w:rPr>
              <w:t>、总体架构</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0-2分</w:t>
            </w:r>
            <w:r>
              <w:rPr>
                <w:rFonts w:hint="eastAsia" w:ascii="宋体" w:hAnsi="宋体" w:cs="宋体"/>
                <w:color w:val="auto"/>
                <w:sz w:val="24"/>
                <w:szCs w:val="24"/>
                <w:lang w:eastAsia="zh-CN"/>
              </w:rPr>
              <w:t>）</w:t>
            </w:r>
            <w:r>
              <w:rPr>
                <w:rFonts w:hint="eastAsia" w:ascii="宋体" w:hAnsi="宋体" w:eastAsia="宋体" w:cs="宋体"/>
                <w:color w:val="auto"/>
                <w:sz w:val="24"/>
                <w:szCs w:val="24"/>
              </w:rPr>
              <w:t>、建设内容</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0-2分</w:t>
            </w:r>
            <w:r>
              <w:rPr>
                <w:rFonts w:hint="eastAsia" w:ascii="宋体" w:hAnsi="宋体" w:cs="宋体"/>
                <w:color w:val="auto"/>
                <w:sz w:val="24"/>
                <w:szCs w:val="24"/>
                <w:lang w:eastAsia="zh-CN"/>
              </w:rPr>
              <w:t>）</w:t>
            </w:r>
            <w:r>
              <w:rPr>
                <w:rFonts w:hint="eastAsia" w:ascii="宋体" w:hAnsi="宋体" w:eastAsia="宋体" w:cs="宋体"/>
                <w:color w:val="auto"/>
                <w:sz w:val="24"/>
                <w:szCs w:val="24"/>
              </w:rPr>
              <w:t>及重点发展方向</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0-2分</w:t>
            </w:r>
            <w:r>
              <w:rPr>
                <w:rFonts w:hint="eastAsia" w:ascii="宋体" w:hAnsi="宋体" w:cs="宋体"/>
                <w:color w:val="auto"/>
                <w:sz w:val="24"/>
                <w:szCs w:val="24"/>
                <w:lang w:eastAsia="zh-CN"/>
              </w:rPr>
              <w:t>）</w:t>
            </w:r>
            <w:r>
              <w:rPr>
                <w:rFonts w:hint="eastAsia" w:ascii="宋体" w:hAnsi="宋体" w:eastAsia="宋体" w:cs="宋体"/>
                <w:color w:val="auto"/>
                <w:sz w:val="24"/>
                <w:szCs w:val="24"/>
              </w:rPr>
              <w:t>的总体理解针对性、深入、全面、准确到位、阐述准确</w:t>
            </w:r>
            <w:r>
              <w:rPr>
                <w:rFonts w:hint="eastAsia" w:ascii="宋体" w:hAnsi="宋体" w:cs="宋体"/>
                <w:color w:val="auto"/>
                <w:sz w:val="24"/>
                <w:szCs w:val="24"/>
                <w:lang w:eastAsia="zh-CN"/>
              </w:rPr>
              <w:t>性等进行打分，</w:t>
            </w:r>
            <w:r>
              <w:rPr>
                <w:rFonts w:hint="eastAsia" w:ascii="宋体" w:hAnsi="宋体" w:eastAsia="宋体" w:cs="宋体"/>
                <w:color w:val="auto"/>
                <w:kern w:val="2"/>
                <w:sz w:val="24"/>
                <w:szCs w:val="24"/>
                <w:highlight w:val="none"/>
                <w:lang w:val="en-US" w:eastAsia="zh-CN"/>
              </w:rPr>
              <w:t>本项最高得</w:t>
            </w:r>
            <w:r>
              <w:rPr>
                <w:rFonts w:hint="eastAsia" w:ascii="宋体" w:hAnsi="宋体" w:cs="宋体"/>
                <w:color w:val="auto"/>
                <w:kern w:val="2"/>
                <w:sz w:val="24"/>
                <w:szCs w:val="24"/>
                <w:highlight w:val="none"/>
                <w:lang w:val="en-US" w:eastAsia="zh-CN"/>
              </w:rPr>
              <w:t>8</w:t>
            </w:r>
            <w:r>
              <w:rPr>
                <w:rFonts w:hint="eastAsia" w:ascii="宋体" w:hAnsi="宋体" w:eastAsia="宋体" w:cs="宋体"/>
                <w:color w:val="auto"/>
                <w:kern w:val="2"/>
                <w:sz w:val="24"/>
                <w:szCs w:val="24"/>
                <w:highlight w:val="none"/>
                <w:lang w:val="en-US" w:eastAsia="zh-CN"/>
              </w:rPr>
              <w:t>分</w:t>
            </w:r>
            <w:r>
              <w:rPr>
                <w:rFonts w:hint="eastAsia" w:ascii="宋体" w:hAnsi="宋体" w:eastAsia="宋体" w:cs="宋体"/>
                <w:color w:val="auto"/>
                <w:sz w:val="24"/>
                <w:szCs w:val="24"/>
              </w:rPr>
              <w:t>。</w:t>
            </w:r>
          </w:p>
        </w:tc>
        <w:tc>
          <w:tcPr>
            <w:tcW w:w="596" w:type="dxa"/>
            <w:noWrap/>
            <w:vAlign w:val="center"/>
          </w:tcPr>
          <w:p w14:paraId="38F3468F">
            <w:pPr>
              <w:spacing w:line="240" w:lineRule="auto"/>
              <w:jc w:val="center"/>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0-</w:t>
            </w:r>
            <w:r>
              <w:rPr>
                <w:rFonts w:hint="eastAsia" w:ascii="宋体" w:hAnsi="宋体" w:cs="宋体"/>
                <w:bCs/>
                <w:color w:val="auto"/>
                <w:sz w:val="24"/>
                <w:szCs w:val="24"/>
                <w:lang w:val="en-US" w:eastAsia="zh-CN"/>
              </w:rPr>
              <w:t>8</w:t>
            </w:r>
          </w:p>
        </w:tc>
      </w:tr>
      <w:tr w14:paraId="2FA64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jc w:val="center"/>
        </w:trPr>
        <w:tc>
          <w:tcPr>
            <w:tcW w:w="506" w:type="dxa"/>
            <w:vMerge w:val="continue"/>
            <w:noWrap/>
            <w:vAlign w:val="center"/>
          </w:tcPr>
          <w:p w14:paraId="3E3E35AA">
            <w:pPr>
              <w:pStyle w:val="43"/>
              <w:spacing w:line="240" w:lineRule="auto"/>
              <w:ind w:left="0" w:leftChars="0" w:firstLine="0" w:firstLineChars="0"/>
              <w:jc w:val="center"/>
              <w:rPr>
                <w:rFonts w:hint="eastAsia" w:ascii="宋体" w:hAnsi="宋体" w:eastAsia="宋体" w:cs="宋体"/>
                <w:color w:val="auto"/>
                <w:sz w:val="24"/>
                <w:szCs w:val="24"/>
              </w:rPr>
            </w:pPr>
          </w:p>
        </w:tc>
        <w:tc>
          <w:tcPr>
            <w:tcW w:w="591" w:type="dxa"/>
            <w:vMerge w:val="continue"/>
            <w:noWrap/>
            <w:vAlign w:val="center"/>
          </w:tcPr>
          <w:p w14:paraId="509E2431">
            <w:pPr>
              <w:spacing w:line="240" w:lineRule="auto"/>
              <w:rPr>
                <w:rFonts w:hint="eastAsia" w:ascii="宋体" w:hAnsi="宋体" w:eastAsia="宋体" w:cs="宋体"/>
                <w:iCs/>
                <w:color w:val="auto"/>
                <w:sz w:val="24"/>
                <w:szCs w:val="24"/>
              </w:rPr>
            </w:pPr>
          </w:p>
        </w:tc>
        <w:tc>
          <w:tcPr>
            <w:tcW w:w="1750" w:type="dxa"/>
            <w:noWrap/>
            <w:vAlign w:val="center"/>
          </w:tcPr>
          <w:p w14:paraId="73A6B421">
            <w:pPr>
              <w:spacing w:line="24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项目监理重点、难点分析（</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p>
        </w:tc>
        <w:tc>
          <w:tcPr>
            <w:tcW w:w="6332" w:type="dxa"/>
            <w:noWrap/>
            <w:vAlign w:val="center"/>
          </w:tcPr>
          <w:p w14:paraId="24815E58">
            <w:pPr>
              <w:spacing w:line="240" w:lineRule="auto"/>
              <w:rPr>
                <w:rFonts w:hint="eastAsia" w:ascii="宋体" w:hAnsi="宋体" w:eastAsia="宋体" w:cs="宋体"/>
                <w:color w:val="auto"/>
                <w:sz w:val="24"/>
                <w:szCs w:val="24"/>
                <w:lang w:eastAsia="zh-CN"/>
              </w:rPr>
            </w:pPr>
            <w:r>
              <w:rPr>
                <w:rFonts w:hint="eastAsia" w:ascii="宋体" w:hAnsi="宋体" w:cs="宋体"/>
                <w:color w:val="auto"/>
                <w:sz w:val="24"/>
                <w:szCs w:val="24"/>
                <w:lang w:eastAsia="zh-CN"/>
              </w:rPr>
              <w:t>根据投标人对</w:t>
            </w:r>
            <w:r>
              <w:rPr>
                <w:rFonts w:hint="eastAsia" w:ascii="宋体" w:hAnsi="宋体" w:eastAsia="宋体" w:cs="宋体"/>
                <w:color w:val="auto"/>
                <w:sz w:val="24"/>
                <w:szCs w:val="24"/>
              </w:rPr>
              <w:t>重难点分析清楚准确到位</w:t>
            </w:r>
            <w:r>
              <w:rPr>
                <w:rFonts w:hint="eastAsia" w:ascii="宋体" w:hAnsi="宋体" w:cs="宋体"/>
                <w:color w:val="auto"/>
                <w:sz w:val="24"/>
                <w:szCs w:val="24"/>
                <w:lang w:eastAsia="zh-CN"/>
              </w:rPr>
              <w:t>性（</w:t>
            </w:r>
            <w:r>
              <w:rPr>
                <w:rFonts w:hint="eastAsia" w:ascii="宋体" w:hAnsi="宋体" w:cs="宋体"/>
                <w:color w:val="auto"/>
                <w:sz w:val="24"/>
                <w:szCs w:val="24"/>
                <w:lang w:val="en-US" w:eastAsia="zh-CN"/>
              </w:rPr>
              <w:t>0-2分</w:t>
            </w:r>
            <w:r>
              <w:rPr>
                <w:rFonts w:hint="eastAsia" w:ascii="宋体" w:hAnsi="宋体" w:cs="宋体"/>
                <w:color w:val="auto"/>
                <w:sz w:val="24"/>
                <w:szCs w:val="24"/>
                <w:lang w:eastAsia="zh-CN"/>
              </w:rPr>
              <w:t>）</w:t>
            </w:r>
            <w:r>
              <w:rPr>
                <w:rFonts w:hint="eastAsia" w:ascii="宋体" w:hAnsi="宋体" w:eastAsia="宋体" w:cs="宋体"/>
                <w:color w:val="auto"/>
                <w:sz w:val="24"/>
                <w:szCs w:val="24"/>
              </w:rPr>
              <w:t>，符合项目实际情况</w:t>
            </w:r>
            <w:r>
              <w:rPr>
                <w:rFonts w:hint="eastAsia" w:ascii="宋体" w:hAnsi="宋体" w:cs="宋体"/>
                <w:color w:val="auto"/>
                <w:sz w:val="24"/>
                <w:szCs w:val="24"/>
                <w:lang w:eastAsia="zh-CN"/>
              </w:rPr>
              <w:t>性（</w:t>
            </w:r>
            <w:r>
              <w:rPr>
                <w:rFonts w:hint="eastAsia" w:ascii="宋体" w:hAnsi="宋体" w:cs="宋体"/>
                <w:color w:val="auto"/>
                <w:sz w:val="24"/>
                <w:szCs w:val="24"/>
                <w:lang w:val="en-US" w:eastAsia="zh-CN"/>
              </w:rPr>
              <w:t>0-2分</w:t>
            </w:r>
            <w:r>
              <w:rPr>
                <w:rFonts w:hint="eastAsia" w:ascii="宋体" w:hAnsi="宋体" w:cs="宋体"/>
                <w:color w:val="auto"/>
                <w:sz w:val="24"/>
                <w:szCs w:val="24"/>
                <w:lang w:eastAsia="zh-CN"/>
              </w:rPr>
              <w:t>）</w:t>
            </w:r>
            <w:r>
              <w:rPr>
                <w:rFonts w:hint="eastAsia" w:ascii="宋体" w:hAnsi="宋体" w:eastAsia="宋体" w:cs="宋体"/>
                <w:color w:val="auto"/>
                <w:sz w:val="24"/>
                <w:szCs w:val="24"/>
              </w:rPr>
              <w:t>，对应的解决方法与措施合理可行性</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0-2分</w:t>
            </w:r>
            <w:r>
              <w:rPr>
                <w:rFonts w:hint="eastAsia" w:ascii="宋体" w:hAnsi="宋体" w:cs="宋体"/>
                <w:color w:val="auto"/>
                <w:sz w:val="24"/>
                <w:szCs w:val="24"/>
                <w:lang w:eastAsia="zh-CN"/>
              </w:rPr>
              <w:t>）</w:t>
            </w:r>
            <w:r>
              <w:rPr>
                <w:rFonts w:hint="eastAsia" w:ascii="宋体" w:hAnsi="宋体" w:eastAsia="宋体" w:cs="宋体"/>
                <w:color w:val="auto"/>
                <w:sz w:val="24"/>
                <w:szCs w:val="24"/>
              </w:rPr>
              <w:t>，具有可操作性</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0-2分</w:t>
            </w:r>
            <w:r>
              <w:rPr>
                <w:rFonts w:hint="eastAsia" w:ascii="宋体" w:hAnsi="宋体" w:cs="宋体"/>
                <w:color w:val="auto"/>
                <w:sz w:val="24"/>
                <w:szCs w:val="24"/>
                <w:lang w:eastAsia="zh-CN"/>
              </w:rPr>
              <w:t>）进行打分，</w:t>
            </w:r>
            <w:r>
              <w:rPr>
                <w:rFonts w:hint="eastAsia" w:ascii="宋体" w:hAnsi="宋体" w:eastAsia="宋体" w:cs="宋体"/>
                <w:color w:val="auto"/>
                <w:kern w:val="2"/>
                <w:sz w:val="24"/>
                <w:szCs w:val="24"/>
                <w:highlight w:val="none"/>
                <w:lang w:val="en-US" w:eastAsia="zh-CN"/>
              </w:rPr>
              <w:t>本项最高得</w:t>
            </w:r>
            <w:r>
              <w:rPr>
                <w:rFonts w:hint="eastAsia" w:ascii="宋体" w:hAnsi="宋体" w:cs="宋体"/>
                <w:color w:val="auto"/>
                <w:kern w:val="2"/>
                <w:sz w:val="24"/>
                <w:szCs w:val="24"/>
                <w:highlight w:val="none"/>
                <w:lang w:val="en-US" w:eastAsia="zh-CN"/>
              </w:rPr>
              <w:t>8</w:t>
            </w:r>
            <w:r>
              <w:rPr>
                <w:rFonts w:hint="eastAsia" w:ascii="宋体" w:hAnsi="宋体" w:eastAsia="宋体" w:cs="宋体"/>
                <w:color w:val="auto"/>
                <w:kern w:val="2"/>
                <w:sz w:val="24"/>
                <w:szCs w:val="24"/>
                <w:highlight w:val="none"/>
                <w:lang w:val="en-US" w:eastAsia="zh-CN"/>
              </w:rPr>
              <w:t>分</w:t>
            </w:r>
            <w:r>
              <w:rPr>
                <w:rFonts w:hint="eastAsia" w:ascii="宋体" w:hAnsi="宋体" w:cs="宋体"/>
                <w:color w:val="auto"/>
                <w:sz w:val="24"/>
                <w:szCs w:val="24"/>
                <w:lang w:eastAsia="zh-CN"/>
              </w:rPr>
              <w:t>。</w:t>
            </w:r>
          </w:p>
        </w:tc>
        <w:tc>
          <w:tcPr>
            <w:tcW w:w="596" w:type="dxa"/>
            <w:noWrap/>
            <w:vAlign w:val="center"/>
          </w:tcPr>
          <w:p w14:paraId="48CBD593">
            <w:pPr>
              <w:spacing w:line="240" w:lineRule="auto"/>
              <w:jc w:val="center"/>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0-</w:t>
            </w:r>
            <w:r>
              <w:rPr>
                <w:rFonts w:hint="eastAsia" w:ascii="宋体" w:hAnsi="宋体" w:cs="宋体"/>
                <w:bCs/>
                <w:color w:val="auto"/>
                <w:sz w:val="24"/>
                <w:szCs w:val="24"/>
                <w:lang w:val="en-US" w:eastAsia="zh-CN"/>
              </w:rPr>
              <w:t>8</w:t>
            </w:r>
          </w:p>
        </w:tc>
      </w:tr>
      <w:tr w14:paraId="0BF1C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 w:hRule="atLeast"/>
          <w:jc w:val="center"/>
        </w:trPr>
        <w:tc>
          <w:tcPr>
            <w:tcW w:w="506" w:type="dxa"/>
            <w:vMerge w:val="continue"/>
            <w:noWrap/>
            <w:vAlign w:val="center"/>
          </w:tcPr>
          <w:p w14:paraId="76D19174">
            <w:pPr>
              <w:pStyle w:val="43"/>
              <w:spacing w:line="240" w:lineRule="auto"/>
              <w:rPr>
                <w:rFonts w:hint="eastAsia" w:ascii="宋体" w:hAnsi="宋体" w:eastAsia="宋体" w:cs="宋体"/>
                <w:color w:val="auto"/>
                <w:sz w:val="24"/>
                <w:szCs w:val="24"/>
              </w:rPr>
            </w:pPr>
          </w:p>
        </w:tc>
        <w:tc>
          <w:tcPr>
            <w:tcW w:w="591" w:type="dxa"/>
            <w:vMerge w:val="continue"/>
            <w:noWrap/>
            <w:vAlign w:val="center"/>
          </w:tcPr>
          <w:p w14:paraId="6E062D85">
            <w:pPr>
              <w:spacing w:line="240" w:lineRule="auto"/>
              <w:rPr>
                <w:rFonts w:hint="eastAsia" w:ascii="宋体" w:hAnsi="宋体" w:eastAsia="宋体" w:cs="宋体"/>
                <w:color w:val="auto"/>
                <w:sz w:val="24"/>
                <w:szCs w:val="24"/>
              </w:rPr>
            </w:pPr>
          </w:p>
        </w:tc>
        <w:tc>
          <w:tcPr>
            <w:tcW w:w="1750" w:type="dxa"/>
            <w:noWrap/>
            <w:vAlign w:val="center"/>
          </w:tcPr>
          <w:p w14:paraId="41146E55">
            <w:pPr>
              <w:spacing w:line="24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监理工作质量控制方案（</w:t>
            </w:r>
            <w:r>
              <w:rPr>
                <w:rFonts w:hint="eastAsia" w:ascii="宋体" w:hAnsi="宋体" w:cs="宋体"/>
                <w:color w:val="auto"/>
                <w:sz w:val="24"/>
                <w:szCs w:val="24"/>
                <w:lang w:val="en-US" w:eastAsia="zh-CN"/>
              </w:rPr>
              <w:t>4</w:t>
            </w:r>
            <w:r>
              <w:rPr>
                <w:rFonts w:hint="eastAsia" w:ascii="宋体" w:hAnsi="宋体" w:eastAsia="宋体" w:cs="宋体"/>
                <w:color w:val="auto"/>
                <w:sz w:val="24"/>
                <w:szCs w:val="24"/>
              </w:rPr>
              <w:t>分）</w:t>
            </w:r>
          </w:p>
        </w:tc>
        <w:tc>
          <w:tcPr>
            <w:tcW w:w="6332" w:type="dxa"/>
            <w:noWrap/>
            <w:vAlign w:val="center"/>
          </w:tcPr>
          <w:p w14:paraId="7158EB13">
            <w:pPr>
              <w:spacing w:line="24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监理工作质量控制方案（包括管控的科学合理性</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0-2分</w:t>
            </w:r>
            <w:r>
              <w:rPr>
                <w:rFonts w:hint="eastAsia" w:ascii="宋体" w:hAnsi="宋体" w:cs="宋体"/>
                <w:color w:val="auto"/>
                <w:sz w:val="24"/>
                <w:szCs w:val="24"/>
                <w:lang w:eastAsia="zh-CN"/>
              </w:rPr>
              <w:t>）、</w:t>
            </w:r>
            <w:r>
              <w:rPr>
                <w:rFonts w:hint="eastAsia" w:ascii="宋体" w:hAnsi="宋体" w:eastAsia="宋体" w:cs="宋体"/>
                <w:color w:val="auto"/>
                <w:sz w:val="24"/>
                <w:szCs w:val="24"/>
              </w:rPr>
              <w:t>是否有针对性</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0-2分</w:t>
            </w:r>
            <w:r>
              <w:rPr>
                <w:rFonts w:hint="eastAsia" w:ascii="宋体" w:hAnsi="宋体" w:cs="宋体"/>
                <w:color w:val="auto"/>
                <w:sz w:val="24"/>
                <w:szCs w:val="24"/>
                <w:lang w:eastAsia="zh-CN"/>
              </w:rPr>
              <w:t>）</w:t>
            </w:r>
            <w:r>
              <w:rPr>
                <w:rFonts w:hint="eastAsia" w:ascii="宋体" w:hAnsi="宋体" w:eastAsia="宋体" w:cs="宋体"/>
                <w:color w:val="auto"/>
                <w:sz w:val="24"/>
                <w:szCs w:val="24"/>
              </w:rPr>
              <w:t>）</w:t>
            </w:r>
            <w:r>
              <w:rPr>
                <w:rFonts w:hint="eastAsia" w:ascii="宋体" w:hAnsi="宋体" w:cs="宋体"/>
                <w:color w:val="auto"/>
                <w:sz w:val="24"/>
                <w:szCs w:val="24"/>
                <w:lang w:eastAsia="zh-CN"/>
              </w:rPr>
              <w:t>等进行打分，</w:t>
            </w:r>
            <w:r>
              <w:rPr>
                <w:rFonts w:hint="eastAsia" w:ascii="宋体" w:hAnsi="宋体" w:eastAsia="宋体" w:cs="宋体"/>
                <w:color w:val="auto"/>
                <w:kern w:val="2"/>
                <w:sz w:val="24"/>
                <w:szCs w:val="24"/>
                <w:highlight w:val="none"/>
                <w:lang w:val="en-US" w:eastAsia="zh-CN"/>
              </w:rPr>
              <w:t>本项最高得</w:t>
            </w:r>
            <w:r>
              <w:rPr>
                <w:rFonts w:hint="eastAsia" w:ascii="宋体" w:hAnsi="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lang w:val="en-US" w:eastAsia="zh-CN"/>
              </w:rPr>
              <w:t>分</w:t>
            </w:r>
            <w:r>
              <w:rPr>
                <w:rFonts w:hint="eastAsia" w:ascii="宋体" w:hAnsi="宋体" w:cs="宋体"/>
                <w:color w:val="auto"/>
                <w:sz w:val="24"/>
                <w:szCs w:val="24"/>
                <w:lang w:eastAsia="zh-CN"/>
              </w:rPr>
              <w:t>。</w:t>
            </w:r>
          </w:p>
        </w:tc>
        <w:tc>
          <w:tcPr>
            <w:tcW w:w="596" w:type="dxa"/>
            <w:noWrap/>
            <w:vAlign w:val="center"/>
          </w:tcPr>
          <w:p w14:paraId="1B28CD53">
            <w:pPr>
              <w:spacing w:line="240" w:lineRule="auto"/>
              <w:jc w:val="center"/>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0-</w:t>
            </w:r>
            <w:r>
              <w:rPr>
                <w:rFonts w:hint="eastAsia" w:ascii="宋体" w:hAnsi="宋体" w:cs="宋体"/>
                <w:bCs/>
                <w:color w:val="auto"/>
                <w:sz w:val="24"/>
                <w:szCs w:val="24"/>
                <w:lang w:val="en-US" w:eastAsia="zh-CN"/>
              </w:rPr>
              <w:t>4</w:t>
            </w:r>
          </w:p>
        </w:tc>
      </w:tr>
      <w:tr w14:paraId="30555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 w:hRule="atLeast"/>
          <w:jc w:val="center"/>
        </w:trPr>
        <w:tc>
          <w:tcPr>
            <w:tcW w:w="506" w:type="dxa"/>
            <w:vMerge w:val="continue"/>
            <w:noWrap/>
            <w:vAlign w:val="center"/>
          </w:tcPr>
          <w:p w14:paraId="7406A4F9">
            <w:pPr>
              <w:pStyle w:val="43"/>
              <w:spacing w:line="240" w:lineRule="auto"/>
              <w:rPr>
                <w:rFonts w:hint="eastAsia" w:ascii="宋体" w:hAnsi="宋体" w:eastAsia="宋体" w:cs="宋体"/>
                <w:color w:val="auto"/>
                <w:sz w:val="24"/>
                <w:szCs w:val="24"/>
              </w:rPr>
            </w:pPr>
          </w:p>
        </w:tc>
        <w:tc>
          <w:tcPr>
            <w:tcW w:w="591" w:type="dxa"/>
            <w:vMerge w:val="continue"/>
            <w:noWrap/>
            <w:vAlign w:val="center"/>
          </w:tcPr>
          <w:p w14:paraId="058D34F5">
            <w:pPr>
              <w:spacing w:line="240" w:lineRule="auto"/>
              <w:rPr>
                <w:rFonts w:hint="eastAsia" w:ascii="宋体" w:hAnsi="宋体" w:eastAsia="宋体" w:cs="宋体"/>
                <w:color w:val="auto"/>
                <w:sz w:val="24"/>
                <w:szCs w:val="24"/>
              </w:rPr>
            </w:pPr>
          </w:p>
        </w:tc>
        <w:tc>
          <w:tcPr>
            <w:tcW w:w="1750" w:type="dxa"/>
            <w:noWrap/>
            <w:vAlign w:val="center"/>
          </w:tcPr>
          <w:p w14:paraId="24DEE404">
            <w:pPr>
              <w:spacing w:line="24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系统集成质量的控制相关工作方案（</w:t>
            </w:r>
            <w:r>
              <w:rPr>
                <w:rFonts w:hint="eastAsia" w:ascii="宋体" w:hAnsi="宋体" w:cs="宋体"/>
                <w:color w:val="auto"/>
                <w:sz w:val="24"/>
                <w:szCs w:val="24"/>
                <w:lang w:val="en-US" w:eastAsia="zh-CN"/>
              </w:rPr>
              <w:t>4</w:t>
            </w:r>
            <w:r>
              <w:rPr>
                <w:rFonts w:hint="eastAsia" w:ascii="宋体" w:hAnsi="宋体" w:eastAsia="宋体" w:cs="宋体"/>
                <w:color w:val="auto"/>
                <w:sz w:val="24"/>
                <w:szCs w:val="24"/>
              </w:rPr>
              <w:t>分）</w:t>
            </w:r>
          </w:p>
        </w:tc>
        <w:tc>
          <w:tcPr>
            <w:tcW w:w="6332" w:type="dxa"/>
            <w:noWrap/>
            <w:vAlign w:val="center"/>
          </w:tcPr>
          <w:p w14:paraId="52BFD701">
            <w:pPr>
              <w:spacing w:line="24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系统集成质量的控制相关工作方案，结合相关案例，根据提供的方案内容的完整性</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0-2分</w:t>
            </w:r>
            <w:r>
              <w:rPr>
                <w:rFonts w:hint="eastAsia" w:ascii="宋体" w:hAnsi="宋体" w:cs="宋体"/>
                <w:color w:val="auto"/>
                <w:sz w:val="24"/>
                <w:szCs w:val="24"/>
                <w:lang w:eastAsia="zh-CN"/>
              </w:rPr>
              <w:t>）</w:t>
            </w:r>
            <w:r>
              <w:rPr>
                <w:rFonts w:hint="eastAsia" w:ascii="宋体" w:hAnsi="宋体" w:eastAsia="宋体" w:cs="宋体"/>
                <w:color w:val="auto"/>
                <w:sz w:val="24"/>
                <w:szCs w:val="24"/>
              </w:rPr>
              <w:t>、与项目的匹配性</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0-2分</w:t>
            </w:r>
            <w:r>
              <w:rPr>
                <w:rFonts w:hint="eastAsia" w:ascii="宋体" w:hAnsi="宋体" w:cs="宋体"/>
                <w:color w:val="auto"/>
                <w:sz w:val="24"/>
                <w:szCs w:val="24"/>
                <w:lang w:eastAsia="zh-CN"/>
              </w:rPr>
              <w:t>）</w:t>
            </w:r>
            <w:r>
              <w:rPr>
                <w:rFonts w:hint="eastAsia" w:ascii="宋体" w:hAnsi="宋体" w:eastAsia="宋体" w:cs="宋体"/>
                <w:color w:val="auto"/>
                <w:sz w:val="24"/>
                <w:szCs w:val="24"/>
              </w:rPr>
              <w:t>进行</w:t>
            </w:r>
            <w:r>
              <w:rPr>
                <w:rFonts w:hint="eastAsia" w:ascii="宋体" w:hAnsi="宋体" w:cs="宋体"/>
                <w:color w:val="auto"/>
                <w:sz w:val="24"/>
                <w:szCs w:val="24"/>
                <w:lang w:eastAsia="zh-CN"/>
              </w:rPr>
              <w:t>打分</w:t>
            </w:r>
            <w:r>
              <w:rPr>
                <w:rFonts w:hint="eastAsia" w:ascii="宋体" w:hAnsi="宋体" w:eastAsia="宋体" w:cs="宋体"/>
                <w:color w:val="auto"/>
                <w:sz w:val="24"/>
                <w:szCs w:val="24"/>
              </w:rPr>
              <w:t>，</w:t>
            </w:r>
            <w:r>
              <w:rPr>
                <w:rFonts w:hint="eastAsia" w:ascii="宋体" w:hAnsi="宋体" w:eastAsia="宋体" w:cs="宋体"/>
                <w:color w:val="auto"/>
                <w:kern w:val="2"/>
                <w:sz w:val="24"/>
                <w:szCs w:val="24"/>
                <w:highlight w:val="none"/>
                <w:lang w:val="en-US" w:eastAsia="zh-CN"/>
              </w:rPr>
              <w:t>本项最高得</w:t>
            </w:r>
            <w:r>
              <w:rPr>
                <w:rFonts w:hint="eastAsia" w:ascii="宋体" w:hAnsi="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lang w:val="en-US" w:eastAsia="zh-CN"/>
              </w:rPr>
              <w:t>分</w:t>
            </w:r>
            <w:r>
              <w:rPr>
                <w:rFonts w:hint="eastAsia" w:ascii="宋体" w:hAnsi="宋体" w:cs="宋体"/>
                <w:color w:val="auto"/>
                <w:sz w:val="24"/>
                <w:szCs w:val="24"/>
                <w:lang w:eastAsia="zh-CN"/>
              </w:rPr>
              <w:t>。</w:t>
            </w:r>
          </w:p>
        </w:tc>
        <w:tc>
          <w:tcPr>
            <w:tcW w:w="596" w:type="dxa"/>
            <w:noWrap/>
            <w:vAlign w:val="center"/>
          </w:tcPr>
          <w:p w14:paraId="338D9615">
            <w:pPr>
              <w:spacing w:line="240" w:lineRule="auto"/>
              <w:jc w:val="center"/>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0-</w:t>
            </w:r>
            <w:r>
              <w:rPr>
                <w:rFonts w:hint="eastAsia" w:ascii="宋体" w:hAnsi="宋体" w:cs="宋体"/>
                <w:bCs/>
                <w:color w:val="auto"/>
                <w:sz w:val="24"/>
                <w:szCs w:val="24"/>
                <w:lang w:val="en-US" w:eastAsia="zh-CN"/>
              </w:rPr>
              <w:t>4</w:t>
            </w:r>
          </w:p>
        </w:tc>
      </w:tr>
      <w:tr w14:paraId="43D90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 w:hRule="atLeast"/>
          <w:jc w:val="center"/>
        </w:trPr>
        <w:tc>
          <w:tcPr>
            <w:tcW w:w="506" w:type="dxa"/>
            <w:vMerge w:val="continue"/>
            <w:noWrap/>
            <w:vAlign w:val="center"/>
          </w:tcPr>
          <w:p w14:paraId="53E944CC">
            <w:pPr>
              <w:pStyle w:val="43"/>
              <w:spacing w:line="240" w:lineRule="auto"/>
              <w:rPr>
                <w:rFonts w:hint="eastAsia" w:ascii="宋体" w:hAnsi="宋体" w:eastAsia="宋体" w:cs="宋体"/>
                <w:color w:val="auto"/>
                <w:sz w:val="24"/>
                <w:szCs w:val="24"/>
              </w:rPr>
            </w:pPr>
          </w:p>
        </w:tc>
        <w:tc>
          <w:tcPr>
            <w:tcW w:w="591" w:type="dxa"/>
            <w:vMerge w:val="continue"/>
            <w:noWrap/>
            <w:vAlign w:val="center"/>
          </w:tcPr>
          <w:p w14:paraId="7F993A97">
            <w:pPr>
              <w:spacing w:line="240" w:lineRule="auto"/>
              <w:rPr>
                <w:rFonts w:hint="eastAsia" w:ascii="宋体" w:hAnsi="宋体" w:eastAsia="宋体" w:cs="宋体"/>
                <w:color w:val="auto"/>
                <w:sz w:val="24"/>
                <w:szCs w:val="24"/>
              </w:rPr>
            </w:pPr>
          </w:p>
        </w:tc>
        <w:tc>
          <w:tcPr>
            <w:tcW w:w="1750" w:type="dxa"/>
            <w:noWrap/>
            <w:vAlign w:val="center"/>
          </w:tcPr>
          <w:p w14:paraId="42A9FF4E">
            <w:pPr>
              <w:spacing w:line="24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项目进度控制方案（</w:t>
            </w:r>
            <w:r>
              <w:rPr>
                <w:rFonts w:hint="eastAsia" w:ascii="宋体" w:hAnsi="宋体" w:cs="宋体"/>
                <w:color w:val="auto"/>
                <w:sz w:val="24"/>
                <w:szCs w:val="24"/>
                <w:lang w:val="en-US" w:eastAsia="zh-CN"/>
              </w:rPr>
              <w:t>4</w:t>
            </w:r>
            <w:r>
              <w:rPr>
                <w:rFonts w:hint="eastAsia" w:ascii="宋体" w:hAnsi="宋体" w:eastAsia="宋体" w:cs="宋体"/>
                <w:color w:val="auto"/>
                <w:sz w:val="24"/>
                <w:szCs w:val="24"/>
              </w:rPr>
              <w:t>分）</w:t>
            </w:r>
          </w:p>
        </w:tc>
        <w:tc>
          <w:tcPr>
            <w:tcW w:w="6332" w:type="dxa"/>
            <w:noWrap/>
            <w:vAlign w:val="center"/>
          </w:tcPr>
          <w:p w14:paraId="65DB13DA">
            <w:pPr>
              <w:spacing w:line="24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监理工作进度控制方案内容详实</w:t>
            </w:r>
            <w:r>
              <w:rPr>
                <w:rFonts w:hint="eastAsia" w:ascii="宋体" w:hAnsi="宋体" w:cs="宋体"/>
                <w:color w:val="auto"/>
                <w:sz w:val="24"/>
                <w:szCs w:val="24"/>
                <w:lang w:eastAsia="zh-CN"/>
              </w:rPr>
              <w:t>性（</w:t>
            </w:r>
            <w:r>
              <w:rPr>
                <w:rFonts w:hint="eastAsia" w:ascii="宋体" w:hAnsi="宋体" w:cs="宋体"/>
                <w:color w:val="auto"/>
                <w:sz w:val="24"/>
                <w:szCs w:val="24"/>
                <w:lang w:val="en-US" w:eastAsia="zh-CN"/>
              </w:rPr>
              <w:t>0-2分</w:t>
            </w:r>
            <w:r>
              <w:rPr>
                <w:rFonts w:hint="eastAsia" w:ascii="宋体" w:hAnsi="宋体" w:cs="宋体"/>
                <w:color w:val="auto"/>
                <w:sz w:val="24"/>
                <w:szCs w:val="24"/>
                <w:lang w:eastAsia="zh-CN"/>
              </w:rPr>
              <w:t>）</w:t>
            </w:r>
            <w:r>
              <w:rPr>
                <w:rFonts w:hint="eastAsia" w:ascii="宋体" w:hAnsi="宋体" w:eastAsia="宋体" w:cs="宋体"/>
                <w:color w:val="auto"/>
                <w:sz w:val="24"/>
                <w:szCs w:val="24"/>
              </w:rPr>
              <w:t>，具有针对性、可操作性</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0-2分</w:t>
            </w:r>
            <w:r>
              <w:rPr>
                <w:rFonts w:hint="eastAsia" w:ascii="宋体" w:hAnsi="宋体" w:cs="宋体"/>
                <w:color w:val="auto"/>
                <w:sz w:val="24"/>
                <w:szCs w:val="24"/>
                <w:lang w:eastAsia="zh-CN"/>
              </w:rPr>
              <w:t>）进行打分，</w:t>
            </w:r>
            <w:r>
              <w:rPr>
                <w:rFonts w:hint="eastAsia" w:ascii="宋体" w:hAnsi="宋体" w:eastAsia="宋体" w:cs="宋体"/>
                <w:color w:val="auto"/>
                <w:kern w:val="2"/>
                <w:sz w:val="24"/>
                <w:szCs w:val="24"/>
                <w:highlight w:val="none"/>
                <w:lang w:val="en-US" w:eastAsia="zh-CN"/>
              </w:rPr>
              <w:t>本项最高得</w:t>
            </w:r>
            <w:r>
              <w:rPr>
                <w:rFonts w:hint="eastAsia" w:ascii="宋体" w:hAnsi="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lang w:val="en-US" w:eastAsia="zh-CN"/>
              </w:rPr>
              <w:t>分</w:t>
            </w:r>
          </w:p>
        </w:tc>
        <w:tc>
          <w:tcPr>
            <w:tcW w:w="596" w:type="dxa"/>
            <w:noWrap/>
            <w:vAlign w:val="center"/>
          </w:tcPr>
          <w:p w14:paraId="07396FED">
            <w:pPr>
              <w:spacing w:line="240" w:lineRule="auto"/>
              <w:jc w:val="center"/>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0-</w:t>
            </w:r>
            <w:r>
              <w:rPr>
                <w:rFonts w:hint="eastAsia" w:ascii="宋体" w:hAnsi="宋体" w:cs="宋体"/>
                <w:bCs/>
                <w:color w:val="auto"/>
                <w:sz w:val="24"/>
                <w:szCs w:val="24"/>
                <w:lang w:val="en-US" w:eastAsia="zh-CN"/>
              </w:rPr>
              <w:t>4</w:t>
            </w:r>
          </w:p>
        </w:tc>
      </w:tr>
      <w:tr w14:paraId="0CF80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jc w:val="center"/>
        </w:trPr>
        <w:tc>
          <w:tcPr>
            <w:tcW w:w="506" w:type="dxa"/>
            <w:vMerge w:val="continue"/>
            <w:noWrap/>
            <w:vAlign w:val="center"/>
          </w:tcPr>
          <w:p w14:paraId="0A683354">
            <w:pPr>
              <w:pStyle w:val="43"/>
              <w:spacing w:line="240" w:lineRule="auto"/>
              <w:rPr>
                <w:rFonts w:hint="eastAsia" w:ascii="宋体" w:hAnsi="宋体" w:eastAsia="宋体" w:cs="宋体"/>
                <w:color w:val="auto"/>
                <w:sz w:val="24"/>
                <w:szCs w:val="24"/>
              </w:rPr>
            </w:pPr>
          </w:p>
        </w:tc>
        <w:tc>
          <w:tcPr>
            <w:tcW w:w="591" w:type="dxa"/>
            <w:vMerge w:val="continue"/>
            <w:noWrap/>
            <w:vAlign w:val="center"/>
          </w:tcPr>
          <w:p w14:paraId="40EEF679">
            <w:pPr>
              <w:spacing w:line="240" w:lineRule="auto"/>
              <w:rPr>
                <w:rFonts w:hint="eastAsia" w:ascii="宋体" w:hAnsi="宋体" w:eastAsia="宋体" w:cs="宋体"/>
                <w:color w:val="auto"/>
                <w:sz w:val="24"/>
                <w:szCs w:val="24"/>
              </w:rPr>
            </w:pPr>
          </w:p>
        </w:tc>
        <w:tc>
          <w:tcPr>
            <w:tcW w:w="1750" w:type="dxa"/>
            <w:noWrap/>
            <w:vAlign w:val="center"/>
          </w:tcPr>
          <w:p w14:paraId="769F0C03">
            <w:pPr>
              <w:spacing w:line="24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项目投资、变更控制相关工作方案（</w:t>
            </w:r>
            <w:r>
              <w:rPr>
                <w:rFonts w:hint="eastAsia" w:ascii="宋体" w:hAnsi="宋体" w:cs="宋体"/>
                <w:color w:val="auto"/>
                <w:sz w:val="24"/>
                <w:szCs w:val="24"/>
                <w:lang w:val="en-US" w:eastAsia="zh-CN"/>
              </w:rPr>
              <w:t>2</w:t>
            </w:r>
            <w:r>
              <w:rPr>
                <w:rFonts w:hint="eastAsia" w:ascii="宋体" w:hAnsi="宋体" w:eastAsia="宋体" w:cs="宋体"/>
                <w:color w:val="auto"/>
                <w:sz w:val="24"/>
                <w:szCs w:val="24"/>
              </w:rPr>
              <w:t>分）</w:t>
            </w:r>
          </w:p>
        </w:tc>
        <w:tc>
          <w:tcPr>
            <w:tcW w:w="6332" w:type="dxa"/>
            <w:noWrap/>
            <w:vAlign w:val="center"/>
          </w:tcPr>
          <w:p w14:paraId="66DA93FA">
            <w:pPr>
              <w:spacing w:line="24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项目投资、变更控制相关工作方案内容</w:t>
            </w:r>
            <w:r>
              <w:rPr>
                <w:rFonts w:hint="eastAsia" w:ascii="宋体" w:hAnsi="宋体" w:eastAsia="宋体" w:cs="宋体"/>
                <w:color w:val="auto"/>
                <w:sz w:val="24"/>
                <w:szCs w:val="24"/>
                <w:lang w:eastAsia="zh-CN"/>
              </w:rPr>
              <w:t>是否</w:t>
            </w:r>
            <w:r>
              <w:rPr>
                <w:rFonts w:hint="eastAsia" w:ascii="宋体" w:hAnsi="宋体" w:eastAsia="宋体" w:cs="宋体"/>
                <w:color w:val="auto"/>
                <w:sz w:val="24"/>
                <w:szCs w:val="24"/>
              </w:rPr>
              <w:t>详实</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具有针对性、可操作性</w:t>
            </w:r>
            <w:r>
              <w:rPr>
                <w:rFonts w:hint="eastAsia" w:ascii="宋体" w:hAnsi="宋体" w:cs="宋体"/>
                <w:color w:val="auto"/>
                <w:sz w:val="24"/>
                <w:szCs w:val="24"/>
                <w:lang w:eastAsia="zh-CN"/>
              </w:rPr>
              <w:t>进行</w:t>
            </w:r>
            <w:r>
              <w:rPr>
                <w:rFonts w:hint="eastAsia" w:ascii="宋体" w:hAnsi="宋体" w:cs="宋体"/>
                <w:color w:val="auto"/>
                <w:sz w:val="24"/>
                <w:szCs w:val="24"/>
                <w:lang w:val="en-US" w:eastAsia="zh-CN"/>
              </w:rPr>
              <w:t>0-2分</w:t>
            </w:r>
            <w:r>
              <w:rPr>
                <w:rFonts w:hint="eastAsia" w:ascii="宋体" w:hAnsi="宋体" w:cs="宋体"/>
                <w:color w:val="auto"/>
                <w:sz w:val="24"/>
                <w:szCs w:val="24"/>
                <w:lang w:eastAsia="zh-CN"/>
              </w:rPr>
              <w:t>打分，</w:t>
            </w:r>
            <w:r>
              <w:rPr>
                <w:rFonts w:hint="eastAsia" w:ascii="宋体" w:hAnsi="宋体" w:eastAsia="宋体" w:cs="宋体"/>
                <w:color w:val="auto"/>
                <w:kern w:val="2"/>
                <w:sz w:val="24"/>
                <w:szCs w:val="24"/>
                <w:highlight w:val="none"/>
                <w:lang w:val="en-US" w:eastAsia="zh-CN"/>
              </w:rPr>
              <w:t>本项最高得</w:t>
            </w:r>
            <w:r>
              <w:rPr>
                <w:rFonts w:hint="eastAsia" w:ascii="宋体" w:hAnsi="宋体" w:cs="宋体"/>
                <w:color w:val="auto"/>
                <w:kern w:val="2"/>
                <w:sz w:val="24"/>
                <w:szCs w:val="24"/>
                <w:highlight w:val="none"/>
                <w:lang w:val="en-US" w:eastAsia="zh-CN"/>
              </w:rPr>
              <w:t>2</w:t>
            </w:r>
            <w:r>
              <w:rPr>
                <w:rFonts w:hint="eastAsia" w:ascii="宋体" w:hAnsi="宋体" w:eastAsia="宋体" w:cs="宋体"/>
                <w:color w:val="auto"/>
                <w:kern w:val="2"/>
                <w:sz w:val="24"/>
                <w:szCs w:val="24"/>
                <w:highlight w:val="none"/>
                <w:lang w:val="en-US" w:eastAsia="zh-CN"/>
              </w:rPr>
              <w:t>分</w:t>
            </w:r>
            <w:r>
              <w:rPr>
                <w:rFonts w:hint="eastAsia" w:ascii="宋体" w:hAnsi="宋体" w:cs="宋体"/>
                <w:color w:val="auto"/>
                <w:sz w:val="24"/>
                <w:szCs w:val="24"/>
                <w:lang w:eastAsia="zh-CN"/>
              </w:rPr>
              <w:t>。</w:t>
            </w:r>
          </w:p>
        </w:tc>
        <w:tc>
          <w:tcPr>
            <w:tcW w:w="596" w:type="dxa"/>
            <w:noWrap/>
            <w:vAlign w:val="center"/>
          </w:tcPr>
          <w:p w14:paraId="42DEB7A9">
            <w:pPr>
              <w:spacing w:line="240" w:lineRule="auto"/>
              <w:jc w:val="center"/>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rPr>
              <w:t>0-</w:t>
            </w:r>
            <w:r>
              <w:rPr>
                <w:rFonts w:hint="eastAsia" w:ascii="宋体" w:hAnsi="宋体" w:cs="宋体"/>
                <w:bCs/>
                <w:color w:val="auto"/>
                <w:sz w:val="24"/>
                <w:szCs w:val="24"/>
                <w:lang w:val="en-US" w:eastAsia="zh-CN"/>
              </w:rPr>
              <w:t>2</w:t>
            </w:r>
          </w:p>
        </w:tc>
      </w:tr>
      <w:tr w14:paraId="0339E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 w:hRule="atLeast"/>
          <w:jc w:val="center"/>
        </w:trPr>
        <w:tc>
          <w:tcPr>
            <w:tcW w:w="506" w:type="dxa"/>
            <w:vMerge w:val="continue"/>
            <w:noWrap/>
            <w:vAlign w:val="center"/>
          </w:tcPr>
          <w:p w14:paraId="640157A3">
            <w:pPr>
              <w:pStyle w:val="43"/>
              <w:spacing w:line="240" w:lineRule="auto"/>
              <w:rPr>
                <w:rFonts w:hint="eastAsia" w:ascii="宋体" w:hAnsi="宋体" w:eastAsia="宋体" w:cs="宋体"/>
                <w:color w:val="auto"/>
                <w:sz w:val="24"/>
                <w:szCs w:val="24"/>
              </w:rPr>
            </w:pPr>
          </w:p>
        </w:tc>
        <w:tc>
          <w:tcPr>
            <w:tcW w:w="591" w:type="dxa"/>
            <w:vMerge w:val="continue"/>
            <w:noWrap/>
            <w:vAlign w:val="center"/>
          </w:tcPr>
          <w:p w14:paraId="2CB7239F">
            <w:pPr>
              <w:spacing w:line="240" w:lineRule="auto"/>
              <w:rPr>
                <w:rFonts w:hint="eastAsia" w:ascii="宋体" w:hAnsi="宋体" w:eastAsia="宋体" w:cs="宋体"/>
                <w:color w:val="auto"/>
                <w:sz w:val="24"/>
                <w:szCs w:val="24"/>
              </w:rPr>
            </w:pPr>
          </w:p>
        </w:tc>
        <w:tc>
          <w:tcPr>
            <w:tcW w:w="1750" w:type="dxa"/>
            <w:noWrap/>
            <w:vAlign w:val="center"/>
          </w:tcPr>
          <w:p w14:paraId="2BA3C01E">
            <w:pPr>
              <w:spacing w:line="24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项目安全管理和协调相关方案（</w:t>
            </w:r>
            <w:r>
              <w:rPr>
                <w:rFonts w:hint="eastAsia" w:ascii="宋体" w:hAnsi="宋体" w:cs="宋体"/>
                <w:color w:val="auto"/>
                <w:sz w:val="24"/>
                <w:szCs w:val="24"/>
                <w:lang w:val="en-US" w:eastAsia="zh-CN"/>
              </w:rPr>
              <w:t>2</w:t>
            </w:r>
            <w:r>
              <w:rPr>
                <w:rFonts w:hint="eastAsia" w:ascii="宋体" w:hAnsi="宋体" w:eastAsia="宋体" w:cs="宋体"/>
                <w:color w:val="auto"/>
                <w:sz w:val="24"/>
                <w:szCs w:val="24"/>
              </w:rPr>
              <w:t>分）</w:t>
            </w:r>
          </w:p>
        </w:tc>
        <w:tc>
          <w:tcPr>
            <w:tcW w:w="6332" w:type="dxa"/>
            <w:noWrap/>
            <w:vAlign w:val="center"/>
          </w:tcPr>
          <w:p w14:paraId="2658AEB0">
            <w:pPr>
              <w:spacing w:line="24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项目安全管理和协调相关方案</w:t>
            </w:r>
            <w:r>
              <w:rPr>
                <w:rFonts w:hint="eastAsia" w:ascii="宋体" w:hAnsi="宋体" w:cs="宋体"/>
                <w:color w:val="auto"/>
                <w:sz w:val="24"/>
                <w:szCs w:val="24"/>
                <w:lang w:eastAsia="zh-CN"/>
              </w:rPr>
              <w:t>是否</w:t>
            </w:r>
            <w:r>
              <w:rPr>
                <w:rFonts w:hint="eastAsia" w:ascii="宋体" w:hAnsi="宋体" w:eastAsia="宋体" w:cs="宋体"/>
                <w:color w:val="auto"/>
                <w:sz w:val="24"/>
                <w:szCs w:val="24"/>
              </w:rPr>
              <w:t>内容详实</w:t>
            </w:r>
            <w:r>
              <w:rPr>
                <w:rFonts w:hint="eastAsia" w:ascii="宋体" w:hAnsi="宋体" w:cs="宋体"/>
                <w:color w:val="auto"/>
                <w:sz w:val="24"/>
                <w:szCs w:val="24"/>
                <w:lang w:eastAsia="zh-CN"/>
              </w:rPr>
              <w:t>、</w:t>
            </w:r>
            <w:r>
              <w:rPr>
                <w:rFonts w:hint="eastAsia" w:ascii="宋体" w:hAnsi="宋体" w:eastAsia="宋体" w:cs="宋体"/>
                <w:color w:val="auto"/>
                <w:sz w:val="24"/>
                <w:szCs w:val="24"/>
              </w:rPr>
              <w:t>具有针对性、可操作性</w:t>
            </w:r>
            <w:r>
              <w:rPr>
                <w:rFonts w:hint="eastAsia" w:ascii="宋体" w:hAnsi="宋体" w:cs="宋体"/>
                <w:color w:val="auto"/>
                <w:sz w:val="24"/>
                <w:szCs w:val="24"/>
                <w:lang w:eastAsia="zh-CN"/>
              </w:rPr>
              <w:t>进行</w:t>
            </w:r>
            <w:r>
              <w:rPr>
                <w:rFonts w:hint="eastAsia" w:ascii="宋体" w:hAnsi="宋体" w:cs="宋体"/>
                <w:color w:val="auto"/>
                <w:sz w:val="24"/>
                <w:szCs w:val="24"/>
                <w:lang w:val="en-US" w:eastAsia="zh-CN"/>
              </w:rPr>
              <w:t>0-2分</w:t>
            </w:r>
            <w:r>
              <w:rPr>
                <w:rFonts w:hint="eastAsia" w:ascii="宋体" w:hAnsi="宋体" w:cs="宋体"/>
                <w:color w:val="auto"/>
                <w:sz w:val="24"/>
                <w:szCs w:val="24"/>
                <w:lang w:eastAsia="zh-CN"/>
              </w:rPr>
              <w:t>打分，</w:t>
            </w:r>
            <w:r>
              <w:rPr>
                <w:rFonts w:hint="eastAsia" w:ascii="宋体" w:hAnsi="宋体" w:eastAsia="宋体" w:cs="宋体"/>
                <w:color w:val="auto"/>
                <w:kern w:val="2"/>
                <w:sz w:val="24"/>
                <w:szCs w:val="24"/>
                <w:highlight w:val="none"/>
                <w:lang w:val="en-US" w:eastAsia="zh-CN"/>
              </w:rPr>
              <w:t>本项最高得</w:t>
            </w:r>
            <w:r>
              <w:rPr>
                <w:rFonts w:hint="eastAsia" w:ascii="宋体" w:hAnsi="宋体" w:cs="宋体"/>
                <w:color w:val="auto"/>
                <w:kern w:val="2"/>
                <w:sz w:val="24"/>
                <w:szCs w:val="24"/>
                <w:highlight w:val="none"/>
                <w:lang w:val="en-US" w:eastAsia="zh-CN"/>
              </w:rPr>
              <w:t>2</w:t>
            </w:r>
            <w:r>
              <w:rPr>
                <w:rFonts w:hint="eastAsia" w:ascii="宋体" w:hAnsi="宋体" w:eastAsia="宋体" w:cs="宋体"/>
                <w:color w:val="auto"/>
                <w:kern w:val="2"/>
                <w:sz w:val="24"/>
                <w:szCs w:val="24"/>
                <w:highlight w:val="none"/>
                <w:lang w:val="en-US" w:eastAsia="zh-CN"/>
              </w:rPr>
              <w:t>分</w:t>
            </w:r>
            <w:r>
              <w:rPr>
                <w:rFonts w:hint="eastAsia" w:ascii="宋体" w:hAnsi="宋体" w:cs="宋体"/>
                <w:color w:val="auto"/>
                <w:sz w:val="24"/>
                <w:szCs w:val="24"/>
                <w:lang w:eastAsia="zh-CN"/>
              </w:rPr>
              <w:t>。</w:t>
            </w:r>
          </w:p>
        </w:tc>
        <w:tc>
          <w:tcPr>
            <w:tcW w:w="596" w:type="dxa"/>
            <w:noWrap/>
            <w:vAlign w:val="center"/>
          </w:tcPr>
          <w:p w14:paraId="53E8B1DE">
            <w:pPr>
              <w:spacing w:line="240" w:lineRule="auto"/>
              <w:jc w:val="center"/>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rPr>
              <w:t>0-</w:t>
            </w:r>
            <w:r>
              <w:rPr>
                <w:rFonts w:hint="eastAsia" w:ascii="宋体" w:hAnsi="宋体" w:cs="宋体"/>
                <w:bCs/>
                <w:color w:val="auto"/>
                <w:sz w:val="24"/>
                <w:szCs w:val="24"/>
                <w:lang w:val="en-US" w:eastAsia="zh-CN"/>
              </w:rPr>
              <w:t>2</w:t>
            </w:r>
          </w:p>
        </w:tc>
      </w:tr>
      <w:tr w14:paraId="30FE8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9" w:hRule="atLeast"/>
          <w:jc w:val="center"/>
        </w:trPr>
        <w:tc>
          <w:tcPr>
            <w:tcW w:w="506" w:type="dxa"/>
            <w:vMerge w:val="continue"/>
            <w:noWrap/>
            <w:vAlign w:val="center"/>
          </w:tcPr>
          <w:p w14:paraId="4A822C2F">
            <w:pPr>
              <w:pStyle w:val="43"/>
              <w:spacing w:line="240" w:lineRule="auto"/>
              <w:rPr>
                <w:rFonts w:hint="eastAsia" w:ascii="宋体" w:hAnsi="宋体" w:eastAsia="宋体" w:cs="宋体"/>
                <w:color w:val="auto"/>
                <w:sz w:val="24"/>
                <w:szCs w:val="24"/>
              </w:rPr>
            </w:pPr>
          </w:p>
        </w:tc>
        <w:tc>
          <w:tcPr>
            <w:tcW w:w="591" w:type="dxa"/>
            <w:vMerge w:val="continue"/>
            <w:noWrap/>
            <w:vAlign w:val="center"/>
          </w:tcPr>
          <w:p w14:paraId="3EA98093">
            <w:pPr>
              <w:spacing w:line="240" w:lineRule="auto"/>
              <w:rPr>
                <w:rFonts w:hint="eastAsia" w:ascii="宋体" w:hAnsi="宋体" w:eastAsia="宋体" w:cs="宋体"/>
                <w:color w:val="auto"/>
                <w:sz w:val="24"/>
                <w:szCs w:val="24"/>
              </w:rPr>
            </w:pPr>
          </w:p>
        </w:tc>
        <w:tc>
          <w:tcPr>
            <w:tcW w:w="1750" w:type="dxa"/>
            <w:noWrap/>
            <w:vAlign w:val="center"/>
          </w:tcPr>
          <w:p w14:paraId="0ACB2A23">
            <w:pPr>
              <w:spacing w:line="24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项目合同管理、信息管理相关工作方案（</w:t>
            </w:r>
            <w:r>
              <w:rPr>
                <w:rFonts w:hint="eastAsia" w:ascii="宋体" w:hAnsi="宋体" w:cs="宋体"/>
                <w:color w:val="auto"/>
                <w:sz w:val="24"/>
                <w:szCs w:val="24"/>
                <w:lang w:val="en-US" w:eastAsia="zh-CN"/>
              </w:rPr>
              <w:t>4</w:t>
            </w:r>
            <w:r>
              <w:rPr>
                <w:rFonts w:hint="eastAsia" w:ascii="宋体" w:hAnsi="宋体" w:eastAsia="宋体" w:cs="宋体"/>
                <w:color w:val="auto"/>
                <w:sz w:val="24"/>
                <w:szCs w:val="24"/>
              </w:rPr>
              <w:t>分）</w:t>
            </w:r>
          </w:p>
        </w:tc>
        <w:tc>
          <w:tcPr>
            <w:tcW w:w="6332" w:type="dxa"/>
            <w:noWrap/>
            <w:vAlign w:val="center"/>
          </w:tcPr>
          <w:p w14:paraId="0AF038F7">
            <w:pPr>
              <w:spacing w:line="24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项目合同管理</w:t>
            </w:r>
            <w:r>
              <w:rPr>
                <w:rFonts w:hint="eastAsia" w:ascii="宋体" w:hAnsi="宋体" w:cs="宋体"/>
                <w:color w:val="auto"/>
                <w:sz w:val="24"/>
                <w:szCs w:val="24"/>
                <w:lang w:eastAsia="zh-CN"/>
              </w:rPr>
              <w:t>（</w:t>
            </w:r>
            <w:r>
              <w:rPr>
                <w:rFonts w:hint="eastAsia" w:ascii="宋体" w:hAnsi="宋体" w:cs="宋体"/>
                <w:color w:val="auto"/>
                <w:kern w:val="0"/>
                <w:sz w:val="24"/>
                <w:szCs w:val="24"/>
                <w:lang w:val="en-US" w:eastAsia="zh-CN"/>
              </w:rPr>
              <w:t>0-2分</w:t>
            </w:r>
            <w:r>
              <w:rPr>
                <w:rFonts w:hint="eastAsia" w:ascii="宋体" w:hAnsi="宋体" w:cs="宋体"/>
                <w:color w:val="auto"/>
                <w:sz w:val="24"/>
                <w:szCs w:val="24"/>
                <w:lang w:eastAsia="zh-CN"/>
              </w:rPr>
              <w:t>）</w:t>
            </w:r>
            <w:r>
              <w:rPr>
                <w:rFonts w:hint="eastAsia" w:ascii="宋体" w:hAnsi="宋体" w:eastAsia="宋体" w:cs="宋体"/>
                <w:color w:val="auto"/>
                <w:sz w:val="24"/>
                <w:szCs w:val="24"/>
              </w:rPr>
              <w:t>、信息管理</w:t>
            </w:r>
            <w:r>
              <w:rPr>
                <w:rFonts w:hint="eastAsia" w:ascii="宋体" w:hAnsi="宋体" w:cs="宋体"/>
                <w:color w:val="auto"/>
                <w:sz w:val="24"/>
                <w:szCs w:val="24"/>
                <w:lang w:eastAsia="zh-CN"/>
              </w:rPr>
              <w:t>（</w:t>
            </w:r>
            <w:r>
              <w:rPr>
                <w:rFonts w:hint="eastAsia" w:ascii="宋体" w:hAnsi="宋体" w:cs="宋体"/>
                <w:color w:val="auto"/>
                <w:kern w:val="0"/>
                <w:sz w:val="24"/>
                <w:szCs w:val="24"/>
                <w:lang w:val="en-US" w:eastAsia="zh-CN"/>
              </w:rPr>
              <w:t>0-2分</w:t>
            </w:r>
            <w:r>
              <w:rPr>
                <w:rFonts w:hint="eastAsia" w:ascii="宋体" w:hAnsi="宋体" w:cs="宋体"/>
                <w:color w:val="auto"/>
                <w:sz w:val="24"/>
                <w:szCs w:val="24"/>
                <w:lang w:eastAsia="zh-CN"/>
              </w:rPr>
              <w:t>）</w:t>
            </w:r>
            <w:r>
              <w:rPr>
                <w:rFonts w:hint="eastAsia" w:ascii="宋体" w:hAnsi="宋体" w:eastAsia="宋体" w:cs="宋体"/>
                <w:color w:val="auto"/>
                <w:sz w:val="24"/>
                <w:szCs w:val="24"/>
              </w:rPr>
              <w:t>相关工作方案，方案内容</w:t>
            </w:r>
            <w:r>
              <w:rPr>
                <w:rFonts w:hint="eastAsia" w:ascii="宋体" w:hAnsi="宋体" w:cs="宋体"/>
                <w:color w:val="auto"/>
                <w:sz w:val="24"/>
                <w:szCs w:val="24"/>
                <w:lang w:eastAsia="zh-CN"/>
              </w:rPr>
              <w:t>是否</w:t>
            </w:r>
            <w:r>
              <w:rPr>
                <w:rFonts w:hint="eastAsia" w:ascii="宋体" w:hAnsi="宋体" w:eastAsia="宋体" w:cs="宋体"/>
                <w:color w:val="auto"/>
                <w:sz w:val="24"/>
                <w:szCs w:val="24"/>
              </w:rPr>
              <w:t>详实</w:t>
            </w:r>
            <w:r>
              <w:rPr>
                <w:rFonts w:hint="eastAsia" w:ascii="宋体" w:hAnsi="宋体" w:cs="宋体"/>
                <w:color w:val="auto"/>
                <w:sz w:val="24"/>
                <w:szCs w:val="24"/>
                <w:lang w:eastAsia="zh-CN"/>
              </w:rPr>
              <w:t>、</w:t>
            </w:r>
            <w:r>
              <w:rPr>
                <w:rFonts w:hint="eastAsia" w:ascii="宋体" w:hAnsi="宋体" w:eastAsia="宋体" w:cs="宋体"/>
                <w:color w:val="auto"/>
                <w:sz w:val="24"/>
                <w:szCs w:val="24"/>
              </w:rPr>
              <w:t>具有针对性、可操作性</w:t>
            </w:r>
            <w:r>
              <w:rPr>
                <w:rFonts w:hint="eastAsia" w:ascii="宋体" w:hAnsi="宋体" w:cs="宋体"/>
                <w:color w:val="auto"/>
                <w:sz w:val="24"/>
                <w:szCs w:val="24"/>
                <w:lang w:eastAsia="zh-CN"/>
              </w:rPr>
              <w:t>进行打分，</w:t>
            </w:r>
            <w:r>
              <w:rPr>
                <w:rFonts w:hint="eastAsia" w:ascii="宋体" w:hAnsi="宋体" w:eastAsia="宋体" w:cs="宋体"/>
                <w:color w:val="auto"/>
                <w:kern w:val="2"/>
                <w:sz w:val="24"/>
                <w:szCs w:val="24"/>
                <w:highlight w:val="none"/>
                <w:lang w:val="en-US" w:eastAsia="zh-CN"/>
              </w:rPr>
              <w:t>本项最高得</w:t>
            </w:r>
            <w:r>
              <w:rPr>
                <w:rFonts w:hint="eastAsia" w:ascii="宋体" w:hAnsi="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lang w:val="en-US" w:eastAsia="zh-CN"/>
              </w:rPr>
              <w:t>分</w:t>
            </w:r>
            <w:r>
              <w:rPr>
                <w:rFonts w:hint="eastAsia" w:ascii="宋体" w:hAnsi="宋体" w:cs="宋体"/>
                <w:color w:val="auto"/>
                <w:sz w:val="24"/>
                <w:szCs w:val="24"/>
                <w:lang w:eastAsia="zh-CN"/>
              </w:rPr>
              <w:t>。</w:t>
            </w:r>
          </w:p>
        </w:tc>
        <w:tc>
          <w:tcPr>
            <w:tcW w:w="596" w:type="dxa"/>
            <w:noWrap/>
            <w:vAlign w:val="center"/>
          </w:tcPr>
          <w:p w14:paraId="0DD25BDE">
            <w:pPr>
              <w:spacing w:line="240" w:lineRule="auto"/>
              <w:jc w:val="center"/>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rPr>
              <w:t>0-</w:t>
            </w:r>
            <w:r>
              <w:rPr>
                <w:rFonts w:hint="eastAsia" w:ascii="宋体" w:hAnsi="宋体" w:cs="宋体"/>
                <w:bCs/>
                <w:color w:val="auto"/>
                <w:sz w:val="24"/>
                <w:szCs w:val="24"/>
                <w:lang w:val="en-US" w:eastAsia="zh-CN"/>
              </w:rPr>
              <w:t>4</w:t>
            </w:r>
          </w:p>
        </w:tc>
      </w:tr>
      <w:tr w14:paraId="148E4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 w:hRule="atLeast"/>
          <w:jc w:val="center"/>
        </w:trPr>
        <w:tc>
          <w:tcPr>
            <w:tcW w:w="506" w:type="dxa"/>
            <w:vMerge w:val="continue"/>
            <w:noWrap/>
            <w:vAlign w:val="center"/>
          </w:tcPr>
          <w:p w14:paraId="2FC34CB7">
            <w:pPr>
              <w:pStyle w:val="43"/>
              <w:spacing w:line="240" w:lineRule="auto"/>
              <w:rPr>
                <w:rFonts w:hint="eastAsia" w:ascii="宋体" w:hAnsi="宋体" w:eastAsia="宋体" w:cs="宋体"/>
                <w:color w:val="auto"/>
                <w:sz w:val="24"/>
                <w:szCs w:val="24"/>
              </w:rPr>
            </w:pPr>
          </w:p>
        </w:tc>
        <w:tc>
          <w:tcPr>
            <w:tcW w:w="591" w:type="dxa"/>
            <w:vMerge w:val="continue"/>
            <w:noWrap/>
            <w:vAlign w:val="center"/>
          </w:tcPr>
          <w:p w14:paraId="1FDB008C">
            <w:pPr>
              <w:spacing w:line="240" w:lineRule="auto"/>
              <w:rPr>
                <w:rFonts w:hint="eastAsia" w:ascii="宋体" w:hAnsi="宋体" w:eastAsia="宋体" w:cs="宋体"/>
                <w:iCs/>
                <w:color w:val="auto"/>
                <w:sz w:val="24"/>
                <w:szCs w:val="24"/>
              </w:rPr>
            </w:pPr>
          </w:p>
        </w:tc>
        <w:tc>
          <w:tcPr>
            <w:tcW w:w="1750" w:type="dxa"/>
            <w:noWrap/>
            <w:vAlign w:val="center"/>
          </w:tcPr>
          <w:p w14:paraId="6AF1C9A7">
            <w:pPr>
              <w:spacing w:line="24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监理设备配置（</w:t>
            </w:r>
            <w:r>
              <w:rPr>
                <w:rFonts w:hint="eastAsia" w:ascii="宋体" w:hAnsi="宋体" w:cs="宋体"/>
                <w:color w:val="auto"/>
                <w:sz w:val="24"/>
                <w:szCs w:val="24"/>
                <w:lang w:val="en-US" w:eastAsia="zh-CN"/>
              </w:rPr>
              <w:t>3</w:t>
            </w:r>
            <w:r>
              <w:rPr>
                <w:rFonts w:hint="eastAsia" w:ascii="宋体" w:hAnsi="宋体" w:cs="宋体"/>
                <w:color w:val="auto"/>
                <w:sz w:val="24"/>
                <w:szCs w:val="24"/>
                <w:lang w:eastAsia="zh-CN"/>
              </w:rPr>
              <w:t>分</w:t>
            </w:r>
            <w:r>
              <w:rPr>
                <w:rFonts w:hint="eastAsia" w:ascii="宋体" w:hAnsi="宋体" w:eastAsia="宋体" w:cs="宋体"/>
                <w:color w:val="auto"/>
                <w:sz w:val="24"/>
                <w:szCs w:val="24"/>
              </w:rPr>
              <w:t>）</w:t>
            </w:r>
          </w:p>
        </w:tc>
        <w:tc>
          <w:tcPr>
            <w:tcW w:w="6332" w:type="dxa"/>
            <w:noWrap/>
            <w:vAlign w:val="center"/>
          </w:tcPr>
          <w:p w14:paraId="3FE72B70">
            <w:pPr>
              <w:spacing w:line="240" w:lineRule="auto"/>
              <w:rPr>
                <w:rFonts w:hint="eastAsia" w:ascii="宋体" w:hAnsi="宋体" w:eastAsia="宋体" w:cs="宋体"/>
                <w:color w:val="auto"/>
                <w:sz w:val="24"/>
                <w:szCs w:val="24"/>
                <w:lang w:eastAsia="zh-CN"/>
              </w:rPr>
            </w:pPr>
            <w:r>
              <w:rPr>
                <w:rFonts w:hint="eastAsia" w:ascii="宋体" w:hAnsi="宋体" w:eastAsia="宋体" w:cs="宋体"/>
                <w:color w:val="auto"/>
                <w:kern w:val="0"/>
                <w:sz w:val="24"/>
                <w:szCs w:val="24"/>
              </w:rPr>
              <w:t>对投标人的监理服务</w:t>
            </w:r>
            <w:r>
              <w:rPr>
                <w:rFonts w:hint="eastAsia" w:ascii="宋体" w:hAnsi="宋体" w:cs="宋体"/>
                <w:color w:val="auto"/>
                <w:kern w:val="0"/>
                <w:sz w:val="24"/>
                <w:szCs w:val="24"/>
                <w:lang w:val="en-US" w:eastAsia="zh-CN"/>
              </w:rPr>
              <w:t>软件（0-1分）</w:t>
            </w:r>
            <w:r>
              <w:rPr>
                <w:rFonts w:hint="eastAsia" w:ascii="宋体" w:hAnsi="宋体" w:eastAsia="宋体" w:cs="宋体"/>
                <w:color w:val="auto"/>
                <w:kern w:val="0"/>
                <w:sz w:val="24"/>
                <w:szCs w:val="24"/>
              </w:rPr>
              <w:t>、硬件投入</w:t>
            </w:r>
            <w:r>
              <w:rPr>
                <w:rFonts w:hint="eastAsia" w:ascii="宋体" w:hAnsi="宋体" w:cs="宋体"/>
                <w:color w:val="auto"/>
                <w:kern w:val="0"/>
                <w:sz w:val="24"/>
                <w:szCs w:val="24"/>
                <w:lang w:val="en-US" w:eastAsia="zh-CN"/>
              </w:rPr>
              <w:t>（0-1分）</w:t>
            </w:r>
            <w:r>
              <w:rPr>
                <w:rFonts w:hint="eastAsia" w:ascii="宋体" w:hAnsi="宋体" w:eastAsia="宋体" w:cs="宋体"/>
                <w:color w:val="auto"/>
                <w:kern w:val="0"/>
                <w:sz w:val="24"/>
                <w:szCs w:val="24"/>
              </w:rPr>
              <w:t>和必要检测设备的配备</w:t>
            </w:r>
            <w:r>
              <w:rPr>
                <w:rFonts w:hint="eastAsia" w:ascii="宋体" w:hAnsi="宋体" w:cs="宋体"/>
                <w:color w:val="auto"/>
                <w:kern w:val="0"/>
                <w:sz w:val="24"/>
                <w:szCs w:val="24"/>
                <w:lang w:val="en-US" w:eastAsia="zh-CN"/>
              </w:rPr>
              <w:t>（0-1分）</w:t>
            </w:r>
            <w:r>
              <w:rPr>
                <w:rFonts w:hint="eastAsia" w:ascii="宋体" w:hAnsi="宋体" w:eastAsia="宋体" w:cs="宋体"/>
                <w:color w:val="auto"/>
                <w:kern w:val="0"/>
                <w:sz w:val="24"/>
                <w:szCs w:val="24"/>
              </w:rPr>
              <w:t>等进行</w:t>
            </w:r>
            <w:r>
              <w:rPr>
                <w:rFonts w:hint="eastAsia" w:ascii="宋体" w:hAnsi="宋体" w:cs="宋体"/>
                <w:color w:val="auto"/>
                <w:kern w:val="0"/>
                <w:sz w:val="24"/>
                <w:szCs w:val="24"/>
                <w:lang w:eastAsia="zh-CN"/>
              </w:rPr>
              <w:t>打分，</w:t>
            </w:r>
            <w:r>
              <w:rPr>
                <w:rFonts w:hint="eastAsia" w:ascii="宋体" w:hAnsi="宋体" w:eastAsia="宋体" w:cs="宋体"/>
                <w:color w:val="auto"/>
                <w:kern w:val="2"/>
                <w:sz w:val="24"/>
                <w:szCs w:val="24"/>
                <w:highlight w:val="none"/>
                <w:lang w:val="en-US" w:eastAsia="zh-CN"/>
              </w:rPr>
              <w:t>本项最高得</w:t>
            </w:r>
            <w:r>
              <w:rPr>
                <w:rFonts w:hint="eastAsia" w:ascii="宋体" w:hAnsi="宋体" w:cs="宋体"/>
                <w:color w:val="auto"/>
                <w:kern w:val="2"/>
                <w:sz w:val="24"/>
                <w:szCs w:val="24"/>
                <w:highlight w:val="none"/>
                <w:lang w:val="en-US" w:eastAsia="zh-CN"/>
              </w:rPr>
              <w:t>3</w:t>
            </w:r>
            <w:r>
              <w:rPr>
                <w:rFonts w:hint="eastAsia" w:ascii="宋体" w:hAnsi="宋体" w:eastAsia="宋体" w:cs="宋体"/>
                <w:color w:val="auto"/>
                <w:kern w:val="2"/>
                <w:sz w:val="24"/>
                <w:szCs w:val="24"/>
                <w:highlight w:val="none"/>
                <w:lang w:val="en-US" w:eastAsia="zh-CN"/>
              </w:rPr>
              <w:t>分</w:t>
            </w:r>
            <w:r>
              <w:rPr>
                <w:rFonts w:hint="eastAsia" w:ascii="宋体" w:hAnsi="宋体" w:cs="宋体"/>
                <w:color w:val="auto"/>
                <w:kern w:val="0"/>
                <w:sz w:val="24"/>
                <w:szCs w:val="24"/>
                <w:lang w:eastAsia="zh-CN"/>
              </w:rPr>
              <w:t>。</w:t>
            </w:r>
          </w:p>
        </w:tc>
        <w:tc>
          <w:tcPr>
            <w:tcW w:w="596" w:type="dxa"/>
            <w:noWrap/>
            <w:vAlign w:val="center"/>
          </w:tcPr>
          <w:p w14:paraId="7111F7CE">
            <w:pPr>
              <w:spacing w:line="240" w:lineRule="auto"/>
              <w:jc w:val="center"/>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0-</w:t>
            </w:r>
            <w:r>
              <w:rPr>
                <w:rFonts w:hint="eastAsia" w:ascii="宋体" w:hAnsi="宋体" w:cs="宋体"/>
                <w:bCs/>
                <w:color w:val="auto"/>
                <w:sz w:val="24"/>
                <w:szCs w:val="24"/>
                <w:lang w:val="en-US" w:eastAsia="zh-CN"/>
              </w:rPr>
              <w:t>3</w:t>
            </w:r>
          </w:p>
        </w:tc>
      </w:tr>
    </w:tbl>
    <w:p w14:paraId="68E06F75">
      <w:pPr>
        <w:tabs>
          <w:tab w:val="left" w:pos="1154"/>
        </w:tabs>
        <w:spacing w:line="360" w:lineRule="auto"/>
        <w:jc w:val="center"/>
        <w:rPr>
          <w:rFonts w:hint="eastAsia" w:ascii="宋体" w:hAnsi="宋体"/>
          <w:b/>
          <w:color w:val="auto"/>
          <w:sz w:val="32"/>
          <w:szCs w:val="28"/>
          <w:highlight w:val="none"/>
        </w:rPr>
      </w:pPr>
    </w:p>
    <w:p w14:paraId="33EA7111">
      <w:pPr>
        <w:tabs>
          <w:tab w:val="left" w:pos="1154"/>
        </w:tabs>
        <w:spacing w:line="360" w:lineRule="auto"/>
        <w:jc w:val="center"/>
        <w:rPr>
          <w:rFonts w:hint="eastAsia" w:ascii="宋体" w:hAnsi="宋体"/>
          <w:b/>
          <w:color w:val="auto"/>
          <w:sz w:val="32"/>
          <w:szCs w:val="28"/>
          <w:highlight w:val="none"/>
        </w:rPr>
      </w:pPr>
    </w:p>
    <w:p w14:paraId="2F58F5F6">
      <w:pPr>
        <w:tabs>
          <w:tab w:val="left" w:pos="1154"/>
        </w:tabs>
        <w:spacing w:line="360" w:lineRule="auto"/>
        <w:jc w:val="center"/>
        <w:rPr>
          <w:rFonts w:hint="eastAsia" w:ascii="宋体" w:hAnsi="宋体"/>
          <w:b/>
          <w:color w:val="auto"/>
          <w:sz w:val="32"/>
          <w:szCs w:val="28"/>
          <w:highlight w:val="none"/>
        </w:rPr>
      </w:pPr>
    </w:p>
    <w:p w14:paraId="654FB92D">
      <w:pPr>
        <w:tabs>
          <w:tab w:val="left" w:pos="1154"/>
        </w:tabs>
        <w:spacing w:line="360" w:lineRule="auto"/>
        <w:jc w:val="center"/>
        <w:rPr>
          <w:rFonts w:hint="eastAsia" w:ascii="宋体" w:hAnsi="宋体"/>
          <w:b/>
          <w:color w:val="auto"/>
          <w:sz w:val="32"/>
          <w:szCs w:val="28"/>
          <w:highlight w:val="none"/>
        </w:rPr>
      </w:pPr>
    </w:p>
    <w:p w14:paraId="1A9D4785">
      <w:pPr>
        <w:tabs>
          <w:tab w:val="left" w:pos="1154"/>
        </w:tabs>
        <w:spacing w:line="360" w:lineRule="auto"/>
        <w:jc w:val="center"/>
        <w:rPr>
          <w:rFonts w:hint="eastAsia" w:ascii="宋体" w:hAnsi="宋体"/>
          <w:b/>
          <w:color w:val="auto"/>
          <w:sz w:val="32"/>
          <w:szCs w:val="28"/>
          <w:highlight w:val="none"/>
        </w:rPr>
      </w:pPr>
    </w:p>
    <w:p w14:paraId="22B3E55D">
      <w:pPr>
        <w:tabs>
          <w:tab w:val="left" w:pos="1154"/>
        </w:tabs>
        <w:spacing w:line="360" w:lineRule="auto"/>
        <w:jc w:val="center"/>
        <w:rPr>
          <w:rFonts w:hint="eastAsia" w:ascii="宋体" w:hAnsi="宋体"/>
          <w:b/>
          <w:color w:val="auto"/>
          <w:sz w:val="32"/>
          <w:szCs w:val="28"/>
          <w:highlight w:val="none"/>
        </w:rPr>
      </w:pPr>
    </w:p>
    <w:p w14:paraId="15AAB69F">
      <w:pPr>
        <w:tabs>
          <w:tab w:val="left" w:pos="1154"/>
        </w:tabs>
        <w:spacing w:line="360" w:lineRule="auto"/>
        <w:jc w:val="center"/>
        <w:rPr>
          <w:rFonts w:hint="eastAsia" w:ascii="宋体" w:hAnsi="宋体"/>
          <w:b/>
          <w:color w:val="auto"/>
          <w:sz w:val="32"/>
          <w:szCs w:val="28"/>
          <w:highlight w:val="none"/>
        </w:rPr>
      </w:pPr>
    </w:p>
    <w:p w14:paraId="63F23D3B">
      <w:pPr>
        <w:tabs>
          <w:tab w:val="left" w:pos="1154"/>
        </w:tabs>
        <w:spacing w:line="360" w:lineRule="auto"/>
        <w:jc w:val="center"/>
        <w:rPr>
          <w:rFonts w:ascii="宋体" w:hAnsi="宋体"/>
          <w:b/>
          <w:color w:val="auto"/>
          <w:sz w:val="30"/>
          <w:highlight w:val="none"/>
        </w:rPr>
      </w:pPr>
      <w:r>
        <w:rPr>
          <w:rFonts w:hint="eastAsia" w:ascii="宋体" w:hAnsi="宋体"/>
          <w:b/>
          <w:color w:val="auto"/>
          <w:sz w:val="32"/>
          <w:szCs w:val="28"/>
          <w:highlight w:val="none"/>
        </w:rPr>
        <w:t>第五章  东阳市政府采购合同（样本）</w:t>
      </w:r>
    </w:p>
    <w:p w14:paraId="2010867D">
      <w:pPr>
        <w:pStyle w:val="26"/>
        <w:snapToGrid w:val="0"/>
        <w:spacing w:before="120" w:after="120" w:line="336" w:lineRule="auto"/>
        <w:rPr>
          <w:rFonts w:hint="eastAsia" w:hAnsi="宋体"/>
          <w:color w:val="auto"/>
          <w:highlight w:val="none"/>
        </w:rPr>
      </w:pPr>
      <w:r>
        <w:rPr>
          <w:rFonts w:hAnsi="宋体"/>
          <w:color w:val="auto"/>
          <w:highlight w:val="none"/>
        </w:rPr>
        <w:t>项目名称：</w:t>
      </w:r>
      <w:r>
        <w:rPr>
          <w:rFonts w:hint="eastAsia" w:hAnsi="宋体"/>
          <w:color w:val="auto"/>
          <w:highlight w:val="none"/>
        </w:rPr>
        <w:t xml:space="preserve">                    </w:t>
      </w:r>
      <w:r>
        <w:rPr>
          <w:rFonts w:hAnsi="宋体"/>
          <w:color w:val="auto"/>
          <w:highlight w:val="none"/>
        </w:rPr>
        <w:t>项目编号：</w:t>
      </w:r>
      <w:r>
        <w:rPr>
          <w:rFonts w:hint="eastAsia" w:hAnsi="宋体"/>
          <w:color w:val="auto"/>
          <w:highlight w:val="none"/>
        </w:rPr>
        <w:t xml:space="preserve">                     合同号：</w:t>
      </w:r>
    </w:p>
    <w:p w14:paraId="71CC37E4">
      <w:pPr>
        <w:pStyle w:val="26"/>
        <w:snapToGrid w:val="0"/>
        <w:spacing w:before="120" w:after="120" w:line="336" w:lineRule="auto"/>
        <w:rPr>
          <w:rFonts w:hint="eastAsia" w:hAnsi="宋体"/>
          <w:color w:val="auto"/>
          <w:highlight w:val="none"/>
        </w:rPr>
      </w:pPr>
      <w:r>
        <w:rPr>
          <w:rFonts w:hAnsi="宋体"/>
          <w:color w:val="auto"/>
          <w:highlight w:val="none"/>
        </w:rPr>
        <w:t>甲方（买方）</w:t>
      </w:r>
      <w:r>
        <w:rPr>
          <w:rFonts w:hint="eastAsia" w:hAnsi="宋体"/>
          <w:color w:val="auto"/>
          <w:highlight w:val="none"/>
        </w:rPr>
        <w:t>：</w:t>
      </w:r>
    </w:p>
    <w:p w14:paraId="2EBCBD11">
      <w:pPr>
        <w:pStyle w:val="26"/>
        <w:snapToGrid w:val="0"/>
        <w:spacing w:before="120" w:after="120" w:line="336" w:lineRule="auto"/>
        <w:rPr>
          <w:rFonts w:hint="eastAsia" w:hAnsi="宋体"/>
          <w:color w:val="auto"/>
          <w:highlight w:val="none"/>
        </w:rPr>
      </w:pPr>
      <w:r>
        <w:rPr>
          <w:rFonts w:hAnsi="宋体"/>
          <w:color w:val="auto"/>
          <w:highlight w:val="none"/>
        </w:rPr>
        <w:t>乙方（卖方）</w:t>
      </w:r>
      <w:r>
        <w:rPr>
          <w:rFonts w:hint="eastAsia" w:hAnsi="宋体"/>
          <w:color w:val="auto"/>
          <w:highlight w:val="none"/>
        </w:rPr>
        <w:t>：</w:t>
      </w:r>
    </w:p>
    <w:p w14:paraId="65B1B976">
      <w:pPr>
        <w:pStyle w:val="26"/>
        <w:snapToGrid w:val="0"/>
        <w:spacing w:before="0" w:beforeLines="0" w:after="0" w:afterLines="0" w:line="336" w:lineRule="auto"/>
        <w:ind w:firstLine="480" w:firstLineChars="200"/>
        <w:rPr>
          <w:rFonts w:hAnsi="宋体"/>
          <w:b/>
          <w:color w:val="auto"/>
          <w:highlight w:val="none"/>
        </w:rPr>
      </w:pPr>
      <w:r>
        <w:rPr>
          <w:rFonts w:hAnsi="宋体"/>
          <w:color w:val="auto"/>
          <w:highlight w:val="none"/>
        </w:rPr>
        <w:t>甲、乙双方根据</w:t>
      </w:r>
      <w:r>
        <w:rPr>
          <w:rFonts w:hint="eastAsia" w:hAnsi="宋体"/>
          <w:color w:val="auto"/>
          <w:highlight w:val="none"/>
          <w:u w:val="single"/>
        </w:rPr>
        <w:t xml:space="preserve">    </w:t>
      </w:r>
      <w:r>
        <w:rPr>
          <w:rFonts w:hint="eastAsia" w:hAnsi="宋体"/>
          <w:color w:val="auto"/>
          <w:highlight w:val="none"/>
        </w:rPr>
        <w:t>年</w:t>
      </w:r>
      <w:r>
        <w:rPr>
          <w:rFonts w:hint="eastAsia" w:hAnsi="宋体"/>
          <w:color w:val="auto"/>
          <w:highlight w:val="none"/>
          <w:u w:val="single"/>
        </w:rPr>
        <w:t xml:space="preserve">   </w:t>
      </w:r>
      <w:r>
        <w:rPr>
          <w:rFonts w:hint="eastAsia" w:hAnsi="宋体"/>
          <w:color w:val="auto"/>
          <w:highlight w:val="none"/>
        </w:rPr>
        <w:t>月</w:t>
      </w:r>
      <w:r>
        <w:rPr>
          <w:rFonts w:hint="eastAsia" w:hAnsi="宋体"/>
          <w:color w:val="auto"/>
          <w:highlight w:val="none"/>
          <w:u w:val="single"/>
        </w:rPr>
        <w:t xml:space="preserve">    </w:t>
      </w:r>
      <w:r>
        <w:rPr>
          <w:rFonts w:hint="eastAsia" w:hAnsi="宋体"/>
          <w:color w:val="auto"/>
          <w:highlight w:val="none"/>
        </w:rPr>
        <w:t>日</w:t>
      </w:r>
      <w:r>
        <w:rPr>
          <w:rFonts w:hint="eastAsia" w:hAnsi="宋体"/>
          <w:color w:val="auto"/>
          <w:highlight w:val="none"/>
          <w:lang w:eastAsia="zh-CN"/>
        </w:rPr>
        <w:t>泰宇建筑工程技术咨询有限公司</w:t>
      </w:r>
      <w:r>
        <w:rPr>
          <w:rFonts w:hAnsi="宋体"/>
          <w:color w:val="auto"/>
          <w:highlight w:val="none"/>
        </w:rPr>
        <w:t>关于</w:t>
      </w:r>
      <w:r>
        <w:rPr>
          <w:rFonts w:hint="eastAsia" w:hAnsi="宋体"/>
          <w:color w:val="auto"/>
          <w:highlight w:val="none"/>
          <w:u w:val="single"/>
        </w:rPr>
        <w:t xml:space="preserve">     </w:t>
      </w:r>
      <w:r>
        <w:rPr>
          <w:rFonts w:hAnsi="宋体"/>
          <w:color w:val="auto"/>
          <w:highlight w:val="none"/>
        </w:rPr>
        <w:t>项目公开招标</w:t>
      </w:r>
      <w:r>
        <w:rPr>
          <w:rFonts w:hint="eastAsia" w:hAnsi="宋体"/>
          <w:color w:val="auto"/>
          <w:highlight w:val="none"/>
        </w:rPr>
        <w:t>的</w:t>
      </w:r>
      <w:r>
        <w:rPr>
          <w:rFonts w:hAnsi="宋体"/>
          <w:color w:val="auto"/>
          <w:highlight w:val="none"/>
        </w:rPr>
        <w:t>结果，签署本合同。</w:t>
      </w:r>
    </w:p>
    <w:p w14:paraId="12B7043B">
      <w:pPr>
        <w:pStyle w:val="26"/>
        <w:snapToGrid w:val="0"/>
        <w:spacing w:before="0" w:beforeLines="0" w:after="0" w:afterLines="0" w:line="336" w:lineRule="auto"/>
        <w:rPr>
          <w:rFonts w:hAnsi="宋体"/>
          <w:b/>
          <w:color w:val="auto"/>
          <w:highlight w:val="none"/>
        </w:rPr>
      </w:pPr>
      <w:r>
        <w:rPr>
          <w:rFonts w:hAnsi="宋体"/>
          <w:b/>
          <w:color w:val="auto"/>
          <w:highlight w:val="none"/>
        </w:rPr>
        <w:t>一、</w:t>
      </w:r>
      <w:r>
        <w:rPr>
          <w:rFonts w:hint="eastAsia" w:hAnsi="宋体"/>
          <w:b/>
          <w:color w:val="auto"/>
          <w:sz w:val="24"/>
          <w:szCs w:val="24"/>
          <w:highlight w:val="none"/>
        </w:rPr>
        <w:t>服务</w:t>
      </w:r>
      <w:r>
        <w:rPr>
          <w:rFonts w:hAnsi="宋体"/>
          <w:b/>
          <w:color w:val="auto"/>
          <w:highlight w:val="none"/>
        </w:rPr>
        <w:t>内容</w:t>
      </w:r>
    </w:p>
    <w:p w14:paraId="28D81C7A">
      <w:pPr>
        <w:pStyle w:val="26"/>
        <w:keepNext w:val="0"/>
        <w:keepLines w:val="0"/>
        <w:pageBreakBefore w:val="0"/>
        <w:widowControl w:val="0"/>
        <w:kinsoku/>
        <w:wordWrap/>
        <w:overflowPunct/>
        <w:topLinePunct w:val="0"/>
        <w:autoSpaceDE/>
        <w:autoSpaceDN/>
        <w:bidi w:val="0"/>
        <w:adjustRightInd/>
        <w:snapToGrid w:val="0"/>
        <w:spacing w:before="120" w:after="120" w:line="400" w:lineRule="exact"/>
        <w:ind w:firstLine="480" w:firstLineChars="200"/>
        <w:textAlignment w:val="auto"/>
        <w:rPr>
          <w:rFonts w:hAnsi="宋体" w:cs="宋体"/>
          <w:color w:val="auto"/>
          <w:highlight w:val="none"/>
        </w:rPr>
      </w:pPr>
      <w:r>
        <w:rPr>
          <w:rFonts w:hint="eastAsia" w:hAnsi="宋体" w:cs="宋体"/>
          <w:color w:val="auto"/>
          <w:highlight w:val="none"/>
        </w:rPr>
        <w:t>1. 服务名称：</w:t>
      </w:r>
    </w:p>
    <w:p w14:paraId="40EFE522">
      <w:pPr>
        <w:pStyle w:val="26"/>
        <w:keepNext w:val="0"/>
        <w:keepLines w:val="0"/>
        <w:pageBreakBefore w:val="0"/>
        <w:widowControl w:val="0"/>
        <w:kinsoku/>
        <w:wordWrap/>
        <w:overflowPunct/>
        <w:topLinePunct w:val="0"/>
        <w:autoSpaceDE/>
        <w:autoSpaceDN/>
        <w:bidi w:val="0"/>
        <w:adjustRightInd/>
        <w:snapToGrid w:val="0"/>
        <w:spacing w:before="120" w:after="120" w:line="400" w:lineRule="exact"/>
        <w:ind w:firstLine="480" w:firstLineChars="200"/>
        <w:textAlignment w:val="auto"/>
        <w:rPr>
          <w:rFonts w:hAnsi="宋体" w:cs="宋体"/>
          <w:color w:val="auto"/>
          <w:highlight w:val="none"/>
        </w:rPr>
      </w:pPr>
      <w:r>
        <w:rPr>
          <w:rFonts w:hint="eastAsia" w:hAnsi="宋体" w:cs="宋体"/>
          <w:color w:val="auto"/>
          <w:highlight w:val="none"/>
        </w:rPr>
        <w:t>2. 服务期限：</w:t>
      </w:r>
    </w:p>
    <w:p w14:paraId="20DEB5F4">
      <w:pPr>
        <w:pStyle w:val="26"/>
        <w:keepNext w:val="0"/>
        <w:keepLines w:val="0"/>
        <w:pageBreakBefore w:val="0"/>
        <w:widowControl w:val="0"/>
        <w:kinsoku/>
        <w:wordWrap/>
        <w:overflowPunct/>
        <w:topLinePunct w:val="0"/>
        <w:autoSpaceDE/>
        <w:autoSpaceDN/>
        <w:bidi w:val="0"/>
        <w:adjustRightInd/>
        <w:snapToGrid w:val="0"/>
        <w:spacing w:before="120" w:after="120" w:line="400" w:lineRule="exact"/>
        <w:ind w:firstLine="480" w:firstLineChars="200"/>
        <w:textAlignment w:val="auto"/>
        <w:rPr>
          <w:color w:val="auto"/>
          <w:highlight w:val="none"/>
        </w:rPr>
      </w:pPr>
      <w:r>
        <w:rPr>
          <w:rFonts w:hint="eastAsia" w:hAnsi="宋体" w:cs="宋体"/>
          <w:color w:val="auto"/>
          <w:highlight w:val="none"/>
        </w:rPr>
        <w:t>3. 服务地址：</w:t>
      </w:r>
    </w:p>
    <w:p w14:paraId="7A3FBD41">
      <w:pPr>
        <w:rPr>
          <w:color w:val="auto"/>
          <w:highlight w:val="none"/>
        </w:rPr>
      </w:pPr>
    </w:p>
    <w:p w14:paraId="6ED0BD03">
      <w:pPr>
        <w:pStyle w:val="26"/>
        <w:snapToGrid w:val="0"/>
        <w:spacing w:before="0" w:beforeLines="0" w:after="0" w:afterLines="0" w:line="336" w:lineRule="auto"/>
        <w:rPr>
          <w:rFonts w:hAnsi="宋体"/>
          <w:b/>
          <w:color w:val="auto"/>
          <w:highlight w:val="none"/>
        </w:rPr>
      </w:pPr>
      <w:r>
        <w:rPr>
          <w:rFonts w:hAnsi="宋体"/>
          <w:b/>
          <w:color w:val="auto"/>
          <w:highlight w:val="none"/>
        </w:rPr>
        <w:t>二、合同金额</w:t>
      </w:r>
    </w:p>
    <w:p w14:paraId="10398CCC">
      <w:pPr>
        <w:pStyle w:val="26"/>
        <w:snapToGrid w:val="0"/>
        <w:spacing w:before="0" w:beforeLines="0" w:after="0" w:afterLines="0" w:line="336" w:lineRule="auto"/>
        <w:ind w:firstLine="480" w:firstLineChars="200"/>
        <w:rPr>
          <w:rFonts w:hint="eastAsia" w:hAnsi="宋体"/>
          <w:color w:val="auto"/>
          <w:highlight w:val="none"/>
        </w:rPr>
      </w:pPr>
      <w:r>
        <w:rPr>
          <w:rFonts w:hAnsi="宋体"/>
          <w:color w:val="auto"/>
          <w:highlight w:val="none"/>
        </w:rPr>
        <w:t>本合同金额为（大写）：_______________________元（￥_________元）人民币。</w:t>
      </w:r>
      <w:r>
        <w:rPr>
          <w:rFonts w:hint="eastAsia" w:hAnsi="宋体"/>
          <w:color w:val="auto"/>
          <w:highlight w:val="none"/>
        </w:rPr>
        <w:t>数量以甲方实际采购需要为准。</w:t>
      </w:r>
    </w:p>
    <w:p w14:paraId="428258BF">
      <w:pPr>
        <w:pStyle w:val="26"/>
        <w:keepNext w:val="0"/>
        <w:keepLines w:val="0"/>
        <w:pageBreakBefore w:val="0"/>
        <w:widowControl w:val="0"/>
        <w:kinsoku/>
        <w:wordWrap/>
        <w:overflowPunct/>
        <w:topLinePunct w:val="0"/>
        <w:autoSpaceDE/>
        <w:autoSpaceDN/>
        <w:bidi w:val="0"/>
        <w:adjustRightInd/>
        <w:snapToGrid w:val="0"/>
        <w:spacing w:before="120" w:after="120" w:line="400" w:lineRule="exact"/>
        <w:textAlignment w:val="auto"/>
        <w:rPr>
          <w:rFonts w:hAnsi="宋体" w:cs="宋体"/>
          <w:b/>
          <w:color w:val="auto"/>
          <w:highlight w:val="none"/>
        </w:rPr>
      </w:pPr>
      <w:r>
        <w:rPr>
          <w:rFonts w:hint="eastAsia" w:hAnsi="宋体" w:cs="宋体"/>
          <w:b/>
          <w:color w:val="auto"/>
          <w:highlight w:val="none"/>
        </w:rPr>
        <w:t>三、知识产权及技术资料</w:t>
      </w:r>
    </w:p>
    <w:p w14:paraId="49E538B4">
      <w:pPr>
        <w:pStyle w:val="26"/>
        <w:keepNext w:val="0"/>
        <w:keepLines w:val="0"/>
        <w:pageBreakBefore w:val="0"/>
        <w:widowControl w:val="0"/>
        <w:kinsoku/>
        <w:wordWrap/>
        <w:overflowPunct/>
        <w:topLinePunct w:val="0"/>
        <w:autoSpaceDE/>
        <w:autoSpaceDN/>
        <w:bidi w:val="0"/>
        <w:adjustRightInd/>
        <w:snapToGrid w:val="0"/>
        <w:spacing w:beforeLines="0" w:afterLines="0" w:line="400" w:lineRule="exact"/>
        <w:ind w:firstLine="480" w:firstLineChars="200"/>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E50CD48">
      <w:pPr>
        <w:pStyle w:val="26"/>
        <w:snapToGrid w:val="0"/>
        <w:spacing w:before="0" w:beforeLines="0" w:after="0" w:afterLines="0" w:line="336" w:lineRule="auto"/>
        <w:ind w:firstLine="480" w:firstLineChars="20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2.乙方应保证所提供的技术服务或其任何一部分均不会侵犯任何第三方的知识产权。</w:t>
      </w:r>
    </w:p>
    <w:p w14:paraId="4639298D">
      <w:pPr>
        <w:pStyle w:val="26"/>
        <w:snapToGrid w:val="0"/>
        <w:spacing w:before="0" w:beforeLines="0" w:after="0" w:afterLines="0" w:line="336" w:lineRule="auto"/>
        <w:rPr>
          <w:rFonts w:hint="eastAsia" w:hAnsi="宋体" w:cs="宋体"/>
          <w:b/>
          <w:color w:val="auto"/>
          <w:highlight w:val="none"/>
        </w:rPr>
      </w:pPr>
      <w:r>
        <w:rPr>
          <w:rFonts w:hint="eastAsia" w:hAnsi="宋体"/>
          <w:b/>
          <w:color w:val="auto"/>
          <w:highlight w:val="none"/>
        </w:rPr>
        <w:t>四</w:t>
      </w:r>
      <w:r>
        <w:rPr>
          <w:rFonts w:hAnsi="宋体"/>
          <w:b/>
          <w:color w:val="auto"/>
          <w:highlight w:val="none"/>
        </w:rPr>
        <w:t>、</w:t>
      </w:r>
      <w:r>
        <w:rPr>
          <w:rFonts w:hint="eastAsia" w:hAnsi="宋体" w:cs="宋体"/>
          <w:b/>
          <w:color w:val="auto"/>
          <w:highlight w:val="none"/>
        </w:rPr>
        <w:t>履约保证金</w:t>
      </w:r>
    </w:p>
    <w:p w14:paraId="316D302A">
      <w:pPr>
        <w:pStyle w:val="26"/>
        <w:keepNext w:val="0"/>
        <w:keepLines w:val="0"/>
        <w:pageBreakBefore w:val="0"/>
        <w:widowControl w:val="0"/>
        <w:kinsoku/>
        <w:wordWrap/>
        <w:overflowPunct/>
        <w:topLinePunct w:val="0"/>
        <w:autoSpaceDE/>
        <w:autoSpaceDN/>
        <w:bidi w:val="0"/>
        <w:adjustRightInd/>
        <w:snapToGrid w:val="0"/>
        <w:spacing w:beforeLines="0" w:afterLines="0" w:line="400" w:lineRule="exact"/>
        <w:ind w:firstLine="480" w:firstLineChars="200"/>
        <w:textAlignment w:val="auto"/>
        <w:rPr>
          <w:color w:val="auto"/>
          <w:highlight w:val="none"/>
        </w:rPr>
      </w:pPr>
      <w:r>
        <w:rPr>
          <w:rFonts w:hint="eastAsia" w:hAnsi="宋体" w:cs="宋体"/>
          <w:color w:val="auto"/>
          <w:highlight w:val="none"/>
          <w:lang w:val="en-US" w:eastAsia="zh-CN"/>
        </w:rPr>
        <w:t>本项目无需缴纳履约保证金。</w:t>
      </w:r>
    </w:p>
    <w:p w14:paraId="4CEA1663">
      <w:pPr>
        <w:pStyle w:val="26"/>
        <w:snapToGrid w:val="0"/>
        <w:spacing w:before="0" w:beforeLines="0" w:after="0" w:afterLines="0" w:line="336" w:lineRule="auto"/>
        <w:rPr>
          <w:rFonts w:hAnsi="宋体"/>
          <w:b/>
          <w:color w:val="auto"/>
          <w:highlight w:val="none"/>
        </w:rPr>
      </w:pPr>
      <w:r>
        <w:rPr>
          <w:rFonts w:hint="eastAsia" w:hAnsi="宋体"/>
          <w:b/>
          <w:color w:val="auto"/>
          <w:highlight w:val="none"/>
          <w:lang w:eastAsia="zh-CN"/>
        </w:rPr>
        <w:t>五</w:t>
      </w:r>
      <w:r>
        <w:rPr>
          <w:rFonts w:hint="eastAsia" w:hAnsi="宋体"/>
          <w:b/>
          <w:color w:val="auto"/>
          <w:highlight w:val="none"/>
        </w:rPr>
        <w:t>、转包或分包</w:t>
      </w:r>
    </w:p>
    <w:p w14:paraId="521E20A1">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rFonts w:ascii="宋体" w:hAnsi="宋体" w:cs="宋体"/>
          <w:color w:val="auto"/>
          <w:kern w:val="0"/>
          <w:sz w:val="24"/>
          <w:szCs w:val="20"/>
          <w:highlight w:val="none"/>
        </w:rPr>
      </w:pPr>
      <w:r>
        <w:rPr>
          <w:rFonts w:hint="eastAsia" w:ascii="宋体" w:hAnsi="宋体" w:cs="宋体"/>
          <w:color w:val="auto"/>
          <w:kern w:val="0"/>
          <w:sz w:val="24"/>
          <w:highlight w:val="none"/>
        </w:rPr>
        <w:t>1.本项目不允许转包。</w:t>
      </w:r>
    </w:p>
    <w:p w14:paraId="3F602E4F">
      <w:pPr>
        <w:pStyle w:val="26"/>
        <w:keepNext w:val="0"/>
        <w:keepLines w:val="0"/>
        <w:pageBreakBefore w:val="0"/>
        <w:widowControl w:val="0"/>
        <w:kinsoku/>
        <w:wordWrap/>
        <w:overflowPunct/>
        <w:topLinePunct w:val="0"/>
        <w:autoSpaceDE/>
        <w:autoSpaceDN/>
        <w:bidi w:val="0"/>
        <w:adjustRightInd/>
        <w:snapToGrid w:val="0"/>
        <w:spacing w:before="120" w:after="120" w:line="400" w:lineRule="exact"/>
        <w:ind w:firstLine="480" w:firstLineChars="200"/>
        <w:textAlignment w:val="auto"/>
        <w:rPr>
          <w:rFonts w:hAnsi="宋体" w:cs="宋体"/>
          <w:color w:val="auto"/>
          <w:kern w:val="0"/>
          <w:highlight w:val="none"/>
        </w:rPr>
      </w:pPr>
      <w:r>
        <w:rPr>
          <w:rFonts w:hint="eastAsia" w:hAnsi="宋体" w:cs="宋体"/>
          <w:color w:val="auto"/>
          <w:kern w:val="0"/>
          <w:highlight w:val="none"/>
        </w:rPr>
        <w:t>2.本项目分包按照浙财采监[2022]3号文件执行。</w:t>
      </w:r>
    </w:p>
    <w:p w14:paraId="10FF4537">
      <w:pPr>
        <w:snapToGrid w:val="0"/>
        <w:spacing w:before="120" w:after="120" w:line="276" w:lineRule="auto"/>
        <w:rPr>
          <w:rFonts w:ascii="宋体" w:hAnsi="宋体"/>
          <w:b/>
          <w:color w:val="auto"/>
          <w:sz w:val="24"/>
          <w:highlight w:val="none"/>
        </w:rPr>
      </w:pPr>
      <w:r>
        <w:rPr>
          <w:rFonts w:hint="eastAsia" w:ascii="宋体" w:hAnsi="宋体" w:cs="Times New Roman"/>
          <w:b/>
          <w:color w:val="auto"/>
          <w:kern w:val="2"/>
          <w:sz w:val="24"/>
          <w:szCs w:val="24"/>
          <w:highlight w:val="none"/>
          <w:lang w:val="en-US" w:eastAsia="zh-CN" w:bidi="ar-SA"/>
        </w:rPr>
        <w:t>六</w:t>
      </w:r>
      <w:r>
        <w:rPr>
          <w:rFonts w:hint="eastAsia" w:ascii="宋体" w:hAnsi="宋体" w:eastAsia="宋体" w:cs="Times New Roman"/>
          <w:b/>
          <w:color w:val="auto"/>
          <w:kern w:val="2"/>
          <w:sz w:val="24"/>
          <w:szCs w:val="24"/>
          <w:highlight w:val="none"/>
          <w:lang w:val="en-US" w:eastAsia="zh-CN" w:bidi="ar-SA"/>
        </w:rPr>
        <w:t>、</w:t>
      </w:r>
      <w:r>
        <w:rPr>
          <w:rFonts w:ascii="宋体" w:hAnsi="宋体"/>
          <w:b/>
          <w:color w:val="auto"/>
          <w:sz w:val="24"/>
          <w:highlight w:val="none"/>
        </w:rPr>
        <w:t>付款方式</w:t>
      </w:r>
    </w:p>
    <w:p w14:paraId="4BA69CE3">
      <w:pPr>
        <w:snapToGrid w:val="0"/>
        <w:spacing w:before="120" w:after="120" w:line="276" w:lineRule="auto"/>
        <w:ind w:firstLine="480" w:firstLineChars="200"/>
        <w:rPr>
          <w:rFonts w:hint="eastAsia" w:ascii="宋体" w:hAnsi="宋体" w:eastAsia="宋体" w:cs="宋体"/>
          <w:color w:val="auto"/>
          <w:sz w:val="24"/>
          <w:szCs w:val="24"/>
          <w:lang w:bidi="ar"/>
        </w:rPr>
      </w:pPr>
      <w:r>
        <w:rPr>
          <w:rFonts w:hint="eastAsia" w:ascii="宋体" w:hAnsi="宋体" w:eastAsia="宋体" w:cs="宋体"/>
          <w:color w:val="auto"/>
          <w:sz w:val="24"/>
          <w:szCs w:val="24"/>
          <w:lang w:bidi="ar"/>
        </w:rPr>
        <w:t>在合同生效以及具备实施条件后七个工作日内,采购人向中标人支付合同总价的</w:t>
      </w:r>
      <w:r>
        <w:rPr>
          <w:rFonts w:hint="eastAsia" w:ascii="宋体" w:hAnsi="宋体" w:eastAsia="宋体" w:cs="宋体"/>
          <w:color w:val="auto"/>
          <w:sz w:val="24"/>
          <w:szCs w:val="24"/>
          <w:lang w:val="en-US" w:eastAsia="zh-CN" w:bidi="ar"/>
        </w:rPr>
        <w:t>4</w:t>
      </w:r>
      <w:r>
        <w:rPr>
          <w:rFonts w:hint="eastAsia" w:ascii="宋体" w:hAnsi="宋体" w:eastAsia="宋体" w:cs="宋体"/>
          <w:color w:val="auto"/>
          <w:sz w:val="24"/>
          <w:szCs w:val="24"/>
          <w:lang w:bidi="ar"/>
        </w:rPr>
        <w:t>0%作为预付款</w:t>
      </w:r>
      <w:r>
        <w:rPr>
          <w:rFonts w:hint="eastAsia" w:ascii="宋体" w:hAnsi="宋体" w:cs="宋体"/>
          <w:color w:val="auto"/>
          <w:sz w:val="24"/>
          <w:szCs w:val="24"/>
          <w:lang w:eastAsia="zh-CN" w:bidi="ar"/>
        </w:rPr>
        <w:t>，东阳市公共视频监控建设</w:t>
      </w:r>
      <w:r>
        <w:rPr>
          <w:rFonts w:hint="eastAsia" w:ascii="宋体" w:hAnsi="宋体" w:eastAsia="宋体" w:cs="宋体"/>
          <w:color w:val="auto"/>
          <w:sz w:val="24"/>
          <w:szCs w:val="24"/>
          <w:lang w:bidi="ar"/>
        </w:rPr>
        <w:t>项目</w:t>
      </w:r>
      <w:r>
        <w:rPr>
          <w:rFonts w:hint="eastAsia" w:ascii="宋体" w:hAnsi="宋体" w:cs="宋体"/>
          <w:color w:val="auto"/>
          <w:sz w:val="24"/>
          <w:szCs w:val="24"/>
          <w:lang w:val="en-US" w:eastAsia="zh-CN" w:bidi="ar"/>
        </w:rPr>
        <w:t>完成建设</w:t>
      </w:r>
      <w:r>
        <w:rPr>
          <w:rFonts w:hint="eastAsia" w:ascii="宋体" w:hAnsi="宋体" w:eastAsia="宋体" w:cs="宋体"/>
          <w:color w:val="auto"/>
          <w:sz w:val="24"/>
          <w:szCs w:val="24"/>
          <w:lang w:bidi="ar"/>
        </w:rPr>
        <w:t>起七个工作日内支付至合同金额</w:t>
      </w:r>
      <w:r>
        <w:rPr>
          <w:rFonts w:hint="eastAsia" w:ascii="宋体" w:hAnsi="宋体" w:cs="宋体"/>
          <w:color w:val="auto"/>
          <w:sz w:val="24"/>
          <w:szCs w:val="24"/>
          <w:lang w:val="en-US" w:eastAsia="zh-CN" w:bidi="ar"/>
        </w:rPr>
        <w:t>的8</w:t>
      </w:r>
      <w:r>
        <w:rPr>
          <w:rFonts w:hint="eastAsia" w:ascii="宋体" w:hAnsi="宋体" w:eastAsia="宋体" w:cs="宋体"/>
          <w:color w:val="auto"/>
          <w:sz w:val="24"/>
          <w:szCs w:val="24"/>
          <w:lang w:bidi="ar"/>
        </w:rPr>
        <w:t>0</w:t>
      </w:r>
      <w:r>
        <w:rPr>
          <w:rFonts w:hint="eastAsia" w:ascii="宋体" w:hAnsi="宋体" w:cs="宋体"/>
          <w:color w:val="auto"/>
          <w:sz w:val="24"/>
          <w:szCs w:val="24"/>
          <w:lang w:val="en-US" w:eastAsia="zh-CN" w:bidi="ar"/>
        </w:rPr>
        <w:t>%</w:t>
      </w:r>
      <w:r>
        <w:rPr>
          <w:rFonts w:hint="eastAsia" w:ascii="宋体" w:hAnsi="宋体" w:cs="宋体"/>
          <w:color w:val="auto"/>
          <w:sz w:val="24"/>
          <w:szCs w:val="24"/>
          <w:lang w:eastAsia="zh-CN" w:bidi="ar"/>
        </w:rPr>
        <w:t>，</w:t>
      </w:r>
      <w:r>
        <w:rPr>
          <w:rFonts w:hint="eastAsia" w:ascii="宋体" w:hAnsi="宋体" w:cs="宋体"/>
          <w:color w:val="auto"/>
          <w:sz w:val="24"/>
          <w:szCs w:val="24"/>
          <w:lang w:val="en-US" w:eastAsia="zh-CN" w:bidi="ar"/>
        </w:rPr>
        <w:t>项目终验经审计后，支付至合同金额的100</w:t>
      </w:r>
      <w:r>
        <w:rPr>
          <w:rFonts w:hint="eastAsia" w:ascii="宋体" w:hAnsi="宋体" w:eastAsia="宋体" w:cs="宋体"/>
          <w:color w:val="auto"/>
          <w:sz w:val="24"/>
          <w:szCs w:val="24"/>
          <w:lang w:bidi="ar"/>
        </w:rPr>
        <w:t>%。</w:t>
      </w:r>
    </w:p>
    <w:p w14:paraId="0C47D0B9">
      <w:pPr>
        <w:snapToGrid w:val="0"/>
        <w:rPr>
          <w:rFonts w:ascii="宋体" w:hAnsi="宋体"/>
          <w:b/>
          <w:color w:val="auto"/>
          <w:sz w:val="24"/>
          <w:szCs w:val="20"/>
          <w:highlight w:val="none"/>
        </w:rPr>
      </w:pPr>
      <w:r>
        <w:rPr>
          <w:rFonts w:hint="eastAsia" w:ascii="宋体" w:hAnsi="宋体"/>
          <w:b/>
          <w:color w:val="auto"/>
          <w:sz w:val="24"/>
          <w:highlight w:val="none"/>
          <w:lang w:eastAsia="zh-CN"/>
        </w:rPr>
        <w:t>七</w:t>
      </w:r>
      <w:r>
        <w:rPr>
          <w:rFonts w:hint="eastAsia" w:ascii="宋体" w:hAnsi="宋体"/>
          <w:b/>
          <w:color w:val="auto"/>
          <w:sz w:val="24"/>
          <w:highlight w:val="none"/>
        </w:rPr>
        <w:t>、税费</w:t>
      </w:r>
    </w:p>
    <w:p w14:paraId="7C2E8300">
      <w:pPr>
        <w:snapToGrid w:val="0"/>
        <w:spacing w:line="360" w:lineRule="auto"/>
        <w:ind w:firstLine="480" w:firstLineChars="200"/>
        <w:rPr>
          <w:rFonts w:ascii="宋体" w:hAnsi="宋体"/>
          <w:color w:val="auto"/>
          <w:sz w:val="24"/>
          <w:szCs w:val="20"/>
          <w:highlight w:val="none"/>
        </w:rPr>
      </w:pPr>
      <w:r>
        <w:rPr>
          <w:rFonts w:hint="eastAsia" w:ascii="宋体" w:hAnsi="宋体"/>
          <w:color w:val="auto"/>
          <w:sz w:val="24"/>
          <w:highlight w:val="none"/>
        </w:rPr>
        <w:t>本合同执行中相关的一切税费均由</w:t>
      </w:r>
      <w:r>
        <w:rPr>
          <w:rFonts w:hAnsi="宋体"/>
          <w:color w:val="auto"/>
          <w:sz w:val="24"/>
          <w:highlight w:val="none"/>
        </w:rPr>
        <w:t>乙</w:t>
      </w:r>
      <w:r>
        <w:rPr>
          <w:rFonts w:hint="eastAsia" w:ascii="宋体" w:hAnsi="宋体"/>
          <w:color w:val="auto"/>
          <w:sz w:val="24"/>
          <w:highlight w:val="none"/>
        </w:rPr>
        <w:t>方负担。</w:t>
      </w:r>
    </w:p>
    <w:p w14:paraId="53419D08">
      <w:pPr>
        <w:keepNext w:val="0"/>
        <w:keepLines w:val="0"/>
        <w:pageBreakBefore w:val="0"/>
        <w:widowControl w:val="0"/>
        <w:kinsoku/>
        <w:wordWrap/>
        <w:overflowPunct/>
        <w:topLinePunct w:val="0"/>
        <w:autoSpaceDE/>
        <w:autoSpaceDN/>
        <w:bidi w:val="0"/>
        <w:adjustRightInd/>
        <w:snapToGrid w:val="0"/>
        <w:spacing w:before="120" w:beforeLines="50" w:after="120" w:afterLines="50" w:line="400" w:lineRule="exact"/>
        <w:textAlignment w:val="auto"/>
        <w:rPr>
          <w:rFonts w:ascii="宋体" w:hAnsi="宋体" w:cs="宋体"/>
          <w:b/>
          <w:color w:val="auto"/>
          <w:sz w:val="24"/>
          <w:highlight w:val="none"/>
        </w:rPr>
      </w:pPr>
      <w:r>
        <w:rPr>
          <w:rFonts w:hint="eastAsia" w:ascii="宋体" w:hAnsi="宋体" w:cs="宋体"/>
          <w:b/>
          <w:color w:val="auto"/>
          <w:sz w:val="24"/>
          <w:highlight w:val="none"/>
        </w:rPr>
        <w:t>八、调试和验收</w:t>
      </w:r>
    </w:p>
    <w:p w14:paraId="0189E3B0">
      <w:pPr>
        <w:pStyle w:val="26"/>
        <w:keepNext w:val="0"/>
        <w:keepLines w:val="0"/>
        <w:pageBreakBefore w:val="0"/>
        <w:widowControl w:val="0"/>
        <w:kinsoku/>
        <w:wordWrap/>
        <w:overflowPunct/>
        <w:topLinePunct w:val="0"/>
        <w:autoSpaceDE/>
        <w:autoSpaceDN/>
        <w:bidi w:val="0"/>
        <w:adjustRightInd/>
        <w:snapToGrid w:val="0"/>
        <w:spacing w:before="120" w:after="120" w:line="400" w:lineRule="exact"/>
        <w:ind w:left="479" w:leftChars="228" w:firstLine="69" w:firstLineChars="29"/>
        <w:textAlignment w:val="auto"/>
        <w:rPr>
          <w:rFonts w:hint="eastAsia" w:ascii="宋体" w:hAnsi="宋体" w:eastAsia="宋体" w:cs="宋体"/>
          <w:color w:val="auto"/>
          <w:highlight w:val="none"/>
          <w:lang w:val="en-US" w:eastAsia="zh-CN"/>
        </w:rPr>
      </w:pPr>
      <w:r>
        <w:rPr>
          <w:rFonts w:hint="eastAsia" w:hAnsi="宋体" w:cs="宋体"/>
          <w:color w:val="auto"/>
          <w:highlight w:val="none"/>
          <w:lang w:val="en-US" w:eastAsia="zh-CN"/>
        </w:rPr>
        <w:t>采购单位组织</w:t>
      </w:r>
      <w:r>
        <w:rPr>
          <w:rFonts w:hint="eastAsia" w:ascii="宋体" w:hAnsi="宋体" w:eastAsia="宋体" w:cs="宋体"/>
          <w:color w:val="auto"/>
          <w:highlight w:val="none"/>
          <w:lang w:val="en-US" w:eastAsia="zh-CN"/>
        </w:rPr>
        <w:t>验收</w:t>
      </w:r>
    </w:p>
    <w:p w14:paraId="47B1EDA4">
      <w:pPr>
        <w:pStyle w:val="26"/>
        <w:keepNext w:val="0"/>
        <w:keepLines w:val="0"/>
        <w:pageBreakBefore w:val="0"/>
        <w:widowControl w:val="0"/>
        <w:kinsoku/>
        <w:wordWrap/>
        <w:overflowPunct/>
        <w:topLinePunct w:val="0"/>
        <w:autoSpaceDE/>
        <w:autoSpaceDN/>
        <w:bidi w:val="0"/>
        <w:adjustRightInd/>
        <w:snapToGrid w:val="0"/>
        <w:spacing w:before="120" w:after="120" w:line="400" w:lineRule="exact"/>
        <w:ind w:left="412" w:hanging="412" w:hangingChars="171"/>
        <w:textAlignment w:val="auto"/>
        <w:rPr>
          <w:rFonts w:hAnsi="宋体" w:cs="宋体"/>
          <w:color w:val="auto"/>
          <w:highlight w:val="none"/>
        </w:rPr>
      </w:pPr>
      <w:r>
        <w:rPr>
          <w:rFonts w:hint="eastAsia" w:hAnsi="宋体" w:cs="宋体"/>
          <w:b/>
          <w:color w:val="auto"/>
          <w:highlight w:val="none"/>
        </w:rPr>
        <w:t>九、服务质量保证及售后服务</w:t>
      </w:r>
    </w:p>
    <w:p w14:paraId="389BA32C">
      <w:pPr>
        <w:pStyle w:val="26"/>
        <w:keepNext w:val="0"/>
        <w:keepLines w:val="0"/>
        <w:pageBreakBefore w:val="0"/>
        <w:widowControl w:val="0"/>
        <w:kinsoku/>
        <w:wordWrap/>
        <w:overflowPunct/>
        <w:topLinePunct w:val="0"/>
        <w:autoSpaceDE/>
        <w:autoSpaceDN/>
        <w:bidi w:val="0"/>
        <w:adjustRightInd/>
        <w:snapToGrid w:val="0"/>
        <w:spacing w:before="120" w:after="120" w:line="400" w:lineRule="exact"/>
        <w:ind w:firstLine="480" w:firstLineChars="200"/>
        <w:textAlignment w:val="auto"/>
        <w:rPr>
          <w:rFonts w:hint="eastAsia" w:ascii="宋体" w:hAnsi="宋体" w:eastAsia="宋体" w:cs="Times New Roman"/>
          <w:color w:val="auto"/>
          <w:highlight w:val="none"/>
        </w:rPr>
      </w:pPr>
      <w:r>
        <w:rPr>
          <w:rFonts w:hint="eastAsia" w:ascii="宋体" w:hAnsi="宋体" w:eastAsia="宋体" w:cs="Times New Roman"/>
          <w:color w:val="auto"/>
          <w:highlight w:val="none"/>
        </w:rPr>
        <w:t>1</w:t>
      </w:r>
      <w:r>
        <w:rPr>
          <w:rFonts w:hint="eastAsia" w:ascii="宋体" w:hAnsi="宋体" w:eastAsia="宋体" w:cs="Times New Roman"/>
          <w:color w:val="auto"/>
          <w:highlight w:val="none"/>
          <w:lang w:val="en-US" w:eastAsia="zh-CN"/>
        </w:rPr>
        <w:t>.</w:t>
      </w:r>
      <w:r>
        <w:rPr>
          <w:rFonts w:ascii="宋体" w:hAnsi="宋体" w:eastAsia="宋体" w:cs="Times New Roman"/>
          <w:color w:val="auto"/>
          <w:highlight w:val="none"/>
        </w:rPr>
        <w:t>乙方应按招标文件规定向甲方提供服务</w:t>
      </w:r>
      <w:r>
        <w:rPr>
          <w:rFonts w:hint="eastAsia" w:ascii="宋体" w:hAnsi="宋体" w:eastAsia="宋体" w:cs="Times New Roman"/>
          <w:color w:val="auto"/>
          <w:highlight w:val="none"/>
        </w:rPr>
        <w:t>。</w:t>
      </w:r>
    </w:p>
    <w:p w14:paraId="2F16D505">
      <w:pPr>
        <w:pStyle w:val="26"/>
        <w:keepNext w:val="0"/>
        <w:keepLines w:val="0"/>
        <w:pageBreakBefore w:val="0"/>
        <w:widowControl w:val="0"/>
        <w:kinsoku/>
        <w:wordWrap/>
        <w:overflowPunct/>
        <w:topLinePunct w:val="0"/>
        <w:autoSpaceDE/>
        <w:autoSpaceDN/>
        <w:bidi w:val="0"/>
        <w:adjustRightInd/>
        <w:snapToGrid w:val="0"/>
        <w:spacing w:before="120" w:after="120" w:line="400" w:lineRule="exact"/>
        <w:ind w:firstLine="480" w:firstLineChars="200"/>
        <w:textAlignment w:val="auto"/>
        <w:rPr>
          <w:rFonts w:ascii="宋体" w:hAnsi="宋体" w:eastAsia="宋体" w:cs="Times New Roman"/>
          <w:color w:val="auto"/>
          <w:highlight w:val="none"/>
        </w:rPr>
      </w:pPr>
      <w:r>
        <w:rPr>
          <w:rFonts w:hint="eastAsia" w:ascii="宋体" w:hAnsi="宋体" w:eastAsia="宋体" w:cs="Times New Roman"/>
          <w:color w:val="auto"/>
          <w:highlight w:val="none"/>
          <w:lang w:val="en-US" w:eastAsia="zh-CN"/>
        </w:rPr>
        <w:t>2.</w:t>
      </w:r>
      <w:r>
        <w:rPr>
          <w:rFonts w:ascii="宋体" w:hAnsi="宋体" w:eastAsia="宋体" w:cs="Times New Roman"/>
          <w:color w:val="auto"/>
          <w:highlight w:val="none"/>
        </w:rPr>
        <w:t>乙方提供的服务成果在服务质量保证期内发生故障，乙方应负责免费提供后续服务。对达不到要求者，根据实际情况，经双方协商，可按以下办法处理：</w:t>
      </w:r>
    </w:p>
    <w:p w14:paraId="5902F3E4">
      <w:pPr>
        <w:pStyle w:val="26"/>
        <w:keepNext w:val="0"/>
        <w:keepLines w:val="0"/>
        <w:pageBreakBefore w:val="0"/>
        <w:widowControl w:val="0"/>
        <w:kinsoku/>
        <w:wordWrap/>
        <w:overflowPunct/>
        <w:topLinePunct w:val="0"/>
        <w:autoSpaceDE/>
        <w:autoSpaceDN/>
        <w:bidi w:val="0"/>
        <w:adjustRightInd/>
        <w:snapToGrid w:val="0"/>
        <w:spacing w:before="120" w:after="120" w:line="400" w:lineRule="exact"/>
        <w:ind w:firstLine="480" w:firstLineChars="200"/>
        <w:textAlignment w:val="auto"/>
        <w:rPr>
          <w:rFonts w:ascii="宋体" w:hAnsi="宋体" w:eastAsia="宋体" w:cs="Times New Roman"/>
          <w:color w:val="auto"/>
          <w:highlight w:val="none"/>
        </w:rPr>
      </w:pPr>
      <w:r>
        <w:rPr>
          <w:rFonts w:ascii="宋体" w:hAnsi="宋体" w:eastAsia="宋体" w:cs="Times New Roman"/>
          <w:color w:val="auto"/>
          <w:highlight w:val="none"/>
        </w:rPr>
        <w:t>⑴重做：由乙方承担所发生的全部费用。</w:t>
      </w:r>
    </w:p>
    <w:p w14:paraId="6E40CF47">
      <w:pPr>
        <w:pStyle w:val="26"/>
        <w:snapToGrid w:val="0"/>
        <w:spacing w:before="120" w:after="120" w:line="240" w:lineRule="auto"/>
        <w:ind w:firstLine="480" w:firstLineChars="200"/>
        <w:rPr>
          <w:rFonts w:hAnsi="宋体"/>
          <w:color w:val="auto"/>
          <w:highlight w:val="none"/>
        </w:rPr>
      </w:pPr>
      <w:r>
        <w:rPr>
          <w:rFonts w:hAnsi="宋体"/>
          <w:color w:val="auto"/>
          <w:highlight w:val="none"/>
        </w:rPr>
        <w:t>⑵贬值处理：由甲乙双方合议定价。</w:t>
      </w:r>
    </w:p>
    <w:p w14:paraId="544B0451">
      <w:pPr>
        <w:pStyle w:val="26"/>
        <w:keepNext w:val="0"/>
        <w:keepLines w:val="0"/>
        <w:pageBreakBefore w:val="0"/>
        <w:widowControl w:val="0"/>
        <w:kinsoku/>
        <w:wordWrap/>
        <w:overflowPunct/>
        <w:topLinePunct w:val="0"/>
        <w:autoSpaceDE/>
        <w:autoSpaceDN/>
        <w:bidi w:val="0"/>
        <w:adjustRightInd/>
        <w:snapToGrid w:val="0"/>
        <w:spacing w:before="120" w:after="120" w:line="400" w:lineRule="exact"/>
        <w:ind w:firstLine="480" w:firstLineChars="200"/>
        <w:textAlignment w:val="auto"/>
        <w:rPr>
          <w:rFonts w:hint="eastAsia" w:ascii="宋体" w:hAnsi="宋体" w:eastAsia="宋体" w:cs="宋体"/>
          <w:color w:val="auto"/>
          <w:highlight w:val="none"/>
        </w:rPr>
      </w:pPr>
      <w:r>
        <w:rPr>
          <w:rFonts w:hAnsi="宋体"/>
          <w:color w:val="auto"/>
          <w:highlight w:val="none"/>
        </w:rPr>
        <w:t>⑶解除合同</w:t>
      </w:r>
      <w:r>
        <w:rPr>
          <w:rFonts w:hint="eastAsia" w:ascii="宋体" w:hAnsi="宋体" w:eastAsia="宋体" w:cs="宋体"/>
          <w:color w:val="auto"/>
          <w:highlight w:val="none"/>
        </w:rPr>
        <w:t>。</w:t>
      </w:r>
    </w:p>
    <w:p w14:paraId="5E716651">
      <w:pPr>
        <w:pStyle w:val="26"/>
        <w:keepNext w:val="0"/>
        <w:keepLines w:val="0"/>
        <w:pageBreakBefore w:val="0"/>
        <w:widowControl w:val="0"/>
        <w:kinsoku/>
        <w:wordWrap/>
        <w:overflowPunct/>
        <w:topLinePunct w:val="0"/>
        <w:autoSpaceDE/>
        <w:autoSpaceDN/>
        <w:bidi w:val="0"/>
        <w:adjustRightInd/>
        <w:snapToGrid w:val="0"/>
        <w:spacing w:before="120" w:after="120"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w:t>
      </w:r>
      <w:r>
        <w:rPr>
          <w:rFonts w:hint="eastAsia" w:hAnsi="宋体" w:cs="宋体"/>
          <w:color w:val="auto"/>
          <w:highlight w:val="none"/>
          <w:lang w:val="en-US" w:eastAsia="zh-CN"/>
        </w:rPr>
        <w:t>.</w:t>
      </w:r>
      <w:r>
        <w:rPr>
          <w:rFonts w:hAnsi="宋体"/>
          <w:color w:val="auto"/>
          <w:highlight w:val="none"/>
        </w:rPr>
        <w:t>如在使用过程中发生问题，乙方在接到甲方通知后</w:t>
      </w:r>
      <w:r>
        <w:rPr>
          <w:rFonts w:hint="eastAsia" w:hAnsi="宋体"/>
          <w:color w:val="auto"/>
          <w:highlight w:val="none"/>
          <w:u w:val="single"/>
        </w:rPr>
        <w:t xml:space="preserve">    </w:t>
      </w:r>
      <w:r>
        <w:rPr>
          <w:rFonts w:hAnsi="宋体"/>
          <w:color w:val="auto"/>
          <w:highlight w:val="none"/>
        </w:rPr>
        <w:t>小时内到达甲方现场</w:t>
      </w:r>
      <w:r>
        <w:rPr>
          <w:rFonts w:hint="eastAsia" w:ascii="宋体" w:hAnsi="宋体" w:eastAsia="宋体" w:cs="宋体"/>
          <w:color w:val="auto"/>
          <w:highlight w:val="none"/>
        </w:rPr>
        <w:t>。</w:t>
      </w:r>
    </w:p>
    <w:p w14:paraId="04B15F0C">
      <w:pPr>
        <w:pStyle w:val="26"/>
        <w:keepNext w:val="0"/>
        <w:keepLines w:val="0"/>
        <w:pageBreakBefore w:val="0"/>
        <w:widowControl w:val="0"/>
        <w:kinsoku/>
        <w:wordWrap/>
        <w:overflowPunct/>
        <w:topLinePunct w:val="0"/>
        <w:autoSpaceDE/>
        <w:autoSpaceDN/>
        <w:bidi w:val="0"/>
        <w:adjustRightInd/>
        <w:snapToGrid w:val="0"/>
        <w:spacing w:before="120" w:after="120" w:line="400" w:lineRule="exact"/>
        <w:ind w:firstLine="480" w:firstLineChars="200"/>
        <w:textAlignment w:val="auto"/>
        <w:rPr>
          <w:rFonts w:hint="eastAsia" w:hAnsi="宋体" w:cs="宋体"/>
          <w:color w:val="auto"/>
          <w:highlight w:val="none"/>
        </w:rPr>
      </w:pPr>
      <w:r>
        <w:rPr>
          <w:rFonts w:hint="eastAsia" w:hAnsi="宋体" w:cs="宋体"/>
          <w:color w:val="auto"/>
          <w:highlight w:val="none"/>
          <w:lang w:val="en-US" w:eastAsia="zh-CN"/>
        </w:rPr>
        <w:t>4.</w:t>
      </w:r>
      <w:r>
        <w:rPr>
          <w:rFonts w:hint="eastAsia" w:hAnsi="宋体" w:cs="宋体"/>
          <w:color w:val="auto"/>
          <w:highlight w:val="none"/>
        </w:rPr>
        <w:t>在服务期内，乙方应对服务成果出现的质量问题负责处理解决并承担一切费用。</w:t>
      </w:r>
    </w:p>
    <w:p w14:paraId="00421F35">
      <w:pPr>
        <w:pStyle w:val="26"/>
        <w:keepNext w:val="0"/>
        <w:keepLines w:val="0"/>
        <w:pageBreakBefore w:val="0"/>
        <w:widowControl w:val="0"/>
        <w:kinsoku/>
        <w:wordWrap/>
        <w:overflowPunct/>
        <w:topLinePunct w:val="0"/>
        <w:autoSpaceDE/>
        <w:autoSpaceDN/>
        <w:bidi w:val="0"/>
        <w:adjustRightInd/>
        <w:snapToGrid w:val="0"/>
        <w:spacing w:before="120" w:after="120" w:line="400" w:lineRule="exact"/>
        <w:textAlignment w:val="auto"/>
        <w:rPr>
          <w:rFonts w:hAnsi="宋体" w:cs="宋体"/>
          <w:b/>
          <w:color w:val="auto"/>
          <w:highlight w:val="none"/>
        </w:rPr>
      </w:pPr>
      <w:r>
        <w:rPr>
          <w:rFonts w:hint="eastAsia" w:hAnsi="宋体" w:cs="宋体"/>
          <w:b/>
          <w:color w:val="auto"/>
          <w:highlight w:val="none"/>
          <w:lang w:eastAsia="zh-CN"/>
        </w:rPr>
        <w:t>十、</w:t>
      </w:r>
      <w:r>
        <w:rPr>
          <w:rFonts w:hint="eastAsia" w:hAnsi="宋体" w:cs="宋体"/>
          <w:b/>
          <w:color w:val="auto"/>
          <w:highlight w:val="none"/>
        </w:rPr>
        <w:t>不可抗力事件处理</w:t>
      </w:r>
    </w:p>
    <w:p w14:paraId="6E23B9AE">
      <w:pPr>
        <w:pStyle w:val="26"/>
        <w:keepNext w:val="0"/>
        <w:keepLines w:val="0"/>
        <w:pageBreakBefore w:val="0"/>
        <w:widowControl w:val="0"/>
        <w:kinsoku/>
        <w:wordWrap/>
        <w:overflowPunct/>
        <w:topLinePunct w:val="0"/>
        <w:autoSpaceDE/>
        <w:autoSpaceDN/>
        <w:bidi w:val="0"/>
        <w:adjustRightInd/>
        <w:snapToGrid w:val="0"/>
        <w:spacing w:before="120" w:after="120" w:line="400" w:lineRule="exact"/>
        <w:ind w:firstLine="480" w:firstLineChars="200"/>
        <w:textAlignment w:val="auto"/>
        <w:rPr>
          <w:rFonts w:hAnsi="宋体" w:cs="宋体"/>
          <w:color w:val="auto"/>
          <w:highlight w:val="none"/>
        </w:rPr>
      </w:pPr>
      <w:r>
        <w:rPr>
          <w:rFonts w:hint="eastAsia" w:hAnsi="宋体" w:cs="宋体"/>
          <w:color w:val="auto"/>
          <w:highlight w:val="none"/>
        </w:rPr>
        <w:t>1.在合同有效期内，任何一方因不可抗力事件导致不能履行合同，则合同履行期可延长，其延长期与不可抗力影响期相同。</w:t>
      </w:r>
    </w:p>
    <w:p w14:paraId="15E1210B">
      <w:pPr>
        <w:pStyle w:val="26"/>
        <w:keepNext w:val="0"/>
        <w:keepLines w:val="0"/>
        <w:pageBreakBefore w:val="0"/>
        <w:widowControl w:val="0"/>
        <w:kinsoku/>
        <w:wordWrap/>
        <w:overflowPunct/>
        <w:topLinePunct w:val="0"/>
        <w:autoSpaceDE/>
        <w:autoSpaceDN/>
        <w:bidi w:val="0"/>
        <w:adjustRightInd/>
        <w:snapToGrid w:val="0"/>
        <w:spacing w:before="120" w:after="120" w:line="400" w:lineRule="exact"/>
        <w:ind w:firstLine="480" w:firstLineChars="200"/>
        <w:textAlignment w:val="auto"/>
        <w:rPr>
          <w:rFonts w:hAnsi="宋体" w:cs="宋体"/>
          <w:color w:val="auto"/>
          <w:highlight w:val="none"/>
        </w:rPr>
      </w:pPr>
      <w:r>
        <w:rPr>
          <w:rFonts w:hint="eastAsia" w:hAnsi="宋体" w:cs="宋体"/>
          <w:color w:val="auto"/>
          <w:highlight w:val="none"/>
        </w:rPr>
        <w:t>2.不可抗力事件发生后，应立即通知对方，并寄送有关权威机构出具的证明。</w:t>
      </w:r>
    </w:p>
    <w:p w14:paraId="4FAD36C3">
      <w:pPr>
        <w:pStyle w:val="26"/>
        <w:keepNext w:val="0"/>
        <w:keepLines w:val="0"/>
        <w:pageBreakBefore w:val="0"/>
        <w:widowControl w:val="0"/>
        <w:kinsoku/>
        <w:wordWrap/>
        <w:overflowPunct/>
        <w:topLinePunct w:val="0"/>
        <w:autoSpaceDE/>
        <w:autoSpaceDN/>
        <w:bidi w:val="0"/>
        <w:adjustRightInd/>
        <w:snapToGrid w:val="0"/>
        <w:spacing w:before="120" w:after="120" w:line="400" w:lineRule="exact"/>
        <w:ind w:firstLine="480" w:firstLineChars="200"/>
        <w:textAlignment w:val="auto"/>
        <w:rPr>
          <w:rFonts w:hAnsi="宋体" w:cs="宋体"/>
          <w:color w:val="auto"/>
          <w:highlight w:val="none"/>
        </w:rPr>
      </w:pPr>
      <w:r>
        <w:rPr>
          <w:rFonts w:hint="eastAsia" w:hAnsi="宋体" w:cs="宋体"/>
          <w:color w:val="auto"/>
          <w:highlight w:val="none"/>
        </w:rPr>
        <w:t>3.不可抗力事件延续120天以上，双方应通过友好协商，确定是否继续履行合同。</w:t>
      </w:r>
    </w:p>
    <w:p w14:paraId="66FDFCAA">
      <w:pPr>
        <w:pStyle w:val="26"/>
        <w:keepNext w:val="0"/>
        <w:keepLines w:val="0"/>
        <w:pageBreakBefore w:val="0"/>
        <w:widowControl w:val="0"/>
        <w:kinsoku/>
        <w:wordWrap/>
        <w:overflowPunct/>
        <w:topLinePunct w:val="0"/>
        <w:autoSpaceDE/>
        <w:autoSpaceDN/>
        <w:bidi w:val="0"/>
        <w:adjustRightInd/>
        <w:snapToGrid w:val="0"/>
        <w:spacing w:before="120" w:after="120" w:line="400" w:lineRule="exact"/>
        <w:textAlignment w:val="auto"/>
        <w:rPr>
          <w:rFonts w:hAnsi="宋体" w:cs="宋体"/>
          <w:b/>
          <w:color w:val="auto"/>
          <w:highlight w:val="none"/>
        </w:rPr>
      </w:pPr>
      <w:r>
        <w:rPr>
          <w:rFonts w:hint="eastAsia" w:hAnsi="宋体" w:cs="宋体"/>
          <w:b/>
          <w:color w:val="auto"/>
          <w:highlight w:val="none"/>
        </w:rPr>
        <w:t>十一、诉讼</w:t>
      </w:r>
    </w:p>
    <w:p w14:paraId="6AEDD8EE">
      <w:pPr>
        <w:pStyle w:val="26"/>
        <w:keepNext w:val="0"/>
        <w:keepLines w:val="0"/>
        <w:pageBreakBefore w:val="0"/>
        <w:widowControl w:val="0"/>
        <w:kinsoku/>
        <w:wordWrap/>
        <w:overflowPunct/>
        <w:topLinePunct w:val="0"/>
        <w:autoSpaceDE/>
        <w:autoSpaceDN/>
        <w:bidi w:val="0"/>
        <w:adjustRightInd/>
        <w:snapToGrid w:val="0"/>
        <w:spacing w:before="120" w:after="120" w:line="400" w:lineRule="exact"/>
        <w:ind w:firstLine="480" w:firstLineChars="200"/>
        <w:textAlignment w:val="auto"/>
        <w:rPr>
          <w:rFonts w:hAnsi="宋体" w:cs="宋体"/>
          <w:color w:val="auto"/>
          <w:highlight w:val="none"/>
        </w:rPr>
      </w:pPr>
      <w:r>
        <w:rPr>
          <w:rFonts w:hint="eastAsia" w:hAnsi="宋体" w:cs="宋体"/>
          <w:color w:val="auto"/>
          <w:highlight w:val="none"/>
        </w:rPr>
        <w:t>双方在执行合同中所发生的一切争议，应通过协商解决。如协商不成，可向甲方所在地法院起诉。</w:t>
      </w:r>
    </w:p>
    <w:p w14:paraId="18EEFEC9">
      <w:pPr>
        <w:pStyle w:val="26"/>
        <w:keepNext w:val="0"/>
        <w:keepLines w:val="0"/>
        <w:pageBreakBefore w:val="0"/>
        <w:widowControl w:val="0"/>
        <w:kinsoku/>
        <w:wordWrap/>
        <w:overflowPunct/>
        <w:topLinePunct w:val="0"/>
        <w:autoSpaceDE/>
        <w:autoSpaceDN/>
        <w:bidi w:val="0"/>
        <w:adjustRightInd/>
        <w:snapToGrid w:val="0"/>
        <w:spacing w:before="120" w:after="120" w:line="400" w:lineRule="exact"/>
        <w:textAlignment w:val="auto"/>
        <w:rPr>
          <w:rFonts w:hAnsi="宋体" w:cs="宋体"/>
          <w:b/>
          <w:color w:val="auto"/>
          <w:highlight w:val="none"/>
        </w:rPr>
      </w:pPr>
      <w:r>
        <w:rPr>
          <w:rFonts w:hint="eastAsia" w:hAnsi="宋体" w:cs="宋体"/>
          <w:b/>
          <w:color w:val="auto"/>
          <w:highlight w:val="none"/>
        </w:rPr>
        <w:t>十二、合同生效及其它</w:t>
      </w:r>
    </w:p>
    <w:p w14:paraId="6E268FDB">
      <w:pPr>
        <w:pStyle w:val="26"/>
        <w:keepNext w:val="0"/>
        <w:keepLines w:val="0"/>
        <w:pageBreakBefore w:val="0"/>
        <w:widowControl w:val="0"/>
        <w:kinsoku/>
        <w:wordWrap/>
        <w:overflowPunct/>
        <w:topLinePunct w:val="0"/>
        <w:autoSpaceDE/>
        <w:autoSpaceDN/>
        <w:bidi w:val="0"/>
        <w:adjustRightInd/>
        <w:snapToGrid w:val="0"/>
        <w:spacing w:before="120" w:after="120" w:line="400" w:lineRule="exact"/>
        <w:ind w:firstLine="480" w:firstLineChars="200"/>
        <w:textAlignment w:val="auto"/>
        <w:rPr>
          <w:rFonts w:hAnsi="宋体" w:cs="宋体"/>
          <w:color w:val="auto"/>
          <w:highlight w:val="none"/>
        </w:rPr>
      </w:pPr>
      <w:r>
        <w:rPr>
          <w:rFonts w:hint="eastAsia" w:hAnsi="宋体" w:cs="宋体"/>
          <w:color w:val="auto"/>
          <w:highlight w:val="none"/>
        </w:rPr>
        <w:t>1.合同经双方法定代表人或委托代理人签字并加盖单位公章后生效。</w:t>
      </w:r>
    </w:p>
    <w:p w14:paraId="5252846E">
      <w:pPr>
        <w:pStyle w:val="26"/>
        <w:keepNext w:val="0"/>
        <w:keepLines w:val="0"/>
        <w:pageBreakBefore w:val="0"/>
        <w:widowControl w:val="0"/>
        <w:kinsoku/>
        <w:wordWrap/>
        <w:overflowPunct/>
        <w:topLinePunct w:val="0"/>
        <w:autoSpaceDE/>
        <w:autoSpaceDN/>
        <w:bidi w:val="0"/>
        <w:adjustRightInd/>
        <w:snapToGrid w:val="0"/>
        <w:spacing w:before="120" w:after="120" w:line="400" w:lineRule="exact"/>
        <w:ind w:firstLine="480" w:firstLineChars="200"/>
        <w:textAlignment w:val="auto"/>
        <w:rPr>
          <w:rFonts w:hAnsi="宋体" w:cs="宋体"/>
          <w:color w:val="auto"/>
          <w:highlight w:val="none"/>
        </w:rPr>
      </w:pPr>
      <w:r>
        <w:rPr>
          <w:rFonts w:hint="eastAsia" w:hAnsi="宋体" w:cs="宋体"/>
          <w:color w:val="auto"/>
          <w:highlight w:val="none"/>
        </w:rPr>
        <w:t>2.合同执行中涉及采购资金和采购内容修改或补充的，须经财政部门审批，并签书面补充协议报政府采购监督管理部门备案，方可作为主合同不可分割的一部分。</w:t>
      </w:r>
    </w:p>
    <w:p w14:paraId="19753789">
      <w:pPr>
        <w:pStyle w:val="26"/>
        <w:keepNext w:val="0"/>
        <w:keepLines w:val="0"/>
        <w:pageBreakBefore w:val="0"/>
        <w:widowControl w:val="0"/>
        <w:kinsoku/>
        <w:wordWrap/>
        <w:overflowPunct/>
        <w:topLinePunct w:val="0"/>
        <w:autoSpaceDE/>
        <w:autoSpaceDN/>
        <w:bidi w:val="0"/>
        <w:adjustRightInd/>
        <w:snapToGrid w:val="0"/>
        <w:spacing w:before="120" w:after="120" w:line="400" w:lineRule="exact"/>
        <w:ind w:firstLine="480" w:firstLineChars="200"/>
        <w:textAlignment w:val="auto"/>
        <w:rPr>
          <w:rFonts w:hAnsi="宋体" w:cs="宋体"/>
          <w:color w:val="auto"/>
          <w:highlight w:val="none"/>
        </w:rPr>
      </w:pPr>
      <w:r>
        <w:rPr>
          <w:rFonts w:hint="eastAsia" w:hAnsi="宋体" w:cs="宋体"/>
          <w:color w:val="auto"/>
          <w:highlight w:val="none"/>
        </w:rPr>
        <w:t>3.本合同未尽事宜，遵照《民法典》有关条文执行。</w:t>
      </w:r>
    </w:p>
    <w:p w14:paraId="6271679E">
      <w:pPr>
        <w:pStyle w:val="26"/>
        <w:keepNext w:val="0"/>
        <w:keepLines w:val="0"/>
        <w:pageBreakBefore w:val="0"/>
        <w:widowControl w:val="0"/>
        <w:kinsoku/>
        <w:wordWrap/>
        <w:overflowPunct/>
        <w:topLinePunct w:val="0"/>
        <w:autoSpaceDE/>
        <w:autoSpaceDN/>
        <w:bidi w:val="0"/>
        <w:adjustRightInd/>
        <w:snapToGrid w:val="0"/>
        <w:spacing w:before="120" w:after="120" w:line="400" w:lineRule="exact"/>
        <w:ind w:firstLine="480" w:firstLineChars="200"/>
        <w:textAlignment w:val="auto"/>
        <w:rPr>
          <w:rFonts w:hAnsi="宋体" w:cs="宋体"/>
          <w:color w:val="auto"/>
          <w:highlight w:val="none"/>
        </w:rPr>
      </w:pPr>
      <w:r>
        <w:rPr>
          <w:rFonts w:hint="eastAsia" w:hAnsi="宋体" w:cs="宋体"/>
          <w:color w:val="auto"/>
          <w:highlight w:val="none"/>
        </w:rPr>
        <w:t>4.本合同一式六份，甲乙双方各执二份、采购办、代理机构各执一份，具有同等法律效力。</w:t>
      </w:r>
    </w:p>
    <w:p w14:paraId="2F7DF738">
      <w:pPr>
        <w:pStyle w:val="26"/>
        <w:snapToGrid w:val="0"/>
        <w:spacing w:before="0" w:beforeLines="0" w:after="0" w:afterLines="0" w:line="360" w:lineRule="auto"/>
        <w:ind w:firstLine="480" w:firstLineChars="200"/>
        <w:rPr>
          <w:rFonts w:hint="eastAsia" w:hAnsi="宋体"/>
          <w:color w:val="auto"/>
          <w:highlight w:val="none"/>
        </w:rPr>
      </w:pPr>
      <w:r>
        <w:rPr>
          <w:rFonts w:hint="eastAsia" w:hAnsi="宋体" w:cs="宋体"/>
          <w:color w:val="auto"/>
          <w:highlight w:val="none"/>
        </w:rPr>
        <w:t>5.声明：本合同样本仅供参考，甲乙双方可就招标文件的非实质性条款进行修改，但不能修改实质性条款，甲乙双方对合同的真实性负责，鉴证方只负责见证项目招标的真实性。</w:t>
      </w:r>
    </w:p>
    <w:p w14:paraId="69926E19">
      <w:pPr>
        <w:snapToGrid w:val="0"/>
        <w:spacing w:line="360" w:lineRule="auto"/>
        <w:rPr>
          <w:rFonts w:ascii="宋体" w:hAnsi="宋体"/>
          <w:color w:val="auto"/>
          <w:sz w:val="24"/>
          <w:highlight w:val="none"/>
        </w:rPr>
      </w:pPr>
      <w:r>
        <w:rPr>
          <w:rFonts w:hint="eastAsia" w:ascii="宋体" w:hAnsi="宋体"/>
          <w:b/>
          <w:color w:val="auto"/>
          <w:sz w:val="24"/>
          <w:highlight w:val="none"/>
        </w:rPr>
        <w:t>甲方（公章）：        乙方（公章）：</w:t>
      </w:r>
    </w:p>
    <w:p w14:paraId="60428D1C">
      <w:pPr>
        <w:snapToGrid w:val="0"/>
        <w:spacing w:line="360" w:lineRule="auto"/>
        <w:rPr>
          <w:rFonts w:ascii="宋体" w:hAnsi="宋体"/>
          <w:color w:val="auto"/>
          <w:sz w:val="24"/>
          <w:highlight w:val="none"/>
        </w:rPr>
      </w:pPr>
      <w:r>
        <w:rPr>
          <w:rFonts w:hint="eastAsia" w:ascii="宋体" w:hAnsi="宋体"/>
          <w:color w:val="auto"/>
          <w:sz w:val="24"/>
          <w:highlight w:val="none"/>
        </w:rPr>
        <w:t>法定代表人或受委托人               法定代表人或受委托人</w:t>
      </w:r>
    </w:p>
    <w:p w14:paraId="37C9F224">
      <w:pPr>
        <w:snapToGrid w:val="0"/>
        <w:spacing w:line="360" w:lineRule="auto"/>
        <w:rPr>
          <w:rFonts w:ascii="宋体" w:hAnsi="宋体"/>
          <w:color w:val="auto"/>
          <w:sz w:val="24"/>
          <w:highlight w:val="none"/>
        </w:rPr>
      </w:pPr>
      <w:r>
        <w:rPr>
          <w:rFonts w:hint="eastAsia" w:ascii="宋体" w:hAnsi="宋体"/>
          <w:color w:val="auto"/>
          <w:sz w:val="24"/>
          <w:highlight w:val="none"/>
        </w:rPr>
        <w:t>（签字）                            （签字）</w:t>
      </w:r>
    </w:p>
    <w:p w14:paraId="348BE66D">
      <w:pPr>
        <w:snapToGrid w:val="0"/>
        <w:spacing w:line="360" w:lineRule="auto"/>
        <w:rPr>
          <w:rFonts w:ascii="宋体" w:hAnsi="宋体"/>
          <w:color w:val="auto"/>
          <w:sz w:val="24"/>
          <w:highlight w:val="none"/>
        </w:rPr>
      </w:pPr>
      <w:r>
        <w:rPr>
          <w:rFonts w:hint="eastAsia" w:ascii="宋体" w:hAnsi="宋体"/>
          <w:color w:val="auto"/>
          <w:sz w:val="24"/>
          <w:highlight w:val="none"/>
        </w:rPr>
        <w:t>地址：                             地址：</w:t>
      </w:r>
    </w:p>
    <w:p w14:paraId="00918C62">
      <w:pPr>
        <w:snapToGrid w:val="0"/>
        <w:spacing w:line="360" w:lineRule="auto"/>
        <w:rPr>
          <w:rFonts w:ascii="宋体" w:hAnsi="宋体"/>
          <w:color w:val="auto"/>
          <w:sz w:val="24"/>
          <w:highlight w:val="none"/>
        </w:rPr>
      </w:pPr>
      <w:r>
        <w:rPr>
          <w:rFonts w:hint="eastAsia" w:ascii="宋体" w:hAnsi="宋体"/>
          <w:color w:val="auto"/>
          <w:sz w:val="24"/>
          <w:highlight w:val="none"/>
        </w:rPr>
        <w:t>邮编：                             邮编：</w:t>
      </w:r>
    </w:p>
    <w:p w14:paraId="333AFAA8">
      <w:pPr>
        <w:snapToGrid w:val="0"/>
        <w:spacing w:line="360" w:lineRule="auto"/>
        <w:rPr>
          <w:rFonts w:ascii="宋体" w:hAnsi="宋体"/>
          <w:color w:val="auto"/>
          <w:sz w:val="24"/>
          <w:highlight w:val="none"/>
        </w:rPr>
      </w:pPr>
      <w:r>
        <w:rPr>
          <w:rFonts w:hint="eastAsia" w:ascii="宋体" w:hAnsi="宋体"/>
          <w:color w:val="auto"/>
          <w:sz w:val="24"/>
          <w:highlight w:val="none"/>
        </w:rPr>
        <w:t>电话：                             电话：</w:t>
      </w:r>
    </w:p>
    <w:p w14:paraId="177D5C5F">
      <w:pPr>
        <w:snapToGrid w:val="0"/>
        <w:spacing w:line="360" w:lineRule="auto"/>
        <w:rPr>
          <w:rFonts w:ascii="宋体" w:hAnsi="宋体"/>
          <w:color w:val="auto"/>
          <w:sz w:val="24"/>
          <w:highlight w:val="none"/>
        </w:rPr>
      </w:pPr>
      <w:r>
        <w:rPr>
          <w:rFonts w:hint="eastAsia" w:ascii="宋体" w:hAnsi="宋体"/>
          <w:color w:val="auto"/>
          <w:sz w:val="24"/>
          <w:highlight w:val="none"/>
        </w:rPr>
        <w:t>传真：                             传真：</w:t>
      </w:r>
    </w:p>
    <w:p w14:paraId="1141BDF3">
      <w:pPr>
        <w:snapToGrid w:val="0"/>
        <w:spacing w:line="360" w:lineRule="auto"/>
        <w:rPr>
          <w:rFonts w:ascii="宋体" w:hAnsi="宋体"/>
          <w:b/>
          <w:bCs/>
          <w:color w:val="auto"/>
          <w:szCs w:val="21"/>
          <w:highlight w:val="none"/>
        </w:rPr>
      </w:pPr>
      <w:r>
        <w:rPr>
          <w:rFonts w:hint="eastAsia" w:ascii="宋体" w:hAnsi="宋体"/>
          <w:color w:val="auto"/>
          <w:sz w:val="24"/>
          <w:highlight w:val="none"/>
        </w:rPr>
        <w:t>户名：                             户名：</w:t>
      </w:r>
    </w:p>
    <w:p w14:paraId="55D0AFA7">
      <w:pPr>
        <w:snapToGrid w:val="0"/>
        <w:spacing w:line="360" w:lineRule="auto"/>
        <w:rPr>
          <w:rFonts w:ascii="宋体" w:hAnsi="宋体"/>
          <w:color w:val="auto"/>
          <w:sz w:val="24"/>
          <w:highlight w:val="none"/>
        </w:rPr>
      </w:pPr>
      <w:r>
        <w:rPr>
          <w:rFonts w:hint="eastAsia" w:ascii="宋体" w:hAnsi="宋体"/>
          <w:color w:val="auto"/>
          <w:sz w:val="24"/>
          <w:highlight w:val="none"/>
        </w:rPr>
        <w:t>开户银行：                         开户银行：</w:t>
      </w:r>
    </w:p>
    <w:p w14:paraId="1B21854E">
      <w:pPr>
        <w:snapToGrid w:val="0"/>
        <w:spacing w:line="360" w:lineRule="auto"/>
        <w:rPr>
          <w:rFonts w:hAnsi="宋体" w:cs="宋体"/>
          <w:color w:val="auto"/>
          <w:highlight w:val="none"/>
        </w:rPr>
      </w:pPr>
      <w:r>
        <w:rPr>
          <w:rFonts w:hint="eastAsia" w:ascii="宋体" w:hAnsi="宋体"/>
          <w:color w:val="auto"/>
          <w:sz w:val="24"/>
          <w:highlight w:val="none"/>
        </w:rPr>
        <w:t>帐号：                             帐号：</w:t>
      </w:r>
    </w:p>
    <w:p w14:paraId="0D99573C">
      <w:pPr>
        <w:snapToGrid w:val="0"/>
        <w:spacing w:line="276" w:lineRule="auto"/>
        <w:rPr>
          <w:rFonts w:ascii="宋体" w:hAnsi="宋体"/>
          <w:color w:val="auto"/>
          <w:sz w:val="24"/>
          <w:highlight w:val="none"/>
        </w:rPr>
      </w:pPr>
    </w:p>
    <w:p w14:paraId="32618A56">
      <w:pPr>
        <w:snapToGrid w:val="0"/>
        <w:spacing w:line="276" w:lineRule="auto"/>
        <w:rPr>
          <w:rFonts w:ascii="宋体" w:hAnsi="宋体"/>
          <w:color w:val="auto"/>
          <w:sz w:val="24"/>
          <w:highlight w:val="none"/>
        </w:rPr>
      </w:pPr>
      <w:r>
        <w:rPr>
          <w:rFonts w:hint="eastAsia" w:ascii="宋体" w:hAnsi="宋体"/>
          <w:color w:val="auto"/>
          <w:sz w:val="24"/>
          <w:highlight w:val="none"/>
        </w:rPr>
        <w:t xml:space="preserve">   签约地点：                            签约时间：</w:t>
      </w:r>
    </w:p>
    <w:p w14:paraId="71ED2D1C">
      <w:pPr>
        <w:spacing w:line="360" w:lineRule="auto"/>
        <w:rPr>
          <w:rFonts w:hint="eastAsia"/>
          <w:color w:val="auto"/>
          <w:highlight w:val="none"/>
        </w:rPr>
      </w:pPr>
    </w:p>
    <w:p w14:paraId="3418B9ED">
      <w:pPr>
        <w:spacing w:line="360" w:lineRule="auto"/>
        <w:jc w:val="center"/>
        <w:rPr>
          <w:rFonts w:hint="eastAsia" w:ascii="黑体" w:hAnsi="宋体" w:eastAsia="黑体"/>
          <w:color w:val="auto"/>
          <w:sz w:val="32"/>
          <w:szCs w:val="32"/>
          <w:highlight w:val="none"/>
        </w:rPr>
      </w:pPr>
    </w:p>
    <w:p w14:paraId="6D5F1D70">
      <w:pPr>
        <w:snapToGrid w:val="0"/>
        <w:spacing w:line="276" w:lineRule="auto"/>
        <w:rPr>
          <w:rFonts w:hint="eastAsia" w:ascii="黑体" w:hAnsi="宋体" w:eastAsia="黑体"/>
          <w:color w:val="auto"/>
          <w:sz w:val="32"/>
          <w:szCs w:val="32"/>
          <w:highlight w:val="none"/>
        </w:rPr>
      </w:pPr>
    </w:p>
    <w:p w14:paraId="1A2925B7">
      <w:pPr>
        <w:spacing w:line="360" w:lineRule="auto"/>
        <w:jc w:val="center"/>
        <w:rPr>
          <w:rFonts w:ascii="黑体" w:hAnsi="宋体" w:eastAsia="黑体"/>
          <w:color w:val="auto"/>
          <w:sz w:val="32"/>
          <w:szCs w:val="32"/>
          <w:highlight w:val="none"/>
        </w:rPr>
      </w:pPr>
    </w:p>
    <w:p w14:paraId="3BC68064">
      <w:pPr>
        <w:spacing w:line="360" w:lineRule="auto"/>
        <w:jc w:val="center"/>
        <w:rPr>
          <w:rFonts w:ascii="黑体" w:hAnsi="宋体" w:eastAsia="黑体"/>
          <w:color w:val="auto"/>
          <w:sz w:val="32"/>
          <w:szCs w:val="32"/>
          <w:highlight w:val="none"/>
        </w:rPr>
      </w:pPr>
    </w:p>
    <w:p w14:paraId="6B5CF88D">
      <w:pPr>
        <w:spacing w:line="360" w:lineRule="auto"/>
        <w:jc w:val="center"/>
        <w:rPr>
          <w:rFonts w:ascii="黑体" w:hAnsi="宋体" w:eastAsia="黑体"/>
          <w:color w:val="auto"/>
          <w:sz w:val="32"/>
          <w:szCs w:val="32"/>
          <w:highlight w:val="none"/>
        </w:rPr>
      </w:pPr>
    </w:p>
    <w:p w14:paraId="2CE59EE8">
      <w:pPr>
        <w:pageBreakBefore/>
        <w:spacing w:line="360" w:lineRule="auto"/>
        <w:ind w:firstLine="2891" w:firstLineChars="900"/>
        <w:outlineLvl w:val="1"/>
        <w:rPr>
          <w:rFonts w:ascii="宋体" w:hAnsi="宋体" w:cs="宋体"/>
          <w:b/>
          <w:color w:val="auto"/>
          <w:sz w:val="32"/>
          <w:szCs w:val="32"/>
          <w:highlight w:val="none"/>
        </w:rPr>
      </w:pPr>
      <w:bookmarkStart w:id="56" w:name="_Toc17278025"/>
      <w:r>
        <w:rPr>
          <w:rFonts w:hint="eastAsia" w:ascii="宋体" w:hAnsi="宋体" w:cs="宋体"/>
          <w:b/>
          <w:color w:val="auto"/>
          <w:sz w:val="32"/>
          <w:szCs w:val="32"/>
          <w:highlight w:val="none"/>
        </w:rPr>
        <w:t>政府采购廉洁承诺书</w:t>
      </w:r>
      <w:bookmarkEnd w:id="56"/>
    </w:p>
    <w:p w14:paraId="1B0DDAA0">
      <w:pPr>
        <w:spacing w:line="360" w:lineRule="auto"/>
        <w:rPr>
          <w:rFonts w:ascii="宋体" w:hAnsi="宋体" w:cs="宋体"/>
          <w:color w:val="auto"/>
          <w:sz w:val="24"/>
          <w:highlight w:val="none"/>
        </w:rPr>
      </w:pPr>
      <w:r>
        <w:rPr>
          <w:rFonts w:hint="eastAsia" w:ascii="宋体" w:hAnsi="宋体" w:cs="宋体"/>
          <w:color w:val="auto"/>
          <w:sz w:val="24"/>
          <w:highlight w:val="none"/>
        </w:rPr>
        <w:t>项目名称：                                     项目编号：</w:t>
      </w:r>
    </w:p>
    <w:p w14:paraId="05D335BE">
      <w:pPr>
        <w:spacing w:line="360" w:lineRule="auto"/>
        <w:rPr>
          <w:rFonts w:ascii="宋体" w:hAnsi="宋体" w:cs="宋体"/>
          <w:color w:val="auto"/>
          <w:sz w:val="24"/>
          <w:highlight w:val="none"/>
        </w:rPr>
      </w:pPr>
      <w:r>
        <w:rPr>
          <w:rFonts w:hint="eastAsia" w:ascii="宋体" w:hAnsi="宋体" w:cs="宋体"/>
          <w:color w:val="auto"/>
          <w:sz w:val="24"/>
          <w:highlight w:val="none"/>
        </w:rPr>
        <w:t>中标人：</w:t>
      </w:r>
    </w:p>
    <w:p w14:paraId="67E9B3D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为加强政府采购活动中的廉政建设，防止发生商业贿赂等违法违纪行为，保护国家、集体和当事人的合法权益，根据《中华人民共和国政府采购法》和党风廉政建设及反腐败工作有关规定，我方自愿签订本承诺书，并严格执行。</w:t>
      </w:r>
    </w:p>
    <w:p w14:paraId="77ADBAA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第一条</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参与政府采购活动时，除具备采购文件规定的资格、资质要求外，我方还将严格遵守有关法律、法规、政策以及国家、地方关于廉政建设的各项规定。</w:t>
      </w:r>
    </w:p>
    <w:p w14:paraId="1F07BC0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第二条</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遵循公开、公平、公正、诚实信用原则，不发生损害上述原则及各方当事人合法权益得不正当竞争行为。</w:t>
      </w:r>
    </w:p>
    <w:p w14:paraId="3D1BDBF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第三条</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与政府采购各方当事人保持正常的业务交往，不向采购人、采购代理机构、监督机构、评审专家、工作人员及其他参与采购活动的人员提供不正当利益。主要有：</w:t>
      </w:r>
    </w:p>
    <w:p w14:paraId="08A2E38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（一）向上述人员赠送礼金、有价证券、贵重物品及回扣、好处费、感谢费等。</w:t>
      </w:r>
    </w:p>
    <w:p w14:paraId="39848C1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（二）为上述人员或单位报销应由对方支付的费用。</w:t>
      </w:r>
    </w:p>
    <w:p w14:paraId="70E9746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（三）暗示为上述人员装修住房、婚丧嫁娶、配偶子女的工作安排以及出国（境）、旅游等提供方便。</w:t>
      </w:r>
    </w:p>
    <w:p w14:paraId="46EBB47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（四）为上述人员或单位提供可能影响采购活动开展的宴请、健身、娱乐等活动。</w:t>
      </w:r>
    </w:p>
    <w:p w14:paraId="40F821A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第四条</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严格执行采购合同，自觉按合同办事；在合同执行过程中，不发生本承诺书第三条中所列不良行为。    ．</w:t>
      </w:r>
    </w:p>
    <w:p w14:paraId="4F7814D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第五条 发现采购活动各方当事人有违规、违纪、违法行为的，及时提醒对方，情节严重的，主动向其主管部门或纪检监察、司法等机关举报。</w:t>
      </w:r>
    </w:p>
    <w:p w14:paraId="5591A5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第六条 自觉接受政府采购管理部门的监管。在采购活动中出现违反本承诺书规定行为的，自觉接受政府采购管理部门的处罚，因违法违规行为给其他当事人造成经济损失的，按规定予以赔偿。</w:t>
      </w:r>
    </w:p>
    <w:p w14:paraId="369D955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第七条 本承诺书自签署之日起生效。</w:t>
      </w:r>
    </w:p>
    <w:p w14:paraId="23825E73">
      <w:pPr>
        <w:spacing w:line="360" w:lineRule="auto"/>
        <w:ind w:left="840" w:hanging="840" w:hangingChars="350"/>
        <w:jc w:val="center"/>
        <w:rPr>
          <w:rFonts w:ascii="宋体" w:hAnsi="宋体" w:cs="宋体"/>
          <w:color w:val="auto"/>
          <w:sz w:val="24"/>
          <w:highlight w:val="none"/>
        </w:rPr>
      </w:pPr>
    </w:p>
    <w:p w14:paraId="6B272AD5">
      <w:pPr>
        <w:pStyle w:val="43"/>
        <w:ind w:firstLine="0" w:firstLineChars="0"/>
        <w:rPr>
          <w:rFonts w:hAnsi="宋体" w:cs="宋体"/>
          <w:color w:val="auto"/>
          <w:highlight w:val="none"/>
        </w:rPr>
      </w:pPr>
    </w:p>
    <w:p w14:paraId="6C839B3E">
      <w:pPr>
        <w:spacing w:line="360" w:lineRule="auto"/>
        <w:ind w:left="840" w:hanging="840" w:hangingChars="350"/>
        <w:jc w:val="center"/>
        <w:rPr>
          <w:rFonts w:ascii="宋体" w:hAnsi="宋体" w:cs="宋体"/>
          <w:color w:val="auto"/>
          <w:sz w:val="24"/>
          <w:highlight w:val="none"/>
        </w:rPr>
      </w:pPr>
      <w:r>
        <w:rPr>
          <w:rFonts w:hint="eastAsia" w:ascii="宋体" w:hAnsi="宋体" w:cs="宋体"/>
          <w:color w:val="auto"/>
          <w:sz w:val="24"/>
          <w:highlight w:val="none"/>
        </w:rPr>
        <w:t>投标人（盖章）：</w:t>
      </w:r>
    </w:p>
    <w:p w14:paraId="0BD1DEC7">
      <w:pPr>
        <w:spacing w:line="360" w:lineRule="auto"/>
        <w:ind w:left="840" w:hanging="840" w:hangingChars="350"/>
        <w:rPr>
          <w:rFonts w:ascii="宋体" w:hAnsi="宋体" w:cs="宋体"/>
          <w:color w:val="auto"/>
          <w:sz w:val="24"/>
          <w:highlight w:val="none"/>
        </w:rPr>
      </w:pPr>
      <w:r>
        <w:rPr>
          <w:rFonts w:hint="eastAsia" w:ascii="宋体" w:hAnsi="宋体" w:cs="宋体"/>
          <w:color w:val="auto"/>
          <w:sz w:val="24"/>
          <w:highlight w:val="none"/>
        </w:rPr>
        <w:t xml:space="preserve">                                法定代表人：</w:t>
      </w:r>
    </w:p>
    <w:p w14:paraId="5092B067">
      <w:pPr>
        <w:spacing w:line="360" w:lineRule="auto"/>
        <w:ind w:left="840" w:hanging="840" w:hangingChars="350"/>
        <w:rPr>
          <w:rFonts w:hint="eastAsia" w:ascii="黑体" w:hAnsi="宋体" w:eastAsia="黑体"/>
          <w:color w:val="auto"/>
          <w:sz w:val="32"/>
          <w:szCs w:val="32"/>
          <w:highlight w:val="none"/>
        </w:rPr>
      </w:pPr>
      <w:r>
        <w:rPr>
          <w:rFonts w:hint="eastAsia" w:ascii="宋体" w:hAnsi="宋体" w:cs="宋体"/>
          <w:color w:val="auto"/>
          <w:sz w:val="24"/>
          <w:highlight w:val="none"/>
        </w:rPr>
        <w:t xml:space="preserve">                                                    年    月   日</w:t>
      </w:r>
    </w:p>
    <w:p w14:paraId="21130576">
      <w:pPr>
        <w:numPr>
          <w:ilvl w:val="0"/>
          <w:numId w:val="0"/>
        </w:numPr>
        <w:spacing w:line="360" w:lineRule="auto"/>
        <w:ind w:left="180" w:leftChars="0"/>
        <w:jc w:val="center"/>
        <w:rPr>
          <w:rFonts w:hint="eastAsia" w:ascii="黑体" w:hAnsi="宋体" w:eastAsia="黑体"/>
          <w:color w:val="auto"/>
          <w:sz w:val="32"/>
          <w:szCs w:val="32"/>
          <w:highlight w:val="none"/>
        </w:rPr>
      </w:pPr>
      <w:r>
        <w:rPr>
          <w:rFonts w:hint="eastAsia" w:ascii="黑体" w:hAnsi="宋体" w:eastAsia="黑体"/>
          <w:color w:val="auto"/>
          <w:sz w:val="32"/>
          <w:szCs w:val="32"/>
          <w:highlight w:val="none"/>
          <w:lang w:eastAsia="zh-CN"/>
        </w:rPr>
        <w:t>第六章</w:t>
      </w:r>
      <w:r>
        <w:rPr>
          <w:rFonts w:hint="eastAsia" w:ascii="黑体" w:hAnsi="宋体" w:eastAsia="黑体"/>
          <w:color w:val="auto"/>
          <w:sz w:val="32"/>
          <w:szCs w:val="32"/>
          <w:highlight w:val="none"/>
          <w:lang w:val="en-US" w:eastAsia="zh-CN"/>
        </w:rPr>
        <w:t xml:space="preserve">  </w:t>
      </w:r>
      <w:r>
        <w:rPr>
          <w:rFonts w:hint="eastAsia" w:ascii="黑体" w:hAnsi="宋体" w:eastAsia="黑体"/>
          <w:color w:val="auto"/>
          <w:sz w:val="32"/>
          <w:szCs w:val="32"/>
          <w:highlight w:val="none"/>
        </w:rPr>
        <w:t>投标文件格式</w:t>
      </w:r>
    </w:p>
    <w:p w14:paraId="15FF3857">
      <w:pPr>
        <w:numPr>
          <w:ilvl w:val="0"/>
          <w:numId w:val="0"/>
        </w:numPr>
        <w:snapToGrid w:val="0"/>
        <w:spacing w:before="120" w:beforeLines="50" w:line="360" w:lineRule="auto"/>
        <w:ind w:firstLine="480" w:firstLineChars="200"/>
        <w:jc w:val="left"/>
        <w:rPr>
          <w:rFonts w:ascii="宋体" w:hAnsi="宋体"/>
          <w:b/>
          <w:color w:val="auto"/>
          <w:sz w:val="24"/>
          <w:szCs w:val="24"/>
          <w:highlight w:val="none"/>
        </w:rPr>
      </w:pPr>
      <w:r>
        <w:rPr>
          <w:rFonts w:hint="eastAsia" w:ascii="宋体" w:hAnsi="宋体"/>
          <w:color w:val="auto"/>
          <w:sz w:val="24"/>
          <w:szCs w:val="24"/>
          <w:highlight w:val="none"/>
          <w:lang w:val="en-US" w:eastAsia="zh-CN"/>
        </w:rPr>
        <w:t>1.</w:t>
      </w:r>
      <w:r>
        <w:rPr>
          <w:rFonts w:hint="eastAsia" w:ascii="宋体" w:hAnsi="宋体"/>
          <w:color w:val="auto"/>
          <w:sz w:val="24"/>
          <w:szCs w:val="24"/>
          <w:highlight w:val="none"/>
        </w:rPr>
        <w:t>资格响应文件</w:t>
      </w:r>
      <w:r>
        <w:rPr>
          <w:rFonts w:ascii="宋体" w:hAnsi="宋体"/>
          <w:b/>
          <w:color w:val="auto"/>
          <w:sz w:val="24"/>
          <w:szCs w:val="24"/>
          <w:highlight w:val="none"/>
        </w:rPr>
        <w:t>：</w:t>
      </w:r>
    </w:p>
    <w:p w14:paraId="37AB7A37">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（1）有效的企业法人营业执照副本(或事业法人登记证书或</w:t>
      </w:r>
      <w:r>
        <w:rPr>
          <w:rFonts w:hint="eastAsia" w:ascii="宋体" w:hAnsi="宋体" w:eastAsia="宋体" w:cs="宋体"/>
          <w:bCs/>
          <w:color w:val="auto"/>
          <w:sz w:val="24"/>
          <w:highlight w:val="none"/>
          <w:lang w:eastAsia="zh-CN"/>
        </w:rPr>
        <w:t>其他</w:t>
      </w:r>
      <w:r>
        <w:rPr>
          <w:rFonts w:hint="eastAsia" w:ascii="宋体" w:hAnsi="宋体" w:eastAsia="宋体" w:cs="宋体"/>
          <w:bCs/>
          <w:color w:val="auto"/>
          <w:sz w:val="24"/>
          <w:highlight w:val="none"/>
        </w:rPr>
        <w:t>工商等登记证明材料；自然人参与提供身份证)复印件；</w:t>
      </w:r>
    </w:p>
    <w:p w14:paraId="410F6D41">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ascii="宋体" w:hAnsi="宋体" w:cs="宋体"/>
          <w:bCs/>
          <w:color w:val="auto"/>
          <w:sz w:val="24"/>
          <w:highlight w:val="none"/>
        </w:rPr>
      </w:pPr>
      <w:r>
        <w:rPr>
          <w:rFonts w:hint="eastAsia" w:ascii="宋体" w:hAnsi="宋体" w:eastAsia="宋体" w:cs="宋体"/>
          <w:bCs/>
          <w:color w:val="auto"/>
          <w:sz w:val="24"/>
          <w:highlight w:val="none"/>
        </w:rPr>
        <w:t>（2）法定代表人授权委托</w:t>
      </w:r>
      <w:r>
        <w:rPr>
          <w:rFonts w:hint="eastAsia" w:ascii="宋体" w:hAnsi="宋体" w:cs="宋体"/>
          <w:bCs/>
          <w:color w:val="auto"/>
          <w:sz w:val="24"/>
          <w:highlight w:val="none"/>
        </w:rPr>
        <w:t>书(格式见附件)；</w:t>
      </w:r>
    </w:p>
    <w:p w14:paraId="2BB46D88">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ascii="宋体" w:hAnsi="宋体" w:cs="宋体"/>
          <w:bCs/>
          <w:color w:val="auto"/>
          <w:sz w:val="24"/>
          <w:highlight w:val="none"/>
        </w:rPr>
      </w:pPr>
      <w:r>
        <w:rPr>
          <w:rFonts w:hint="eastAsia" w:ascii="宋体" w:hAnsi="宋体" w:cs="宋体"/>
          <w:bCs/>
          <w:color w:val="auto"/>
          <w:sz w:val="24"/>
          <w:highlight w:val="none"/>
        </w:rPr>
        <w:t>（3）法定代表人身份证复印件或被授权人身份证复印件；</w:t>
      </w:r>
    </w:p>
    <w:p w14:paraId="0BC07A8A">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ascii="宋体" w:hAnsi="宋体" w:cs="宋体"/>
          <w:bCs/>
          <w:color w:val="auto"/>
          <w:sz w:val="24"/>
          <w:highlight w:val="none"/>
        </w:rPr>
      </w:pPr>
      <w:r>
        <w:rPr>
          <w:rFonts w:hint="eastAsia" w:ascii="宋体" w:hAnsi="宋体" w:cs="宋体"/>
          <w:bCs/>
          <w:color w:val="auto"/>
          <w:sz w:val="24"/>
          <w:highlight w:val="none"/>
        </w:rPr>
        <w:t>（</w:t>
      </w:r>
      <w:r>
        <w:rPr>
          <w:rFonts w:hint="eastAsia" w:ascii="宋体" w:hAnsi="宋体" w:cs="宋体"/>
          <w:bCs/>
          <w:color w:val="auto"/>
          <w:sz w:val="24"/>
          <w:highlight w:val="none"/>
          <w:lang w:val="en-US" w:eastAsia="zh-CN"/>
        </w:rPr>
        <w:t>4</w:t>
      </w:r>
      <w:r>
        <w:rPr>
          <w:rFonts w:hint="eastAsia" w:ascii="宋体" w:hAnsi="宋体" w:cs="宋体"/>
          <w:bCs/>
          <w:color w:val="auto"/>
          <w:sz w:val="24"/>
          <w:highlight w:val="none"/>
        </w:rPr>
        <w:t>）信用记录网络查询页面截图</w:t>
      </w:r>
      <w:r>
        <w:rPr>
          <w:rFonts w:hint="eastAsia" w:ascii="宋体" w:hAnsi="宋体" w:cs="宋体"/>
          <w:bCs/>
          <w:color w:val="auto"/>
          <w:sz w:val="24"/>
          <w:highlight w:val="none"/>
          <w:lang w:eastAsia="zh-CN"/>
        </w:rPr>
        <w:t>吗</w:t>
      </w:r>
      <w:r>
        <w:rPr>
          <w:rFonts w:hint="eastAsia" w:ascii="宋体" w:hAnsi="宋体" w:cs="宋体"/>
          <w:bCs/>
          <w:color w:val="auto"/>
          <w:sz w:val="24"/>
          <w:highlight w:val="none"/>
        </w:rPr>
        <w:t xml:space="preserve">（信用中国与中国政府采购网）； </w:t>
      </w:r>
    </w:p>
    <w:p w14:paraId="253D59B4">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hint="eastAsia" w:ascii="宋体" w:hAnsi="宋体" w:cs="宋体"/>
          <w:bCs/>
          <w:color w:val="auto"/>
          <w:sz w:val="24"/>
          <w:highlight w:val="none"/>
        </w:rPr>
      </w:pPr>
      <w:r>
        <w:rPr>
          <w:rFonts w:hint="eastAsia" w:ascii="宋体" w:hAnsi="宋体" w:cs="宋体"/>
          <w:bCs/>
          <w:color w:val="auto"/>
          <w:sz w:val="24"/>
          <w:highlight w:val="none"/>
        </w:rPr>
        <w:t>（</w:t>
      </w:r>
      <w:r>
        <w:rPr>
          <w:rFonts w:hint="eastAsia" w:ascii="宋体" w:hAnsi="宋体" w:cs="宋体"/>
          <w:bCs/>
          <w:color w:val="auto"/>
          <w:sz w:val="24"/>
          <w:highlight w:val="none"/>
          <w:lang w:val="en-US" w:eastAsia="zh-CN"/>
        </w:rPr>
        <w:t>5</w:t>
      </w:r>
      <w:r>
        <w:rPr>
          <w:rFonts w:hint="eastAsia" w:ascii="宋体" w:hAnsi="宋体" w:cs="宋体"/>
          <w:bCs/>
          <w:color w:val="auto"/>
          <w:sz w:val="24"/>
          <w:highlight w:val="none"/>
        </w:rPr>
        <w:t>）符合参加政府采购活动应当具备的一般条件的承诺函（格式见附件）；</w:t>
      </w:r>
    </w:p>
    <w:p w14:paraId="3DE1EBC2">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hint="eastAsia" w:ascii="宋体" w:hAnsi="宋体" w:cs="宋体"/>
          <w:bCs/>
          <w:color w:val="auto"/>
          <w:sz w:val="24"/>
          <w:highlight w:val="none"/>
        </w:rPr>
      </w:pPr>
      <w:r>
        <w:rPr>
          <w:rFonts w:hint="eastAsia" w:ascii="宋体" w:hAnsi="宋体" w:cs="宋体"/>
          <w:bCs/>
          <w:color w:val="auto"/>
          <w:sz w:val="24"/>
          <w:highlight w:val="none"/>
          <w:lang w:eastAsia="zh-CN"/>
        </w:rPr>
        <w:t>（</w:t>
      </w:r>
      <w:r>
        <w:rPr>
          <w:rFonts w:hint="eastAsia" w:ascii="宋体" w:hAnsi="宋体" w:cs="宋体"/>
          <w:bCs/>
          <w:color w:val="auto"/>
          <w:sz w:val="24"/>
          <w:highlight w:val="none"/>
          <w:lang w:val="en-US" w:eastAsia="zh-CN"/>
        </w:rPr>
        <w:t>6</w:t>
      </w:r>
      <w:r>
        <w:rPr>
          <w:rFonts w:hint="eastAsia" w:ascii="宋体" w:hAnsi="宋体" w:cs="宋体"/>
          <w:bCs/>
          <w:color w:val="auto"/>
          <w:sz w:val="24"/>
          <w:highlight w:val="none"/>
          <w:lang w:eastAsia="zh-CN"/>
        </w:rPr>
        <w:t>）</w:t>
      </w:r>
      <w:r>
        <w:rPr>
          <w:rFonts w:hint="eastAsia" w:ascii="宋体" w:hAnsi="宋体" w:cs="宋体"/>
          <w:bCs/>
          <w:color w:val="auto"/>
          <w:sz w:val="24"/>
          <w:highlight w:val="none"/>
        </w:rPr>
        <w:t>投标人依法缴纳税收和社保费、无失信行为的声明函(格式见附件)；</w:t>
      </w:r>
    </w:p>
    <w:p w14:paraId="31286C50">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ascii="宋体" w:hAnsi="宋体" w:cs="宋体"/>
          <w:bCs/>
          <w:color w:val="auto"/>
          <w:sz w:val="24"/>
          <w:highlight w:val="none"/>
        </w:rPr>
      </w:pPr>
      <w:r>
        <w:rPr>
          <w:rFonts w:hint="eastAsia" w:ascii="宋体" w:hAnsi="宋体" w:cs="宋体"/>
          <w:bCs/>
          <w:color w:val="auto"/>
          <w:sz w:val="24"/>
          <w:highlight w:val="none"/>
          <w:lang w:eastAsia="zh-CN"/>
        </w:rPr>
        <w:t>（</w:t>
      </w:r>
      <w:r>
        <w:rPr>
          <w:rFonts w:hint="eastAsia" w:ascii="宋体" w:hAnsi="宋体" w:cs="宋体"/>
          <w:bCs/>
          <w:color w:val="auto"/>
          <w:sz w:val="24"/>
          <w:highlight w:val="none"/>
          <w:lang w:val="en-US" w:eastAsia="zh-CN"/>
        </w:rPr>
        <w:t>7</w:t>
      </w:r>
      <w:r>
        <w:rPr>
          <w:rFonts w:hint="eastAsia" w:ascii="宋体" w:hAnsi="宋体" w:cs="宋体"/>
          <w:bCs/>
          <w:color w:val="auto"/>
          <w:sz w:val="24"/>
          <w:highlight w:val="none"/>
          <w:lang w:eastAsia="zh-CN"/>
        </w:rPr>
        <w:t>）</w:t>
      </w:r>
      <w:r>
        <w:rPr>
          <w:rFonts w:hint="eastAsia" w:ascii="宋体" w:hAnsi="宋体" w:cs="宋体"/>
          <w:bCs/>
          <w:color w:val="auto"/>
          <w:sz w:val="24"/>
          <w:highlight w:val="none"/>
        </w:rPr>
        <w:t>浙江政府采购网注册正式供应商的网络截图或承诺书；</w:t>
      </w:r>
    </w:p>
    <w:p w14:paraId="67795C89">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ascii="宋体" w:hAnsi="宋体" w:cs="宋体"/>
          <w:bCs/>
          <w:color w:val="auto"/>
          <w:sz w:val="24"/>
          <w:highlight w:val="none"/>
        </w:rPr>
      </w:pPr>
      <w:r>
        <w:rPr>
          <w:rFonts w:hint="eastAsia" w:ascii="宋体" w:hAnsi="宋体" w:cs="宋体"/>
          <w:bCs/>
          <w:color w:val="auto"/>
          <w:sz w:val="24"/>
          <w:highlight w:val="none"/>
        </w:rPr>
        <w:t>（</w:t>
      </w:r>
      <w:r>
        <w:rPr>
          <w:rFonts w:hint="eastAsia" w:ascii="宋体" w:hAnsi="宋体" w:cs="宋体"/>
          <w:bCs/>
          <w:color w:val="auto"/>
          <w:sz w:val="24"/>
          <w:highlight w:val="none"/>
          <w:lang w:val="en-US" w:eastAsia="zh-CN"/>
        </w:rPr>
        <w:t>8</w:t>
      </w:r>
      <w:r>
        <w:rPr>
          <w:rFonts w:hint="eastAsia" w:ascii="宋体" w:hAnsi="宋体" w:cs="宋体"/>
          <w:bCs/>
          <w:color w:val="auto"/>
          <w:sz w:val="24"/>
          <w:highlight w:val="none"/>
        </w:rPr>
        <w:t>）政府采购活动现场确认声明书 (格式见附件) ；</w:t>
      </w:r>
    </w:p>
    <w:p w14:paraId="2D06F3BD">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w:t>
      </w:r>
      <w:r>
        <w:rPr>
          <w:rFonts w:hint="eastAsia" w:ascii="宋体" w:hAnsi="宋体" w:eastAsia="宋体" w:cs="宋体"/>
          <w:bCs/>
          <w:color w:val="auto"/>
          <w:sz w:val="24"/>
          <w:highlight w:val="none"/>
          <w:lang w:val="en-US" w:eastAsia="zh-CN"/>
        </w:rPr>
        <w:t>9</w:t>
      </w:r>
      <w:r>
        <w:rPr>
          <w:rFonts w:hint="eastAsia" w:ascii="宋体" w:hAnsi="宋体" w:eastAsia="宋体" w:cs="宋体"/>
          <w:bCs/>
          <w:color w:val="auto"/>
          <w:sz w:val="24"/>
          <w:highlight w:val="none"/>
        </w:rPr>
        <w:t>）政府采购代理机构考评表(格式见附件)；</w:t>
      </w:r>
    </w:p>
    <w:p w14:paraId="6B3C8AD3">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w:t>
      </w:r>
      <w:r>
        <w:rPr>
          <w:rFonts w:hint="eastAsia" w:ascii="宋体" w:hAnsi="宋体" w:eastAsia="宋体" w:cs="宋体"/>
          <w:bCs/>
          <w:color w:val="auto"/>
          <w:sz w:val="24"/>
          <w:highlight w:val="none"/>
          <w:lang w:val="en-US" w:eastAsia="zh-CN"/>
        </w:rPr>
        <w:t>10</w:t>
      </w:r>
      <w:r>
        <w:rPr>
          <w:rFonts w:hint="eastAsia" w:ascii="宋体" w:hAnsi="宋体" w:eastAsia="宋体" w:cs="宋体"/>
          <w:bCs/>
          <w:color w:val="auto"/>
          <w:sz w:val="24"/>
          <w:highlight w:val="none"/>
        </w:rPr>
        <w:t>）分包协议（分包时提供，格式见附件）；</w:t>
      </w:r>
    </w:p>
    <w:p w14:paraId="5413F472">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rPr>
        <w:t>（</w:t>
      </w:r>
      <w:r>
        <w:rPr>
          <w:rFonts w:hint="eastAsia" w:ascii="宋体" w:hAnsi="宋体" w:eastAsia="宋体" w:cs="宋体"/>
          <w:bCs/>
          <w:color w:val="auto"/>
          <w:sz w:val="24"/>
          <w:highlight w:val="none"/>
          <w:lang w:val="en-US" w:eastAsia="zh-CN"/>
        </w:rPr>
        <w:t>11</w:t>
      </w:r>
      <w:r>
        <w:rPr>
          <w:rFonts w:hint="eastAsia" w:ascii="宋体" w:hAnsi="宋体" w:eastAsia="宋体" w:cs="宋体"/>
          <w:bCs/>
          <w:color w:val="auto"/>
          <w:sz w:val="24"/>
          <w:highlight w:val="none"/>
        </w:rPr>
        <w:t>）中小企业声明函（格式见附件）</w:t>
      </w:r>
      <w:r>
        <w:rPr>
          <w:rFonts w:hint="eastAsia" w:ascii="宋体" w:hAnsi="宋体" w:eastAsia="宋体" w:cs="宋体"/>
          <w:bCs/>
          <w:color w:val="auto"/>
          <w:sz w:val="24"/>
          <w:highlight w:val="none"/>
          <w:lang w:eastAsia="zh-CN"/>
        </w:rPr>
        <w:t>；</w:t>
      </w:r>
    </w:p>
    <w:p w14:paraId="048B6597">
      <w:pPr>
        <w:keepLines w:val="0"/>
        <w:pageBreakBefore w:val="0"/>
        <w:widowControl w:val="0"/>
        <w:kinsoku/>
        <w:wordWrap/>
        <w:overflowPunct/>
        <w:topLinePunct w:val="0"/>
        <w:autoSpaceDE/>
        <w:autoSpaceDN/>
        <w:bidi w:val="0"/>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12</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rPr>
        <w:t>联合体协议书（格式见附件）</w:t>
      </w:r>
      <w:r>
        <w:rPr>
          <w:rFonts w:hint="eastAsia" w:ascii="宋体" w:hAnsi="宋体" w:eastAsia="宋体" w:cs="宋体"/>
          <w:bCs/>
          <w:color w:val="auto"/>
          <w:sz w:val="24"/>
          <w:highlight w:val="none"/>
          <w:lang w:eastAsia="zh-CN"/>
        </w:rPr>
        <w:t>；</w:t>
      </w:r>
    </w:p>
    <w:p w14:paraId="1197B919">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13</w:t>
      </w:r>
      <w:r>
        <w:rPr>
          <w:rFonts w:hint="eastAsia" w:ascii="宋体" w:hAnsi="宋体" w:eastAsia="宋体" w:cs="宋体"/>
          <w:bCs/>
          <w:color w:val="auto"/>
          <w:sz w:val="24"/>
          <w:highlight w:val="none"/>
          <w:lang w:eastAsia="zh-CN"/>
        </w:rPr>
        <w:t>）投标人认为有必要提供的其他文件。</w:t>
      </w:r>
    </w:p>
    <w:p w14:paraId="487FCBC3">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2.商务资信技术文件：</w:t>
      </w:r>
    </w:p>
    <w:p w14:paraId="502EE7DB">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（1）评分响应表（格式见附件）；</w:t>
      </w:r>
    </w:p>
    <w:p w14:paraId="6CC9FE08">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（2）投标声明书 (格式见附件)；</w:t>
      </w:r>
    </w:p>
    <w:p w14:paraId="44CA7014">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eastAsia="zh-CN"/>
        </w:rPr>
        <w:t>（3）法定代表人授权委</w:t>
      </w:r>
      <w:r>
        <w:rPr>
          <w:rFonts w:hint="eastAsia" w:ascii="宋体" w:hAnsi="宋体" w:eastAsia="宋体" w:cs="宋体"/>
          <w:bCs/>
          <w:color w:val="auto"/>
          <w:sz w:val="24"/>
          <w:highlight w:val="none"/>
        </w:rPr>
        <w:t>托书(格式见附件)；</w:t>
      </w:r>
    </w:p>
    <w:p w14:paraId="510929E1">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（4）投标单位情况表(格式见附件)；</w:t>
      </w:r>
    </w:p>
    <w:p w14:paraId="7BD8E4B1">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val="zh-CN" w:eastAsia="zh-CN"/>
        </w:rPr>
        <w:t>（</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lang w:val="zh-CN" w:eastAsia="zh-CN"/>
        </w:rPr>
        <w:t>）</w:t>
      </w:r>
      <w:r>
        <w:rPr>
          <w:rFonts w:hint="eastAsia" w:ascii="宋体" w:hAnsi="宋体" w:eastAsia="宋体" w:cs="宋体"/>
          <w:bCs/>
          <w:color w:val="auto"/>
          <w:sz w:val="24"/>
          <w:highlight w:val="none"/>
          <w:lang w:eastAsia="zh-CN"/>
        </w:rPr>
        <w:t>无重大违法记录声明书(格式见附件)；</w:t>
      </w:r>
    </w:p>
    <w:p w14:paraId="2F51A722">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val="zh-CN" w:eastAsia="zh-CN"/>
        </w:rPr>
        <w:t>（</w:t>
      </w:r>
      <w:r>
        <w:rPr>
          <w:rFonts w:hint="eastAsia" w:ascii="宋体" w:hAnsi="宋体" w:eastAsia="宋体" w:cs="宋体"/>
          <w:bCs/>
          <w:color w:val="auto"/>
          <w:sz w:val="24"/>
          <w:highlight w:val="none"/>
          <w:lang w:val="en-US" w:eastAsia="zh-CN"/>
        </w:rPr>
        <w:t>6</w:t>
      </w:r>
      <w:r>
        <w:rPr>
          <w:rFonts w:hint="eastAsia" w:ascii="宋体" w:hAnsi="宋体" w:eastAsia="宋体" w:cs="宋体"/>
          <w:bCs/>
          <w:color w:val="auto"/>
          <w:sz w:val="24"/>
          <w:highlight w:val="none"/>
          <w:lang w:val="zh-CN" w:eastAsia="zh-CN"/>
        </w:rPr>
        <w:t>）政府采购供应商诚信承诺书（格式见附件）；</w:t>
      </w:r>
    </w:p>
    <w:p w14:paraId="1A9251AD">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7</w:t>
      </w:r>
      <w:r>
        <w:rPr>
          <w:rFonts w:hint="eastAsia" w:ascii="宋体" w:hAnsi="宋体" w:eastAsia="宋体" w:cs="宋体"/>
          <w:bCs/>
          <w:color w:val="auto"/>
          <w:sz w:val="24"/>
          <w:highlight w:val="none"/>
          <w:lang w:eastAsia="zh-CN"/>
        </w:rPr>
        <w:t>）中标服务费承诺书（格式见附件）；</w:t>
      </w:r>
    </w:p>
    <w:p w14:paraId="21E0F66F">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8</w:t>
      </w:r>
      <w:r>
        <w:rPr>
          <w:rFonts w:hint="eastAsia" w:ascii="宋体" w:hAnsi="宋体" w:eastAsia="宋体" w:cs="宋体"/>
          <w:bCs/>
          <w:color w:val="auto"/>
          <w:sz w:val="24"/>
          <w:highlight w:val="none"/>
          <w:lang w:eastAsia="zh-CN"/>
        </w:rPr>
        <w:t>）</w:t>
      </w:r>
      <w:r>
        <w:rPr>
          <w:rFonts w:hint="eastAsia" w:ascii="宋体" w:hAnsi="宋体" w:eastAsia="宋体" w:cs="宋体"/>
          <w:color w:val="auto"/>
          <w:sz w:val="24"/>
          <w:szCs w:val="24"/>
          <w:highlight w:val="none"/>
        </w:rPr>
        <w:t>项目需求理解</w:t>
      </w:r>
      <w:r>
        <w:rPr>
          <w:rFonts w:hint="eastAsia" w:ascii="宋体" w:hAnsi="宋体" w:eastAsia="宋体" w:cs="宋体"/>
          <w:bCs/>
          <w:color w:val="auto"/>
          <w:sz w:val="24"/>
          <w:highlight w:val="none"/>
          <w:lang w:val="en-US" w:eastAsia="zh-CN"/>
        </w:rPr>
        <w:t>；</w:t>
      </w:r>
    </w:p>
    <w:p w14:paraId="3A9991AA">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9</w:t>
      </w:r>
      <w:r>
        <w:rPr>
          <w:rFonts w:hint="eastAsia" w:ascii="宋体" w:hAnsi="宋体" w:eastAsia="宋体" w:cs="宋体"/>
          <w:bCs/>
          <w:color w:val="auto"/>
          <w:sz w:val="24"/>
          <w:highlight w:val="none"/>
          <w:lang w:eastAsia="zh-CN"/>
        </w:rPr>
        <w:t>）</w:t>
      </w:r>
      <w:r>
        <w:rPr>
          <w:rFonts w:hint="eastAsia" w:ascii="宋体" w:hAnsi="宋体" w:eastAsia="宋体" w:cs="宋体"/>
          <w:color w:val="auto"/>
          <w:sz w:val="24"/>
          <w:szCs w:val="24"/>
          <w:highlight w:val="none"/>
        </w:rPr>
        <w:t>项目监理重点、难点分析</w:t>
      </w:r>
      <w:r>
        <w:rPr>
          <w:rFonts w:hint="eastAsia" w:ascii="宋体" w:hAnsi="宋体" w:eastAsia="宋体" w:cs="宋体"/>
          <w:bCs/>
          <w:color w:val="auto"/>
          <w:sz w:val="24"/>
          <w:highlight w:val="none"/>
          <w:lang w:eastAsia="zh-CN"/>
        </w:rPr>
        <w:t>；</w:t>
      </w:r>
    </w:p>
    <w:p w14:paraId="6B13B928">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10</w:t>
      </w:r>
      <w:r>
        <w:rPr>
          <w:rFonts w:hint="eastAsia" w:ascii="宋体" w:hAnsi="宋体" w:eastAsia="宋体" w:cs="宋体"/>
          <w:bCs/>
          <w:color w:val="auto"/>
          <w:sz w:val="24"/>
          <w:highlight w:val="none"/>
          <w:lang w:eastAsia="zh-CN"/>
        </w:rPr>
        <w:t>）</w:t>
      </w:r>
      <w:r>
        <w:rPr>
          <w:rFonts w:hint="eastAsia" w:ascii="宋体" w:hAnsi="宋体" w:cs="宋体"/>
          <w:bCs/>
          <w:iCs/>
          <w:color w:val="auto"/>
          <w:sz w:val="24"/>
          <w:szCs w:val="24"/>
          <w:highlight w:val="none"/>
          <w:lang w:val="en-US" w:eastAsia="zh-CN"/>
        </w:rPr>
        <w:t>监理</w:t>
      </w:r>
      <w:r>
        <w:rPr>
          <w:rFonts w:hint="eastAsia" w:ascii="宋体" w:hAnsi="宋体" w:eastAsia="宋体" w:cs="宋体"/>
          <w:bCs/>
          <w:iCs/>
          <w:color w:val="auto"/>
          <w:sz w:val="24"/>
          <w:szCs w:val="24"/>
          <w:highlight w:val="none"/>
        </w:rPr>
        <w:t>实施方案</w:t>
      </w:r>
      <w:r>
        <w:rPr>
          <w:rFonts w:hint="eastAsia" w:ascii="宋体" w:hAnsi="宋体" w:eastAsia="宋体" w:cs="宋体"/>
          <w:bCs/>
          <w:color w:val="auto"/>
          <w:sz w:val="24"/>
          <w:highlight w:val="none"/>
          <w:lang w:val="en-US" w:eastAsia="zh-CN"/>
        </w:rPr>
        <w:t>；</w:t>
      </w:r>
    </w:p>
    <w:p w14:paraId="273DFF41">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val="zh-CN"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11</w:t>
      </w:r>
      <w:r>
        <w:rPr>
          <w:rFonts w:hint="eastAsia" w:ascii="宋体" w:hAnsi="宋体" w:eastAsia="宋体" w:cs="宋体"/>
          <w:bCs/>
          <w:color w:val="auto"/>
          <w:sz w:val="24"/>
          <w:highlight w:val="none"/>
          <w:lang w:eastAsia="zh-CN"/>
        </w:rPr>
        <w:t>）商务响应表</w:t>
      </w:r>
      <w:r>
        <w:rPr>
          <w:rFonts w:hint="eastAsia" w:ascii="宋体" w:hAnsi="宋体" w:eastAsia="宋体" w:cs="宋体"/>
          <w:bCs/>
          <w:color w:val="auto"/>
          <w:sz w:val="24"/>
          <w:highlight w:val="none"/>
          <w:lang w:val="zh-CN" w:eastAsia="zh-CN"/>
        </w:rPr>
        <w:t>（格式见附件）；</w:t>
      </w:r>
    </w:p>
    <w:p w14:paraId="03037E15">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（1</w:t>
      </w:r>
      <w:r>
        <w:rPr>
          <w:rFonts w:hint="eastAsia" w:ascii="宋体" w:hAnsi="宋体" w:eastAsia="宋体" w:cs="宋体"/>
          <w:bCs/>
          <w:color w:val="auto"/>
          <w:sz w:val="24"/>
          <w:highlight w:val="none"/>
          <w:lang w:val="en-US" w:eastAsia="zh-CN"/>
        </w:rPr>
        <w:t>2）</w:t>
      </w:r>
      <w:r>
        <w:rPr>
          <w:rFonts w:hint="eastAsia" w:ascii="宋体" w:hAnsi="宋体" w:eastAsia="宋体" w:cs="宋体"/>
          <w:bCs/>
          <w:color w:val="auto"/>
          <w:sz w:val="24"/>
          <w:highlight w:val="none"/>
          <w:lang w:val="zh-CN" w:eastAsia="zh-CN"/>
        </w:rPr>
        <w:t>同类业绩一览表</w:t>
      </w:r>
      <w:r>
        <w:rPr>
          <w:rFonts w:hint="eastAsia" w:ascii="宋体" w:hAnsi="宋体" w:eastAsia="宋体" w:cs="宋体"/>
          <w:bCs/>
          <w:color w:val="auto"/>
          <w:sz w:val="24"/>
          <w:highlight w:val="none"/>
          <w:lang w:eastAsia="zh-CN"/>
        </w:rPr>
        <w:t>（格式见附件）；</w:t>
      </w:r>
    </w:p>
    <w:p w14:paraId="5B21CF09">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default"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13</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项目实施人员一览表</w:t>
      </w:r>
      <w:r>
        <w:rPr>
          <w:rFonts w:hint="eastAsia" w:ascii="宋体" w:hAnsi="宋体" w:eastAsia="宋体" w:cs="宋体"/>
          <w:bCs/>
          <w:color w:val="auto"/>
          <w:sz w:val="24"/>
          <w:highlight w:val="none"/>
          <w:lang w:eastAsia="zh-CN"/>
        </w:rPr>
        <w:t>（格式见附件）；</w:t>
      </w:r>
    </w:p>
    <w:p w14:paraId="7E58F46B">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（1</w:t>
      </w:r>
      <w:r>
        <w:rPr>
          <w:rFonts w:hint="eastAsia" w:ascii="宋体" w:hAnsi="宋体" w:eastAsia="宋体" w:cs="宋体"/>
          <w:bCs/>
          <w:color w:val="auto"/>
          <w:sz w:val="24"/>
          <w:highlight w:val="none"/>
          <w:lang w:val="en-US" w:eastAsia="zh-CN"/>
        </w:rPr>
        <w:t>4</w:t>
      </w:r>
      <w:r>
        <w:rPr>
          <w:rFonts w:hint="eastAsia" w:ascii="宋体" w:hAnsi="宋体" w:eastAsia="宋体" w:cs="宋体"/>
          <w:bCs/>
          <w:color w:val="auto"/>
          <w:sz w:val="24"/>
          <w:highlight w:val="none"/>
          <w:lang w:eastAsia="zh-CN"/>
        </w:rPr>
        <w:t>）其他按照评标办法可加分的内容说明、证明文件；</w:t>
      </w:r>
    </w:p>
    <w:p w14:paraId="4F9BD95F">
      <w:pPr>
        <w:keepNext w:val="0"/>
        <w:keepLines w:val="0"/>
        <w:pageBreakBefore w:val="0"/>
        <w:widowControl w:val="0"/>
        <w:kinsoku/>
        <w:wordWrap/>
        <w:overflowPunct/>
        <w:topLinePunct w:val="0"/>
        <w:autoSpaceDE/>
        <w:autoSpaceDN/>
        <w:bidi w:val="0"/>
        <w:adjustRightInd/>
        <w:snapToGrid w:val="0"/>
        <w:spacing w:before="120" w:beforeLines="50" w:line="340" w:lineRule="exact"/>
        <w:ind w:left="412" w:leftChars="196"/>
        <w:jc w:val="left"/>
        <w:textAlignment w:val="auto"/>
        <w:rPr>
          <w:rFonts w:hint="eastAsia" w:ascii="宋体" w:hAnsi="宋体" w:eastAsia="宋体" w:cs="宋体"/>
          <w:bCs/>
          <w:color w:val="auto"/>
          <w:sz w:val="24"/>
          <w:highlight w:val="none"/>
          <w:lang w:val="zh-CN" w:eastAsia="zh-CN"/>
        </w:rPr>
      </w:pPr>
      <w:r>
        <w:rPr>
          <w:rFonts w:hint="eastAsia" w:ascii="宋体" w:hAnsi="宋体" w:eastAsia="宋体" w:cs="宋体"/>
          <w:bCs/>
          <w:color w:val="auto"/>
          <w:sz w:val="24"/>
          <w:highlight w:val="none"/>
          <w:lang w:val="zh-CN" w:eastAsia="zh-CN"/>
        </w:rPr>
        <w:t>（1</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lang w:val="zh-CN" w:eastAsia="zh-CN"/>
        </w:rPr>
        <w:t>）投标人需要说明的其他文件和说明。</w:t>
      </w:r>
    </w:p>
    <w:p w14:paraId="55E222CD">
      <w:pPr>
        <w:pStyle w:val="2"/>
        <w:numPr>
          <w:ilvl w:val="0"/>
          <w:numId w:val="0"/>
        </w:numPr>
        <w:ind w:left="180" w:leftChars="0"/>
        <w:rPr>
          <w:color w:val="auto"/>
        </w:rPr>
      </w:pPr>
    </w:p>
    <w:p w14:paraId="6107D750">
      <w:pPr>
        <w:snapToGrid w:val="0"/>
        <w:spacing w:before="50" w:after="120" w:afterLines="50"/>
        <w:jc w:val="left"/>
        <w:rPr>
          <w:rFonts w:hint="eastAsia" w:ascii="宋体" w:hAnsi="宋体" w:cs="宋体"/>
          <w:b/>
          <w:color w:val="auto"/>
          <w:sz w:val="24"/>
          <w:highlight w:val="none"/>
        </w:rPr>
      </w:pPr>
    </w:p>
    <w:p w14:paraId="0218695C">
      <w:pPr>
        <w:snapToGrid w:val="0"/>
        <w:spacing w:before="50" w:after="120" w:afterLines="50"/>
        <w:jc w:val="left"/>
        <w:rPr>
          <w:rFonts w:hint="eastAsia" w:ascii="宋体" w:hAnsi="宋体" w:cs="宋体"/>
          <w:b/>
          <w:color w:val="auto"/>
          <w:sz w:val="24"/>
          <w:highlight w:val="none"/>
        </w:rPr>
      </w:pPr>
    </w:p>
    <w:p w14:paraId="58798FA9">
      <w:pPr>
        <w:snapToGrid w:val="0"/>
        <w:spacing w:before="50" w:after="120" w:afterLines="50"/>
        <w:jc w:val="left"/>
        <w:rPr>
          <w:rFonts w:hint="eastAsia" w:ascii="宋体" w:hAnsi="宋体" w:cs="宋体"/>
          <w:b/>
          <w:color w:val="auto"/>
          <w:sz w:val="24"/>
          <w:highlight w:val="none"/>
        </w:rPr>
      </w:pPr>
    </w:p>
    <w:p w14:paraId="150120F7">
      <w:pPr>
        <w:snapToGrid w:val="0"/>
        <w:spacing w:before="50" w:after="120" w:afterLines="50"/>
        <w:jc w:val="left"/>
        <w:rPr>
          <w:rFonts w:hint="eastAsia" w:ascii="宋体" w:hAnsi="宋体" w:cs="宋体"/>
          <w:b/>
          <w:color w:val="auto"/>
          <w:sz w:val="24"/>
          <w:highlight w:val="none"/>
        </w:rPr>
      </w:pPr>
    </w:p>
    <w:p w14:paraId="60612A21">
      <w:pPr>
        <w:snapToGrid w:val="0"/>
        <w:spacing w:before="50" w:after="120" w:afterLines="50"/>
        <w:jc w:val="left"/>
        <w:rPr>
          <w:rFonts w:hint="eastAsia" w:ascii="宋体" w:hAnsi="宋体" w:cs="宋体"/>
          <w:b/>
          <w:color w:val="auto"/>
          <w:sz w:val="24"/>
          <w:highlight w:val="none"/>
        </w:rPr>
      </w:pPr>
    </w:p>
    <w:p w14:paraId="7643A939">
      <w:pPr>
        <w:snapToGrid w:val="0"/>
        <w:spacing w:before="50" w:after="120" w:afterLines="50"/>
        <w:jc w:val="left"/>
        <w:rPr>
          <w:rFonts w:hint="eastAsia" w:ascii="宋体" w:hAnsi="宋体" w:cs="宋体"/>
          <w:b/>
          <w:color w:val="auto"/>
          <w:sz w:val="24"/>
          <w:highlight w:val="none"/>
        </w:rPr>
      </w:pPr>
    </w:p>
    <w:p w14:paraId="66A675CB">
      <w:pPr>
        <w:snapToGrid w:val="0"/>
        <w:spacing w:before="50" w:after="120" w:afterLines="50"/>
        <w:jc w:val="left"/>
        <w:rPr>
          <w:rFonts w:hint="eastAsia" w:ascii="宋体" w:hAnsi="宋体" w:cs="宋体"/>
          <w:b/>
          <w:color w:val="auto"/>
          <w:sz w:val="24"/>
          <w:highlight w:val="none"/>
        </w:rPr>
      </w:pPr>
    </w:p>
    <w:p w14:paraId="4232067E">
      <w:pPr>
        <w:snapToGrid w:val="0"/>
        <w:spacing w:before="50" w:after="120" w:afterLines="50"/>
        <w:jc w:val="left"/>
        <w:rPr>
          <w:rFonts w:hint="eastAsia" w:ascii="宋体" w:hAnsi="宋体" w:cs="宋体"/>
          <w:b/>
          <w:color w:val="auto"/>
          <w:sz w:val="24"/>
          <w:highlight w:val="none"/>
        </w:rPr>
      </w:pPr>
    </w:p>
    <w:p w14:paraId="1B6413E8">
      <w:pPr>
        <w:snapToGrid w:val="0"/>
        <w:spacing w:before="50" w:after="120" w:afterLines="50"/>
        <w:jc w:val="left"/>
        <w:rPr>
          <w:rFonts w:hint="eastAsia" w:ascii="宋体" w:hAnsi="宋体" w:cs="宋体"/>
          <w:b/>
          <w:color w:val="auto"/>
          <w:sz w:val="24"/>
          <w:highlight w:val="none"/>
        </w:rPr>
      </w:pPr>
    </w:p>
    <w:p w14:paraId="000F6B33">
      <w:pPr>
        <w:snapToGrid w:val="0"/>
        <w:spacing w:before="50" w:after="120" w:afterLines="50"/>
        <w:jc w:val="left"/>
        <w:rPr>
          <w:rFonts w:hint="eastAsia" w:ascii="宋体" w:hAnsi="宋体" w:cs="宋体"/>
          <w:b/>
          <w:color w:val="auto"/>
          <w:sz w:val="24"/>
          <w:highlight w:val="none"/>
        </w:rPr>
      </w:pPr>
    </w:p>
    <w:p w14:paraId="7467134C">
      <w:pPr>
        <w:snapToGrid w:val="0"/>
        <w:spacing w:before="50" w:after="120" w:afterLines="50"/>
        <w:jc w:val="left"/>
        <w:rPr>
          <w:rFonts w:hint="eastAsia" w:ascii="宋体" w:hAnsi="宋体" w:cs="宋体"/>
          <w:b/>
          <w:color w:val="auto"/>
          <w:sz w:val="24"/>
          <w:highlight w:val="none"/>
        </w:rPr>
      </w:pPr>
    </w:p>
    <w:p w14:paraId="310F7AD6">
      <w:pPr>
        <w:snapToGrid w:val="0"/>
        <w:spacing w:before="50" w:after="120" w:afterLines="50"/>
        <w:jc w:val="left"/>
        <w:rPr>
          <w:rFonts w:hint="eastAsia" w:ascii="宋体" w:hAnsi="宋体" w:cs="宋体"/>
          <w:b/>
          <w:color w:val="auto"/>
          <w:sz w:val="24"/>
          <w:highlight w:val="none"/>
        </w:rPr>
      </w:pPr>
    </w:p>
    <w:p w14:paraId="7A1A737B">
      <w:pPr>
        <w:snapToGrid w:val="0"/>
        <w:spacing w:before="50" w:after="120" w:afterLines="50"/>
        <w:jc w:val="left"/>
        <w:rPr>
          <w:rFonts w:hint="eastAsia" w:ascii="宋体" w:hAnsi="宋体" w:cs="宋体"/>
          <w:b/>
          <w:color w:val="auto"/>
          <w:sz w:val="24"/>
          <w:highlight w:val="none"/>
        </w:rPr>
      </w:pPr>
    </w:p>
    <w:p w14:paraId="019FE37F">
      <w:pPr>
        <w:snapToGrid w:val="0"/>
        <w:spacing w:before="50" w:after="120" w:afterLines="50"/>
        <w:jc w:val="left"/>
        <w:rPr>
          <w:rFonts w:hint="eastAsia" w:ascii="宋体" w:hAnsi="宋体" w:cs="宋体"/>
          <w:b/>
          <w:color w:val="auto"/>
          <w:sz w:val="24"/>
          <w:highlight w:val="none"/>
        </w:rPr>
      </w:pPr>
    </w:p>
    <w:p w14:paraId="3C1FBDC2">
      <w:pPr>
        <w:snapToGrid w:val="0"/>
        <w:spacing w:before="50" w:after="120" w:afterLines="50"/>
        <w:jc w:val="left"/>
        <w:rPr>
          <w:rFonts w:hint="eastAsia" w:ascii="宋体" w:hAnsi="宋体" w:cs="宋体"/>
          <w:b/>
          <w:color w:val="auto"/>
          <w:sz w:val="24"/>
          <w:highlight w:val="none"/>
        </w:rPr>
      </w:pPr>
    </w:p>
    <w:p w14:paraId="029BDB6F">
      <w:pPr>
        <w:snapToGrid w:val="0"/>
        <w:spacing w:before="50" w:after="120" w:afterLines="50"/>
        <w:jc w:val="left"/>
        <w:rPr>
          <w:rFonts w:hint="eastAsia" w:ascii="宋体" w:hAnsi="宋体" w:cs="宋体"/>
          <w:b/>
          <w:color w:val="auto"/>
          <w:sz w:val="24"/>
          <w:highlight w:val="none"/>
        </w:rPr>
      </w:pPr>
    </w:p>
    <w:p w14:paraId="07BD9D93">
      <w:pPr>
        <w:snapToGrid w:val="0"/>
        <w:spacing w:before="50" w:after="120" w:afterLines="50"/>
        <w:jc w:val="left"/>
        <w:rPr>
          <w:rFonts w:hint="eastAsia" w:ascii="宋体" w:hAnsi="宋体" w:cs="宋体"/>
          <w:b/>
          <w:color w:val="auto"/>
          <w:sz w:val="24"/>
          <w:highlight w:val="none"/>
        </w:rPr>
      </w:pPr>
    </w:p>
    <w:p w14:paraId="0397F6F6">
      <w:pPr>
        <w:snapToGrid w:val="0"/>
        <w:spacing w:before="50" w:after="120" w:afterLines="50"/>
        <w:jc w:val="left"/>
        <w:rPr>
          <w:rFonts w:hint="eastAsia" w:ascii="宋体" w:hAnsi="宋体" w:cs="宋体"/>
          <w:b/>
          <w:color w:val="auto"/>
          <w:sz w:val="24"/>
          <w:highlight w:val="none"/>
        </w:rPr>
      </w:pPr>
    </w:p>
    <w:p w14:paraId="4F6DB284">
      <w:pPr>
        <w:snapToGrid w:val="0"/>
        <w:spacing w:before="50" w:after="120" w:afterLines="50"/>
        <w:jc w:val="left"/>
        <w:rPr>
          <w:rFonts w:hint="eastAsia" w:ascii="宋体" w:hAnsi="宋体" w:cs="宋体"/>
          <w:b/>
          <w:color w:val="auto"/>
          <w:sz w:val="24"/>
          <w:highlight w:val="none"/>
        </w:rPr>
      </w:pPr>
    </w:p>
    <w:p w14:paraId="5CD66282">
      <w:pPr>
        <w:snapToGrid w:val="0"/>
        <w:spacing w:before="50" w:after="120" w:afterLines="50"/>
        <w:jc w:val="left"/>
        <w:rPr>
          <w:rFonts w:hint="eastAsia" w:ascii="宋体" w:hAnsi="宋体" w:cs="宋体"/>
          <w:b/>
          <w:color w:val="auto"/>
          <w:sz w:val="24"/>
          <w:highlight w:val="none"/>
        </w:rPr>
      </w:pPr>
    </w:p>
    <w:p w14:paraId="1919D6AC">
      <w:pPr>
        <w:snapToGrid w:val="0"/>
        <w:spacing w:before="50" w:after="120" w:afterLines="50"/>
        <w:jc w:val="left"/>
        <w:rPr>
          <w:rFonts w:hint="eastAsia" w:ascii="宋体" w:hAnsi="宋体" w:cs="宋体"/>
          <w:b/>
          <w:color w:val="auto"/>
          <w:sz w:val="24"/>
          <w:highlight w:val="none"/>
        </w:rPr>
      </w:pPr>
    </w:p>
    <w:p w14:paraId="2D266B6F">
      <w:pPr>
        <w:snapToGrid w:val="0"/>
        <w:spacing w:before="50" w:after="120" w:afterLines="50"/>
        <w:jc w:val="left"/>
        <w:rPr>
          <w:rFonts w:hint="eastAsia" w:ascii="宋体" w:hAnsi="宋体" w:cs="宋体"/>
          <w:b/>
          <w:color w:val="auto"/>
          <w:sz w:val="24"/>
          <w:highlight w:val="none"/>
        </w:rPr>
      </w:pPr>
    </w:p>
    <w:p w14:paraId="2CECF2A3">
      <w:pPr>
        <w:snapToGrid w:val="0"/>
        <w:spacing w:before="50" w:after="120" w:afterLines="50"/>
        <w:jc w:val="left"/>
        <w:rPr>
          <w:rFonts w:hint="eastAsia" w:ascii="宋体" w:hAnsi="宋体" w:cs="宋体"/>
          <w:b/>
          <w:color w:val="auto"/>
          <w:sz w:val="24"/>
          <w:highlight w:val="none"/>
        </w:rPr>
      </w:pPr>
    </w:p>
    <w:p w14:paraId="48C61B09">
      <w:pPr>
        <w:snapToGrid w:val="0"/>
        <w:spacing w:before="50" w:after="120" w:afterLines="50"/>
        <w:jc w:val="left"/>
        <w:rPr>
          <w:rFonts w:hint="eastAsia" w:ascii="宋体" w:hAnsi="宋体" w:cs="宋体"/>
          <w:b/>
          <w:color w:val="auto"/>
          <w:sz w:val="24"/>
          <w:highlight w:val="none"/>
        </w:rPr>
      </w:pPr>
    </w:p>
    <w:p w14:paraId="6FAA4EDB">
      <w:pPr>
        <w:snapToGrid w:val="0"/>
        <w:spacing w:before="50" w:after="120" w:afterLines="50"/>
        <w:jc w:val="left"/>
        <w:rPr>
          <w:rFonts w:hint="eastAsia" w:ascii="宋体" w:hAnsi="宋体" w:cs="宋体"/>
          <w:b/>
          <w:color w:val="auto"/>
          <w:sz w:val="24"/>
          <w:highlight w:val="none"/>
        </w:rPr>
      </w:pPr>
    </w:p>
    <w:p w14:paraId="5E5468C1">
      <w:pPr>
        <w:snapToGrid w:val="0"/>
        <w:spacing w:before="50" w:after="120" w:afterLines="50"/>
        <w:jc w:val="left"/>
        <w:rPr>
          <w:rFonts w:hint="eastAsia" w:ascii="宋体" w:hAnsi="宋体" w:cs="宋体"/>
          <w:b/>
          <w:color w:val="auto"/>
          <w:sz w:val="24"/>
          <w:highlight w:val="none"/>
          <w:lang w:eastAsia="zh-CN"/>
        </w:rPr>
      </w:pPr>
    </w:p>
    <w:p w14:paraId="2652D219">
      <w:pPr>
        <w:snapToGrid w:val="0"/>
        <w:spacing w:before="50" w:after="120" w:afterLines="50"/>
        <w:jc w:val="left"/>
        <w:rPr>
          <w:rFonts w:hint="eastAsia" w:ascii="宋体" w:hAnsi="宋体" w:cs="宋体"/>
          <w:b/>
          <w:color w:val="auto"/>
          <w:sz w:val="24"/>
          <w:highlight w:val="none"/>
          <w:lang w:eastAsia="zh-CN"/>
        </w:rPr>
      </w:pPr>
    </w:p>
    <w:p w14:paraId="79A3D471">
      <w:pPr>
        <w:snapToGrid w:val="0"/>
        <w:spacing w:before="50" w:after="120" w:afterLines="50"/>
        <w:jc w:val="left"/>
        <w:rPr>
          <w:rFonts w:hint="eastAsia" w:ascii="宋体" w:hAnsi="宋体" w:cs="宋体"/>
          <w:b/>
          <w:color w:val="auto"/>
          <w:sz w:val="24"/>
          <w:highlight w:val="none"/>
          <w:lang w:eastAsia="zh-CN"/>
        </w:rPr>
      </w:pPr>
    </w:p>
    <w:p w14:paraId="09027AC9">
      <w:pPr>
        <w:snapToGrid w:val="0"/>
        <w:spacing w:before="50" w:after="120" w:afterLines="50"/>
        <w:jc w:val="left"/>
        <w:rPr>
          <w:rFonts w:hint="eastAsia" w:ascii="宋体" w:hAnsi="宋体" w:cs="宋体"/>
          <w:b/>
          <w:color w:val="auto"/>
          <w:sz w:val="24"/>
          <w:highlight w:val="none"/>
          <w:lang w:eastAsia="zh-CN"/>
        </w:rPr>
      </w:pPr>
    </w:p>
    <w:p w14:paraId="2E71F147">
      <w:pPr>
        <w:snapToGrid w:val="0"/>
        <w:spacing w:before="50" w:after="120" w:afterLines="50"/>
        <w:jc w:val="left"/>
        <w:rPr>
          <w:rFonts w:hint="eastAsia" w:ascii="宋体" w:hAnsi="宋体" w:cs="宋体"/>
          <w:b/>
          <w:color w:val="auto"/>
          <w:sz w:val="24"/>
          <w:highlight w:val="none"/>
          <w:lang w:eastAsia="zh-CN"/>
        </w:rPr>
      </w:pPr>
    </w:p>
    <w:p w14:paraId="7978DBE0">
      <w:pPr>
        <w:snapToGrid w:val="0"/>
        <w:spacing w:before="50" w:after="120" w:afterLines="50"/>
        <w:jc w:val="left"/>
        <w:rPr>
          <w:rFonts w:ascii="宋体" w:hAnsi="宋体" w:cs="宋体"/>
          <w:b/>
          <w:color w:val="auto"/>
          <w:sz w:val="24"/>
          <w:highlight w:val="none"/>
        </w:rPr>
      </w:pPr>
      <w:r>
        <w:rPr>
          <w:rFonts w:hint="eastAsia" w:ascii="宋体" w:hAnsi="宋体" w:cs="宋体"/>
          <w:b/>
          <w:color w:val="auto"/>
          <w:sz w:val="24"/>
          <w:highlight w:val="none"/>
          <w:lang w:eastAsia="zh-CN"/>
        </w:rPr>
        <w:t>附件</w:t>
      </w:r>
      <w:r>
        <w:rPr>
          <w:rFonts w:hint="eastAsia" w:ascii="宋体" w:hAnsi="宋体" w:cs="宋体"/>
          <w:b/>
          <w:color w:val="auto"/>
          <w:sz w:val="24"/>
          <w:highlight w:val="none"/>
          <w:lang w:val="en-US" w:eastAsia="zh-CN"/>
        </w:rPr>
        <w:t>:</w:t>
      </w:r>
      <w:r>
        <w:rPr>
          <w:rFonts w:hint="eastAsia" w:ascii="宋体" w:hAnsi="宋体" w:cs="宋体"/>
          <w:b/>
          <w:color w:val="auto"/>
          <w:sz w:val="24"/>
          <w:highlight w:val="none"/>
        </w:rPr>
        <w:t xml:space="preserve">评分响应表格式： </w:t>
      </w:r>
    </w:p>
    <w:p w14:paraId="356C5BD1">
      <w:pPr>
        <w:snapToGrid w:val="0"/>
        <w:spacing w:before="120" w:beforeLines="50" w:after="50"/>
        <w:rPr>
          <w:rFonts w:ascii="宋体" w:hAnsi="宋体" w:cs="宋体"/>
          <w:b/>
          <w:color w:val="auto"/>
          <w:sz w:val="24"/>
          <w:highlight w:val="none"/>
        </w:rPr>
      </w:pPr>
    </w:p>
    <w:p w14:paraId="226E372E">
      <w:pPr>
        <w:snapToGrid w:val="0"/>
        <w:spacing w:before="50" w:after="50"/>
        <w:jc w:val="center"/>
        <w:rPr>
          <w:rFonts w:ascii="宋体" w:hAnsi="宋体" w:cs="宋体"/>
          <w:b/>
          <w:color w:val="auto"/>
          <w:sz w:val="36"/>
          <w:szCs w:val="36"/>
          <w:highlight w:val="none"/>
        </w:rPr>
      </w:pPr>
      <w:r>
        <w:rPr>
          <w:rFonts w:hint="eastAsia" w:ascii="宋体" w:hAnsi="宋体" w:cs="宋体"/>
          <w:b/>
          <w:color w:val="auto"/>
          <w:sz w:val="36"/>
          <w:szCs w:val="36"/>
          <w:highlight w:val="none"/>
        </w:rPr>
        <w:t>投标人资信商务、技术自评得分表</w:t>
      </w:r>
    </w:p>
    <w:p w14:paraId="68BDFD2F">
      <w:pPr>
        <w:snapToGrid w:val="0"/>
        <w:spacing w:before="50" w:after="50"/>
        <w:rPr>
          <w:rFonts w:ascii="宋体" w:hAnsi="宋体" w:cs="宋体"/>
          <w:b/>
          <w:color w:val="auto"/>
          <w:sz w:val="24"/>
          <w:highlight w:val="none"/>
        </w:rPr>
      </w:pPr>
    </w:p>
    <w:p w14:paraId="6BED5E1C">
      <w:pPr>
        <w:snapToGrid w:val="0"/>
        <w:spacing w:before="50" w:after="50" w:line="360" w:lineRule="auto"/>
        <w:rPr>
          <w:rFonts w:ascii="宋体" w:hAnsi="宋体" w:cs="宋体"/>
          <w:b/>
          <w:color w:val="auto"/>
          <w:sz w:val="24"/>
          <w:highlight w:val="none"/>
          <w:u w:val="single"/>
        </w:rPr>
      </w:pPr>
      <w:r>
        <w:rPr>
          <w:rFonts w:hint="eastAsia" w:ascii="宋体" w:hAnsi="宋体" w:cs="宋体"/>
          <w:b/>
          <w:color w:val="auto"/>
          <w:sz w:val="24"/>
          <w:highlight w:val="none"/>
        </w:rPr>
        <w:t>投标单位名称：</w:t>
      </w:r>
    </w:p>
    <w:tbl>
      <w:tblPr>
        <w:tblStyle w:val="4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86"/>
        <w:gridCol w:w="1444"/>
        <w:gridCol w:w="2998"/>
        <w:gridCol w:w="1452"/>
        <w:gridCol w:w="2404"/>
      </w:tblGrid>
      <w:tr w14:paraId="2C595C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14:paraId="7CA5C78D">
            <w:pPr>
              <w:pStyle w:val="36"/>
              <w:ind w:firstLine="0" w:firstLineChars="0"/>
              <w:jc w:val="center"/>
              <w:rPr>
                <w:rFonts w:ascii="宋体" w:eastAsia="宋体" w:cs="宋体"/>
                <w:b/>
                <w:bCs/>
                <w:color w:val="auto"/>
                <w:highlight w:val="none"/>
              </w:rPr>
            </w:pPr>
            <w:r>
              <w:rPr>
                <w:rFonts w:hint="eastAsia" w:ascii="宋体" w:eastAsia="宋体" w:cs="宋体"/>
                <w:b/>
                <w:bCs/>
                <w:color w:val="auto"/>
                <w:highlight w:val="none"/>
              </w:rPr>
              <w:t>序号</w:t>
            </w:r>
          </w:p>
        </w:tc>
        <w:tc>
          <w:tcPr>
            <w:tcW w:w="1444" w:type="dxa"/>
            <w:tcBorders>
              <w:top w:val="single" w:color="auto" w:sz="4" w:space="0"/>
              <w:left w:val="single" w:color="auto" w:sz="4" w:space="0"/>
              <w:bottom w:val="single" w:color="auto" w:sz="4" w:space="0"/>
              <w:right w:val="single" w:color="auto" w:sz="4" w:space="0"/>
            </w:tcBorders>
            <w:vAlign w:val="center"/>
          </w:tcPr>
          <w:p w14:paraId="3050BF18">
            <w:pPr>
              <w:pStyle w:val="36"/>
              <w:ind w:firstLine="0" w:firstLineChars="0"/>
              <w:jc w:val="center"/>
              <w:rPr>
                <w:rFonts w:ascii="宋体" w:eastAsia="宋体" w:cs="宋体"/>
                <w:b/>
                <w:bCs/>
                <w:color w:val="auto"/>
                <w:highlight w:val="none"/>
              </w:rPr>
            </w:pPr>
            <w:r>
              <w:rPr>
                <w:rFonts w:hint="eastAsia" w:ascii="宋体" w:eastAsia="宋体" w:cs="宋体"/>
                <w:b/>
                <w:bCs/>
                <w:color w:val="auto"/>
                <w:highlight w:val="none"/>
              </w:rPr>
              <w:t>评审内容</w:t>
            </w:r>
          </w:p>
        </w:tc>
        <w:tc>
          <w:tcPr>
            <w:tcW w:w="2998" w:type="dxa"/>
            <w:tcBorders>
              <w:top w:val="single" w:color="auto" w:sz="4" w:space="0"/>
              <w:left w:val="single" w:color="auto" w:sz="4" w:space="0"/>
              <w:bottom w:val="single" w:color="auto" w:sz="4" w:space="0"/>
              <w:right w:val="single" w:color="auto" w:sz="4" w:space="0"/>
            </w:tcBorders>
            <w:vAlign w:val="center"/>
          </w:tcPr>
          <w:p w14:paraId="6CF7A38F">
            <w:pPr>
              <w:pStyle w:val="36"/>
              <w:ind w:firstLine="482"/>
              <w:jc w:val="center"/>
              <w:rPr>
                <w:rFonts w:ascii="宋体" w:eastAsia="宋体" w:cs="宋体"/>
                <w:b/>
                <w:bCs/>
                <w:color w:val="auto"/>
                <w:highlight w:val="none"/>
              </w:rPr>
            </w:pPr>
            <w:r>
              <w:rPr>
                <w:rFonts w:hint="eastAsia" w:ascii="宋体" w:eastAsia="宋体" w:cs="宋体"/>
                <w:b/>
                <w:bCs/>
                <w:color w:val="auto"/>
                <w:highlight w:val="none"/>
              </w:rPr>
              <w:t>评分标准</w:t>
            </w:r>
          </w:p>
        </w:tc>
        <w:tc>
          <w:tcPr>
            <w:tcW w:w="1452" w:type="dxa"/>
            <w:tcBorders>
              <w:top w:val="single" w:color="auto" w:sz="4" w:space="0"/>
              <w:left w:val="single" w:color="auto" w:sz="4" w:space="0"/>
              <w:bottom w:val="single" w:color="auto" w:sz="4" w:space="0"/>
              <w:right w:val="single" w:color="auto" w:sz="4" w:space="0"/>
            </w:tcBorders>
            <w:vAlign w:val="center"/>
          </w:tcPr>
          <w:p w14:paraId="3667A905">
            <w:pPr>
              <w:pStyle w:val="36"/>
              <w:ind w:firstLine="0" w:firstLineChars="0"/>
              <w:jc w:val="center"/>
              <w:rPr>
                <w:rFonts w:ascii="宋体" w:eastAsia="宋体" w:cs="宋体"/>
                <w:b/>
                <w:bCs/>
                <w:color w:val="auto"/>
                <w:highlight w:val="none"/>
              </w:rPr>
            </w:pPr>
            <w:r>
              <w:rPr>
                <w:rFonts w:hint="eastAsia" w:ascii="宋体" w:eastAsia="宋体" w:cs="宋体"/>
                <w:b/>
                <w:bCs/>
                <w:color w:val="auto"/>
                <w:highlight w:val="none"/>
              </w:rPr>
              <w:t>自评得分</w:t>
            </w:r>
          </w:p>
        </w:tc>
        <w:tc>
          <w:tcPr>
            <w:tcW w:w="2404" w:type="dxa"/>
            <w:tcBorders>
              <w:top w:val="single" w:color="auto" w:sz="4" w:space="0"/>
              <w:left w:val="single" w:color="auto" w:sz="4" w:space="0"/>
              <w:bottom w:val="single" w:color="auto" w:sz="4" w:space="0"/>
              <w:right w:val="single" w:color="auto" w:sz="4" w:space="0"/>
            </w:tcBorders>
            <w:vAlign w:val="center"/>
          </w:tcPr>
          <w:p w14:paraId="53A87BD3">
            <w:pPr>
              <w:pStyle w:val="36"/>
              <w:ind w:firstLine="0" w:firstLineChars="0"/>
              <w:jc w:val="center"/>
              <w:rPr>
                <w:rFonts w:ascii="宋体" w:eastAsia="宋体" w:cs="宋体"/>
                <w:b/>
                <w:bCs/>
                <w:color w:val="auto"/>
                <w:highlight w:val="none"/>
              </w:rPr>
            </w:pPr>
            <w:r>
              <w:rPr>
                <w:rFonts w:hint="eastAsia" w:ascii="宋体" w:eastAsia="宋体" w:cs="宋体"/>
                <w:b/>
                <w:bCs/>
                <w:color w:val="auto"/>
                <w:highlight w:val="none"/>
              </w:rPr>
              <w:t>页码</w:t>
            </w:r>
          </w:p>
        </w:tc>
      </w:tr>
      <w:tr w14:paraId="651E9E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0"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14:paraId="32B12A2E">
            <w:pPr>
              <w:pStyle w:val="36"/>
              <w:ind w:firstLine="0" w:firstLineChars="0"/>
              <w:jc w:val="center"/>
              <w:rPr>
                <w:rFonts w:ascii="宋体" w:eastAsia="宋体" w:cs="宋体"/>
                <w:b/>
                <w:bCs/>
                <w:color w:val="auto"/>
                <w:highlight w:val="none"/>
              </w:rPr>
            </w:pPr>
            <w:r>
              <w:rPr>
                <w:rFonts w:hint="eastAsia" w:ascii="宋体" w:eastAsia="宋体" w:cs="宋体"/>
                <w:b/>
                <w:bCs/>
                <w:color w:val="auto"/>
                <w:highlight w:val="none"/>
              </w:rPr>
              <w:t>一</w:t>
            </w:r>
          </w:p>
        </w:tc>
        <w:tc>
          <w:tcPr>
            <w:tcW w:w="1444" w:type="dxa"/>
            <w:tcBorders>
              <w:top w:val="single" w:color="auto" w:sz="4" w:space="0"/>
              <w:left w:val="single" w:color="auto" w:sz="4" w:space="0"/>
              <w:bottom w:val="single" w:color="auto" w:sz="4" w:space="0"/>
              <w:right w:val="single" w:color="auto" w:sz="4" w:space="0"/>
            </w:tcBorders>
            <w:vAlign w:val="center"/>
          </w:tcPr>
          <w:p w14:paraId="0B6514F6">
            <w:pPr>
              <w:pStyle w:val="36"/>
              <w:ind w:firstLine="0" w:firstLineChars="0"/>
              <w:jc w:val="center"/>
              <w:rPr>
                <w:rFonts w:ascii="宋体" w:eastAsia="宋体" w:cs="宋体"/>
                <w:b/>
                <w:bCs/>
                <w:color w:val="auto"/>
                <w:highlight w:val="none"/>
              </w:rPr>
            </w:pPr>
            <w:r>
              <w:rPr>
                <w:rFonts w:hint="eastAsia" w:ascii="宋体" w:eastAsia="宋体" w:cs="宋体"/>
                <w:b/>
                <w:bCs/>
                <w:color w:val="auto"/>
                <w:highlight w:val="none"/>
              </w:rPr>
              <w:t>技术分</w:t>
            </w:r>
          </w:p>
        </w:tc>
        <w:tc>
          <w:tcPr>
            <w:tcW w:w="2998" w:type="dxa"/>
            <w:tcBorders>
              <w:top w:val="single" w:color="auto" w:sz="4" w:space="0"/>
              <w:left w:val="single" w:color="auto" w:sz="4" w:space="0"/>
              <w:bottom w:val="single" w:color="auto" w:sz="4" w:space="0"/>
              <w:right w:val="single" w:color="auto" w:sz="4" w:space="0"/>
            </w:tcBorders>
            <w:vAlign w:val="center"/>
          </w:tcPr>
          <w:p w14:paraId="0DBAE9B0">
            <w:pPr>
              <w:pStyle w:val="36"/>
              <w:ind w:firstLine="482"/>
              <w:jc w:val="center"/>
              <w:rPr>
                <w:rFonts w:ascii="宋体" w:eastAsia="宋体" w:cs="宋体"/>
                <w:b/>
                <w:bCs/>
                <w:color w:val="auto"/>
                <w:highlight w:val="none"/>
              </w:rPr>
            </w:pPr>
          </w:p>
        </w:tc>
        <w:tc>
          <w:tcPr>
            <w:tcW w:w="1452" w:type="dxa"/>
            <w:tcBorders>
              <w:top w:val="single" w:color="auto" w:sz="4" w:space="0"/>
              <w:left w:val="single" w:color="auto" w:sz="4" w:space="0"/>
              <w:bottom w:val="single" w:color="auto" w:sz="4" w:space="0"/>
              <w:right w:val="single" w:color="auto" w:sz="4" w:space="0"/>
            </w:tcBorders>
            <w:vAlign w:val="center"/>
          </w:tcPr>
          <w:p w14:paraId="5D71702E">
            <w:pPr>
              <w:pStyle w:val="36"/>
              <w:ind w:firstLine="0" w:firstLineChars="0"/>
              <w:jc w:val="center"/>
              <w:rPr>
                <w:rFonts w:ascii="宋体" w:eastAsia="宋体" w:cs="宋体"/>
                <w:b/>
                <w:bCs/>
                <w:color w:val="auto"/>
                <w:highlight w:val="none"/>
              </w:rPr>
            </w:pPr>
          </w:p>
        </w:tc>
        <w:tc>
          <w:tcPr>
            <w:tcW w:w="2404" w:type="dxa"/>
            <w:tcBorders>
              <w:top w:val="single" w:color="auto" w:sz="4" w:space="0"/>
              <w:left w:val="single" w:color="auto" w:sz="4" w:space="0"/>
              <w:bottom w:val="single" w:color="auto" w:sz="4" w:space="0"/>
              <w:right w:val="single" w:color="auto" w:sz="4" w:space="0"/>
            </w:tcBorders>
            <w:vAlign w:val="center"/>
          </w:tcPr>
          <w:p w14:paraId="78A116AE">
            <w:pPr>
              <w:pStyle w:val="36"/>
              <w:ind w:firstLine="0" w:firstLineChars="0"/>
              <w:jc w:val="center"/>
              <w:rPr>
                <w:rFonts w:ascii="宋体" w:eastAsia="宋体" w:cs="宋体"/>
                <w:b/>
                <w:bCs/>
                <w:color w:val="auto"/>
                <w:highlight w:val="none"/>
              </w:rPr>
            </w:pPr>
          </w:p>
        </w:tc>
      </w:tr>
      <w:tr w14:paraId="742933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4"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14:paraId="134243A6">
            <w:pPr>
              <w:widowControl/>
              <w:rPr>
                <w:rFonts w:ascii="宋体" w:hAnsi="宋体" w:cs="宋体"/>
                <w:color w:val="auto"/>
                <w:sz w:val="24"/>
                <w:highlight w:val="none"/>
              </w:rPr>
            </w:pPr>
            <w:r>
              <w:rPr>
                <w:rFonts w:hint="eastAsia" w:ascii="宋体" w:hAnsi="宋体" w:cs="宋体"/>
                <w:color w:val="auto"/>
                <w:sz w:val="24"/>
                <w:highlight w:val="none"/>
              </w:rPr>
              <w:t>1</w:t>
            </w:r>
          </w:p>
        </w:tc>
        <w:tc>
          <w:tcPr>
            <w:tcW w:w="1444" w:type="dxa"/>
            <w:tcBorders>
              <w:top w:val="single" w:color="auto" w:sz="4" w:space="0"/>
              <w:left w:val="single" w:color="auto" w:sz="4" w:space="0"/>
              <w:bottom w:val="single" w:color="auto" w:sz="4" w:space="0"/>
              <w:right w:val="single" w:color="auto" w:sz="4" w:space="0"/>
            </w:tcBorders>
            <w:vAlign w:val="center"/>
          </w:tcPr>
          <w:p w14:paraId="00DA40BC">
            <w:pPr>
              <w:rPr>
                <w:rFonts w:ascii="宋体" w:hAnsi="宋体" w:cs="宋体"/>
                <w:color w:val="auto"/>
                <w:sz w:val="24"/>
                <w:highlight w:val="none"/>
              </w:rPr>
            </w:pPr>
          </w:p>
        </w:tc>
        <w:tc>
          <w:tcPr>
            <w:tcW w:w="2998" w:type="dxa"/>
            <w:tcBorders>
              <w:top w:val="single" w:color="auto" w:sz="4" w:space="0"/>
              <w:left w:val="single" w:color="auto" w:sz="4" w:space="0"/>
              <w:right w:val="single" w:color="auto" w:sz="4" w:space="0"/>
            </w:tcBorders>
            <w:vAlign w:val="center"/>
          </w:tcPr>
          <w:p w14:paraId="501ED0D7">
            <w:pPr>
              <w:rPr>
                <w:rFonts w:ascii="宋体" w:hAnsi="宋体" w:cs="宋体"/>
                <w:color w:val="auto"/>
                <w:sz w:val="24"/>
                <w:highlight w:val="none"/>
              </w:rPr>
            </w:pPr>
          </w:p>
        </w:tc>
        <w:tc>
          <w:tcPr>
            <w:tcW w:w="1452" w:type="dxa"/>
            <w:tcBorders>
              <w:top w:val="single" w:color="auto" w:sz="4" w:space="0"/>
              <w:left w:val="single" w:color="auto" w:sz="4" w:space="0"/>
              <w:right w:val="single" w:color="auto" w:sz="4" w:space="0"/>
            </w:tcBorders>
            <w:vAlign w:val="center"/>
          </w:tcPr>
          <w:p w14:paraId="74407591">
            <w:pPr>
              <w:jc w:val="center"/>
              <w:rPr>
                <w:rFonts w:ascii="宋体" w:hAnsi="宋体" w:cs="宋体"/>
                <w:bCs/>
                <w:color w:val="auto"/>
                <w:sz w:val="24"/>
                <w:highlight w:val="none"/>
              </w:rPr>
            </w:pPr>
          </w:p>
        </w:tc>
        <w:tc>
          <w:tcPr>
            <w:tcW w:w="2404" w:type="dxa"/>
            <w:tcBorders>
              <w:top w:val="single" w:color="auto" w:sz="4" w:space="0"/>
              <w:left w:val="single" w:color="auto" w:sz="4" w:space="0"/>
              <w:right w:val="single" w:color="auto" w:sz="4" w:space="0"/>
            </w:tcBorders>
            <w:vAlign w:val="center"/>
          </w:tcPr>
          <w:p w14:paraId="2ADBF76C">
            <w:pPr>
              <w:jc w:val="center"/>
              <w:rPr>
                <w:rFonts w:ascii="宋体" w:hAnsi="宋体" w:cs="宋体"/>
                <w:bCs/>
                <w:color w:val="auto"/>
                <w:sz w:val="24"/>
                <w:highlight w:val="none"/>
              </w:rPr>
            </w:pPr>
            <w:r>
              <w:rPr>
                <w:rFonts w:hint="eastAsia" w:ascii="宋体" w:hAnsi="宋体" w:cs="宋体"/>
                <w:bCs/>
                <w:color w:val="auto"/>
                <w:sz w:val="24"/>
                <w:highlight w:val="none"/>
              </w:rPr>
              <w:t>详见第几页</w:t>
            </w:r>
          </w:p>
        </w:tc>
      </w:tr>
      <w:tr w14:paraId="2DEE87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6"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14:paraId="3F5601A6">
            <w:pPr>
              <w:widowControl/>
              <w:rPr>
                <w:rFonts w:ascii="宋体" w:hAnsi="宋体" w:cs="宋体"/>
                <w:color w:val="auto"/>
                <w:sz w:val="24"/>
                <w:highlight w:val="none"/>
              </w:rPr>
            </w:pPr>
            <w:r>
              <w:rPr>
                <w:rFonts w:hint="eastAsia" w:ascii="宋体" w:hAnsi="宋体" w:cs="宋体"/>
                <w:color w:val="auto"/>
                <w:sz w:val="24"/>
                <w:highlight w:val="none"/>
              </w:rPr>
              <w:t>2</w:t>
            </w:r>
          </w:p>
        </w:tc>
        <w:tc>
          <w:tcPr>
            <w:tcW w:w="1444" w:type="dxa"/>
            <w:tcBorders>
              <w:top w:val="single" w:color="auto" w:sz="4" w:space="0"/>
              <w:left w:val="single" w:color="auto" w:sz="4" w:space="0"/>
              <w:bottom w:val="single" w:color="auto" w:sz="4" w:space="0"/>
              <w:right w:val="single" w:color="auto" w:sz="4" w:space="0"/>
            </w:tcBorders>
            <w:vAlign w:val="center"/>
          </w:tcPr>
          <w:p w14:paraId="0DD83978">
            <w:pPr>
              <w:spacing w:line="320" w:lineRule="exact"/>
              <w:rPr>
                <w:rFonts w:ascii="宋体" w:hAnsi="宋体" w:cs="宋体"/>
                <w:color w:val="auto"/>
                <w:sz w:val="24"/>
                <w:highlight w:val="none"/>
              </w:rPr>
            </w:pPr>
          </w:p>
        </w:tc>
        <w:tc>
          <w:tcPr>
            <w:tcW w:w="2998" w:type="dxa"/>
            <w:tcBorders>
              <w:top w:val="single" w:color="auto" w:sz="4" w:space="0"/>
              <w:left w:val="single" w:color="auto" w:sz="4" w:space="0"/>
              <w:right w:val="single" w:color="auto" w:sz="4" w:space="0"/>
            </w:tcBorders>
            <w:vAlign w:val="center"/>
          </w:tcPr>
          <w:p w14:paraId="62130803">
            <w:pPr>
              <w:widowControl/>
              <w:rPr>
                <w:rFonts w:ascii="宋体" w:hAnsi="宋体" w:cs="宋体"/>
                <w:color w:val="auto"/>
                <w:kern w:val="0"/>
                <w:sz w:val="24"/>
                <w:highlight w:val="none"/>
              </w:rPr>
            </w:pPr>
          </w:p>
        </w:tc>
        <w:tc>
          <w:tcPr>
            <w:tcW w:w="1452" w:type="dxa"/>
            <w:tcBorders>
              <w:top w:val="single" w:color="auto" w:sz="4" w:space="0"/>
              <w:left w:val="single" w:color="auto" w:sz="4" w:space="0"/>
              <w:right w:val="single" w:color="auto" w:sz="4" w:space="0"/>
            </w:tcBorders>
            <w:vAlign w:val="center"/>
          </w:tcPr>
          <w:p w14:paraId="7772202D">
            <w:pPr>
              <w:spacing w:line="320" w:lineRule="exact"/>
              <w:jc w:val="center"/>
              <w:rPr>
                <w:rFonts w:ascii="宋体" w:hAnsi="宋体" w:cs="宋体"/>
                <w:bCs/>
                <w:color w:val="auto"/>
                <w:sz w:val="24"/>
                <w:highlight w:val="none"/>
              </w:rPr>
            </w:pPr>
          </w:p>
        </w:tc>
        <w:tc>
          <w:tcPr>
            <w:tcW w:w="2404" w:type="dxa"/>
            <w:tcBorders>
              <w:top w:val="single" w:color="auto" w:sz="4" w:space="0"/>
              <w:left w:val="single" w:color="auto" w:sz="4" w:space="0"/>
              <w:right w:val="single" w:color="auto" w:sz="4" w:space="0"/>
            </w:tcBorders>
            <w:vAlign w:val="center"/>
          </w:tcPr>
          <w:p w14:paraId="53283BE0">
            <w:pPr>
              <w:jc w:val="center"/>
              <w:rPr>
                <w:rFonts w:ascii="宋体" w:hAnsi="宋体" w:cs="宋体"/>
                <w:bCs/>
                <w:color w:val="auto"/>
                <w:sz w:val="24"/>
                <w:highlight w:val="none"/>
              </w:rPr>
            </w:pPr>
            <w:r>
              <w:rPr>
                <w:rFonts w:hint="eastAsia" w:ascii="宋体" w:hAnsi="宋体" w:cs="宋体"/>
                <w:bCs/>
                <w:color w:val="auto"/>
                <w:sz w:val="24"/>
                <w:highlight w:val="none"/>
              </w:rPr>
              <w:t>……</w:t>
            </w:r>
          </w:p>
        </w:tc>
      </w:tr>
      <w:tr w14:paraId="4C89BF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7" w:hRule="atLeast"/>
          <w:jc w:val="center"/>
        </w:trPr>
        <w:tc>
          <w:tcPr>
            <w:tcW w:w="786" w:type="dxa"/>
            <w:tcBorders>
              <w:left w:val="single" w:color="auto" w:sz="4" w:space="0"/>
              <w:bottom w:val="single" w:color="auto" w:sz="4" w:space="0"/>
              <w:right w:val="single" w:color="auto" w:sz="4" w:space="0"/>
            </w:tcBorders>
            <w:vAlign w:val="center"/>
          </w:tcPr>
          <w:p w14:paraId="17BC4EF3">
            <w:pPr>
              <w:widowControl/>
              <w:rPr>
                <w:rFonts w:ascii="宋体" w:hAnsi="宋体" w:cs="宋体"/>
                <w:color w:val="auto"/>
                <w:sz w:val="24"/>
                <w:highlight w:val="none"/>
              </w:rPr>
            </w:pPr>
            <w:r>
              <w:rPr>
                <w:rFonts w:hint="eastAsia" w:ascii="宋体" w:hAnsi="宋体" w:cs="宋体"/>
                <w:color w:val="auto"/>
                <w:sz w:val="24"/>
                <w:highlight w:val="none"/>
              </w:rPr>
              <w:t>……</w:t>
            </w:r>
          </w:p>
        </w:tc>
        <w:tc>
          <w:tcPr>
            <w:tcW w:w="1444" w:type="dxa"/>
            <w:tcBorders>
              <w:left w:val="single" w:color="auto" w:sz="4" w:space="0"/>
              <w:bottom w:val="single" w:color="auto" w:sz="4" w:space="0"/>
              <w:right w:val="single" w:color="auto" w:sz="4" w:space="0"/>
            </w:tcBorders>
            <w:vAlign w:val="center"/>
          </w:tcPr>
          <w:p w14:paraId="3D48AFC8">
            <w:pPr>
              <w:widowControl/>
              <w:rPr>
                <w:rFonts w:ascii="宋体" w:hAnsi="宋体" w:cs="宋体"/>
                <w:color w:val="auto"/>
                <w:kern w:val="0"/>
                <w:sz w:val="24"/>
                <w:highlight w:val="none"/>
              </w:rPr>
            </w:pPr>
          </w:p>
        </w:tc>
        <w:tc>
          <w:tcPr>
            <w:tcW w:w="2998" w:type="dxa"/>
            <w:tcBorders>
              <w:top w:val="single" w:color="auto" w:sz="4" w:space="0"/>
              <w:left w:val="single" w:color="auto" w:sz="4" w:space="0"/>
              <w:bottom w:val="single" w:color="auto" w:sz="4" w:space="0"/>
              <w:right w:val="single" w:color="auto" w:sz="4" w:space="0"/>
            </w:tcBorders>
            <w:vAlign w:val="center"/>
          </w:tcPr>
          <w:p w14:paraId="21460AF5">
            <w:pPr>
              <w:ind w:left="55" w:leftChars="26"/>
              <w:rPr>
                <w:rFonts w:ascii="宋体" w:hAnsi="宋体" w:cs="宋体"/>
                <w:color w:val="auto"/>
                <w:kern w:val="0"/>
                <w:sz w:val="24"/>
                <w:highlight w:val="none"/>
              </w:rPr>
            </w:pPr>
          </w:p>
        </w:tc>
        <w:tc>
          <w:tcPr>
            <w:tcW w:w="1452" w:type="dxa"/>
            <w:tcBorders>
              <w:top w:val="single" w:color="auto" w:sz="4" w:space="0"/>
              <w:left w:val="single" w:color="auto" w:sz="4" w:space="0"/>
              <w:bottom w:val="single" w:color="auto" w:sz="4" w:space="0"/>
              <w:right w:val="single" w:color="auto" w:sz="4" w:space="0"/>
            </w:tcBorders>
            <w:vAlign w:val="center"/>
          </w:tcPr>
          <w:p w14:paraId="2951A8ED">
            <w:pPr>
              <w:spacing w:line="320" w:lineRule="exact"/>
              <w:jc w:val="center"/>
              <w:rPr>
                <w:rFonts w:ascii="宋体" w:hAnsi="宋体" w:cs="宋体"/>
                <w:bCs/>
                <w:color w:val="auto"/>
                <w:sz w:val="24"/>
                <w:highlight w:val="none"/>
              </w:rPr>
            </w:pPr>
          </w:p>
        </w:tc>
        <w:tc>
          <w:tcPr>
            <w:tcW w:w="2404" w:type="dxa"/>
            <w:tcBorders>
              <w:top w:val="single" w:color="auto" w:sz="4" w:space="0"/>
              <w:left w:val="single" w:color="auto" w:sz="4" w:space="0"/>
              <w:bottom w:val="single" w:color="auto" w:sz="4" w:space="0"/>
              <w:right w:val="single" w:color="auto" w:sz="4" w:space="0"/>
            </w:tcBorders>
            <w:vAlign w:val="center"/>
          </w:tcPr>
          <w:p w14:paraId="289F5AF4">
            <w:pPr>
              <w:jc w:val="center"/>
              <w:rPr>
                <w:rFonts w:ascii="宋体" w:hAnsi="宋体" w:cs="宋体"/>
                <w:bCs/>
                <w:color w:val="auto"/>
                <w:sz w:val="24"/>
                <w:highlight w:val="none"/>
              </w:rPr>
            </w:pPr>
          </w:p>
        </w:tc>
      </w:tr>
      <w:tr w14:paraId="72E48D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14:paraId="40380204">
            <w:pPr>
              <w:widowControl/>
              <w:rPr>
                <w:rFonts w:ascii="宋体" w:hAnsi="宋体" w:cs="宋体"/>
                <w:b/>
                <w:color w:val="auto"/>
                <w:sz w:val="24"/>
                <w:highlight w:val="none"/>
              </w:rPr>
            </w:pPr>
          </w:p>
        </w:tc>
        <w:tc>
          <w:tcPr>
            <w:tcW w:w="1444" w:type="dxa"/>
            <w:tcBorders>
              <w:top w:val="single" w:color="auto" w:sz="4" w:space="0"/>
              <w:left w:val="single" w:color="auto" w:sz="4" w:space="0"/>
              <w:bottom w:val="single" w:color="auto" w:sz="4" w:space="0"/>
              <w:right w:val="single" w:color="auto" w:sz="4" w:space="0"/>
            </w:tcBorders>
            <w:vAlign w:val="center"/>
          </w:tcPr>
          <w:p w14:paraId="5EF462FF">
            <w:pPr>
              <w:widowControl/>
              <w:rPr>
                <w:rFonts w:ascii="宋体" w:hAnsi="宋体" w:cs="宋体"/>
                <w:b/>
                <w:color w:val="auto"/>
                <w:sz w:val="24"/>
                <w:highlight w:val="none"/>
              </w:rPr>
            </w:pPr>
            <w:r>
              <w:rPr>
                <w:rFonts w:hint="eastAsia" w:ascii="宋体" w:hAnsi="宋体" w:cs="宋体"/>
                <w:b/>
                <w:color w:val="auto"/>
                <w:sz w:val="24"/>
                <w:highlight w:val="none"/>
              </w:rPr>
              <w:t>资信商务分</w:t>
            </w:r>
          </w:p>
        </w:tc>
        <w:tc>
          <w:tcPr>
            <w:tcW w:w="2998" w:type="dxa"/>
            <w:tcBorders>
              <w:top w:val="single" w:color="auto" w:sz="4" w:space="0"/>
              <w:left w:val="single" w:color="auto" w:sz="4" w:space="0"/>
              <w:bottom w:val="single" w:color="auto" w:sz="4" w:space="0"/>
              <w:right w:val="single" w:color="auto" w:sz="4" w:space="0"/>
            </w:tcBorders>
            <w:vAlign w:val="center"/>
          </w:tcPr>
          <w:p w14:paraId="274776C8">
            <w:pPr>
              <w:pStyle w:val="36"/>
              <w:ind w:firstLine="0" w:firstLineChars="0"/>
              <w:jc w:val="both"/>
              <w:rPr>
                <w:rFonts w:ascii="宋体" w:eastAsia="宋体" w:cs="宋体"/>
                <w:b/>
                <w:color w:val="auto"/>
                <w:highlight w:val="none"/>
              </w:rPr>
            </w:pPr>
          </w:p>
        </w:tc>
        <w:tc>
          <w:tcPr>
            <w:tcW w:w="1452" w:type="dxa"/>
            <w:tcBorders>
              <w:top w:val="single" w:color="auto" w:sz="4" w:space="0"/>
              <w:left w:val="single" w:color="auto" w:sz="4" w:space="0"/>
              <w:bottom w:val="single" w:color="auto" w:sz="4" w:space="0"/>
              <w:right w:val="single" w:color="auto" w:sz="4" w:space="0"/>
            </w:tcBorders>
            <w:vAlign w:val="center"/>
          </w:tcPr>
          <w:p w14:paraId="07185F13">
            <w:pPr>
              <w:pStyle w:val="36"/>
              <w:ind w:firstLine="0" w:firstLineChars="0"/>
              <w:jc w:val="center"/>
              <w:rPr>
                <w:rFonts w:ascii="宋体" w:eastAsia="宋体" w:cs="宋体"/>
                <w:b/>
                <w:color w:val="auto"/>
                <w:highlight w:val="none"/>
              </w:rPr>
            </w:pPr>
          </w:p>
        </w:tc>
        <w:tc>
          <w:tcPr>
            <w:tcW w:w="2404" w:type="dxa"/>
            <w:tcBorders>
              <w:top w:val="single" w:color="auto" w:sz="4" w:space="0"/>
              <w:left w:val="single" w:color="auto" w:sz="4" w:space="0"/>
              <w:bottom w:val="single" w:color="auto" w:sz="4" w:space="0"/>
              <w:right w:val="single" w:color="auto" w:sz="4" w:space="0"/>
            </w:tcBorders>
            <w:vAlign w:val="center"/>
          </w:tcPr>
          <w:p w14:paraId="71CF462D">
            <w:pPr>
              <w:pStyle w:val="36"/>
              <w:ind w:firstLine="0" w:firstLineChars="0"/>
              <w:jc w:val="center"/>
              <w:rPr>
                <w:rFonts w:ascii="宋体" w:eastAsia="宋体" w:cs="宋体"/>
                <w:b/>
                <w:color w:val="auto"/>
                <w:highlight w:val="none"/>
              </w:rPr>
            </w:pPr>
          </w:p>
        </w:tc>
      </w:tr>
      <w:tr w14:paraId="03C329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50"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14:paraId="28CC2809">
            <w:pPr>
              <w:widowControl/>
              <w:rPr>
                <w:rFonts w:ascii="宋体" w:hAnsi="宋体" w:cs="宋体"/>
                <w:color w:val="auto"/>
                <w:sz w:val="24"/>
                <w:highlight w:val="none"/>
              </w:rPr>
            </w:pPr>
            <w:r>
              <w:rPr>
                <w:rFonts w:hint="eastAsia" w:ascii="宋体" w:hAnsi="宋体" w:cs="宋体"/>
                <w:color w:val="auto"/>
                <w:sz w:val="24"/>
                <w:highlight w:val="none"/>
              </w:rPr>
              <w:t>1</w:t>
            </w:r>
          </w:p>
        </w:tc>
        <w:tc>
          <w:tcPr>
            <w:tcW w:w="1444" w:type="dxa"/>
            <w:tcBorders>
              <w:top w:val="single" w:color="auto" w:sz="4" w:space="0"/>
              <w:left w:val="single" w:color="auto" w:sz="4" w:space="0"/>
              <w:bottom w:val="single" w:color="auto" w:sz="4" w:space="0"/>
              <w:right w:val="single" w:color="auto" w:sz="4" w:space="0"/>
            </w:tcBorders>
            <w:vAlign w:val="center"/>
          </w:tcPr>
          <w:p w14:paraId="2BDA8610">
            <w:pPr>
              <w:spacing w:line="320" w:lineRule="exact"/>
              <w:rPr>
                <w:rFonts w:ascii="宋体" w:hAnsi="宋体" w:cs="宋体"/>
                <w:color w:val="auto"/>
                <w:kern w:val="0"/>
                <w:sz w:val="24"/>
                <w:highlight w:val="none"/>
              </w:rPr>
            </w:pPr>
          </w:p>
        </w:tc>
        <w:tc>
          <w:tcPr>
            <w:tcW w:w="2998" w:type="dxa"/>
            <w:tcBorders>
              <w:top w:val="single" w:color="auto" w:sz="4" w:space="0"/>
              <w:left w:val="single" w:color="auto" w:sz="4" w:space="0"/>
              <w:bottom w:val="single" w:color="auto" w:sz="4" w:space="0"/>
              <w:right w:val="single" w:color="auto" w:sz="4" w:space="0"/>
            </w:tcBorders>
            <w:vAlign w:val="center"/>
          </w:tcPr>
          <w:p w14:paraId="38807397">
            <w:pPr>
              <w:spacing w:line="320" w:lineRule="exact"/>
              <w:rPr>
                <w:rFonts w:ascii="宋体" w:hAnsi="宋体" w:cs="宋体"/>
                <w:color w:val="auto"/>
                <w:kern w:val="0"/>
                <w:sz w:val="24"/>
                <w:highlight w:val="none"/>
              </w:rPr>
            </w:pPr>
          </w:p>
        </w:tc>
        <w:tc>
          <w:tcPr>
            <w:tcW w:w="1452" w:type="dxa"/>
            <w:tcBorders>
              <w:top w:val="single" w:color="auto" w:sz="4" w:space="0"/>
              <w:left w:val="single" w:color="auto" w:sz="4" w:space="0"/>
              <w:bottom w:val="single" w:color="auto" w:sz="4" w:space="0"/>
              <w:right w:val="single" w:color="auto" w:sz="4" w:space="0"/>
            </w:tcBorders>
            <w:vAlign w:val="center"/>
          </w:tcPr>
          <w:p w14:paraId="0ED4663B">
            <w:pPr>
              <w:pStyle w:val="36"/>
              <w:ind w:firstLine="0" w:firstLineChars="0"/>
              <w:jc w:val="center"/>
              <w:rPr>
                <w:rFonts w:ascii="宋体" w:eastAsia="宋体" w:cs="宋体"/>
                <w:color w:val="auto"/>
                <w:highlight w:val="none"/>
              </w:rPr>
            </w:pPr>
          </w:p>
        </w:tc>
        <w:tc>
          <w:tcPr>
            <w:tcW w:w="2404" w:type="dxa"/>
            <w:tcBorders>
              <w:top w:val="single" w:color="auto" w:sz="4" w:space="0"/>
              <w:left w:val="single" w:color="auto" w:sz="4" w:space="0"/>
              <w:bottom w:val="single" w:color="auto" w:sz="4" w:space="0"/>
              <w:right w:val="single" w:color="auto" w:sz="4" w:space="0"/>
            </w:tcBorders>
            <w:vAlign w:val="center"/>
          </w:tcPr>
          <w:p w14:paraId="4FF086F6">
            <w:pPr>
              <w:jc w:val="center"/>
              <w:rPr>
                <w:rFonts w:ascii="宋体" w:hAnsi="宋体" w:cs="宋体"/>
                <w:bCs/>
                <w:color w:val="auto"/>
                <w:sz w:val="24"/>
                <w:highlight w:val="none"/>
              </w:rPr>
            </w:pPr>
            <w:r>
              <w:rPr>
                <w:rFonts w:hint="eastAsia" w:ascii="宋体" w:hAnsi="宋体" w:cs="宋体"/>
                <w:bCs/>
                <w:color w:val="auto"/>
                <w:sz w:val="24"/>
                <w:highlight w:val="none"/>
              </w:rPr>
              <w:t>详见第几页</w:t>
            </w:r>
          </w:p>
        </w:tc>
      </w:tr>
      <w:tr w14:paraId="21B785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5"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14:paraId="64086220">
            <w:pPr>
              <w:widowControl/>
              <w:rPr>
                <w:rFonts w:ascii="宋体" w:hAnsi="宋体" w:cs="宋体"/>
                <w:color w:val="auto"/>
                <w:sz w:val="24"/>
                <w:highlight w:val="none"/>
              </w:rPr>
            </w:pPr>
            <w:r>
              <w:rPr>
                <w:rFonts w:hint="eastAsia" w:ascii="宋体" w:hAnsi="宋体" w:cs="宋体"/>
                <w:color w:val="auto"/>
                <w:sz w:val="24"/>
                <w:highlight w:val="none"/>
              </w:rPr>
              <w:t>2</w:t>
            </w:r>
          </w:p>
        </w:tc>
        <w:tc>
          <w:tcPr>
            <w:tcW w:w="1444" w:type="dxa"/>
            <w:tcBorders>
              <w:top w:val="single" w:color="auto" w:sz="4" w:space="0"/>
              <w:left w:val="single" w:color="auto" w:sz="4" w:space="0"/>
              <w:bottom w:val="single" w:color="auto" w:sz="4" w:space="0"/>
              <w:right w:val="single" w:color="auto" w:sz="4" w:space="0"/>
            </w:tcBorders>
            <w:vAlign w:val="center"/>
          </w:tcPr>
          <w:p w14:paraId="4B052C43">
            <w:pPr>
              <w:rPr>
                <w:rFonts w:ascii="宋体" w:hAnsi="宋体" w:cs="宋体"/>
                <w:color w:val="auto"/>
                <w:sz w:val="24"/>
                <w:highlight w:val="none"/>
              </w:rPr>
            </w:pPr>
          </w:p>
        </w:tc>
        <w:tc>
          <w:tcPr>
            <w:tcW w:w="2998" w:type="dxa"/>
            <w:tcBorders>
              <w:top w:val="single" w:color="auto" w:sz="4" w:space="0"/>
              <w:left w:val="single" w:color="auto" w:sz="4" w:space="0"/>
              <w:bottom w:val="single" w:color="auto" w:sz="4" w:space="0"/>
              <w:right w:val="single" w:color="auto" w:sz="4" w:space="0"/>
            </w:tcBorders>
            <w:vAlign w:val="center"/>
          </w:tcPr>
          <w:p w14:paraId="303B9B94">
            <w:pPr>
              <w:rPr>
                <w:rFonts w:ascii="宋体" w:hAnsi="宋体" w:cs="宋体"/>
                <w:color w:val="auto"/>
                <w:sz w:val="24"/>
                <w:highlight w:val="none"/>
              </w:rPr>
            </w:pPr>
          </w:p>
        </w:tc>
        <w:tc>
          <w:tcPr>
            <w:tcW w:w="1452" w:type="dxa"/>
            <w:tcBorders>
              <w:top w:val="single" w:color="auto" w:sz="4" w:space="0"/>
              <w:left w:val="single" w:color="auto" w:sz="4" w:space="0"/>
              <w:bottom w:val="single" w:color="auto" w:sz="4" w:space="0"/>
              <w:right w:val="single" w:color="auto" w:sz="4" w:space="0"/>
            </w:tcBorders>
            <w:vAlign w:val="center"/>
          </w:tcPr>
          <w:p w14:paraId="2364FC18">
            <w:pPr>
              <w:pStyle w:val="36"/>
              <w:ind w:firstLine="0" w:firstLineChars="0"/>
              <w:jc w:val="center"/>
              <w:rPr>
                <w:rFonts w:ascii="宋体" w:eastAsia="宋体" w:cs="宋体"/>
                <w:color w:val="auto"/>
                <w:highlight w:val="none"/>
              </w:rPr>
            </w:pPr>
          </w:p>
        </w:tc>
        <w:tc>
          <w:tcPr>
            <w:tcW w:w="2404" w:type="dxa"/>
            <w:tcBorders>
              <w:top w:val="single" w:color="auto" w:sz="4" w:space="0"/>
              <w:left w:val="single" w:color="auto" w:sz="4" w:space="0"/>
              <w:bottom w:val="single" w:color="auto" w:sz="4" w:space="0"/>
              <w:right w:val="single" w:color="auto" w:sz="4" w:space="0"/>
            </w:tcBorders>
            <w:vAlign w:val="center"/>
          </w:tcPr>
          <w:p w14:paraId="6A4763BF">
            <w:pPr>
              <w:pStyle w:val="36"/>
              <w:ind w:firstLine="0" w:firstLineChars="0"/>
              <w:jc w:val="center"/>
              <w:rPr>
                <w:rFonts w:ascii="宋体" w:eastAsia="宋体" w:cs="宋体"/>
                <w:color w:val="auto"/>
                <w:highlight w:val="none"/>
              </w:rPr>
            </w:pPr>
            <w:r>
              <w:rPr>
                <w:rFonts w:hint="eastAsia" w:ascii="宋体" w:eastAsia="宋体" w:cs="宋体"/>
                <w:color w:val="auto"/>
                <w:highlight w:val="none"/>
              </w:rPr>
              <w:t>……</w:t>
            </w:r>
          </w:p>
        </w:tc>
      </w:tr>
      <w:tr w14:paraId="4549CA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5"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14:paraId="1D16B2E8">
            <w:pPr>
              <w:widowControl/>
              <w:rPr>
                <w:rFonts w:ascii="宋体" w:hAnsi="宋体" w:cs="宋体"/>
                <w:color w:val="auto"/>
                <w:sz w:val="24"/>
                <w:highlight w:val="none"/>
              </w:rPr>
            </w:pPr>
            <w:r>
              <w:rPr>
                <w:rFonts w:hint="eastAsia" w:ascii="宋体" w:hAnsi="宋体" w:cs="宋体"/>
                <w:color w:val="auto"/>
                <w:sz w:val="24"/>
                <w:highlight w:val="none"/>
              </w:rPr>
              <w:t>……</w:t>
            </w:r>
          </w:p>
        </w:tc>
        <w:tc>
          <w:tcPr>
            <w:tcW w:w="1444" w:type="dxa"/>
            <w:tcBorders>
              <w:top w:val="single" w:color="auto" w:sz="4" w:space="0"/>
              <w:left w:val="single" w:color="auto" w:sz="4" w:space="0"/>
              <w:bottom w:val="single" w:color="auto" w:sz="4" w:space="0"/>
              <w:right w:val="single" w:color="auto" w:sz="4" w:space="0"/>
            </w:tcBorders>
            <w:vAlign w:val="center"/>
          </w:tcPr>
          <w:p w14:paraId="6C998BE7">
            <w:pPr>
              <w:rPr>
                <w:rFonts w:ascii="宋体" w:hAnsi="宋体" w:cs="宋体"/>
                <w:color w:val="auto"/>
                <w:sz w:val="24"/>
                <w:highlight w:val="none"/>
              </w:rPr>
            </w:pPr>
          </w:p>
        </w:tc>
        <w:tc>
          <w:tcPr>
            <w:tcW w:w="2998" w:type="dxa"/>
            <w:tcBorders>
              <w:top w:val="single" w:color="auto" w:sz="4" w:space="0"/>
              <w:left w:val="single" w:color="auto" w:sz="4" w:space="0"/>
              <w:bottom w:val="single" w:color="auto" w:sz="4" w:space="0"/>
              <w:right w:val="single" w:color="auto" w:sz="4" w:space="0"/>
            </w:tcBorders>
            <w:vAlign w:val="center"/>
          </w:tcPr>
          <w:p w14:paraId="4DFD3168">
            <w:pPr>
              <w:rPr>
                <w:rFonts w:ascii="宋体" w:hAnsi="宋体" w:cs="宋体"/>
                <w:color w:val="auto"/>
                <w:sz w:val="24"/>
                <w:highlight w:val="none"/>
              </w:rPr>
            </w:pPr>
          </w:p>
        </w:tc>
        <w:tc>
          <w:tcPr>
            <w:tcW w:w="1452" w:type="dxa"/>
            <w:tcBorders>
              <w:top w:val="single" w:color="auto" w:sz="4" w:space="0"/>
              <w:left w:val="single" w:color="auto" w:sz="4" w:space="0"/>
              <w:bottom w:val="single" w:color="auto" w:sz="4" w:space="0"/>
              <w:right w:val="single" w:color="auto" w:sz="4" w:space="0"/>
            </w:tcBorders>
            <w:vAlign w:val="center"/>
          </w:tcPr>
          <w:p w14:paraId="2EE4B9A0">
            <w:pPr>
              <w:pStyle w:val="36"/>
              <w:ind w:firstLine="0" w:firstLineChars="0"/>
              <w:jc w:val="center"/>
              <w:rPr>
                <w:rFonts w:ascii="宋体" w:eastAsia="宋体" w:cs="宋体"/>
                <w:color w:val="auto"/>
                <w:highlight w:val="none"/>
              </w:rPr>
            </w:pPr>
          </w:p>
        </w:tc>
        <w:tc>
          <w:tcPr>
            <w:tcW w:w="2404" w:type="dxa"/>
            <w:tcBorders>
              <w:top w:val="single" w:color="auto" w:sz="4" w:space="0"/>
              <w:left w:val="single" w:color="auto" w:sz="4" w:space="0"/>
              <w:bottom w:val="single" w:color="auto" w:sz="4" w:space="0"/>
              <w:right w:val="single" w:color="auto" w:sz="4" w:space="0"/>
            </w:tcBorders>
            <w:vAlign w:val="center"/>
          </w:tcPr>
          <w:p w14:paraId="1AE2937D">
            <w:pPr>
              <w:pStyle w:val="36"/>
              <w:ind w:firstLine="0" w:firstLineChars="0"/>
              <w:jc w:val="center"/>
              <w:rPr>
                <w:rFonts w:ascii="宋体" w:eastAsia="宋体" w:cs="宋体"/>
                <w:color w:val="auto"/>
                <w:highlight w:val="none"/>
              </w:rPr>
            </w:pPr>
          </w:p>
        </w:tc>
      </w:tr>
      <w:tr w14:paraId="449DDA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2" w:hRule="atLeast"/>
          <w:jc w:val="center"/>
        </w:trPr>
        <w:tc>
          <w:tcPr>
            <w:tcW w:w="786" w:type="dxa"/>
            <w:tcBorders>
              <w:left w:val="single" w:color="auto" w:sz="4" w:space="0"/>
              <w:bottom w:val="single" w:color="auto" w:sz="4" w:space="0"/>
              <w:right w:val="single" w:color="auto" w:sz="4" w:space="0"/>
            </w:tcBorders>
            <w:vAlign w:val="center"/>
          </w:tcPr>
          <w:p w14:paraId="2BA6D4F9">
            <w:pPr>
              <w:widowControl/>
              <w:rPr>
                <w:rFonts w:ascii="宋体" w:hAnsi="宋体" w:cs="宋体"/>
                <w:color w:val="auto"/>
                <w:sz w:val="24"/>
                <w:highlight w:val="none"/>
              </w:rPr>
            </w:pPr>
          </w:p>
        </w:tc>
        <w:tc>
          <w:tcPr>
            <w:tcW w:w="1444" w:type="dxa"/>
            <w:tcBorders>
              <w:left w:val="single" w:color="auto" w:sz="4" w:space="0"/>
              <w:bottom w:val="single" w:color="auto" w:sz="4" w:space="0"/>
              <w:right w:val="single" w:color="auto" w:sz="4" w:space="0"/>
            </w:tcBorders>
            <w:vAlign w:val="center"/>
          </w:tcPr>
          <w:p w14:paraId="2F05D051">
            <w:pPr>
              <w:widowControl/>
              <w:rPr>
                <w:rFonts w:ascii="宋体" w:hAnsi="宋体" w:cs="宋体"/>
                <w:b/>
                <w:color w:val="auto"/>
                <w:sz w:val="24"/>
                <w:highlight w:val="none"/>
              </w:rPr>
            </w:pPr>
          </w:p>
        </w:tc>
        <w:tc>
          <w:tcPr>
            <w:tcW w:w="2998" w:type="dxa"/>
            <w:tcBorders>
              <w:top w:val="single" w:color="auto" w:sz="4" w:space="0"/>
              <w:left w:val="single" w:color="auto" w:sz="4" w:space="0"/>
              <w:bottom w:val="single" w:color="auto" w:sz="4" w:space="0"/>
              <w:right w:val="single" w:color="auto" w:sz="4" w:space="0"/>
            </w:tcBorders>
            <w:vAlign w:val="center"/>
          </w:tcPr>
          <w:p w14:paraId="60AD13FC">
            <w:pPr>
              <w:pStyle w:val="36"/>
              <w:ind w:firstLine="0" w:firstLineChars="0"/>
              <w:jc w:val="both"/>
              <w:rPr>
                <w:rFonts w:ascii="宋体" w:eastAsia="宋体" w:cs="宋体"/>
                <w:color w:val="auto"/>
                <w:highlight w:val="none"/>
              </w:rPr>
            </w:pPr>
          </w:p>
        </w:tc>
        <w:tc>
          <w:tcPr>
            <w:tcW w:w="1452" w:type="dxa"/>
            <w:tcBorders>
              <w:top w:val="single" w:color="auto" w:sz="4" w:space="0"/>
              <w:left w:val="single" w:color="auto" w:sz="4" w:space="0"/>
              <w:bottom w:val="single" w:color="auto" w:sz="4" w:space="0"/>
              <w:right w:val="single" w:color="auto" w:sz="4" w:space="0"/>
            </w:tcBorders>
            <w:vAlign w:val="center"/>
          </w:tcPr>
          <w:p w14:paraId="0C89BB5F">
            <w:pPr>
              <w:widowControl/>
              <w:jc w:val="center"/>
              <w:rPr>
                <w:rFonts w:ascii="宋体" w:hAnsi="宋体" w:cs="宋体"/>
                <w:b/>
                <w:color w:val="auto"/>
                <w:sz w:val="24"/>
                <w:highlight w:val="none"/>
              </w:rPr>
            </w:pPr>
          </w:p>
        </w:tc>
        <w:tc>
          <w:tcPr>
            <w:tcW w:w="2404" w:type="dxa"/>
            <w:tcBorders>
              <w:top w:val="single" w:color="auto" w:sz="4" w:space="0"/>
              <w:left w:val="single" w:color="auto" w:sz="4" w:space="0"/>
              <w:bottom w:val="single" w:color="auto" w:sz="4" w:space="0"/>
              <w:right w:val="single" w:color="auto" w:sz="4" w:space="0"/>
            </w:tcBorders>
            <w:vAlign w:val="center"/>
          </w:tcPr>
          <w:p w14:paraId="084B4D48">
            <w:pPr>
              <w:widowControl/>
              <w:jc w:val="center"/>
              <w:rPr>
                <w:rFonts w:ascii="宋体" w:hAnsi="宋体" w:cs="宋体"/>
                <w:b/>
                <w:color w:val="auto"/>
                <w:sz w:val="24"/>
                <w:highlight w:val="none"/>
              </w:rPr>
            </w:pPr>
          </w:p>
        </w:tc>
      </w:tr>
    </w:tbl>
    <w:p w14:paraId="2B244709">
      <w:pPr>
        <w:snapToGrid w:val="0"/>
        <w:spacing w:before="50" w:after="50"/>
        <w:rPr>
          <w:rFonts w:ascii="宋体" w:hAnsi="宋体" w:cs="宋体"/>
          <w:color w:val="auto"/>
          <w:sz w:val="24"/>
          <w:highlight w:val="none"/>
        </w:rPr>
      </w:pPr>
      <w:r>
        <w:rPr>
          <w:rFonts w:hint="eastAsia" w:ascii="宋体" w:hAnsi="宋体" w:cs="宋体"/>
          <w:color w:val="auto"/>
          <w:sz w:val="24"/>
          <w:highlight w:val="none"/>
        </w:rPr>
        <w:t>注：投标单位根据所投标项的评分表内容，按此格式提供评分响应表置于技术文件第1页。</w:t>
      </w:r>
    </w:p>
    <w:p w14:paraId="0D9DD2B8">
      <w:pPr>
        <w:snapToGrid w:val="0"/>
        <w:spacing w:line="360" w:lineRule="auto"/>
        <w:rPr>
          <w:rFonts w:hint="eastAsia" w:ascii="宋体" w:hAnsi="宋体"/>
          <w:b/>
          <w:color w:val="auto"/>
          <w:sz w:val="24"/>
          <w:highlight w:val="none"/>
        </w:rPr>
      </w:pPr>
    </w:p>
    <w:p w14:paraId="060E2500">
      <w:pPr>
        <w:snapToGrid w:val="0"/>
        <w:spacing w:line="360" w:lineRule="auto"/>
        <w:rPr>
          <w:rFonts w:hint="eastAsia" w:ascii="宋体" w:hAnsi="宋体"/>
          <w:b/>
          <w:color w:val="auto"/>
          <w:sz w:val="24"/>
          <w:highlight w:val="none"/>
        </w:rPr>
      </w:pPr>
    </w:p>
    <w:p w14:paraId="7503D574">
      <w:pPr>
        <w:snapToGrid w:val="0"/>
        <w:spacing w:line="360" w:lineRule="auto"/>
        <w:rPr>
          <w:rFonts w:hint="eastAsia" w:ascii="宋体" w:hAnsi="宋体"/>
          <w:b/>
          <w:color w:val="auto"/>
          <w:sz w:val="24"/>
          <w:highlight w:val="none"/>
        </w:rPr>
      </w:pPr>
    </w:p>
    <w:p w14:paraId="3AA1FC46">
      <w:pPr>
        <w:snapToGrid w:val="0"/>
        <w:spacing w:line="360" w:lineRule="auto"/>
        <w:rPr>
          <w:rFonts w:hint="eastAsia" w:ascii="宋体" w:hAnsi="宋体"/>
          <w:b/>
          <w:color w:val="auto"/>
          <w:sz w:val="24"/>
          <w:highlight w:val="none"/>
        </w:rPr>
      </w:pPr>
    </w:p>
    <w:p w14:paraId="3AB975BB">
      <w:pPr>
        <w:snapToGrid w:val="0"/>
        <w:spacing w:line="360" w:lineRule="auto"/>
        <w:rPr>
          <w:rFonts w:hint="eastAsia" w:ascii="宋体" w:hAnsi="宋体"/>
          <w:b/>
          <w:color w:val="auto"/>
          <w:sz w:val="24"/>
          <w:highlight w:val="none"/>
        </w:rPr>
      </w:pPr>
    </w:p>
    <w:p w14:paraId="0C8AA7EA">
      <w:pPr>
        <w:snapToGrid w:val="0"/>
        <w:spacing w:line="360" w:lineRule="auto"/>
        <w:rPr>
          <w:rFonts w:hint="eastAsia" w:ascii="宋体" w:hAnsi="宋体"/>
          <w:b/>
          <w:color w:val="auto"/>
          <w:sz w:val="24"/>
          <w:highlight w:val="none"/>
        </w:rPr>
      </w:pPr>
    </w:p>
    <w:p w14:paraId="62388E0C">
      <w:pPr>
        <w:snapToGrid w:val="0"/>
        <w:spacing w:line="360" w:lineRule="auto"/>
        <w:rPr>
          <w:rFonts w:hint="eastAsia" w:ascii="宋体" w:hAnsi="宋体"/>
          <w:b/>
          <w:color w:val="auto"/>
          <w:sz w:val="24"/>
          <w:highlight w:val="none"/>
        </w:rPr>
      </w:pPr>
    </w:p>
    <w:p w14:paraId="65973779">
      <w:pPr>
        <w:snapToGrid w:val="0"/>
        <w:spacing w:line="360" w:lineRule="auto"/>
        <w:rPr>
          <w:rFonts w:hint="eastAsia" w:ascii="宋体" w:hAnsi="宋体"/>
          <w:b/>
          <w:color w:val="auto"/>
          <w:sz w:val="24"/>
          <w:highlight w:val="none"/>
        </w:rPr>
      </w:pPr>
    </w:p>
    <w:p w14:paraId="0231764D">
      <w:pPr>
        <w:snapToGrid w:val="0"/>
        <w:spacing w:line="360" w:lineRule="auto"/>
        <w:rPr>
          <w:rFonts w:hint="eastAsia" w:ascii="宋体" w:hAnsi="宋体"/>
          <w:b/>
          <w:color w:val="auto"/>
          <w:sz w:val="24"/>
          <w:highlight w:val="none"/>
        </w:rPr>
      </w:pPr>
    </w:p>
    <w:p w14:paraId="4670F951">
      <w:pPr>
        <w:snapToGrid w:val="0"/>
        <w:spacing w:line="360" w:lineRule="auto"/>
        <w:rPr>
          <w:rFonts w:hint="eastAsia" w:ascii="宋体" w:hAnsi="宋体"/>
          <w:b/>
          <w:color w:val="auto"/>
          <w:sz w:val="24"/>
          <w:highlight w:val="none"/>
        </w:rPr>
      </w:pPr>
    </w:p>
    <w:p w14:paraId="173EEB24">
      <w:pPr>
        <w:snapToGrid w:val="0"/>
        <w:spacing w:line="360" w:lineRule="auto"/>
        <w:rPr>
          <w:rFonts w:hint="eastAsia" w:ascii="宋体" w:hAnsi="宋体"/>
          <w:b/>
          <w:color w:val="auto"/>
          <w:sz w:val="24"/>
          <w:highlight w:val="none"/>
        </w:rPr>
      </w:pPr>
    </w:p>
    <w:p w14:paraId="70A122A9">
      <w:pPr>
        <w:snapToGrid w:val="0"/>
        <w:spacing w:line="360" w:lineRule="auto"/>
        <w:rPr>
          <w:rFonts w:hint="eastAsia" w:ascii="宋体" w:hAnsi="宋体"/>
          <w:b/>
          <w:color w:val="auto"/>
          <w:sz w:val="24"/>
          <w:highlight w:val="none"/>
        </w:rPr>
      </w:pPr>
    </w:p>
    <w:p w14:paraId="3FDE9A4E">
      <w:pPr>
        <w:snapToGrid w:val="0"/>
        <w:spacing w:line="360" w:lineRule="auto"/>
        <w:rPr>
          <w:rFonts w:hint="eastAsia" w:ascii="宋体" w:hAnsi="宋体"/>
          <w:color w:val="auto"/>
          <w:sz w:val="24"/>
          <w:highlight w:val="none"/>
        </w:rPr>
      </w:pPr>
    </w:p>
    <w:p w14:paraId="0FC4E607">
      <w:pPr>
        <w:snapToGrid w:val="0"/>
        <w:spacing w:line="360" w:lineRule="auto"/>
        <w:ind w:firstLine="5520" w:firstLineChars="2300"/>
        <w:rPr>
          <w:rFonts w:hint="eastAsia" w:ascii="宋体" w:hAnsi="宋体"/>
          <w:color w:val="auto"/>
          <w:sz w:val="24"/>
          <w:highlight w:val="none"/>
        </w:rPr>
      </w:pPr>
    </w:p>
    <w:p w14:paraId="1DF2C5EF">
      <w:pPr>
        <w:snapToGrid w:val="0"/>
        <w:spacing w:line="360" w:lineRule="auto"/>
        <w:jc w:val="left"/>
        <w:rPr>
          <w:rFonts w:ascii="宋体"/>
          <w:bCs w:val="0"/>
          <w:color w:val="auto"/>
          <w:sz w:val="24"/>
          <w:szCs w:val="24"/>
          <w:highlight w:val="none"/>
        </w:rPr>
      </w:pPr>
      <w:r>
        <w:rPr>
          <w:rFonts w:hint="eastAsia" w:ascii="宋体" w:hAnsi="宋体"/>
          <w:b/>
          <w:bCs/>
          <w:color w:val="auto"/>
          <w:sz w:val="24"/>
          <w:szCs w:val="24"/>
          <w:highlight w:val="none"/>
        </w:rPr>
        <w:t>附件：投标声明书格式</w:t>
      </w:r>
      <w:r>
        <w:rPr>
          <w:rFonts w:hint="eastAsia" w:ascii="宋体" w:hAnsi="宋体"/>
          <w:bCs w:val="0"/>
          <w:color w:val="auto"/>
          <w:sz w:val="24"/>
          <w:szCs w:val="24"/>
          <w:highlight w:val="none"/>
        </w:rPr>
        <w:t>：</w:t>
      </w:r>
    </w:p>
    <w:p w14:paraId="76BF0CBE">
      <w:pPr>
        <w:snapToGrid w:val="0"/>
        <w:spacing w:beforeLines="50" w:after="50" w:line="360" w:lineRule="auto"/>
        <w:jc w:val="center"/>
        <w:rPr>
          <w:rFonts w:ascii="宋体"/>
          <w:color w:val="auto"/>
          <w:sz w:val="24"/>
          <w:szCs w:val="20"/>
          <w:highlight w:val="none"/>
        </w:rPr>
      </w:pPr>
      <w:r>
        <w:rPr>
          <w:rFonts w:hint="eastAsia" w:ascii="宋体" w:hAnsi="宋体"/>
          <w:color w:val="auto"/>
          <w:sz w:val="30"/>
          <w:highlight w:val="none"/>
        </w:rPr>
        <w:t>投标声明书</w:t>
      </w:r>
    </w:p>
    <w:p w14:paraId="21927D8B">
      <w:pPr>
        <w:snapToGrid w:val="0"/>
        <w:spacing w:beforeLines="50" w:after="50" w:line="360" w:lineRule="auto"/>
        <w:rPr>
          <w:rFonts w:ascii="宋体"/>
          <w:color w:val="auto"/>
          <w:sz w:val="24"/>
          <w:szCs w:val="20"/>
          <w:highlight w:val="none"/>
        </w:rPr>
      </w:pPr>
      <w:r>
        <w:rPr>
          <w:rFonts w:hint="eastAsia" w:ascii="宋体" w:hAnsi="宋体"/>
          <w:color w:val="auto"/>
          <w:sz w:val="24"/>
          <w:highlight w:val="none"/>
        </w:rPr>
        <w:t>致：</w:t>
      </w:r>
      <w:r>
        <w:rPr>
          <w:rFonts w:hint="eastAsia" w:ascii="宋体" w:hAnsi="宋体"/>
          <w:color w:val="auto"/>
          <w:sz w:val="24"/>
          <w:highlight w:val="none"/>
          <w:u w:val="single"/>
          <w:lang w:eastAsia="zh-CN"/>
        </w:rPr>
        <w:t>泰宇建筑工程技术咨询有限公司</w:t>
      </w:r>
      <w:r>
        <w:rPr>
          <w:rFonts w:hint="eastAsia" w:ascii="宋体" w:hAnsi="宋体"/>
          <w:color w:val="auto"/>
          <w:sz w:val="24"/>
          <w:highlight w:val="none"/>
        </w:rPr>
        <w:t>：</w:t>
      </w:r>
    </w:p>
    <w:p w14:paraId="7F76F4ED">
      <w:pPr>
        <w:snapToGrid w:val="0"/>
        <w:spacing w:beforeLines="50" w:after="50" w:line="360" w:lineRule="auto"/>
        <w:ind w:firstLine="480" w:firstLineChars="200"/>
        <w:rPr>
          <w:rFonts w:ascii="宋体"/>
          <w:color w:val="auto"/>
          <w:sz w:val="24"/>
          <w:szCs w:val="20"/>
          <w:highlight w:val="none"/>
        </w:rPr>
      </w:pPr>
      <w:r>
        <w:rPr>
          <w:rFonts w:ascii="宋体" w:hAnsi="宋体"/>
          <w:color w:val="auto"/>
          <w:sz w:val="24"/>
          <w:highlight w:val="none"/>
        </w:rPr>
        <w:t>_______</w:t>
      </w:r>
      <w:r>
        <w:rPr>
          <w:rFonts w:hint="eastAsia" w:ascii="宋体" w:hAnsi="宋体"/>
          <w:color w:val="auto"/>
          <w:sz w:val="24"/>
          <w:highlight w:val="none"/>
        </w:rPr>
        <w:t>（投标人名称）系中华人民共和国合法企业，经营地址。</w:t>
      </w:r>
    </w:p>
    <w:p w14:paraId="244109A0">
      <w:pPr>
        <w:snapToGrid w:val="0"/>
        <w:spacing w:beforeLines="50" w:after="50" w:line="360" w:lineRule="auto"/>
        <w:ind w:firstLine="480" w:firstLineChars="200"/>
        <w:rPr>
          <w:rFonts w:ascii="宋体"/>
          <w:color w:val="auto"/>
          <w:sz w:val="24"/>
          <w:szCs w:val="20"/>
          <w:highlight w:val="none"/>
        </w:rPr>
      </w:pPr>
      <w:r>
        <w:rPr>
          <w:rFonts w:hint="eastAsia" w:ascii="宋体" w:hAnsi="宋体"/>
          <w:color w:val="auto"/>
          <w:sz w:val="24"/>
          <w:highlight w:val="none"/>
        </w:rPr>
        <w:t>我</w:t>
      </w:r>
      <w:r>
        <w:rPr>
          <w:rFonts w:ascii="宋体" w:hAnsi="宋体"/>
          <w:color w:val="auto"/>
          <w:sz w:val="24"/>
          <w:highlight w:val="none"/>
        </w:rPr>
        <w:t>____</w:t>
      </w:r>
      <w:r>
        <w:rPr>
          <w:rFonts w:hint="eastAsia" w:ascii="宋体" w:hAnsi="宋体"/>
          <w:color w:val="auto"/>
          <w:sz w:val="24"/>
          <w:highlight w:val="none"/>
        </w:rPr>
        <w:t>（姓名）系</w:t>
      </w:r>
      <w:r>
        <w:rPr>
          <w:rFonts w:ascii="宋体" w:hAnsi="宋体"/>
          <w:color w:val="auto"/>
          <w:sz w:val="24"/>
          <w:highlight w:val="none"/>
        </w:rPr>
        <w:t>_______</w:t>
      </w:r>
      <w:r>
        <w:rPr>
          <w:rFonts w:hint="eastAsia" w:ascii="宋体" w:hAnsi="宋体"/>
          <w:color w:val="auto"/>
          <w:sz w:val="24"/>
          <w:highlight w:val="none"/>
        </w:rPr>
        <w:t>（投标人名称）的法定代表人，我方愿意参加贵方组织的</w:t>
      </w:r>
      <w:r>
        <w:rPr>
          <w:rFonts w:ascii="宋体" w:hAnsi="宋体"/>
          <w:color w:val="auto"/>
          <w:sz w:val="24"/>
          <w:highlight w:val="none"/>
        </w:rPr>
        <w:t>______</w:t>
      </w:r>
      <w:r>
        <w:rPr>
          <w:rFonts w:hint="eastAsia" w:ascii="宋体" w:hAnsi="宋体"/>
          <w:color w:val="auto"/>
          <w:sz w:val="24"/>
          <w:highlight w:val="none"/>
        </w:rPr>
        <w:t>项目的投标，为便于贵方公正、择优地确定中标人及其投标产品和服务，我方就本次投标有关事项郑重声明如下：</w:t>
      </w:r>
    </w:p>
    <w:p w14:paraId="63E92D09">
      <w:pPr>
        <w:snapToGrid w:val="0"/>
        <w:spacing w:line="360" w:lineRule="auto"/>
        <w:ind w:firstLine="480" w:firstLineChars="200"/>
        <w:rPr>
          <w:rFonts w:ascii="宋体"/>
          <w:color w:val="auto"/>
          <w:sz w:val="24"/>
          <w:szCs w:val="20"/>
          <w:highlight w:val="none"/>
        </w:rPr>
      </w:pPr>
      <w:r>
        <w:rPr>
          <w:rFonts w:ascii="宋体" w:hAnsi="宋体"/>
          <w:color w:val="auto"/>
          <w:sz w:val="24"/>
          <w:highlight w:val="none"/>
        </w:rPr>
        <w:t>1</w:t>
      </w:r>
      <w:r>
        <w:rPr>
          <w:rFonts w:ascii="宋体"/>
          <w:color w:val="auto"/>
          <w:sz w:val="24"/>
          <w:highlight w:val="none"/>
        </w:rPr>
        <w:t>.</w:t>
      </w:r>
      <w:r>
        <w:rPr>
          <w:rFonts w:hint="eastAsia" w:ascii="宋体" w:hAnsi="宋体"/>
          <w:color w:val="auto"/>
          <w:sz w:val="24"/>
          <w:highlight w:val="none"/>
        </w:rPr>
        <w:t>我方向贵方提交的所有投标文件、资料都是准确的和真实的。</w:t>
      </w:r>
    </w:p>
    <w:p w14:paraId="591B1DD4">
      <w:pPr>
        <w:snapToGrid w:val="0"/>
        <w:spacing w:beforeLines="50" w:line="360" w:lineRule="auto"/>
        <w:ind w:firstLine="480" w:firstLineChars="200"/>
        <w:rPr>
          <w:rFonts w:ascii="宋体"/>
          <w:color w:val="auto"/>
          <w:sz w:val="24"/>
          <w:highlight w:val="none"/>
        </w:rPr>
      </w:pPr>
      <w:r>
        <w:rPr>
          <w:rFonts w:ascii="宋体" w:hAnsi="宋体"/>
          <w:color w:val="auto"/>
          <w:sz w:val="24"/>
          <w:highlight w:val="none"/>
        </w:rPr>
        <w:t>2</w:t>
      </w:r>
      <w:r>
        <w:rPr>
          <w:rFonts w:ascii="宋体"/>
          <w:color w:val="auto"/>
          <w:sz w:val="24"/>
          <w:highlight w:val="none"/>
        </w:rPr>
        <w:t>.</w:t>
      </w:r>
      <w:r>
        <w:rPr>
          <w:rFonts w:hint="eastAsia" w:ascii="宋体" w:hAnsi="宋体"/>
          <w:color w:val="auto"/>
          <w:sz w:val="24"/>
          <w:highlight w:val="none"/>
        </w:rPr>
        <w:t>我方不是采购人的附属机构</w:t>
      </w:r>
    </w:p>
    <w:p w14:paraId="4A5D9E96">
      <w:pPr>
        <w:snapToGrid w:val="0"/>
        <w:spacing w:beforeLines="50" w:line="360" w:lineRule="auto"/>
        <w:ind w:firstLine="480" w:firstLineChars="200"/>
        <w:rPr>
          <w:rFonts w:ascii="宋体"/>
          <w:color w:val="auto"/>
          <w:sz w:val="24"/>
          <w:szCs w:val="20"/>
          <w:highlight w:val="none"/>
        </w:rPr>
      </w:pPr>
      <w:r>
        <w:rPr>
          <w:rFonts w:hint="eastAsia" w:ascii="宋体" w:hAnsi="宋体"/>
          <w:color w:val="auto"/>
          <w:sz w:val="24"/>
          <w:highlight w:val="none"/>
        </w:rPr>
        <w:t>在获知本项目采购信息后，与采购人聘请的为此项目提供咨询服务的公司及其附属机构没有任何联系。</w:t>
      </w:r>
    </w:p>
    <w:p w14:paraId="141B1F8D">
      <w:pPr>
        <w:pStyle w:val="16"/>
        <w:snapToGrid w:val="0"/>
        <w:spacing w:line="360" w:lineRule="auto"/>
        <w:ind w:firstLine="464" w:firstLineChars="200"/>
        <w:rPr>
          <w:rFonts w:hAnsi="宋体"/>
          <w:color w:val="auto"/>
          <w:sz w:val="24"/>
          <w:highlight w:val="none"/>
        </w:rPr>
      </w:pPr>
      <w:r>
        <w:rPr>
          <w:rFonts w:hint="eastAsia" w:hAnsi="宋体"/>
          <w:color w:val="auto"/>
          <w:sz w:val="24"/>
          <w:highlight w:val="none"/>
          <w:lang w:val="en-US" w:eastAsia="zh-CN"/>
        </w:rPr>
        <w:t>3</w:t>
      </w:r>
      <w:r>
        <w:rPr>
          <w:rFonts w:hAnsi="宋体"/>
          <w:color w:val="auto"/>
          <w:sz w:val="24"/>
          <w:highlight w:val="none"/>
        </w:rPr>
        <w:t>.</w:t>
      </w:r>
      <w:r>
        <w:rPr>
          <w:rFonts w:hint="eastAsia" w:hAnsi="宋体"/>
          <w:color w:val="auto"/>
          <w:sz w:val="24"/>
          <w:highlight w:val="none"/>
        </w:rPr>
        <w:t>我方及由本人担任法定代表人的其他机构最近三年内被通报、被处罚的违法行为或者可认定为不良行为的有：</w:t>
      </w:r>
    </w:p>
    <w:p w14:paraId="2E69F894">
      <w:pPr>
        <w:snapToGrid w:val="0"/>
        <w:spacing w:beforeLines="50" w:line="360" w:lineRule="auto"/>
        <w:ind w:firstLine="480" w:firstLineChars="200"/>
        <w:rPr>
          <w:rFonts w:ascii="宋体"/>
          <w:color w:val="auto"/>
          <w:sz w:val="24"/>
          <w:szCs w:val="20"/>
          <w:highlight w:val="none"/>
          <w:u w:val="single"/>
        </w:rPr>
      </w:pPr>
      <w:r>
        <w:rPr>
          <w:rFonts w:hint="eastAsia" w:ascii="宋体" w:hAnsi="宋体"/>
          <w:color w:val="auto"/>
          <w:sz w:val="24"/>
          <w:highlight w:val="none"/>
          <w:u w:val="single"/>
        </w:rPr>
        <w:t>　　　　　　　　　　　　　　　　　　　　　　　　　　　</w:t>
      </w:r>
    </w:p>
    <w:p w14:paraId="43FDA31C">
      <w:pPr>
        <w:snapToGrid w:val="0"/>
        <w:spacing w:line="360" w:lineRule="auto"/>
        <w:ind w:firstLine="464" w:firstLineChars="200"/>
        <w:rPr>
          <w:rFonts w:ascii="宋体"/>
          <w:color w:val="auto"/>
          <w:spacing w:val="-4"/>
          <w:sz w:val="24"/>
          <w:szCs w:val="20"/>
          <w:highlight w:val="none"/>
        </w:rPr>
      </w:pPr>
      <w:r>
        <w:rPr>
          <w:rFonts w:hint="eastAsia" w:ascii="宋体" w:hAnsi="宋体"/>
          <w:color w:val="auto"/>
          <w:spacing w:val="-4"/>
          <w:sz w:val="24"/>
          <w:szCs w:val="20"/>
          <w:highlight w:val="none"/>
          <w:lang w:val="en-US" w:eastAsia="zh-CN"/>
        </w:rPr>
        <w:t>4</w:t>
      </w:r>
      <w:r>
        <w:rPr>
          <w:rFonts w:ascii="宋体" w:hAnsi="宋体"/>
          <w:color w:val="auto"/>
          <w:spacing w:val="-4"/>
          <w:sz w:val="24"/>
          <w:szCs w:val="20"/>
          <w:highlight w:val="none"/>
        </w:rPr>
        <w:t>.</w:t>
      </w:r>
      <w:r>
        <w:rPr>
          <w:rFonts w:hint="eastAsia" w:ascii="宋体" w:hAnsi="宋体"/>
          <w:color w:val="auto"/>
          <w:spacing w:val="-4"/>
          <w:sz w:val="24"/>
          <w:szCs w:val="20"/>
          <w:highlight w:val="none"/>
        </w:rPr>
        <w:t>以上事项如有虚假或隐瞒，我方愿意承担一切后果，并不再寻求任何旨在减轻或免除法律责任的辩解。</w:t>
      </w:r>
    </w:p>
    <w:p w14:paraId="79003512">
      <w:pPr>
        <w:snapToGrid w:val="0"/>
        <w:spacing w:beforeLines="50" w:after="50" w:line="360" w:lineRule="auto"/>
        <w:ind w:firstLine="360" w:firstLineChars="150"/>
        <w:rPr>
          <w:rFonts w:hint="eastAsia" w:ascii="宋体" w:hAnsi="宋体"/>
          <w:color w:val="auto"/>
          <w:sz w:val="24"/>
          <w:highlight w:val="none"/>
        </w:rPr>
      </w:pPr>
    </w:p>
    <w:p w14:paraId="5375256A">
      <w:pPr>
        <w:snapToGrid w:val="0"/>
        <w:spacing w:beforeLines="50" w:after="50" w:line="360" w:lineRule="auto"/>
        <w:ind w:firstLine="360" w:firstLineChars="150"/>
        <w:rPr>
          <w:rFonts w:hint="eastAsia" w:ascii="宋体" w:hAnsi="宋体"/>
          <w:color w:val="auto"/>
          <w:sz w:val="24"/>
          <w:highlight w:val="none"/>
        </w:rPr>
      </w:pPr>
    </w:p>
    <w:p w14:paraId="360825B6">
      <w:pPr>
        <w:snapToGrid w:val="0"/>
        <w:spacing w:beforeLines="50" w:after="50" w:line="360" w:lineRule="auto"/>
        <w:ind w:firstLine="360" w:firstLineChars="150"/>
        <w:rPr>
          <w:rFonts w:ascii="宋体"/>
          <w:color w:val="auto"/>
          <w:sz w:val="24"/>
          <w:highlight w:val="none"/>
        </w:rPr>
      </w:pPr>
      <w:r>
        <w:rPr>
          <w:rFonts w:hint="eastAsia" w:ascii="宋体" w:hAnsi="宋体"/>
          <w:color w:val="auto"/>
          <w:sz w:val="24"/>
          <w:highlight w:val="none"/>
        </w:rPr>
        <w:t>投标人</w:t>
      </w:r>
      <w:r>
        <w:rPr>
          <w:rFonts w:hint="eastAsia" w:ascii="宋体" w:hAnsi="宋体"/>
          <w:color w:val="auto"/>
          <w:sz w:val="24"/>
          <w:highlight w:val="none"/>
          <w:lang w:eastAsia="zh-CN"/>
        </w:rPr>
        <w:t>全称</w:t>
      </w:r>
      <w:r>
        <w:rPr>
          <w:rFonts w:hint="eastAsia" w:ascii="宋体" w:hAnsi="宋体"/>
          <w:color w:val="auto"/>
          <w:sz w:val="24"/>
          <w:highlight w:val="none"/>
        </w:rPr>
        <w:t>（盖公章或电子签章）：</w:t>
      </w:r>
    </w:p>
    <w:p w14:paraId="43B93C0F">
      <w:pPr>
        <w:snapToGrid w:val="0"/>
        <w:spacing w:beforeLines="50" w:after="50" w:line="360" w:lineRule="auto"/>
        <w:ind w:firstLine="480" w:firstLineChars="200"/>
        <w:rPr>
          <w:rFonts w:ascii="宋体"/>
          <w:color w:val="auto"/>
          <w:sz w:val="24"/>
          <w:szCs w:val="20"/>
          <w:highlight w:val="none"/>
        </w:rPr>
      </w:pPr>
      <w:r>
        <w:rPr>
          <w:rFonts w:hint="eastAsia" w:ascii="宋体" w:hAnsi="宋体" w:eastAsia="宋体" w:cs="Times New Roman"/>
          <w:color w:val="auto"/>
          <w:sz w:val="24"/>
          <w:highlight w:val="none"/>
        </w:rPr>
        <w:t>年   月   日</w:t>
      </w:r>
      <w:r>
        <w:rPr>
          <w:rFonts w:ascii="宋体"/>
          <w:color w:val="auto"/>
          <w:highlight w:val="none"/>
        </w:rPr>
        <w:br w:type="page"/>
      </w:r>
      <w:r>
        <w:rPr>
          <w:rFonts w:hint="eastAsia" w:ascii="宋体" w:hAnsi="宋体"/>
          <w:b/>
          <w:color w:val="auto"/>
          <w:sz w:val="24"/>
          <w:highlight w:val="none"/>
        </w:rPr>
        <w:t>附件：法定代表人授权委托书格式：</w:t>
      </w:r>
    </w:p>
    <w:p w14:paraId="163AF3E8">
      <w:pPr>
        <w:snapToGrid w:val="0"/>
        <w:spacing w:beforeLines="50" w:after="50" w:line="360" w:lineRule="auto"/>
        <w:jc w:val="center"/>
        <w:rPr>
          <w:rFonts w:ascii="宋体"/>
          <w:color w:val="auto"/>
          <w:sz w:val="30"/>
          <w:szCs w:val="20"/>
          <w:highlight w:val="none"/>
        </w:rPr>
      </w:pPr>
    </w:p>
    <w:p w14:paraId="2C59BD6D">
      <w:pPr>
        <w:snapToGrid w:val="0"/>
        <w:spacing w:beforeLines="50" w:after="50" w:line="360" w:lineRule="auto"/>
        <w:jc w:val="center"/>
        <w:rPr>
          <w:rFonts w:ascii="宋体"/>
          <w:b/>
          <w:color w:val="auto"/>
          <w:sz w:val="24"/>
          <w:szCs w:val="20"/>
          <w:highlight w:val="none"/>
        </w:rPr>
      </w:pPr>
      <w:r>
        <w:rPr>
          <w:rFonts w:hint="eastAsia" w:ascii="宋体" w:hAnsi="宋体"/>
          <w:b/>
          <w:color w:val="auto"/>
          <w:sz w:val="24"/>
          <w:highlight w:val="none"/>
        </w:rPr>
        <w:t>法定代表人授权委托书</w:t>
      </w:r>
    </w:p>
    <w:p w14:paraId="491AFCC9">
      <w:pPr>
        <w:snapToGrid w:val="0"/>
        <w:spacing w:beforeLines="50" w:after="50" w:line="360" w:lineRule="auto"/>
        <w:rPr>
          <w:rFonts w:ascii="宋体"/>
          <w:bCs/>
          <w:color w:val="auto"/>
          <w:sz w:val="24"/>
          <w:highlight w:val="none"/>
        </w:rPr>
      </w:pPr>
    </w:p>
    <w:p w14:paraId="0345222F">
      <w:pPr>
        <w:snapToGrid w:val="0"/>
        <w:spacing w:beforeLines="50" w:after="50" w:line="360" w:lineRule="auto"/>
        <w:rPr>
          <w:rFonts w:ascii="宋体"/>
          <w:b/>
          <w:bCs/>
          <w:color w:val="auto"/>
          <w:sz w:val="24"/>
          <w:szCs w:val="20"/>
          <w:highlight w:val="none"/>
        </w:rPr>
      </w:pPr>
      <w:r>
        <w:rPr>
          <w:rFonts w:hint="eastAsia" w:ascii="宋体" w:hAnsi="宋体"/>
          <w:bCs/>
          <w:color w:val="auto"/>
          <w:sz w:val="24"/>
          <w:highlight w:val="none"/>
        </w:rPr>
        <w:t>致：</w:t>
      </w:r>
      <w:r>
        <w:rPr>
          <w:rFonts w:hint="eastAsia" w:ascii="宋体" w:hAnsi="宋体"/>
          <w:color w:val="auto"/>
          <w:sz w:val="24"/>
          <w:highlight w:val="none"/>
          <w:u w:val="single"/>
          <w:lang w:eastAsia="zh-CN"/>
        </w:rPr>
        <w:t>泰宇建筑工程技术咨询有限公司</w:t>
      </w:r>
      <w:r>
        <w:rPr>
          <w:rFonts w:hint="eastAsia" w:ascii="宋体" w:hAnsi="宋体"/>
          <w:color w:val="auto"/>
          <w:sz w:val="24"/>
          <w:highlight w:val="none"/>
        </w:rPr>
        <w:t>：</w:t>
      </w:r>
    </w:p>
    <w:p w14:paraId="04B0C612">
      <w:pPr>
        <w:snapToGrid w:val="0"/>
        <w:spacing w:beforeLines="50" w:after="50" w:line="360" w:lineRule="auto"/>
        <w:ind w:firstLine="720" w:firstLineChars="300"/>
        <w:rPr>
          <w:rFonts w:ascii="宋体"/>
          <w:color w:val="auto"/>
          <w:sz w:val="24"/>
          <w:highlight w:val="none"/>
        </w:rPr>
      </w:pPr>
      <w:r>
        <w:rPr>
          <w:rFonts w:hint="eastAsia" w:ascii="宋体" w:hAnsi="宋体"/>
          <w:color w:val="auto"/>
          <w:sz w:val="24"/>
          <w:highlight w:val="none"/>
        </w:rPr>
        <w:t>我</w:t>
      </w:r>
      <w:r>
        <w:rPr>
          <w:rFonts w:ascii="宋体" w:hAnsi="宋体"/>
          <w:color w:val="auto"/>
          <w:sz w:val="24"/>
          <w:highlight w:val="none"/>
        </w:rPr>
        <w:t>______</w:t>
      </w:r>
      <w:r>
        <w:rPr>
          <w:rFonts w:hint="eastAsia" w:ascii="宋体" w:hAnsi="宋体"/>
          <w:color w:val="auto"/>
          <w:sz w:val="24"/>
          <w:highlight w:val="none"/>
        </w:rPr>
        <w:t>（姓名）系</w:t>
      </w:r>
      <w:r>
        <w:rPr>
          <w:rFonts w:ascii="宋体" w:hAnsi="宋体"/>
          <w:color w:val="auto"/>
          <w:sz w:val="24"/>
          <w:highlight w:val="none"/>
        </w:rPr>
        <w:t>______</w:t>
      </w:r>
      <w:r>
        <w:rPr>
          <w:rFonts w:hint="eastAsia" w:ascii="宋体" w:hAnsi="宋体"/>
          <w:color w:val="auto"/>
          <w:sz w:val="24"/>
          <w:highlight w:val="none"/>
        </w:rPr>
        <w:t>（投标人名称）的法定代表人，现授权委托本单位在职职工（姓名）以我方的名义参加</w:t>
      </w:r>
      <w:r>
        <w:rPr>
          <w:rFonts w:hint="eastAsia"/>
          <w:b/>
          <w:color w:val="auto"/>
          <w:sz w:val="24"/>
          <w:highlight w:val="none"/>
          <w:u w:val="single"/>
          <w:lang w:eastAsia="zh-CN"/>
        </w:rPr>
        <w:t>东阳市公共视频监控项目监理服务</w:t>
      </w:r>
      <w:r>
        <w:rPr>
          <w:rFonts w:hint="eastAsia" w:ascii="宋体" w:hAnsi="宋体"/>
          <w:color w:val="auto"/>
          <w:sz w:val="24"/>
          <w:highlight w:val="none"/>
        </w:rPr>
        <w:t>的投标活动，并代表我方全权办理针对上述项目的投标、开标、评标、签约等具体事务和签署相关文件。</w:t>
      </w:r>
    </w:p>
    <w:p w14:paraId="2503B6EC">
      <w:pPr>
        <w:snapToGrid w:val="0"/>
        <w:spacing w:beforeLines="50" w:after="50" w:line="360" w:lineRule="auto"/>
        <w:ind w:firstLine="480" w:firstLineChars="200"/>
        <w:rPr>
          <w:rFonts w:ascii="宋体"/>
          <w:color w:val="auto"/>
          <w:sz w:val="24"/>
          <w:highlight w:val="none"/>
        </w:rPr>
      </w:pPr>
      <w:r>
        <w:rPr>
          <w:rFonts w:hint="eastAsia" w:ascii="宋体" w:hAnsi="宋体"/>
          <w:color w:val="auto"/>
          <w:sz w:val="24"/>
          <w:highlight w:val="none"/>
        </w:rPr>
        <w:t>我方对被授权人的签名事项负全部责任。</w:t>
      </w:r>
    </w:p>
    <w:p w14:paraId="41BD51A6">
      <w:pPr>
        <w:snapToGrid w:val="0"/>
        <w:spacing w:beforeLines="50" w:after="50" w:line="360" w:lineRule="auto"/>
        <w:ind w:firstLine="480"/>
        <w:rPr>
          <w:rFonts w:ascii="宋体"/>
          <w:color w:val="auto"/>
          <w:sz w:val="24"/>
          <w:szCs w:val="20"/>
          <w:highlight w:val="none"/>
        </w:rPr>
      </w:pPr>
      <w:r>
        <w:rPr>
          <w:rFonts w:hint="eastAsia" w:ascii="宋体" w:hAnsi="宋体"/>
          <w:color w:val="auto"/>
          <w:sz w:val="24"/>
          <w:highlight w:val="none"/>
          <w:u w:val="single"/>
        </w:rPr>
        <w:t>在撤销授权的书面通知以前，本授权书一直有效。</w:t>
      </w:r>
      <w:r>
        <w:rPr>
          <w:rFonts w:hint="eastAsia" w:ascii="宋体" w:hAnsi="宋体"/>
          <w:color w:val="auto"/>
          <w:sz w:val="24"/>
          <w:highlight w:val="none"/>
        </w:rPr>
        <w:t>被授权人在授权书有效期内签署的所有文件不因授权的撤销而失效。</w:t>
      </w:r>
    </w:p>
    <w:p w14:paraId="7D4CB52F">
      <w:pPr>
        <w:snapToGrid w:val="0"/>
        <w:spacing w:beforeLines="50" w:after="50" w:line="360" w:lineRule="auto"/>
        <w:ind w:firstLine="480"/>
        <w:rPr>
          <w:rFonts w:ascii="宋体"/>
          <w:color w:val="auto"/>
          <w:sz w:val="24"/>
          <w:szCs w:val="20"/>
          <w:highlight w:val="none"/>
        </w:rPr>
      </w:pPr>
      <w:r>
        <w:rPr>
          <w:rFonts w:hint="eastAsia" w:ascii="宋体" w:hAnsi="宋体"/>
          <w:color w:val="auto"/>
          <w:sz w:val="24"/>
          <w:highlight w:val="none"/>
        </w:rPr>
        <w:t>被授权人无转委托权，特此委托。</w:t>
      </w:r>
    </w:p>
    <w:p w14:paraId="0A861D06">
      <w:pPr>
        <w:snapToGrid w:val="0"/>
        <w:spacing w:beforeLines="50" w:after="50" w:line="360" w:lineRule="auto"/>
        <w:rPr>
          <w:rFonts w:ascii="宋体"/>
          <w:color w:val="auto"/>
          <w:sz w:val="24"/>
          <w:szCs w:val="20"/>
          <w:highlight w:val="none"/>
        </w:rPr>
      </w:pPr>
    </w:p>
    <w:p w14:paraId="168237D0">
      <w:pPr>
        <w:snapToGrid w:val="0"/>
        <w:spacing w:beforeLines="50" w:after="50" w:line="360" w:lineRule="auto"/>
        <w:rPr>
          <w:rFonts w:ascii="宋体"/>
          <w:color w:val="auto"/>
          <w:sz w:val="24"/>
          <w:szCs w:val="20"/>
          <w:highlight w:val="none"/>
          <w:u w:val="single"/>
        </w:rPr>
      </w:pPr>
      <w:r>
        <w:rPr>
          <w:rFonts w:hint="eastAsia" w:ascii="宋体" w:hAnsi="宋体"/>
          <w:color w:val="auto"/>
          <w:sz w:val="24"/>
          <w:highlight w:val="none"/>
        </w:rPr>
        <w:t>被授权人签名：</w:t>
      </w:r>
      <w:r>
        <w:rPr>
          <w:rFonts w:ascii="宋体" w:hAnsi="宋体"/>
          <w:color w:val="auto"/>
          <w:sz w:val="24"/>
          <w:highlight w:val="none"/>
        </w:rPr>
        <w:t xml:space="preserve">                                   </w:t>
      </w:r>
      <w:r>
        <w:rPr>
          <w:rFonts w:hint="eastAsia" w:ascii="宋体" w:hAnsi="宋体"/>
          <w:color w:val="auto"/>
          <w:sz w:val="24"/>
          <w:highlight w:val="none"/>
        </w:rPr>
        <w:t>法定代表人签名</w:t>
      </w:r>
      <w:r>
        <w:rPr>
          <w:rFonts w:hint="eastAsia" w:ascii="宋体" w:hAnsi="宋体" w:cs="宋体"/>
          <w:color w:val="auto"/>
          <w:sz w:val="24"/>
          <w:highlight w:val="none"/>
        </w:rPr>
        <w:t>（签字或</w:t>
      </w:r>
      <w:r>
        <w:rPr>
          <w:rFonts w:ascii="宋体" w:hAnsi="宋体" w:cs="宋体"/>
          <w:color w:val="auto"/>
          <w:sz w:val="24"/>
          <w:highlight w:val="none"/>
        </w:rPr>
        <w:t>盖章</w:t>
      </w:r>
      <w:r>
        <w:rPr>
          <w:rFonts w:hint="eastAsia" w:ascii="宋体" w:hAnsi="宋体" w:cs="宋体"/>
          <w:color w:val="auto"/>
          <w:sz w:val="24"/>
          <w:highlight w:val="none"/>
        </w:rPr>
        <w:t>）</w:t>
      </w:r>
      <w:r>
        <w:rPr>
          <w:rFonts w:hint="eastAsia" w:ascii="宋体" w:hAnsi="宋体"/>
          <w:color w:val="auto"/>
          <w:sz w:val="24"/>
          <w:highlight w:val="none"/>
        </w:rPr>
        <w:t>：</w:t>
      </w:r>
    </w:p>
    <w:p w14:paraId="7ED67A19">
      <w:pPr>
        <w:snapToGrid w:val="0"/>
        <w:spacing w:beforeLines="50" w:after="50" w:line="360" w:lineRule="auto"/>
        <w:rPr>
          <w:rFonts w:ascii="宋体"/>
          <w:color w:val="auto"/>
          <w:sz w:val="24"/>
          <w:szCs w:val="20"/>
          <w:highlight w:val="none"/>
        </w:rPr>
      </w:pPr>
      <w:r>
        <w:rPr>
          <w:rFonts w:hint="eastAsia" w:ascii="宋体" w:hAnsi="宋体"/>
          <w:color w:val="auto"/>
          <w:sz w:val="24"/>
          <w:highlight w:val="none"/>
        </w:rPr>
        <w:t>职务：</w:t>
      </w:r>
      <w:r>
        <w:rPr>
          <w:rFonts w:ascii="宋体" w:hAnsi="宋体"/>
          <w:color w:val="auto"/>
          <w:sz w:val="24"/>
          <w:highlight w:val="none"/>
        </w:rPr>
        <w:t xml:space="preserve">                                           </w:t>
      </w:r>
      <w:r>
        <w:rPr>
          <w:rFonts w:hint="eastAsia" w:ascii="宋体" w:hAnsi="宋体"/>
          <w:color w:val="auto"/>
          <w:sz w:val="24"/>
          <w:highlight w:val="none"/>
        </w:rPr>
        <w:t>职务：</w:t>
      </w:r>
    </w:p>
    <w:p w14:paraId="76621815">
      <w:pPr>
        <w:snapToGrid w:val="0"/>
        <w:spacing w:beforeLines="50" w:after="50" w:line="360" w:lineRule="auto"/>
        <w:rPr>
          <w:rFonts w:ascii="宋体"/>
          <w:color w:val="auto"/>
          <w:sz w:val="24"/>
          <w:highlight w:val="none"/>
        </w:rPr>
      </w:pPr>
      <w:r>
        <w:rPr>
          <w:rFonts w:hint="eastAsia" w:ascii="宋体" w:hAnsi="宋体"/>
          <w:color w:val="auto"/>
          <w:sz w:val="24"/>
          <w:highlight w:val="none"/>
        </w:rPr>
        <w:t>被授权人身份证复印件：</w:t>
      </w:r>
    </w:p>
    <w:p w14:paraId="13B500DB">
      <w:pPr>
        <w:snapToGrid w:val="0"/>
        <w:spacing w:beforeLines="50" w:after="50" w:line="360" w:lineRule="auto"/>
        <w:rPr>
          <w:rFonts w:ascii="宋体"/>
          <w:color w:val="auto"/>
          <w:sz w:val="24"/>
          <w:highlight w:val="none"/>
        </w:rPr>
      </w:pPr>
    </w:p>
    <w:p w14:paraId="6C38714F">
      <w:pPr>
        <w:snapToGrid w:val="0"/>
        <w:spacing w:beforeLines="50" w:after="50" w:line="360" w:lineRule="auto"/>
        <w:rPr>
          <w:rFonts w:ascii="宋体"/>
          <w:color w:val="auto"/>
          <w:sz w:val="24"/>
          <w:highlight w:val="none"/>
        </w:rPr>
      </w:pPr>
    </w:p>
    <w:p w14:paraId="49881E00">
      <w:pPr>
        <w:snapToGrid w:val="0"/>
        <w:spacing w:beforeLines="50" w:after="50" w:line="360" w:lineRule="auto"/>
        <w:rPr>
          <w:rFonts w:ascii="宋体"/>
          <w:color w:val="auto"/>
          <w:sz w:val="24"/>
          <w:highlight w:val="none"/>
        </w:rPr>
      </w:pPr>
    </w:p>
    <w:p w14:paraId="2E3D9DE7">
      <w:pPr>
        <w:snapToGrid w:val="0"/>
        <w:spacing w:beforeLines="50" w:after="50" w:line="360" w:lineRule="auto"/>
        <w:rPr>
          <w:rFonts w:ascii="宋体"/>
          <w:color w:val="auto"/>
          <w:sz w:val="24"/>
          <w:szCs w:val="20"/>
          <w:highlight w:val="none"/>
        </w:rPr>
      </w:pPr>
    </w:p>
    <w:p w14:paraId="6678BF6C">
      <w:pPr>
        <w:snapToGrid w:val="0"/>
        <w:spacing w:beforeLines="50" w:after="50" w:line="360" w:lineRule="auto"/>
        <w:rPr>
          <w:rFonts w:ascii="宋体"/>
          <w:color w:val="auto"/>
          <w:sz w:val="24"/>
          <w:szCs w:val="20"/>
          <w:highlight w:val="none"/>
        </w:rPr>
      </w:pPr>
      <w:r>
        <w:rPr>
          <w:rFonts w:hint="eastAsia" w:ascii="宋体" w:hAnsi="宋体"/>
          <w:color w:val="auto"/>
          <w:sz w:val="24"/>
          <w:highlight w:val="none"/>
        </w:rPr>
        <w:t>投标人</w:t>
      </w:r>
      <w:r>
        <w:rPr>
          <w:rFonts w:hint="eastAsia" w:ascii="宋体" w:hAnsi="宋体"/>
          <w:color w:val="auto"/>
          <w:sz w:val="24"/>
          <w:highlight w:val="none"/>
          <w:lang w:eastAsia="zh-CN"/>
        </w:rPr>
        <w:t>全称</w:t>
      </w:r>
      <w:r>
        <w:rPr>
          <w:rFonts w:hint="eastAsia" w:ascii="宋体" w:hAnsi="宋体" w:cs="宋体"/>
          <w:color w:val="auto"/>
          <w:sz w:val="24"/>
          <w:highlight w:val="none"/>
        </w:rPr>
        <w:t>（盖公章或电子签章）</w:t>
      </w:r>
      <w:r>
        <w:rPr>
          <w:rFonts w:hint="eastAsia" w:ascii="宋体" w:hAnsi="宋体"/>
          <w:color w:val="auto"/>
          <w:sz w:val="24"/>
          <w:highlight w:val="none"/>
        </w:rPr>
        <w:t>：</w:t>
      </w:r>
    </w:p>
    <w:p w14:paraId="4912CCAF">
      <w:pPr>
        <w:snapToGrid w:val="0"/>
        <w:spacing w:beforeLines="50" w:after="50" w:line="360" w:lineRule="auto"/>
        <w:jc w:val="both"/>
        <w:rPr>
          <w:rFonts w:ascii="宋体"/>
          <w:color w:val="auto"/>
          <w:sz w:val="24"/>
          <w:highlight w:val="none"/>
        </w:rPr>
      </w:pPr>
      <w:r>
        <w:rPr>
          <w:rFonts w:ascii="宋体" w:hAnsi="宋体"/>
          <w:color w:val="auto"/>
          <w:sz w:val="24"/>
          <w:highlight w:val="none"/>
        </w:rPr>
        <w:t xml:space="preserve"> </w:t>
      </w:r>
      <w:r>
        <w:rPr>
          <w:rFonts w:hint="eastAsia" w:ascii="宋体" w:hAnsi="宋体"/>
          <w:color w:val="auto"/>
          <w:sz w:val="24"/>
          <w:highlight w:val="none"/>
        </w:rPr>
        <w:t>年</w:t>
      </w:r>
      <w:r>
        <w:rPr>
          <w:rFonts w:ascii="宋体" w:hAnsi="宋体"/>
          <w:color w:val="auto"/>
          <w:sz w:val="24"/>
          <w:highlight w:val="none"/>
        </w:rPr>
        <w:t xml:space="preserve">   </w:t>
      </w:r>
      <w:r>
        <w:rPr>
          <w:rFonts w:hint="eastAsia" w:ascii="宋体" w:hAnsi="宋体"/>
          <w:color w:val="auto"/>
          <w:sz w:val="24"/>
          <w:highlight w:val="none"/>
        </w:rPr>
        <w:t>月</w:t>
      </w:r>
      <w:r>
        <w:rPr>
          <w:rFonts w:ascii="宋体" w:hAnsi="宋体"/>
          <w:color w:val="auto"/>
          <w:sz w:val="24"/>
          <w:highlight w:val="none"/>
        </w:rPr>
        <w:t xml:space="preserve">     </w:t>
      </w:r>
      <w:r>
        <w:rPr>
          <w:rFonts w:hint="eastAsia" w:ascii="宋体" w:hAnsi="宋体"/>
          <w:color w:val="auto"/>
          <w:sz w:val="24"/>
          <w:highlight w:val="none"/>
        </w:rPr>
        <w:t>日</w:t>
      </w:r>
    </w:p>
    <w:p w14:paraId="7DAD2EF3">
      <w:pPr>
        <w:snapToGrid w:val="0"/>
        <w:spacing w:beforeLines="50" w:after="50" w:line="360" w:lineRule="auto"/>
        <w:rPr>
          <w:rFonts w:ascii="宋体"/>
          <w:color w:val="auto"/>
          <w:sz w:val="24"/>
          <w:highlight w:val="none"/>
        </w:rPr>
      </w:pPr>
    </w:p>
    <w:p w14:paraId="0E885CB5">
      <w:pPr>
        <w:snapToGrid w:val="0"/>
        <w:spacing w:beforeLines="50" w:after="50" w:line="360" w:lineRule="auto"/>
        <w:rPr>
          <w:rFonts w:ascii="宋体"/>
          <w:color w:val="auto"/>
          <w:sz w:val="24"/>
          <w:highlight w:val="none"/>
        </w:rPr>
      </w:pPr>
    </w:p>
    <w:p w14:paraId="598FB5B7">
      <w:pPr>
        <w:snapToGrid w:val="0"/>
        <w:spacing w:beforeLines="50" w:after="50" w:line="360" w:lineRule="auto"/>
        <w:jc w:val="center"/>
        <w:rPr>
          <w:rFonts w:ascii="宋体"/>
          <w:color w:val="auto"/>
          <w:highlight w:val="none"/>
        </w:rPr>
        <w:sectPr>
          <w:footerReference r:id="rId7" w:type="first"/>
          <w:footerReference r:id="rId6" w:type="default"/>
          <w:type w:val="continuous"/>
          <w:pgSz w:w="11906" w:h="16838"/>
          <w:pgMar w:top="1417" w:right="907" w:bottom="850" w:left="1588" w:header="851" w:footer="850" w:gutter="0"/>
          <w:cols w:space="0" w:num="1"/>
          <w:titlePg/>
          <w:docGrid w:linePitch="312" w:charSpace="0"/>
        </w:sectPr>
      </w:pPr>
    </w:p>
    <w:p w14:paraId="35FF51C4">
      <w:pPr>
        <w:snapToGrid w:val="0"/>
        <w:spacing w:before="50" w:afterLines="50" w:line="360" w:lineRule="auto"/>
        <w:jc w:val="left"/>
        <w:rPr>
          <w:rFonts w:hint="eastAsia" w:ascii="宋体" w:hAnsi="宋体"/>
          <w:b/>
          <w:color w:val="auto"/>
          <w:sz w:val="24"/>
          <w:highlight w:val="none"/>
        </w:rPr>
      </w:pPr>
    </w:p>
    <w:p w14:paraId="39383BEC">
      <w:pPr>
        <w:snapToGrid w:val="0"/>
        <w:spacing w:before="50" w:afterLines="50" w:line="360" w:lineRule="auto"/>
        <w:jc w:val="left"/>
        <w:rPr>
          <w:rFonts w:ascii="宋体"/>
          <w:b/>
          <w:color w:val="auto"/>
          <w:sz w:val="24"/>
          <w:highlight w:val="none"/>
        </w:rPr>
      </w:pPr>
      <w:r>
        <w:rPr>
          <w:rFonts w:hint="eastAsia" w:ascii="宋体" w:hAnsi="宋体"/>
          <w:b/>
          <w:color w:val="auto"/>
          <w:sz w:val="24"/>
          <w:highlight w:val="none"/>
        </w:rPr>
        <w:t>附件：投标单位情况表：</w:t>
      </w:r>
    </w:p>
    <w:p w14:paraId="74AC33C7">
      <w:pPr>
        <w:snapToGrid w:val="0"/>
        <w:spacing w:beforeLines="50" w:after="50" w:line="360" w:lineRule="auto"/>
        <w:jc w:val="center"/>
        <w:rPr>
          <w:rFonts w:ascii="宋体"/>
          <w:b/>
          <w:color w:val="auto"/>
          <w:sz w:val="24"/>
          <w:highlight w:val="none"/>
        </w:rPr>
      </w:pPr>
      <w:r>
        <w:rPr>
          <w:rFonts w:hint="eastAsia" w:ascii="宋体" w:hAnsi="宋体"/>
          <w:b/>
          <w:color w:val="auto"/>
          <w:sz w:val="24"/>
          <w:highlight w:val="none"/>
        </w:rPr>
        <w:t>投标单位情况表</w:t>
      </w:r>
    </w:p>
    <w:p w14:paraId="7EC47331">
      <w:pPr>
        <w:pStyle w:val="26"/>
        <w:spacing w:before="156" w:after="156" w:line="360" w:lineRule="auto"/>
        <w:ind w:firstLine="480" w:firstLineChars="200"/>
        <w:rPr>
          <w:rFonts w:ascii="Times New Roman" w:hAnsi="Times New Roman"/>
          <w:color w:val="auto"/>
          <w:highlight w:val="none"/>
        </w:rPr>
      </w:pPr>
      <w:r>
        <w:rPr>
          <w:rFonts w:hint="eastAsia" w:ascii="Times New Roman" w:hAnsi="Times New Roman"/>
          <w:color w:val="auto"/>
          <w:highlight w:val="none"/>
        </w:rPr>
        <w:t>投标单位：</w:t>
      </w:r>
      <w:r>
        <w:rPr>
          <w:rFonts w:hint="eastAsia" w:ascii="Times New Roman" w:hAnsi="Times New Roman"/>
          <w:color w:val="auto"/>
          <w:highlight w:val="none"/>
          <w:lang w:val="en-US" w:eastAsia="zh-CN"/>
        </w:rPr>
        <w:t xml:space="preserve">                               </w:t>
      </w:r>
      <w:r>
        <w:rPr>
          <w:rFonts w:hint="eastAsia" w:ascii="Times New Roman" w:hAnsi="Times New Roman"/>
          <w:color w:val="auto"/>
          <w:highlight w:val="none"/>
        </w:rPr>
        <w:t>填表日期：</w:t>
      </w:r>
    </w:p>
    <w:tbl>
      <w:tblPr>
        <w:tblStyle w:val="45"/>
        <w:tblW w:w="89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
        <w:gridCol w:w="1260"/>
        <w:gridCol w:w="2887"/>
        <w:gridCol w:w="1222"/>
        <w:gridCol w:w="166"/>
        <w:gridCol w:w="2534"/>
      </w:tblGrid>
      <w:tr w14:paraId="79DFE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2104" w:type="dxa"/>
            <w:gridSpan w:val="2"/>
            <w:vAlign w:val="center"/>
          </w:tcPr>
          <w:p w14:paraId="57F450A3">
            <w:pPr>
              <w:pStyle w:val="26"/>
              <w:spacing w:before="156" w:after="156" w:line="360" w:lineRule="auto"/>
              <w:rPr>
                <w:rFonts w:ascii="Times New Roman" w:hAnsi="Times New Roman"/>
                <w:color w:val="auto"/>
                <w:highlight w:val="none"/>
              </w:rPr>
            </w:pPr>
            <w:r>
              <w:rPr>
                <w:rFonts w:hint="eastAsia" w:ascii="Times New Roman" w:hAnsi="Times New Roman"/>
                <w:color w:val="auto"/>
                <w:highlight w:val="none"/>
              </w:rPr>
              <w:t>单位名称</w:t>
            </w:r>
          </w:p>
        </w:tc>
        <w:tc>
          <w:tcPr>
            <w:tcW w:w="2887" w:type="dxa"/>
            <w:vAlign w:val="center"/>
          </w:tcPr>
          <w:p w14:paraId="60F22612">
            <w:pPr>
              <w:widowControl/>
              <w:spacing w:line="360" w:lineRule="auto"/>
              <w:jc w:val="center"/>
              <w:rPr>
                <w:color w:val="auto"/>
                <w:sz w:val="24"/>
                <w:highlight w:val="none"/>
              </w:rPr>
            </w:pPr>
          </w:p>
        </w:tc>
        <w:tc>
          <w:tcPr>
            <w:tcW w:w="1388" w:type="dxa"/>
            <w:gridSpan w:val="2"/>
            <w:vAlign w:val="center"/>
          </w:tcPr>
          <w:p w14:paraId="3CC4E47E">
            <w:pPr>
              <w:pStyle w:val="26"/>
              <w:spacing w:before="156" w:after="156" w:line="360" w:lineRule="auto"/>
              <w:rPr>
                <w:rFonts w:ascii="Times New Roman" w:hAnsi="Times New Roman"/>
                <w:color w:val="auto"/>
                <w:highlight w:val="none"/>
              </w:rPr>
            </w:pPr>
            <w:r>
              <w:rPr>
                <w:rFonts w:hint="eastAsia" w:ascii="Times New Roman" w:hAnsi="Times New Roman"/>
                <w:color w:val="auto"/>
                <w:highlight w:val="none"/>
              </w:rPr>
              <w:t>电话</w:t>
            </w:r>
          </w:p>
        </w:tc>
        <w:tc>
          <w:tcPr>
            <w:tcW w:w="2534" w:type="dxa"/>
            <w:vAlign w:val="center"/>
          </w:tcPr>
          <w:p w14:paraId="4F1353F9">
            <w:pPr>
              <w:pStyle w:val="26"/>
              <w:spacing w:before="156" w:after="156" w:line="360" w:lineRule="auto"/>
              <w:jc w:val="center"/>
              <w:rPr>
                <w:rFonts w:ascii="Times New Roman" w:hAnsi="Times New Roman"/>
                <w:color w:val="auto"/>
                <w:highlight w:val="none"/>
              </w:rPr>
            </w:pPr>
          </w:p>
        </w:tc>
      </w:tr>
      <w:tr w14:paraId="1EF64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2104" w:type="dxa"/>
            <w:gridSpan w:val="2"/>
            <w:vAlign w:val="center"/>
          </w:tcPr>
          <w:p w14:paraId="2C94267A">
            <w:pPr>
              <w:pStyle w:val="26"/>
              <w:spacing w:before="156" w:after="156" w:line="360" w:lineRule="auto"/>
              <w:rPr>
                <w:rFonts w:ascii="Times New Roman" w:hAnsi="Times New Roman"/>
                <w:color w:val="auto"/>
                <w:highlight w:val="none"/>
              </w:rPr>
            </w:pPr>
            <w:r>
              <w:rPr>
                <w:rFonts w:hint="eastAsia" w:ascii="Times New Roman" w:hAnsi="Times New Roman"/>
                <w:color w:val="auto"/>
                <w:highlight w:val="none"/>
              </w:rPr>
              <w:t>地址</w:t>
            </w:r>
          </w:p>
        </w:tc>
        <w:tc>
          <w:tcPr>
            <w:tcW w:w="2887" w:type="dxa"/>
            <w:vAlign w:val="center"/>
          </w:tcPr>
          <w:p w14:paraId="3963118C">
            <w:pPr>
              <w:pStyle w:val="26"/>
              <w:spacing w:before="156" w:after="156" w:line="360" w:lineRule="auto"/>
              <w:jc w:val="center"/>
              <w:rPr>
                <w:rFonts w:ascii="Times New Roman" w:hAnsi="Times New Roman"/>
                <w:color w:val="auto"/>
                <w:highlight w:val="none"/>
              </w:rPr>
            </w:pPr>
          </w:p>
        </w:tc>
        <w:tc>
          <w:tcPr>
            <w:tcW w:w="1388" w:type="dxa"/>
            <w:gridSpan w:val="2"/>
            <w:vAlign w:val="center"/>
          </w:tcPr>
          <w:p w14:paraId="0E98AA81">
            <w:pPr>
              <w:pStyle w:val="26"/>
              <w:spacing w:before="156" w:after="156" w:line="360" w:lineRule="auto"/>
              <w:rPr>
                <w:rFonts w:ascii="Times New Roman" w:hAnsi="Times New Roman"/>
                <w:color w:val="auto"/>
                <w:highlight w:val="none"/>
              </w:rPr>
            </w:pPr>
            <w:r>
              <w:rPr>
                <w:rFonts w:hint="eastAsia" w:ascii="Times New Roman" w:hAnsi="Times New Roman"/>
                <w:color w:val="auto"/>
                <w:highlight w:val="none"/>
              </w:rPr>
              <w:t>传真</w:t>
            </w:r>
          </w:p>
        </w:tc>
        <w:tc>
          <w:tcPr>
            <w:tcW w:w="2534" w:type="dxa"/>
            <w:vAlign w:val="center"/>
          </w:tcPr>
          <w:p w14:paraId="2C9DF7BD">
            <w:pPr>
              <w:pStyle w:val="26"/>
              <w:spacing w:before="156" w:after="156" w:line="360" w:lineRule="auto"/>
              <w:jc w:val="center"/>
              <w:rPr>
                <w:rFonts w:ascii="Times New Roman" w:hAnsi="Times New Roman"/>
                <w:color w:val="auto"/>
                <w:highlight w:val="none"/>
              </w:rPr>
            </w:pPr>
          </w:p>
        </w:tc>
      </w:tr>
      <w:tr w14:paraId="157CD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2104" w:type="dxa"/>
            <w:gridSpan w:val="2"/>
            <w:vAlign w:val="center"/>
          </w:tcPr>
          <w:p w14:paraId="329E63EC">
            <w:pPr>
              <w:pStyle w:val="26"/>
              <w:spacing w:before="156" w:after="156" w:line="360" w:lineRule="auto"/>
              <w:rPr>
                <w:rFonts w:ascii="Times New Roman" w:hAnsi="Times New Roman"/>
                <w:color w:val="auto"/>
                <w:highlight w:val="none"/>
              </w:rPr>
            </w:pPr>
            <w:r>
              <w:rPr>
                <w:rFonts w:hint="eastAsia" w:ascii="Times New Roman" w:hAnsi="Times New Roman"/>
                <w:color w:val="auto"/>
                <w:highlight w:val="none"/>
              </w:rPr>
              <w:t>主管部门</w:t>
            </w:r>
          </w:p>
        </w:tc>
        <w:tc>
          <w:tcPr>
            <w:tcW w:w="2887" w:type="dxa"/>
            <w:vAlign w:val="center"/>
          </w:tcPr>
          <w:p w14:paraId="750AA83C">
            <w:pPr>
              <w:pStyle w:val="26"/>
              <w:spacing w:before="156" w:after="156" w:line="360" w:lineRule="auto"/>
              <w:jc w:val="center"/>
              <w:rPr>
                <w:rFonts w:ascii="Times New Roman" w:hAnsi="Times New Roman"/>
                <w:color w:val="auto"/>
                <w:highlight w:val="none"/>
              </w:rPr>
            </w:pPr>
          </w:p>
        </w:tc>
        <w:tc>
          <w:tcPr>
            <w:tcW w:w="1388" w:type="dxa"/>
            <w:gridSpan w:val="2"/>
            <w:vAlign w:val="center"/>
          </w:tcPr>
          <w:p w14:paraId="1C05283E">
            <w:pPr>
              <w:pStyle w:val="26"/>
              <w:spacing w:before="156" w:after="156" w:line="360" w:lineRule="auto"/>
              <w:rPr>
                <w:rFonts w:ascii="Times New Roman" w:hAnsi="Times New Roman"/>
                <w:color w:val="auto"/>
                <w:highlight w:val="none"/>
              </w:rPr>
            </w:pPr>
            <w:r>
              <w:rPr>
                <w:rFonts w:hint="eastAsia" w:ascii="Times New Roman" w:hAnsi="Times New Roman"/>
                <w:color w:val="auto"/>
                <w:highlight w:val="none"/>
              </w:rPr>
              <w:t>企业性质</w:t>
            </w:r>
          </w:p>
        </w:tc>
        <w:tc>
          <w:tcPr>
            <w:tcW w:w="2534" w:type="dxa"/>
            <w:vAlign w:val="center"/>
          </w:tcPr>
          <w:p w14:paraId="4050CC7B">
            <w:pPr>
              <w:pStyle w:val="26"/>
              <w:spacing w:before="156" w:after="156" w:line="360" w:lineRule="auto"/>
              <w:jc w:val="center"/>
              <w:rPr>
                <w:rFonts w:ascii="Times New Roman" w:hAnsi="Times New Roman"/>
                <w:color w:val="auto"/>
                <w:highlight w:val="none"/>
              </w:rPr>
            </w:pPr>
          </w:p>
        </w:tc>
      </w:tr>
      <w:tr w14:paraId="1C979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2104" w:type="dxa"/>
            <w:gridSpan w:val="2"/>
            <w:vAlign w:val="center"/>
          </w:tcPr>
          <w:p w14:paraId="19AC0577">
            <w:pPr>
              <w:pStyle w:val="26"/>
              <w:spacing w:before="156" w:after="156" w:line="360" w:lineRule="auto"/>
              <w:rPr>
                <w:rFonts w:ascii="Times New Roman" w:hAnsi="Times New Roman"/>
                <w:color w:val="auto"/>
                <w:highlight w:val="none"/>
              </w:rPr>
            </w:pPr>
            <w:r>
              <w:rPr>
                <w:rFonts w:hint="eastAsia" w:ascii="Times New Roman" w:hAnsi="Times New Roman"/>
                <w:color w:val="auto"/>
                <w:highlight w:val="none"/>
              </w:rPr>
              <w:t>企业法人</w:t>
            </w:r>
          </w:p>
        </w:tc>
        <w:tc>
          <w:tcPr>
            <w:tcW w:w="2887" w:type="dxa"/>
            <w:vAlign w:val="center"/>
          </w:tcPr>
          <w:p w14:paraId="7A3EEC11">
            <w:pPr>
              <w:pStyle w:val="26"/>
              <w:spacing w:before="156" w:after="156" w:line="360" w:lineRule="auto"/>
              <w:jc w:val="center"/>
              <w:rPr>
                <w:rFonts w:ascii="Times New Roman" w:hAnsi="Times New Roman"/>
                <w:color w:val="auto"/>
                <w:highlight w:val="none"/>
              </w:rPr>
            </w:pPr>
          </w:p>
        </w:tc>
        <w:tc>
          <w:tcPr>
            <w:tcW w:w="1388" w:type="dxa"/>
            <w:gridSpan w:val="2"/>
            <w:vAlign w:val="center"/>
          </w:tcPr>
          <w:p w14:paraId="5A0B14C0">
            <w:pPr>
              <w:pStyle w:val="26"/>
              <w:spacing w:before="156" w:after="156" w:line="360" w:lineRule="auto"/>
              <w:rPr>
                <w:rFonts w:ascii="Times New Roman" w:hAnsi="Times New Roman"/>
                <w:color w:val="auto"/>
                <w:highlight w:val="none"/>
              </w:rPr>
            </w:pPr>
            <w:r>
              <w:rPr>
                <w:rFonts w:hint="eastAsia"/>
                <w:color w:val="auto"/>
                <w:highlight w:val="none"/>
              </w:rPr>
              <w:t>资质等级</w:t>
            </w:r>
          </w:p>
        </w:tc>
        <w:tc>
          <w:tcPr>
            <w:tcW w:w="2534" w:type="dxa"/>
            <w:vAlign w:val="center"/>
          </w:tcPr>
          <w:p w14:paraId="297DF92A">
            <w:pPr>
              <w:pStyle w:val="26"/>
              <w:spacing w:before="156" w:after="156" w:line="360" w:lineRule="auto"/>
              <w:jc w:val="center"/>
              <w:rPr>
                <w:rFonts w:ascii="Times New Roman" w:hAnsi="Times New Roman"/>
                <w:color w:val="auto"/>
                <w:highlight w:val="none"/>
              </w:rPr>
            </w:pPr>
          </w:p>
        </w:tc>
      </w:tr>
      <w:tr w14:paraId="20420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2104" w:type="dxa"/>
            <w:gridSpan w:val="2"/>
            <w:vAlign w:val="center"/>
          </w:tcPr>
          <w:p w14:paraId="478A699B">
            <w:pPr>
              <w:pStyle w:val="26"/>
              <w:spacing w:before="156" w:after="156" w:line="360" w:lineRule="auto"/>
              <w:rPr>
                <w:rFonts w:ascii="Times New Roman" w:hAnsi="Times New Roman"/>
                <w:color w:val="auto"/>
                <w:highlight w:val="none"/>
              </w:rPr>
            </w:pPr>
            <w:r>
              <w:rPr>
                <w:rFonts w:hint="eastAsia" w:ascii="Times New Roman" w:hAnsi="Times New Roman"/>
                <w:color w:val="auto"/>
                <w:highlight w:val="none"/>
              </w:rPr>
              <w:t>授权代表</w:t>
            </w:r>
          </w:p>
        </w:tc>
        <w:tc>
          <w:tcPr>
            <w:tcW w:w="2887" w:type="dxa"/>
            <w:vAlign w:val="center"/>
          </w:tcPr>
          <w:p w14:paraId="34F57925">
            <w:pPr>
              <w:pStyle w:val="26"/>
              <w:spacing w:before="156" w:after="156" w:line="360" w:lineRule="auto"/>
              <w:jc w:val="center"/>
              <w:rPr>
                <w:rFonts w:ascii="Times New Roman" w:hAnsi="Times New Roman"/>
                <w:color w:val="auto"/>
                <w:highlight w:val="none"/>
              </w:rPr>
            </w:pPr>
          </w:p>
        </w:tc>
        <w:tc>
          <w:tcPr>
            <w:tcW w:w="1388" w:type="dxa"/>
            <w:gridSpan w:val="2"/>
            <w:vAlign w:val="center"/>
          </w:tcPr>
          <w:p w14:paraId="2DAF2711">
            <w:pPr>
              <w:pStyle w:val="26"/>
              <w:spacing w:before="156" w:after="156" w:line="360" w:lineRule="auto"/>
              <w:rPr>
                <w:rFonts w:ascii="Times New Roman" w:hAnsi="Times New Roman"/>
                <w:color w:val="auto"/>
                <w:highlight w:val="none"/>
              </w:rPr>
            </w:pPr>
            <w:r>
              <w:rPr>
                <w:rFonts w:hint="eastAsia" w:ascii="Times New Roman" w:hAnsi="Times New Roman"/>
                <w:color w:val="auto"/>
                <w:highlight w:val="none"/>
              </w:rPr>
              <w:t>职务</w:t>
            </w:r>
          </w:p>
        </w:tc>
        <w:tc>
          <w:tcPr>
            <w:tcW w:w="2534" w:type="dxa"/>
            <w:vAlign w:val="center"/>
          </w:tcPr>
          <w:p w14:paraId="30E3E948">
            <w:pPr>
              <w:pStyle w:val="26"/>
              <w:spacing w:before="156" w:after="156" w:line="360" w:lineRule="auto"/>
              <w:jc w:val="center"/>
              <w:rPr>
                <w:rFonts w:ascii="Times New Roman" w:hAnsi="Times New Roman"/>
                <w:color w:val="auto"/>
                <w:highlight w:val="none"/>
              </w:rPr>
            </w:pPr>
          </w:p>
        </w:tc>
      </w:tr>
      <w:tr w14:paraId="3C88F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jc w:val="center"/>
        </w:trPr>
        <w:tc>
          <w:tcPr>
            <w:tcW w:w="844" w:type="dxa"/>
            <w:vMerge w:val="restart"/>
            <w:vAlign w:val="center"/>
          </w:tcPr>
          <w:p w14:paraId="011BF5AD">
            <w:pPr>
              <w:pStyle w:val="26"/>
              <w:spacing w:before="156" w:after="156" w:line="360" w:lineRule="auto"/>
              <w:ind w:firstLine="720" w:firstLineChars="300"/>
              <w:jc w:val="center"/>
              <w:rPr>
                <w:rFonts w:ascii="Times New Roman" w:hAnsi="Times New Roman"/>
                <w:color w:val="auto"/>
                <w:highlight w:val="none"/>
              </w:rPr>
            </w:pPr>
          </w:p>
          <w:p w14:paraId="63FFE0F9">
            <w:pPr>
              <w:pStyle w:val="26"/>
              <w:spacing w:before="156" w:after="156" w:line="360" w:lineRule="auto"/>
              <w:jc w:val="center"/>
              <w:rPr>
                <w:rFonts w:ascii="Times New Roman" w:hAnsi="Times New Roman"/>
                <w:color w:val="auto"/>
                <w:highlight w:val="none"/>
              </w:rPr>
            </w:pPr>
            <w:r>
              <w:rPr>
                <w:rFonts w:hint="eastAsia" w:ascii="Times New Roman" w:hAnsi="Times New Roman"/>
                <w:color w:val="auto"/>
                <w:highlight w:val="none"/>
              </w:rPr>
              <w:t>单位概况</w:t>
            </w:r>
          </w:p>
          <w:p w14:paraId="2B589DD6">
            <w:pPr>
              <w:pStyle w:val="26"/>
              <w:spacing w:before="156" w:after="156" w:line="360" w:lineRule="auto"/>
              <w:ind w:firstLine="720" w:firstLineChars="300"/>
              <w:jc w:val="center"/>
              <w:rPr>
                <w:rFonts w:ascii="Times New Roman" w:hAnsi="Times New Roman"/>
                <w:color w:val="auto"/>
                <w:highlight w:val="none"/>
              </w:rPr>
            </w:pPr>
          </w:p>
          <w:p w14:paraId="197E0B4B">
            <w:pPr>
              <w:pStyle w:val="26"/>
              <w:spacing w:before="156" w:after="156" w:line="360" w:lineRule="auto"/>
              <w:ind w:firstLine="720" w:firstLineChars="300"/>
              <w:jc w:val="center"/>
              <w:rPr>
                <w:rFonts w:ascii="Times New Roman" w:hAnsi="Times New Roman"/>
                <w:color w:val="auto"/>
                <w:highlight w:val="none"/>
              </w:rPr>
            </w:pPr>
          </w:p>
          <w:p w14:paraId="316202C1">
            <w:pPr>
              <w:pStyle w:val="26"/>
              <w:spacing w:before="156" w:after="156" w:line="360" w:lineRule="auto"/>
              <w:ind w:firstLine="720" w:firstLineChars="300"/>
              <w:jc w:val="center"/>
              <w:rPr>
                <w:rFonts w:ascii="Times New Roman" w:hAnsi="Times New Roman"/>
                <w:color w:val="auto"/>
                <w:highlight w:val="none"/>
              </w:rPr>
            </w:pPr>
          </w:p>
          <w:p w14:paraId="72F0B335">
            <w:pPr>
              <w:pStyle w:val="26"/>
              <w:spacing w:before="156" w:after="156" w:line="360" w:lineRule="auto"/>
              <w:ind w:firstLine="720" w:firstLineChars="300"/>
              <w:jc w:val="center"/>
              <w:rPr>
                <w:rFonts w:ascii="Times New Roman" w:hAnsi="Times New Roman"/>
                <w:color w:val="auto"/>
                <w:highlight w:val="none"/>
              </w:rPr>
            </w:pPr>
          </w:p>
        </w:tc>
        <w:tc>
          <w:tcPr>
            <w:tcW w:w="1260" w:type="dxa"/>
            <w:vMerge w:val="restart"/>
            <w:vAlign w:val="center"/>
          </w:tcPr>
          <w:p w14:paraId="0B186417">
            <w:pPr>
              <w:spacing w:line="360" w:lineRule="auto"/>
              <w:jc w:val="center"/>
              <w:rPr>
                <w:color w:val="auto"/>
                <w:sz w:val="24"/>
                <w:highlight w:val="none"/>
              </w:rPr>
            </w:pPr>
            <w:r>
              <w:rPr>
                <w:rFonts w:hint="eastAsia"/>
                <w:color w:val="auto"/>
                <w:sz w:val="24"/>
                <w:highlight w:val="none"/>
              </w:rPr>
              <w:t>职工总数</w:t>
            </w:r>
          </w:p>
        </w:tc>
        <w:tc>
          <w:tcPr>
            <w:tcW w:w="2887" w:type="dxa"/>
            <w:vAlign w:val="center"/>
          </w:tcPr>
          <w:p w14:paraId="1C7CA0A0">
            <w:pPr>
              <w:pStyle w:val="26"/>
              <w:spacing w:before="156" w:after="156" w:line="360" w:lineRule="auto"/>
              <w:rPr>
                <w:rFonts w:ascii="Times New Roman" w:hAnsi="Times New Roman"/>
                <w:color w:val="auto"/>
                <w:highlight w:val="none"/>
              </w:rPr>
            </w:pPr>
            <w:r>
              <w:rPr>
                <w:rFonts w:hint="eastAsia" w:asciiTheme="majorEastAsia" w:hAnsiTheme="majorEastAsia" w:eastAsiaTheme="majorEastAsia"/>
                <w:color w:val="auto"/>
                <w:highlight w:val="none"/>
              </w:rPr>
              <w:t>员工（包括技术工人、高级技师、工程师）：   人</w:t>
            </w:r>
          </w:p>
        </w:tc>
        <w:tc>
          <w:tcPr>
            <w:tcW w:w="3922" w:type="dxa"/>
            <w:gridSpan w:val="3"/>
            <w:vAlign w:val="center"/>
          </w:tcPr>
          <w:p w14:paraId="286F665C">
            <w:pPr>
              <w:pStyle w:val="26"/>
              <w:spacing w:before="156" w:after="156" w:line="360" w:lineRule="auto"/>
              <w:rPr>
                <w:rFonts w:ascii="Times New Roman" w:hAnsi="Times New Roman"/>
                <w:color w:val="auto"/>
                <w:highlight w:val="none"/>
              </w:rPr>
            </w:pPr>
            <w:r>
              <w:rPr>
                <w:rFonts w:hint="eastAsia" w:ascii="Times New Roman" w:hAnsi="Times New Roman"/>
                <w:color w:val="auto"/>
                <w:highlight w:val="none"/>
              </w:rPr>
              <w:t>技术工人：人</w:t>
            </w:r>
          </w:p>
        </w:tc>
      </w:tr>
      <w:tr w14:paraId="7A5F4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1" w:hRule="atLeast"/>
          <w:jc w:val="center"/>
        </w:trPr>
        <w:tc>
          <w:tcPr>
            <w:tcW w:w="844" w:type="dxa"/>
            <w:vMerge w:val="continue"/>
            <w:vAlign w:val="center"/>
          </w:tcPr>
          <w:p w14:paraId="7D1D0ADF">
            <w:pPr>
              <w:pStyle w:val="26"/>
              <w:spacing w:before="156" w:after="156" w:line="360" w:lineRule="auto"/>
              <w:ind w:firstLine="720" w:firstLineChars="300"/>
              <w:jc w:val="center"/>
              <w:rPr>
                <w:rFonts w:ascii="Times New Roman" w:hAnsi="Times New Roman"/>
                <w:color w:val="auto"/>
                <w:highlight w:val="none"/>
              </w:rPr>
            </w:pPr>
          </w:p>
        </w:tc>
        <w:tc>
          <w:tcPr>
            <w:tcW w:w="1260" w:type="dxa"/>
            <w:vMerge w:val="continue"/>
            <w:vAlign w:val="center"/>
          </w:tcPr>
          <w:p w14:paraId="58FDA4B4">
            <w:pPr>
              <w:widowControl/>
              <w:spacing w:line="360" w:lineRule="auto"/>
              <w:jc w:val="center"/>
              <w:rPr>
                <w:color w:val="auto"/>
                <w:sz w:val="24"/>
                <w:highlight w:val="none"/>
              </w:rPr>
            </w:pPr>
          </w:p>
        </w:tc>
        <w:tc>
          <w:tcPr>
            <w:tcW w:w="2887" w:type="dxa"/>
            <w:vAlign w:val="center"/>
          </w:tcPr>
          <w:p w14:paraId="5E3B08C1">
            <w:pPr>
              <w:pStyle w:val="26"/>
              <w:spacing w:before="156" w:after="156" w:line="360" w:lineRule="auto"/>
              <w:rPr>
                <w:color w:val="auto"/>
                <w:highlight w:val="none"/>
              </w:rPr>
            </w:pPr>
            <w:r>
              <w:rPr>
                <w:rFonts w:hint="eastAsia"/>
                <w:color w:val="auto"/>
                <w:highlight w:val="none"/>
              </w:rPr>
              <w:t>高级技师：人</w:t>
            </w:r>
          </w:p>
        </w:tc>
        <w:tc>
          <w:tcPr>
            <w:tcW w:w="3922" w:type="dxa"/>
            <w:gridSpan w:val="3"/>
            <w:vAlign w:val="center"/>
          </w:tcPr>
          <w:p w14:paraId="6EEEB763">
            <w:pPr>
              <w:pStyle w:val="26"/>
              <w:spacing w:before="156" w:after="156" w:line="360" w:lineRule="auto"/>
              <w:rPr>
                <w:color w:val="auto"/>
                <w:highlight w:val="none"/>
              </w:rPr>
            </w:pPr>
            <w:r>
              <w:rPr>
                <w:rFonts w:hint="eastAsia"/>
                <w:color w:val="auto"/>
                <w:highlight w:val="none"/>
              </w:rPr>
              <w:t>工程师：人</w:t>
            </w:r>
          </w:p>
        </w:tc>
      </w:tr>
      <w:tr w14:paraId="78867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844" w:type="dxa"/>
            <w:vMerge w:val="continue"/>
            <w:vAlign w:val="center"/>
          </w:tcPr>
          <w:p w14:paraId="04A1BDA6">
            <w:pPr>
              <w:pStyle w:val="26"/>
              <w:spacing w:before="156" w:after="156" w:line="360" w:lineRule="auto"/>
              <w:ind w:firstLine="720" w:firstLineChars="300"/>
              <w:jc w:val="center"/>
              <w:rPr>
                <w:rFonts w:ascii="Times New Roman" w:hAnsi="Times New Roman"/>
                <w:color w:val="auto"/>
                <w:highlight w:val="none"/>
              </w:rPr>
            </w:pPr>
          </w:p>
        </w:tc>
        <w:tc>
          <w:tcPr>
            <w:tcW w:w="1260" w:type="dxa"/>
            <w:vAlign w:val="center"/>
          </w:tcPr>
          <w:p w14:paraId="02328DAC">
            <w:pPr>
              <w:pStyle w:val="26"/>
              <w:spacing w:before="156" w:after="156" w:line="360" w:lineRule="auto"/>
              <w:jc w:val="center"/>
              <w:rPr>
                <w:color w:val="auto"/>
                <w:highlight w:val="none"/>
              </w:rPr>
            </w:pPr>
            <w:r>
              <w:rPr>
                <w:rFonts w:hint="eastAsia"/>
                <w:color w:val="auto"/>
                <w:highlight w:val="none"/>
              </w:rPr>
              <w:t>流动资金</w:t>
            </w:r>
          </w:p>
        </w:tc>
        <w:tc>
          <w:tcPr>
            <w:tcW w:w="2887" w:type="dxa"/>
            <w:vAlign w:val="center"/>
          </w:tcPr>
          <w:p w14:paraId="5F7D2C49">
            <w:pPr>
              <w:pStyle w:val="26"/>
              <w:spacing w:before="156" w:after="156" w:line="360" w:lineRule="auto"/>
              <w:jc w:val="center"/>
              <w:rPr>
                <w:color w:val="auto"/>
                <w:highlight w:val="none"/>
              </w:rPr>
            </w:pPr>
          </w:p>
        </w:tc>
        <w:tc>
          <w:tcPr>
            <w:tcW w:w="1222" w:type="dxa"/>
            <w:vAlign w:val="center"/>
          </w:tcPr>
          <w:p w14:paraId="7A707518">
            <w:pPr>
              <w:pStyle w:val="26"/>
              <w:spacing w:before="156" w:after="156" w:line="360" w:lineRule="auto"/>
              <w:jc w:val="center"/>
              <w:rPr>
                <w:color w:val="auto"/>
                <w:highlight w:val="none"/>
              </w:rPr>
            </w:pPr>
            <w:r>
              <w:rPr>
                <w:rFonts w:hint="eastAsia"/>
                <w:color w:val="auto"/>
                <w:highlight w:val="none"/>
              </w:rPr>
              <w:t>营业面积</w:t>
            </w:r>
          </w:p>
        </w:tc>
        <w:tc>
          <w:tcPr>
            <w:tcW w:w="2700" w:type="dxa"/>
            <w:gridSpan w:val="2"/>
            <w:vAlign w:val="center"/>
          </w:tcPr>
          <w:p w14:paraId="2EC60863">
            <w:pPr>
              <w:pStyle w:val="26"/>
              <w:spacing w:before="156" w:after="156" w:line="360" w:lineRule="auto"/>
              <w:jc w:val="center"/>
              <w:rPr>
                <w:color w:val="auto"/>
                <w:highlight w:val="none"/>
              </w:rPr>
            </w:pPr>
          </w:p>
        </w:tc>
      </w:tr>
      <w:tr w14:paraId="1FD0E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3" w:hRule="exact"/>
          <w:jc w:val="center"/>
        </w:trPr>
        <w:tc>
          <w:tcPr>
            <w:tcW w:w="844" w:type="dxa"/>
            <w:vMerge w:val="continue"/>
            <w:vAlign w:val="center"/>
          </w:tcPr>
          <w:p w14:paraId="1F2C412C">
            <w:pPr>
              <w:pStyle w:val="26"/>
              <w:spacing w:before="156" w:after="156" w:line="360" w:lineRule="auto"/>
              <w:ind w:firstLine="720" w:firstLineChars="300"/>
              <w:jc w:val="center"/>
              <w:rPr>
                <w:rFonts w:ascii="Times New Roman" w:hAnsi="Times New Roman"/>
                <w:color w:val="auto"/>
                <w:highlight w:val="none"/>
              </w:rPr>
            </w:pPr>
          </w:p>
        </w:tc>
        <w:tc>
          <w:tcPr>
            <w:tcW w:w="1260" w:type="dxa"/>
            <w:vAlign w:val="center"/>
          </w:tcPr>
          <w:p w14:paraId="0D27D286">
            <w:pPr>
              <w:pStyle w:val="26"/>
              <w:spacing w:before="156" w:after="156" w:line="360" w:lineRule="auto"/>
              <w:jc w:val="center"/>
              <w:rPr>
                <w:color w:val="auto"/>
                <w:highlight w:val="none"/>
              </w:rPr>
            </w:pPr>
            <w:r>
              <w:rPr>
                <w:rFonts w:hint="eastAsia"/>
                <w:color w:val="auto"/>
                <w:highlight w:val="none"/>
              </w:rPr>
              <w:t>固定资金</w:t>
            </w:r>
          </w:p>
        </w:tc>
        <w:tc>
          <w:tcPr>
            <w:tcW w:w="2887" w:type="dxa"/>
            <w:vAlign w:val="center"/>
          </w:tcPr>
          <w:p w14:paraId="1C68A9C5">
            <w:pPr>
              <w:widowControl/>
              <w:spacing w:line="360" w:lineRule="auto"/>
              <w:jc w:val="center"/>
              <w:rPr>
                <w:color w:val="auto"/>
                <w:sz w:val="24"/>
                <w:highlight w:val="none"/>
              </w:rPr>
            </w:pPr>
          </w:p>
        </w:tc>
        <w:tc>
          <w:tcPr>
            <w:tcW w:w="1222" w:type="dxa"/>
            <w:vAlign w:val="center"/>
          </w:tcPr>
          <w:p w14:paraId="083F5DEB">
            <w:pPr>
              <w:pStyle w:val="26"/>
              <w:spacing w:before="156" w:after="156" w:line="360" w:lineRule="auto"/>
              <w:jc w:val="center"/>
              <w:rPr>
                <w:color w:val="auto"/>
                <w:highlight w:val="none"/>
              </w:rPr>
            </w:pPr>
            <w:r>
              <w:rPr>
                <w:rFonts w:hint="eastAsia"/>
                <w:color w:val="auto"/>
                <w:highlight w:val="none"/>
              </w:rPr>
              <w:t>维修网点</w:t>
            </w:r>
          </w:p>
        </w:tc>
        <w:tc>
          <w:tcPr>
            <w:tcW w:w="2700" w:type="dxa"/>
            <w:gridSpan w:val="2"/>
            <w:vAlign w:val="center"/>
          </w:tcPr>
          <w:p w14:paraId="08824A73">
            <w:pPr>
              <w:widowControl/>
              <w:spacing w:line="360" w:lineRule="auto"/>
              <w:jc w:val="center"/>
              <w:rPr>
                <w:color w:val="auto"/>
                <w:sz w:val="24"/>
                <w:highlight w:val="none"/>
              </w:rPr>
            </w:pPr>
          </w:p>
        </w:tc>
      </w:tr>
      <w:tr w14:paraId="2812A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7" w:hRule="atLeast"/>
          <w:jc w:val="center"/>
        </w:trPr>
        <w:tc>
          <w:tcPr>
            <w:tcW w:w="844" w:type="dxa"/>
            <w:vAlign w:val="center"/>
          </w:tcPr>
          <w:p w14:paraId="67815A14">
            <w:pPr>
              <w:pStyle w:val="26"/>
              <w:spacing w:before="156" w:after="156" w:line="360" w:lineRule="auto"/>
              <w:jc w:val="center"/>
              <w:rPr>
                <w:rFonts w:ascii="Times New Roman" w:hAnsi="Times New Roman"/>
                <w:color w:val="auto"/>
                <w:highlight w:val="none"/>
              </w:rPr>
            </w:pPr>
            <w:r>
              <w:rPr>
                <w:rFonts w:hint="eastAsia" w:ascii="Times New Roman" w:hAnsi="Times New Roman"/>
                <w:color w:val="auto"/>
                <w:highlight w:val="none"/>
              </w:rPr>
              <w:t>单位简历</w:t>
            </w:r>
          </w:p>
        </w:tc>
        <w:tc>
          <w:tcPr>
            <w:tcW w:w="8069" w:type="dxa"/>
            <w:gridSpan w:val="5"/>
          </w:tcPr>
          <w:p w14:paraId="365B09D8">
            <w:pPr>
              <w:spacing w:line="360" w:lineRule="auto"/>
              <w:jc w:val="left"/>
              <w:rPr>
                <w:color w:val="auto"/>
                <w:sz w:val="24"/>
                <w:highlight w:val="none"/>
              </w:rPr>
            </w:pPr>
          </w:p>
        </w:tc>
      </w:tr>
      <w:tr w14:paraId="5F48A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844" w:type="dxa"/>
            <w:vAlign w:val="center"/>
          </w:tcPr>
          <w:p w14:paraId="26D6600F">
            <w:pPr>
              <w:pStyle w:val="26"/>
              <w:spacing w:before="156" w:after="156" w:line="360" w:lineRule="auto"/>
              <w:jc w:val="center"/>
              <w:rPr>
                <w:rFonts w:ascii="Times New Roman" w:hAnsi="Times New Roman"/>
                <w:color w:val="auto"/>
                <w:highlight w:val="none"/>
              </w:rPr>
            </w:pPr>
            <w:r>
              <w:rPr>
                <w:rFonts w:hint="eastAsia" w:ascii="Times New Roman" w:hAnsi="Times New Roman"/>
                <w:color w:val="auto"/>
                <w:highlight w:val="none"/>
              </w:rPr>
              <w:t>优势及特长</w:t>
            </w:r>
          </w:p>
        </w:tc>
        <w:tc>
          <w:tcPr>
            <w:tcW w:w="8069" w:type="dxa"/>
            <w:gridSpan w:val="5"/>
          </w:tcPr>
          <w:p w14:paraId="1D926233">
            <w:pPr>
              <w:spacing w:line="360" w:lineRule="auto"/>
              <w:jc w:val="left"/>
              <w:rPr>
                <w:color w:val="auto"/>
                <w:sz w:val="24"/>
                <w:highlight w:val="none"/>
              </w:rPr>
            </w:pPr>
          </w:p>
        </w:tc>
      </w:tr>
    </w:tbl>
    <w:p w14:paraId="1ED2CFFD">
      <w:pP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注：附营业执照等相关资料。</w:t>
      </w:r>
    </w:p>
    <w:p w14:paraId="5DB91B01">
      <w:pPr>
        <w:snapToGrid w:val="0"/>
        <w:spacing w:beforeLines="50" w:after="50" w:line="360" w:lineRule="auto"/>
        <w:ind w:firstLine="480" w:firstLineChars="200"/>
        <w:rPr>
          <w:rFonts w:ascii="宋体"/>
          <w:color w:val="auto"/>
          <w:sz w:val="24"/>
          <w:szCs w:val="20"/>
          <w:highlight w:val="none"/>
        </w:rPr>
      </w:pPr>
      <w:r>
        <w:rPr>
          <w:rFonts w:hint="eastAsia" w:ascii="宋体" w:hAnsi="宋体"/>
          <w:color w:val="auto"/>
          <w:sz w:val="24"/>
          <w:highlight w:val="none"/>
        </w:rPr>
        <w:t>投标人</w:t>
      </w:r>
      <w:r>
        <w:rPr>
          <w:rFonts w:hint="eastAsia" w:ascii="宋体" w:hAnsi="宋体"/>
          <w:color w:val="auto"/>
          <w:sz w:val="24"/>
          <w:highlight w:val="none"/>
          <w:lang w:eastAsia="zh-CN"/>
        </w:rPr>
        <w:t>全称</w:t>
      </w:r>
      <w:r>
        <w:rPr>
          <w:rFonts w:hint="eastAsia" w:ascii="宋体" w:hAnsi="宋体" w:cs="宋体"/>
          <w:color w:val="auto"/>
          <w:sz w:val="24"/>
          <w:highlight w:val="none"/>
        </w:rPr>
        <w:t>（盖公章或电子签章）</w:t>
      </w:r>
      <w:r>
        <w:rPr>
          <w:rFonts w:hint="eastAsia" w:ascii="宋体" w:hAnsi="宋体"/>
          <w:color w:val="auto"/>
          <w:sz w:val="24"/>
          <w:highlight w:val="none"/>
        </w:rPr>
        <w:t>：</w:t>
      </w:r>
    </w:p>
    <w:p w14:paraId="204D0F97">
      <w:pPr>
        <w:snapToGrid w:val="0"/>
        <w:spacing w:beforeLines="50" w:after="50" w:line="360" w:lineRule="auto"/>
        <w:jc w:val="both"/>
        <w:rPr>
          <w:rFonts w:hint="eastAsia" w:ascii="宋体" w:hAnsi="宋体"/>
          <w:b/>
          <w:color w:val="auto"/>
          <w:sz w:val="24"/>
          <w:highlight w:val="none"/>
        </w:rPr>
      </w:pPr>
      <w:r>
        <w:rPr>
          <w:rFonts w:ascii="宋体" w:hAnsi="宋体"/>
          <w:color w:val="auto"/>
          <w:sz w:val="24"/>
          <w:highlight w:val="none"/>
        </w:rPr>
        <w:t xml:space="preserve"> </w:t>
      </w:r>
      <w:r>
        <w:rPr>
          <w:rFonts w:hint="eastAsia" w:ascii="宋体" w:hAnsi="宋体"/>
          <w:color w:val="auto"/>
          <w:sz w:val="24"/>
          <w:highlight w:val="none"/>
          <w:lang w:val="en-US" w:eastAsia="zh-CN"/>
        </w:rPr>
        <w:t xml:space="preserve">   </w:t>
      </w:r>
      <w:r>
        <w:rPr>
          <w:rFonts w:hint="eastAsia" w:ascii="宋体" w:hAnsi="宋体"/>
          <w:color w:val="auto"/>
          <w:sz w:val="24"/>
          <w:highlight w:val="none"/>
        </w:rPr>
        <w:t>年</w:t>
      </w:r>
      <w:r>
        <w:rPr>
          <w:rFonts w:ascii="宋体" w:hAnsi="宋体"/>
          <w:color w:val="auto"/>
          <w:sz w:val="24"/>
          <w:highlight w:val="none"/>
        </w:rPr>
        <w:t xml:space="preserve">   </w:t>
      </w:r>
      <w:r>
        <w:rPr>
          <w:rFonts w:hint="eastAsia" w:ascii="宋体" w:hAnsi="宋体"/>
          <w:color w:val="auto"/>
          <w:sz w:val="24"/>
          <w:highlight w:val="none"/>
        </w:rPr>
        <w:t>月</w:t>
      </w:r>
      <w:r>
        <w:rPr>
          <w:rFonts w:ascii="宋体" w:hAnsi="宋体"/>
          <w:color w:val="auto"/>
          <w:sz w:val="24"/>
          <w:highlight w:val="none"/>
        </w:rPr>
        <w:t xml:space="preserve">     </w:t>
      </w:r>
      <w:r>
        <w:rPr>
          <w:rFonts w:hint="eastAsia" w:ascii="宋体" w:hAnsi="宋体"/>
          <w:color w:val="auto"/>
          <w:sz w:val="24"/>
          <w:highlight w:val="none"/>
        </w:rPr>
        <w:t>日</w:t>
      </w:r>
    </w:p>
    <w:p w14:paraId="5B734846">
      <w:pPr>
        <w:pStyle w:val="6"/>
        <w:rPr>
          <w:rFonts w:ascii="宋体" w:hAnsi="宋体" w:eastAsia="宋体" w:cs="宋体"/>
          <w:bCs w:val="0"/>
          <w:color w:val="auto"/>
          <w:sz w:val="24"/>
          <w:szCs w:val="24"/>
          <w:highlight w:val="none"/>
        </w:rPr>
      </w:pPr>
      <w:r>
        <w:rPr>
          <w:rFonts w:hint="eastAsia" w:ascii="宋体" w:hAnsi="宋体" w:cs="宋体"/>
          <w:bCs w:val="0"/>
          <w:color w:val="auto"/>
          <w:sz w:val="24"/>
          <w:szCs w:val="24"/>
          <w:highlight w:val="none"/>
          <w:lang w:eastAsia="zh-CN"/>
        </w:rPr>
        <w:t>附件</w:t>
      </w:r>
      <w:r>
        <w:rPr>
          <w:rFonts w:hint="eastAsia" w:ascii="宋体" w:hAnsi="宋体" w:cs="宋体"/>
          <w:bCs w:val="0"/>
          <w:color w:val="auto"/>
          <w:sz w:val="24"/>
          <w:szCs w:val="24"/>
          <w:highlight w:val="none"/>
          <w:lang w:val="en-US" w:eastAsia="zh-CN"/>
        </w:rPr>
        <w:t>:</w:t>
      </w:r>
      <w:r>
        <w:rPr>
          <w:rFonts w:hint="eastAsia" w:ascii="宋体" w:hAnsi="宋体" w:eastAsia="宋体" w:cs="宋体"/>
          <w:bCs w:val="0"/>
          <w:color w:val="auto"/>
          <w:sz w:val="24"/>
          <w:szCs w:val="24"/>
          <w:highlight w:val="none"/>
        </w:rPr>
        <w:t>投标人依法缴纳税收和社保费、无失信行为的声明函</w:t>
      </w:r>
    </w:p>
    <w:p w14:paraId="2CB6BAD1">
      <w:pPr>
        <w:pStyle w:val="6"/>
        <w:jc w:val="center"/>
        <w:rPr>
          <w:rFonts w:ascii="宋体" w:hAnsi="宋体" w:cs="宋体"/>
          <w:bCs w:val="0"/>
          <w:color w:val="auto"/>
          <w:sz w:val="30"/>
          <w:szCs w:val="30"/>
          <w:highlight w:val="none"/>
        </w:rPr>
      </w:pPr>
      <w:r>
        <w:rPr>
          <w:rFonts w:hint="eastAsia" w:ascii="宋体" w:hAnsi="宋体" w:eastAsia="宋体" w:cs="宋体"/>
          <w:bCs w:val="0"/>
          <w:color w:val="auto"/>
          <w:sz w:val="30"/>
          <w:szCs w:val="30"/>
          <w:highlight w:val="none"/>
        </w:rPr>
        <w:t>投标人依法缴纳税收和社保费、无失信行为的声明函</w:t>
      </w:r>
    </w:p>
    <w:p w14:paraId="7A536195">
      <w:pPr>
        <w:pStyle w:val="6"/>
        <w:jc w:val="center"/>
        <w:rPr>
          <w:rFonts w:ascii="宋体" w:hAnsi="宋体" w:cs="宋体"/>
          <w:bCs w:val="0"/>
          <w:color w:val="auto"/>
          <w:sz w:val="30"/>
          <w:szCs w:val="30"/>
          <w:highlight w:val="none"/>
        </w:rPr>
      </w:pPr>
    </w:p>
    <w:p w14:paraId="48E5E9D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致：采购人</w:t>
      </w:r>
    </w:p>
    <w:p w14:paraId="022003E6">
      <w:pPr>
        <w:pStyle w:val="6"/>
        <w:ind w:firstLine="480" w:firstLineChars="200"/>
        <w:rPr>
          <w:rFonts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本公司（单位）在参加采购编号为</w:t>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rPr>
        <w:t xml:space="preserve"> ，项目名称为</w:t>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rPr>
        <w:t>的政府采购活动前，在生产经营活动中始终依法缴纳税收和社保费。截至公告发布日止，相关主体在“信用中国”网站(www.creditchina.gov.cn)及中国政府采购网(www.ccgp.gov.cn)无有失信行为。</w:t>
      </w:r>
    </w:p>
    <w:p w14:paraId="1582BA22">
      <w:pPr>
        <w:pStyle w:val="6"/>
        <w:ind w:firstLine="480" w:firstLineChars="200"/>
        <w:rPr>
          <w:rFonts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特此声明。</w:t>
      </w:r>
    </w:p>
    <w:p w14:paraId="3EA0BCD4">
      <w:pPr>
        <w:snapToGrid w:val="0"/>
        <w:spacing w:line="360" w:lineRule="auto"/>
        <w:rPr>
          <w:rFonts w:ascii="宋体" w:hAnsi="宋体" w:cs="宋体"/>
          <w:color w:val="auto"/>
          <w:sz w:val="24"/>
          <w:highlight w:val="none"/>
          <w:u w:val="single"/>
        </w:rPr>
      </w:pPr>
      <w:r>
        <w:rPr>
          <w:rFonts w:hint="eastAsia" w:ascii="宋体" w:hAnsi="宋体"/>
          <w:color w:val="auto"/>
          <w:spacing w:val="20"/>
          <w:sz w:val="24"/>
          <w:highlight w:val="none"/>
        </w:rPr>
        <w:t>投标人全称</w:t>
      </w:r>
      <w:r>
        <w:rPr>
          <w:rFonts w:hint="eastAsia" w:ascii="宋体" w:hAnsi="宋体" w:cs="宋体"/>
          <w:color w:val="auto"/>
          <w:sz w:val="24"/>
          <w:highlight w:val="none"/>
        </w:rPr>
        <w:t>（盖公章或电子签章）</w:t>
      </w:r>
      <w:r>
        <w:rPr>
          <w:rFonts w:hint="eastAsia" w:ascii="宋体" w:hAnsi="宋体"/>
          <w:color w:val="auto"/>
          <w:spacing w:val="20"/>
          <w:sz w:val="24"/>
          <w:highlight w:val="none"/>
        </w:rPr>
        <w:t>：</w:t>
      </w:r>
    </w:p>
    <w:p w14:paraId="329C2575">
      <w:pPr>
        <w:pStyle w:val="6"/>
        <w:rPr>
          <w:rFonts w:ascii="宋体" w:hAnsi="宋体" w:eastAsia="宋体"/>
          <w:b w:val="0"/>
          <w:bCs w:val="0"/>
          <w:color w:val="auto"/>
          <w:spacing w:val="20"/>
          <w:sz w:val="24"/>
          <w:szCs w:val="24"/>
          <w:highlight w:val="none"/>
        </w:rPr>
      </w:pPr>
      <w:r>
        <w:rPr>
          <w:rFonts w:hint="eastAsia" w:ascii="宋体" w:hAnsi="宋体" w:eastAsia="宋体"/>
          <w:b w:val="0"/>
          <w:bCs w:val="0"/>
          <w:color w:val="auto"/>
          <w:spacing w:val="20"/>
          <w:sz w:val="24"/>
          <w:szCs w:val="24"/>
          <w:highlight w:val="none"/>
        </w:rPr>
        <w:t>年   月   日：</w:t>
      </w:r>
    </w:p>
    <w:p w14:paraId="02A0F62B">
      <w:pPr>
        <w:snapToGrid w:val="0"/>
        <w:spacing w:before="120" w:beforeLines="50" w:after="50"/>
        <w:rPr>
          <w:rFonts w:hint="eastAsia" w:ascii="宋体" w:hAnsi="宋体" w:cs="宋体"/>
          <w:b/>
          <w:color w:val="auto"/>
          <w:sz w:val="24"/>
          <w:highlight w:val="none"/>
          <w:lang w:eastAsia="zh-CN"/>
        </w:rPr>
      </w:pPr>
    </w:p>
    <w:p w14:paraId="0BA48CDE">
      <w:pPr>
        <w:snapToGrid w:val="0"/>
        <w:spacing w:before="120" w:beforeLines="50" w:after="50"/>
        <w:rPr>
          <w:rFonts w:hint="eastAsia" w:ascii="宋体" w:hAnsi="宋体" w:cs="宋体"/>
          <w:b/>
          <w:color w:val="auto"/>
          <w:sz w:val="24"/>
          <w:highlight w:val="none"/>
          <w:lang w:eastAsia="zh-CN"/>
        </w:rPr>
      </w:pPr>
    </w:p>
    <w:p w14:paraId="497A019C">
      <w:pPr>
        <w:snapToGrid w:val="0"/>
        <w:spacing w:before="120" w:beforeLines="50" w:after="50"/>
        <w:rPr>
          <w:rFonts w:hint="eastAsia" w:ascii="宋体" w:hAnsi="宋体" w:cs="宋体"/>
          <w:b/>
          <w:color w:val="auto"/>
          <w:sz w:val="24"/>
          <w:highlight w:val="none"/>
          <w:lang w:eastAsia="zh-CN"/>
        </w:rPr>
      </w:pPr>
    </w:p>
    <w:p w14:paraId="4173F3CA">
      <w:pPr>
        <w:snapToGrid w:val="0"/>
        <w:spacing w:before="120" w:beforeLines="50" w:after="50"/>
        <w:rPr>
          <w:rFonts w:hint="eastAsia" w:ascii="宋体" w:hAnsi="宋体" w:cs="宋体"/>
          <w:b/>
          <w:color w:val="auto"/>
          <w:sz w:val="24"/>
          <w:highlight w:val="none"/>
          <w:lang w:eastAsia="zh-CN"/>
        </w:rPr>
      </w:pPr>
    </w:p>
    <w:p w14:paraId="657A2250">
      <w:pPr>
        <w:snapToGrid w:val="0"/>
        <w:spacing w:before="120" w:beforeLines="50" w:after="50"/>
        <w:rPr>
          <w:rFonts w:hint="eastAsia" w:ascii="宋体" w:hAnsi="宋体" w:cs="宋体"/>
          <w:b/>
          <w:color w:val="auto"/>
          <w:sz w:val="24"/>
          <w:highlight w:val="none"/>
          <w:lang w:eastAsia="zh-CN"/>
        </w:rPr>
      </w:pPr>
    </w:p>
    <w:p w14:paraId="17150040">
      <w:pPr>
        <w:snapToGrid w:val="0"/>
        <w:spacing w:before="120" w:beforeLines="50" w:after="50"/>
        <w:rPr>
          <w:rFonts w:hint="eastAsia" w:ascii="宋体" w:hAnsi="宋体" w:cs="宋体"/>
          <w:b/>
          <w:color w:val="auto"/>
          <w:sz w:val="24"/>
          <w:highlight w:val="none"/>
          <w:lang w:eastAsia="zh-CN"/>
        </w:rPr>
      </w:pPr>
    </w:p>
    <w:p w14:paraId="62439FB2">
      <w:pPr>
        <w:snapToGrid w:val="0"/>
        <w:spacing w:before="120" w:beforeLines="50" w:after="50"/>
        <w:rPr>
          <w:rFonts w:hint="eastAsia" w:ascii="宋体" w:hAnsi="宋体" w:cs="宋体"/>
          <w:b/>
          <w:color w:val="auto"/>
          <w:sz w:val="24"/>
          <w:highlight w:val="none"/>
          <w:lang w:eastAsia="zh-CN"/>
        </w:rPr>
      </w:pPr>
    </w:p>
    <w:p w14:paraId="6D770BC4">
      <w:pPr>
        <w:snapToGrid w:val="0"/>
        <w:spacing w:before="120" w:beforeLines="50" w:after="50"/>
        <w:rPr>
          <w:rFonts w:hint="eastAsia" w:ascii="宋体" w:hAnsi="宋体" w:cs="宋体"/>
          <w:b/>
          <w:color w:val="auto"/>
          <w:sz w:val="24"/>
          <w:highlight w:val="none"/>
          <w:lang w:eastAsia="zh-CN"/>
        </w:rPr>
      </w:pPr>
    </w:p>
    <w:p w14:paraId="30A7C4CA">
      <w:pPr>
        <w:snapToGrid w:val="0"/>
        <w:spacing w:before="120" w:beforeLines="50" w:after="50"/>
        <w:rPr>
          <w:rFonts w:hint="eastAsia" w:ascii="宋体" w:hAnsi="宋体" w:cs="宋体"/>
          <w:b/>
          <w:color w:val="auto"/>
          <w:sz w:val="24"/>
          <w:highlight w:val="none"/>
          <w:lang w:eastAsia="zh-CN"/>
        </w:rPr>
      </w:pPr>
    </w:p>
    <w:p w14:paraId="17452BDA">
      <w:pPr>
        <w:snapToGrid w:val="0"/>
        <w:spacing w:before="120" w:beforeLines="50" w:after="50"/>
        <w:rPr>
          <w:rFonts w:hint="eastAsia" w:ascii="宋体" w:hAnsi="宋体" w:cs="宋体"/>
          <w:b/>
          <w:color w:val="auto"/>
          <w:sz w:val="24"/>
          <w:highlight w:val="none"/>
          <w:lang w:eastAsia="zh-CN"/>
        </w:rPr>
      </w:pPr>
    </w:p>
    <w:p w14:paraId="1337045E">
      <w:pPr>
        <w:snapToGrid w:val="0"/>
        <w:spacing w:before="120" w:beforeLines="50" w:after="50"/>
        <w:rPr>
          <w:rFonts w:hint="eastAsia" w:ascii="宋体" w:hAnsi="宋体" w:cs="宋体"/>
          <w:b/>
          <w:color w:val="auto"/>
          <w:sz w:val="24"/>
          <w:highlight w:val="none"/>
          <w:lang w:eastAsia="zh-CN"/>
        </w:rPr>
      </w:pPr>
    </w:p>
    <w:p w14:paraId="0C3FCC0C">
      <w:pPr>
        <w:snapToGrid w:val="0"/>
        <w:spacing w:before="120" w:beforeLines="50" w:after="50"/>
        <w:rPr>
          <w:rFonts w:hint="eastAsia" w:ascii="宋体" w:hAnsi="宋体" w:cs="宋体"/>
          <w:b/>
          <w:color w:val="auto"/>
          <w:sz w:val="24"/>
          <w:highlight w:val="none"/>
          <w:lang w:eastAsia="zh-CN"/>
        </w:rPr>
      </w:pPr>
    </w:p>
    <w:p w14:paraId="706C0E64">
      <w:pPr>
        <w:snapToGrid w:val="0"/>
        <w:spacing w:before="120" w:beforeLines="50" w:after="50"/>
        <w:rPr>
          <w:rFonts w:hint="eastAsia" w:ascii="宋体" w:hAnsi="宋体" w:cs="宋体"/>
          <w:b/>
          <w:color w:val="auto"/>
          <w:sz w:val="24"/>
          <w:highlight w:val="none"/>
          <w:lang w:eastAsia="zh-CN"/>
        </w:rPr>
      </w:pPr>
    </w:p>
    <w:p w14:paraId="0F31C061">
      <w:pPr>
        <w:snapToGrid w:val="0"/>
        <w:spacing w:before="120" w:beforeLines="50" w:after="50"/>
        <w:rPr>
          <w:rFonts w:hint="eastAsia" w:ascii="宋体" w:hAnsi="宋体" w:cs="宋体"/>
          <w:b/>
          <w:color w:val="auto"/>
          <w:sz w:val="24"/>
          <w:highlight w:val="none"/>
          <w:lang w:eastAsia="zh-CN"/>
        </w:rPr>
      </w:pPr>
    </w:p>
    <w:p w14:paraId="0003F914">
      <w:pPr>
        <w:snapToGrid w:val="0"/>
        <w:spacing w:before="120" w:beforeLines="50" w:after="50"/>
        <w:rPr>
          <w:rFonts w:ascii="宋体" w:hAnsi="宋体" w:cs="宋体"/>
          <w:b/>
          <w:color w:val="auto"/>
          <w:sz w:val="24"/>
          <w:highlight w:val="none"/>
        </w:rPr>
      </w:pPr>
      <w:r>
        <w:rPr>
          <w:rFonts w:hint="eastAsia" w:ascii="宋体" w:hAnsi="宋体" w:cs="宋体"/>
          <w:b/>
          <w:color w:val="auto"/>
          <w:sz w:val="24"/>
          <w:highlight w:val="none"/>
          <w:lang w:eastAsia="zh-CN"/>
        </w:rPr>
        <w:t>附件：</w:t>
      </w:r>
      <w:r>
        <w:rPr>
          <w:rFonts w:hint="eastAsia" w:ascii="宋体" w:hAnsi="宋体" w:cs="宋体"/>
          <w:b/>
          <w:color w:val="auto"/>
          <w:sz w:val="24"/>
          <w:highlight w:val="none"/>
        </w:rPr>
        <w:t>政府采购供应商诚信承诺书：</w:t>
      </w:r>
    </w:p>
    <w:p w14:paraId="7E3BA191">
      <w:pPr>
        <w:widowControl/>
        <w:spacing w:before="100" w:beforeAutospacing="1" w:after="190"/>
        <w:ind w:firstLine="2789" w:firstLineChars="926"/>
        <w:rPr>
          <w:rFonts w:ascii="宋体" w:hAnsi="宋体" w:cs="宋体"/>
          <w:color w:val="auto"/>
          <w:kern w:val="0"/>
          <w:sz w:val="30"/>
          <w:szCs w:val="30"/>
          <w:highlight w:val="none"/>
        </w:rPr>
      </w:pPr>
      <w:r>
        <w:rPr>
          <w:rFonts w:hint="eastAsia" w:ascii="宋体" w:hAnsi="宋体" w:cs="宋体"/>
          <w:b/>
          <w:bCs/>
          <w:color w:val="auto"/>
          <w:kern w:val="0"/>
          <w:sz w:val="30"/>
          <w:szCs w:val="30"/>
          <w:highlight w:val="none"/>
        </w:rPr>
        <w:t>政府采购供应商诚信承诺书</w:t>
      </w:r>
    </w:p>
    <w:p w14:paraId="3CD99739">
      <w:pPr>
        <w:widowControl/>
        <w:spacing w:before="100" w:beforeAutospacing="1" w:after="190"/>
        <w:jc w:val="left"/>
        <w:rPr>
          <w:rFonts w:ascii="宋体" w:hAnsi="宋体" w:cs="宋体"/>
          <w:b/>
          <w:color w:val="auto"/>
          <w:kern w:val="0"/>
          <w:sz w:val="24"/>
          <w:highlight w:val="none"/>
          <w:u w:val="single"/>
        </w:rPr>
      </w:pPr>
      <w:r>
        <w:rPr>
          <w:rFonts w:hint="eastAsia" w:ascii="宋体" w:hAnsi="宋体" w:cs="宋体"/>
          <w:b/>
          <w:color w:val="auto"/>
          <w:kern w:val="0"/>
          <w:sz w:val="24"/>
          <w:highlight w:val="none"/>
          <w:u w:val="single"/>
          <w:lang w:eastAsia="zh-CN"/>
        </w:rPr>
        <w:t>泰宇建筑工程技术咨询有限公司</w:t>
      </w:r>
      <w:r>
        <w:rPr>
          <w:rFonts w:hint="eastAsia" w:ascii="宋体" w:hAnsi="宋体" w:cs="宋体"/>
          <w:b/>
          <w:color w:val="auto"/>
          <w:kern w:val="0"/>
          <w:sz w:val="24"/>
          <w:highlight w:val="none"/>
          <w:u w:val="single"/>
        </w:rPr>
        <w:t>：</w:t>
      </w:r>
    </w:p>
    <w:p w14:paraId="6B285830">
      <w:pPr>
        <w:spacing w:line="340" w:lineRule="exact"/>
        <w:ind w:firstLine="480" w:firstLineChars="200"/>
        <w:rPr>
          <w:rFonts w:ascii="宋体" w:hAnsi="宋体" w:cs="宋体"/>
          <w:color w:val="auto"/>
          <w:sz w:val="24"/>
          <w:highlight w:val="none"/>
        </w:rPr>
      </w:pPr>
      <w:r>
        <w:rPr>
          <w:rFonts w:hint="eastAsia" w:ascii="宋体" w:hAnsi="宋体" w:cs="宋体"/>
          <w:color w:val="auto"/>
          <w:kern w:val="0"/>
          <w:sz w:val="24"/>
          <w:highlight w:val="none"/>
        </w:rPr>
        <w:t>我公司自愿参与贵单位组织的</w:t>
      </w:r>
      <w:r>
        <w:rPr>
          <w:rFonts w:hint="eastAsia" w:ascii="宋体" w:hAnsi="宋体" w:cs="宋体"/>
          <w:b/>
          <w:color w:val="auto"/>
          <w:kern w:val="0"/>
          <w:sz w:val="24"/>
          <w:highlight w:val="none"/>
          <w:u w:val="single"/>
        </w:rPr>
        <w:t xml:space="preserve">                   项目（招标编号：     ）</w:t>
      </w:r>
      <w:r>
        <w:rPr>
          <w:rFonts w:hint="eastAsia" w:ascii="宋体" w:hAnsi="宋体" w:cs="宋体"/>
          <w:color w:val="auto"/>
          <w:kern w:val="0"/>
          <w:sz w:val="24"/>
          <w:highlight w:val="none"/>
        </w:rPr>
        <w:t>采购活动，严格遵守《中华人民共和国</w:t>
      </w:r>
      <w:r>
        <w:rPr>
          <w:rFonts w:hint="eastAsia" w:ascii="宋体" w:hAnsi="宋体" w:cs="宋体"/>
          <w:color w:val="auto"/>
          <w:sz w:val="24"/>
          <w:highlight w:val="none"/>
        </w:rPr>
        <w:t>政府采购法》等相关法律法规的规定，坚守公平竞争，并无条件地遵守本次采购活动各项规定。我们郑重承诺：如果在本次招标活动中有以下情形的，愿接受政府采购监管等部门给予相关处罚并承担法律责任。</w:t>
      </w:r>
    </w:p>
    <w:p w14:paraId="36383F75">
      <w:pPr>
        <w:spacing w:line="3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（一）提供虚假材料谋取中标的；</w:t>
      </w:r>
    </w:p>
    <w:p w14:paraId="77918C34">
      <w:pPr>
        <w:spacing w:line="3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（二）采取不正当手段诋毁、排挤</w:t>
      </w:r>
      <w:r>
        <w:rPr>
          <w:color w:val="auto"/>
          <w:highlight w:val="none"/>
        </w:rPr>
        <w:fldChar w:fldCharType="begin"/>
      </w:r>
      <w:r>
        <w:rPr>
          <w:color w:val="auto"/>
          <w:highlight w:val="none"/>
        </w:rPr>
        <w:instrText xml:space="preserve"> HYPERLINK "http://www.oh100.com/qita/" \t "_blank" </w:instrText>
      </w:r>
      <w:r>
        <w:rPr>
          <w:color w:val="auto"/>
          <w:highlight w:val="none"/>
        </w:rPr>
        <w:fldChar w:fldCharType="separate"/>
      </w:r>
      <w:r>
        <w:rPr>
          <w:rStyle w:val="52"/>
          <w:rFonts w:hint="eastAsia" w:ascii="宋体" w:hAnsi="宋体" w:cs="宋体"/>
          <w:color w:val="auto"/>
          <w:sz w:val="24"/>
          <w:highlight w:val="none"/>
        </w:rPr>
        <w:t>其他</w:t>
      </w:r>
      <w:r>
        <w:rPr>
          <w:rStyle w:val="52"/>
          <w:rFonts w:hint="eastAsia" w:ascii="宋体" w:hAnsi="宋体" w:cs="宋体"/>
          <w:color w:val="auto"/>
          <w:sz w:val="24"/>
          <w:highlight w:val="none"/>
        </w:rPr>
        <w:fldChar w:fldCharType="end"/>
      </w:r>
      <w:r>
        <w:rPr>
          <w:rFonts w:hint="eastAsia" w:ascii="宋体" w:hAnsi="宋体" w:cs="宋体"/>
          <w:color w:val="auto"/>
          <w:sz w:val="24"/>
          <w:highlight w:val="none"/>
        </w:rPr>
        <w:t>供应商的；</w:t>
      </w:r>
    </w:p>
    <w:p w14:paraId="43F82114">
      <w:pPr>
        <w:spacing w:line="3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（三）与招标采购单位、其他投标人恶意串通的；</w:t>
      </w:r>
    </w:p>
    <w:p w14:paraId="731A3221">
      <w:pPr>
        <w:spacing w:line="3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（四）向招标采购单位行贿或提供其他不正当利益的；</w:t>
      </w:r>
    </w:p>
    <w:p w14:paraId="034A4EE5">
      <w:pPr>
        <w:spacing w:line="3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（五）在招标过程中与招标采购单位进行协商谈判、不按照招标文件和投标文件订立合同，或者与采购人另立背离合同实质性内容协议的；</w:t>
      </w:r>
    </w:p>
    <w:p w14:paraId="647139DD">
      <w:pPr>
        <w:spacing w:line="3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（六）开标后擅自撤销投标，影响招标继续进行的或领取招标文件后不投标导致废标的；</w:t>
      </w:r>
    </w:p>
    <w:p w14:paraId="5DB97A08">
      <w:pPr>
        <w:spacing w:line="340" w:lineRule="exact"/>
        <w:ind w:firstLine="600" w:firstLineChars="250"/>
        <w:rPr>
          <w:rFonts w:ascii="宋体" w:hAnsi="宋体" w:cs="宋体"/>
          <w:color w:val="auto"/>
          <w:sz w:val="24"/>
          <w:highlight w:val="none"/>
        </w:rPr>
      </w:pPr>
      <w:r>
        <w:rPr>
          <w:rFonts w:hint="eastAsia" w:ascii="宋体" w:hAnsi="宋体" w:cs="宋体"/>
          <w:color w:val="auto"/>
          <w:sz w:val="24"/>
          <w:highlight w:val="none"/>
        </w:rPr>
        <w:t>（七）中标后无正当理由，在规定时间内不与采购单位签订合同的；</w:t>
      </w:r>
    </w:p>
    <w:p w14:paraId="79D12D14">
      <w:pPr>
        <w:spacing w:line="340" w:lineRule="exact"/>
        <w:ind w:firstLine="600" w:firstLineChars="250"/>
        <w:rPr>
          <w:rFonts w:ascii="宋体" w:hAnsi="宋体" w:cs="宋体"/>
          <w:color w:val="auto"/>
          <w:sz w:val="24"/>
          <w:highlight w:val="none"/>
        </w:rPr>
      </w:pPr>
      <w:r>
        <w:rPr>
          <w:rFonts w:hint="eastAsia" w:ascii="宋体" w:hAnsi="宋体" w:cs="宋体"/>
          <w:color w:val="auto"/>
          <w:sz w:val="24"/>
          <w:highlight w:val="none"/>
        </w:rPr>
        <w:t>（八）将中标项目转让给他人或非法分包他人的；</w:t>
      </w:r>
    </w:p>
    <w:p w14:paraId="7871B1D3">
      <w:pPr>
        <w:spacing w:line="340" w:lineRule="exact"/>
        <w:ind w:firstLine="600" w:firstLineChars="250"/>
        <w:rPr>
          <w:rFonts w:ascii="宋体" w:hAnsi="宋体" w:cs="宋体"/>
          <w:color w:val="auto"/>
          <w:sz w:val="24"/>
          <w:highlight w:val="none"/>
        </w:rPr>
      </w:pPr>
      <w:r>
        <w:rPr>
          <w:rFonts w:hint="eastAsia" w:ascii="宋体" w:hAnsi="宋体" w:cs="宋体"/>
          <w:color w:val="auto"/>
          <w:sz w:val="24"/>
          <w:highlight w:val="none"/>
        </w:rPr>
        <w:t>（九）无正当理由，拒绝履行合同义务的；</w:t>
      </w:r>
    </w:p>
    <w:p w14:paraId="3764CB86">
      <w:pPr>
        <w:spacing w:line="340" w:lineRule="exact"/>
        <w:ind w:firstLine="600" w:firstLineChars="250"/>
        <w:rPr>
          <w:rFonts w:ascii="宋体" w:hAnsi="宋体" w:cs="宋体"/>
          <w:color w:val="auto"/>
          <w:sz w:val="24"/>
          <w:highlight w:val="none"/>
        </w:rPr>
      </w:pPr>
      <w:r>
        <w:rPr>
          <w:rFonts w:hint="eastAsia" w:ascii="宋体" w:hAnsi="宋体" w:cs="宋体"/>
          <w:color w:val="auto"/>
          <w:sz w:val="24"/>
          <w:highlight w:val="none"/>
        </w:rPr>
        <w:t>（十）无正当理由放弃中标（成交）项目的；</w:t>
      </w:r>
    </w:p>
    <w:p w14:paraId="7605C63B">
      <w:pPr>
        <w:spacing w:line="340" w:lineRule="exact"/>
        <w:ind w:firstLine="600" w:firstLineChars="250"/>
        <w:rPr>
          <w:rFonts w:ascii="宋体" w:hAnsi="宋体" w:cs="宋体"/>
          <w:color w:val="auto"/>
          <w:sz w:val="24"/>
          <w:highlight w:val="none"/>
        </w:rPr>
      </w:pPr>
      <w:r>
        <w:rPr>
          <w:rFonts w:hint="eastAsia" w:ascii="宋体" w:hAnsi="宋体" w:cs="宋体"/>
          <w:color w:val="auto"/>
          <w:sz w:val="24"/>
          <w:highlight w:val="none"/>
        </w:rPr>
        <w:t>（十一）擅自或与采购人串通或接受采购人要求，在履约合同中通过减少货物数量，更换品牌、降低配置、技术要求、质量和服务标准等，却仍按原合同进行虚假验收或终止政府采购合同的；</w:t>
      </w:r>
    </w:p>
    <w:p w14:paraId="6AD9F6C9">
      <w:pPr>
        <w:spacing w:line="3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（十二）与采购人串通，对尚未履约完毕的采购项目出具虚假验收报告的；</w:t>
      </w:r>
    </w:p>
    <w:p w14:paraId="00A582B7">
      <w:pPr>
        <w:spacing w:line="3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（十三）无不可抗力因素，拒绝提供售后服务、售后服务态度恶劣、故意提高维修配件价格（高于市场平均价）的；</w:t>
      </w:r>
    </w:p>
    <w:p w14:paraId="3873ADF0">
      <w:pPr>
        <w:spacing w:line="3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（十四）开标后对招标文件的相关内容再进行质疑的；</w:t>
      </w:r>
    </w:p>
    <w:p w14:paraId="1E366D55">
      <w:pPr>
        <w:spacing w:line="3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（十五）恶意投诉的行为：投诉经查无实据的、捏造事实或者提供虚假投诉材料的；</w:t>
      </w:r>
    </w:p>
    <w:p w14:paraId="5A771078">
      <w:pPr>
        <w:spacing w:line="3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（十六）拒绝有关部门监督检查或者提供虚假情况的；</w:t>
      </w:r>
    </w:p>
    <w:p w14:paraId="7CD16A62">
      <w:pPr>
        <w:spacing w:line="3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（十七）财政、监察部门认定的其他不诚信行为。</w:t>
      </w:r>
    </w:p>
    <w:p w14:paraId="5ABC976E">
      <w:pPr>
        <w:spacing w:line="3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（十八）招标文件规定的其他不诚信行为。</w:t>
      </w:r>
    </w:p>
    <w:p w14:paraId="4B979C44">
      <w:pPr>
        <w:spacing w:line="340" w:lineRule="exact"/>
        <w:ind w:firstLine="5760" w:firstLineChars="2400"/>
        <w:rPr>
          <w:rFonts w:ascii="宋体" w:hAnsi="宋体" w:cs="宋体"/>
          <w:color w:val="auto"/>
          <w:sz w:val="24"/>
          <w:highlight w:val="none"/>
        </w:rPr>
      </w:pPr>
    </w:p>
    <w:p w14:paraId="0AF5224B">
      <w:pPr>
        <w:snapToGrid w:val="0"/>
        <w:spacing w:line="360" w:lineRule="auto"/>
        <w:jc w:val="left"/>
        <w:rPr>
          <w:rFonts w:hint="eastAsia" w:ascii="宋体" w:hAnsi="宋体"/>
          <w:color w:val="auto"/>
          <w:spacing w:val="20"/>
          <w:sz w:val="24"/>
          <w:highlight w:val="none"/>
        </w:rPr>
      </w:pPr>
      <w:r>
        <w:rPr>
          <w:rFonts w:hint="eastAsia" w:ascii="宋体" w:hAnsi="宋体"/>
          <w:color w:val="auto"/>
          <w:spacing w:val="20"/>
          <w:sz w:val="24"/>
          <w:highlight w:val="none"/>
        </w:rPr>
        <w:t>投标人全称</w:t>
      </w:r>
      <w:r>
        <w:rPr>
          <w:rFonts w:hint="eastAsia" w:ascii="宋体" w:hAnsi="宋体" w:cs="宋体"/>
          <w:color w:val="auto"/>
          <w:sz w:val="24"/>
          <w:highlight w:val="none"/>
        </w:rPr>
        <w:t>（盖公章或电子签章）</w:t>
      </w:r>
      <w:r>
        <w:rPr>
          <w:rFonts w:hint="eastAsia" w:ascii="宋体" w:hAnsi="宋体"/>
          <w:color w:val="auto"/>
          <w:spacing w:val="20"/>
          <w:sz w:val="24"/>
          <w:highlight w:val="none"/>
        </w:rPr>
        <w:t>：</w:t>
      </w:r>
    </w:p>
    <w:p w14:paraId="70903EEE">
      <w:pPr>
        <w:snapToGrid w:val="0"/>
        <w:spacing w:line="360" w:lineRule="auto"/>
        <w:jc w:val="left"/>
        <w:rPr>
          <w:rFonts w:ascii="宋体" w:hAnsi="宋体"/>
          <w:color w:val="auto"/>
          <w:spacing w:val="20"/>
          <w:sz w:val="24"/>
          <w:highlight w:val="none"/>
        </w:rPr>
      </w:pPr>
      <w:r>
        <w:rPr>
          <w:rFonts w:hint="eastAsia" w:ascii="宋体" w:hAnsi="宋体" w:eastAsia="宋体"/>
          <w:b w:val="0"/>
          <w:bCs w:val="0"/>
          <w:color w:val="auto"/>
          <w:spacing w:val="20"/>
          <w:sz w:val="24"/>
          <w:szCs w:val="24"/>
          <w:highlight w:val="none"/>
        </w:rPr>
        <w:t>年   月   日</w:t>
      </w:r>
    </w:p>
    <w:p w14:paraId="77EB23A7">
      <w:pPr>
        <w:snapToGrid w:val="0"/>
        <w:spacing w:before="50" w:after="120" w:afterLines="50" w:line="360" w:lineRule="auto"/>
        <w:jc w:val="left"/>
        <w:rPr>
          <w:rFonts w:hint="eastAsia" w:ascii="宋体" w:hAnsi="宋体"/>
          <w:b/>
          <w:color w:val="auto"/>
          <w:sz w:val="24"/>
          <w:highlight w:val="none"/>
        </w:rPr>
      </w:pPr>
    </w:p>
    <w:p w14:paraId="6FAA1088">
      <w:pPr>
        <w:snapToGrid w:val="0"/>
        <w:spacing w:before="50" w:after="120" w:afterLines="50" w:line="360" w:lineRule="auto"/>
        <w:jc w:val="left"/>
        <w:rPr>
          <w:rFonts w:hint="eastAsia" w:ascii="宋体" w:hAnsi="宋体"/>
          <w:b/>
          <w:color w:val="auto"/>
          <w:sz w:val="24"/>
          <w:highlight w:val="none"/>
        </w:rPr>
      </w:pPr>
    </w:p>
    <w:p w14:paraId="749FC570">
      <w:pPr>
        <w:snapToGrid w:val="0"/>
        <w:spacing w:before="50" w:after="120" w:afterLines="50" w:line="360" w:lineRule="auto"/>
        <w:jc w:val="left"/>
        <w:rPr>
          <w:rFonts w:hint="eastAsia" w:ascii="宋体" w:hAnsi="宋体"/>
          <w:b/>
          <w:color w:val="auto"/>
          <w:sz w:val="24"/>
          <w:highlight w:val="none"/>
        </w:rPr>
      </w:pPr>
    </w:p>
    <w:p w14:paraId="23F3C08E">
      <w:pPr>
        <w:pStyle w:val="6"/>
        <w:rPr>
          <w:rFonts w:ascii="宋体" w:hAnsi="宋体" w:eastAsia="宋体"/>
          <w:color w:val="auto"/>
          <w:sz w:val="24"/>
          <w:szCs w:val="24"/>
        </w:rPr>
      </w:pPr>
      <w:r>
        <w:rPr>
          <w:rFonts w:hint="eastAsia" w:ascii="宋体" w:hAnsi="宋体"/>
          <w:color w:val="auto"/>
          <w:sz w:val="24"/>
          <w:szCs w:val="24"/>
          <w:lang w:eastAsia="zh-CN"/>
        </w:rPr>
        <w:t>附件：</w:t>
      </w:r>
      <w:r>
        <w:rPr>
          <w:rFonts w:hint="eastAsia" w:ascii="宋体" w:hAnsi="宋体" w:eastAsia="宋体"/>
          <w:color w:val="auto"/>
          <w:sz w:val="24"/>
          <w:szCs w:val="24"/>
        </w:rPr>
        <w:t>无重大违法记录声明书:</w:t>
      </w:r>
    </w:p>
    <w:p w14:paraId="56D4A8BA">
      <w:pPr>
        <w:pStyle w:val="15"/>
        <w:spacing w:line="360" w:lineRule="auto"/>
        <w:ind w:firstLine="0"/>
        <w:jc w:val="center"/>
        <w:rPr>
          <w:rFonts w:ascii="宋体" w:hAnsi="宋体" w:eastAsia="宋体"/>
          <w:b/>
          <w:color w:val="auto"/>
          <w:sz w:val="32"/>
          <w:szCs w:val="32"/>
        </w:rPr>
      </w:pPr>
      <w:r>
        <w:rPr>
          <w:rFonts w:hint="eastAsia" w:ascii="宋体" w:hAnsi="宋体" w:eastAsia="宋体"/>
          <w:b/>
          <w:color w:val="auto"/>
          <w:sz w:val="32"/>
          <w:szCs w:val="32"/>
        </w:rPr>
        <w:t>无重大违法记录声明书</w:t>
      </w:r>
    </w:p>
    <w:p w14:paraId="52A3FCC3">
      <w:pPr>
        <w:pStyle w:val="270"/>
        <w:spacing w:line="360" w:lineRule="auto"/>
        <w:rPr>
          <w:rFonts w:ascii="宋体" w:hAnsi="宋体" w:eastAsia="宋体"/>
          <w:color w:val="auto"/>
          <w:spacing w:val="6"/>
          <w:sz w:val="24"/>
        </w:rPr>
      </w:pPr>
      <w:r>
        <w:rPr>
          <w:rFonts w:hint="eastAsia" w:ascii="宋体" w:hAnsi="宋体" w:eastAsia="宋体"/>
          <w:color w:val="auto"/>
          <w:sz w:val="24"/>
          <w:u w:val="single"/>
        </w:rPr>
        <w:t>（采购人名称）</w:t>
      </w:r>
      <w:r>
        <w:rPr>
          <w:rFonts w:hint="eastAsia" w:ascii="宋体" w:hAnsi="宋体" w:eastAsia="宋体"/>
          <w:color w:val="auto"/>
          <w:spacing w:val="6"/>
          <w:sz w:val="24"/>
        </w:rPr>
        <w:t>：</w:t>
      </w:r>
    </w:p>
    <w:p w14:paraId="45A02AEF">
      <w:pPr>
        <w:pStyle w:val="270"/>
        <w:spacing w:line="360" w:lineRule="auto"/>
        <w:ind w:firstLine="504" w:firstLineChars="200"/>
        <w:rPr>
          <w:rFonts w:ascii="宋体" w:hAnsi="宋体" w:eastAsia="宋体"/>
          <w:color w:val="auto"/>
          <w:spacing w:val="6"/>
          <w:sz w:val="24"/>
        </w:rPr>
      </w:pPr>
      <w:r>
        <w:rPr>
          <w:rFonts w:hint="eastAsia" w:ascii="宋体" w:hAnsi="宋体" w:eastAsia="宋体"/>
          <w:color w:val="auto"/>
          <w:spacing w:val="6"/>
          <w:sz w:val="24"/>
        </w:rPr>
        <w:t xml:space="preserve"> 我方参与的</w:t>
      </w:r>
      <w:r>
        <w:rPr>
          <w:rFonts w:hint="eastAsia" w:ascii="宋体" w:hAnsi="宋体" w:eastAsia="宋体"/>
          <w:color w:val="auto"/>
          <w:spacing w:val="6"/>
          <w:sz w:val="24"/>
          <w:u w:val="single"/>
        </w:rPr>
        <w:t xml:space="preserve">     （项目名称）（项目编号）（标项）    </w:t>
      </w:r>
      <w:r>
        <w:rPr>
          <w:rFonts w:hint="eastAsia" w:ascii="宋体" w:hAnsi="宋体" w:eastAsia="宋体"/>
          <w:color w:val="auto"/>
          <w:spacing w:val="6"/>
          <w:sz w:val="24"/>
        </w:rPr>
        <w:t>的投标活动，我方郑重声明，我方参加本项目投标活动前三年内无重大违法记录（重大违法记录是指投标人因违法经营受到刑事处罚或者责令停产停业、吊销许可证或者执照、较大数额罚款等行政处罚），符合《中华人民共和国政府采购法》、《中华人民共和国政府采购法实施条例》的规定。我方对此声明负全部法律责任。</w:t>
      </w:r>
    </w:p>
    <w:p w14:paraId="379CF7BF">
      <w:pPr>
        <w:keepNext/>
        <w:keepLines/>
        <w:spacing w:before="260" w:after="260" w:line="416" w:lineRule="auto"/>
        <w:outlineLvl w:val="1"/>
        <w:rPr>
          <w:rFonts w:hint="eastAsia" w:ascii="宋体" w:hAnsi="宋体" w:eastAsia="宋体"/>
          <w:color w:val="auto"/>
          <w:spacing w:val="6"/>
          <w:sz w:val="24"/>
        </w:rPr>
      </w:pPr>
      <w:r>
        <w:rPr>
          <w:rFonts w:hint="eastAsia" w:ascii="宋体" w:hAnsi="宋体" w:eastAsia="宋体"/>
          <w:color w:val="auto"/>
          <w:spacing w:val="6"/>
          <w:sz w:val="24"/>
        </w:rPr>
        <w:tab/>
      </w:r>
      <w:r>
        <w:rPr>
          <w:rFonts w:hint="eastAsia" w:ascii="宋体" w:hAnsi="宋体" w:eastAsia="宋体"/>
          <w:color w:val="auto"/>
          <w:spacing w:val="6"/>
          <w:sz w:val="24"/>
        </w:rPr>
        <w:t>特此声明。</w:t>
      </w:r>
    </w:p>
    <w:p w14:paraId="07900AEB">
      <w:pPr>
        <w:snapToGrid w:val="0"/>
        <w:spacing w:line="360" w:lineRule="auto"/>
        <w:jc w:val="left"/>
        <w:rPr>
          <w:rFonts w:hint="eastAsia" w:ascii="宋体" w:hAnsi="宋体"/>
          <w:color w:val="auto"/>
          <w:spacing w:val="20"/>
          <w:sz w:val="24"/>
          <w:highlight w:val="none"/>
        </w:rPr>
      </w:pPr>
      <w:r>
        <w:rPr>
          <w:rFonts w:hint="eastAsia" w:ascii="宋体" w:hAnsi="宋体"/>
          <w:color w:val="auto"/>
          <w:spacing w:val="20"/>
          <w:sz w:val="24"/>
          <w:highlight w:val="none"/>
        </w:rPr>
        <w:t>投标人全称</w:t>
      </w:r>
      <w:r>
        <w:rPr>
          <w:rFonts w:hint="eastAsia" w:ascii="宋体" w:hAnsi="宋体" w:cs="宋体"/>
          <w:color w:val="auto"/>
          <w:sz w:val="24"/>
          <w:highlight w:val="none"/>
        </w:rPr>
        <w:t>（盖公章或电子签章）</w:t>
      </w:r>
      <w:r>
        <w:rPr>
          <w:rFonts w:hint="eastAsia" w:ascii="宋体" w:hAnsi="宋体"/>
          <w:color w:val="auto"/>
          <w:spacing w:val="20"/>
          <w:sz w:val="24"/>
          <w:highlight w:val="none"/>
        </w:rPr>
        <w:t>：</w:t>
      </w:r>
    </w:p>
    <w:p w14:paraId="6DFC4861">
      <w:pPr>
        <w:snapToGrid w:val="0"/>
        <w:spacing w:line="360" w:lineRule="auto"/>
        <w:jc w:val="left"/>
        <w:rPr>
          <w:rFonts w:ascii="宋体" w:hAnsi="宋体"/>
          <w:color w:val="auto"/>
          <w:spacing w:val="20"/>
          <w:sz w:val="24"/>
          <w:highlight w:val="none"/>
        </w:rPr>
      </w:pPr>
      <w:r>
        <w:rPr>
          <w:rFonts w:hint="eastAsia" w:ascii="宋体" w:hAnsi="宋体" w:eastAsia="宋体"/>
          <w:b w:val="0"/>
          <w:bCs w:val="0"/>
          <w:color w:val="auto"/>
          <w:spacing w:val="20"/>
          <w:sz w:val="24"/>
          <w:szCs w:val="24"/>
          <w:highlight w:val="none"/>
        </w:rPr>
        <w:t>年   月   日</w:t>
      </w:r>
    </w:p>
    <w:p w14:paraId="17675A05">
      <w:pPr>
        <w:pStyle w:val="2"/>
        <w:rPr>
          <w:color w:val="auto"/>
        </w:rPr>
      </w:pPr>
    </w:p>
    <w:p w14:paraId="11D29334">
      <w:pPr>
        <w:snapToGrid w:val="0"/>
        <w:spacing w:before="50" w:after="120" w:afterLines="50" w:line="360" w:lineRule="auto"/>
        <w:jc w:val="left"/>
        <w:rPr>
          <w:rFonts w:hint="eastAsia" w:ascii="宋体" w:hAnsi="宋体"/>
          <w:b/>
          <w:color w:val="auto"/>
          <w:sz w:val="24"/>
          <w:highlight w:val="none"/>
        </w:rPr>
      </w:pPr>
    </w:p>
    <w:p w14:paraId="1534C80F">
      <w:pPr>
        <w:snapToGrid w:val="0"/>
        <w:spacing w:before="50" w:after="120" w:afterLines="50" w:line="360" w:lineRule="auto"/>
        <w:jc w:val="left"/>
        <w:rPr>
          <w:rFonts w:hint="eastAsia" w:ascii="宋体" w:hAnsi="宋体"/>
          <w:b/>
          <w:color w:val="auto"/>
          <w:sz w:val="24"/>
          <w:highlight w:val="none"/>
        </w:rPr>
      </w:pPr>
    </w:p>
    <w:p w14:paraId="2ACF3E05">
      <w:pPr>
        <w:rPr>
          <w:rFonts w:hint="eastAsia" w:ascii="宋体" w:hAnsi="宋体" w:cs="宋体"/>
          <w:b/>
          <w:color w:val="auto"/>
          <w:sz w:val="24"/>
          <w:highlight w:val="none"/>
          <w:lang w:eastAsia="zh-CN"/>
        </w:rPr>
      </w:pPr>
    </w:p>
    <w:p w14:paraId="60315164">
      <w:pPr>
        <w:rPr>
          <w:rFonts w:hint="eastAsia" w:ascii="宋体" w:hAnsi="宋体" w:cs="宋体"/>
          <w:b/>
          <w:color w:val="auto"/>
          <w:sz w:val="24"/>
          <w:highlight w:val="none"/>
          <w:lang w:eastAsia="zh-CN"/>
        </w:rPr>
      </w:pPr>
    </w:p>
    <w:p w14:paraId="5CCEC2AD">
      <w:pPr>
        <w:rPr>
          <w:rFonts w:hint="eastAsia" w:ascii="宋体" w:hAnsi="宋体" w:cs="宋体"/>
          <w:b/>
          <w:color w:val="auto"/>
          <w:sz w:val="24"/>
          <w:highlight w:val="none"/>
          <w:lang w:eastAsia="zh-CN"/>
        </w:rPr>
      </w:pPr>
    </w:p>
    <w:p w14:paraId="134C4A65">
      <w:pPr>
        <w:rPr>
          <w:rFonts w:hint="eastAsia" w:ascii="宋体" w:hAnsi="宋体" w:cs="宋体"/>
          <w:b/>
          <w:color w:val="auto"/>
          <w:sz w:val="24"/>
          <w:highlight w:val="none"/>
          <w:lang w:eastAsia="zh-CN"/>
        </w:rPr>
      </w:pPr>
    </w:p>
    <w:p w14:paraId="0607D40E">
      <w:pPr>
        <w:rPr>
          <w:rFonts w:hint="eastAsia" w:ascii="宋体" w:hAnsi="宋体" w:cs="宋体"/>
          <w:b/>
          <w:color w:val="auto"/>
          <w:sz w:val="24"/>
          <w:highlight w:val="none"/>
          <w:lang w:eastAsia="zh-CN"/>
        </w:rPr>
      </w:pPr>
    </w:p>
    <w:p w14:paraId="3CEB2600">
      <w:pPr>
        <w:rPr>
          <w:rFonts w:hint="eastAsia" w:ascii="宋体" w:hAnsi="宋体" w:cs="宋体"/>
          <w:b/>
          <w:color w:val="auto"/>
          <w:sz w:val="24"/>
          <w:highlight w:val="none"/>
          <w:lang w:eastAsia="zh-CN"/>
        </w:rPr>
      </w:pPr>
    </w:p>
    <w:p w14:paraId="715A6F7A">
      <w:pPr>
        <w:rPr>
          <w:rFonts w:hint="eastAsia" w:ascii="宋体" w:hAnsi="宋体" w:cs="宋体"/>
          <w:b/>
          <w:color w:val="auto"/>
          <w:sz w:val="24"/>
          <w:highlight w:val="none"/>
          <w:lang w:eastAsia="zh-CN"/>
        </w:rPr>
      </w:pPr>
    </w:p>
    <w:p w14:paraId="1CFF25B3">
      <w:pPr>
        <w:rPr>
          <w:rFonts w:hint="eastAsia" w:ascii="宋体" w:hAnsi="宋体" w:cs="宋体"/>
          <w:b/>
          <w:color w:val="auto"/>
          <w:sz w:val="24"/>
          <w:highlight w:val="none"/>
          <w:lang w:eastAsia="zh-CN"/>
        </w:rPr>
      </w:pPr>
    </w:p>
    <w:p w14:paraId="147332D2">
      <w:pPr>
        <w:rPr>
          <w:rFonts w:hint="eastAsia" w:ascii="宋体" w:hAnsi="宋体" w:cs="宋体"/>
          <w:b/>
          <w:color w:val="auto"/>
          <w:sz w:val="24"/>
          <w:highlight w:val="none"/>
          <w:lang w:eastAsia="zh-CN"/>
        </w:rPr>
      </w:pPr>
    </w:p>
    <w:p w14:paraId="1C3008D0">
      <w:pPr>
        <w:rPr>
          <w:rFonts w:hint="eastAsia" w:ascii="宋体" w:hAnsi="宋体" w:cs="宋体"/>
          <w:b/>
          <w:color w:val="auto"/>
          <w:sz w:val="24"/>
          <w:highlight w:val="none"/>
          <w:lang w:eastAsia="zh-CN"/>
        </w:rPr>
      </w:pPr>
    </w:p>
    <w:p w14:paraId="0334A018">
      <w:pPr>
        <w:rPr>
          <w:rFonts w:hint="eastAsia" w:ascii="宋体" w:hAnsi="宋体" w:cs="宋体"/>
          <w:b/>
          <w:color w:val="auto"/>
          <w:sz w:val="24"/>
          <w:highlight w:val="none"/>
          <w:lang w:eastAsia="zh-CN"/>
        </w:rPr>
      </w:pPr>
    </w:p>
    <w:p w14:paraId="6FCF8112">
      <w:pPr>
        <w:rPr>
          <w:rFonts w:hint="eastAsia" w:ascii="宋体" w:hAnsi="宋体" w:cs="宋体"/>
          <w:b/>
          <w:color w:val="auto"/>
          <w:sz w:val="24"/>
          <w:highlight w:val="none"/>
          <w:lang w:eastAsia="zh-CN"/>
        </w:rPr>
      </w:pPr>
    </w:p>
    <w:p w14:paraId="08457809">
      <w:pPr>
        <w:rPr>
          <w:rFonts w:hint="eastAsia" w:ascii="宋体" w:hAnsi="宋体" w:cs="宋体"/>
          <w:b/>
          <w:color w:val="auto"/>
          <w:sz w:val="24"/>
          <w:highlight w:val="none"/>
          <w:lang w:eastAsia="zh-CN"/>
        </w:rPr>
      </w:pPr>
    </w:p>
    <w:p w14:paraId="4F666AF0">
      <w:pPr>
        <w:rPr>
          <w:rFonts w:hint="eastAsia" w:ascii="宋体" w:hAnsi="宋体" w:cs="宋体"/>
          <w:b/>
          <w:color w:val="auto"/>
          <w:sz w:val="24"/>
          <w:highlight w:val="none"/>
          <w:lang w:eastAsia="zh-CN"/>
        </w:rPr>
      </w:pPr>
    </w:p>
    <w:p w14:paraId="7DFB5A9C">
      <w:pPr>
        <w:rPr>
          <w:rFonts w:hint="eastAsia" w:ascii="宋体" w:hAnsi="宋体" w:cs="宋体"/>
          <w:b/>
          <w:color w:val="auto"/>
          <w:sz w:val="24"/>
          <w:highlight w:val="none"/>
          <w:lang w:eastAsia="zh-CN"/>
        </w:rPr>
      </w:pPr>
    </w:p>
    <w:p w14:paraId="4EDC1744">
      <w:pPr>
        <w:pStyle w:val="2"/>
        <w:rPr>
          <w:rFonts w:hint="eastAsia"/>
          <w:color w:val="auto"/>
          <w:lang w:eastAsia="zh-CN"/>
        </w:rPr>
      </w:pPr>
    </w:p>
    <w:p w14:paraId="7DF1F808">
      <w:pPr>
        <w:rPr>
          <w:rFonts w:hint="eastAsia" w:ascii="宋体" w:hAnsi="宋体" w:cs="宋体"/>
          <w:b/>
          <w:color w:val="auto"/>
          <w:sz w:val="24"/>
          <w:highlight w:val="none"/>
          <w:lang w:eastAsia="zh-CN"/>
        </w:rPr>
      </w:pPr>
    </w:p>
    <w:p w14:paraId="304A164E">
      <w:pPr>
        <w:rPr>
          <w:rFonts w:hint="eastAsia" w:ascii="宋体" w:hAnsi="宋体" w:cs="宋体"/>
          <w:b/>
          <w:color w:val="auto"/>
          <w:sz w:val="24"/>
          <w:highlight w:val="none"/>
          <w:lang w:eastAsia="zh-CN"/>
        </w:rPr>
      </w:pPr>
    </w:p>
    <w:p w14:paraId="1FCD5122">
      <w:pPr>
        <w:rPr>
          <w:rFonts w:hint="eastAsia" w:ascii="宋体" w:hAnsi="宋体" w:cs="宋体"/>
          <w:b/>
          <w:color w:val="auto"/>
          <w:sz w:val="24"/>
          <w:highlight w:val="none"/>
          <w:lang w:eastAsia="zh-CN"/>
        </w:rPr>
      </w:pPr>
    </w:p>
    <w:p w14:paraId="5C1B64CE">
      <w:pPr>
        <w:rPr>
          <w:rFonts w:ascii="宋体" w:hAnsi="宋体" w:cs="宋体"/>
          <w:b/>
          <w:color w:val="auto"/>
          <w:sz w:val="30"/>
          <w:szCs w:val="30"/>
          <w:highlight w:val="none"/>
        </w:rPr>
      </w:pPr>
      <w:r>
        <w:rPr>
          <w:rFonts w:hint="eastAsia" w:ascii="宋体" w:hAnsi="宋体" w:cs="宋体"/>
          <w:b/>
          <w:color w:val="auto"/>
          <w:sz w:val="24"/>
          <w:highlight w:val="none"/>
          <w:lang w:eastAsia="zh-CN"/>
        </w:rPr>
        <w:t>附件：中标服务费</w:t>
      </w:r>
      <w:r>
        <w:rPr>
          <w:rFonts w:hint="eastAsia" w:ascii="宋体" w:hAnsi="宋体" w:cs="宋体"/>
          <w:b/>
          <w:color w:val="auto"/>
          <w:sz w:val="24"/>
          <w:highlight w:val="none"/>
        </w:rPr>
        <w:t>承诺书：</w:t>
      </w:r>
    </w:p>
    <w:p w14:paraId="0D8946C8">
      <w:pPr>
        <w:jc w:val="center"/>
        <w:rPr>
          <w:rFonts w:ascii="宋体" w:hAnsi="宋体" w:cs="宋体"/>
          <w:b/>
          <w:color w:val="auto"/>
          <w:sz w:val="30"/>
          <w:szCs w:val="30"/>
          <w:highlight w:val="none"/>
        </w:rPr>
      </w:pPr>
      <w:r>
        <w:rPr>
          <w:rFonts w:hint="eastAsia" w:ascii="宋体" w:hAnsi="宋体" w:cs="宋体"/>
          <w:b/>
          <w:color w:val="auto"/>
          <w:sz w:val="24"/>
          <w:highlight w:val="none"/>
          <w:lang w:eastAsia="zh-CN"/>
        </w:rPr>
        <w:t>中</w:t>
      </w:r>
      <w:r>
        <w:rPr>
          <w:rFonts w:hint="eastAsia" w:ascii="宋体" w:hAnsi="宋体" w:eastAsia="宋体" w:cs="宋体"/>
          <w:b/>
          <w:color w:val="auto"/>
          <w:sz w:val="24"/>
          <w:highlight w:val="none"/>
          <w:lang w:eastAsia="zh-CN"/>
        </w:rPr>
        <w:t>标服务承诺书</w:t>
      </w:r>
    </w:p>
    <w:p w14:paraId="77A8A20E">
      <w:pPr>
        <w:widowControl/>
        <w:spacing w:line="360" w:lineRule="auto"/>
        <w:jc w:val="left"/>
        <w:rPr>
          <w:rFonts w:ascii="宋体" w:hAnsi="宋体" w:cs="宋体"/>
          <w:b/>
          <w:color w:val="auto"/>
          <w:sz w:val="28"/>
          <w:szCs w:val="28"/>
          <w:highlight w:val="none"/>
        </w:rPr>
      </w:pPr>
    </w:p>
    <w:p w14:paraId="2BA46BB5">
      <w:pPr>
        <w:widowControl/>
        <w:spacing w:line="360" w:lineRule="auto"/>
        <w:jc w:val="left"/>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u w:val="single"/>
        </w:rPr>
        <w:t>致：</w:t>
      </w:r>
      <w:r>
        <w:rPr>
          <w:rFonts w:hint="eastAsia" w:ascii="宋体" w:hAnsi="宋体" w:cs="宋体"/>
          <w:color w:val="auto"/>
          <w:kern w:val="0"/>
          <w:sz w:val="24"/>
          <w:highlight w:val="none"/>
          <w:u w:val="single"/>
          <w:lang w:eastAsia="zh-CN"/>
        </w:rPr>
        <w:t>泰宇建筑工程技术咨询有限公司</w:t>
      </w:r>
    </w:p>
    <w:p w14:paraId="5AC5FFB4">
      <w:pPr>
        <w:widowControl/>
        <w:spacing w:line="360" w:lineRule="auto"/>
        <w:ind w:firstLine="600" w:firstLineChars="250"/>
        <w:jc w:val="left"/>
        <w:rPr>
          <w:rFonts w:ascii="宋体" w:hAnsi="宋体" w:cs="宋体"/>
          <w:color w:val="auto"/>
          <w:kern w:val="0"/>
          <w:sz w:val="24"/>
          <w:highlight w:val="none"/>
        </w:rPr>
      </w:pPr>
    </w:p>
    <w:p w14:paraId="173E6ADF">
      <w:pPr>
        <w:widowControl/>
        <w:spacing w:line="360" w:lineRule="auto"/>
        <w:ind w:firstLine="600" w:firstLineChars="250"/>
        <w:jc w:val="left"/>
        <w:rPr>
          <w:rFonts w:ascii="宋体" w:hAnsi="宋体" w:cs="宋体"/>
          <w:color w:val="auto"/>
          <w:kern w:val="0"/>
          <w:sz w:val="24"/>
          <w:highlight w:val="none"/>
        </w:rPr>
      </w:pPr>
      <w:r>
        <w:rPr>
          <w:rFonts w:hint="eastAsia" w:ascii="宋体" w:hAnsi="宋体" w:cs="宋体"/>
          <w:color w:val="auto"/>
          <w:kern w:val="0"/>
          <w:sz w:val="24"/>
          <w:highlight w:val="none"/>
        </w:rPr>
        <w:t>若我公司中标时，愿按招标文件规定的收费标准向</w:t>
      </w:r>
      <w:r>
        <w:rPr>
          <w:rFonts w:hint="eastAsia" w:ascii="宋体" w:hAnsi="宋体" w:cs="宋体"/>
          <w:color w:val="auto"/>
          <w:kern w:val="0"/>
          <w:sz w:val="24"/>
          <w:highlight w:val="none"/>
          <w:lang w:eastAsia="zh-CN"/>
        </w:rPr>
        <w:t>泰宇建筑工程技术咨询有限公司</w:t>
      </w:r>
      <w:r>
        <w:rPr>
          <w:rFonts w:hint="eastAsia" w:ascii="宋体" w:hAnsi="宋体" w:cs="宋体"/>
          <w:color w:val="auto"/>
          <w:kern w:val="0"/>
          <w:sz w:val="24"/>
          <w:highlight w:val="none"/>
        </w:rPr>
        <w:t>支付中标服务费。</w:t>
      </w:r>
    </w:p>
    <w:p w14:paraId="3574FDD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我方如未在规定时间交纳时，愿意凭贵方开出的违约通知，由采购人在本次招标项目的服务款中200%直接扣缴。</w:t>
      </w:r>
    </w:p>
    <w:p w14:paraId="08306E7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特此承诺！</w:t>
      </w:r>
    </w:p>
    <w:p w14:paraId="76B0E099">
      <w:pPr>
        <w:spacing w:line="360" w:lineRule="auto"/>
        <w:rPr>
          <w:rFonts w:ascii="宋体" w:hAnsi="宋体" w:cs="宋体"/>
          <w:color w:val="auto"/>
          <w:sz w:val="24"/>
          <w:highlight w:val="none"/>
        </w:rPr>
      </w:pPr>
    </w:p>
    <w:p w14:paraId="522A576D">
      <w:pPr>
        <w:spacing w:line="360" w:lineRule="auto"/>
        <w:rPr>
          <w:rFonts w:ascii="宋体" w:hAnsi="宋体" w:cs="宋体"/>
          <w:color w:val="auto"/>
          <w:sz w:val="24"/>
          <w:highlight w:val="none"/>
        </w:rPr>
      </w:pPr>
    </w:p>
    <w:p w14:paraId="218674E1">
      <w:pPr>
        <w:spacing w:line="360" w:lineRule="auto"/>
        <w:rPr>
          <w:rFonts w:ascii="宋体" w:hAnsi="宋体" w:cs="宋体"/>
          <w:color w:val="auto"/>
          <w:sz w:val="24"/>
          <w:highlight w:val="none"/>
        </w:rPr>
      </w:pPr>
    </w:p>
    <w:p w14:paraId="52797CD5">
      <w:pPr>
        <w:snapToGrid w:val="0"/>
        <w:spacing w:line="360" w:lineRule="auto"/>
        <w:jc w:val="left"/>
        <w:rPr>
          <w:rFonts w:ascii="宋体" w:hAnsi="宋体"/>
          <w:color w:val="auto"/>
          <w:spacing w:val="20"/>
          <w:sz w:val="24"/>
          <w:highlight w:val="none"/>
        </w:rPr>
      </w:pPr>
      <w:r>
        <w:rPr>
          <w:rFonts w:hint="eastAsia" w:ascii="宋体" w:hAnsi="宋体"/>
          <w:color w:val="auto"/>
          <w:spacing w:val="20"/>
          <w:sz w:val="24"/>
          <w:highlight w:val="none"/>
        </w:rPr>
        <w:t>投标人全称</w:t>
      </w:r>
      <w:r>
        <w:rPr>
          <w:rFonts w:hint="eastAsia" w:ascii="宋体" w:hAnsi="宋体" w:cs="宋体"/>
          <w:color w:val="auto"/>
          <w:sz w:val="24"/>
          <w:highlight w:val="none"/>
        </w:rPr>
        <w:t>（盖公章或电子签章）</w:t>
      </w:r>
      <w:r>
        <w:rPr>
          <w:rFonts w:hint="eastAsia" w:ascii="宋体" w:hAnsi="宋体"/>
          <w:color w:val="auto"/>
          <w:spacing w:val="20"/>
          <w:sz w:val="24"/>
          <w:highlight w:val="none"/>
        </w:rPr>
        <w:t>：</w:t>
      </w:r>
    </w:p>
    <w:p w14:paraId="48C9E4D3">
      <w:pPr>
        <w:snapToGrid w:val="0"/>
        <w:spacing w:line="360" w:lineRule="auto"/>
        <w:jc w:val="left"/>
        <w:rPr>
          <w:rFonts w:ascii="宋体" w:hAnsi="宋体"/>
          <w:color w:val="auto"/>
          <w:spacing w:val="20"/>
          <w:sz w:val="24"/>
          <w:highlight w:val="none"/>
        </w:rPr>
      </w:pPr>
      <w:r>
        <w:rPr>
          <w:rFonts w:hint="eastAsia" w:ascii="宋体" w:hAnsi="宋体" w:eastAsia="宋体"/>
          <w:b w:val="0"/>
          <w:bCs w:val="0"/>
          <w:color w:val="auto"/>
          <w:spacing w:val="20"/>
          <w:sz w:val="24"/>
          <w:szCs w:val="24"/>
          <w:highlight w:val="none"/>
        </w:rPr>
        <w:t>年   月   日</w:t>
      </w:r>
    </w:p>
    <w:p w14:paraId="694D2401">
      <w:pPr>
        <w:snapToGrid w:val="0"/>
        <w:spacing w:before="50" w:after="120" w:afterLines="50" w:line="360" w:lineRule="auto"/>
        <w:jc w:val="left"/>
        <w:rPr>
          <w:rFonts w:hint="eastAsia" w:ascii="宋体" w:hAnsi="宋体"/>
          <w:b/>
          <w:color w:val="auto"/>
          <w:sz w:val="24"/>
          <w:highlight w:val="none"/>
        </w:rPr>
      </w:pPr>
    </w:p>
    <w:p w14:paraId="5AD54D6D">
      <w:pPr>
        <w:snapToGrid w:val="0"/>
        <w:spacing w:before="50" w:after="120" w:afterLines="50" w:line="360" w:lineRule="auto"/>
        <w:jc w:val="left"/>
        <w:rPr>
          <w:rFonts w:hint="eastAsia" w:ascii="宋体" w:hAnsi="宋体"/>
          <w:b/>
          <w:color w:val="auto"/>
          <w:sz w:val="24"/>
          <w:highlight w:val="none"/>
        </w:rPr>
      </w:pPr>
    </w:p>
    <w:p w14:paraId="58930B16">
      <w:pPr>
        <w:snapToGrid w:val="0"/>
        <w:spacing w:before="50" w:after="120" w:afterLines="50" w:line="360" w:lineRule="auto"/>
        <w:jc w:val="left"/>
        <w:rPr>
          <w:rFonts w:hint="eastAsia" w:ascii="宋体" w:hAnsi="宋体"/>
          <w:b/>
          <w:color w:val="auto"/>
          <w:sz w:val="24"/>
          <w:highlight w:val="none"/>
        </w:rPr>
      </w:pPr>
    </w:p>
    <w:p w14:paraId="46C75600">
      <w:pPr>
        <w:snapToGrid w:val="0"/>
        <w:spacing w:before="50" w:after="120" w:afterLines="50" w:line="360" w:lineRule="auto"/>
        <w:jc w:val="left"/>
        <w:rPr>
          <w:rFonts w:hint="eastAsia" w:ascii="宋体" w:hAnsi="宋体"/>
          <w:b/>
          <w:color w:val="auto"/>
          <w:sz w:val="24"/>
          <w:highlight w:val="none"/>
        </w:rPr>
      </w:pPr>
    </w:p>
    <w:p w14:paraId="27963CBE">
      <w:pPr>
        <w:snapToGrid w:val="0"/>
        <w:spacing w:before="50" w:after="120" w:afterLines="50" w:line="360" w:lineRule="auto"/>
        <w:jc w:val="left"/>
        <w:rPr>
          <w:rFonts w:hint="eastAsia" w:ascii="宋体" w:hAnsi="宋体"/>
          <w:b/>
          <w:color w:val="auto"/>
          <w:sz w:val="24"/>
          <w:highlight w:val="none"/>
        </w:rPr>
      </w:pPr>
    </w:p>
    <w:p w14:paraId="558EBD03">
      <w:pPr>
        <w:snapToGrid w:val="0"/>
        <w:spacing w:before="50" w:after="120" w:afterLines="50" w:line="360" w:lineRule="auto"/>
        <w:jc w:val="left"/>
        <w:rPr>
          <w:rFonts w:hint="eastAsia" w:ascii="宋体" w:hAnsi="宋体"/>
          <w:b/>
          <w:color w:val="auto"/>
          <w:sz w:val="24"/>
          <w:highlight w:val="none"/>
        </w:rPr>
      </w:pPr>
    </w:p>
    <w:p w14:paraId="1A560042">
      <w:pPr>
        <w:snapToGrid w:val="0"/>
        <w:spacing w:before="50" w:after="120" w:afterLines="50" w:line="360" w:lineRule="auto"/>
        <w:jc w:val="left"/>
        <w:rPr>
          <w:rFonts w:hint="eastAsia" w:ascii="宋体" w:hAnsi="宋体"/>
          <w:b/>
          <w:color w:val="auto"/>
          <w:sz w:val="24"/>
          <w:highlight w:val="none"/>
        </w:rPr>
      </w:pPr>
    </w:p>
    <w:p w14:paraId="29D82A85">
      <w:pPr>
        <w:snapToGrid w:val="0"/>
        <w:spacing w:before="50" w:after="120" w:afterLines="50" w:line="360" w:lineRule="auto"/>
        <w:jc w:val="left"/>
        <w:rPr>
          <w:rFonts w:hint="eastAsia" w:ascii="宋体" w:hAnsi="宋体"/>
          <w:b/>
          <w:color w:val="auto"/>
          <w:sz w:val="24"/>
          <w:highlight w:val="none"/>
        </w:rPr>
      </w:pPr>
    </w:p>
    <w:p w14:paraId="52EE1013">
      <w:pPr>
        <w:snapToGrid w:val="0"/>
        <w:spacing w:before="50" w:after="120" w:afterLines="50" w:line="360" w:lineRule="auto"/>
        <w:jc w:val="left"/>
        <w:rPr>
          <w:rFonts w:hint="eastAsia" w:ascii="宋体" w:hAnsi="宋体"/>
          <w:b/>
          <w:color w:val="auto"/>
          <w:sz w:val="24"/>
          <w:highlight w:val="none"/>
        </w:rPr>
      </w:pPr>
    </w:p>
    <w:p w14:paraId="0A1B571E">
      <w:pPr>
        <w:snapToGrid w:val="0"/>
        <w:spacing w:before="50" w:after="120" w:afterLines="50" w:line="360" w:lineRule="auto"/>
        <w:jc w:val="left"/>
        <w:rPr>
          <w:rFonts w:hint="eastAsia" w:ascii="宋体" w:hAnsi="宋体"/>
          <w:b/>
          <w:color w:val="auto"/>
          <w:sz w:val="24"/>
          <w:highlight w:val="none"/>
        </w:rPr>
      </w:pPr>
    </w:p>
    <w:p w14:paraId="423652BF">
      <w:pPr>
        <w:snapToGrid w:val="0"/>
        <w:spacing w:before="50" w:after="120" w:afterLines="50" w:line="360" w:lineRule="auto"/>
        <w:jc w:val="left"/>
        <w:rPr>
          <w:rFonts w:hint="eastAsia" w:ascii="宋体" w:hAnsi="宋体"/>
          <w:b/>
          <w:color w:val="auto"/>
          <w:sz w:val="24"/>
          <w:highlight w:val="none"/>
        </w:rPr>
      </w:pPr>
    </w:p>
    <w:p w14:paraId="5D33BC1A">
      <w:pPr>
        <w:pStyle w:val="2"/>
        <w:rPr>
          <w:rFonts w:hint="eastAsia"/>
          <w:color w:val="auto"/>
        </w:rPr>
      </w:pPr>
    </w:p>
    <w:p w14:paraId="287C3C69">
      <w:pPr>
        <w:snapToGrid w:val="0"/>
        <w:spacing w:before="50" w:after="120" w:afterLines="50" w:line="360" w:lineRule="auto"/>
        <w:jc w:val="left"/>
        <w:rPr>
          <w:rFonts w:hint="eastAsia" w:ascii="宋体" w:hAnsi="宋体"/>
          <w:b/>
          <w:color w:val="auto"/>
          <w:sz w:val="24"/>
          <w:highlight w:val="none"/>
        </w:rPr>
      </w:pPr>
    </w:p>
    <w:p w14:paraId="0B751589">
      <w:pPr>
        <w:snapToGrid w:val="0"/>
        <w:spacing w:before="50" w:after="120" w:afterLines="50"/>
        <w:jc w:val="left"/>
        <w:rPr>
          <w:rFonts w:hint="eastAsia" w:ascii="宋体" w:eastAsia="宋体"/>
          <w:b w:val="0"/>
          <w:bCs/>
          <w:color w:val="auto"/>
          <w:sz w:val="28"/>
          <w:szCs w:val="28"/>
          <w:lang w:eastAsia="zh-CN"/>
        </w:rPr>
      </w:pPr>
      <w:r>
        <w:rPr>
          <w:rFonts w:hint="eastAsia" w:ascii="宋体" w:hAnsi="宋体" w:cs="宋体"/>
          <w:b/>
          <w:color w:val="auto"/>
          <w:sz w:val="24"/>
          <w:highlight w:val="none"/>
          <w:lang w:eastAsia="zh-CN"/>
        </w:rPr>
        <w:t>附件</w:t>
      </w:r>
      <w:r>
        <w:rPr>
          <w:rFonts w:hint="eastAsia" w:ascii="宋体" w:hAnsi="宋体" w:cs="宋体"/>
          <w:b/>
          <w:color w:val="auto"/>
          <w:sz w:val="24"/>
          <w:highlight w:val="none"/>
          <w:lang w:val="en-US" w:eastAsia="zh-CN"/>
        </w:rPr>
        <w:t>:</w:t>
      </w:r>
      <w:r>
        <w:rPr>
          <w:rFonts w:hint="eastAsia" w:ascii="宋体" w:hAnsi="宋体" w:eastAsia="宋体" w:cs="宋体"/>
          <w:b/>
          <w:color w:val="auto"/>
          <w:sz w:val="24"/>
          <w:highlight w:val="none"/>
          <w:lang w:eastAsia="zh-CN"/>
        </w:rPr>
        <w:t>商务响应表：</w:t>
      </w:r>
    </w:p>
    <w:p w14:paraId="197B60A7">
      <w:pPr>
        <w:snapToGrid w:val="0"/>
        <w:spacing w:before="50" w:after="120" w:afterLines="50"/>
        <w:jc w:val="center"/>
        <w:rPr>
          <w:rFonts w:hint="eastAsia" w:ascii="宋体"/>
          <w:b/>
          <w:color w:val="auto"/>
          <w:sz w:val="28"/>
          <w:szCs w:val="28"/>
        </w:rPr>
      </w:pPr>
    </w:p>
    <w:p w14:paraId="6BDC85F6">
      <w:pPr>
        <w:snapToGrid w:val="0"/>
        <w:spacing w:before="50" w:after="120" w:afterLines="50"/>
        <w:jc w:val="center"/>
        <w:rPr>
          <w:rFonts w:ascii="宋体"/>
          <w:b/>
          <w:color w:val="auto"/>
          <w:sz w:val="28"/>
          <w:szCs w:val="28"/>
        </w:rPr>
      </w:pPr>
      <w:r>
        <w:rPr>
          <w:rFonts w:hint="eastAsia" w:ascii="宋体"/>
          <w:b/>
          <w:color w:val="auto"/>
          <w:sz w:val="28"/>
          <w:szCs w:val="28"/>
        </w:rPr>
        <w:t>商务响应表</w:t>
      </w:r>
    </w:p>
    <w:p w14:paraId="445A4E12">
      <w:pPr>
        <w:snapToGrid w:val="0"/>
        <w:spacing w:line="540" w:lineRule="exact"/>
        <w:rPr>
          <w:rFonts w:hint="eastAsia" w:ascii="宋体" w:hAnsi="宋体" w:cs="宋体"/>
          <w:color w:val="auto"/>
          <w:sz w:val="24"/>
        </w:rPr>
      </w:pPr>
      <w:r>
        <w:rPr>
          <w:rFonts w:hint="eastAsia" w:ascii="宋体" w:hAnsi="宋体" w:cs="宋体"/>
          <w:color w:val="auto"/>
          <w:sz w:val="24"/>
        </w:rPr>
        <w:t xml:space="preserve">项目名称： </w:t>
      </w:r>
    </w:p>
    <w:p w14:paraId="4ACD062E">
      <w:pPr>
        <w:snapToGrid w:val="0"/>
        <w:spacing w:before="50" w:after="120" w:afterLines="50"/>
        <w:jc w:val="left"/>
        <w:rPr>
          <w:rFonts w:ascii="宋体"/>
          <w:color w:val="auto"/>
          <w:sz w:val="24"/>
          <w:u w:val="single"/>
        </w:rPr>
      </w:pPr>
      <w:r>
        <w:rPr>
          <w:rFonts w:hint="eastAsia" w:ascii="宋体" w:hAnsi="宋体" w:cs="宋体"/>
          <w:color w:val="auto"/>
          <w:sz w:val="24"/>
        </w:rPr>
        <w:t>项目编号：</w:t>
      </w:r>
    </w:p>
    <w:tbl>
      <w:tblPr>
        <w:tblStyle w:val="45"/>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518"/>
        <w:gridCol w:w="1727"/>
        <w:gridCol w:w="1959"/>
        <w:gridCol w:w="2409"/>
      </w:tblGrid>
      <w:tr w14:paraId="5260BF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2518" w:type="dxa"/>
            <w:tcBorders>
              <w:top w:val="single" w:color="auto" w:sz="4" w:space="0"/>
              <w:bottom w:val="single" w:color="auto" w:sz="4" w:space="0"/>
              <w:right w:val="single" w:color="auto" w:sz="4" w:space="0"/>
            </w:tcBorders>
            <w:noWrap w:val="0"/>
            <w:vAlign w:val="top"/>
          </w:tcPr>
          <w:p w14:paraId="44DB86C6">
            <w:pPr>
              <w:snapToGrid w:val="0"/>
              <w:spacing w:before="120" w:beforeLines="50"/>
              <w:jc w:val="center"/>
              <w:rPr>
                <w:rFonts w:ascii="宋体"/>
                <w:color w:val="auto"/>
                <w:sz w:val="24"/>
                <w:szCs w:val="20"/>
              </w:rPr>
            </w:pPr>
            <w:r>
              <w:rPr>
                <w:rFonts w:hint="eastAsia" w:ascii="宋体"/>
                <w:color w:val="auto"/>
                <w:sz w:val="24"/>
              </w:rPr>
              <w:t>项目</w:t>
            </w:r>
          </w:p>
        </w:tc>
        <w:tc>
          <w:tcPr>
            <w:tcW w:w="1727" w:type="dxa"/>
            <w:tcBorders>
              <w:top w:val="single" w:color="auto" w:sz="4" w:space="0"/>
              <w:left w:val="single" w:color="auto" w:sz="4" w:space="0"/>
              <w:bottom w:val="single" w:color="auto" w:sz="4" w:space="0"/>
              <w:right w:val="single" w:color="auto" w:sz="4" w:space="0"/>
            </w:tcBorders>
            <w:noWrap w:val="0"/>
            <w:vAlign w:val="top"/>
          </w:tcPr>
          <w:p w14:paraId="01F78A35">
            <w:pPr>
              <w:snapToGrid w:val="0"/>
              <w:spacing w:before="120" w:beforeLines="50"/>
              <w:jc w:val="center"/>
              <w:rPr>
                <w:rFonts w:ascii="宋体"/>
                <w:color w:val="auto"/>
                <w:sz w:val="24"/>
                <w:szCs w:val="20"/>
              </w:rPr>
            </w:pPr>
            <w:r>
              <w:rPr>
                <w:rFonts w:hint="eastAsia" w:ascii="宋体"/>
                <w:color w:val="auto"/>
                <w:sz w:val="24"/>
              </w:rPr>
              <w:t>招标文件要求</w:t>
            </w:r>
          </w:p>
        </w:tc>
        <w:tc>
          <w:tcPr>
            <w:tcW w:w="1959" w:type="dxa"/>
            <w:tcBorders>
              <w:top w:val="single" w:color="auto" w:sz="4" w:space="0"/>
              <w:left w:val="single" w:color="auto" w:sz="4" w:space="0"/>
              <w:bottom w:val="single" w:color="auto" w:sz="4" w:space="0"/>
              <w:right w:val="single" w:color="auto" w:sz="4" w:space="0"/>
            </w:tcBorders>
            <w:noWrap w:val="0"/>
            <w:vAlign w:val="top"/>
          </w:tcPr>
          <w:p w14:paraId="445C35D5">
            <w:pPr>
              <w:snapToGrid w:val="0"/>
              <w:spacing w:before="120" w:beforeLines="50"/>
              <w:jc w:val="center"/>
              <w:rPr>
                <w:rFonts w:ascii="宋体"/>
                <w:color w:val="auto"/>
                <w:sz w:val="24"/>
                <w:szCs w:val="20"/>
              </w:rPr>
            </w:pPr>
            <w:r>
              <w:rPr>
                <w:rFonts w:hint="eastAsia" w:ascii="宋体"/>
                <w:color w:val="auto"/>
                <w:sz w:val="24"/>
              </w:rPr>
              <w:t>响应及偏离情况</w:t>
            </w:r>
          </w:p>
        </w:tc>
        <w:tc>
          <w:tcPr>
            <w:tcW w:w="2409" w:type="dxa"/>
            <w:tcBorders>
              <w:top w:val="single" w:color="auto" w:sz="4" w:space="0"/>
              <w:left w:val="single" w:color="auto" w:sz="4" w:space="0"/>
              <w:bottom w:val="single" w:color="auto" w:sz="4" w:space="0"/>
            </w:tcBorders>
            <w:noWrap w:val="0"/>
            <w:vAlign w:val="top"/>
          </w:tcPr>
          <w:p w14:paraId="5FA295E1">
            <w:pPr>
              <w:snapToGrid w:val="0"/>
              <w:spacing w:before="120" w:beforeLines="50"/>
              <w:jc w:val="center"/>
              <w:rPr>
                <w:rFonts w:ascii="宋体"/>
                <w:color w:val="auto"/>
                <w:sz w:val="24"/>
                <w:szCs w:val="20"/>
              </w:rPr>
            </w:pPr>
            <w:r>
              <w:rPr>
                <w:rFonts w:hint="eastAsia" w:ascii="宋体"/>
                <w:color w:val="auto"/>
                <w:sz w:val="24"/>
              </w:rPr>
              <w:t>投标人的承诺或说明</w:t>
            </w:r>
          </w:p>
        </w:tc>
      </w:tr>
      <w:tr w14:paraId="4492E7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2518" w:type="dxa"/>
            <w:tcBorders>
              <w:top w:val="single" w:color="auto" w:sz="4" w:space="0"/>
              <w:bottom w:val="single" w:color="auto" w:sz="4" w:space="0"/>
              <w:right w:val="single" w:color="auto" w:sz="4" w:space="0"/>
            </w:tcBorders>
            <w:noWrap w:val="0"/>
            <w:vAlign w:val="center"/>
          </w:tcPr>
          <w:p w14:paraId="0F62E553">
            <w:pPr>
              <w:pStyle w:val="26"/>
              <w:snapToGrid w:val="0"/>
              <w:spacing w:beforeLines="0" w:afterLines="0" w:line="240" w:lineRule="auto"/>
              <w:outlineLvl w:val="0"/>
              <w:rPr>
                <w:rFonts w:hint="eastAsia"/>
                <w:color w:val="auto"/>
              </w:rPr>
            </w:pPr>
            <w:bookmarkStart w:id="57" w:name="_Toc414870809"/>
            <w:bookmarkStart w:id="58" w:name="_Toc408477084"/>
            <w:r>
              <w:rPr>
                <w:rFonts w:hint="eastAsia"/>
                <w:color w:val="auto"/>
              </w:rPr>
              <w:t>一、</w:t>
            </w:r>
            <w:bookmarkEnd w:id="57"/>
            <w:bookmarkEnd w:id="58"/>
            <w:r>
              <w:rPr>
                <w:rFonts w:hint="eastAsia"/>
                <w:color w:val="auto"/>
              </w:rPr>
              <w:t>人员配备</w:t>
            </w:r>
          </w:p>
        </w:tc>
        <w:tc>
          <w:tcPr>
            <w:tcW w:w="1727" w:type="dxa"/>
            <w:tcBorders>
              <w:top w:val="single" w:color="auto" w:sz="4" w:space="0"/>
              <w:left w:val="single" w:color="auto" w:sz="4" w:space="0"/>
              <w:bottom w:val="single" w:color="auto" w:sz="4" w:space="0"/>
              <w:right w:val="single" w:color="auto" w:sz="4" w:space="0"/>
            </w:tcBorders>
            <w:noWrap w:val="0"/>
            <w:vAlign w:val="top"/>
          </w:tcPr>
          <w:p w14:paraId="6FC89297">
            <w:pPr>
              <w:snapToGrid w:val="0"/>
              <w:spacing w:before="120" w:beforeLines="50"/>
              <w:rPr>
                <w:rFonts w:ascii="宋体"/>
                <w:color w:val="auto"/>
                <w:sz w:val="24"/>
              </w:rPr>
            </w:pPr>
          </w:p>
        </w:tc>
        <w:tc>
          <w:tcPr>
            <w:tcW w:w="1959" w:type="dxa"/>
            <w:tcBorders>
              <w:top w:val="single" w:color="auto" w:sz="4" w:space="0"/>
              <w:left w:val="single" w:color="auto" w:sz="4" w:space="0"/>
              <w:bottom w:val="single" w:color="auto" w:sz="4" w:space="0"/>
              <w:right w:val="single" w:color="auto" w:sz="4" w:space="0"/>
            </w:tcBorders>
            <w:noWrap w:val="0"/>
            <w:vAlign w:val="top"/>
          </w:tcPr>
          <w:p w14:paraId="6A41E5D8">
            <w:pPr>
              <w:snapToGrid w:val="0"/>
              <w:spacing w:before="120" w:beforeLines="50"/>
              <w:rPr>
                <w:rFonts w:ascii="宋体"/>
                <w:b/>
                <w:color w:val="auto"/>
                <w:sz w:val="24"/>
                <w:u w:val="single"/>
              </w:rPr>
            </w:pPr>
          </w:p>
        </w:tc>
        <w:tc>
          <w:tcPr>
            <w:tcW w:w="2409" w:type="dxa"/>
            <w:tcBorders>
              <w:top w:val="single" w:color="auto" w:sz="4" w:space="0"/>
              <w:left w:val="single" w:color="auto" w:sz="4" w:space="0"/>
              <w:bottom w:val="single" w:color="auto" w:sz="4" w:space="0"/>
            </w:tcBorders>
            <w:noWrap w:val="0"/>
            <w:vAlign w:val="top"/>
          </w:tcPr>
          <w:p w14:paraId="2DEBE659">
            <w:pPr>
              <w:snapToGrid w:val="0"/>
              <w:spacing w:before="120" w:beforeLines="50"/>
              <w:rPr>
                <w:rFonts w:ascii="宋体"/>
                <w:b/>
                <w:color w:val="auto"/>
                <w:sz w:val="24"/>
                <w:u w:val="single"/>
              </w:rPr>
            </w:pPr>
          </w:p>
        </w:tc>
      </w:tr>
      <w:tr w14:paraId="35D47D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2518" w:type="dxa"/>
            <w:tcBorders>
              <w:top w:val="single" w:color="auto" w:sz="4" w:space="0"/>
              <w:bottom w:val="single" w:color="auto" w:sz="4" w:space="0"/>
              <w:right w:val="single" w:color="auto" w:sz="4" w:space="0"/>
            </w:tcBorders>
            <w:noWrap w:val="0"/>
            <w:vAlign w:val="center"/>
          </w:tcPr>
          <w:p w14:paraId="377CE9CD">
            <w:pPr>
              <w:pStyle w:val="26"/>
              <w:tabs>
                <w:tab w:val="right" w:pos="2302"/>
              </w:tabs>
              <w:snapToGrid w:val="0"/>
              <w:spacing w:beforeLines="0" w:afterLines="0" w:line="240" w:lineRule="auto"/>
              <w:outlineLvl w:val="0"/>
              <w:rPr>
                <w:rFonts w:hint="eastAsia"/>
                <w:color w:val="auto"/>
              </w:rPr>
            </w:pPr>
            <w:bookmarkStart w:id="59" w:name="_Toc408477085"/>
            <w:bookmarkStart w:id="60" w:name="_Toc414870810"/>
            <w:r>
              <w:rPr>
                <w:rFonts w:hint="eastAsia"/>
                <w:color w:val="auto"/>
              </w:rPr>
              <w:t>二、售后服务</w:t>
            </w:r>
            <w:bookmarkEnd w:id="59"/>
            <w:bookmarkEnd w:id="60"/>
          </w:p>
        </w:tc>
        <w:tc>
          <w:tcPr>
            <w:tcW w:w="1727" w:type="dxa"/>
            <w:tcBorders>
              <w:top w:val="single" w:color="auto" w:sz="4" w:space="0"/>
              <w:left w:val="single" w:color="auto" w:sz="4" w:space="0"/>
              <w:bottom w:val="single" w:color="auto" w:sz="4" w:space="0"/>
              <w:right w:val="single" w:color="auto" w:sz="4" w:space="0"/>
            </w:tcBorders>
            <w:noWrap w:val="0"/>
            <w:vAlign w:val="top"/>
          </w:tcPr>
          <w:p w14:paraId="2F5A1BB7">
            <w:pPr>
              <w:snapToGrid w:val="0"/>
              <w:spacing w:before="120" w:beforeLines="50"/>
              <w:rPr>
                <w:rFonts w:ascii="宋体"/>
                <w:color w:val="auto"/>
                <w:sz w:val="24"/>
              </w:rPr>
            </w:pPr>
          </w:p>
        </w:tc>
        <w:tc>
          <w:tcPr>
            <w:tcW w:w="1959" w:type="dxa"/>
            <w:tcBorders>
              <w:top w:val="single" w:color="auto" w:sz="4" w:space="0"/>
              <w:left w:val="single" w:color="auto" w:sz="4" w:space="0"/>
              <w:bottom w:val="single" w:color="auto" w:sz="4" w:space="0"/>
              <w:right w:val="single" w:color="auto" w:sz="4" w:space="0"/>
            </w:tcBorders>
            <w:noWrap w:val="0"/>
            <w:vAlign w:val="top"/>
          </w:tcPr>
          <w:p w14:paraId="7B3F5701">
            <w:pPr>
              <w:snapToGrid w:val="0"/>
              <w:spacing w:before="120" w:beforeLines="50"/>
              <w:rPr>
                <w:rFonts w:ascii="宋体"/>
                <w:b/>
                <w:color w:val="auto"/>
                <w:sz w:val="24"/>
                <w:u w:val="single"/>
              </w:rPr>
            </w:pPr>
          </w:p>
        </w:tc>
        <w:tc>
          <w:tcPr>
            <w:tcW w:w="2409" w:type="dxa"/>
            <w:tcBorders>
              <w:top w:val="single" w:color="auto" w:sz="4" w:space="0"/>
              <w:left w:val="single" w:color="auto" w:sz="4" w:space="0"/>
              <w:bottom w:val="single" w:color="auto" w:sz="4" w:space="0"/>
            </w:tcBorders>
            <w:noWrap w:val="0"/>
            <w:vAlign w:val="top"/>
          </w:tcPr>
          <w:p w14:paraId="5EC4BCFC">
            <w:pPr>
              <w:snapToGrid w:val="0"/>
              <w:spacing w:before="120" w:beforeLines="50"/>
              <w:rPr>
                <w:rFonts w:ascii="宋体"/>
                <w:b/>
                <w:color w:val="auto"/>
                <w:sz w:val="24"/>
                <w:u w:val="single"/>
              </w:rPr>
            </w:pPr>
          </w:p>
        </w:tc>
      </w:tr>
      <w:tr w14:paraId="4A8DD4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2518" w:type="dxa"/>
            <w:tcBorders>
              <w:top w:val="single" w:color="auto" w:sz="4" w:space="0"/>
              <w:bottom w:val="single" w:color="auto" w:sz="4" w:space="0"/>
              <w:right w:val="single" w:color="auto" w:sz="4" w:space="0"/>
            </w:tcBorders>
            <w:noWrap w:val="0"/>
            <w:vAlign w:val="center"/>
          </w:tcPr>
          <w:p w14:paraId="6194B54B">
            <w:pPr>
              <w:pStyle w:val="26"/>
              <w:snapToGrid w:val="0"/>
              <w:spacing w:beforeLines="0" w:afterLines="0" w:line="240" w:lineRule="auto"/>
              <w:outlineLvl w:val="0"/>
              <w:rPr>
                <w:rFonts w:hint="eastAsia"/>
                <w:color w:val="auto"/>
              </w:rPr>
            </w:pPr>
            <w:bookmarkStart w:id="61" w:name="_Toc414870811"/>
            <w:bookmarkStart w:id="62" w:name="_Toc408477086"/>
            <w:r>
              <w:rPr>
                <w:rFonts w:hint="eastAsia"/>
                <w:color w:val="auto"/>
              </w:rPr>
              <w:t>三、</w:t>
            </w:r>
            <w:bookmarkEnd w:id="61"/>
            <w:bookmarkEnd w:id="62"/>
            <w:r>
              <w:rPr>
                <w:rFonts w:hint="eastAsia"/>
                <w:color w:val="auto"/>
              </w:rPr>
              <w:t>服务期限</w:t>
            </w:r>
          </w:p>
        </w:tc>
        <w:tc>
          <w:tcPr>
            <w:tcW w:w="1727" w:type="dxa"/>
            <w:tcBorders>
              <w:top w:val="single" w:color="auto" w:sz="4" w:space="0"/>
              <w:left w:val="single" w:color="auto" w:sz="4" w:space="0"/>
              <w:bottom w:val="single" w:color="auto" w:sz="4" w:space="0"/>
              <w:right w:val="single" w:color="auto" w:sz="4" w:space="0"/>
            </w:tcBorders>
            <w:noWrap w:val="0"/>
            <w:vAlign w:val="top"/>
          </w:tcPr>
          <w:p w14:paraId="4651963B">
            <w:pPr>
              <w:snapToGrid w:val="0"/>
              <w:spacing w:before="120" w:beforeLines="50"/>
              <w:rPr>
                <w:rFonts w:ascii="宋体"/>
                <w:color w:val="auto"/>
                <w:sz w:val="24"/>
              </w:rPr>
            </w:pPr>
          </w:p>
        </w:tc>
        <w:tc>
          <w:tcPr>
            <w:tcW w:w="1959" w:type="dxa"/>
            <w:tcBorders>
              <w:top w:val="single" w:color="auto" w:sz="4" w:space="0"/>
              <w:left w:val="single" w:color="auto" w:sz="4" w:space="0"/>
              <w:bottom w:val="single" w:color="auto" w:sz="4" w:space="0"/>
              <w:right w:val="single" w:color="auto" w:sz="4" w:space="0"/>
            </w:tcBorders>
            <w:noWrap w:val="0"/>
            <w:vAlign w:val="top"/>
          </w:tcPr>
          <w:p w14:paraId="57266B4E">
            <w:pPr>
              <w:snapToGrid w:val="0"/>
              <w:spacing w:before="120" w:beforeLines="50"/>
              <w:rPr>
                <w:rFonts w:ascii="宋体"/>
                <w:b/>
                <w:color w:val="auto"/>
                <w:sz w:val="24"/>
                <w:u w:val="single"/>
              </w:rPr>
            </w:pPr>
          </w:p>
        </w:tc>
        <w:tc>
          <w:tcPr>
            <w:tcW w:w="2409" w:type="dxa"/>
            <w:tcBorders>
              <w:top w:val="single" w:color="auto" w:sz="4" w:space="0"/>
              <w:left w:val="single" w:color="auto" w:sz="4" w:space="0"/>
              <w:bottom w:val="single" w:color="auto" w:sz="4" w:space="0"/>
            </w:tcBorders>
            <w:noWrap w:val="0"/>
            <w:vAlign w:val="top"/>
          </w:tcPr>
          <w:p w14:paraId="104D174E">
            <w:pPr>
              <w:snapToGrid w:val="0"/>
              <w:spacing w:before="120" w:beforeLines="50"/>
              <w:rPr>
                <w:rFonts w:ascii="宋体"/>
                <w:b/>
                <w:color w:val="auto"/>
                <w:sz w:val="24"/>
                <w:u w:val="single"/>
              </w:rPr>
            </w:pPr>
          </w:p>
        </w:tc>
      </w:tr>
      <w:tr w14:paraId="3685C6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2518" w:type="dxa"/>
            <w:tcBorders>
              <w:top w:val="single" w:color="auto" w:sz="4" w:space="0"/>
              <w:bottom w:val="single" w:color="auto" w:sz="4" w:space="0"/>
              <w:right w:val="single" w:color="auto" w:sz="4" w:space="0"/>
            </w:tcBorders>
            <w:noWrap w:val="0"/>
            <w:vAlign w:val="center"/>
          </w:tcPr>
          <w:p w14:paraId="184FE95C">
            <w:pPr>
              <w:pStyle w:val="26"/>
              <w:snapToGrid w:val="0"/>
              <w:spacing w:beforeLines="0" w:afterLines="0" w:line="240" w:lineRule="auto"/>
              <w:outlineLvl w:val="0"/>
              <w:rPr>
                <w:color w:val="auto"/>
              </w:rPr>
            </w:pPr>
            <w:bookmarkStart w:id="63" w:name="_Toc414870812"/>
            <w:bookmarkStart w:id="64" w:name="_Toc408477087"/>
            <w:r>
              <w:rPr>
                <w:rFonts w:hint="eastAsia"/>
                <w:color w:val="auto"/>
              </w:rPr>
              <w:t>四、</w:t>
            </w:r>
            <w:bookmarkEnd w:id="63"/>
            <w:bookmarkEnd w:id="64"/>
            <w:r>
              <w:rPr>
                <w:rFonts w:hint="eastAsia"/>
                <w:color w:val="auto"/>
              </w:rPr>
              <w:t>付款方式</w:t>
            </w:r>
          </w:p>
        </w:tc>
        <w:tc>
          <w:tcPr>
            <w:tcW w:w="1727" w:type="dxa"/>
            <w:tcBorders>
              <w:top w:val="single" w:color="auto" w:sz="4" w:space="0"/>
              <w:left w:val="single" w:color="auto" w:sz="4" w:space="0"/>
              <w:bottom w:val="single" w:color="auto" w:sz="4" w:space="0"/>
              <w:right w:val="single" w:color="auto" w:sz="4" w:space="0"/>
            </w:tcBorders>
            <w:noWrap w:val="0"/>
            <w:vAlign w:val="top"/>
          </w:tcPr>
          <w:p w14:paraId="64666F17">
            <w:pPr>
              <w:snapToGrid w:val="0"/>
              <w:spacing w:before="120" w:beforeLines="50"/>
              <w:rPr>
                <w:rFonts w:ascii="宋体"/>
                <w:color w:val="auto"/>
                <w:sz w:val="24"/>
              </w:rPr>
            </w:pPr>
          </w:p>
        </w:tc>
        <w:tc>
          <w:tcPr>
            <w:tcW w:w="1959" w:type="dxa"/>
            <w:tcBorders>
              <w:top w:val="single" w:color="auto" w:sz="4" w:space="0"/>
              <w:left w:val="single" w:color="auto" w:sz="4" w:space="0"/>
              <w:bottom w:val="single" w:color="auto" w:sz="4" w:space="0"/>
              <w:right w:val="single" w:color="auto" w:sz="4" w:space="0"/>
            </w:tcBorders>
            <w:noWrap w:val="0"/>
            <w:vAlign w:val="top"/>
          </w:tcPr>
          <w:p w14:paraId="19C26295">
            <w:pPr>
              <w:snapToGrid w:val="0"/>
              <w:spacing w:before="120" w:beforeLines="50"/>
              <w:rPr>
                <w:rFonts w:ascii="宋体"/>
                <w:b/>
                <w:color w:val="auto"/>
                <w:sz w:val="24"/>
                <w:u w:val="single"/>
              </w:rPr>
            </w:pPr>
          </w:p>
        </w:tc>
        <w:tc>
          <w:tcPr>
            <w:tcW w:w="2409" w:type="dxa"/>
            <w:tcBorders>
              <w:top w:val="single" w:color="auto" w:sz="4" w:space="0"/>
              <w:left w:val="single" w:color="auto" w:sz="4" w:space="0"/>
              <w:bottom w:val="single" w:color="auto" w:sz="4" w:space="0"/>
            </w:tcBorders>
            <w:noWrap w:val="0"/>
            <w:vAlign w:val="top"/>
          </w:tcPr>
          <w:p w14:paraId="6F94C77A">
            <w:pPr>
              <w:snapToGrid w:val="0"/>
              <w:spacing w:before="120" w:beforeLines="50"/>
              <w:rPr>
                <w:rFonts w:ascii="宋体"/>
                <w:b/>
                <w:color w:val="auto"/>
                <w:sz w:val="24"/>
                <w:u w:val="single"/>
              </w:rPr>
            </w:pPr>
          </w:p>
        </w:tc>
      </w:tr>
      <w:tr w14:paraId="6816D3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2518" w:type="dxa"/>
            <w:tcBorders>
              <w:top w:val="single" w:color="auto" w:sz="4" w:space="0"/>
              <w:bottom w:val="single" w:color="auto" w:sz="4" w:space="0"/>
              <w:right w:val="single" w:color="auto" w:sz="4" w:space="0"/>
            </w:tcBorders>
            <w:noWrap w:val="0"/>
            <w:vAlign w:val="center"/>
          </w:tcPr>
          <w:p w14:paraId="65929D2E">
            <w:pPr>
              <w:pStyle w:val="26"/>
              <w:snapToGrid w:val="0"/>
              <w:spacing w:beforeLines="0" w:afterLines="0" w:line="240" w:lineRule="auto"/>
              <w:outlineLvl w:val="0"/>
              <w:rPr>
                <w:color w:val="auto"/>
              </w:rPr>
            </w:pPr>
          </w:p>
        </w:tc>
        <w:tc>
          <w:tcPr>
            <w:tcW w:w="1727" w:type="dxa"/>
            <w:tcBorders>
              <w:top w:val="single" w:color="auto" w:sz="4" w:space="0"/>
              <w:left w:val="single" w:color="auto" w:sz="4" w:space="0"/>
              <w:bottom w:val="single" w:color="auto" w:sz="4" w:space="0"/>
              <w:right w:val="single" w:color="auto" w:sz="4" w:space="0"/>
            </w:tcBorders>
            <w:noWrap w:val="0"/>
            <w:vAlign w:val="top"/>
          </w:tcPr>
          <w:p w14:paraId="3FCEECB9">
            <w:pPr>
              <w:snapToGrid w:val="0"/>
              <w:spacing w:before="120" w:beforeLines="50"/>
              <w:rPr>
                <w:rFonts w:ascii="宋体"/>
                <w:color w:val="auto"/>
                <w:sz w:val="24"/>
              </w:rPr>
            </w:pPr>
          </w:p>
        </w:tc>
        <w:tc>
          <w:tcPr>
            <w:tcW w:w="1959" w:type="dxa"/>
            <w:tcBorders>
              <w:top w:val="single" w:color="auto" w:sz="4" w:space="0"/>
              <w:left w:val="single" w:color="auto" w:sz="4" w:space="0"/>
              <w:bottom w:val="single" w:color="auto" w:sz="4" w:space="0"/>
              <w:right w:val="single" w:color="auto" w:sz="4" w:space="0"/>
            </w:tcBorders>
            <w:noWrap w:val="0"/>
            <w:vAlign w:val="top"/>
          </w:tcPr>
          <w:p w14:paraId="0F7A3BDA">
            <w:pPr>
              <w:snapToGrid w:val="0"/>
              <w:spacing w:before="120" w:beforeLines="50"/>
              <w:rPr>
                <w:rFonts w:ascii="宋体"/>
                <w:b/>
                <w:color w:val="auto"/>
                <w:sz w:val="24"/>
                <w:u w:val="single"/>
              </w:rPr>
            </w:pPr>
          </w:p>
        </w:tc>
        <w:tc>
          <w:tcPr>
            <w:tcW w:w="2409" w:type="dxa"/>
            <w:tcBorders>
              <w:top w:val="single" w:color="auto" w:sz="4" w:space="0"/>
              <w:left w:val="single" w:color="auto" w:sz="4" w:space="0"/>
              <w:bottom w:val="single" w:color="auto" w:sz="4" w:space="0"/>
            </w:tcBorders>
            <w:noWrap w:val="0"/>
            <w:vAlign w:val="top"/>
          </w:tcPr>
          <w:p w14:paraId="6931F1E6">
            <w:pPr>
              <w:snapToGrid w:val="0"/>
              <w:spacing w:before="120" w:beforeLines="50"/>
              <w:rPr>
                <w:rFonts w:ascii="宋体"/>
                <w:b/>
                <w:color w:val="auto"/>
                <w:sz w:val="24"/>
                <w:u w:val="single"/>
              </w:rPr>
            </w:pPr>
          </w:p>
        </w:tc>
      </w:tr>
      <w:tr w14:paraId="179B99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2518" w:type="dxa"/>
            <w:tcBorders>
              <w:top w:val="single" w:color="auto" w:sz="4" w:space="0"/>
              <w:bottom w:val="single" w:color="auto" w:sz="4" w:space="0"/>
              <w:right w:val="single" w:color="auto" w:sz="4" w:space="0"/>
            </w:tcBorders>
            <w:noWrap w:val="0"/>
            <w:vAlign w:val="center"/>
          </w:tcPr>
          <w:p w14:paraId="30CB3DF6">
            <w:pPr>
              <w:pStyle w:val="26"/>
              <w:snapToGrid w:val="0"/>
              <w:spacing w:beforeLines="0" w:afterLines="0" w:line="240" w:lineRule="auto"/>
              <w:outlineLvl w:val="0"/>
              <w:rPr>
                <w:color w:val="auto"/>
              </w:rPr>
            </w:pPr>
            <w:bookmarkStart w:id="65" w:name="_Toc414870816"/>
            <w:r>
              <w:rPr>
                <w:rFonts w:hint="eastAsia"/>
                <w:color w:val="auto"/>
              </w:rPr>
              <w:t>……</w:t>
            </w:r>
            <w:bookmarkEnd w:id="65"/>
          </w:p>
        </w:tc>
        <w:tc>
          <w:tcPr>
            <w:tcW w:w="1727" w:type="dxa"/>
            <w:tcBorders>
              <w:top w:val="single" w:color="auto" w:sz="4" w:space="0"/>
              <w:left w:val="single" w:color="auto" w:sz="4" w:space="0"/>
              <w:bottom w:val="single" w:color="auto" w:sz="4" w:space="0"/>
              <w:right w:val="single" w:color="auto" w:sz="4" w:space="0"/>
            </w:tcBorders>
            <w:noWrap w:val="0"/>
            <w:vAlign w:val="top"/>
          </w:tcPr>
          <w:p w14:paraId="25BEA3B2">
            <w:pPr>
              <w:snapToGrid w:val="0"/>
              <w:spacing w:before="120" w:beforeLines="50"/>
              <w:rPr>
                <w:rFonts w:ascii="宋体"/>
                <w:color w:val="auto"/>
                <w:sz w:val="24"/>
              </w:rPr>
            </w:pPr>
          </w:p>
        </w:tc>
        <w:tc>
          <w:tcPr>
            <w:tcW w:w="1959" w:type="dxa"/>
            <w:tcBorders>
              <w:top w:val="single" w:color="auto" w:sz="4" w:space="0"/>
              <w:left w:val="single" w:color="auto" w:sz="4" w:space="0"/>
              <w:bottom w:val="single" w:color="auto" w:sz="4" w:space="0"/>
              <w:right w:val="single" w:color="auto" w:sz="4" w:space="0"/>
            </w:tcBorders>
            <w:noWrap w:val="0"/>
            <w:vAlign w:val="top"/>
          </w:tcPr>
          <w:p w14:paraId="187A6B96">
            <w:pPr>
              <w:snapToGrid w:val="0"/>
              <w:spacing w:before="120" w:beforeLines="50"/>
              <w:rPr>
                <w:rFonts w:ascii="宋体"/>
                <w:b/>
                <w:color w:val="auto"/>
                <w:sz w:val="24"/>
                <w:u w:val="single"/>
              </w:rPr>
            </w:pPr>
          </w:p>
        </w:tc>
        <w:tc>
          <w:tcPr>
            <w:tcW w:w="2409" w:type="dxa"/>
            <w:tcBorders>
              <w:top w:val="single" w:color="auto" w:sz="4" w:space="0"/>
              <w:left w:val="single" w:color="auto" w:sz="4" w:space="0"/>
              <w:bottom w:val="single" w:color="auto" w:sz="4" w:space="0"/>
            </w:tcBorders>
            <w:noWrap w:val="0"/>
            <w:vAlign w:val="top"/>
          </w:tcPr>
          <w:p w14:paraId="4E723D46">
            <w:pPr>
              <w:snapToGrid w:val="0"/>
              <w:spacing w:before="120" w:beforeLines="50"/>
              <w:rPr>
                <w:rFonts w:ascii="宋体"/>
                <w:b/>
                <w:color w:val="auto"/>
                <w:sz w:val="24"/>
                <w:u w:val="single"/>
              </w:rPr>
            </w:pPr>
          </w:p>
        </w:tc>
      </w:tr>
      <w:tr w14:paraId="72E0CE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2518" w:type="dxa"/>
            <w:tcBorders>
              <w:top w:val="single" w:color="auto" w:sz="4" w:space="0"/>
              <w:bottom w:val="single" w:color="auto" w:sz="4" w:space="0"/>
              <w:right w:val="single" w:color="auto" w:sz="4" w:space="0"/>
            </w:tcBorders>
            <w:noWrap w:val="0"/>
            <w:vAlign w:val="center"/>
          </w:tcPr>
          <w:p w14:paraId="7BE63489">
            <w:pPr>
              <w:pStyle w:val="26"/>
              <w:snapToGrid w:val="0"/>
              <w:spacing w:beforeLines="0" w:afterLines="0" w:line="240" w:lineRule="auto"/>
              <w:outlineLvl w:val="0"/>
              <w:rPr>
                <w:color w:val="auto"/>
              </w:rPr>
            </w:pPr>
            <w:bookmarkStart w:id="66" w:name="_Toc414870817"/>
            <w:bookmarkStart w:id="67" w:name="_Toc408477092"/>
            <w:r>
              <w:rPr>
                <w:rFonts w:hint="eastAsia"/>
                <w:color w:val="auto"/>
              </w:rPr>
              <w:t>……</w:t>
            </w:r>
            <w:bookmarkEnd w:id="66"/>
            <w:bookmarkEnd w:id="67"/>
          </w:p>
        </w:tc>
        <w:tc>
          <w:tcPr>
            <w:tcW w:w="1727" w:type="dxa"/>
            <w:tcBorders>
              <w:top w:val="single" w:color="auto" w:sz="4" w:space="0"/>
              <w:left w:val="single" w:color="auto" w:sz="4" w:space="0"/>
              <w:bottom w:val="single" w:color="auto" w:sz="4" w:space="0"/>
              <w:right w:val="single" w:color="auto" w:sz="4" w:space="0"/>
            </w:tcBorders>
            <w:noWrap w:val="0"/>
            <w:vAlign w:val="top"/>
          </w:tcPr>
          <w:p w14:paraId="02533B6D">
            <w:pPr>
              <w:snapToGrid w:val="0"/>
              <w:spacing w:before="120" w:beforeLines="50"/>
              <w:rPr>
                <w:rFonts w:ascii="宋体"/>
                <w:color w:val="auto"/>
                <w:sz w:val="24"/>
              </w:rPr>
            </w:pPr>
          </w:p>
        </w:tc>
        <w:tc>
          <w:tcPr>
            <w:tcW w:w="1959" w:type="dxa"/>
            <w:tcBorders>
              <w:top w:val="single" w:color="auto" w:sz="4" w:space="0"/>
              <w:left w:val="single" w:color="auto" w:sz="4" w:space="0"/>
              <w:bottom w:val="single" w:color="auto" w:sz="4" w:space="0"/>
              <w:right w:val="single" w:color="auto" w:sz="4" w:space="0"/>
            </w:tcBorders>
            <w:noWrap w:val="0"/>
            <w:vAlign w:val="top"/>
          </w:tcPr>
          <w:p w14:paraId="0DEF2D14">
            <w:pPr>
              <w:snapToGrid w:val="0"/>
              <w:spacing w:before="120" w:beforeLines="50"/>
              <w:rPr>
                <w:rFonts w:ascii="宋体"/>
                <w:b/>
                <w:color w:val="auto"/>
                <w:sz w:val="24"/>
                <w:u w:val="single"/>
              </w:rPr>
            </w:pPr>
          </w:p>
        </w:tc>
        <w:tc>
          <w:tcPr>
            <w:tcW w:w="2409" w:type="dxa"/>
            <w:tcBorders>
              <w:top w:val="single" w:color="auto" w:sz="4" w:space="0"/>
              <w:left w:val="single" w:color="auto" w:sz="4" w:space="0"/>
              <w:bottom w:val="single" w:color="auto" w:sz="4" w:space="0"/>
            </w:tcBorders>
            <w:noWrap w:val="0"/>
            <w:vAlign w:val="top"/>
          </w:tcPr>
          <w:p w14:paraId="7CF8136D">
            <w:pPr>
              <w:snapToGrid w:val="0"/>
              <w:spacing w:before="120" w:beforeLines="50"/>
              <w:rPr>
                <w:rFonts w:ascii="宋体"/>
                <w:b/>
                <w:color w:val="auto"/>
                <w:sz w:val="24"/>
                <w:u w:val="single"/>
              </w:rPr>
            </w:pPr>
          </w:p>
        </w:tc>
      </w:tr>
    </w:tbl>
    <w:p w14:paraId="628B470B">
      <w:pPr>
        <w:snapToGrid w:val="0"/>
        <w:spacing w:before="120" w:beforeLines="50"/>
        <w:rPr>
          <w:rFonts w:ascii="宋体"/>
          <w:color w:val="auto"/>
          <w:sz w:val="24"/>
          <w:szCs w:val="20"/>
        </w:rPr>
      </w:pPr>
    </w:p>
    <w:p w14:paraId="286CC5F4">
      <w:pPr>
        <w:pStyle w:val="17"/>
        <w:snapToGrid w:val="0"/>
        <w:rPr>
          <w:rFonts w:ascii="宋体" w:hAnsi="宋体" w:eastAsia="宋体" w:cs="宋体"/>
          <w:color w:val="auto"/>
          <w:sz w:val="24"/>
          <w:highlight w:val="none"/>
        </w:rPr>
      </w:pPr>
    </w:p>
    <w:p w14:paraId="22CC42A4">
      <w:pPr>
        <w:pStyle w:val="17"/>
        <w:snapToGrid w:val="0"/>
        <w:rPr>
          <w:rFonts w:ascii="宋体" w:hAnsi="宋体" w:eastAsia="宋体" w:cs="宋体"/>
          <w:color w:val="auto"/>
          <w:sz w:val="24"/>
          <w:highlight w:val="none"/>
        </w:rPr>
      </w:pPr>
    </w:p>
    <w:p w14:paraId="0ADFC7CC">
      <w:pPr>
        <w:snapToGrid w:val="0"/>
        <w:spacing w:before="50" w:after="156" w:afterLines="50" w:line="312" w:lineRule="auto"/>
        <w:jc w:val="both"/>
        <w:rPr>
          <w:rFonts w:hint="eastAsia" w:ascii="宋体" w:hAnsi="宋体"/>
          <w:color w:val="auto"/>
          <w:spacing w:val="20"/>
          <w:sz w:val="24"/>
          <w:highlight w:val="none"/>
        </w:rPr>
      </w:pPr>
      <w:r>
        <w:rPr>
          <w:rFonts w:hint="eastAsia" w:ascii="宋体" w:hAnsi="宋体"/>
          <w:color w:val="auto"/>
          <w:spacing w:val="20"/>
          <w:sz w:val="24"/>
          <w:highlight w:val="none"/>
        </w:rPr>
        <w:t>投标人全称</w:t>
      </w:r>
      <w:r>
        <w:rPr>
          <w:rFonts w:hint="eastAsia" w:ascii="宋体" w:hAnsi="宋体" w:cs="宋体"/>
          <w:color w:val="auto"/>
          <w:sz w:val="24"/>
          <w:highlight w:val="none"/>
        </w:rPr>
        <w:t>（盖公章或电子签章）</w:t>
      </w:r>
      <w:r>
        <w:rPr>
          <w:rFonts w:hint="eastAsia" w:ascii="宋体" w:hAnsi="宋体"/>
          <w:color w:val="auto"/>
          <w:spacing w:val="20"/>
          <w:sz w:val="24"/>
          <w:highlight w:val="none"/>
        </w:rPr>
        <w:t>：</w:t>
      </w:r>
    </w:p>
    <w:p w14:paraId="28B1F4E9">
      <w:pPr>
        <w:snapToGrid w:val="0"/>
        <w:spacing w:line="360" w:lineRule="auto"/>
        <w:jc w:val="left"/>
        <w:rPr>
          <w:color w:val="auto"/>
          <w:sz w:val="24"/>
          <w:highlight w:val="none"/>
        </w:rPr>
      </w:pPr>
      <w:r>
        <w:rPr>
          <w:rFonts w:hint="eastAsia" w:ascii="宋体" w:hAnsi="宋体" w:eastAsia="宋体"/>
          <w:b w:val="0"/>
          <w:bCs w:val="0"/>
          <w:color w:val="auto"/>
          <w:spacing w:val="20"/>
          <w:sz w:val="24"/>
          <w:szCs w:val="24"/>
          <w:highlight w:val="none"/>
        </w:rPr>
        <w:t>年   月   日</w:t>
      </w:r>
    </w:p>
    <w:p w14:paraId="464F52E4">
      <w:pPr>
        <w:snapToGrid w:val="0"/>
        <w:spacing w:before="50" w:after="120" w:afterLines="50"/>
        <w:jc w:val="left"/>
        <w:rPr>
          <w:rFonts w:hint="eastAsia" w:ascii="宋体" w:hAnsi="宋体" w:cs="宋体"/>
          <w:b/>
          <w:color w:val="auto"/>
          <w:sz w:val="24"/>
          <w:highlight w:val="none"/>
          <w:lang w:eastAsia="zh-CN"/>
        </w:rPr>
      </w:pPr>
    </w:p>
    <w:p w14:paraId="4109787C">
      <w:pPr>
        <w:snapToGrid w:val="0"/>
        <w:spacing w:before="50" w:after="120" w:afterLines="50"/>
        <w:jc w:val="left"/>
        <w:rPr>
          <w:rFonts w:hint="eastAsia" w:ascii="宋体" w:hAnsi="宋体" w:cs="宋体"/>
          <w:b/>
          <w:color w:val="auto"/>
          <w:sz w:val="24"/>
          <w:highlight w:val="none"/>
          <w:lang w:eastAsia="zh-CN"/>
        </w:rPr>
      </w:pPr>
    </w:p>
    <w:p w14:paraId="3A6F8F3A">
      <w:pPr>
        <w:snapToGrid w:val="0"/>
        <w:spacing w:before="50" w:after="120" w:afterLines="50"/>
        <w:jc w:val="left"/>
        <w:rPr>
          <w:rFonts w:hint="eastAsia" w:ascii="宋体" w:hAnsi="宋体" w:cs="宋体"/>
          <w:b/>
          <w:color w:val="auto"/>
          <w:sz w:val="24"/>
          <w:highlight w:val="none"/>
          <w:lang w:eastAsia="zh-CN"/>
        </w:rPr>
      </w:pPr>
    </w:p>
    <w:p w14:paraId="0C8D8AC6">
      <w:pPr>
        <w:snapToGrid w:val="0"/>
        <w:spacing w:before="50" w:after="120" w:afterLines="50"/>
        <w:jc w:val="left"/>
        <w:rPr>
          <w:rFonts w:hint="eastAsia" w:ascii="宋体" w:hAnsi="宋体" w:cs="宋体"/>
          <w:b/>
          <w:color w:val="auto"/>
          <w:sz w:val="24"/>
          <w:highlight w:val="none"/>
          <w:lang w:eastAsia="zh-CN"/>
        </w:rPr>
      </w:pPr>
    </w:p>
    <w:p w14:paraId="71C1F2C4">
      <w:pPr>
        <w:snapToGrid w:val="0"/>
        <w:spacing w:before="50" w:after="120" w:afterLines="50"/>
        <w:jc w:val="left"/>
        <w:rPr>
          <w:rFonts w:hint="eastAsia" w:ascii="宋体" w:hAnsi="宋体" w:cs="宋体"/>
          <w:b/>
          <w:color w:val="auto"/>
          <w:sz w:val="24"/>
          <w:highlight w:val="none"/>
          <w:lang w:eastAsia="zh-CN"/>
        </w:rPr>
      </w:pPr>
    </w:p>
    <w:p w14:paraId="2B0E75D7">
      <w:pPr>
        <w:snapToGrid w:val="0"/>
        <w:spacing w:before="50" w:after="120" w:afterLines="50"/>
        <w:jc w:val="left"/>
        <w:rPr>
          <w:rFonts w:hint="eastAsia" w:ascii="宋体" w:hAnsi="宋体" w:cs="宋体"/>
          <w:b/>
          <w:color w:val="auto"/>
          <w:sz w:val="24"/>
          <w:highlight w:val="none"/>
          <w:lang w:eastAsia="zh-CN"/>
        </w:rPr>
      </w:pPr>
    </w:p>
    <w:p w14:paraId="19B009FA">
      <w:pPr>
        <w:pStyle w:val="2"/>
        <w:rPr>
          <w:rFonts w:hint="eastAsia" w:ascii="宋体" w:hAnsi="宋体" w:cs="宋体"/>
          <w:b/>
          <w:color w:val="auto"/>
          <w:sz w:val="24"/>
          <w:highlight w:val="none"/>
          <w:lang w:eastAsia="zh-CN"/>
        </w:rPr>
      </w:pPr>
    </w:p>
    <w:p w14:paraId="3A21297E">
      <w:pPr>
        <w:pStyle w:val="4"/>
        <w:rPr>
          <w:rFonts w:hint="eastAsia"/>
          <w:color w:val="auto"/>
          <w:lang w:eastAsia="zh-CN"/>
        </w:rPr>
      </w:pPr>
    </w:p>
    <w:p w14:paraId="0F2E609A">
      <w:pPr>
        <w:snapToGrid w:val="0"/>
        <w:spacing w:before="50" w:after="120" w:afterLines="50"/>
        <w:jc w:val="left"/>
        <w:rPr>
          <w:rFonts w:hint="eastAsia" w:ascii="宋体" w:hAnsi="宋体" w:cs="宋体"/>
          <w:b/>
          <w:color w:val="auto"/>
          <w:sz w:val="24"/>
          <w:highlight w:val="none"/>
          <w:lang w:eastAsia="zh-CN"/>
        </w:rPr>
      </w:pPr>
    </w:p>
    <w:p w14:paraId="6729424E">
      <w:pPr>
        <w:snapToGrid w:val="0"/>
        <w:spacing w:before="50" w:after="120" w:afterLines="50"/>
        <w:jc w:val="left"/>
        <w:rPr>
          <w:rFonts w:ascii="宋体" w:hAnsi="宋体" w:cs="宋体"/>
          <w:b/>
          <w:color w:val="auto"/>
          <w:sz w:val="24"/>
          <w:highlight w:val="none"/>
        </w:rPr>
      </w:pPr>
      <w:r>
        <w:rPr>
          <w:rFonts w:hint="eastAsia" w:ascii="宋体" w:hAnsi="宋体" w:cs="宋体"/>
          <w:b/>
          <w:color w:val="auto"/>
          <w:sz w:val="24"/>
          <w:highlight w:val="none"/>
          <w:lang w:eastAsia="zh-CN"/>
        </w:rPr>
        <w:t>附件</w:t>
      </w:r>
      <w:r>
        <w:rPr>
          <w:rFonts w:hint="eastAsia" w:ascii="宋体" w:hAnsi="宋体" w:cs="宋体"/>
          <w:b/>
          <w:color w:val="auto"/>
          <w:sz w:val="24"/>
          <w:highlight w:val="none"/>
          <w:lang w:val="en-US" w:eastAsia="zh-CN"/>
        </w:rPr>
        <w:t>:</w:t>
      </w:r>
      <w:r>
        <w:rPr>
          <w:rFonts w:hint="eastAsia" w:ascii="宋体" w:hAnsi="宋体" w:cs="宋体"/>
          <w:b/>
          <w:color w:val="auto"/>
          <w:sz w:val="24"/>
          <w:highlight w:val="none"/>
          <w:lang w:eastAsia="zh-CN"/>
        </w:rPr>
        <w:t>投标承诺书：</w:t>
      </w:r>
    </w:p>
    <w:p w14:paraId="4285503C">
      <w:pPr>
        <w:pStyle w:val="26"/>
        <w:spacing w:line="460" w:lineRule="exact"/>
        <w:jc w:val="center"/>
        <w:rPr>
          <w:rFonts w:hint="eastAsia" w:ascii="宋体" w:hAnsi="宋体" w:eastAsia="宋体" w:cs="宋体"/>
          <w:b/>
          <w:color w:val="auto"/>
          <w:kern w:val="2"/>
          <w:sz w:val="30"/>
          <w:szCs w:val="30"/>
          <w:highlight w:val="none"/>
          <w:lang w:val="en-US" w:eastAsia="zh-CN" w:bidi="ar-SA"/>
        </w:rPr>
      </w:pPr>
      <w:r>
        <w:rPr>
          <w:rFonts w:hint="eastAsia" w:ascii="宋体" w:hAnsi="宋体" w:eastAsia="宋体" w:cs="宋体"/>
          <w:b/>
          <w:color w:val="auto"/>
          <w:kern w:val="2"/>
          <w:sz w:val="30"/>
          <w:szCs w:val="30"/>
          <w:highlight w:val="none"/>
          <w:lang w:val="en-US" w:eastAsia="zh-CN" w:bidi="ar-SA"/>
        </w:rPr>
        <w:t>政府采购项目投标承诺书</w:t>
      </w:r>
    </w:p>
    <w:p w14:paraId="61574AFF">
      <w:pPr>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我单位已认真阅读了本项目的招标公告、招标文件、技术要求、图纸、招标补充（答疑）文件及相关资料，对其全部内容和要求有实质性了解，并对这些内容表示理解且无任何异议，接受其全部内容及要求，承诺本单位的投标文件已经完全响应并符合其全部条件和要求，愿意参加投标并愿意成交；</w:t>
      </w:r>
    </w:p>
    <w:p w14:paraId="734F7233">
      <w:pPr>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2.自愿接受</w:t>
      </w:r>
      <w:r>
        <w:rPr>
          <w:rFonts w:hint="eastAsia" w:ascii="宋体" w:hAnsi="宋体" w:eastAsia="宋体" w:cs="宋体"/>
          <w:color w:val="auto"/>
          <w:sz w:val="24"/>
          <w:szCs w:val="24"/>
          <w:lang w:eastAsia="zh-CN"/>
        </w:rPr>
        <w:t>东阳</w:t>
      </w:r>
      <w:r>
        <w:rPr>
          <w:rFonts w:hint="eastAsia" w:ascii="宋体" w:hAnsi="宋体" w:eastAsia="宋体" w:cs="宋体"/>
          <w:color w:val="auto"/>
          <w:sz w:val="24"/>
          <w:szCs w:val="24"/>
        </w:rPr>
        <w:t>市财政局（以下简称财政局）的管理，并严格遵守财政局制定的招投标管理制度、规范和纪律。</w:t>
      </w:r>
    </w:p>
    <w:p w14:paraId="22CF78BC">
      <w:pPr>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3.我单位承诺参与本次投标的资格符合《中华人民共和国政府采购法》和《中华人民共和国政府采购法实施条例》的规定，并承诺近三年内，在经营活动中没有重大违法记录。</w:t>
      </w:r>
    </w:p>
    <w:p w14:paraId="3C3EB8F0">
      <w:pPr>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积极主动配合财政局的调查。及时、如实、全面地回答财政局提出的问题，并在调查笔录中签字确认。如拒绝签字确认的，则视为我单位及有关工作人员认可调查笔录中的全部内容，并对最终的调查结果无任何异议，且自愿放弃一切救济途径。</w:t>
      </w:r>
    </w:p>
    <w:p w14:paraId="26D71963">
      <w:pPr>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5.不转让、出借、涂改、伪造资质（资格）证书或者以其他方式允许其他单位（个人）以我单位（本人）名义承接业务。</w:t>
      </w:r>
    </w:p>
    <w:p w14:paraId="659D38C5">
      <w:pPr>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6.不与采购人或者其他投标人相互串通投标，围标，不以行贿等不正当手段谋取成交。</w:t>
      </w:r>
    </w:p>
    <w:p w14:paraId="4847FD48">
      <w:pPr>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7.在备案、招标、投标、现场获取招标文件、开标、评标、询标、成交、签订合同、合同备案等招投标预备和进行的全过程中提供的资料均真实、有效，不弄虚作假。</w:t>
      </w:r>
    </w:p>
    <w:p w14:paraId="3A8F3F11">
      <w:pPr>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8.我方已详细审核全部招标文件，包括修改文件(如果有的话)，及有关附件，我方同意放弃提出含糊不清或误解的权力。 </w:t>
      </w:r>
    </w:p>
    <w:p w14:paraId="60F41FF7">
      <w:pPr>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9.我方同意所递交的投标文件在招标期内有效，在此期间内我方有可能成交，我方将受此约束。</w:t>
      </w:r>
    </w:p>
    <w:p w14:paraId="757B52E0">
      <w:pPr>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10.我方相信贵方的招标结果是公正、合法的，无论我方成交还是落标，我方将接受这一结果。 </w:t>
      </w:r>
    </w:p>
    <w:p w14:paraId="7FD3BBAA">
      <w:pPr>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11.一旦我方成交，我方将严格依照招标文件中的相关规定与采购人签订合同。</w:t>
      </w:r>
    </w:p>
    <w:p w14:paraId="4AEC1CB8">
      <w:pPr>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12.不低于企业成本价投标，不恶意过高报价，不扰乱招投标的正常秩序。</w:t>
      </w:r>
    </w:p>
    <w:p w14:paraId="7D77FA06">
      <w:pPr>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13.严格遵守开标会议纪律，不在开标会场吵闹、滋事，服从工作人员指挥。</w:t>
      </w:r>
    </w:p>
    <w:p w14:paraId="12C169FE">
      <w:pPr>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14.按照法律法规和本项目招标文件规定的程序和方式进行异议和投诉，不越级投诉，不无理投诉。如捏造事实、伪造材料或者以非法手段取得说明材料进行投诉，给他人造成损失的，依法承担赔偿责任。</w:t>
      </w:r>
    </w:p>
    <w:p w14:paraId="5E1EF7C3">
      <w:pPr>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上述承诺事项已认真逐项核对，均表达我单位真实意见，愿承担任何责任。若有任何弄虚作假内容或未遵守上述约定的，经查实后，愿意放弃投标及成交资格，采购人可据此将我公司列入政府采购严重违法失信行为记录名单，并承担因此引起的经济损失。如我单位违反上述承诺事项，无条件接受财政局或相关监管部门作出的任何管理和处理决定，并自愿承担一切不利的后果。</w:t>
      </w:r>
    </w:p>
    <w:p w14:paraId="33D5CB96">
      <w:pPr>
        <w:snapToGrid w:val="0"/>
        <w:spacing w:line="360" w:lineRule="auto"/>
        <w:jc w:val="left"/>
        <w:rPr>
          <w:rFonts w:hint="eastAsia" w:ascii="宋体" w:hAnsi="宋体"/>
          <w:color w:val="auto"/>
          <w:spacing w:val="20"/>
          <w:sz w:val="24"/>
          <w:highlight w:val="none"/>
        </w:rPr>
      </w:pPr>
    </w:p>
    <w:p w14:paraId="7929FF10">
      <w:pPr>
        <w:snapToGrid w:val="0"/>
        <w:spacing w:line="360" w:lineRule="auto"/>
        <w:jc w:val="left"/>
        <w:rPr>
          <w:rFonts w:hint="eastAsia" w:ascii="宋体" w:hAnsi="宋体"/>
          <w:color w:val="auto"/>
          <w:spacing w:val="20"/>
          <w:sz w:val="24"/>
          <w:highlight w:val="none"/>
        </w:rPr>
      </w:pPr>
      <w:r>
        <w:rPr>
          <w:rFonts w:hint="eastAsia" w:ascii="宋体" w:hAnsi="宋体"/>
          <w:color w:val="auto"/>
          <w:spacing w:val="20"/>
          <w:sz w:val="24"/>
          <w:highlight w:val="none"/>
        </w:rPr>
        <w:t>投标人全称</w:t>
      </w:r>
      <w:r>
        <w:rPr>
          <w:rFonts w:hint="eastAsia" w:ascii="宋体" w:hAnsi="宋体" w:cs="宋体"/>
          <w:color w:val="auto"/>
          <w:sz w:val="24"/>
          <w:highlight w:val="none"/>
        </w:rPr>
        <w:t>（盖公章或电子签章）</w:t>
      </w:r>
      <w:r>
        <w:rPr>
          <w:rFonts w:hint="eastAsia" w:ascii="宋体" w:hAnsi="宋体"/>
          <w:color w:val="auto"/>
          <w:spacing w:val="20"/>
          <w:sz w:val="24"/>
          <w:highlight w:val="none"/>
        </w:rPr>
        <w:t>：</w:t>
      </w:r>
    </w:p>
    <w:p w14:paraId="1389209B">
      <w:pPr>
        <w:snapToGrid w:val="0"/>
        <w:spacing w:line="360" w:lineRule="auto"/>
        <w:jc w:val="left"/>
        <w:rPr>
          <w:color w:val="auto"/>
        </w:rPr>
      </w:pPr>
      <w:r>
        <w:rPr>
          <w:rFonts w:hint="eastAsia" w:ascii="宋体" w:hAnsi="宋体" w:eastAsia="宋体"/>
          <w:b w:val="0"/>
          <w:bCs w:val="0"/>
          <w:color w:val="auto"/>
          <w:spacing w:val="20"/>
          <w:sz w:val="24"/>
          <w:szCs w:val="24"/>
          <w:highlight w:val="none"/>
        </w:rPr>
        <w:t>年   月   日</w:t>
      </w:r>
    </w:p>
    <w:p w14:paraId="18110671">
      <w:pPr>
        <w:snapToGrid w:val="0"/>
        <w:spacing w:before="50" w:after="156" w:afterLines="50" w:line="312" w:lineRule="auto"/>
        <w:jc w:val="both"/>
        <w:rPr>
          <w:rFonts w:hint="eastAsia" w:ascii="宋体" w:hAnsi="宋体"/>
          <w:b/>
          <w:color w:val="auto"/>
          <w:sz w:val="24"/>
          <w:highlight w:val="none"/>
        </w:rPr>
      </w:pPr>
    </w:p>
    <w:p w14:paraId="5CBFEB2E">
      <w:pPr>
        <w:snapToGrid w:val="0"/>
        <w:spacing w:before="50" w:after="156" w:afterLines="50" w:line="312" w:lineRule="auto"/>
        <w:jc w:val="both"/>
        <w:rPr>
          <w:rFonts w:hint="eastAsia" w:ascii="宋体" w:hAnsi="宋体"/>
          <w:b/>
          <w:color w:val="auto"/>
          <w:sz w:val="24"/>
          <w:highlight w:val="none"/>
        </w:rPr>
      </w:pPr>
      <w:r>
        <w:rPr>
          <w:rFonts w:hint="eastAsia" w:ascii="宋体" w:hAnsi="宋体"/>
          <w:b/>
          <w:color w:val="auto"/>
          <w:sz w:val="24"/>
          <w:highlight w:val="none"/>
        </w:rPr>
        <w:t>附件：项目实施人员一览表</w:t>
      </w:r>
    </w:p>
    <w:p w14:paraId="127B0992">
      <w:pPr>
        <w:rPr>
          <w:color w:val="auto"/>
          <w:highlight w:val="none"/>
        </w:rPr>
      </w:pPr>
      <w:r>
        <w:rPr>
          <w:rFonts w:hint="eastAsia"/>
          <w:snapToGrid w:val="0"/>
          <w:color w:val="auto"/>
          <w:highlight w:val="none"/>
        </w:rPr>
        <w:t xml:space="preserve">                       </w:t>
      </w:r>
      <w:r>
        <w:rPr>
          <w:rFonts w:hint="eastAsia"/>
          <w:snapToGrid w:val="0"/>
          <w:color w:val="auto"/>
          <w:highlight w:val="none"/>
          <w:lang w:val="en-US" w:eastAsia="zh-CN"/>
        </w:rPr>
        <w:t xml:space="preserve">      </w:t>
      </w:r>
      <w:r>
        <w:rPr>
          <w:rFonts w:hint="eastAsia"/>
          <w:snapToGrid w:val="0"/>
          <w:color w:val="auto"/>
          <w:sz w:val="30"/>
          <w:szCs w:val="30"/>
          <w:highlight w:val="none"/>
          <w:lang w:val="en-US" w:eastAsia="zh-CN"/>
        </w:rPr>
        <w:t xml:space="preserve"> </w:t>
      </w:r>
      <w:r>
        <w:rPr>
          <w:rFonts w:hint="eastAsia" w:ascii="宋体" w:hAnsi="宋体"/>
          <w:b/>
          <w:color w:val="auto"/>
          <w:sz w:val="28"/>
          <w:szCs w:val="28"/>
          <w:highlight w:val="none"/>
        </w:rPr>
        <w:t>项目实施人员一览表</w:t>
      </w:r>
    </w:p>
    <w:tbl>
      <w:tblPr>
        <w:tblStyle w:val="45"/>
        <w:tblW w:w="901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28" w:type="dxa"/>
          <w:bottom w:w="0" w:type="dxa"/>
          <w:right w:w="28" w:type="dxa"/>
        </w:tblCellMar>
      </w:tblPr>
      <w:tblGrid>
        <w:gridCol w:w="1165"/>
        <w:gridCol w:w="1653"/>
        <w:gridCol w:w="1240"/>
        <w:gridCol w:w="1033"/>
        <w:gridCol w:w="1343"/>
        <w:gridCol w:w="2580"/>
      </w:tblGrid>
      <w:tr w14:paraId="7941185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609A4182">
            <w:pPr>
              <w:snapToGrid w:val="0"/>
              <w:jc w:val="center"/>
              <w:rPr>
                <w:snapToGrid w:val="0"/>
                <w:color w:val="auto"/>
                <w:szCs w:val="21"/>
                <w:highlight w:val="none"/>
              </w:rPr>
            </w:pPr>
            <w:r>
              <w:rPr>
                <w:rFonts w:hint="eastAsia" w:ascii="宋体" w:hAnsi="宋体"/>
                <w:color w:val="auto"/>
                <w:sz w:val="24"/>
                <w:highlight w:val="none"/>
              </w:rPr>
              <w:t>姓名</w:t>
            </w:r>
          </w:p>
        </w:tc>
        <w:tc>
          <w:tcPr>
            <w:tcW w:w="1653" w:type="dxa"/>
            <w:vAlign w:val="center"/>
          </w:tcPr>
          <w:p w14:paraId="161A9289">
            <w:pPr>
              <w:snapToGrid w:val="0"/>
              <w:jc w:val="center"/>
              <w:rPr>
                <w:snapToGrid w:val="0"/>
                <w:color w:val="auto"/>
                <w:szCs w:val="21"/>
                <w:highlight w:val="none"/>
              </w:rPr>
            </w:pPr>
            <w:r>
              <w:rPr>
                <w:rFonts w:hint="eastAsia" w:ascii="宋体" w:hAnsi="宋体"/>
                <w:color w:val="auto"/>
                <w:sz w:val="24"/>
                <w:highlight w:val="none"/>
              </w:rPr>
              <w:t>职称</w:t>
            </w:r>
          </w:p>
        </w:tc>
        <w:tc>
          <w:tcPr>
            <w:tcW w:w="1240" w:type="dxa"/>
            <w:vAlign w:val="center"/>
          </w:tcPr>
          <w:p w14:paraId="4E4BB14D">
            <w:pPr>
              <w:snapToGrid w:val="0"/>
              <w:jc w:val="center"/>
              <w:rPr>
                <w:snapToGrid w:val="0"/>
                <w:color w:val="auto"/>
                <w:szCs w:val="21"/>
                <w:highlight w:val="none"/>
              </w:rPr>
            </w:pPr>
            <w:r>
              <w:rPr>
                <w:rFonts w:hint="eastAsia" w:ascii="宋体" w:hAnsi="宋体"/>
                <w:color w:val="auto"/>
                <w:sz w:val="24"/>
                <w:highlight w:val="none"/>
              </w:rPr>
              <w:t>文化程度</w:t>
            </w:r>
          </w:p>
        </w:tc>
        <w:tc>
          <w:tcPr>
            <w:tcW w:w="1033" w:type="dxa"/>
            <w:vAlign w:val="center"/>
          </w:tcPr>
          <w:p w14:paraId="36FCD105">
            <w:pPr>
              <w:snapToGrid w:val="0"/>
              <w:jc w:val="center"/>
              <w:rPr>
                <w:snapToGrid w:val="0"/>
                <w:color w:val="auto"/>
                <w:szCs w:val="21"/>
                <w:highlight w:val="none"/>
              </w:rPr>
            </w:pPr>
            <w:r>
              <w:rPr>
                <w:rFonts w:hint="eastAsia" w:ascii="宋体" w:hAnsi="宋体"/>
                <w:color w:val="auto"/>
                <w:sz w:val="24"/>
                <w:highlight w:val="none"/>
              </w:rPr>
              <w:t>专业技术资格</w:t>
            </w:r>
          </w:p>
        </w:tc>
        <w:tc>
          <w:tcPr>
            <w:tcW w:w="1343" w:type="dxa"/>
            <w:vAlign w:val="center"/>
          </w:tcPr>
          <w:p w14:paraId="45BEFCF3">
            <w:pPr>
              <w:snapToGrid w:val="0"/>
              <w:jc w:val="center"/>
              <w:rPr>
                <w:snapToGrid w:val="0"/>
                <w:color w:val="auto"/>
                <w:szCs w:val="21"/>
                <w:highlight w:val="none"/>
              </w:rPr>
            </w:pPr>
            <w:r>
              <w:rPr>
                <w:rFonts w:hint="eastAsia" w:ascii="宋体" w:hAnsi="宋体"/>
                <w:color w:val="auto"/>
                <w:sz w:val="24"/>
                <w:highlight w:val="none"/>
              </w:rPr>
              <w:t>证书编号</w:t>
            </w:r>
          </w:p>
        </w:tc>
        <w:tc>
          <w:tcPr>
            <w:tcW w:w="2580" w:type="dxa"/>
            <w:vAlign w:val="center"/>
          </w:tcPr>
          <w:p w14:paraId="1E040F1F">
            <w:pPr>
              <w:snapToGrid w:val="0"/>
              <w:jc w:val="center"/>
              <w:rPr>
                <w:snapToGrid w:val="0"/>
                <w:color w:val="auto"/>
                <w:szCs w:val="21"/>
                <w:highlight w:val="none"/>
              </w:rPr>
            </w:pPr>
            <w:r>
              <w:rPr>
                <w:rFonts w:hint="eastAsia" w:ascii="宋体" w:hAnsi="宋体"/>
                <w:bCs/>
                <w:color w:val="auto"/>
                <w:sz w:val="24"/>
                <w:highlight w:val="none"/>
              </w:rPr>
              <w:t>参加本单位工作时间</w:t>
            </w:r>
          </w:p>
        </w:tc>
      </w:tr>
      <w:tr w14:paraId="1517E6A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63147B5F">
            <w:pPr>
              <w:jc w:val="center"/>
              <w:rPr>
                <w:snapToGrid w:val="0"/>
                <w:color w:val="auto"/>
                <w:highlight w:val="none"/>
              </w:rPr>
            </w:pPr>
          </w:p>
        </w:tc>
        <w:tc>
          <w:tcPr>
            <w:tcW w:w="1653" w:type="dxa"/>
            <w:vAlign w:val="center"/>
          </w:tcPr>
          <w:p w14:paraId="4310143A">
            <w:pPr>
              <w:jc w:val="center"/>
              <w:rPr>
                <w:snapToGrid w:val="0"/>
                <w:color w:val="auto"/>
                <w:highlight w:val="none"/>
              </w:rPr>
            </w:pPr>
          </w:p>
        </w:tc>
        <w:tc>
          <w:tcPr>
            <w:tcW w:w="1240" w:type="dxa"/>
            <w:vAlign w:val="center"/>
          </w:tcPr>
          <w:p w14:paraId="035F7A18">
            <w:pPr>
              <w:jc w:val="center"/>
              <w:rPr>
                <w:snapToGrid w:val="0"/>
                <w:color w:val="auto"/>
                <w:highlight w:val="none"/>
              </w:rPr>
            </w:pPr>
          </w:p>
        </w:tc>
        <w:tc>
          <w:tcPr>
            <w:tcW w:w="1033" w:type="dxa"/>
            <w:vAlign w:val="center"/>
          </w:tcPr>
          <w:p w14:paraId="3B2BDAF3">
            <w:pPr>
              <w:jc w:val="center"/>
              <w:rPr>
                <w:snapToGrid w:val="0"/>
                <w:color w:val="auto"/>
                <w:highlight w:val="none"/>
              </w:rPr>
            </w:pPr>
          </w:p>
        </w:tc>
        <w:tc>
          <w:tcPr>
            <w:tcW w:w="1343" w:type="dxa"/>
            <w:vAlign w:val="center"/>
          </w:tcPr>
          <w:p w14:paraId="33AE86E3">
            <w:pPr>
              <w:jc w:val="center"/>
              <w:rPr>
                <w:snapToGrid w:val="0"/>
                <w:color w:val="auto"/>
                <w:highlight w:val="none"/>
              </w:rPr>
            </w:pPr>
          </w:p>
        </w:tc>
        <w:tc>
          <w:tcPr>
            <w:tcW w:w="2580" w:type="dxa"/>
            <w:vAlign w:val="center"/>
          </w:tcPr>
          <w:p w14:paraId="6A287B21">
            <w:pPr>
              <w:jc w:val="center"/>
              <w:rPr>
                <w:snapToGrid w:val="0"/>
                <w:color w:val="auto"/>
                <w:highlight w:val="none"/>
              </w:rPr>
            </w:pPr>
          </w:p>
        </w:tc>
      </w:tr>
      <w:tr w14:paraId="741CB49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75700620">
            <w:pPr>
              <w:jc w:val="center"/>
              <w:rPr>
                <w:snapToGrid w:val="0"/>
                <w:color w:val="auto"/>
                <w:highlight w:val="none"/>
              </w:rPr>
            </w:pPr>
          </w:p>
        </w:tc>
        <w:tc>
          <w:tcPr>
            <w:tcW w:w="1653" w:type="dxa"/>
            <w:vAlign w:val="center"/>
          </w:tcPr>
          <w:p w14:paraId="7314E4C8">
            <w:pPr>
              <w:jc w:val="center"/>
              <w:rPr>
                <w:snapToGrid w:val="0"/>
                <w:color w:val="auto"/>
                <w:highlight w:val="none"/>
              </w:rPr>
            </w:pPr>
          </w:p>
        </w:tc>
        <w:tc>
          <w:tcPr>
            <w:tcW w:w="1240" w:type="dxa"/>
            <w:vAlign w:val="center"/>
          </w:tcPr>
          <w:p w14:paraId="4BFB981E">
            <w:pPr>
              <w:jc w:val="center"/>
              <w:rPr>
                <w:snapToGrid w:val="0"/>
                <w:color w:val="auto"/>
                <w:highlight w:val="none"/>
              </w:rPr>
            </w:pPr>
          </w:p>
        </w:tc>
        <w:tc>
          <w:tcPr>
            <w:tcW w:w="1033" w:type="dxa"/>
            <w:vAlign w:val="center"/>
          </w:tcPr>
          <w:p w14:paraId="1E16F00F">
            <w:pPr>
              <w:jc w:val="center"/>
              <w:rPr>
                <w:snapToGrid w:val="0"/>
                <w:color w:val="auto"/>
                <w:highlight w:val="none"/>
              </w:rPr>
            </w:pPr>
          </w:p>
        </w:tc>
        <w:tc>
          <w:tcPr>
            <w:tcW w:w="1343" w:type="dxa"/>
            <w:vAlign w:val="center"/>
          </w:tcPr>
          <w:p w14:paraId="79F6F410">
            <w:pPr>
              <w:jc w:val="center"/>
              <w:rPr>
                <w:snapToGrid w:val="0"/>
                <w:color w:val="auto"/>
                <w:highlight w:val="none"/>
              </w:rPr>
            </w:pPr>
          </w:p>
        </w:tc>
        <w:tc>
          <w:tcPr>
            <w:tcW w:w="2580" w:type="dxa"/>
            <w:vAlign w:val="center"/>
          </w:tcPr>
          <w:p w14:paraId="4856B624">
            <w:pPr>
              <w:jc w:val="center"/>
              <w:rPr>
                <w:snapToGrid w:val="0"/>
                <w:color w:val="auto"/>
                <w:highlight w:val="none"/>
              </w:rPr>
            </w:pPr>
          </w:p>
        </w:tc>
      </w:tr>
      <w:tr w14:paraId="6A6513A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223E0AF0">
            <w:pPr>
              <w:jc w:val="center"/>
              <w:rPr>
                <w:snapToGrid w:val="0"/>
                <w:color w:val="auto"/>
                <w:highlight w:val="none"/>
              </w:rPr>
            </w:pPr>
          </w:p>
        </w:tc>
        <w:tc>
          <w:tcPr>
            <w:tcW w:w="1653" w:type="dxa"/>
            <w:vAlign w:val="center"/>
          </w:tcPr>
          <w:p w14:paraId="03C942F3">
            <w:pPr>
              <w:jc w:val="center"/>
              <w:rPr>
                <w:snapToGrid w:val="0"/>
                <w:color w:val="auto"/>
                <w:highlight w:val="none"/>
              </w:rPr>
            </w:pPr>
          </w:p>
        </w:tc>
        <w:tc>
          <w:tcPr>
            <w:tcW w:w="1240" w:type="dxa"/>
            <w:vAlign w:val="center"/>
          </w:tcPr>
          <w:p w14:paraId="12792802">
            <w:pPr>
              <w:jc w:val="center"/>
              <w:rPr>
                <w:snapToGrid w:val="0"/>
                <w:color w:val="auto"/>
                <w:highlight w:val="none"/>
              </w:rPr>
            </w:pPr>
          </w:p>
        </w:tc>
        <w:tc>
          <w:tcPr>
            <w:tcW w:w="1033" w:type="dxa"/>
            <w:vAlign w:val="center"/>
          </w:tcPr>
          <w:p w14:paraId="56B29C8F">
            <w:pPr>
              <w:jc w:val="center"/>
              <w:rPr>
                <w:snapToGrid w:val="0"/>
                <w:color w:val="auto"/>
                <w:highlight w:val="none"/>
              </w:rPr>
            </w:pPr>
          </w:p>
        </w:tc>
        <w:tc>
          <w:tcPr>
            <w:tcW w:w="1343" w:type="dxa"/>
            <w:vAlign w:val="center"/>
          </w:tcPr>
          <w:p w14:paraId="58FE7134">
            <w:pPr>
              <w:jc w:val="center"/>
              <w:rPr>
                <w:snapToGrid w:val="0"/>
                <w:color w:val="auto"/>
                <w:highlight w:val="none"/>
              </w:rPr>
            </w:pPr>
          </w:p>
        </w:tc>
        <w:tc>
          <w:tcPr>
            <w:tcW w:w="2580" w:type="dxa"/>
            <w:vAlign w:val="center"/>
          </w:tcPr>
          <w:p w14:paraId="484B6630">
            <w:pPr>
              <w:jc w:val="center"/>
              <w:rPr>
                <w:snapToGrid w:val="0"/>
                <w:color w:val="auto"/>
                <w:highlight w:val="none"/>
              </w:rPr>
            </w:pPr>
          </w:p>
        </w:tc>
      </w:tr>
      <w:tr w14:paraId="2EF067C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17177FDC">
            <w:pPr>
              <w:jc w:val="center"/>
              <w:rPr>
                <w:snapToGrid w:val="0"/>
                <w:color w:val="auto"/>
                <w:highlight w:val="none"/>
              </w:rPr>
            </w:pPr>
          </w:p>
        </w:tc>
        <w:tc>
          <w:tcPr>
            <w:tcW w:w="1653" w:type="dxa"/>
            <w:vAlign w:val="center"/>
          </w:tcPr>
          <w:p w14:paraId="3B6496B0">
            <w:pPr>
              <w:jc w:val="center"/>
              <w:rPr>
                <w:snapToGrid w:val="0"/>
                <w:color w:val="auto"/>
                <w:highlight w:val="none"/>
              </w:rPr>
            </w:pPr>
          </w:p>
        </w:tc>
        <w:tc>
          <w:tcPr>
            <w:tcW w:w="1240" w:type="dxa"/>
            <w:vAlign w:val="center"/>
          </w:tcPr>
          <w:p w14:paraId="29DAD23C">
            <w:pPr>
              <w:jc w:val="center"/>
              <w:rPr>
                <w:snapToGrid w:val="0"/>
                <w:color w:val="auto"/>
                <w:highlight w:val="none"/>
              </w:rPr>
            </w:pPr>
          </w:p>
        </w:tc>
        <w:tc>
          <w:tcPr>
            <w:tcW w:w="1033" w:type="dxa"/>
            <w:vAlign w:val="center"/>
          </w:tcPr>
          <w:p w14:paraId="4FB6B705">
            <w:pPr>
              <w:jc w:val="center"/>
              <w:rPr>
                <w:snapToGrid w:val="0"/>
                <w:color w:val="auto"/>
                <w:highlight w:val="none"/>
              </w:rPr>
            </w:pPr>
          </w:p>
        </w:tc>
        <w:tc>
          <w:tcPr>
            <w:tcW w:w="1343" w:type="dxa"/>
            <w:vAlign w:val="center"/>
          </w:tcPr>
          <w:p w14:paraId="4B0C1AEC">
            <w:pPr>
              <w:jc w:val="center"/>
              <w:rPr>
                <w:snapToGrid w:val="0"/>
                <w:color w:val="auto"/>
                <w:highlight w:val="none"/>
              </w:rPr>
            </w:pPr>
          </w:p>
        </w:tc>
        <w:tc>
          <w:tcPr>
            <w:tcW w:w="2580" w:type="dxa"/>
            <w:vAlign w:val="center"/>
          </w:tcPr>
          <w:p w14:paraId="3C8010B3">
            <w:pPr>
              <w:jc w:val="center"/>
              <w:rPr>
                <w:snapToGrid w:val="0"/>
                <w:color w:val="auto"/>
                <w:highlight w:val="none"/>
              </w:rPr>
            </w:pPr>
          </w:p>
        </w:tc>
      </w:tr>
      <w:tr w14:paraId="2B4732B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42814EC2">
            <w:pPr>
              <w:jc w:val="center"/>
              <w:rPr>
                <w:snapToGrid w:val="0"/>
                <w:color w:val="auto"/>
                <w:highlight w:val="none"/>
              </w:rPr>
            </w:pPr>
          </w:p>
        </w:tc>
        <w:tc>
          <w:tcPr>
            <w:tcW w:w="1653" w:type="dxa"/>
            <w:vAlign w:val="center"/>
          </w:tcPr>
          <w:p w14:paraId="43353839">
            <w:pPr>
              <w:jc w:val="center"/>
              <w:rPr>
                <w:snapToGrid w:val="0"/>
                <w:color w:val="auto"/>
                <w:highlight w:val="none"/>
              </w:rPr>
            </w:pPr>
          </w:p>
        </w:tc>
        <w:tc>
          <w:tcPr>
            <w:tcW w:w="1240" w:type="dxa"/>
            <w:vAlign w:val="center"/>
          </w:tcPr>
          <w:p w14:paraId="6877C55E">
            <w:pPr>
              <w:jc w:val="center"/>
              <w:rPr>
                <w:snapToGrid w:val="0"/>
                <w:color w:val="auto"/>
                <w:highlight w:val="none"/>
              </w:rPr>
            </w:pPr>
          </w:p>
        </w:tc>
        <w:tc>
          <w:tcPr>
            <w:tcW w:w="1033" w:type="dxa"/>
            <w:vAlign w:val="center"/>
          </w:tcPr>
          <w:p w14:paraId="54450446">
            <w:pPr>
              <w:jc w:val="center"/>
              <w:rPr>
                <w:snapToGrid w:val="0"/>
                <w:color w:val="auto"/>
                <w:highlight w:val="none"/>
              </w:rPr>
            </w:pPr>
          </w:p>
        </w:tc>
        <w:tc>
          <w:tcPr>
            <w:tcW w:w="1343" w:type="dxa"/>
            <w:vAlign w:val="center"/>
          </w:tcPr>
          <w:p w14:paraId="0572B3AE">
            <w:pPr>
              <w:jc w:val="center"/>
              <w:rPr>
                <w:snapToGrid w:val="0"/>
                <w:color w:val="auto"/>
                <w:highlight w:val="none"/>
              </w:rPr>
            </w:pPr>
          </w:p>
        </w:tc>
        <w:tc>
          <w:tcPr>
            <w:tcW w:w="2580" w:type="dxa"/>
            <w:vAlign w:val="center"/>
          </w:tcPr>
          <w:p w14:paraId="3BC6C89A">
            <w:pPr>
              <w:jc w:val="center"/>
              <w:rPr>
                <w:snapToGrid w:val="0"/>
                <w:color w:val="auto"/>
                <w:highlight w:val="none"/>
              </w:rPr>
            </w:pPr>
          </w:p>
        </w:tc>
      </w:tr>
      <w:tr w14:paraId="79CB05B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2EF83A5D">
            <w:pPr>
              <w:jc w:val="center"/>
              <w:rPr>
                <w:snapToGrid w:val="0"/>
                <w:color w:val="auto"/>
                <w:highlight w:val="none"/>
              </w:rPr>
            </w:pPr>
          </w:p>
        </w:tc>
        <w:tc>
          <w:tcPr>
            <w:tcW w:w="1653" w:type="dxa"/>
            <w:vAlign w:val="center"/>
          </w:tcPr>
          <w:p w14:paraId="46504859">
            <w:pPr>
              <w:jc w:val="center"/>
              <w:rPr>
                <w:snapToGrid w:val="0"/>
                <w:color w:val="auto"/>
                <w:highlight w:val="none"/>
              </w:rPr>
            </w:pPr>
          </w:p>
        </w:tc>
        <w:tc>
          <w:tcPr>
            <w:tcW w:w="1240" w:type="dxa"/>
            <w:vAlign w:val="center"/>
          </w:tcPr>
          <w:p w14:paraId="351ED3A7">
            <w:pPr>
              <w:jc w:val="center"/>
              <w:rPr>
                <w:snapToGrid w:val="0"/>
                <w:color w:val="auto"/>
                <w:highlight w:val="none"/>
              </w:rPr>
            </w:pPr>
          </w:p>
        </w:tc>
        <w:tc>
          <w:tcPr>
            <w:tcW w:w="1033" w:type="dxa"/>
            <w:vAlign w:val="center"/>
          </w:tcPr>
          <w:p w14:paraId="398BC75A">
            <w:pPr>
              <w:jc w:val="center"/>
              <w:rPr>
                <w:snapToGrid w:val="0"/>
                <w:color w:val="auto"/>
                <w:highlight w:val="none"/>
              </w:rPr>
            </w:pPr>
          </w:p>
        </w:tc>
        <w:tc>
          <w:tcPr>
            <w:tcW w:w="1343" w:type="dxa"/>
            <w:vAlign w:val="center"/>
          </w:tcPr>
          <w:p w14:paraId="702C1D0C">
            <w:pPr>
              <w:jc w:val="center"/>
              <w:rPr>
                <w:snapToGrid w:val="0"/>
                <w:color w:val="auto"/>
                <w:highlight w:val="none"/>
              </w:rPr>
            </w:pPr>
          </w:p>
        </w:tc>
        <w:tc>
          <w:tcPr>
            <w:tcW w:w="2580" w:type="dxa"/>
            <w:vAlign w:val="center"/>
          </w:tcPr>
          <w:p w14:paraId="0821EFE1">
            <w:pPr>
              <w:jc w:val="center"/>
              <w:rPr>
                <w:snapToGrid w:val="0"/>
                <w:color w:val="auto"/>
                <w:highlight w:val="none"/>
              </w:rPr>
            </w:pPr>
          </w:p>
        </w:tc>
      </w:tr>
      <w:tr w14:paraId="3E7769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07D5AA12">
            <w:pPr>
              <w:jc w:val="center"/>
              <w:rPr>
                <w:snapToGrid w:val="0"/>
                <w:color w:val="auto"/>
                <w:highlight w:val="none"/>
              </w:rPr>
            </w:pPr>
          </w:p>
        </w:tc>
        <w:tc>
          <w:tcPr>
            <w:tcW w:w="1653" w:type="dxa"/>
            <w:vAlign w:val="center"/>
          </w:tcPr>
          <w:p w14:paraId="6AC945B2">
            <w:pPr>
              <w:jc w:val="center"/>
              <w:rPr>
                <w:snapToGrid w:val="0"/>
                <w:color w:val="auto"/>
                <w:highlight w:val="none"/>
              </w:rPr>
            </w:pPr>
          </w:p>
        </w:tc>
        <w:tc>
          <w:tcPr>
            <w:tcW w:w="1240" w:type="dxa"/>
            <w:vAlign w:val="center"/>
          </w:tcPr>
          <w:p w14:paraId="0B43B178">
            <w:pPr>
              <w:jc w:val="center"/>
              <w:rPr>
                <w:snapToGrid w:val="0"/>
                <w:color w:val="auto"/>
                <w:highlight w:val="none"/>
              </w:rPr>
            </w:pPr>
          </w:p>
        </w:tc>
        <w:tc>
          <w:tcPr>
            <w:tcW w:w="1033" w:type="dxa"/>
            <w:vAlign w:val="center"/>
          </w:tcPr>
          <w:p w14:paraId="21E59B86">
            <w:pPr>
              <w:jc w:val="center"/>
              <w:rPr>
                <w:snapToGrid w:val="0"/>
                <w:color w:val="auto"/>
                <w:highlight w:val="none"/>
              </w:rPr>
            </w:pPr>
          </w:p>
        </w:tc>
        <w:tc>
          <w:tcPr>
            <w:tcW w:w="1343" w:type="dxa"/>
            <w:vAlign w:val="center"/>
          </w:tcPr>
          <w:p w14:paraId="133A0DB1">
            <w:pPr>
              <w:jc w:val="center"/>
              <w:rPr>
                <w:snapToGrid w:val="0"/>
                <w:color w:val="auto"/>
                <w:highlight w:val="none"/>
              </w:rPr>
            </w:pPr>
          </w:p>
        </w:tc>
        <w:tc>
          <w:tcPr>
            <w:tcW w:w="2580" w:type="dxa"/>
            <w:vAlign w:val="center"/>
          </w:tcPr>
          <w:p w14:paraId="594CB74A">
            <w:pPr>
              <w:jc w:val="center"/>
              <w:rPr>
                <w:snapToGrid w:val="0"/>
                <w:color w:val="auto"/>
                <w:highlight w:val="none"/>
              </w:rPr>
            </w:pPr>
          </w:p>
        </w:tc>
      </w:tr>
      <w:tr w14:paraId="7FF285B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63311691">
            <w:pPr>
              <w:jc w:val="center"/>
              <w:rPr>
                <w:snapToGrid w:val="0"/>
                <w:color w:val="auto"/>
                <w:highlight w:val="none"/>
              </w:rPr>
            </w:pPr>
          </w:p>
        </w:tc>
        <w:tc>
          <w:tcPr>
            <w:tcW w:w="1653" w:type="dxa"/>
            <w:vAlign w:val="center"/>
          </w:tcPr>
          <w:p w14:paraId="2BD81C75">
            <w:pPr>
              <w:jc w:val="center"/>
              <w:rPr>
                <w:snapToGrid w:val="0"/>
                <w:color w:val="auto"/>
                <w:highlight w:val="none"/>
              </w:rPr>
            </w:pPr>
          </w:p>
        </w:tc>
        <w:tc>
          <w:tcPr>
            <w:tcW w:w="1240" w:type="dxa"/>
            <w:vAlign w:val="center"/>
          </w:tcPr>
          <w:p w14:paraId="3225AFB1">
            <w:pPr>
              <w:jc w:val="center"/>
              <w:rPr>
                <w:snapToGrid w:val="0"/>
                <w:color w:val="auto"/>
                <w:highlight w:val="none"/>
              </w:rPr>
            </w:pPr>
          </w:p>
        </w:tc>
        <w:tc>
          <w:tcPr>
            <w:tcW w:w="1033" w:type="dxa"/>
            <w:vAlign w:val="center"/>
          </w:tcPr>
          <w:p w14:paraId="2035A3B6">
            <w:pPr>
              <w:jc w:val="center"/>
              <w:rPr>
                <w:snapToGrid w:val="0"/>
                <w:color w:val="auto"/>
                <w:highlight w:val="none"/>
              </w:rPr>
            </w:pPr>
          </w:p>
        </w:tc>
        <w:tc>
          <w:tcPr>
            <w:tcW w:w="1343" w:type="dxa"/>
            <w:vAlign w:val="center"/>
          </w:tcPr>
          <w:p w14:paraId="75B435BF">
            <w:pPr>
              <w:jc w:val="center"/>
              <w:rPr>
                <w:snapToGrid w:val="0"/>
                <w:color w:val="auto"/>
                <w:highlight w:val="none"/>
              </w:rPr>
            </w:pPr>
          </w:p>
        </w:tc>
        <w:tc>
          <w:tcPr>
            <w:tcW w:w="2580" w:type="dxa"/>
            <w:vAlign w:val="center"/>
          </w:tcPr>
          <w:p w14:paraId="2F8E4950">
            <w:pPr>
              <w:jc w:val="center"/>
              <w:rPr>
                <w:snapToGrid w:val="0"/>
                <w:color w:val="auto"/>
                <w:highlight w:val="none"/>
              </w:rPr>
            </w:pPr>
          </w:p>
        </w:tc>
      </w:tr>
      <w:tr w14:paraId="7E2EE9B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5E74B734">
            <w:pPr>
              <w:jc w:val="center"/>
              <w:rPr>
                <w:snapToGrid w:val="0"/>
                <w:color w:val="auto"/>
                <w:highlight w:val="none"/>
              </w:rPr>
            </w:pPr>
          </w:p>
        </w:tc>
        <w:tc>
          <w:tcPr>
            <w:tcW w:w="1653" w:type="dxa"/>
            <w:vAlign w:val="center"/>
          </w:tcPr>
          <w:p w14:paraId="2940DE31">
            <w:pPr>
              <w:jc w:val="center"/>
              <w:rPr>
                <w:snapToGrid w:val="0"/>
                <w:color w:val="auto"/>
                <w:highlight w:val="none"/>
              </w:rPr>
            </w:pPr>
          </w:p>
        </w:tc>
        <w:tc>
          <w:tcPr>
            <w:tcW w:w="1240" w:type="dxa"/>
            <w:vAlign w:val="center"/>
          </w:tcPr>
          <w:p w14:paraId="262E1EFB">
            <w:pPr>
              <w:jc w:val="center"/>
              <w:rPr>
                <w:snapToGrid w:val="0"/>
                <w:color w:val="auto"/>
                <w:highlight w:val="none"/>
              </w:rPr>
            </w:pPr>
          </w:p>
        </w:tc>
        <w:tc>
          <w:tcPr>
            <w:tcW w:w="1033" w:type="dxa"/>
            <w:vAlign w:val="center"/>
          </w:tcPr>
          <w:p w14:paraId="13EA3CD5">
            <w:pPr>
              <w:jc w:val="center"/>
              <w:rPr>
                <w:snapToGrid w:val="0"/>
                <w:color w:val="auto"/>
                <w:highlight w:val="none"/>
              </w:rPr>
            </w:pPr>
          </w:p>
        </w:tc>
        <w:tc>
          <w:tcPr>
            <w:tcW w:w="1343" w:type="dxa"/>
            <w:vAlign w:val="center"/>
          </w:tcPr>
          <w:p w14:paraId="3743797D">
            <w:pPr>
              <w:jc w:val="center"/>
              <w:rPr>
                <w:snapToGrid w:val="0"/>
                <w:color w:val="auto"/>
                <w:highlight w:val="none"/>
              </w:rPr>
            </w:pPr>
          </w:p>
        </w:tc>
        <w:tc>
          <w:tcPr>
            <w:tcW w:w="2580" w:type="dxa"/>
            <w:vAlign w:val="center"/>
          </w:tcPr>
          <w:p w14:paraId="3DF9B660">
            <w:pPr>
              <w:jc w:val="center"/>
              <w:rPr>
                <w:snapToGrid w:val="0"/>
                <w:color w:val="auto"/>
                <w:highlight w:val="none"/>
              </w:rPr>
            </w:pPr>
          </w:p>
        </w:tc>
      </w:tr>
      <w:tr w14:paraId="2D7C3F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1B524F48">
            <w:pPr>
              <w:jc w:val="center"/>
              <w:rPr>
                <w:snapToGrid w:val="0"/>
                <w:color w:val="auto"/>
                <w:highlight w:val="none"/>
              </w:rPr>
            </w:pPr>
          </w:p>
        </w:tc>
        <w:tc>
          <w:tcPr>
            <w:tcW w:w="1653" w:type="dxa"/>
            <w:vAlign w:val="center"/>
          </w:tcPr>
          <w:p w14:paraId="173E986B">
            <w:pPr>
              <w:jc w:val="center"/>
              <w:rPr>
                <w:snapToGrid w:val="0"/>
                <w:color w:val="auto"/>
                <w:highlight w:val="none"/>
              </w:rPr>
            </w:pPr>
          </w:p>
        </w:tc>
        <w:tc>
          <w:tcPr>
            <w:tcW w:w="1240" w:type="dxa"/>
            <w:vAlign w:val="center"/>
          </w:tcPr>
          <w:p w14:paraId="680C0EE4">
            <w:pPr>
              <w:jc w:val="center"/>
              <w:rPr>
                <w:snapToGrid w:val="0"/>
                <w:color w:val="auto"/>
                <w:highlight w:val="none"/>
              </w:rPr>
            </w:pPr>
          </w:p>
        </w:tc>
        <w:tc>
          <w:tcPr>
            <w:tcW w:w="1033" w:type="dxa"/>
            <w:vAlign w:val="center"/>
          </w:tcPr>
          <w:p w14:paraId="770CE908">
            <w:pPr>
              <w:jc w:val="center"/>
              <w:rPr>
                <w:snapToGrid w:val="0"/>
                <w:color w:val="auto"/>
                <w:highlight w:val="none"/>
              </w:rPr>
            </w:pPr>
          </w:p>
        </w:tc>
        <w:tc>
          <w:tcPr>
            <w:tcW w:w="1343" w:type="dxa"/>
            <w:vAlign w:val="center"/>
          </w:tcPr>
          <w:p w14:paraId="2F794133">
            <w:pPr>
              <w:jc w:val="center"/>
              <w:rPr>
                <w:snapToGrid w:val="0"/>
                <w:color w:val="auto"/>
                <w:highlight w:val="none"/>
              </w:rPr>
            </w:pPr>
          </w:p>
        </w:tc>
        <w:tc>
          <w:tcPr>
            <w:tcW w:w="2580" w:type="dxa"/>
            <w:vAlign w:val="center"/>
          </w:tcPr>
          <w:p w14:paraId="6069A205">
            <w:pPr>
              <w:jc w:val="center"/>
              <w:rPr>
                <w:snapToGrid w:val="0"/>
                <w:color w:val="auto"/>
                <w:highlight w:val="none"/>
              </w:rPr>
            </w:pPr>
          </w:p>
        </w:tc>
      </w:tr>
      <w:tr w14:paraId="2ADF5FF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10EB6363">
            <w:pPr>
              <w:jc w:val="center"/>
              <w:rPr>
                <w:snapToGrid w:val="0"/>
                <w:color w:val="auto"/>
                <w:highlight w:val="none"/>
              </w:rPr>
            </w:pPr>
          </w:p>
        </w:tc>
        <w:tc>
          <w:tcPr>
            <w:tcW w:w="1653" w:type="dxa"/>
            <w:vAlign w:val="center"/>
          </w:tcPr>
          <w:p w14:paraId="22FA356C">
            <w:pPr>
              <w:jc w:val="center"/>
              <w:rPr>
                <w:snapToGrid w:val="0"/>
                <w:color w:val="auto"/>
                <w:highlight w:val="none"/>
              </w:rPr>
            </w:pPr>
          </w:p>
        </w:tc>
        <w:tc>
          <w:tcPr>
            <w:tcW w:w="1240" w:type="dxa"/>
            <w:vAlign w:val="center"/>
          </w:tcPr>
          <w:p w14:paraId="6BA9AC31">
            <w:pPr>
              <w:jc w:val="center"/>
              <w:rPr>
                <w:snapToGrid w:val="0"/>
                <w:color w:val="auto"/>
                <w:highlight w:val="none"/>
              </w:rPr>
            </w:pPr>
          </w:p>
        </w:tc>
        <w:tc>
          <w:tcPr>
            <w:tcW w:w="1033" w:type="dxa"/>
            <w:vAlign w:val="center"/>
          </w:tcPr>
          <w:p w14:paraId="2C9B04D9">
            <w:pPr>
              <w:jc w:val="center"/>
              <w:rPr>
                <w:snapToGrid w:val="0"/>
                <w:color w:val="auto"/>
                <w:highlight w:val="none"/>
              </w:rPr>
            </w:pPr>
          </w:p>
        </w:tc>
        <w:tc>
          <w:tcPr>
            <w:tcW w:w="1343" w:type="dxa"/>
            <w:vAlign w:val="center"/>
          </w:tcPr>
          <w:p w14:paraId="3826C1F1">
            <w:pPr>
              <w:jc w:val="center"/>
              <w:rPr>
                <w:snapToGrid w:val="0"/>
                <w:color w:val="auto"/>
                <w:highlight w:val="none"/>
              </w:rPr>
            </w:pPr>
          </w:p>
        </w:tc>
        <w:tc>
          <w:tcPr>
            <w:tcW w:w="2580" w:type="dxa"/>
            <w:vAlign w:val="center"/>
          </w:tcPr>
          <w:p w14:paraId="1ABF3B2F">
            <w:pPr>
              <w:jc w:val="center"/>
              <w:rPr>
                <w:snapToGrid w:val="0"/>
                <w:color w:val="auto"/>
                <w:highlight w:val="none"/>
              </w:rPr>
            </w:pPr>
          </w:p>
        </w:tc>
      </w:tr>
      <w:tr w14:paraId="39B10A8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0C67F5F9">
            <w:pPr>
              <w:jc w:val="center"/>
              <w:rPr>
                <w:snapToGrid w:val="0"/>
                <w:color w:val="auto"/>
                <w:highlight w:val="none"/>
              </w:rPr>
            </w:pPr>
          </w:p>
        </w:tc>
        <w:tc>
          <w:tcPr>
            <w:tcW w:w="1653" w:type="dxa"/>
            <w:vAlign w:val="center"/>
          </w:tcPr>
          <w:p w14:paraId="5AE6F7E5">
            <w:pPr>
              <w:jc w:val="center"/>
              <w:rPr>
                <w:snapToGrid w:val="0"/>
                <w:color w:val="auto"/>
                <w:highlight w:val="none"/>
              </w:rPr>
            </w:pPr>
          </w:p>
        </w:tc>
        <w:tc>
          <w:tcPr>
            <w:tcW w:w="1240" w:type="dxa"/>
            <w:vAlign w:val="center"/>
          </w:tcPr>
          <w:p w14:paraId="1D5D70BE">
            <w:pPr>
              <w:jc w:val="center"/>
              <w:rPr>
                <w:snapToGrid w:val="0"/>
                <w:color w:val="auto"/>
                <w:highlight w:val="none"/>
              </w:rPr>
            </w:pPr>
          </w:p>
        </w:tc>
        <w:tc>
          <w:tcPr>
            <w:tcW w:w="1033" w:type="dxa"/>
            <w:vAlign w:val="center"/>
          </w:tcPr>
          <w:p w14:paraId="4B9E899D">
            <w:pPr>
              <w:jc w:val="center"/>
              <w:rPr>
                <w:snapToGrid w:val="0"/>
                <w:color w:val="auto"/>
                <w:highlight w:val="none"/>
              </w:rPr>
            </w:pPr>
          </w:p>
        </w:tc>
        <w:tc>
          <w:tcPr>
            <w:tcW w:w="1343" w:type="dxa"/>
            <w:vAlign w:val="center"/>
          </w:tcPr>
          <w:p w14:paraId="1D59E454">
            <w:pPr>
              <w:jc w:val="center"/>
              <w:rPr>
                <w:snapToGrid w:val="0"/>
                <w:color w:val="auto"/>
                <w:highlight w:val="none"/>
              </w:rPr>
            </w:pPr>
          </w:p>
        </w:tc>
        <w:tc>
          <w:tcPr>
            <w:tcW w:w="2580" w:type="dxa"/>
            <w:vAlign w:val="center"/>
          </w:tcPr>
          <w:p w14:paraId="44E64F41">
            <w:pPr>
              <w:jc w:val="center"/>
              <w:rPr>
                <w:snapToGrid w:val="0"/>
                <w:color w:val="auto"/>
                <w:highlight w:val="none"/>
              </w:rPr>
            </w:pPr>
          </w:p>
        </w:tc>
      </w:tr>
      <w:tr w14:paraId="1B24819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3418EB42">
            <w:pPr>
              <w:jc w:val="center"/>
              <w:rPr>
                <w:snapToGrid w:val="0"/>
                <w:color w:val="auto"/>
                <w:highlight w:val="none"/>
              </w:rPr>
            </w:pPr>
          </w:p>
        </w:tc>
        <w:tc>
          <w:tcPr>
            <w:tcW w:w="1653" w:type="dxa"/>
            <w:vAlign w:val="center"/>
          </w:tcPr>
          <w:p w14:paraId="0A2A0500">
            <w:pPr>
              <w:jc w:val="center"/>
              <w:rPr>
                <w:snapToGrid w:val="0"/>
                <w:color w:val="auto"/>
                <w:highlight w:val="none"/>
              </w:rPr>
            </w:pPr>
          </w:p>
        </w:tc>
        <w:tc>
          <w:tcPr>
            <w:tcW w:w="1240" w:type="dxa"/>
            <w:vAlign w:val="center"/>
          </w:tcPr>
          <w:p w14:paraId="1335E545">
            <w:pPr>
              <w:jc w:val="center"/>
              <w:rPr>
                <w:snapToGrid w:val="0"/>
                <w:color w:val="auto"/>
                <w:highlight w:val="none"/>
              </w:rPr>
            </w:pPr>
          </w:p>
        </w:tc>
        <w:tc>
          <w:tcPr>
            <w:tcW w:w="1033" w:type="dxa"/>
            <w:vAlign w:val="center"/>
          </w:tcPr>
          <w:p w14:paraId="5AAD8B6E">
            <w:pPr>
              <w:jc w:val="center"/>
              <w:rPr>
                <w:snapToGrid w:val="0"/>
                <w:color w:val="auto"/>
                <w:highlight w:val="none"/>
              </w:rPr>
            </w:pPr>
          </w:p>
        </w:tc>
        <w:tc>
          <w:tcPr>
            <w:tcW w:w="1343" w:type="dxa"/>
            <w:vAlign w:val="center"/>
          </w:tcPr>
          <w:p w14:paraId="36963CCD">
            <w:pPr>
              <w:jc w:val="center"/>
              <w:rPr>
                <w:snapToGrid w:val="0"/>
                <w:color w:val="auto"/>
                <w:highlight w:val="none"/>
              </w:rPr>
            </w:pPr>
          </w:p>
        </w:tc>
        <w:tc>
          <w:tcPr>
            <w:tcW w:w="2580" w:type="dxa"/>
            <w:vAlign w:val="center"/>
          </w:tcPr>
          <w:p w14:paraId="53171414">
            <w:pPr>
              <w:jc w:val="center"/>
              <w:rPr>
                <w:snapToGrid w:val="0"/>
                <w:color w:val="auto"/>
                <w:highlight w:val="none"/>
              </w:rPr>
            </w:pPr>
          </w:p>
        </w:tc>
      </w:tr>
      <w:tr w14:paraId="49FDEA6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32697C12">
            <w:pPr>
              <w:jc w:val="center"/>
              <w:rPr>
                <w:snapToGrid w:val="0"/>
                <w:color w:val="auto"/>
                <w:highlight w:val="none"/>
              </w:rPr>
            </w:pPr>
          </w:p>
        </w:tc>
        <w:tc>
          <w:tcPr>
            <w:tcW w:w="1653" w:type="dxa"/>
            <w:vAlign w:val="center"/>
          </w:tcPr>
          <w:p w14:paraId="30F5F3C2">
            <w:pPr>
              <w:jc w:val="center"/>
              <w:rPr>
                <w:snapToGrid w:val="0"/>
                <w:color w:val="auto"/>
                <w:highlight w:val="none"/>
              </w:rPr>
            </w:pPr>
          </w:p>
        </w:tc>
        <w:tc>
          <w:tcPr>
            <w:tcW w:w="1240" w:type="dxa"/>
            <w:vAlign w:val="center"/>
          </w:tcPr>
          <w:p w14:paraId="2D44D4DC">
            <w:pPr>
              <w:jc w:val="center"/>
              <w:rPr>
                <w:snapToGrid w:val="0"/>
                <w:color w:val="auto"/>
                <w:highlight w:val="none"/>
              </w:rPr>
            </w:pPr>
          </w:p>
        </w:tc>
        <w:tc>
          <w:tcPr>
            <w:tcW w:w="1033" w:type="dxa"/>
            <w:vAlign w:val="center"/>
          </w:tcPr>
          <w:p w14:paraId="57EC6F1C">
            <w:pPr>
              <w:jc w:val="center"/>
              <w:rPr>
                <w:snapToGrid w:val="0"/>
                <w:color w:val="auto"/>
                <w:highlight w:val="none"/>
              </w:rPr>
            </w:pPr>
          </w:p>
        </w:tc>
        <w:tc>
          <w:tcPr>
            <w:tcW w:w="1343" w:type="dxa"/>
            <w:vAlign w:val="center"/>
          </w:tcPr>
          <w:p w14:paraId="12736F57">
            <w:pPr>
              <w:jc w:val="center"/>
              <w:rPr>
                <w:snapToGrid w:val="0"/>
                <w:color w:val="auto"/>
                <w:highlight w:val="none"/>
              </w:rPr>
            </w:pPr>
          </w:p>
        </w:tc>
        <w:tc>
          <w:tcPr>
            <w:tcW w:w="2580" w:type="dxa"/>
            <w:vAlign w:val="center"/>
          </w:tcPr>
          <w:p w14:paraId="41120B81">
            <w:pPr>
              <w:jc w:val="center"/>
              <w:rPr>
                <w:snapToGrid w:val="0"/>
                <w:color w:val="auto"/>
                <w:highlight w:val="none"/>
              </w:rPr>
            </w:pPr>
          </w:p>
        </w:tc>
      </w:tr>
      <w:tr w14:paraId="75FD25A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38BC9E5A">
            <w:pPr>
              <w:jc w:val="center"/>
              <w:rPr>
                <w:snapToGrid w:val="0"/>
                <w:color w:val="auto"/>
                <w:highlight w:val="none"/>
              </w:rPr>
            </w:pPr>
          </w:p>
        </w:tc>
        <w:tc>
          <w:tcPr>
            <w:tcW w:w="1653" w:type="dxa"/>
            <w:vAlign w:val="center"/>
          </w:tcPr>
          <w:p w14:paraId="7E6572B0">
            <w:pPr>
              <w:jc w:val="center"/>
              <w:rPr>
                <w:snapToGrid w:val="0"/>
                <w:color w:val="auto"/>
                <w:highlight w:val="none"/>
              </w:rPr>
            </w:pPr>
          </w:p>
        </w:tc>
        <w:tc>
          <w:tcPr>
            <w:tcW w:w="1240" w:type="dxa"/>
            <w:vAlign w:val="center"/>
          </w:tcPr>
          <w:p w14:paraId="55BD60AA">
            <w:pPr>
              <w:jc w:val="center"/>
              <w:rPr>
                <w:snapToGrid w:val="0"/>
                <w:color w:val="auto"/>
                <w:highlight w:val="none"/>
              </w:rPr>
            </w:pPr>
          </w:p>
        </w:tc>
        <w:tc>
          <w:tcPr>
            <w:tcW w:w="1033" w:type="dxa"/>
            <w:vAlign w:val="center"/>
          </w:tcPr>
          <w:p w14:paraId="63351BE5">
            <w:pPr>
              <w:jc w:val="center"/>
              <w:rPr>
                <w:snapToGrid w:val="0"/>
                <w:color w:val="auto"/>
                <w:highlight w:val="none"/>
              </w:rPr>
            </w:pPr>
          </w:p>
        </w:tc>
        <w:tc>
          <w:tcPr>
            <w:tcW w:w="1343" w:type="dxa"/>
            <w:vAlign w:val="center"/>
          </w:tcPr>
          <w:p w14:paraId="74F264E0">
            <w:pPr>
              <w:jc w:val="center"/>
              <w:rPr>
                <w:snapToGrid w:val="0"/>
                <w:color w:val="auto"/>
                <w:highlight w:val="none"/>
              </w:rPr>
            </w:pPr>
          </w:p>
        </w:tc>
        <w:tc>
          <w:tcPr>
            <w:tcW w:w="2580" w:type="dxa"/>
            <w:vAlign w:val="center"/>
          </w:tcPr>
          <w:p w14:paraId="798A0471">
            <w:pPr>
              <w:jc w:val="center"/>
              <w:rPr>
                <w:snapToGrid w:val="0"/>
                <w:color w:val="auto"/>
                <w:highlight w:val="none"/>
              </w:rPr>
            </w:pPr>
          </w:p>
        </w:tc>
      </w:tr>
      <w:tr w14:paraId="232D395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6AA8A23B">
            <w:pPr>
              <w:jc w:val="center"/>
              <w:rPr>
                <w:snapToGrid w:val="0"/>
                <w:color w:val="auto"/>
                <w:highlight w:val="none"/>
              </w:rPr>
            </w:pPr>
          </w:p>
        </w:tc>
        <w:tc>
          <w:tcPr>
            <w:tcW w:w="1653" w:type="dxa"/>
            <w:vAlign w:val="center"/>
          </w:tcPr>
          <w:p w14:paraId="1E35551D">
            <w:pPr>
              <w:jc w:val="center"/>
              <w:rPr>
                <w:snapToGrid w:val="0"/>
                <w:color w:val="auto"/>
                <w:highlight w:val="none"/>
              </w:rPr>
            </w:pPr>
          </w:p>
        </w:tc>
        <w:tc>
          <w:tcPr>
            <w:tcW w:w="1240" w:type="dxa"/>
            <w:vAlign w:val="center"/>
          </w:tcPr>
          <w:p w14:paraId="23B6C51F">
            <w:pPr>
              <w:jc w:val="center"/>
              <w:rPr>
                <w:snapToGrid w:val="0"/>
                <w:color w:val="auto"/>
                <w:highlight w:val="none"/>
              </w:rPr>
            </w:pPr>
          </w:p>
        </w:tc>
        <w:tc>
          <w:tcPr>
            <w:tcW w:w="1033" w:type="dxa"/>
            <w:vAlign w:val="center"/>
          </w:tcPr>
          <w:p w14:paraId="2EB0DB55">
            <w:pPr>
              <w:jc w:val="center"/>
              <w:rPr>
                <w:snapToGrid w:val="0"/>
                <w:color w:val="auto"/>
                <w:highlight w:val="none"/>
              </w:rPr>
            </w:pPr>
          </w:p>
        </w:tc>
        <w:tc>
          <w:tcPr>
            <w:tcW w:w="1343" w:type="dxa"/>
            <w:vAlign w:val="center"/>
          </w:tcPr>
          <w:p w14:paraId="044DB00F">
            <w:pPr>
              <w:jc w:val="center"/>
              <w:rPr>
                <w:snapToGrid w:val="0"/>
                <w:color w:val="auto"/>
                <w:highlight w:val="none"/>
              </w:rPr>
            </w:pPr>
          </w:p>
        </w:tc>
        <w:tc>
          <w:tcPr>
            <w:tcW w:w="2580" w:type="dxa"/>
            <w:vAlign w:val="center"/>
          </w:tcPr>
          <w:p w14:paraId="14FD414A">
            <w:pPr>
              <w:jc w:val="center"/>
              <w:rPr>
                <w:snapToGrid w:val="0"/>
                <w:color w:val="auto"/>
                <w:highlight w:val="none"/>
              </w:rPr>
            </w:pPr>
          </w:p>
        </w:tc>
      </w:tr>
      <w:tr w14:paraId="540C083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3923E147">
            <w:pPr>
              <w:jc w:val="center"/>
              <w:rPr>
                <w:snapToGrid w:val="0"/>
                <w:color w:val="auto"/>
                <w:highlight w:val="none"/>
              </w:rPr>
            </w:pPr>
          </w:p>
        </w:tc>
        <w:tc>
          <w:tcPr>
            <w:tcW w:w="1653" w:type="dxa"/>
            <w:vAlign w:val="center"/>
          </w:tcPr>
          <w:p w14:paraId="0E57AF8E">
            <w:pPr>
              <w:jc w:val="center"/>
              <w:rPr>
                <w:snapToGrid w:val="0"/>
                <w:color w:val="auto"/>
                <w:highlight w:val="none"/>
              </w:rPr>
            </w:pPr>
          </w:p>
        </w:tc>
        <w:tc>
          <w:tcPr>
            <w:tcW w:w="1240" w:type="dxa"/>
            <w:vAlign w:val="center"/>
          </w:tcPr>
          <w:p w14:paraId="448294A0">
            <w:pPr>
              <w:jc w:val="center"/>
              <w:rPr>
                <w:snapToGrid w:val="0"/>
                <w:color w:val="auto"/>
                <w:highlight w:val="none"/>
              </w:rPr>
            </w:pPr>
          </w:p>
        </w:tc>
        <w:tc>
          <w:tcPr>
            <w:tcW w:w="1033" w:type="dxa"/>
            <w:vAlign w:val="center"/>
          </w:tcPr>
          <w:p w14:paraId="6570D8FB">
            <w:pPr>
              <w:jc w:val="center"/>
              <w:rPr>
                <w:snapToGrid w:val="0"/>
                <w:color w:val="auto"/>
                <w:highlight w:val="none"/>
              </w:rPr>
            </w:pPr>
          </w:p>
        </w:tc>
        <w:tc>
          <w:tcPr>
            <w:tcW w:w="1343" w:type="dxa"/>
            <w:vAlign w:val="center"/>
          </w:tcPr>
          <w:p w14:paraId="3F8BC0CD">
            <w:pPr>
              <w:jc w:val="center"/>
              <w:rPr>
                <w:snapToGrid w:val="0"/>
                <w:color w:val="auto"/>
                <w:highlight w:val="none"/>
              </w:rPr>
            </w:pPr>
          </w:p>
        </w:tc>
        <w:tc>
          <w:tcPr>
            <w:tcW w:w="2580" w:type="dxa"/>
            <w:vAlign w:val="center"/>
          </w:tcPr>
          <w:p w14:paraId="48D7CE9E">
            <w:pPr>
              <w:jc w:val="center"/>
              <w:rPr>
                <w:snapToGrid w:val="0"/>
                <w:color w:val="auto"/>
                <w:highlight w:val="none"/>
              </w:rPr>
            </w:pPr>
          </w:p>
        </w:tc>
      </w:tr>
      <w:tr w14:paraId="513D6D3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21598270">
            <w:pPr>
              <w:jc w:val="center"/>
              <w:rPr>
                <w:snapToGrid w:val="0"/>
                <w:color w:val="auto"/>
                <w:highlight w:val="none"/>
              </w:rPr>
            </w:pPr>
          </w:p>
        </w:tc>
        <w:tc>
          <w:tcPr>
            <w:tcW w:w="1653" w:type="dxa"/>
            <w:vAlign w:val="center"/>
          </w:tcPr>
          <w:p w14:paraId="082B68B1">
            <w:pPr>
              <w:jc w:val="center"/>
              <w:rPr>
                <w:snapToGrid w:val="0"/>
                <w:color w:val="auto"/>
                <w:highlight w:val="none"/>
              </w:rPr>
            </w:pPr>
          </w:p>
        </w:tc>
        <w:tc>
          <w:tcPr>
            <w:tcW w:w="1240" w:type="dxa"/>
            <w:vAlign w:val="center"/>
          </w:tcPr>
          <w:p w14:paraId="24BF1C6A">
            <w:pPr>
              <w:jc w:val="center"/>
              <w:rPr>
                <w:snapToGrid w:val="0"/>
                <w:color w:val="auto"/>
                <w:highlight w:val="none"/>
              </w:rPr>
            </w:pPr>
          </w:p>
        </w:tc>
        <w:tc>
          <w:tcPr>
            <w:tcW w:w="1033" w:type="dxa"/>
            <w:vAlign w:val="center"/>
          </w:tcPr>
          <w:p w14:paraId="6F02B683">
            <w:pPr>
              <w:jc w:val="center"/>
              <w:rPr>
                <w:snapToGrid w:val="0"/>
                <w:color w:val="auto"/>
                <w:highlight w:val="none"/>
              </w:rPr>
            </w:pPr>
          </w:p>
        </w:tc>
        <w:tc>
          <w:tcPr>
            <w:tcW w:w="1343" w:type="dxa"/>
            <w:vAlign w:val="center"/>
          </w:tcPr>
          <w:p w14:paraId="076A8386">
            <w:pPr>
              <w:jc w:val="center"/>
              <w:rPr>
                <w:snapToGrid w:val="0"/>
                <w:color w:val="auto"/>
                <w:highlight w:val="none"/>
              </w:rPr>
            </w:pPr>
          </w:p>
        </w:tc>
        <w:tc>
          <w:tcPr>
            <w:tcW w:w="2580" w:type="dxa"/>
            <w:vAlign w:val="center"/>
          </w:tcPr>
          <w:p w14:paraId="7CA5EF62">
            <w:pPr>
              <w:jc w:val="center"/>
              <w:rPr>
                <w:snapToGrid w:val="0"/>
                <w:color w:val="auto"/>
                <w:highlight w:val="none"/>
              </w:rPr>
            </w:pPr>
          </w:p>
        </w:tc>
      </w:tr>
      <w:tr w14:paraId="70947FA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735AB704">
            <w:pPr>
              <w:jc w:val="center"/>
              <w:rPr>
                <w:snapToGrid w:val="0"/>
                <w:color w:val="auto"/>
                <w:highlight w:val="none"/>
              </w:rPr>
            </w:pPr>
          </w:p>
        </w:tc>
        <w:tc>
          <w:tcPr>
            <w:tcW w:w="1653" w:type="dxa"/>
            <w:vAlign w:val="center"/>
          </w:tcPr>
          <w:p w14:paraId="4A77C786">
            <w:pPr>
              <w:jc w:val="center"/>
              <w:rPr>
                <w:snapToGrid w:val="0"/>
                <w:color w:val="auto"/>
                <w:highlight w:val="none"/>
              </w:rPr>
            </w:pPr>
          </w:p>
        </w:tc>
        <w:tc>
          <w:tcPr>
            <w:tcW w:w="1240" w:type="dxa"/>
            <w:vAlign w:val="center"/>
          </w:tcPr>
          <w:p w14:paraId="4E0C0A20">
            <w:pPr>
              <w:jc w:val="center"/>
              <w:rPr>
                <w:snapToGrid w:val="0"/>
                <w:color w:val="auto"/>
                <w:highlight w:val="none"/>
              </w:rPr>
            </w:pPr>
          </w:p>
        </w:tc>
        <w:tc>
          <w:tcPr>
            <w:tcW w:w="1033" w:type="dxa"/>
            <w:vAlign w:val="center"/>
          </w:tcPr>
          <w:p w14:paraId="6F233961">
            <w:pPr>
              <w:jc w:val="center"/>
              <w:rPr>
                <w:snapToGrid w:val="0"/>
                <w:color w:val="auto"/>
                <w:highlight w:val="none"/>
              </w:rPr>
            </w:pPr>
          </w:p>
        </w:tc>
        <w:tc>
          <w:tcPr>
            <w:tcW w:w="1343" w:type="dxa"/>
            <w:vAlign w:val="center"/>
          </w:tcPr>
          <w:p w14:paraId="5C248627">
            <w:pPr>
              <w:jc w:val="center"/>
              <w:rPr>
                <w:snapToGrid w:val="0"/>
                <w:color w:val="auto"/>
                <w:highlight w:val="none"/>
              </w:rPr>
            </w:pPr>
          </w:p>
        </w:tc>
        <w:tc>
          <w:tcPr>
            <w:tcW w:w="2580" w:type="dxa"/>
            <w:vAlign w:val="center"/>
          </w:tcPr>
          <w:p w14:paraId="7D92C2C3">
            <w:pPr>
              <w:jc w:val="center"/>
              <w:rPr>
                <w:snapToGrid w:val="0"/>
                <w:color w:val="auto"/>
                <w:highlight w:val="none"/>
              </w:rPr>
            </w:pPr>
          </w:p>
        </w:tc>
      </w:tr>
      <w:tr w14:paraId="0A3DAF0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17575445">
            <w:pPr>
              <w:jc w:val="center"/>
              <w:rPr>
                <w:snapToGrid w:val="0"/>
                <w:color w:val="auto"/>
                <w:highlight w:val="none"/>
              </w:rPr>
            </w:pPr>
          </w:p>
        </w:tc>
        <w:tc>
          <w:tcPr>
            <w:tcW w:w="1653" w:type="dxa"/>
            <w:vAlign w:val="center"/>
          </w:tcPr>
          <w:p w14:paraId="7E2B1494">
            <w:pPr>
              <w:jc w:val="center"/>
              <w:rPr>
                <w:snapToGrid w:val="0"/>
                <w:color w:val="auto"/>
                <w:highlight w:val="none"/>
              </w:rPr>
            </w:pPr>
          </w:p>
        </w:tc>
        <w:tc>
          <w:tcPr>
            <w:tcW w:w="1240" w:type="dxa"/>
            <w:vAlign w:val="center"/>
          </w:tcPr>
          <w:p w14:paraId="42F690A9">
            <w:pPr>
              <w:jc w:val="center"/>
              <w:rPr>
                <w:snapToGrid w:val="0"/>
                <w:color w:val="auto"/>
                <w:highlight w:val="none"/>
              </w:rPr>
            </w:pPr>
          </w:p>
        </w:tc>
        <w:tc>
          <w:tcPr>
            <w:tcW w:w="1033" w:type="dxa"/>
            <w:vAlign w:val="center"/>
          </w:tcPr>
          <w:p w14:paraId="6EABB4B7">
            <w:pPr>
              <w:jc w:val="center"/>
              <w:rPr>
                <w:snapToGrid w:val="0"/>
                <w:color w:val="auto"/>
                <w:highlight w:val="none"/>
              </w:rPr>
            </w:pPr>
          </w:p>
        </w:tc>
        <w:tc>
          <w:tcPr>
            <w:tcW w:w="1343" w:type="dxa"/>
            <w:vAlign w:val="center"/>
          </w:tcPr>
          <w:p w14:paraId="0C0B466F">
            <w:pPr>
              <w:jc w:val="center"/>
              <w:rPr>
                <w:snapToGrid w:val="0"/>
                <w:color w:val="auto"/>
                <w:highlight w:val="none"/>
              </w:rPr>
            </w:pPr>
          </w:p>
        </w:tc>
        <w:tc>
          <w:tcPr>
            <w:tcW w:w="2580" w:type="dxa"/>
            <w:vAlign w:val="center"/>
          </w:tcPr>
          <w:p w14:paraId="504BC79A">
            <w:pPr>
              <w:jc w:val="center"/>
              <w:rPr>
                <w:snapToGrid w:val="0"/>
                <w:color w:val="auto"/>
                <w:highlight w:val="none"/>
              </w:rPr>
            </w:pPr>
          </w:p>
        </w:tc>
      </w:tr>
      <w:tr w14:paraId="630CD43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5570D773">
            <w:pPr>
              <w:jc w:val="center"/>
              <w:rPr>
                <w:snapToGrid w:val="0"/>
                <w:color w:val="auto"/>
                <w:highlight w:val="none"/>
              </w:rPr>
            </w:pPr>
          </w:p>
        </w:tc>
        <w:tc>
          <w:tcPr>
            <w:tcW w:w="1653" w:type="dxa"/>
            <w:vAlign w:val="center"/>
          </w:tcPr>
          <w:p w14:paraId="6569617A">
            <w:pPr>
              <w:jc w:val="center"/>
              <w:rPr>
                <w:snapToGrid w:val="0"/>
                <w:color w:val="auto"/>
                <w:highlight w:val="none"/>
              </w:rPr>
            </w:pPr>
          </w:p>
        </w:tc>
        <w:tc>
          <w:tcPr>
            <w:tcW w:w="1240" w:type="dxa"/>
            <w:vAlign w:val="center"/>
          </w:tcPr>
          <w:p w14:paraId="09976EF7">
            <w:pPr>
              <w:jc w:val="center"/>
              <w:rPr>
                <w:snapToGrid w:val="0"/>
                <w:color w:val="auto"/>
                <w:highlight w:val="none"/>
              </w:rPr>
            </w:pPr>
          </w:p>
        </w:tc>
        <w:tc>
          <w:tcPr>
            <w:tcW w:w="1033" w:type="dxa"/>
            <w:vAlign w:val="center"/>
          </w:tcPr>
          <w:p w14:paraId="744A7EBC">
            <w:pPr>
              <w:jc w:val="center"/>
              <w:rPr>
                <w:snapToGrid w:val="0"/>
                <w:color w:val="auto"/>
                <w:highlight w:val="none"/>
              </w:rPr>
            </w:pPr>
          </w:p>
        </w:tc>
        <w:tc>
          <w:tcPr>
            <w:tcW w:w="1343" w:type="dxa"/>
            <w:vAlign w:val="center"/>
          </w:tcPr>
          <w:p w14:paraId="60823F51">
            <w:pPr>
              <w:jc w:val="center"/>
              <w:rPr>
                <w:snapToGrid w:val="0"/>
                <w:color w:val="auto"/>
                <w:highlight w:val="none"/>
              </w:rPr>
            </w:pPr>
          </w:p>
        </w:tc>
        <w:tc>
          <w:tcPr>
            <w:tcW w:w="2580" w:type="dxa"/>
            <w:vAlign w:val="center"/>
          </w:tcPr>
          <w:p w14:paraId="2B13E9E5">
            <w:pPr>
              <w:jc w:val="center"/>
              <w:rPr>
                <w:snapToGrid w:val="0"/>
                <w:color w:val="auto"/>
                <w:highlight w:val="none"/>
              </w:rPr>
            </w:pPr>
          </w:p>
        </w:tc>
      </w:tr>
      <w:tr w14:paraId="7F3462F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4" w:hRule="atLeast"/>
          <w:jc w:val="center"/>
        </w:trPr>
        <w:tc>
          <w:tcPr>
            <w:tcW w:w="1165" w:type="dxa"/>
            <w:vAlign w:val="center"/>
          </w:tcPr>
          <w:p w14:paraId="15EB5B62">
            <w:pPr>
              <w:jc w:val="center"/>
              <w:rPr>
                <w:snapToGrid w:val="0"/>
                <w:color w:val="auto"/>
                <w:highlight w:val="none"/>
              </w:rPr>
            </w:pPr>
          </w:p>
        </w:tc>
        <w:tc>
          <w:tcPr>
            <w:tcW w:w="1653" w:type="dxa"/>
            <w:vAlign w:val="center"/>
          </w:tcPr>
          <w:p w14:paraId="1B5B06BE">
            <w:pPr>
              <w:jc w:val="center"/>
              <w:rPr>
                <w:snapToGrid w:val="0"/>
                <w:color w:val="auto"/>
                <w:highlight w:val="none"/>
              </w:rPr>
            </w:pPr>
          </w:p>
        </w:tc>
        <w:tc>
          <w:tcPr>
            <w:tcW w:w="1240" w:type="dxa"/>
            <w:vAlign w:val="center"/>
          </w:tcPr>
          <w:p w14:paraId="11699103">
            <w:pPr>
              <w:jc w:val="center"/>
              <w:rPr>
                <w:snapToGrid w:val="0"/>
                <w:color w:val="auto"/>
                <w:highlight w:val="none"/>
              </w:rPr>
            </w:pPr>
          </w:p>
        </w:tc>
        <w:tc>
          <w:tcPr>
            <w:tcW w:w="1033" w:type="dxa"/>
            <w:vAlign w:val="center"/>
          </w:tcPr>
          <w:p w14:paraId="66C0F4B6">
            <w:pPr>
              <w:jc w:val="center"/>
              <w:rPr>
                <w:snapToGrid w:val="0"/>
                <w:color w:val="auto"/>
                <w:highlight w:val="none"/>
              </w:rPr>
            </w:pPr>
          </w:p>
        </w:tc>
        <w:tc>
          <w:tcPr>
            <w:tcW w:w="1343" w:type="dxa"/>
            <w:vAlign w:val="center"/>
          </w:tcPr>
          <w:p w14:paraId="0143B27A">
            <w:pPr>
              <w:jc w:val="center"/>
              <w:rPr>
                <w:snapToGrid w:val="0"/>
                <w:color w:val="auto"/>
                <w:highlight w:val="none"/>
              </w:rPr>
            </w:pPr>
          </w:p>
        </w:tc>
        <w:tc>
          <w:tcPr>
            <w:tcW w:w="2580" w:type="dxa"/>
            <w:vAlign w:val="center"/>
          </w:tcPr>
          <w:p w14:paraId="7442CED5">
            <w:pPr>
              <w:jc w:val="center"/>
              <w:rPr>
                <w:snapToGrid w:val="0"/>
                <w:color w:val="auto"/>
                <w:highlight w:val="none"/>
              </w:rPr>
            </w:pPr>
          </w:p>
        </w:tc>
      </w:tr>
    </w:tbl>
    <w:p w14:paraId="7082B6E4">
      <w:pPr>
        <w:ind w:firstLine="210" w:firstLineChars="100"/>
        <w:rPr>
          <w:color w:val="auto"/>
          <w:szCs w:val="21"/>
          <w:highlight w:val="none"/>
        </w:rPr>
      </w:pPr>
      <w:r>
        <w:rPr>
          <w:rFonts w:hint="eastAsia"/>
          <w:color w:val="auto"/>
          <w:szCs w:val="21"/>
          <w:highlight w:val="none"/>
        </w:rPr>
        <w:t>注：此表后附项目实施人员资格证书等相关资料复印件</w:t>
      </w:r>
      <w:r>
        <w:rPr>
          <w:rFonts w:hint="eastAsia"/>
          <w:color w:val="auto"/>
          <w:szCs w:val="21"/>
          <w:highlight w:val="none"/>
          <w:lang w:eastAsia="zh-CN"/>
        </w:rPr>
        <w:t>（如有）</w:t>
      </w:r>
    </w:p>
    <w:p w14:paraId="2123D098">
      <w:pPr>
        <w:rPr>
          <w:color w:val="auto"/>
          <w:szCs w:val="21"/>
          <w:highlight w:val="none"/>
        </w:rPr>
      </w:pPr>
    </w:p>
    <w:p w14:paraId="53F9AB6B">
      <w:pPr>
        <w:pStyle w:val="15"/>
        <w:rPr>
          <w:snapToGrid w:val="0"/>
          <w:color w:val="auto"/>
          <w:highlight w:val="none"/>
        </w:rPr>
      </w:pPr>
      <w:r>
        <w:rPr>
          <w:rFonts w:hint="eastAsia" w:ascii="宋体" w:hAnsi="宋体"/>
          <w:color w:val="auto"/>
          <w:spacing w:val="20"/>
          <w:sz w:val="24"/>
          <w:highlight w:val="none"/>
        </w:rPr>
        <w:t>投标人全称</w:t>
      </w:r>
      <w:r>
        <w:rPr>
          <w:rFonts w:hint="eastAsia" w:ascii="宋体" w:hAnsi="宋体" w:cs="宋体"/>
          <w:color w:val="auto"/>
          <w:sz w:val="24"/>
          <w:highlight w:val="none"/>
        </w:rPr>
        <w:t>（盖公章或电子签章）</w:t>
      </w:r>
      <w:r>
        <w:rPr>
          <w:rFonts w:hint="eastAsia" w:ascii="宋体" w:hAnsi="宋体" w:cs="宋体"/>
          <w:color w:val="auto"/>
          <w:sz w:val="24"/>
          <w:highlight w:val="none"/>
          <w:lang w:val="en-US" w:eastAsia="zh-CN"/>
        </w:rPr>
        <w:t>:</w:t>
      </w:r>
      <w:r>
        <w:rPr>
          <w:rFonts w:hint="eastAsia"/>
          <w:color w:val="auto"/>
          <w:highlight w:val="none"/>
        </w:rPr>
        <w:t xml:space="preserve">       </w:t>
      </w:r>
      <w:r>
        <w:rPr>
          <w:rFonts w:hint="eastAsia"/>
          <w:color w:val="auto"/>
          <w:highlight w:val="none"/>
          <w:lang w:val="en-US" w:eastAsia="zh-CN"/>
        </w:rPr>
        <w:t xml:space="preserve"> </w:t>
      </w:r>
      <w:r>
        <w:rPr>
          <w:rFonts w:hint="eastAsia"/>
          <w:snapToGrid w:val="0"/>
          <w:color w:val="auto"/>
          <w:highlight w:val="none"/>
        </w:rPr>
        <w:t>法定代表人（或委托代理人）：</w:t>
      </w:r>
      <w:r>
        <w:rPr>
          <w:snapToGrid w:val="0"/>
          <w:color w:val="auto"/>
          <w:highlight w:val="none"/>
          <w:u w:val="single"/>
        </w:rPr>
        <w:t xml:space="preserve">           </w:t>
      </w:r>
    </w:p>
    <w:p w14:paraId="7B1AA716">
      <w:pPr>
        <w:pStyle w:val="26"/>
        <w:rPr>
          <w:rFonts w:hint="eastAsia" w:ascii="宋体" w:hAnsi="宋体"/>
          <w:bCs/>
          <w:color w:val="auto"/>
          <w:sz w:val="24"/>
          <w:highlight w:val="none"/>
        </w:rPr>
      </w:pPr>
      <w:r>
        <w:rPr>
          <w:snapToGrid w:val="0"/>
          <w:color w:val="auto"/>
          <w:highlight w:val="none"/>
        </w:rPr>
        <w:t xml:space="preserve">  </w:t>
      </w:r>
      <w:r>
        <w:rPr>
          <w:rFonts w:hint="eastAsia"/>
          <w:snapToGrid w:val="0"/>
          <w:color w:val="auto"/>
          <w:highlight w:val="none"/>
          <w:lang w:val="en-US" w:eastAsia="zh-CN"/>
        </w:rPr>
        <w:t xml:space="preserve">                                                        </w:t>
      </w:r>
      <w:r>
        <w:rPr>
          <w:rFonts w:hint="eastAsia"/>
          <w:snapToGrid w:val="0"/>
          <w:color w:val="auto"/>
          <w:highlight w:val="none"/>
          <w:u w:val="single"/>
        </w:rPr>
        <w:t xml:space="preserve">       </w:t>
      </w:r>
      <w:r>
        <w:rPr>
          <w:rFonts w:hint="eastAsia"/>
          <w:snapToGrid w:val="0"/>
          <w:color w:val="auto"/>
          <w:highlight w:val="none"/>
        </w:rPr>
        <w:t>年</w:t>
      </w:r>
      <w:r>
        <w:rPr>
          <w:rFonts w:hint="eastAsia"/>
          <w:snapToGrid w:val="0"/>
          <w:color w:val="auto"/>
          <w:highlight w:val="none"/>
          <w:u w:val="single"/>
        </w:rPr>
        <w:t xml:space="preserve"> </w:t>
      </w:r>
      <w:r>
        <w:rPr>
          <w:rFonts w:hint="eastAsia"/>
          <w:snapToGrid w:val="0"/>
          <w:color w:val="auto"/>
          <w:highlight w:val="none"/>
          <w:u w:val="single"/>
          <w:lang w:val="en-US" w:eastAsia="zh-CN"/>
        </w:rPr>
        <w:t xml:space="preserve">  </w:t>
      </w:r>
      <w:r>
        <w:rPr>
          <w:rFonts w:hint="eastAsia"/>
          <w:snapToGrid w:val="0"/>
          <w:color w:val="auto"/>
          <w:highlight w:val="none"/>
          <w:u w:val="single"/>
        </w:rPr>
        <w:t xml:space="preserve"> </w:t>
      </w:r>
      <w:r>
        <w:rPr>
          <w:rFonts w:hint="eastAsia"/>
          <w:snapToGrid w:val="0"/>
          <w:color w:val="auto"/>
          <w:highlight w:val="none"/>
        </w:rPr>
        <w:t>月</w:t>
      </w:r>
      <w:r>
        <w:rPr>
          <w:rFonts w:hint="eastAsia"/>
          <w:snapToGrid w:val="0"/>
          <w:color w:val="auto"/>
          <w:highlight w:val="none"/>
          <w:u w:val="single"/>
        </w:rPr>
        <w:t xml:space="preserve">   </w:t>
      </w:r>
      <w:r>
        <w:rPr>
          <w:rFonts w:hint="eastAsia"/>
          <w:snapToGrid w:val="0"/>
          <w:color w:val="auto"/>
          <w:highlight w:val="none"/>
        </w:rPr>
        <w:t>日</w:t>
      </w:r>
    </w:p>
    <w:p w14:paraId="2E5434D9">
      <w:pPr>
        <w:snapToGrid w:val="0"/>
        <w:spacing w:before="50" w:after="120" w:afterLines="50"/>
        <w:jc w:val="left"/>
        <w:rPr>
          <w:rFonts w:hint="eastAsia" w:ascii="宋体" w:hAnsi="宋体"/>
          <w:b/>
          <w:color w:val="auto"/>
          <w:sz w:val="24"/>
          <w:highlight w:val="none"/>
        </w:rPr>
      </w:pPr>
    </w:p>
    <w:p w14:paraId="5455608F">
      <w:pPr>
        <w:snapToGrid w:val="0"/>
        <w:spacing w:before="50" w:after="120" w:afterLines="50"/>
        <w:jc w:val="left"/>
        <w:rPr>
          <w:rFonts w:hint="eastAsia" w:ascii="宋体" w:hAnsi="宋体"/>
          <w:b/>
          <w:color w:val="auto"/>
          <w:sz w:val="24"/>
          <w:highlight w:val="none"/>
        </w:rPr>
      </w:pPr>
    </w:p>
    <w:p w14:paraId="12FD0AAC">
      <w:pPr>
        <w:snapToGrid w:val="0"/>
        <w:spacing w:before="50" w:after="120" w:afterLines="50"/>
        <w:jc w:val="left"/>
        <w:rPr>
          <w:rFonts w:ascii="宋体" w:hAnsi="宋体" w:cs="宋体"/>
          <w:b/>
          <w:color w:val="auto"/>
          <w:sz w:val="24"/>
          <w:highlight w:val="none"/>
        </w:rPr>
      </w:pPr>
      <w:r>
        <w:rPr>
          <w:rFonts w:hint="eastAsia" w:ascii="宋体" w:hAnsi="宋体"/>
          <w:b/>
          <w:color w:val="auto"/>
          <w:sz w:val="24"/>
          <w:highlight w:val="none"/>
        </w:rPr>
        <w:t>附件</w:t>
      </w:r>
      <w:r>
        <w:rPr>
          <w:rFonts w:hint="eastAsia" w:ascii="宋体" w:hAnsi="宋体" w:eastAsia="宋体" w:cs="Times New Roman"/>
          <w:b/>
          <w:color w:val="auto"/>
          <w:sz w:val="24"/>
          <w:highlight w:val="none"/>
        </w:rPr>
        <w:t>：</w:t>
      </w:r>
      <w:r>
        <w:rPr>
          <w:rFonts w:hint="eastAsia" w:ascii="宋体" w:hAnsi="宋体" w:cs="宋体"/>
          <w:b/>
          <w:color w:val="auto"/>
          <w:sz w:val="24"/>
          <w:highlight w:val="none"/>
        </w:rPr>
        <w:t>同类业绩一览表：</w:t>
      </w:r>
    </w:p>
    <w:p w14:paraId="00B0B812">
      <w:pPr>
        <w:snapToGrid w:val="0"/>
        <w:spacing w:before="50" w:after="120" w:afterLines="50"/>
        <w:jc w:val="center"/>
        <w:rPr>
          <w:rFonts w:ascii="宋体" w:hAnsi="宋体" w:cs="宋体"/>
          <w:b/>
          <w:color w:val="auto"/>
          <w:sz w:val="30"/>
          <w:szCs w:val="30"/>
          <w:highlight w:val="none"/>
        </w:rPr>
      </w:pPr>
    </w:p>
    <w:p w14:paraId="7739342F">
      <w:pPr>
        <w:snapToGrid w:val="0"/>
        <w:spacing w:before="50" w:after="120" w:afterLines="50"/>
        <w:jc w:val="center"/>
        <w:rPr>
          <w:rFonts w:ascii="宋体" w:hAnsi="宋体" w:cs="宋体"/>
          <w:b/>
          <w:color w:val="auto"/>
          <w:sz w:val="30"/>
          <w:szCs w:val="30"/>
          <w:highlight w:val="none"/>
        </w:rPr>
      </w:pPr>
      <w:r>
        <w:rPr>
          <w:rFonts w:hint="eastAsia" w:ascii="宋体" w:hAnsi="宋体" w:cs="宋体"/>
          <w:b/>
          <w:color w:val="auto"/>
          <w:sz w:val="30"/>
          <w:szCs w:val="30"/>
          <w:highlight w:val="none"/>
        </w:rPr>
        <w:t>同类业绩一览表</w:t>
      </w:r>
    </w:p>
    <w:p w14:paraId="7808EE20">
      <w:pPr>
        <w:snapToGrid w:val="0"/>
        <w:spacing w:before="50" w:after="120" w:afterLines="50"/>
        <w:jc w:val="left"/>
        <w:rPr>
          <w:rFonts w:ascii="宋体" w:hAnsi="宋体" w:cs="宋体"/>
          <w:color w:val="auto"/>
          <w:sz w:val="24"/>
          <w:highlight w:val="none"/>
        </w:rPr>
      </w:pPr>
      <w:r>
        <w:rPr>
          <w:rFonts w:hint="eastAsia" w:ascii="宋体" w:hAnsi="宋体" w:cs="宋体"/>
          <w:color w:val="auto"/>
          <w:sz w:val="24"/>
          <w:highlight w:val="none"/>
        </w:rPr>
        <w:t>项目名称:__________________</w:t>
      </w:r>
    </w:p>
    <w:tbl>
      <w:tblPr>
        <w:tblStyle w:val="45"/>
        <w:tblW w:w="0" w:type="auto"/>
        <w:tblInd w:w="0" w:type="dxa"/>
        <w:tblLayout w:type="fixed"/>
        <w:tblCellMar>
          <w:top w:w="0" w:type="dxa"/>
          <w:left w:w="108" w:type="dxa"/>
          <w:bottom w:w="0" w:type="dxa"/>
          <w:right w:w="108" w:type="dxa"/>
        </w:tblCellMar>
      </w:tblPr>
      <w:tblGrid>
        <w:gridCol w:w="1741"/>
        <w:gridCol w:w="1797"/>
        <w:gridCol w:w="1825"/>
        <w:gridCol w:w="1614"/>
        <w:gridCol w:w="1438"/>
        <w:gridCol w:w="1437"/>
      </w:tblGrid>
      <w:tr w14:paraId="5DAE225A">
        <w:tblPrEx>
          <w:tblCellMar>
            <w:top w:w="0" w:type="dxa"/>
            <w:left w:w="108" w:type="dxa"/>
            <w:bottom w:w="0" w:type="dxa"/>
            <w:right w:w="108" w:type="dxa"/>
          </w:tblCellMar>
        </w:tblPrEx>
        <w:trPr>
          <w:trHeight w:val="1431" w:hRule="atLeast"/>
        </w:trPr>
        <w:tc>
          <w:tcPr>
            <w:tcW w:w="1741" w:type="dxa"/>
            <w:tcBorders>
              <w:top w:val="single" w:color="auto" w:sz="4" w:space="0"/>
              <w:left w:val="single" w:color="auto" w:sz="4" w:space="0"/>
              <w:bottom w:val="single" w:color="auto" w:sz="4" w:space="0"/>
              <w:right w:val="single" w:color="auto" w:sz="4" w:space="0"/>
            </w:tcBorders>
            <w:vAlign w:val="center"/>
          </w:tcPr>
          <w:p w14:paraId="28E599BC">
            <w:pPr>
              <w:adjustRightInd w:val="0"/>
              <w:snapToGrid w:val="0"/>
              <w:spacing w:before="50" w:after="120" w:afterLines="50"/>
              <w:jc w:val="center"/>
              <w:rPr>
                <w:rFonts w:ascii="宋体" w:hAnsi="宋体" w:cs="宋体"/>
                <w:color w:val="auto"/>
                <w:sz w:val="24"/>
                <w:highlight w:val="none"/>
              </w:rPr>
            </w:pPr>
            <w:r>
              <w:rPr>
                <w:rFonts w:hint="eastAsia" w:ascii="宋体" w:hAnsi="宋体" w:cs="宋体"/>
                <w:color w:val="auto"/>
                <w:sz w:val="24"/>
                <w:highlight w:val="none"/>
              </w:rPr>
              <w:t>采购单位</w:t>
            </w:r>
          </w:p>
          <w:p w14:paraId="0F381735">
            <w:pPr>
              <w:adjustRightInd w:val="0"/>
              <w:snapToGrid w:val="0"/>
              <w:spacing w:before="50" w:after="120" w:afterLines="50"/>
              <w:jc w:val="center"/>
              <w:rPr>
                <w:rFonts w:ascii="宋体" w:hAnsi="宋体" w:cs="宋体"/>
                <w:color w:val="auto"/>
                <w:sz w:val="24"/>
                <w:highlight w:val="none"/>
              </w:rPr>
            </w:pPr>
            <w:r>
              <w:rPr>
                <w:rFonts w:hint="eastAsia" w:ascii="宋体" w:hAnsi="宋体" w:cs="宋体"/>
                <w:color w:val="auto"/>
                <w:sz w:val="24"/>
                <w:highlight w:val="none"/>
              </w:rPr>
              <w:t>名称</w:t>
            </w:r>
          </w:p>
        </w:tc>
        <w:tc>
          <w:tcPr>
            <w:tcW w:w="1797" w:type="dxa"/>
            <w:tcBorders>
              <w:top w:val="single" w:color="auto" w:sz="4" w:space="0"/>
              <w:left w:val="single" w:color="auto" w:sz="4" w:space="0"/>
              <w:bottom w:val="single" w:color="auto" w:sz="4" w:space="0"/>
              <w:right w:val="single" w:color="auto" w:sz="4" w:space="0"/>
            </w:tcBorders>
            <w:vAlign w:val="center"/>
          </w:tcPr>
          <w:p w14:paraId="59356EAD">
            <w:pPr>
              <w:adjustRightInd w:val="0"/>
              <w:snapToGrid w:val="0"/>
              <w:spacing w:before="50" w:after="120" w:afterLines="50"/>
              <w:jc w:val="center"/>
              <w:rPr>
                <w:rFonts w:ascii="宋体" w:hAnsi="宋体" w:cs="宋体"/>
                <w:color w:val="auto"/>
                <w:sz w:val="24"/>
                <w:highlight w:val="none"/>
              </w:rPr>
            </w:pPr>
            <w:r>
              <w:rPr>
                <w:rFonts w:hint="eastAsia" w:ascii="宋体" w:hAnsi="宋体" w:cs="宋体"/>
                <w:color w:val="auto"/>
                <w:sz w:val="24"/>
                <w:highlight w:val="none"/>
              </w:rPr>
              <w:t>项目名称</w:t>
            </w:r>
          </w:p>
        </w:tc>
        <w:tc>
          <w:tcPr>
            <w:tcW w:w="1825" w:type="dxa"/>
            <w:tcBorders>
              <w:top w:val="single" w:color="auto" w:sz="4" w:space="0"/>
              <w:left w:val="single" w:color="auto" w:sz="4" w:space="0"/>
              <w:bottom w:val="single" w:color="auto" w:sz="4" w:space="0"/>
              <w:right w:val="single" w:color="auto" w:sz="4" w:space="0"/>
            </w:tcBorders>
            <w:vAlign w:val="center"/>
          </w:tcPr>
          <w:p w14:paraId="77CEBB73">
            <w:pPr>
              <w:adjustRightInd w:val="0"/>
              <w:snapToGrid w:val="0"/>
              <w:spacing w:before="50" w:after="120" w:afterLines="50"/>
              <w:jc w:val="center"/>
              <w:rPr>
                <w:rFonts w:ascii="宋体" w:hAnsi="宋体" w:cs="宋体"/>
                <w:color w:val="auto"/>
                <w:sz w:val="24"/>
                <w:highlight w:val="none"/>
              </w:rPr>
            </w:pPr>
            <w:r>
              <w:rPr>
                <w:rFonts w:hint="eastAsia" w:ascii="宋体" w:hAnsi="宋体" w:cs="宋体"/>
                <w:color w:val="auto"/>
                <w:sz w:val="24"/>
                <w:highlight w:val="none"/>
              </w:rPr>
              <w:t>合同金额</w:t>
            </w:r>
          </w:p>
          <w:p w14:paraId="472247E3">
            <w:pPr>
              <w:adjustRightInd w:val="0"/>
              <w:snapToGrid w:val="0"/>
              <w:spacing w:before="50" w:after="120" w:afterLines="50"/>
              <w:jc w:val="center"/>
              <w:rPr>
                <w:rFonts w:ascii="宋体" w:hAnsi="宋体" w:cs="宋体"/>
                <w:color w:val="auto"/>
                <w:sz w:val="24"/>
                <w:highlight w:val="none"/>
              </w:rPr>
            </w:pPr>
            <w:r>
              <w:rPr>
                <w:rFonts w:hint="eastAsia" w:ascii="宋体" w:hAnsi="宋体" w:cs="宋体"/>
                <w:color w:val="auto"/>
                <w:sz w:val="24"/>
                <w:highlight w:val="none"/>
              </w:rPr>
              <w:t>（万元）</w:t>
            </w:r>
          </w:p>
        </w:tc>
        <w:tc>
          <w:tcPr>
            <w:tcW w:w="1614" w:type="dxa"/>
            <w:tcBorders>
              <w:top w:val="single" w:color="auto" w:sz="4" w:space="0"/>
              <w:left w:val="single" w:color="auto" w:sz="4" w:space="0"/>
              <w:right w:val="single" w:color="auto" w:sz="4" w:space="0"/>
            </w:tcBorders>
            <w:vAlign w:val="center"/>
          </w:tcPr>
          <w:p w14:paraId="720919EC">
            <w:pPr>
              <w:adjustRightInd w:val="0"/>
              <w:snapToGrid w:val="0"/>
              <w:spacing w:before="50" w:after="120" w:afterLines="50"/>
              <w:jc w:val="center"/>
              <w:rPr>
                <w:rFonts w:ascii="宋体" w:hAnsi="宋体" w:cs="宋体"/>
                <w:color w:val="auto"/>
                <w:sz w:val="24"/>
                <w:highlight w:val="none"/>
              </w:rPr>
            </w:pPr>
            <w:r>
              <w:rPr>
                <w:rFonts w:hint="eastAsia" w:ascii="宋体" w:hAnsi="宋体" w:cs="宋体"/>
                <w:color w:val="auto"/>
                <w:sz w:val="24"/>
                <w:highlight w:val="none"/>
              </w:rPr>
              <w:t>合同日期</w:t>
            </w:r>
          </w:p>
        </w:tc>
        <w:tc>
          <w:tcPr>
            <w:tcW w:w="1438" w:type="dxa"/>
            <w:tcBorders>
              <w:top w:val="single" w:color="auto" w:sz="4" w:space="0"/>
              <w:left w:val="single" w:color="auto" w:sz="4" w:space="0"/>
              <w:right w:val="single" w:color="auto" w:sz="4" w:space="0"/>
            </w:tcBorders>
            <w:vAlign w:val="center"/>
          </w:tcPr>
          <w:p w14:paraId="63D740E6">
            <w:pPr>
              <w:adjustRightInd w:val="0"/>
              <w:snapToGrid w:val="0"/>
              <w:spacing w:before="50" w:after="120" w:afterLines="50"/>
              <w:jc w:val="center"/>
              <w:rPr>
                <w:rFonts w:ascii="宋体" w:hAnsi="宋体" w:cs="宋体"/>
                <w:color w:val="auto"/>
                <w:sz w:val="24"/>
                <w:highlight w:val="none"/>
              </w:rPr>
            </w:pPr>
            <w:r>
              <w:rPr>
                <w:rFonts w:hint="eastAsia" w:ascii="宋体" w:hAnsi="宋体" w:cs="宋体"/>
                <w:color w:val="auto"/>
                <w:sz w:val="24"/>
                <w:highlight w:val="none"/>
              </w:rPr>
              <w:t>采购单位联系人及联系电话</w:t>
            </w:r>
          </w:p>
        </w:tc>
        <w:tc>
          <w:tcPr>
            <w:tcW w:w="1437" w:type="dxa"/>
            <w:tcBorders>
              <w:top w:val="single" w:color="auto" w:sz="4" w:space="0"/>
              <w:left w:val="single" w:color="auto" w:sz="4" w:space="0"/>
              <w:bottom w:val="single" w:color="auto" w:sz="4" w:space="0"/>
              <w:right w:val="single" w:color="auto" w:sz="4" w:space="0"/>
            </w:tcBorders>
            <w:vAlign w:val="center"/>
          </w:tcPr>
          <w:p w14:paraId="24571A42">
            <w:pPr>
              <w:adjustRightInd w:val="0"/>
              <w:snapToGrid w:val="0"/>
              <w:spacing w:before="50" w:after="120" w:afterLines="50"/>
              <w:jc w:val="center"/>
              <w:rPr>
                <w:rFonts w:ascii="宋体" w:hAnsi="宋体" w:cs="宋体"/>
                <w:color w:val="auto"/>
                <w:sz w:val="24"/>
                <w:highlight w:val="none"/>
              </w:rPr>
            </w:pPr>
            <w:r>
              <w:rPr>
                <w:rFonts w:hint="eastAsia" w:ascii="宋体" w:hAnsi="宋体" w:cs="宋体"/>
                <w:color w:val="auto"/>
                <w:sz w:val="24"/>
                <w:highlight w:val="none"/>
              </w:rPr>
              <w:t>附件页码</w:t>
            </w:r>
          </w:p>
        </w:tc>
      </w:tr>
      <w:tr w14:paraId="1935344E">
        <w:tblPrEx>
          <w:tblCellMar>
            <w:top w:w="0" w:type="dxa"/>
            <w:left w:w="108" w:type="dxa"/>
            <w:bottom w:w="0" w:type="dxa"/>
            <w:right w:w="108" w:type="dxa"/>
          </w:tblCellMar>
        </w:tblPrEx>
        <w:trPr>
          <w:trHeight w:val="77" w:hRule="atLeast"/>
        </w:trPr>
        <w:tc>
          <w:tcPr>
            <w:tcW w:w="1741" w:type="dxa"/>
            <w:tcBorders>
              <w:top w:val="single" w:color="auto" w:sz="4" w:space="0"/>
              <w:left w:val="single" w:color="auto" w:sz="4" w:space="0"/>
              <w:bottom w:val="single" w:color="auto" w:sz="4" w:space="0"/>
              <w:right w:val="single" w:color="auto" w:sz="4" w:space="0"/>
            </w:tcBorders>
            <w:vAlign w:val="center"/>
          </w:tcPr>
          <w:p w14:paraId="7B8C360D">
            <w:pPr>
              <w:adjustRightInd w:val="0"/>
              <w:snapToGrid w:val="0"/>
              <w:spacing w:before="50" w:after="120" w:afterLines="50"/>
              <w:jc w:val="center"/>
              <w:rPr>
                <w:rFonts w:ascii="宋体" w:hAnsi="宋体" w:cs="宋体"/>
                <w:color w:val="auto"/>
                <w:sz w:val="24"/>
                <w:highlight w:val="none"/>
              </w:rPr>
            </w:pPr>
          </w:p>
        </w:tc>
        <w:tc>
          <w:tcPr>
            <w:tcW w:w="1797" w:type="dxa"/>
            <w:tcBorders>
              <w:top w:val="single" w:color="auto" w:sz="4" w:space="0"/>
              <w:left w:val="single" w:color="auto" w:sz="4" w:space="0"/>
              <w:bottom w:val="single" w:color="auto" w:sz="4" w:space="0"/>
              <w:right w:val="single" w:color="auto" w:sz="4" w:space="0"/>
            </w:tcBorders>
            <w:vAlign w:val="center"/>
          </w:tcPr>
          <w:p w14:paraId="59D1DC89">
            <w:pPr>
              <w:adjustRightInd w:val="0"/>
              <w:snapToGrid w:val="0"/>
              <w:spacing w:before="50" w:after="120" w:afterLines="50"/>
              <w:jc w:val="center"/>
              <w:rPr>
                <w:rFonts w:ascii="宋体" w:hAnsi="宋体" w:cs="宋体"/>
                <w:color w:val="auto"/>
                <w:sz w:val="24"/>
                <w:highlight w:val="none"/>
              </w:rPr>
            </w:pPr>
          </w:p>
        </w:tc>
        <w:tc>
          <w:tcPr>
            <w:tcW w:w="1825" w:type="dxa"/>
            <w:tcBorders>
              <w:top w:val="single" w:color="auto" w:sz="4" w:space="0"/>
              <w:left w:val="single" w:color="auto" w:sz="4" w:space="0"/>
              <w:bottom w:val="single" w:color="auto" w:sz="4" w:space="0"/>
              <w:right w:val="single" w:color="auto" w:sz="4" w:space="0"/>
            </w:tcBorders>
            <w:vAlign w:val="center"/>
          </w:tcPr>
          <w:p w14:paraId="2C657536">
            <w:pPr>
              <w:adjustRightInd w:val="0"/>
              <w:snapToGrid w:val="0"/>
              <w:spacing w:before="50" w:after="120" w:afterLines="50"/>
              <w:jc w:val="center"/>
              <w:rPr>
                <w:rFonts w:ascii="宋体" w:hAnsi="宋体" w:cs="宋体"/>
                <w:color w:val="auto"/>
                <w:sz w:val="24"/>
                <w:highlight w:val="none"/>
              </w:rPr>
            </w:pPr>
          </w:p>
        </w:tc>
        <w:tc>
          <w:tcPr>
            <w:tcW w:w="1614" w:type="dxa"/>
            <w:tcBorders>
              <w:top w:val="single" w:color="auto" w:sz="4" w:space="0"/>
              <w:left w:val="single" w:color="auto" w:sz="4" w:space="0"/>
              <w:bottom w:val="single" w:color="auto" w:sz="4" w:space="0"/>
              <w:right w:val="single" w:color="auto" w:sz="4" w:space="0"/>
            </w:tcBorders>
            <w:vAlign w:val="center"/>
          </w:tcPr>
          <w:p w14:paraId="69A2A5A1">
            <w:pPr>
              <w:adjustRightInd w:val="0"/>
              <w:snapToGrid w:val="0"/>
              <w:spacing w:before="50" w:after="120" w:afterLines="50"/>
              <w:jc w:val="center"/>
              <w:rPr>
                <w:rFonts w:ascii="宋体" w:hAnsi="宋体" w:cs="宋体"/>
                <w:color w:val="auto"/>
                <w:sz w:val="24"/>
                <w:highlight w:val="none"/>
              </w:rPr>
            </w:pPr>
          </w:p>
        </w:tc>
        <w:tc>
          <w:tcPr>
            <w:tcW w:w="1438" w:type="dxa"/>
            <w:tcBorders>
              <w:top w:val="single" w:color="auto" w:sz="4" w:space="0"/>
              <w:left w:val="single" w:color="auto" w:sz="4" w:space="0"/>
              <w:bottom w:val="single" w:color="auto" w:sz="4" w:space="0"/>
              <w:right w:val="single" w:color="auto" w:sz="4" w:space="0"/>
            </w:tcBorders>
            <w:vAlign w:val="center"/>
          </w:tcPr>
          <w:p w14:paraId="6DAF6239">
            <w:pPr>
              <w:adjustRightInd w:val="0"/>
              <w:snapToGrid w:val="0"/>
              <w:spacing w:before="50" w:after="120" w:afterLines="50"/>
              <w:jc w:val="center"/>
              <w:rPr>
                <w:rFonts w:ascii="宋体" w:hAnsi="宋体" w:cs="宋体"/>
                <w:color w:val="auto"/>
                <w:sz w:val="24"/>
                <w:highlight w:val="none"/>
              </w:rPr>
            </w:pPr>
          </w:p>
        </w:tc>
        <w:tc>
          <w:tcPr>
            <w:tcW w:w="1437" w:type="dxa"/>
            <w:tcBorders>
              <w:top w:val="single" w:color="auto" w:sz="4" w:space="0"/>
              <w:left w:val="single" w:color="auto" w:sz="4" w:space="0"/>
              <w:bottom w:val="single" w:color="auto" w:sz="4" w:space="0"/>
              <w:right w:val="single" w:color="auto" w:sz="4" w:space="0"/>
            </w:tcBorders>
            <w:vAlign w:val="center"/>
          </w:tcPr>
          <w:p w14:paraId="316C9150">
            <w:pPr>
              <w:adjustRightInd w:val="0"/>
              <w:snapToGrid w:val="0"/>
              <w:spacing w:before="50" w:after="120" w:afterLines="50"/>
              <w:jc w:val="center"/>
              <w:rPr>
                <w:rFonts w:ascii="宋体" w:hAnsi="宋体" w:cs="宋体"/>
                <w:color w:val="auto"/>
                <w:sz w:val="24"/>
                <w:highlight w:val="none"/>
              </w:rPr>
            </w:pPr>
          </w:p>
        </w:tc>
      </w:tr>
      <w:tr w14:paraId="432201E0">
        <w:tblPrEx>
          <w:tblCellMar>
            <w:top w:w="0" w:type="dxa"/>
            <w:left w:w="108" w:type="dxa"/>
            <w:bottom w:w="0" w:type="dxa"/>
            <w:right w:w="108" w:type="dxa"/>
          </w:tblCellMar>
        </w:tblPrEx>
        <w:trPr>
          <w:trHeight w:val="77" w:hRule="atLeast"/>
        </w:trPr>
        <w:tc>
          <w:tcPr>
            <w:tcW w:w="1741" w:type="dxa"/>
            <w:tcBorders>
              <w:top w:val="single" w:color="auto" w:sz="4" w:space="0"/>
              <w:left w:val="single" w:color="auto" w:sz="4" w:space="0"/>
              <w:bottom w:val="single" w:color="auto" w:sz="4" w:space="0"/>
              <w:right w:val="single" w:color="auto" w:sz="4" w:space="0"/>
            </w:tcBorders>
            <w:vAlign w:val="center"/>
          </w:tcPr>
          <w:p w14:paraId="4EA0A688">
            <w:pPr>
              <w:adjustRightInd w:val="0"/>
              <w:snapToGrid w:val="0"/>
              <w:spacing w:before="50" w:after="120" w:afterLines="50"/>
              <w:jc w:val="center"/>
              <w:rPr>
                <w:rFonts w:ascii="宋体" w:hAnsi="宋体" w:cs="宋体"/>
                <w:color w:val="auto"/>
                <w:sz w:val="24"/>
                <w:highlight w:val="none"/>
              </w:rPr>
            </w:pPr>
          </w:p>
        </w:tc>
        <w:tc>
          <w:tcPr>
            <w:tcW w:w="1797" w:type="dxa"/>
            <w:tcBorders>
              <w:top w:val="single" w:color="auto" w:sz="4" w:space="0"/>
              <w:left w:val="single" w:color="auto" w:sz="4" w:space="0"/>
              <w:bottom w:val="single" w:color="auto" w:sz="4" w:space="0"/>
              <w:right w:val="single" w:color="auto" w:sz="4" w:space="0"/>
            </w:tcBorders>
            <w:vAlign w:val="center"/>
          </w:tcPr>
          <w:p w14:paraId="3D66286D">
            <w:pPr>
              <w:adjustRightInd w:val="0"/>
              <w:snapToGrid w:val="0"/>
              <w:spacing w:before="50" w:after="120" w:afterLines="50"/>
              <w:jc w:val="center"/>
              <w:rPr>
                <w:rFonts w:ascii="宋体" w:hAnsi="宋体" w:cs="宋体"/>
                <w:color w:val="auto"/>
                <w:sz w:val="24"/>
                <w:highlight w:val="none"/>
              </w:rPr>
            </w:pPr>
          </w:p>
        </w:tc>
        <w:tc>
          <w:tcPr>
            <w:tcW w:w="1825" w:type="dxa"/>
            <w:tcBorders>
              <w:top w:val="single" w:color="auto" w:sz="4" w:space="0"/>
              <w:left w:val="single" w:color="auto" w:sz="4" w:space="0"/>
              <w:bottom w:val="single" w:color="auto" w:sz="4" w:space="0"/>
              <w:right w:val="single" w:color="auto" w:sz="4" w:space="0"/>
            </w:tcBorders>
            <w:vAlign w:val="center"/>
          </w:tcPr>
          <w:p w14:paraId="6D45F996">
            <w:pPr>
              <w:adjustRightInd w:val="0"/>
              <w:snapToGrid w:val="0"/>
              <w:spacing w:before="50" w:after="120" w:afterLines="50"/>
              <w:jc w:val="center"/>
              <w:rPr>
                <w:rFonts w:ascii="宋体" w:hAnsi="宋体" w:cs="宋体"/>
                <w:color w:val="auto"/>
                <w:sz w:val="24"/>
                <w:highlight w:val="none"/>
              </w:rPr>
            </w:pPr>
          </w:p>
        </w:tc>
        <w:tc>
          <w:tcPr>
            <w:tcW w:w="1614" w:type="dxa"/>
            <w:tcBorders>
              <w:top w:val="single" w:color="auto" w:sz="4" w:space="0"/>
              <w:left w:val="single" w:color="auto" w:sz="4" w:space="0"/>
              <w:bottom w:val="single" w:color="auto" w:sz="4" w:space="0"/>
              <w:right w:val="single" w:color="auto" w:sz="4" w:space="0"/>
            </w:tcBorders>
            <w:vAlign w:val="center"/>
          </w:tcPr>
          <w:p w14:paraId="66EA37D4">
            <w:pPr>
              <w:adjustRightInd w:val="0"/>
              <w:snapToGrid w:val="0"/>
              <w:spacing w:before="50" w:after="120" w:afterLines="50"/>
              <w:jc w:val="center"/>
              <w:rPr>
                <w:rFonts w:ascii="宋体" w:hAnsi="宋体" w:cs="宋体"/>
                <w:color w:val="auto"/>
                <w:sz w:val="24"/>
                <w:highlight w:val="none"/>
              </w:rPr>
            </w:pPr>
          </w:p>
        </w:tc>
        <w:tc>
          <w:tcPr>
            <w:tcW w:w="1438" w:type="dxa"/>
            <w:tcBorders>
              <w:top w:val="single" w:color="auto" w:sz="4" w:space="0"/>
              <w:left w:val="single" w:color="auto" w:sz="4" w:space="0"/>
              <w:bottom w:val="single" w:color="auto" w:sz="4" w:space="0"/>
              <w:right w:val="single" w:color="auto" w:sz="4" w:space="0"/>
            </w:tcBorders>
            <w:vAlign w:val="center"/>
          </w:tcPr>
          <w:p w14:paraId="21D53492">
            <w:pPr>
              <w:adjustRightInd w:val="0"/>
              <w:snapToGrid w:val="0"/>
              <w:spacing w:before="50" w:after="120" w:afterLines="50"/>
              <w:jc w:val="center"/>
              <w:rPr>
                <w:rFonts w:ascii="宋体" w:hAnsi="宋体" w:cs="宋体"/>
                <w:color w:val="auto"/>
                <w:sz w:val="24"/>
                <w:highlight w:val="none"/>
              </w:rPr>
            </w:pPr>
          </w:p>
        </w:tc>
        <w:tc>
          <w:tcPr>
            <w:tcW w:w="1437" w:type="dxa"/>
            <w:tcBorders>
              <w:top w:val="single" w:color="auto" w:sz="4" w:space="0"/>
              <w:left w:val="single" w:color="auto" w:sz="4" w:space="0"/>
              <w:bottom w:val="single" w:color="auto" w:sz="4" w:space="0"/>
              <w:right w:val="single" w:color="auto" w:sz="4" w:space="0"/>
            </w:tcBorders>
            <w:vAlign w:val="center"/>
          </w:tcPr>
          <w:p w14:paraId="27B13322">
            <w:pPr>
              <w:adjustRightInd w:val="0"/>
              <w:snapToGrid w:val="0"/>
              <w:spacing w:before="50" w:after="120" w:afterLines="50"/>
              <w:jc w:val="center"/>
              <w:rPr>
                <w:rFonts w:ascii="宋体" w:hAnsi="宋体" w:cs="宋体"/>
                <w:color w:val="auto"/>
                <w:sz w:val="24"/>
                <w:highlight w:val="none"/>
              </w:rPr>
            </w:pPr>
          </w:p>
        </w:tc>
      </w:tr>
      <w:tr w14:paraId="40FB77BE">
        <w:tblPrEx>
          <w:tblCellMar>
            <w:top w:w="0" w:type="dxa"/>
            <w:left w:w="108" w:type="dxa"/>
            <w:bottom w:w="0" w:type="dxa"/>
            <w:right w:w="108" w:type="dxa"/>
          </w:tblCellMar>
        </w:tblPrEx>
        <w:trPr>
          <w:trHeight w:val="77" w:hRule="atLeast"/>
        </w:trPr>
        <w:tc>
          <w:tcPr>
            <w:tcW w:w="1741" w:type="dxa"/>
            <w:tcBorders>
              <w:top w:val="single" w:color="auto" w:sz="4" w:space="0"/>
              <w:left w:val="single" w:color="auto" w:sz="4" w:space="0"/>
              <w:bottom w:val="single" w:color="auto" w:sz="4" w:space="0"/>
              <w:right w:val="single" w:color="auto" w:sz="4" w:space="0"/>
            </w:tcBorders>
            <w:vAlign w:val="center"/>
          </w:tcPr>
          <w:p w14:paraId="795719AA">
            <w:pPr>
              <w:adjustRightInd w:val="0"/>
              <w:snapToGrid w:val="0"/>
              <w:spacing w:before="50" w:after="120" w:afterLines="50"/>
              <w:jc w:val="center"/>
              <w:rPr>
                <w:rFonts w:ascii="宋体" w:hAnsi="宋体" w:cs="宋体"/>
                <w:color w:val="auto"/>
                <w:sz w:val="24"/>
                <w:highlight w:val="none"/>
              </w:rPr>
            </w:pPr>
          </w:p>
        </w:tc>
        <w:tc>
          <w:tcPr>
            <w:tcW w:w="1797" w:type="dxa"/>
            <w:tcBorders>
              <w:top w:val="single" w:color="auto" w:sz="4" w:space="0"/>
              <w:left w:val="single" w:color="auto" w:sz="4" w:space="0"/>
              <w:bottom w:val="single" w:color="auto" w:sz="4" w:space="0"/>
              <w:right w:val="single" w:color="auto" w:sz="4" w:space="0"/>
            </w:tcBorders>
            <w:vAlign w:val="center"/>
          </w:tcPr>
          <w:p w14:paraId="5A4825E4">
            <w:pPr>
              <w:adjustRightInd w:val="0"/>
              <w:snapToGrid w:val="0"/>
              <w:spacing w:before="50" w:after="120" w:afterLines="50"/>
              <w:jc w:val="center"/>
              <w:rPr>
                <w:rFonts w:ascii="宋体" w:hAnsi="宋体" w:cs="宋体"/>
                <w:color w:val="auto"/>
                <w:sz w:val="24"/>
                <w:highlight w:val="none"/>
              </w:rPr>
            </w:pPr>
          </w:p>
        </w:tc>
        <w:tc>
          <w:tcPr>
            <w:tcW w:w="1825" w:type="dxa"/>
            <w:tcBorders>
              <w:top w:val="single" w:color="auto" w:sz="4" w:space="0"/>
              <w:left w:val="single" w:color="auto" w:sz="4" w:space="0"/>
              <w:bottom w:val="single" w:color="auto" w:sz="4" w:space="0"/>
              <w:right w:val="single" w:color="auto" w:sz="4" w:space="0"/>
            </w:tcBorders>
            <w:vAlign w:val="center"/>
          </w:tcPr>
          <w:p w14:paraId="5306375A">
            <w:pPr>
              <w:adjustRightInd w:val="0"/>
              <w:snapToGrid w:val="0"/>
              <w:spacing w:before="50" w:after="120" w:afterLines="50"/>
              <w:jc w:val="center"/>
              <w:rPr>
                <w:rFonts w:ascii="宋体" w:hAnsi="宋体" w:cs="宋体"/>
                <w:color w:val="auto"/>
                <w:sz w:val="24"/>
                <w:highlight w:val="none"/>
              </w:rPr>
            </w:pPr>
          </w:p>
        </w:tc>
        <w:tc>
          <w:tcPr>
            <w:tcW w:w="1614" w:type="dxa"/>
            <w:tcBorders>
              <w:top w:val="single" w:color="auto" w:sz="4" w:space="0"/>
              <w:left w:val="single" w:color="auto" w:sz="4" w:space="0"/>
              <w:bottom w:val="single" w:color="auto" w:sz="4" w:space="0"/>
              <w:right w:val="single" w:color="auto" w:sz="4" w:space="0"/>
            </w:tcBorders>
            <w:vAlign w:val="center"/>
          </w:tcPr>
          <w:p w14:paraId="453EF2A4">
            <w:pPr>
              <w:adjustRightInd w:val="0"/>
              <w:snapToGrid w:val="0"/>
              <w:spacing w:before="50" w:after="120" w:afterLines="50"/>
              <w:jc w:val="center"/>
              <w:rPr>
                <w:rFonts w:ascii="宋体" w:hAnsi="宋体" w:cs="宋体"/>
                <w:color w:val="auto"/>
                <w:sz w:val="24"/>
                <w:highlight w:val="none"/>
              </w:rPr>
            </w:pPr>
          </w:p>
        </w:tc>
        <w:tc>
          <w:tcPr>
            <w:tcW w:w="1438" w:type="dxa"/>
            <w:tcBorders>
              <w:top w:val="single" w:color="auto" w:sz="4" w:space="0"/>
              <w:left w:val="single" w:color="auto" w:sz="4" w:space="0"/>
              <w:bottom w:val="single" w:color="auto" w:sz="4" w:space="0"/>
              <w:right w:val="single" w:color="auto" w:sz="4" w:space="0"/>
            </w:tcBorders>
            <w:vAlign w:val="center"/>
          </w:tcPr>
          <w:p w14:paraId="0AA6C278">
            <w:pPr>
              <w:adjustRightInd w:val="0"/>
              <w:snapToGrid w:val="0"/>
              <w:spacing w:before="50" w:after="120" w:afterLines="50"/>
              <w:jc w:val="center"/>
              <w:rPr>
                <w:rFonts w:ascii="宋体" w:hAnsi="宋体" w:cs="宋体"/>
                <w:color w:val="auto"/>
                <w:sz w:val="24"/>
                <w:highlight w:val="none"/>
              </w:rPr>
            </w:pPr>
          </w:p>
        </w:tc>
        <w:tc>
          <w:tcPr>
            <w:tcW w:w="1437" w:type="dxa"/>
            <w:tcBorders>
              <w:top w:val="single" w:color="auto" w:sz="4" w:space="0"/>
              <w:left w:val="single" w:color="auto" w:sz="4" w:space="0"/>
              <w:bottom w:val="single" w:color="auto" w:sz="4" w:space="0"/>
              <w:right w:val="single" w:color="auto" w:sz="4" w:space="0"/>
            </w:tcBorders>
            <w:vAlign w:val="center"/>
          </w:tcPr>
          <w:p w14:paraId="7038DA6B">
            <w:pPr>
              <w:adjustRightInd w:val="0"/>
              <w:snapToGrid w:val="0"/>
              <w:spacing w:before="50" w:after="120" w:afterLines="50"/>
              <w:jc w:val="center"/>
              <w:rPr>
                <w:rFonts w:ascii="宋体" w:hAnsi="宋体" w:cs="宋体"/>
                <w:color w:val="auto"/>
                <w:sz w:val="24"/>
                <w:highlight w:val="none"/>
              </w:rPr>
            </w:pPr>
          </w:p>
        </w:tc>
      </w:tr>
      <w:tr w14:paraId="2EB09DD6">
        <w:tblPrEx>
          <w:tblCellMar>
            <w:top w:w="0" w:type="dxa"/>
            <w:left w:w="108" w:type="dxa"/>
            <w:bottom w:w="0" w:type="dxa"/>
            <w:right w:w="108" w:type="dxa"/>
          </w:tblCellMar>
        </w:tblPrEx>
        <w:trPr>
          <w:trHeight w:val="77" w:hRule="atLeast"/>
        </w:trPr>
        <w:tc>
          <w:tcPr>
            <w:tcW w:w="1741" w:type="dxa"/>
            <w:tcBorders>
              <w:top w:val="single" w:color="auto" w:sz="4" w:space="0"/>
              <w:left w:val="single" w:color="auto" w:sz="4" w:space="0"/>
              <w:bottom w:val="single" w:color="auto" w:sz="4" w:space="0"/>
              <w:right w:val="single" w:color="auto" w:sz="4" w:space="0"/>
            </w:tcBorders>
            <w:vAlign w:val="center"/>
          </w:tcPr>
          <w:p w14:paraId="3D895065">
            <w:pPr>
              <w:adjustRightInd w:val="0"/>
              <w:snapToGrid w:val="0"/>
              <w:spacing w:before="50" w:after="120" w:afterLines="50"/>
              <w:jc w:val="center"/>
              <w:rPr>
                <w:rFonts w:ascii="宋体" w:hAnsi="宋体" w:cs="宋体"/>
                <w:color w:val="auto"/>
                <w:sz w:val="24"/>
                <w:highlight w:val="none"/>
              </w:rPr>
            </w:pPr>
          </w:p>
        </w:tc>
        <w:tc>
          <w:tcPr>
            <w:tcW w:w="1797" w:type="dxa"/>
            <w:tcBorders>
              <w:top w:val="single" w:color="auto" w:sz="4" w:space="0"/>
              <w:left w:val="single" w:color="auto" w:sz="4" w:space="0"/>
              <w:bottom w:val="single" w:color="auto" w:sz="4" w:space="0"/>
              <w:right w:val="single" w:color="auto" w:sz="4" w:space="0"/>
            </w:tcBorders>
            <w:vAlign w:val="center"/>
          </w:tcPr>
          <w:p w14:paraId="7F1160E6">
            <w:pPr>
              <w:adjustRightInd w:val="0"/>
              <w:snapToGrid w:val="0"/>
              <w:spacing w:before="50" w:after="120" w:afterLines="50"/>
              <w:jc w:val="center"/>
              <w:rPr>
                <w:rFonts w:ascii="宋体" w:hAnsi="宋体" w:cs="宋体"/>
                <w:color w:val="auto"/>
                <w:sz w:val="24"/>
                <w:highlight w:val="none"/>
              </w:rPr>
            </w:pPr>
          </w:p>
        </w:tc>
        <w:tc>
          <w:tcPr>
            <w:tcW w:w="1825" w:type="dxa"/>
            <w:tcBorders>
              <w:top w:val="single" w:color="auto" w:sz="4" w:space="0"/>
              <w:left w:val="single" w:color="auto" w:sz="4" w:space="0"/>
              <w:bottom w:val="single" w:color="auto" w:sz="4" w:space="0"/>
              <w:right w:val="single" w:color="auto" w:sz="4" w:space="0"/>
            </w:tcBorders>
            <w:vAlign w:val="center"/>
          </w:tcPr>
          <w:p w14:paraId="62050B63">
            <w:pPr>
              <w:adjustRightInd w:val="0"/>
              <w:snapToGrid w:val="0"/>
              <w:spacing w:before="50" w:after="120" w:afterLines="50"/>
              <w:jc w:val="center"/>
              <w:rPr>
                <w:rFonts w:ascii="宋体" w:hAnsi="宋体" w:cs="宋体"/>
                <w:color w:val="auto"/>
                <w:sz w:val="24"/>
                <w:highlight w:val="none"/>
              </w:rPr>
            </w:pPr>
          </w:p>
        </w:tc>
        <w:tc>
          <w:tcPr>
            <w:tcW w:w="1614" w:type="dxa"/>
            <w:tcBorders>
              <w:top w:val="single" w:color="auto" w:sz="4" w:space="0"/>
              <w:left w:val="single" w:color="auto" w:sz="4" w:space="0"/>
              <w:bottom w:val="single" w:color="auto" w:sz="4" w:space="0"/>
              <w:right w:val="single" w:color="auto" w:sz="4" w:space="0"/>
            </w:tcBorders>
            <w:vAlign w:val="center"/>
          </w:tcPr>
          <w:p w14:paraId="2A2B0B3E">
            <w:pPr>
              <w:adjustRightInd w:val="0"/>
              <w:snapToGrid w:val="0"/>
              <w:spacing w:before="50" w:after="120" w:afterLines="50"/>
              <w:jc w:val="center"/>
              <w:rPr>
                <w:rFonts w:ascii="宋体" w:hAnsi="宋体" w:cs="宋体"/>
                <w:color w:val="auto"/>
                <w:sz w:val="24"/>
                <w:highlight w:val="none"/>
              </w:rPr>
            </w:pPr>
          </w:p>
        </w:tc>
        <w:tc>
          <w:tcPr>
            <w:tcW w:w="1438" w:type="dxa"/>
            <w:tcBorders>
              <w:top w:val="single" w:color="auto" w:sz="4" w:space="0"/>
              <w:left w:val="single" w:color="auto" w:sz="4" w:space="0"/>
              <w:bottom w:val="single" w:color="auto" w:sz="4" w:space="0"/>
              <w:right w:val="single" w:color="auto" w:sz="4" w:space="0"/>
            </w:tcBorders>
            <w:vAlign w:val="center"/>
          </w:tcPr>
          <w:p w14:paraId="6D8DFD16">
            <w:pPr>
              <w:adjustRightInd w:val="0"/>
              <w:snapToGrid w:val="0"/>
              <w:spacing w:before="50" w:after="120" w:afterLines="50"/>
              <w:jc w:val="center"/>
              <w:rPr>
                <w:rFonts w:ascii="宋体" w:hAnsi="宋体" w:cs="宋体"/>
                <w:color w:val="auto"/>
                <w:sz w:val="24"/>
                <w:highlight w:val="none"/>
              </w:rPr>
            </w:pPr>
          </w:p>
        </w:tc>
        <w:tc>
          <w:tcPr>
            <w:tcW w:w="1437" w:type="dxa"/>
            <w:tcBorders>
              <w:top w:val="single" w:color="auto" w:sz="4" w:space="0"/>
              <w:left w:val="single" w:color="auto" w:sz="4" w:space="0"/>
              <w:bottom w:val="single" w:color="auto" w:sz="4" w:space="0"/>
              <w:right w:val="single" w:color="auto" w:sz="4" w:space="0"/>
            </w:tcBorders>
            <w:vAlign w:val="center"/>
          </w:tcPr>
          <w:p w14:paraId="1760B45D">
            <w:pPr>
              <w:adjustRightInd w:val="0"/>
              <w:snapToGrid w:val="0"/>
              <w:spacing w:before="50" w:after="120" w:afterLines="50"/>
              <w:jc w:val="center"/>
              <w:rPr>
                <w:rFonts w:ascii="宋体" w:hAnsi="宋体" w:cs="宋体"/>
                <w:color w:val="auto"/>
                <w:sz w:val="24"/>
                <w:highlight w:val="none"/>
              </w:rPr>
            </w:pPr>
          </w:p>
        </w:tc>
      </w:tr>
      <w:tr w14:paraId="71D6A167">
        <w:tblPrEx>
          <w:tblCellMar>
            <w:top w:w="0" w:type="dxa"/>
            <w:left w:w="108" w:type="dxa"/>
            <w:bottom w:w="0" w:type="dxa"/>
            <w:right w:w="108" w:type="dxa"/>
          </w:tblCellMar>
        </w:tblPrEx>
        <w:trPr>
          <w:trHeight w:val="77" w:hRule="atLeast"/>
        </w:trPr>
        <w:tc>
          <w:tcPr>
            <w:tcW w:w="1741" w:type="dxa"/>
            <w:tcBorders>
              <w:top w:val="single" w:color="auto" w:sz="4" w:space="0"/>
              <w:left w:val="single" w:color="auto" w:sz="4" w:space="0"/>
              <w:bottom w:val="single" w:color="auto" w:sz="4" w:space="0"/>
              <w:right w:val="single" w:color="auto" w:sz="4" w:space="0"/>
            </w:tcBorders>
            <w:vAlign w:val="center"/>
          </w:tcPr>
          <w:p w14:paraId="2F85C697">
            <w:pPr>
              <w:adjustRightInd w:val="0"/>
              <w:snapToGrid w:val="0"/>
              <w:spacing w:before="50" w:after="120" w:afterLines="50"/>
              <w:jc w:val="center"/>
              <w:rPr>
                <w:rFonts w:ascii="宋体" w:hAnsi="宋体" w:cs="宋体"/>
                <w:color w:val="auto"/>
                <w:sz w:val="24"/>
                <w:highlight w:val="none"/>
              </w:rPr>
            </w:pPr>
          </w:p>
        </w:tc>
        <w:tc>
          <w:tcPr>
            <w:tcW w:w="1797" w:type="dxa"/>
            <w:tcBorders>
              <w:top w:val="single" w:color="auto" w:sz="4" w:space="0"/>
              <w:left w:val="single" w:color="auto" w:sz="4" w:space="0"/>
              <w:bottom w:val="single" w:color="auto" w:sz="4" w:space="0"/>
              <w:right w:val="single" w:color="auto" w:sz="4" w:space="0"/>
            </w:tcBorders>
            <w:vAlign w:val="center"/>
          </w:tcPr>
          <w:p w14:paraId="711CA05B">
            <w:pPr>
              <w:adjustRightInd w:val="0"/>
              <w:snapToGrid w:val="0"/>
              <w:spacing w:before="50" w:after="120" w:afterLines="50"/>
              <w:jc w:val="center"/>
              <w:rPr>
                <w:rFonts w:ascii="宋体" w:hAnsi="宋体" w:cs="宋体"/>
                <w:color w:val="auto"/>
                <w:sz w:val="24"/>
                <w:highlight w:val="none"/>
              </w:rPr>
            </w:pPr>
          </w:p>
        </w:tc>
        <w:tc>
          <w:tcPr>
            <w:tcW w:w="1825" w:type="dxa"/>
            <w:tcBorders>
              <w:top w:val="single" w:color="auto" w:sz="4" w:space="0"/>
              <w:left w:val="single" w:color="auto" w:sz="4" w:space="0"/>
              <w:bottom w:val="single" w:color="auto" w:sz="4" w:space="0"/>
              <w:right w:val="single" w:color="auto" w:sz="4" w:space="0"/>
            </w:tcBorders>
            <w:vAlign w:val="center"/>
          </w:tcPr>
          <w:p w14:paraId="5D0C0918">
            <w:pPr>
              <w:adjustRightInd w:val="0"/>
              <w:snapToGrid w:val="0"/>
              <w:spacing w:before="50" w:after="120" w:afterLines="50"/>
              <w:jc w:val="center"/>
              <w:rPr>
                <w:rFonts w:ascii="宋体" w:hAnsi="宋体" w:cs="宋体"/>
                <w:color w:val="auto"/>
                <w:sz w:val="24"/>
                <w:highlight w:val="none"/>
              </w:rPr>
            </w:pPr>
          </w:p>
        </w:tc>
        <w:tc>
          <w:tcPr>
            <w:tcW w:w="1614" w:type="dxa"/>
            <w:tcBorders>
              <w:top w:val="single" w:color="auto" w:sz="4" w:space="0"/>
              <w:left w:val="single" w:color="auto" w:sz="4" w:space="0"/>
              <w:bottom w:val="single" w:color="auto" w:sz="4" w:space="0"/>
              <w:right w:val="single" w:color="auto" w:sz="4" w:space="0"/>
            </w:tcBorders>
            <w:vAlign w:val="center"/>
          </w:tcPr>
          <w:p w14:paraId="7E631F5A">
            <w:pPr>
              <w:adjustRightInd w:val="0"/>
              <w:snapToGrid w:val="0"/>
              <w:spacing w:before="50" w:after="120" w:afterLines="50"/>
              <w:jc w:val="center"/>
              <w:rPr>
                <w:rFonts w:ascii="宋体" w:hAnsi="宋体" w:cs="宋体"/>
                <w:color w:val="auto"/>
                <w:sz w:val="24"/>
                <w:highlight w:val="none"/>
              </w:rPr>
            </w:pPr>
          </w:p>
        </w:tc>
        <w:tc>
          <w:tcPr>
            <w:tcW w:w="1438" w:type="dxa"/>
            <w:tcBorders>
              <w:top w:val="single" w:color="auto" w:sz="4" w:space="0"/>
              <w:left w:val="single" w:color="auto" w:sz="4" w:space="0"/>
              <w:bottom w:val="single" w:color="auto" w:sz="4" w:space="0"/>
              <w:right w:val="single" w:color="auto" w:sz="4" w:space="0"/>
            </w:tcBorders>
            <w:vAlign w:val="center"/>
          </w:tcPr>
          <w:p w14:paraId="3926A467">
            <w:pPr>
              <w:adjustRightInd w:val="0"/>
              <w:snapToGrid w:val="0"/>
              <w:spacing w:before="50" w:after="120" w:afterLines="50"/>
              <w:jc w:val="center"/>
              <w:rPr>
                <w:rFonts w:ascii="宋体" w:hAnsi="宋体" w:cs="宋体"/>
                <w:color w:val="auto"/>
                <w:sz w:val="24"/>
                <w:highlight w:val="none"/>
              </w:rPr>
            </w:pPr>
          </w:p>
        </w:tc>
        <w:tc>
          <w:tcPr>
            <w:tcW w:w="1437" w:type="dxa"/>
            <w:tcBorders>
              <w:top w:val="single" w:color="auto" w:sz="4" w:space="0"/>
              <w:left w:val="single" w:color="auto" w:sz="4" w:space="0"/>
              <w:bottom w:val="single" w:color="auto" w:sz="4" w:space="0"/>
              <w:right w:val="single" w:color="auto" w:sz="4" w:space="0"/>
            </w:tcBorders>
            <w:vAlign w:val="center"/>
          </w:tcPr>
          <w:p w14:paraId="334147E9">
            <w:pPr>
              <w:adjustRightInd w:val="0"/>
              <w:snapToGrid w:val="0"/>
              <w:spacing w:before="50" w:after="120" w:afterLines="50"/>
              <w:jc w:val="center"/>
              <w:rPr>
                <w:rFonts w:ascii="宋体" w:hAnsi="宋体" w:cs="宋体"/>
                <w:color w:val="auto"/>
                <w:sz w:val="24"/>
                <w:highlight w:val="none"/>
              </w:rPr>
            </w:pPr>
          </w:p>
        </w:tc>
      </w:tr>
      <w:tr w14:paraId="6B7FBFC6">
        <w:tblPrEx>
          <w:tblCellMar>
            <w:top w:w="0" w:type="dxa"/>
            <w:left w:w="108" w:type="dxa"/>
            <w:bottom w:w="0" w:type="dxa"/>
            <w:right w:w="108" w:type="dxa"/>
          </w:tblCellMar>
        </w:tblPrEx>
        <w:trPr>
          <w:trHeight w:val="77" w:hRule="atLeast"/>
        </w:trPr>
        <w:tc>
          <w:tcPr>
            <w:tcW w:w="1741" w:type="dxa"/>
            <w:tcBorders>
              <w:top w:val="single" w:color="auto" w:sz="4" w:space="0"/>
              <w:left w:val="single" w:color="auto" w:sz="4" w:space="0"/>
              <w:bottom w:val="single" w:color="auto" w:sz="4" w:space="0"/>
              <w:right w:val="single" w:color="auto" w:sz="4" w:space="0"/>
            </w:tcBorders>
            <w:vAlign w:val="center"/>
          </w:tcPr>
          <w:p w14:paraId="35D48DD9">
            <w:pPr>
              <w:adjustRightInd w:val="0"/>
              <w:snapToGrid w:val="0"/>
              <w:spacing w:before="50" w:after="120" w:afterLines="50"/>
              <w:jc w:val="center"/>
              <w:rPr>
                <w:rFonts w:ascii="宋体" w:hAnsi="宋体" w:cs="宋体"/>
                <w:color w:val="auto"/>
                <w:sz w:val="24"/>
                <w:highlight w:val="none"/>
              </w:rPr>
            </w:pPr>
          </w:p>
        </w:tc>
        <w:tc>
          <w:tcPr>
            <w:tcW w:w="1797" w:type="dxa"/>
            <w:tcBorders>
              <w:top w:val="single" w:color="auto" w:sz="4" w:space="0"/>
              <w:left w:val="single" w:color="auto" w:sz="4" w:space="0"/>
              <w:bottom w:val="single" w:color="auto" w:sz="4" w:space="0"/>
              <w:right w:val="single" w:color="auto" w:sz="4" w:space="0"/>
            </w:tcBorders>
            <w:vAlign w:val="center"/>
          </w:tcPr>
          <w:p w14:paraId="79A73C20">
            <w:pPr>
              <w:adjustRightInd w:val="0"/>
              <w:snapToGrid w:val="0"/>
              <w:spacing w:before="50" w:after="120" w:afterLines="50"/>
              <w:jc w:val="center"/>
              <w:rPr>
                <w:rFonts w:ascii="宋体" w:hAnsi="宋体" w:cs="宋体"/>
                <w:color w:val="auto"/>
                <w:sz w:val="24"/>
                <w:highlight w:val="none"/>
              </w:rPr>
            </w:pPr>
          </w:p>
        </w:tc>
        <w:tc>
          <w:tcPr>
            <w:tcW w:w="1825" w:type="dxa"/>
            <w:tcBorders>
              <w:top w:val="single" w:color="auto" w:sz="4" w:space="0"/>
              <w:left w:val="single" w:color="auto" w:sz="4" w:space="0"/>
              <w:bottom w:val="single" w:color="auto" w:sz="4" w:space="0"/>
              <w:right w:val="single" w:color="auto" w:sz="4" w:space="0"/>
            </w:tcBorders>
            <w:vAlign w:val="center"/>
          </w:tcPr>
          <w:p w14:paraId="6D36EA47">
            <w:pPr>
              <w:adjustRightInd w:val="0"/>
              <w:snapToGrid w:val="0"/>
              <w:spacing w:before="50" w:after="120" w:afterLines="50"/>
              <w:jc w:val="center"/>
              <w:rPr>
                <w:rFonts w:ascii="宋体" w:hAnsi="宋体" w:cs="宋体"/>
                <w:color w:val="auto"/>
                <w:sz w:val="24"/>
                <w:highlight w:val="none"/>
              </w:rPr>
            </w:pPr>
          </w:p>
        </w:tc>
        <w:tc>
          <w:tcPr>
            <w:tcW w:w="1614" w:type="dxa"/>
            <w:tcBorders>
              <w:top w:val="single" w:color="auto" w:sz="4" w:space="0"/>
              <w:left w:val="single" w:color="auto" w:sz="4" w:space="0"/>
              <w:bottom w:val="single" w:color="auto" w:sz="4" w:space="0"/>
              <w:right w:val="single" w:color="auto" w:sz="4" w:space="0"/>
            </w:tcBorders>
            <w:vAlign w:val="center"/>
          </w:tcPr>
          <w:p w14:paraId="43212ED7">
            <w:pPr>
              <w:adjustRightInd w:val="0"/>
              <w:snapToGrid w:val="0"/>
              <w:spacing w:before="50" w:after="120" w:afterLines="50"/>
              <w:jc w:val="center"/>
              <w:rPr>
                <w:rFonts w:ascii="宋体" w:hAnsi="宋体" w:cs="宋体"/>
                <w:color w:val="auto"/>
                <w:sz w:val="24"/>
                <w:highlight w:val="none"/>
              </w:rPr>
            </w:pPr>
          </w:p>
        </w:tc>
        <w:tc>
          <w:tcPr>
            <w:tcW w:w="1438" w:type="dxa"/>
            <w:tcBorders>
              <w:top w:val="single" w:color="auto" w:sz="4" w:space="0"/>
              <w:left w:val="single" w:color="auto" w:sz="4" w:space="0"/>
              <w:bottom w:val="single" w:color="auto" w:sz="4" w:space="0"/>
              <w:right w:val="single" w:color="auto" w:sz="4" w:space="0"/>
            </w:tcBorders>
            <w:vAlign w:val="center"/>
          </w:tcPr>
          <w:p w14:paraId="5726C90C">
            <w:pPr>
              <w:adjustRightInd w:val="0"/>
              <w:snapToGrid w:val="0"/>
              <w:spacing w:before="50" w:after="120" w:afterLines="50"/>
              <w:jc w:val="center"/>
              <w:rPr>
                <w:rFonts w:ascii="宋体" w:hAnsi="宋体" w:cs="宋体"/>
                <w:color w:val="auto"/>
                <w:sz w:val="24"/>
                <w:highlight w:val="none"/>
              </w:rPr>
            </w:pPr>
          </w:p>
        </w:tc>
        <w:tc>
          <w:tcPr>
            <w:tcW w:w="1437" w:type="dxa"/>
            <w:tcBorders>
              <w:top w:val="single" w:color="auto" w:sz="4" w:space="0"/>
              <w:left w:val="single" w:color="auto" w:sz="4" w:space="0"/>
              <w:bottom w:val="single" w:color="auto" w:sz="4" w:space="0"/>
              <w:right w:val="single" w:color="auto" w:sz="4" w:space="0"/>
            </w:tcBorders>
            <w:vAlign w:val="center"/>
          </w:tcPr>
          <w:p w14:paraId="506BC1E8">
            <w:pPr>
              <w:adjustRightInd w:val="0"/>
              <w:snapToGrid w:val="0"/>
              <w:spacing w:before="50" w:after="120" w:afterLines="50"/>
              <w:jc w:val="center"/>
              <w:rPr>
                <w:rFonts w:ascii="宋体" w:hAnsi="宋体" w:cs="宋体"/>
                <w:color w:val="auto"/>
                <w:sz w:val="24"/>
                <w:highlight w:val="none"/>
              </w:rPr>
            </w:pPr>
          </w:p>
        </w:tc>
      </w:tr>
      <w:tr w14:paraId="324336F6">
        <w:tblPrEx>
          <w:tblCellMar>
            <w:top w:w="0" w:type="dxa"/>
            <w:left w:w="108" w:type="dxa"/>
            <w:bottom w:w="0" w:type="dxa"/>
            <w:right w:w="108" w:type="dxa"/>
          </w:tblCellMar>
        </w:tblPrEx>
        <w:trPr>
          <w:trHeight w:val="77" w:hRule="atLeast"/>
        </w:trPr>
        <w:tc>
          <w:tcPr>
            <w:tcW w:w="1741" w:type="dxa"/>
            <w:tcBorders>
              <w:top w:val="single" w:color="auto" w:sz="4" w:space="0"/>
              <w:left w:val="single" w:color="auto" w:sz="4" w:space="0"/>
              <w:bottom w:val="single" w:color="auto" w:sz="4" w:space="0"/>
              <w:right w:val="single" w:color="auto" w:sz="4" w:space="0"/>
            </w:tcBorders>
            <w:vAlign w:val="center"/>
          </w:tcPr>
          <w:p w14:paraId="32474347">
            <w:pPr>
              <w:adjustRightInd w:val="0"/>
              <w:snapToGrid w:val="0"/>
              <w:spacing w:before="50" w:after="120" w:afterLines="50"/>
              <w:jc w:val="center"/>
              <w:rPr>
                <w:rFonts w:ascii="宋体" w:hAnsi="宋体" w:cs="宋体"/>
                <w:color w:val="auto"/>
                <w:sz w:val="24"/>
                <w:highlight w:val="none"/>
              </w:rPr>
            </w:pPr>
          </w:p>
        </w:tc>
        <w:tc>
          <w:tcPr>
            <w:tcW w:w="1797" w:type="dxa"/>
            <w:tcBorders>
              <w:top w:val="single" w:color="auto" w:sz="4" w:space="0"/>
              <w:left w:val="single" w:color="auto" w:sz="4" w:space="0"/>
              <w:bottom w:val="single" w:color="auto" w:sz="4" w:space="0"/>
              <w:right w:val="single" w:color="auto" w:sz="4" w:space="0"/>
            </w:tcBorders>
            <w:vAlign w:val="center"/>
          </w:tcPr>
          <w:p w14:paraId="53DB9D83">
            <w:pPr>
              <w:adjustRightInd w:val="0"/>
              <w:snapToGrid w:val="0"/>
              <w:spacing w:before="50" w:after="120" w:afterLines="50"/>
              <w:jc w:val="center"/>
              <w:rPr>
                <w:rFonts w:ascii="宋体" w:hAnsi="宋体" w:cs="宋体"/>
                <w:color w:val="auto"/>
                <w:sz w:val="24"/>
                <w:highlight w:val="none"/>
              </w:rPr>
            </w:pPr>
          </w:p>
        </w:tc>
        <w:tc>
          <w:tcPr>
            <w:tcW w:w="1825" w:type="dxa"/>
            <w:tcBorders>
              <w:top w:val="single" w:color="auto" w:sz="4" w:space="0"/>
              <w:left w:val="single" w:color="auto" w:sz="4" w:space="0"/>
              <w:bottom w:val="single" w:color="auto" w:sz="4" w:space="0"/>
              <w:right w:val="single" w:color="auto" w:sz="4" w:space="0"/>
            </w:tcBorders>
            <w:vAlign w:val="center"/>
          </w:tcPr>
          <w:p w14:paraId="72323651">
            <w:pPr>
              <w:adjustRightInd w:val="0"/>
              <w:snapToGrid w:val="0"/>
              <w:spacing w:before="50" w:after="120" w:afterLines="50"/>
              <w:jc w:val="center"/>
              <w:rPr>
                <w:rFonts w:ascii="宋体" w:hAnsi="宋体" w:cs="宋体"/>
                <w:color w:val="auto"/>
                <w:sz w:val="24"/>
                <w:highlight w:val="none"/>
              </w:rPr>
            </w:pPr>
          </w:p>
        </w:tc>
        <w:tc>
          <w:tcPr>
            <w:tcW w:w="1614" w:type="dxa"/>
            <w:tcBorders>
              <w:top w:val="single" w:color="auto" w:sz="4" w:space="0"/>
              <w:left w:val="single" w:color="auto" w:sz="4" w:space="0"/>
              <w:bottom w:val="single" w:color="auto" w:sz="4" w:space="0"/>
              <w:right w:val="single" w:color="auto" w:sz="4" w:space="0"/>
            </w:tcBorders>
            <w:vAlign w:val="center"/>
          </w:tcPr>
          <w:p w14:paraId="4E9C502C">
            <w:pPr>
              <w:adjustRightInd w:val="0"/>
              <w:snapToGrid w:val="0"/>
              <w:spacing w:before="50" w:after="120" w:afterLines="50"/>
              <w:jc w:val="center"/>
              <w:rPr>
                <w:rFonts w:ascii="宋体" w:hAnsi="宋体" w:cs="宋体"/>
                <w:color w:val="auto"/>
                <w:sz w:val="24"/>
                <w:highlight w:val="none"/>
              </w:rPr>
            </w:pPr>
          </w:p>
        </w:tc>
        <w:tc>
          <w:tcPr>
            <w:tcW w:w="1438" w:type="dxa"/>
            <w:tcBorders>
              <w:top w:val="single" w:color="auto" w:sz="4" w:space="0"/>
              <w:left w:val="single" w:color="auto" w:sz="4" w:space="0"/>
              <w:bottom w:val="single" w:color="auto" w:sz="4" w:space="0"/>
              <w:right w:val="single" w:color="auto" w:sz="4" w:space="0"/>
            </w:tcBorders>
            <w:vAlign w:val="center"/>
          </w:tcPr>
          <w:p w14:paraId="76C9A1CD">
            <w:pPr>
              <w:adjustRightInd w:val="0"/>
              <w:snapToGrid w:val="0"/>
              <w:spacing w:before="50" w:after="120" w:afterLines="50"/>
              <w:jc w:val="center"/>
              <w:rPr>
                <w:rFonts w:ascii="宋体" w:hAnsi="宋体" w:cs="宋体"/>
                <w:color w:val="auto"/>
                <w:sz w:val="24"/>
                <w:highlight w:val="none"/>
              </w:rPr>
            </w:pPr>
          </w:p>
        </w:tc>
        <w:tc>
          <w:tcPr>
            <w:tcW w:w="1437" w:type="dxa"/>
            <w:tcBorders>
              <w:top w:val="single" w:color="auto" w:sz="4" w:space="0"/>
              <w:left w:val="single" w:color="auto" w:sz="4" w:space="0"/>
              <w:bottom w:val="single" w:color="auto" w:sz="4" w:space="0"/>
              <w:right w:val="single" w:color="auto" w:sz="4" w:space="0"/>
            </w:tcBorders>
            <w:vAlign w:val="center"/>
          </w:tcPr>
          <w:p w14:paraId="22094611">
            <w:pPr>
              <w:adjustRightInd w:val="0"/>
              <w:snapToGrid w:val="0"/>
              <w:spacing w:before="50" w:after="120" w:afterLines="50"/>
              <w:jc w:val="center"/>
              <w:rPr>
                <w:rFonts w:ascii="宋体" w:hAnsi="宋体" w:cs="宋体"/>
                <w:color w:val="auto"/>
                <w:sz w:val="24"/>
                <w:highlight w:val="none"/>
              </w:rPr>
            </w:pPr>
          </w:p>
        </w:tc>
      </w:tr>
      <w:tr w14:paraId="54DA4427">
        <w:tblPrEx>
          <w:tblCellMar>
            <w:top w:w="0" w:type="dxa"/>
            <w:left w:w="108" w:type="dxa"/>
            <w:bottom w:w="0" w:type="dxa"/>
            <w:right w:w="108" w:type="dxa"/>
          </w:tblCellMar>
        </w:tblPrEx>
        <w:trPr>
          <w:trHeight w:val="77" w:hRule="atLeast"/>
        </w:trPr>
        <w:tc>
          <w:tcPr>
            <w:tcW w:w="1741" w:type="dxa"/>
            <w:tcBorders>
              <w:top w:val="single" w:color="auto" w:sz="4" w:space="0"/>
              <w:left w:val="single" w:color="auto" w:sz="4" w:space="0"/>
              <w:bottom w:val="single" w:color="auto" w:sz="4" w:space="0"/>
              <w:right w:val="single" w:color="auto" w:sz="4" w:space="0"/>
            </w:tcBorders>
            <w:vAlign w:val="center"/>
          </w:tcPr>
          <w:p w14:paraId="500FEEFE">
            <w:pPr>
              <w:adjustRightInd w:val="0"/>
              <w:snapToGrid w:val="0"/>
              <w:spacing w:before="50" w:after="120" w:afterLines="50"/>
              <w:jc w:val="center"/>
              <w:rPr>
                <w:rFonts w:ascii="宋体" w:hAnsi="宋体" w:cs="宋体"/>
                <w:color w:val="auto"/>
                <w:sz w:val="24"/>
                <w:highlight w:val="none"/>
              </w:rPr>
            </w:pPr>
          </w:p>
        </w:tc>
        <w:tc>
          <w:tcPr>
            <w:tcW w:w="1797" w:type="dxa"/>
            <w:tcBorders>
              <w:top w:val="single" w:color="auto" w:sz="4" w:space="0"/>
              <w:left w:val="single" w:color="auto" w:sz="4" w:space="0"/>
              <w:bottom w:val="single" w:color="auto" w:sz="4" w:space="0"/>
              <w:right w:val="single" w:color="auto" w:sz="4" w:space="0"/>
            </w:tcBorders>
            <w:vAlign w:val="center"/>
          </w:tcPr>
          <w:p w14:paraId="461DFC7F">
            <w:pPr>
              <w:adjustRightInd w:val="0"/>
              <w:snapToGrid w:val="0"/>
              <w:spacing w:before="50" w:after="120" w:afterLines="50"/>
              <w:jc w:val="center"/>
              <w:rPr>
                <w:rFonts w:ascii="宋体" w:hAnsi="宋体" w:cs="宋体"/>
                <w:color w:val="auto"/>
                <w:sz w:val="24"/>
                <w:highlight w:val="none"/>
              </w:rPr>
            </w:pPr>
          </w:p>
        </w:tc>
        <w:tc>
          <w:tcPr>
            <w:tcW w:w="1825" w:type="dxa"/>
            <w:tcBorders>
              <w:top w:val="single" w:color="auto" w:sz="4" w:space="0"/>
              <w:left w:val="single" w:color="auto" w:sz="4" w:space="0"/>
              <w:bottom w:val="single" w:color="auto" w:sz="4" w:space="0"/>
              <w:right w:val="single" w:color="auto" w:sz="4" w:space="0"/>
            </w:tcBorders>
            <w:vAlign w:val="center"/>
          </w:tcPr>
          <w:p w14:paraId="424E2D92">
            <w:pPr>
              <w:adjustRightInd w:val="0"/>
              <w:snapToGrid w:val="0"/>
              <w:spacing w:before="50" w:after="120" w:afterLines="50"/>
              <w:jc w:val="center"/>
              <w:rPr>
                <w:rFonts w:ascii="宋体" w:hAnsi="宋体" w:cs="宋体"/>
                <w:color w:val="auto"/>
                <w:sz w:val="24"/>
                <w:highlight w:val="none"/>
              </w:rPr>
            </w:pPr>
          </w:p>
        </w:tc>
        <w:tc>
          <w:tcPr>
            <w:tcW w:w="1614" w:type="dxa"/>
            <w:tcBorders>
              <w:top w:val="single" w:color="auto" w:sz="4" w:space="0"/>
              <w:left w:val="single" w:color="auto" w:sz="4" w:space="0"/>
              <w:bottom w:val="single" w:color="auto" w:sz="4" w:space="0"/>
              <w:right w:val="single" w:color="auto" w:sz="4" w:space="0"/>
            </w:tcBorders>
            <w:vAlign w:val="center"/>
          </w:tcPr>
          <w:p w14:paraId="106FB134">
            <w:pPr>
              <w:adjustRightInd w:val="0"/>
              <w:snapToGrid w:val="0"/>
              <w:spacing w:before="50" w:after="120" w:afterLines="50"/>
              <w:jc w:val="center"/>
              <w:rPr>
                <w:rFonts w:ascii="宋体" w:hAnsi="宋体" w:cs="宋体"/>
                <w:color w:val="auto"/>
                <w:sz w:val="24"/>
                <w:highlight w:val="none"/>
              </w:rPr>
            </w:pPr>
          </w:p>
        </w:tc>
        <w:tc>
          <w:tcPr>
            <w:tcW w:w="1438" w:type="dxa"/>
            <w:tcBorders>
              <w:top w:val="single" w:color="auto" w:sz="4" w:space="0"/>
              <w:left w:val="single" w:color="auto" w:sz="4" w:space="0"/>
              <w:bottom w:val="single" w:color="auto" w:sz="4" w:space="0"/>
              <w:right w:val="single" w:color="auto" w:sz="4" w:space="0"/>
            </w:tcBorders>
            <w:vAlign w:val="center"/>
          </w:tcPr>
          <w:p w14:paraId="3C0E6C46">
            <w:pPr>
              <w:adjustRightInd w:val="0"/>
              <w:snapToGrid w:val="0"/>
              <w:spacing w:before="50" w:after="120" w:afterLines="50"/>
              <w:jc w:val="center"/>
              <w:rPr>
                <w:rFonts w:ascii="宋体" w:hAnsi="宋体" w:cs="宋体"/>
                <w:color w:val="auto"/>
                <w:sz w:val="24"/>
                <w:highlight w:val="none"/>
              </w:rPr>
            </w:pPr>
          </w:p>
        </w:tc>
        <w:tc>
          <w:tcPr>
            <w:tcW w:w="1437" w:type="dxa"/>
            <w:tcBorders>
              <w:top w:val="single" w:color="auto" w:sz="4" w:space="0"/>
              <w:left w:val="single" w:color="auto" w:sz="4" w:space="0"/>
              <w:bottom w:val="single" w:color="auto" w:sz="4" w:space="0"/>
              <w:right w:val="single" w:color="auto" w:sz="4" w:space="0"/>
            </w:tcBorders>
            <w:vAlign w:val="center"/>
          </w:tcPr>
          <w:p w14:paraId="7D51879A">
            <w:pPr>
              <w:adjustRightInd w:val="0"/>
              <w:snapToGrid w:val="0"/>
              <w:spacing w:before="50" w:after="120" w:afterLines="50"/>
              <w:jc w:val="center"/>
              <w:rPr>
                <w:rFonts w:ascii="宋体" w:hAnsi="宋体" w:cs="宋体"/>
                <w:color w:val="auto"/>
                <w:sz w:val="24"/>
                <w:highlight w:val="none"/>
              </w:rPr>
            </w:pPr>
          </w:p>
        </w:tc>
      </w:tr>
      <w:tr w14:paraId="74B17201">
        <w:tblPrEx>
          <w:tblCellMar>
            <w:top w:w="0" w:type="dxa"/>
            <w:left w:w="108" w:type="dxa"/>
            <w:bottom w:w="0" w:type="dxa"/>
            <w:right w:w="108" w:type="dxa"/>
          </w:tblCellMar>
        </w:tblPrEx>
        <w:trPr>
          <w:trHeight w:val="77" w:hRule="atLeast"/>
        </w:trPr>
        <w:tc>
          <w:tcPr>
            <w:tcW w:w="1741" w:type="dxa"/>
            <w:tcBorders>
              <w:top w:val="single" w:color="auto" w:sz="4" w:space="0"/>
              <w:left w:val="single" w:color="auto" w:sz="4" w:space="0"/>
              <w:bottom w:val="single" w:color="auto" w:sz="4" w:space="0"/>
              <w:right w:val="single" w:color="auto" w:sz="4" w:space="0"/>
            </w:tcBorders>
            <w:vAlign w:val="center"/>
          </w:tcPr>
          <w:p w14:paraId="738E069A">
            <w:pPr>
              <w:adjustRightInd w:val="0"/>
              <w:snapToGrid w:val="0"/>
              <w:spacing w:before="50" w:after="120" w:afterLines="50"/>
              <w:jc w:val="center"/>
              <w:rPr>
                <w:rFonts w:ascii="宋体" w:hAnsi="宋体" w:cs="宋体"/>
                <w:color w:val="auto"/>
                <w:sz w:val="24"/>
                <w:highlight w:val="none"/>
              </w:rPr>
            </w:pPr>
          </w:p>
        </w:tc>
        <w:tc>
          <w:tcPr>
            <w:tcW w:w="1797" w:type="dxa"/>
            <w:tcBorders>
              <w:top w:val="single" w:color="auto" w:sz="4" w:space="0"/>
              <w:left w:val="single" w:color="auto" w:sz="4" w:space="0"/>
              <w:bottom w:val="single" w:color="auto" w:sz="4" w:space="0"/>
              <w:right w:val="single" w:color="auto" w:sz="4" w:space="0"/>
            </w:tcBorders>
            <w:vAlign w:val="center"/>
          </w:tcPr>
          <w:p w14:paraId="31A77567">
            <w:pPr>
              <w:adjustRightInd w:val="0"/>
              <w:snapToGrid w:val="0"/>
              <w:spacing w:before="50" w:after="120" w:afterLines="50"/>
              <w:jc w:val="center"/>
              <w:rPr>
                <w:rFonts w:ascii="宋体" w:hAnsi="宋体" w:cs="宋体"/>
                <w:color w:val="auto"/>
                <w:sz w:val="24"/>
                <w:highlight w:val="none"/>
              </w:rPr>
            </w:pPr>
          </w:p>
        </w:tc>
        <w:tc>
          <w:tcPr>
            <w:tcW w:w="1825" w:type="dxa"/>
            <w:tcBorders>
              <w:top w:val="single" w:color="auto" w:sz="4" w:space="0"/>
              <w:left w:val="single" w:color="auto" w:sz="4" w:space="0"/>
              <w:bottom w:val="single" w:color="auto" w:sz="4" w:space="0"/>
              <w:right w:val="single" w:color="auto" w:sz="4" w:space="0"/>
            </w:tcBorders>
            <w:vAlign w:val="center"/>
          </w:tcPr>
          <w:p w14:paraId="49CBB131">
            <w:pPr>
              <w:adjustRightInd w:val="0"/>
              <w:snapToGrid w:val="0"/>
              <w:spacing w:before="50" w:after="120" w:afterLines="50"/>
              <w:jc w:val="center"/>
              <w:rPr>
                <w:rFonts w:ascii="宋体" w:hAnsi="宋体" w:cs="宋体"/>
                <w:color w:val="auto"/>
                <w:sz w:val="24"/>
                <w:highlight w:val="none"/>
              </w:rPr>
            </w:pPr>
          </w:p>
        </w:tc>
        <w:tc>
          <w:tcPr>
            <w:tcW w:w="1614" w:type="dxa"/>
            <w:tcBorders>
              <w:top w:val="single" w:color="auto" w:sz="4" w:space="0"/>
              <w:left w:val="single" w:color="auto" w:sz="4" w:space="0"/>
              <w:bottom w:val="single" w:color="auto" w:sz="4" w:space="0"/>
              <w:right w:val="single" w:color="auto" w:sz="4" w:space="0"/>
            </w:tcBorders>
            <w:vAlign w:val="center"/>
          </w:tcPr>
          <w:p w14:paraId="21B99CDE">
            <w:pPr>
              <w:adjustRightInd w:val="0"/>
              <w:snapToGrid w:val="0"/>
              <w:spacing w:before="50" w:after="120" w:afterLines="50"/>
              <w:jc w:val="center"/>
              <w:rPr>
                <w:rFonts w:ascii="宋体" w:hAnsi="宋体" w:cs="宋体"/>
                <w:color w:val="auto"/>
                <w:sz w:val="24"/>
                <w:highlight w:val="none"/>
              </w:rPr>
            </w:pPr>
          </w:p>
        </w:tc>
        <w:tc>
          <w:tcPr>
            <w:tcW w:w="1438" w:type="dxa"/>
            <w:tcBorders>
              <w:top w:val="single" w:color="auto" w:sz="4" w:space="0"/>
              <w:left w:val="single" w:color="auto" w:sz="4" w:space="0"/>
              <w:bottom w:val="single" w:color="auto" w:sz="4" w:space="0"/>
              <w:right w:val="single" w:color="auto" w:sz="4" w:space="0"/>
            </w:tcBorders>
            <w:vAlign w:val="center"/>
          </w:tcPr>
          <w:p w14:paraId="06DF1ECE">
            <w:pPr>
              <w:adjustRightInd w:val="0"/>
              <w:snapToGrid w:val="0"/>
              <w:spacing w:before="50" w:after="120" w:afterLines="50"/>
              <w:jc w:val="center"/>
              <w:rPr>
                <w:rFonts w:ascii="宋体" w:hAnsi="宋体" w:cs="宋体"/>
                <w:color w:val="auto"/>
                <w:sz w:val="24"/>
                <w:highlight w:val="none"/>
              </w:rPr>
            </w:pPr>
          </w:p>
        </w:tc>
        <w:tc>
          <w:tcPr>
            <w:tcW w:w="1437" w:type="dxa"/>
            <w:tcBorders>
              <w:top w:val="single" w:color="auto" w:sz="4" w:space="0"/>
              <w:left w:val="single" w:color="auto" w:sz="4" w:space="0"/>
              <w:bottom w:val="single" w:color="auto" w:sz="4" w:space="0"/>
              <w:right w:val="single" w:color="auto" w:sz="4" w:space="0"/>
            </w:tcBorders>
            <w:vAlign w:val="center"/>
          </w:tcPr>
          <w:p w14:paraId="4F91AC2D">
            <w:pPr>
              <w:adjustRightInd w:val="0"/>
              <w:snapToGrid w:val="0"/>
              <w:spacing w:before="50" w:after="120" w:afterLines="50"/>
              <w:jc w:val="center"/>
              <w:rPr>
                <w:rFonts w:ascii="宋体" w:hAnsi="宋体" w:cs="宋体"/>
                <w:color w:val="auto"/>
                <w:sz w:val="24"/>
                <w:highlight w:val="none"/>
              </w:rPr>
            </w:pPr>
          </w:p>
        </w:tc>
      </w:tr>
      <w:tr w14:paraId="3A8C300C">
        <w:tblPrEx>
          <w:tblCellMar>
            <w:top w:w="0" w:type="dxa"/>
            <w:left w:w="108" w:type="dxa"/>
            <w:bottom w:w="0" w:type="dxa"/>
            <w:right w:w="108" w:type="dxa"/>
          </w:tblCellMar>
        </w:tblPrEx>
        <w:trPr>
          <w:trHeight w:val="77" w:hRule="atLeast"/>
        </w:trPr>
        <w:tc>
          <w:tcPr>
            <w:tcW w:w="1741" w:type="dxa"/>
            <w:tcBorders>
              <w:top w:val="single" w:color="auto" w:sz="4" w:space="0"/>
              <w:left w:val="single" w:color="auto" w:sz="4" w:space="0"/>
              <w:bottom w:val="single" w:color="auto" w:sz="4" w:space="0"/>
              <w:right w:val="single" w:color="auto" w:sz="4" w:space="0"/>
            </w:tcBorders>
            <w:vAlign w:val="center"/>
          </w:tcPr>
          <w:p w14:paraId="13898B93">
            <w:pPr>
              <w:adjustRightInd w:val="0"/>
              <w:snapToGrid w:val="0"/>
              <w:spacing w:before="50" w:after="120" w:afterLines="50"/>
              <w:jc w:val="center"/>
              <w:rPr>
                <w:rFonts w:ascii="宋体" w:hAnsi="宋体" w:cs="宋体"/>
                <w:color w:val="auto"/>
                <w:sz w:val="24"/>
                <w:highlight w:val="none"/>
              </w:rPr>
            </w:pPr>
          </w:p>
        </w:tc>
        <w:tc>
          <w:tcPr>
            <w:tcW w:w="1797" w:type="dxa"/>
            <w:tcBorders>
              <w:top w:val="single" w:color="auto" w:sz="4" w:space="0"/>
              <w:left w:val="single" w:color="auto" w:sz="4" w:space="0"/>
              <w:bottom w:val="single" w:color="auto" w:sz="4" w:space="0"/>
              <w:right w:val="single" w:color="auto" w:sz="4" w:space="0"/>
            </w:tcBorders>
            <w:vAlign w:val="center"/>
          </w:tcPr>
          <w:p w14:paraId="2DE30DF0">
            <w:pPr>
              <w:adjustRightInd w:val="0"/>
              <w:snapToGrid w:val="0"/>
              <w:spacing w:before="50" w:after="120" w:afterLines="50"/>
              <w:jc w:val="center"/>
              <w:rPr>
                <w:rFonts w:ascii="宋体" w:hAnsi="宋体" w:cs="宋体"/>
                <w:color w:val="auto"/>
                <w:sz w:val="24"/>
                <w:highlight w:val="none"/>
              </w:rPr>
            </w:pPr>
          </w:p>
        </w:tc>
        <w:tc>
          <w:tcPr>
            <w:tcW w:w="1825" w:type="dxa"/>
            <w:tcBorders>
              <w:top w:val="single" w:color="auto" w:sz="4" w:space="0"/>
              <w:left w:val="single" w:color="auto" w:sz="4" w:space="0"/>
              <w:bottom w:val="single" w:color="auto" w:sz="4" w:space="0"/>
              <w:right w:val="single" w:color="auto" w:sz="4" w:space="0"/>
            </w:tcBorders>
            <w:vAlign w:val="center"/>
          </w:tcPr>
          <w:p w14:paraId="400E8194">
            <w:pPr>
              <w:adjustRightInd w:val="0"/>
              <w:snapToGrid w:val="0"/>
              <w:spacing w:before="50" w:after="120" w:afterLines="50"/>
              <w:jc w:val="center"/>
              <w:rPr>
                <w:rFonts w:ascii="宋体" w:hAnsi="宋体" w:cs="宋体"/>
                <w:color w:val="auto"/>
                <w:sz w:val="24"/>
                <w:highlight w:val="none"/>
              </w:rPr>
            </w:pPr>
          </w:p>
        </w:tc>
        <w:tc>
          <w:tcPr>
            <w:tcW w:w="1614" w:type="dxa"/>
            <w:tcBorders>
              <w:top w:val="single" w:color="auto" w:sz="4" w:space="0"/>
              <w:left w:val="single" w:color="auto" w:sz="4" w:space="0"/>
              <w:bottom w:val="single" w:color="auto" w:sz="4" w:space="0"/>
              <w:right w:val="single" w:color="auto" w:sz="4" w:space="0"/>
            </w:tcBorders>
            <w:vAlign w:val="center"/>
          </w:tcPr>
          <w:p w14:paraId="69734A86">
            <w:pPr>
              <w:adjustRightInd w:val="0"/>
              <w:snapToGrid w:val="0"/>
              <w:spacing w:before="50" w:after="120" w:afterLines="50"/>
              <w:jc w:val="center"/>
              <w:rPr>
                <w:rFonts w:ascii="宋体" w:hAnsi="宋体" w:cs="宋体"/>
                <w:color w:val="auto"/>
                <w:sz w:val="24"/>
                <w:highlight w:val="none"/>
              </w:rPr>
            </w:pPr>
          </w:p>
        </w:tc>
        <w:tc>
          <w:tcPr>
            <w:tcW w:w="1438" w:type="dxa"/>
            <w:tcBorders>
              <w:top w:val="single" w:color="auto" w:sz="4" w:space="0"/>
              <w:left w:val="single" w:color="auto" w:sz="4" w:space="0"/>
              <w:bottom w:val="single" w:color="auto" w:sz="4" w:space="0"/>
              <w:right w:val="single" w:color="auto" w:sz="4" w:space="0"/>
            </w:tcBorders>
            <w:vAlign w:val="center"/>
          </w:tcPr>
          <w:p w14:paraId="2A611501">
            <w:pPr>
              <w:adjustRightInd w:val="0"/>
              <w:snapToGrid w:val="0"/>
              <w:spacing w:before="50" w:after="120" w:afterLines="50"/>
              <w:jc w:val="center"/>
              <w:rPr>
                <w:rFonts w:ascii="宋体" w:hAnsi="宋体" w:cs="宋体"/>
                <w:color w:val="auto"/>
                <w:sz w:val="24"/>
                <w:highlight w:val="none"/>
              </w:rPr>
            </w:pPr>
          </w:p>
        </w:tc>
        <w:tc>
          <w:tcPr>
            <w:tcW w:w="1437" w:type="dxa"/>
            <w:tcBorders>
              <w:top w:val="single" w:color="auto" w:sz="4" w:space="0"/>
              <w:left w:val="single" w:color="auto" w:sz="4" w:space="0"/>
              <w:bottom w:val="single" w:color="auto" w:sz="4" w:space="0"/>
              <w:right w:val="single" w:color="auto" w:sz="4" w:space="0"/>
            </w:tcBorders>
            <w:vAlign w:val="center"/>
          </w:tcPr>
          <w:p w14:paraId="4DC63225">
            <w:pPr>
              <w:adjustRightInd w:val="0"/>
              <w:snapToGrid w:val="0"/>
              <w:spacing w:before="50" w:after="120" w:afterLines="50"/>
              <w:jc w:val="center"/>
              <w:rPr>
                <w:rFonts w:ascii="宋体" w:hAnsi="宋体" w:cs="宋体"/>
                <w:color w:val="auto"/>
                <w:sz w:val="24"/>
                <w:highlight w:val="none"/>
              </w:rPr>
            </w:pPr>
          </w:p>
        </w:tc>
      </w:tr>
      <w:tr w14:paraId="438B2C07">
        <w:tblPrEx>
          <w:tblCellMar>
            <w:top w:w="0" w:type="dxa"/>
            <w:left w:w="108" w:type="dxa"/>
            <w:bottom w:w="0" w:type="dxa"/>
            <w:right w:w="108" w:type="dxa"/>
          </w:tblCellMar>
        </w:tblPrEx>
        <w:trPr>
          <w:trHeight w:val="77" w:hRule="atLeast"/>
        </w:trPr>
        <w:tc>
          <w:tcPr>
            <w:tcW w:w="1741" w:type="dxa"/>
            <w:tcBorders>
              <w:top w:val="single" w:color="auto" w:sz="4" w:space="0"/>
              <w:left w:val="single" w:color="auto" w:sz="4" w:space="0"/>
              <w:bottom w:val="single" w:color="auto" w:sz="4" w:space="0"/>
              <w:right w:val="single" w:color="auto" w:sz="4" w:space="0"/>
            </w:tcBorders>
            <w:vAlign w:val="center"/>
          </w:tcPr>
          <w:p w14:paraId="4D3A937C">
            <w:pPr>
              <w:adjustRightInd w:val="0"/>
              <w:snapToGrid w:val="0"/>
              <w:spacing w:before="50" w:after="120" w:afterLines="50"/>
              <w:jc w:val="center"/>
              <w:rPr>
                <w:rFonts w:ascii="宋体" w:hAnsi="宋体" w:cs="宋体"/>
                <w:color w:val="auto"/>
                <w:sz w:val="24"/>
                <w:highlight w:val="none"/>
              </w:rPr>
            </w:pPr>
          </w:p>
        </w:tc>
        <w:tc>
          <w:tcPr>
            <w:tcW w:w="1797" w:type="dxa"/>
            <w:tcBorders>
              <w:top w:val="single" w:color="auto" w:sz="4" w:space="0"/>
              <w:left w:val="single" w:color="auto" w:sz="4" w:space="0"/>
              <w:bottom w:val="single" w:color="auto" w:sz="4" w:space="0"/>
              <w:right w:val="single" w:color="auto" w:sz="4" w:space="0"/>
            </w:tcBorders>
            <w:vAlign w:val="center"/>
          </w:tcPr>
          <w:p w14:paraId="298228BC">
            <w:pPr>
              <w:adjustRightInd w:val="0"/>
              <w:snapToGrid w:val="0"/>
              <w:spacing w:before="50" w:after="120" w:afterLines="50"/>
              <w:jc w:val="center"/>
              <w:rPr>
                <w:rFonts w:ascii="宋体" w:hAnsi="宋体" w:cs="宋体"/>
                <w:color w:val="auto"/>
                <w:sz w:val="24"/>
                <w:highlight w:val="none"/>
              </w:rPr>
            </w:pPr>
          </w:p>
        </w:tc>
        <w:tc>
          <w:tcPr>
            <w:tcW w:w="1825" w:type="dxa"/>
            <w:tcBorders>
              <w:top w:val="single" w:color="auto" w:sz="4" w:space="0"/>
              <w:left w:val="single" w:color="auto" w:sz="4" w:space="0"/>
              <w:bottom w:val="single" w:color="auto" w:sz="4" w:space="0"/>
              <w:right w:val="single" w:color="auto" w:sz="4" w:space="0"/>
            </w:tcBorders>
            <w:vAlign w:val="center"/>
          </w:tcPr>
          <w:p w14:paraId="55F1B648">
            <w:pPr>
              <w:adjustRightInd w:val="0"/>
              <w:snapToGrid w:val="0"/>
              <w:spacing w:before="50" w:after="120" w:afterLines="50"/>
              <w:jc w:val="center"/>
              <w:rPr>
                <w:rFonts w:ascii="宋体" w:hAnsi="宋体" w:cs="宋体"/>
                <w:color w:val="auto"/>
                <w:sz w:val="24"/>
                <w:highlight w:val="none"/>
              </w:rPr>
            </w:pPr>
          </w:p>
        </w:tc>
        <w:tc>
          <w:tcPr>
            <w:tcW w:w="1614" w:type="dxa"/>
            <w:tcBorders>
              <w:top w:val="single" w:color="auto" w:sz="4" w:space="0"/>
              <w:left w:val="single" w:color="auto" w:sz="4" w:space="0"/>
              <w:bottom w:val="single" w:color="auto" w:sz="4" w:space="0"/>
              <w:right w:val="single" w:color="auto" w:sz="4" w:space="0"/>
            </w:tcBorders>
            <w:vAlign w:val="center"/>
          </w:tcPr>
          <w:p w14:paraId="50E2131E">
            <w:pPr>
              <w:adjustRightInd w:val="0"/>
              <w:snapToGrid w:val="0"/>
              <w:spacing w:before="50" w:after="120" w:afterLines="50"/>
              <w:jc w:val="center"/>
              <w:rPr>
                <w:rFonts w:ascii="宋体" w:hAnsi="宋体" w:cs="宋体"/>
                <w:color w:val="auto"/>
                <w:sz w:val="24"/>
                <w:highlight w:val="none"/>
              </w:rPr>
            </w:pPr>
          </w:p>
        </w:tc>
        <w:tc>
          <w:tcPr>
            <w:tcW w:w="1438" w:type="dxa"/>
            <w:tcBorders>
              <w:top w:val="single" w:color="auto" w:sz="4" w:space="0"/>
              <w:left w:val="single" w:color="auto" w:sz="4" w:space="0"/>
              <w:bottom w:val="single" w:color="auto" w:sz="4" w:space="0"/>
              <w:right w:val="single" w:color="auto" w:sz="4" w:space="0"/>
            </w:tcBorders>
            <w:vAlign w:val="center"/>
          </w:tcPr>
          <w:p w14:paraId="017E0192">
            <w:pPr>
              <w:adjustRightInd w:val="0"/>
              <w:snapToGrid w:val="0"/>
              <w:spacing w:before="50" w:after="120" w:afterLines="50"/>
              <w:jc w:val="center"/>
              <w:rPr>
                <w:rFonts w:ascii="宋体" w:hAnsi="宋体" w:cs="宋体"/>
                <w:color w:val="auto"/>
                <w:sz w:val="24"/>
                <w:highlight w:val="none"/>
              </w:rPr>
            </w:pPr>
          </w:p>
        </w:tc>
        <w:tc>
          <w:tcPr>
            <w:tcW w:w="1437" w:type="dxa"/>
            <w:tcBorders>
              <w:top w:val="single" w:color="auto" w:sz="4" w:space="0"/>
              <w:left w:val="single" w:color="auto" w:sz="4" w:space="0"/>
              <w:bottom w:val="single" w:color="auto" w:sz="4" w:space="0"/>
              <w:right w:val="single" w:color="auto" w:sz="4" w:space="0"/>
            </w:tcBorders>
            <w:vAlign w:val="center"/>
          </w:tcPr>
          <w:p w14:paraId="7AE7FE44">
            <w:pPr>
              <w:adjustRightInd w:val="0"/>
              <w:snapToGrid w:val="0"/>
              <w:spacing w:before="50" w:after="120" w:afterLines="50"/>
              <w:jc w:val="center"/>
              <w:rPr>
                <w:rFonts w:ascii="宋体" w:hAnsi="宋体" w:cs="宋体"/>
                <w:color w:val="auto"/>
                <w:sz w:val="24"/>
                <w:highlight w:val="none"/>
              </w:rPr>
            </w:pPr>
          </w:p>
        </w:tc>
      </w:tr>
    </w:tbl>
    <w:p w14:paraId="425475D6">
      <w:pPr>
        <w:spacing w:line="360" w:lineRule="auto"/>
        <w:rPr>
          <w:rFonts w:hint="eastAsia" w:ascii="宋体" w:hAnsi="宋体"/>
          <w:b/>
          <w:bCs/>
          <w:color w:val="auto"/>
          <w:sz w:val="24"/>
          <w:highlight w:val="none"/>
        </w:rPr>
      </w:pPr>
    </w:p>
    <w:p w14:paraId="2725EE59">
      <w:pPr>
        <w:spacing w:line="360" w:lineRule="auto"/>
        <w:rPr>
          <w:rFonts w:hint="eastAsia" w:ascii="宋体" w:hAnsi="宋体"/>
          <w:b/>
          <w:bCs/>
          <w:color w:val="auto"/>
          <w:sz w:val="24"/>
          <w:highlight w:val="none"/>
        </w:rPr>
      </w:pPr>
      <w:r>
        <w:rPr>
          <w:rFonts w:hint="eastAsia" w:ascii="宋体" w:hAnsi="宋体"/>
          <w:b/>
          <w:bCs/>
          <w:color w:val="auto"/>
          <w:sz w:val="24"/>
          <w:highlight w:val="none"/>
        </w:rPr>
        <w:t>备注说明：</w:t>
      </w:r>
    </w:p>
    <w:p w14:paraId="7AC56735">
      <w:pPr>
        <w:numPr>
          <w:ilvl w:val="0"/>
          <w:numId w:val="0"/>
        </w:numPr>
        <w:spacing w:line="360" w:lineRule="auto"/>
        <w:ind w:leftChars="0"/>
        <w:rPr>
          <w:rFonts w:hint="eastAsia" w:ascii="宋体" w:hAnsi="宋体"/>
          <w:b/>
          <w:bCs/>
          <w:color w:val="auto"/>
          <w:sz w:val="24"/>
          <w:highlight w:val="none"/>
        </w:rPr>
      </w:pPr>
      <w:r>
        <w:rPr>
          <w:rFonts w:hint="eastAsia" w:ascii="宋体" w:hAnsi="宋体"/>
          <w:bCs/>
          <w:color w:val="auto"/>
          <w:sz w:val="24"/>
          <w:highlight w:val="none"/>
          <w:lang w:val="en-US" w:eastAsia="zh-CN"/>
        </w:rPr>
        <w:t>1、</w:t>
      </w:r>
      <w:r>
        <w:rPr>
          <w:rFonts w:hint="eastAsia" w:ascii="宋体" w:hAnsi="宋体"/>
          <w:bCs/>
          <w:color w:val="auto"/>
          <w:sz w:val="24"/>
          <w:highlight w:val="none"/>
        </w:rPr>
        <w:t>此表在不改变表式的情况下，可自行制作；</w:t>
      </w:r>
    </w:p>
    <w:p w14:paraId="32182C9B">
      <w:pPr>
        <w:spacing w:line="360" w:lineRule="auto"/>
        <w:rPr>
          <w:rFonts w:hint="eastAsia" w:ascii="宋体" w:hAnsi="宋体"/>
          <w:bCs/>
          <w:color w:val="auto"/>
          <w:sz w:val="24"/>
          <w:highlight w:val="none"/>
        </w:rPr>
      </w:pPr>
      <w:r>
        <w:rPr>
          <w:rFonts w:hint="eastAsia" w:ascii="宋体" w:hAnsi="宋体"/>
          <w:bCs/>
          <w:color w:val="auto"/>
          <w:sz w:val="24"/>
          <w:highlight w:val="none"/>
          <w:lang w:val="en-US" w:eastAsia="zh-CN"/>
        </w:rPr>
        <w:t>2、</w:t>
      </w:r>
      <w:r>
        <w:rPr>
          <w:rFonts w:hint="eastAsia" w:ascii="宋体" w:hAnsi="宋体"/>
          <w:bCs/>
          <w:color w:val="auto"/>
          <w:sz w:val="24"/>
          <w:highlight w:val="none"/>
        </w:rPr>
        <w:t>必须提供有关证明资料复印件，原件备查。</w:t>
      </w:r>
    </w:p>
    <w:p w14:paraId="036C918D">
      <w:pPr>
        <w:rPr>
          <w:rFonts w:hint="eastAsia"/>
          <w:color w:val="auto"/>
          <w:highlight w:val="none"/>
        </w:rPr>
      </w:pPr>
    </w:p>
    <w:p w14:paraId="0A4CABB8">
      <w:pPr>
        <w:rPr>
          <w:color w:val="auto"/>
          <w:highlight w:val="none"/>
        </w:rPr>
      </w:pPr>
      <w:r>
        <w:rPr>
          <w:rFonts w:hint="eastAsia"/>
          <w:color w:val="auto"/>
          <w:highlight w:val="none"/>
        </w:rPr>
        <w:t>投标人全称（盖公章或电子签章）：</w:t>
      </w:r>
    </w:p>
    <w:p w14:paraId="57ED586C">
      <w:pPr>
        <w:snapToGrid w:val="0"/>
        <w:spacing w:line="360" w:lineRule="auto"/>
        <w:jc w:val="left"/>
        <w:rPr>
          <w:color w:val="auto"/>
        </w:rPr>
      </w:pPr>
      <w:r>
        <w:rPr>
          <w:rFonts w:hint="eastAsia" w:ascii="宋体" w:hAnsi="宋体" w:eastAsia="宋体"/>
          <w:b w:val="0"/>
          <w:bCs w:val="0"/>
          <w:color w:val="auto"/>
          <w:spacing w:val="20"/>
          <w:sz w:val="24"/>
          <w:szCs w:val="24"/>
          <w:highlight w:val="none"/>
        </w:rPr>
        <w:t>年   月   日</w:t>
      </w:r>
    </w:p>
    <w:p w14:paraId="47DDEDCD">
      <w:pPr>
        <w:rPr>
          <w:color w:val="auto"/>
          <w:highlight w:val="none"/>
        </w:rPr>
      </w:pPr>
    </w:p>
    <w:p w14:paraId="50F81597">
      <w:pPr>
        <w:snapToGrid w:val="0"/>
        <w:spacing w:before="50" w:after="50" w:line="360" w:lineRule="auto"/>
        <w:rPr>
          <w:rFonts w:hint="eastAsia" w:ascii="宋体" w:hAnsi="宋体"/>
          <w:color w:val="auto"/>
          <w:kern w:val="0"/>
          <w:sz w:val="24"/>
          <w:highlight w:val="none"/>
          <w:lang w:eastAsia="zh-CN"/>
        </w:rPr>
      </w:pPr>
      <w:r>
        <w:rPr>
          <w:rFonts w:ascii="宋体" w:hAnsi="宋体"/>
          <w:color w:val="auto"/>
          <w:sz w:val="24"/>
          <w:highlight w:val="none"/>
        </w:rPr>
        <w:br w:type="page"/>
      </w:r>
    </w:p>
    <w:p w14:paraId="5F731C8B">
      <w:pPr>
        <w:snapToGrid w:val="0"/>
        <w:spacing w:line="460" w:lineRule="atLeast"/>
        <w:jc w:val="both"/>
        <w:rPr>
          <w:rFonts w:ascii="宋体" w:hAnsi="宋体"/>
          <w:color w:val="auto"/>
          <w:kern w:val="0"/>
          <w:sz w:val="24"/>
          <w:highlight w:val="none"/>
        </w:rPr>
      </w:pPr>
      <w:r>
        <w:rPr>
          <w:rFonts w:hint="eastAsia" w:ascii="宋体" w:hAnsi="宋体"/>
          <w:b/>
          <w:bCs/>
          <w:color w:val="auto"/>
          <w:kern w:val="0"/>
          <w:sz w:val="24"/>
          <w:highlight w:val="none"/>
          <w:lang w:eastAsia="zh-CN"/>
        </w:rPr>
        <w:t>附件</w:t>
      </w:r>
      <w:r>
        <w:rPr>
          <w:rFonts w:hint="eastAsia" w:ascii="宋体" w:hAnsi="宋体"/>
          <w:b/>
          <w:bCs/>
          <w:color w:val="auto"/>
          <w:kern w:val="0"/>
          <w:sz w:val="24"/>
          <w:highlight w:val="none"/>
          <w:lang w:val="en-US" w:eastAsia="zh-CN"/>
        </w:rPr>
        <w:t>：</w:t>
      </w:r>
      <w:r>
        <w:rPr>
          <w:rFonts w:ascii="宋体" w:hAnsi="宋体"/>
          <w:b/>
          <w:bCs/>
          <w:color w:val="auto"/>
          <w:kern w:val="0"/>
          <w:sz w:val="24"/>
          <w:highlight w:val="none"/>
        </w:rPr>
        <w:t>联合投标协议书格式（本表联合体投标时适用）</w:t>
      </w:r>
    </w:p>
    <w:p w14:paraId="1A4C7CF3">
      <w:pPr>
        <w:snapToGrid w:val="0"/>
        <w:spacing w:line="460" w:lineRule="atLeast"/>
        <w:ind w:firstLine="538" w:firstLineChars="200"/>
        <w:jc w:val="center"/>
        <w:rPr>
          <w:rFonts w:ascii="宋体" w:hAnsi="宋体"/>
          <w:b/>
          <w:bCs/>
          <w:color w:val="auto"/>
          <w:spacing w:val="14"/>
          <w:kern w:val="24"/>
          <w:sz w:val="24"/>
          <w:highlight w:val="none"/>
        </w:rPr>
      </w:pPr>
      <w:r>
        <w:rPr>
          <w:rFonts w:ascii="宋体" w:hAnsi="宋体"/>
          <w:b/>
          <w:bCs/>
          <w:color w:val="auto"/>
          <w:spacing w:val="14"/>
          <w:kern w:val="24"/>
          <w:sz w:val="24"/>
          <w:highlight w:val="none"/>
        </w:rPr>
        <w:t>联合投标协议书</w:t>
      </w:r>
    </w:p>
    <w:p w14:paraId="78FB6854">
      <w:pPr>
        <w:snapToGrid w:val="0"/>
        <w:spacing w:before="120"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rPr>
        <w:t>（所有成员单位名称）自愿组成联合体，共同参加（项目名称）投标。现就联合体投标事宜订立如下协议。</w:t>
      </w:r>
    </w:p>
    <w:p w14:paraId="580A8DF1">
      <w:pPr>
        <w:snapToGrid w:val="0"/>
        <w:spacing w:before="120"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rPr>
        <w:t>1.（某成员单位名称）为牵头人。</w:t>
      </w:r>
    </w:p>
    <w:p w14:paraId="6092CC8F">
      <w:pPr>
        <w:snapToGrid w:val="0"/>
        <w:spacing w:before="120"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rPr>
        <w:t>2.联合体牵头人合法代表联合体各成员负责本招标项目投标文件编制和合同谈判活动，代表联合体提交和接收相关的资料、信息及指示，处理与招标投标活动（包括投诉及处理）有关的一切事务，并负责合同实施阶段的主办、组织和协调工作。</w:t>
      </w:r>
    </w:p>
    <w:p w14:paraId="4FA42C97">
      <w:pPr>
        <w:snapToGrid w:val="0"/>
        <w:spacing w:before="120"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rPr>
        <w:t>3.联合体将严格按照招标文件的各项要求，递交投标文件，履行合同。如果中标并签订合同，则联合投标各方将共同履行对招标方和采购人所负有的全部义务并就采购合同约定的事项对采购人承担连带责任。</w:t>
      </w:r>
    </w:p>
    <w:p w14:paraId="654FD20C">
      <w:pPr>
        <w:snapToGrid w:val="0"/>
        <w:spacing w:before="120"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rPr>
        <w:t>4.联合体牵头人应在取得联合体各成员同意后，代表联合体签署投标文件，联合体牵头人的所有承诺均认为代表了联合体各成员。</w:t>
      </w:r>
    </w:p>
    <w:p w14:paraId="7EDF0A39">
      <w:pPr>
        <w:snapToGrid w:val="0"/>
        <w:spacing w:before="120"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rPr>
        <w:t>5.联合体各成员单位内部的职责分工如下： （牵头人名称）承担；（成员一名称）承担。</w:t>
      </w:r>
    </w:p>
    <w:p w14:paraId="218F7A2B">
      <w:pPr>
        <w:snapToGrid w:val="0"/>
        <w:spacing w:before="120"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rPr>
        <w:t>6.依据联合体内部分工安排，联合体收益按照</w:t>
      </w:r>
      <w:r>
        <w:rPr>
          <w:rFonts w:hint="eastAsia" w:ascii="宋体" w:hAnsi="宋体" w:cs="宋体"/>
          <w:color w:val="auto"/>
          <w:sz w:val="24"/>
          <w:highlight w:val="none"/>
          <w:u w:val="single"/>
        </w:rPr>
        <w:t xml:space="preserve">（牵头人名称）：      </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（成员名称）：      </w:t>
      </w:r>
      <w:r>
        <w:rPr>
          <w:rFonts w:hint="eastAsia" w:ascii="宋体" w:hAnsi="宋体" w:cs="宋体"/>
          <w:color w:val="auto"/>
          <w:sz w:val="24"/>
          <w:highlight w:val="none"/>
        </w:rPr>
        <w:t>%分配。投标工作和联合体在中标后工程实施过程中的有关费用按各自承担的工作量分摊。</w:t>
      </w:r>
    </w:p>
    <w:p w14:paraId="7202D602">
      <w:pPr>
        <w:snapToGrid w:val="0"/>
        <w:spacing w:before="120"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rPr>
        <w:t>7.本协议提交招标方后，联合投标各方不得以任何形式对上述实质内容进行修改或撤销。</w:t>
      </w:r>
    </w:p>
    <w:p w14:paraId="4DC55570">
      <w:pPr>
        <w:snapToGrid w:val="0"/>
        <w:spacing w:before="120"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rPr>
        <w:t>8.本协议书自签署之日起生效，合同履行完毕后自动失效。</w:t>
      </w:r>
    </w:p>
    <w:p w14:paraId="0B558089">
      <w:pPr>
        <w:snapToGrid w:val="0"/>
        <w:spacing w:before="120"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rPr>
        <w:t>9.本协议书一式份，联合体成员和招标人各执一份。</w:t>
      </w:r>
    </w:p>
    <w:p w14:paraId="42BD3E5C">
      <w:pPr>
        <w:snapToGrid w:val="0"/>
        <w:spacing w:before="120" w:beforeLines="50" w:after="50" w:line="276" w:lineRule="auto"/>
        <w:ind w:firstLine="720" w:firstLineChars="300"/>
        <w:rPr>
          <w:rFonts w:ascii="宋体" w:hAnsi="宋体" w:cs="宋体"/>
          <w:color w:val="auto"/>
          <w:sz w:val="24"/>
          <w:highlight w:val="none"/>
        </w:rPr>
      </w:pPr>
    </w:p>
    <w:p w14:paraId="0BF407CC">
      <w:pPr>
        <w:snapToGrid w:val="0"/>
        <w:spacing w:before="120"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rPr>
        <w:t>牵头人名称：                                  （盖单位章）</w:t>
      </w:r>
    </w:p>
    <w:p w14:paraId="5F5F509E">
      <w:pPr>
        <w:snapToGrid w:val="0"/>
        <w:spacing w:before="120"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rPr>
        <w:t>法定代表人：                                      （签字）</w:t>
      </w:r>
    </w:p>
    <w:p w14:paraId="48A1F0CE">
      <w:pPr>
        <w:snapToGrid w:val="0"/>
        <w:spacing w:before="120" w:beforeLines="50" w:after="50" w:line="276" w:lineRule="auto"/>
        <w:ind w:firstLine="720" w:firstLineChars="300"/>
        <w:rPr>
          <w:rFonts w:ascii="宋体" w:hAnsi="宋体" w:cs="宋体"/>
          <w:color w:val="auto"/>
          <w:sz w:val="24"/>
          <w:highlight w:val="none"/>
        </w:rPr>
      </w:pPr>
    </w:p>
    <w:p w14:paraId="2BDA76F8">
      <w:pPr>
        <w:snapToGrid w:val="0"/>
        <w:spacing w:before="120"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rPr>
        <w:t xml:space="preserve">成员一名称：                                  （盖单位章） </w:t>
      </w:r>
    </w:p>
    <w:p w14:paraId="0B90E0A5">
      <w:pPr>
        <w:snapToGrid w:val="0"/>
        <w:spacing w:before="120"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rPr>
        <w:t>法定代表人：                                      （签字）</w:t>
      </w:r>
    </w:p>
    <w:p w14:paraId="02CE52E4">
      <w:pPr>
        <w:snapToGrid w:val="0"/>
        <w:spacing w:before="120" w:beforeLines="50" w:after="50" w:line="276" w:lineRule="auto"/>
        <w:ind w:firstLine="720" w:firstLineChars="300"/>
        <w:rPr>
          <w:rFonts w:ascii="宋体" w:hAnsi="宋体" w:cs="宋体"/>
          <w:color w:val="auto"/>
          <w:sz w:val="24"/>
          <w:highlight w:val="none"/>
        </w:rPr>
      </w:pPr>
    </w:p>
    <w:p w14:paraId="4DF91486">
      <w:pPr>
        <w:ind w:firstLine="720" w:firstLineChars="300"/>
        <w:rPr>
          <w:rFonts w:hint="eastAsia" w:ascii="宋体" w:hAnsi="宋体"/>
          <w:b/>
          <w:color w:val="auto"/>
          <w:sz w:val="24"/>
          <w:highlight w:val="none"/>
        </w:rPr>
      </w:pPr>
      <w:bookmarkStart w:id="68" w:name="_Toc533947637"/>
      <w:r>
        <w:rPr>
          <w:rFonts w:hint="eastAsia" w:ascii="宋体" w:hAnsi="宋体" w:cs="宋体"/>
          <w:color w:val="auto"/>
          <w:sz w:val="24"/>
          <w:highlight w:val="none"/>
        </w:rPr>
        <w:t>年    月    日</w:t>
      </w:r>
      <w:bookmarkEnd w:id="68"/>
    </w:p>
    <w:p w14:paraId="1763E381">
      <w:pPr>
        <w:snapToGrid w:val="0"/>
        <w:spacing w:line="360" w:lineRule="auto"/>
        <w:ind w:firstLine="0" w:firstLineChars="0"/>
        <w:rPr>
          <w:rFonts w:hint="default" w:ascii="宋体" w:hAnsi="宋体" w:eastAsia="宋体" w:cs="Times New Roman"/>
          <w:color w:val="auto"/>
          <w:kern w:val="0"/>
          <w:sz w:val="24"/>
          <w:highlight w:val="none"/>
          <w:lang w:eastAsia="zh-CN"/>
        </w:rPr>
      </w:pPr>
    </w:p>
    <w:p w14:paraId="6EC342B6">
      <w:pPr>
        <w:snapToGrid w:val="0"/>
        <w:spacing w:line="360" w:lineRule="auto"/>
        <w:ind w:firstLine="0" w:firstLineChars="0"/>
        <w:rPr>
          <w:rFonts w:hint="default" w:ascii="宋体" w:hAnsi="宋体" w:eastAsia="宋体" w:cs="Times New Roman"/>
          <w:color w:val="auto"/>
          <w:kern w:val="0"/>
          <w:sz w:val="24"/>
          <w:highlight w:val="none"/>
          <w:lang w:eastAsia="zh-CN"/>
        </w:rPr>
      </w:pPr>
    </w:p>
    <w:p w14:paraId="77C48D60">
      <w:pPr>
        <w:snapToGrid w:val="0"/>
        <w:spacing w:line="360" w:lineRule="auto"/>
        <w:ind w:firstLine="0" w:firstLineChars="0"/>
        <w:rPr>
          <w:rFonts w:hint="eastAsia"/>
          <w:color w:val="auto"/>
          <w:highlight w:val="none"/>
        </w:rPr>
      </w:pPr>
      <w:r>
        <w:rPr>
          <w:rFonts w:hint="default" w:ascii="宋体" w:hAnsi="宋体" w:eastAsia="宋体" w:cs="Times New Roman"/>
          <w:b/>
          <w:bCs/>
          <w:color w:val="auto"/>
          <w:kern w:val="0"/>
          <w:sz w:val="24"/>
          <w:highlight w:val="none"/>
          <w:lang w:eastAsia="zh-CN"/>
        </w:rPr>
        <w:t>附件</w:t>
      </w:r>
      <w:r>
        <w:rPr>
          <w:rFonts w:hint="default" w:ascii="宋体" w:hAnsi="宋体" w:eastAsia="宋体" w:cs="Times New Roman"/>
          <w:b/>
          <w:bCs/>
          <w:color w:val="auto"/>
          <w:kern w:val="0"/>
          <w:sz w:val="24"/>
          <w:highlight w:val="none"/>
          <w:lang w:val="en-US" w:eastAsia="zh-CN"/>
        </w:rPr>
        <w:t>：</w:t>
      </w:r>
      <w:r>
        <w:rPr>
          <w:rFonts w:hint="default" w:ascii="宋体" w:hAnsi="宋体" w:eastAsia="宋体" w:cs="Times New Roman"/>
          <w:b/>
          <w:bCs/>
          <w:color w:val="auto"/>
          <w:kern w:val="0"/>
          <w:sz w:val="24"/>
          <w:szCs w:val="24"/>
          <w:highlight w:val="none"/>
        </w:rPr>
        <w:t>分包意向协议</w:t>
      </w:r>
      <w:r>
        <w:rPr>
          <w:rFonts w:ascii="宋体" w:hAnsi="宋体" w:eastAsia="宋体" w:cs="Times New Roman"/>
          <w:b/>
          <w:bCs/>
          <w:color w:val="auto"/>
          <w:kern w:val="0"/>
          <w:sz w:val="24"/>
          <w:highlight w:val="none"/>
        </w:rPr>
        <w:t>格</w:t>
      </w:r>
      <w:r>
        <w:rPr>
          <w:rFonts w:ascii="宋体" w:hAnsi="宋体"/>
          <w:b/>
          <w:bCs/>
          <w:color w:val="auto"/>
          <w:kern w:val="0"/>
          <w:sz w:val="24"/>
          <w:highlight w:val="none"/>
        </w:rPr>
        <w:t>式（本表联合体投标时适用</w:t>
      </w:r>
      <w:r>
        <w:rPr>
          <w:rFonts w:ascii="宋体" w:hAnsi="宋体" w:eastAsia="宋体" w:cs="Times New Roman"/>
          <w:b/>
          <w:bCs/>
          <w:color w:val="auto"/>
          <w:kern w:val="0"/>
          <w:sz w:val="24"/>
          <w:highlight w:val="none"/>
        </w:rPr>
        <w:t>）</w:t>
      </w:r>
    </w:p>
    <w:p w14:paraId="75D92955">
      <w:pPr>
        <w:snapToGrid w:val="0"/>
        <w:spacing w:line="360" w:lineRule="auto"/>
        <w:ind w:firstLine="3534" w:firstLineChars="1100"/>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分包意向协议</w:t>
      </w:r>
    </w:p>
    <w:p w14:paraId="35C014E4">
      <w:pPr>
        <w:widowControl/>
        <w:spacing w:line="360" w:lineRule="auto"/>
        <w:ind w:firstLine="120" w:firstLineChars="50"/>
        <w:jc w:val="left"/>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hint="eastAsia" w:ascii="仿宋_GB2312" w:hAnsi="仿宋" w:eastAsia="仿宋_GB2312" w:cs="仿宋_GB2312"/>
          <w:b/>
          <w:color w:val="auto"/>
          <w:sz w:val="24"/>
          <w:highlight w:val="none"/>
        </w:rPr>
        <w:t>中标后以分包方式履行合同的，提供分包意向协议；投标人中标后不以分包方式履行合同的，则不需要提供</w:t>
      </w:r>
      <w:r>
        <w:rPr>
          <w:rFonts w:hint="eastAsia" w:ascii="仿宋_GB2312" w:hAnsi="仿宋" w:eastAsia="仿宋_GB2312" w:cs="仿宋_GB2312"/>
          <w:b/>
          <w:color w:val="auto"/>
          <w:sz w:val="24"/>
          <w:highlight w:val="none"/>
          <w:lang w:val="en-US" w:eastAsia="zh-CN"/>
        </w:rPr>
        <w:t>.</w:t>
      </w:r>
      <w:r>
        <w:rPr>
          <w:rFonts w:hint="eastAsia" w:ascii="仿宋_GB2312" w:hAnsi="仿宋" w:eastAsia="仿宋_GB2312" w:cs="仿宋_GB2312"/>
          <w:color w:val="auto"/>
          <w:sz w:val="24"/>
          <w:highlight w:val="none"/>
        </w:rPr>
        <w:t>）</w:t>
      </w:r>
    </w:p>
    <w:p w14:paraId="5A08255E">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若成为</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的中标供应商，将依法采取分包方式履行合同。</w:t>
      </w: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rPr>
        <w:t>与</w:t>
      </w:r>
      <w:r>
        <w:rPr>
          <w:rFonts w:hint="eastAsia" w:ascii="仿宋_GB2312" w:hAnsi="仿宋" w:eastAsia="仿宋_GB2312" w:cs="仿宋_GB2312"/>
          <w:color w:val="auto"/>
          <w:kern w:val="0"/>
          <w:sz w:val="24"/>
          <w:highlight w:val="none"/>
          <w:u w:val="single"/>
        </w:rPr>
        <w:t>（所有分包供应商名称）</w:t>
      </w:r>
      <w:r>
        <w:rPr>
          <w:rFonts w:hint="eastAsia" w:ascii="仿宋_GB2312" w:hAnsi="仿宋" w:eastAsia="仿宋_GB2312" w:cs="仿宋_GB2312"/>
          <w:color w:val="auto"/>
          <w:kern w:val="0"/>
          <w:sz w:val="24"/>
          <w:highlight w:val="none"/>
        </w:rPr>
        <w:t>达成分包意向协议</w:t>
      </w:r>
      <w:r>
        <w:rPr>
          <w:rFonts w:hint="eastAsia" w:ascii="仿宋_GB2312" w:hAnsi="仿宋" w:eastAsia="仿宋_GB2312" w:cs="仿宋_GB2312"/>
          <w:color w:val="auto"/>
          <w:kern w:val="0"/>
          <w:sz w:val="24"/>
          <w:highlight w:val="none"/>
          <w:lang w:val="zh-CN"/>
        </w:rPr>
        <w:t>。</w:t>
      </w:r>
      <w:r>
        <w:rPr>
          <w:rFonts w:ascii="仿宋_GB2312" w:hAnsi="仿宋" w:eastAsia="仿宋_GB2312" w:cs="仿宋_GB2312"/>
          <w:color w:val="auto"/>
          <w:kern w:val="0"/>
          <w:sz w:val="24"/>
          <w:highlight w:val="none"/>
          <w:lang w:val="zh-CN"/>
        </w:rPr>
        <w:t xml:space="preserve"> </w:t>
      </w:r>
    </w:p>
    <w:p w14:paraId="50C59026">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一、分包标的及数量</w:t>
      </w:r>
    </w:p>
    <w:p w14:paraId="48B2927D">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将</w:t>
      </w:r>
      <w:r>
        <w:rPr>
          <w:rFonts w:ascii="仿宋_GB2312" w:hAnsi="仿宋" w:eastAsia="仿宋_GB2312"/>
          <w:color w:val="auto"/>
          <w:highlight w:val="none"/>
          <w:u w:val="single"/>
        </w:rPr>
        <w:t xml:space="preserve">   XX工作内容   </w:t>
      </w:r>
      <w:r>
        <w:rPr>
          <w:rFonts w:hint="eastAsia" w:ascii="仿宋_GB2312" w:hAnsi="仿宋" w:eastAsia="仿宋_GB2312" w:cs="Arial"/>
          <w:color w:val="auto"/>
          <w:sz w:val="24"/>
          <w:highlight w:val="none"/>
        </w:rPr>
        <w:t>分包给</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具备承</w:t>
      </w:r>
      <w:r>
        <w:rPr>
          <w:rFonts w:hint="eastAsia" w:ascii="仿宋_GB2312" w:hAnsi="仿宋" w:eastAsia="仿宋_GB2312" w:cs="仿宋_GB2312"/>
          <w:color w:val="auto"/>
          <w:kern w:val="0"/>
          <w:sz w:val="24"/>
          <w:highlight w:val="none"/>
        </w:rPr>
        <w:t>担</w:t>
      </w:r>
      <w:r>
        <w:rPr>
          <w:rFonts w:ascii="仿宋_GB2312" w:hAnsi="仿宋" w:eastAsia="仿宋_GB2312" w:cs="仿宋_GB2312"/>
          <w:color w:val="auto"/>
          <w:kern w:val="0"/>
          <w:sz w:val="24"/>
          <w:highlight w:val="none"/>
          <w:u w:val="single"/>
          <w:lang w:val="zh-CN"/>
        </w:rPr>
        <w:t>XX工作内容</w:t>
      </w:r>
      <w:r>
        <w:rPr>
          <w:rFonts w:hint="eastAsia" w:ascii="仿宋_GB2312" w:hAnsi="仿宋" w:eastAsia="仿宋_GB2312" w:cs="仿宋_GB2312"/>
          <w:color w:val="auto"/>
          <w:kern w:val="0"/>
          <w:sz w:val="24"/>
          <w:highlight w:val="none"/>
          <w:lang w:val="zh-CN"/>
        </w:rPr>
        <w:t>相应资质条件且不得再次分包；</w:t>
      </w:r>
    </w:p>
    <w:p w14:paraId="26ABCD0E">
      <w:pPr>
        <w:pStyle w:val="6"/>
        <w:tabs>
          <w:tab w:val="left" w:pos="432"/>
        </w:tabs>
        <w:ind w:left="664" w:leftChars="316" w:firstLine="229" w:firstLineChars="95"/>
        <w:rPr>
          <w:color w:val="auto"/>
          <w:highlight w:val="none"/>
        </w:rPr>
      </w:pPr>
      <w:r>
        <w:rPr>
          <w:rFonts w:hint="eastAsia" w:cs="仿宋_GB2312"/>
          <w:color w:val="auto"/>
          <w:kern w:val="0"/>
          <w:sz w:val="24"/>
          <w:szCs w:val="24"/>
          <w:highlight w:val="none"/>
        </w:rPr>
        <w:t>……</w:t>
      </w:r>
    </w:p>
    <w:p w14:paraId="3311BB87">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二、分包工作履行期限、地点、方式</w:t>
      </w:r>
    </w:p>
    <w:p w14:paraId="2A71461E">
      <w:pPr>
        <w:snapToGrid w:val="0"/>
        <w:spacing w:line="360" w:lineRule="auto"/>
        <w:ind w:firstLine="576"/>
        <w:rPr>
          <w:rFonts w:ascii="仿宋_GB2312" w:hAnsi="仿宋" w:eastAsia="仿宋_GB2312"/>
          <w:color w:val="auto"/>
          <w:highlight w:val="none"/>
          <w:u w:val="single"/>
        </w:rPr>
      </w:pPr>
      <w:r>
        <w:rPr>
          <w:rFonts w:ascii="仿宋_GB2312" w:hAnsi="仿宋" w:eastAsia="仿宋_GB2312"/>
          <w:color w:val="auto"/>
          <w:highlight w:val="none"/>
          <w:u w:val="single"/>
        </w:rPr>
        <w:t xml:space="preserve">                                                                                  </w:t>
      </w:r>
    </w:p>
    <w:p w14:paraId="29ADDB43">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三、质量</w:t>
      </w:r>
    </w:p>
    <w:p w14:paraId="655B44DF">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14:paraId="0019446C">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四、价款或者报酬</w:t>
      </w:r>
    </w:p>
    <w:p w14:paraId="11BAD0A0">
      <w:pPr>
        <w:snapToGrid w:val="0"/>
        <w:spacing w:line="360" w:lineRule="auto"/>
        <w:ind w:left="573" w:leftChars="273"/>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14:paraId="35E9086F">
      <w:pPr>
        <w:snapToGrid w:val="0"/>
        <w:spacing w:line="360" w:lineRule="auto"/>
        <w:ind w:left="573" w:leftChars="273"/>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五、违约责任</w:t>
      </w:r>
    </w:p>
    <w:p w14:paraId="7EF2FF39">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14:paraId="17ED1715">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六、争议解决的办法</w:t>
      </w:r>
    </w:p>
    <w:p w14:paraId="0D631B4E">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14:paraId="08633037">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七、其他</w:t>
      </w:r>
    </w:p>
    <w:p w14:paraId="168114EE">
      <w:pPr>
        <w:snapToGrid w:val="0"/>
        <w:spacing w:line="360" w:lineRule="auto"/>
        <w:ind w:left="5758" w:leftChars="342" w:hanging="5040" w:hangingChars="2100"/>
        <w:rPr>
          <w:rFonts w:ascii="仿宋_GB2312" w:hAnsi="仿宋" w:eastAsia="仿宋_GB2312" w:cs="仿宋_GB2312"/>
          <w:color w:val="auto"/>
          <w:kern w:val="0"/>
          <w:sz w:val="24"/>
          <w:highlight w:val="none"/>
          <w:lang w:val="zh-CN"/>
        </w:rPr>
      </w:pPr>
      <w:r>
        <w:rPr>
          <w:rFonts w:hint="eastAsia" w:ascii="仿宋_GB2312" w:hAnsi="仿宋" w:eastAsia="仿宋_GB2312"/>
          <w:color w:val="auto"/>
          <w:sz w:val="24"/>
          <w:highlight w:val="none"/>
        </w:rPr>
        <w:t>中小企业合同金额达到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%，小</w:t>
      </w:r>
      <w:r>
        <w:rPr>
          <w:rFonts w:hint="eastAsia" w:ascii="仿宋_GB2312" w:hAnsi="仿宋" w:eastAsia="仿宋_GB2312"/>
          <w:color w:val="auto"/>
          <w:sz w:val="24"/>
          <w:highlight w:val="none"/>
        </w:rPr>
        <w:t>微企业合同金额达到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w:t>
      </w:r>
      <w:r>
        <w:rPr>
          <w:rFonts w:ascii="仿宋_GB2312" w:hAnsi="仿宋" w:eastAsia="仿宋_GB2312" w:cs="仿宋_GB2312"/>
          <w:color w:val="auto"/>
          <w:kern w:val="0"/>
          <w:sz w:val="24"/>
          <w:highlight w:val="none"/>
          <w:lang w:val="zh-CN"/>
        </w:rPr>
        <w:t xml:space="preserve">  。                                         投标人名称：</w:t>
      </w:r>
    </w:p>
    <w:p w14:paraId="032F5CAB">
      <w:pPr>
        <w:snapToGrid w:val="0"/>
        <w:spacing w:line="360" w:lineRule="auto"/>
        <w:ind w:firstLine="5640" w:firstLineChars="235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分包供应商名称：</w:t>
      </w:r>
    </w:p>
    <w:p w14:paraId="66970CCD">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14:paraId="6CDC9522">
      <w:pPr>
        <w:snapToGrid w:val="0"/>
        <w:spacing w:before="50" w:afterLines="50" w:line="360" w:lineRule="auto"/>
        <w:jc w:val="left"/>
        <w:rPr>
          <w:rFonts w:ascii="宋体"/>
          <w:b/>
          <w:color w:val="auto"/>
          <w:sz w:val="24"/>
          <w:highlight w:val="none"/>
        </w:rPr>
      </w:pPr>
      <w:r>
        <w:rPr>
          <w:rFonts w:ascii="仿宋_GB2312" w:hAnsi="仿宋" w:eastAsia="仿宋_GB2312" w:cs="仿宋_GB2312"/>
          <w:color w:val="auto"/>
          <w:kern w:val="0"/>
          <w:sz w:val="24"/>
          <w:highlight w:val="none"/>
          <w:lang w:val="zh-CN"/>
        </w:rPr>
        <w:t xml:space="preserve">                                        日期：  年  月   日</w:t>
      </w:r>
    </w:p>
    <w:p w14:paraId="3E6971BA">
      <w:pPr>
        <w:snapToGrid w:val="0"/>
        <w:spacing w:before="50" w:afterLines="50" w:line="360" w:lineRule="auto"/>
        <w:jc w:val="left"/>
        <w:rPr>
          <w:rFonts w:hint="eastAsia" w:ascii="宋体" w:hAnsi="宋体"/>
          <w:b/>
          <w:color w:val="auto"/>
          <w:sz w:val="24"/>
          <w:highlight w:val="none"/>
        </w:rPr>
      </w:pPr>
    </w:p>
    <w:p w14:paraId="4EE07288">
      <w:pPr>
        <w:snapToGrid w:val="0"/>
        <w:spacing w:after="120" w:afterLines="50" w:line="420" w:lineRule="exact"/>
        <w:jc w:val="left"/>
        <w:rPr>
          <w:rFonts w:hint="eastAsia" w:ascii="宋体" w:hAnsi="宋体" w:eastAsia="宋体" w:cs="宋体"/>
          <w:b/>
          <w:color w:val="auto"/>
          <w:sz w:val="24"/>
          <w:highlight w:val="none"/>
          <w:lang w:eastAsia="zh-CN"/>
        </w:rPr>
      </w:pPr>
      <w:r>
        <w:rPr>
          <w:rFonts w:hint="eastAsia" w:ascii="宋体" w:hAnsi="宋体" w:cs="宋体"/>
          <w:b/>
          <w:color w:val="auto"/>
          <w:sz w:val="24"/>
          <w:highlight w:val="none"/>
          <w:lang w:val="en-US" w:eastAsia="zh-CN"/>
        </w:rPr>
        <w:t>3</w:t>
      </w:r>
      <w:r>
        <w:rPr>
          <w:rFonts w:hint="eastAsia" w:ascii="宋体" w:hAnsi="宋体" w:cs="宋体"/>
          <w:b/>
          <w:color w:val="auto"/>
          <w:sz w:val="24"/>
          <w:highlight w:val="none"/>
        </w:rPr>
        <w:t>.报价文件</w:t>
      </w:r>
    </w:p>
    <w:p w14:paraId="48344F2A">
      <w:pPr>
        <w:tabs>
          <w:tab w:val="left" w:pos="3870"/>
          <w:tab w:val="left" w:pos="4085"/>
        </w:tabs>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（1）投标函（格式见附件）；</w:t>
      </w:r>
    </w:p>
    <w:p w14:paraId="64AF2C1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（2）开标一览表（格式见附件）；</w:t>
      </w:r>
    </w:p>
    <w:p w14:paraId="7B48BDD4">
      <w:pPr>
        <w:ind w:firstLine="480" w:firstLineChars="200"/>
        <w:rPr>
          <w:rFonts w:hint="eastAsia"/>
          <w:color w:val="auto"/>
          <w:highlight w:val="none"/>
        </w:rPr>
      </w:pPr>
      <w:r>
        <w:rPr>
          <w:rFonts w:hint="eastAsia" w:ascii="宋体" w:hAnsi="宋体" w:eastAsia="宋体" w:cs="宋体"/>
          <w:color w:val="auto"/>
          <w:kern w:val="2"/>
          <w:sz w:val="24"/>
          <w:szCs w:val="24"/>
          <w:highlight w:val="none"/>
          <w:lang w:val="en-US" w:eastAsia="zh-CN" w:bidi="ar-SA"/>
        </w:rPr>
        <w:t>（3）</w:t>
      </w:r>
      <w:r>
        <w:rPr>
          <w:rFonts w:hint="eastAsia" w:ascii="宋体" w:hAnsi="宋体" w:eastAsia="宋体" w:cs="宋体"/>
          <w:color w:val="auto"/>
          <w:sz w:val="24"/>
          <w:szCs w:val="24"/>
          <w:highlight w:val="none"/>
        </w:rPr>
        <w:t>投标人针对报价需要说明的其他文件和说明（不允许含报价）。</w:t>
      </w:r>
    </w:p>
    <w:p w14:paraId="4319A761">
      <w:pPr>
        <w:snapToGrid w:val="0"/>
        <w:spacing w:before="50" w:afterLines="50" w:line="360" w:lineRule="auto"/>
        <w:jc w:val="left"/>
        <w:rPr>
          <w:rFonts w:hint="eastAsia" w:ascii="宋体" w:hAnsi="宋体"/>
          <w:b/>
          <w:color w:val="auto"/>
          <w:sz w:val="24"/>
          <w:highlight w:val="none"/>
        </w:rPr>
      </w:pPr>
    </w:p>
    <w:p w14:paraId="1D11C315">
      <w:pPr>
        <w:snapToGrid w:val="0"/>
        <w:spacing w:before="50" w:afterLines="50" w:line="360" w:lineRule="auto"/>
        <w:jc w:val="left"/>
        <w:rPr>
          <w:rFonts w:hint="eastAsia" w:ascii="宋体" w:hAnsi="宋体"/>
          <w:b/>
          <w:color w:val="auto"/>
          <w:sz w:val="24"/>
          <w:highlight w:val="none"/>
        </w:rPr>
      </w:pPr>
    </w:p>
    <w:p w14:paraId="4E676488">
      <w:pPr>
        <w:snapToGrid w:val="0"/>
        <w:spacing w:before="50" w:afterLines="50" w:line="360" w:lineRule="auto"/>
        <w:jc w:val="left"/>
        <w:rPr>
          <w:rFonts w:hint="eastAsia" w:ascii="宋体" w:hAnsi="宋体"/>
          <w:b/>
          <w:color w:val="auto"/>
          <w:sz w:val="24"/>
          <w:highlight w:val="none"/>
        </w:rPr>
      </w:pPr>
    </w:p>
    <w:p w14:paraId="217C8A11">
      <w:pPr>
        <w:snapToGrid w:val="0"/>
        <w:spacing w:before="50" w:afterLines="50" w:line="360" w:lineRule="auto"/>
        <w:jc w:val="left"/>
        <w:rPr>
          <w:rFonts w:hint="eastAsia" w:ascii="宋体" w:hAnsi="宋体"/>
          <w:b/>
          <w:color w:val="auto"/>
          <w:sz w:val="24"/>
          <w:highlight w:val="none"/>
        </w:rPr>
      </w:pPr>
    </w:p>
    <w:p w14:paraId="1A3543D0">
      <w:pPr>
        <w:snapToGrid w:val="0"/>
        <w:spacing w:before="50" w:afterLines="50" w:line="360" w:lineRule="auto"/>
        <w:jc w:val="left"/>
        <w:rPr>
          <w:rFonts w:hint="eastAsia" w:ascii="宋体" w:hAnsi="宋体"/>
          <w:b/>
          <w:color w:val="auto"/>
          <w:sz w:val="24"/>
          <w:highlight w:val="none"/>
        </w:rPr>
      </w:pPr>
    </w:p>
    <w:p w14:paraId="6A3049B3">
      <w:pPr>
        <w:snapToGrid w:val="0"/>
        <w:spacing w:before="50" w:afterLines="50" w:line="360" w:lineRule="auto"/>
        <w:jc w:val="left"/>
        <w:rPr>
          <w:rFonts w:hint="eastAsia" w:ascii="宋体" w:hAnsi="宋体"/>
          <w:b/>
          <w:color w:val="auto"/>
          <w:sz w:val="24"/>
          <w:highlight w:val="none"/>
        </w:rPr>
      </w:pPr>
    </w:p>
    <w:p w14:paraId="40C2F67C">
      <w:pPr>
        <w:snapToGrid w:val="0"/>
        <w:spacing w:before="50" w:afterLines="50" w:line="360" w:lineRule="auto"/>
        <w:jc w:val="left"/>
        <w:rPr>
          <w:rFonts w:hint="eastAsia" w:ascii="宋体" w:hAnsi="宋体"/>
          <w:b/>
          <w:color w:val="auto"/>
          <w:sz w:val="24"/>
          <w:highlight w:val="none"/>
        </w:rPr>
      </w:pPr>
    </w:p>
    <w:p w14:paraId="6C14E8ED">
      <w:pPr>
        <w:snapToGrid w:val="0"/>
        <w:spacing w:before="50" w:afterLines="50" w:line="360" w:lineRule="auto"/>
        <w:jc w:val="left"/>
        <w:rPr>
          <w:rFonts w:hint="eastAsia" w:ascii="宋体" w:hAnsi="宋体"/>
          <w:b/>
          <w:color w:val="auto"/>
          <w:sz w:val="24"/>
          <w:highlight w:val="none"/>
        </w:rPr>
      </w:pPr>
    </w:p>
    <w:p w14:paraId="504BA787">
      <w:pPr>
        <w:snapToGrid w:val="0"/>
        <w:spacing w:before="50" w:afterLines="50" w:line="360" w:lineRule="auto"/>
        <w:jc w:val="left"/>
        <w:rPr>
          <w:rFonts w:hint="eastAsia" w:ascii="宋体" w:hAnsi="宋体"/>
          <w:b/>
          <w:color w:val="auto"/>
          <w:sz w:val="24"/>
          <w:highlight w:val="none"/>
        </w:rPr>
      </w:pPr>
    </w:p>
    <w:p w14:paraId="339B05E6">
      <w:pPr>
        <w:snapToGrid w:val="0"/>
        <w:spacing w:before="50" w:afterLines="50" w:line="360" w:lineRule="auto"/>
        <w:jc w:val="left"/>
        <w:rPr>
          <w:rFonts w:hint="eastAsia" w:ascii="宋体" w:hAnsi="宋体"/>
          <w:b/>
          <w:color w:val="auto"/>
          <w:sz w:val="24"/>
          <w:highlight w:val="none"/>
        </w:rPr>
      </w:pPr>
    </w:p>
    <w:p w14:paraId="11F07245">
      <w:pPr>
        <w:snapToGrid w:val="0"/>
        <w:spacing w:before="50" w:afterLines="50" w:line="360" w:lineRule="auto"/>
        <w:jc w:val="left"/>
        <w:rPr>
          <w:rFonts w:hint="eastAsia" w:ascii="宋体" w:hAnsi="宋体"/>
          <w:b/>
          <w:color w:val="auto"/>
          <w:sz w:val="24"/>
          <w:highlight w:val="none"/>
        </w:rPr>
      </w:pPr>
    </w:p>
    <w:p w14:paraId="3BD13F07">
      <w:pPr>
        <w:snapToGrid w:val="0"/>
        <w:spacing w:before="50" w:afterLines="50" w:line="360" w:lineRule="auto"/>
        <w:jc w:val="left"/>
        <w:rPr>
          <w:rFonts w:hint="eastAsia" w:ascii="宋体" w:hAnsi="宋体"/>
          <w:b/>
          <w:color w:val="auto"/>
          <w:sz w:val="24"/>
          <w:highlight w:val="none"/>
        </w:rPr>
      </w:pPr>
    </w:p>
    <w:p w14:paraId="0421E7F7">
      <w:pPr>
        <w:snapToGrid w:val="0"/>
        <w:spacing w:before="50" w:afterLines="50" w:line="360" w:lineRule="auto"/>
        <w:jc w:val="left"/>
        <w:rPr>
          <w:rFonts w:hint="eastAsia" w:ascii="宋体" w:hAnsi="宋体"/>
          <w:b/>
          <w:color w:val="auto"/>
          <w:sz w:val="24"/>
          <w:highlight w:val="none"/>
        </w:rPr>
      </w:pPr>
    </w:p>
    <w:p w14:paraId="257B52BC">
      <w:pPr>
        <w:snapToGrid w:val="0"/>
        <w:spacing w:before="50" w:afterLines="50" w:line="360" w:lineRule="auto"/>
        <w:jc w:val="left"/>
        <w:rPr>
          <w:rFonts w:hint="eastAsia" w:ascii="宋体" w:hAnsi="宋体"/>
          <w:b/>
          <w:color w:val="auto"/>
          <w:sz w:val="24"/>
          <w:highlight w:val="none"/>
        </w:rPr>
      </w:pPr>
    </w:p>
    <w:p w14:paraId="5A346D0A">
      <w:pPr>
        <w:snapToGrid w:val="0"/>
        <w:spacing w:before="50" w:afterLines="50" w:line="360" w:lineRule="auto"/>
        <w:jc w:val="left"/>
        <w:rPr>
          <w:rFonts w:hint="eastAsia" w:ascii="宋体" w:hAnsi="宋体"/>
          <w:b/>
          <w:color w:val="auto"/>
          <w:sz w:val="24"/>
          <w:highlight w:val="none"/>
        </w:rPr>
      </w:pPr>
    </w:p>
    <w:p w14:paraId="0EB6B6C9">
      <w:pPr>
        <w:snapToGrid w:val="0"/>
        <w:spacing w:before="50" w:afterLines="50" w:line="360" w:lineRule="auto"/>
        <w:jc w:val="left"/>
        <w:rPr>
          <w:rFonts w:hint="eastAsia" w:ascii="宋体" w:hAnsi="宋体"/>
          <w:b/>
          <w:color w:val="auto"/>
          <w:sz w:val="24"/>
          <w:highlight w:val="none"/>
        </w:rPr>
      </w:pPr>
    </w:p>
    <w:p w14:paraId="26CAAF6B">
      <w:pPr>
        <w:snapToGrid w:val="0"/>
        <w:spacing w:before="50" w:afterLines="50" w:line="360" w:lineRule="auto"/>
        <w:jc w:val="left"/>
        <w:rPr>
          <w:rFonts w:hint="eastAsia" w:ascii="宋体" w:hAnsi="宋体"/>
          <w:b/>
          <w:color w:val="auto"/>
          <w:sz w:val="24"/>
          <w:highlight w:val="none"/>
        </w:rPr>
      </w:pPr>
    </w:p>
    <w:p w14:paraId="205D4EEF">
      <w:pPr>
        <w:snapToGrid w:val="0"/>
        <w:spacing w:before="50" w:afterLines="50" w:line="360" w:lineRule="auto"/>
        <w:jc w:val="left"/>
        <w:rPr>
          <w:rFonts w:hint="eastAsia" w:ascii="宋体" w:hAnsi="宋体"/>
          <w:b/>
          <w:color w:val="auto"/>
          <w:sz w:val="24"/>
          <w:highlight w:val="none"/>
        </w:rPr>
      </w:pPr>
    </w:p>
    <w:p w14:paraId="3D17FA43">
      <w:pPr>
        <w:snapToGrid w:val="0"/>
        <w:spacing w:before="50" w:afterLines="50" w:line="360" w:lineRule="auto"/>
        <w:jc w:val="left"/>
        <w:rPr>
          <w:rFonts w:hint="eastAsia" w:ascii="宋体" w:hAnsi="宋体"/>
          <w:b/>
          <w:color w:val="auto"/>
          <w:sz w:val="24"/>
          <w:highlight w:val="none"/>
        </w:rPr>
      </w:pPr>
    </w:p>
    <w:p w14:paraId="7FBD2D7F">
      <w:pPr>
        <w:snapToGrid w:val="0"/>
        <w:spacing w:before="50" w:afterLines="50" w:line="360" w:lineRule="auto"/>
        <w:jc w:val="left"/>
        <w:rPr>
          <w:rFonts w:hint="eastAsia" w:ascii="宋体" w:hAnsi="宋体"/>
          <w:b/>
          <w:color w:val="auto"/>
          <w:sz w:val="24"/>
          <w:highlight w:val="none"/>
        </w:rPr>
      </w:pPr>
    </w:p>
    <w:p w14:paraId="7E9231C0">
      <w:pPr>
        <w:snapToGrid w:val="0"/>
        <w:spacing w:before="50" w:afterLines="50" w:line="360" w:lineRule="auto"/>
        <w:jc w:val="left"/>
        <w:rPr>
          <w:rFonts w:hint="eastAsia" w:ascii="宋体" w:hAnsi="宋体"/>
          <w:b/>
          <w:color w:val="auto"/>
          <w:sz w:val="24"/>
          <w:highlight w:val="none"/>
        </w:rPr>
      </w:pPr>
    </w:p>
    <w:p w14:paraId="5C357F09">
      <w:pPr>
        <w:snapToGrid w:val="0"/>
        <w:spacing w:before="50" w:afterLines="50" w:line="360" w:lineRule="auto"/>
        <w:jc w:val="left"/>
        <w:rPr>
          <w:rFonts w:ascii="宋体"/>
          <w:b/>
          <w:color w:val="auto"/>
          <w:sz w:val="24"/>
          <w:highlight w:val="none"/>
        </w:rPr>
      </w:pPr>
      <w:r>
        <w:rPr>
          <w:rFonts w:hint="eastAsia" w:ascii="宋体" w:hAnsi="宋体"/>
          <w:b/>
          <w:color w:val="auto"/>
          <w:sz w:val="24"/>
          <w:highlight w:val="none"/>
        </w:rPr>
        <w:t>附件：投标函格式：</w:t>
      </w:r>
    </w:p>
    <w:p w14:paraId="48207F48">
      <w:pPr>
        <w:snapToGrid w:val="0"/>
        <w:spacing w:beforeLines="50" w:after="50" w:line="360" w:lineRule="auto"/>
        <w:jc w:val="center"/>
        <w:rPr>
          <w:rFonts w:ascii="宋体"/>
          <w:b/>
          <w:color w:val="auto"/>
          <w:sz w:val="24"/>
          <w:szCs w:val="20"/>
          <w:highlight w:val="none"/>
        </w:rPr>
      </w:pPr>
      <w:r>
        <w:rPr>
          <w:rFonts w:hint="eastAsia" w:ascii="宋体" w:hAnsi="宋体"/>
          <w:b/>
          <w:color w:val="auto"/>
          <w:sz w:val="24"/>
          <w:highlight w:val="none"/>
        </w:rPr>
        <w:t>投标函</w:t>
      </w:r>
    </w:p>
    <w:p w14:paraId="5BF5D4DD">
      <w:pPr>
        <w:snapToGrid w:val="0"/>
        <w:spacing w:line="360" w:lineRule="auto"/>
        <w:rPr>
          <w:rFonts w:ascii="宋体"/>
          <w:color w:val="auto"/>
          <w:sz w:val="24"/>
          <w:szCs w:val="20"/>
          <w:highlight w:val="none"/>
        </w:rPr>
      </w:pPr>
      <w:r>
        <w:rPr>
          <w:rFonts w:hint="eastAsia" w:ascii="宋体" w:hAnsi="宋体"/>
          <w:color w:val="auto"/>
          <w:sz w:val="24"/>
          <w:highlight w:val="none"/>
        </w:rPr>
        <w:t>致：</w:t>
      </w:r>
      <w:r>
        <w:rPr>
          <w:rFonts w:hint="eastAsia" w:ascii="宋体" w:hAnsi="宋体"/>
          <w:color w:val="auto"/>
          <w:sz w:val="24"/>
          <w:highlight w:val="none"/>
          <w:u w:val="single"/>
          <w:lang w:eastAsia="zh-CN"/>
        </w:rPr>
        <w:t>泰宇建筑工程技术咨询有限公司</w:t>
      </w:r>
      <w:r>
        <w:rPr>
          <w:rFonts w:hint="eastAsia" w:ascii="宋体" w:hAnsi="宋体"/>
          <w:color w:val="auto"/>
          <w:sz w:val="24"/>
          <w:highlight w:val="none"/>
        </w:rPr>
        <w:t>（招标采购单位名称）：</w:t>
      </w:r>
    </w:p>
    <w:p w14:paraId="6C64F2CA">
      <w:pPr>
        <w:snapToGrid w:val="0"/>
        <w:spacing w:line="360" w:lineRule="auto"/>
        <w:ind w:firstLine="480"/>
        <w:rPr>
          <w:rFonts w:ascii="宋体"/>
          <w:color w:val="auto"/>
          <w:sz w:val="24"/>
          <w:szCs w:val="20"/>
          <w:highlight w:val="none"/>
        </w:rPr>
      </w:pPr>
      <w:r>
        <w:rPr>
          <w:rFonts w:hint="eastAsia" w:ascii="宋体" w:hAnsi="宋体"/>
          <w:color w:val="auto"/>
          <w:sz w:val="24"/>
          <w:highlight w:val="none"/>
        </w:rPr>
        <w:t>根据贵方为</w:t>
      </w:r>
      <w:r>
        <w:rPr>
          <w:rFonts w:hint="eastAsia" w:ascii="宋体" w:hAnsi="宋体" w:cs="Times New Roman"/>
          <w:color w:val="auto"/>
          <w:sz w:val="24"/>
          <w:highlight w:val="none"/>
          <w:u w:val="single"/>
          <w:lang w:eastAsia="zh-CN"/>
        </w:rPr>
        <w:t>东阳市公共视频监控项目监理服务</w:t>
      </w:r>
      <w:r>
        <w:rPr>
          <w:rFonts w:hint="eastAsia" w:ascii="宋体" w:hAnsi="宋体"/>
          <w:color w:val="auto"/>
          <w:sz w:val="24"/>
          <w:highlight w:val="none"/>
        </w:rPr>
        <w:t>的招标公告（项目编号：</w:t>
      </w:r>
      <w:r>
        <w:rPr>
          <w:rFonts w:ascii="宋体" w:hAnsi="宋体"/>
          <w:color w:val="auto"/>
          <w:sz w:val="24"/>
          <w:highlight w:val="none"/>
        </w:rPr>
        <w:t>_____</w:t>
      </w:r>
      <w:r>
        <w:rPr>
          <w:rFonts w:hint="eastAsia" w:ascii="宋体" w:hAnsi="宋体"/>
          <w:color w:val="auto"/>
          <w:sz w:val="24"/>
          <w:highlight w:val="none"/>
        </w:rPr>
        <w:t>），签字代表</w:t>
      </w:r>
      <w:r>
        <w:rPr>
          <w:rFonts w:ascii="宋体" w:hAnsi="宋体"/>
          <w:color w:val="auto"/>
          <w:sz w:val="24"/>
          <w:highlight w:val="none"/>
        </w:rPr>
        <w:t>______</w:t>
      </w:r>
      <w:r>
        <w:rPr>
          <w:rFonts w:hint="eastAsia" w:ascii="宋体" w:hAnsi="宋体"/>
          <w:color w:val="auto"/>
          <w:sz w:val="24"/>
          <w:highlight w:val="none"/>
        </w:rPr>
        <w:t>（全名）经正式授权并代表投标人</w:t>
      </w:r>
      <w:r>
        <w:rPr>
          <w:rFonts w:ascii="宋体" w:hAnsi="宋体"/>
          <w:color w:val="auto"/>
          <w:sz w:val="24"/>
          <w:highlight w:val="none"/>
        </w:rPr>
        <w:t>_____</w:t>
      </w:r>
      <w:r>
        <w:rPr>
          <w:rFonts w:hint="eastAsia" w:ascii="宋体" w:hAnsi="宋体"/>
          <w:color w:val="auto"/>
          <w:sz w:val="24"/>
          <w:highlight w:val="none"/>
          <w:lang w:val="en-US" w:eastAsia="zh-CN"/>
        </w:rPr>
        <w:t xml:space="preserve"> </w:t>
      </w:r>
      <w:r>
        <w:rPr>
          <w:rFonts w:hint="eastAsia" w:ascii="宋体" w:hAnsi="宋体"/>
          <w:color w:val="auto"/>
          <w:sz w:val="24"/>
          <w:highlight w:val="none"/>
        </w:rPr>
        <w:t>（投标人名称）提交电子投标文件一份，中标后提供</w:t>
      </w:r>
      <w:r>
        <w:rPr>
          <w:rFonts w:hint="eastAsia" w:ascii="宋体" w:hAnsi="宋体"/>
          <w:color w:val="auto"/>
          <w:sz w:val="24"/>
          <w:highlight w:val="none"/>
          <w:lang w:eastAsia="zh-CN"/>
        </w:rPr>
        <w:t>资格响应文件、商务资信技术文件、报价文件</w:t>
      </w:r>
      <w:r>
        <w:rPr>
          <w:rFonts w:hint="eastAsia" w:ascii="宋体" w:hAnsi="宋体"/>
          <w:color w:val="auto"/>
          <w:sz w:val="24"/>
          <w:highlight w:val="none"/>
        </w:rPr>
        <w:t>正本各一份，副本各两份。</w:t>
      </w:r>
    </w:p>
    <w:p w14:paraId="6FED0159">
      <w:pPr>
        <w:snapToGrid w:val="0"/>
        <w:spacing w:line="360" w:lineRule="auto"/>
        <w:ind w:firstLine="480" w:firstLineChars="200"/>
        <w:rPr>
          <w:rFonts w:ascii="宋体"/>
          <w:color w:val="auto"/>
          <w:sz w:val="24"/>
          <w:szCs w:val="20"/>
          <w:highlight w:val="none"/>
        </w:rPr>
      </w:pPr>
      <w:r>
        <w:rPr>
          <w:rFonts w:hint="eastAsia" w:ascii="宋体" w:hAnsi="宋体"/>
          <w:color w:val="auto"/>
          <w:sz w:val="24"/>
          <w:highlight w:val="none"/>
        </w:rPr>
        <w:t>据此函，签字代表宣布同意如下：</w:t>
      </w:r>
    </w:p>
    <w:p w14:paraId="5CEC5350">
      <w:pPr>
        <w:snapToGrid w:val="0"/>
        <w:spacing w:line="360" w:lineRule="auto"/>
        <w:ind w:firstLine="480" w:firstLineChars="200"/>
        <w:rPr>
          <w:rFonts w:ascii="宋体"/>
          <w:color w:val="auto"/>
          <w:sz w:val="24"/>
          <w:szCs w:val="20"/>
          <w:highlight w:val="none"/>
        </w:rPr>
      </w:pPr>
      <w:r>
        <w:rPr>
          <w:rFonts w:ascii="宋体" w:hAnsi="宋体"/>
          <w:color w:val="auto"/>
          <w:sz w:val="24"/>
          <w:highlight w:val="none"/>
        </w:rPr>
        <w:t>1</w:t>
      </w:r>
      <w:r>
        <w:rPr>
          <w:rFonts w:ascii="宋体"/>
          <w:color w:val="auto"/>
          <w:sz w:val="24"/>
          <w:highlight w:val="none"/>
        </w:rPr>
        <w:t>.</w:t>
      </w:r>
      <w:r>
        <w:rPr>
          <w:rFonts w:hint="eastAsia" w:ascii="宋体" w:hAnsi="宋体"/>
          <w:color w:val="auto"/>
          <w:sz w:val="24"/>
          <w:highlight w:val="none"/>
        </w:rPr>
        <w:t>投标人已详细审查全部“招标文件”，包括修改文件（如有的话）以及全部参考资料和有关附件，已经了解我方对于招标文件、采购过程、采购结果有依法进行询问、质疑、投诉的权利及相关渠道和要求。</w:t>
      </w:r>
    </w:p>
    <w:p w14:paraId="7DBEFD6C">
      <w:pPr>
        <w:snapToGrid w:val="0"/>
        <w:spacing w:line="360" w:lineRule="auto"/>
        <w:ind w:firstLine="480" w:firstLineChars="200"/>
        <w:rPr>
          <w:rFonts w:ascii="宋体"/>
          <w:color w:val="auto"/>
          <w:sz w:val="24"/>
          <w:szCs w:val="20"/>
          <w:highlight w:val="none"/>
        </w:rPr>
      </w:pPr>
      <w:r>
        <w:rPr>
          <w:rFonts w:ascii="宋体" w:hAnsi="宋体"/>
          <w:color w:val="auto"/>
          <w:sz w:val="24"/>
          <w:highlight w:val="none"/>
        </w:rPr>
        <w:t>2</w:t>
      </w:r>
      <w:r>
        <w:rPr>
          <w:rFonts w:ascii="宋体"/>
          <w:color w:val="auto"/>
          <w:sz w:val="24"/>
          <w:highlight w:val="none"/>
        </w:rPr>
        <w:t>.</w:t>
      </w:r>
      <w:r>
        <w:rPr>
          <w:rFonts w:hint="eastAsia" w:ascii="宋体" w:hAnsi="宋体"/>
          <w:color w:val="auto"/>
          <w:sz w:val="24"/>
          <w:highlight w:val="none"/>
        </w:rPr>
        <w:t>投标人在投标之前已经与贵方进行了充分的沟通，完全理解并接受招标文件的各项规定和要求，对招标文件的合理性、合法性不再有异议。</w:t>
      </w:r>
    </w:p>
    <w:p w14:paraId="09BB2234">
      <w:pPr>
        <w:snapToGrid w:val="0"/>
        <w:spacing w:line="360" w:lineRule="auto"/>
        <w:ind w:firstLine="480" w:firstLineChars="200"/>
        <w:rPr>
          <w:rFonts w:ascii="宋体"/>
          <w:color w:val="auto"/>
          <w:sz w:val="24"/>
          <w:szCs w:val="20"/>
          <w:highlight w:val="none"/>
        </w:rPr>
      </w:pPr>
      <w:r>
        <w:rPr>
          <w:rFonts w:ascii="宋体" w:hAnsi="宋体"/>
          <w:color w:val="auto"/>
          <w:sz w:val="24"/>
          <w:highlight w:val="none"/>
        </w:rPr>
        <w:t>3</w:t>
      </w:r>
      <w:r>
        <w:rPr>
          <w:rFonts w:ascii="宋体"/>
          <w:color w:val="auto"/>
          <w:sz w:val="24"/>
          <w:highlight w:val="none"/>
        </w:rPr>
        <w:t>.</w:t>
      </w:r>
      <w:r>
        <w:rPr>
          <w:rFonts w:hint="eastAsia" w:ascii="宋体" w:hAnsi="宋体"/>
          <w:color w:val="auto"/>
          <w:sz w:val="24"/>
          <w:highlight w:val="none"/>
        </w:rPr>
        <w:t>本投标有效期自开标日起</w:t>
      </w:r>
      <w:r>
        <w:rPr>
          <w:rFonts w:ascii="宋体" w:hAnsi="宋体"/>
          <w:color w:val="auto"/>
          <w:sz w:val="24"/>
          <w:highlight w:val="none"/>
        </w:rPr>
        <w:t>______</w:t>
      </w:r>
      <w:r>
        <w:rPr>
          <w:rFonts w:hint="eastAsia" w:ascii="宋体" w:hAnsi="宋体"/>
          <w:color w:val="auto"/>
          <w:sz w:val="24"/>
          <w:highlight w:val="none"/>
        </w:rPr>
        <w:t>天。</w:t>
      </w:r>
    </w:p>
    <w:p w14:paraId="42CC45A5">
      <w:pPr>
        <w:snapToGrid w:val="0"/>
        <w:spacing w:line="360" w:lineRule="auto"/>
        <w:ind w:firstLine="480" w:firstLineChars="200"/>
        <w:rPr>
          <w:rFonts w:ascii="宋体"/>
          <w:color w:val="auto"/>
          <w:sz w:val="24"/>
          <w:szCs w:val="20"/>
          <w:highlight w:val="none"/>
        </w:rPr>
      </w:pPr>
      <w:r>
        <w:rPr>
          <w:rFonts w:ascii="宋体" w:hAnsi="宋体"/>
          <w:color w:val="auto"/>
          <w:sz w:val="24"/>
          <w:highlight w:val="none"/>
        </w:rPr>
        <w:t>4</w:t>
      </w:r>
      <w:r>
        <w:rPr>
          <w:rFonts w:ascii="宋体"/>
          <w:color w:val="auto"/>
          <w:sz w:val="24"/>
          <w:highlight w:val="none"/>
        </w:rPr>
        <w:t>.</w:t>
      </w:r>
      <w:r>
        <w:rPr>
          <w:rFonts w:hint="eastAsia" w:ascii="宋体" w:hAnsi="宋体"/>
          <w:color w:val="auto"/>
          <w:sz w:val="24"/>
          <w:highlight w:val="none"/>
        </w:rPr>
        <w:t>如中标，本投标文件至本项目合同履行完毕止均保持有效，本投标人将按“招标文件”及政府采购法律、法规的规定履行合同责任和义务。</w:t>
      </w:r>
    </w:p>
    <w:p w14:paraId="1C13BA27">
      <w:pPr>
        <w:snapToGrid w:val="0"/>
        <w:spacing w:line="360" w:lineRule="auto"/>
        <w:ind w:firstLine="480" w:firstLineChars="200"/>
        <w:rPr>
          <w:rFonts w:ascii="宋体"/>
          <w:color w:val="auto"/>
          <w:sz w:val="24"/>
          <w:szCs w:val="20"/>
          <w:highlight w:val="none"/>
        </w:rPr>
      </w:pPr>
      <w:r>
        <w:rPr>
          <w:rFonts w:ascii="宋体" w:hAnsi="宋体"/>
          <w:color w:val="auto"/>
          <w:sz w:val="24"/>
          <w:highlight w:val="none"/>
        </w:rPr>
        <w:t>5</w:t>
      </w:r>
      <w:r>
        <w:rPr>
          <w:rFonts w:ascii="宋体"/>
          <w:color w:val="auto"/>
          <w:sz w:val="24"/>
          <w:highlight w:val="none"/>
        </w:rPr>
        <w:t>.</w:t>
      </w:r>
      <w:r>
        <w:rPr>
          <w:rFonts w:hint="eastAsia" w:ascii="宋体" w:hAnsi="宋体"/>
          <w:color w:val="auto"/>
          <w:sz w:val="24"/>
          <w:highlight w:val="none"/>
        </w:rPr>
        <w:t>投标人同意按照贵方要求提供与投标有关的一切数据或资料。</w:t>
      </w:r>
    </w:p>
    <w:p w14:paraId="29440E24">
      <w:pPr>
        <w:snapToGrid w:val="0"/>
        <w:spacing w:line="360" w:lineRule="auto"/>
        <w:ind w:firstLine="480" w:firstLineChars="200"/>
        <w:rPr>
          <w:rFonts w:ascii="宋体"/>
          <w:color w:val="auto"/>
          <w:sz w:val="24"/>
          <w:szCs w:val="20"/>
          <w:highlight w:val="none"/>
        </w:rPr>
      </w:pPr>
      <w:r>
        <w:rPr>
          <w:rFonts w:ascii="宋体" w:hAnsi="宋体"/>
          <w:color w:val="auto"/>
          <w:sz w:val="24"/>
          <w:highlight w:val="none"/>
        </w:rPr>
        <w:t>6</w:t>
      </w:r>
      <w:r>
        <w:rPr>
          <w:rFonts w:ascii="宋体"/>
          <w:color w:val="auto"/>
          <w:sz w:val="24"/>
          <w:highlight w:val="none"/>
        </w:rPr>
        <w:t>.</w:t>
      </w:r>
      <w:r>
        <w:rPr>
          <w:rFonts w:hint="eastAsia" w:ascii="宋体" w:hAnsi="宋体"/>
          <w:color w:val="auto"/>
          <w:sz w:val="24"/>
          <w:highlight w:val="none"/>
        </w:rPr>
        <w:t>与本投标有关的一切正式往来信函请寄：</w:t>
      </w:r>
    </w:p>
    <w:p w14:paraId="222D030E">
      <w:pPr>
        <w:snapToGrid w:val="0"/>
        <w:spacing w:line="360" w:lineRule="auto"/>
        <w:rPr>
          <w:rFonts w:ascii="宋体"/>
          <w:color w:val="auto"/>
          <w:sz w:val="24"/>
          <w:szCs w:val="20"/>
          <w:highlight w:val="none"/>
        </w:rPr>
      </w:pPr>
      <w:r>
        <w:rPr>
          <w:rFonts w:hint="eastAsia" w:ascii="宋体" w:hAnsi="宋体"/>
          <w:color w:val="auto"/>
          <w:sz w:val="24"/>
          <w:highlight w:val="none"/>
        </w:rPr>
        <w:t>地址：</w:t>
      </w:r>
      <w:r>
        <w:rPr>
          <w:rFonts w:ascii="宋体" w:hAnsi="宋体"/>
          <w:color w:val="auto"/>
          <w:sz w:val="24"/>
          <w:highlight w:val="none"/>
        </w:rPr>
        <w:t>__________</w:t>
      </w:r>
      <w:r>
        <w:rPr>
          <w:rFonts w:ascii="宋体" w:hAnsi="宋体"/>
          <w:color w:val="auto"/>
          <w:sz w:val="24"/>
          <w:highlight w:val="none"/>
          <w:u w:val="single"/>
        </w:rPr>
        <w:t>_</w:t>
      </w:r>
      <w:r>
        <w:rPr>
          <w:rFonts w:ascii="宋体" w:hAnsi="宋体"/>
          <w:color w:val="auto"/>
          <w:sz w:val="24"/>
          <w:highlight w:val="none"/>
        </w:rPr>
        <w:t>____</w:t>
      </w:r>
      <w:r>
        <w:rPr>
          <w:rFonts w:hint="eastAsia" w:ascii="宋体" w:hAnsi="宋体"/>
          <w:color w:val="auto"/>
          <w:sz w:val="24"/>
          <w:highlight w:val="none"/>
        </w:rPr>
        <w:t>邮编：</w:t>
      </w:r>
      <w:r>
        <w:rPr>
          <w:rFonts w:ascii="宋体" w:hAnsi="宋体"/>
          <w:color w:val="auto"/>
          <w:sz w:val="24"/>
          <w:highlight w:val="none"/>
        </w:rPr>
        <w:t>__________</w:t>
      </w:r>
      <w:r>
        <w:rPr>
          <w:rFonts w:hint="eastAsia" w:ascii="宋体" w:hAnsi="宋体"/>
          <w:color w:val="auto"/>
          <w:sz w:val="24"/>
          <w:highlight w:val="none"/>
        </w:rPr>
        <w:t>电话：</w:t>
      </w:r>
      <w:r>
        <w:rPr>
          <w:rFonts w:ascii="宋体" w:hAnsi="宋体"/>
          <w:color w:val="auto"/>
          <w:sz w:val="24"/>
          <w:highlight w:val="none"/>
        </w:rPr>
        <w:t>______________</w:t>
      </w:r>
    </w:p>
    <w:p w14:paraId="380A5214">
      <w:pPr>
        <w:snapToGrid w:val="0"/>
        <w:spacing w:line="360" w:lineRule="auto"/>
        <w:rPr>
          <w:rFonts w:ascii="宋体"/>
          <w:color w:val="auto"/>
          <w:sz w:val="24"/>
          <w:szCs w:val="20"/>
          <w:highlight w:val="none"/>
        </w:rPr>
      </w:pPr>
      <w:r>
        <w:rPr>
          <w:rFonts w:hint="eastAsia" w:ascii="宋体" w:hAnsi="宋体"/>
          <w:color w:val="auto"/>
          <w:sz w:val="24"/>
          <w:highlight w:val="none"/>
        </w:rPr>
        <w:t>传真：</w:t>
      </w:r>
      <w:r>
        <w:rPr>
          <w:rFonts w:ascii="宋体" w:hAnsi="宋体"/>
          <w:color w:val="auto"/>
          <w:sz w:val="24"/>
          <w:highlight w:val="none"/>
        </w:rPr>
        <w:t>______________</w:t>
      </w:r>
      <w:r>
        <w:rPr>
          <w:rFonts w:hint="eastAsia" w:ascii="宋体" w:hAnsi="宋体"/>
          <w:color w:val="auto"/>
          <w:sz w:val="24"/>
          <w:highlight w:val="none"/>
        </w:rPr>
        <w:t>投标人代表姓名</w:t>
      </w:r>
      <w:r>
        <w:rPr>
          <w:rFonts w:ascii="宋体" w:hAnsi="宋体"/>
          <w:color w:val="auto"/>
          <w:sz w:val="24"/>
          <w:highlight w:val="none"/>
        </w:rPr>
        <w:t>___________</w:t>
      </w:r>
      <w:r>
        <w:rPr>
          <w:rFonts w:hint="eastAsia" w:ascii="宋体" w:hAnsi="宋体"/>
          <w:color w:val="auto"/>
          <w:sz w:val="24"/>
          <w:highlight w:val="none"/>
        </w:rPr>
        <w:t>职务：</w:t>
      </w:r>
      <w:r>
        <w:rPr>
          <w:rFonts w:ascii="宋体" w:hAnsi="宋体"/>
          <w:color w:val="auto"/>
          <w:sz w:val="24"/>
          <w:highlight w:val="none"/>
        </w:rPr>
        <w:t>_____________</w:t>
      </w:r>
    </w:p>
    <w:p w14:paraId="43774636">
      <w:pPr>
        <w:snapToGrid w:val="0"/>
        <w:spacing w:line="360" w:lineRule="auto"/>
        <w:rPr>
          <w:rFonts w:ascii="宋体"/>
          <w:color w:val="auto"/>
          <w:sz w:val="24"/>
          <w:szCs w:val="20"/>
          <w:highlight w:val="none"/>
        </w:rPr>
      </w:pPr>
      <w:r>
        <w:rPr>
          <w:rFonts w:hint="eastAsia" w:ascii="宋体" w:hAnsi="宋体"/>
          <w:color w:val="auto"/>
          <w:sz w:val="24"/>
          <w:highlight w:val="none"/>
        </w:rPr>
        <w:t>投标人名称</w:t>
      </w:r>
      <w:r>
        <w:rPr>
          <w:rFonts w:ascii="宋体" w:hAnsi="宋体"/>
          <w:color w:val="auto"/>
          <w:sz w:val="24"/>
          <w:highlight w:val="none"/>
        </w:rPr>
        <w:t>(</w:t>
      </w:r>
      <w:r>
        <w:rPr>
          <w:rFonts w:hint="eastAsia" w:ascii="宋体" w:hAnsi="宋体"/>
          <w:color w:val="auto"/>
          <w:sz w:val="24"/>
          <w:highlight w:val="none"/>
        </w:rPr>
        <w:t>（盖公章或电子签章）</w:t>
      </w:r>
      <w:r>
        <w:rPr>
          <w:rFonts w:ascii="宋体" w:hAnsi="宋体"/>
          <w:color w:val="auto"/>
          <w:sz w:val="24"/>
          <w:highlight w:val="none"/>
        </w:rPr>
        <w:t>):___________________</w:t>
      </w:r>
    </w:p>
    <w:p w14:paraId="12F64070">
      <w:pPr>
        <w:snapToGrid w:val="0"/>
        <w:spacing w:line="360" w:lineRule="auto"/>
        <w:rPr>
          <w:rFonts w:ascii="宋体"/>
          <w:color w:val="auto"/>
          <w:sz w:val="24"/>
          <w:highlight w:val="none"/>
        </w:rPr>
      </w:pPr>
      <w:r>
        <w:rPr>
          <w:rFonts w:hint="eastAsia" w:ascii="宋体" w:hAnsi="宋体"/>
          <w:color w:val="auto"/>
          <w:sz w:val="24"/>
          <w:highlight w:val="none"/>
        </w:rPr>
        <w:t>授权代表签字</w:t>
      </w:r>
      <w:r>
        <w:rPr>
          <w:rFonts w:ascii="宋体" w:hAnsi="宋体"/>
          <w:color w:val="auto"/>
          <w:sz w:val="24"/>
          <w:highlight w:val="none"/>
        </w:rPr>
        <w:t>:___________</w:t>
      </w:r>
    </w:p>
    <w:p w14:paraId="48A04B77">
      <w:pPr>
        <w:snapToGrid w:val="0"/>
        <w:spacing w:line="360" w:lineRule="auto"/>
        <w:rPr>
          <w:rFonts w:ascii="宋体"/>
          <w:color w:val="auto"/>
          <w:sz w:val="30"/>
          <w:szCs w:val="20"/>
          <w:highlight w:val="none"/>
        </w:rPr>
      </w:pPr>
      <w:r>
        <w:rPr>
          <w:rFonts w:hint="eastAsia" w:ascii="宋体" w:hAnsi="宋体"/>
          <w:color w:val="auto"/>
          <w:sz w:val="24"/>
          <w:highlight w:val="none"/>
        </w:rPr>
        <w:t>日期</w:t>
      </w:r>
      <w:r>
        <w:rPr>
          <w:rFonts w:ascii="宋体" w:hAnsi="宋体"/>
          <w:color w:val="auto"/>
          <w:sz w:val="24"/>
          <w:highlight w:val="none"/>
        </w:rPr>
        <w:t>:_____</w:t>
      </w:r>
      <w:r>
        <w:rPr>
          <w:rFonts w:hint="eastAsia" w:ascii="宋体" w:hAnsi="宋体"/>
          <w:color w:val="auto"/>
          <w:sz w:val="24"/>
          <w:highlight w:val="none"/>
        </w:rPr>
        <w:t>年</w:t>
      </w:r>
      <w:r>
        <w:rPr>
          <w:rFonts w:ascii="宋体" w:hAnsi="宋体"/>
          <w:color w:val="auto"/>
          <w:sz w:val="24"/>
          <w:highlight w:val="none"/>
        </w:rPr>
        <w:t>___</w:t>
      </w:r>
      <w:r>
        <w:rPr>
          <w:rFonts w:hint="eastAsia" w:ascii="宋体" w:hAnsi="宋体"/>
          <w:color w:val="auto"/>
          <w:sz w:val="24"/>
          <w:highlight w:val="none"/>
        </w:rPr>
        <w:t>月</w:t>
      </w:r>
      <w:r>
        <w:rPr>
          <w:rFonts w:ascii="宋体" w:hAnsi="宋体"/>
          <w:color w:val="auto"/>
          <w:sz w:val="24"/>
          <w:highlight w:val="none"/>
        </w:rPr>
        <w:t>___</w:t>
      </w:r>
      <w:r>
        <w:rPr>
          <w:rFonts w:hint="eastAsia" w:ascii="宋体" w:hAnsi="宋体"/>
          <w:color w:val="auto"/>
          <w:sz w:val="24"/>
          <w:highlight w:val="none"/>
        </w:rPr>
        <w:t>日</w:t>
      </w:r>
    </w:p>
    <w:p w14:paraId="062B2B37">
      <w:pPr>
        <w:snapToGrid w:val="0"/>
        <w:spacing w:before="50" w:after="50" w:line="360" w:lineRule="auto"/>
        <w:ind w:right="-817" w:rightChars="-389"/>
        <w:rPr>
          <w:rFonts w:ascii="宋体"/>
          <w:b/>
          <w:color w:val="auto"/>
          <w:sz w:val="24"/>
          <w:highlight w:val="none"/>
        </w:rPr>
      </w:pPr>
    </w:p>
    <w:p w14:paraId="499723ED">
      <w:pPr>
        <w:snapToGrid w:val="0"/>
        <w:spacing w:before="50" w:after="50" w:line="360" w:lineRule="auto"/>
        <w:ind w:left="-2" w:leftChars="-72" w:right="-817" w:rightChars="-389" w:hanging="149" w:hangingChars="62"/>
        <w:rPr>
          <w:rFonts w:hint="eastAsia" w:ascii="宋体" w:hAnsi="宋体"/>
          <w:b/>
          <w:color w:val="auto"/>
          <w:sz w:val="24"/>
          <w:highlight w:val="none"/>
        </w:rPr>
      </w:pPr>
    </w:p>
    <w:p w14:paraId="21E29E3D">
      <w:pPr>
        <w:snapToGrid w:val="0"/>
        <w:spacing w:before="50" w:after="50" w:line="360" w:lineRule="auto"/>
        <w:ind w:left="-2" w:leftChars="-72" w:right="-817" w:rightChars="-389" w:hanging="149" w:hangingChars="62"/>
        <w:rPr>
          <w:rFonts w:hint="eastAsia" w:ascii="宋体" w:hAnsi="宋体"/>
          <w:b/>
          <w:color w:val="auto"/>
          <w:sz w:val="24"/>
          <w:highlight w:val="none"/>
        </w:rPr>
      </w:pPr>
    </w:p>
    <w:p w14:paraId="6B0BC554">
      <w:pPr>
        <w:snapToGrid w:val="0"/>
        <w:spacing w:before="50" w:after="50" w:line="360" w:lineRule="auto"/>
        <w:ind w:left="-2" w:leftChars="-72" w:right="-817" w:rightChars="-389" w:hanging="149" w:hangingChars="62"/>
        <w:rPr>
          <w:rFonts w:hint="eastAsia" w:ascii="宋体" w:hAnsi="宋体"/>
          <w:b/>
          <w:color w:val="auto"/>
          <w:sz w:val="24"/>
          <w:highlight w:val="none"/>
        </w:rPr>
      </w:pPr>
    </w:p>
    <w:p w14:paraId="4A5A5FEE">
      <w:pPr>
        <w:snapToGrid w:val="0"/>
        <w:spacing w:before="50" w:after="50" w:line="360" w:lineRule="auto"/>
        <w:ind w:left="-2" w:leftChars="-72" w:right="-817" w:rightChars="-389" w:hanging="149" w:hangingChars="62"/>
        <w:rPr>
          <w:rFonts w:hint="eastAsia" w:ascii="宋体" w:hAnsi="宋体"/>
          <w:b/>
          <w:color w:val="auto"/>
          <w:sz w:val="24"/>
          <w:highlight w:val="none"/>
        </w:rPr>
      </w:pPr>
    </w:p>
    <w:p w14:paraId="0D2CA64A">
      <w:pPr>
        <w:snapToGrid w:val="0"/>
        <w:spacing w:before="50" w:after="50" w:line="360" w:lineRule="auto"/>
        <w:ind w:left="-2" w:leftChars="-72" w:right="-817" w:rightChars="-389" w:hanging="149" w:hangingChars="62"/>
        <w:rPr>
          <w:rFonts w:hint="eastAsia" w:ascii="宋体" w:hAnsi="宋体"/>
          <w:b/>
          <w:color w:val="auto"/>
          <w:sz w:val="24"/>
          <w:highlight w:val="none"/>
        </w:rPr>
      </w:pPr>
    </w:p>
    <w:p w14:paraId="477E47F1">
      <w:pPr>
        <w:snapToGrid w:val="0"/>
        <w:spacing w:before="50" w:after="50" w:line="360" w:lineRule="auto"/>
        <w:ind w:left="-2" w:leftChars="-72" w:right="-817" w:rightChars="-389" w:hanging="149" w:hangingChars="62"/>
        <w:rPr>
          <w:rFonts w:ascii="宋体"/>
          <w:color w:val="auto"/>
          <w:sz w:val="24"/>
          <w:highlight w:val="none"/>
        </w:rPr>
      </w:pPr>
      <w:r>
        <w:rPr>
          <w:rFonts w:hint="eastAsia" w:ascii="宋体" w:hAnsi="宋体"/>
          <w:b/>
          <w:color w:val="auto"/>
          <w:sz w:val="24"/>
          <w:highlight w:val="none"/>
        </w:rPr>
        <w:t>附件：开标一览表</w:t>
      </w:r>
    </w:p>
    <w:p w14:paraId="46A91A11">
      <w:pPr>
        <w:snapToGrid w:val="0"/>
        <w:spacing w:before="50" w:after="156" w:afterLines="50" w:line="360" w:lineRule="auto"/>
        <w:jc w:val="left"/>
        <w:rPr>
          <w:rFonts w:hint="eastAsia" w:ascii="宋体" w:hAnsi="宋体"/>
          <w:b/>
          <w:color w:val="auto"/>
          <w:sz w:val="24"/>
          <w:highlight w:val="none"/>
        </w:rPr>
      </w:pPr>
    </w:p>
    <w:p w14:paraId="44EFB4A4">
      <w:pPr>
        <w:pStyle w:val="3"/>
        <w:jc w:val="center"/>
        <w:rPr>
          <w:rFonts w:hint="eastAsia"/>
          <w:color w:val="auto"/>
          <w:highlight w:val="none"/>
        </w:rPr>
      </w:pPr>
      <w:r>
        <w:rPr>
          <w:rFonts w:hint="eastAsia" w:ascii="宋体" w:hAnsi="宋体"/>
          <w:b/>
          <w:color w:val="auto"/>
          <w:sz w:val="24"/>
          <w:highlight w:val="none"/>
        </w:rPr>
        <w:t>开标一览表</w:t>
      </w:r>
    </w:p>
    <w:p w14:paraId="0BC2AF91">
      <w:pPr>
        <w:snapToGrid w:val="0"/>
        <w:spacing w:line="480" w:lineRule="auto"/>
        <w:jc w:val="left"/>
        <w:rPr>
          <w:rFonts w:hint="eastAsia" w:ascii="宋体" w:hAnsi="宋体"/>
          <w:b/>
          <w:bCs/>
          <w:color w:val="auto"/>
          <w:sz w:val="22"/>
          <w:szCs w:val="22"/>
          <w:highlight w:val="none"/>
        </w:rPr>
      </w:pPr>
      <w:r>
        <w:rPr>
          <w:rFonts w:hint="eastAsia" w:ascii="宋体" w:hAnsi="宋体"/>
          <w:b/>
          <w:bCs/>
          <w:color w:val="auto"/>
          <w:sz w:val="22"/>
          <w:szCs w:val="22"/>
          <w:highlight w:val="none"/>
        </w:rPr>
        <w:t>招标编号：</w:t>
      </w:r>
      <w:r>
        <w:rPr>
          <w:rFonts w:hint="eastAsia" w:ascii="宋体" w:hAnsi="宋体"/>
          <w:b/>
          <w:bCs/>
          <w:color w:val="auto"/>
          <w:sz w:val="22"/>
          <w:szCs w:val="22"/>
          <w:highlight w:val="none"/>
          <w:u w:val="single"/>
          <w:lang w:val="en-US" w:eastAsia="zh-CN"/>
        </w:rPr>
        <w:t>TYZX2025-001</w:t>
      </w:r>
      <w:r>
        <w:rPr>
          <w:rFonts w:hint="eastAsia" w:ascii="宋体" w:hAnsi="宋体"/>
          <w:b/>
          <w:bCs/>
          <w:color w:val="auto"/>
          <w:sz w:val="22"/>
          <w:szCs w:val="22"/>
          <w:highlight w:val="none"/>
        </w:rPr>
        <w:t xml:space="preserve">                                        </w:t>
      </w:r>
    </w:p>
    <w:p w14:paraId="3BD69ABF">
      <w:pPr>
        <w:snapToGrid w:val="0"/>
        <w:spacing w:line="480" w:lineRule="auto"/>
        <w:jc w:val="left"/>
        <w:rPr>
          <w:rFonts w:hint="eastAsia" w:ascii="宋体" w:hAnsi="宋体"/>
          <w:color w:val="auto"/>
          <w:szCs w:val="21"/>
          <w:highlight w:val="none"/>
          <w:lang w:val="en-US" w:eastAsia="zh-CN"/>
        </w:rPr>
      </w:pPr>
      <w:r>
        <w:rPr>
          <w:rFonts w:hint="eastAsia" w:ascii="宋体" w:hAnsi="宋体"/>
          <w:b/>
          <w:bCs/>
          <w:color w:val="auto"/>
          <w:sz w:val="22"/>
          <w:szCs w:val="22"/>
          <w:highlight w:val="none"/>
        </w:rPr>
        <w:t>项目名称：</w:t>
      </w:r>
      <w:r>
        <w:rPr>
          <w:rFonts w:hint="eastAsia" w:ascii="宋体" w:hAnsi="宋体"/>
          <w:b/>
          <w:bCs/>
          <w:color w:val="auto"/>
          <w:sz w:val="22"/>
          <w:szCs w:val="22"/>
          <w:highlight w:val="none"/>
          <w:u w:val="single"/>
          <w:lang w:eastAsia="zh-CN"/>
        </w:rPr>
        <w:t>东阳市公共视频监控项目监理服务</w:t>
      </w:r>
      <w:r>
        <w:rPr>
          <w:rFonts w:ascii="宋体" w:hAnsi="宋体"/>
          <w:color w:val="auto"/>
          <w:szCs w:val="21"/>
          <w:highlight w:val="none"/>
        </w:rPr>
        <w:t xml:space="preserve">      </w:t>
      </w:r>
      <w:r>
        <w:rPr>
          <w:rFonts w:hint="eastAsia" w:ascii="宋体" w:hAnsi="宋体"/>
          <w:color w:val="auto"/>
          <w:szCs w:val="21"/>
          <w:highlight w:val="none"/>
        </w:rPr>
        <w:t xml:space="preserve">  </w:t>
      </w: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单位：</w:t>
      </w:r>
      <w:r>
        <w:rPr>
          <w:rFonts w:hint="eastAsia" w:ascii="宋体" w:hAnsi="宋体"/>
          <w:color w:val="auto"/>
          <w:szCs w:val="21"/>
          <w:highlight w:val="none"/>
          <w:lang w:val="en-US" w:eastAsia="zh-CN"/>
        </w:rPr>
        <w:t>元</w:t>
      </w:r>
    </w:p>
    <w:tbl>
      <w:tblPr>
        <w:tblStyle w:val="45"/>
        <w:tblpPr w:leftFromText="180" w:rightFromText="180" w:vertAnchor="text" w:horzAnchor="page" w:tblpX="1515" w:tblpY="443"/>
        <w:tblOverlap w:val="never"/>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2"/>
        <w:gridCol w:w="5211"/>
        <w:gridCol w:w="2153"/>
        <w:gridCol w:w="1336"/>
      </w:tblGrid>
      <w:tr w14:paraId="0E457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9" w:type="pct"/>
          </w:tcPr>
          <w:p w14:paraId="29D1B81F">
            <w:pPr>
              <w:spacing w:line="600" w:lineRule="auto"/>
              <w:jc w:val="center"/>
              <w:rPr>
                <w:rFonts w:ascii="宋体" w:hAnsi="宋体" w:cs="宋体"/>
                <w:b/>
                <w:bCs/>
                <w:color w:val="auto"/>
                <w:sz w:val="24"/>
              </w:rPr>
            </w:pPr>
            <w:r>
              <w:rPr>
                <w:rFonts w:hint="eastAsia" w:ascii="宋体" w:hAnsi="宋体" w:cs="宋体"/>
                <w:b/>
                <w:bCs/>
                <w:color w:val="auto"/>
                <w:sz w:val="24"/>
              </w:rPr>
              <w:t>序号</w:t>
            </w:r>
          </w:p>
        </w:tc>
        <w:tc>
          <w:tcPr>
            <w:tcW w:w="2708" w:type="pct"/>
          </w:tcPr>
          <w:p w14:paraId="62940347">
            <w:pPr>
              <w:spacing w:line="600" w:lineRule="auto"/>
              <w:jc w:val="center"/>
              <w:rPr>
                <w:rFonts w:hint="eastAsia" w:ascii="宋体" w:hAnsi="宋体" w:eastAsia="宋体" w:cs="宋体"/>
                <w:b/>
                <w:bCs/>
                <w:color w:val="auto"/>
                <w:sz w:val="24"/>
                <w:lang w:eastAsia="zh-CN"/>
              </w:rPr>
            </w:pPr>
            <w:r>
              <w:rPr>
                <w:rFonts w:hint="eastAsia" w:ascii="宋体" w:hAnsi="宋体" w:cs="宋体"/>
                <w:b/>
                <w:bCs/>
                <w:color w:val="auto"/>
                <w:sz w:val="24"/>
                <w:lang w:eastAsia="zh-CN"/>
              </w:rPr>
              <w:t>采购内容</w:t>
            </w:r>
          </w:p>
        </w:tc>
        <w:tc>
          <w:tcPr>
            <w:tcW w:w="1119" w:type="pct"/>
          </w:tcPr>
          <w:p w14:paraId="1D7F390B">
            <w:pPr>
              <w:spacing w:line="600" w:lineRule="auto"/>
              <w:jc w:val="center"/>
              <w:rPr>
                <w:rFonts w:ascii="宋体" w:hAnsi="宋体" w:cs="宋体"/>
                <w:b/>
                <w:bCs/>
                <w:color w:val="auto"/>
                <w:sz w:val="24"/>
              </w:rPr>
            </w:pPr>
            <w:r>
              <w:rPr>
                <w:rFonts w:hint="eastAsia" w:ascii="宋体" w:hAnsi="宋体" w:cs="宋体"/>
                <w:b/>
                <w:bCs/>
                <w:color w:val="auto"/>
                <w:sz w:val="24"/>
              </w:rPr>
              <w:t>投标报价（元）</w:t>
            </w:r>
          </w:p>
        </w:tc>
        <w:tc>
          <w:tcPr>
            <w:tcW w:w="692" w:type="pct"/>
          </w:tcPr>
          <w:p w14:paraId="13434D78">
            <w:pPr>
              <w:spacing w:line="600" w:lineRule="auto"/>
              <w:jc w:val="center"/>
              <w:rPr>
                <w:rFonts w:ascii="宋体" w:hAnsi="宋体" w:cs="宋体"/>
                <w:b/>
                <w:bCs/>
                <w:color w:val="auto"/>
                <w:sz w:val="24"/>
              </w:rPr>
            </w:pPr>
            <w:r>
              <w:rPr>
                <w:rFonts w:hint="eastAsia" w:ascii="宋体" w:hAnsi="宋体" w:cs="宋体"/>
                <w:b/>
                <w:bCs/>
                <w:color w:val="auto"/>
                <w:sz w:val="24"/>
              </w:rPr>
              <w:t>备注</w:t>
            </w:r>
          </w:p>
        </w:tc>
      </w:tr>
      <w:tr w14:paraId="377EF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479" w:type="pct"/>
            <w:vAlign w:val="center"/>
          </w:tcPr>
          <w:p w14:paraId="4A692537">
            <w:pPr>
              <w:spacing w:line="600" w:lineRule="auto"/>
              <w:jc w:val="center"/>
              <w:rPr>
                <w:rFonts w:ascii="宋体" w:hAnsi="宋体" w:cs="宋体"/>
                <w:b/>
                <w:color w:val="auto"/>
                <w:sz w:val="24"/>
              </w:rPr>
            </w:pPr>
            <w:r>
              <w:rPr>
                <w:rFonts w:hint="eastAsia" w:ascii="宋体" w:hAnsi="宋体" w:cs="宋体"/>
                <w:bCs/>
                <w:color w:val="auto"/>
                <w:sz w:val="24"/>
              </w:rPr>
              <w:t>1</w:t>
            </w:r>
          </w:p>
        </w:tc>
        <w:tc>
          <w:tcPr>
            <w:tcW w:w="2708" w:type="pct"/>
            <w:vAlign w:val="center"/>
          </w:tcPr>
          <w:p w14:paraId="45616365">
            <w:pPr>
              <w:spacing w:line="600" w:lineRule="auto"/>
              <w:jc w:val="center"/>
              <w:rPr>
                <w:rFonts w:hint="default" w:ascii="宋体" w:hAnsi="宋体" w:cs="宋体"/>
                <w:b/>
                <w:color w:val="auto"/>
                <w:sz w:val="24"/>
                <w:lang w:val="en-US"/>
              </w:rPr>
            </w:pPr>
            <w:r>
              <w:rPr>
                <w:rFonts w:hint="eastAsia" w:ascii="宋体" w:hAnsi="宋体" w:cs="宋体"/>
                <w:b/>
                <w:color w:val="auto"/>
                <w:sz w:val="24"/>
                <w:lang w:val="en-US" w:eastAsia="zh-CN"/>
              </w:rPr>
              <w:t>东阳市公共视频监控项目监理服务</w:t>
            </w:r>
          </w:p>
        </w:tc>
        <w:tc>
          <w:tcPr>
            <w:tcW w:w="1119" w:type="pct"/>
            <w:vAlign w:val="center"/>
          </w:tcPr>
          <w:p w14:paraId="76346CFB">
            <w:pPr>
              <w:spacing w:line="600" w:lineRule="auto"/>
              <w:jc w:val="center"/>
              <w:rPr>
                <w:rFonts w:ascii="宋体" w:hAnsi="宋体" w:cs="宋体"/>
                <w:b/>
                <w:color w:val="auto"/>
                <w:sz w:val="24"/>
              </w:rPr>
            </w:pPr>
          </w:p>
        </w:tc>
        <w:tc>
          <w:tcPr>
            <w:tcW w:w="692" w:type="pct"/>
            <w:vAlign w:val="center"/>
          </w:tcPr>
          <w:p w14:paraId="3B39589F">
            <w:pPr>
              <w:spacing w:line="600" w:lineRule="auto"/>
              <w:jc w:val="center"/>
              <w:rPr>
                <w:rFonts w:ascii="宋体" w:hAnsi="宋体" w:cs="宋体"/>
                <w:b/>
                <w:color w:val="auto"/>
                <w:sz w:val="24"/>
              </w:rPr>
            </w:pPr>
          </w:p>
        </w:tc>
      </w:tr>
      <w:tr w14:paraId="48890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4"/>
            <w:vAlign w:val="center"/>
          </w:tcPr>
          <w:p w14:paraId="52A8DA86">
            <w:pPr>
              <w:spacing w:line="600" w:lineRule="auto"/>
              <w:rPr>
                <w:rFonts w:ascii="宋体" w:hAnsi="宋体" w:cs="宋体"/>
                <w:color w:val="auto"/>
                <w:sz w:val="24"/>
              </w:rPr>
            </w:pPr>
            <w:r>
              <w:rPr>
                <w:rFonts w:hint="eastAsia" w:ascii="宋体" w:hAnsi="宋体" w:cs="宋体"/>
                <w:color w:val="auto"/>
                <w:sz w:val="24"/>
              </w:rPr>
              <w:t xml:space="preserve">人民币报价（大写）：        </w:t>
            </w:r>
            <w:r>
              <w:rPr>
                <w:rFonts w:hint="eastAsia" w:ascii="宋体" w:hAnsi="宋体" w:cs="宋体"/>
                <w:color w:val="auto"/>
                <w:sz w:val="24"/>
                <w:lang w:val="en-US" w:eastAsia="zh-CN"/>
              </w:rPr>
              <w:t xml:space="preserve"> </w:t>
            </w:r>
            <w:r>
              <w:rPr>
                <w:rFonts w:hint="eastAsia" w:ascii="宋体" w:hAnsi="宋体" w:cs="宋体"/>
                <w:color w:val="auto"/>
                <w:sz w:val="24"/>
              </w:rPr>
              <w:t xml:space="preserve">     小写：</w:t>
            </w:r>
          </w:p>
        </w:tc>
      </w:tr>
    </w:tbl>
    <w:p w14:paraId="03F848AB">
      <w:pPr>
        <w:pStyle w:val="3"/>
        <w:rPr>
          <w:rFonts w:hint="eastAsia"/>
          <w:color w:val="auto"/>
          <w:lang w:val="en-US" w:eastAsia="zh-CN"/>
        </w:rPr>
      </w:pPr>
    </w:p>
    <w:p w14:paraId="3E23B7D0">
      <w:pPr>
        <w:snapToGrid w:val="0"/>
        <w:spacing w:before="50" w:beforeLines="0" w:after="50" w:afterLines="0" w:line="360" w:lineRule="auto"/>
        <w:jc w:val="left"/>
        <w:rPr>
          <w:rFonts w:ascii="宋体" w:hAnsi="宋体"/>
          <w:color w:val="auto"/>
          <w:sz w:val="24"/>
          <w:highlight w:val="none"/>
        </w:rPr>
      </w:pPr>
      <w:r>
        <w:rPr>
          <w:rFonts w:hint="eastAsia" w:ascii="宋体" w:hAnsi="宋体"/>
          <w:color w:val="auto"/>
          <w:sz w:val="24"/>
          <w:highlight w:val="none"/>
        </w:rPr>
        <w:t>注</w:t>
      </w:r>
      <w:r>
        <w:rPr>
          <w:rFonts w:ascii="宋体" w:hAnsi="宋体"/>
          <w:color w:val="auto"/>
          <w:sz w:val="24"/>
          <w:highlight w:val="none"/>
        </w:rPr>
        <w:t xml:space="preserve">: </w:t>
      </w:r>
    </w:p>
    <w:p w14:paraId="4E2CCC10">
      <w:pPr>
        <w:snapToGrid w:val="0"/>
        <w:spacing w:before="50" w:beforeLines="0" w:after="50" w:afterLines="0" w:line="360" w:lineRule="auto"/>
        <w:ind w:firstLine="480" w:firstLineChars="200"/>
        <w:jc w:val="left"/>
        <w:rPr>
          <w:rFonts w:ascii="宋体" w:hAnsi="宋体"/>
          <w:color w:val="auto"/>
          <w:sz w:val="24"/>
          <w:szCs w:val="20"/>
          <w:highlight w:val="none"/>
        </w:rPr>
      </w:pPr>
      <w:r>
        <w:rPr>
          <w:rFonts w:hint="eastAsia" w:ascii="宋体" w:hAnsi="宋体"/>
          <w:color w:val="auto"/>
          <w:sz w:val="24"/>
          <w:highlight w:val="none"/>
        </w:rPr>
        <w:t>1、报价一经涂改，应在涂改处加盖单位公章或者由法定代表人或授权委托人签字或盖章，否则其投标作无效标处理。</w:t>
      </w:r>
    </w:p>
    <w:p w14:paraId="5EAF5C6E">
      <w:pPr>
        <w:spacing w:line="440" w:lineRule="exact"/>
        <w:ind w:firstLine="480" w:firstLineChars="200"/>
        <w:rPr>
          <w:color w:val="auto"/>
          <w:highlight w:val="none"/>
        </w:rPr>
      </w:pPr>
      <w:r>
        <w:rPr>
          <w:rFonts w:hint="eastAsia" w:ascii="宋体" w:hAnsi="宋体"/>
          <w:color w:val="auto"/>
          <w:sz w:val="24"/>
          <w:highlight w:val="none"/>
        </w:rPr>
        <w:t>2、投标报价须包括监理服务费、技术资料费、人员费用、设备（软件）和仪器使用费、利润、保险费、税费等（包含合同中明示或暗示的所有一般风险、责任和义务等所产生的费用），投标人所投报的投标报价为投标人所能承受的整个项目的一次性最终报价，如有漏项，视同已包含在其它项目中，合同总价和单价不做调整</w:t>
      </w:r>
      <w:r>
        <w:rPr>
          <w:rFonts w:hint="eastAsia" w:ascii="宋体" w:hAnsi="宋体" w:eastAsia="宋体" w:cs="宋体"/>
          <w:color w:val="auto"/>
          <w:sz w:val="24"/>
          <w:highlight w:val="none"/>
          <w:lang w:val="en-US" w:eastAsia="zh-CN"/>
        </w:rPr>
        <w:t>。</w:t>
      </w:r>
    </w:p>
    <w:p w14:paraId="2244DCAC">
      <w:pPr>
        <w:shd w:val="clear"/>
        <w:spacing w:line="360" w:lineRule="auto"/>
        <w:ind w:firstLine="477" w:firstLineChars="198"/>
        <w:rPr>
          <w:rFonts w:hint="eastAsia"/>
          <w:color w:val="auto"/>
          <w:highlight w:val="none"/>
        </w:rPr>
      </w:pPr>
      <w:r>
        <w:rPr>
          <w:rFonts w:hint="eastAsia" w:ascii="宋体" w:hAnsi="宋体" w:cs="仿宋_GB2312"/>
          <w:b/>
          <w:bCs/>
          <w:color w:val="auto"/>
          <w:sz w:val="24"/>
        </w:rPr>
        <w:t>▲</w:t>
      </w:r>
      <w:r>
        <w:rPr>
          <w:rFonts w:ascii="宋体" w:hAnsi="宋体" w:cs="宋体"/>
          <w:color w:val="auto"/>
          <w:sz w:val="24"/>
        </w:rPr>
        <w:t>3</w:t>
      </w:r>
      <w:r>
        <w:rPr>
          <w:rFonts w:hint="eastAsia" w:ascii="宋体" w:hAnsi="宋体" w:cs="宋体"/>
          <w:color w:val="auto"/>
          <w:sz w:val="24"/>
        </w:rPr>
        <w:t>、本项目投标人设有最高限价，投标单位报价高于或等于最高限价时，都作废标处理。</w:t>
      </w:r>
    </w:p>
    <w:p w14:paraId="67BC22E1">
      <w:pPr>
        <w:spacing w:line="276" w:lineRule="auto"/>
        <w:rPr>
          <w:rFonts w:hint="eastAsia" w:ascii="宋体" w:hAnsi="宋体"/>
          <w:color w:val="auto"/>
          <w:sz w:val="24"/>
          <w:highlight w:val="none"/>
        </w:rPr>
      </w:pPr>
      <w:r>
        <w:rPr>
          <w:rFonts w:hint="eastAsia" w:ascii="宋体" w:hAnsi="宋体"/>
          <w:color w:val="auto"/>
          <w:sz w:val="24"/>
          <w:highlight w:val="none"/>
        </w:rPr>
        <w:t xml:space="preserve">投标方代表签字：________________  </w:t>
      </w:r>
    </w:p>
    <w:p w14:paraId="62BC0242">
      <w:pPr>
        <w:spacing w:line="276" w:lineRule="auto"/>
        <w:rPr>
          <w:rFonts w:hint="eastAsia" w:ascii="宋体" w:hAnsi="宋体"/>
          <w:color w:val="auto"/>
          <w:sz w:val="24"/>
          <w:highlight w:val="none"/>
        </w:rPr>
      </w:pPr>
      <w:r>
        <w:rPr>
          <w:rFonts w:hint="eastAsia" w:ascii="宋体" w:hAnsi="宋体"/>
          <w:color w:val="auto"/>
          <w:sz w:val="24"/>
          <w:highlight w:val="none"/>
        </w:rPr>
        <w:t>职  务:____________</w:t>
      </w:r>
    </w:p>
    <w:p w14:paraId="396D1BF9">
      <w:pPr>
        <w:spacing w:line="276" w:lineRule="auto"/>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投标人全称（盖公章或电子签章）：</w:t>
      </w:r>
    </w:p>
    <w:p w14:paraId="64741E55">
      <w:pPr>
        <w:spacing w:line="276" w:lineRule="auto"/>
        <w:rPr>
          <w:rFonts w:hint="default"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eastAsia="zh-CN"/>
        </w:rPr>
        <w:t>年</w:t>
      </w:r>
      <w:r>
        <w:rPr>
          <w:rFonts w:hint="eastAsia" w:ascii="宋体" w:hAnsi="宋体" w:eastAsia="宋体" w:cs="Times New Roman"/>
          <w:color w:val="auto"/>
          <w:sz w:val="24"/>
          <w:highlight w:val="none"/>
          <w:lang w:val="en-US" w:eastAsia="zh-CN"/>
        </w:rPr>
        <w:t xml:space="preserve">    月   日 </w:t>
      </w:r>
    </w:p>
    <w:p w14:paraId="4E71623E">
      <w:pPr>
        <w:snapToGrid w:val="0"/>
        <w:spacing w:before="120" w:beforeLines="50" w:after="50"/>
        <w:rPr>
          <w:rFonts w:hint="eastAsia" w:ascii="宋体" w:hAnsi="宋体"/>
          <w:b/>
          <w:color w:val="auto"/>
          <w:sz w:val="24"/>
          <w:highlight w:val="none"/>
        </w:rPr>
      </w:pPr>
    </w:p>
    <w:p w14:paraId="055D31CF">
      <w:pPr>
        <w:snapToGrid w:val="0"/>
        <w:spacing w:before="120" w:beforeLines="50" w:after="50"/>
        <w:rPr>
          <w:rFonts w:hint="eastAsia" w:ascii="宋体" w:hAnsi="宋体"/>
          <w:b/>
          <w:color w:val="auto"/>
          <w:sz w:val="24"/>
          <w:highlight w:val="none"/>
        </w:rPr>
      </w:pPr>
    </w:p>
    <w:p w14:paraId="01A651F8">
      <w:pPr>
        <w:snapToGrid w:val="0"/>
        <w:spacing w:before="120" w:beforeLines="50" w:after="50"/>
        <w:rPr>
          <w:rFonts w:hint="eastAsia" w:ascii="宋体" w:hAnsi="宋体"/>
          <w:b/>
          <w:color w:val="auto"/>
          <w:sz w:val="24"/>
          <w:highlight w:val="none"/>
        </w:rPr>
      </w:pPr>
    </w:p>
    <w:p w14:paraId="696C3400">
      <w:pPr>
        <w:snapToGrid w:val="0"/>
        <w:spacing w:before="120" w:beforeLines="50" w:after="50"/>
        <w:rPr>
          <w:rFonts w:hint="eastAsia" w:ascii="宋体" w:hAnsi="宋体"/>
          <w:b/>
          <w:color w:val="auto"/>
          <w:sz w:val="24"/>
          <w:highlight w:val="none"/>
        </w:rPr>
      </w:pPr>
    </w:p>
    <w:p w14:paraId="70DA9E46">
      <w:pPr>
        <w:snapToGrid w:val="0"/>
        <w:spacing w:before="120" w:beforeLines="50" w:after="50"/>
        <w:rPr>
          <w:rFonts w:hint="eastAsia" w:ascii="宋体" w:hAnsi="宋体"/>
          <w:b/>
          <w:color w:val="auto"/>
          <w:sz w:val="24"/>
          <w:highlight w:val="none"/>
        </w:rPr>
      </w:pPr>
    </w:p>
    <w:p w14:paraId="56E6E9C9">
      <w:pPr>
        <w:snapToGrid w:val="0"/>
        <w:spacing w:before="120" w:beforeLines="50" w:after="50"/>
        <w:rPr>
          <w:rFonts w:hint="eastAsia" w:ascii="宋体" w:hAnsi="宋体"/>
          <w:b/>
          <w:color w:val="auto"/>
          <w:sz w:val="24"/>
          <w:highlight w:val="none"/>
        </w:rPr>
      </w:pPr>
    </w:p>
    <w:p w14:paraId="1FFDD5A3">
      <w:pPr>
        <w:snapToGrid w:val="0"/>
        <w:spacing w:before="120" w:beforeLines="50" w:after="50"/>
        <w:rPr>
          <w:rFonts w:hint="eastAsia" w:ascii="宋体" w:hAnsi="宋体"/>
          <w:b/>
          <w:color w:val="auto"/>
          <w:sz w:val="24"/>
          <w:highlight w:val="none"/>
        </w:rPr>
      </w:pPr>
    </w:p>
    <w:p w14:paraId="35F59DED">
      <w:pPr>
        <w:snapToGrid w:val="0"/>
        <w:spacing w:before="120" w:beforeLines="50" w:after="50"/>
        <w:rPr>
          <w:rFonts w:ascii="宋体" w:hAnsi="宋体"/>
          <w:b/>
          <w:color w:val="auto"/>
          <w:sz w:val="24"/>
          <w:highlight w:val="none"/>
        </w:rPr>
      </w:pPr>
      <w:r>
        <w:rPr>
          <w:rFonts w:hint="eastAsia" w:ascii="宋体" w:hAnsi="宋体"/>
          <w:b/>
          <w:color w:val="auto"/>
          <w:sz w:val="24"/>
          <w:highlight w:val="none"/>
        </w:rPr>
        <w:t>附件：中小企业声明函：</w:t>
      </w:r>
    </w:p>
    <w:p w14:paraId="55733C3D">
      <w:pPr>
        <w:tabs>
          <w:tab w:val="left" w:pos="420"/>
        </w:tabs>
        <w:ind w:firstLine="482" w:firstLineChars="200"/>
        <w:jc w:val="center"/>
        <w:rPr>
          <w:rFonts w:hint="eastAsia" w:ascii="宋体" w:hAnsi="宋体" w:cs="Arial"/>
          <w:b/>
          <w:bCs/>
          <w:color w:val="auto"/>
          <w:kern w:val="0"/>
          <w:sz w:val="24"/>
          <w:highlight w:val="none"/>
        </w:rPr>
      </w:pPr>
      <w:bookmarkStart w:id="69" w:name="_Toc518487308"/>
      <w:r>
        <w:rPr>
          <w:rFonts w:hint="eastAsia" w:ascii="宋体" w:hAnsi="宋体" w:cs="Arial"/>
          <w:b/>
          <w:bCs/>
          <w:color w:val="auto"/>
          <w:kern w:val="0"/>
          <w:sz w:val="24"/>
          <w:highlight w:val="none"/>
          <w:lang w:eastAsia="zh-CN"/>
        </w:rPr>
        <w:t>▲</w:t>
      </w:r>
      <w:r>
        <w:rPr>
          <w:rFonts w:hint="eastAsia" w:ascii="宋体" w:hAnsi="宋体" w:cs="Arial"/>
          <w:b/>
          <w:bCs/>
          <w:color w:val="auto"/>
          <w:kern w:val="0"/>
          <w:sz w:val="24"/>
          <w:highlight w:val="none"/>
        </w:rPr>
        <w:t>中小企业声明函（服务）</w:t>
      </w:r>
    </w:p>
    <w:p w14:paraId="3413C2E7">
      <w:pPr>
        <w:rPr>
          <w:rFonts w:hint="eastAsia"/>
          <w:color w:val="auto"/>
          <w:highlight w:val="none"/>
        </w:rPr>
      </w:pPr>
    </w:p>
    <w:p w14:paraId="378FD873">
      <w:pPr>
        <w:tabs>
          <w:tab w:val="left" w:pos="420"/>
        </w:tabs>
        <w:spacing w:line="360" w:lineRule="auto"/>
        <w:ind w:firstLine="480" w:firstLineChars="200"/>
        <w:jc w:val="left"/>
        <w:rPr>
          <w:rFonts w:ascii="宋体" w:hAnsi="宋体" w:cs="Arial"/>
          <w:bCs/>
          <w:color w:val="auto"/>
          <w:kern w:val="0"/>
          <w:sz w:val="24"/>
          <w:highlight w:val="none"/>
        </w:rPr>
      </w:pPr>
      <w:r>
        <w:rPr>
          <w:rFonts w:hint="eastAsia" w:ascii="宋体" w:hAnsi="宋体" w:cs="Arial"/>
          <w:bCs/>
          <w:color w:val="auto"/>
          <w:kern w:val="0"/>
          <w:sz w:val="24"/>
          <w:highlight w:val="none"/>
        </w:rPr>
        <w:t>本公司郑重声明，根据《政府采购促进中小企业发展管理办法》（财库﹝2020﹞46 号）的规定，本公司参加__________________（单位名称） 的__________________（项目名称） 采购活动，服务全部由符合政策要求的中小企业承接。相关企业（含联合体中的中小企业、签订分包意向协议的中小企业）的具体情况如下：</w:t>
      </w:r>
    </w:p>
    <w:p w14:paraId="0C4A9847">
      <w:pPr>
        <w:tabs>
          <w:tab w:val="left" w:pos="420"/>
        </w:tabs>
        <w:spacing w:line="360" w:lineRule="auto"/>
        <w:ind w:firstLine="480" w:firstLineChars="200"/>
        <w:jc w:val="left"/>
        <w:rPr>
          <w:rFonts w:ascii="宋体" w:hAnsi="宋体" w:cs="Arial"/>
          <w:bCs/>
          <w:color w:val="auto"/>
          <w:kern w:val="0"/>
          <w:sz w:val="24"/>
          <w:highlight w:val="none"/>
        </w:rPr>
      </w:pPr>
      <w:r>
        <w:rPr>
          <w:rFonts w:hint="eastAsia" w:ascii="宋体" w:hAnsi="宋体" w:cs="Arial"/>
          <w:bCs/>
          <w:color w:val="auto"/>
          <w:kern w:val="0"/>
          <w:sz w:val="24"/>
          <w:highlight w:val="none"/>
        </w:rPr>
        <w:t>（标的名称），属于（采购文件中明确的所属行业）行业；承接企业为 （企业名称），从业人员_____人，营业收入为_____万元，资产总额为_____万元，属于（中型企业、小型企业、微型企业）；</w:t>
      </w:r>
    </w:p>
    <w:p w14:paraId="001615B9">
      <w:pPr>
        <w:tabs>
          <w:tab w:val="left" w:pos="420"/>
        </w:tabs>
        <w:spacing w:line="360" w:lineRule="auto"/>
        <w:ind w:firstLine="480" w:firstLineChars="200"/>
        <w:jc w:val="left"/>
        <w:rPr>
          <w:rFonts w:ascii="宋体" w:hAnsi="宋体" w:cs="Arial"/>
          <w:bCs/>
          <w:color w:val="auto"/>
          <w:kern w:val="0"/>
          <w:sz w:val="24"/>
          <w:highlight w:val="none"/>
        </w:rPr>
      </w:pPr>
      <w:r>
        <w:rPr>
          <w:rFonts w:hint="eastAsia" w:ascii="宋体" w:hAnsi="宋体" w:cs="Arial"/>
          <w:bCs/>
          <w:color w:val="auto"/>
          <w:kern w:val="0"/>
          <w:sz w:val="24"/>
          <w:highlight w:val="none"/>
        </w:rPr>
        <w:t>本企业对上述声明内容的真实性负责。如有虚假，将依法承担相应责任。</w:t>
      </w:r>
    </w:p>
    <w:p w14:paraId="5DEB61E4">
      <w:pPr>
        <w:tabs>
          <w:tab w:val="left" w:pos="420"/>
        </w:tabs>
        <w:spacing w:line="360" w:lineRule="auto"/>
        <w:ind w:firstLine="480" w:firstLineChars="200"/>
        <w:jc w:val="left"/>
        <w:rPr>
          <w:rFonts w:hint="eastAsia" w:ascii="宋体" w:hAnsi="宋体" w:cs="Arial"/>
          <w:bCs/>
          <w:color w:val="auto"/>
          <w:kern w:val="0"/>
          <w:sz w:val="24"/>
          <w:highlight w:val="none"/>
        </w:rPr>
      </w:pPr>
    </w:p>
    <w:p w14:paraId="17E42E3D">
      <w:pPr>
        <w:tabs>
          <w:tab w:val="left" w:pos="420"/>
        </w:tabs>
        <w:spacing w:line="360" w:lineRule="auto"/>
        <w:ind w:firstLine="480" w:firstLineChars="200"/>
        <w:jc w:val="left"/>
        <w:rPr>
          <w:rFonts w:hint="eastAsia" w:ascii="宋体" w:hAnsi="宋体" w:cs="Arial"/>
          <w:bCs/>
          <w:color w:val="auto"/>
          <w:kern w:val="0"/>
          <w:sz w:val="24"/>
          <w:highlight w:val="none"/>
        </w:rPr>
      </w:pPr>
    </w:p>
    <w:p w14:paraId="25D9E7B3">
      <w:pPr>
        <w:tabs>
          <w:tab w:val="left" w:pos="420"/>
        </w:tabs>
        <w:spacing w:line="360" w:lineRule="auto"/>
        <w:ind w:firstLine="480" w:firstLineChars="200"/>
        <w:jc w:val="right"/>
        <w:rPr>
          <w:rFonts w:hint="eastAsia" w:ascii="宋体" w:hAnsi="宋体" w:cs="Arial"/>
          <w:bCs/>
          <w:color w:val="auto"/>
          <w:kern w:val="0"/>
          <w:sz w:val="24"/>
          <w:highlight w:val="none"/>
        </w:rPr>
      </w:pPr>
      <w:r>
        <w:rPr>
          <w:rFonts w:hint="eastAsia" w:ascii="宋体" w:hAnsi="宋体" w:cs="Arial"/>
          <w:bCs/>
          <w:color w:val="auto"/>
          <w:kern w:val="0"/>
          <w:sz w:val="24"/>
          <w:highlight w:val="none"/>
        </w:rPr>
        <w:t>企业名称（盖章）：</w:t>
      </w:r>
    </w:p>
    <w:p w14:paraId="235AED9F">
      <w:pPr>
        <w:tabs>
          <w:tab w:val="left" w:pos="420"/>
        </w:tabs>
        <w:spacing w:before="100" w:beforeAutospacing="1" w:after="100" w:afterAutospacing="1" w:line="360" w:lineRule="auto"/>
        <w:ind w:firstLine="480" w:firstLineChars="200"/>
        <w:jc w:val="right"/>
        <w:rPr>
          <w:rFonts w:hint="eastAsia" w:ascii="宋体" w:hAnsi="宋体" w:cs="Arial"/>
          <w:bCs/>
          <w:color w:val="auto"/>
          <w:kern w:val="0"/>
          <w:sz w:val="24"/>
          <w:highlight w:val="none"/>
        </w:rPr>
      </w:pPr>
      <w:r>
        <w:rPr>
          <w:rFonts w:hint="eastAsia" w:ascii="宋体" w:hAnsi="宋体" w:cs="Arial"/>
          <w:bCs/>
          <w:color w:val="auto"/>
          <w:kern w:val="0"/>
          <w:sz w:val="24"/>
          <w:highlight w:val="none"/>
          <w:lang w:eastAsia="zh-CN"/>
        </w:rPr>
        <w:t>年</w:t>
      </w:r>
      <w:r>
        <w:rPr>
          <w:rFonts w:hint="eastAsia" w:ascii="宋体" w:hAnsi="宋体" w:cs="Arial"/>
          <w:bCs/>
          <w:color w:val="auto"/>
          <w:kern w:val="0"/>
          <w:sz w:val="24"/>
          <w:highlight w:val="none"/>
          <w:lang w:val="en-US" w:eastAsia="zh-CN"/>
        </w:rPr>
        <w:t xml:space="preserve">   </w:t>
      </w:r>
      <w:r>
        <w:rPr>
          <w:rFonts w:hint="eastAsia" w:ascii="宋体" w:hAnsi="宋体" w:cs="Arial"/>
          <w:bCs/>
          <w:color w:val="auto"/>
          <w:kern w:val="0"/>
          <w:sz w:val="24"/>
          <w:highlight w:val="none"/>
          <w:lang w:eastAsia="zh-CN"/>
        </w:rPr>
        <w:t>月</w:t>
      </w:r>
      <w:r>
        <w:rPr>
          <w:rFonts w:hint="eastAsia" w:ascii="宋体" w:hAnsi="宋体" w:cs="Arial"/>
          <w:bCs/>
          <w:color w:val="auto"/>
          <w:kern w:val="0"/>
          <w:sz w:val="24"/>
          <w:highlight w:val="none"/>
          <w:lang w:val="en-US" w:eastAsia="zh-CN"/>
        </w:rPr>
        <w:t xml:space="preserve">   </w:t>
      </w:r>
      <w:r>
        <w:rPr>
          <w:rFonts w:hint="eastAsia" w:ascii="宋体" w:hAnsi="宋体" w:cs="Arial"/>
          <w:bCs/>
          <w:color w:val="auto"/>
          <w:kern w:val="0"/>
          <w:sz w:val="24"/>
          <w:highlight w:val="none"/>
          <w:lang w:eastAsia="zh-CN"/>
        </w:rPr>
        <w:t>日</w:t>
      </w:r>
      <w:r>
        <w:rPr>
          <w:rFonts w:hint="eastAsia" w:ascii="宋体" w:hAnsi="宋体" w:cs="Arial"/>
          <w:bCs/>
          <w:color w:val="auto"/>
          <w:kern w:val="0"/>
          <w:sz w:val="24"/>
          <w:highlight w:val="none"/>
        </w:rPr>
        <w:t>：</w:t>
      </w:r>
    </w:p>
    <w:p w14:paraId="69FB3E82">
      <w:pPr>
        <w:tabs>
          <w:tab w:val="left" w:pos="420"/>
        </w:tabs>
        <w:spacing w:before="100" w:beforeAutospacing="1" w:after="100" w:afterAutospacing="1"/>
        <w:rPr>
          <w:rFonts w:hint="eastAsia" w:ascii="宋体" w:hAnsi="宋体" w:cs="Arial"/>
          <w:b/>
          <w:bCs/>
          <w:color w:val="auto"/>
          <w:kern w:val="0"/>
          <w:sz w:val="24"/>
          <w:highlight w:val="none"/>
        </w:rPr>
      </w:pPr>
      <w:r>
        <w:rPr>
          <w:rFonts w:hint="eastAsia" w:ascii="宋体" w:hAnsi="宋体" w:cs="Arial"/>
          <w:b/>
          <w:bCs/>
          <w:color w:val="auto"/>
          <w:kern w:val="0"/>
          <w:sz w:val="24"/>
          <w:highlight w:val="none"/>
        </w:rPr>
        <w:t>注：</w:t>
      </w:r>
    </w:p>
    <w:p w14:paraId="405BF150">
      <w:pPr>
        <w:tabs>
          <w:tab w:val="left" w:pos="420"/>
        </w:tabs>
        <w:spacing w:before="100" w:beforeAutospacing="1" w:after="100" w:afterAutospacing="1"/>
        <w:rPr>
          <w:rFonts w:hint="eastAsia" w:ascii="宋体" w:hAnsi="宋体"/>
          <w:b/>
          <w:color w:val="auto"/>
          <w:szCs w:val="21"/>
          <w:highlight w:val="none"/>
        </w:rPr>
      </w:pPr>
      <w:r>
        <w:rPr>
          <w:rFonts w:hint="eastAsia" w:ascii="宋体" w:hAnsi="宋体" w:cs="Arial"/>
          <w:b/>
          <w:bCs/>
          <w:color w:val="auto"/>
          <w:kern w:val="0"/>
          <w:sz w:val="24"/>
          <w:highlight w:val="none"/>
        </w:rPr>
        <w:t>1、</w:t>
      </w:r>
      <w:r>
        <w:rPr>
          <w:rFonts w:hint="eastAsia" w:ascii="宋体" w:hAnsi="宋体"/>
          <w:b/>
          <w:color w:val="auto"/>
          <w:szCs w:val="21"/>
          <w:highlight w:val="none"/>
        </w:rPr>
        <w:t>如投标人为小微企业，则需提供中小企业声明函。</w:t>
      </w:r>
    </w:p>
    <w:p w14:paraId="0E911E32">
      <w:pPr>
        <w:tabs>
          <w:tab w:val="left" w:pos="420"/>
        </w:tabs>
        <w:spacing w:before="100" w:beforeAutospacing="1" w:after="100" w:afterAutospacing="1"/>
        <w:rPr>
          <w:rFonts w:ascii="宋体" w:hAnsi="宋体"/>
          <w:b/>
          <w:color w:val="auto"/>
          <w:szCs w:val="21"/>
          <w:highlight w:val="none"/>
        </w:rPr>
      </w:pPr>
      <w:r>
        <w:rPr>
          <w:rFonts w:hint="eastAsia" w:ascii="宋体" w:hAnsi="宋体"/>
          <w:b/>
          <w:color w:val="auto"/>
          <w:szCs w:val="21"/>
          <w:highlight w:val="none"/>
        </w:rPr>
        <w:t>2、如中标人声明为小微企业，本声明函将随中标结果同时公告，接受社会监督。</w:t>
      </w:r>
    </w:p>
    <w:p w14:paraId="364619FE">
      <w:pPr>
        <w:spacing w:line="360" w:lineRule="auto"/>
        <w:ind w:right="6"/>
        <w:rPr>
          <w:rFonts w:ascii="宋体" w:hAnsi="宋体"/>
          <w:b/>
          <w:color w:val="auto"/>
          <w:highlight w:val="none"/>
        </w:rPr>
      </w:pPr>
    </w:p>
    <w:p w14:paraId="35452B67">
      <w:pPr>
        <w:spacing w:line="360" w:lineRule="auto"/>
        <w:ind w:right="6" w:firstLine="211" w:firstLineChars="100"/>
        <w:rPr>
          <w:rFonts w:ascii="宋体" w:hAnsi="宋体"/>
          <w:b/>
          <w:color w:val="auto"/>
          <w:highlight w:val="none"/>
        </w:rPr>
      </w:pPr>
    </w:p>
    <w:p w14:paraId="0B0061A0">
      <w:pPr>
        <w:tabs>
          <w:tab w:val="left" w:pos="420"/>
        </w:tabs>
        <w:jc w:val="both"/>
        <w:rPr>
          <w:rFonts w:hint="eastAsia" w:ascii="宋体" w:hAnsi="宋体"/>
          <w:b/>
          <w:color w:val="auto"/>
          <w:sz w:val="24"/>
          <w:highlight w:val="none"/>
        </w:rPr>
      </w:pPr>
    </w:p>
    <w:p w14:paraId="67B6F1C9">
      <w:pPr>
        <w:tabs>
          <w:tab w:val="left" w:pos="420"/>
        </w:tabs>
        <w:jc w:val="both"/>
        <w:rPr>
          <w:rFonts w:hint="eastAsia" w:ascii="宋体" w:hAnsi="宋体"/>
          <w:b/>
          <w:color w:val="auto"/>
          <w:sz w:val="24"/>
          <w:highlight w:val="none"/>
        </w:rPr>
      </w:pPr>
    </w:p>
    <w:p w14:paraId="1FB27D1A">
      <w:pPr>
        <w:tabs>
          <w:tab w:val="left" w:pos="420"/>
        </w:tabs>
        <w:jc w:val="both"/>
        <w:rPr>
          <w:rFonts w:hint="eastAsia" w:ascii="宋体" w:hAnsi="宋体"/>
          <w:b/>
          <w:color w:val="auto"/>
          <w:sz w:val="24"/>
          <w:highlight w:val="none"/>
        </w:rPr>
      </w:pPr>
    </w:p>
    <w:p w14:paraId="1C10C35F">
      <w:pPr>
        <w:tabs>
          <w:tab w:val="left" w:pos="420"/>
        </w:tabs>
        <w:jc w:val="both"/>
        <w:rPr>
          <w:rFonts w:hint="eastAsia" w:ascii="宋体" w:hAnsi="宋体"/>
          <w:b/>
          <w:color w:val="auto"/>
          <w:sz w:val="24"/>
          <w:highlight w:val="none"/>
        </w:rPr>
      </w:pPr>
    </w:p>
    <w:p w14:paraId="16413545">
      <w:pPr>
        <w:tabs>
          <w:tab w:val="left" w:pos="420"/>
        </w:tabs>
        <w:jc w:val="both"/>
        <w:rPr>
          <w:rFonts w:hint="eastAsia" w:ascii="宋体" w:hAnsi="宋体"/>
          <w:b/>
          <w:color w:val="auto"/>
          <w:sz w:val="24"/>
          <w:highlight w:val="none"/>
        </w:rPr>
      </w:pPr>
    </w:p>
    <w:p w14:paraId="2345E866">
      <w:pPr>
        <w:tabs>
          <w:tab w:val="left" w:pos="420"/>
        </w:tabs>
        <w:jc w:val="both"/>
        <w:rPr>
          <w:rFonts w:hint="eastAsia" w:ascii="宋体" w:hAnsi="宋体"/>
          <w:b/>
          <w:color w:val="auto"/>
          <w:sz w:val="24"/>
          <w:highlight w:val="none"/>
        </w:rPr>
      </w:pPr>
    </w:p>
    <w:p w14:paraId="11BE8D85">
      <w:pPr>
        <w:tabs>
          <w:tab w:val="left" w:pos="420"/>
        </w:tabs>
        <w:jc w:val="both"/>
        <w:rPr>
          <w:rFonts w:hint="eastAsia" w:ascii="宋体" w:hAnsi="宋体"/>
          <w:b/>
          <w:color w:val="auto"/>
          <w:sz w:val="24"/>
          <w:highlight w:val="none"/>
        </w:rPr>
      </w:pPr>
    </w:p>
    <w:p w14:paraId="0B30DC9D">
      <w:pPr>
        <w:tabs>
          <w:tab w:val="left" w:pos="420"/>
        </w:tabs>
        <w:jc w:val="both"/>
        <w:rPr>
          <w:rFonts w:hint="eastAsia" w:ascii="宋体" w:hAnsi="宋体"/>
          <w:b/>
          <w:color w:val="auto"/>
          <w:sz w:val="24"/>
          <w:highlight w:val="none"/>
        </w:rPr>
      </w:pPr>
    </w:p>
    <w:p w14:paraId="55053552">
      <w:pPr>
        <w:tabs>
          <w:tab w:val="left" w:pos="420"/>
        </w:tabs>
        <w:jc w:val="both"/>
        <w:rPr>
          <w:rFonts w:hint="eastAsia" w:ascii="宋体" w:hAnsi="宋体"/>
          <w:b/>
          <w:color w:val="auto"/>
          <w:sz w:val="24"/>
          <w:highlight w:val="none"/>
        </w:rPr>
      </w:pPr>
    </w:p>
    <w:p w14:paraId="2A67ED36">
      <w:pPr>
        <w:tabs>
          <w:tab w:val="left" w:pos="420"/>
        </w:tabs>
        <w:jc w:val="both"/>
        <w:rPr>
          <w:rFonts w:hint="eastAsia" w:ascii="宋体" w:hAnsi="宋体"/>
          <w:b/>
          <w:color w:val="auto"/>
          <w:sz w:val="24"/>
          <w:highlight w:val="none"/>
        </w:rPr>
      </w:pPr>
    </w:p>
    <w:p w14:paraId="4C6DD443">
      <w:pPr>
        <w:tabs>
          <w:tab w:val="left" w:pos="420"/>
        </w:tabs>
        <w:jc w:val="both"/>
        <w:rPr>
          <w:rFonts w:hint="eastAsia" w:ascii="宋体" w:hAnsi="宋体"/>
          <w:b/>
          <w:color w:val="auto"/>
          <w:sz w:val="24"/>
          <w:highlight w:val="none"/>
        </w:rPr>
      </w:pPr>
    </w:p>
    <w:p w14:paraId="35FC99B5">
      <w:pPr>
        <w:tabs>
          <w:tab w:val="left" w:pos="420"/>
        </w:tabs>
        <w:jc w:val="both"/>
        <w:rPr>
          <w:rFonts w:hint="eastAsia" w:ascii="宋体" w:hAnsi="宋体"/>
          <w:b/>
          <w:color w:val="auto"/>
          <w:sz w:val="24"/>
          <w:highlight w:val="none"/>
        </w:rPr>
      </w:pPr>
    </w:p>
    <w:p w14:paraId="2CD96AB2">
      <w:pPr>
        <w:tabs>
          <w:tab w:val="left" w:pos="420"/>
        </w:tabs>
        <w:jc w:val="both"/>
        <w:rPr>
          <w:rFonts w:hint="eastAsia" w:ascii="宋体" w:hAnsi="宋体"/>
          <w:b/>
          <w:color w:val="auto"/>
          <w:sz w:val="24"/>
          <w:highlight w:val="none"/>
        </w:rPr>
      </w:pPr>
    </w:p>
    <w:p w14:paraId="41080F5B">
      <w:pPr>
        <w:tabs>
          <w:tab w:val="left" w:pos="420"/>
        </w:tabs>
        <w:jc w:val="both"/>
        <w:rPr>
          <w:rFonts w:hint="eastAsia" w:ascii="宋体" w:hAnsi="宋体"/>
          <w:b/>
          <w:color w:val="auto"/>
          <w:sz w:val="24"/>
          <w:highlight w:val="none"/>
        </w:rPr>
      </w:pPr>
    </w:p>
    <w:p w14:paraId="4FE80C8F">
      <w:pPr>
        <w:tabs>
          <w:tab w:val="left" w:pos="420"/>
        </w:tabs>
        <w:jc w:val="both"/>
        <w:rPr>
          <w:rFonts w:ascii="宋体" w:hAnsi="宋体" w:cs="Arial"/>
          <w:b/>
          <w:bCs/>
          <w:color w:val="auto"/>
          <w:kern w:val="0"/>
          <w:sz w:val="30"/>
          <w:szCs w:val="30"/>
          <w:highlight w:val="none"/>
        </w:rPr>
        <w:sectPr>
          <w:headerReference r:id="rId9" w:type="first"/>
          <w:footerReference r:id="rId12" w:type="first"/>
          <w:headerReference r:id="rId8" w:type="default"/>
          <w:footerReference r:id="rId10" w:type="default"/>
          <w:footerReference r:id="rId11" w:type="even"/>
          <w:type w:val="continuous"/>
          <w:pgSz w:w="11906" w:h="16838"/>
          <w:pgMar w:top="1587" w:right="907" w:bottom="907" w:left="1587" w:header="851" w:footer="850" w:gutter="0"/>
          <w:cols w:space="720" w:num="1"/>
          <w:titlePg/>
          <w:docGrid w:linePitch="312" w:charSpace="0"/>
        </w:sectPr>
      </w:pPr>
      <w:r>
        <w:rPr>
          <w:rFonts w:hint="eastAsia" w:ascii="宋体" w:hAnsi="宋体"/>
          <w:b/>
          <w:color w:val="auto"/>
          <w:sz w:val="24"/>
          <w:highlight w:val="none"/>
        </w:rPr>
        <w:t xml:space="preserve">附件： </w:t>
      </w:r>
      <w:bookmarkStart w:id="70" w:name="OLE_LINK13"/>
      <w:bookmarkStart w:id="71" w:name="OLE_LINK14"/>
      <w:r>
        <w:rPr>
          <w:rFonts w:hint="eastAsia" w:ascii="宋体" w:hAnsi="宋体"/>
          <w:b/>
          <w:color w:val="auto"/>
          <w:sz w:val="24"/>
          <w:highlight w:val="none"/>
        </w:rPr>
        <w:t>残疾人福利性单位声明函</w:t>
      </w:r>
      <w:bookmarkEnd w:id="69"/>
      <w:r>
        <w:rPr>
          <w:rFonts w:hint="eastAsia" w:ascii="宋体" w:hAnsi="宋体"/>
          <w:b/>
          <w:color w:val="auto"/>
          <w:sz w:val="24"/>
          <w:highlight w:val="none"/>
        </w:rPr>
        <w:t>及残疾人福利性单位残疾人聘用情况表</w:t>
      </w:r>
    </w:p>
    <w:p w14:paraId="010BBA08">
      <w:pPr>
        <w:widowControl/>
        <w:spacing w:before="100" w:beforeAutospacing="1" w:after="190"/>
        <w:jc w:val="both"/>
        <w:rPr>
          <w:rFonts w:hint="eastAsia" w:ascii="宋体" w:hAnsi="宋体" w:cs="Arial"/>
          <w:b/>
          <w:bCs/>
          <w:color w:val="auto"/>
          <w:kern w:val="0"/>
          <w:sz w:val="30"/>
          <w:szCs w:val="30"/>
          <w:highlight w:val="none"/>
        </w:rPr>
      </w:pPr>
    </w:p>
    <w:p w14:paraId="5E870E5D">
      <w:pPr>
        <w:widowControl/>
        <w:snapToGrid w:val="0"/>
        <w:spacing w:line="300" w:lineRule="auto"/>
        <w:ind w:firstLine="600" w:firstLineChars="200"/>
        <w:rPr>
          <w:rFonts w:ascii="宋体" w:hAnsi="宋体"/>
          <w:b/>
          <w:color w:val="auto"/>
          <w:spacing w:val="6"/>
          <w:sz w:val="30"/>
          <w:szCs w:val="30"/>
          <w:highlight w:val="none"/>
        </w:rPr>
      </w:pPr>
      <w:r>
        <w:rPr>
          <w:rFonts w:hint="eastAsia" w:ascii="宋体" w:hAnsi="宋体" w:cs="Arial"/>
          <w:b/>
          <w:bCs/>
          <w:color w:val="auto"/>
          <w:kern w:val="0"/>
          <w:sz w:val="30"/>
          <w:szCs w:val="30"/>
          <w:highlight w:val="none"/>
        </w:rPr>
        <w:t>残疾人福利性单位声明函</w:t>
      </w:r>
      <w:bookmarkEnd w:id="70"/>
      <w:bookmarkEnd w:id="71"/>
      <w:r>
        <w:rPr>
          <w:rFonts w:hint="eastAsia" w:ascii="宋体" w:hAnsi="宋体" w:cs="宋体"/>
          <w:b/>
          <w:color w:val="auto"/>
          <w:sz w:val="24"/>
          <w:highlight w:val="none"/>
        </w:rPr>
        <w:t>【</w:t>
      </w:r>
      <w:r>
        <w:rPr>
          <w:rFonts w:hint="eastAsia" w:ascii="宋体" w:hAnsi="宋体" w:cs="宋体"/>
          <w:b/>
          <w:bCs/>
          <w:color w:val="auto"/>
          <w:sz w:val="24"/>
          <w:highlight w:val="none"/>
        </w:rPr>
        <w:t>非残疾人福利性单位不用提供</w:t>
      </w:r>
      <w:r>
        <w:rPr>
          <w:rFonts w:hint="eastAsia" w:ascii="宋体" w:hAnsi="宋体" w:cs="宋体"/>
          <w:b/>
          <w:color w:val="auto"/>
          <w:sz w:val="24"/>
          <w:highlight w:val="none"/>
        </w:rPr>
        <w:t>】</w:t>
      </w:r>
    </w:p>
    <w:p w14:paraId="37E08362">
      <w:pPr>
        <w:tabs>
          <w:tab w:val="left" w:pos="420"/>
        </w:tabs>
        <w:spacing w:line="360" w:lineRule="auto"/>
        <w:ind w:firstLine="480" w:firstLineChars="200"/>
        <w:jc w:val="left"/>
        <w:rPr>
          <w:rFonts w:hint="eastAsia" w:ascii="宋体" w:hAnsi="宋体" w:eastAsia="宋体" w:cs="Arial"/>
          <w:bCs/>
          <w:color w:val="auto"/>
          <w:kern w:val="0"/>
          <w:sz w:val="24"/>
          <w:highlight w:val="none"/>
        </w:rPr>
      </w:pPr>
      <w:r>
        <w:rPr>
          <w:rFonts w:hint="eastAsia" w:ascii="宋体" w:hAnsi="宋体" w:eastAsia="宋体" w:cs="Arial"/>
          <w:bCs/>
          <w:color w:val="auto"/>
          <w:kern w:val="0"/>
          <w:sz w:val="24"/>
          <w:highlight w:val="none"/>
        </w:rPr>
        <w:t>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D41E868">
      <w:pPr>
        <w:tabs>
          <w:tab w:val="left" w:pos="420"/>
        </w:tabs>
        <w:spacing w:line="360" w:lineRule="auto"/>
        <w:ind w:firstLine="480" w:firstLineChars="200"/>
        <w:jc w:val="left"/>
        <w:rPr>
          <w:rFonts w:ascii="宋体" w:hAnsi="宋体"/>
          <w:color w:val="auto"/>
          <w:spacing w:val="6"/>
          <w:sz w:val="30"/>
          <w:szCs w:val="30"/>
          <w:highlight w:val="none"/>
        </w:rPr>
      </w:pPr>
      <w:r>
        <w:rPr>
          <w:rFonts w:hint="eastAsia" w:ascii="宋体" w:hAnsi="宋体" w:eastAsia="宋体" w:cs="Arial"/>
          <w:bCs/>
          <w:color w:val="auto"/>
          <w:kern w:val="0"/>
          <w:sz w:val="24"/>
          <w:highlight w:val="none"/>
        </w:rPr>
        <w:t>本单位对上述声明的真实性负责。如有虚假，将依法承担相应责任。</w:t>
      </w:r>
    </w:p>
    <w:p w14:paraId="7794F85B">
      <w:pPr>
        <w:spacing w:line="588" w:lineRule="exact"/>
        <w:ind w:firstLine="624" w:firstLineChars="200"/>
        <w:rPr>
          <w:rFonts w:ascii="宋体" w:hAnsi="宋体"/>
          <w:color w:val="auto"/>
          <w:spacing w:val="6"/>
          <w:sz w:val="30"/>
          <w:szCs w:val="30"/>
          <w:highlight w:val="none"/>
        </w:rPr>
      </w:pPr>
    </w:p>
    <w:p w14:paraId="4D624628">
      <w:pPr>
        <w:tabs>
          <w:tab w:val="left" w:pos="4860"/>
        </w:tabs>
        <w:spacing w:line="588" w:lineRule="exact"/>
        <w:ind w:right="1560" w:firstLine="420" w:firstLineChars="200"/>
        <w:jc w:val="center"/>
        <w:rPr>
          <w:rFonts w:ascii="宋体" w:hAnsi="宋体"/>
          <w:color w:val="auto"/>
          <w:highlight w:val="none"/>
        </w:rPr>
      </w:pPr>
      <w:r>
        <w:rPr>
          <w:rFonts w:hint="eastAsia" w:ascii="宋体" w:hAnsi="宋体"/>
          <w:color w:val="auto"/>
          <w:highlight w:val="none"/>
        </w:rPr>
        <w:t xml:space="preserve">                                            单位名称（盖章）：</w:t>
      </w:r>
    </w:p>
    <w:p w14:paraId="309AFB1A">
      <w:pPr>
        <w:rPr>
          <w:rFonts w:ascii="宋体" w:hAnsi="宋体"/>
          <w:color w:val="auto"/>
          <w:highlight w:val="none"/>
        </w:rPr>
      </w:pPr>
      <w:r>
        <w:rPr>
          <w:rFonts w:hint="eastAsia" w:ascii="宋体" w:hAnsi="宋体"/>
          <w:color w:val="auto"/>
          <w:highlight w:val="none"/>
        </w:rPr>
        <w:t xml:space="preserve">                                                 </w:t>
      </w:r>
      <w:r>
        <w:rPr>
          <w:rFonts w:hint="eastAsia" w:ascii="宋体" w:hAnsi="宋体"/>
          <w:color w:val="auto"/>
          <w:highlight w:val="none"/>
          <w:lang w:val="en-US" w:eastAsia="zh-CN"/>
        </w:rPr>
        <w:t xml:space="preserve">         </w:t>
      </w:r>
      <w:r>
        <w:rPr>
          <w:rFonts w:hint="eastAsia" w:ascii="宋体" w:hAnsi="宋体"/>
          <w:color w:val="auto"/>
          <w:highlight w:val="none"/>
        </w:rPr>
        <w:t>日期：</w:t>
      </w:r>
    </w:p>
    <w:p w14:paraId="34462CD0">
      <w:pPr>
        <w:rPr>
          <w:rFonts w:ascii="宋体" w:hAnsi="宋体"/>
          <w:color w:val="auto"/>
          <w:highlight w:val="none"/>
        </w:rPr>
      </w:pPr>
    </w:p>
    <w:p w14:paraId="44FB66A5">
      <w:pPr>
        <w:numPr>
          <w:ilvl w:val="0"/>
          <w:numId w:val="8"/>
        </w:numPr>
        <w:tabs>
          <w:tab w:val="left" w:pos="420"/>
          <w:tab w:val="clear" w:pos="1244"/>
        </w:tabs>
        <w:spacing w:before="100" w:beforeAutospacing="1" w:after="100" w:afterAutospacing="1" w:line="432" w:lineRule="auto"/>
        <w:ind w:hanging="1244"/>
        <w:rPr>
          <w:rFonts w:ascii="宋体" w:hAnsi="宋体"/>
          <w:b/>
          <w:color w:val="auto"/>
          <w:szCs w:val="21"/>
          <w:highlight w:val="none"/>
        </w:rPr>
      </w:pPr>
      <w:r>
        <w:rPr>
          <w:rFonts w:hint="eastAsia" w:ascii="宋体" w:hAnsi="宋体"/>
          <w:b/>
          <w:color w:val="auto"/>
          <w:szCs w:val="21"/>
          <w:highlight w:val="none"/>
        </w:rPr>
        <w:t>残疾人福利性单位视同小型、微型企业，享受价格扣除。</w:t>
      </w:r>
    </w:p>
    <w:p w14:paraId="6E781A23">
      <w:pPr>
        <w:numPr>
          <w:ilvl w:val="0"/>
          <w:numId w:val="8"/>
        </w:numPr>
        <w:tabs>
          <w:tab w:val="left" w:pos="420"/>
          <w:tab w:val="clear" w:pos="1244"/>
        </w:tabs>
        <w:spacing w:before="100" w:beforeAutospacing="1" w:after="100" w:afterAutospacing="1" w:line="432" w:lineRule="auto"/>
        <w:ind w:hanging="1244"/>
        <w:rPr>
          <w:rFonts w:ascii="宋体" w:hAnsi="宋体"/>
          <w:b/>
          <w:color w:val="auto"/>
          <w:szCs w:val="21"/>
          <w:highlight w:val="none"/>
        </w:rPr>
      </w:pPr>
      <w:r>
        <w:rPr>
          <w:rFonts w:hint="eastAsia" w:ascii="宋体" w:hAnsi="宋体"/>
          <w:b/>
          <w:color w:val="auto"/>
          <w:szCs w:val="21"/>
          <w:highlight w:val="none"/>
        </w:rPr>
        <w:t>残疾人福利性单位属于小型、微型企业的，不重复享受政策。</w:t>
      </w:r>
    </w:p>
    <w:p w14:paraId="7F152FA8">
      <w:pPr>
        <w:numPr>
          <w:ilvl w:val="0"/>
          <w:numId w:val="8"/>
        </w:numPr>
        <w:tabs>
          <w:tab w:val="left" w:pos="420"/>
          <w:tab w:val="clear" w:pos="1244"/>
        </w:tabs>
        <w:spacing w:before="100" w:beforeAutospacing="1" w:after="100" w:afterAutospacing="1" w:line="432" w:lineRule="auto"/>
        <w:ind w:hanging="1244"/>
        <w:rPr>
          <w:rFonts w:ascii="宋体" w:hAnsi="宋体" w:cs="宋体"/>
          <w:b/>
          <w:color w:val="auto"/>
          <w:szCs w:val="21"/>
          <w:highlight w:val="none"/>
        </w:rPr>
      </w:pPr>
      <w:r>
        <w:rPr>
          <w:rFonts w:hint="eastAsia" w:ascii="宋体" w:hAnsi="宋体"/>
          <w:b/>
          <w:color w:val="auto"/>
          <w:szCs w:val="21"/>
          <w:highlight w:val="none"/>
        </w:rPr>
        <w:t>如中标人声明为残疾人福利性单位，本声明函将随中标结果同时公告，接受社会监督。</w:t>
      </w:r>
    </w:p>
    <w:p w14:paraId="326094EA">
      <w:pPr>
        <w:numPr>
          <w:ilvl w:val="0"/>
          <w:numId w:val="8"/>
        </w:numPr>
        <w:tabs>
          <w:tab w:val="left" w:pos="420"/>
          <w:tab w:val="clear" w:pos="1244"/>
        </w:tabs>
        <w:spacing w:before="100" w:beforeAutospacing="1" w:after="100" w:afterAutospacing="1" w:line="432" w:lineRule="auto"/>
        <w:ind w:hanging="1244"/>
        <w:rPr>
          <w:rFonts w:hint="eastAsia" w:ascii="宋体" w:hAnsi="宋体" w:eastAsia="宋体"/>
          <w:b/>
          <w:color w:val="auto"/>
          <w:highlight w:val="none"/>
          <w:lang w:eastAsia="zh-CN"/>
        </w:rPr>
      </w:pPr>
      <w:r>
        <w:rPr>
          <w:rFonts w:hint="eastAsia" w:ascii="宋体" w:hAnsi="宋体" w:cs="宋体"/>
          <w:b/>
          <w:color w:val="auto"/>
          <w:szCs w:val="21"/>
          <w:highlight w:val="none"/>
        </w:rPr>
        <w:t>后附残疾人福利性单位残疾人聘用情况表</w:t>
      </w:r>
    </w:p>
    <w:p w14:paraId="4BD92CBD">
      <w:pPr>
        <w:snapToGrid w:val="0"/>
        <w:spacing w:before="120" w:beforeLines="50" w:after="50"/>
        <w:jc w:val="left"/>
        <w:rPr>
          <w:rFonts w:ascii="宋体" w:hAnsi="宋体"/>
          <w:b/>
          <w:color w:val="auto"/>
          <w:sz w:val="30"/>
          <w:szCs w:val="30"/>
          <w:highlight w:val="none"/>
        </w:rPr>
      </w:pPr>
      <w:r>
        <w:rPr>
          <w:rFonts w:hint="eastAsia" w:ascii="宋体" w:hAnsi="宋体"/>
          <w:b/>
          <w:color w:val="auto"/>
          <w:sz w:val="30"/>
          <w:szCs w:val="30"/>
          <w:highlight w:val="none"/>
        </w:rPr>
        <w:t>残疾人福利性单位残疾人聘用情况表</w:t>
      </w:r>
    </w:p>
    <w:tbl>
      <w:tblPr>
        <w:tblStyle w:val="45"/>
        <w:tblW w:w="91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5"/>
        <w:gridCol w:w="2899"/>
        <w:gridCol w:w="2730"/>
        <w:gridCol w:w="1905"/>
      </w:tblGrid>
      <w:tr w14:paraId="203C2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5" w:type="dxa"/>
            <w:vAlign w:val="top"/>
          </w:tcPr>
          <w:p w14:paraId="522407FC">
            <w:pPr>
              <w:snapToGrid w:val="0"/>
              <w:spacing w:before="120" w:beforeLines="50" w:after="50" w:line="360" w:lineRule="auto"/>
              <w:jc w:val="both"/>
              <w:rPr>
                <w:rFonts w:ascii="宋体" w:hAnsi="宋体"/>
                <w:b/>
                <w:i/>
                <w:color w:val="auto"/>
                <w:sz w:val="24"/>
                <w:highlight w:val="none"/>
                <w:u w:val="single"/>
              </w:rPr>
            </w:pPr>
            <w:r>
              <w:rPr>
                <w:rFonts w:hint="eastAsia" w:ascii="宋体" w:hAnsi="宋体"/>
                <w:b/>
                <w:i/>
                <w:color w:val="auto"/>
                <w:sz w:val="24"/>
                <w:highlight w:val="none"/>
                <w:u w:val="single"/>
              </w:rPr>
              <w:t>序号</w:t>
            </w:r>
          </w:p>
        </w:tc>
        <w:tc>
          <w:tcPr>
            <w:tcW w:w="2899" w:type="dxa"/>
            <w:vAlign w:val="top"/>
          </w:tcPr>
          <w:p w14:paraId="17AAFC39">
            <w:pPr>
              <w:snapToGrid w:val="0"/>
              <w:spacing w:before="120" w:beforeLines="50" w:after="50" w:line="360" w:lineRule="auto"/>
              <w:jc w:val="both"/>
              <w:rPr>
                <w:rFonts w:ascii="宋体" w:hAnsi="宋体"/>
                <w:b/>
                <w:i/>
                <w:color w:val="auto"/>
                <w:sz w:val="24"/>
                <w:highlight w:val="none"/>
                <w:u w:val="single"/>
              </w:rPr>
            </w:pPr>
            <w:r>
              <w:rPr>
                <w:rFonts w:hint="eastAsia" w:ascii="宋体" w:hAnsi="宋体"/>
                <w:b/>
                <w:i/>
                <w:color w:val="auto"/>
                <w:sz w:val="24"/>
                <w:highlight w:val="none"/>
                <w:u w:val="single"/>
              </w:rPr>
              <w:t>姓名</w:t>
            </w:r>
          </w:p>
        </w:tc>
        <w:tc>
          <w:tcPr>
            <w:tcW w:w="2730" w:type="dxa"/>
            <w:vAlign w:val="top"/>
          </w:tcPr>
          <w:p w14:paraId="206EA89C">
            <w:pPr>
              <w:snapToGrid w:val="0"/>
              <w:spacing w:before="120" w:beforeLines="50" w:after="50" w:line="360" w:lineRule="auto"/>
              <w:jc w:val="both"/>
              <w:rPr>
                <w:rFonts w:ascii="宋体" w:hAnsi="宋体"/>
                <w:b/>
                <w:i/>
                <w:color w:val="auto"/>
                <w:sz w:val="24"/>
                <w:highlight w:val="none"/>
                <w:u w:val="single"/>
              </w:rPr>
            </w:pPr>
            <w:r>
              <w:rPr>
                <w:rFonts w:hint="eastAsia" w:ascii="宋体" w:hAnsi="宋体"/>
                <w:b/>
                <w:i/>
                <w:color w:val="auto"/>
                <w:sz w:val="24"/>
                <w:highlight w:val="none"/>
                <w:u w:val="single"/>
              </w:rPr>
              <w:t>残疾人证号</w:t>
            </w:r>
          </w:p>
        </w:tc>
        <w:tc>
          <w:tcPr>
            <w:tcW w:w="1905" w:type="dxa"/>
            <w:vAlign w:val="top"/>
          </w:tcPr>
          <w:p w14:paraId="2D61D61F">
            <w:pPr>
              <w:snapToGrid w:val="0"/>
              <w:spacing w:before="120" w:beforeLines="50" w:after="50" w:line="360" w:lineRule="auto"/>
              <w:jc w:val="both"/>
              <w:rPr>
                <w:rFonts w:ascii="宋体" w:hAnsi="宋体"/>
                <w:b/>
                <w:i/>
                <w:color w:val="auto"/>
                <w:sz w:val="24"/>
                <w:highlight w:val="none"/>
                <w:u w:val="single"/>
              </w:rPr>
            </w:pPr>
            <w:r>
              <w:rPr>
                <w:rFonts w:hint="eastAsia" w:ascii="宋体" w:hAnsi="宋体"/>
                <w:b/>
                <w:i/>
                <w:color w:val="auto"/>
                <w:sz w:val="24"/>
                <w:highlight w:val="none"/>
                <w:u w:val="single"/>
              </w:rPr>
              <w:t>聘用时间</w:t>
            </w:r>
          </w:p>
        </w:tc>
      </w:tr>
      <w:tr w14:paraId="64173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5" w:type="dxa"/>
            <w:vAlign w:val="top"/>
          </w:tcPr>
          <w:p w14:paraId="6D21F32F">
            <w:pPr>
              <w:snapToGrid w:val="0"/>
              <w:spacing w:before="120" w:beforeLines="50" w:after="50" w:line="360" w:lineRule="auto"/>
              <w:jc w:val="both"/>
              <w:rPr>
                <w:rFonts w:ascii="宋体" w:hAnsi="宋体"/>
                <w:b/>
                <w:i/>
                <w:color w:val="auto"/>
                <w:sz w:val="24"/>
                <w:highlight w:val="none"/>
                <w:u w:val="single"/>
              </w:rPr>
            </w:pPr>
          </w:p>
        </w:tc>
        <w:tc>
          <w:tcPr>
            <w:tcW w:w="2899" w:type="dxa"/>
            <w:vAlign w:val="top"/>
          </w:tcPr>
          <w:p w14:paraId="4E4B97D2">
            <w:pPr>
              <w:snapToGrid w:val="0"/>
              <w:spacing w:before="120" w:beforeLines="50" w:after="50" w:line="360" w:lineRule="auto"/>
              <w:jc w:val="both"/>
              <w:rPr>
                <w:rFonts w:ascii="宋体" w:hAnsi="宋体"/>
                <w:b/>
                <w:i/>
                <w:color w:val="auto"/>
                <w:sz w:val="24"/>
                <w:highlight w:val="none"/>
                <w:u w:val="single"/>
              </w:rPr>
            </w:pPr>
          </w:p>
        </w:tc>
        <w:tc>
          <w:tcPr>
            <w:tcW w:w="2730" w:type="dxa"/>
            <w:vAlign w:val="top"/>
          </w:tcPr>
          <w:p w14:paraId="679D53EC">
            <w:pPr>
              <w:snapToGrid w:val="0"/>
              <w:spacing w:before="120" w:beforeLines="50" w:after="50" w:line="360" w:lineRule="auto"/>
              <w:jc w:val="both"/>
              <w:rPr>
                <w:rFonts w:ascii="宋体" w:hAnsi="宋体"/>
                <w:b/>
                <w:i/>
                <w:color w:val="auto"/>
                <w:sz w:val="24"/>
                <w:highlight w:val="none"/>
                <w:u w:val="single"/>
              </w:rPr>
            </w:pPr>
          </w:p>
        </w:tc>
        <w:tc>
          <w:tcPr>
            <w:tcW w:w="1905" w:type="dxa"/>
            <w:vAlign w:val="top"/>
          </w:tcPr>
          <w:p w14:paraId="22570479">
            <w:pPr>
              <w:snapToGrid w:val="0"/>
              <w:spacing w:before="120" w:beforeLines="50" w:after="50" w:line="360" w:lineRule="auto"/>
              <w:jc w:val="both"/>
              <w:rPr>
                <w:rFonts w:ascii="宋体" w:hAnsi="宋体"/>
                <w:b/>
                <w:i/>
                <w:color w:val="auto"/>
                <w:sz w:val="24"/>
                <w:highlight w:val="none"/>
                <w:u w:val="single"/>
              </w:rPr>
            </w:pPr>
          </w:p>
        </w:tc>
      </w:tr>
      <w:tr w14:paraId="406BC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5" w:type="dxa"/>
            <w:vAlign w:val="top"/>
          </w:tcPr>
          <w:p w14:paraId="737BD110">
            <w:pPr>
              <w:snapToGrid w:val="0"/>
              <w:spacing w:before="120" w:beforeLines="50" w:after="50" w:line="360" w:lineRule="auto"/>
              <w:jc w:val="both"/>
              <w:rPr>
                <w:rFonts w:ascii="宋体" w:hAnsi="宋体"/>
                <w:b/>
                <w:i/>
                <w:color w:val="auto"/>
                <w:sz w:val="24"/>
                <w:highlight w:val="none"/>
                <w:u w:val="single"/>
              </w:rPr>
            </w:pPr>
          </w:p>
        </w:tc>
        <w:tc>
          <w:tcPr>
            <w:tcW w:w="2899" w:type="dxa"/>
            <w:vAlign w:val="top"/>
          </w:tcPr>
          <w:p w14:paraId="1AAFCD48">
            <w:pPr>
              <w:snapToGrid w:val="0"/>
              <w:spacing w:before="120" w:beforeLines="50" w:after="50" w:line="360" w:lineRule="auto"/>
              <w:jc w:val="both"/>
              <w:rPr>
                <w:rFonts w:ascii="宋体" w:hAnsi="宋体"/>
                <w:b/>
                <w:i/>
                <w:color w:val="auto"/>
                <w:sz w:val="24"/>
                <w:highlight w:val="none"/>
                <w:u w:val="single"/>
              </w:rPr>
            </w:pPr>
          </w:p>
        </w:tc>
        <w:tc>
          <w:tcPr>
            <w:tcW w:w="2730" w:type="dxa"/>
            <w:vAlign w:val="top"/>
          </w:tcPr>
          <w:p w14:paraId="51A6BD4A">
            <w:pPr>
              <w:snapToGrid w:val="0"/>
              <w:spacing w:before="120" w:beforeLines="50" w:after="50" w:line="360" w:lineRule="auto"/>
              <w:jc w:val="both"/>
              <w:rPr>
                <w:rFonts w:ascii="宋体" w:hAnsi="宋体"/>
                <w:b/>
                <w:i/>
                <w:color w:val="auto"/>
                <w:sz w:val="24"/>
                <w:highlight w:val="none"/>
                <w:u w:val="single"/>
              </w:rPr>
            </w:pPr>
          </w:p>
        </w:tc>
        <w:tc>
          <w:tcPr>
            <w:tcW w:w="1905" w:type="dxa"/>
            <w:vAlign w:val="top"/>
          </w:tcPr>
          <w:p w14:paraId="515FD3BB">
            <w:pPr>
              <w:snapToGrid w:val="0"/>
              <w:spacing w:before="120" w:beforeLines="50" w:after="50" w:line="360" w:lineRule="auto"/>
              <w:jc w:val="both"/>
              <w:rPr>
                <w:rFonts w:ascii="宋体" w:hAnsi="宋体"/>
                <w:b/>
                <w:i/>
                <w:color w:val="auto"/>
                <w:sz w:val="24"/>
                <w:highlight w:val="none"/>
                <w:u w:val="single"/>
              </w:rPr>
            </w:pPr>
          </w:p>
        </w:tc>
      </w:tr>
    </w:tbl>
    <w:p w14:paraId="27101110">
      <w:pPr>
        <w:widowControl/>
        <w:jc w:val="left"/>
        <w:rPr>
          <w:rFonts w:hint="eastAsia" w:ascii="宋体" w:hAnsi="宋体" w:cs="宋体"/>
          <w:b/>
          <w:color w:val="auto"/>
          <w:sz w:val="24"/>
          <w:highlight w:val="none"/>
        </w:rPr>
      </w:pPr>
      <w:r>
        <w:rPr>
          <w:rFonts w:hint="eastAsia" w:ascii="宋体" w:hAnsi="宋体" w:cs="宋体"/>
          <w:b/>
          <w:color w:val="auto"/>
          <w:sz w:val="24"/>
          <w:highlight w:val="none"/>
        </w:rPr>
        <w:t>备注：本表后须附上所聘用残疾人员的残疾证、劳动合同、残疾人银行工资发放清单及足额缴纳的社会保险清单复印件，安置的残疾人比例不低于 25%（含 25%），且安置的残疾人人数不少于 10 人（含 10 人）；否则，视为非残疾人福利性单位不享受政策优惠。</w:t>
      </w:r>
    </w:p>
    <w:p w14:paraId="4D1290E5">
      <w:pPr>
        <w:snapToGrid w:val="0"/>
        <w:spacing w:before="50" w:after="50"/>
        <w:ind w:right="-816" w:rightChars="-389"/>
        <w:rPr>
          <w:rFonts w:hint="eastAsia" w:ascii="宋体" w:hAnsi="宋体" w:cs="宋体"/>
          <w:b/>
          <w:color w:val="auto"/>
          <w:sz w:val="24"/>
          <w:highlight w:val="none"/>
        </w:rPr>
      </w:pPr>
    </w:p>
    <w:p w14:paraId="0763EA43">
      <w:pPr>
        <w:snapToGrid w:val="0"/>
        <w:spacing w:before="50" w:after="50"/>
        <w:ind w:right="-816" w:rightChars="-389"/>
        <w:rPr>
          <w:rFonts w:hint="eastAsia" w:ascii="宋体" w:hAnsi="宋体"/>
          <w:b/>
          <w:color w:val="auto"/>
          <w:sz w:val="24"/>
          <w:highlight w:val="none"/>
        </w:rPr>
      </w:pPr>
    </w:p>
    <w:p w14:paraId="6C6D5073">
      <w:pPr>
        <w:spacing w:line="300" w:lineRule="auto"/>
        <w:jc w:val="left"/>
        <w:rPr>
          <w:rFonts w:hint="eastAsia" w:ascii="宋体" w:hAnsi="宋体" w:cs="宋体"/>
          <w:b/>
          <w:bCs/>
          <w:color w:val="auto"/>
          <w:sz w:val="36"/>
          <w:szCs w:val="36"/>
          <w:highlight w:val="none"/>
        </w:rPr>
      </w:pPr>
      <w:r>
        <w:rPr>
          <w:rFonts w:hint="eastAsia" w:ascii="宋体" w:hAnsi="宋体"/>
          <w:b/>
          <w:color w:val="auto"/>
          <w:sz w:val="24"/>
          <w:highlight w:val="none"/>
        </w:rPr>
        <w:t>附件：监狱企业声明函</w:t>
      </w:r>
    </w:p>
    <w:p w14:paraId="1CEB197B">
      <w:pPr>
        <w:spacing w:line="300" w:lineRule="auto"/>
        <w:jc w:val="center"/>
        <w:rPr>
          <w:rFonts w:ascii="宋体" w:hAnsi="宋体" w:cs="宋体"/>
          <w:b/>
          <w:bCs/>
          <w:color w:val="auto"/>
          <w:sz w:val="36"/>
          <w:szCs w:val="36"/>
          <w:highlight w:val="none"/>
        </w:rPr>
      </w:pPr>
      <w:r>
        <w:rPr>
          <w:rFonts w:hint="eastAsia" w:ascii="宋体" w:hAnsi="宋体" w:cs="宋体"/>
          <w:b/>
          <w:bCs/>
          <w:color w:val="auto"/>
          <w:sz w:val="36"/>
          <w:szCs w:val="36"/>
          <w:highlight w:val="none"/>
        </w:rPr>
        <w:t>监狱企业声明函</w:t>
      </w:r>
    </w:p>
    <w:p w14:paraId="29A11C08">
      <w:pPr>
        <w:adjustRightInd w:val="0"/>
        <w:snapToGrid w:val="0"/>
        <w:spacing w:line="300" w:lineRule="auto"/>
        <w:jc w:val="center"/>
        <w:rPr>
          <w:rFonts w:ascii="宋体" w:hAnsi="宋体" w:cs="宋体"/>
          <w:b/>
          <w:color w:val="auto"/>
          <w:sz w:val="24"/>
          <w:highlight w:val="none"/>
        </w:rPr>
      </w:pPr>
      <w:r>
        <w:rPr>
          <w:rFonts w:hint="eastAsia" w:ascii="宋体" w:hAnsi="宋体" w:cs="宋体"/>
          <w:b/>
          <w:color w:val="auto"/>
          <w:sz w:val="24"/>
          <w:highlight w:val="none"/>
        </w:rPr>
        <w:t>【</w:t>
      </w:r>
      <w:r>
        <w:rPr>
          <w:rFonts w:hint="eastAsia" w:ascii="宋体" w:hAnsi="宋体" w:cs="宋体"/>
          <w:b/>
          <w:bCs/>
          <w:color w:val="auto"/>
          <w:sz w:val="24"/>
          <w:highlight w:val="none"/>
        </w:rPr>
        <w:t>非监狱企业不用提供</w:t>
      </w:r>
      <w:r>
        <w:rPr>
          <w:rFonts w:hint="eastAsia" w:ascii="宋体" w:hAnsi="宋体" w:cs="宋体"/>
          <w:b/>
          <w:color w:val="auto"/>
          <w:sz w:val="24"/>
          <w:highlight w:val="none"/>
        </w:rPr>
        <w:t>】</w:t>
      </w:r>
    </w:p>
    <w:p w14:paraId="1CFEA764">
      <w:pPr>
        <w:widowControl/>
        <w:adjustRightInd w:val="0"/>
        <w:snapToGrid w:val="0"/>
        <w:spacing w:line="300" w:lineRule="auto"/>
        <w:ind w:firstLine="480" w:firstLineChars="200"/>
        <w:rPr>
          <w:rFonts w:ascii="宋体" w:hAnsi="宋体" w:cs="宋体"/>
          <w:color w:val="auto"/>
          <w:sz w:val="24"/>
          <w:highlight w:val="none"/>
        </w:rPr>
      </w:pPr>
    </w:p>
    <w:p w14:paraId="45DAA54B">
      <w:pPr>
        <w:widowControl/>
        <w:adjustRightInd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本企业郑重声明，根据《关于政府采购支持监狱企业发展有关问题的通知》（财库[2014]68号）的规定，本企业为</w:t>
      </w:r>
      <w:r>
        <w:rPr>
          <w:rFonts w:hint="eastAsia" w:ascii="宋体" w:hAnsi="宋体" w:cs="宋体"/>
          <w:color w:val="auto"/>
          <w:sz w:val="24"/>
          <w:highlight w:val="none"/>
          <w:u w:val="single"/>
        </w:rPr>
        <w:t>监狱企业</w:t>
      </w:r>
      <w:r>
        <w:rPr>
          <w:rFonts w:hint="eastAsia" w:ascii="宋体" w:hAnsi="宋体" w:cs="宋体"/>
          <w:color w:val="auto"/>
          <w:sz w:val="24"/>
          <w:highlight w:val="none"/>
        </w:rPr>
        <w:t>。</w:t>
      </w:r>
    </w:p>
    <w:p w14:paraId="6DB0E6B6">
      <w:pPr>
        <w:widowControl/>
        <w:adjustRightInd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根据上述标准，我企业属于</w:t>
      </w:r>
      <w:r>
        <w:rPr>
          <w:rFonts w:hint="eastAsia" w:ascii="宋体" w:hAnsi="宋体" w:cs="宋体"/>
          <w:color w:val="auto"/>
          <w:sz w:val="24"/>
          <w:highlight w:val="none"/>
          <w:u w:val="single"/>
        </w:rPr>
        <w:t>监狱企业</w:t>
      </w:r>
      <w:r>
        <w:rPr>
          <w:rFonts w:hint="eastAsia" w:ascii="宋体" w:hAnsi="宋体" w:cs="宋体"/>
          <w:color w:val="auto"/>
          <w:sz w:val="24"/>
          <w:highlight w:val="none"/>
        </w:rPr>
        <w:t>的理由为： 。</w:t>
      </w:r>
    </w:p>
    <w:p w14:paraId="5934F3DB">
      <w:pPr>
        <w:widowControl/>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本企业为参加（项目名称：）（项目编号：）采购活动提供本企业</w:t>
      </w:r>
      <w:r>
        <w:rPr>
          <w:rFonts w:hint="eastAsia" w:ascii="宋体" w:hAnsi="宋体" w:cs="宋体"/>
          <w:color w:val="auto"/>
          <w:sz w:val="24"/>
          <w:highlight w:val="none"/>
          <w:u w:val="single"/>
        </w:rPr>
        <w:t>的服务</w:t>
      </w:r>
      <w:r>
        <w:rPr>
          <w:rFonts w:hint="eastAsia" w:ascii="宋体" w:hAnsi="宋体" w:cs="宋体"/>
          <w:color w:val="auto"/>
          <w:sz w:val="24"/>
          <w:highlight w:val="none"/>
        </w:rPr>
        <w:t>。</w:t>
      </w:r>
    </w:p>
    <w:p w14:paraId="0C9A8113">
      <w:pPr>
        <w:widowControl/>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b/>
          <w:color w:val="auto"/>
          <w:sz w:val="24"/>
          <w:highlight w:val="none"/>
          <w:u w:val="single"/>
        </w:rPr>
        <w:t>本企业对上述声明的真实性负责。如有虚假，将依法承担相应责任</w:t>
      </w:r>
      <w:r>
        <w:rPr>
          <w:rFonts w:hint="eastAsia" w:ascii="宋体" w:hAnsi="宋体" w:cs="宋体"/>
          <w:color w:val="auto"/>
          <w:sz w:val="24"/>
          <w:highlight w:val="none"/>
        </w:rPr>
        <w:t>。</w:t>
      </w:r>
    </w:p>
    <w:p w14:paraId="71CA0EE8">
      <w:pPr>
        <w:adjustRightInd w:val="0"/>
        <w:snapToGrid w:val="0"/>
        <w:spacing w:line="360" w:lineRule="auto"/>
        <w:ind w:firstLine="480" w:firstLineChars="200"/>
        <w:jc w:val="center"/>
        <w:rPr>
          <w:rFonts w:ascii="宋体" w:hAnsi="宋体" w:cs="宋体"/>
          <w:color w:val="auto"/>
          <w:sz w:val="24"/>
          <w:highlight w:val="none"/>
        </w:rPr>
      </w:pPr>
    </w:p>
    <w:p w14:paraId="084BB662">
      <w:pPr>
        <w:adjustRightInd w:val="0"/>
        <w:snapToGrid w:val="0"/>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供应商名称（盖章）：</w:t>
      </w:r>
    </w:p>
    <w:p w14:paraId="301F95DE">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法定代表人（签字或盖章）：</w:t>
      </w:r>
    </w:p>
    <w:p w14:paraId="207B3D37">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日期：   年  月  日</w:t>
      </w:r>
    </w:p>
    <w:p w14:paraId="0B8DBFC0">
      <w:pPr>
        <w:widowControl/>
        <w:snapToGrid w:val="0"/>
        <w:spacing w:line="360" w:lineRule="auto"/>
        <w:ind w:firstLine="480" w:firstLineChars="200"/>
        <w:rPr>
          <w:rFonts w:ascii="宋体" w:hAnsi="宋体" w:cs="宋体"/>
          <w:color w:val="auto"/>
          <w:sz w:val="24"/>
          <w:highlight w:val="none"/>
        </w:rPr>
      </w:pPr>
    </w:p>
    <w:p w14:paraId="0E0F38D4">
      <w:pPr>
        <w:widowControl/>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监狱企业参加政府采购活动时，应当提供由省级以上监狱管理局、戒毒管理局（含新疆生产建设兵团）出具的属于监狱企业的证明文件。</w:t>
      </w:r>
    </w:p>
    <w:p w14:paraId="7AA1C2C3">
      <w:pPr>
        <w:widowControl/>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9250A29">
      <w:pPr>
        <w:snapToGrid w:val="0"/>
        <w:spacing w:before="50" w:after="50"/>
        <w:ind w:right="-816" w:rightChars="-389"/>
        <w:rPr>
          <w:rFonts w:hint="eastAsia" w:ascii="宋体" w:hAnsi="宋体" w:cs="宋体"/>
          <w:color w:val="auto"/>
          <w:sz w:val="24"/>
          <w:highlight w:val="none"/>
        </w:rPr>
      </w:pPr>
    </w:p>
    <w:p w14:paraId="45499528">
      <w:pPr>
        <w:snapToGrid w:val="0"/>
        <w:spacing w:before="50" w:after="50"/>
        <w:ind w:right="-816" w:rightChars="-389"/>
        <w:rPr>
          <w:rFonts w:hint="eastAsia" w:ascii="宋体" w:hAnsi="宋体" w:cs="宋体"/>
          <w:color w:val="auto"/>
          <w:sz w:val="24"/>
          <w:highlight w:val="none"/>
        </w:rPr>
      </w:pPr>
    </w:p>
    <w:p w14:paraId="00E9F6AB">
      <w:pPr>
        <w:snapToGrid w:val="0"/>
        <w:spacing w:before="50" w:after="50"/>
        <w:ind w:right="-816" w:rightChars="-389"/>
        <w:rPr>
          <w:rFonts w:hint="eastAsia" w:ascii="宋体" w:hAnsi="宋体" w:cs="宋体"/>
          <w:color w:val="auto"/>
          <w:sz w:val="24"/>
          <w:highlight w:val="none"/>
        </w:rPr>
      </w:pPr>
    </w:p>
    <w:p w14:paraId="563A762B">
      <w:pPr>
        <w:snapToGrid w:val="0"/>
        <w:spacing w:before="50" w:after="50"/>
        <w:ind w:right="-816" w:rightChars="-389"/>
        <w:rPr>
          <w:rFonts w:hint="eastAsia" w:ascii="宋体" w:hAnsi="宋体" w:cs="宋体"/>
          <w:color w:val="auto"/>
          <w:sz w:val="24"/>
          <w:highlight w:val="none"/>
        </w:rPr>
      </w:pPr>
    </w:p>
    <w:p w14:paraId="1AAE5B2B">
      <w:pPr>
        <w:snapToGrid w:val="0"/>
        <w:spacing w:before="50" w:after="50"/>
        <w:ind w:right="-816" w:rightChars="-389"/>
        <w:rPr>
          <w:rFonts w:hint="eastAsia" w:ascii="宋体" w:hAnsi="宋体" w:cs="宋体"/>
          <w:color w:val="auto"/>
          <w:sz w:val="24"/>
          <w:highlight w:val="none"/>
        </w:rPr>
      </w:pPr>
    </w:p>
    <w:p w14:paraId="361ADD83">
      <w:pPr>
        <w:snapToGrid w:val="0"/>
        <w:spacing w:before="50" w:after="50"/>
        <w:ind w:right="-816" w:rightChars="-389"/>
        <w:rPr>
          <w:rFonts w:hint="eastAsia" w:ascii="宋体" w:hAnsi="宋体" w:cs="宋体"/>
          <w:color w:val="auto"/>
          <w:sz w:val="24"/>
          <w:highlight w:val="none"/>
        </w:rPr>
      </w:pPr>
    </w:p>
    <w:p w14:paraId="3A21667D">
      <w:pPr>
        <w:snapToGrid w:val="0"/>
        <w:spacing w:before="50" w:after="50"/>
        <w:ind w:right="-816" w:rightChars="-389"/>
        <w:rPr>
          <w:rFonts w:hint="eastAsia" w:ascii="宋体" w:hAnsi="宋体" w:cs="宋体"/>
          <w:color w:val="auto"/>
          <w:sz w:val="24"/>
          <w:highlight w:val="none"/>
        </w:rPr>
      </w:pPr>
    </w:p>
    <w:p w14:paraId="4DEA2407">
      <w:pPr>
        <w:snapToGrid w:val="0"/>
        <w:spacing w:before="50" w:after="50"/>
        <w:ind w:right="-816" w:rightChars="-389"/>
        <w:rPr>
          <w:rFonts w:hint="eastAsia" w:ascii="宋体" w:hAnsi="宋体" w:cs="宋体"/>
          <w:color w:val="auto"/>
          <w:sz w:val="24"/>
          <w:highlight w:val="none"/>
        </w:rPr>
      </w:pPr>
    </w:p>
    <w:p w14:paraId="54C0E795">
      <w:pPr>
        <w:snapToGrid w:val="0"/>
        <w:spacing w:before="50" w:after="50"/>
        <w:ind w:right="-816" w:rightChars="-389"/>
        <w:rPr>
          <w:rFonts w:hint="eastAsia" w:ascii="宋体" w:hAnsi="宋体" w:cs="宋体"/>
          <w:color w:val="auto"/>
          <w:sz w:val="24"/>
          <w:highlight w:val="none"/>
        </w:rPr>
      </w:pPr>
    </w:p>
    <w:p w14:paraId="7D520349">
      <w:pPr>
        <w:snapToGrid w:val="0"/>
        <w:spacing w:before="50" w:after="50"/>
        <w:ind w:right="-816" w:rightChars="-389"/>
        <w:rPr>
          <w:rFonts w:hint="eastAsia" w:ascii="宋体" w:hAnsi="宋体" w:cs="宋体"/>
          <w:color w:val="auto"/>
          <w:sz w:val="24"/>
          <w:highlight w:val="none"/>
        </w:rPr>
      </w:pPr>
    </w:p>
    <w:p w14:paraId="26A42CF4">
      <w:pPr>
        <w:snapToGrid w:val="0"/>
        <w:spacing w:before="50" w:after="50"/>
        <w:ind w:right="-816" w:rightChars="-389"/>
        <w:rPr>
          <w:rFonts w:hint="eastAsia" w:ascii="宋体" w:hAnsi="宋体" w:cs="宋体"/>
          <w:color w:val="auto"/>
          <w:sz w:val="24"/>
          <w:highlight w:val="none"/>
        </w:rPr>
      </w:pPr>
    </w:p>
    <w:p w14:paraId="395720D2">
      <w:pPr>
        <w:snapToGrid w:val="0"/>
        <w:spacing w:before="50" w:after="50"/>
        <w:ind w:right="-816" w:rightChars="-389"/>
        <w:rPr>
          <w:rFonts w:hint="eastAsia" w:ascii="宋体" w:hAnsi="宋体" w:cs="宋体"/>
          <w:color w:val="auto"/>
          <w:sz w:val="24"/>
          <w:highlight w:val="none"/>
        </w:rPr>
      </w:pPr>
    </w:p>
    <w:p w14:paraId="0C5B8BB1">
      <w:pPr>
        <w:spacing w:after="120"/>
        <w:jc w:val="center"/>
        <w:rPr>
          <w:rFonts w:ascii="宋体" w:hAnsi="宋体" w:cs="宋体"/>
          <w:b/>
          <w:color w:val="auto"/>
          <w:sz w:val="36"/>
          <w:szCs w:val="36"/>
          <w:highlight w:val="none"/>
        </w:rPr>
      </w:pPr>
      <w:r>
        <w:rPr>
          <w:rFonts w:hint="eastAsia" w:ascii="宋体" w:hAnsi="宋体" w:cs="宋体"/>
          <w:b/>
          <w:color w:val="auto"/>
          <w:sz w:val="36"/>
          <w:szCs w:val="36"/>
          <w:highlight w:val="none"/>
        </w:rPr>
        <w:t>东阳市采购项目验收方案</w:t>
      </w:r>
    </w:p>
    <w:p w14:paraId="0463AE53">
      <w:pPr>
        <w:spacing w:before="120" w:beforeLines="50" w:after="120" w:afterLines="50"/>
        <w:ind w:firstLine="480" w:firstLineChars="200"/>
        <w:rPr>
          <w:rFonts w:ascii="宋体" w:hAnsi="宋体" w:cs="宋体"/>
          <w:color w:val="auto"/>
          <w:sz w:val="24"/>
          <w:highlight w:val="none"/>
        </w:rPr>
      </w:pPr>
      <w:r>
        <w:rPr>
          <w:rFonts w:hint="eastAsia" w:ascii="宋体" w:hAnsi="宋体" w:cs="宋体"/>
          <w:color w:val="auto"/>
          <w:sz w:val="24"/>
          <w:highlight w:val="none"/>
        </w:rPr>
        <w:t>根据《政府采购法》及东阳市政府采购办东财预〔2009〕98号《关于加强政府采购管理工作的补充规定》等有关文件规定，为做好采购项目的验收管理工作，特制定本项目验收方案，具体如下。</w:t>
      </w:r>
    </w:p>
    <w:p w14:paraId="4C503794">
      <w:pPr>
        <w:spacing w:after="120"/>
        <w:ind w:firstLine="470" w:firstLineChars="196"/>
        <w:rPr>
          <w:rFonts w:ascii="宋体" w:hAnsi="宋体" w:cs="宋体"/>
          <w:b/>
          <w:color w:val="auto"/>
          <w:sz w:val="24"/>
          <w:highlight w:val="none"/>
        </w:rPr>
      </w:pPr>
      <w:r>
        <w:rPr>
          <w:rFonts w:hint="eastAsia" w:ascii="宋体" w:hAnsi="宋体" w:cs="宋体"/>
          <w:b/>
          <w:color w:val="auto"/>
          <w:sz w:val="24"/>
          <w:highlight w:val="none"/>
        </w:rPr>
        <w:t>一、验收项目说明</w:t>
      </w:r>
    </w:p>
    <w:p w14:paraId="3B38AE52">
      <w:pPr>
        <w:spacing w:after="120"/>
        <w:ind w:firstLine="470" w:firstLineChars="196"/>
        <w:rPr>
          <w:rFonts w:ascii="宋体" w:hAnsi="宋体" w:cs="宋体"/>
          <w:b/>
          <w:color w:val="auto"/>
          <w:sz w:val="24"/>
          <w:highlight w:val="none"/>
        </w:rPr>
      </w:pPr>
      <w:r>
        <w:rPr>
          <w:rFonts w:hint="eastAsia" w:ascii="宋体" w:hAnsi="宋体" w:cs="宋体"/>
          <w:b/>
          <w:color w:val="auto"/>
          <w:sz w:val="24"/>
          <w:highlight w:val="none"/>
        </w:rPr>
        <w:t>1、招标编号：</w:t>
      </w:r>
    </w:p>
    <w:p w14:paraId="7DF39E2D">
      <w:pPr>
        <w:spacing w:after="120"/>
        <w:ind w:firstLine="470" w:firstLineChars="196"/>
        <w:rPr>
          <w:rFonts w:ascii="宋体" w:hAnsi="宋体" w:cs="宋体"/>
          <w:b/>
          <w:color w:val="auto"/>
          <w:sz w:val="24"/>
          <w:highlight w:val="none"/>
        </w:rPr>
      </w:pPr>
      <w:r>
        <w:rPr>
          <w:rFonts w:hint="eastAsia" w:ascii="宋体" w:hAnsi="宋体" w:cs="宋体"/>
          <w:b/>
          <w:color w:val="auto"/>
          <w:sz w:val="24"/>
          <w:highlight w:val="none"/>
        </w:rPr>
        <w:t>2、采购内容：</w:t>
      </w:r>
    </w:p>
    <w:p w14:paraId="460F801A">
      <w:pPr>
        <w:spacing w:after="120"/>
        <w:rPr>
          <w:rFonts w:ascii="宋体" w:hAnsi="宋体" w:cs="宋体"/>
          <w:b/>
          <w:color w:val="auto"/>
          <w:sz w:val="24"/>
          <w:highlight w:val="none"/>
        </w:rPr>
      </w:pPr>
    </w:p>
    <w:p w14:paraId="20F2AE1F">
      <w:pPr>
        <w:spacing w:after="120"/>
        <w:ind w:firstLine="480" w:firstLineChars="200"/>
        <w:rPr>
          <w:rFonts w:ascii="宋体" w:hAnsi="宋体" w:cs="宋体"/>
          <w:b/>
          <w:color w:val="auto"/>
          <w:sz w:val="24"/>
          <w:highlight w:val="none"/>
        </w:rPr>
      </w:pPr>
      <w:r>
        <w:rPr>
          <w:rFonts w:hint="eastAsia" w:ascii="宋体" w:hAnsi="宋体" w:cs="宋体"/>
          <w:b/>
          <w:color w:val="auto"/>
          <w:sz w:val="24"/>
          <w:highlight w:val="none"/>
        </w:rPr>
        <w:t>二、验收小组人员</w:t>
      </w:r>
    </w:p>
    <w:p w14:paraId="57046513">
      <w:pPr>
        <w:spacing w:after="120"/>
        <w:ind w:firstLine="470" w:firstLineChars="196"/>
        <w:rPr>
          <w:rFonts w:ascii="宋体" w:hAnsi="宋体" w:cs="宋体"/>
          <w:b/>
          <w:color w:val="auto"/>
          <w:sz w:val="24"/>
          <w:highlight w:val="none"/>
        </w:rPr>
      </w:pPr>
      <w:r>
        <w:rPr>
          <w:rFonts w:hint="eastAsia" w:ascii="宋体" w:hAnsi="宋体" w:cs="宋体"/>
          <w:b/>
          <w:color w:val="auto"/>
          <w:sz w:val="24"/>
          <w:highlight w:val="none"/>
        </w:rPr>
        <w:t>1、本次验收由组织。</w:t>
      </w:r>
    </w:p>
    <w:p w14:paraId="45552C96">
      <w:pPr>
        <w:spacing w:after="120"/>
        <w:ind w:firstLine="470" w:firstLineChars="196"/>
        <w:rPr>
          <w:rFonts w:ascii="宋体" w:hAnsi="宋体" w:cs="宋体"/>
          <w:b/>
          <w:color w:val="auto"/>
          <w:sz w:val="24"/>
          <w:highlight w:val="none"/>
          <w:u w:val="single"/>
        </w:rPr>
      </w:pPr>
      <w:r>
        <w:rPr>
          <w:rFonts w:hint="eastAsia" w:ascii="宋体" w:hAnsi="宋体" w:cs="宋体"/>
          <w:b/>
          <w:color w:val="auto"/>
          <w:sz w:val="24"/>
          <w:highlight w:val="none"/>
        </w:rPr>
        <w:t>2、验收小组成员名单：</w:t>
      </w:r>
    </w:p>
    <w:p w14:paraId="35B4D60E">
      <w:pPr>
        <w:spacing w:after="120"/>
        <w:ind w:firstLine="470" w:firstLineChars="196"/>
        <w:rPr>
          <w:rFonts w:ascii="宋体" w:hAnsi="宋体" w:cs="宋体"/>
          <w:b/>
          <w:color w:val="auto"/>
          <w:sz w:val="24"/>
          <w:highlight w:val="none"/>
        </w:rPr>
      </w:pPr>
      <w:r>
        <w:rPr>
          <w:rFonts w:hint="eastAsia" w:ascii="宋体" w:hAnsi="宋体" w:cs="宋体"/>
          <w:b/>
          <w:color w:val="auto"/>
          <w:sz w:val="24"/>
          <w:highlight w:val="none"/>
        </w:rPr>
        <w:t>3、验收小组成员签名：</w:t>
      </w:r>
    </w:p>
    <w:p w14:paraId="743237E5">
      <w:pPr>
        <w:spacing w:after="120"/>
        <w:ind w:firstLine="470" w:firstLineChars="196"/>
        <w:rPr>
          <w:rFonts w:ascii="宋体" w:hAnsi="宋体" w:cs="宋体"/>
          <w:b/>
          <w:color w:val="auto"/>
          <w:sz w:val="24"/>
          <w:highlight w:val="none"/>
        </w:rPr>
      </w:pPr>
      <w:r>
        <w:rPr>
          <w:rFonts w:hint="eastAsia" w:ascii="宋体" w:hAnsi="宋体" w:cs="宋体"/>
          <w:b/>
          <w:color w:val="auto"/>
          <w:sz w:val="24"/>
          <w:highlight w:val="none"/>
        </w:rPr>
        <w:t>三、验收方法与内容</w:t>
      </w:r>
    </w:p>
    <w:p w14:paraId="016AF668">
      <w:pPr>
        <w:spacing w:after="120"/>
        <w:rPr>
          <w:rFonts w:ascii="宋体" w:hAnsi="宋体" w:cs="宋体"/>
          <w:b/>
          <w:color w:val="auto"/>
          <w:sz w:val="24"/>
          <w:highlight w:val="none"/>
        </w:rPr>
      </w:pPr>
    </w:p>
    <w:p w14:paraId="0BBFB753">
      <w:pPr>
        <w:spacing w:after="120"/>
        <w:ind w:firstLine="480" w:firstLineChars="200"/>
        <w:rPr>
          <w:rFonts w:ascii="宋体" w:hAnsi="宋体" w:cs="宋体"/>
          <w:b/>
          <w:color w:val="auto"/>
          <w:sz w:val="24"/>
          <w:highlight w:val="none"/>
        </w:rPr>
      </w:pPr>
      <w:r>
        <w:rPr>
          <w:rFonts w:hint="eastAsia" w:ascii="宋体" w:hAnsi="宋体" w:cs="宋体"/>
          <w:b/>
          <w:color w:val="auto"/>
          <w:sz w:val="24"/>
          <w:highlight w:val="none"/>
        </w:rPr>
        <w:t>四、验收时间</w:t>
      </w:r>
    </w:p>
    <w:p w14:paraId="6E636AA7">
      <w:pPr>
        <w:spacing w:after="120"/>
        <w:rPr>
          <w:rFonts w:ascii="宋体" w:hAnsi="宋体" w:cs="宋体"/>
          <w:b/>
          <w:color w:val="auto"/>
          <w:sz w:val="24"/>
          <w:highlight w:val="none"/>
        </w:rPr>
      </w:pPr>
    </w:p>
    <w:p w14:paraId="330593FF">
      <w:pPr>
        <w:spacing w:after="120"/>
        <w:ind w:firstLine="470" w:firstLineChars="196"/>
        <w:rPr>
          <w:rFonts w:ascii="宋体" w:hAnsi="宋体" w:cs="宋体"/>
          <w:b/>
          <w:color w:val="auto"/>
          <w:sz w:val="24"/>
          <w:highlight w:val="none"/>
        </w:rPr>
      </w:pPr>
      <w:r>
        <w:rPr>
          <w:rFonts w:hint="eastAsia" w:ascii="宋体" w:hAnsi="宋体" w:cs="宋体"/>
          <w:b/>
          <w:color w:val="auto"/>
          <w:sz w:val="24"/>
          <w:highlight w:val="none"/>
        </w:rPr>
        <w:t>五、验收地点</w:t>
      </w:r>
    </w:p>
    <w:p w14:paraId="6BBD20B2">
      <w:pPr>
        <w:spacing w:after="120"/>
        <w:rPr>
          <w:rFonts w:ascii="宋体" w:hAnsi="宋体" w:cs="宋体"/>
          <w:b/>
          <w:color w:val="auto"/>
          <w:sz w:val="24"/>
          <w:highlight w:val="none"/>
        </w:rPr>
      </w:pPr>
    </w:p>
    <w:p w14:paraId="721559B1">
      <w:pPr>
        <w:spacing w:after="120"/>
        <w:ind w:firstLine="470" w:firstLineChars="196"/>
        <w:rPr>
          <w:rFonts w:ascii="宋体" w:hAnsi="宋体" w:cs="宋体"/>
          <w:b/>
          <w:color w:val="auto"/>
          <w:sz w:val="24"/>
          <w:highlight w:val="none"/>
        </w:rPr>
      </w:pPr>
      <w:r>
        <w:rPr>
          <w:rFonts w:hint="eastAsia" w:ascii="宋体" w:hAnsi="宋体" w:cs="宋体"/>
          <w:b/>
          <w:color w:val="auto"/>
          <w:sz w:val="24"/>
          <w:highlight w:val="none"/>
        </w:rPr>
        <w:t>六、验收程序</w:t>
      </w:r>
    </w:p>
    <w:p w14:paraId="758733B8">
      <w:pPr>
        <w:spacing w:after="120"/>
        <w:ind w:left="478" w:leftChars="228" w:firstLine="468" w:firstLineChars="195"/>
        <w:rPr>
          <w:rFonts w:ascii="宋体" w:hAnsi="宋体" w:cs="宋体"/>
          <w:b/>
          <w:color w:val="auto"/>
          <w:sz w:val="24"/>
          <w:highlight w:val="none"/>
        </w:rPr>
      </w:pPr>
    </w:p>
    <w:p w14:paraId="411B66CA">
      <w:pPr>
        <w:spacing w:after="120"/>
        <w:ind w:right="-6"/>
        <w:rPr>
          <w:rFonts w:ascii="宋体" w:hAnsi="宋体" w:cs="宋体"/>
          <w:b/>
          <w:color w:val="auto"/>
          <w:sz w:val="24"/>
          <w:highlight w:val="none"/>
        </w:rPr>
      </w:pPr>
      <w:r>
        <w:rPr>
          <w:rFonts w:hint="eastAsia" w:ascii="宋体" w:hAnsi="宋体" w:cs="宋体"/>
          <w:b/>
          <w:color w:val="auto"/>
          <w:sz w:val="24"/>
          <w:highlight w:val="none"/>
        </w:rPr>
        <w:t xml:space="preserve">                                            </w:t>
      </w:r>
      <w:r>
        <w:rPr>
          <w:rFonts w:hint="eastAsia" w:ascii="宋体" w:hAnsi="宋体" w:cs="宋体"/>
          <w:b w:val="0"/>
          <w:bCs/>
          <w:color w:val="auto"/>
          <w:sz w:val="24"/>
          <w:highlight w:val="none"/>
        </w:rPr>
        <w:t>采购单位（盖章）：</w:t>
      </w:r>
    </w:p>
    <w:p w14:paraId="293158A0">
      <w:pPr>
        <w:wordWrap w:val="0"/>
        <w:spacing w:after="120"/>
        <w:ind w:right="960" w:firstLine="548" w:firstLineChars="196"/>
        <w:jc w:val="right"/>
        <w:rPr>
          <w:rFonts w:ascii="宋体" w:hAnsi="宋体" w:cs="宋体"/>
          <w:color w:val="auto"/>
          <w:sz w:val="28"/>
          <w:highlight w:val="none"/>
        </w:rPr>
      </w:pPr>
      <w:r>
        <w:rPr>
          <w:rFonts w:hint="eastAsia" w:ascii="宋体" w:hAnsi="宋体" w:cs="宋体"/>
          <w:color w:val="auto"/>
          <w:sz w:val="28"/>
          <w:highlight w:val="none"/>
        </w:rPr>
        <w:t>年  月  日</w:t>
      </w:r>
    </w:p>
    <w:p w14:paraId="21510228">
      <w:pPr>
        <w:rPr>
          <w:rFonts w:ascii="宋体" w:hAnsi="宋体" w:cs="宋体"/>
          <w:b/>
          <w:color w:val="auto"/>
          <w:sz w:val="44"/>
          <w:highlight w:val="none"/>
        </w:rPr>
      </w:pPr>
    </w:p>
    <w:p w14:paraId="617B8283">
      <w:pPr>
        <w:rPr>
          <w:rFonts w:ascii="宋体" w:hAnsi="宋体" w:cs="宋体"/>
          <w:color w:val="auto"/>
          <w:sz w:val="44"/>
          <w:szCs w:val="44"/>
          <w:highlight w:val="none"/>
        </w:rPr>
      </w:pPr>
    </w:p>
    <w:p w14:paraId="19AEC746">
      <w:pPr>
        <w:spacing w:after="120"/>
        <w:rPr>
          <w:rFonts w:hint="eastAsia" w:ascii="宋体" w:hAnsi="宋体" w:eastAsia="宋体" w:cs="宋体"/>
          <w:b/>
          <w:color w:val="auto"/>
          <w:sz w:val="24"/>
          <w:highlight w:val="none"/>
          <w:lang w:eastAsia="zh-CN"/>
        </w:rPr>
      </w:pPr>
    </w:p>
    <w:p w14:paraId="606A2FA3">
      <w:pPr>
        <w:spacing w:after="120"/>
        <w:rPr>
          <w:rFonts w:hint="eastAsia" w:ascii="宋体" w:hAnsi="宋体" w:eastAsia="宋体" w:cs="宋体"/>
          <w:b/>
          <w:color w:val="auto"/>
          <w:sz w:val="24"/>
          <w:highlight w:val="none"/>
          <w:lang w:eastAsia="zh-CN"/>
        </w:rPr>
      </w:pPr>
    </w:p>
    <w:p w14:paraId="621245B6">
      <w:pPr>
        <w:spacing w:after="120"/>
        <w:rPr>
          <w:rFonts w:hint="eastAsia" w:ascii="宋体" w:hAnsi="宋体" w:eastAsia="宋体" w:cs="宋体"/>
          <w:b/>
          <w:color w:val="auto"/>
          <w:sz w:val="24"/>
          <w:highlight w:val="none"/>
          <w:lang w:eastAsia="zh-CN"/>
        </w:rPr>
      </w:pPr>
    </w:p>
    <w:p w14:paraId="146A447F">
      <w:pPr>
        <w:spacing w:after="120"/>
        <w:rPr>
          <w:rFonts w:hint="eastAsia" w:ascii="宋体" w:hAnsi="宋体" w:eastAsia="宋体" w:cs="宋体"/>
          <w:b/>
          <w:color w:val="auto"/>
          <w:sz w:val="24"/>
          <w:highlight w:val="none"/>
          <w:lang w:eastAsia="zh-CN"/>
        </w:rPr>
      </w:pPr>
    </w:p>
    <w:p w14:paraId="4AD7F954">
      <w:pPr>
        <w:spacing w:after="120"/>
        <w:rPr>
          <w:rFonts w:hint="eastAsia" w:ascii="宋体" w:hAnsi="宋体" w:eastAsia="宋体" w:cs="宋体"/>
          <w:b/>
          <w:color w:val="auto"/>
          <w:sz w:val="24"/>
          <w:highlight w:val="none"/>
          <w:lang w:eastAsia="zh-CN"/>
        </w:rPr>
      </w:pPr>
    </w:p>
    <w:p w14:paraId="046206CD">
      <w:pPr>
        <w:spacing w:after="120"/>
        <w:rPr>
          <w:rFonts w:hint="eastAsia" w:ascii="宋体" w:hAnsi="宋体" w:eastAsia="宋体" w:cs="宋体"/>
          <w:b/>
          <w:color w:val="auto"/>
          <w:sz w:val="24"/>
          <w:highlight w:val="none"/>
          <w:lang w:eastAsia="zh-CN"/>
        </w:rPr>
      </w:pPr>
    </w:p>
    <w:p w14:paraId="20AE2F96">
      <w:pPr>
        <w:spacing w:after="120"/>
        <w:rPr>
          <w:rFonts w:hint="eastAsia" w:ascii="宋体" w:hAnsi="宋体" w:eastAsia="宋体" w:cs="宋体"/>
          <w:color w:val="auto"/>
          <w:sz w:val="44"/>
          <w:szCs w:val="44"/>
          <w:highlight w:val="none"/>
          <w:lang w:eastAsia="zh-CN"/>
        </w:rPr>
      </w:pPr>
      <w:r>
        <w:rPr>
          <w:rFonts w:hint="eastAsia" w:ascii="宋体" w:hAnsi="宋体" w:eastAsia="宋体" w:cs="宋体"/>
          <w:b/>
          <w:color w:val="auto"/>
          <w:sz w:val="24"/>
          <w:highlight w:val="none"/>
          <w:lang w:eastAsia="zh-CN"/>
        </w:rPr>
        <w:t>附件：</w:t>
      </w:r>
      <w:r>
        <w:rPr>
          <w:rFonts w:hint="eastAsia" w:ascii="宋体" w:hAnsi="宋体" w:eastAsia="宋体" w:cs="宋体"/>
          <w:b/>
          <w:color w:val="auto"/>
          <w:sz w:val="24"/>
          <w:highlight w:val="none"/>
        </w:rPr>
        <w:t>东阳市政府采购代理机构社会评价表</w:t>
      </w:r>
    </w:p>
    <w:p w14:paraId="7770A9F0">
      <w:pPr>
        <w:jc w:val="center"/>
        <w:rPr>
          <w:rFonts w:ascii="宋体" w:hAnsi="宋体" w:cs="宋体"/>
          <w:color w:val="auto"/>
          <w:sz w:val="44"/>
          <w:szCs w:val="44"/>
          <w:highlight w:val="none"/>
        </w:rPr>
      </w:pPr>
      <w:r>
        <w:rPr>
          <w:rFonts w:hint="eastAsia" w:ascii="宋体" w:hAnsi="宋体" w:cs="宋体"/>
          <w:color w:val="auto"/>
          <w:sz w:val="44"/>
          <w:szCs w:val="44"/>
          <w:highlight w:val="none"/>
        </w:rPr>
        <w:t>东阳市政府采购代理机构社会评价表</w:t>
      </w:r>
    </w:p>
    <w:p w14:paraId="70995FD3">
      <w:pPr>
        <w:rPr>
          <w:rFonts w:ascii="宋体" w:hAnsi="宋体" w:cs="宋体"/>
          <w:color w:val="auto"/>
          <w:sz w:val="28"/>
          <w:szCs w:val="28"/>
          <w:highlight w:val="none"/>
        </w:rPr>
      </w:pPr>
      <w:r>
        <w:rPr>
          <w:rFonts w:hint="eastAsia" w:ascii="宋体" w:hAnsi="宋体" w:cs="宋体"/>
          <w:color w:val="auto"/>
          <w:sz w:val="28"/>
          <w:szCs w:val="28"/>
          <w:highlight w:val="none"/>
        </w:rPr>
        <w:t>代理机构名称：</w:t>
      </w:r>
      <w:r>
        <w:rPr>
          <w:rFonts w:hint="eastAsia" w:ascii="宋体" w:hAnsi="宋体" w:cs="宋体"/>
          <w:color w:val="auto"/>
          <w:sz w:val="28"/>
          <w:szCs w:val="28"/>
          <w:highlight w:val="none"/>
          <w:lang w:eastAsia="zh-CN"/>
        </w:rPr>
        <w:t>泰宇建筑工程技术咨询有限公司</w:t>
      </w:r>
      <w:r>
        <w:rPr>
          <w:rFonts w:hint="eastAsia" w:ascii="宋体" w:hAnsi="宋体" w:cs="宋体"/>
          <w:color w:val="auto"/>
          <w:sz w:val="28"/>
          <w:szCs w:val="28"/>
          <w:highlight w:val="none"/>
        </w:rPr>
        <w:t xml:space="preserve"> </w:t>
      </w:r>
    </w:p>
    <w:tbl>
      <w:tblPr>
        <w:tblStyle w:val="45"/>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470"/>
        <w:gridCol w:w="696"/>
        <w:gridCol w:w="1044"/>
        <w:gridCol w:w="1056"/>
        <w:gridCol w:w="787"/>
        <w:gridCol w:w="2885"/>
      </w:tblGrid>
      <w:tr w14:paraId="4EEC9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trPr>
        <w:tc>
          <w:tcPr>
            <w:tcW w:w="1242" w:type="dxa"/>
            <w:tcBorders>
              <w:top w:val="single" w:color="auto" w:sz="4" w:space="0"/>
              <w:left w:val="single" w:color="auto" w:sz="4" w:space="0"/>
              <w:bottom w:val="single" w:color="auto" w:sz="4" w:space="0"/>
              <w:right w:val="single" w:color="auto" w:sz="4" w:space="0"/>
            </w:tcBorders>
            <w:vAlign w:val="center"/>
          </w:tcPr>
          <w:p w14:paraId="3F493764">
            <w:pPr>
              <w:jc w:val="center"/>
              <w:rPr>
                <w:rFonts w:ascii="宋体" w:hAnsi="宋体" w:cs="宋体"/>
                <w:color w:val="auto"/>
                <w:sz w:val="24"/>
                <w:highlight w:val="none"/>
              </w:rPr>
            </w:pPr>
            <w:r>
              <w:rPr>
                <w:rFonts w:hint="eastAsia" w:ascii="宋体" w:hAnsi="宋体" w:cs="宋体"/>
                <w:color w:val="auto"/>
                <w:sz w:val="24"/>
                <w:highlight w:val="none"/>
              </w:rPr>
              <w:t>填表人类别</w:t>
            </w:r>
          </w:p>
        </w:tc>
        <w:tc>
          <w:tcPr>
            <w:tcW w:w="7938" w:type="dxa"/>
            <w:gridSpan w:val="6"/>
            <w:tcBorders>
              <w:top w:val="single" w:color="auto" w:sz="4" w:space="0"/>
              <w:left w:val="nil"/>
              <w:bottom w:val="single" w:color="auto" w:sz="4" w:space="0"/>
              <w:right w:val="single" w:color="auto" w:sz="4" w:space="0"/>
            </w:tcBorders>
            <w:vAlign w:val="center"/>
          </w:tcPr>
          <w:p w14:paraId="22822B29">
            <w:pPr>
              <w:ind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□采购单位      □供应商      □专家     </w:t>
            </w:r>
          </w:p>
        </w:tc>
      </w:tr>
      <w:tr w14:paraId="143DC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trPr>
        <w:tc>
          <w:tcPr>
            <w:tcW w:w="1242" w:type="dxa"/>
            <w:tcBorders>
              <w:top w:val="single" w:color="auto" w:sz="4" w:space="0"/>
              <w:left w:val="single" w:color="auto" w:sz="4" w:space="0"/>
              <w:bottom w:val="single" w:color="auto" w:sz="4" w:space="0"/>
              <w:right w:val="single" w:color="auto" w:sz="4" w:space="0"/>
            </w:tcBorders>
            <w:vAlign w:val="center"/>
          </w:tcPr>
          <w:p w14:paraId="2814D84D">
            <w:pPr>
              <w:jc w:val="center"/>
              <w:rPr>
                <w:rFonts w:ascii="宋体" w:hAnsi="宋体" w:cs="宋体"/>
                <w:color w:val="auto"/>
                <w:sz w:val="24"/>
                <w:highlight w:val="none"/>
              </w:rPr>
            </w:pPr>
            <w:r>
              <w:rPr>
                <w:rFonts w:hint="eastAsia" w:ascii="宋体" w:hAnsi="宋体" w:cs="宋体"/>
                <w:color w:val="auto"/>
                <w:sz w:val="24"/>
                <w:highlight w:val="none"/>
              </w:rPr>
              <w:t>填表人名称或姓名</w:t>
            </w:r>
          </w:p>
        </w:tc>
        <w:tc>
          <w:tcPr>
            <w:tcW w:w="3210" w:type="dxa"/>
            <w:gridSpan w:val="3"/>
            <w:tcBorders>
              <w:top w:val="single" w:color="auto" w:sz="4" w:space="0"/>
              <w:left w:val="nil"/>
              <w:bottom w:val="single" w:color="auto" w:sz="4" w:space="0"/>
              <w:right w:val="single" w:color="auto" w:sz="4" w:space="0"/>
            </w:tcBorders>
            <w:vAlign w:val="center"/>
          </w:tcPr>
          <w:p w14:paraId="53F14AA4">
            <w:pPr>
              <w:jc w:val="center"/>
              <w:rPr>
                <w:rFonts w:ascii="宋体" w:hAnsi="宋体" w:cs="宋体"/>
                <w:color w:val="auto"/>
                <w:sz w:val="24"/>
                <w:highlight w:val="none"/>
              </w:rPr>
            </w:pPr>
          </w:p>
        </w:tc>
        <w:tc>
          <w:tcPr>
            <w:tcW w:w="1056" w:type="dxa"/>
            <w:tcBorders>
              <w:top w:val="single" w:color="auto" w:sz="4" w:space="0"/>
              <w:left w:val="nil"/>
              <w:bottom w:val="single" w:color="auto" w:sz="4" w:space="0"/>
              <w:right w:val="single" w:color="auto" w:sz="4" w:space="0"/>
            </w:tcBorders>
            <w:vAlign w:val="center"/>
          </w:tcPr>
          <w:p w14:paraId="7A874459">
            <w:pPr>
              <w:jc w:val="center"/>
              <w:rPr>
                <w:rFonts w:ascii="宋体" w:hAnsi="宋体" w:cs="宋体"/>
                <w:color w:val="auto"/>
                <w:sz w:val="24"/>
                <w:highlight w:val="none"/>
              </w:rPr>
            </w:pPr>
            <w:r>
              <w:rPr>
                <w:rFonts w:hint="eastAsia" w:ascii="宋体" w:hAnsi="宋体" w:cs="宋体"/>
                <w:color w:val="auto"/>
                <w:sz w:val="24"/>
                <w:highlight w:val="none"/>
              </w:rPr>
              <w:t>地址</w:t>
            </w:r>
          </w:p>
        </w:tc>
        <w:tc>
          <w:tcPr>
            <w:tcW w:w="3672" w:type="dxa"/>
            <w:gridSpan w:val="2"/>
            <w:tcBorders>
              <w:top w:val="single" w:color="auto" w:sz="4" w:space="0"/>
              <w:left w:val="nil"/>
              <w:bottom w:val="single" w:color="auto" w:sz="4" w:space="0"/>
              <w:right w:val="single" w:color="auto" w:sz="4" w:space="0"/>
            </w:tcBorders>
            <w:vAlign w:val="center"/>
          </w:tcPr>
          <w:p w14:paraId="4950D504">
            <w:pPr>
              <w:jc w:val="center"/>
              <w:rPr>
                <w:rFonts w:ascii="宋体" w:hAnsi="宋体" w:cs="宋体"/>
                <w:color w:val="auto"/>
                <w:sz w:val="24"/>
                <w:highlight w:val="none"/>
              </w:rPr>
            </w:pPr>
          </w:p>
        </w:tc>
      </w:tr>
      <w:tr w14:paraId="48FF0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242" w:type="dxa"/>
            <w:tcBorders>
              <w:top w:val="single" w:color="auto" w:sz="4" w:space="0"/>
              <w:left w:val="single" w:color="auto" w:sz="4" w:space="0"/>
              <w:bottom w:val="single" w:color="auto" w:sz="4" w:space="0"/>
              <w:right w:val="single" w:color="auto" w:sz="4" w:space="0"/>
            </w:tcBorders>
            <w:vAlign w:val="center"/>
          </w:tcPr>
          <w:p w14:paraId="067E4E23">
            <w:pPr>
              <w:jc w:val="center"/>
              <w:rPr>
                <w:rFonts w:ascii="宋体" w:hAnsi="宋体" w:cs="宋体"/>
                <w:color w:val="auto"/>
                <w:sz w:val="24"/>
                <w:highlight w:val="none"/>
              </w:rPr>
            </w:pPr>
            <w:r>
              <w:rPr>
                <w:rFonts w:hint="eastAsia" w:ascii="宋体" w:hAnsi="宋体" w:cs="宋体"/>
                <w:color w:val="auto"/>
                <w:sz w:val="24"/>
                <w:highlight w:val="none"/>
              </w:rPr>
              <w:t>联系人</w:t>
            </w:r>
          </w:p>
        </w:tc>
        <w:tc>
          <w:tcPr>
            <w:tcW w:w="1470" w:type="dxa"/>
            <w:tcBorders>
              <w:top w:val="single" w:color="auto" w:sz="4" w:space="0"/>
              <w:left w:val="nil"/>
              <w:bottom w:val="single" w:color="auto" w:sz="4" w:space="0"/>
              <w:right w:val="single" w:color="auto" w:sz="4" w:space="0"/>
            </w:tcBorders>
            <w:vAlign w:val="center"/>
          </w:tcPr>
          <w:p w14:paraId="111D644B">
            <w:pPr>
              <w:jc w:val="center"/>
              <w:rPr>
                <w:rFonts w:ascii="宋体" w:hAnsi="宋体" w:cs="宋体"/>
                <w:color w:val="auto"/>
                <w:sz w:val="24"/>
                <w:highlight w:val="none"/>
              </w:rPr>
            </w:pPr>
          </w:p>
        </w:tc>
        <w:tc>
          <w:tcPr>
            <w:tcW w:w="696" w:type="dxa"/>
            <w:tcBorders>
              <w:top w:val="single" w:color="auto" w:sz="4" w:space="0"/>
              <w:left w:val="nil"/>
              <w:bottom w:val="single" w:color="auto" w:sz="4" w:space="0"/>
              <w:right w:val="single" w:color="auto" w:sz="4" w:space="0"/>
            </w:tcBorders>
            <w:vAlign w:val="center"/>
          </w:tcPr>
          <w:p w14:paraId="66B83330">
            <w:pPr>
              <w:jc w:val="center"/>
              <w:rPr>
                <w:rFonts w:ascii="宋体" w:hAnsi="宋体" w:cs="宋体"/>
                <w:color w:val="auto"/>
                <w:sz w:val="24"/>
                <w:highlight w:val="none"/>
              </w:rPr>
            </w:pPr>
            <w:r>
              <w:rPr>
                <w:rFonts w:hint="eastAsia" w:ascii="宋体" w:hAnsi="宋体" w:cs="宋体"/>
                <w:color w:val="auto"/>
                <w:sz w:val="24"/>
                <w:highlight w:val="none"/>
              </w:rPr>
              <w:t>电话</w:t>
            </w:r>
          </w:p>
        </w:tc>
        <w:tc>
          <w:tcPr>
            <w:tcW w:w="2100" w:type="dxa"/>
            <w:gridSpan w:val="2"/>
            <w:tcBorders>
              <w:top w:val="single" w:color="auto" w:sz="4" w:space="0"/>
              <w:left w:val="nil"/>
              <w:bottom w:val="single" w:color="auto" w:sz="4" w:space="0"/>
              <w:right w:val="single" w:color="auto" w:sz="4" w:space="0"/>
            </w:tcBorders>
            <w:vAlign w:val="center"/>
          </w:tcPr>
          <w:p w14:paraId="406D1CE7">
            <w:pPr>
              <w:jc w:val="center"/>
              <w:rPr>
                <w:rFonts w:ascii="宋体" w:hAnsi="宋体" w:cs="宋体"/>
                <w:color w:val="auto"/>
                <w:sz w:val="24"/>
                <w:highlight w:val="none"/>
              </w:rPr>
            </w:pPr>
          </w:p>
        </w:tc>
        <w:tc>
          <w:tcPr>
            <w:tcW w:w="787" w:type="dxa"/>
            <w:tcBorders>
              <w:top w:val="single" w:color="auto" w:sz="4" w:space="0"/>
              <w:left w:val="nil"/>
              <w:bottom w:val="single" w:color="auto" w:sz="4" w:space="0"/>
              <w:right w:val="single" w:color="auto" w:sz="4" w:space="0"/>
            </w:tcBorders>
            <w:vAlign w:val="center"/>
          </w:tcPr>
          <w:p w14:paraId="188E22ED">
            <w:pPr>
              <w:jc w:val="center"/>
              <w:rPr>
                <w:rFonts w:ascii="宋体" w:hAnsi="宋体" w:cs="宋体"/>
                <w:color w:val="auto"/>
                <w:sz w:val="24"/>
                <w:highlight w:val="none"/>
              </w:rPr>
            </w:pPr>
            <w:r>
              <w:rPr>
                <w:rFonts w:hint="eastAsia" w:ascii="宋体" w:hAnsi="宋体" w:cs="宋体"/>
                <w:color w:val="auto"/>
                <w:sz w:val="24"/>
                <w:highlight w:val="none"/>
              </w:rPr>
              <w:t>传真</w:t>
            </w:r>
          </w:p>
        </w:tc>
        <w:tc>
          <w:tcPr>
            <w:tcW w:w="2885" w:type="dxa"/>
            <w:tcBorders>
              <w:top w:val="single" w:color="auto" w:sz="4" w:space="0"/>
              <w:left w:val="nil"/>
              <w:bottom w:val="single" w:color="auto" w:sz="4" w:space="0"/>
              <w:right w:val="single" w:color="auto" w:sz="4" w:space="0"/>
            </w:tcBorders>
            <w:vAlign w:val="center"/>
          </w:tcPr>
          <w:p w14:paraId="30A0744F">
            <w:pPr>
              <w:jc w:val="center"/>
              <w:rPr>
                <w:rFonts w:ascii="宋体" w:hAnsi="宋体" w:cs="宋体"/>
                <w:color w:val="auto"/>
                <w:sz w:val="24"/>
                <w:highlight w:val="none"/>
              </w:rPr>
            </w:pPr>
          </w:p>
        </w:tc>
      </w:tr>
      <w:tr w14:paraId="33B26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restart"/>
            <w:tcBorders>
              <w:top w:val="nil"/>
              <w:left w:val="single" w:color="auto" w:sz="4" w:space="0"/>
              <w:bottom w:val="single" w:color="auto" w:sz="4" w:space="0"/>
              <w:right w:val="single" w:color="auto" w:sz="4" w:space="0"/>
            </w:tcBorders>
            <w:vAlign w:val="center"/>
          </w:tcPr>
          <w:p w14:paraId="23D5A6DA">
            <w:pPr>
              <w:jc w:val="center"/>
              <w:rPr>
                <w:rFonts w:ascii="宋体" w:hAnsi="宋体" w:cs="宋体"/>
                <w:color w:val="auto"/>
                <w:sz w:val="24"/>
                <w:highlight w:val="none"/>
              </w:rPr>
            </w:pPr>
            <w:r>
              <w:rPr>
                <w:rFonts w:hint="eastAsia" w:ascii="宋体" w:hAnsi="宋体" w:cs="宋体"/>
                <w:color w:val="auto"/>
                <w:sz w:val="24"/>
                <w:highlight w:val="none"/>
              </w:rPr>
              <w:t>对代理机构的评价</w:t>
            </w:r>
          </w:p>
        </w:tc>
        <w:tc>
          <w:tcPr>
            <w:tcW w:w="3210" w:type="dxa"/>
            <w:gridSpan w:val="3"/>
            <w:tcBorders>
              <w:top w:val="single" w:color="auto" w:sz="4" w:space="0"/>
              <w:left w:val="nil"/>
              <w:bottom w:val="single" w:color="auto" w:sz="4" w:space="0"/>
              <w:right w:val="single" w:color="auto" w:sz="4" w:space="0"/>
            </w:tcBorders>
            <w:vAlign w:val="center"/>
          </w:tcPr>
          <w:p w14:paraId="7FA1AA22">
            <w:pPr>
              <w:spacing w:line="500" w:lineRule="exact"/>
              <w:jc w:val="center"/>
              <w:rPr>
                <w:rFonts w:ascii="宋体" w:hAnsi="宋体" w:cs="宋体"/>
                <w:color w:val="auto"/>
                <w:sz w:val="24"/>
                <w:highlight w:val="none"/>
              </w:rPr>
            </w:pPr>
            <w:r>
              <w:rPr>
                <w:rFonts w:hint="eastAsia" w:ascii="宋体" w:hAnsi="宋体" w:cs="宋体"/>
                <w:color w:val="auto"/>
                <w:sz w:val="24"/>
                <w:highlight w:val="none"/>
              </w:rPr>
              <w:t>项目</w:t>
            </w:r>
          </w:p>
        </w:tc>
        <w:tc>
          <w:tcPr>
            <w:tcW w:w="4728" w:type="dxa"/>
            <w:gridSpan w:val="3"/>
            <w:tcBorders>
              <w:top w:val="single" w:color="auto" w:sz="4" w:space="0"/>
              <w:left w:val="nil"/>
              <w:bottom w:val="single" w:color="auto" w:sz="4" w:space="0"/>
              <w:right w:val="single" w:color="auto" w:sz="4" w:space="0"/>
            </w:tcBorders>
            <w:vAlign w:val="center"/>
          </w:tcPr>
          <w:p w14:paraId="437FA1E4">
            <w:pPr>
              <w:spacing w:line="500" w:lineRule="exact"/>
              <w:jc w:val="center"/>
              <w:rPr>
                <w:rFonts w:ascii="宋体" w:hAnsi="宋体" w:cs="宋体"/>
                <w:color w:val="auto"/>
                <w:sz w:val="24"/>
                <w:highlight w:val="none"/>
              </w:rPr>
            </w:pPr>
            <w:r>
              <w:rPr>
                <w:rFonts w:hint="eastAsia" w:ascii="宋体" w:hAnsi="宋体" w:cs="宋体"/>
                <w:color w:val="auto"/>
                <w:sz w:val="24"/>
                <w:highlight w:val="none"/>
              </w:rPr>
              <w:t>评价（请在分值范围内进行打分）</w:t>
            </w:r>
          </w:p>
        </w:tc>
      </w:tr>
      <w:tr w14:paraId="746B1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63FAF9CB">
            <w:pPr>
              <w:widowControl/>
              <w:jc w:val="left"/>
              <w:rPr>
                <w:rFonts w:ascii="宋体" w:hAnsi="宋体" w:cs="宋体"/>
                <w:color w:val="auto"/>
                <w:sz w:val="24"/>
                <w:highlight w:val="none"/>
              </w:rPr>
            </w:pPr>
          </w:p>
        </w:tc>
        <w:tc>
          <w:tcPr>
            <w:tcW w:w="3210" w:type="dxa"/>
            <w:gridSpan w:val="3"/>
            <w:tcBorders>
              <w:top w:val="single" w:color="auto" w:sz="4" w:space="0"/>
              <w:left w:val="nil"/>
              <w:bottom w:val="single" w:color="auto" w:sz="4" w:space="0"/>
              <w:right w:val="single" w:color="auto" w:sz="4" w:space="0"/>
            </w:tcBorders>
            <w:vAlign w:val="center"/>
          </w:tcPr>
          <w:p w14:paraId="5FACA121">
            <w:pPr>
              <w:rPr>
                <w:rFonts w:ascii="宋体" w:hAnsi="宋体" w:cs="宋体"/>
                <w:color w:val="auto"/>
                <w:kern w:val="0"/>
                <w:sz w:val="24"/>
                <w:highlight w:val="none"/>
              </w:rPr>
            </w:pPr>
            <w:r>
              <w:rPr>
                <w:rFonts w:hint="eastAsia" w:ascii="宋体" w:hAnsi="宋体" w:cs="宋体"/>
                <w:color w:val="auto"/>
                <w:sz w:val="24"/>
                <w:highlight w:val="none"/>
              </w:rPr>
              <w:t>是否严格执行政府采购纪律、法规和规章制度等（2分）。</w:t>
            </w:r>
          </w:p>
        </w:tc>
        <w:tc>
          <w:tcPr>
            <w:tcW w:w="4728" w:type="dxa"/>
            <w:gridSpan w:val="3"/>
            <w:tcBorders>
              <w:top w:val="single" w:color="auto" w:sz="4" w:space="0"/>
              <w:left w:val="nil"/>
              <w:bottom w:val="single" w:color="auto" w:sz="4" w:space="0"/>
              <w:right w:val="single" w:color="auto" w:sz="4" w:space="0"/>
            </w:tcBorders>
            <w:vAlign w:val="center"/>
          </w:tcPr>
          <w:p w14:paraId="29C97359">
            <w:pPr>
              <w:spacing w:line="500" w:lineRule="exact"/>
              <w:jc w:val="center"/>
              <w:rPr>
                <w:rFonts w:ascii="宋体" w:hAnsi="宋体" w:cs="宋体"/>
                <w:color w:val="auto"/>
                <w:sz w:val="24"/>
                <w:highlight w:val="none"/>
              </w:rPr>
            </w:pPr>
          </w:p>
        </w:tc>
      </w:tr>
      <w:tr w14:paraId="5E79C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35143761">
            <w:pPr>
              <w:widowControl/>
              <w:jc w:val="left"/>
              <w:rPr>
                <w:rFonts w:ascii="宋体" w:hAnsi="宋体" w:cs="宋体"/>
                <w:color w:val="auto"/>
                <w:sz w:val="24"/>
                <w:highlight w:val="none"/>
              </w:rPr>
            </w:pPr>
          </w:p>
        </w:tc>
        <w:tc>
          <w:tcPr>
            <w:tcW w:w="3210" w:type="dxa"/>
            <w:gridSpan w:val="3"/>
            <w:tcBorders>
              <w:top w:val="single" w:color="auto" w:sz="4" w:space="0"/>
              <w:left w:val="nil"/>
              <w:bottom w:val="single" w:color="auto" w:sz="4" w:space="0"/>
              <w:right w:val="single" w:color="auto" w:sz="4" w:space="0"/>
            </w:tcBorders>
            <w:vAlign w:val="center"/>
          </w:tcPr>
          <w:p w14:paraId="787083E7">
            <w:pPr>
              <w:rPr>
                <w:rFonts w:ascii="宋体" w:hAnsi="宋体" w:cs="宋体"/>
                <w:color w:val="auto"/>
                <w:kern w:val="0"/>
                <w:sz w:val="24"/>
                <w:highlight w:val="none"/>
              </w:rPr>
            </w:pPr>
            <w:r>
              <w:rPr>
                <w:rFonts w:hint="eastAsia" w:ascii="宋体" w:hAnsi="宋体" w:cs="宋体"/>
                <w:color w:val="auto"/>
                <w:sz w:val="24"/>
                <w:highlight w:val="none"/>
              </w:rPr>
              <w:t>操作程序是否规范，采购行为、过程、结果是否公开、公平、公正，采购组织管理是否规范严谨（2分）</w:t>
            </w:r>
            <w:r>
              <w:rPr>
                <w:rFonts w:hint="eastAsia" w:ascii="宋体" w:hAnsi="宋体" w:cs="宋体"/>
                <w:color w:val="auto"/>
                <w:kern w:val="0"/>
                <w:sz w:val="24"/>
                <w:highlight w:val="none"/>
              </w:rPr>
              <w:t>。</w:t>
            </w:r>
          </w:p>
        </w:tc>
        <w:tc>
          <w:tcPr>
            <w:tcW w:w="4728" w:type="dxa"/>
            <w:gridSpan w:val="3"/>
            <w:tcBorders>
              <w:top w:val="single" w:color="auto" w:sz="4" w:space="0"/>
              <w:left w:val="nil"/>
              <w:bottom w:val="single" w:color="auto" w:sz="4" w:space="0"/>
              <w:right w:val="single" w:color="auto" w:sz="4" w:space="0"/>
            </w:tcBorders>
            <w:vAlign w:val="center"/>
          </w:tcPr>
          <w:p w14:paraId="75DEF454">
            <w:pPr>
              <w:spacing w:line="500" w:lineRule="exact"/>
              <w:jc w:val="center"/>
              <w:rPr>
                <w:rFonts w:ascii="宋体" w:hAnsi="宋体" w:cs="宋体"/>
                <w:color w:val="auto"/>
                <w:sz w:val="24"/>
                <w:highlight w:val="none"/>
              </w:rPr>
            </w:pPr>
          </w:p>
        </w:tc>
      </w:tr>
      <w:tr w14:paraId="7FA13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214F495F">
            <w:pPr>
              <w:widowControl/>
              <w:jc w:val="left"/>
              <w:rPr>
                <w:rFonts w:ascii="宋体" w:hAnsi="宋体" w:cs="宋体"/>
                <w:color w:val="auto"/>
                <w:sz w:val="24"/>
                <w:highlight w:val="none"/>
              </w:rPr>
            </w:pPr>
          </w:p>
        </w:tc>
        <w:tc>
          <w:tcPr>
            <w:tcW w:w="3210" w:type="dxa"/>
            <w:gridSpan w:val="3"/>
            <w:tcBorders>
              <w:top w:val="single" w:color="auto" w:sz="4" w:space="0"/>
              <w:left w:val="nil"/>
              <w:bottom w:val="single" w:color="auto" w:sz="4" w:space="0"/>
              <w:right w:val="single" w:color="auto" w:sz="4" w:space="0"/>
            </w:tcBorders>
            <w:vAlign w:val="center"/>
          </w:tcPr>
          <w:p w14:paraId="553EDBAE">
            <w:pPr>
              <w:rPr>
                <w:rFonts w:ascii="宋体" w:hAnsi="宋体" w:cs="宋体"/>
                <w:color w:val="auto"/>
                <w:kern w:val="0"/>
                <w:sz w:val="24"/>
                <w:highlight w:val="none"/>
              </w:rPr>
            </w:pPr>
            <w:r>
              <w:rPr>
                <w:rFonts w:hint="eastAsia" w:ascii="宋体" w:hAnsi="宋体" w:cs="宋体"/>
                <w:color w:val="auto"/>
                <w:sz w:val="24"/>
                <w:highlight w:val="none"/>
              </w:rPr>
              <w:t>是否及时组织采购，是否有承诺办事时间并能限时办结（2分）</w:t>
            </w:r>
            <w:r>
              <w:rPr>
                <w:rFonts w:hint="eastAsia" w:ascii="宋体" w:hAnsi="宋体" w:cs="宋体"/>
                <w:color w:val="auto"/>
                <w:kern w:val="0"/>
                <w:sz w:val="24"/>
                <w:highlight w:val="none"/>
              </w:rPr>
              <w:t>。</w:t>
            </w:r>
          </w:p>
        </w:tc>
        <w:tc>
          <w:tcPr>
            <w:tcW w:w="4728" w:type="dxa"/>
            <w:gridSpan w:val="3"/>
            <w:tcBorders>
              <w:top w:val="single" w:color="auto" w:sz="4" w:space="0"/>
              <w:left w:val="nil"/>
              <w:bottom w:val="single" w:color="auto" w:sz="4" w:space="0"/>
              <w:right w:val="single" w:color="auto" w:sz="4" w:space="0"/>
            </w:tcBorders>
            <w:vAlign w:val="center"/>
          </w:tcPr>
          <w:p w14:paraId="39FF78A8">
            <w:pPr>
              <w:spacing w:line="500" w:lineRule="exact"/>
              <w:jc w:val="center"/>
              <w:rPr>
                <w:rFonts w:ascii="宋体" w:hAnsi="宋体" w:cs="宋体"/>
                <w:color w:val="auto"/>
                <w:sz w:val="24"/>
                <w:highlight w:val="none"/>
              </w:rPr>
            </w:pPr>
          </w:p>
        </w:tc>
      </w:tr>
      <w:tr w14:paraId="30EB6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1FD995CE">
            <w:pPr>
              <w:widowControl/>
              <w:jc w:val="left"/>
              <w:rPr>
                <w:rFonts w:ascii="宋体" w:hAnsi="宋体" w:cs="宋体"/>
                <w:color w:val="auto"/>
                <w:sz w:val="24"/>
                <w:highlight w:val="none"/>
              </w:rPr>
            </w:pPr>
          </w:p>
        </w:tc>
        <w:tc>
          <w:tcPr>
            <w:tcW w:w="3210" w:type="dxa"/>
            <w:gridSpan w:val="3"/>
            <w:tcBorders>
              <w:top w:val="single" w:color="auto" w:sz="4" w:space="0"/>
              <w:left w:val="nil"/>
              <w:bottom w:val="single" w:color="auto" w:sz="4" w:space="0"/>
              <w:right w:val="single" w:color="auto" w:sz="4" w:space="0"/>
            </w:tcBorders>
            <w:vAlign w:val="center"/>
          </w:tcPr>
          <w:p w14:paraId="6E94AEDE">
            <w:pPr>
              <w:rPr>
                <w:rFonts w:ascii="宋体" w:hAnsi="宋体" w:cs="宋体"/>
                <w:color w:val="auto"/>
                <w:sz w:val="24"/>
                <w:highlight w:val="none"/>
              </w:rPr>
            </w:pPr>
            <w:r>
              <w:rPr>
                <w:rFonts w:hint="eastAsia" w:ascii="宋体" w:hAnsi="宋体" w:cs="宋体"/>
                <w:color w:val="auto"/>
                <w:sz w:val="24"/>
                <w:highlight w:val="none"/>
              </w:rPr>
              <w:t>是否能积极</w:t>
            </w:r>
            <w:r>
              <w:rPr>
                <w:rFonts w:hint="eastAsia" w:ascii="宋体" w:hAnsi="宋体" w:cs="宋体"/>
                <w:color w:val="auto"/>
                <w:kern w:val="0"/>
                <w:sz w:val="24"/>
                <w:highlight w:val="none"/>
              </w:rPr>
              <w:t>主动</w:t>
            </w:r>
            <w:r>
              <w:rPr>
                <w:rFonts w:hint="eastAsia" w:ascii="宋体" w:hAnsi="宋体" w:cs="宋体"/>
                <w:color w:val="auto"/>
                <w:sz w:val="24"/>
                <w:highlight w:val="none"/>
              </w:rPr>
              <w:t>与当事人沟通</w:t>
            </w:r>
            <w:r>
              <w:rPr>
                <w:rFonts w:hint="eastAsia" w:ascii="宋体" w:hAnsi="宋体" w:cs="宋体"/>
                <w:color w:val="auto"/>
                <w:kern w:val="0"/>
                <w:sz w:val="24"/>
                <w:highlight w:val="none"/>
              </w:rPr>
              <w:t>对接；对采购政策进行详细解读；</w:t>
            </w:r>
            <w:r>
              <w:rPr>
                <w:rFonts w:hint="eastAsia" w:ascii="宋体" w:hAnsi="宋体" w:cs="宋体"/>
                <w:color w:val="auto"/>
                <w:sz w:val="24"/>
                <w:highlight w:val="none"/>
              </w:rPr>
              <w:t>咨询答复是否热情周到、耐心细致（2分）</w:t>
            </w:r>
            <w:r>
              <w:rPr>
                <w:rFonts w:hint="eastAsia" w:ascii="宋体" w:hAnsi="宋体" w:cs="宋体"/>
                <w:color w:val="auto"/>
                <w:kern w:val="0"/>
                <w:sz w:val="24"/>
                <w:highlight w:val="none"/>
              </w:rPr>
              <w:t>。</w:t>
            </w:r>
          </w:p>
        </w:tc>
        <w:tc>
          <w:tcPr>
            <w:tcW w:w="4728" w:type="dxa"/>
            <w:gridSpan w:val="3"/>
            <w:tcBorders>
              <w:top w:val="single" w:color="auto" w:sz="4" w:space="0"/>
              <w:left w:val="nil"/>
              <w:bottom w:val="single" w:color="auto" w:sz="4" w:space="0"/>
              <w:right w:val="single" w:color="auto" w:sz="4" w:space="0"/>
            </w:tcBorders>
            <w:vAlign w:val="center"/>
          </w:tcPr>
          <w:p w14:paraId="39157D7A">
            <w:pPr>
              <w:spacing w:line="500" w:lineRule="exact"/>
              <w:jc w:val="center"/>
              <w:rPr>
                <w:rFonts w:ascii="宋体" w:hAnsi="宋体" w:cs="宋体"/>
                <w:color w:val="auto"/>
                <w:sz w:val="24"/>
                <w:highlight w:val="none"/>
              </w:rPr>
            </w:pPr>
          </w:p>
        </w:tc>
      </w:tr>
      <w:tr w14:paraId="5F10C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0521D459">
            <w:pPr>
              <w:widowControl/>
              <w:jc w:val="left"/>
              <w:rPr>
                <w:rFonts w:ascii="宋体" w:hAnsi="宋体" w:cs="宋体"/>
                <w:color w:val="auto"/>
                <w:sz w:val="24"/>
                <w:highlight w:val="none"/>
              </w:rPr>
            </w:pPr>
          </w:p>
        </w:tc>
        <w:tc>
          <w:tcPr>
            <w:tcW w:w="3210" w:type="dxa"/>
            <w:gridSpan w:val="3"/>
            <w:tcBorders>
              <w:top w:val="single" w:color="auto" w:sz="4" w:space="0"/>
              <w:left w:val="nil"/>
              <w:bottom w:val="single" w:color="auto" w:sz="4" w:space="0"/>
              <w:right w:val="single" w:color="auto" w:sz="4" w:space="0"/>
            </w:tcBorders>
            <w:vAlign w:val="center"/>
          </w:tcPr>
          <w:p w14:paraId="64DD7755">
            <w:pPr>
              <w:rPr>
                <w:rFonts w:ascii="宋体" w:hAnsi="宋体" w:cs="宋体"/>
                <w:color w:val="auto"/>
                <w:sz w:val="24"/>
                <w:highlight w:val="none"/>
              </w:rPr>
            </w:pPr>
            <w:r>
              <w:rPr>
                <w:rFonts w:hint="eastAsia" w:ascii="宋体" w:hAnsi="宋体" w:cs="宋体"/>
                <w:color w:val="auto"/>
                <w:sz w:val="24"/>
                <w:highlight w:val="none"/>
              </w:rPr>
              <w:t>采购的质量、服务是否满意（2分）。</w:t>
            </w:r>
          </w:p>
        </w:tc>
        <w:tc>
          <w:tcPr>
            <w:tcW w:w="4728" w:type="dxa"/>
            <w:gridSpan w:val="3"/>
            <w:tcBorders>
              <w:top w:val="single" w:color="auto" w:sz="4" w:space="0"/>
              <w:left w:val="nil"/>
              <w:bottom w:val="single" w:color="auto" w:sz="4" w:space="0"/>
              <w:right w:val="single" w:color="auto" w:sz="4" w:space="0"/>
            </w:tcBorders>
            <w:vAlign w:val="center"/>
          </w:tcPr>
          <w:p w14:paraId="2EF744CF">
            <w:pPr>
              <w:spacing w:line="500" w:lineRule="exact"/>
              <w:jc w:val="center"/>
              <w:rPr>
                <w:rFonts w:ascii="宋体" w:hAnsi="宋体" w:cs="宋体"/>
                <w:color w:val="auto"/>
                <w:sz w:val="24"/>
                <w:highlight w:val="none"/>
              </w:rPr>
            </w:pPr>
          </w:p>
        </w:tc>
      </w:tr>
      <w:tr w14:paraId="0FE68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5FF46B8C">
            <w:pPr>
              <w:widowControl/>
              <w:jc w:val="left"/>
              <w:rPr>
                <w:rFonts w:ascii="宋体" w:hAnsi="宋体" w:cs="宋体"/>
                <w:color w:val="auto"/>
                <w:sz w:val="24"/>
                <w:highlight w:val="none"/>
              </w:rPr>
            </w:pPr>
          </w:p>
        </w:tc>
        <w:tc>
          <w:tcPr>
            <w:tcW w:w="3210" w:type="dxa"/>
            <w:gridSpan w:val="3"/>
            <w:tcBorders>
              <w:top w:val="single" w:color="auto" w:sz="4" w:space="0"/>
              <w:left w:val="nil"/>
              <w:bottom w:val="single" w:color="auto" w:sz="4" w:space="0"/>
              <w:right w:val="single" w:color="auto" w:sz="4" w:space="0"/>
            </w:tcBorders>
            <w:vAlign w:val="center"/>
          </w:tcPr>
          <w:p w14:paraId="1CE67741">
            <w:pPr>
              <w:spacing w:line="500" w:lineRule="exact"/>
              <w:jc w:val="center"/>
              <w:rPr>
                <w:rFonts w:ascii="宋体" w:hAnsi="宋体" w:cs="宋体"/>
                <w:color w:val="auto"/>
                <w:sz w:val="24"/>
                <w:highlight w:val="none"/>
              </w:rPr>
            </w:pPr>
            <w:r>
              <w:rPr>
                <w:rFonts w:hint="eastAsia" w:ascii="宋体" w:hAnsi="宋体" w:cs="宋体"/>
                <w:color w:val="auto"/>
                <w:sz w:val="24"/>
                <w:highlight w:val="none"/>
              </w:rPr>
              <w:t>合计</w:t>
            </w:r>
          </w:p>
        </w:tc>
        <w:tc>
          <w:tcPr>
            <w:tcW w:w="4728" w:type="dxa"/>
            <w:gridSpan w:val="3"/>
            <w:tcBorders>
              <w:top w:val="single" w:color="auto" w:sz="4" w:space="0"/>
              <w:left w:val="nil"/>
              <w:bottom w:val="single" w:color="auto" w:sz="4" w:space="0"/>
              <w:right w:val="single" w:color="auto" w:sz="4" w:space="0"/>
            </w:tcBorders>
            <w:vAlign w:val="center"/>
          </w:tcPr>
          <w:p w14:paraId="1D9E0C60">
            <w:pPr>
              <w:spacing w:line="500" w:lineRule="exact"/>
              <w:jc w:val="center"/>
              <w:rPr>
                <w:rFonts w:ascii="宋体" w:hAnsi="宋体" w:cs="宋体"/>
                <w:color w:val="auto"/>
                <w:sz w:val="24"/>
                <w:highlight w:val="none"/>
              </w:rPr>
            </w:pPr>
          </w:p>
        </w:tc>
      </w:tr>
      <w:tr w14:paraId="439B7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trPr>
        <w:tc>
          <w:tcPr>
            <w:tcW w:w="1242" w:type="dxa"/>
            <w:tcBorders>
              <w:top w:val="single" w:color="auto" w:sz="4" w:space="0"/>
              <w:left w:val="single" w:color="auto" w:sz="4" w:space="0"/>
              <w:bottom w:val="single" w:color="auto" w:sz="4" w:space="0"/>
              <w:right w:val="single" w:color="auto" w:sz="4" w:space="0"/>
            </w:tcBorders>
            <w:vAlign w:val="center"/>
          </w:tcPr>
          <w:p w14:paraId="0D81D20C">
            <w:pPr>
              <w:jc w:val="center"/>
              <w:rPr>
                <w:rFonts w:ascii="宋体" w:hAnsi="宋体" w:cs="宋体"/>
                <w:color w:val="auto"/>
                <w:sz w:val="24"/>
                <w:highlight w:val="none"/>
              </w:rPr>
            </w:pPr>
            <w:r>
              <w:rPr>
                <w:rFonts w:hint="eastAsia" w:ascii="宋体" w:hAnsi="宋体" w:cs="宋体"/>
                <w:color w:val="auto"/>
                <w:sz w:val="24"/>
                <w:highlight w:val="none"/>
              </w:rPr>
              <w:t>对代理机构的意见和建议</w:t>
            </w:r>
          </w:p>
        </w:tc>
        <w:tc>
          <w:tcPr>
            <w:tcW w:w="7938" w:type="dxa"/>
            <w:gridSpan w:val="6"/>
            <w:tcBorders>
              <w:top w:val="single" w:color="auto" w:sz="4" w:space="0"/>
              <w:left w:val="nil"/>
              <w:bottom w:val="single" w:color="auto" w:sz="4" w:space="0"/>
              <w:right w:val="single" w:color="auto" w:sz="4" w:space="0"/>
            </w:tcBorders>
            <w:vAlign w:val="center"/>
          </w:tcPr>
          <w:p w14:paraId="01B98404">
            <w:pPr>
              <w:jc w:val="center"/>
              <w:rPr>
                <w:rFonts w:ascii="宋体" w:hAnsi="宋体" w:cs="宋体"/>
                <w:color w:val="auto"/>
                <w:sz w:val="24"/>
                <w:highlight w:val="none"/>
              </w:rPr>
            </w:pPr>
          </w:p>
        </w:tc>
      </w:tr>
      <w:tr w14:paraId="44D11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1242" w:type="dxa"/>
            <w:tcBorders>
              <w:top w:val="single" w:color="auto" w:sz="4" w:space="0"/>
              <w:left w:val="single" w:color="auto" w:sz="4" w:space="0"/>
              <w:bottom w:val="single" w:color="auto" w:sz="4" w:space="0"/>
              <w:right w:val="single" w:color="auto" w:sz="4" w:space="0"/>
            </w:tcBorders>
            <w:vAlign w:val="center"/>
          </w:tcPr>
          <w:p w14:paraId="0A064597">
            <w:pPr>
              <w:jc w:val="center"/>
              <w:rPr>
                <w:rFonts w:ascii="宋体" w:hAnsi="宋体" w:cs="宋体"/>
                <w:color w:val="auto"/>
                <w:sz w:val="24"/>
                <w:highlight w:val="none"/>
              </w:rPr>
            </w:pPr>
            <w:r>
              <w:rPr>
                <w:rFonts w:hint="eastAsia" w:ascii="宋体" w:hAnsi="宋体" w:cs="宋体"/>
                <w:color w:val="auto"/>
                <w:sz w:val="24"/>
                <w:highlight w:val="none"/>
              </w:rPr>
              <w:t>备注</w:t>
            </w:r>
          </w:p>
        </w:tc>
        <w:tc>
          <w:tcPr>
            <w:tcW w:w="7938" w:type="dxa"/>
            <w:gridSpan w:val="6"/>
            <w:tcBorders>
              <w:top w:val="single" w:color="auto" w:sz="4" w:space="0"/>
              <w:left w:val="nil"/>
              <w:bottom w:val="single" w:color="auto" w:sz="4" w:space="0"/>
              <w:right w:val="single" w:color="auto" w:sz="4" w:space="0"/>
            </w:tcBorders>
            <w:vAlign w:val="center"/>
          </w:tcPr>
          <w:p w14:paraId="6355A411">
            <w:pPr>
              <w:jc w:val="center"/>
              <w:rPr>
                <w:rFonts w:ascii="宋体" w:hAnsi="宋体" w:cs="宋体"/>
                <w:color w:val="auto"/>
                <w:sz w:val="24"/>
                <w:highlight w:val="none"/>
              </w:rPr>
            </w:pPr>
          </w:p>
        </w:tc>
      </w:tr>
    </w:tbl>
    <w:p w14:paraId="284C2C40">
      <w:pPr>
        <w:spacing w:line="500" w:lineRule="exact"/>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填表人签字盖章：                    </w:t>
      </w:r>
      <w:r>
        <w:rPr>
          <w:rFonts w:hint="eastAsia" w:ascii="宋体" w:hAnsi="宋体" w:cs="宋体"/>
          <w:color w:val="auto"/>
          <w:sz w:val="24"/>
          <w:highlight w:val="none"/>
          <w:lang w:val="en-US" w:eastAsia="zh-CN"/>
        </w:rPr>
        <w:t xml:space="preserve">   填表</w:t>
      </w:r>
      <w:r>
        <w:rPr>
          <w:rFonts w:hint="eastAsia" w:ascii="宋体" w:hAnsi="宋体" w:cs="宋体"/>
          <w:color w:val="auto"/>
          <w:sz w:val="24"/>
          <w:highlight w:val="none"/>
        </w:rPr>
        <w:t>日期</w:t>
      </w:r>
      <w:r>
        <w:rPr>
          <w:rFonts w:hint="eastAsia" w:ascii="宋体" w:hAnsi="宋体" w:cs="宋体"/>
          <w:color w:val="auto"/>
          <w:sz w:val="24"/>
          <w:highlight w:val="none"/>
          <w:lang w:eastAsia="zh-CN"/>
        </w:rPr>
        <w:t>：</w:t>
      </w:r>
    </w:p>
    <w:p w14:paraId="64E36AF7">
      <w:pPr>
        <w:spacing w:before="100" w:beforeAutospacing="1" w:after="120"/>
        <w:ind w:right="-154" w:firstLine="4760" w:firstLineChars="1700"/>
        <w:rPr>
          <w:rFonts w:ascii="宋体" w:hAnsi="宋体" w:cs="宋体"/>
          <w:color w:val="auto"/>
          <w:sz w:val="28"/>
          <w:szCs w:val="28"/>
          <w:highlight w:val="none"/>
        </w:rPr>
      </w:pPr>
      <w:r>
        <w:rPr>
          <w:rFonts w:hint="eastAsia" w:ascii="宋体" w:hAnsi="宋体" w:cs="宋体"/>
          <w:color w:val="auto"/>
          <w:sz w:val="28"/>
          <w:szCs w:val="28"/>
          <w:highlight w:val="none"/>
        </w:rPr>
        <w:t>注：此表须盖投标单位公章</w:t>
      </w:r>
    </w:p>
    <w:p w14:paraId="468D4F1C">
      <w:pPr>
        <w:spacing w:line="360" w:lineRule="auto"/>
        <w:jc w:val="center"/>
        <w:rPr>
          <w:rFonts w:ascii="宋体" w:hAnsi="宋体" w:cs="宋体"/>
          <w:b/>
          <w:color w:val="auto"/>
          <w:sz w:val="28"/>
          <w:szCs w:val="28"/>
          <w:highlight w:val="none"/>
        </w:rPr>
      </w:pPr>
      <w:r>
        <w:rPr>
          <w:rFonts w:hint="eastAsia" w:ascii="宋体" w:hAnsi="宋体" w:cs="宋体"/>
          <w:b/>
          <w:color w:val="auto"/>
          <w:sz w:val="28"/>
          <w:szCs w:val="28"/>
          <w:highlight w:val="none"/>
        </w:rPr>
        <w:t>政府采购支持中小企业信用融资相关事项通知</w:t>
      </w:r>
    </w:p>
    <w:p w14:paraId="062522B6">
      <w:pPr>
        <w:spacing w:line="3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为支持和促进中小企业发展，进一步发挥政府采购政策功能，现将相关事项通知如下：</w:t>
      </w:r>
    </w:p>
    <w:p w14:paraId="5E939DBB">
      <w:pPr>
        <w:spacing w:line="380" w:lineRule="exact"/>
        <w:ind w:firstLine="480" w:firstLineChars="200"/>
        <w:rPr>
          <w:rFonts w:ascii="宋体" w:hAnsi="宋体" w:cs="宋体"/>
          <w:b/>
          <w:color w:val="auto"/>
          <w:sz w:val="24"/>
          <w:highlight w:val="none"/>
        </w:rPr>
      </w:pPr>
      <w:r>
        <w:rPr>
          <w:rFonts w:hint="eastAsia" w:ascii="宋体" w:hAnsi="宋体" w:cs="宋体"/>
          <w:b/>
          <w:color w:val="auto"/>
          <w:sz w:val="24"/>
          <w:highlight w:val="none"/>
        </w:rPr>
        <w:t>一、适用对象</w:t>
      </w:r>
    </w:p>
    <w:p w14:paraId="06568E7A">
      <w:pPr>
        <w:spacing w:line="3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在浙江政府采购网注册入库，并取得东阳市政府采购合同的中小企业供应商。</w:t>
      </w:r>
    </w:p>
    <w:p w14:paraId="321E8AA6">
      <w:pPr>
        <w:spacing w:line="380" w:lineRule="exact"/>
        <w:ind w:firstLine="480" w:firstLineChars="200"/>
        <w:rPr>
          <w:rFonts w:ascii="宋体" w:hAnsi="宋体" w:cs="宋体"/>
          <w:b/>
          <w:color w:val="auto"/>
          <w:sz w:val="24"/>
          <w:highlight w:val="none"/>
        </w:rPr>
      </w:pPr>
      <w:r>
        <w:rPr>
          <w:rFonts w:hint="eastAsia" w:ascii="宋体" w:hAnsi="宋体" w:cs="宋体"/>
          <w:b/>
          <w:color w:val="auto"/>
          <w:sz w:val="24"/>
          <w:highlight w:val="none"/>
        </w:rPr>
        <w:t>二、相关信息获取方式</w:t>
      </w:r>
    </w:p>
    <w:p w14:paraId="0D6B87D6">
      <w:pPr>
        <w:spacing w:line="3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请登录浙江省政府采购网“融资贷款”模块，查看信用融资政策文件及各相关银行服务方案。</w:t>
      </w:r>
    </w:p>
    <w:p w14:paraId="4DB9D67C">
      <w:pPr>
        <w:spacing w:line="380" w:lineRule="exact"/>
        <w:ind w:firstLine="480" w:firstLineChars="200"/>
        <w:rPr>
          <w:rFonts w:ascii="宋体" w:hAnsi="宋体" w:cs="宋体"/>
          <w:b/>
          <w:color w:val="auto"/>
          <w:sz w:val="24"/>
          <w:highlight w:val="none"/>
        </w:rPr>
      </w:pPr>
      <w:r>
        <w:rPr>
          <w:rFonts w:hint="eastAsia" w:ascii="宋体" w:hAnsi="宋体" w:cs="宋体"/>
          <w:b/>
          <w:color w:val="auto"/>
          <w:sz w:val="24"/>
          <w:highlight w:val="none"/>
        </w:rPr>
        <w:t>三、申请方式和步骤</w:t>
      </w:r>
    </w:p>
    <w:p w14:paraId="1A1A58F6">
      <w:pPr>
        <w:spacing w:line="3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（一）采购合同贷</w:t>
      </w:r>
    </w:p>
    <w:p w14:paraId="5C892EE6">
      <w:pPr>
        <w:spacing w:line="38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1、采购单位在政采云完成中标通知书及公告发布后，政采云根据该供应商资信向供应商发送推介合适的融资产品方案(展示多家银行---满足贷款银行条件的银行产品,对供应商进行展示)；</w:t>
      </w:r>
    </w:p>
    <w:p w14:paraId="43FCD454">
      <w:pPr>
        <w:spacing w:line="38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2、供应商在收到中标通知的同时会收到可申请融资服务邀请，有意向的供应商选择满足条件的银行产品,并补充填写相关资料,向满足条件的融资产品发起申请；</w:t>
      </w:r>
    </w:p>
    <w:p w14:paraId="03ACED51">
      <w:pPr>
        <w:spacing w:line="38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3、政采云将供应商的申请传递给银行,并将供应商相关信息给银行:供应商信息、订单(合同)信息、融资申请等数据用于贷款审批；</w:t>
      </w:r>
    </w:p>
    <w:p w14:paraId="37CFAEE2">
      <w:pPr>
        <w:spacing w:line="38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4、银行进行融资审批并返回审批结果至政采云（审批通过的等待政采云放款通知，订单合同签署生效后通知）,政采云将银行反馈信息同步展示给对应供应商；</w:t>
      </w:r>
    </w:p>
    <w:p w14:paraId="252D9EE8">
      <w:pPr>
        <w:spacing w:line="38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5、采购单位与供应商在线下签订完成合同签署后（将贷款银行的账号协调采购合同中去,贷款账号作为采购合同的收款账户），政采云向银行发送确认指令；</w:t>
      </w:r>
    </w:p>
    <w:p w14:paraId="6909D66F">
      <w:pPr>
        <w:spacing w:line="38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6、项目履约完成，采购单位完成验收后发起结算，国库完成支付；</w:t>
      </w:r>
    </w:p>
    <w:p w14:paraId="471DF2C4">
      <w:pPr>
        <w:spacing w:line="38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7、银行对其本行借款账户进行资金监控，有入账即可进行本金提前还款操作，银行返回还款信息“提前还款本金、更新还款计划”。</w:t>
      </w:r>
    </w:p>
    <w:p w14:paraId="1FDF4609">
      <w:pPr>
        <w:spacing w:line="3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（二）流水贷流程</w:t>
      </w:r>
    </w:p>
    <w:p w14:paraId="55CD9378">
      <w:pPr>
        <w:spacing w:line="3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1、政采云通过规则向符合该产品的供应商发出邀约；</w:t>
      </w:r>
    </w:p>
    <w:p w14:paraId="521B396A">
      <w:pPr>
        <w:spacing w:line="3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2、供应商授权后向银行发送历史流水数据进行授信；</w:t>
      </w:r>
    </w:p>
    <w:p w14:paraId="7E9C8404">
      <w:pPr>
        <w:spacing w:line="3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3、银行根据风控模型出具最终授信结果并通知政采云；</w:t>
      </w:r>
    </w:p>
    <w:p w14:paraId="156C3F42">
      <w:pPr>
        <w:spacing w:line="3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4、供应商用款时进行在线提款签约；</w:t>
      </w:r>
    </w:p>
    <w:p w14:paraId="34A6B457">
      <w:pPr>
        <w:spacing w:line="3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5、银行放款并返回放款结果，流程完成。</w:t>
      </w:r>
    </w:p>
    <w:p w14:paraId="6FB7A9D1">
      <w:pPr>
        <w:spacing w:line="380" w:lineRule="exact"/>
        <w:ind w:firstLine="480" w:firstLineChars="200"/>
        <w:rPr>
          <w:rFonts w:ascii="宋体" w:hAnsi="宋体" w:cs="宋体"/>
          <w:b/>
          <w:color w:val="auto"/>
          <w:sz w:val="24"/>
          <w:highlight w:val="none"/>
        </w:rPr>
      </w:pPr>
      <w:r>
        <w:rPr>
          <w:rFonts w:hint="eastAsia" w:ascii="宋体" w:hAnsi="宋体" w:cs="宋体"/>
          <w:b/>
          <w:color w:val="auto"/>
          <w:sz w:val="24"/>
          <w:highlight w:val="none"/>
        </w:rPr>
        <w:t>四、注意事项</w:t>
      </w:r>
    </w:p>
    <w:p w14:paraId="3726F84B">
      <w:pPr>
        <w:spacing w:line="38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1、供应商需确保政府采购合同的收款银行与融资银行一致。</w:t>
      </w:r>
    </w:p>
    <w:p w14:paraId="02169D6E">
      <w:pPr>
        <w:spacing w:line="38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2、请各采购单位积极支持和配合政府采购信用融资工作，在合同备案环节仔细核对收款银行、账号信息等内容，一旦录入将无法修改。</w:t>
      </w:r>
    </w:p>
    <w:p w14:paraId="2B6F23BF">
      <w:pPr>
        <w:spacing w:line="380" w:lineRule="exact"/>
        <w:ind w:firstLine="480" w:firstLineChars="200"/>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3、为扩大政府采购金融服务面，除政采云网上金融服务合作银行外，东阳市范围内增加浙商银行金华分行东阳支行作为线下合作银行。   </w:t>
      </w:r>
      <w:r>
        <w:rPr>
          <w:rFonts w:hint="eastAsia" w:ascii="宋体" w:hAnsi="宋体" w:cs="宋体"/>
          <w:color w:val="auto"/>
          <w:sz w:val="24"/>
          <w:highlight w:val="none"/>
          <w:lang w:eastAsia="zh-CN"/>
        </w:rPr>
        <w:t>浙商银行金华东阳支行联系人：许燕  联系电话：13967983441  0579-86222992</w:t>
      </w:r>
    </w:p>
    <w:p w14:paraId="66529CD3">
      <w:pPr>
        <w:pStyle w:val="15"/>
        <w:ind w:firstLine="0"/>
        <w:rPr>
          <w:color w:val="auto"/>
          <w:highlight w:val="none"/>
        </w:rPr>
      </w:pPr>
    </w:p>
    <w:p w14:paraId="7B08BBC3">
      <w:pPr>
        <w:snapToGrid w:val="0"/>
        <w:spacing w:before="50" w:after="50"/>
        <w:ind w:right="-816" w:rightChars="-389"/>
        <w:rPr>
          <w:rFonts w:hint="eastAsia" w:ascii="宋体" w:hAnsi="宋体" w:cs="宋体"/>
          <w:b/>
          <w:color w:val="auto"/>
          <w:sz w:val="24"/>
          <w:szCs w:val="24"/>
          <w:highlight w:val="none"/>
          <w:lang w:eastAsia="zh-CN"/>
        </w:rPr>
      </w:pPr>
    </w:p>
    <w:p w14:paraId="64D6A26C">
      <w:pPr>
        <w:snapToGrid w:val="0"/>
        <w:spacing w:before="50" w:after="50"/>
        <w:ind w:right="-816" w:rightChars="-389"/>
        <w:rPr>
          <w:rFonts w:hint="eastAsia" w:ascii="宋体" w:hAnsi="宋体" w:cs="宋体"/>
          <w:b/>
          <w:color w:val="auto"/>
          <w:sz w:val="24"/>
          <w:szCs w:val="24"/>
          <w:highlight w:val="none"/>
          <w:lang w:eastAsia="zh-CN"/>
        </w:rPr>
      </w:pPr>
    </w:p>
    <w:p w14:paraId="4CBC85DD">
      <w:pPr>
        <w:snapToGrid w:val="0"/>
        <w:spacing w:before="50" w:after="50"/>
        <w:ind w:right="-816" w:rightChars="-389"/>
        <w:rPr>
          <w:rFonts w:hint="eastAsia" w:ascii="宋体" w:hAnsi="宋体" w:cs="宋体"/>
          <w:b/>
          <w:color w:val="auto"/>
          <w:sz w:val="24"/>
          <w:szCs w:val="24"/>
          <w:highlight w:val="none"/>
          <w:lang w:eastAsia="zh-CN"/>
        </w:rPr>
      </w:pPr>
    </w:p>
    <w:p w14:paraId="1D472ECA">
      <w:pPr>
        <w:snapToGrid w:val="0"/>
        <w:spacing w:before="50" w:after="50"/>
        <w:ind w:right="-816" w:rightChars="-389"/>
        <w:rPr>
          <w:rFonts w:hint="eastAsia" w:ascii="宋体" w:hAnsi="宋体" w:cs="宋体"/>
          <w:b/>
          <w:color w:val="auto"/>
          <w:sz w:val="24"/>
          <w:szCs w:val="24"/>
          <w:highlight w:val="none"/>
          <w:lang w:eastAsia="zh-CN"/>
        </w:rPr>
      </w:pPr>
    </w:p>
    <w:p w14:paraId="78EA8CBE">
      <w:pPr>
        <w:snapToGrid w:val="0"/>
        <w:spacing w:before="50" w:after="50"/>
        <w:ind w:right="-816" w:rightChars="-389"/>
        <w:rPr>
          <w:rFonts w:hint="eastAsia" w:ascii="宋体" w:hAnsi="宋体" w:cs="宋体"/>
          <w:b/>
          <w:color w:val="auto"/>
          <w:sz w:val="24"/>
          <w:szCs w:val="24"/>
          <w:highlight w:val="none"/>
          <w:lang w:eastAsia="zh-CN"/>
        </w:rPr>
      </w:pPr>
    </w:p>
    <w:p w14:paraId="784E3B7D">
      <w:pPr>
        <w:snapToGrid w:val="0"/>
        <w:spacing w:before="50" w:after="50"/>
        <w:ind w:right="-816" w:rightChars="-389"/>
        <w:rPr>
          <w:rFonts w:hint="eastAsia" w:ascii="宋体" w:hAnsi="宋体" w:cs="宋体"/>
          <w:b/>
          <w:color w:val="auto"/>
          <w:sz w:val="24"/>
          <w:szCs w:val="24"/>
          <w:highlight w:val="none"/>
          <w:lang w:eastAsia="zh-CN"/>
        </w:rPr>
      </w:pPr>
    </w:p>
    <w:p w14:paraId="604FE56B">
      <w:pPr>
        <w:snapToGrid w:val="0"/>
        <w:spacing w:before="50" w:after="50"/>
        <w:ind w:right="-816" w:rightChars="-389"/>
        <w:rPr>
          <w:rFonts w:hint="eastAsia" w:ascii="宋体" w:hAnsi="宋体" w:cs="宋体"/>
          <w:b/>
          <w:color w:val="auto"/>
          <w:sz w:val="24"/>
          <w:szCs w:val="24"/>
          <w:highlight w:val="none"/>
          <w:lang w:eastAsia="zh-CN"/>
        </w:rPr>
      </w:pPr>
    </w:p>
    <w:p w14:paraId="0F725AEC">
      <w:pPr>
        <w:snapToGrid w:val="0"/>
        <w:spacing w:before="50" w:after="50"/>
        <w:ind w:right="-816" w:rightChars="-389"/>
        <w:rPr>
          <w:rFonts w:hint="eastAsia" w:ascii="宋体" w:hAnsi="宋体" w:cs="宋体"/>
          <w:b/>
          <w:color w:val="auto"/>
          <w:sz w:val="24"/>
          <w:szCs w:val="24"/>
          <w:highlight w:val="none"/>
          <w:lang w:eastAsia="zh-CN"/>
        </w:rPr>
      </w:pPr>
    </w:p>
    <w:p w14:paraId="575EC987">
      <w:pPr>
        <w:snapToGrid w:val="0"/>
        <w:spacing w:before="50" w:after="50"/>
        <w:ind w:right="-816" w:rightChars="-389"/>
        <w:rPr>
          <w:rFonts w:hint="eastAsia" w:ascii="宋体" w:hAnsi="宋体" w:cs="宋体"/>
          <w:b/>
          <w:color w:val="auto"/>
          <w:sz w:val="24"/>
          <w:szCs w:val="24"/>
          <w:highlight w:val="none"/>
          <w:lang w:eastAsia="zh-CN"/>
        </w:rPr>
      </w:pPr>
    </w:p>
    <w:p w14:paraId="4CD892C8">
      <w:pPr>
        <w:snapToGrid w:val="0"/>
        <w:spacing w:before="50" w:after="50"/>
        <w:ind w:right="-816" w:rightChars="-389"/>
        <w:rPr>
          <w:rFonts w:hint="eastAsia" w:ascii="宋体" w:hAnsi="宋体" w:cs="宋体"/>
          <w:b/>
          <w:color w:val="auto"/>
          <w:sz w:val="24"/>
          <w:szCs w:val="24"/>
          <w:highlight w:val="none"/>
          <w:lang w:eastAsia="zh-CN"/>
        </w:rPr>
      </w:pPr>
    </w:p>
    <w:p w14:paraId="11597869">
      <w:pPr>
        <w:snapToGrid w:val="0"/>
        <w:spacing w:before="50" w:after="50"/>
        <w:ind w:right="-816" w:rightChars="-389"/>
        <w:rPr>
          <w:rFonts w:hint="eastAsia" w:ascii="宋体" w:hAnsi="宋体" w:cs="宋体"/>
          <w:b/>
          <w:color w:val="auto"/>
          <w:sz w:val="24"/>
          <w:szCs w:val="24"/>
          <w:highlight w:val="none"/>
          <w:lang w:eastAsia="zh-CN"/>
        </w:rPr>
      </w:pPr>
    </w:p>
    <w:p w14:paraId="7FB23F6B">
      <w:pPr>
        <w:snapToGrid w:val="0"/>
        <w:spacing w:before="50" w:after="50"/>
        <w:ind w:right="-816" w:rightChars="-389"/>
        <w:rPr>
          <w:rFonts w:hint="eastAsia" w:ascii="宋体" w:hAnsi="宋体" w:cs="宋体"/>
          <w:b/>
          <w:color w:val="auto"/>
          <w:sz w:val="24"/>
          <w:szCs w:val="24"/>
          <w:highlight w:val="none"/>
          <w:lang w:eastAsia="zh-CN"/>
        </w:rPr>
      </w:pPr>
    </w:p>
    <w:p w14:paraId="2C780AC9">
      <w:pPr>
        <w:snapToGrid w:val="0"/>
        <w:spacing w:before="50" w:after="50"/>
        <w:ind w:right="-816" w:rightChars="-389"/>
        <w:rPr>
          <w:rFonts w:hint="eastAsia" w:ascii="宋体" w:hAnsi="宋体" w:cs="宋体"/>
          <w:b/>
          <w:color w:val="auto"/>
          <w:sz w:val="24"/>
          <w:szCs w:val="24"/>
          <w:highlight w:val="none"/>
          <w:lang w:eastAsia="zh-CN"/>
        </w:rPr>
      </w:pPr>
    </w:p>
    <w:p w14:paraId="673C20CE">
      <w:pPr>
        <w:snapToGrid w:val="0"/>
        <w:spacing w:before="50" w:after="50"/>
        <w:ind w:right="-816" w:rightChars="-389"/>
        <w:rPr>
          <w:rFonts w:hint="eastAsia" w:ascii="宋体" w:hAnsi="宋体" w:cs="宋体"/>
          <w:b/>
          <w:color w:val="auto"/>
          <w:sz w:val="24"/>
          <w:szCs w:val="24"/>
          <w:highlight w:val="none"/>
          <w:lang w:eastAsia="zh-CN"/>
        </w:rPr>
      </w:pPr>
    </w:p>
    <w:p w14:paraId="6778A7D1">
      <w:pPr>
        <w:snapToGrid w:val="0"/>
        <w:spacing w:before="50" w:after="50"/>
        <w:ind w:right="-816" w:rightChars="-389"/>
        <w:rPr>
          <w:rFonts w:hint="eastAsia" w:ascii="宋体" w:hAnsi="宋体" w:cs="宋体"/>
          <w:b/>
          <w:color w:val="auto"/>
          <w:sz w:val="24"/>
          <w:szCs w:val="24"/>
          <w:highlight w:val="none"/>
          <w:lang w:eastAsia="zh-CN"/>
        </w:rPr>
      </w:pPr>
    </w:p>
    <w:p w14:paraId="7E6C56B3">
      <w:pPr>
        <w:snapToGrid w:val="0"/>
        <w:spacing w:before="50" w:after="50"/>
        <w:ind w:right="-816" w:rightChars="-389"/>
        <w:rPr>
          <w:rFonts w:hint="eastAsia" w:ascii="宋体" w:hAnsi="宋体" w:cs="宋体"/>
          <w:b/>
          <w:color w:val="auto"/>
          <w:sz w:val="24"/>
          <w:szCs w:val="24"/>
          <w:highlight w:val="none"/>
          <w:lang w:eastAsia="zh-CN"/>
        </w:rPr>
      </w:pPr>
    </w:p>
    <w:p w14:paraId="481E3F45">
      <w:pPr>
        <w:snapToGrid w:val="0"/>
        <w:spacing w:before="50" w:after="50"/>
        <w:ind w:right="-816" w:rightChars="-389"/>
        <w:rPr>
          <w:rFonts w:hint="eastAsia" w:ascii="宋体" w:hAnsi="宋体" w:cs="宋体"/>
          <w:b/>
          <w:color w:val="auto"/>
          <w:sz w:val="24"/>
          <w:szCs w:val="24"/>
          <w:highlight w:val="none"/>
          <w:lang w:eastAsia="zh-CN"/>
        </w:rPr>
      </w:pPr>
    </w:p>
    <w:p w14:paraId="67DFABC1">
      <w:pPr>
        <w:snapToGrid w:val="0"/>
        <w:spacing w:before="50" w:after="50"/>
        <w:ind w:right="-816" w:rightChars="-389"/>
        <w:rPr>
          <w:rFonts w:hint="eastAsia" w:ascii="宋体" w:hAnsi="宋体" w:cs="宋体"/>
          <w:b/>
          <w:color w:val="auto"/>
          <w:sz w:val="24"/>
          <w:szCs w:val="24"/>
          <w:highlight w:val="none"/>
          <w:lang w:eastAsia="zh-CN"/>
        </w:rPr>
      </w:pPr>
    </w:p>
    <w:p w14:paraId="00576331">
      <w:pPr>
        <w:snapToGrid w:val="0"/>
        <w:spacing w:before="50" w:after="50"/>
        <w:ind w:right="-816" w:rightChars="-389"/>
        <w:rPr>
          <w:rFonts w:hint="eastAsia" w:ascii="宋体" w:hAnsi="宋体" w:cs="宋体"/>
          <w:b/>
          <w:color w:val="auto"/>
          <w:sz w:val="24"/>
          <w:szCs w:val="24"/>
          <w:highlight w:val="none"/>
          <w:lang w:eastAsia="zh-CN"/>
        </w:rPr>
      </w:pPr>
    </w:p>
    <w:p w14:paraId="35AEFD20">
      <w:pPr>
        <w:snapToGrid w:val="0"/>
        <w:spacing w:before="50" w:after="50"/>
        <w:ind w:right="-816" w:rightChars="-389"/>
        <w:rPr>
          <w:rFonts w:hint="eastAsia" w:ascii="宋体" w:hAnsi="宋体" w:cs="宋体"/>
          <w:b/>
          <w:color w:val="auto"/>
          <w:sz w:val="24"/>
          <w:szCs w:val="24"/>
          <w:highlight w:val="none"/>
          <w:lang w:eastAsia="zh-CN"/>
        </w:rPr>
      </w:pPr>
    </w:p>
    <w:p w14:paraId="1089E5D6">
      <w:pPr>
        <w:snapToGrid w:val="0"/>
        <w:spacing w:before="50" w:after="50"/>
        <w:ind w:right="-816" w:rightChars="-389"/>
        <w:rPr>
          <w:rFonts w:hint="eastAsia" w:ascii="宋体" w:hAnsi="宋体" w:cs="宋体"/>
          <w:b/>
          <w:color w:val="auto"/>
          <w:sz w:val="24"/>
          <w:szCs w:val="24"/>
          <w:highlight w:val="none"/>
          <w:lang w:eastAsia="zh-CN"/>
        </w:rPr>
      </w:pPr>
    </w:p>
    <w:p w14:paraId="0A9DE2CC">
      <w:pPr>
        <w:snapToGrid w:val="0"/>
        <w:spacing w:before="50" w:after="50"/>
        <w:ind w:right="-816" w:rightChars="-389"/>
        <w:rPr>
          <w:rFonts w:hint="eastAsia" w:ascii="宋体" w:hAnsi="宋体" w:cs="宋体"/>
          <w:b/>
          <w:color w:val="auto"/>
          <w:sz w:val="24"/>
          <w:szCs w:val="24"/>
          <w:highlight w:val="none"/>
          <w:lang w:eastAsia="zh-CN"/>
        </w:rPr>
      </w:pPr>
    </w:p>
    <w:p w14:paraId="32AC9FCF">
      <w:pPr>
        <w:snapToGrid w:val="0"/>
        <w:spacing w:before="50" w:after="50"/>
        <w:ind w:right="-816" w:rightChars="-389"/>
        <w:rPr>
          <w:rFonts w:hint="eastAsia" w:ascii="宋体" w:hAnsi="宋体" w:cs="宋体"/>
          <w:b/>
          <w:color w:val="auto"/>
          <w:sz w:val="24"/>
          <w:szCs w:val="24"/>
          <w:highlight w:val="none"/>
          <w:lang w:eastAsia="zh-CN"/>
        </w:rPr>
      </w:pPr>
    </w:p>
    <w:p w14:paraId="4DA4EDE3">
      <w:pPr>
        <w:snapToGrid w:val="0"/>
        <w:spacing w:before="50" w:after="50"/>
        <w:ind w:right="-816" w:rightChars="-389"/>
        <w:rPr>
          <w:rFonts w:hint="eastAsia" w:ascii="宋体" w:hAnsi="宋体" w:cs="宋体"/>
          <w:b/>
          <w:color w:val="auto"/>
          <w:sz w:val="24"/>
          <w:szCs w:val="24"/>
          <w:highlight w:val="none"/>
          <w:lang w:eastAsia="zh-CN"/>
        </w:rPr>
      </w:pPr>
    </w:p>
    <w:p w14:paraId="4DDCE200">
      <w:pPr>
        <w:snapToGrid w:val="0"/>
        <w:spacing w:before="50" w:after="50"/>
        <w:ind w:right="-816" w:rightChars="-389"/>
        <w:rPr>
          <w:rFonts w:hint="eastAsia" w:ascii="宋体" w:hAnsi="宋体" w:cs="宋体"/>
          <w:b/>
          <w:color w:val="auto"/>
          <w:sz w:val="24"/>
          <w:szCs w:val="24"/>
          <w:highlight w:val="none"/>
          <w:lang w:eastAsia="zh-CN"/>
        </w:rPr>
      </w:pPr>
    </w:p>
    <w:p w14:paraId="38505E6D">
      <w:pPr>
        <w:snapToGrid w:val="0"/>
        <w:spacing w:before="50" w:after="50"/>
        <w:ind w:right="-816" w:rightChars="-389"/>
        <w:rPr>
          <w:rFonts w:hint="eastAsia" w:ascii="宋体" w:hAnsi="宋体" w:cs="宋体"/>
          <w:b/>
          <w:color w:val="auto"/>
          <w:sz w:val="24"/>
          <w:szCs w:val="24"/>
          <w:highlight w:val="none"/>
          <w:lang w:eastAsia="zh-CN"/>
        </w:rPr>
      </w:pPr>
    </w:p>
    <w:p w14:paraId="1146DC02">
      <w:pPr>
        <w:snapToGrid w:val="0"/>
        <w:spacing w:before="50" w:after="50"/>
        <w:ind w:right="-816" w:rightChars="-389"/>
        <w:rPr>
          <w:rFonts w:hint="eastAsia" w:ascii="宋体" w:hAnsi="宋体" w:cs="宋体"/>
          <w:b/>
          <w:color w:val="auto"/>
          <w:sz w:val="24"/>
          <w:szCs w:val="24"/>
          <w:highlight w:val="none"/>
          <w:lang w:eastAsia="zh-CN"/>
        </w:rPr>
      </w:pPr>
    </w:p>
    <w:p w14:paraId="2E8B48CC">
      <w:pPr>
        <w:snapToGrid w:val="0"/>
        <w:spacing w:before="50" w:after="50"/>
        <w:ind w:right="-816" w:rightChars="-389"/>
        <w:rPr>
          <w:rFonts w:hint="eastAsia" w:ascii="宋体" w:hAnsi="宋体" w:cs="宋体"/>
          <w:b/>
          <w:color w:val="auto"/>
          <w:sz w:val="24"/>
          <w:szCs w:val="24"/>
          <w:highlight w:val="none"/>
          <w:lang w:eastAsia="zh-CN"/>
        </w:rPr>
      </w:pPr>
    </w:p>
    <w:p w14:paraId="597B9B94">
      <w:pPr>
        <w:snapToGrid w:val="0"/>
        <w:spacing w:before="50" w:after="50"/>
        <w:ind w:right="-816" w:rightChars="-389"/>
        <w:rPr>
          <w:rFonts w:hint="eastAsia" w:ascii="宋体" w:hAnsi="宋体" w:cs="宋体"/>
          <w:b/>
          <w:color w:val="auto"/>
          <w:sz w:val="24"/>
          <w:szCs w:val="24"/>
          <w:highlight w:val="none"/>
          <w:lang w:eastAsia="zh-CN"/>
        </w:rPr>
      </w:pPr>
    </w:p>
    <w:p w14:paraId="603D6D96">
      <w:pPr>
        <w:snapToGrid w:val="0"/>
        <w:spacing w:before="50" w:after="50"/>
        <w:ind w:right="-816" w:rightChars="-389"/>
        <w:rPr>
          <w:rFonts w:hint="eastAsia" w:ascii="宋体" w:hAnsi="宋体" w:cs="宋体"/>
          <w:b/>
          <w:color w:val="auto"/>
          <w:sz w:val="24"/>
          <w:szCs w:val="24"/>
          <w:highlight w:val="none"/>
          <w:lang w:eastAsia="zh-CN"/>
        </w:rPr>
      </w:pPr>
    </w:p>
    <w:p w14:paraId="66C4F956">
      <w:pPr>
        <w:snapToGrid w:val="0"/>
        <w:spacing w:before="50" w:after="50"/>
        <w:ind w:right="-816" w:rightChars="-389"/>
        <w:rPr>
          <w:rFonts w:hint="eastAsia" w:ascii="宋体" w:hAnsi="宋体" w:cs="宋体"/>
          <w:b/>
          <w:color w:val="auto"/>
          <w:sz w:val="24"/>
          <w:szCs w:val="24"/>
          <w:highlight w:val="none"/>
          <w:lang w:eastAsia="zh-CN"/>
        </w:rPr>
      </w:pPr>
    </w:p>
    <w:p w14:paraId="740E7F5B">
      <w:pPr>
        <w:snapToGrid w:val="0"/>
        <w:spacing w:before="50" w:after="50"/>
        <w:ind w:right="-816" w:rightChars="-389"/>
        <w:rPr>
          <w:rFonts w:hint="eastAsia" w:ascii="宋体" w:hAnsi="宋体" w:cs="宋体"/>
          <w:b/>
          <w:color w:val="auto"/>
          <w:sz w:val="24"/>
          <w:szCs w:val="24"/>
          <w:highlight w:val="none"/>
          <w:lang w:eastAsia="zh-CN"/>
        </w:rPr>
      </w:pPr>
    </w:p>
    <w:p w14:paraId="7CE0B514">
      <w:pPr>
        <w:snapToGrid w:val="0"/>
        <w:spacing w:before="50" w:after="50"/>
        <w:ind w:right="-816" w:rightChars="-389"/>
        <w:rPr>
          <w:rFonts w:ascii="宋体" w:hAnsi="宋体" w:cs="宋体"/>
          <w:b/>
          <w:color w:val="auto"/>
          <w:sz w:val="24"/>
          <w:szCs w:val="24"/>
          <w:highlight w:val="none"/>
        </w:rPr>
      </w:pPr>
      <w:r>
        <w:rPr>
          <w:rFonts w:hint="eastAsia" w:ascii="宋体" w:hAnsi="宋体" w:cs="宋体"/>
          <w:b/>
          <w:color w:val="auto"/>
          <w:sz w:val="24"/>
          <w:szCs w:val="24"/>
          <w:highlight w:val="none"/>
          <w:lang w:eastAsia="zh-CN"/>
        </w:rPr>
        <w:t>附件：</w:t>
      </w:r>
      <w:r>
        <w:rPr>
          <w:rFonts w:hint="eastAsia" w:ascii="宋体" w:hAnsi="宋体" w:cs="宋体"/>
          <w:b/>
          <w:color w:val="auto"/>
          <w:sz w:val="24"/>
          <w:szCs w:val="24"/>
          <w:highlight w:val="none"/>
        </w:rPr>
        <w:t>质疑函范本</w:t>
      </w:r>
    </w:p>
    <w:p w14:paraId="3E4B92B0">
      <w:pPr>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质疑函范本</w:t>
      </w:r>
    </w:p>
    <w:p w14:paraId="124643C1">
      <w:pPr>
        <w:adjustRightInd w:val="0"/>
        <w:snapToGrid w:val="0"/>
        <w:spacing w:before="240" w:beforeLines="100" w:line="320" w:lineRule="exact"/>
        <w:rPr>
          <w:rFonts w:ascii="宋体" w:hAnsi="宋体" w:cs="宋体"/>
          <w:bCs/>
          <w:color w:val="auto"/>
          <w:sz w:val="28"/>
          <w:szCs w:val="28"/>
          <w:highlight w:val="none"/>
        </w:rPr>
      </w:pPr>
      <w:r>
        <w:rPr>
          <w:rFonts w:hint="eastAsia" w:ascii="宋体" w:hAnsi="宋体" w:cs="宋体"/>
          <w:bCs/>
          <w:color w:val="auto"/>
          <w:sz w:val="28"/>
          <w:szCs w:val="28"/>
          <w:highlight w:val="none"/>
        </w:rPr>
        <w:t>一、质疑供应商基本信息</w:t>
      </w:r>
    </w:p>
    <w:p w14:paraId="08F78AD3">
      <w:pPr>
        <w:adjustRightInd w:val="0"/>
        <w:snapToGrid w:val="0"/>
        <w:spacing w:line="320" w:lineRule="exact"/>
        <w:rPr>
          <w:rFonts w:ascii="宋体" w:hAnsi="宋体" w:cs="宋体"/>
          <w:color w:val="auto"/>
          <w:sz w:val="28"/>
          <w:szCs w:val="28"/>
          <w:highlight w:val="none"/>
          <w:u w:val="dotted"/>
        </w:rPr>
      </w:pPr>
      <w:r>
        <w:rPr>
          <w:rFonts w:hint="eastAsia" w:ascii="宋体" w:hAnsi="宋体" w:cs="宋体"/>
          <w:color w:val="auto"/>
          <w:sz w:val="28"/>
          <w:szCs w:val="28"/>
          <w:highlight w:val="none"/>
        </w:rPr>
        <w:t>质疑供应商：</w:t>
      </w:r>
    </w:p>
    <w:p w14:paraId="2DAC60DA">
      <w:pPr>
        <w:adjustRightInd w:val="0"/>
        <w:snapToGrid w:val="0"/>
        <w:spacing w:line="320" w:lineRule="exact"/>
        <w:rPr>
          <w:rFonts w:ascii="宋体" w:hAnsi="宋体" w:cs="宋体"/>
          <w:color w:val="auto"/>
          <w:sz w:val="28"/>
          <w:szCs w:val="28"/>
          <w:highlight w:val="none"/>
        </w:rPr>
      </w:pPr>
      <w:r>
        <w:rPr>
          <w:rFonts w:hint="eastAsia" w:ascii="宋体" w:hAnsi="宋体" w:cs="宋体"/>
          <w:color w:val="auto"/>
          <w:sz w:val="28"/>
          <w:szCs w:val="28"/>
          <w:highlight w:val="none"/>
        </w:rPr>
        <w:t>地址：邮编：</w:t>
      </w:r>
    </w:p>
    <w:p w14:paraId="4E6C1893">
      <w:pPr>
        <w:adjustRightInd w:val="0"/>
        <w:snapToGrid w:val="0"/>
        <w:spacing w:line="320" w:lineRule="exact"/>
        <w:rPr>
          <w:rFonts w:ascii="宋体" w:hAnsi="宋体" w:cs="宋体"/>
          <w:color w:val="auto"/>
          <w:sz w:val="28"/>
          <w:szCs w:val="28"/>
          <w:highlight w:val="none"/>
        </w:rPr>
      </w:pPr>
      <w:r>
        <w:rPr>
          <w:rFonts w:hint="eastAsia" w:ascii="宋体" w:hAnsi="宋体" w:cs="宋体"/>
          <w:color w:val="auto"/>
          <w:sz w:val="28"/>
          <w:szCs w:val="28"/>
          <w:highlight w:val="none"/>
        </w:rPr>
        <w:t>联系人：联系电话：</w:t>
      </w:r>
    </w:p>
    <w:p w14:paraId="22372D7B">
      <w:pPr>
        <w:adjustRightInd w:val="0"/>
        <w:snapToGrid w:val="0"/>
        <w:spacing w:line="320" w:lineRule="exact"/>
        <w:rPr>
          <w:rFonts w:ascii="宋体" w:hAnsi="宋体" w:cs="宋体"/>
          <w:color w:val="auto"/>
          <w:sz w:val="28"/>
          <w:szCs w:val="28"/>
          <w:highlight w:val="none"/>
          <w:u w:val="dotted"/>
        </w:rPr>
      </w:pPr>
      <w:r>
        <w:rPr>
          <w:rFonts w:hint="eastAsia" w:ascii="宋体" w:hAnsi="宋体" w:cs="宋体"/>
          <w:color w:val="auto"/>
          <w:sz w:val="28"/>
          <w:szCs w:val="28"/>
          <w:highlight w:val="none"/>
        </w:rPr>
        <w:t>授权代表：</w:t>
      </w:r>
    </w:p>
    <w:p w14:paraId="47A2CB60">
      <w:pPr>
        <w:adjustRightInd w:val="0"/>
        <w:snapToGrid w:val="0"/>
        <w:spacing w:line="320" w:lineRule="exact"/>
        <w:rPr>
          <w:rFonts w:ascii="宋体" w:hAnsi="宋体" w:cs="宋体"/>
          <w:color w:val="auto"/>
          <w:sz w:val="28"/>
          <w:szCs w:val="28"/>
          <w:highlight w:val="none"/>
        </w:rPr>
      </w:pPr>
      <w:r>
        <w:rPr>
          <w:rFonts w:hint="eastAsia" w:ascii="宋体" w:hAnsi="宋体" w:cs="宋体"/>
          <w:color w:val="auto"/>
          <w:sz w:val="28"/>
          <w:szCs w:val="28"/>
          <w:highlight w:val="none"/>
        </w:rPr>
        <w:t>联系电话：</w:t>
      </w:r>
    </w:p>
    <w:p w14:paraId="73DDE5A7">
      <w:pPr>
        <w:adjustRightInd w:val="0"/>
        <w:snapToGrid w:val="0"/>
        <w:spacing w:line="320" w:lineRule="exact"/>
        <w:rPr>
          <w:rFonts w:ascii="宋体" w:hAnsi="宋体" w:cs="宋体"/>
          <w:color w:val="auto"/>
          <w:sz w:val="28"/>
          <w:szCs w:val="28"/>
          <w:highlight w:val="none"/>
        </w:rPr>
      </w:pPr>
      <w:r>
        <w:rPr>
          <w:rFonts w:hint="eastAsia" w:ascii="宋体" w:hAnsi="宋体" w:cs="宋体"/>
          <w:color w:val="auto"/>
          <w:sz w:val="28"/>
          <w:szCs w:val="28"/>
          <w:highlight w:val="none"/>
        </w:rPr>
        <w:t>地址： 邮编：</w:t>
      </w:r>
    </w:p>
    <w:p w14:paraId="557CBE63">
      <w:pPr>
        <w:adjustRightInd w:val="0"/>
        <w:snapToGrid w:val="0"/>
        <w:spacing w:line="320" w:lineRule="exact"/>
        <w:rPr>
          <w:rFonts w:ascii="宋体" w:hAnsi="宋体" w:cs="宋体"/>
          <w:bCs/>
          <w:color w:val="auto"/>
          <w:sz w:val="28"/>
          <w:szCs w:val="28"/>
          <w:highlight w:val="none"/>
        </w:rPr>
      </w:pPr>
      <w:r>
        <w:rPr>
          <w:rFonts w:hint="eastAsia" w:ascii="宋体" w:hAnsi="宋体" w:cs="宋体"/>
          <w:bCs/>
          <w:color w:val="auto"/>
          <w:sz w:val="28"/>
          <w:szCs w:val="28"/>
          <w:highlight w:val="none"/>
        </w:rPr>
        <w:t>二、质疑项目基本情况</w:t>
      </w:r>
    </w:p>
    <w:p w14:paraId="3826E5B3">
      <w:pPr>
        <w:adjustRightInd w:val="0"/>
        <w:snapToGrid w:val="0"/>
        <w:spacing w:line="320" w:lineRule="exact"/>
        <w:rPr>
          <w:rFonts w:ascii="宋体" w:hAnsi="宋体" w:cs="宋体"/>
          <w:color w:val="auto"/>
          <w:sz w:val="28"/>
          <w:szCs w:val="28"/>
          <w:highlight w:val="none"/>
        </w:rPr>
      </w:pPr>
      <w:r>
        <w:rPr>
          <w:rFonts w:hint="eastAsia" w:ascii="宋体" w:hAnsi="宋体" w:cs="宋体"/>
          <w:color w:val="auto"/>
          <w:sz w:val="28"/>
          <w:szCs w:val="28"/>
          <w:highlight w:val="none"/>
        </w:rPr>
        <w:t>质疑项目的名称：</w:t>
      </w:r>
    </w:p>
    <w:p w14:paraId="4CBB7521">
      <w:pPr>
        <w:adjustRightInd w:val="0"/>
        <w:snapToGrid w:val="0"/>
        <w:spacing w:line="320" w:lineRule="exact"/>
        <w:rPr>
          <w:rFonts w:ascii="宋体" w:hAnsi="宋体" w:cs="宋体"/>
          <w:color w:val="auto"/>
          <w:sz w:val="28"/>
          <w:szCs w:val="28"/>
          <w:highlight w:val="none"/>
        </w:rPr>
      </w:pPr>
      <w:r>
        <w:rPr>
          <w:rFonts w:hint="eastAsia" w:ascii="宋体" w:hAnsi="宋体" w:cs="宋体"/>
          <w:color w:val="auto"/>
          <w:sz w:val="28"/>
          <w:szCs w:val="28"/>
          <w:highlight w:val="none"/>
        </w:rPr>
        <w:t>质疑项目的编号：包号：</w:t>
      </w:r>
    </w:p>
    <w:p w14:paraId="332B02BC">
      <w:pPr>
        <w:adjustRightInd w:val="0"/>
        <w:snapToGrid w:val="0"/>
        <w:spacing w:line="320" w:lineRule="exact"/>
        <w:rPr>
          <w:rFonts w:ascii="宋体" w:hAnsi="宋体" w:cs="宋体"/>
          <w:color w:val="auto"/>
          <w:sz w:val="28"/>
          <w:szCs w:val="28"/>
          <w:highlight w:val="none"/>
          <w:u w:val="dotted"/>
        </w:rPr>
      </w:pPr>
      <w:r>
        <w:rPr>
          <w:rFonts w:hint="eastAsia" w:ascii="宋体" w:hAnsi="宋体" w:cs="宋体"/>
          <w:color w:val="auto"/>
          <w:sz w:val="28"/>
          <w:szCs w:val="28"/>
          <w:highlight w:val="none"/>
        </w:rPr>
        <w:t>采购人名称：</w:t>
      </w:r>
    </w:p>
    <w:p w14:paraId="44DF67AB">
      <w:pPr>
        <w:adjustRightInd w:val="0"/>
        <w:snapToGrid w:val="0"/>
        <w:spacing w:line="320" w:lineRule="exact"/>
        <w:rPr>
          <w:rFonts w:ascii="宋体" w:hAnsi="宋体" w:cs="宋体"/>
          <w:color w:val="auto"/>
          <w:sz w:val="28"/>
          <w:szCs w:val="28"/>
          <w:highlight w:val="none"/>
        </w:rPr>
      </w:pPr>
      <w:r>
        <w:rPr>
          <w:rFonts w:hint="eastAsia" w:ascii="宋体" w:hAnsi="宋体" w:cs="宋体"/>
          <w:color w:val="auto"/>
          <w:sz w:val="28"/>
          <w:szCs w:val="28"/>
          <w:highlight w:val="none"/>
        </w:rPr>
        <w:t>采购文件获取日期：</w:t>
      </w:r>
    </w:p>
    <w:p w14:paraId="1DD673A4">
      <w:pPr>
        <w:adjustRightInd w:val="0"/>
        <w:snapToGrid w:val="0"/>
        <w:spacing w:line="320" w:lineRule="exact"/>
        <w:rPr>
          <w:rFonts w:ascii="宋体" w:hAnsi="宋体" w:cs="宋体"/>
          <w:bCs/>
          <w:color w:val="auto"/>
          <w:sz w:val="28"/>
          <w:szCs w:val="28"/>
          <w:highlight w:val="none"/>
        </w:rPr>
      </w:pPr>
      <w:r>
        <w:rPr>
          <w:rFonts w:hint="eastAsia" w:ascii="宋体" w:hAnsi="宋体" w:cs="宋体"/>
          <w:bCs/>
          <w:color w:val="auto"/>
          <w:sz w:val="28"/>
          <w:szCs w:val="28"/>
          <w:highlight w:val="none"/>
        </w:rPr>
        <w:t>三、质疑事项具体内容</w:t>
      </w:r>
    </w:p>
    <w:p w14:paraId="51479130">
      <w:pPr>
        <w:adjustRightInd w:val="0"/>
        <w:snapToGrid w:val="0"/>
        <w:spacing w:line="320" w:lineRule="exact"/>
        <w:rPr>
          <w:rFonts w:ascii="宋体" w:hAnsi="宋体" w:cs="宋体"/>
          <w:color w:val="auto"/>
          <w:sz w:val="28"/>
          <w:szCs w:val="28"/>
          <w:highlight w:val="none"/>
          <w:u w:val="dotted"/>
        </w:rPr>
      </w:pPr>
      <w:r>
        <w:rPr>
          <w:rFonts w:hint="eastAsia" w:ascii="宋体" w:hAnsi="宋体" w:cs="宋体"/>
          <w:color w:val="auto"/>
          <w:sz w:val="28"/>
          <w:szCs w:val="28"/>
          <w:highlight w:val="none"/>
        </w:rPr>
        <w:t>质疑事项1：</w:t>
      </w:r>
    </w:p>
    <w:p w14:paraId="19AFFF5A">
      <w:pPr>
        <w:adjustRightInd w:val="0"/>
        <w:snapToGrid w:val="0"/>
        <w:spacing w:line="320" w:lineRule="exact"/>
        <w:rPr>
          <w:rFonts w:ascii="宋体" w:hAnsi="宋体" w:cs="宋体"/>
          <w:color w:val="auto"/>
          <w:sz w:val="28"/>
          <w:szCs w:val="28"/>
          <w:highlight w:val="none"/>
          <w:u w:val="dotted"/>
        </w:rPr>
      </w:pPr>
      <w:r>
        <w:rPr>
          <w:rFonts w:hint="eastAsia" w:ascii="宋体" w:hAnsi="宋体" w:cs="宋体"/>
          <w:color w:val="auto"/>
          <w:sz w:val="28"/>
          <w:szCs w:val="28"/>
          <w:highlight w:val="none"/>
        </w:rPr>
        <w:t>事实依据：</w:t>
      </w:r>
    </w:p>
    <w:p w14:paraId="3C95834B">
      <w:pPr>
        <w:adjustRightInd w:val="0"/>
        <w:snapToGrid w:val="0"/>
        <w:spacing w:line="320" w:lineRule="exact"/>
        <w:rPr>
          <w:rFonts w:ascii="宋体" w:hAnsi="宋体" w:cs="宋体"/>
          <w:color w:val="auto"/>
          <w:sz w:val="28"/>
          <w:szCs w:val="28"/>
          <w:highlight w:val="none"/>
        </w:rPr>
      </w:pPr>
    </w:p>
    <w:p w14:paraId="7789549A">
      <w:pPr>
        <w:adjustRightInd w:val="0"/>
        <w:snapToGrid w:val="0"/>
        <w:spacing w:line="320" w:lineRule="exact"/>
        <w:rPr>
          <w:rFonts w:ascii="宋体" w:hAnsi="宋体" w:cs="宋体"/>
          <w:color w:val="auto"/>
          <w:sz w:val="28"/>
          <w:szCs w:val="28"/>
          <w:highlight w:val="none"/>
          <w:u w:val="dotted"/>
        </w:rPr>
      </w:pPr>
      <w:r>
        <w:rPr>
          <w:rFonts w:hint="eastAsia" w:ascii="宋体" w:hAnsi="宋体" w:cs="宋体"/>
          <w:color w:val="auto"/>
          <w:sz w:val="28"/>
          <w:szCs w:val="28"/>
          <w:highlight w:val="none"/>
        </w:rPr>
        <w:t>法律依据：</w:t>
      </w:r>
    </w:p>
    <w:p w14:paraId="6A317717">
      <w:pPr>
        <w:adjustRightInd w:val="0"/>
        <w:snapToGrid w:val="0"/>
        <w:spacing w:line="320" w:lineRule="exact"/>
        <w:rPr>
          <w:rFonts w:ascii="宋体" w:hAnsi="宋体" w:cs="宋体"/>
          <w:color w:val="auto"/>
          <w:sz w:val="28"/>
          <w:szCs w:val="28"/>
          <w:highlight w:val="none"/>
          <w:u w:val="dotted"/>
        </w:rPr>
      </w:pPr>
    </w:p>
    <w:p w14:paraId="43581988">
      <w:pPr>
        <w:adjustRightInd w:val="0"/>
        <w:snapToGrid w:val="0"/>
        <w:spacing w:line="320" w:lineRule="exact"/>
        <w:rPr>
          <w:rFonts w:ascii="宋体" w:hAnsi="宋体" w:cs="宋体"/>
          <w:color w:val="auto"/>
          <w:sz w:val="28"/>
          <w:szCs w:val="28"/>
          <w:highlight w:val="none"/>
          <w:u w:val="dotted"/>
        </w:rPr>
      </w:pPr>
      <w:r>
        <w:rPr>
          <w:rFonts w:hint="eastAsia" w:ascii="宋体" w:hAnsi="宋体" w:cs="宋体"/>
          <w:color w:val="auto"/>
          <w:sz w:val="28"/>
          <w:szCs w:val="28"/>
          <w:highlight w:val="none"/>
        </w:rPr>
        <w:t>质疑事项2</w:t>
      </w:r>
    </w:p>
    <w:p w14:paraId="1D5DA928">
      <w:pPr>
        <w:adjustRightInd w:val="0"/>
        <w:snapToGrid w:val="0"/>
        <w:spacing w:line="320" w:lineRule="exact"/>
        <w:rPr>
          <w:rFonts w:ascii="宋体" w:hAnsi="宋体" w:cs="宋体"/>
          <w:color w:val="auto"/>
          <w:sz w:val="28"/>
          <w:szCs w:val="28"/>
          <w:highlight w:val="none"/>
        </w:rPr>
      </w:pPr>
      <w:r>
        <w:rPr>
          <w:rFonts w:hint="eastAsia" w:ascii="宋体" w:hAnsi="宋体" w:cs="宋体"/>
          <w:color w:val="auto"/>
          <w:sz w:val="28"/>
          <w:szCs w:val="28"/>
          <w:highlight w:val="none"/>
        </w:rPr>
        <w:t>……</w:t>
      </w:r>
    </w:p>
    <w:p w14:paraId="463FC1E3">
      <w:pPr>
        <w:adjustRightInd w:val="0"/>
        <w:snapToGrid w:val="0"/>
        <w:spacing w:line="320" w:lineRule="exact"/>
        <w:rPr>
          <w:rFonts w:ascii="宋体" w:hAnsi="宋体" w:cs="宋体"/>
          <w:bCs/>
          <w:color w:val="auto"/>
          <w:sz w:val="28"/>
          <w:szCs w:val="28"/>
          <w:highlight w:val="none"/>
        </w:rPr>
      </w:pPr>
      <w:r>
        <w:rPr>
          <w:rFonts w:hint="eastAsia" w:ascii="宋体" w:hAnsi="宋体" w:cs="宋体"/>
          <w:bCs/>
          <w:color w:val="auto"/>
          <w:sz w:val="28"/>
          <w:szCs w:val="28"/>
          <w:highlight w:val="none"/>
        </w:rPr>
        <w:t>四、与质疑事项相关的质疑请求</w:t>
      </w:r>
    </w:p>
    <w:p w14:paraId="710EF449">
      <w:pPr>
        <w:adjustRightInd w:val="0"/>
        <w:snapToGrid w:val="0"/>
        <w:spacing w:line="320" w:lineRule="exact"/>
        <w:rPr>
          <w:rFonts w:ascii="宋体" w:hAnsi="宋体" w:cs="宋体"/>
          <w:color w:val="auto"/>
          <w:sz w:val="28"/>
          <w:szCs w:val="28"/>
          <w:highlight w:val="none"/>
          <w:u w:val="dotted"/>
        </w:rPr>
      </w:pPr>
      <w:r>
        <w:rPr>
          <w:rFonts w:hint="eastAsia" w:ascii="宋体" w:hAnsi="宋体" w:cs="宋体"/>
          <w:color w:val="auto"/>
          <w:sz w:val="28"/>
          <w:szCs w:val="28"/>
          <w:highlight w:val="none"/>
        </w:rPr>
        <w:t>请求：</w:t>
      </w:r>
    </w:p>
    <w:p w14:paraId="19331496">
      <w:pPr>
        <w:spacing w:line="320" w:lineRule="exact"/>
        <w:rPr>
          <w:rFonts w:ascii="宋体" w:hAnsi="宋体" w:cs="宋体"/>
          <w:color w:val="auto"/>
          <w:sz w:val="28"/>
          <w:szCs w:val="28"/>
          <w:highlight w:val="none"/>
        </w:rPr>
      </w:pPr>
      <w:r>
        <w:rPr>
          <w:rFonts w:hint="eastAsia" w:ascii="宋体" w:hAnsi="宋体" w:cs="宋体"/>
          <w:color w:val="auto"/>
          <w:sz w:val="28"/>
          <w:szCs w:val="28"/>
          <w:highlight w:val="none"/>
        </w:rPr>
        <w:t xml:space="preserve">签字(签章)：                   公章：                      </w:t>
      </w:r>
    </w:p>
    <w:p w14:paraId="3EE29ABA">
      <w:pPr>
        <w:spacing w:line="320" w:lineRule="exact"/>
        <w:rPr>
          <w:rFonts w:hint="eastAsia" w:ascii="宋体" w:hAnsi="宋体" w:cs="宋体"/>
          <w:b/>
          <w:color w:val="auto"/>
          <w:sz w:val="28"/>
          <w:szCs w:val="28"/>
          <w:highlight w:val="none"/>
        </w:rPr>
      </w:pPr>
      <w:r>
        <w:rPr>
          <w:rFonts w:hint="eastAsia" w:ascii="宋体" w:hAnsi="宋体" w:cs="宋体"/>
          <w:color w:val="auto"/>
          <w:sz w:val="28"/>
          <w:szCs w:val="28"/>
          <w:highlight w:val="none"/>
        </w:rPr>
        <w:t xml:space="preserve">日期：    </w:t>
      </w:r>
    </w:p>
    <w:p w14:paraId="5099C2E7">
      <w:pPr>
        <w:spacing w:line="320" w:lineRule="exact"/>
        <w:rPr>
          <w:rFonts w:ascii="宋体" w:hAnsi="宋体" w:cs="宋体"/>
          <w:b/>
          <w:color w:val="auto"/>
          <w:sz w:val="28"/>
          <w:szCs w:val="28"/>
          <w:highlight w:val="none"/>
        </w:rPr>
      </w:pPr>
      <w:r>
        <w:rPr>
          <w:rFonts w:hint="eastAsia" w:ascii="宋体" w:hAnsi="宋体" w:cs="宋体"/>
          <w:b/>
          <w:color w:val="auto"/>
          <w:sz w:val="28"/>
          <w:szCs w:val="28"/>
          <w:highlight w:val="none"/>
        </w:rPr>
        <w:t>质疑函制作说明：</w:t>
      </w:r>
    </w:p>
    <w:p w14:paraId="0C3FC31F">
      <w:pPr>
        <w:widowControl/>
        <w:spacing w:line="320" w:lineRule="exact"/>
        <w:ind w:firstLine="560" w:firstLineChars="200"/>
        <w:jc w:val="left"/>
        <w:rPr>
          <w:rFonts w:ascii="宋体" w:hAnsi="宋体" w:cs="宋体"/>
          <w:color w:val="auto"/>
          <w:sz w:val="28"/>
          <w:szCs w:val="28"/>
          <w:highlight w:val="none"/>
        </w:rPr>
      </w:pPr>
      <w:r>
        <w:rPr>
          <w:rFonts w:hint="eastAsia" w:ascii="宋体" w:hAnsi="宋体" w:cs="宋体"/>
          <w:color w:val="auto"/>
          <w:sz w:val="28"/>
          <w:szCs w:val="28"/>
          <w:highlight w:val="none"/>
        </w:rPr>
        <w:t>1.供应商提出质疑时，应提交质疑函和必要的证明材料。</w:t>
      </w:r>
    </w:p>
    <w:p w14:paraId="593504B4">
      <w:pPr>
        <w:widowControl/>
        <w:spacing w:line="320" w:lineRule="exact"/>
        <w:ind w:firstLine="560" w:firstLineChars="200"/>
        <w:jc w:val="left"/>
        <w:rPr>
          <w:rFonts w:ascii="宋体" w:hAnsi="宋体" w:cs="宋体"/>
          <w:color w:val="auto"/>
          <w:sz w:val="28"/>
          <w:szCs w:val="28"/>
          <w:highlight w:val="none"/>
        </w:rPr>
      </w:pPr>
      <w:r>
        <w:rPr>
          <w:rFonts w:hint="eastAsia" w:ascii="宋体" w:hAnsi="宋体" w:cs="宋体"/>
          <w:color w:val="auto"/>
          <w:sz w:val="28"/>
          <w:szCs w:val="28"/>
          <w:highlight w:val="none"/>
        </w:rPr>
        <w:t>2.质疑供应商若委托代理人进行质疑的，质疑函应按要求列明“授权代表”的有关内容，并在附件中提交由质疑</w:t>
      </w:r>
      <w:r>
        <w:rPr>
          <w:rFonts w:hint="eastAsia" w:ascii="宋体" w:hAnsi="宋体" w:cs="宋体"/>
          <w:color w:val="auto"/>
          <w:kern w:val="0"/>
          <w:sz w:val="28"/>
          <w:szCs w:val="28"/>
          <w:highlight w:val="none"/>
        </w:rPr>
        <w:t>供应商签署的授权委托书。授权委托书应载明代理人的姓名或者名称、代理事项、具体权限、期限和相关事项。</w:t>
      </w:r>
    </w:p>
    <w:p w14:paraId="7F0E5913">
      <w:pPr>
        <w:widowControl/>
        <w:spacing w:line="320" w:lineRule="exact"/>
        <w:ind w:firstLine="560" w:firstLineChars="200"/>
        <w:jc w:val="left"/>
        <w:rPr>
          <w:rFonts w:ascii="宋体" w:hAnsi="宋体" w:cs="宋体"/>
          <w:color w:val="auto"/>
          <w:sz w:val="28"/>
          <w:szCs w:val="28"/>
          <w:highlight w:val="none"/>
        </w:rPr>
      </w:pPr>
      <w:r>
        <w:rPr>
          <w:rFonts w:hint="eastAsia" w:ascii="宋体" w:hAnsi="宋体" w:cs="宋体"/>
          <w:color w:val="auto"/>
          <w:sz w:val="28"/>
          <w:szCs w:val="28"/>
          <w:highlight w:val="none"/>
        </w:rPr>
        <w:t>3.质疑供应商若对项目的某一分包进行质疑，质疑函中应列明具体分包号。</w:t>
      </w:r>
    </w:p>
    <w:p w14:paraId="4BE7AD52">
      <w:pPr>
        <w:widowControl/>
        <w:spacing w:line="320" w:lineRule="exact"/>
        <w:ind w:firstLine="560" w:firstLineChars="200"/>
        <w:jc w:val="left"/>
        <w:rPr>
          <w:rFonts w:ascii="宋体" w:hAnsi="宋体" w:cs="宋体"/>
          <w:color w:val="auto"/>
          <w:sz w:val="28"/>
          <w:szCs w:val="28"/>
          <w:highlight w:val="none"/>
        </w:rPr>
      </w:pPr>
      <w:r>
        <w:rPr>
          <w:rFonts w:hint="eastAsia" w:ascii="宋体" w:hAnsi="宋体" w:cs="宋体"/>
          <w:color w:val="auto"/>
          <w:sz w:val="28"/>
          <w:szCs w:val="28"/>
          <w:highlight w:val="none"/>
        </w:rPr>
        <w:t>4.质疑函的质疑事项应具体、明确，并有必要的事实依据和法律依据。</w:t>
      </w:r>
    </w:p>
    <w:p w14:paraId="3AAB45DB">
      <w:pPr>
        <w:widowControl/>
        <w:spacing w:line="320" w:lineRule="exact"/>
        <w:ind w:firstLine="560" w:firstLineChars="200"/>
        <w:jc w:val="left"/>
        <w:rPr>
          <w:rFonts w:ascii="宋体" w:hAnsi="宋体" w:cs="宋体"/>
          <w:color w:val="auto"/>
          <w:sz w:val="28"/>
          <w:szCs w:val="28"/>
          <w:highlight w:val="none"/>
        </w:rPr>
      </w:pPr>
      <w:r>
        <w:rPr>
          <w:rFonts w:hint="eastAsia" w:ascii="宋体" w:hAnsi="宋体" w:cs="宋体"/>
          <w:color w:val="auto"/>
          <w:sz w:val="28"/>
          <w:szCs w:val="28"/>
          <w:highlight w:val="none"/>
        </w:rPr>
        <w:t>5.质疑函的质疑请求应与质疑事项相关。</w:t>
      </w:r>
    </w:p>
    <w:p w14:paraId="17F2A891">
      <w:pPr>
        <w:widowControl/>
        <w:spacing w:line="320" w:lineRule="exact"/>
        <w:ind w:firstLine="560" w:firstLineChars="200"/>
        <w:jc w:val="left"/>
        <w:rPr>
          <w:rFonts w:ascii="宋体" w:hAnsi="宋体" w:cs="宋体"/>
          <w:color w:val="auto"/>
          <w:sz w:val="28"/>
          <w:szCs w:val="28"/>
          <w:highlight w:val="none"/>
        </w:rPr>
      </w:pPr>
      <w:r>
        <w:rPr>
          <w:rFonts w:hint="eastAsia" w:ascii="宋体" w:hAnsi="宋体" w:cs="宋体"/>
          <w:color w:val="auto"/>
          <w:sz w:val="28"/>
          <w:szCs w:val="28"/>
          <w:highlight w:val="none"/>
        </w:rPr>
        <w:t>6.质疑供应商为自然人的，质疑函应由本人签字；质疑供应商为法人或者其他组织的，质疑函应由法定代表人、主要负责人，或者其授权代表签字或者盖章，并加盖公章。</w:t>
      </w:r>
    </w:p>
    <w:p w14:paraId="2AA05D32">
      <w:pPr>
        <w:snapToGrid w:val="0"/>
        <w:spacing w:before="50" w:after="50"/>
        <w:ind w:right="-816" w:rightChars="-389"/>
        <w:rPr>
          <w:rFonts w:ascii="宋体" w:hAnsi="宋体" w:cs="宋体"/>
          <w:b/>
          <w:color w:val="auto"/>
          <w:sz w:val="28"/>
          <w:szCs w:val="28"/>
          <w:highlight w:val="none"/>
        </w:rPr>
      </w:pPr>
    </w:p>
    <w:p w14:paraId="72DBA572">
      <w:pPr>
        <w:snapToGrid w:val="0"/>
        <w:spacing w:before="50" w:after="50"/>
        <w:ind w:right="-816" w:rightChars="-389"/>
        <w:rPr>
          <w:rFonts w:ascii="宋体" w:hAnsi="宋体" w:cs="宋体"/>
          <w:b/>
          <w:color w:val="auto"/>
          <w:sz w:val="24"/>
          <w:szCs w:val="24"/>
          <w:highlight w:val="none"/>
        </w:rPr>
      </w:pPr>
      <w:r>
        <w:rPr>
          <w:rFonts w:hint="eastAsia" w:ascii="宋体" w:hAnsi="宋体" w:cs="宋体"/>
          <w:b/>
          <w:color w:val="auto"/>
          <w:sz w:val="24"/>
          <w:szCs w:val="24"/>
          <w:highlight w:val="none"/>
          <w:lang w:eastAsia="zh-CN"/>
        </w:rPr>
        <w:t>附件：</w:t>
      </w:r>
      <w:r>
        <w:rPr>
          <w:rFonts w:hint="eastAsia" w:ascii="宋体" w:hAnsi="宋体" w:cs="宋体"/>
          <w:b/>
          <w:color w:val="auto"/>
          <w:sz w:val="24"/>
          <w:szCs w:val="24"/>
          <w:highlight w:val="none"/>
        </w:rPr>
        <w:t>投诉书范本</w:t>
      </w:r>
    </w:p>
    <w:p w14:paraId="4210FFD0">
      <w:pPr>
        <w:jc w:val="center"/>
        <w:rPr>
          <w:rFonts w:ascii="宋体" w:hAnsi="宋体" w:cs="宋体"/>
          <w:b/>
          <w:color w:val="auto"/>
          <w:sz w:val="28"/>
          <w:szCs w:val="28"/>
          <w:highlight w:val="none"/>
        </w:rPr>
      </w:pPr>
      <w:r>
        <w:rPr>
          <w:rFonts w:hint="eastAsia" w:ascii="宋体" w:hAnsi="宋体" w:cs="宋体"/>
          <w:b/>
          <w:color w:val="auto"/>
          <w:sz w:val="28"/>
          <w:szCs w:val="28"/>
          <w:highlight w:val="none"/>
        </w:rPr>
        <w:t>投诉书范本</w:t>
      </w:r>
    </w:p>
    <w:p w14:paraId="70E25F10">
      <w:pPr>
        <w:spacing w:line="380" w:lineRule="exact"/>
        <w:rPr>
          <w:rFonts w:ascii="宋体" w:hAnsi="宋体" w:cs="宋体"/>
          <w:color w:val="auto"/>
          <w:sz w:val="28"/>
          <w:szCs w:val="28"/>
          <w:highlight w:val="none"/>
        </w:rPr>
      </w:pPr>
      <w:r>
        <w:rPr>
          <w:rFonts w:hint="eastAsia" w:ascii="宋体" w:hAnsi="宋体" w:cs="宋体"/>
          <w:color w:val="auto"/>
          <w:sz w:val="28"/>
          <w:szCs w:val="28"/>
          <w:highlight w:val="none"/>
        </w:rPr>
        <w:t>一、投诉相关主体基本情况</w:t>
      </w:r>
    </w:p>
    <w:p w14:paraId="6C326F32">
      <w:pPr>
        <w:spacing w:line="380" w:lineRule="exact"/>
        <w:rPr>
          <w:rFonts w:ascii="宋体" w:hAnsi="宋体" w:cs="宋体"/>
          <w:color w:val="auto"/>
          <w:sz w:val="28"/>
          <w:szCs w:val="28"/>
          <w:highlight w:val="none"/>
          <w:u w:val="dotted"/>
        </w:rPr>
      </w:pPr>
      <w:r>
        <w:rPr>
          <w:rFonts w:hint="eastAsia" w:ascii="宋体" w:hAnsi="宋体" w:cs="宋体"/>
          <w:color w:val="auto"/>
          <w:sz w:val="28"/>
          <w:szCs w:val="28"/>
          <w:highlight w:val="none"/>
        </w:rPr>
        <w:t>投诉人：</w:t>
      </w:r>
    </w:p>
    <w:p w14:paraId="47B26036">
      <w:pPr>
        <w:spacing w:line="380" w:lineRule="exact"/>
        <w:rPr>
          <w:rFonts w:ascii="宋体" w:hAnsi="宋体" w:cs="宋体"/>
          <w:color w:val="auto"/>
          <w:sz w:val="28"/>
          <w:szCs w:val="28"/>
          <w:highlight w:val="none"/>
          <w:u w:val="single"/>
        </w:rPr>
      </w:pPr>
      <w:r>
        <w:rPr>
          <w:rFonts w:hint="eastAsia" w:ascii="宋体" w:hAnsi="宋体" w:cs="宋体"/>
          <w:color w:val="auto"/>
          <w:sz w:val="28"/>
          <w:szCs w:val="28"/>
          <w:highlight w:val="none"/>
        </w:rPr>
        <w:t>地     址：邮编：</w:t>
      </w:r>
    </w:p>
    <w:p w14:paraId="58FB8CCA">
      <w:pPr>
        <w:tabs>
          <w:tab w:val="left" w:pos="6510"/>
        </w:tabs>
        <w:spacing w:line="380" w:lineRule="exact"/>
        <w:jc w:val="left"/>
        <w:rPr>
          <w:rFonts w:ascii="宋体" w:hAnsi="宋体" w:cs="宋体"/>
          <w:color w:val="auto"/>
          <w:sz w:val="28"/>
          <w:szCs w:val="28"/>
          <w:highlight w:val="none"/>
        </w:rPr>
      </w:pPr>
      <w:r>
        <w:rPr>
          <w:rFonts w:hint="eastAsia" w:ascii="宋体" w:hAnsi="宋体" w:cs="宋体"/>
          <w:color w:val="auto"/>
          <w:sz w:val="28"/>
          <w:szCs w:val="28"/>
          <w:highlight w:val="none"/>
        </w:rPr>
        <w:t>法定代表人/主要负责人：</w:t>
      </w:r>
    </w:p>
    <w:p w14:paraId="1D9F6989">
      <w:pPr>
        <w:tabs>
          <w:tab w:val="left" w:pos="6510"/>
        </w:tabs>
        <w:spacing w:line="380" w:lineRule="exact"/>
        <w:rPr>
          <w:rFonts w:ascii="宋体" w:hAnsi="宋体" w:cs="宋体"/>
          <w:color w:val="auto"/>
          <w:sz w:val="28"/>
          <w:szCs w:val="28"/>
          <w:highlight w:val="none"/>
          <w:u w:val="dotted"/>
        </w:rPr>
      </w:pPr>
      <w:r>
        <w:rPr>
          <w:rFonts w:hint="eastAsia" w:ascii="宋体" w:hAnsi="宋体" w:cs="宋体"/>
          <w:color w:val="auto"/>
          <w:sz w:val="28"/>
          <w:szCs w:val="28"/>
          <w:highlight w:val="none"/>
        </w:rPr>
        <w:t>联系电话：</w:t>
      </w:r>
    </w:p>
    <w:p w14:paraId="742D7345">
      <w:pPr>
        <w:spacing w:line="380" w:lineRule="exact"/>
        <w:rPr>
          <w:rFonts w:ascii="宋体" w:hAnsi="宋体" w:cs="宋体"/>
          <w:color w:val="auto"/>
          <w:sz w:val="28"/>
          <w:szCs w:val="28"/>
          <w:highlight w:val="none"/>
          <w:u w:val="dotted"/>
        </w:rPr>
      </w:pPr>
      <w:r>
        <w:rPr>
          <w:rFonts w:hint="eastAsia" w:ascii="宋体" w:hAnsi="宋体" w:cs="宋体"/>
          <w:color w:val="auto"/>
          <w:sz w:val="28"/>
          <w:szCs w:val="28"/>
          <w:highlight w:val="none"/>
        </w:rPr>
        <w:t>授权代表：联系电话</w:t>
      </w:r>
      <w:r>
        <w:rPr>
          <w:rFonts w:hint="eastAsia" w:ascii="宋体" w:hAnsi="宋体" w:cs="宋体"/>
          <w:color w:val="auto"/>
          <w:sz w:val="28"/>
          <w:szCs w:val="28"/>
          <w:highlight w:val="none"/>
          <w:u w:val="none"/>
        </w:rPr>
        <w:t>：</w:t>
      </w:r>
    </w:p>
    <w:p w14:paraId="45125E69">
      <w:pPr>
        <w:spacing w:line="380" w:lineRule="exact"/>
        <w:rPr>
          <w:rFonts w:ascii="宋体" w:hAnsi="宋体" w:cs="宋体"/>
          <w:color w:val="auto"/>
          <w:sz w:val="28"/>
          <w:szCs w:val="28"/>
          <w:highlight w:val="none"/>
          <w:u w:val="dotted"/>
        </w:rPr>
      </w:pPr>
      <w:r>
        <w:rPr>
          <w:rFonts w:hint="eastAsia" w:ascii="宋体" w:hAnsi="宋体" w:cs="宋体"/>
          <w:color w:val="auto"/>
          <w:sz w:val="28"/>
          <w:szCs w:val="28"/>
          <w:highlight w:val="none"/>
        </w:rPr>
        <w:t>地     址：邮编：</w:t>
      </w:r>
    </w:p>
    <w:p w14:paraId="2DD11525">
      <w:pPr>
        <w:spacing w:line="380" w:lineRule="exact"/>
        <w:rPr>
          <w:rFonts w:ascii="宋体" w:hAnsi="宋体" w:cs="宋体"/>
          <w:color w:val="auto"/>
          <w:sz w:val="28"/>
          <w:szCs w:val="28"/>
          <w:highlight w:val="none"/>
          <w:u w:val="single"/>
        </w:rPr>
      </w:pPr>
      <w:r>
        <w:rPr>
          <w:rFonts w:hint="eastAsia" w:ascii="宋体" w:hAnsi="宋体" w:cs="宋体"/>
          <w:color w:val="auto"/>
          <w:sz w:val="28"/>
          <w:szCs w:val="28"/>
          <w:highlight w:val="none"/>
        </w:rPr>
        <w:t>被投诉人1：</w:t>
      </w:r>
    </w:p>
    <w:p w14:paraId="4FDD0260">
      <w:pPr>
        <w:spacing w:line="380" w:lineRule="exact"/>
        <w:rPr>
          <w:rFonts w:ascii="宋体" w:hAnsi="宋体" w:cs="宋体"/>
          <w:color w:val="auto"/>
          <w:sz w:val="28"/>
          <w:szCs w:val="28"/>
          <w:highlight w:val="none"/>
          <w:u w:val="single"/>
        </w:rPr>
      </w:pPr>
      <w:r>
        <w:rPr>
          <w:rFonts w:hint="eastAsia" w:ascii="宋体" w:hAnsi="宋体" w:cs="宋体"/>
          <w:color w:val="auto"/>
          <w:sz w:val="28"/>
          <w:szCs w:val="28"/>
          <w:highlight w:val="none"/>
        </w:rPr>
        <w:t>地     址：邮编：</w:t>
      </w:r>
    </w:p>
    <w:p w14:paraId="214D06D0">
      <w:pPr>
        <w:spacing w:line="380" w:lineRule="exact"/>
        <w:rPr>
          <w:rFonts w:ascii="宋体" w:hAnsi="宋体" w:cs="宋体"/>
          <w:color w:val="auto"/>
          <w:sz w:val="28"/>
          <w:szCs w:val="28"/>
          <w:highlight w:val="none"/>
          <w:u w:val="single"/>
        </w:rPr>
      </w:pPr>
      <w:r>
        <w:rPr>
          <w:rFonts w:hint="eastAsia" w:ascii="宋体" w:hAnsi="宋体" w:cs="宋体"/>
          <w:color w:val="auto"/>
          <w:sz w:val="28"/>
          <w:szCs w:val="28"/>
          <w:highlight w:val="none"/>
        </w:rPr>
        <w:t>联系人：联系电话：</w:t>
      </w:r>
    </w:p>
    <w:p w14:paraId="6068C2EE">
      <w:pPr>
        <w:spacing w:line="380" w:lineRule="exact"/>
        <w:rPr>
          <w:rFonts w:ascii="宋体" w:hAnsi="宋体" w:cs="宋体"/>
          <w:color w:val="auto"/>
          <w:sz w:val="28"/>
          <w:szCs w:val="28"/>
          <w:highlight w:val="none"/>
        </w:rPr>
      </w:pPr>
      <w:r>
        <w:rPr>
          <w:rFonts w:hint="eastAsia" w:ascii="宋体" w:hAnsi="宋体" w:cs="宋体"/>
          <w:color w:val="auto"/>
          <w:sz w:val="28"/>
          <w:szCs w:val="28"/>
          <w:highlight w:val="none"/>
        </w:rPr>
        <w:t>被投诉人2</w:t>
      </w:r>
    </w:p>
    <w:p w14:paraId="461F12FE">
      <w:pPr>
        <w:spacing w:line="380" w:lineRule="exact"/>
        <w:rPr>
          <w:rFonts w:ascii="宋体" w:hAnsi="宋体" w:cs="宋体"/>
          <w:color w:val="auto"/>
          <w:sz w:val="28"/>
          <w:szCs w:val="28"/>
          <w:highlight w:val="none"/>
          <w:u w:val="dotted"/>
        </w:rPr>
      </w:pPr>
      <w:r>
        <w:rPr>
          <w:rFonts w:hint="eastAsia" w:ascii="宋体" w:hAnsi="宋体" w:cs="宋体"/>
          <w:color w:val="auto"/>
          <w:sz w:val="28"/>
          <w:szCs w:val="28"/>
          <w:highlight w:val="none"/>
        </w:rPr>
        <w:t>……</w:t>
      </w:r>
    </w:p>
    <w:p w14:paraId="5F09D569">
      <w:pPr>
        <w:spacing w:line="380" w:lineRule="exact"/>
        <w:rPr>
          <w:rFonts w:ascii="宋体" w:hAnsi="宋体" w:cs="宋体"/>
          <w:color w:val="auto"/>
          <w:sz w:val="28"/>
          <w:szCs w:val="28"/>
          <w:highlight w:val="none"/>
          <w:u w:val="single"/>
        </w:rPr>
      </w:pPr>
      <w:r>
        <w:rPr>
          <w:rFonts w:hint="eastAsia" w:ascii="宋体" w:hAnsi="宋体" w:cs="宋体"/>
          <w:color w:val="auto"/>
          <w:sz w:val="28"/>
          <w:szCs w:val="28"/>
          <w:highlight w:val="none"/>
        </w:rPr>
        <w:t>相关供应商：</w:t>
      </w:r>
    </w:p>
    <w:p w14:paraId="4123B933">
      <w:pPr>
        <w:spacing w:line="380" w:lineRule="exact"/>
        <w:rPr>
          <w:rFonts w:ascii="宋体" w:hAnsi="宋体" w:cs="宋体"/>
          <w:color w:val="auto"/>
          <w:sz w:val="28"/>
          <w:szCs w:val="28"/>
          <w:highlight w:val="none"/>
          <w:u w:val="single"/>
        </w:rPr>
      </w:pPr>
      <w:r>
        <w:rPr>
          <w:rFonts w:hint="eastAsia" w:ascii="宋体" w:hAnsi="宋体" w:cs="宋体"/>
          <w:color w:val="auto"/>
          <w:sz w:val="28"/>
          <w:szCs w:val="28"/>
          <w:highlight w:val="none"/>
        </w:rPr>
        <w:t>地     址：邮编：</w:t>
      </w:r>
    </w:p>
    <w:p w14:paraId="45A67A35">
      <w:pPr>
        <w:spacing w:line="380" w:lineRule="exact"/>
        <w:rPr>
          <w:rFonts w:ascii="宋体" w:hAnsi="宋体" w:cs="宋体"/>
          <w:color w:val="auto"/>
          <w:sz w:val="28"/>
          <w:szCs w:val="28"/>
          <w:highlight w:val="none"/>
          <w:u w:val="single"/>
        </w:rPr>
      </w:pPr>
      <w:r>
        <w:rPr>
          <w:rFonts w:hint="eastAsia" w:ascii="宋体" w:hAnsi="宋体" w:cs="宋体"/>
          <w:color w:val="auto"/>
          <w:sz w:val="28"/>
          <w:szCs w:val="28"/>
          <w:highlight w:val="none"/>
        </w:rPr>
        <w:t>联系人：联系电话：</w:t>
      </w:r>
    </w:p>
    <w:p w14:paraId="3EA4F1DF">
      <w:pPr>
        <w:spacing w:line="380" w:lineRule="exact"/>
        <w:rPr>
          <w:rFonts w:ascii="宋体" w:hAnsi="宋体" w:cs="宋体"/>
          <w:color w:val="auto"/>
          <w:sz w:val="28"/>
          <w:szCs w:val="28"/>
          <w:highlight w:val="none"/>
        </w:rPr>
      </w:pPr>
      <w:r>
        <w:rPr>
          <w:rFonts w:hint="eastAsia" w:ascii="宋体" w:hAnsi="宋体" w:cs="宋体"/>
          <w:color w:val="auto"/>
          <w:sz w:val="28"/>
          <w:szCs w:val="28"/>
          <w:highlight w:val="none"/>
        </w:rPr>
        <w:t>二、投诉项目基本情况</w:t>
      </w:r>
    </w:p>
    <w:p w14:paraId="45CFCF58">
      <w:pPr>
        <w:spacing w:line="380" w:lineRule="exact"/>
        <w:rPr>
          <w:rFonts w:ascii="宋体" w:hAnsi="宋体" w:cs="宋体"/>
          <w:color w:val="auto"/>
          <w:sz w:val="28"/>
          <w:szCs w:val="28"/>
          <w:highlight w:val="none"/>
          <w:u w:val="dotted"/>
        </w:rPr>
      </w:pPr>
      <w:r>
        <w:rPr>
          <w:rFonts w:hint="eastAsia" w:ascii="宋体" w:hAnsi="宋体" w:cs="宋体"/>
          <w:color w:val="auto"/>
          <w:sz w:val="28"/>
          <w:szCs w:val="28"/>
          <w:highlight w:val="none"/>
        </w:rPr>
        <w:t>采购项目名称：</w:t>
      </w:r>
    </w:p>
    <w:p w14:paraId="10D7942D">
      <w:pPr>
        <w:spacing w:line="380" w:lineRule="exact"/>
        <w:rPr>
          <w:rFonts w:ascii="宋体" w:hAnsi="宋体" w:cs="宋体"/>
          <w:color w:val="auto"/>
          <w:sz w:val="28"/>
          <w:szCs w:val="28"/>
          <w:highlight w:val="none"/>
          <w:u w:val="single"/>
        </w:rPr>
      </w:pPr>
      <w:r>
        <w:rPr>
          <w:rFonts w:hint="eastAsia" w:ascii="宋体" w:hAnsi="宋体" w:cs="宋体"/>
          <w:color w:val="auto"/>
          <w:sz w:val="28"/>
          <w:szCs w:val="28"/>
          <w:highlight w:val="none"/>
        </w:rPr>
        <w:t>采购项目编号：包号：</w:t>
      </w:r>
    </w:p>
    <w:p w14:paraId="4DC9D790">
      <w:pPr>
        <w:spacing w:line="380" w:lineRule="exact"/>
        <w:rPr>
          <w:rFonts w:ascii="宋体" w:hAnsi="宋体" w:cs="宋体"/>
          <w:color w:val="auto"/>
          <w:sz w:val="28"/>
          <w:szCs w:val="28"/>
          <w:highlight w:val="none"/>
        </w:rPr>
      </w:pPr>
      <w:r>
        <w:rPr>
          <w:rFonts w:hint="eastAsia" w:ascii="宋体" w:hAnsi="宋体" w:cs="宋体"/>
          <w:color w:val="auto"/>
          <w:sz w:val="28"/>
          <w:szCs w:val="28"/>
          <w:highlight w:val="none"/>
        </w:rPr>
        <w:t>采购人名称：</w:t>
      </w:r>
    </w:p>
    <w:p w14:paraId="7AA8A134">
      <w:pPr>
        <w:spacing w:line="380" w:lineRule="exact"/>
        <w:rPr>
          <w:rFonts w:ascii="宋体" w:hAnsi="宋体" w:cs="宋体"/>
          <w:color w:val="auto"/>
          <w:sz w:val="28"/>
          <w:szCs w:val="28"/>
          <w:highlight w:val="none"/>
          <w:u w:val="single"/>
        </w:rPr>
      </w:pPr>
      <w:r>
        <w:rPr>
          <w:rFonts w:hint="eastAsia" w:ascii="宋体" w:hAnsi="宋体" w:cs="宋体"/>
          <w:color w:val="auto"/>
          <w:sz w:val="28"/>
          <w:szCs w:val="28"/>
          <w:highlight w:val="none"/>
        </w:rPr>
        <w:t>代理机构名称：</w:t>
      </w:r>
    </w:p>
    <w:p w14:paraId="55302714">
      <w:pPr>
        <w:spacing w:line="380" w:lineRule="exact"/>
        <w:rPr>
          <w:rFonts w:ascii="宋体" w:hAnsi="宋体" w:cs="宋体"/>
          <w:color w:val="auto"/>
          <w:sz w:val="28"/>
          <w:szCs w:val="28"/>
          <w:highlight w:val="none"/>
          <w:u w:val="dotted"/>
        </w:rPr>
      </w:pPr>
      <w:r>
        <w:rPr>
          <w:rFonts w:hint="eastAsia" w:ascii="宋体" w:hAnsi="宋体" w:cs="宋体"/>
          <w:color w:val="auto"/>
          <w:sz w:val="28"/>
          <w:szCs w:val="28"/>
          <w:highlight w:val="none"/>
        </w:rPr>
        <w:t>采购文件公告:</w:t>
      </w:r>
      <w:r>
        <w:rPr>
          <w:rFonts w:hint="eastAsia" w:ascii="宋体" w:hAnsi="宋体" w:cs="宋体"/>
          <w:color w:val="auto"/>
          <w:sz w:val="28"/>
          <w:szCs w:val="28"/>
          <w:highlight w:val="none"/>
          <w:u w:val="dotted"/>
        </w:rPr>
        <w:t xml:space="preserve">是/否 </w:t>
      </w:r>
      <w:r>
        <w:rPr>
          <w:rFonts w:hint="eastAsia" w:ascii="宋体" w:hAnsi="宋体" w:cs="宋体"/>
          <w:color w:val="auto"/>
          <w:sz w:val="28"/>
          <w:szCs w:val="28"/>
          <w:highlight w:val="none"/>
        </w:rPr>
        <w:t>公告期限：</w:t>
      </w:r>
    </w:p>
    <w:p w14:paraId="47D2340C">
      <w:pPr>
        <w:spacing w:line="380" w:lineRule="exact"/>
        <w:rPr>
          <w:rFonts w:ascii="宋体" w:hAnsi="宋体" w:cs="宋体"/>
          <w:color w:val="auto"/>
          <w:sz w:val="28"/>
          <w:szCs w:val="28"/>
          <w:highlight w:val="none"/>
          <w:u w:val="single"/>
        </w:rPr>
      </w:pPr>
      <w:r>
        <w:rPr>
          <w:rFonts w:hint="eastAsia" w:ascii="宋体" w:hAnsi="宋体" w:cs="宋体"/>
          <w:color w:val="auto"/>
          <w:sz w:val="28"/>
          <w:szCs w:val="28"/>
          <w:highlight w:val="none"/>
        </w:rPr>
        <w:t>采购结果公告:</w:t>
      </w:r>
      <w:r>
        <w:rPr>
          <w:rFonts w:hint="eastAsia" w:ascii="宋体" w:hAnsi="宋体" w:cs="宋体"/>
          <w:color w:val="auto"/>
          <w:sz w:val="28"/>
          <w:szCs w:val="28"/>
          <w:highlight w:val="none"/>
          <w:u w:val="dotted"/>
        </w:rPr>
        <w:t xml:space="preserve">是/否 </w:t>
      </w:r>
      <w:r>
        <w:rPr>
          <w:rFonts w:hint="eastAsia" w:ascii="宋体" w:hAnsi="宋体" w:cs="宋体"/>
          <w:color w:val="auto"/>
          <w:sz w:val="28"/>
          <w:szCs w:val="28"/>
          <w:highlight w:val="none"/>
        </w:rPr>
        <w:t>公告期限：</w:t>
      </w:r>
    </w:p>
    <w:p w14:paraId="14678B92">
      <w:pPr>
        <w:spacing w:line="380" w:lineRule="exact"/>
        <w:rPr>
          <w:rFonts w:ascii="宋体" w:hAnsi="宋体" w:cs="宋体"/>
          <w:color w:val="auto"/>
          <w:sz w:val="28"/>
          <w:szCs w:val="28"/>
          <w:highlight w:val="none"/>
        </w:rPr>
      </w:pPr>
      <w:r>
        <w:rPr>
          <w:rFonts w:hint="eastAsia" w:ascii="宋体" w:hAnsi="宋体" w:cs="宋体"/>
          <w:color w:val="auto"/>
          <w:sz w:val="28"/>
          <w:szCs w:val="28"/>
          <w:highlight w:val="none"/>
        </w:rPr>
        <w:t>三、质疑基本情况</w:t>
      </w:r>
    </w:p>
    <w:p w14:paraId="7964ED96">
      <w:pPr>
        <w:spacing w:line="380" w:lineRule="exact"/>
        <w:ind w:firstLine="560" w:firstLineChars="200"/>
        <w:rPr>
          <w:rFonts w:ascii="宋体" w:hAnsi="宋体" w:cs="宋体"/>
          <w:color w:val="auto"/>
          <w:sz w:val="28"/>
          <w:szCs w:val="28"/>
          <w:highlight w:val="none"/>
          <w:u w:val="dotted"/>
        </w:rPr>
      </w:pPr>
      <w:r>
        <w:rPr>
          <w:rFonts w:hint="eastAsia" w:ascii="宋体" w:hAnsi="宋体" w:cs="宋体"/>
          <w:color w:val="auto"/>
          <w:sz w:val="28"/>
          <w:szCs w:val="28"/>
          <w:highlight w:val="none"/>
        </w:rPr>
        <w:t>投诉人于年月日,向提出质疑，质疑事项为：</w:t>
      </w:r>
    </w:p>
    <w:p w14:paraId="23031BC4">
      <w:pPr>
        <w:spacing w:line="380" w:lineRule="exact"/>
        <w:rPr>
          <w:rFonts w:ascii="宋体" w:hAnsi="宋体" w:cs="宋体"/>
          <w:color w:val="auto"/>
          <w:sz w:val="28"/>
          <w:szCs w:val="28"/>
          <w:highlight w:val="none"/>
          <w:u w:val="dotted"/>
        </w:rPr>
      </w:pPr>
    </w:p>
    <w:p w14:paraId="6314046C">
      <w:pPr>
        <w:spacing w:line="380" w:lineRule="exact"/>
        <w:ind w:firstLine="420" w:firstLineChars="150"/>
        <w:rPr>
          <w:rFonts w:ascii="宋体" w:hAnsi="宋体" w:cs="宋体"/>
          <w:color w:val="auto"/>
          <w:sz w:val="28"/>
          <w:szCs w:val="28"/>
          <w:highlight w:val="none"/>
        </w:rPr>
      </w:pPr>
      <w:r>
        <w:rPr>
          <w:rFonts w:hint="eastAsia" w:ascii="宋体" w:hAnsi="宋体" w:cs="宋体"/>
          <w:color w:val="auto"/>
          <w:sz w:val="28"/>
          <w:szCs w:val="28"/>
          <w:highlight w:val="none"/>
          <w:u w:val="dotted"/>
        </w:rPr>
        <w:t>采购人/代理机构</w:t>
      </w:r>
      <w:r>
        <w:rPr>
          <w:rFonts w:hint="eastAsia" w:ascii="宋体" w:hAnsi="宋体" w:cs="宋体"/>
          <w:color w:val="auto"/>
          <w:sz w:val="28"/>
          <w:szCs w:val="28"/>
          <w:highlight w:val="none"/>
        </w:rPr>
        <w:t>于年月日,就质疑事项作出了答复/没有在法定期限内作出答复。</w:t>
      </w:r>
    </w:p>
    <w:p w14:paraId="0DDB3C65">
      <w:pPr>
        <w:spacing w:line="380" w:lineRule="exact"/>
        <w:rPr>
          <w:rFonts w:ascii="宋体" w:hAnsi="宋体" w:cs="宋体"/>
          <w:color w:val="auto"/>
          <w:sz w:val="28"/>
          <w:szCs w:val="28"/>
          <w:highlight w:val="none"/>
        </w:rPr>
      </w:pPr>
      <w:r>
        <w:rPr>
          <w:rFonts w:hint="eastAsia" w:ascii="宋体" w:hAnsi="宋体" w:cs="宋体"/>
          <w:color w:val="auto"/>
          <w:sz w:val="28"/>
          <w:szCs w:val="28"/>
          <w:highlight w:val="none"/>
        </w:rPr>
        <w:t>四、投诉事项具体内容</w:t>
      </w:r>
    </w:p>
    <w:p w14:paraId="6458C766">
      <w:pPr>
        <w:spacing w:line="380" w:lineRule="exact"/>
        <w:rPr>
          <w:rFonts w:ascii="宋体" w:hAnsi="宋体" w:cs="宋体"/>
          <w:color w:val="auto"/>
          <w:sz w:val="28"/>
          <w:szCs w:val="28"/>
          <w:highlight w:val="none"/>
          <w:u w:val="single"/>
        </w:rPr>
      </w:pPr>
      <w:r>
        <w:rPr>
          <w:rFonts w:hint="eastAsia" w:ascii="宋体" w:hAnsi="宋体" w:cs="宋体"/>
          <w:color w:val="auto"/>
          <w:sz w:val="28"/>
          <w:szCs w:val="28"/>
          <w:highlight w:val="none"/>
        </w:rPr>
        <w:t>投诉事项 1：</w:t>
      </w:r>
    </w:p>
    <w:p w14:paraId="325E6D49">
      <w:pPr>
        <w:spacing w:line="380" w:lineRule="exact"/>
        <w:rPr>
          <w:rFonts w:ascii="宋体" w:hAnsi="宋体" w:cs="宋体"/>
          <w:color w:val="auto"/>
          <w:sz w:val="28"/>
          <w:szCs w:val="28"/>
          <w:highlight w:val="none"/>
        </w:rPr>
      </w:pPr>
      <w:r>
        <w:rPr>
          <w:rFonts w:hint="eastAsia" w:ascii="宋体" w:hAnsi="宋体" w:cs="宋体"/>
          <w:color w:val="auto"/>
          <w:sz w:val="28"/>
          <w:szCs w:val="28"/>
          <w:highlight w:val="none"/>
        </w:rPr>
        <w:t>事实依据：</w:t>
      </w:r>
    </w:p>
    <w:p w14:paraId="58F7E266">
      <w:pPr>
        <w:spacing w:line="380" w:lineRule="exact"/>
        <w:rPr>
          <w:rFonts w:ascii="宋体" w:hAnsi="宋体" w:cs="宋体"/>
          <w:color w:val="auto"/>
          <w:sz w:val="28"/>
          <w:szCs w:val="28"/>
          <w:highlight w:val="none"/>
          <w:u w:val="dotted"/>
        </w:rPr>
      </w:pPr>
    </w:p>
    <w:p w14:paraId="64B25AF2">
      <w:pPr>
        <w:spacing w:line="380" w:lineRule="exact"/>
        <w:rPr>
          <w:rFonts w:ascii="宋体" w:hAnsi="宋体" w:cs="宋体"/>
          <w:color w:val="auto"/>
          <w:sz w:val="28"/>
          <w:szCs w:val="28"/>
          <w:highlight w:val="none"/>
          <w:u w:val="single"/>
        </w:rPr>
      </w:pPr>
      <w:r>
        <w:rPr>
          <w:rFonts w:hint="eastAsia" w:ascii="宋体" w:hAnsi="宋体" w:cs="宋体"/>
          <w:color w:val="auto"/>
          <w:sz w:val="28"/>
          <w:szCs w:val="28"/>
          <w:highlight w:val="none"/>
        </w:rPr>
        <w:t>法律依据：</w:t>
      </w:r>
    </w:p>
    <w:p w14:paraId="1C1B66BB">
      <w:pPr>
        <w:spacing w:line="380" w:lineRule="exact"/>
        <w:rPr>
          <w:rFonts w:ascii="宋体" w:hAnsi="宋体" w:cs="宋体"/>
          <w:color w:val="auto"/>
          <w:sz w:val="28"/>
          <w:szCs w:val="28"/>
          <w:highlight w:val="none"/>
          <w:u w:val="dotted"/>
        </w:rPr>
      </w:pPr>
    </w:p>
    <w:p w14:paraId="4A1EEB29">
      <w:pPr>
        <w:spacing w:line="380" w:lineRule="exact"/>
        <w:rPr>
          <w:rFonts w:ascii="宋体" w:hAnsi="宋体" w:cs="宋体"/>
          <w:color w:val="auto"/>
          <w:sz w:val="28"/>
          <w:szCs w:val="28"/>
          <w:highlight w:val="none"/>
        </w:rPr>
      </w:pPr>
      <w:r>
        <w:rPr>
          <w:rFonts w:hint="eastAsia" w:ascii="宋体" w:hAnsi="宋体" w:cs="宋体"/>
          <w:color w:val="auto"/>
          <w:sz w:val="28"/>
          <w:szCs w:val="28"/>
          <w:highlight w:val="none"/>
        </w:rPr>
        <w:t>投诉事项2</w:t>
      </w:r>
    </w:p>
    <w:p w14:paraId="02E9735C">
      <w:pPr>
        <w:spacing w:line="380" w:lineRule="exact"/>
        <w:rPr>
          <w:rFonts w:ascii="宋体" w:hAnsi="宋体" w:cs="宋体"/>
          <w:color w:val="auto"/>
          <w:sz w:val="28"/>
          <w:szCs w:val="28"/>
          <w:highlight w:val="none"/>
          <w:u w:val="dotted"/>
        </w:rPr>
      </w:pPr>
      <w:r>
        <w:rPr>
          <w:rFonts w:hint="eastAsia" w:ascii="宋体" w:hAnsi="宋体" w:cs="宋体"/>
          <w:color w:val="auto"/>
          <w:sz w:val="28"/>
          <w:szCs w:val="28"/>
          <w:highlight w:val="none"/>
        </w:rPr>
        <w:t>……</w:t>
      </w:r>
    </w:p>
    <w:p w14:paraId="04F48918">
      <w:pPr>
        <w:spacing w:line="380" w:lineRule="exact"/>
        <w:rPr>
          <w:rFonts w:ascii="宋体" w:hAnsi="宋体" w:cs="宋体"/>
          <w:color w:val="auto"/>
          <w:sz w:val="28"/>
          <w:szCs w:val="28"/>
          <w:highlight w:val="none"/>
        </w:rPr>
      </w:pPr>
      <w:r>
        <w:rPr>
          <w:rFonts w:hint="eastAsia" w:ascii="宋体" w:hAnsi="宋体" w:cs="宋体"/>
          <w:color w:val="auto"/>
          <w:sz w:val="28"/>
          <w:szCs w:val="28"/>
          <w:highlight w:val="none"/>
        </w:rPr>
        <w:t>五、与投诉事项相关的投诉请求</w:t>
      </w:r>
    </w:p>
    <w:p w14:paraId="3B1B0C9E">
      <w:pPr>
        <w:spacing w:line="380" w:lineRule="exact"/>
        <w:rPr>
          <w:rFonts w:ascii="宋体" w:hAnsi="宋体" w:cs="宋体"/>
          <w:color w:val="auto"/>
          <w:sz w:val="28"/>
          <w:szCs w:val="28"/>
          <w:highlight w:val="none"/>
        </w:rPr>
      </w:pPr>
      <w:r>
        <w:rPr>
          <w:rFonts w:hint="eastAsia" w:ascii="宋体" w:hAnsi="宋体" w:cs="宋体"/>
          <w:color w:val="auto"/>
          <w:sz w:val="28"/>
          <w:szCs w:val="28"/>
          <w:highlight w:val="none"/>
        </w:rPr>
        <w:t>请求：</w:t>
      </w:r>
    </w:p>
    <w:p w14:paraId="498DDB6D">
      <w:pPr>
        <w:spacing w:line="380" w:lineRule="exact"/>
        <w:rPr>
          <w:rFonts w:ascii="宋体" w:hAnsi="宋体" w:cs="宋体"/>
          <w:color w:val="auto"/>
          <w:sz w:val="28"/>
          <w:szCs w:val="28"/>
          <w:highlight w:val="none"/>
          <w:u w:val="single"/>
        </w:rPr>
      </w:pPr>
    </w:p>
    <w:p w14:paraId="5FF7ABE6">
      <w:pPr>
        <w:spacing w:line="380" w:lineRule="exact"/>
        <w:rPr>
          <w:rFonts w:ascii="宋体" w:hAnsi="宋体" w:cs="宋体"/>
          <w:color w:val="auto"/>
          <w:sz w:val="28"/>
          <w:szCs w:val="28"/>
          <w:highlight w:val="none"/>
        </w:rPr>
      </w:pPr>
      <w:r>
        <w:rPr>
          <w:rFonts w:hint="eastAsia" w:ascii="宋体" w:hAnsi="宋体" w:cs="宋体"/>
          <w:color w:val="auto"/>
          <w:sz w:val="28"/>
          <w:szCs w:val="28"/>
          <w:highlight w:val="none"/>
        </w:rPr>
        <w:t xml:space="preserve">签字(签章)：                   公章：                      </w:t>
      </w:r>
    </w:p>
    <w:p w14:paraId="75BC7B57">
      <w:pPr>
        <w:spacing w:line="380" w:lineRule="exact"/>
        <w:rPr>
          <w:rFonts w:ascii="宋体" w:hAnsi="宋体" w:cs="宋体"/>
          <w:color w:val="auto"/>
          <w:sz w:val="28"/>
          <w:szCs w:val="28"/>
          <w:highlight w:val="none"/>
        </w:rPr>
      </w:pPr>
      <w:r>
        <w:rPr>
          <w:rFonts w:hint="eastAsia" w:ascii="宋体" w:hAnsi="宋体" w:cs="宋体"/>
          <w:color w:val="auto"/>
          <w:sz w:val="28"/>
          <w:szCs w:val="28"/>
          <w:highlight w:val="none"/>
        </w:rPr>
        <w:t xml:space="preserve">日期：    </w:t>
      </w:r>
    </w:p>
    <w:p w14:paraId="65C7E4A3">
      <w:pPr>
        <w:spacing w:line="380" w:lineRule="exact"/>
        <w:rPr>
          <w:rFonts w:ascii="宋体" w:hAnsi="宋体" w:cs="宋体"/>
          <w:b/>
          <w:color w:val="auto"/>
          <w:sz w:val="28"/>
          <w:szCs w:val="28"/>
          <w:highlight w:val="none"/>
        </w:rPr>
      </w:pPr>
    </w:p>
    <w:p w14:paraId="1B70C449">
      <w:pPr>
        <w:spacing w:line="380" w:lineRule="exact"/>
        <w:rPr>
          <w:rFonts w:ascii="宋体" w:hAnsi="宋体" w:cs="宋体"/>
          <w:b/>
          <w:color w:val="auto"/>
          <w:sz w:val="28"/>
          <w:szCs w:val="28"/>
          <w:highlight w:val="none"/>
        </w:rPr>
      </w:pPr>
      <w:r>
        <w:rPr>
          <w:rFonts w:hint="eastAsia" w:ascii="宋体" w:hAnsi="宋体" w:cs="宋体"/>
          <w:b/>
          <w:color w:val="auto"/>
          <w:sz w:val="28"/>
          <w:szCs w:val="28"/>
          <w:highlight w:val="none"/>
        </w:rPr>
        <w:t>投诉书制作说明：</w:t>
      </w:r>
    </w:p>
    <w:p w14:paraId="24EBA78C">
      <w:pPr>
        <w:widowControl/>
        <w:spacing w:line="380" w:lineRule="exact"/>
        <w:ind w:firstLine="560" w:firstLineChars="200"/>
        <w:rPr>
          <w:rFonts w:ascii="宋体" w:hAnsi="宋体" w:cs="宋体"/>
          <w:color w:val="auto"/>
          <w:kern w:val="0"/>
          <w:sz w:val="28"/>
          <w:szCs w:val="28"/>
          <w:highlight w:val="none"/>
        </w:rPr>
      </w:pPr>
      <w:r>
        <w:rPr>
          <w:rFonts w:hint="eastAsia" w:ascii="宋体" w:hAnsi="宋体" w:cs="宋体"/>
          <w:color w:val="auto"/>
          <w:sz w:val="28"/>
          <w:szCs w:val="28"/>
          <w:highlight w:val="none"/>
        </w:rPr>
        <w:t>1.投诉人提起投诉时，应当提交投诉书和必要的证明材料，并按照被投诉人和与投诉事项有关的供应商数量提供投诉书副本。</w:t>
      </w:r>
    </w:p>
    <w:p w14:paraId="417F4F01">
      <w:pPr>
        <w:widowControl/>
        <w:spacing w:line="380" w:lineRule="exact"/>
        <w:ind w:firstLine="560" w:firstLineChars="200"/>
        <w:jc w:val="left"/>
        <w:rPr>
          <w:rFonts w:ascii="宋体" w:hAnsi="宋体" w:cs="宋体"/>
          <w:color w:val="auto"/>
          <w:kern w:val="0"/>
          <w:sz w:val="28"/>
          <w:szCs w:val="28"/>
          <w:highlight w:val="none"/>
        </w:rPr>
      </w:pPr>
      <w:r>
        <w:rPr>
          <w:rFonts w:hint="eastAsia" w:ascii="宋体" w:hAnsi="宋体" w:cs="宋体"/>
          <w:color w:val="auto"/>
          <w:sz w:val="28"/>
          <w:szCs w:val="28"/>
          <w:highlight w:val="none"/>
        </w:rPr>
        <w:t>2.投诉人若委托代理人进行投诉的，投诉书应按照要求列明“授权代表”的有关内容，并在附件中提交由</w:t>
      </w:r>
      <w:r>
        <w:rPr>
          <w:rFonts w:hint="eastAsia" w:ascii="宋体" w:hAnsi="宋体" w:cs="宋体"/>
          <w:color w:val="auto"/>
          <w:kern w:val="0"/>
          <w:sz w:val="28"/>
          <w:szCs w:val="28"/>
          <w:highlight w:val="none"/>
        </w:rPr>
        <w:t>投诉人签署的授权委托书。授权委托书应当载明代理人的姓名或者名称、代理事项、具体权限、期限和相关事项。</w:t>
      </w:r>
    </w:p>
    <w:p w14:paraId="7EEB065F">
      <w:pPr>
        <w:widowControl/>
        <w:spacing w:line="380" w:lineRule="exact"/>
        <w:ind w:firstLine="560" w:firstLineChars="200"/>
        <w:jc w:val="left"/>
        <w:rPr>
          <w:rFonts w:ascii="宋体" w:hAnsi="宋体" w:cs="宋体"/>
          <w:color w:val="auto"/>
          <w:sz w:val="28"/>
          <w:szCs w:val="28"/>
          <w:highlight w:val="none"/>
        </w:rPr>
      </w:pPr>
      <w:r>
        <w:rPr>
          <w:rFonts w:hint="eastAsia" w:ascii="宋体" w:hAnsi="宋体" w:cs="宋体"/>
          <w:color w:val="auto"/>
          <w:sz w:val="28"/>
          <w:szCs w:val="28"/>
          <w:highlight w:val="none"/>
        </w:rPr>
        <w:t>3.投诉人若对项目的某一分包进行投诉，投诉书应列明具体分包号。</w:t>
      </w:r>
    </w:p>
    <w:p w14:paraId="693611D2">
      <w:pPr>
        <w:widowControl/>
        <w:spacing w:line="380" w:lineRule="exact"/>
        <w:ind w:firstLine="560" w:firstLineChars="200"/>
        <w:jc w:val="left"/>
        <w:rPr>
          <w:rFonts w:ascii="宋体" w:hAnsi="宋体" w:cs="宋体"/>
          <w:color w:val="auto"/>
          <w:sz w:val="28"/>
          <w:szCs w:val="28"/>
          <w:highlight w:val="none"/>
        </w:rPr>
      </w:pPr>
      <w:r>
        <w:rPr>
          <w:rFonts w:hint="eastAsia" w:ascii="宋体" w:hAnsi="宋体" w:cs="宋体"/>
          <w:color w:val="auto"/>
          <w:sz w:val="28"/>
          <w:szCs w:val="28"/>
          <w:highlight w:val="none"/>
        </w:rPr>
        <w:t>4.投诉书应简要列明质疑事项，质疑函、质疑答复等作为附件材料提供。</w:t>
      </w:r>
    </w:p>
    <w:p w14:paraId="70023DC3">
      <w:pPr>
        <w:widowControl/>
        <w:spacing w:line="380" w:lineRule="exact"/>
        <w:ind w:firstLine="560" w:firstLineChars="200"/>
        <w:jc w:val="left"/>
        <w:rPr>
          <w:rFonts w:ascii="宋体" w:hAnsi="宋体" w:cs="宋体"/>
          <w:color w:val="auto"/>
          <w:sz w:val="28"/>
          <w:szCs w:val="28"/>
          <w:highlight w:val="none"/>
        </w:rPr>
      </w:pPr>
      <w:r>
        <w:rPr>
          <w:rFonts w:hint="eastAsia" w:ascii="宋体" w:hAnsi="宋体" w:cs="宋体"/>
          <w:color w:val="auto"/>
          <w:sz w:val="28"/>
          <w:szCs w:val="28"/>
          <w:highlight w:val="none"/>
        </w:rPr>
        <w:t>5.投诉书的投诉事项应具体、明确，并有必要的事实依据和法律依据。</w:t>
      </w:r>
    </w:p>
    <w:p w14:paraId="1FA1ABB9">
      <w:pPr>
        <w:widowControl/>
        <w:spacing w:line="380" w:lineRule="exact"/>
        <w:ind w:firstLine="560" w:firstLineChars="200"/>
        <w:jc w:val="left"/>
        <w:rPr>
          <w:rFonts w:ascii="宋体" w:hAnsi="宋体" w:cs="宋体"/>
          <w:color w:val="auto"/>
          <w:sz w:val="28"/>
          <w:szCs w:val="28"/>
          <w:highlight w:val="none"/>
        </w:rPr>
      </w:pPr>
      <w:r>
        <w:rPr>
          <w:rFonts w:hint="eastAsia" w:ascii="宋体" w:hAnsi="宋体" w:cs="宋体"/>
          <w:color w:val="auto"/>
          <w:sz w:val="28"/>
          <w:szCs w:val="28"/>
          <w:highlight w:val="none"/>
        </w:rPr>
        <w:t>6.投诉书的投诉请求应与投诉事项相关。</w:t>
      </w:r>
    </w:p>
    <w:p w14:paraId="43A910F0">
      <w:pPr>
        <w:widowControl/>
        <w:spacing w:line="380" w:lineRule="exact"/>
        <w:ind w:firstLine="560" w:firstLineChars="200"/>
        <w:jc w:val="left"/>
        <w:rPr>
          <w:color w:val="auto"/>
          <w:highlight w:val="none"/>
        </w:rPr>
      </w:pPr>
      <w:r>
        <w:rPr>
          <w:rFonts w:hint="eastAsia" w:ascii="宋体" w:hAnsi="宋体" w:cs="宋体"/>
          <w:color w:val="auto"/>
          <w:sz w:val="28"/>
          <w:szCs w:val="28"/>
          <w:highlight w:val="none"/>
        </w:rPr>
        <w:t>7.投诉人为自然人的，投诉书应当由本人签字；投诉人为法人或者其他组织的，投诉书应当由法定代表人、主要负责人，或者其授权代表签字或者盖章，并加盖公章。</w:t>
      </w:r>
    </w:p>
    <w:sectPr>
      <w:headerReference r:id="rId13" w:type="default"/>
      <w:footerReference r:id="rId14" w:type="default"/>
      <w:type w:val="continuous"/>
      <w:pgSz w:w="11906" w:h="16838"/>
      <w:pgMar w:top="1440" w:right="1797" w:bottom="1440" w:left="1797"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roman"/>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Helvetica">
    <w:altName w:val="Arial"/>
    <w:panose1 w:val="020B0504020202030204"/>
    <w:charset w:val="00"/>
    <w:family w:val="swiss"/>
    <w:pitch w:val="default"/>
    <w:sig w:usb0="00000000" w:usb1="00000000" w:usb2="00000000" w:usb3="00000000" w:csb0="00000093" w:csb1="00000000"/>
  </w:font>
  <w:font w:name="Cambria">
    <w:panose1 w:val="02040503050406030204"/>
    <w:charset w:val="00"/>
    <w:family w:val="roman"/>
    <w:pitch w:val="default"/>
    <w:sig w:usb0="E00002FF" w:usb1="400004FF" w:usb2="00000000" w:usb3="00000000" w:csb0="2000019F" w:csb1="00000000"/>
  </w:font>
  <w:font w:name="Arial Narrow">
    <w:altName w:val="Arial"/>
    <w:panose1 w:val="020B0606020202030204"/>
    <w:charset w:val="00"/>
    <w:family w:val="swiss"/>
    <w:pitch w:val="default"/>
    <w:sig w:usb0="00000000" w:usb1="00000000" w:usb2="00000000" w:usb3="00000000" w:csb0="2000009F" w:csb1="DFD7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Century">
    <w:altName w:val="Times New Roman"/>
    <w:panose1 w:val="02040604050505020304"/>
    <w:charset w:val="00"/>
    <w:family w:val="roman"/>
    <w:pitch w:val="default"/>
    <w:sig w:usb0="00000000" w:usb1="00000000" w:usb2="00000000" w:usb3="00000000" w:csb0="2000009F" w:csb1="DFD70000"/>
  </w:font>
  <w:font w:name="新宋体">
    <w:panose1 w:val="02010609030101010101"/>
    <w:charset w:val="86"/>
    <w:family w:val="modern"/>
    <w:pitch w:val="default"/>
    <w:sig w:usb0="00000003" w:usb1="288F0000" w:usb2="00000006" w:usb3="00000000" w:csb0="00040001" w:csb1="00000000"/>
  </w:font>
  <w:font w:name="??">
    <w:altName w:val="Times New Roman"/>
    <w:panose1 w:val="00000000000000000000"/>
    <w:charset w:val="00"/>
    <w:family w:val="roman"/>
    <w:pitch w:val="default"/>
    <w:sig w:usb0="00000000" w:usb1="00000000" w:usb2="00000000" w:usb3="00000000" w:csb0="00000001" w:csb1="00000000"/>
  </w:font>
  <w:font w:name="方正姚体">
    <w:altName w:val="宋体"/>
    <w:panose1 w:val="02010601030101010101"/>
    <w:charset w:val="86"/>
    <w:family w:val="auto"/>
    <w:pitch w:val="default"/>
    <w:sig w:usb0="00000000" w:usb1="00000000" w:usb2="00000000" w:usb3="00000000" w:csb0="00040000" w:csb1="00000000"/>
  </w:font>
  <w:font w:name="Times">
    <w:altName w:val="Times New Roman"/>
    <w:panose1 w:val="02020603050405020304"/>
    <w:charset w:val="00"/>
    <w:family w:val="roman"/>
    <w:pitch w:val="default"/>
    <w:sig w:usb0="00000000" w:usb1="00000000" w:usb2="00000009" w:usb3="00000000" w:csb0="000001FF" w:csb1="00000000"/>
  </w:font>
  <w:font w:name="创艺简标宋">
    <w:altName w:val="黑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F43DC5">
    <w:pPr>
      <w:pStyle w:val="31"/>
      <w:ind w:right="360"/>
      <w:jc w:val="center"/>
      <w:rPr>
        <w:rFonts w:hint="eastAsia" w:eastAsia="黑体"/>
        <w:lang w:eastAsia="zh-CN"/>
      </w:rPr>
    </w:pPr>
    <w:r>
      <w:rPr>
        <w:rFonts w:hint="eastAsia"/>
        <w:lang w:eastAsia="zh-CN"/>
      </w:rPr>
      <w:t>泰宇建筑工程技术咨询有限公司</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D4074">
    <w:pPr>
      <w:pStyle w:val="31"/>
      <w:tabs>
        <w:tab w:val="left" w:pos="8738"/>
        <w:tab w:val="clear" w:pos="4153"/>
      </w:tabs>
    </w:pP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0243FF">
    <w:pPr>
      <w:pStyle w:val="31"/>
      <w:ind w:right="360"/>
      <w:jc w:val="center"/>
      <w:rPr>
        <w:rFonts w:hint="eastAsia" w:eastAsia="黑体"/>
        <w:lang w:eastAsia="zh-CN"/>
      </w:rPr>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6"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6AC6139">
                          <w:pPr>
                            <w:pStyle w:val="31"/>
                            <w:rPr>
                              <w:rFonts w:eastAsia="宋体"/>
                            </w:rPr>
                          </w:pPr>
                          <w:r>
                            <w:fldChar w:fldCharType="begin"/>
                          </w:r>
                          <w:r>
                            <w:instrText xml:space="preserve"> PAGE  \* MERGEFORMAT </w:instrText>
                          </w:r>
                          <w:r>
                            <w:fldChar w:fldCharType="separate"/>
                          </w:r>
                          <w:r>
                            <w:t>2</w:t>
                          </w:r>
                          <w:r>
                            <w:fldChar w:fldCharType="end"/>
                          </w:r>
                        </w:p>
                      </w:txbxContent>
                    </wps:txbx>
                    <wps:bodyPr wrap="none" lIns="0" tIns="0" rIns="0" bIns="0" upright="1">
                      <a:spAutoFit/>
                    </wps:bodyPr>
                  </wps:wsp>
                </a:graphicData>
              </a:graphic>
            </wp:anchor>
          </w:drawing>
        </mc:Choice>
        <mc:Fallback>
          <w:pict>
            <v:shape id="文本框 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RHozL8oBAACcAwAADgAAAAAAAAABACAAAAAeAQAAZHJzL2Uyb0Rv&#10;Yy54bWxQSwUGAAAAAAYABgBZAQAAWgUAAAAA&#10;">
              <v:fill on="f" focussize="0,0"/>
              <v:stroke on="f"/>
              <v:imagedata o:title=""/>
              <o:lock v:ext="edit" aspectratio="f"/>
              <v:textbox inset="0mm,0mm,0mm,0mm" style="mso-fit-shape-to-text:t;">
                <w:txbxContent>
                  <w:p w14:paraId="66AC6139">
                    <w:pPr>
                      <w:pStyle w:val="31"/>
                      <w:rPr>
                        <w:rFonts w:eastAsia="宋体"/>
                      </w:rPr>
                    </w:pPr>
                    <w:r>
                      <w:fldChar w:fldCharType="begin"/>
                    </w:r>
                    <w:r>
                      <w:instrText xml:space="preserve"> PAGE  \* MERGEFORMAT </w:instrText>
                    </w:r>
                    <w:r>
                      <w:fldChar w:fldCharType="separate"/>
                    </w:r>
                    <w:r>
                      <w:t>2</w:t>
                    </w:r>
                    <w:r>
                      <w:fldChar w:fldCharType="end"/>
                    </w:r>
                  </w:p>
                </w:txbxContent>
              </v:textbox>
            </v:shape>
          </w:pict>
        </mc:Fallback>
      </mc:AlternateContent>
    </w:r>
    <w:r>
      <w:rPr>
        <w:rFonts w:hint="eastAsia"/>
        <w:lang w:eastAsia="zh-CN"/>
      </w:rPr>
      <w:t>泰宇建筑工程技术咨询有限公司</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5F8652">
    <w:pPr>
      <w:pStyle w:val="31"/>
      <w:tabs>
        <w:tab w:val="left" w:pos="8738"/>
        <w:tab w:val="clear" w:pos="4153"/>
      </w:tabs>
    </w:pPr>
    <w: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7"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F42CAC3">
                          <w:pPr>
                            <w:pStyle w:val="31"/>
                            <w:rPr>
                              <w:rFonts w:eastAsia="宋体"/>
                            </w:rPr>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文本框 1025"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Iz9Dq/LAQAAnAMAAA4AAAAAAAAAAQAgAAAAHgEAAGRycy9lMm9E&#10;b2MueG1sUEsFBgAAAAAGAAYAWQEAAFsFAAAAAA==&#10;">
              <v:fill on="f" focussize="0,0"/>
              <v:stroke on="f"/>
              <v:imagedata o:title=""/>
              <o:lock v:ext="edit" aspectratio="f"/>
              <v:textbox inset="0mm,0mm,0mm,0mm" style="mso-fit-shape-to-text:t;">
                <w:txbxContent>
                  <w:p w14:paraId="7F42CAC3">
                    <w:pPr>
                      <w:pStyle w:val="31"/>
                      <w:rPr>
                        <w:rFonts w:eastAsia="宋体"/>
                      </w:rPr>
                    </w:pPr>
                    <w:r>
                      <w:fldChar w:fldCharType="begin"/>
                    </w:r>
                    <w:r>
                      <w:instrText xml:space="preserve"> PAGE  \* MERGEFORMAT </w:instrText>
                    </w:r>
                    <w:r>
                      <w:fldChar w:fldCharType="separate"/>
                    </w:r>
                    <w:r>
                      <w:t>1</w:t>
                    </w:r>
                    <w:r>
                      <w:fldChar w:fldCharType="end"/>
                    </w:r>
                  </w:p>
                </w:txbxContent>
              </v:textbox>
            </v:shape>
          </w:pict>
        </mc:Fallback>
      </mc:AlternateContent>
    </w:r>
    <w: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BDF99F">
    <w:pPr>
      <w:pStyle w:val="31"/>
      <w:ind w:right="720" w:rightChars="343" w:firstLine="180" w:firstLineChars="100"/>
      <w:jc w:val="center"/>
      <w:rPr>
        <w:rFonts w:hint="eastAsia" w:eastAsia="黑体"/>
        <w:lang w:eastAsia="zh-CN"/>
      </w:rPr>
    </w:pPr>
    <w: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A832B90">
                          <w:pPr>
                            <w:pStyle w:val="31"/>
                            <w:rPr>
                              <w:rStyle w:val="49"/>
                              <w:rFonts w:ascii="宋体" w:hAnsi="宋体" w:eastAsia="宋体"/>
                              <w:sz w:val="28"/>
                              <w:szCs w:val="28"/>
                            </w:rPr>
                          </w:pPr>
                          <w:r>
                            <w:rPr>
                              <w:rStyle w:val="49"/>
                              <w:rFonts w:hint="eastAsia" w:ascii="宋体" w:hAnsi="宋体" w:eastAsia="宋体"/>
                              <w:sz w:val="28"/>
                              <w:szCs w:val="28"/>
                            </w:rPr>
                            <w:t xml:space="preserve">— </w:t>
                          </w:r>
                          <w:r>
                            <w:rPr>
                              <w:rFonts w:ascii="宋体" w:hAnsi="宋体" w:eastAsia="宋体"/>
                              <w:sz w:val="28"/>
                              <w:szCs w:val="28"/>
                            </w:rPr>
                            <w:fldChar w:fldCharType="begin"/>
                          </w:r>
                          <w:r>
                            <w:rPr>
                              <w:rStyle w:val="49"/>
                              <w:rFonts w:ascii="宋体" w:hAnsi="宋体" w:eastAsia="宋体"/>
                              <w:sz w:val="28"/>
                              <w:szCs w:val="28"/>
                            </w:rPr>
                            <w:instrText xml:space="preserve">PAGE  </w:instrText>
                          </w:r>
                          <w:r>
                            <w:rPr>
                              <w:rFonts w:ascii="宋体" w:hAnsi="宋体" w:eastAsia="宋体"/>
                              <w:sz w:val="28"/>
                              <w:szCs w:val="28"/>
                            </w:rPr>
                            <w:fldChar w:fldCharType="separate"/>
                          </w:r>
                          <w:r>
                            <w:rPr>
                              <w:rStyle w:val="49"/>
                              <w:rFonts w:ascii="宋体" w:hAnsi="宋体" w:eastAsia="宋体"/>
                              <w:sz w:val="28"/>
                              <w:szCs w:val="28"/>
                            </w:rPr>
                            <w:t>65</w:t>
                          </w:r>
                          <w:r>
                            <w:rPr>
                              <w:rFonts w:ascii="宋体" w:hAnsi="宋体" w:eastAsia="宋体"/>
                              <w:sz w:val="28"/>
                              <w:szCs w:val="28"/>
                            </w:rPr>
                            <w:fldChar w:fldCharType="end"/>
                          </w:r>
                          <w:r>
                            <w:rPr>
                              <w:rStyle w:val="49"/>
                              <w:rFonts w:hint="eastAsia" w:ascii="宋体" w:hAnsi="宋体" w:eastAsia="宋体"/>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tkm6skBAACb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lvKHHc4sTPP3+cfz2eH74T&#10;9KFAfYAa8+4CZqbhvR8wefYDOjPvQUWbv8iIYBzlPV3klUMiIj9aLVerCkMCY/MF8dnT8xAhfZDe&#10;kmw0NOL8iqz8+AnSmDqn5GrO32pjygyN+8uBmNnDcu9jj9lKw26YCO18e0I+PY6+oQ43nRLz0aGy&#10;eUtmI87GbjYOIep9V9Yo14Pw7pCwidJbrjDCToVxZoXdtF95Kf68l6ynf2rz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G2SbqyQEAAJsDAAAOAAAAAAAAAAEAIAAAAB4BAABkcnMvZTJvRG9j&#10;LnhtbFBLBQYAAAAABgAGAFkBAABZBQAAAAA=&#10;">
              <v:fill on="f" focussize="0,0"/>
              <v:stroke on="f"/>
              <v:imagedata o:title=""/>
              <o:lock v:ext="edit" aspectratio="f"/>
              <v:textbox inset="0mm,0mm,0mm,0mm" style="mso-fit-shape-to-text:t;">
                <w:txbxContent>
                  <w:p w14:paraId="1A832B90">
                    <w:pPr>
                      <w:pStyle w:val="31"/>
                      <w:rPr>
                        <w:rStyle w:val="49"/>
                        <w:rFonts w:ascii="宋体" w:hAnsi="宋体" w:eastAsia="宋体"/>
                        <w:sz w:val="28"/>
                        <w:szCs w:val="28"/>
                      </w:rPr>
                    </w:pPr>
                    <w:r>
                      <w:rPr>
                        <w:rStyle w:val="49"/>
                        <w:rFonts w:hint="eastAsia" w:ascii="宋体" w:hAnsi="宋体" w:eastAsia="宋体"/>
                        <w:sz w:val="28"/>
                        <w:szCs w:val="28"/>
                      </w:rPr>
                      <w:t xml:space="preserve">— </w:t>
                    </w:r>
                    <w:r>
                      <w:rPr>
                        <w:rFonts w:ascii="宋体" w:hAnsi="宋体" w:eastAsia="宋体"/>
                        <w:sz w:val="28"/>
                        <w:szCs w:val="28"/>
                      </w:rPr>
                      <w:fldChar w:fldCharType="begin"/>
                    </w:r>
                    <w:r>
                      <w:rPr>
                        <w:rStyle w:val="49"/>
                        <w:rFonts w:ascii="宋体" w:hAnsi="宋体" w:eastAsia="宋体"/>
                        <w:sz w:val="28"/>
                        <w:szCs w:val="28"/>
                      </w:rPr>
                      <w:instrText xml:space="preserve">PAGE  </w:instrText>
                    </w:r>
                    <w:r>
                      <w:rPr>
                        <w:rFonts w:ascii="宋体" w:hAnsi="宋体" w:eastAsia="宋体"/>
                        <w:sz w:val="28"/>
                        <w:szCs w:val="28"/>
                      </w:rPr>
                      <w:fldChar w:fldCharType="separate"/>
                    </w:r>
                    <w:r>
                      <w:rPr>
                        <w:rStyle w:val="49"/>
                        <w:rFonts w:ascii="宋体" w:hAnsi="宋体" w:eastAsia="宋体"/>
                        <w:sz w:val="28"/>
                        <w:szCs w:val="28"/>
                      </w:rPr>
                      <w:t>65</w:t>
                    </w:r>
                    <w:r>
                      <w:rPr>
                        <w:rFonts w:ascii="宋体" w:hAnsi="宋体" w:eastAsia="宋体"/>
                        <w:sz w:val="28"/>
                        <w:szCs w:val="28"/>
                      </w:rPr>
                      <w:fldChar w:fldCharType="end"/>
                    </w:r>
                    <w:r>
                      <w:rPr>
                        <w:rStyle w:val="49"/>
                        <w:rFonts w:hint="eastAsia" w:ascii="宋体" w:hAnsi="宋体" w:eastAsia="宋体"/>
                        <w:sz w:val="28"/>
                        <w:szCs w:val="28"/>
                      </w:rPr>
                      <w:t xml:space="preserve"> —</w:t>
                    </w:r>
                  </w:p>
                </w:txbxContent>
              </v:textbox>
            </v:shape>
          </w:pict>
        </mc:Fallback>
      </mc:AlternateContent>
    </w:r>
    <w:r>
      <w:rPr>
        <w:rFonts w:hint="eastAsia"/>
        <w:lang w:eastAsia="zh-CN"/>
      </w:rPr>
      <w:t>泰宇建筑工程技术咨询有限公司</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8B771C">
    <w:pPr>
      <w:pStyle w:val="31"/>
      <w:framePr w:wrap="around" w:vAnchor="text" w:hAnchor="margin" w:xAlign="outside" w:y="1"/>
      <w:rPr>
        <w:rStyle w:val="49"/>
      </w:rPr>
    </w:pPr>
    <w:r>
      <w:fldChar w:fldCharType="begin"/>
    </w:r>
    <w:r>
      <w:rPr>
        <w:rStyle w:val="49"/>
      </w:rPr>
      <w:instrText xml:space="preserve">PAGE  </w:instrText>
    </w:r>
    <w:r>
      <w:fldChar w:fldCharType="separate"/>
    </w:r>
    <w:r>
      <w:rPr>
        <w:rStyle w:val="49"/>
      </w:rPr>
      <w:t>32</w:t>
    </w:r>
    <w:r>
      <w:fldChar w:fldCharType="end"/>
    </w:r>
  </w:p>
  <w:p w14:paraId="3EBDFF82">
    <w:pPr>
      <w:pStyle w:val="31"/>
      <w:ind w:right="360" w:firstLine="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4881A1">
    <w:pPr>
      <w:pStyle w:val="31"/>
      <w:ind w:right="720" w:firstLine="180" w:firstLineChars="100"/>
      <w:jc w:val="both"/>
      <w:rPr>
        <w:rFonts w:hint="eastAsia" w:eastAsia="黑体"/>
        <w:lang w:eastAsia="zh-CN"/>
      </w:rPr>
    </w:pPr>
    <w: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900D182">
                          <w:pPr>
                            <w:pStyle w:val="31"/>
                            <w:rPr>
                              <w:rStyle w:val="49"/>
                              <w:rFonts w:ascii="宋体" w:hAnsi="宋体" w:eastAsia="宋体"/>
                              <w:sz w:val="28"/>
                              <w:szCs w:val="28"/>
                            </w:rPr>
                          </w:pPr>
                          <w:r>
                            <w:rPr>
                              <w:rStyle w:val="49"/>
                              <w:rFonts w:hint="eastAsia" w:ascii="宋体" w:hAnsi="宋体" w:eastAsia="宋体"/>
                              <w:sz w:val="28"/>
                              <w:szCs w:val="28"/>
                            </w:rPr>
                            <w:t xml:space="preserve">— </w:t>
                          </w:r>
                          <w:r>
                            <w:rPr>
                              <w:rFonts w:ascii="宋体" w:hAnsi="宋体" w:eastAsia="宋体"/>
                              <w:sz w:val="28"/>
                              <w:szCs w:val="28"/>
                            </w:rPr>
                            <w:fldChar w:fldCharType="begin"/>
                          </w:r>
                          <w:r>
                            <w:rPr>
                              <w:rStyle w:val="49"/>
                              <w:rFonts w:ascii="宋体" w:hAnsi="宋体" w:eastAsia="宋体"/>
                              <w:sz w:val="28"/>
                              <w:szCs w:val="28"/>
                            </w:rPr>
                            <w:instrText xml:space="preserve">PAGE  </w:instrText>
                          </w:r>
                          <w:r>
                            <w:rPr>
                              <w:rFonts w:ascii="宋体" w:hAnsi="宋体" w:eastAsia="宋体"/>
                              <w:sz w:val="28"/>
                              <w:szCs w:val="28"/>
                            </w:rPr>
                            <w:fldChar w:fldCharType="separate"/>
                          </w:r>
                          <w:r>
                            <w:rPr>
                              <w:rStyle w:val="49"/>
                              <w:rFonts w:ascii="宋体" w:hAnsi="宋体" w:eastAsia="宋体"/>
                              <w:sz w:val="28"/>
                              <w:szCs w:val="28"/>
                            </w:rPr>
                            <w:t>70</w:t>
                          </w:r>
                          <w:r>
                            <w:rPr>
                              <w:rFonts w:ascii="宋体" w:hAnsi="宋体" w:eastAsia="宋体"/>
                              <w:sz w:val="28"/>
                              <w:szCs w:val="28"/>
                            </w:rPr>
                            <w:fldChar w:fldCharType="end"/>
                          </w:r>
                          <w:r>
                            <w:rPr>
                              <w:rStyle w:val="49"/>
                              <w:rFonts w:hint="eastAsia" w:ascii="宋体" w:hAnsi="宋体" w:eastAsia="宋体"/>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uuuM7yQEAAJsDAAAOAAAAAAAAAAEAIAAAAB4BAABkcnMvZTJvRG9j&#10;LnhtbFBLBQYAAAAABgAGAFkBAABZBQAAAAA=&#10;">
              <v:fill on="f" focussize="0,0"/>
              <v:stroke on="f"/>
              <v:imagedata o:title=""/>
              <o:lock v:ext="edit" aspectratio="f"/>
              <v:textbox inset="0mm,0mm,0mm,0mm" style="mso-fit-shape-to-text:t;">
                <w:txbxContent>
                  <w:p w14:paraId="2900D182">
                    <w:pPr>
                      <w:pStyle w:val="31"/>
                      <w:rPr>
                        <w:rStyle w:val="49"/>
                        <w:rFonts w:ascii="宋体" w:hAnsi="宋体" w:eastAsia="宋体"/>
                        <w:sz w:val="28"/>
                        <w:szCs w:val="28"/>
                      </w:rPr>
                    </w:pPr>
                    <w:r>
                      <w:rPr>
                        <w:rStyle w:val="49"/>
                        <w:rFonts w:hint="eastAsia" w:ascii="宋体" w:hAnsi="宋体" w:eastAsia="宋体"/>
                        <w:sz w:val="28"/>
                        <w:szCs w:val="28"/>
                      </w:rPr>
                      <w:t xml:space="preserve">— </w:t>
                    </w:r>
                    <w:r>
                      <w:rPr>
                        <w:rFonts w:ascii="宋体" w:hAnsi="宋体" w:eastAsia="宋体"/>
                        <w:sz w:val="28"/>
                        <w:szCs w:val="28"/>
                      </w:rPr>
                      <w:fldChar w:fldCharType="begin"/>
                    </w:r>
                    <w:r>
                      <w:rPr>
                        <w:rStyle w:val="49"/>
                        <w:rFonts w:ascii="宋体" w:hAnsi="宋体" w:eastAsia="宋体"/>
                        <w:sz w:val="28"/>
                        <w:szCs w:val="28"/>
                      </w:rPr>
                      <w:instrText xml:space="preserve">PAGE  </w:instrText>
                    </w:r>
                    <w:r>
                      <w:rPr>
                        <w:rFonts w:ascii="宋体" w:hAnsi="宋体" w:eastAsia="宋体"/>
                        <w:sz w:val="28"/>
                        <w:szCs w:val="28"/>
                      </w:rPr>
                      <w:fldChar w:fldCharType="separate"/>
                    </w:r>
                    <w:r>
                      <w:rPr>
                        <w:rStyle w:val="49"/>
                        <w:rFonts w:ascii="宋体" w:hAnsi="宋体" w:eastAsia="宋体"/>
                        <w:sz w:val="28"/>
                        <w:szCs w:val="28"/>
                      </w:rPr>
                      <w:t>70</w:t>
                    </w:r>
                    <w:r>
                      <w:rPr>
                        <w:rFonts w:ascii="宋体" w:hAnsi="宋体" w:eastAsia="宋体"/>
                        <w:sz w:val="28"/>
                        <w:szCs w:val="28"/>
                      </w:rPr>
                      <w:fldChar w:fldCharType="end"/>
                    </w:r>
                    <w:r>
                      <w:rPr>
                        <w:rStyle w:val="49"/>
                        <w:rFonts w:hint="eastAsia" w:ascii="宋体" w:hAnsi="宋体" w:eastAsia="宋体"/>
                        <w:sz w:val="28"/>
                        <w:szCs w:val="28"/>
                      </w:rPr>
                      <w:t xml:space="preserve"> —</w:t>
                    </w:r>
                  </w:p>
                </w:txbxContent>
              </v:textbox>
            </v:shape>
          </w:pict>
        </mc:Fallback>
      </mc:AlternateContent>
    </w:r>
    <w:r>
      <w:rPr>
        <w:rFonts w:hint="eastAsia"/>
      </w:rPr>
      <w:t xml:space="preserve">                                                           </w:t>
    </w:r>
    <w:r>
      <w:rPr>
        <w:rFonts w:hint="eastAsia"/>
        <w:lang w:eastAsia="zh-CN"/>
      </w:rPr>
      <w:t>泰宇建筑工程技术咨询有限公司</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746091">
    <w:pPr>
      <w:pStyle w:val="31"/>
      <w:ind w:right="720" w:rightChars="343" w:firstLine="180" w:firstLineChars="100"/>
      <w:jc w:val="center"/>
      <w:rPr>
        <w:rFonts w:hint="eastAsia" w:eastAsia="黑体"/>
        <w:lang w:eastAsia="zh-CN"/>
      </w:rPr>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06C1D265">
                          <w:pPr>
                            <w:pStyle w:val="31"/>
                            <w:rPr>
                              <w:rFonts w:eastAsia="宋体"/>
                            </w:rPr>
                          </w:pPr>
                          <w:r>
                            <w:fldChar w:fldCharType="begin"/>
                          </w:r>
                          <w:r>
                            <w:instrText xml:space="preserve"> PAGE  \* MERGEFORMAT </w:instrText>
                          </w:r>
                          <w:r>
                            <w:fldChar w:fldCharType="separate"/>
                          </w:r>
                          <w:r>
                            <w:t>64</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LDwzZM0BAACnAwAADgAAAAAAAAABACAAAAAeAQAAZHJzL2Uy&#10;b0RvYy54bWxQSwUGAAAAAAYABgBZAQAAXQUAAAAA&#10;">
              <v:fill on="f" focussize="0,0"/>
              <v:stroke on="f"/>
              <v:imagedata o:title=""/>
              <o:lock v:ext="edit" aspectratio="f"/>
              <v:textbox inset="0mm,0mm,0mm,0mm" style="mso-fit-shape-to-text:t;">
                <w:txbxContent>
                  <w:p w14:paraId="06C1D265">
                    <w:pPr>
                      <w:pStyle w:val="31"/>
                      <w:rPr>
                        <w:rFonts w:eastAsia="宋体"/>
                      </w:rPr>
                    </w:pPr>
                    <w:r>
                      <w:fldChar w:fldCharType="begin"/>
                    </w:r>
                    <w:r>
                      <w:instrText xml:space="preserve"> PAGE  \* MERGEFORMAT </w:instrText>
                    </w:r>
                    <w:r>
                      <w:fldChar w:fldCharType="separate"/>
                    </w:r>
                    <w:r>
                      <w:t>64</w:t>
                    </w:r>
                    <w:r>
                      <w:fldChar w:fldCharType="end"/>
                    </w:r>
                  </w:p>
                </w:txbxContent>
              </v:textbox>
            </v:shape>
          </w:pict>
        </mc:Fallback>
      </mc:AlternateContent>
    </w:r>
    <w:r>
      <w:rPr>
        <w:rFonts w:hint="eastAsia"/>
        <w:lang w:eastAsia="zh-CN"/>
      </w:rPr>
      <w:t>泰宇建筑工程技术咨询有限公司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4AB868">
    <w:pPr>
      <w:pStyle w:val="32"/>
      <w:rPr>
        <w:rFonts w:hint="eastAsia" w:ascii="宋体" w:hAnsi="宋体" w:eastAsia="宋体"/>
        <w:sz w:val="24"/>
        <w:szCs w:val="24"/>
        <w:lang w:eastAsia="zh-CN"/>
      </w:rPr>
    </w:pPr>
    <w:r>
      <w:rPr>
        <w:rFonts w:hint="eastAsia" w:ascii="宋体" w:hAnsi="宋体" w:eastAsia="宋体"/>
        <w:sz w:val="24"/>
        <w:szCs w:val="24"/>
        <w:lang w:eastAsia="zh-CN"/>
      </w:rPr>
      <w:t>东阳市公共视频监控项目监理服务</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4B4C29">
    <w:pPr>
      <w:pStyle w:val="32"/>
      <w:jc w:val="both"/>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1CCB59">
    <w:pPr>
      <w:pStyle w:val="32"/>
      <w:pBdr>
        <w:bottom w:val="none" w:color="auto" w:sz="0" w:space="0"/>
      </w:pBdr>
      <w:jc w:val="both"/>
      <w:rPr>
        <w:u w:val="single"/>
      </w:rPr>
    </w:pPr>
    <w:r>
      <w:rPr>
        <w:rFonts w:hint="eastAsia"/>
        <w:u w:val="single"/>
        <w:lang w:eastAsia="zh-CN"/>
      </w:rPr>
      <w:t>东阳市公共视频监控项目监理服务</w:t>
    </w:r>
    <w:r>
      <w:rPr>
        <w:rFonts w:hint="eastAsia"/>
        <w:u w:val="single"/>
      </w:rPr>
      <w:t xml:space="preserve">                                           </w:t>
    </w:r>
  </w:p>
  <w:p w14:paraId="7D537B75"/>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2492A0">
    <w:pPr>
      <w:pStyle w:val="32"/>
      <w:rPr>
        <w:rFonts w:hint="eastAsia"/>
      </w:rPr>
    </w:pPr>
    <w:r>
      <w:rPr>
        <w:rFonts w:hint="eastAsia" w:hAnsi="宋体"/>
        <w:sz w:val="24"/>
        <w:szCs w:val="24"/>
        <w:lang w:eastAsia="zh-CN"/>
      </w:rPr>
      <w:t>东阳市公共视频监控项目监理服务</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B4BE631"/>
    <w:multiLevelType w:val="singleLevel"/>
    <w:tmpl w:val="EB4BE631"/>
    <w:lvl w:ilvl="0" w:tentative="0">
      <w:start w:val="1"/>
      <w:numFmt w:val="decimal"/>
      <w:lvlText w:val="%1."/>
      <w:lvlJc w:val="left"/>
      <w:pPr>
        <w:tabs>
          <w:tab w:val="left" w:pos="312"/>
        </w:tabs>
      </w:pPr>
      <w:rPr>
        <w:rFonts w:hint="default" w:cs="Times New Roman"/>
        <w:b w:val="0"/>
        <w:bCs w:val="0"/>
      </w:rPr>
    </w:lvl>
  </w:abstractNum>
  <w:abstractNum w:abstractNumId="1">
    <w:nsid w:val="FFFFFFFB"/>
    <w:multiLevelType w:val="multilevel"/>
    <w:tmpl w:val="FFFFFFFB"/>
    <w:lvl w:ilvl="0" w:tentative="0">
      <w:start w:val="1"/>
      <w:numFmt w:val="chineseCountingThousand"/>
      <w:lvlText w:val="%1. "/>
      <w:legacy w:legacy="1" w:legacySpace="0" w:legacyIndent="0"/>
      <w:lvlJc w:val="left"/>
      <w:rPr>
        <w:rFonts w:cs="Times New Roman"/>
        <w:sz w:val="32"/>
      </w:rPr>
    </w:lvl>
    <w:lvl w:ilvl="1" w:tentative="0">
      <w:start w:val="1"/>
      <w:numFmt w:val="none"/>
      <w:suff w:val="nothing"/>
      <w:lvlText w:val=""/>
      <w:lvlJc w:val="left"/>
      <w:rPr>
        <w:rFonts w:cs="Times New Roman"/>
      </w:rPr>
    </w:lvl>
    <w:lvl w:ilvl="2" w:tentative="0">
      <w:start w:val="1"/>
      <w:numFmt w:val="none"/>
      <w:suff w:val="nothing"/>
      <w:lvlText w:val=""/>
      <w:lvlJc w:val="left"/>
      <w:rPr>
        <w:rFonts w:cs="Times New Roman"/>
      </w:rPr>
    </w:lvl>
    <w:lvl w:ilvl="3" w:tentative="0">
      <w:start w:val="1"/>
      <w:numFmt w:val="none"/>
      <w:suff w:val="nothing"/>
      <w:lvlText w:val=""/>
      <w:lvlJc w:val="left"/>
      <w:rPr>
        <w:rFonts w:cs="Times New Roman"/>
      </w:rPr>
    </w:lvl>
    <w:lvl w:ilvl="4" w:tentative="0">
      <w:start w:val="1"/>
      <w:numFmt w:val="none"/>
      <w:suff w:val="nothing"/>
      <w:lvlText w:val=""/>
      <w:lvlJc w:val="left"/>
      <w:rPr>
        <w:rFonts w:cs="Times New Roman"/>
      </w:rPr>
    </w:lvl>
    <w:lvl w:ilvl="5" w:tentative="0">
      <w:start w:val="1"/>
      <w:numFmt w:val="none"/>
      <w:suff w:val="nothing"/>
      <w:lvlText w:val=""/>
      <w:lvlJc w:val="left"/>
      <w:rPr>
        <w:rFonts w:cs="Times New Roman"/>
      </w:rPr>
    </w:lvl>
    <w:lvl w:ilvl="6" w:tentative="0">
      <w:start w:val="1"/>
      <w:numFmt w:val="none"/>
      <w:pStyle w:val="11"/>
      <w:suff w:val="nothing"/>
      <w:lvlText w:val=""/>
      <w:lvlJc w:val="left"/>
      <w:rPr>
        <w:rFonts w:cs="Times New Roman"/>
      </w:rPr>
    </w:lvl>
    <w:lvl w:ilvl="7" w:tentative="0">
      <w:start w:val="1"/>
      <w:numFmt w:val="none"/>
      <w:pStyle w:val="12"/>
      <w:suff w:val="nothing"/>
      <w:lvlText w:val=""/>
      <w:lvlJc w:val="left"/>
      <w:rPr>
        <w:rFonts w:cs="Times New Roman"/>
      </w:rPr>
    </w:lvl>
    <w:lvl w:ilvl="8" w:tentative="0">
      <w:start w:val="1"/>
      <w:numFmt w:val="none"/>
      <w:pStyle w:val="13"/>
      <w:suff w:val="nothing"/>
      <w:lvlText w:val=""/>
      <w:lvlJc w:val="left"/>
      <w:rPr>
        <w:rFonts w:cs="Times New Roman"/>
      </w:rPr>
    </w:lvl>
  </w:abstractNum>
  <w:abstractNum w:abstractNumId="2">
    <w:nsid w:val="254ADFFF"/>
    <w:multiLevelType w:val="singleLevel"/>
    <w:tmpl w:val="254ADFFF"/>
    <w:lvl w:ilvl="0" w:tentative="0">
      <w:start w:val="2"/>
      <w:numFmt w:val="decimal"/>
      <w:lvlText w:val="%1."/>
      <w:lvlJc w:val="left"/>
      <w:pPr>
        <w:tabs>
          <w:tab w:val="left" w:pos="312"/>
        </w:tabs>
      </w:pPr>
      <w:rPr>
        <w:rFonts w:cs="Times New Roman"/>
      </w:rPr>
    </w:lvl>
  </w:abstractNum>
  <w:abstractNum w:abstractNumId="3">
    <w:nsid w:val="2CF939AA"/>
    <w:multiLevelType w:val="singleLevel"/>
    <w:tmpl w:val="2CF939AA"/>
    <w:lvl w:ilvl="0" w:tentative="0">
      <w:start w:val="10"/>
      <w:numFmt w:val="decimal"/>
      <w:suff w:val="nothing"/>
      <w:lvlText w:val="%1、"/>
      <w:lvlJc w:val="left"/>
    </w:lvl>
  </w:abstractNum>
  <w:abstractNum w:abstractNumId="4">
    <w:nsid w:val="347B84DD"/>
    <w:multiLevelType w:val="singleLevel"/>
    <w:tmpl w:val="347B84DD"/>
    <w:lvl w:ilvl="0" w:tentative="0">
      <w:start w:val="4"/>
      <w:numFmt w:val="chineseCounting"/>
      <w:suff w:val="nothing"/>
      <w:lvlText w:val="（%1）"/>
      <w:lvlJc w:val="left"/>
      <w:rPr>
        <w:rFonts w:hint="eastAsia"/>
      </w:rPr>
    </w:lvl>
  </w:abstractNum>
  <w:abstractNum w:abstractNumId="5">
    <w:nsid w:val="52EF3F87"/>
    <w:multiLevelType w:val="multilevel"/>
    <w:tmpl w:val="52EF3F87"/>
    <w:lvl w:ilvl="0" w:tentative="0">
      <w:start w:val="1"/>
      <w:numFmt w:val="chineseCountingThousand"/>
      <w:suff w:val="nothing"/>
      <w:lvlText w:val="第%1章"/>
      <w:lvlJc w:val="left"/>
      <w:pPr>
        <w:ind w:left="1418" w:firstLine="0"/>
      </w:pPr>
    </w:lvl>
    <w:lvl w:ilvl="1" w:tentative="0">
      <w:start w:val="1"/>
      <w:numFmt w:val="none"/>
      <w:suff w:val="nothing"/>
      <w:lvlText w:val=""/>
      <w:lvlJc w:val="left"/>
      <w:pPr>
        <w:ind w:left="0" w:firstLine="0"/>
      </w:pPr>
    </w:lvl>
    <w:lvl w:ilvl="2" w:tentative="0">
      <w:start w:val="1"/>
      <w:numFmt w:val="none"/>
      <w:suff w:val="nothing"/>
      <w:lvlText w:val=""/>
      <w:lvlJc w:val="left"/>
      <w:pPr>
        <w:ind w:left="0" w:firstLine="0"/>
      </w:pPr>
    </w:lvl>
    <w:lvl w:ilvl="3" w:tentative="0">
      <w:start w:val="1"/>
      <w:numFmt w:val="none"/>
      <w:suff w:val="nothing"/>
      <w:lvlText w:val=""/>
      <w:lvlJc w:val="left"/>
      <w:pPr>
        <w:ind w:left="0" w:firstLine="0"/>
      </w:pPr>
    </w:lvl>
    <w:lvl w:ilvl="4" w:tentative="0">
      <w:start w:val="1"/>
      <w:numFmt w:val="none"/>
      <w:suff w:val="nothing"/>
      <w:lvlText w:val=""/>
      <w:lvlJc w:val="left"/>
      <w:pPr>
        <w:ind w:left="0" w:firstLine="0"/>
      </w:pPr>
    </w:lvl>
    <w:lvl w:ilvl="5" w:tentative="0">
      <w:start w:val="1"/>
      <w:numFmt w:val="none"/>
      <w:suff w:val="nothing"/>
      <w:lvlText w:val=""/>
      <w:lvlJc w:val="left"/>
      <w:pPr>
        <w:ind w:left="0" w:firstLine="0"/>
      </w:pPr>
    </w:lvl>
    <w:lvl w:ilvl="6" w:tentative="0">
      <w:start w:val="1"/>
      <w:numFmt w:val="none"/>
      <w:suff w:val="nothing"/>
      <w:lvlText w:val=""/>
      <w:lvlJc w:val="left"/>
      <w:pPr>
        <w:ind w:left="0" w:firstLine="0"/>
      </w:pPr>
    </w:lvl>
    <w:lvl w:ilvl="7" w:tentative="0">
      <w:start w:val="1"/>
      <w:numFmt w:val="none"/>
      <w:suff w:val="nothing"/>
      <w:lvlText w:val=""/>
      <w:lvlJc w:val="left"/>
      <w:pPr>
        <w:ind w:left="0" w:firstLine="0"/>
      </w:pPr>
    </w:lvl>
    <w:lvl w:ilvl="8" w:tentative="0">
      <w:start w:val="1"/>
      <w:numFmt w:val="none"/>
      <w:suff w:val="nothing"/>
      <w:lvlText w:val=""/>
      <w:lvlJc w:val="left"/>
      <w:pPr>
        <w:ind w:left="0" w:firstLine="0"/>
      </w:pPr>
    </w:lvl>
  </w:abstractNum>
  <w:abstractNum w:abstractNumId="6">
    <w:nsid w:val="612C0E64"/>
    <w:multiLevelType w:val="multilevel"/>
    <w:tmpl w:val="612C0E64"/>
    <w:lvl w:ilvl="0" w:tentative="0">
      <w:start w:val="1"/>
      <w:numFmt w:val="decimal"/>
      <w:lvlText w:val="%1."/>
      <w:lvlJc w:val="left"/>
      <w:pPr>
        <w:tabs>
          <w:tab w:val="left" w:pos="1244"/>
        </w:tabs>
        <w:ind w:left="1244" w:hanging="420"/>
      </w:pPr>
      <w:rPr>
        <w:rFonts w:hint="eastAsia"/>
      </w:rPr>
    </w:lvl>
    <w:lvl w:ilvl="1" w:tentative="0">
      <w:start w:val="1"/>
      <w:numFmt w:val="lowerLetter"/>
      <w:lvlText w:val="%2)"/>
      <w:lvlJc w:val="left"/>
      <w:pPr>
        <w:tabs>
          <w:tab w:val="left" w:pos="824"/>
        </w:tabs>
        <w:ind w:left="824" w:hanging="420"/>
      </w:pPr>
    </w:lvl>
    <w:lvl w:ilvl="2" w:tentative="0">
      <w:start w:val="1"/>
      <w:numFmt w:val="lowerRoman"/>
      <w:lvlText w:val="%3."/>
      <w:lvlJc w:val="right"/>
      <w:pPr>
        <w:tabs>
          <w:tab w:val="left" w:pos="1244"/>
        </w:tabs>
        <w:ind w:left="1244" w:hanging="420"/>
      </w:pPr>
    </w:lvl>
    <w:lvl w:ilvl="3" w:tentative="0">
      <w:start w:val="1"/>
      <w:numFmt w:val="decimal"/>
      <w:lvlText w:val="%4."/>
      <w:lvlJc w:val="left"/>
      <w:pPr>
        <w:tabs>
          <w:tab w:val="left" w:pos="1664"/>
        </w:tabs>
        <w:ind w:left="1664" w:hanging="420"/>
      </w:pPr>
    </w:lvl>
    <w:lvl w:ilvl="4" w:tentative="0">
      <w:start w:val="1"/>
      <w:numFmt w:val="lowerLetter"/>
      <w:lvlText w:val="%5)"/>
      <w:lvlJc w:val="left"/>
      <w:pPr>
        <w:tabs>
          <w:tab w:val="left" w:pos="2084"/>
        </w:tabs>
        <w:ind w:left="2084" w:hanging="420"/>
      </w:pPr>
    </w:lvl>
    <w:lvl w:ilvl="5" w:tentative="0">
      <w:start w:val="1"/>
      <w:numFmt w:val="lowerRoman"/>
      <w:lvlText w:val="%6."/>
      <w:lvlJc w:val="right"/>
      <w:pPr>
        <w:tabs>
          <w:tab w:val="left" w:pos="2504"/>
        </w:tabs>
        <w:ind w:left="2504" w:hanging="420"/>
      </w:pPr>
    </w:lvl>
    <w:lvl w:ilvl="6" w:tentative="0">
      <w:start w:val="1"/>
      <w:numFmt w:val="decimal"/>
      <w:lvlText w:val="%7."/>
      <w:lvlJc w:val="left"/>
      <w:pPr>
        <w:tabs>
          <w:tab w:val="left" w:pos="2924"/>
        </w:tabs>
        <w:ind w:left="2924" w:hanging="420"/>
      </w:pPr>
    </w:lvl>
    <w:lvl w:ilvl="7" w:tentative="0">
      <w:start w:val="1"/>
      <w:numFmt w:val="lowerLetter"/>
      <w:lvlText w:val="%8)"/>
      <w:lvlJc w:val="left"/>
      <w:pPr>
        <w:tabs>
          <w:tab w:val="left" w:pos="3344"/>
        </w:tabs>
        <w:ind w:left="3344" w:hanging="420"/>
      </w:pPr>
    </w:lvl>
    <w:lvl w:ilvl="8" w:tentative="0">
      <w:start w:val="1"/>
      <w:numFmt w:val="lowerRoman"/>
      <w:lvlText w:val="%9."/>
      <w:lvlJc w:val="right"/>
      <w:pPr>
        <w:tabs>
          <w:tab w:val="left" w:pos="3764"/>
        </w:tabs>
        <w:ind w:left="3764" w:hanging="420"/>
      </w:pPr>
    </w:lvl>
  </w:abstractNum>
  <w:abstractNum w:abstractNumId="7">
    <w:nsid w:val="763060DB"/>
    <w:multiLevelType w:val="multilevel"/>
    <w:tmpl w:val="763060DB"/>
    <w:lvl w:ilvl="0" w:tentative="0">
      <w:start w:val="1"/>
      <w:numFmt w:val="japaneseCounting"/>
      <w:pStyle w:val="190"/>
      <w:lvlText w:val="第%1章"/>
      <w:lvlJc w:val="left"/>
      <w:pPr>
        <w:tabs>
          <w:tab w:val="left" w:pos="1455"/>
        </w:tabs>
        <w:ind w:left="1455" w:hanging="1275"/>
      </w:pPr>
      <w:rPr>
        <w:rFonts w:hint="eastAsia" w:cs="Times New Roman"/>
      </w:rPr>
    </w:lvl>
    <w:lvl w:ilvl="1" w:tentative="0">
      <w:start w:val="1"/>
      <w:numFmt w:val="japaneseCounting"/>
      <w:lvlText w:val="%2、"/>
      <w:lvlJc w:val="left"/>
      <w:pPr>
        <w:tabs>
          <w:tab w:val="left" w:pos="1320"/>
        </w:tabs>
        <w:ind w:left="1320" w:hanging="720"/>
      </w:pPr>
      <w:rPr>
        <w:rFonts w:hint="eastAsia" w:cs="Times New Roman"/>
      </w:rPr>
    </w:lvl>
    <w:lvl w:ilvl="2" w:tentative="0">
      <w:start w:val="1"/>
      <w:numFmt w:val="lowerRoman"/>
      <w:lvlText w:val="%3."/>
      <w:lvlJc w:val="right"/>
      <w:pPr>
        <w:tabs>
          <w:tab w:val="left" w:pos="1440"/>
        </w:tabs>
        <w:ind w:left="1440" w:hanging="420"/>
      </w:pPr>
      <w:rPr>
        <w:rFonts w:cs="Times New Roman"/>
      </w:rPr>
    </w:lvl>
    <w:lvl w:ilvl="3" w:tentative="0">
      <w:start w:val="1"/>
      <w:numFmt w:val="decimal"/>
      <w:lvlText w:val="%4."/>
      <w:lvlJc w:val="left"/>
      <w:pPr>
        <w:tabs>
          <w:tab w:val="left" w:pos="1860"/>
        </w:tabs>
        <w:ind w:left="1860" w:hanging="420"/>
      </w:pPr>
      <w:rPr>
        <w:rFonts w:cs="Times New Roman"/>
      </w:rPr>
    </w:lvl>
    <w:lvl w:ilvl="4" w:tentative="0">
      <w:start w:val="1"/>
      <w:numFmt w:val="lowerLetter"/>
      <w:lvlText w:val="%5)"/>
      <w:lvlJc w:val="left"/>
      <w:pPr>
        <w:tabs>
          <w:tab w:val="left" w:pos="2280"/>
        </w:tabs>
        <w:ind w:left="2280" w:hanging="420"/>
      </w:pPr>
      <w:rPr>
        <w:rFonts w:cs="Times New Roman"/>
      </w:rPr>
    </w:lvl>
    <w:lvl w:ilvl="5" w:tentative="0">
      <w:start w:val="1"/>
      <w:numFmt w:val="lowerRoman"/>
      <w:lvlText w:val="%6."/>
      <w:lvlJc w:val="right"/>
      <w:pPr>
        <w:tabs>
          <w:tab w:val="left" w:pos="2700"/>
        </w:tabs>
        <w:ind w:left="2700" w:hanging="420"/>
      </w:pPr>
      <w:rPr>
        <w:rFonts w:cs="Times New Roman"/>
      </w:rPr>
    </w:lvl>
    <w:lvl w:ilvl="6" w:tentative="0">
      <w:start w:val="1"/>
      <w:numFmt w:val="decimal"/>
      <w:lvlText w:val="%7."/>
      <w:lvlJc w:val="left"/>
      <w:pPr>
        <w:tabs>
          <w:tab w:val="left" w:pos="3120"/>
        </w:tabs>
        <w:ind w:left="3120" w:hanging="420"/>
      </w:pPr>
      <w:rPr>
        <w:rFonts w:cs="Times New Roman"/>
      </w:rPr>
    </w:lvl>
    <w:lvl w:ilvl="7" w:tentative="0">
      <w:start w:val="1"/>
      <w:numFmt w:val="lowerLetter"/>
      <w:lvlText w:val="%8)"/>
      <w:lvlJc w:val="left"/>
      <w:pPr>
        <w:tabs>
          <w:tab w:val="left" w:pos="3540"/>
        </w:tabs>
        <w:ind w:left="3540" w:hanging="420"/>
      </w:pPr>
      <w:rPr>
        <w:rFonts w:cs="Times New Roman"/>
      </w:rPr>
    </w:lvl>
    <w:lvl w:ilvl="8" w:tentative="0">
      <w:start w:val="1"/>
      <w:numFmt w:val="lowerRoman"/>
      <w:lvlText w:val="%9."/>
      <w:lvlJc w:val="right"/>
      <w:pPr>
        <w:tabs>
          <w:tab w:val="left" w:pos="3960"/>
        </w:tabs>
        <w:ind w:left="3960" w:hanging="420"/>
      </w:pPr>
      <w:rPr>
        <w:rFonts w:cs="Times New Roman"/>
      </w:rPr>
    </w:lvl>
  </w:abstractNum>
  <w:num w:numId="1">
    <w:abstractNumId w:val="1"/>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4"/>
  </w:num>
  <w:num w:numId="5">
    <w:abstractNumId w:val="5"/>
  </w:num>
  <w:num w:numId="6">
    <w:abstractNumId w:val="0"/>
  </w:num>
  <w:num w:numId="7">
    <w:abstractNumId w:val="2"/>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Y1ZTI3YTUyMTgxYjgxNjNhMWVhMTA0NTI5MDg0M2MifQ=="/>
  </w:docVars>
  <w:rsids>
    <w:rsidRoot w:val="007706A5"/>
    <w:rsid w:val="000000D1"/>
    <w:rsid w:val="00000340"/>
    <w:rsid w:val="000006C3"/>
    <w:rsid w:val="00000DCA"/>
    <w:rsid w:val="000018F0"/>
    <w:rsid w:val="0000191A"/>
    <w:rsid w:val="00001AEE"/>
    <w:rsid w:val="00001C58"/>
    <w:rsid w:val="00001E53"/>
    <w:rsid w:val="000020C7"/>
    <w:rsid w:val="0000210D"/>
    <w:rsid w:val="0000211C"/>
    <w:rsid w:val="00002191"/>
    <w:rsid w:val="000022B1"/>
    <w:rsid w:val="00002345"/>
    <w:rsid w:val="000025F1"/>
    <w:rsid w:val="0000277E"/>
    <w:rsid w:val="00002B8F"/>
    <w:rsid w:val="00002BBE"/>
    <w:rsid w:val="00003094"/>
    <w:rsid w:val="000034C3"/>
    <w:rsid w:val="00004B38"/>
    <w:rsid w:val="00004CC2"/>
    <w:rsid w:val="000056BA"/>
    <w:rsid w:val="000059AB"/>
    <w:rsid w:val="000059C9"/>
    <w:rsid w:val="000060A9"/>
    <w:rsid w:val="00006A51"/>
    <w:rsid w:val="00006AE1"/>
    <w:rsid w:val="000071E6"/>
    <w:rsid w:val="00007238"/>
    <w:rsid w:val="00007291"/>
    <w:rsid w:val="00007A56"/>
    <w:rsid w:val="00010555"/>
    <w:rsid w:val="00010E41"/>
    <w:rsid w:val="00011286"/>
    <w:rsid w:val="000115EC"/>
    <w:rsid w:val="0001172B"/>
    <w:rsid w:val="0001266B"/>
    <w:rsid w:val="00012B66"/>
    <w:rsid w:val="00013496"/>
    <w:rsid w:val="00013AA1"/>
    <w:rsid w:val="00013AB2"/>
    <w:rsid w:val="00013D8D"/>
    <w:rsid w:val="00013E3C"/>
    <w:rsid w:val="00013EC1"/>
    <w:rsid w:val="000147F2"/>
    <w:rsid w:val="00015A8C"/>
    <w:rsid w:val="0001611A"/>
    <w:rsid w:val="00016430"/>
    <w:rsid w:val="0001652B"/>
    <w:rsid w:val="00016779"/>
    <w:rsid w:val="00016FC5"/>
    <w:rsid w:val="00017153"/>
    <w:rsid w:val="000172BC"/>
    <w:rsid w:val="00017B58"/>
    <w:rsid w:val="00020546"/>
    <w:rsid w:val="00020694"/>
    <w:rsid w:val="000209DD"/>
    <w:rsid w:val="000209DF"/>
    <w:rsid w:val="00020FDC"/>
    <w:rsid w:val="00021008"/>
    <w:rsid w:val="000214FC"/>
    <w:rsid w:val="0002173B"/>
    <w:rsid w:val="00021D0C"/>
    <w:rsid w:val="0002231B"/>
    <w:rsid w:val="00022470"/>
    <w:rsid w:val="0002272E"/>
    <w:rsid w:val="00022DD5"/>
    <w:rsid w:val="00022E02"/>
    <w:rsid w:val="00023147"/>
    <w:rsid w:val="00023774"/>
    <w:rsid w:val="000239A1"/>
    <w:rsid w:val="00023DC7"/>
    <w:rsid w:val="00023DF1"/>
    <w:rsid w:val="00023E04"/>
    <w:rsid w:val="00023F7B"/>
    <w:rsid w:val="00024E4D"/>
    <w:rsid w:val="00024FA5"/>
    <w:rsid w:val="0002553E"/>
    <w:rsid w:val="0002611F"/>
    <w:rsid w:val="00026F23"/>
    <w:rsid w:val="00027623"/>
    <w:rsid w:val="000277B1"/>
    <w:rsid w:val="00027E31"/>
    <w:rsid w:val="00030010"/>
    <w:rsid w:val="00030029"/>
    <w:rsid w:val="00030527"/>
    <w:rsid w:val="00030687"/>
    <w:rsid w:val="00031987"/>
    <w:rsid w:val="00031997"/>
    <w:rsid w:val="000319DA"/>
    <w:rsid w:val="00031C2E"/>
    <w:rsid w:val="00032B05"/>
    <w:rsid w:val="00032B28"/>
    <w:rsid w:val="00033B46"/>
    <w:rsid w:val="00034021"/>
    <w:rsid w:val="00034EA7"/>
    <w:rsid w:val="00035005"/>
    <w:rsid w:val="000352EC"/>
    <w:rsid w:val="0003568B"/>
    <w:rsid w:val="00036568"/>
    <w:rsid w:val="000366E3"/>
    <w:rsid w:val="000377F6"/>
    <w:rsid w:val="0003788B"/>
    <w:rsid w:val="000379B8"/>
    <w:rsid w:val="00040139"/>
    <w:rsid w:val="000401F4"/>
    <w:rsid w:val="00040A37"/>
    <w:rsid w:val="00041488"/>
    <w:rsid w:val="00041B03"/>
    <w:rsid w:val="00041BFA"/>
    <w:rsid w:val="00042172"/>
    <w:rsid w:val="000422F1"/>
    <w:rsid w:val="00042506"/>
    <w:rsid w:val="0004252B"/>
    <w:rsid w:val="000428D7"/>
    <w:rsid w:val="00042FD0"/>
    <w:rsid w:val="00044004"/>
    <w:rsid w:val="00044A91"/>
    <w:rsid w:val="00044BF9"/>
    <w:rsid w:val="00044F2F"/>
    <w:rsid w:val="00045AFA"/>
    <w:rsid w:val="00046007"/>
    <w:rsid w:val="00046DFA"/>
    <w:rsid w:val="000470B3"/>
    <w:rsid w:val="000471B0"/>
    <w:rsid w:val="00047702"/>
    <w:rsid w:val="0005032D"/>
    <w:rsid w:val="00050722"/>
    <w:rsid w:val="0005082A"/>
    <w:rsid w:val="000512D9"/>
    <w:rsid w:val="00051646"/>
    <w:rsid w:val="00051BCC"/>
    <w:rsid w:val="0005217D"/>
    <w:rsid w:val="00052223"/>
    <w:rsid w:val="00052444"/>
    <w:rsid w:val="000529BF"/>
    <w:rsid w:val="000537E7"/>
    <w:rsid w:val="00053CBC"/>
    <w:rsid w:val="0005431E"/>
    <w:rsid w:val="00054EC2"/>
    <w:rsid w:val="0005501E"/>
    <w:rsid w:val="000556E1"/>
    <w:rsid w:val="00055770"/>
    <w:rsid w:val="00055D0A"/>
    <w:rsid w:val="0005678F"/>
    <w:rsid w:val="00056DB9"/>
    <w:rsid w:val="00056E9A"/>
    <w:rsid w:val="00056F29"/>
    <w:rsid w:val="00056FA5"/>
    <w:rsid w:val="000579F2"/>
    <w:rsid w:val="00057BDA"/>
    <w:rsid w:val="00057C66"/>
    <w:rsid w:val="00060357"/>
    <w:rsid w:val="0006094A"/>
    <w:rsid w:val="00060A26"/>
    <w:rsid w:val="0006137D"/>
    <w:rsid w:val="000614D3"/>
    <w:rsid w:val="00061705"/>
    <w:rsid w:val="000621A8"/>
    <w:rsid w:val="00063AF2"/>
    <w:rsid w:val="00063B88"/>
    <w:rsid w:val="00063DA9"/>
    <w:rsid w:val="00064897"/>
    <w:rsid w:val="00064B0B"/>
    <w:rsid w:val="0006534E"/>
    <w:rsid w:val="000656B7"/>
    <w:rsid w:val="00065932"/>
    <w:rsid w:val="00065ADF"/>
    <w:rsid w:val="00065EA0"/>
    <w:rsid w:val="000669FB"/>
    <w:rsid w:val="00067099"/>
    <w:rsid w:val="00067212"/>
    <w:rsid w:val="00067333"/>
    <w:rsid w:val="0006776B"/>
    <w:rsid w:val="00067F5F"/>
    <w:rsid w:val="00070801"/>
    <w:rsid w:val="0007096D"/>
    <w:rsid w:val="00071901"/>
    <w:rsid w:val="00071A99"/>
    <w:rsid w:val="00071F17"/>
    <w:rsid w:val="00072BA1"/>
    <w:rsid w:val="00072D2C"/>
    <w:rsid w:val="00072D2E"/>
    <w:rsid w:val="00074094"/>
    <w:rsid w:val="00074586"/>
    <w:rsid w:val="00074682"/>
    <w:rsid w:val="00074B32"/>
    <w:rsid w:val="00077DFF"/>
    <w:rsid w:val="00080056"/>
    <w:rsid w:val="00081768"/>
    <w:rsid w:val="0008229D"/>
    <w:rsid w:val="000829AA"/>
    <w:rsid w:val="000829AE"/>
    <w:rsid w:val="00082D59"/>
    <w:rsid w:val="000834A4"/>
    <w:rsid w:val="0008365F"/>
    <w:rsid w:val="000838F4"/>
    <w:rsid w:val="00084863"/>
    <w:rsid w:val="000849AC"/>
    <w:rsid w:val="000849AF"/>
    <w:rsid w:val="00084EA2"/>
    <w:rsid w:val="000857BE"/>
    <w:rsid w:val="00086BF9"/>
    <w:rsid w:val="00086DF1"/>
    <w:rsid w:val="00086FE5"/>
    <w:rsid w:val="0008719C"/>
    <w:rsid w:val="000871BC"/>
    <w:rsid w:val="00087239"/>
    <w:rsid w:val="00087D00"/>
    <w:rsid w:val="0009033F"/>
    <w:rsid w:val="00090353"/>
    <w:rsid w:val="00090906"/>
    <w:rsid w:val="00090939"/>
    <w:rsid w:val="00090EB3"/>
    <w:rsid w:val="00091CF0"/>
    <w:rsid w:val="0009271D"/>
    <w:rsid w:val="000927D1"/>
    <w:rsid w:val="00092858"/>
    <w:rsid w:val="000929C0"/>
    <w:rsid w:val="00092CBE"/>
    <w:rsid w:val="00092DAD"/>
    <w:rsid w:val="00092E33"/>
    <w:rsid w:val="00093561"/>
    <w:rsid w:val="0009361E"/>
    <w:rsid w:val="0009467F"/>
    <w:rsid w:val="0009491B"/>
    <w:rsid w:val="00094BF1"/>
    <w:rsid w:val="00094E44"/>
    <w:rsid w:val="00094ED7"/>
    <w:rsid w:val="00095EEF"/>
    <w:rsid w:val="000963A0"/>
    <w:rsid w:val="00096A58"/>
    <w:rsid w:val="00097712"/>
    <w:rsid w:val="00097914"/>
    <w:rsid w:val="000979B7"/>
    <w:rsid w:val="000A01B3"/>
    <w:rsid w:val="000A062B"/>
    <w:rsid w:val="000A0F96"/>
    <w:rsid w:val="000A11CC"/>
    <w:rsid w:val="000A13D3"/>
    <w:rsid w:val="000A17F0"/>
    <w:rsid w:val="000A1D78"/>
    <w:rsid w:val="000A1EF5"/>
    <w:rsid w:val="000A2196"/>
    <w:rsid w:val="000A22C1"/>
    <w:rsid w:val="000A2595"/>
    <w:rsid w:val="000A282E"/>
    <w:rsid w:val="000A374D"/>
    <w:rsid w:val="000A3B2C"/>
    <w:rsid w:val="000A48F4"/>
    <w:rsid w:val="000A53E7"/>
    <w:rsid w:val="000A555B"/>
    <w:rsid w:val="000A5803"/>
    <w:rsid w:val="000A5D1A"/>
    <w:rsid w:val="000A5ED4"/>
    <w:rsid w:val="000A62F2"/>
    <w:rsid w:val="000A6B19"/>
    <w:rsid w:val="000A7109"/>
    <w:rsid w:val="000A71AC"/>
    <w:rsid w:val="000A7272"/>
    <w:rsid w:val="000A7D5B"/>
    <w:rsid w:val="000B0514"/>
    <w:rsid w:val="000B0692"/>
    <w:rsid w:val="000B0F89"/>
    <w:rsid w:val="000B1454"/>
    <w:rsid w:val="000B1AD5"/>
    <w:rsid w:val="000B289B"/>
    <w:rsid w:val="000B296D"/>
    <w:rsid w:val="000B298B"/>
    <w:rsid w:val="000B34F0"/>
    <w:rsid w:val="000B350F"/>
    <w:rsid w:val="000B3668"/>
    <w:rsid w:val="000B3E38"/>
    <w:rsid w:val="000B41DE"/>
    <w:rsid w:val="000B4283"/>
    <w:rsid w:val="000B45A1"/>
    <w:rsid w:val="000B54FC"/>
    <w:rsid w:val="000B58B3"/>
    <w:rsid w:val="000B60CE"/>
    <w:rsid w:val="000B6150"/>
    <w:rsid w:val="000B6D06"/>
    <w:rsid w:val="000B6F53"/>
    <w:rsid w:val="000B729C"/>
    <w:rsid w:val="000C00F8"/>
    <w:rsid w:val="000C023C"/>
    <w:rsid w:val="000C03B9"/>
    <w:rsid w:val="000C058A"/>
    <w:rsid w:val="000C0651"/>
    <w:rsid w:val="000C0B43"/>
    <w:rsid w:val="000C116D"/>
    <w:rsid w:val="000C14AB"/>
    <w:rsid w:val="000C2151"/>
    <w:rsid w:val="000C264D"/>
    <w:rsid w:val="000C2DA5"/>
    <w:rsid w:val="000C2F06"/>
    <w:rsid w:val="000C3624"/>
    <w:rsid w:val="000C36B9"/>
    <w:rsid w:val="000C3B63"/>
    <w:rsid w:val="000C3FFB"/>
    <w:rsid w:val="000C410C"/>
    <w:rsid w:val="000C4147"/>
    <w:rsid w:val="000C427E"/>
    <w:rsid w:val="000C49E2"/>
    <w:rsid w:val="000C5BA4"/>
    <w:rsid w:val="000C6028"/>
    <w:rsid w:val="000C61CB"/>
    <w:rsid w:val="000C62BA"/>
    <w:rsid w:val="000C66BE"/>
    <w:rsid w:val="000C72E2"/>
    <w:rsid w:val="000D022F"/>
    <w:rsid w:val="000D134D"/>
    <w:rsid w:val="000D137B"/>
    <w:rsid w:val="000D13F5"/>
    <w:rsid w:val="000D18A3"/>
    <w:rsid w:val="000D2726"/>
    <w:rsid w:val="000D2790"/>
    <w:rsid w:val="000D2907"/>
    <w:rsid w:val="000D311D"/>
    <w:rsid w:val="000D3151"/>
    <w:rsid w:val="000D4867"/>
    <w:rsid w:val="000D4A39"/>
    <w:rsid w:val="000D4EB7"/>
    <w:rsid w:val="000D50BC"/>
    <w:rsid w:val="000D5631"/>
    <w:rsid w:val="000D6AE5"/>
    <w:rsid w:val="000D6EB9"/>
    <w:rsid w:val="000D6F4F"/>
    <w:rsid w:val="000D7988"/>
    <w:rsid w:val="000E080F"/>
    <w:rsid w:val="000E0938"/>
    <w:rsid w:val="000E13A3"/>
    <w:rsid w:val="000E1919"/>
    <w:rsid w:val="000E1BB5"/>
    <w:rsid w:val="000E1CBB"/>
    <w:rsid w:val="000E2319"/>
    <w:rsid w:val="000E28F6"/>
    <w:rsid w:val="000E2A9C"/>
    <w:rsid w:val="000E2F07"/>
    <w:rsid w:val="000E3467"/>
    <w:rsid w:val="000E38A6"/>
    <w:rsid w:val="000E3A69"/>
    <w:rsid w:val="000E3E1F"/>
    <w:rsid w:val="000E3EBB"/>
    <w:rsid w:val="000E4640"/>
    <w:rsid w:val="000E5664"/>
    <w:rsid w:val="000E5F83"/>
    <w:rsid w:val="000E5FB0"/>
    <w:rsid w:val="000E6C65"/>
    <w:rsid w:val="000E7413"/>
    <w:rsid w:val="000E7AEE"/>
    <w:rsid w:val="000E7F9B"/>
    <w:rsid w:val="000F0BBD"/>
    <w:rsid w:val="000F0E24"/>
    <w:rsid w:val="000F1085"/>
    <w:rsid w:val="000F1C74"/>
    <w:rsid w:val="000F1D40"/>
    <w:rsid w:val="000F1D96"/>
    <w:rsid w:val="000F2830"/>
    <w:rsid w:val="000F2CFE"/>
    <w:rsid w:val="000F337D"/>
    <w:rsid w:val="000F4916"/>
    <w:rsid w:val="000F526E"/>
    <w:rsid w:val="000F5571"/>
    <w:rsid w:val="000F5E48"/>
    <w:rsid w:val="000F65B7"/>
    <w:rsid w:val="000F65F9"/>
    <w:rsid w:val="000F661C"/>
    <w:rsid w:val="000F7306"/>
    <w:rsid w:val="000F73D1"/>
    <w:rsid w:val="000F7A54"/>
    <w:rsid w:val="000F7CBC"/>
    <w:rsid w:val="001006F0"/>
    <w:rsid w:val="00101A17"/>
    <w:rsid w:val="00101ADC"/>
    <w:rsid w:val="00101DD0"/>
    <w:rsid w:val="00101E0D"/>
    <w:rsid w:val="00102505"/>
    <w:rsid w:val="001025AB"/>
    <w:rsid w:val="001028D9"/>
    <w:rsid w:val="001034FE"/>
    <w:rsid w:val="00103B4E"/>
    <w:rsid w:val="00103EFE"/>
    <w:rsid w:val="001042F9"/>
    <w:rsid w:val="00104861"/>
    <w:rsid w:val="00104D94"/>
    <w:rsid w:val="0010577D"/>
    <w:rsid w:val="00106316"/>
    <w:rsid w:val="00107766"/>
    <w:rsid w:val="00110DDE"/>
    <w:rsid w:val="00111632"/>
    <w:rsid w:val="00111663"/>
    <w:rsid w:val="0011179A"/>
    <w:rsid w:val="001122F7"/>
    <w:rsid w:val="00112331"/>
    <w:rsid w:val="00112610"/>
    <w:rsid w:val="00112A92"/>
    <w:rsid w:val="00112B21"/>
    <w:rsid w:val="00113256"/>
    <w:rsid w:val="00113257"/>
    <w:rsid w:val="001133A4"/>
    <w:rsid w:val="00114218"/>
    <w:rsid w:val="00114324"/>
    <w:rsid w:val="00114EE8"/>
    <w:rsid w:val="001153D2"/>
    <w:rsid w:val="00115684"/>
    <w:rsid w:val="001165E5"/>
    <w:rsid w:val="00117415"/>
    <w:rsid w:val="001174B5"/>
    <w:rsid w:val="00117A1E"/>
    <w:rsid w:val="0012006F"/>
    <w:rsid w:val="0012113F"/>
    <w:rsid w:val="001213E2"/>
    <w:rsid w:val="00122889"/>
    <w:rsid w:val="00122934"/>
    <w:rsid w:val="00123770"/>
    <w:rsid w:val="00123FE5"/>
    <w:rsid w:val="00124652"/>
    <w:rsid w:val="001249BA"/>
    <w:rsid w:val="00124E0A"/>
    <w:rsid w:val="001252B5"/>
    <w:rsid w:val="00125932"/>
    <w:rsid w:val="00125D29"/>
    <w:rsid w:val="00125EAF"/>
    <w:rsid w:val="00126231"/>
    <w:rsid w:val="00126DE1"/>
    <w:rsid w:val="001270F7"/>
    <w:rsid w:val="00127230"/>
    <w:rsid w:val="00127449"/>
    <w:rsid w:val="00127708"/>
    <w:rsid w:val="00127B05"/>
    <w:rsid w:val="00127DC2"/>
    <w:rsid w:val="00130534"/>
    <w:rsid w:val="00130ED0"/>
    <w:rsid w:val="001310CD"/>
    <w:rsid w:val="00131901"/>
    <w:rsid w:val="00131A38"/>
    <w:rsid w:val="00131BCA"/>
    <w:rsid w:val="00131EB2"/>
    <w:rsid w:val="00132695"/>
    <w:rsid w:val="001327F8"/>
    <w:rsid w:val="001333CA"/>
    <w:rsid w:val="001335B7"/>
    <w:rsid w:val="00133652"/>
    <w:rsid w:val="00133C59"/>
    <w:rsid w:val="001346C0"/>
    <w:rsid w:val="001349D3"/>
    <w:rsid w:val="00134F5D"/>
    <w:rsid w:val="00134F8A"/>
    <w:rsid w:val="001356E9"/>
    <w:rsid w:val="00135A0B"/>
    <w:rsid w:val="00135C76"/>
    <w:rsid w:val="00135CC8"/>
    <w:rsid w:val="00135F78"/>
    <w:rsid w:val="00135FC4"/>
    <w:rsid w:val="00136873"/>
    <w:rsid w:val="00136BC7"/>
    <w:rsid w:val="00137279"/>
    <w:rsid w:val="00137581"/>
    <w:rsid w:val="0013769A"/>
    <w:rsid w:val="0013788C"/>
    <w:rsid w:val="00137CD2"/>
    <w:rsid w:val="001405B3"/>
    <w:rsid w:val="00140F8E"/>
    <w:rsid w:val="0014154B"/>
    <w:rsid w:val="001415D3"/>
    <w:rsid w:val="001418EA"/>
    <w:rsid w:val="00141D98"/>
    <w:rsid w:val="001426FA"/>
    <w:rsid w:val="001436A3"/>
    <w:rsid w:val="001436B8"/>
    <w:rsid w:val="00143B64"/>
    <w:rsid w:val="00143C11"/>
    <w:rsid w:val="00143FC3"/>
    <w:rsid w:val="001444C0"/>
    <w:rsid w:val="00144E73"/>
    <w:rsid w:val="001457E6"/>
    <w:rsid w:val="00145937"/>
    <w:rsid w:val="001459F2"/>
    <w:rsid w:val="00146370"/>
    <w:rsid w:val="00146E75"/>
    <w:rsid w:val="0014772C"/>
    <w:rsid w:val="00147BAD"/>
    <w:rsid w:val="00147BB4"/>
    <w:rsid w:val="00150086"/>
    <w:rsid w:val="001500F8"/>
    <w:rsid w:val="00150124"/>
    <w:rsid w:val="0015031F"/>
    <w:rsid w:val="00150728"/>
    <w:rsid w:val="00150835"/>
    <w:rsid w:val="00150EBE"/>
    <w:rsid w:val="00150F33"/>
    <w:rsid w:val="00151564"/>
    <w:rsid w:val="0015185A"/>
    <w:rsid w:val="00152244"/>
    <w:rsid w:val="00152D50"/>
    <w:rsid w:val="00152EAB"/>
    <w:rsid w:val="001534AF"/>
    <w:rsid w:val="001536C6"/>
    <w:rsid w:val="001548A6"/>
    <w:rsid w:val="001556C6"/>
    <w:rsid w:val="001558D7"/>
    <w:rsid w:val="00155A78"/>
    <w:rsid w:val="00155DA2"/>
    <w:rsid w:val="00155E9F"/>
    <w:rsid w:val="00156279"/>
    <w:rsid w:val="001608F6"/>
    <w:rsid w:val="00160A35"/>
    <w:rsid w:val="00160C7C"/>
    <w:rsid w:val="00161F43"/>
    <w:rsid w:val="001625A1"/>
    <w:rsid w:val="001626E2"/>
    <w:rsid w:val="00162977"/>
    <w:rsid w:val="00162BC7"/>
    <w:rsid w:val="00162CC6"/>
    <w:rsid w:val="00162D09"/>
    <w:rsid w:val="00163D4C"/>
    <w:rsid w:val="00164022"/>
    <w:rsid w:val="00165379"/>
    <w:rsid w:val="00166616"/>
    <w:rsid w:val="00166A27"/>
    <w:rsid w:val="00166ECA"/>
    <w:rsid w:val="00166F0D"/>
    <w:rsid w:val="00167159"/>
    <w:rsid w:val="001676C8"/>
    <w:rsid w:val="00167780"/>
    <w:rsid w:val="0017036E"/>
    <w:rsid w:val="00170926"/>
    <w:rsid w:val="0017115A"/>
    <w:rsid w:val="00171A9B"/>
    <w:rsid w:val="00171BF3"/>
    <w:rsid w:val="00171D95"/>
    <w:rsid w:val="00172A1E"/>
    <w:rsid w:val="00172EA3"/>
    <w:rsid w:val="001732D9"/>
    <w:rsid w:val="00173C45"/>
    <w:rsid w:val="00173F6A"/>
    <w:rsid w:val="00174832"/>
    <w:rsid w:val="00174BB3"/>
    <w:rsid w:val="00174DC9"/>
    <w:rsid w:val="001752F1"/>
    <w:rsid w:val="001759DE"/>
    <w:rsid w:val="001761FE"/>
    <w:rsid w:val="0017679C"/>
    <w:rsid w:val="0017692E"/>
    <w:rsid w:val="00176970"/>
    <w:rsid w:val="00177E06"/>
    <w:rsid w:val="00180226"/>
    <w:rsid w:val="001806FF"/>
    <w:rsid w:val="00181066"/>
    <w:rsid w:val="00181A3D"/>
    <w:rsid w:val="00181B0B"/>
    <w:rsid w:val="00181F16"/>
    <w:rsid w:val="00182760"/>
    <w:rsid w:val="00182B9B"/>
    <w:rsid w:val="00183074"/>
    <w:rsid w:val="0018498C"/>
    <w:rsid w:val="00184D4D"/>
    <w:rsid w:val="001857AE"/>
    <w:rsid w:val="0018581A"/>
    <w:rsid w:val="00186170"/>
    <w:rsid w:val="001864FB"/>
    <w:rsid w:val="00186CB8"/>
    <w:rsid w:val="00186E0D"/>
    <w:rsid w:val="001904E6"/>
    <w:rsid w:val="001906B2"/>
    <w:rsid w:val="001908C9"/>
    <w:rsid w:val="00190B0C"/>
    <w:rsid w:val="00190C05"/>
    <w:rsid w:val="00190CD0"/>
    <w:rsid w:val="0019156B"/>
    <w:rsid w:val="00191832"/>
    <w:rsid w:val="001918A0"/>
    <w:rsid w:val="00191B21"/>
    <w:rsid w:val="001920FF"/>
    <w:rsid w:val="001945BC"/>
    <w:rsid w:val="00194ADD"/>
    <w:rsid w:val="00194C8F"/>
    <w:rsid w:val="001952D6"/>
    <w:rsid w:val="001956F8"/>
    <w:rsid w:val="001959C8"/>
    <w:rsid w:val="00195DFA"/>
    <w:rsid w:val="00196246"/>
    <w:rsid w:val="00196C84"/>
    <w:rsid w:val="00196E85"/>
    <w:rsid w:val="00196EC4"/>
    <w:rsid w:val="0019722C"/>
    <w:rsid w:val="00197565"/>
    <w:rsid w:val="001A07B0"/>
    <w:rsid w:val="001A0E37"/>
    <w:rsid w:val="001A11F8"/>
    <w:rsid w:val="001A135D"/>
    <w:rsid w:val="001A1C07"/>
    <w:rsid w:val="001A1DCF"/>
    <w:rsid w:val="001A2321"/>
    <w:rsid w:val="001A2943"/>
    <w:rsid w:val="001A29FC"/>
    <w:rsid w:val="001A2AF5"/>
    <w:rsid w:val="001A36A1"/>
    <w:rsid w:val="001A39FB"/>
    <w:rsid w:val="001A3E16"/>
    <w:rsid w:val="001A3FB5"/>
    <w:rsid w:val="001A4080"/>
    <w:rsid w:val="001A4245"/>
    <w:rsid w:val="001A508B"/>
    <w:rsid w:val="001A550B"/>
    <w:rsid w:val="001A55EC"/>
    <w:rsid w:val="001A57B6"/>
    <w:rsid w:val="001A6889"/>
    <w:rsid w:val="001A6A12"/>
    <w:rsid w:val="001A71F0"/>
    <w:rsid w:val="001A7444"/>
    <w:rsid w:val="001B06B2"/>
    <w:rsid w:val="001B083D"/>
    <w:rsid w:val="001B09AF"/>
    <w:rsid w:val="001B13E1"/>
    <w:rsid w:val="001B20FE"/>
    <w:rsid w:val="001B22E5"/>
    <w:rsid w:val="001B2AE0"/>
    <w:rsid w:val="001B2D6D"/>
    <w:rsid w:val="001B398E"/>
    <w:rsid w:val="001B3C7D"/>
    <w:rsid w:val="001B3F56"/>
    <w:rsid w:val="001B403C"/>
    <w:rsid w:val="001B462E"/>
    <w:rsid w:val="001B4735"/>
    <w:rsid w:val="001B4A93"/>
    <w:rsid w:val="001B4D6F"/>
    <w:rsid w:val="001B510D"/>
    <w:rsid w:val="001B51BA"/>
    <w:rsid w:val="001B5F3E"/>
    <w:rsid w:val="001B64B4"/>
    <w:rsid w:val="001B6980"/>
    <w:rsid w:val="001B6F81"/>
    <w:rsid w:val="001B72F5"/>
    <w:rsid w:val="001B75B0"/>
    <w:rsid w:val="001B779A"/>
    <w:rsid w:val="001B7A14"/>
    <w:rsid w:val="001B7BB7"/>
    <w:rsid w:val="001B7CD2"/>
    <w:rsid w:val="001B7EE7"/>
    <w:rsid w:val="001C040C"/>
    <w:rsid w:val="001C0600"/>
    <w:rsid w:val="001C0CDB"/>
    <w:rsid w:val="001C0EAD"/>
    <w:rsid w:val="001C1C0D"/>
    <w:rsid w:val="001C22D4"/>
    <w:rsid w:val="001C3D05"/>
    <w:rsid w:val="001C3E4D"/>
    <w:rsid w:val="001C3F0A"/>
    <w:rsid w:val="001C41E9"/>
    <w:rsid w:val="001C4C22"/>
    <w:rsid w:val="001C4CB8"/>
    <w:rsid w:val="001C51E2"/>
    <w:rsid w:val="001C5C94"/>
    <w:rsid w:val="001C5E29"/>
    <w:rsid w:val="001C6F52"/>
    <w:rsid w:val="001C7ED7"/>
    <w:rsid w:val="001D01C9"/>
    <w:rsid w:val="001D0484"/>
    <w:rsid w:val="001D0544"/>
    <w:rsid w:val="001D06C4"/>
    <w:rsid w:val="001D0E45"/>
    <w:rsid w:val="001D0ED7"/>
    <w:rsid w:val="001D127A"/>
    <w:rsid w:val="001D1825"/>
    <w:rsid w:val="001D19C9"/>
    <w:rsid w:val="001D3C05"/>
    <w:rsid w:val="001D3D73"/>
    <w:rsid w:val="001D3E71"/>
    <w:rsid w:val="001D4224"/>
    <w:rsid w:val="001D4372"/>
    <w:rsid w:val="001D4619"/>
    <w:rsid w:val="001D4715"/>
    <w:rsid w:val="001D490A"/>
    <w:rsid w:val="001D4A52"/>
    <w:rsid w:val="001D4C61"/>
    <w:rsid w:val="001D4EBD"/>
    <w:rsid w:val="001D592E"/>
    <w:rsid w:val="001D5954"/>
    <w:rsid w:val="001D5D7F"/>
    <w:rsid w:val="001D5FE2"/>
    <w:rsid w:val="001D7238"/>
    <w:rsid w:val="001D740F"/>
    <w:rsid w:val="001D7885"/>
    <w:rsid w:val="001E013B"/>
    <w:rsid w:val="001E0149"/>
    <w:rsid w:val="001E020D"/>
    <w:rsid w:val="001E0614"/>
    <w:rsid w:val="001E0849"/>
    <w:rsid w:val="001E08DE"/>
    <w:rsid w:val="001E0B32"/>
    <w:rsid w:val="001E0F23"/>
    <w:rsid w:val="001E0F6D"/>
    <w:rsid w:val="001E1089"/>
    <w:rsid w:val="001E117F"/>
    <w:rsid w:val="001E1203"/>
    <w:rsid w:val="001E1616"/>
    <w:rsid w:val="001E17BC"/>
    <w:rsid w:val="001E2C26"/>
    <w:rsid w:val="001E2DF8"/>
    <w:rsid w:val="001E42D0"/>
    <w:rsid w:val="001E4AE3"/>
    <w:rsid w:val="001E4BB1"/>
    <w:rsid w:val="001E4C09"/>
    <w:rsid w:val="001E4D9E"/>
    <w:rsid w:val="001E4EBD"/>
    <w:rsid w:val="001E5281"/>
    <w:rsid w:val="001E5EC2"/>
    <w:rsid w:val="001E602F"/>
    <w:rsid w:val="001E68B8"/>
    <w:rsid w:val="001E6B2D"/>
    <w:rsid w:val="001E6CC0"/>
    <w:rsid w:val="001E6E6B"/>
    <w:rsid w:val="001E7932"/>
    <w:rsid w:val="001F0E08"/>
    <w:rsid w:val="001F1721"/>
    <w:rsid w:val="001F1AFC"/>
    <w:rsid w:val="001F1B90"/>
    <w:rsid w:val="001F2D97"/>
    <w:rsid w:val="001F2FF8"/>
    <w:rsid w:val="001F374E"/>
    <w:rsid w:val="001F3A4D"/>
    <w:rsid w:val="001F3DEB"/>
    <w:rsid w:val="001F4C7C"/>
    <w:rsid w:val="001F4F5B"/>
    <w:rsid w:val="001F5035"/>
    <w:rsid w:val="001F555E"/>
    <w:rsid w:val="001F5D1A"/>
    <w:rsid w:val="001F6D5B"/>
    <w:rsid w:val="001F7290"/>
    <w:rsid w:val="001F7BF7"/>
    <w:rsid w:val="002003E5"/>
    <w:rsid w:val="00200E2A"/>
    <w:rsid w:val="0020167C"/>
    <w:rsid w:val="002017A7"/>
    <w:rsid w:val="00201DFD"/>
    <w:rsid w:val="00202263"/>
    <w:rsid w:val="00202DF9"/>
    <w:rsid w:val="00203D02"/>
    <w:rsid w:val="00203D4B"/>
    <w:rsid w:val="002040C6"/>
    <w:rsid w:val="002043DC"/>
    <w:rsid w:val="00204C4A"/>
    <w:rsid w:val="002057A6"/>
    <w:rsid w:val="00205840"/>
    <w:rsid w:val="0020584C"/>
    <w:rsid w:val="0020597D"/>
    <w:rsid w:val="002062A2"/>
    <w:rsid w:val="00206BC5"/>
    <w:rsid w:val="00210F5A"/>
    <w:rsid w:val="00211242"/>
    <w:rsid w:val="002114DA"/>
    <w:rsid w:val="0021183D"/>
    <w:rsid w:val="0021183E"/>
    <w:rsid w:val="002126D7"/>
    <w:rsid w:val="002127D7"/>
    <w:rsid w:val="002131A0"/>
    <w:rsid w:val="0021337F"/>
    <w:rsid w:val="00213697"/>
    <w:rsid w:val="002146E8"/>
    <w:rsid w:val="002151DA"/>
    <w:rsid w:val="002155B3"/>
    <w:rsid w:val="00215A10"/>
    <w:rsid w:val="0021630C"/>
    <w:rsid w:val="002163F2"/>
    <w:rsid w:val="00216D65"/>
    <w:rsid w:val="00217380"/>
    <w:rsid w:val="00217E03"/>
    <w:rsid w:val="00220732"/>
    <w:rsid w:val="00221237"/>
    <w:rsid w:val="00221F48"/>
    <w:rsid w:val="0022223C"/>
    <w:rsid w:val="00222835"/>
    <w:rsid w:val="002228C3"/>
    <w:rsid w:val="0022296F"/>
    <w:rsid w:val="002230A4"/>
    <w:rsid w:val="00223A96"/>
    <w:rsid w:val="00223D04"/>
    <w:rsid w:val="00223DA3"/>
    <w:rsid w:val="00224745"/>
    <w:rsid w:val="002247D3"/>
    <w:rsid w:val="00224DD2"/>
    <w:rsid w:val="00225519"/>
    <w:rsid w:val="00225690"/>
    <w:rsid w:val="00225BFC"/>
    <w:rsid w:val="002261DD"/>
    <w:rsid w:val="002264E1"/>
    <w:rsid w:val="00226B24"/>
    <w:rsid w:val="00226CB7"/>
    <w:rsid w:val="00227930"/>
    <w:rsid w:val="00227B55"/>
    <w:rsid w:val="00227D64"/>
    <w:rsid w:val="00230C10"/>
    <w:rsid w:val="00230D8E"/>
    <w:rsid w:val="00231AF1"/>
    <w:rsid w:val="00232036"/>
    <w:rsid w:val="00232100"/>
    <w:rsid w:val="0023221E"/>
    <w:rsid w:val="002322D4"/>
    <w:rsid w:val="0023251E"/>
    <w:rsid w:val="00232A90"/>
    <w:rsid w:val="002332D6"/>
    <w:rsid w:val="00233D10"/>
    <w:rsid w:val="00234571"/>
    <w:rsid w:val="002347B5"/>
    <w:rsid w:val="00234E97"/>
    <w:rsid w:val="00235DEE"/>
    <w:rsid w:val="00235F78"/>
    <w:rsid w:val="00235F7A"/>
    <w:rsid w:val="0023647C"/>
    <w:rsid w:val="00236605"/>
    <w:rsid w:val="002367B1"/>
    <w:rsid w:val="002369BE"/>
    <w:rsid w:val="00237951"/>
    <w:rsid w:val="00237BA5"/>
    <w:rsid w:val="00237BEC"/>
    <w:rsid w:val="00237C53"/>
    <w:rsid w:val="00237C59"/>
    <w:rsid w:val="002403FB"/>
    <w:rsid w:val="00240DB2"/>
    <w:rsid w:val="00240ED2"/>
    <w:rsid w:val="002412FF"/>
    <w:rsid w:val="0024147A"/>
    <w:rsid w:val="00241A4C"/>
    <w:rsid w:val="00241C29"/>
    <w:rsid w:val="002420FD"/>
    <w:rsid w:val="00242343"/>
    <w:rsid w:val="00242631"/>
    <w:rsid w:val="002428A1"/>
    <w:rsid w:val="00242F3E"/>
    <w:rsid w:val="00243BD4"/>
    <w:rsid w:val="00244CBD"/>
    <w:rsid w:val="00245628"/>
    <w:rsid w:val="00245F1F"/>
    <w:rsid w:val="002476AD"/>
    <w:rsid w:val="0024780E"/>
    <w:rsid w:val="002511AF"/>
    <w:rsid w:val="0025123A"/>
    <w:rsid w:val="002513D3"/>
    <w:rsid w:val="002518CB"/>
    <w:rsid w:val="0025238E"/>
    <w:rsid w:val="002523B4"/>
    <w:rsid w:val="00252803"/>
    <w:rsid w:val="00252E90"/>
    <w:rsid w:val="00253B9B"/>
    <w:rsid w:val="0025403E"/>
    <w:rsid w:val="002547FD"/>
    <w:rsid w:val="00254A78"/>
    <w:rsid w:val="00254AA3"/>
    <w:rsid w:val="00254F95"/>
    <w:rsid w:val="002552CD"/>
    <w:rsid w:val="0025582B"/>
    <w:rsid w:val="00255A1E"/>
    <w:rsid w:val="00255D59"/>
    <w:rsid w:val="00255D7E"/>
    <w:rsid w:val="0025609D"/>
    <w:rsid w:val="002567D3"/>
    <w:rsid w:val="002570DF"/>
    <w:rsid w:val="00257B12"/>
    <w:rsid w:val="00257BD0"/>
    <w:rsid w:val="00261207"/>
    <w:rsid w:val="00261901"/>
    <w:rsid w:val="00261906"/>
    <w:rsid w:val="00261DF5"/>
    <w:rsid w:val="00262226"/>
    <w:rsid w:val="00262851"/>
    <w:rsid w:val="00262DAD"/>
    <w:rsid w:val="002639A4"/>
    <w:rsid w:val="002639FA"/>
    <w:rsid w:val="00264518"/>
    <w:rsid w:val="0026473A"/>
    <w:rsid w:val="002647E6"/>
    <w:rsid w:val="002649BE"/>
    <w:rsid w:val="002652B4"/>
    <w:rsid w:val="002655BA"/>
    <w:rsid w:val="00265804"/>
    <w:rsid w:val="00265C3E"/>
    <w:rsid w:val="00265F82"/>
    <w:rsid w:val="002661BB"/>
    <w:rsid w:val="00266537"/>
    <w:rsid w:val="002667F7"/>
    <w:rsid w:val="00266976"/>
    <w:rsid w:val="00266C32"/>
    <w:rsid w:val="002702BA"/>
    <w:rsid w:val="0027034C"/>
    <w:rsid w:val="00271B2A"/>
    <w:rsid w:val="00271F12"/>
    <w:rsid w:val="00272020"/>
    <w:rsid w:val="0027203C"/>
    <w:rsid w:val="002724E8"/>
    <w:rsid w:val="0027257B"/>
    <w:rsid w:val="002725B1"/>
    <w:rsid w:val="00273214"/>
    <w:rsid w:val="00273BB6"/>
    <w:rsid w:val="00273CD3"/>
    <w:rsid w:val="00273CE4"/>
    <w:rsid w:val="00274453"/>
    <w:rsid w:val="00274899"/>
    <w:rsid w:val="00274DCF"/>
    <w:rsid w:val="00274E09"/>
    <w:rsid w:val="00274F5D"/>
    <w:rsid w:val="002752B3"/>
    <w:rsid w:val="0027573F"/>
    <w:rsid w:val="00275C20"/>
    <w:rsid w:val="00275D0C"/>
    <w:rsid w:val="00275EB3"/>
    <w:rsid w:val="00276824"/>
    <w:rsid w:val="00276F64"/>
    <w:rsid w:val="00277064"/>
    <w:rsid w:val="00277217"/>
    <w:rsid w:val="00277456"/>
    <w:rsid w:val="00277486"/>
    <w:rsid w:val="002774D6"/>
    <w:rsid w:val="00277626"/>
    <w:rsid w:val="00277EDF"/>
    <w:rsid w:val="0028025E"/>
    <w:rsid w:val="00281185"/>
    <w:rsid w:val="00281B48"/>
    <w:rsid w:val="00282E84"/>
    <w:rsid w:val="00283137"/>
    <w:rsid w:val="002837FF"/>
    <w:rsid w:val="00283FCF"/>
    <w:rsid w:val="0028426E"/>
    <w:rsid w:val="002842F8"/>
    <w:rsid w:val="00284860"/>
    <w:rsid w:val="002852C6"/>
    <w:rsid w:val="002853AE"/>
    <w:rsid w:val="0028557E"/>
    <w:rsid w:val="0028593A"/>
    <w:rsid w:val="00285CEA"/>
    <w:rsid w:val="00285D04"/>
    <w:rsid w:val="00286A64"/>
    <w:rsid w:val="00286B97"/>
    <w:rsid w:val="00286E5E"/>
    <w:rsid w:val="00287EF6"/>
    <w:rsid w:val="0029022B"/>
    <w:rsid w:val="00290297"/>
    <w:rsid w:val="00290707"/>
    <w:rsid w:val="0029097E"/>
    <w:rsid w:val="00291220"/>
    <w:rsid w:val="00291500"/>
    <w:rsid w:val="00291654"/>
    <w:rsid w:val="00291B70"/>
    <w:rsid w:val="00291FCD"/>
    <w:rsid w:val="0029217D"/>
    <w:rsid w:val="00292B4A"/>
    <w:rsid w:val="00293067"/>
    <w:rsid w:val="0029311D"/>
    <w:rsid w:val="0029318C"/>
    <w:rsid w:val="0029362A"/>
    <w:rsid w:val="002947F1"/>
    <w:rsid w:val="00294D09"/>
    <w:rsid w:val="002960DF"/>
    <w:rsid w:val="002964E0"/>
    <w:rsid w:val="0029769C"/>
    <w:rsid w:val="002A04B5"/>
    <w:rsid w:val="002A0B6A"/>
    <w:rsid w:val="002A1D18"/>
    <w:rsid w:val="002A1FD2"/>
    <w:rsid w:val="002A24F8"/>
    <w:rsid w:val="002A272A"/>
    <w:rsid w:val="002A2E25"/>
    <w:rsid w:val="002A38E3"/>
    <w:rsid w:val="002A3BDC"/>
    <w:rsid w:val="002A4707"/>
    <w:rsid w:val="002A470A"/>
    <w:rsid w:val="002A4B99"/>
    <w:rsid w:val="002A54FE"/>
    <w:rsid w:val="002A55DB"/>
    <w:rsid w:val="002A56B7"/>
    <w:rsid w:val="002A58EF"/>
    <w:rsid w:val="002A5A44"/>
    <w:rsid w:val="002A6BFE"/>
    <w:rsid w:val="002A6C65"/>
    <w:rsid w:val="002A74D9"/>
    <w:rsid w:val="002A7683"/>
    <w:rsid w:val="002B0686"/>
    <w:rsid w:val="002B0D1A"/>
    <w:rsid w:val="002B1369"/>
    <w:rsid w:val="002B1414"/>
    <w:rsid w:val="002B1526"/>
    <w:rsid w:val="002B19B8"/>
    <w:rsid w:val="002B1AFD"/>
    <w:rsid w:val="002B26D4"/>
    <w:rsid w:val="002B2BF7"/>
    <w:rsid w:val="002B307C"/>
    <w:rsid w:val="002B36F6"/>
    <w:rsid w:val="002B4CFC"/>
    <w:rsid w:val="002B4F49"/>
    <w:rsid w:val="002B5F80"/>
    <w:rsid w:val="002B6313"/>
    <w:rsid w:val="002B6DBD"/>
    <w:rsid w:val="002B6DE3"/>
    <w:rsid w:val="002B720E"/>
    <w:rsid w:val="002B7739"/>
    <w:rsid w:val="002C0720"/>
    <w:rsid w:val="002C1B43"/>
    <w:rsid w:val="002C2134"/>
    <w:rsid w:val="002C242E"/>
    <w:rsid w:val="002C2DDC"/>
    <w:rsid w:val="002C3478"/>
    <w:rsid w:val="002C39FA"/>
    <w:rsid w:val="002C3D9A"/>
    <w:rsid w:val="002C3F95"/>
    <w:rsid w:val="002C42DB"/>
    <w:rsid w:val="002C43D0"/>
    <w:rsid w:val="002C471D"/>
    <w:rsid w:val="002C48C7"/>
    <w:rsid w:val="002C4DCE"/>
    <w:rsid w:val="002C50BE"/>
    <w:rsid w:val="002C60C7"/>
    <w:rsid w:val="002C661C"/>
    <w:rsid w:val="002C6B12"/>
    <w:rsid w:val="002D02A5"/>
    <w:rsid w:val="002D1010"/>
    <w:rsid w:val="002D112B"/>
    <w:rsid w:val="002D16A9"/>
    <w:rsid w:val="002D1F47"/>
    <w:rsid w:val="002D2003"/>
    <w:rsid w:val="002D2281"/>
    <w:rsid w:val="002D34B5"/>
    <w:rsid w:val="002D4334"/>
    <w:rsid w:val="002D4E73"/>
    <w:rsid w:val="002D55A1"/>
    <w:rsid w:val="002D5FF2"/>
    <w:rsid w:val="002D6442"/>
    <w:rsid w:val="002D6B7E"/>
    <w:rsid w:val="002D6CA7"/>
    <w:rsid w:val="002D6EC1"/>
    <w:rsid w:val="002D7363"/>
    <w:rsid w:val="002D7684"/>
    <w:rsid w:val="002D7B01"/>
    <w:rsid w:val="002D7DAE"/>
    <w:rsid w:val="002E02D3"/>
    <w:rsid w:val="002E071B"/>
    <w:rsid w:val="002E09F4"/>
    <w:rsid w:val="002E0A79"/>
    <w:rsid w:val="002E0EFC"/>
    <w:rsid w:val="002E11BA"/>
    <w:rsid w:val="002E19A5"/>
    <w:rsid w:val="002E1CA8"/>
    <w:rsid w:val="002E1FFE"/>
    <w:rsid w:val="002E2052"/>
    <w:rsid w:val="002E211B"/>
    <w:rsid w:val="002E274C"/>
    <w:rsid w:val="002E2A79"/>
    <w:rsid w:val="002E2B3E"/>
    <w:rsid w:val="002E2C05"/>
    <w:rsid w:val="002E35D6"/>
    <w:rsid w:val="002E393A"/>
    <w:rsid w:val="002E3A60"/>
    <w:rsid w:val="002E4B87"/>
    <w:rsid w:val="002E4C68"/>
    <w:rsid w:val="002E5239"/>
    <w:rsid w:val="002E5273"/>
    <w:rsid w:val="002E58D1"/>
    <w:rsid w:val="002E5C86"/>
    <w:rsid w:val="002E606A"/>
    <w:rsid w:val="002E6663"/>
    <w:rsid w:val="002E6848"/>
    <w:rsid w:val="002E7241"/>
    <w:rsid w:val="002E7EC9"/>
    <w:rsid w:val="002F01F1"/>
    <w:rsid w:val="002F0678"/>
    <w:rsid w:val="002F0935"/>
    <w:rsid w:val="002F0C62"/>
    <w:rsid w:val="002F10D7"/>
    <w:rsid w:val="002F172B"/>
    <w:rsid w:val="002F1CA5"/>
    <w:rsid w:val="002F1DFD"/>
    <w:rsid w:val="002F2B0C"/>
    <w:rsid w:val="002F2D0D"/>
    <w:rsid w:val="002F3716"/>
    <w:rsid w:val="002F3E8F"/>
    <w:rsid w:val="002F46BC"/>
    <w:rsid w:val="002F487F"/>
    <w:rsid w:val="002F4906"/>
    <w:rsid w:val="002F4961"/>
    <w:rsid w:val="002F4A9A"/>
    <w:rsid w:val="002F4D1F"/>
    <w:rsid w:val="002F5135"/>
    <w:rsid w:val="002F58D6"/>
    <w:rsid w:val="002F5B7F"/>
    <w:rsid w:val="002F6000"/>
    <w:rsid w:val="002F60FC"/>
    <w:rsid w:val="002F61DA"/>
    <w:rsid w:val="002F6BB2"/>
    <w:rsid w:val="002F6E74"/>
    <w:rsid w:val="002F722B"/>
    <w:rsid w:val="002F7313"/>
    <w:rsid w:val="002F7418"/>
    <w:rsid w:val="00300230"/>
    <w:rsid w:val="003003A7"/>
    <w:rsid w:val="0030075B"/>
    <w:rsid w:val="00300B2D"/>
    <w:rsid w:val="00300C44"/>
    <w:rsid w:val="00300D1C"/>
    <w:rsid w:val="00300EFF"/>
    <w:rsid w:val="003014DD"/>
    <w:rsid w:val="0030179D"/>
    <w:rsid w:val="00301F8B"/>
    <w:rsid w:val="003022C1"/>
    <w:rsid w:val="00302A1D"/>
    <w:rsid w:val="00302E75"/>
    <w:rsid w:val="00303846"/>
    <w:rsid w:val="003041CB"/>
    <w:rsid w:val="003041D6"/>
    <w:rsid w:val="0030493C"/>
    <w:rsid w:val="0030495C"/>
    <w:rsid w:val="00304C52"/>
    <w:rsid w:val="00304F98"/>
    <w:rsid w:val="003051A9"/>
    <w:rsid w:val="00305BE6"/>
    <w:rsid w:val="00305FD7"/>
    <w:rsid w:val="00306093"/>
    <w:rsid w:val="003069D6"/>
    <w:rsid w:val="00306C4D"/>
    <w:rsid w:val="00307C93"/>
    <w:rsid w:val="003103BA"/>
    <w:rsid w:val="00310449"/>
    <w:rsid w:val="003104B9"/>
    <w:rsid w:val="00310928"/>
    <w:rsid w:val="00311075"/>
    <w:rsid w:val="00311CB8"/>
    <w:rsid w:val="00311DCE"/>
    <w:rsid w:val="00311F19"/>
    <w:rsid w:val="003122A2"/>
    <w:rsid w:val="00312345"/>
    <w:rsid w:val="003124AC"/>
    <w:rsid w:val="00312B56"/>
    <w:rsid w:val="003140BD"/>
    <w:rsid w:val="00314EA9"/>
    <w:rsid w:val="0031536F"/>
    <w:rsid w:val="0031558C"/>
    <w:rsid w:val="00315755"/>
    <w:rsid w:val="00315AEF"/>
    <w:rsid w:val="00315DCF"/>
    <w:rsid w:val="003169C4"/>
    <w:rsid w:val="00316B20"/>
    <w:rsid w:val="00317248"/>
    <w:rsid w:val="003175FA"/>
    <w:rsid w:val="00317960"/>
    <w:rsid w:val="00317D8E"/>
    <w:rsid w:val="00320008"/>
    <w:rsid w:val="00320683"/>
    <w:rsid w:val="00320A09"/>
    <w:rsid w:val="00320B50"/>
    <w:rsid w:val="0032108A"/>
    <w:rsid w:val="0032148C"/>
    <w:rsid w:val="003214E7"/>
    <w:rsid w:val="00321B99"/>
    <w:rsid w:val="003223F8"/>
    <w:rsid w:val="00322490"/>
    <w:rsid w:val="00322E6B"/>
    <w:rsid w:val="00323C65"/>
    <w:rsid w:val="0032471B"/>
    <w:rsid w:val="00324EA4"/>
    <w:rsid w:val="0032616A"/>
    <w:rsid w:val="003269FF"/>
    <w:rsid w:val="00327A1D"/>
    <w:rsid w:val="00327AC0"/>
    <w:rsid w:val="0033026F"/>
    <w:rsid w:val="0033038E"/>
    <w:rsid w:val="003306CA"/>
    <w:rsid w:val="00330A97"/>
    <w:rsid w:val="00331CB7"/>
    <w:rsid w:val="00331E70"/>
    <w:rsid w:val="00332910"/>
    <w:rsid w:val="003332F1"/>
    <w:rsid w:val="0033413E"/>
    <w:rsid w:val="00334218"/>
    <w:rsid w:val="003342BA"/>
    <w:rsid w:val="003348AC"/>
    <w:rsid w:val="003349BE"/>
    <w:rsid w:val="00334A34"/>
    <w:rsid w:val="00334C00"/>
    <w:rsid w:val="00334C49"/>
    <w:rsid w:val="00334CB4"/>
    <w:rsid w:val="00335007"/>
    <w:rsid w:val="0033518A"/>
    <w:rsid w:val="00335478"/>
    <w:rsid w:val="0033588A"/>
    <w:rsid w:val="00336079"/>
    <w:rsid w:val="00336529"/>
    <w:rsid w:val="0033707D"/>
    <w:rsid w:val="0034084B"/>
    <w:rsid w:val="003411B2"/>
    <w:rsid w:val="00341394"/>
    <w:rsid w:val="003419DE"/>
    <w:rsid w:val="00341A9C"/>
    <w:rsid w:val="0034206D"/>
    <w:rsid w:val="00342824"/>
    <w:rsid w:val="00342D57"/>
    <w:rsid w:val="00343702"/>
    <w:rsid w:val="00343A5F"/>
    <w:rsid w:val="00343B49"/>
    <w:rsid w:val="003445D1"/>
    <w:rsid w:val="0034465E"/>
    <w:rsid w:val="00344A66"/>
    <w:rsid w:val="00344E3F"/>
    <w:rsid w:val="00344F3B"/>
    <w:rsid w:val="003450F1"/>
    <w:rsid w:val="003451B2"/>
    <w:rsid w:val="00346068"/>
    <w:rsid w:val="00346589"/>
    <w:rsid w:val="00347898"/>
    <w:rsid w:val="00347D75"/>
    <w:rsid w:val="0035030A"/>
    <w:rsid w:val="00350351"/>
    <w:rsid w:val="003506F0"/>
    <w:rsid w:val="00350BBC"/>
    <w:rsid w:val="00350C07"/>
    <w:rsid w:val="00351055"/>
    <w:rsid w:val="00351E01"/>
    <w:rsid w:val="00351FCE"/>
    <w:rsid w:val="003520F5"/>
    <w:rsid w:val="003520F7"/>
    <w:rsid w:val="00352111"/>
    <w:rsid w:val="00352268"/>
    <w:rsid w:val="00352879"/>
    <w:rsid w:val="00352AAB"/>
    <w:rsid w:val="00352F92"/>
    <w:rsid w:val="003540CC"/>
    <w:rsid w:val="00354617"/>
    <w:rsid w:val="00355277"/>
    <w:rsid w:val="00355460"/>
    <w:rsid w:val="00355C4C"/>
    <w:rsid w:val="00356128"/>
    <w:rsid w:val="00356C7B"/>
    <w:rsid w:val="00356E0D"/>
    <w:rsid w:val="00356F4E"/>
    <w:rsid w:val="00357081"/>
    <w:rsid w:val="0036054A"/>
    <w:rsid w:val="00360752"/>
    <w:rsid w:val="00360B4B"/>
    <w:rsid w:val="00360E12"/>
    <w:rsid w:val="00361480"/>
    <w:rsid w:val="00361CD6"/>
    <w:rsid w:val="0036261B"/>
    <w:rsid w:val="00362916"/>
    <w:rsid w:val="00362A49"/>
    <w:rsid w:val="00362C35"/>
    <w:rsid w:val="00362EAA"/>
    <w:rsid w:val="003636B1"/>
    <w:rsid w:val="003638B9"/>
    <w:rsid w:val="003638EA"/>
    <w:rsid w:val="003639DB"/>
    <w:rsid w:val="00363ECD"/>
    <w:rsid w:val="00364692"/>
    <w:rsid w:val="00365487"/>
    <w:rsid w:val="00365799"/>
    <w:rsid w:val="00365B67"/>
    <w:rsid w:val="00366688"/>
    <w:rsid w:val="003666F7"/>
    <w:rsid w:val="003667D9"/>
    <w:rsid w:val="00366980"/>
    <w:rsid w:val="00367B1A"/>
    <w:rsid w:val="00367BCB"/>
    <w:rsid w:val="00370648"/>
    <w:rsid w:val="003708A5"/>
    <w:rsid w:val="00370C6E"/>
    <w:rsid w:val="00371D3E"/>
    <w:rsid w:val="003720BE"/>
    <w:rsid w:val="00372576"/>
    <w:rsid w:val="0037260C"/>
    <w:rsid w:val="003726D6"/>
    <w:rsid w:val="00372928"/>
    <w:rsid w:val="00372C90"/>
    <w:rsid w:val="003730A0"/>
    <w:rsid w:val="0037346B"/>
    <w:rsid w:val="00374165"/>
    <w:rsid w:val="0037494D"/>
    <w:rsid w:val="00374EA8"/>
    <w:rsid w:val="00375B9E"/>
    <w:rsid w:val="00375E6B"/>
    <w:rsid w:val="003760AF"/>
    <w:rsid w:val="00376727"/>
    <w:rsid w:val="00377052"/>
    <w:rsid w:val="003774D2"/>
    <w:rsid w:val="00377A75"/>
    <w:rsid w:val="00377BCF"/>
    <w:rsid w:val="00377CC6"/>
    <w:rsid w:val="00377D93"/>
    <w:rsid w:val="00380081"/>
    <w:rsid w:val="00380A8B"/>
    <w:rsid w:val="00380E50"/>
    <w:rsid w:val="003814C2"/>
    <w:rsid w:val="00381698"/>
    <w:rsid w:val="00382203"/>
    <w:rsid w:val="0038333E"/>
    <w:rsid w:val="00383720"/>
    <w:rsid w:val="00384121"/>
    <w:rsid w:val="00384D88"/>
    <w:rsid w:val="0038555C"/>
    <w:rsid w:val="003859D4"/>
    <w:rsid w:val="003862BB"/>
    <w:rsid w:val="00386365"/>
    <w:rsid w:val="00386910"/>
    <w:rsid w:val="003872CF"/>
    <w:rsid w:val="00387347"/>
    <w:rsid w:val="0038759C"/>
    <w:rsid w:val="00390050"/>
    <w:rsid w:val="003902D2"/>
    <w:rsid w:val="00390703"/>
    <w:rsid w:val="0039118B"/>
    <w:rsid w:val="003912D6"/>
    <w:rsid w:val="00391AF7"/>
    <w:rsid w:val="00391D04"/>
    <w:rsid w:val="00391D60"/>
    <w:rsid w:val="00392244"/>
    <w:rsid w:val="00392F36"/>
    <w:rsid w:val="00392F43"/>
    <w:rsid w:val="0039307E"/>
    <w:rsid w:val="00394AD2"/>
    <w:rsid w:val="0039509A"/>
    <w:rsid w:val="0039551E"/>
    <w:rsid w:val="0039562B"/>
    <w:rsid w:val="00395B04"/>
    <w:rsid w:val="00395DF3"/>
    <w:rsid w:val="0039638F"/>
    <w:rsid w:val="00396F2B"/>
    <w:rsid w:val="00397786"/>
    <w:rsid w:val="00397A8F"/>
    <w:rsid w:val="003A0456"/>
    <w:rsid w:val="003A0689"/>
    <w:rsid w:val="003A1E7E"/>
    <w:rsid w:val="003A24A1"/>
    <w:rsid w:val="003A3191"/>
    <w:rsid w:val="003A3318"/>
    <w:rsid w:val="003A3CAE"/>
    <w:rsid w:val="003A46C8"/>
    <w:rsid w:val="003A50B5"/>
    <w:rsid w:val="003A50BA"/>
    <w:rsid w:val="003A5345"/>
    <w:rsid w:val="003A5370"/>
    <w:rsid w:val="003A53E2"/>
    <w:rsid w:val="003A540E"/>
    <w:rsid w:val="003A59CB"/>
    <w:rsid w:val="003A5FE9"/>
    <w:rsid w:val="003A64B1"/>
    <w:rsid w:val="003A659D"/>
    <w:rsid w:val="003A66DC"/>
    <w:rsid w:val="003A720E"/>
    <w:rsid w:val="003A7461"/>
    <w:rsid w:val="003A75EC"/>
    <w:rsid w:val="003A774F"/>
    <w:rsid w:val="003B0757"/>
    <w:rsid w:val="003B09B8"/>
    <w:rsid w:val="003B0A35"/>
    <w:rsid w:val="003B12D2"/>
    <w:rsid w:val="003B12DB"/>
    <w:rsid w:val="003B1414"/>
    <w:rsid w:val="003B160B"/>
    <w:rsid w:val="003B175A"/>
    <w:rsid w:val="003B1875"/>
    <w:rsid w:val="003B249B"/>
    <w:rsid w:val="003B2AF8"/>
    <w:rsid w:val="003B2E6B"/>
    <w:rsid w:val="003B3FE8"/>
    <w:rsid w:val="003B41F0"/>
    <w:rsid w:val="003B4380"/>
    <w:rsid w:val="003B4BF8"/>
    <w:rsid w:val="003B4C49"/>
    <w:rsid w:val="003B4D6E"/>
    <w:rsid w:val="003B4FBD"/>
    <w:rsid w:val="003B58E0"/>
    <w:rsid w:val="003B659D"/>
    <w:rsid w:val="003B68D7"/>
    <w:rsid w:val="003B6BEC"/>
    <w:rsid w:val="003B6E58"/>
    <w:rsid w:val="003B6E7C"/>
    <w:rsid w:val="003B6ECD"/>
    <w:rsid w:val="003B7533"/>
    <w:rsid w:val="003B75E5"/>
    <w:rsid w:val="003B7976"/>
    <w:rsid w:val="003B797C"/>
    <w:rsid w:val="003C0942"/>
    <w:rsid w:val="003C0EEC"/>
    <w:rsid w:val="003C12E0"/>
    <w:rsid w:val="003C16A6"/>
    <w:rsid w:val="003C18DC"/>
    <w:rsid w:val="003C1E78"/>
    <w:rsid w:val="003C1F38"/>
    <w:rsid w:val="003C284C"/>
    <w:rsid w:val="003C2A02"/>
    <w:rsid w:val="003C2C6A"/>
    <w:rsid w:val="003C3A8E"/>
    <w:rsid w:val="003C3B7F"/>
    <w:rsid w:val="003C3EDC"/>
    <w:rsid w:val="003C42AA"/>
    <w:rsid w:val="003C470C"/>
    <w:rsid w:val="003C484A"/>
    <w:rsid w:val="003C60D6"/>
    <w:rsid w:val="003C63EB"/>
    <w:rsid w:val="003C6795"/>
    <w:rsid w:val="003C6E21"/>
    <w:rsid w:val="003C72D8"/>
    <w:rsid w:val="003C7D6D"/>
    <w:rsid w:val="003D01B4"/>
    <w:rsid w:val="003D06F1"/>
    <w:rsid w:val="003D0735"/>
    <w:rsid w:val="003D0DDE"/>
    <w:rsid w:val="003D12B8"/>
    <w:rsid w:val="003D1498"/>
    <w:rsid w:val="003D15BC"/>
    <w:rsid w:val="003D1AFF"/>
    <w:rsid w:val="003D242C"/>
    <w:rsid w:val="003D3528"/>
    <w:rsid w:val="003D360A"/>
    <w:rsid w:val="003D41AD"/>
    <w:rsid w:val="003D4549"/>
    <w:rsid w:val="003D4A84"/>
    <w:rsid w:val="003D4B3A"/>
    <w:rsid w:val="003D4B6A"/>
    <w:rsid w:val="003D515A"/>
    <w:rsid w:val="003D51A8"/>
    <w:rsid w:val="003D5AA4"/>
    <w:rsid w:val="003D5B61"/>
    <w:rsid w:val="003D5C20"/>
    <w:rsid w:val="003D5EC0"/>
    <w:rsid w:val="003D619A"/>
    <w:rsid w:val="003D66D2"/>
    <w:rsid w:val="003D7606"/>
    <w:rsid w:val="003D793B"/>
    <w:rsid w:val="003E024B"/>
    <w:rsid w:val="003E0B5B"/>
    <w:rsid w:val="003E0C79"/>
    <w:rsid w:val="003E0ECD"/>
    <w:rsid w:val="003E101A"/>
    <w:rsid w:val="003E18BA"/>
    <w:rsid w:val="003E260D"/>
    <w:rsid w:val="003E2782"/>
    <w:rsid w:val="003E2C80"/>
    <w:rsid w:val="003E3027"/>
    <w:rsid w:val="003E3D33"/>
    <w:rsid w:val="003E3DBC"/>
    <w:rsid w:val="003E5CD9"/>
    <w:rsid w:val="003E5E58"/>
    <w:rsid w:val="003E615B"/>
    <w:rsid w:val="003E669D"/>
    <w:rsid w:val="003E6C30"/>
    <w:rsid w:val="003E7ABC"/>
    <w:rsid w:val="003F0091"/>
    <w:rsid w:val="003F009D"/>
    <w:rsid w:val="003F02EE"/>
    <w:rsid w:val="003F0CE1"/>
    <w:rsid w:val="003F1359"/>
    <w:rsid w:val="003F2060"/>
    <w:rsid w:val="003F262C"/>
    <w:rsid w:val="003F2641"/>
    <w:rsid w:val="003F277F"/>
    <w:rsid w:val="003F2783"/>
    <w:rsid w:val="003F2DC1"/>
    <w:rsid w:val="003F3169"/>
    <w:rsid w:val="003F321F"/>
    <w:rsid w:val="003F3505"/>
    <w:rsid w:val="003F4897"/>
    <w:rsid w:val="003F5483"/>
    <w:rsid w:val="003F569F"/>
    <w:rsid w:val="003F5801"/>
    <w:rsid w:val="003F5D48"/>
    <w:rsid w:val="003F5DAA"/>
    <w:rsid w:val="003F5E01"/>
    <w:rsid w:val="003F5F7B"/>
    <w:rsid w:val="003F6518"/>
    <w:rsid w:val="003F6636"/>
    <w:rsid w:val="003F6A4A"/>
    <w:rsid w:val="003F6F48"/>
    <w:rsid w:val="003F73EA"/>
    <w:rsid w:val="003F7448"/>
    <w:rsid w:val="003F77A4"/>
    <w:rsid w:val="003F794E"/>
    <w:rsid w:val="003F7CD0"/>
    <w:rsid w:val="003F7D1A"/>
    <w:rsid w:val="0040007C"/>
    <w:rsid w:val="004004A9"/>
    <w:rsid w:val="0040053F"/>
    <w:rsid w:val="0040058B"/>
    <w:rsid w:val="00400600"/>
    <w:rsid w:val="004007CD"/>
    <w:rsid w:val="00400E88"/>
    <w:rsid w:val="0040119A"/>
    <w:rsid w:val="004012E6"/>
    <w:rsid w:val="004017CF"/>
    <w:rsid w:val="00401D12"/>
    <w:rsid w:val="00401D97"/>
    <w:rsid w:val="0040364D"/>
    <w:rsid w:val="0040403A"/>
    <w:rsid w:val="00404609"/>
    <w:rsid w:val="004046D8"/>
    <w:rsid w:val="0040492F"/>
    <w:rsid w:val="00405181"/>
    <w:rsid w:val="00405C0A"/>
    <w:rsid w:val="00407959"/>
    <w:rsid w:val="00407C71"/>
    <w:rsid w:val="004104C3"/>
    <w:rsid w:val="00410A98"/>
    <w:rsid w:val="00411908"/>
    <w:rsid w:val="004121BD"/>
    <w:rsid w:val="00412719"/>
    <w:rsid w:val="0041320D"/>
    <w:rsid w:val="00413665"/>
    <w:rsid w:val="0041376B"/>
    <w:rsid w:val="004137EF"/>
    <w:rsid w:val="00413827"/>
    <w:rsid w:val="00414670"/>
    <w:rsid w:val="004158F9"/>
    <w:rsid w:val="004159EA"/>
    <w:rsid w:val="00416727"/>
    <w:rsid w:val="00416D3F"/>
    <w:rsid w:val="004172A4"/>
    <w:rsid w:val="00417B88"/>
    <w:rsid w:val="00417DD8"/>
    <w:rsid w:val="004208D9"/>
    <w:rsid w:val="00420CD9"/>
    <w:rsid w:val="00421518"/>
    <w:rsid w:val="00421E7C"/>
    <w:rsid w:val="004225B7"/>
    <w:rsid w:val="00422ABD"/>
    <w:rsid w:val="00422B4E"/>
    <w:rsid w:val="00422FF6"/>
    <w:rsid w:val="00423486"/>
    <w:rsid w:val="00423668"/>
    <w:rsid w:val="00424227"/>
    <w:rsid w:val="00424C53"/>
    <w:rsid w:val="00425814"/>
    <w:rsid w:val="00425BE8"/>
    <w:rsid w:val="00425C5F"/>
    <w:rsid w:val="00426286"/>
    <w:rsid w:val="00427A24"/>
    <w:rsid w:val="00427F6B"/>
    <w:rsid w:val="0043073D"/>
    <w:rsid w:val="004313D1"/>
    <w:rsid w:val="0043142D"/>
    <w:rsid w:val="004318EB"/>
    <w:rsid w:val="00431C4A"/>
    <w:rsid w:val="00432DFF"/>
    <w:rsid w:val="00433121"/>
    <w:rsid w:val="004331C3"/>
    <w:rsid w:val="0043323A"/>
    <w:rsid w:val="0043348B"/>
    <w:rsid w:val="004335B1"/>
    <w:rsid w:val="004337CC"/>
    <w:rsid w:val="004338D4"/>
    <w:rsid w:val="004348AD"/>
    <w:rsid w:val="00435F85"/>
    <w:rsid w:val="0043622B"/>
    <w:rsid w:val="00436BBC"/>
    <w:rsid w:val="00436E0B"/>
    <w:rsid w:val="0043714B"/>
    <w:rsid w:val="00437176"/>
    <w:rsid w:val="004374E9"/>
    <w:rsid w:val="004401DF"/>
    <w:rsid w:val="0044066C"/>
    <w:rsid w:val="00440E9B"/>
    <w:rsid w:val="00441E87"/>
    <w:rsid w:val="00442624"/>
    <w:rsid w:val="004427F7"/>
    <w:rsid w:val="004428EF"/>
    <w:rsid w:val="00442A58"/>
    <w:rsid w:val="00442D17"/>
    <w:rsid w:val="00443751"/>
    <w:rsid w:val="00443D0B"/>
    <w:rsid w:val="00443D9B"/>
    <w:rsid w:val="00444039"/>
    <w:rsid w:val="004448CC"/>
    <w:rsid w:val="00444E84"/>
    <w:rsid w:val="00444FDF"/>
    <w:rsid w:val="00445136"/>
    <w:rsid w:val="00445717"/>
    <w:rsid w:val="00445C6A"/>
    <w:rsid w:val="00447247"/>
    <w:rsid w:val="004507FD"/>
    <w:rsid w:val="00450971"/>
    <w:rsid w:val="00450E57"/>
    <w:rsid w:val="00450F16"/>
    <w:rsid w:val="00451267"/>
    <w:rsid w:val="00451B39"/>
    <w:rsid w:val="00451B94"/>
    <w:rsid w:val="00452D8C"/>
    <w:rsid w:val="00452E64"/>
    <w:rsid w:val="00452F2D"/>
    <w:rsid w:val="004533F7"/>
    <w:rsid w:val="00453CA2"/>
    <w:rsid w:val="004542FA"/>
    <w:rsid w:val="00454B0C"/>
    <w:rsid w:val="00454E5C"/>
    <w:rsid w:val="00455A44"/>
    <w:rsid w:val="00456409"/>
    <w:rsid w:val="00456FC8"/>
    <w:rsid w:val="004571EC"/>
    <w:rsid w:val="00457B4C"/>
    <w:rsid w:val="00457E0E"/>
    <w:rsid w:val="0046041E"/>
    <w:rsid w:val="00460EC2"/>
    <w:rsid w:val="00460F27"/>
    <w:rsid w:val="004610C4"/>
    <w:rsid w:val="004616C2"/>
    <w:rsid w:val="00461C34"/>
    <w:rsid w:val="00461CCF"/>
    <w:rsid w:val="00461DA4"/>
    <w:rsid w:val="00461E9B"/>
    <w:rsid w:val="004628BF"/>
    <w:rsid w:val="004629A9"/>
    <w:rsid w:val="00462A67"/>
    <w:rsid w:val="004633DA"/>
    <w:rsid w:val="004635E3"/>
    <w:rsid w:val="00463E7F"/>
    <w:rsid w:val="00464220"/>
    <w:rsid w:val="00464576"/>
    <w:rsid w:val="00464CD5"/>
    <w:rsid w:val="00465D99"/>
    <w:rsid w:val="00465E0A"/>
    <w:rsid w:val="00465EAB"/>
    <w:rsid w:val="00465F8B"/>
    <w:rsid w:val="00466031"/>
    <w:rsid w:val="004661ED"/>
    <w:rsid w:val="00466E16"/>
    <w:rsid w:val="00467766"/>
    <w:rsid w:val="0047067C"/>
    <w:rsid w:val="00470AC0"/>
    <w:rsid w:val="00470CA0"/>
    <w:rsid w:val="00471073"/>
    <w:rsid w:val="0047209E"/>
    <w:rsid w:val="0047248C"/>
    <w:rsid w:val="00472690"/>
    <w:rsid w:val="00472A2E"/>
    <w:rsid w:val="00472C21"/>
    <w:rsid w:val="00472D72"/>
    <w:rsid w:val="00473B88"/>
    <w:rsid w:val="00474BBA"/>
    <w:rsid w:val="00474FDA"/>
    <w:rsid w:val="00475118"/>
    <w:rsid w:val="004751F8"/>
    <w:rsid w:val="00475676"/>
    <w:rsid w:val="00475CDC"/>
    <w:rsid w:val="00475D82"/>
    <w:rsid w:val="00475F1D"/>
    <w:rsid w:val="0047619E"/>
    <w:rsid w:val="00476B39"/>
    <w:rsid w:val="00476BEC"/>
    <w:rsid w:val="00477078"/>
    <w:rsid w:val="00481E7E"/>
    <w:rsid w:val="004822AF"/>
    <w:rsid w:val="00482799"/>
    <w:rsid w:val="0048295B"/>
    <w:rsid w:val="00482B2F"/>
    <w:rsid w:val="00482DA4"/>
    <w:rsid w:val="00482E18"/>
    <w:rsid w:val="0048338D"/>
    <w:rsid w:val="00483A66"/>
    <w:rsid w:val="00483DEA"/>
    <w:rsid w:val="00483EA8"/>
    <w:rsid w:val="00484776"/>
    <w:rsid w:val="00484CD5"/>
    <w:rsid w:val="00484F43"/>
    <w:rsid w:val="00485344"/>
    <w:rsid w:val="0048552C"/>
    <w:rsid w:val="004860AC"/>
    <w:rsid w:val="00486477"/>
    <w:rsid w:val="00486CDE"/>
    <w:rsid w:val="00487553"/>
    <w:rsid w:val="004875FC"/>
    <w:rsid w:val="00487644"/>
    <w:rsid w:val="00487D26"/>
    <w:rsid w:val="00487D34"/>
    <w:rsid w:val="00490C9B"/>
    <w:rsid w:val="00490D45"/>
    <w:rsid w:val="00490FDA"/>
    <w:rsid w:val="00491018"/>
    <w:rsid w:val="0049104A"/>
    <w:rsid w:val="00491580"/>
    <w:rsid w:val="00491B85"/>
    <w:rsid w:val="00492177"/>
    <w:rsid w:val="0049220A"/>
    <w:rsid w:val="00492418"/>
    <w:rsid w:val="00492D83"/>
    <w:rsid w:val="00493BF9"/>
    <w:rsid w:val="00493EA2"/>
    <w:rsid w:val="004942AE"/>
    <w:rsid w:val="004949D4"/>
    <w:rsid w:val="004950BB"/>
    <w:rsid w:val="00495373"/>
    <w:rsid w:val="0049560E"/>
    <w:rsid w:val="00496733"/>
    <w:rsid w:val="00496B26"/>
    <w:rsid w:val="00497A8F"/>
    <w:rsid w:val="004A004B"/>
    <w:rsid w:val="004A0326"/>
    <w:rsid w:val="004A0699"/>
    <w:rsid w:val="004A0D4D"/>
    <w:rsid w:val="004A0F7E"/>
    <w:rsid w:val="004A1792"/>
    <w:rsid w:val="004A1942"/>
    <w:rsid w:val="004A197A"/>
    <w:rsid w:val="004A268B"/>
    <w:rsid w:val="004A28DE"/>
    <w:rsid w:val="004A2CB7"/>
    <w:rsid w:val="004A3F42"/>
    <w:rsid w:val="004A4476"/>
    <w:rsid w:val="004A461E"/>
    <w:rsid w:val="004A52CA"/>
    <w:rsid w:val="004A5E16"/>
    <w:rsid w:val="004A6037"/>
    <w:rsid w:val="004A6054"/>
    <w:rsid w:val="004A642F"/>
    <w:rsid w:val="004A68D0"/>
    <w:rsid w:val="004A6B9D"/>
    <w:rsid w:val="004A75BE"/>
    <w:rsid w:val="004A7631"/>
    <w:rsid w:val="004A7BC0"/>
    <w:rsid w:val="004A7BE4"/>
    <w:rsid w:val="004A7D57"/>
    <w:rsid w:val="004B0150"/>
    <w:rsid w:val="004B01BD"/>
    <w:rsid w:val="004B026F"/>
    <w:rsid w:val="004B043D"/>
    <w:rsid w:val="004B0509"/>
    <w:rsid w:val="004B0DFA"/>
    <w:rsid w:val="004B139B"/>
    <w:rsid w:val="004B1575"/>
    <w:rsid w:val="004B215E"/>
    <w:rsid w:val="004B282E"/>
    <w:rsid w:val="004B2B77"/>
    <w:rsid w:val="004B32B0"/>
    <w:rsid w:val="004B4173"/>
    <w:rsid w:val="004B439C"/>
    <w:rsid w:val="004B4459"/>
    <w:rsid w:val="004B4898"/>
    <w:rsid w:val="004B4F2F"/>
    <w:rsid w:val="004B6406"/>
    <w:rsid w:val="004B69E0"/>
    <w:rsid w:val="004B7093"/>
    <w:rsid w:val="004B738A"/>
    <w:rsid w:val="004B775F"/>
    <w:rsid w:val="004B78BD"/>
    <w:rsid w:val="004B79DA"/>
    <w:rsid w:val="004C0155"/>
    <w:rsid w:val="004C034C"/>
    <w:rsid w:val="004C04DD"/>
    <w:rsid w:val="004C072A"/>
    <w:rsid w:val="004C112E"/>
    <w:rsid w:val="004C1977"/>
    <w:rsid w:val="004C19AF"/>
    <w:rsid w:val="004C1B6D"/>
    <w:rsid w:val="004C23F8"/>
    <w:rsid w:val="004C2769"/>
    <w:rsid w:val="004C2F52"/>
    <w:rsid w:val="004C3CA8"/>
    <w:rsid w:val="004C3D5E"/>
    <w:rsid w:val="004C3F45"/>
    <w:rsid w:val="004C3FE5"/>
    <w:rsid w:val="004C4B44"/>
    <w:rsid w:val="004C4B83"/>
    <w:rsid w:val="004C4C8C"/>
    <w:rsid w:val="004C5564"/>
    <w:rsid w:val="004C578B"/>
    <w:rsid w:val="004C57FD"/>
    <w:rsid w:val="004C5964"/>
    <w:rsid w:val="004C658D"/>
    <w:rsid w:val="004C6772"/>
    <w:rsid w:val="004C6D48"/>
    <w:rsid w:val="004D03E7"/>
    <w:rsid w:val="004D0A18"/>
    <w:rsid w:val="004D0C12"/>
    <w:rsid w:val="004D0E1B"/>
    <w:rsid w:val="004D149F"/>
    <w:rsid w:val="004D14D8"/>
    <w:rsid w:val="004D1536"/>
    <w:rsid w:val="004D19C2"/>
    <w:rsid w:val="004D228F"/>
    <w:rsid w:val="004D2B7A"/>
    <w:rsid w:val="004D3A10"/>
    <w:rsid w:val="004D3D8A"/>
    <w:rsid w:val="004D3E5E"/>
    <w:rsid w:val="004D3EE9"/>
    <w:rsid w:val="004D4C54"/>
    <w:rsid w:val="004D4E06"/>
    <w:rsid w:val="004D54EB"/>
    <w:rsid w:val="004D5540"/>
    <w:rsid w:val="004D55AA"/>
    <w:rsid w:val="004D5713"/>
    <w:rsid w:val="004D612A"/>
    <w:rsid w:val="004D69A4"/>
    <w:rsid w:val="004D6C64"/>
    <w:rsid w:val="004D708E"/>
    <w:rsid w:val="004D72BE"/>
    <w:rsid w:val="004D78F2"/>
    <w:rsid w:val="004D7DD1"/>
    <w:rsid w:val="004D7EE8"/>
    <w:rsid w:val="004E0738"/>
    <w:rsid w:val="004E090A"/>
    <w:rsid w:val="004E174E"/>
    <w:rsid w:val="004E1D47"/>
    <w:rsid w:val="004E1D4A"/>
    <w:rsid w:val="004E254D"/>
    <w:rsid w:val="004E2852"/>
    <w:rsid w:val="004E40FE"/>
    <w:rsid w:val="004E4913"/>
    <w:rsid w:val="004E4A2F"/>
    <w:rsid w:val="004E6BEE"/>
    <w:rsid w:val="004E6E7D"/>
    <w:rsid w:val="004E6EAC"/>
    <w:rsid w:val="004E77D7"/>
    <w:rsid w:val="004E7A1F"/>
    <w:rsid w:val="004F0230"/>
    <w:rsid w:val="004F074D"/>
    <w:rsid w:val="004F11FE"/>
    <w:rsid w:val="004F1523"/>
    <w:rsid w:val="004F17F1"/>
    <w:rsid w:val="004F2C36"/>
    <w:rsid w:val="004F2D1B"/>
    <w:rsid w:val="004F2E17"/>
    <w:rsid w:val="004F2EC2"/>
    <w:rsid w:val="004F339C"/>
    <w:rsid w:val="004F3D0E"/>
    <w:rsid w:val="004F4211"/>
    <w:rsid w:val="004F43C0"/>
    <w:rsid w:val="004F4B2E"/>
    <w:rsid w:val="004F4E1F"/>
    <w:rsid w:val="004F51CC"/>
    <w:rsid w:val="004F5566"/>
    <w:rsid w:val="004F5793"/>
    <w:rsid w:val="004F57A9"/>
    <w:rsid w:val="004F58A1"/>
    <w:rsid w:val="004F602C"/>
    <w:rsid w:val="004F707F"/>
    <w:rsid w:val="004F7223"/>
    <w:rsid w:val="004F75F3"/>
    <w:rsid w:val="00500B92"/>
    <w:rsid w:val="005011E3"/>
    <w:rsid w:val="00501886"/>
    <w:rsid w:val="00501EF6"/>
    <w:rsid w:val="00502998"/>
    <w:rsid w:val="005029D4"/>
    <w:rsid w:val="00502E9D"/>
    <w:rsid w:val="005038D7"/>
    <w:rsid w:val="0050496A"/>
    <w:rsid w:val="00504BF5"/>
    <w:rsid w:val="00504C3F"/>
    <w:rsid w:val="00505109"/>
    <w:rsid w:val="00505707"/>
    <w:rsid w:val="00505714"/>
    <w:rsid w:val="00505AE5"/>
    <w:rsid w:val="00505CEF"/>
    <w:rsid w:val="005063A5"/>
    <w:rsid w:val="00506996"/>
    <w:rsid w:val="00506CE6"/>
    <w:rsid w:val="00506DB4"/>
    <w:rsid w:val="00506F24"/>
    <w:rsid w:val="00507C8F"/>
    <w:rsid w:val="0051070B"/>
    <w:rsid w:val="00510A0A"/>
    <w:rsid w:val="00510A12"/>
    <w:rsid w:val="00510B88"/>
    <w:rsid w:val="00510E19"/>
    <w:rsid w:val="00511525"/>
    <w:rsid w:val="0051160F"/>
    <w:rsid w:val="005116FA"/>
    <w:rsid w:val="00511B07"/>
    <w:rsid w:val="00511D31"/>
    <w:rsid w:val="00511FD1"/>
    <w:rsid w:val="00512821"/>
    <w:rsid w:val="0051334D"/>
    <w:rsid w:val="00514031"/>
    <w:rsid w:val="00514659"/>
    <w:rsid w:val="00514722"/>
    <w:rsid w:val="00515052"/>
    <w:rsid w:val="00516435"/>
    <w:rsid w:val="00516643"/>
    <w:rsid w:val="00516791"/>
    <w:rsid w:val="005167F2"/>
    <w:rsid w:val="0051685B"/>
    <w:rsid w:val="00516BA3"/>
    <w:rsid w:val="00516DFB"/>
    <w:rsid w:val="005170F6"/>
    <w:rsid w:val="00517545"/>
    <w:rsid w:val="005178FB"/>
    <w:rsid w:val="00517E25"/>
    <w:rsid w:val="00517F72"/>
    <w:rsid w:val="00517FA3"/>
    <w:rsid w:val="00517FB0"/>
    <w:rsid w:val="005200DC"/>
    <w:rsid w:val="0052025A"/>
    <w:rsid w:val="0052074C"/>
    <w:rsid w:val="0052092B"/>
    <w:rsid w:val="00520A22"/>
    <w:rsid w:val="00520FF4"/>
    <w:rsid w:val="0052102A"/>
    <w:rsid w:val="00521076"/>
    <w:rsid w:val="005215E4"/>
    <w:rsid w:val="00521842"/>
    <w:rsid w:val="00521A30"/>
    <w:rsid w:val="00521E64"/>
    <w:rsid w:val="00522267"/>
    <w:rsid w:val="005222D7"/>
    <w:rsid w:val="005224B2"/>
    <w:rsid w:val="00522DAB"/>
    <w:rsid w:val="00522FC8"/>
    <w:rsid w:val="00523976"/>
    <w:rsid w:val="00523CF3"/>
    <w:rsid w:val="00524643"/>
    <w:rsid w:val="0052479F"/>
    <w:rsid w:val="00525DEC"/>
    <w:rsid w:val="0052622B"/>
    <w:rsid w:val="005265AA"/>
    <w:rsid w:val="00526BFC"/>
    <w:rsid w:val="005279F4"/>
    <w:rsid w:val="00527E5A"/>
    <w:rsid w:val="005301E4"/>
    <w:rsid w:val="00530857"/>
    <w:rsid w:val="00530ABE"/>
    <w:rsid w:val="0053126F"/>
    <w:rsid w:val="00533464"/>
    <w:rsid w:val="00533918"/>
    <w:rsid w:val="00533AD4"/>
    <w:rsid w:val="00533FAD"/>
    <w:rsid w:val="00534906"/>
    <w:rsid w:val="005349E2"/>
    <w:rsid w:val="00534F77"/>
    <w:rsid w:val="005353E8"/>
    <w:rsid w:val="00535869"/>
    <w:rsid w:val="00535C85"/>
    <w:rsid w:val="00535E60"/>
    <w:rsid w:val="0053768D"/>
    <w:rsid w:val="005402BD"/>
    <w:rsid w:val="005403CC"/>
    <w:rsid w:val="00540D72"/>
    <w:rsid w:val="00540DE1"/>
    <w:rsid w:val="005416BF"/>
    <w:rsid w:val="0054185D"/>
    <w:rsid w:val="00541EF3"/>
    <w:rsid w:val="0054295C"/>
    <w:rsid w:val="005429BA"/>
    <w:rsid w:val="00543024"/>
    <w:rsid w:val="00543499"/>
    <w:rsid w:val="00543621"/>
    <w:rsid w:val="00543803"/>
    <w:rsid w:val="0054394B"/>
    <w:rsid w:val="005439C6"/>
    <w:rsid w:val="00543DC0"/>
    <w:rsid w:val="00544048"/>
    <w:rsid w:val="005442C7"/>
    <w:rsid w:val="0054439B"/>
    <w:rsid w:val="0054499C"/>
    <w:rsid w:val="005449B3"/>
    <w:rsid w:val="005454FA"/>
    <w:rsid w:val="005457F2"/>
    <w:rsid w:val="00545AD9"/>
    <w:rsid w:val="00546407"/>
    <w:rsid w:val="005470D4"/>
    <w:rsid w:val="00547241"/>
    <w:rsid w:val="00547765"/>
    <w:rsid w:val="00547826"/>
    <w:rsid w:val="00547CBD"/>
    <w:rsid w:val="00547CC6"/>
    <w:rsid w:val="00550178"/>
    <w:rsid w:val="00550536"/>
    <w:rsid w:val="00551349"/>
    <w:rsid w:val="005517EE"/>
    <w:rsid w:val="00552E42"/>
    <w:rsid w:val="005538BF"/>
    <w:rsid w:val="0055456C"/>
    <w:rsid w:val="00554F99"/>
    <w:rsid w:val="005554FD"/>
    <w:rsid w:val="005559B0"/>
    <w:rsid w:val="00555E55"/>
    <w:rsid w:val="00555EBF"/>
    <w:rsid w:val="005565E4"/>
    <w:rsid w:val="0055689F"/>
    <w:rsid w:val="00556BF6"/>
    <w:rsid w:val="00557B39"/>
    <w:rsid w:val="00557E84"/>
    <w:rsid w:val="00557F86"/>
    <w:rsid w:val="00557FCB"/>
    <w:rsid w:val="00560086"/>
    <w:rsid w:val="0056026B"/>
    <w:rsid w:val="00560511"/>
    <w:rsid w:val="00560777"/>
    <w:rsid w:val="00560C02"/>
    <w:rsid w:val="00561555"/>
    <w:rsid w:val="00561908"/>
    <w:rsid w:val="00561A8C"/>
    <w:rsid w:val="005625F4"/>
    <w:rsid w:val="0056315A"/>
    <w:rsid w:val="00564035"/>
    <w:rsid w:val="0056432B"/>
    <w:rsid w:val="005644D3"/>
    <w:rsid w:val="00564E47"/>
    <w:rsid w:val="00564ED1"/>
    <w:rsid w:val="00565D59"/>
    <w:rsid w:val="00565DD5"/>
    <w:rsid w:val="00565F6E"/>
    <w:rsid w:val="00566AAB"/>
    <w:rsid w:val="00566C7E"/>
    <w:rsid w:val="00567245"/>
    <w:rsid w:val="00567772"/>
    <w:rsid w:val="00567806"/>
    <w:rsid w:val="0057055C"/>
    <w:rsid w:val="005712CA"/>
    <w:rsid w:val="005717E1"/>
    <w:rsid w:val="005719C8"/>
    <w:rsid w:val="00571F48"/>
    <w:rsid w:val="005722A6"/>
    <w:rsid w:val="005726A9"/>
    <w:rsid w:val="00572F27"/>
    <w:rsid w:val="00572F85"/>
    <w:rsid w:val="00574642"/>
    <w:rsid w:val="00574684"/>
    <w:rsid w:val="00574F90"/>
    <w:rsid w:val="00574F9B"/>
    <w:rsid w:val="005750E4"/>
    <w:rsid w:val="00575DA2"/>
    <w:rsid w:val="00576443"/>
    <w:rsid w:val="00576823"/>
    <w:rsid w:val="00577C9C"/>
    <w:rsid w:val="00580189"/>
    <w:rsid w:val="00580681"/>
    <w:rsid w:val="00580E63"/>
    <w:rsid w:val="00580F15"/>
    <w:rsid w:val="0058135D"/>
    <w:rsid w:val="005816C2"/>
    <w:rsid w:val="00581786"/>
    <w:rsid w:val="00581F3C"/>
    <w:rsid w:val="005822E7"/>
    <w:rsid w:val="00582A1F"/>
    <w:rsid w:val="00582C55"/>
    <w:rsid w:val="0058313E"/>
    <w:rsid w:val="005836A5"/>
    <w:rsid w:val="00584402"/>
    <w:rsid w:val="00584E55"/>
    <w:rsid w:val="00584F0C"/>
    <w:rsid w:val="00584FBD"/>
    <w:rsid w:val="00585425"/>
    <w:rsid w:val="0058565E"/>
    <w:rsid w:val="005857AA"/>
    <w:rsid w:val="00585E2A"/>
    <w:rsid w:val="005909FE"/>
    <w:rsid w:val="00590A90"/>
    <w:rsid w:val="005925A9"/>
    <w:rsid w:val="00592638"/>
    <w:rsid w:val="005927B8"/>
    <w:rsid w:val="0059283C"/>
    <w:rsid w:val="005934D9"/>
    <w:rsid w:val="00594BE1"/>
    <w:rsid w:val="00594CE1"/>
    <w:rsid w:val="00594D63"/>
    <w:rsid w:val="0059559D"/>
    <w:rsid w:val="00595771"/>
    <w:rsid w:val="00596C41"/>
    <w:rsid w:val="00597C24"/>
    <w:rsid w:val="005A0064"/>
    <w:rsid w:val="005A0A7B"/>
    <w:rsid w:val="005A1935"/>
    <w:rsid w:val="005A1BC3"/>
    <w:rsid w:val="005A1C0B"/>
    <w:rsid w:val="005A1D24"/>
    <w:rsid w:val="005A1D82"/>
    <w:rsid w:val="005A1FA7"/>
    <w:rsid w:val="005A208F"/>
    <w:rsid w:val="005A2553"/>
    <w:rsid w:val="005A2822"/>
    <w:rsid w:val="005A2D87"/>
    <w:rsid w:val="005A3AC7"/>
    <w:rsid w:val="005A4665"/>
    <w:rsid w:val="005A4972"/>
    <w:rsid w:val="005A4B08"/>
    <w:rsid w:val="005A5E6A"/>
    <w:rsid w:val="005A64E8"/>
    <w:rsid w:val="005A783A"/>
    <w:rsid w:val="005A7C55"/>
    <w:rsid w:val="005A7FEA"/>
    <w:rsid w:val="005B007F"/>
    <w:rsid w:val="005B0306"/>
    <w:rsid w:val="005B0957"/>
    <w:rsid w:val="005B12AF"/>
    <w:rsid w:val="005B1556"/>
    <w:rsid w:val="005B19B7"/>
    <w:rsid w:val="005B22A2"/>
    <w:rsid w:val="005B22A5"/>
    <w:rsid w:val="005B3286"/>
    <w:rsid w:val="005B34FF"/>
    <w:rsid w:val="005B4024"/>
    <w:rsid w:val="005B4F9D"/>
    <w:rsid w:val="005B4FBA"/>
    <w:rsid w:val="005B5731"/>
    <w:rsid w:val="005B6022"/>
    <w:rsid w:val="005B60F3"/>
    <w:rsid w:val="005B6528"/>
    <w:rsid w:val="005B6A49"/>
    <w:rsid w:val="005B6EBC"/>
    <w:rsid w:val="005B6F2B"/>
    <w:rsid w:val="005B7793"/>
    <w:rsid w:val="005B7D10"/>
    <w:rsid w:val="005C06E6"/>
    <w:rsid w:val="005C0901"/>
    <w:rsid w:val="005C0B72"/>
    <w:rsid w:val="005C1747"/>
    <w:rsid w:val="005C1845"/>
    <w:rsid w:val="005C2600"/>
    <w:rsid w:val="005C2AF2"/>
    <w:rsid w:val="005C30AB"/>
    <w:rsid w:val="005C4C1D"/>
    <w:rsid w:val="005C4E6A"/>
    <w:rsid w:val="005C5239"/>
    <w:rsid w:val="005C52FD"/>
    <w:rsid w:val="005C5CF7"/>
    <w:rsid w:val="005C5DC9"/>
    <w:rsid w:val="005C6292"/>
    <w:rsid w:val="005C6673"/>
    <w:rsid w:val="005C69A8"/>
    <w:rsid w:val="005C69D5"/>
    <w:rsid w:val="005C6CC2"/>
    <w:rsid w:val="005C6E56"/>
    <w:rsid w:val="005C7D54"/>
    <w:rsid w:val="005C7FC9"/>
    <w:rsid w:val="005D0B8A"/>
    <w:rsid w:val="005D188B"/>
    <w:rsid w:val="005D275E"/>
    <w:rsid w:val="005D2D3B"/>
    <w:rsid w:val="005D3AB6"/>
    <w:rsid w:val="005D4031"/>
    <w:rsid w:val="005D408F"/>
    <w:rsid w:val="005D4727"/>
    <w:rsid w:val="005D5415"/>
    <w:rsid w:val="005D59D0"/>
    <w:rsid w:val="005D5B55"/>
    <w:rsid w:val="005D5D00"/>
    <w:rsid w:val="005D5EBC"/>
    <w:rsid w:val="005D5F47"/>
    <w:rsid w:val="005D6011"/>
    <w:rsid w:val="005D6BEB"/>
    <w:rsid w:val="005D6C36"/>
    <w:rsid w:val="005D76BF"/>
    <w:rsid w:val="005D7832"/>
    <w:rsid w:val="005D7B95"/>
    <w:rsid w:val="005D7D1A"/>
    <w:rsid w:val="005E062E"/>
    <w:rsid w:val="005E10D0"/>
    <w:rsid w:val="005E12A3"/>
    <w:rsid w:val="005E13D3"/>
    <w:rsid w:val="005E1961"/>
    <w:rsid w:val="005E1F0E"/>
    <w:rsid w:val="005E2116"/>
    <w:rsid w:val="005E23B4"/>
    <w:rsid w:val="005E254D"/>
    <w:rsid w:val="005E2B11"/>
    <w:rsid w:val="005E2B35"/>
    <w:rsid w:val="005E30A1"/>
    <w:rsid w:val="005E3340"/>
    <w:rsid w:val="005E34B8"/>
    <w:rsid w:val="005E36C1"/>
    <w:rsid w:val="005E3B1D"/>
    <w:rsid w:val="005E3B31"/>
    <w:rsid w:val="005E44F0"/>
    <w:rsid w:val="005E4529"/>
    <w:rsid w:val="005E48E9"/>
    <w:rsid w:val="005E5AF2"/>
    <w:rsid w:val="005E5EE2"/>
    <w:rsid w:val="005E65D2"/>
    <w:rsid w:val="005E6753"/>
    <w:rsid w:val="005E696B"/>
    <w:rsid w:val="005E72BB"/>
    <w:rsid w:val="005E73AC"/>
    <w:rsid w:val="005E7803"/>
    <w:rsid w:val="005E7DAF"/>
    <w:rsid w:val="005F04D9"/>
    <w:rsid w:val="005F08AD"/>
    <w:rsid w:val="005F115A"/>
    <w:rsid w:val="005F17A9"/>
    <w:rsid w:val="005F17DA"/>
    <w:rsid w:val="005F18E3"/>
    <w:rsid w:val="005F1988"/>
    <w:rsid w:val="005F1EA3"/>
    <w:rsid w:val="005F1F61"/>
    <w:rsid w:val="005F1F95"/>
    <w:rsid w:val="005F20A6"/>
    <w:rsid w:val="005F2A9C"/>
    <w:rsid w:val="005F3036"/>
    <w:rsid w:val="005F3871"/>
    <w:rsid w:val="005F393E"/>
    <w:rsid w:val="005F3B77"/>
    <w:rsid w:val="005F4BBD"/>
    <w:rsid w:val="005F5074"/>
    <w:rsid w:val="005F5477"/>
    <w:rsid w:val="005F5CCB"/>
    <w:rsid w:val="005F5D35"/>
    <w:rsid w:val="005F737B"/>
    <w:rsid w:val="005F746C"/>
    <w:rsid w:val="005F774D"/>
    <w:rsid w:val="005F799E"/>
    <w:rsid w:val="006000B0"/>
    <w:rsid w:val="0060059D"/>
    <w:rsid w:val="00600638"/>
    <w:rsid w:val="006012C3"/>
    <w:rsid w:val="00601435"/>
    <w:rsid w:val="00601A35"/>
    <w:rsid w:val="00601AAC"/>
    <w:rsid w:val="0060231C"/>
    <w:rsid w:val="006025C5"/>
    <w:rsid w:val="00602858"/>
    <w:rsid w:val="00603C5A"/>
    <w:rsid w:val="0060419E"/>
    <w:rsid w:val="00604448"/>
    <w:rsid w:val="00604C4B"/>
    <w:rsid w:val="006052FE"/>
    <w:rsid w:val="0060614D"/>
    <w:rsid w:val="006067EC"/>
    <w:rsid w:val="00607343"/>
    <w:rsid w:val="00607415"/>
    <w:rsid w:val="00607650"/>
    <w:rsid w:val="006078C1"/>
    <w:rsid w:val="00607A02"/>
    <w:rsid w:val="006100F3"/>
    <w:rsid w:val="00610BEC"/>
    <w:rsid w:val="006110A0"/>
    <w:rsid w:val="00611265"/>
    <w:rsid w:val="00611691"/>
    <w:rsid w:val="00611E04"/>
    <w:rsid w:val="006121F9"/>
    <w:rsid w:val="00612503"/>
    <w:rsid w:val="00612814"/>
    <w:rsid w:val="0061325B"/>
    <w:rsid w:val="006135B6"/>
    <w:rsid w:val="00613D14"/>
    <w:rsid w:val="0061401C"/>
    <w:rsid w:val="006142C3"/>
    <w:rsid w:val="00615203"/>
    <w:rsid w:val="006155FA"/>
    <w:rsid w:val="00615C07"/>
    <w:rsid w:val="00616581"/>
    <w:rsid w:val="00616599"/>
    <w:rsid w:val="006167F0"/>
    <w:rsid w:val="006168CA"/>
    <w:rsid w:val="00616D60"/>
    <w:rsid w:val="00616E01"/>
    <w:rsid w:val="006179D1"/>
    <w:rsid w:val="0062025F"/>
    <w:rsid w:val="00620B43"/>
    <w:rsid w:val="00620EAD"/>
    <w:rsid w:val="00621419"/>
    <w:rsid w:val="00621D0C"/>
    <w:rsid w:val="00622567"/>
    <w:rsid w:val="00622643"/>
    <w:rsid w:val="0062305C"/>
    <w:rsid w:val="006238A0"/>
    <w:rsid w:val="00623B42"/>
    <w:rsid w:val="006242F2"/>
    <w:rsid w:val="006242F4"/>
    <w:rsid w:val="006244DE"/>
    <w:rsid w:val="00624B4A"/>
    <w:rsid w:val="00625AF1"/>
    <w:rsid w:val="00626106"/>
    <w:rsid w:val="0062620E"/>
    <w:rsid w:val="00626346"/>
    <w:rsid w:val="006265E0"/>
    <w:rsid w:val="0062703B"/>
    <w:rsid w:val="0062704C"/>
    <w:rsid w:val="006279EA"/>
    <w:rsid w:val="00627CA9"/>
    <w:rsid w:val="00627ED8"/>
    <w:rsid w:val="00627FC3"/>
    <w:rsid w:val="006301A5"/>
    <w:rsid w:val="006303D0"/>
    <w:rsid w:val="0063070C"/>
    <w:rsid w:val="00630C91"/>
    <w:rsid w:val="00631260"/>
    <w:rsid w:val="006316D9"/>
    <w:rsid w:val="00631A1D"/>
    <w:rsid w:val="006320CB"/>
    <w:rsid w:val="00632378"/>
    <w:rsid w:val="00633829"/>
    <w:rsid w:val="00633DED"/>
    <w:rsid w:val="00634589"/>
    <w:rsid w:val="006346FE"/>
    <w:rsid w:val="00634817"/>
    <w:rsid w:val="00634D3D"/>
    <w:rsid w:val="00634DC9"/>
    <w:rsid w:val="00634E71"/>
    <w:rsid w:val="006350D7"/>
    <w:rsid w:val="0063510D"/>
    <w:rsid w:val="00635173"/>
    <w:rsid w:val="00635997"/>
    <w:rsid w:val="00635C2F"/>
    <w:rsid w:val="00635E3E"/>
    <w:rsid w:val="006360D7"/>
    <w:rsid w:val="006363E4"/>
    <w:rsid w:val="006365B4"/>
    <w:rsid w:val="00636CEE"/>
    <w:rsid w:val="00636D62"/>
    <w:rsid w:val="00636F4C"/>
    <w:rsid w:val="00636FE9"/>
    <w:rsid w:val="00637EFA"/>
    <w:rsid w:val="00640797"/>
    <w:rsid w:val="00640BC8"/>
    <w:rsid w:val="00640F6E"/>
    <w:rsid w:val="006414FF"/>
    <w:rsid w:val="0064164D"/>
    <w:rsid w:val="006421D5"/>
    <w:rsid w:val="0064221C"/>
    <w:rsid w:val="00642451"/>
    <w:rsid w:val="0064267D"/>
    <w:rsid w:val="00642A41"/>
    <w:rsid w:val="00642B3F"/>
    <w:rsid w:val="00643194"/>
    <w:rsid w:val="0064375C"/>
    <w:rsid w:val="00643CF3"/>
    <w:rsid w:val="00644D51"/>
    <w:rsid w:val="00644DA3"/>
    <w:rsid w:val="00645994"/>
    <w:rsid w:val="00645A66"/>
    <w:rsid w:val="00645F59"/>
    <w:rsid w:val="006464B2"/>
    <w:rsid w:val="0064659A"/>
    <w:rsid w:val="00647075"/>
    <w:rsid w:val="00647171"/>
    <w:rsid w:val="00647480"/>
    <w:rsid w:val="00647AF1"/>
    <w:rsid w:val="0065116A"/>
    <w:rsid w:val="00651A5E"/>
    <w:rsid w:val="00651EF4"/>
    <w:rsid w:val="0065240B"/>
    <w:rsid w:val="00653B15"/>
    <w:rsid w:val="00654C2B"/>
    <w:rsid w:val="00655300"/>
    <w:rsid w:val="00655675"/>
    <w:rsid w:val="00656644"/>
    <w:rsid w:val="00656718"/>
    <w:rsid w:val="00656D17"/>
    <w:rsid w:val="00657254"/>
    <w:rsid w:val="00657313"/>
    <w:rsid w:val="006575BC"/>
    <w:rsid w:val="00657D9B"/>
    <w:rsid w:val="00657ECB"/>
    <w:rsid w:val="00657F0F"/>
    <w:rsid w:val="00657FAA"/>
    <w:rsid w:val="006604D2"/>
    <w:rsid w:val="006612FC"/>
    <w:rsid w:val="0066196B"/>
    <w:rsid w:val="00661989"/>
    <w:rsid w:val="00661A46"/>
    <w:rsid w:val="00661B56"/>
    <w:rsid w:val="00661BF9"/>
    <w:rsid w:val="00661CA2"/>
    <w:rsid w:val="00661E87"/>
    <w:rsid w:val="00661FC1"/>
    <w:rsid w:val="00662327"/>
    <w:rsid w:val="00662795"/>
    <w:rsid w:val="00662A36"/>
    <w:rsid w:val="006631CB"/>
    <w:rsid w:val="0066369F"/>
    <w:rsid w:val="00663DA3"/>
    <w:rsid w:val="00664392"/>
    <w:rsid w:val="006644DF"/>
    <w:rsid w:val="00664B90"/>
    <w:rsid w:val="00664C5F"/>
    <w:rsid w:val="00664DCB"/>
    <w:rsid w:val="00666899"/>
    <w:rsid w:val="00666D48"/>
    <w:rsid w:val="00666DCF"/>
    <w:rsid w:val="00667139"/>
    <w:rsid w:val="0066715D"/>
    <w:rsid w:val="006671DD"/>
    <w:rsid w:val="00667241"/>
    <w:rsid w:val="006674B5"/>
    <w:rsid w:val="0066752A"/>
    <w:rsid w:val="006678BC"/>
    <w:rsid w:val="00667998"/>
    <w:rsid w:val="00670971"/>
    <w:rsid w:val="006722AC"/>
    <w:rsid w:val="00672617"/>
    <w:rsid w:val="006726B6"/>
    <w:rsid w:val="0067278A"/>
    <w:rsid w:val="00672E10"/>
    <w:rsid w:val="00673005"/>
    <w:rsid w:val="00673E7B"/>
    <w:rsid w:val="0067417E"/>
    <w:rsid w:val="006742D9"/>
    <w:rsid w:val="0067433D"/>
    <w:rsid w:val="00674502"/>
    <w:rsid w:val="006745BC"/>
    <w:rsid w:val="00674901"/>
    <w:rsid w:val="00674966"/>
    <w:rsid w:val="00676247"/>
    <w:rsid w:val="006766C0"/>
    <w:rsid w:val="0067736D"/>
    <w:rsid w:val="00677E63"/>
    <w:rsid w:val="00677EA7"/>
    <w:rsid w:val="00680025"/>
    <w:rsid w:val="00681256"/>
    <w:rsid w:val="0068197D"/>
    <w:rsid w:val="006821AC"/>
    <w:rsid w:val="00682252"/>
    <w:rsid w:val="00683127"/>
    <w:rsid w:val="00683736"/>
    <w:rsid w:val="006838A0"/>
    <w:rsid w:val="00684343"/>
    <w:rsid w:val="00685122"/>
    <w:rsid w:val="006854BD"/>
    <w:rsid w:val="006855E1"/>
    <w:rsid w:val="00685A27"/>
    <w:rsid w:val="00685C8C"/>
    <w:rsid w:val="00685F3C"/>
    <w:rsid w:val="00686587"/>
    <w:rsid w:val="006869FB"/>
    <w:rsid w:val="00686FBF"/>
    <w:rsid w:val="00687891"/>
    <w:rsid w:val="006903E9"/>
    <w:rsid w:val="00690DA7"/>
    <w:rsid w:val="00691504"/>
    <w:rsid w:val="0069156D"/>
    <w:rsid w:val="00691704"/>
    <w:rsid w:val="006922AF"/>
    <w:rsid w:val="00692406"/>
    <w:rsid w:val="006926B0"/>
    <w:rsid w:val="00692D4B"/>
    <w:rsid w:val="00692E1D"/>
    <w:rsid w:val="00693508"/>
    <w:rsid w:val="00694BCB"/>
    <w:rsid w:val="00695364"/>
    <w:rsid w:val="006956C2"/>
    <w:rsid w:val="006959F0"/>
    <w:rsid w:val="00695DA8"/>
    <w:rsid w:val="00695F26"/>
    <w:rsid w:val="00696066"/>
    <w:rsid w:val="00696A35"/>
    <w:rsid w:val="00696A4F"/>
    <w:rsid w:val="00697551"/>
    <w:rsid w:val="006977C9"/>
    <w:rsid w:val="0069796C"/>
    <w:rsid w:val="006A031E"/>
    <w:rsid w:val="006A034A"/>
    <w:rsid w:val="006A0560"/>
    <w:rsid w:val="006A0F3B"/>
    <w:rsid w:val="006A1091"/>
    <w:rsid w:val="006A177C"/>
    <w:rsid w:val="006A17CB"/>
    <w:rsid w:val="006A29B5"/>
    <w:rsid w:val="006A2D88"/>
    <w:rsid w:val="006A3464"/>
    <w:rsid w:val="006A3D3C"/>
    <w:rsid w:val="006A4059"/>
    <w:rsid w:val="006A4504"/>
    <w:rsid w:val="006A4B5E"/>
    <w:rsid w:val="006A589B"/>
    <w:rsid w:val="006A5F1D"/>
    <w:rsid w:val="006A653F"/>
    <w:rsid w:val="006A67F6"/>
    <w:rsid w:val="006A6F61"/>
    <w:rsid w:val="006A74B3"/>
    <w:rsid w:val="006A74E9"/>
    <w:rsid w:val="006A7E99"/>
    <w:rsid w:val="006B01E7"/>
    <w:rsid w:val="006B0AFE"/>
    <w:rsid w:val="006B0B3A"/>
    <w:rsid w:val="006B0FFF"/>
    <w:rsid w:val="006B1828"/>
    <w:rsid w:val="006B1E65"/>
    <w:rsid w:val="006B2403"/>
    <w:rsid w:val="006B25A7"/>
    <w:rsid w:val="006B2D4E"/>
    <w:rsid w:val="006B309C"/>
    <w:rsid w:val="006B319C"/>
    <w:rsid w:val="006B332C"/>
    <w:rsid w:val="006B34E3"/>
    <w:rsid w:val="006B398D"/>
    <w:rsid w:val="006B3EE8"/>
    <w:rsid w:val="006B647A"/>
    <w:rsid w:val="006B653E"/>
    <w:rsid w:val="006B6A0B"/>
    <w:rsid w:val="006B7421"/>
    <w:rsid w:val="006B74D4"/>
    <w:rsid w:val="006B7B3C"/>
    <w:rsid w:val="006C088E"/>
    <w:rsid w:val="006C1746"/>
    <w:rsid w:val="006C2037"/>
    <w:rsid w:val="006C25F3"/>
    <w:rsid w:val="006C366B"/>
    <w:rsid w:val="006C3815"/>
    <w:rsid w:val="006C39BF"/>
    <w:rsid w:val="006C39C3"/>
    <w:rsid w:val="006C4600"/>
    <w:rsid w:val="006C503B"/>
    <w:rsid w:val="006C5660"/>
    <w:rsid w:val="006C5E1E"/>
    <w:rsid w:val="006C63AC"/>
    <w:rsid w:val="006C721C"/>
    <w:rsid w:val="006C7320"/>
    <w:rsid w:val="006C7465"/>
    <w:rsid w:val="006C785D"/>
    <w:rsid w:val="006D0230"/>
    <w:rsid w:val="006D0820"/>
    <w:rsid w:val="006D111F"/>
    <w:rsid w:val="006D1524"/>
    <w:rsid w:val="006D163A"/>
    <w:rsid w:val="006D1D10"/>
    <w:rsid w:val="006D2FFD"/>
    <w:rsid w:val="006D38EF"/>
    <w:rsid w:val="006D3AA4"/>
    <w:rsid w:val="006D4752"/>
    <w:rsid w:val="006D4848"/>
    <w:rsid w:val="006D4F76"/>
    <w:rsid w:val="006D5CC9"/>
    <w:rsid w:val="006D66A0"/>
    <w:rsid w:val="006D6D00"/>
    <w:rsid w:val="006D71BD"/>
    <w:rsid w:val="006D73F4"/>
    <w:rsid w:val="006E0041"/>
    <w:rsid w:val="006E0808"/>
    <w:rsid w:val="006E0ABC"/>
    <w:rsid w:val="006E0DBD"/>
    <w:rsid w:val="006E0F51"/>
    <w:rsid w:val="006E15EB"/>
    <w:rsid w:val="006E1A16"/>
    <w:rsid w:val="006E1D07"/>
    <w:rsid w:val="006E1ECB"/>
    <w:rsid w:val="006E2C95"/>
    <w:rsid w:val="006E2D6E"/>
    <w:rsid w:val="006E31AA"/>
    <w:rsid w:val="006E3402"/>
    <w:rsid w:val="006E390E"/>
    <w:rsid w:val="006E42CF"/>
    <w:rsid w:val="006E4B70"/>
    <w:rsid w:val="006E5BE1"/>
    <w:rsid w:val="006F0539"/>
    <w:rsid w:val="006F0E0E"/>
    <w:rsid w:val="006F0F6B"/>
    <w:rsid w:val="006F118F"/>
    <w:rsid w:val="006F11D3"/>
    <w:rsid w:val="006F13F9"/>
    <w:rsid w:val="006F1598"/>
    <w:rsid w:val="006F168B"/>
    <w:rsid w:val="006F19E5"/>
    <w:rsid w:val="006F2015"/>
    <w:rsid w:val="006F28F4"/>
    <w:rsid w:val="006F2DD2"/>
    <w:rsid w:val="006F3046"/>
    <w:rsid w:val="006F3C16"/>
    <w:rsid w:val="006F4849"/>
    <w:rsid w:val="006F496A"/>
    <w:rsid w:val="006F4F81"/>
    <w:rsid w:val="006F55DB"/>
    <w:rsid w:val="006F5C51"/>
    <w:rsid w:val="006F5E61"/>
    <w:rsid w:val="006F60EC"/>
    <w:rsid w:val="006F6742"/>
    <w:rsid w:val="006F68CE"/>
    <w:rsid w:val="006F77C8"/>
    <w:rsid w:val="006F79CA"/>
    <w:rsid w:val="006F7AA4"/>
    <w:rsid w:val="00700A4A"/>
    <w:rsid w:val="007013D5"/>
    <w:rsid w:val="00701419"/>
    <w:rsid w:val="00701FDF"/>
    <w:rsid w:val="00702635"/>
    <w:rsid w:val="0070323D"/>
    <w:rsid w:val="00703465"/>
    <w:rsid w:val="0070385E"/>
    <w:rsid w:val="0070388F"/>
    <w:rsid w:val="00703F47"/>
    <w:rsid w:val="0070406D"/>
    <w:rsid w:val="0070561F"/>
    <w:rsid w:val="0070605D"/>
    <w:rsid w:val="00706B99"/>
    <w:rsid w:val="007070E5"/>
    <w:rsid w:val="007072E1"/>
    <w:rsid w:val="00707637"/>
    <w:rsid w:val="00707A38"/>
    <w:rsid w:val="00710820"/>
    <w:rsid w:val="00710980"/>
    <w:rsid w:val="00710A78"/>
    <w:rsid w:val="007112FC"/>
    <w:rsid w:val="0071141F"/>
    <w:rsid w:val="0071168A"/>
    <w:rsid w:val="00711C21"/>
    <w:rsid w:val="00711F2C"/>
    <w:rsid w:val="00711FB3"/>
    <w:rsid w:val="00712180"/>
    <w:rsid w:val="007125ED"/>
    <w:rsid w:val="00712D05"/>
    <w:rsid w:val="00713B8A"/>
    <w:rsid w:val="00713E44"/>
    <w:rsid w:val="0071439C"/>
    <w:rsid w:val="00715E03"/>
    <w:rsid w:val="00716093"/>
    <w:rsid w:val="00716256"/>
    <w:rsid w:val="007163E9"/>
    <w:rsid w:val="0071666D"/>
    <w:rsid w:val="00716AB5"/>
    <w:rsid w:val="00717E72"/>
    <w:rsid w:val="00720704"/>
    <w:rsid w:val="00720F38"/>
    <w:rsid w:val="00721216"/>
    <w:rsid w:val="0072128E"/>
    <w:rsid w:val="00721326"/>
    <w:rsid w:val="00721874"/>
    <w:rsid w:val="007218D9"/>
    <w:rsid w:val="00721A25"/>
    <w:rsid w:val="00722D63"/>
    <w:rsid w:val="007231E4"/>
    <w:rsid w:val="007235EA"/>
    <w:rsid w:val="007236D3"/>
    <w:rsid w:val="00723722"/>
    <w:rsid w:val="00723947"/>
    <w:rsid w:val="00723D1E"/>
    <w:rsid w:val="00723D6E"/>
    <w:rsid w:val="00723E12"/>
    <w:rsid w:val="00724175"/>
    <w:rsid w:val="00724D54"/>
    <w:rsid w:val="00724E97"/>
    <w:rsid w:val="00725E78"/>
    <w:rsid w:val="00725F3F"/>
    <w:rsid w:val="007273F1"/>
    <w:rsid w:val="00727E2A"/>
    <w:rsid w:val="00730970"/>
    <w:rsid w:val="00730B45"/>
    <w:rsid w:val="00730D08"/>
    <w:rsid w:val="00731742"/>
    <w:rsid w:val="00731A3C"/>
    <w:rsid w:val="00731B92"/>
    <w:rsid w:val="00731C8B"/>
    <w:rsid w:val="00731CEB"/>
    <w:rsid w:val="00732743"/>
    <w:rsid w:val="00732C53"/>
    <w:rsid w:val="007333C0"/>
    <w:rsid w:val="0073361E"/>
    <w:rsid w:val="00734A7D"/>
    <w:rsid w:val="0073562D"/>
    <w:rsid w:val="00735A4E"/>
    <w:rsid w:val="0073661F"/>
    <w:rsid w:val="00736B36"/>
    <w:rsid w:val="00736B46"/>
    <w:rsid w:val="00736E86"/>
    <w:rsid w:val="007372BA"/>
    <w:rsid w:val="00737C08"/>
    <w:rsid w:val="00737D80"/>
    <w:rsid w:val="00737FC7"/>
    <w:rsid w:val="007400AB"/>
    <w:rsid w:val="00740328"/>
    <w:rsid w:val="007403D8"/>
    <w:rsid w:val="00740781"/>
    <w:rsid w:val="00740C27"/>
    <w:rsid w:val="00740CCE"/>
    <w:rsid w:val="00741627"/>
    <w:rsid w:val="0074189B"/>
    <w:rsid w:val="0074450D"/>
    <w:rsid w:val="007445D1"/>
    <w:rsid w:val="0074482A"/>
    <w:rsid w:val="00744AE9"/>
    <w:rsid w:val="00745499"/>
    <w:rsid w:val="0074667D"/>
    <w:rsid w:val="00746862"/>
    <w:rsid w:val="00746AFF"/>
    <w:rsid w:val="007474EA"/>
    <w:rsid w:val="00747A80"/>
    <w:rsid w:val="00747E9B"/>
    <w:rsid w:val="00747EF7"/>
    <w:rsid w:val="00750949"/>
    <w:rsid w:val="007509EF"/>
    <w:rsid w:val="0075124A"/>
    <w:rsid w:val="00751CA3"/>
    <w:rsid w:val="007523B6"/>
    <w:rsid w:val="00752AD9"/>
    <w:rsid w:val="007530D7"/>
    <w:rsid w:val="0075316D"/>
    <w:rsid w:val="00753BD6"/>
    <w:rsid w:val="00753E64"/>
    <w:rsid w:val="00753EFE"/>
    <w:rsid w:val="00754446"/>
    <w:rsid w:val="00754715"/>
    <w:rsid w:val="00754A92"/>
    <w:rsid w:val="00754B4E"/>
    <w:rsid w:val="00754DDB"/>
    <w:rsid w:val="007568C8"/>
    <w:rsid w:val="00756972"/>
    <w:rsid w:val="00756A2E"/>
    <w:rsid w:val="00756B52"/>
    <w:rsid w:val="00756D51"/>
    <w:rsid w:val="00757BA6"/>
    <w:rsid w:val="00760A34"/>
    <w:rsid w:val="00760C73"/>
    <w:rsid w:val="00760D44"/>
    <w:rsid w:val="00761151"/>
    <w:rsid w:val="00761532"/>
    <w:rsid w:val="00761CFD"/>
    <w:rsid w:val="00762105"/>
    <w:rsid w:val="0076339B"/>
    <w:rsid w:val="00763665"/>
    <w:rsid w:val="00763A7C"/>
    <w:rsid w:val="00764F78"/>
    <w:rsid w:val="007651AF"/>
    <w:rsid w:val="007661F5"/>
    <w:rsid w:val="007670E9"/>
    <w:rsid w:val="00767EBD"/>
    <w:rsid w:val="00770055"/>
    <w:rsid w:val="00770089"/>
    <w:rsid w:val="007700A3"/>
    <w:rsid w:val="007706A5"/>
    <w:rsid w:val="007707B4"/>
    <w:rsid w:val="00770FA6"/>
    <w:rsid w:val="00771197"/>
    <w:rsid w:val="00771373"/>
    <w:rsid w:val="00771417"/>
    <w:rsid w:val="0077163B"/>
    <w:rsid w:val="007717F8"/>
    <w:rsid w:val="0077188E"/>
    <w:rsid w:val="00771DD7"/>
    <w:rsid w:val="00771ECE"/>
    <w:rsid w:val="0077276E"/>
    <w:rsid w:val="0077325D"/>
    <w:rsid w:val="00773671"/>
    <w:rsid w:val="0077386F"/>
    <w:rsid w:val="00773F3A"/>
    <w:rsid w:val="00774179"/>
    <w:rsid w:val="0077525F"/>
    <w:rsid w:val="007756D6"/>
    <w:rsid w:val="007760FF"/>
    <w:rsid w:val="00776342"/>
    <w:rsid w:val="00776E47"/>
    <w:rsid w:val="00776EEB"/>
    <w:rsid w:val="007774B5"/>
    <w:rsid w:val="007775C5"/>
    <w:rsid w:val="0077790D"/>
    <w:rsid w:val="00777E2F"/>
    <w:rsid w:val="00781356"/>
    <w:rsid w:val="0078136C"/>
    <w:rsid w:val="007813C7"/>
    <w:rsid w:val="007825A9"/>
    <w:rsid w:val="007826F1"/>
    <w:rsid w:val="00782710"/>
    <w:rsid w:val="00782BDF"/>
    <w:rsid w:val="00782DE8"/>
    <w:rsid w:val="0078334F"/>
    <w:rsid w:val="007837B5"/>
    <w:rsid w:val="007838C4"/>
    <w:rsid w:val="00783F2B"/>
    <w:rsid w:val="00784108"/>
    <w:rsid w:val="00784604"/>
    <w:rsid w:val="007847CE"/>
    <w:rsid w:val="0078481A"/>
    <w:rsid w:val="00785176"/>
    <w:rsid w:val="00785460"/>
    <w:rsid w:val="00785ADC"/>
    <w:rsid w:val="0078729D"/>
    <w:rsid w:val="00787318"/>
    <w:rsid w:val="007875F6"/>
    <w:rsid w:val="00787837"/>
    <w:rsid w:val="007879D4"/>
    <w:rsid w:val="0079130C"/>
    <w:rsid w:val="007913C9"/>
    <w:rsid w:val="0079240C"/>
    <w:rsid w:val="007925C0"/>
    <w:rsid w:val="00792CDE"/>
    <w:rsid w:val="00793720"/>
    <w:rsid w:val="00793CAC"/>
    <w:rsid w:val="00793CFD"/>
    <w:rsid w:val="007946C0"/>
    <w:rsid w:val="007946FB"/>
    <w:rsid w:val="00794F40"/>
    <w:rsid w:val="00795150"/>
    <w:rsid w:val="007954C8"/>
    <w:rsid w:val="007955CA"/>
    <w:rsid w:val="007957F4"/>
    <w:rsid w:val="00795817"/>
    <w:rsid w:val="00796C7C"/>
    <w:rsid w:val="007974F6"/>
    <w:rsid w:val="00797F11"/>
    <w:rsid w:val="007A071B"/>
    <w:rsid w:val="007A1DE4"/>
    <w:rsid w:val="007A2048"/>
    <w:rsid w:val="007A211D"/>
    <w:rsid w:val="007A22C2"/>
    <w:rsid w:val="007A25E0"/>
    <w:rsid w:val="007A276E"/>
    <w:rsid w:val="007A2DB4"/>
    <w:rsid w:val="007A3302"/>
    <w:rsid w:val="007A3335"/>
    <w:rsid w:val="007A36D1"/>
    <w:rsid w:val="007A39D8"/>
    <w:rsid w:val="007A3C41"/>
    <w:rsid w:val="007A4F0F"/>
    <w:rsid w:val="007A5A90"/>
    <w:rsid w:val="007A5B25"/>
    <w:rsid w:val="007A645A"/>
    <w:rsid w:val="007A69C3"/>
    <w:rsid w:val="007A6AA8"/>
    <w:rsid w:val="007A6D90"/>
    <w:rsid w:val="007A731A"/>
    <w:rsid w:val="007A7453"/>
    <w:rsid w:val="007A7B6E"/>
    <w:rsid w:val="007B0600"/>
    <w:rsid w:val="007B0801"/>
    <w:rsid w:val="007B0832"/>
    <w:rsid w:val="007B09DB"/>
    <w:rsid w:val="007B0B35"/>
    <w:rsid w:val="007B1D8A"/>
    <w:rsid w:val="007B1E09"/>
    <w:rsid w:val="007B2693"/>
    <w:rsid w:val="007B2F1E"/>
    <w:rsid w:val="007B3B27"/>
    <w:rsid w:val="007B3FE2"/>
    <w:rsid w:val="007B4382"/>
    <w:rsid w:val="007B479F"/>
    <w:rsid w:val="007B494D"/>
    <w:rsid w:val="007B575F"/>
    <w:rsid w:val="007B5BFF"/>
    <w:rsid w:val="007B5DEF"/>
    <w:rsid w:val="007B5F19"/>
    <w:rsid w:val="007B5F59"/>
    <w:rsid w:val="007B634F"/>
    <w:rsid w:val="007B6C56"/>
    <w:rsid w:val="007B73C6"/>
    <w:rsid w:val="007B7636"/>
    <w:rsid w:val="007B77EF"/>
    <w:rsid w:val="007B77F0"/>
    <w:rsid w:val="007C0094"/>
    <w:rsid w:val="007C0E21"/>
    <w:rsid w:val="007C10A5"/>
    <w:rsid w:val="007C132C"/>
    <w:rsid w:val="007C15FA"/>
    <w:rsid w:val="007C16EE"/>
    <w:rsid w:val="007C1EB6"/>
    <w:rsid w:val="007C1F49"/>
    <w:rsid w:val="007C2051"/>
    <w:rsid w:val="007C2737"/>
    <w:rsid w:val="007C2D3D"/>
    <w:rsid w:val="007C2E89"/>
    <w:rsid w:val="007C3144"/>
    <w:rsid w:val="007C3574"/>
    <w:rsid w:val="007C377D"/>
    <w:rsid w:val="007C3946"/>
    <w:rsid w:val="007C41C5"/>
    <w:rsid w:val="007C468B"/>
    <w:rsid w:val="007C48F4"/>
    <w:rsid w:val="007C4F70"/>
    <w:rsid w:val="007C5232"/>
    <w:rsid w:val="007C595D"/>
    <w:rsid w:val="007C604A"/>
    <w:rsid w:val="007C60C0"/>
    <w:rsid w:val="007C6B2A"/>
    <w:rsid w:val="007C6CA9"/>
    <w:rsid w:val="007C6DA1"/>
    <w:rsid w:val="007C73F9"/>
    <w:rsid w:val="007C7B90"/>
    <w:rsid w:val="007C7BF1"/>
    <w:rsid w:val="007D0482"/>
    <w:rsid w:val="007D081A"/>
    <w:rsid w:val="007D0A70"/>
    <w:rsid w:val="007D16A3"/>
    <w:rsid w:val="007D19FB"/>
    <w:rsid w:val="007D1E47"/>
    <w:rsid w:val="007D2AD4"/>
    <w:rsid w:val="007D3750"/>
    <w:rsid w:val="007D3BF2"/>
    <w:rsid w:val="007D468E"/>
    <w:rsid w:val="007D4A3C"/>
    <w:rsid w:val="007D4BC3"/>
    <w:rsid w:val="007D4BF4"/>
    <w:rsid w:val="007D4DEF"/>
    <w:rsid w:val="007D4E9A"/>
    <w:rsid w:val="007D59FB"/>
    <w:rsid w:val="007D71AE"/>
    <w:rsid w:val="007D73A2"/>
    <w:rsid w:val="007D7461"/>
    <w:rsid w:val="007E04A0"/>
    <w:rsid w:val="007E0528"/>
    <w:rsid w:val="007E06AE"/>
    <w:rsid w:val="007E08F6"/>
    <w:rsid w:val="007E12DC"/>
    <w:rsid w:val="007E1305"/>
    <w:rsid w:val="007E151A"/>
    <w:rsid w:val="007E161F"/>
    <w:rsid w:val="007E1B64"/>
    <w:rsid w:val="007E1D34"/>
    <w:rsid w:val="007E1F52"/>
    <w:rsid w:val="007E2ABF"/>
    <w:rsid w:val="007E2C3A"/>
    <w:rsid w:val="007E2FF9"/>
    <w:rsid w:val="007E38D7"/>
    <w:rsid w:val="007E4319"/>
    <w:rsid w:val="007E44A0"/>
    <w:rsid w:val="007E4C7E"/>
    <w:rsid w:val="007E4F7B"/>
    <w:rsid w:val="007E53C1"/>
    <w:rsid w:val="007E5A18"/>
    <w:rsid w:val="007E5A1C"/>
    <w:rsid w:val="007E60E9"/>
    <w:rsid w:val="007E676F"/>
    <w:rsid w:val="007E6851"/>
    <w:rsid w:val="007E7128"/>
    <w:rsid w:val="007E72ED"/>
    <w:rsid w:val="007F0625"/>
    <w:rsid w:val="007F083E"/>
    <w:rsid w:val="007F193B"/>
    <w:rsid w:val="007F285D"/>
    <w:rsid w:val="007F2993"/>
    <w:rsid w:val="007F2CD7"/>
    <w:rsid w:val="007F34E8"/>
    <w:rsid w:val="007F40A6"/>
    <w:rsid w:val="007F42FD"/>
    <w:rsid w:val="007F4694"/>
    <w:rsid w:val="007F5625"/>
    <w:rsid w:val="007F6124"/>
    <w:rsid w:val="007F683C"/>
    <w:rsid w:val="007F7AF2"/>
    <w:rsid w:val="007F7DCC"/>
    <w:rsid w:val="00800AA6"/>
    <w:rsid w:val="008012A8"/>
    <w:rsid w:val="00801357"/>
    <w:rsid w:val="00801401"/>
    <w:rsid w:val="008019A6"/>
    <w:rsid w:val="00801FC1"/>
    <w:rsid w:val="00801FCE"/>
    <w:rsid w:val="00803C6A"/>
    <w:rsid w:val="00804356"/>
    <w:rsid w:val="008048DA"/>
    <w:rsid w:val="0080589B"/>
    <w:rsid w:val="008059CB"/>
    <w:rsid w:val="00805A29"/>
    <w:rsid w:val="00805A5D"/>
    <w:rsid w:val="00805F12"/>
    <w:rsid w:val="00805FC9"/>
    <w:rsid w:val="00806764"/>
    <w:rsid w:val="0080705B"/>
    <w:rsid w:val="00807083"/>
    <w:rsid w:val="0080742D"/>
    <w:rsid w:val="00807F10"/>
    <w:rsid w:val="00807F9F"/>
    <w:rsid w:val="00810302"/>
    <w:rsid w:val="0081087D"/>
    <w:rsid w:val="0081140B"/>
    <w:rsid w:val="008115BB"/>
    <w:rsid w:val="008117DB"/>
    <w:rsid w:val="00811FA5"/>
    <w:rsid w:val="0081212B"/>
    <w:rsid w:val="00812A29"/>
    <w:rsid w:val="00812A8B"/>
    <w:rsid w:val="008137C1"/>
    <w:rsid w:val="00813F06"/>
    <w:rsid w:val="00813F2A"/>
    <w:rsid w:val="00814295"/>
    <w:rsid w:val="008143AB"/>
    <w:rsid w:val="00814616"/>
    <w:rsid w:val="00814875"/>
    <w:rsid w:val="00814A55"/>
    <w:rsid w:val="00814FF4"/>
    <w:rsid w:val="0081554B"/>
    <w:rsid w:val="008155C2"/>
    <w:rsid w:val="00815EAA"/>
    <w:rsid w:val="00815F0A"/>
    <w:rsid w:val="00816AA8"/>
    <w:rsid w:val="00817343"/>
    <w:rsid w:val="008203B6"/>
    <w:rsid w:val="008211E5"/>
    <w:rsid w:val="008212BF"/>
    <w:rsid w:val="008213FD"/>
    <w:rsid w:val="008214A9"/>
    <w:rsid w:val="0082181F"/>
    <w:rsid w:val="00821BF8"/>
    <w:rsid w:val="00822492"/>
    <w:rsid w:val="0082262D"/>
    <w:rsid w:val="00822747"/>
    <w:rsid w:val="00822826"/>
    <w:rsid w:val="008228E6"/>
    <w:rsid w:val="00822B08"/>
    <w:rsid w:val="00822E85"/>
    <w:rsid w:val="008234CF"/>
    <w:rsid w:val="0082375B"/>
    <w:rsid w:val="00823BFB"/>
    <w:rsid w:val="00823E39"/>
    <w:rsid w:val="00823F86"/>
    <w:rsid w:val="00824318"/>
    <w:rsid w:val="0082431D"/>
    <w:rsid w:val="00824A39"/>
    <w:rsid w:val="00825132"/>
    <w:rsid w:val="00825DEF"/>
    <w:rsid w:val="008263F9"/>
    <w:rsid w:val="00826FA1"/>
    <w:rsid w:val="00827002"/>
    <w:rsid w:val="00827783"/>
    <w:rsid w:val="0083088D"/>
    <w:rsid w:val="00830FB6"/>
    <w:rsid w:val="008314F3"/>
    <w:rsid w:val="00831687"/>
    <w:rsid w:val="00831D6F"/>
    <w:rsid w:val="00831DB4"/>
    <w:rsid w:val="00831E28"/>
    <w:rsid w:val="00832148"/>
    <w:rsid w:val="00832288"/>
    <w:rsid w:val="008327AD"/>
    <w:rsid w:val="008330B0"/>
    <w:rsid w:val="0083348A"/>
    <w:rsid w:val="00833674"/>
    <w:rsid w:val="0083398F"/>
    <w:rsid w:val="00833AAA"/>
    <w:rsid w:val="00833E93"/>
    <w:rsid w:val="00834512"/>
    <w:rsid w:val="00834B72"/>
    <w:rsid w:val="0083555A"/>
    <w:rsid w:val="00835A67"/>
    <w:rsid w:val="00836A2C"/>
    <w:rsid w:val="00836D90"/>
    <w:rsid w:val="00836DBD"/>
    <w:rsid w:val="00836F79"/>
    <w:rsid w:val="0083714A"/>
    <w:rsid w:val="008377D1"/>
    <w:rsid w:val="008378A5"/>
    <w:rsid w:val="0084118C"/>
    <w:rsid w:val="008419D1"/>
    <w:rsid w:val="00841A8A"/>
    <w:rsid w:val="00841C0C"/>
    <w:rsid w:val="00841DF3"/>
    <w:rsid w:val="00841EFC"/>
    <w:rsid w:val="00841F07"/>
    <w:rsid w:val="00842622"/>
    <w:rsid w:val="00842D32"/>
    <w:rsid w:val="00842F79"/>
    <w:rsid w:val="008432CF"/>
    <w:rsid w:val="00843420"/>
    <w:rsid w:val="008444B9"/>
    <w:rsid w:val="0084479C"/>
    <w:rsid w:val="00844A0A"/>
    <w:rsid w:val="00844BC9"/>
    <w:rsid w:val="00845037"/>
    <w:rsid w:val="00845428"/>
    <w:rsid w:val="0084566B"/>
    <w:rsid w:val="00845D79"/>
    <w:rsid w:val="0084634C"/>
    <w:rsid w:val="00846429"/>
    <w:rsid w:val="008469D5"/>
    <w:rsid w:val="00846A3B"/>
    <w:rsid w:val="00846D6C"/>
    <w:rsid w:val="00847B8F"/>
    <w:rsid w:val="00847C40"/>
    <w:rsid w:val="00847CE7"/>
    <w:rsid w:val="00847CE9"/>
    <w:rsid w:val="00850873"/>
    <w:rsid w:val="0085093C"/>
    <w:rsid w:val="00850D52"/>
    <w:rsid w:val="00851165"/>
    <w:rsid w:val="00851175"/>
    <w:rsid w:val="008512F4"/>
    <w:rsid w:val="0085133B"/>
    <w:rsid w:val="00851AA9"/>
    <w:rsid w:val="0085296E"/>
    <w:rsid w:val="00852A46"/>
    <w:rsid w:val="00853B1F"/>
    <w:rsid w:val="00853CB8"/>
    <w:rsid w:val="008546E8"/>
    <w:rsid w:val="008547BD"/>
    <w:rsid w:val="00855FCB"/>
    <w:rsid w:val="00855FD4"/>
    <w:rsid w:val="008560F3"/>
    <w:rsid w:val="00856D41"/>
    <w:rsid w:val="00857586"/>
    <w:rsid w:val="00857AD2"/>
    <w:rsid w:val="00857B74"/>
    <w:rsid w:val="0086044E"/>
    <w:rsid w:val="00860714"/>
    <w:rsid w:val="00860CC5"/>
    <w:rsid w:val="008610D1"/>
    <w:rsid w:val="008615B8"/>
    <w:rsid w:val="0086161A"/>
    <w:rsid w:val="00861B3C"/>
    <w:rsid w:val="00861BB9"/>
    <w:rsid w:val="0086218E"/>
    <w:rsid w:val="0086255C"/>
    <w:rsid w:val="00863008"/>
    <w:rsid w:val="008630C8"/>
    <w:rsid w:val="008633E5"/>
    <w:rsid w:val="008637BA"/>
    <w:rsid w:val="00863A36"/>
    <w:rsid w:val="00863C2F"/>
    <w:rsid w:val="008641A3"/>
    <w:rsid w:val="00864D6F"/>
    <w:rsid w:val="00865355"/>
    <w:rsid w:val="00866887"/>
    <w:rsid w:val="00866A4E"/>
    <w:rsid w:val="008672A0"/>
    <w:rsid w:val="00870601"/>
    <w:rsid w:val="00870651"/>
    <w:rsid w:val="00871394"/>
    <w:rsid w:val="00871497"/>
    <w:rsid w:val="00871E08"/>
    <w:rsid w:val="008722B3"/>
    <w:rsid w:val="008724D7"/>
    <w:rsid w:val="00872BE4"/>
    <w:rsid w:val="00873D85"/>
    <w:rsid w:val="008750FF"/>
    <w:rsid w:val="0087550A"/>
    <w:rsid w:val="008774BE"/>
    <w:rsid w:val="00877B83"/>
    <w:rsid w:val="00877E22"/>
    <w:rsid w:val="0088086D"/>
    <w:rsid w:val="00880C59"/>
    <w:rsid w:val="00880D3F"/>
    <w:rsid w:val="00880E9F"/>
    <w:rsid w:val="0088123E"/>
    <w:rsid w:val="00881387"/>
    <w:rsid w:val="008813AD"/>
    <w:rsid w:val="0088164A"/>
    <w:rsid w:val="008819C2"/>
    <w:rsid w:val="00881D8A"/>
    <w:rsid w:val="00882274"/>
    <w:rsid w:val="0088265A"/>
    <w:rsid w:val="00882AC6"/>
    <w:rsid w:val="00882BC7"/>
    <w:rsid w:val="00883468"/>
    <w:rsid w:val="0088378A"/>
    <w:rsid w:val="00883846"/>
    <w:rsid w:val="00884635"/>
    <w:rsid w:val="00884953"/>
    <w:rsid w:val="00885044"/>
    <w:rsid w:val="00885612"/>
    <w:rsid w:val="00885C4F"/>
    <w:rsid w:val="00885C79"/>
    <w:rsid w:val="00886578"/>
    <w:rsid w:val="0088659E"/>
    <w:rsid w:val="00886862"/>
    <w:rsid w:val="008868BE"/>
    <w:rsid w:val="00886ABE"/>
    <w:rsid w:val="008871B9"/>
    <w:rsid w:val="008872F0"/>
    <w:rsid w:val="00887531"/>
    <w:rsid w:val="00887A1E"/>
    <w:rsid w:val="00887AA9"/>
    <w:rsid w:val="00887DDF"/>
    <w:rsid w:val="00890568"/>
    <w:rsid w:val="00890A69"/>
    <w:rsid w:val="00891772"/>
    <w:rsid w:val="00891A0F"/>
    <w:rsid w:val="00891B45"/>
    <w:rsid w:val="00892A82"/>
    <w:rsid w:val="00892DCB"/>
    <w:rsid w:val="00893380"/>
    <w:rsid w:val="00893DD3"/>
    <w:rsid w:val="0089402B"/>
    <w:rsid w:val="0089435F"/>
    <w:rsid w:val="0089482E"/>
    <w:rsid w:val="008948C0"/>
    <w:rsid w:val="00894BBD"/>
    <w:rsid w:val="008953D3"/>
    <w:rsid w:val="00895478"/>
    <w:rsid w:val="00895A1E"/>
    <w:rsid w:val="00895C68"/>
    <w:rsid w:val="00895DE8"/>
    <w:rsid w:val="008960EA"/>
    <w:rsid w:val="008965C9"/>
    <w:rsid w:val="00897297"/>
    <w:rsid w:val="00897620"/>
    <w:rsid w:val="00897C71"/>
    <w:rsid w:val="008A1C67"/>
    <w:rsid w:val="008A1FE1"/>
    <w:rsid w:val="008A21D3"/>
    <w:rsid w:val="008A2A1F"/>
    <w:rsid w:val="008A2B10"/>
    <w:rsid w:val="008A2D57"/>
    <w:rsid w:val="008A2ECB"/>
    <w:rsid w:val="008A39AE"/>
    <w:rsid w:val="008A417E"/>
    <w:rsid w:val="008A4579"/>
    <w:rsid w:val="008A47E1"/>
    <w:rsid w:val="008A4954"/>
    <w:rsid w:val="008A54B4"/>
    <w:rsid w:val="008A54EB"/>
    <w:rsid w:val="008A556E"/>
    <w:rsid w:val="008A55E8"/>
    <w:rsid w:val="008A614A"/>
    <w:rsid w:val="008A6168"/>
    <w:rsid w:val="008A63AB"/>
    <w:rsid w:val="008A63CB"/>
    <w:rsid w:val="008A6717"/>
    <w:rsid w:val="008A6B28"/>
    <w:rsid w:val="008A6B4F"/>
    <w:rsid w:val="008A71B5"/>
    <w:rsid w:val="008A77CC"/>
    <w:rsid w:val="008A7ADF"/>
    <w:rsid w:val="008A7DED"/>
    <w:rsid w:val="008B00C0"/>
    <w:rsid w:val="008B0F3C"/>
    <w:rsid w:val="008B0FAF"/>
    <w:rsid w:val="008B0FD9"/>
    <w:rsid w:val="008B0FFC"/>
    <w:rsid w:val="008B131F"/>
    <w:rsid w:val="008B18EE"/>
    <w:rsid w:val="008B2859"/>
    <w:rsid w:val="008B30B3"/>
    <w:rsid w:val="008B3842"/>
    <w:rsid w:val="008B44FD"/>
    <w:rsid w:val="008B4529"/>
    <w:rsid w:val="008B4991"/>
    <w:rsid w:val="008B4C07"/>
    <w:rsid w:val="008B4F80"/>
    <w:rsid w:val="008B4F8C"/>
    <w:rsid w:val="008B5015"/>
    <w:rsid w:val="008B52A7"/>
    <w:rsid w:val="008B5B07"/>
    <w:rsid w:val="008B5B94"/>
    <w:rsid w:val="008B5F15"/>
    <w:rsid w:val="008B61E2"/>
    <w:rsid w:val="008B6503"/>
    <w:rsid w:val="008B670B"/>
    <w:rsid w:val="008B6ACC"/>
    <w:rsid w:val="008B756E"/>
    <w:rsid w:val="008B7708"/>
    <w:rsid w:val="008B7CCA"/>
    <w:rsid w:val="008C090F"/>
    <w:rsid w:val="008C0911"/>
    <w:rsid w:val="008C0A1D"/>
    <w:rsid w:val="008C1881"/>
    <w:rsid w:val="008C1AD5"/>
    <w:rsid w:val="008C2F60"/>
    <w:rsid w:val="008C3636"/>
    <w:rsid w:val="008C3F3E"/>
    <w:rsid w:val="008C4BDC"/>
    <w:rsid w:val="008C56D0"/>
    <w:rsid w:val="008C71A7"/>
    <w:rsid w:val="008D0596"/>
    <w:rsid w:val="008D0868"/>
    <w:rsid w:val="008D0D33"/>
    <w:rsid w:val="008D1592"/>
    <w:rsid w:val="008D1707"/>
    <w:rsid w:val="008D1C13"/>
    <w:rsid w:val="008D1D6F"/>
    <w:rsid w:val="008D1DE0"/>
    <w:rsid w:val="008D1FF3"/>
    <w:rsid w:val="008D2492"/>
    <w:rsid w:val="008D3F2C"/>
    <w:rsid w:val="008D4015"/>
    <w:rsid w:val="008D4174"/>
    <w:rsid w:val="008D430D"/>
    <w:rsid w:val="008D47E9"/>
    <w:rsid w:val="008D50AE"/>
    <w:rsid w:val="008D513A"/>
    <w:rsid w:val="008D67DB"/>
    <w:rsid w:val="008D6A81"/>
    <w:rsid w:val="008D70F3"/>
    <w:rsid w:val="008E077E"/>
    <w:rsid w:val="008E0A5D"/>
    <w:rsid w:val="008E1713"/>
    <w:rsid w:val="008E1ACE"/>
    <w:rsid w:val="008E1DF8"/>
    <w:rsid w:val="008E2147"/>
    <w:rsid w:val="008E261D"/>
    <w:rsid w:val="008E274C"/>
    <w:rsid w:val="008E29A9"/>
    <w:rsid w:val="008E2DA1"/>
    <w:rsid w:val="008E343B"/>
    <w:rsid w:val="008E3595"/>
    <w:rsid w:val="008E37A1"/>
    <w:rsid w:val="008E3D18"/>
    <w:rsid w:val="008E4238"/>
    <w:rsid w:val="008E4E74"/>
    <w:rsid w:val="008E4F36"/>
    <w:rsid w:val="008E599F"/>
    <w:rsid w:val="008E5D5F"/>
    <w:rsid w:val="008E5DB1"/>
    <w:rsid w:val="008E61A5"/>
    <w:rsid w:val="008E62F8"/>
    <w:rsid w:val="008E72A3"/>
    <w:rsid w:val="008E747C"/>
    <w:rsid w:val="008E7584"/>
    <w:rsid w:val="008E7BE6"/>
    <w:rsid w:val="008E7E0D"/>
    <w:rsid w:val="008F0033"/>
    <w:rsid w:val="008F00F9"/>
    <w:rsid w:val="008F06A9"/>
    <w:rsid w:val="008F1106"/>
    <w:rsid w:val="008F1184"/>
    <w:rsid w:val="008F1B16"/>
    <w:rsid w:val="008F1BD1"/>
    <w:rsid w:val="008F1BEC"/>
    <w:rsid w:val="008F2841"/>
    <w:rsid w:val="008F2CB3"/>
    <w:rsid w:val="008F2CF5"/>
    <w:rsid w:val="008F2DF4"/>
    <w:rsid w:val="008F3381"/>
    <w:rsid w:val="008F3481"/>
    <w:rsid w:val="008F3BCF"/>
    <w:rsid w:val="008F46EE"/>
    <w:rsid w:val="008F50E4"/>
    <w:rsid w:val="008F5F7F"/>
    <w:rsid w:val="008F6009"/>
    <w:rsid w:val="008F6CB5"/>
    <w:rsid w:val="008F6FE3"/>
    <w:rsid w:val="008F7AAC"/>
    <w:rsid w:val="0090009A"/>
    <w:rsid w:val="009006CB"/>
    <w:rsid w:val="00900E08"/>
    <w:rsid w:val="0090141A"/>
    <w:rsid w:val="00901521"/>
    <w:rsid w:val="009016C6"/>
    <w:rsid w:val="00901E87"/>
    <w:rsid w:val="00901F26"/>
    <w:rsid w:val="009021E8"/>
    <w:rsid w:val="0090258D"/>
    <w:rsid w:val="009027C2"/>
    <w:rsid w:val="00902AE7"/>
    <w:rsid w:val="009038FF"/>
    <w:rsid w:val="00903A58"/>
    <w:rsid w:val="00903C31"/>
    <w:rsid w:val="00903E77"/>
    <w:rsid w:val="00904907"/>
    <w:rsid w:val="00904950"/>
    <w:rsid w:val="00904C33"/>
    <w:rsid w:val="00905233"/>
    <w:rsid w:val="009054A6"/>
    <w:rsid w:val="00905B55"/>
    <w:rsid w:val="009071A0"/>
    <w:rsid w:val="00907680"/>
    <w:rsid w:val="009077CB"/>
    <w:rsid w:val="00907BD2"/>
    <w:rsid w:val="00907CD9"/>
    <w:rsid w:val="00907D5A"/>
    <w:rsid w:val="00910553"/>
    <w:rsid w:val="00910ED4"/>
    <w:rsid w:val="00911184"/>
    <w:rsid w:val="009117F5"/>
    <w:rsid w:val="00911CD7"/>
    <w:rsid w:val="009120F7"/>
    <w:rsid w:val="00912372"/>
    <w:rsid w:val="0091276F"/>
    <w:rsid w:val="00912BB1"/>
    <w:rsid w:val="0091302A"/>
    <w:rsid w:val="0091361E"/>
    <w:rsid w:val="00913A02"/>
    <w:rsid w:val="00913E7F"/>
    <w:rsid w:val="00913FBB"/>
    <w:rsid w:val="00913FCC"/>
    <w:rsid w:val="009143FF"/>
    <w:rsid w:val="009152BF"/>
    <w:rsid w:val="00915E5B"/>
    <w:rsid w:val="00915F25"/>
    <w:rsid w:val="009163C9"/>
    <w:rsid w:val="009168AE"/>
    <w:rsid w:val="00916967"/>
    <w:rsid w:val="00917DFD"/>
    <w:rsid w:val="00920123"/>
    <w:rsid w:val="009205F6"/>
    <w:rsid w:val="00920C80"/>
    <w:rsid w:val="00920E25"/>
    <w:rsid w:val="00921275"/>
    <w:rsid w:val="0092158D"/>
    <w:rsid w:val="0092188C"/>
    <w:rsid w:val="00923F4A"/>
    <w:rsid w:val="0092404C"/>
    <w:rsid w:val="009240EF"/>
    <w:rsid w:val="00924627"/>
    <w:rsid w:val="0092484A"/>
    <w:rsid w:val="0092490C"/>
    <w:rsid w:val="00924919"/>
    <w:rsid w:val="00925125"/>
    <w:rsid w:val="009252A9"/>
    <w:rsid w:val="009253D3"/>
    <w:rsid w:val="009259DC"/>
    <w:rsid w:val="00925E17"/>
    <w:rsid w:val="00925FEC"/>
    <w:rsid w:val="00926022"/>
    <w:rsid w:val="0092647E"/>
    <w:rsid w:val="009266CB"/>
    <w:rsid w:val="00926C5E"/>
    <w:rsid w:val="009274C2"/>
    <w:rsid w:val="0092784B"/>
    <w:rsid w:val="00927934"/>
    <w:rsid w:val="00927F6C"/>
    <w:rsid w:val="00930A02"/>
    <w:rsid w:val="009313F7"/>
    <w:rsid w:val="00931404"/>
    <w:rsid w:val="009317E9"/>
    <w:rsid w:val="0093229C"/>
    <w:rsid w:val="0093230B"/>
    <w:rsid w:val="00932803"/>
    <w:rsid w:val="00932D0C"/>
    <w:rsid w:val="009348F2"/>
    <w:rsid w:val="00934971"/>
    <w:rsid w:val="00936212"/>
    <w:rsid w:val="00936342"/>
    <w:rsid w:val="009367B7"/>
    <w:rsid w:val="00936CE7"/>
    <w:rsid w:val="009371DC"/>
    <w:rsid w:val="00937EB2"/>
    <w:rsid w:val="009401AB"/>
    <w:rsid w:val="0094048F"/>
    <w:rsid w:val="00940668"/>
    <w:rsid w:val="00941223"/>
    <w:rsid w:val="00941A75"/>
    <w:rsid w:val="00941F98"/>
    <w:rsid w:val="00942D11"/>
    <w:rsid w:val="009431F3"/>
    <w:rsid w:val="009436BF"/>
    <w:rsid w:val="00943DD3"/>
    <w:rsid w:val="00944298"/>
    <w:rsid w:val="0094496F"/>
    <w:rsid w:val="00944E46"/>
    <w:rsid w:val="00945464"/>
    <w:rsid w:val="00945CCD"/>
    <w:rsid w:val="00945CE0"/>
    <w:rsid w:val="00946470"/>
    <w:rsid w:val="0094678D"/>
    <w:rsid w:val="00946A4A"/>
    <w:rsid w:val="00946D85"/>
    <w:rsid w:val="009475C5"/>
    <w:rsid w:val="00947889"/>
    <w:rsid w:val="00950547"/>
    <w:rsid w:val="009506BA"/>
    <w:rsid w:val="00950FBA"/>
    <w:rsid w:val="00951284"/>
    <w:rsid w:val="00951673"/>
    <w:rsid w:val="00951EE4"/>
    <w:rsid w:val="00951F51"/>
    <w:rsid w:val="009520E8"/>
    <w:rsid w:val="00952AEC"/>
    <w:rsid w:val="00952C24"/>
    <w:rsid w:val="00952FD0"/>
    <w:rsid w:val="0095317D"/>
    <w:rsid w:val="009537D1"/>
    <w:rsid w:val="009538B5"/>
    <w:rsid w:val="00953AAD"/>
    <w:rsid w:val="00953CEC"/>
    <w:rsid w:val="00953FF9"/>
    <w:rsid w:val="009542A7"/>
    <w:rsid w:val="00954898"/>
    <w:rsid w:val="00954D4A"/>
    <w:rsid w:val="00954E12"/>
    <w:rsid w:val="009550D3"/>
    <w:rsid w:val="009552D0"/>
    <w:rsid w:val="00955534"/>
    <w:rsid w:val="009556C7"/>
    <w:rsid w:val="0095576A"/>
    <w:rsid w:val="00955D51"/>
    <w:rsid w:val="00955F37"/>
    <w:rsid w:val="009560AF"/>
    <w:rsid w:val="0095676A"/>
    <w:rsid w:val="00957402"/>
    <w:rsid w:val="009577B4"/>
    <w:rsid w:val="00957F6D"/>
    <w:rsid w:val="00961036"/>
    <w:rsid w:val="00961229"/>
    <w:rsid w:val="009612F6"/>
    <w:rsid w:val="009619F6"/>
    <w:rsid w:val="00961C2C"/>
    <w:rsid w:val="00961F33"/>
    <w:rsid w:val="00962B96"/>
    <w:rsid w:val="009638FD"/>
    <w:rsid w:val="00963B35"/>
    <w:rsid w:val="009645ED"/>
    <w:rsid w:val="00964A57"/>
    <w:rsid w:val="009654B1"/>
    <w:rsid w:val="009659B4"/>
    <w:rsid w:val="00966601"/>
    <w:rsid w:val="0096689B"/>
    <w:rsid w:val="00966A80"/>
    <w:rsid w:val="00966B7A"/>
    <w:rsid w:val="00966B7C"/>
    <w:rsid w:val="00967727"/>
    <w:rsid w:val="00967D7D"/>
    <w:rsid w:val="00967FE6"/>
    <w:rsid w:val="009701A4"/>
    <w:rsid w:val="00970C36"/>
    <w:rsid w:val="00970E1B"/>
    <w:rsid w:val="009710D6"/>
    <w:rsid w:val="00972849"/>
    <w:rsid w:val="0097297E"/>
    <w:rsid w:val="00972F47"/>
    <w:rsid w:val="00973D62"/>
    <w:rsid w:val="0097484A"/>
    <w:rsid w:val="00974FB9"/>
    <w:rsid w:val="0097515D"/>
    <w:rsid w:val="00975399"/>
    <w:rsid w:val="00975687"/>
    <w:rsid w:val="009757AF"/>
    <w:rsid w:val="00975DB8"/>
    <w:rsid w:val="00975E40"/>
    <w:rsid w:val="00975F8A"/>
    <w:rsid w:val="009761E6"/>
    <w:rsid w:val="00976567"/>
    <w:rsid w:val="00977124"/>
    <w:rsid w:val="00977172"/>
    <w:rsid w:val="0097734F"/>
    <w:rsid w:val="00977451"/>
    <w:rsid w:val="00977806"/>
    <w:rsid w:val="00977942"/>
    <w:rsid w:val="00977B80"/>
    <w:rsid w:val="00977DB2"/>
    <w:rsid w:val="009800E0"/>
    <w:rsid w:val="00980361"/>
    <w:rsid w:val="0098075B"/>
    <w:rsid w:val="00981242"/>
    <w:rsid w:val="0098150D"/>
    <w:rsid w:val="00981B78"/>
    <w:rsid w:val="009820A3"/>
    <w:rsid w:val="00982529"/>
    <w:rsid w:val="00982A2F"/>
    <w:rsid w:val="00982BCC"/>
    <w:rsid w:val="00983BA8"/>
    <w:rsid w:val="009848DE"/>
    <w:rsid w:val="00984A2B"/>
    <w:rsid w:val="00985171"/>
    <w:rsid w:val="0098522D"/>
    <w:rsid w:val="009852E4"/>
    <w:rsid w:val="0098554C"/>
    <w:rsid w:val="0098578C"/>
    <w:rsid w:val="009863F6"/>
    <w:rsid w:val="00986577"/>
    <w:rsid w:val="009866DF"/>
    <w:rsid w:val="0098685B"/>
    <w:rsid w:val="0098694E"/>
    <w:rsid w:val="00986C49"/>
    <w:rsid w:val="00986E3F"/>
    <w:rsid w:val="00987C85"/>
    <w:rsid w:val="00987F64"/>
    <w:rsid w:val="0099009C"/>
    <w:rsid w:val="00990470"/>
    <w:rsid w:val="009911A5"/>
    <w:rsid w:val="00991B8E"/>
    <w:rsid w:val="0099215D"/>
    <w:rsid w:val="00992A17"/>
    <w:rsid w:val="00993665"/>
    <w:rsid w:val="009936DE"/>
    <w:rsid w:val="00993773"/>
    <w:rsid w:val="009940FF"/>
    <w:rsid w:val="00994B6C"/>
    <w:rsid w:val="00994BF2"/>
    <w:rsid w:val="00995288"/>
    <w:rsid w:val="00995BAC"/>
    <w:rsid w:val="00995CAE"/>
    <w:rsid w:val="00996725"/>
    <w:rsid w:val="0099672A"/>
    <w:rsid w:val="009970B9"/>
    <w:rsid w:val="00997B30"/>
    <w:rsid w:val="00997BF7"/>
    <w:rsid w:val="00997C70"/>
    <w:rsid w:val="00997E23"/>
    <w:rsid w:val="009A00EC"/>
    <w:rsid w:val="009A011C"/>
    <w:rsid w:val="009A0E18"/>
    <w:rsid w:val="009A124B"/>
    <w:rsid w:val="009A1504"/>
    <w:rsid w:val="009A1B28"/>
    <w:rsid w:val="009A237C"/>
    <w:rsid w:val="009A28DD"/>
    <w:rsid w:val="009A2C39"/>
    <w:rsid w:val="009A2C96"/>
    <w:rsid w:val="009A2D91"/>
    <w:rsid w:val="009A2FFC"/>
    <w:rsid w:val="009A31F0"/>
    <w:rsid w:val="009A3F69"/>
    <w:rsid w:val="009A3FF5"/>
    <w:rsid w:val="009A4455"/>
    <w:rsid w:val="009A4575"/>
    <w:rsid w:val="009A46FD"/>
    <w:rsid w:val="009A47CF"/>
    <w:rsid w:val="009A48CC"/>
    <w:rsid w:val="009A4BD8"/>
    <w:rsid w:val="009A4FD1"/>
    <w:rsid w:val="009A5117"/>
    <w:rsid w:val="009A56DF"/>
    <w:rsid w:val="009A570F"/>
    <w:rsid w:val="009A60B3"/>
    <w:rsid w:val="009A6F9B"/>
    <w:rsid w:val="009B0037"/>
    <w:rsid w:val="009B0450"/>
    <w:rsid w:val="009B04AB"/>
    <w:rsid w:val="009B1600"/>
    <w:rsid w:val="009B1630"/>
    <w:rsid w:val="009B1A4C"/>
    <w:rsid w:val="009B2757"/>
    <w:rsid w:val="009B29E9"/>
    <w:rsid w:val="009B2B0D"/>
    <w:rsid w:val="009B2F38"/>
    <w:rsid w:val="009B3390"/>
    <w:rsid w:val="009B4335"/>
    <w:rsid w:val="009B4CC3"/>
    <w:rsid w:val="009B4DE6"/>
    <w:rsid w:val="009B5378"/>
    <w:rsid w:val="009B5EF5"/>
    <w:rsid w:val="009B6779"/>
    <w:rsid w:val="009B734B"/>
    <w:rsid w:val="009B74D2"/>
    <w:rsid w:val="009B7EC7"/>
    <w:rsid w:val="009C06CA"/>
    <w:rsid w:val="009C0A54"/>
    <w:rsid w:val="009C0C8C"/>
    <w:rsid w:val="009C1409"/>
    <w:rsid w:val="009C1692"/>
    <w:rsid w:val="009C192E"/>
    <w:rsid w:val="009C4C0F"/>
    <w:rsid w:val="009C560C"/>
    <w:rsid w:val="009C6D7E"/>
    <w:rsid w:val="009C6DA9"/>
    <w:rsid w:val="009C7A18"/>
    <w:rsid w:val="009C7D2E"/>
    <w:rsid w:val="009C7F8C"/>
    <w:rsid w:val="009D0AFD"/>
    <w:rsid w:val="009D2987"/>
    <w:rsid w:val="009D29A5"/>
    <w:rsid w:val="009D2C34"/>
    <w:rsid w:val="009D3F0F"/>
    <w:rsid w:val="009D43E3"/>
    <w:rsid w:val="009D4B4D"/>
    <w:rsid w:val="009D500C"/>
    <w:rsid w:val="009D55D5"/>
    <w:rsid w:val="009D59B0"/>
    <w:rsid w:val="009D5CB5"/>
    <w:rsid w:val="009D5D63"/>
    <w:rsid w:val="009D670A"/>
    <w:rsid w:val="009D70C9"/>
    <w:rsid w:val="009D76E7"/>
    <w:rsid w:val="009E0CB7"/>
    <w:rsid w:val="009E1314"/>
    <w:rsid w:val="009E13E5"/>
    <w:rsid w:val="009E177B"/>
    <w:rsid w:val="009E177D"/>
    <w:rsid w:val="009E1A5D"/>
    <w:rsid w:val="009E1A98"/>
    <w:rsid w:val="009E1C30"/>
    <w:rsid w:val="009E1E14"/>
    <w:rsid w:val="009E23D7"/>
    <w:rsid w:val="009E2E34"/>
    <w:rsid w:val="009E326C"/>
    <w:rsid w:val="009E3A7D"/>
    <w:rsid w:val="009E4461"/>
    <w:rsid w:val="009E4CA5"/>
    <w:rsid w:val="009E4D70"/>
    <w:rsid w:val="009E4F8D"/>
    <w:rsid w:val="009E5636"/>
    <w:rsid w:val="009E5FA4"/>
    <w:rsid w:val="009E6049"/>
    <w:rsid w:val="009E622F"/>
    <w:rsid w:val="009E6E97"/>
    <w:rsid w:val="009E726C"/>
    <w:rsid w:val="009E7402"/>
    <w:rsid w:val="009E75C9"/>
    <w:rsid w:val="009E7612"/>
    <w:rsid w:val="009E7D1B"/>
    <w:rsid w:val="009F030B"/>
    <w:rsid w:val="009F0320"/>
    <w:rsid w:val="009F0547"/>
    <w:rsid w:val="009F08FF"/>
    <w:rsid w:val="009F1531"/>
    <w:rsid w:val="009F168B"/>
    <w:rsid w:val="009F1D27"/>
    <w:rsid w:val="009F2042"/>
    <w:rsid w:val="009F234D"/>
    <w:rsid w:val="009F2C28"/>
    <w:rsid w:val="009F2F3A"/>
    <w:rsid w:val="009F329A"/>
    <w:rsid w:val="009F3946"/>
    <w:rsid w:val="009F436E"/>
    <w:rsid w:val="009F4C79"/>
    <w:rsid w:val="009F5255"/>
    <w:rsid w:val="009F54AD"/>
    <w:rsid w:val="009F54C8"/>
    <w:rsid w:val="009F573F"/>
    <w:rsid w:val="009F5B48"/>
    <w:rsid w:val="009F5DD3"/>
    <w:rsid w:val="009F6075"/>
    <w:rsid w:val="009F631B"/>
    <w:rsid w:val="009F73AF"/>
    <w:rsid w:val="00A00304"/>
    <w:rsid w:val="00A0084A"/>
    <w:rsid w:val="00A008E3"/>
    <w:rsid w:val="00A00B43"/>
    <w:rsid w:val="00A012D4"/>
    <w:rsid w:val="00A017CD"/>
    <w:rsid w:val="00A01ACF"/>
    <w:rsid w:val="00A01AFC"/>
    <w:rsid w:val="00A0249B"/>
    <w:rsid w:val="00A025F4"/>
    <w:rsid w:val="00A02AD9"/>
    <w:rsid w:val="00A02DD0"/>
    <w:rsid w:val="00A03624"/>
    <w:rsid w:val="00A0365D"/>
    <w:rsid w:val="00A0387A"/>
    <w:rsid w:val="00A03961"/>
    <w:rsid w:val="00A03EAD"/>
    <w:rsid w:val="00A041FD"/>
    <w:rsid w:val="00A04564"/>
    <w:rsid w:val="00A045F2"/>
    <w:rsid w:val="00A04DDE"/>
    <w:rsid w:val="00A05826"/>
    <w:rsid w:val="00A061C3"/>
    <w:rsid w:val="00A06A19"/>
    <w:rsid w:val="00A06AC9"/>
    <w:rsid w:val="00A0732D"/>
    <w:rsid w:val="00A0742A"/>
    <w:rsid w:val="00A07665"/>
    <w:rsid w:val="00A07C70"/>
    <w:rsid w:val="00A07DE8"/>
    <w:rsid w:val="00A07DF0"/>
    <w:rsid w:val="00A10115"/>
    <w:rsid w:val="00A103F9"/>
    <w:rsid w:val="00A109F6"/>
    <w:rsid w:val="00A11331"/>
    <w:rsid w:val="00A12767"/>
    <w:rsid w:val="00A136DB"/>
    <w:rsid w:val="00A1385A"/>
    <w:rsid w:val="00A13888"/>
    <w:rsid w:val="00A13A14"/>
    <w:rsid w:val="00A13BEC"/>
    <w:rsid w:val="00A13C16"/>
    <w:rsid w:val="00A140CB"/>
    <w:rsid w:val="00A14153"/>
    <w:rsid w:val="00A149ED"/>
    <w:rsid w:val="00A150BA"/>
    <w:rsid w:val="00A15932"/>
    <w:rsid w:val="00A15E33"/>
    <w:rsid w:val="00A16265"/>
    <w:rsid w:val="00A169C7"/>
    <w:rsid w:val="00A16C64"/>
    <w:rsid w:val="00A16E43"/>
    <w:rsid w:val="00A16E8D"/>
    <w:rsid w:val="00A1733F"/>
    <w:rsid w:val="00A17560"/>
    <w:rsid w:val="00A1791C"/>
    <w:rsid w:val="00A17A91"/>
    <w:rsid w:val="00A20145"/>
    <w:rsid w:val="00A202F8"/>
    <w:rsid w:val="00A2060A"/>
    <w:rsid w:val="00A21836"/>
    <w:rsid w:val="00A21F50"/>
    <w:rsid w:val="00A22073"/>
    <w:rsid w:val="00A225C6"/>
    <w:rsid w:val="00A22E2E"/>
    <w:rsid w:val="00A22E95"/>
    <w:rsid w:val="00A23497"/>
    <w:rsid w:val="00A23546"/>
    <w:rsid w:val="00A23EB1"/>
    <w:rsid w:val="00A23F69"/>
    <w:rsid w:val="00A23F8A"/>
    <w:rsid w:val="00A24739"/>
    <w:rsid w:val="00A24CB2"/>
    <w:rsid w:val="00A24EB4"/>
    <w:rsid w:val="00A25602"/>
    <w:rsid w:val="00A25F50"/>
    <w:rsid w:val="00A265C6"/>
    <w:rsid w:val="00A266E5"/>
    <w:rsid w:val="00A274DF"/>
    <w:rsid w:val="00A2767E"/>
    <w:rsid w:val="00A277DB"/>
    <w:rsid w:val="00A27FCD"/>
    <w:rsid w:val="00A30634"/>
    <w:rsid w:val="00A31086"/>
    <w:rsid w:val="00A3194C"/>
    <w:rsid w:val="00A31A3F"/>
    <w:rsid w:val="00A31B22"/>
    <w:rsid w:val="00A31FE6"/>
    <w:rsid w:val="00A3253A"/>
    <w:rsid w:val="00A325C2"/>
    <w:rsid w:val="00A32945"/>
    <w:rsid w:val="00A32A0E"/>
    <w:rsid w:val="00A32D6C"/>
    <w:rsid w:val="00A33567"/>
    <w:rsid w:val="00A34450"/>
    <w:rsid w:val="00A35668"/>
    <w:rsid w:val="00A35917"/>
    <w:rsid w:val="00A359CE"/>
    <w:rsid w:val="00A35EB1"/>
    <w:rsid w:val="00A362A6"/>
    <w:rsid w:val="00A367B8"/>
    <w:rsid w:val="00A36832"/>
    <w:rsid w:val="00A373F9"/>
    <w:rsid w:val="00A3765F"/>
    <w:rsid w:val="00A40C61"/>
    <w:rsid w:val="00A4136E"/>
    <w:rsid w:val="00A422A5"/>
    <w:rsid w:val="00A429E5"/>
    <w:rsid w:val="00A4328E"/>
    <w:rsid w:val="00A435BA"/>
    <w:rsid w:val="00A43731"/>
    <w:rsid w:val="00A44014"/>
    <w:rsid w:val="00A44452"/>
    <w:rsid w:val="00A44474"/>
    <w:rsid w:val="00A444EA"/>
    <w:rsid w:val="00A45336"/>
    <w:rsid w:val="00A454E7"/>
    <w:rsid w:val="00A455D9"/>
    <w:rsid w:val="00A45826"/>
    <w:rsid w:val="00A45C50"/>
    <w:rsid w:val="00A45ED2"/>
    <w:rsid w:val="00A47273"/>
    <w:rsid w:val="00A47381"/>
    <w:rsid w:val="00A5056A"/>
    <w:rsid w:val="00A50927"/>
    <w:rsid w:val="00A50CC4"/>
    <w:rsid w:val="00A511F0"/>
    <w:rsid w:val="00A51A44"/>
    <w:rsid w:val="00A52815"/>
    <w:rsid w:val="00A529F3"/>
    <w:rsid w:val="00A52B33"/>
    <w:rsid w:val="00A52C3A"/>
    <w:rsid w:val="00A535A1"/>
    <w:rsid w:val="00A53749"/>
    <w:rsid w:val="00A549EF"/>
    <w:rsid w:val="00A54D49"/>
    <w:rsid w:val="00A54D82"/>
    <w:rsid w:val="00A550E0"/>
    <w:rsid w:val="00A5522E"/>
    <w:rsid w:val="00A553E8"/>
    <w:rsid w:val="00A55401"/>
    <w:rsid w:val="00A55D8A"/>
    <w:rsid w:val="00A5609F"/>
    <w:rsid w:val="00A56F89"/>
    <w:rsid w:val="00A604CF"/>
    <w:rsid w:val="00A60EF3"/>
    <w:rsid w:val="00A61752"/>
    <w:rsid w:val="00A622EA"/>
    <w:rsid w:val="00A62A0A"/>
    <w:rsid w:val="00A630A6"/>
    <w:rsid w:val="00A632FA"/>
    <w:rsid w:val="00A63826"/>
    <w:rsid w:val="00A63B1D"/>
    <w:rsid w:val="00A6448C"/>
    <w:rsid w:val="00A64578"/>
    <w:rsid w:val="00A64BE8"/>
    <w:rsid w:val="00A65292"/>
    <w:rsid w:val="00A662B6"/>
    <w:rsid w:val="00A66A19"/>
    <w:rsid w:val="00A66AAE"/>
    <w:rsid w:val="00A66DB5"/>
    <w:rsid w:val="00A67A31"/>
    <w:rsid w:val="00A67CD8"/>
    <w:rsid w:val="00A70448"/>
    <w:rsid w:val="00A70D9B"/>
    <w:rsid w:val="00A70F55"/>
    <w:rsid w:val="00A71B83"/>
    <w:rsid w:val="00A71C2D"/>
    <w:rsid w:val="00A71D13"/>
    <w:rsid w:val="00A72053"/>
    <w:rsid w:val="00A721B5"/>
    <w:rsid w:val="00A72568"/>
    <w:rsid w:val="00A72581"/>
    <w:rsid w:val="00A7262F"/>
    <w:rsid w:val="00A739EE"/>
    <w:rsid w:val="00A740D5"/>
    <w:rsid w:val="00A74106"/>
    <w:rsid w:val="00A7469A"/>
    <w:rsid w:val="00A74CCA"/>
    <w:rsid w:val="00A74D65"/>
    <w:rsid w:val="00A74EC2"/>
    <w:rsid w:val="00A75ED2"/>
    <w:rsid w:val="00A7656A"/>
    <w:rsid w:val="00A76681"/>
    <w:rsid w:val="00A767E9"/>
    <w:rsid w:val="00A77ACC"/>
    <w:rsid w:val="00A77BC5"/>
    <w:rsid w:val="00A802E1"/>
    <w:rsid w:val="00A807FA"/>
    <w:rsid w:val="00A808BF"/>
    <w:rsid w:val="00A81352"/>
    <w:rsid w:val="00A81529"/>
    <w:rsid w:val="00A817C4"/>
    <w:rsid w:val="00A81BA8"/>
    <w:rsid w:val="00A81EB7"/>
    <w:rsid w:val="00A8258D"/>
    <w:rsid w:val="00A826B6"/>
    <w:rsid w:val="00A8275F"/>
    <w:rsid w:val="00A82F26"/>
    <w:rsid w:val="00A837FB"/>
    <w:rsid w:val="00A83F4C"/>
    <w:rsid w:val="00A842EF"/>
    <w:rsid w:val="00A84E57"/>
    <w:rsid w:val="00A85145"/>
    <w:rsid w:val="00A85330"/>
    <w:rsid w:val="00A85832"/>
    <w:rsid w:val="00A86145"/>
    <w:rsid w:val="00A87973"/>
    <w:rsid w:val="00A87FA2"/>
    <w:rsid w:val="00A90406"/>
    <w:rsid w:val="00A906B0"/>
    <w:rsid w:val="00A9086A"/>
    <w:rsid w:val="00A90A2E"/>
    <w:rsid w:val="00A910CE"/>
    <w:rsid w:val="00A9135E"/>
    <w:rsid w:val="00A91B7B"/>
    <w:rsid w:val="00A9203C"/>
    <w:rsid w:val="00A9227F"/>
    <w:rsid w:val="00A92492"/>
    <w:rsid w:val="00A93555"/>
    <w:rsid w:val="00A94336"/>
    <w:rsid w:val="00A946E9"/>
    <w:rsid w:val="00A94886"/>
    <w:rsid w:val="00A94B57"/>
    <w:rsid w:val="00A94B9A"/>
    <w:rsid w:val="00A9500D"/>
    <w:rsid w:val="00A951A8"/>
    <w:rsid w:val="00A9557D"/>
    <w:rsid w:val="00A95DAF"/>
    <w:rsid w:val="00A96539"/>
    <w:rsid w:val="00A96776"/>
    <w:rsid w:val="00A96A86"/>
    <w:rsid w:val="00A97092"/>
    <w:rsid w:val="00A9775E"/>
    <w:rsid w:val="00A97FDE"/>
    <w:rsid w:val="00AA041E"/>
    <w:rsid w:val="00AA0501"/>
    <w:rsid w:val="00AA12EC"/>
    <w:rsid w:val="00AA1840"/>
    <w:rsid w:val="00AA18DE"/>
    <w:rsid w:val="00AA1E51"/>
    <w:rsid w:val="00AA1E96"/>
    <w:rsid w:val="00AA3371"/>
    <w:rsid w:val="00AA404F"/>
    <w:rsid w:val="00AA4917"/>
    <w:rsid w:val="00AA4E9F"/>
    <w:rsid w:val="00AA5159"/>
    <w:rsid w:val="00AA653A"/>
    <w:rsid w:val="00AA6599"/>
    <w:rsid w:val="00AA70ED"/>
    <w:rsid w:val="00AA7106"/>
    <w:rsid w:val="00AA7FBE"/>
    <w:rsid w:val="00AB024A"/>
    <w:rsid w:val="00AB160C"/>
    <w:rsid w:val="00AB2131"/>
    <w:rsid w:val="00AB2FCE"/>
    <w:rsid w:val="00AB3779"/>
    <w:rsid w:val="00AB3BDB"/>
    <w:rsid w:val="00AB42F2"/>
    <w:rsid w:val="00AB4679"/>
    <w:rsid w:val="00AB4722"/>
    <w:rsid w:val="00AB4B9F"/>
    <w:rsid w:val="00AB4E09"/>
    <w:rsid w:val="00AB5A6F"/>
    <w:rsid w:val="00AB5E7F"/>
    <w:rsid w:val="00AB64E4"/>
    <w:rsid w:val="00AB6D92"/>
    <w:rsid w:val="00AB7642"/>
    <w:rsid w:val="00AB7B39"/>
    <w:rsid w:val="00AB7C8B"/>
    <w:rsid w:val="00AC0907"/>
    <w:rsid w:val="00AC12F9"/>
    <w:rsid w:val="00AC15B1"/>
    <w:rsid w:val="00AC1F1C"/>
    <w:rsid w:val="00AC2AF2"/>
    <w:rsid w:val="00AC301D"/>
    <w:rsid w:val="00AC33A9"/>
    <w:rsid w:val="00AC33F8"/>
    <w:rsid w:val="00AC35C3"/>
    <w:rsid w:val="00AC42B9"/>
    <w:rsid w:val="00AC4496"/>
    <w:rsid w:val="00AC44AC"/>
    <w:rsid w:val="00AC4EAB"/>
    <w:rsid w:val="00AC4F34"/>
    <w:rsid w:val="00AC4F76"/>
    <w:rsid w:val="00AC519D"/>
    <w:rsid w:val="00AC5818"/>
    <w:rsid w:val="00AC5F58"/>
    <w:rsid w:val="00AC6701"/>
    <w:rsid w:val="00AC6883"/>
    <w:rsid w:val="00AC6D2E"/>
    <w:rsid w:val="00AC7A11"/>
    <w:rsid w:val="00AD2143"/>
    <w:rsid w:val="00AD28FB"/>
    <w:rsid w:val="00AD2BDA"/>
    <w:rsid w:val="00AD3CF4"/>
    <w:rsid w:val="00AD4127"/>
    <w:rsid w:val="00AD5372"/>
    <w:rsid w:val="00AD5C9F"/>
    <w:rsid w:val="00AD6899"/>
    <w:rsid w:val="00AD6F7D"/>
    <w:rsid w:val="00AD7144"/>
    <w:rsid w:val="00AD7EB3"/>
    <w:rsid w:val="00AE069C"/>
    <w:rsid w:val="00AE0B5D"/>
    <w:rsid w:val="00AE0C05"/>
    <w:rsid w:val="00AE0D8F"/>
    <w:rsid w:val="00AE14E3"/>
    <w:rsid w:val="00AE158D"/>
    <w:rsid w:val="00AE2F5F"/>
    <w:rsid w:val="00AE3223"/>
    <w:rsid w:val="00AE3AF5"/>
    <w:rsid w:val="00AE433E"/>
    <w:rsid w:val="00AE4592"/>
    <w:rsid w:val="00AE461B"/>
    <w:rsid w:val="00AE4909"/>
    <w:rsid w:val="00AE5A8A"/>
    <w:rsid w:val="00AE5EF5"/>
    <w:rsid w:val="00AE61F2"/>
    <w:rsid w:val="00AE72A2"/>
    <w:rsid w:val="00AE7669"/>
    <w:rsid w:val="00AE7FF4"/>
    <w:rsid w:val="00AF00AC"/>
    <w:rsid w:val="00AF022E"/>
    <w:rsid w:val="00AF0538"/>
    <w:rsid w:val="00AF0C90"/>
    <w:rsid w:val="00AF139B"/>
    <w:rsid w:val="00AF2924"/>
    <w:rsid w:val="00AF2933"/>
    <w:rsid w:val="00AF2D4E"/>
    <w:rsid w:val="00AF2E69"/>
    <w:rsid w:val="00AF3922"/>
    <w:rsid w:val="00AF48A3"/>
    <w:rsid w:val="00AF50A6"/>
    <w:rsid w:val="00AF62D7"/>
    <w:rsid w:val="00AF6631"/>
    <w:rsid w:val="00AF6832"/>
    <w:rsid w:val="00AF6C48"/>
    <w:rsid w:val="00AF6CBE"/>
    <w:rsid w:val="00AF7156"/>
    <w:rsid w:val="00AF7256"/>
    <w:rsid w:val="00AF7DB0"/>
    <w:rsid w:val="00B005D5"/>
    <w:rsid w:val="00B006A2"/>
    <w:rsid w:val="00B00A08"/>
    <w:rsid w:val="00B0125E"/>
    <w:rsid w:val="00B0141B"/>
    <w:rsid w:val="00B018B5"/>
    <w:rsid w:val="00B0223B"/>
    <w:rsid w:val="00B0274A"/>
    <w:rsid w:val="00B02909"/>
    <w:rsid w:val="00B029E1"/>
    <w:rsid w:val="00B02CBD"/>
    <w:rsid w:val="00B03594"/>
    <w:rsid w:val="00B036F2"/>
    <w:rsid w:val="00B039D3"/>
    <w:rsid w:val="00B03D5F"/>
    <w:rsid w:val="00B0415D"/>
    <w:rsid w:val="00B04316"/>
    <w:rsid w:val="00B0491C"/>
    <w:rsid w:val="00B0505E"/>
    <w:rsid w:val="00B059DB"/>
    <w:rsid w:val="00B06893"/>
    <w:rsid w:val="00B071A7"/>
    <w:rsid w:val="00B1073C"/>
    <w:rsid w:val="00B10CC6"/>
    <w:rsid w:val="00B10F0A"/>
    <w:rsid w:val="00B10F3F"/>
    <w:rsid w:val="00B110C3"/>
    <w:rsid w:val="00B11B94"/>
    <w:rsid w:val="00B11E67"/>
    <w:rsid w:val="00B11FAD"/>
    <w:rsid w:val="00B12464"/>
    <w:rsid w:val="00B12E5A"/>
    <w:rsid w:val="00B13DEB"/>
    <w:rsid w:val="00B14171"/>
    <w:rsid w:val="00B14953"/>
    <w:rsid w:val="00B15579"/>
    <w:rsid w:val="00B168FE"/>
    <w:rsid w:val="00B16A06"/>
    <w:rsid w:val="00B173A0"/>
    <w:rsid w:val="00B177F4"/>
    <w:rsid w:val="00B17FAF"/>
    <w:rsid w:val="00B2099C"/>
    <w:rsid w:val="00B20C22"/>
    <w:rsid w:val="00B217FF"/>
    <w:rsid w:val="00B22C78"/>
    <w:rsid w:val="00B22D6A"/>
    <w:rsid w:val="00B233DE"/>
    <w:rsid w:val="00B23B85"/>
    <w:rsid w:val="00B23CD0"/>
    <w:rsid w:val="00B23D70"/>
    <w:rsid w:val="00B23F1B"/>
    <w:rsid w:val="00B242BB"/>
    <w:rsid w:val="00B2430E"/>
    <w:rsid w:val="00B24431"/>
    <w:rsid w:val="00B2466A"/>
    <w:rsid w:val="00B247B5"/>
    <w:rsid w:val="00B251F9"/>
    <w:rsid w:val="00B25503"/>
    <w:rsid w:val="00B25F34"/>
    <w:rsid w:val="00B2647B"/>
    <w:rsid w:val="00B266EF"/>
    <w:rsid w:val="00B26FED"/>
    <w:rsid w:val="00B27E2A"/>
    <w:rsid w:val="00B30301"/>
    <w:rsid w:val="00B303B1"/>
    <w:rsid w:val="00B30E36"/>
    <w:rsid w:val="00B30EC4"/>
    <w:rsid w:val="00B318D2"/>
    <w:rsid w:val="00B31C20"/>
    <w:rsid w:val="00B31C87"/>
    <w:rsid w:val="00B31DEF"/>
    <w:rsid w:val="00B329FC"/>
    <w:rsid w:val="00B33D87"/>
    <w:rsid w:val="00B34F2C"/>
    <w:rsid w:val="00B34FCD"/>
    <w:rsid w:val="00B3574D"/>
    <w:rsid w:val="00B357C9"/>
    <w:rsid w:val="00B35BA1"/>
    <w:rsid w:val="00B36144"/>
    <w:rsid w:val="00B37823"/>
    <w:rsid w:val="00B3798C"/>
    <w:rsid w:val="00B37C8F"/>
    <w:rsid w:val="00B37D10"/>
    <w:rsid w:val="00B37E8E"/>
    <w:rsid w:val="00B40F0B"/>
    <w:rsid w:val="00B40F3E"/>
    <w:rsid w:val="00B4153C"/>
    <w:rsid w:val="00B4285C"/>
    <w:rsid w:val="00B42BF1"/>
    <w:rsid w:val="00B433CC"/>
    <w:rsid w:val="00B43C4B"/>
    <w:rsid w:val="00B43E54"/>
    <w:rsid w:val="00B445A0"/>
    <w:rsid w:val="00B44B8C"/>
    <w:rsid w:val="00B44D04"/>
    <w:rsid w:val="00B457D4"/>
    <w:rsid w:val="00B46181"/>
    <w:rsid w:val="00B46D30"/>
    <w:rsid w:val="00B47B6B"/>
    <w:rsid w:val="00B47D87"/>
    <w:rsid w:val="00B47EE6"/>
    <w:rsid w:val="00B504B5"/>
    <w:rsid w:val="00B50E0A"/>
    <w:rsid w:val="00B510B9"/>
    <w:rsid w:val="00B515F4"/>
    <w:rsid w:val="00B51BC9"/>
    <w:rsid w:val="00B52045"/>
    <w:rsid w:val="00B52092"/>
    <w:rsid w:val="00B52925"/>
    <w:rsid w:val="00B52C4D"/>
    <w:rsid w:val="00B5316E"/>
    <w:rsid w:val="00B53CF5"/>
    <w:rsid w:val="00B54B7F"/>
    <w:rsid w:val="00B54D09"/>
    <w:rsid w:val="00B55A78"/>
    <w:rsid w:val="00B55DC6"/>
    <w:rsid w:val="00B56705"/>
    <w:rsid w:val="00B568EA"/>
    <w:rsid w:val="00B56BA2"/>
    <w:rsid w:val="00B56DD1"/>
    <w:rsid w:val="00B57494"/>
    <w:rsid w:val="00B57772"/>
    <w:rsid w:val="00B578B7"/>
    <w:rsid w:val="00B57914"/>
    <w:rsid w:val="00B57EB6"/>
    <w:rsid w:val="00B57F12"/>
    <w:rsid w:val="00B603E7"/>
    <w:rsid w:val="00B60D82"/>
    <w:rsid w:val="00B60E36"/>
    <w:rsid w:val="00B61E07"/>
    <w:rsid w:val="00B62B99"/>
    <w:rsid w:val="00B63C4A"/>
    <w:rsid w:val="00B642BD"/>
    <w:rsid w:val="00B6440B"/>
    <w:rsid w:val="00B645F8"/>
    <w:rsid w:val="00B64909"/>
    <w:rsid w:val="00B64A5A"/>
    <w:rsid w:val="00B64D5E"/>
    <w:rsid w:val="00B6687D"/>
    <w:rsid w:val="00B670DF"/>
    <w:rsid w:val="00B672DC"/>
    <w:rsid w:val="00B674D4"/>
    <w:rsid w:val="00B67B3B"/>
    <w:rsid w:val="00B701A1"/>
    <w:rsid w:val="00B7030C"/>
    <w:rsid w:val="00B708EF"/>
    <w:rsid w:val="00B70A25"/>
    <w:rsid w:val="00B70DC7"/>
    <w:rsid w:val="00B711C8"/>
    <w:rsid w:val="00B71AB9"/>
    <w:rsid w:val="00B722BE"/>
    <w:rsid w:val="00B7324B"/>
    <w:rsid w:val="00B7328F"/>
    <w:rsid w:val="00B734D7"/>
    <w:rsid w:val="00B7495B"/>
    <w:rsid w:val="00B75230"/>
    <w:rsid w:val="00B7555F"/>
    <w:rsid w:val="00B761CB"/>
    <w:rsid w:val="00B766DB"/>
    <w:rsid w:val="00B7735F"/>
    <w:rsid w:val="00B80166"/>
    <w:rsid w:val="00B803FA"/>
    <w:rsid w:val="00B805C8"/>
    <w:rsid w:val="00B80A27"/>
    <w:rsid w:val="00B80AC0"/>
    <w:rsid w:val="00B80BA7"/>
    <w:rsid w:val="00B80BEF"/>
    <w:rsid w:val="00B816AA"/>
    <w:rsid w:val="00B8172D"/>
    <w:rsid w:val="00B81C6F"/>
    <w:rsid w:val="00B820B0"/>
    <w:rsid w:val="00B82CB6"/>
    <w:rsid w:val="00B832A3"/>
    <w:rsid w:val="00B83C21"/>
    <w:rsid w:val="00B84826"/>
    <w:rsid w:val="00B84D81"/>
    <w:rsid w:val="00B851A5"/>
    <w:rsid w:val="00B85536"/>
    <w:rsid w:val="00B855AF"/>
    <w:rsid w:val="00B856F4"/>
    <w:rsid w:val="00B85F9D"/>
    <w:rsid w:val="00B86155"/>
    <w:rsid w:val="00B86162"/>
    <w:rsid w:val="00B87599"/>
    <w:rsid w:val="00B9015B"/>
    <w:rsid w:val="00B909DB"/>
    <w:rsid w:val="00B9112C"/>
    <w:rsid w:val="00B92384"/>
    <w:rsid w:val="00B92AD4"/>
    <w:rsid w:val="00B92AFA"/>
    <w:rsid w:val="00B92C35"/>
    <w:rsid w:val="00B92D68"/>
    <w:rsid w:val="00B93222"/>
    <w:rsid w:val="00B93273"/>
    <w:rsid w:val="00B9338D"/>
    <w:rsid w:val="00B94342"/>
    <w:rsid w:val="00B946A3"/>
    <w:rsid w:val="00B9472F"/>
    <w:rsid w:val="00B948C4"/>
    <w:rsid w:val="00B94962"/>
    <w:rsid w:val="00B94A91"/>
    <w:rsid w:val="00B94F52"/>
    <w:rsid w:val="00B95080"/>
    <w:rsid w:val="00B95689"/>
    <w:rsid w:val="00B956E3"/>
    <w:rsid w:val="00B95D38"/>
    <w:rsid w:val="00B9665E"/>
    <w:rsid w:val="00B968BA"/>
    <w:rsid w:val="00B97958"/>
    <w:rsid w:val="00BA015C"/>
    <w:rsid w:val="00BA03C2"/>
    <w:rsid w:val="00BA0F31"/>
    <w:rsid w:val="00BA0F62"/>
    <w:rsid w:val="00BA1338"/>
    <w:rsid w:val="00BA17E8"/>
    <w:rsid w:val="00BA2917"/>
    <w:rsid w:val="00BA3113"/>
    <w:rsid w:val="00BA314B"/>
    <w:rsid w:val="00BA325C"/>
    <w:rsid w:val="00BA3FA0"/>
    <w:rsid w:val="00BA4065"/>
    <w:rsid w:val="00BA4DBD"/>
    <w:rsid w:val="00BA4E82"/>
    <w:rsid w:val="00BA4F0D"/>
    <w:rsid w:val="00BA4F82"/>
    <w:rsid w:val="00BA52C1"/>
    <w:rsid w:val="00BA5B3A"/>
    <w:rsid w:val="00BA5DF0"/>
    <w:rsid w:val="00BA61A3"/>
    <w:rsid w:val="00BA7977"/>
    <w:rsid w:val="00BA7A69"/>
    <w:rsid w:val="00BA7B13"/>
    <w:rsid w:val="00BA7F2A"/>
    <w:rsid w:val="00BB0896"/>
    <w:rsid w:val="00BB1702"/>
    <w:rsid w:val="00BB174B"/>
    <w:rsid w:val="00BB2EB0"/>
    <w:rsid w:val="00BB324B"/>
    <w:rsid w:val="00BB38ED"/>
    <w:rsid w:val="00BB44E2"/>
    <w:rsid w:val="00BB482F"/>
    <w:rsid w:val="00BB4F35"/>
    <w:rsid w:val="00BB508F"/>
    <w:rsid w:val="00BB5AEC"/>
    <w:rsid w:val="00BB5D48"/>
    <w:rsid w:val="00BB6916"/>
    <w:rsid w:val="00BB70C2"/>
    <w:rsid w:val="00BB766A"/>
    <w:rsid w:val="00BB7C60"/>
    <w:rsid w:val="00BB7E3F"/>
    <w:rsid w:val="00BB7EC8"/>
    <w:rsid w:val="00BC0998"/>
    <w:rsid w:val="00BC0E96"/>
    <w:rsid w:val="00BC0FBF"/>
    <w:rsid w:val="00BC1E37"/>
    <w:rsid w:val="00BC2459"/>
    <w:rsid w:val="00BC3031"/>
    <w:rsid w:val="00BC3414"/>
    <w:rsid w:val="00BC3EBC"/>
    <w:rsid w:val="00BC3FFF"/>
    <w:rsid w:val="00BC525C"/>
    <w:rsid w:val="00BC53BA"/>
    <w:rsid w:val="00BC543D"/>
    <w:rsid w:val="00BC58CB"/>
    <w:rsid w:val="00BC5DFC"/>
    <w:rsid w:val="00BC5EEA"/>
    <w:rsid w:val="00BC6AAE"/>
    <w:rsid w:val="00BC6B11"/>
    <w:rsid w:val="00BC6CC5"/>
    <w:rsid w:val="00BC7516"/>
    <w:rsid w:val="00BC7637"/>
    <w:rsid w:val="00BC7AEC"/>
    <w:rsid w:val="00BC7CFE"/>
    <w:rsid w:val="00BC7D1F"/>
    <w:rsid w:val="00BD045D"/>
    <w:rsid w:val="00BD0BAC"/>
    <w:rsid w:val="00BD1230"/>
    <w:rsid w:val="00BD1539"/>
    <w:rsid w:val="00BD183D"/>
    <w:rsid w:val="00BD2208"/>
    <w:rsid w:val="00BD233E"/>
    <w:rsid w:val="00BD245E"/>
    <w:rsid w:val="00BD2D99"/>
    <w:rsid w:val="00BD2F52"/>
    <w:rsid w:val="00BD3A08"/>
    <w:rsid w:val="00BD4029"/>
    <w:rsid w:val="00BD40E2"/>
    <w:rsid w:val="00BD4373"/>
    <w:rsid w:val="00BD4394"/>
    <w:rsid w:val="00BD4762"/>
    <w:rsid w:val="00BD4A29"/>
    <w:rsid w:val="00BD4C97"/>
    <w:rsid w:val="00BD4DCB"/>
    <w:rsid w:val="00BD4FB9"/>
    <w:rsid w:val="00BD5672"/>
    <w:rsid w:val="00BD5A87"/>
    <w:rsid w:val="00BD63AB"/>
    <w:rsid w:val="00BD6D5E"/>
    <w:rsid w:val="00BD6DAF"/>
    <w:rsid w:val="00BD73C1"/>
    <w:rsid w:val="00BD76E3"/>
    <w:rsid w:val="00BE022E"/>
    <w:rsid w:val="00BE185A"/>
    <w:rsid w:val="00BE2886"/>
    <w:rsid w:val="00BE2C7E"/>
    <w:rsid w:val="00BE32D2"/>
    <w:rsid w:val="00BE3A95"/>
    <w:rsid w:val="00BE3C4D"/>
    <w:rsid w:val="00BE4156"/>
    <w:rsid w:val="00BE426B"/>
    <w:rsid w:val="00BE42A3"/>
    <w:rsid w:val="00BE43D7"/>
    <w:rsid w:val="00BE4AEB"/>
    <w:rsid w:val="00BE5025"/>
    <w:rsid w:val="00BE531C"/>
    <w:rsid w:val="00BE5493"/>
    <w:rsid w:val="00BE55B6"/>
    <w:rsid w:val="00BE615C"/>
    <w:rsid w:val="00BE652D"/>
    <w:rsid w:val="00BE68CD"/>
    <w:rsid w:val="00BE68D0"/>
    <w:rsid w:val="00BE6CE8"/>
    <w:rsid w:val="00BE7177"/>
    <w:rsid w:val="00BE72AA"/>
    <w:rsid w:val="00BE7307"/>
    <w:rsid w:val="00BF05F8"/>
    <w:rsid w:val="00BF0688"/>
    <w:rsid w:val="00BF16C0"/>
    <w:rsid w:val="00BF17D3"/>
    <w:rsid w:val="00BF1ED6"/>
    <w:rsid w:val="00BF2126"/>
    <w:rsid w:val="00BF2140"/>
    <w:rsid w:val="00BF26AE"/>
    <w:rsid w:val="00BF372B"/>
    <w:rsid w:val="00BF3AE1"/>
    <w:rsid w:val="00BF4E16"/>
    <w:rsid w:val="00BF5701"/>
    <w:rsid w:val="00BF5F6F"/>
    <w:rsid w:val="00BF6B58"/>
    <w:rsid w:val="00BF72DD"/>
    <w:rsid w:val="00BF74AD"/>
    <w:rsid w:val="00BF753F"/>
    <w:rsid w:val="00BF7DB9"/>
    <w:rsid w:val="00C00629"/>
    <w:rsid w:val="00C010D3"/>
    <w:rsid w:val="00C010D5"/>
    <w:rsid w:val="00C0110A"/>
    <w:rsid w:val="00C01178"/>
    <w:rsid w:val="00C01BAF"/>
    <w:rsid w:val="00C01FBF"/>
    <w:rsid w:val="00C0204A"/>
    <w:rsid w:val="00C0280B"/>
    <w:rsid w:val="00C02E13"/>
    <w:rsid w:val="00C03D72"/>
    <w:rsid w:val="00C04281"/>
    <w:rsid w:val="00C045BE"/>
    <w:rsid w:val="00C045F7"/>
    <w:rsid w:val="00C04705"/>
    <w:rsid w:val="00C04819"/>
    <w:rsid w:val="00C04F22"/>
    <w:rsid w:val="00C053EA"/>
    <w:rsid w:val="00C0571E"/>
    <w:rsid w:val="00C05784"/>
    <w:rsid w:val="00C05D5C"/>
    <w:rsid w:val="00C06A6B"/>
    <w:rsid w:val="00C06A82"/>
    <w:rsid w:val="00C06B94"/>
    <w:rsid w:val="00C06BBE"/>
    <w:rsid w:val="00C071C2"/>
    <w:rsid w:val="00C10368"/>
    <w:rsid w:val="00C10562"/>
    <w:rsid w:val="00C1087D"/>
    <w:rsid w:val="00C1096E"/>
    <w:rsid w:val="00C10D01"/>
    <w:rsid w:val="00C10F22"/>
    <w:rsid w:val="00C1135F"/>
    <w:rsid w:val="00C119FF"/>
    <w:rsid w:val="00C11B62"/>
    <w:rsid w:val="00C11BA7"/>
    <w:rsid w:val="00C122B4"/>
    <w:rsid w:val="00C127B5"/>
    <w:rsid w:val="00C12B0F"/>
    <w:rsid w:val="00C12C78"/>
    <w:rsid w:val="00C12CF3"/>
    <w:rsid w:val="00C13E14"/>
    <w:rsid w:val="00C14A9E"/>
    <w:rsid w:val="00C14D3A"/>
    <w:rsid w:val="00C14DCF"/>
    <w:rsid w:val="00C15B8A"/>
    <w:rsid w:val="00C16900"/>
    <w:rsid w:val="00C1702C"/>
    <w:rsid w:val="00C17DE0"/>
    <w:rsid w:val="00C17F6C"/>
    <w:rsid w:val="00C21175"/>
    <w:rsid w:val="00C211A4"/>
    <w:rsid w:val="00C21704"/>
    <w:rsid w:val="00C21E11"/>
    <w:rsid w:val="00C2233D"/>
    <w:rsid w:val="00C22468"/>
    <w:rsid w:val="00C22679"/>
    <w:rsid w:val="00C2292C"/>
    <w:rsid w:val="00C22D69"/>
    <w:rsid w:val="00C230D7"/>
    <w:rsid w:val="00C23288"/>
    <w:rsid w:val="00C23A44"/>
    <w:rsid w:val="00C23B3A"/>
    <w:rsid w:val="00C24B62"/>
    <w:rsid w:val="00C2503C"/>
    <w:rsid w:val="00C25F0B"/>
    <w:rsid w:val="00C26D6F"/>
    <w:rsid w:val="00C305F5"/>
    <w:rsid w:val="00C30D20"/>
    <w:rsid w:val="00C31055"/>
    <w:rsid w:val="00C3114A"/>
    <w:rsid w:val="00C3168A"/>
    <w:rsid w:val="00C31E3F"/>
    <w:rsid w:val="00C327AE"/>
    <w:rsid w:val="00C333A8"/>
    <w:rsid w:val="00C33427"/>
    <w:rsid w:val="00C33B32"/>
    <w:rsid w:val="00C33FF7"/>
    <w:rsid w:val="00C34C6E"/>
    <w:rsid w:val="00C3576B"/>
    <w:rsid w:val="00C3638F"/>
    <w:rsid w:val="00C36903"/>
    <w:rsid w:val="00C36B4E"/>
    <w:rsid w:val="00C36B9C"/>
    <w:rsid w:val="00C36D3F"/>
    <w:rsid w:val="00C37333"/>
    <w:rsid w:val="00C373C8"/>
    <w:rsid w:val="00C374A7"/>
    <w:rsid w:val="00C37BC3"/>
    <w:rsid w:val="00C37E09"/>
    <w:rsid w:val="00C37F74"/>
    <w:rsid w:val="00C40BD7"/>
    <w:rsid w:val="00C40D8E"/>
    <w:rsid w:val="00C40DF2"/>
    <w:rsid w:val="00C4122F"/>
    <w:rsid w:val="00C41574"/>
    <w:rsid w:val="00C41DC4"/>
    <w:rsid w:val="00C43B53"/>
    <w:rsid w:val="00C448EA"/>
    <w:rsid w:val="00C44A29"/>
    <w:rsid w:val="00C450E8"/>
    <w:rsid w:val="00C455D3"/>
    <w:rsid w:val="00C45771"/>
    <w:rsid w:val="00C4596E"/>
    <w:rsid w:val="00C4599B"/>
    <w:rsid w:val="00C466BF"/>
    <w:rsid w:val="00C46B8B"/>
    <w:rsid w:val="00C46E7E"/>
    <w:rsid w:val="00C47071"/>
    <w:rsid w:val="00C50057"/>
    <w:rsid w:val="00C501F0"/>
    <w:rsid w:val="00C50FFF"/>
    <w:rsid w:val="00C51A8A"/>
    <w:rsid w:val="00C52211"/>
    <w:rsid w:val="00C52890"/>
    <w:rsid w:val="00C52C53"/>
    <w:rsid w:val="00C53C43"/>
    <w:rsid w:val="00C545F1"/>
    <w:rsid w:val="00C547D5"/>
    <w:rsid w:val="00C56060"/>
    <w:rsid w:val="00C5667C"/>
    <w:rsid w:val="00C56A59"/>
    <w:rsid w:val="00C56EB3"/>
    <w:rsid w:val="00C571D5"/>
    <w:rsid w:val="00C5767F"/>
    <w:rsid w:val="00C576E8"/>
    <w:rsid w:val="00C60546"/>
    <w:rsid w:val="00C60FCB"/>
    <w:rsid w:val="00C6125C"/>
    <w:rsid w:val="00C614A8"/>
    <w:rsid w:val="00C61555"/>
    <w:rsid w:val="00C6205F"/>
    <w:rsid w:val="00C6217C"/>
    <w:rsid w:val="00C62220"/>
    <w:rsid w:val="00C6239C"/>
    <w:rsid w:val="00C63DF3"/>
    <w:rsid w:val="00C6407C"/>
    <w:rsid w:val="00C641FD"/>
    <w:rsid w:val="00C64269"/>
    <w:rsid w:val="00C64958"/>
    <w:rsid w:val="00C6554E"/>
    <w:rsid w:val="00C65882"/>
    <w:rsid w:val="00C67A52"/>
    <w:rsid w:val="00C704F5"/>
    <w:rsid w:val="00C708B2"/>
    <w:rsid w:val="00C710AC"/>
    <w:rsid w:val="00C71509"/>
    <w:rsid w:val="00C71E55"/>
    <w:rsid w:val="00C723F5"/>
    <w:rsid w:val="00C72523"/>
    <w:rsid w:val="00C730BB"/>
    <w:rsid w:val="00C73BA4"/>
    <w:rsid w:val="00C74159"/>
    <w:rsid w:val="00C74559"/>
    <w:rsid w:val="00C74752"/>
    <w:rsid w:val="00C748DC"/>
    <w:rsid w:val="00C749D9"/>
    <w:rsid w:val="00C74C41"/>
    <w:rsid w:val="00C74F14"/>
    <w:rsid w:val="00C753CA"/>
    <w:rsid w:val="00C7637C"/>
    <w:rsid w:val="00C763C3"/>
    <w:rsid w:val="00C76405"/>
    <w:rsid w:val="00C764C3"/>
    <w:rsid w:val="00C76ECC"/>
    <w:rsid w:val="00C774B0"/>
    <w:rsid w:val="00C777A8"/>
    <w:rsid w:val="00C778A0"/>
    <w:rsid w:val="00C77AD1"/>
    <w:rsid w:val="00C77CBB"/>
    <w:rsid w:val="00C80C02"/>
    <w:rsid w:val="00C80C4C"/>
    <w:rsid w:val="00C80D76"/>
    <w:rsid w:val="00C825B6"/>
    <w:rsid w:val="00C82638"/>
    <w:rsid w:val="00C8273E"/>
    <w:rsid w:val="00C828A5"/>
    <w:rsid w:val="00C828D7"/>
    <w:rsid w:val="00C82BEF"/>
    <w:rsid w:val="00C8318E"/>
    <w:rsid w:val="00C832DD"/>
    <w:rsid w:val="00C832FB"/>
    <w:rsid w:val="00C83925"/>
    <w:rsid w:val="00C83F25"/>
    <w:rsid w:val="00C8477A"/>
    <w:rsid w:val="00C849A3"/>
    <w:rsid w:val="00C85042"/>
    <w:rsid w:val="00C850CC"/>
    <w:rsid w:val="00C85232"/>
    <w:rsid w:val="00C852E1"/>
    <w:rsid w:val="00C859C6"/>
    <w:rsid w:val="00C85E41"/>
    <w:rsid w:val="00C86BD0"/>
    <w:rsid w:val="00C8747C"/>
    <w:rsid w:val="00C9020D"/>
    <w:rsid w:val="00C902C0"/>
    <w:rsid w:val="00C904E8"/>
    <w:rsid w:val="00C90979"/>
    <w:rsid w:val="00C90D35"/>
    <w:rsid w:val="00C91113"/>
    <w:rsid w:val="00C91404"/>
    <w:rsid w:val="00C919F9"/>
    <w:rsid w:val="00C9246A"/>
    <w:rsid w:val="00C92802"/>
    <w:rsid w:val="00C92BBD"/>
    <w:rsid w:val="00C93B9C"/>
    <w:rsid w:val="00C93CA9"/>
    <w:rsid w:val="00C93DE2"/>
    <w:rsid w:val="00C93E28"/>
    <w:rsid w:val="00C943B4"/>
    <w:rsid w:val="00C95414"/>
    <w:rsid w:val="00C962EB"/>
    <w:rsid w:val="00C969FC"/>
    <w:rsid w:val="00C96B66"/>
    <w:rsid w:val="00C96D0C"/>
    <w:rsid w:val="00C97419"/>
    <w:rsid w:val="00CA0171"/>
    <w:rsid w:val="00CA072E"/>
    <w:rsid w:val="00CA0D4E"/>
    <w:rsid w:val="00CA10A8"/>
    <w:rsid w:val="00CA10DE"/>
    <w:rsid w:val="00CA111D"/>
    <w:rsid w:val="00CA1B11"/>
    <w:rsid w:val="00CA1BD2"/>
    <w:rsid w:val="00CA1F7F"/>
    <w:rsid w:val="00CA215F"/>
    <w:rsid w:val="00CA2903"/>
    <w:rsid w:val="00CA3146"/>
    <w:rsid w:val="00CA375E"/>
    <w:rsid w:val="00CA3EEE"/>
    <w:rsid w:val="00CA40C1"/>
    <w:rsid w:val="00CA4105"/>
    <w:rsid w:val="00CA423A"/>
    <w:rsid w:val="00CA4B77"/>
    <w:rsid w:val="00CA4CB3"/>
    <w:rsid w:val="00CA5767"/>
    <w:rsid w:val="00CA588D"/>
    <w:rsid w:val="00CA5DED"/>
    <w:rsid w:val="00CA614E"/>
    <w:rsid w:val="00CA68C4"/>
    <w:rsid w:val="00CA692F"/>
    <w:rsid w:val="00CA6A00"/>
    <w:rsid w:val="00CA6B04"/>
    <w:rsid w:val="00CA72F6"/>
    <w:rsid w:val="00CA7865"/>
    <w:rsid w:val="00CA7B22"/>
    <w:rsid w:val="00CA7D65"/>
    <w:rsid w:val="00CB038B"/>
    <w:rsid w:val="00CB09D7"/>
    <w:rsid w:val="00CB125A"/>
    <w:rsid w:val="00CB1561"/>
    <w:rsid w:val="00CB1F89"/>
    <w:rsid w:val="00CB21BF"/>
    <w:rsid w:val="00CB255C"/>
    <w:rsid w:val="00CB33A3"/>
    <w:rsid w:val="00CB348C"/>
    <w:rsid w:val="00CB3642"/>
    <w:rsid w:val="00CB39C5"/>
    <w:rsid w:val="00CB3A98"/>
    <w:rsid w:val="00CB3E82"/>
    <w:rsid w:val="00CB43EC"/>
    <w:rsid w:val="00CB446A"/>
    <w:rsid w:val="00CB4501"/>
    <w:rsid w:val="00CB478B"/>
    <w:rsid w:val="00CB4B7E"/>
    <w:rsid w:val="00CB4BAF"/>
    <w:rsid w:val="00CB5101"/>
    <w:rsid w:val="00CB5986"/>
    <w:rsid w:val="00CB5C91"/>
    <w:rsid w:val="00CB6D3B"/>
    <w:rsid w:val="00CB6E69"/>
    <w:rsid w:val="00CB72F8"/>
    <w:rsid w:val="00CB766F"/>
    <w:rsid w:val="00CB7E83"/>
    <w:rsid w:val="00CC0146"/>
    <w:rsid w:val="00CC043D"/>
    <w:rsid w:val="00CC0565"/>
    <w:rsid w:val="00CC05EB"/>
    <w:rsid w:val="00CC096D"/>
    <w:rsid w:val="00CC0B96"/>
    <w:rsid w:val="00CC0C38"/>
    <w:rsid w:val="00CC0D87"/>
    <w:rsid w:val="00CC0E84"/>
    <w:rsid w:val="00CC1198"/>
    <w:rsid w:val="00CC13B0"/>
    <w:rsid w:val="00CC196B"/>
    <w:rsid w:val="00CC26FC"/>
    <w:rsid w:val="00CC2B53"/>
    <w:rsid w:val="00CC3295"/>
    <w:rsid w:val="00CC347C"/>
    <w:rsid w:val="00CC4704"/>
    <w:rsid w:val="00CC513B"/>
    <w:rsid w:val="00CC5AAA"/>
    <w:rsid w:val="00CC5CAA"/>
    <w:rsid w:val="00CC6A74"/>
    <w:rsid w:val="00CC713F"/>
    <w:rsid w:val="00CC7818"/>
    <w:rsid w:val="00CC785D"/>
    <w:rsid w:val="00CD0482"/>
    <w:rsid w:val="00CD0845"/>
    <w:rsid w:val="00CD0A6E"/>
    <w:rsid w:val="00CD1CD7"/>
    <w:rsid w:val="00CD1D09"/>
    <w:rsid w:val="00CD232D"/>
    <w:rsid w:val="00CD264E"/>
    <w:rsid w:val="00CD3344"/>
    <w:rsid w:val="00CD3515"/>
    <w:rsid w:val="00CD3B2C"/>
    <w:rsid w:val="00CD4179"/>
    <w:rsid w:val="00CD41E5"/>
    <w:rsid w:val="00CD440B"/>
    <w:rsid w:val="00CD441E"/>
    <w:rsid w:val="00CD4B79"/>
    <w:rsid w:val="00CD52FB"/>
    <w:rsid w:val="00CD53A8"/>
    <w:rsid w:val="00CD53DD"/>
    <w:rsid w:val="00CD5897"/>
    <w:rsid w:val="00CD5947"/>
    <w:rsid w:val="00CD631B"/>
    <w:rsid w:val="00CD700D"/>
    <w:rsid w:val="00CD7624"/>
    <w:rsid w:val="00CD7C10"/>
    <w:rsid w:val="00CD7EE5"/>
    <w:rsid w:val="00CE01B9"/>
    <w:rsid w:val="00CE0532"/>
    <w:rsid w:val="00CE0CFC"/>
    <w:rsid w:val="00CE1426"/>
    <w:rsid w:val="00CE15D5"/>
    <w:rsid w:val="00CE16C1"/>
    <w:rsid w:val="00CE1932"/>
    <w:rsid w:val="00CE1E01"/>
    <w:rsid w:val="00CE1E0E"/>
    <w:rsid w:val="00CE1F64"/>
    <w:rsid w:val="00CE2336"/>
    <w:rsid w:val="00CE2435"/>
    <w:rsid w:val="00CE276E"/>
    <w:rsid w:val="00CE2C49"/>
    <w:rsid w:val="00CE3A31"/>
    <w:rsid w:val="00CE42B2"/>
    <w:rsid w:val="00CE42C3"/>
    <w:rsid w:val="00CE480D"/>
    <w:rsid w:val="00CE5048"/>
    <w:rsid w:val="00CE517C"/>
    <w:rsid w:val="00CE5580"/>
    <w:rsid w:val="00CE5768"/>
    <w:rsid w:val="00CE668C"/>
    <w:rsid w:val="00CE67DC"/>
    <w:rsid w:val="00CE7B12"/>
    <w:rsid w:val="00CE7B7B"/>
    <w:rsid w:val="00CE7BBF"/>
    <w:rsid w:val="00CF075B"/>
    <w:rsid w:val="00CF0E4F"/>
    <w:rsid w:val="00CF1CB5"/>
    <w:rsid w:val="00CF4241"/>
    <w:rsid w:val="00CF455C"/>
    <w:rsid w:val="00CF5A4E"/>
    <w:rsid w:val="00CF5DFF"/>
    <w:rsid w:val="00CF5FCD"/>
    <w:rsid w:val="00CF6667"/>
    <w:rsid w:val="00CF6FDD"/>
    <w:rsid w:val="00CF71A9"/>
    <w:rsid w:val="00CF782E"/>
    <w:rsid w:val="00CF7DF1"/>
    <w:rsid w:val="00D000FE"/>
    <w:rsid w:val="00D0074C"/>
    <w:rsid w:val="00D00888"/>
    <w:rsid w:val="00D00BAC"/>
    <w:rsid w:val="00D011FF"/>
    <w:rsid w:val="00D0151A"/>
    <w:rsid w:val="00D0176E"/>
    <w:rsid w:val="00D01980"/>
    <w:rsid w:val="00D01D61"/>
    <w:rsid w:val="00D024F9"/>
    <w:rsid w:val="00D02514"/>
    <w:rsid w:val="00D02738"/>
    <w:rsid w:val="00D0292E"/>
    <w:rsid w:val="00D03A41"/>
    <w:rsid w:val="00D04456"/>
    <w:rsid w:val="00D04534"/>
    <w:rsid w:val="00D04CBB"/>
    <w:rsid w:val="00D05036"/>
    <w:rsid w:val="00D05771"/>
    <w:rsid w:val="00D05AD6"/>
    <w:rsid w:val="00D05B87"/>
    <w:rsid w:val="00D06077"/>
    <w:rsid w:val="00D060ED"/>
    <w:rsid w:val="00D064CF"/>
    <w:rsid w:val="00D065AB"/>
    <w:rsid w:val="00D06DF6"/>
    <w:rsid w:val="00D06FD4"/>
    <w:rsid w:val="00D07400"/>
    <w:rsid w:val="00D0740D"/>
    <w:rsid w:val="00D07D0A"/>
    <w:rsid w:val="00D10344"/>
    <w:rsid w:val="00D10AF1"/>
    <w:rsid w:val="00D11011"/>
    <w:rsid w:val="00D115AD"/>
    <w:rsid w:val="00D11807"/>
    <w:rsid w:val="00D119FE"/>
    <w:rsid w:val="00D11EF8"/>
    <w:rsid w:val="00D12FF2"/>
    <w:rsid w:val="00D1340E"/>
    <w:rsid w:val="00D13C70"/>
    <w:rsid w:val="00D13C91"/>
    <w:rsid w:val="00D15771"/>
    <w:rsid w:val="00D15F9C"/>
    <w:rsid w:val="00D160B3"/>
    <w:rsid w:val="00D1646E"/>
    <w:rsid w:val="00D167CD"/>
    <w:rsid w:val="00D17345"/>
    <w:rsid w:val="00D17814"/>
    <w:rsid w:val="00D17A7D"/>
    <w:rsid w:val="00D20134"/>
    <w:rsid w:val="00D20854"/>
    <w:rsid w:val="00D209DA"/>
    <w:rsid w:val="00D20BC9"/>
    <w:rsid w:val="00D20D2C"/>
    <w:rsid w:val="00D20D70"/>
    <w:rsid w:val="00D21138"/>
    <w:rsid w:val="00D2122C"/>
    <w:rsid w:val="00D21398"/>
    <w:rsid w:val="00D216F5"/>
    <w:rsid w:val="00D21DB1"/>
    <w:rsid w:val="00D22487"/>
    <w:rsid w:val="00D22A93"/>
    <w:rsid w:val="00D22C27"/>
    <w:rsid w:val="00D22ED7"/>
    <w:rsid w:val="00D236A3"/>
    <w:rsid w:val="00D23729"/>
    <w:rsid w:val="00D23834"/>
    <w:rsid w:val="00D24260"/>
    <w:rsid w:val="00D24497"/>
    <w:rsid w:val="00D249E0"/>
    <w:rsid w:val="00D24EF4"/>
    <w:rsid w:val="00D25651"/>
    <w:rsid w:val="00D25709"/>
    <w:rsid w:val="00D2589C"/>
    <w:rsid w:val="00D25960"/>
    <w:rsid w:val="00D25BC3"/>
    <w:rsid w:val="00D2652B"/>
    <w:rsid w:val="00D26570"/>
    <w:rsid w:val="00D268C6"/>
    <w:rsid w:val="00D2695C"/>
    <w:rsid w:val="00D26B4D"/>
    <w:rsid w:val="00D26BE8"/>
    <w:rsid w:val="00D26E21"/>
    <w:rsid w:val="00D2770C"/>
    <w:rsid w:val="00D2771F"/>
    <w:rsid w:val="00D27A6C"/>
    <w:rsid w:val="00D3075B"/>
    <w:rsid w:val="00D3086B"/>
    <w:rsid w:val="00D3095A"/>
    <w:rsid w:val="00D31540"/>
    <w:rsid w:val="00D318E4"/>
    <w:rsid w:val="00D31E74"/>
    <w:rsid w:val="00D31F58"/>
    <w:rsid w:val="00D32305"/>
    <w:rsid w:val="00D32692"/>
    <w:rsid w:val="00D32884"/>
    <w:rsid w:val="00D33DD5"/>
    <w:rsid w:val="00D3407D"/>
    <w:rsid w:val="00D35205"/>
    <w:rsid w:val="00D354AC"/>
    <w:rsid w:val="00D355A5"/>
    <w:rsid w:val="00D35BD1"/>
    <w:rsid w:val="00D3618C"/>
    <w:rsid w:val="00D36936"/>
    <w:rsid w:val="00D36B1E"/>
    <w:rsid w:val="00D3703F"/>
    <w:rsid w:val="00D375D1"/>
    <w:rsid w:val="00D37741"/>
    <w:rsid w:val="00D403B6"/>
    <w:rsid w:val="00D407FD"/>
    <w:rsid w:val="00D41D6B"/>
    <w:rsid w:val="00D41DED"/>
    <w:rsid w:val="00D42069"/>
    <w:rsid w:val="00D42084"/>
    <w:rsid w:val="00D4252C"/>
    <w:rsid w:val="00D42DD3"/>
    <w:rsid w:val="00D432BB"/>
    <w:rsid w:val="00D4360E"/>
    <w:rsid w:val="00D4388D"/>
    <w:rsid w:val="00D44514"/>
    <w:rsid w:val="00D44845"/>
    <w:rsid w:val="00D4487F"/>
    <w:rsid w:val="00D44AC3"/>
    <w:rsid w:val="00D44B33"/>
    <w:rsid w:val="00D45349"/>
    <w:rsid w:val="00D454BD"/>
    <w:rsid w:val="00D45C95"/>
    <w:rsid w:val="00D45F23"/>
    <w:rsid w:val="00D47246"/>
    <w:rsid w:val="00D47A08"/>
    <w:rsid w:val="00D47C3D"/>
    <w:rsid w:val="00D500D0"/>
    <w:rsid w:val="00D50282"/>
    <w:rsid w:val="00D5078D"/>
    <w:rsid w:val="00D508A6"/>
    <w:rsid w:val="00D5144C"/>
    <w:rsid w:val="00D5175B"/>
    <w:rsid w:val="00D52091"/>
    <w:rsid w:val="00D52323"/>
    <w:rsid w:val="00D52736"/>
    <w:rsid w:val="00D52B04"/>
    <w:rsid w:val="00D53071"/>
    <w:rsid w:val="00D5316A"/>
    <w:rsid w:val="00D53795"/>
    <w:rsid w:val="00D53F84"/>
    <w:rsid w:val="00D54C62"/>
    <w:rsid w:val="00D54C9C"/>
    <w:rsid w:val="00D54EB5"/>
    <w:rsid w:val="00D551F5"/>
    <w:rsid w:val="00D554CF"/>
    <w:rsid w:val="00D5577F"/>
    <w:rsid w:val="00D55BE7"/>
    <w:rsid w:val="00D55E10"/>
    <w:rsid w:val="00D55E59"/>
    <w:rsid w:val="00D560B1"/>
    <w:rsid w:val="00D56106"/>
    <w:rsid w:val="00D56333"/>
    <w:rsid w:val="00D56B97"/>
    <w:rsid w:val="00D57741"/>
    <w:rsid w:val="00D57BF5"/>
    <w:rsid w:val="00D57C2E"/>
    <w:rsid w:val="00D57F67"/>
    <w:rsid w:val="00D6031E"/>
    <w:rsid w:val="00D6076B"/>
    <w:rsid w:val="00D607BC"/>
    <w:rsid w:val="00D60CAC"/>
    <w:rsid w:val="00D60CFC"/>
    <w:rsid w:val="00D615EB"/>
    <w:rsid w:val="00D62456"/>
    <w:rsid w:val="00D62768"/>
    <w:rsid w:val="00D63933"/>
    <w:rsid w:val="00D63A83"/>
    <w:rsid w:val="00D63DD6"/>
    <w:rsid w:val="00D641DB"/>
    <w:rsid w:val="00D64BB0"/>
    <w:rsid w:val="00D65A9A"/>
    <w:rsid w:val="00D65BE8"/>
    <w:rsid w:val="00D65CFA"/>
    <w:rsid w:val="00D65F68"/>
    <w:rsid w:val="00D662A0"/>
    <w:rsid w:val="00D662EF"/>
    <w:rsid w:val="00D66C7F"/>
    <w:rsid w:val="00D679D8"/>
    <w:rsid w:val="00D67A2B"/>
    <w:rsid w:val="00D7090A"/>
    <w:rsid w:val="00D716AA"/>
    <w:rsid w:val="00D718F9"/>
    <w:rsid w:val="00D7198E"/>
    <w:rsid w:val="00D720BE"/>
    <w:rsid w:val="00D72897"/>
    <w:rsid w:val="00D72AD9"/>
    <w:rsid w:val="00D736BE"/>
    <w:rsid w:val="00D73A15"/>
    <w:rsid w:val="00D73ACE"/>
    <w:rsid w:val="00D74FD9"/>
    <w:rsid w:val="00D75DA2"/>
    <w:rsid w:val="00D761EA"/>
    <w:rsid w:val="00D763AF"/>
    <w:rsid w:val="00D76C0D"/>
    <w:rsid w:val="00D77404"/>
    <w:rsid w:val="00D7745B"/>
    <w:rsid w:val="00D776C2"/>
    <w:rsid w:val="00D779D9"/>
    <w:rsid w:val="00D77D91"/>
    <w:rsid w:val="00D8094B"/>
    <w:rsid w:val="00D80DE0"/>
    <w:rsid w:val="00D815C0"/>
    <w:rsid w:val="00D818FC"/>
    <w:rsid w:val="00D81D3A"/>
    <w:rsid w:val="00D82254"/>
    <w:rsid w:val="00D827EC"/>
    <w:rsid w:val="00D8287F"/>
    <w:rsid w:val="00D828E7"/>
    <w:rsid w:val="00D8527C"/>
    <w:rsid w:val="00D8551E"/>
    <w:rsid w:val="00D86CA9"/>
    <w:rsid w:val="00D871E8"/>
    <w:rsid w:val="00D879C3"/>
    <w:rsid w:val="00D87A7C"/>
    <w:rsid w:val="00D90328"/>
    <w:rsid w:val="00D905FA"/>
    <w:rsid w:val="00D906ED"/>
    <w:rsid w:val="00D90C90"/>
    <w:rsid w:val="00D912A6"/>
    <w:rsid w:val="00D915FE"/>
    <w:rsid w:val="00D91F19"/>
    <w:rsid w:val="00D922C5"/>
    <w:rsid w:val="00D9270F"/>
    <w:rsid w:val="00D92CEC"/>
    <w:rsid w:val="00D92F1B"/>
    <w:rsid w:val="00D933C3"/>
    <w:rsid w:val="00D94525"/>
    <w:rsid w:val="00D9458A"/>
    <w:rsid w:val="00D945DC"/>
    <w:rsid w:val="00D94675"/>
    <w:rsid w:val="00D94840"/>
    <w:rsid w:val="00D949D6"/>
    <w:rsid w:val="00D94B32"/>
    <w:rsid w:val="00D95018"/>
    <w:rsid w:val="00D9574C"/>
    <w:rsid w:val="00D95E3F"/>
    <w:rsid w:val="00D95FEB"/>
    <w:rsid w:val="00D965DB"/>
    <w:rsid w:val="00D96E44"/>
    <w:rsid w:val="00D97061"/>
    <w:rsid w:val="00D97945"/>
    <w:rsid w:val="00D97C07"/>
    <w:rsid w:val="00DA0475"/>
    <w:rsid w:val="00DA0BC9"/>
    <w:rsid w:val="00DA0DDE"/>
    <w:rsid w:val="00DA0E40"/>
    <w:rsid w:val="00DA1CBF"/>
    <w:rsid w:val="00DA1F0A"/>
    <w:rsid w:val="00DA1FD6"/>
    <w:rsid w:val="00DA269A"/>
    <w:rsid w:val="00DA2F06"/>
    <w:rsid w:val="00DA30A3"/>
    <w:rsid w:val="00DA3683"/>
    <w:rsid w:val="00DA3F5A"/>
    <w:rsid w:val="00DA55C0"/>
    <w:rsid w:val="00DA57D6"/>
    <w:rsid w:val="00DA62F5"/>
    <w:rsid w:val="00DA62F7"/>
    <w:rsid w:val="00DA6F9A"/>
    <w:rsid w:val="00DA6FD0"/>
    <w:rsid w:val="00DA7370"/>
    <w:rsid w:val="00DB0235"/>
    <w:rsid w:val="00DB06EB"/>
    <w:rsid w:val="00DB0902"/>
    <w:rsid w:val="00DB1538"/>
    <w:rsid w:val="00DB2BD8"/>
    <w:rsid w:val="00DB335D"/>
    <w:rsid w:val="00DB444C"/>
    <w:rsid w:val="00DB57B9"/>
    <w:rsid w:val="00DB5A59"/>
    <w:rsid w:val="00DB6558"/>
    <w:rsid w:val="00DB6851"/>
    <w:rsid w:val="00DB68E2"/>
    <w:rsid w:val="00DB6D07"/>
    <w:rsid w:val="00DB71AB"/>
    <w:rsid w:val="00DB72D6"/>
    <w:rsid w:val="00DC0114"/>
    <w:rsid w:val="00DC0D44"/>
    <w:rsid w:val="00DC0FC9"/>
    <w:rsid w:val="00DC14AA"/>
    <w:rsid w:val="00DC16B9"/>
    <w:rsid w:val="00DC174C"/>
    <w:rsid w:val="00DC1D03"/>
    <w:rsid w:val="00DC1F2D"/>
    <w:rsid w:val="00DC2E11"/>
    <w:rsid w:val="00DC5429"/>
    <w:rsid w:val="00DC5B9B"/>
    <w:rsid w:val="00DC5F94"/>
    <w:rsid w:val="00DC620C"/>
    <w:rsid w:val="00DC662C"/>
    <w:rsid w:val="00DC68E6"/>
    <w:rsid w:val="00DC6E3F"/>
    <w:rsid w:val="00DC73A9"/>
    <w:rsid w:val="00DC7582"/>
    <w:rsid w:val="00DC7586"/>
    <w:rsid w:val="00DC7A26"/>
    <w:rsid w:val="00DC7B76"/>
    <w:rsid w:val="00DC7CF1"/>
    <w:rsid w:val="00DC7E51"/>
    <w:rsid w:val="00DD0388"/>
    <w:rsid w:val="00DD0C75"/>
    <w:rsid w:val="00DD1246"/>
    <w:rsid w:val="00DD19AD"/>
    <w:rsid w:val="00DD1BEF"/>
    <w:rsid w:val="00DD20B4"/>
    <w:rsid w:val="00DD2583"/>
    <w:rsid w:val="00DD2A09"/>
    <w:rsid w:val="00DD2B19"/>
    <w:rsid w:val="00DD2C08"/>
    <w:rsid w:val="00DD30FA"/>
    <w:rsid w:val="00DD328A"/>
    <w:rsid w:val="00DD3898"/>
    <w:rsid w:val="00DD3D28"/>
    <w:rsid w:val="00DD3D5C"/>
    <w:rsid w:val="00DD3FB9"/>
    <w:rsid w:val="00DD414F"/>
    <w:rsid w:val="00DD5978"/>
    <w:rsid w:val="00DD6790"/>
    <w:rsid w:val="00DD6C0E"/>
    <w:rsid w:val="00DD6C1F"/>
    <w:rsid w:val="00DD70F1"/>
    <w:rsid w:val="00DD7208"/>
    <w:rsid w:val="00DD723F"/>
    <w:rsid w:val="00DD7559"/>
    <w:rsid w:val="00DD76CA"/>
    <w:rsid w:val="00DD7B42"/>
    <w:rsid w:val="00DE038C"/>
    <w:rsid w:val="00DE0ECA"/>
    <w:rsid w:val="00DE1158"/>
    <w:rsid w:val="00DE21E0"/>
    <w:rsid w:val="00DE23AC"/>
    <w:rsid w:val="00DE2E03"/>
    <w:rsid w:val="00DE3159"/>
    <w:rsid w:val="00DE3358"/>
    <w:rsid w:val="00DE3569"/>
    <w:rsid w:val="00DE3DFE"/>
    <w:rsid w:val="00DE4A40"/>
    <w:rsid w:val="00DE5212"/>
    <w:rsid w:val="00DE546E"/>
    <w:rsid w:val="00DE54CF"/>
    <w:rsid w:val="00DE552E"/>
    <w:rsid w:val="00DE5853"/>
    <w:rsid w:val="00DE6390"/>
    <w:rsid w:val="00DE649F"/>
    <w:rsid w:val="00DE6575"/>
    <w:rsid w:val="00DE66AD"/>
    <w:rsid w:val="00DE67CA"/>
    <w:rsid w:val="00DE6A77"/>
    <w:rsid w:val="00DE6B16"/>
    <w:rsid w:val="00DE6B29"/>
    <w:rsid w:val="00DE6FC3"/>
    <w:rsid w:val="00DE7224"/>
    <w:rsid w:val="00DF0ED3"/>
    <w:rsid w:val="00DF1521"/>
    <w:rsid w:val="00DF15F9"/>
    <w:rsid w:val="00DF187E"/>
    <w:rsid w:val="00DF27B1"/>
    <w:rsid w:val="00DF28EF"/>
    <w:rsid w:val="00DF397E"/>
    <w:rsid w:val="00DF4745"/>
    <w:rsid w:val="00DF491A"/>
    <w:rsid w:val="00DF5070"/>
    <w:rsid w:val="00DF549A"/>
    <w:rsid w:val="00DF54EA"/>
    <w:rsid w:val="00DF5A2E"/>
    <w:rsid w:val="00DF673E"/>
    <w:rsid w:val="00DF69E7"/>
    <w:rsid w:val="00DF6DD1"/>
    <w:rsid w:val="00DF6E39"/>
    <w:rsid w:val="00DF758E"/>
    <w:rsid w:val="00DF77BD"/>
    <w:rsid w:val="00E00158"/>
    <w:rsid w:val="00E005FC"/>
    <w:rsid w:val="00E00A1E"/>
    <w:rsid w:val="00E01E82"/>
    <w:rsid w:val="00E025FF"/>
    <w:rsid w:val="00E0296D"/>
    <w:rsid w:val="00E02C94"/>
    <w:rsid w:val="00E030D1"/>
    <w:rsid w:val="00E03D86"/>
    <w:rsid w:val="00E03DE6"/>
    <w:rsid w:val="00E045CF"/>
    <w:rsid w:val="00E04833"/>
    <w:rsid w:val="00E04B0A"/>
    <w:rsid w:val="00E05FE2"/>
    <w:rsid w:val="00E063B6"/>
    <w:rsid w:val="00E0767D"/>
    <w:rsid w:val="00E07757"/>
    <w:rsid w:val="00E07C16"/>
    <w:rsid w:val="00E101D9"/>
    <w:rsid w:val="00E108AA"/>
    <w:rsid w:val="00E1092D"/>
    <w:rsid w:val="00E10CE5"/>
    <w:rsid w:val="00E10D1C"/>
    <w:rsid w:val="00E10FD5"/>
    <w:rsid w:val="00E11960"/>
    <w:rsid w:val="00E11EEE"/>
    <w:rsid w:val="00E1277F"/>
    <w:rsid w:val="00E12EF6"/>
    <w:rsid w:val="00E13718"/>
    <w:rsid w:val="00E14139"/>
    <w:rsid w:val="00E142B3"/>
    <w:rsid w:val="00E143A2"/>
    <w:rsid w:val="00E14793"/>
    <w:rsid w:val="00E14931"/>
    <w:rsid w:val="00E149FC"/>
    <w:rsid w:val="00E14BF0"/>
    <w:rsid w:val="00E14FCA"/>
    <w:rsid w:val="00E15646"/>
    <w:rsid w:val="00E1569B"/>
    <w:rsid w:val="00E157BF"/>
    <w:rsid w:val="00E16A9F"/>
    <w:rsid w:val="00E16ACE"/>
    <w:rsid w:val="00E16F02"/>
    <w:rsid w:val="00E175DE"/>
    <w:rsid w:val="00E176F4"/>
    <w:rsid w:val="00E2059B"/>
    <w:rsid w:val="00E20A86"/>
    <w:rsid w:val="00E20E39"/>
    <w:rsid w:val="00E2162A"/>
    <w:rsid w:val="00E21942"/>
    <w:rsid w:val="00E22332"/>
    <w:rsid w:val="00E2248D"/>
    <w:rsid w:val="00E22BC7"/>
    <w:rsid w:val="00E23B90"/>
    <w:rsid w:val="00E23C14"/>
    <w:rsid w:val="00E23E24"/>
    <w:rsid w:val="00E24181"/>
    <w:rsid w:val="00E242FC"/>
    <w:rsid w:val="00E246E5"/>
    <w:rsid w:val="00E24B2C"/>
    <w:rsid w:val="00E24D04"/>
    <w:rsid w:val="00E25533"/>
    <w:rsid w:val="00E26416"/>
    <w:rsid w:val="00E26F4F"/>
    <w:rsid w:val="00E27712"/>
    <w:rsid w:val="00E3014C"/>
    <w:rsid w:val="00E30438"/>
    <w:rsid w:val="00E305E4"/>
    <w:rsid w:val="00E31120"/>
    <w:rsid w:val="00E3118C"/>
    <w:rsid w:val="00E3256A"/>
    <w:rsid w:val="00E3297E"/>
    <w:rsid w:val="00E32F6C"/>
    <w:rsid w:val="00E32FF4"/>
    <w:rsid w:val="00E333AF"/>
    <w:rsid w:val="00E337D6"/>
    <w:rsid w:val="00E33B0A"/>
    <w:rsid w:val="00E33D6A"/>
    <w:rsid w:val="00E343CE"/>
    <w:rsid w:val="00E346AB"/>
    <w:rsid w:val="00E34B41"/>
    <w:rsid w:val="00E353CC"/>
    <w:rsid w:val="00E35FB3"/>
    <w:rsid w:val="00E370C6"/>
    <w:rsid w:val="00E3728B"/>
    <w:rsid w:val="00E3785A"/>
    <w:rsid w:val="00E378BC"/>
    <w:rsid w:val="00E378D3"/>
    <w:rsid w:val="00E379BD"/>
    <w:rsid w:val="00E37D54"/>
    <w:rsid w:val="00E37F3A"/>
    <w:rsid w:val="00E4082B"/>
    <w:rsid w:val="00E40DA0"/>
    <w:rsid w:val="00E4196D"/>
    <w:rsid w:val="00E42263"/>
    <w:rsid w:val="00E4284E"/>
    <w:rsid w:val="00E43022"/>
    <w:rsid w:val="00E43C23"/>
    <w:rsid w:val="00E446C7"/>
    <w:rsid w:val="00E446F2"/>
    <w:rsid w:val="00E45429"/>
    <w:rsid w:val="00E45488"/>
    <w:rsid w:val="00E45C8E"/>
    <w:rsid w:val="00E462B8"/>
    <w:rsid w:val="00E47929"/>
    <w:rsid w:val="00E47B17"/>
    <w:rsid w:val="00E50153"/>
    <w:rsid w:val="00E50D70"/>
    <w:rsid w:val="00E50F07"/>
    <w:rsid w:val="00E51EDF"/>
    <w:rsid w:val="00E5247B"/>
    <w:rsid w:val="00E52611"/>
    <w:rsid w:val="00E52788"/>
    <w:rsid w:val="00E528AF"/>
    <w:rsid w:val="00E52EFB"/>
    <w:rsid w:val="00E53708"/>
    <w:rsid w:val="00E53EB6"/>
    <w:rsid w:val="00E54419"/>
    <w:rsid w:val="00E55D49"/>
    <w:rsid w:val="00E561BC"/>
    <w:rsid w:val="00E562C2"/>
    <w:rsid w:val="00E562DC"/>
    <w:rsid w:val="00E56CC8"/>
    <w:rsid w:val="00E56D85"/>
    <w:rsid w:val="00E56ED9"/>
    <w:rsid w:val="00E57BED"/>
    <w:rsid w:val="00E6085E"/>
    <w:rsid w:val="00E60C66"/>
    <w:rsid w:val="00E61167"/>
    <w:rsid w:val="00E6193F"/>
    <w:rsid w:val="00E61CC7"/>
    <w:rsid w:val="00E61F7A"/>
    <w:rsid w:val="00E624FE"/>
    <w:rsid w:val="00E628D6"/>
    <w:rsid w:val="00E62DD1"/>
    <w:rsid w:val="00E62F71"/>
    <w:rsid w:val="00E630A8"/>
    <w:rsid w:val="00E630C7"/>
    <w:rsid w:val="00E635D2"/>
    <w:rsid w:val="00E63778"/>
    <w:rsid w:val="00E63AB4"/>
    <w:rsid w:val="00E63DD1"/>
    <w:rsid w:val="00E63EBD"/>
    <w:rsid w:val="00E65192"/>
    <w:rsid w:val="00E657F6"/>
    <w:rsid w:val="00E65D05"/>
    <w:rsid w:val="00E6635A"/>
    <w:rsid w:val="00E66AF8"/>
    <w:rsid w:val="00E6711A"/>
    <w:rsid w:val="00E67A80"/>
    <w:rsid w:val="00E67F2F"/>
    <w:rsid w:val="00E67FF8"/>
    <w:rsid w:val="00E701DE"/>
    <w:rsid w:val="00E702D0"/>
    <w:rsid w:val="00E7109D"/>
    <w:rsid w:val="00E717E0"/>
    <w:rsid w:val="00E71ED3"/>
    <w:rsid w:val="00E7272E"/>
    <w:rsid w:val="00E7298E"/>
    <w:rsid w:val="00E72B13"/>
    <w:rsid w:val="00E72EFC"/>
    <w:rsid w:val="00E73F21"/>
    <w:rsid w:val="00E74757"/>
    <w:rsid w:val="00E74C63"/>
    <w:rsid w:val="00E75567"/>
    <w:rsid w:val="00E75847"/>
    <w:rsid w:val="00E75973"/>
    <w:rsid w:val="00E75B93"/>
    <w:rsid w:val="00E75BD5"/>
    <w:rsid w:val="00E75DFD"/>
    <w:rsid w:val="00E76595"/>
    <w:rsid w:val="00E76DEA"/>
    <w:rsid w:val="00E76EFA"/>
    <w:rsid w:val="00E77B2D"/>
    <w:rsid w:val="00E804EA"/>
    <w:rsid w:val="00E80ACB"/>
    <w:rsid w:val="00E810B0"/>
    <w:rsid w:val="00E813C0"/>
    <w:rsid w:val="00E81424"/>
    <w:rsid w:val="00E81F3A"/>
    <w:rsid w:val="00E82ACA"/>
    <w:rsid w:val="00E82C12"/>
    <w:rsid w:val="00E833A7"/>
    <w:rsid w:val="00E836B5"/>
    <w:rsid w:val="00E83A6F"/>
    <w:rsid w:val="00E83E01"/>
    <w:rsid w:val="00E83EDA"/>
    <w:rsid w:val="00E842C2"/>
    <w:rsid w:val="00E84448"/>
    <w:rsid w:val="00E8451B"/>
    <w:rsid w:val="00E8458F"/>
    <w:rsid w:val="00E845A1"/>
    <w:rsid w:val="00E84DBD"/>
    <w:rsid w:val="00E85210"/>
    <w:rsid w:val="00E85236"/>
    <w:rsid w:val="00E85773"/>
    <w:rsid w:val="00E85DF2"/>
    <w:rsid w:val="00E87330"/>
    <w:rsid w:val="00E873A1"/>
    <w:rsid w:val="00E87440"/>
    <w:rsid w:val="00E90557"/>
    <w:rsid w:val="00E905BE"/>
    <w:rsid w:val="00E91FF1"/>
    <w:rsid w:val="00E9267D"/>
    <w:rsid w:val="00E92CAA"/>
    <w:rsid w:val="00E92CC0"/>
    <w:rsid w:val="00E937CA"/>
    <w:rsid w:val="00E93B51"/>
    <w:rsid w:val="00E93C24"/>
    <w:rsid w:val="00E944BD"/>
    <w:rsid w:val="00E949FD"/>
    <w:rsid w:val="00E94C66"/>
    <w:rsid w:val="00E9587B"/>
    <w:rsid w:val="00E95A45"/>
    <w:rsid w:val="00E95B64"/>
    <w:rsid w:val="00E95E7D"/>
    <w:rsid w:val="00E9605F"/>
    <w:rsid w:val="00E968A8"/>
    <w:rsid w:val="00E97F75"/>
    <w:rsid w:val="00EA035B"/>
    <w:rsid w:val="00EA0C4C"/>
    <w:rsid w:val="00EA10AD"/>
    <w:rsid w:val="00EA1131"/>
    <w:rsid w:val="00EA19A9"/>
    <w:rsid w:val="00EA1C03"/>
    <w:rsid w:val="00EA2376"/>
    <w:rsid w:val="00EA2964"/>
    <w:rsid w:val="00EA2F4B"/>
    <w:rsid w:val="00EA310C"/>
    <w:rsid w:val="00EA32E4"/>
    <w:rsid w:val="00EA34E8"/>
    <w:rsid w:val="00EA3822"/>
    <w:rsid w:val="00EA3EA5"/>
    <w:rsid w:val="00EA3EB0"/>
    <w:rsid w:val="00EA4E2E"/>
    <w:rsid w:val="00EA5192"/>
    <w:rsid w:val="00EA5375"/>
    <w:rsid w:val="00EA5702"/>
    <w:rsid w:val="00EA6A66"/>
    <w:rsid w:val="00EA6DA4"/>
    <w:rsid w:val="00EA71AC"/>
    <w:rsid w:val="00EA79B4"/>
    <w:rsid w:val="00EA7ACE"/>
    <w:rsid w:val="00EA7CAB"/>
    <w:rsid w:val="00EB00B3"/>
    <w:rsid w:val="00EB026F"/>
    <w:rsid w:val="00EB058C"/>
    <w:rsid w:val="00EB182F"/>
    <w:rsid w:val="00EB2365"/>
    <w:rsid w:val="00EB2C0B"/>
    <w:rsid w:val="00EB2D3E"/>
    <w:rsid w:val="00EB2E08"/>
    <w:rsid w:val="00EB30A9"/>
    <w:rsid w:val="00EB3FDE"/>
    <w:rsid w:val="00EB42DC"/>
    <w:rsid w:val="00EB482B"/>
    <w:rsid w:val="00EB4BD5"/>
    <w:rsid w:val="00EB55EF"/>
    <w:rsid w:val="00EB5A8C"/>
    <w:rsid w:val="00EB604F"/>
    <w:rsid w:val="00EB7500"/>
    <w:rsid w:val="00EB7C9B"/>
    <w:rsid w:val="00EB7CDA"/>
    <w:rsid w:val="00EC0098"/>
    <w:rsid w:val="00EC0A2A"/>
    <w:rsid w:val="00EC0F7E"/>
    <w:rsid w:val="00EC1378"/>
    <w:rsid w:val="00EC13C1"/>
    <w:rsid w:val="00EC19E5"/>
    <w:rsid w:val="00EC1E8F"/>
    <w:rsid w:val="00EC208D"/>
    <w:rsid w:val="00EC21C2"/>
    <w:rsid w:val="00EC21CD"/>
    <w:rsid w:val="00EC2727"/>
    <w:rsid w:val="00EC2E2E"/>
    <w:rsid w:val="00EC3797"/>
    <w:rsid w:val="00EC3DA4"/>
    <w:rsid w:val="00EC4DC9"/>
    <w:rsid w:val="00EC4FCD"/>
    <w:rsid w:val="00EC4FFC"/>
    <w:rsid w:val="00EC54D5"/>
    <w:rsid w:val="00EC580D"/>
    <w:rsid w:val="00EC58BC"/>
    <w:rsid w:val="00EC59BF"/>
    <w:rsid w:val="00EC5F40"/>
    <w:rsid w:val="00EC723E"/>
    <w:rsid w:val="00EC73B6"/>
    <w:rsid w:val="00EC74D0"/>
    <w:rsid w:val="00EC77CD"/>
    <w:rsid w:val="00EC77FE"/>
    <w:rsid w:val="00ED2073"/>
    <w:rsid w:val="00ED2B8A"/>
    <w:rsid w:val="00ED30B9"/>
    <w:rsid w:val="00ED3397"/>
    <w:rsid w:val="00ED3BE2"/>
    <w:rsid w:val="00ED4235"/>
    <w:rsid w:val="00ED4668"/>
    <w:rsid w:val="00ED47B0"/>
    <w:rsid w:val="00ED4BDB"/>
    <w:rsid w:val="00ED5844"/>
    <w:rsid w:val="00ED69DE"/>
    <w:rsid w:val="00ED6F39"/>
    <w:rsid w:val="00ED722D"/>
    <w:rsid w:val="00ED73B6"/>
    <w:rsid w:val="00ED750A"/>
    <w:rsid w:val="00ED7BC9"/>
    <w:rsid w:val="00ED7D9E"/>
    <w:rsid w:val="00EE0537"/>
    <w:rsid w:val="00EE0B9A"/>
    <w:rsid w:val="00EE1AC6"/>
    <w:rsid w:val="00EE1BD3"/>
    <w:rsid w:val="00EE20A1"/>
    <w:rsid w:val="00EE2185"/>
    <w:rsid w:val="00EE22B8"/>
    <w:rsid w:val="00EE241F"/>
    <w:rsid w:val="00EE249A"/>
    <w:rsid w:val="00EE2825"/>
    <w:rsid w:val="00EE2BBB"/>
    <w:rsid w:val="00EE3D64"/>
    <w:rsid w:val="00EE432F"/>
    <w:rsid w:val="00EE49DB"/>
    <w:rsid w:val="00EE5498"/>
    <w:rsid w:val="00EE6076"/>
    <w:rsid w:val="00EE622E"/>
    <w:rsid w:val="00EE6BA7"/>
    <w:rsid w:val="00EE7052"/>
    <w:rsid w:val="00EF0037"/>
    <w:rsid w:val="00EF0306"/>
    <w:rsid w:val="00EF0827"/>
    <w:rsid w:val="00EF1659"/>
    <w:rsid w:val="00EF1859"/>
    <w:rsid w:val="00EF1AD2"/>
    <w:rsid w:val="00EF1D84"/>
    <w:rsid w:val="00EF21B1"/>
    <w:rsid w:val="00EF23AD"/>
    <w:rsid w:val="00EF23DB"/>
    <w:rsid w:val="00EF365C"/>
    <w:rsid w:val="00EF3735"/>
    <w:rsid w:val="00EF43E8"/>
    <w:rsid w:val="00EF4747"/>
    <w:rsid w:val="00EF5126"/>
    <w:rsid w:val="00EF51B0"/>
    <w:rsid w:val="00EF5C92"/>
    <w:rsid w:val="00EF65B5"/>
    <w:rsid w:val="00EF68E3"/>
    <w:rsid w:val="00EF6ECF"/>
    <w:rsid w:val="00EF73E2"/>
    <w:rsid w:val="00EF7626"/>
    <w:rsid w:val="00EF7DD6"/>
    <w:rsid w:val="00F01634"/>
    <w:rsid w:val="00F01916"/>
    <w:rsid w:val="00F01E4B"/>
    <w:rsid w:val="00F022DD"/>
    <w:rsid w:val="00F026BA"/>
    <w:rsid w:val="00F029D1"/>
    <w:rsid w:val="00F0338A"/>
    <w:rsid w:val="00F0355F"/>
    <w:rsid w:val="00F03D7F"/>
    <w:rsid w:val="00F0405B"/>
    <w:rsid w:val="00F0523C"/>
    <w:rsid w:val="00F05399"/>
    <w:rsid w:val="00F05C77"/>
    <w:rsid w:val="00F05F6F"/>
    <w:rsid w:val="00F06282"/>
    <w:rsid w:val="00F062BE"/>
    <w:rsid w:val="00F0677C"/>
    <w:rsid w:val="00F06F7F"/>
    <w:rsid w:val="00F0764F"/>
    <w:rsid w:val="00F0798B"/>
    <w:rsid w:val="00F07A10"/>
    <w:rsid w:val="00F07C78"/>
    <w:rsid w:val="00F1001F"/>
    <w:rsid w:val="00F101AB"/>
    <w:rsid w:val="00F105D4"/>
    <w:rsid w:val="00F110F3"/>
    <w:rsid w:val="00F11334"/>
    <w:rsid w:val="00F1165A"/>
    <w:rsid w:val="00F11B44"/>
    <w:rsid w:val="00F11BED"/>
    <w:rsid w:val="00F11C2F"/>
    <w:rsid w:val="00F11E8F"/>
    <w:rsid w:val="00F121D9"/>
    <w:rsid w:val="00F12414"/>
    <w:rsid w:val="00F126BC"/>
    <w:rsid w:val="00F12966"/>
    <w:rsid w:val="00F12C18"/>
    <w:rsid w:val="00F12F2F"/>
    <w:rsid w:val="00F1304A"/>
    <w:rsid w:val="00F134D3"/>
    <w:rsid w:val="00F1350D"/>
    <w:rsid w:val="00F1369F"/>
    <w:rsid w:val="00F13F84"/>
    <w:rsid w:val="00F146D6"/>
    <w:rsid w:val="00F14B40"/>
    <w:rsid w:val="00F14BC3"/>
    <w:rsid w:val="00F157AC"/>
    <w:rsid w:val="00F159E3"/>
    <w:rsid w:val="00F15AC4"/>
    <w:rsid w:val="00F15D15"/>
    <w:rsid w:val="00F15E4B"/>
    <w:rsid w:val="00F15EAB"/>
    <w:rsid w:val="00F16097"/>
    <w:rsid w:val="00F164A8"/>
    <w:rsid w:val="00F171A2"/>
    <w:rsid w:val="00F171CA"/>
    <w:rsid w:val="00F177F8"/>
    <w:rsid w:val="00F17AA0"/>
    <w:rsid w:val="00F2066B"/>
    <w:rsid w:val="00F20863"/>
    <w:rsid w:val="00F20880"/>
    <w:rsid w:val="00F21192"/>
    <w:rsid w:val="00F214A6"/>
    <w:rsid w:val="00F216F9"/>
    <w:rsid w:val="00F21B8F"/>
    <w:rsid w:val="00F21BF5"/>
    <w:rsid w:val="00F22193"/>
    <w:rsid w:val="00F224AE"/>
    <w:rsid w:val="00F249E5"/>
    <w:rsid w:val="00F25146"/>
    <w:rsid w:val="00F25D10"/>
    <w:rsid w:val="00F2690D"/>
    <w:rsid w:val="00F300F2"/>
    <w:rsid w:val="00F302AE"/>
    <w:rsid w:val="00F302B1"/>
    <w:rsid w:val="00F304C3"/>
    <w:rsid w:val="00F30BEB"/>
    <w:rsid w:val="00F313A3"/>
    <w:rsid w:val="00F314D3"/>
    <w:rsid w:val="00F316A3"/>
    <w:rsid w:val="00F32084"/>
    <w:rsid w:val="00F32102"/>
    <w:rsid w:val="00F32784"/>
    <w:rsid w:val="00F32833"/>
    <w:rsid w:val="00F34073"/>
    <w:rsid w:val="00F340F8"/>
    <w:rsid w:val="00F3469A"/>
    <w:rsid w:val="00F3487C"/>
    <w:rsid w:val="00F34C22"/>
    <w:rsid w:val="00F34CF0"/>
    <w:rsid w:val="00F3555F"/>
    <w:rsid w:val="00F355DD"/>
    <w:rsid w:val="00F35873"/>
    <w:rsid w:val="00F35E39"/>
    <w:rsid w:val="00F35F93"/>
    <w:rsid w:val="00F35FA4"/>
    <w:rsid w:val="00F36648"/>
    <w:rsid w:val="00F36D41"/>
    <w:rsid w:val="00F374DB"/>
    <w:rsid w:val="00F37761"/>
    <w:rsid w:val="00F37A48"/>
    <w:rsid w:val="00F37AAD"/>
    <w:rsid w:val="00F37B05"/>
    <w:rsid w:val="00F37CF0"/>
    <w:rsid w:val="00F404A0"/>
    <w:rsid w:val="00F409F0"/>
    <w:rsid w:val="00F41091"/>
    <w:rsid w:val="00F416DC"/>
    <w:rsid w:val="00F41ACE"/>
    <w:rsid w:val="00F41C73"/>
    <w:rsid w:val="00F41D10"/>
    <w:rsid w:val="00F4322C"/>
    <w:rsid w:val="00F4369E"/>
    <w:rsid w:val="00F437DF"/>
    <w:rsid w:val="00F438D4"/>
    <w:rsid w:val="00F43B88"/>
    <w:rsid w:val="00F43CCA"/>
    <w:rsid w:val="00F443DB"/>
    <w:rsid w:val="00F44534"/>
    <w:rsid w:val="00F44E0C"/>
    <w:rsid w:val="00F45648"/>
    <w:rsid w:val="00F459AD"/>
    <w:rsid w:val="00F47021"/>
    <w:rsid w:val="00F470F8"/>
    <w:rsid w:val="00F474B9"/>
    <w:rsid w:val="00F47895"/>
    <w:rsid w:val="00F5001C"/>
    <w:rsid w:val="00F503BF"/>
    <w:rsid w:val="00F506B4"/>
    <w:rsid w:val="00F51250"/>
    <w:rsid w:val="00F51274"/>
    <w:rsid w:val="00F513AA"/>
    <w:rsid w:val="00F5180E"/>
    <w:rsid w:val="00F52328"/>
    <w:rsid w:val="00F52578"/>
    <w:rsid w:val="00F52722"/>
    <w:rsid w:val="00F52765"/>
    <w:rsid w:val="00F528A7"/>
    <w:rsid w:val="00F533B1"/>
    <w:rsid w:val="00F53ACF"/>
    <w:rsid w:val="00F53DED"/>
    <w:rsid w:val="00F54111"/>
    <w:rsid w:val="00F54A34"/>
    <w:rsid w:val="00F55695"/>
    <w:rsid w:val="00F559DE"/>
    <w:rsid w:val="00F55B4D"/>
    <w:rsid w:val="00F55D36"/>
    <w:rsid w:val="00F56329"/>
    <w:rsid w:val="00F56423"/>
    <w:rsid w:val="00F56AC8"/>
    <w:rsid w:val="00F56DBE"/>
    <w:rsid w:val="00F57776"/>
    <w:rsid w:val="00F577FC"/>
    <w:rsid w:val="00F60509"/>
    <w:rsid w:val="00F60555"/>
    <w:rsid w:val="00F605D3"/>
    <w:rsid w:val="00F607DC"/>
    <w:rsid w:val="00F60E8F"/>
    <w:rsid w:val="00F612A8"/>
    <w:rsid w:val="00F61B87"/>
    <w:rsid w:val="00F61F3F"/>
    <w:rsid w:val="00F622B0"/>
    <w:rsid w:val="00F63394"/>
    <w:rsid w:val="00F6353E"/>
    <w:rsid w:val="00F63723"/>
    <w:rsid w:val="00F6392C"/>
    <w:rsid w:val="00F64685"/>
    <w:rsid w:val="00F646A3"/>
    <w:rsid w:val="00F65A68"/>
    <w:rsid w:val="00F65CD9"/>
    <w:rsid w:val="00F661C0"/>
    <w:rsid w:val="00F66354"/>
    <w:rsid w:val="00F66492"/>
    <w:rsid w:val="00F67568"/>
    <w:rsid w:val="00F6764B"/>
    <w:rsid w:val="00F67A76"/>
    <w:rsid w:val="00F7089C"/>
    <w:rsid w:val="00F70E79"/>
    <w:rsid w:val="00F71193"/>
    <w:rsid w:val="00F71B3D"/>
    <w:rsid w:val="00F71D33"/>
    <w:rsid w:val="00F71D44"/>
    <w:rsid w:val="00F7208B"/>
    <w:rsid w:val="00F720A4"/>
    <w:rsid w:val="00F72145"/>
    <w:rsid w:val="00F7281C"/>
    <w:rsid w:val="00F72DBF"/>
    <w:rsid w:val="00F73BA4"/>
    <w:rsid w:val="00F74050"/>
    <w:rsid w:val="00F74439"/>
    <w:rsid w:val="00F74C28"/>
    <w:rsid w:val="00F751CB"/>
    <w:rsid w:val="00F75529"/>
    <w:rsid w:val="00F7605C"/>
    <w:rsid w:val="00F76062"/>
    <w:rsid w:val="00F7644D"/>
    <w:rsid w:val="00F76535"/>
    <w:rsid w:val="00F76A79"/>
    <w:rsid w:val="00F773A3"/>
    <w:rsid w:val="00F77479"/>
    <w:rsid w:val="00F80184"/>
    <w:rsid w:val="00F80574"/>
    <w:rsid w:val="00F80AC0"/>
    <w:rsid w:val="00F80D2D"/>
    <w:rsid w:val="00F80D83"/>
    <w:rsid w:val="00F810F3"/>
    <w:rsid w:val="00F813D0"/>
    <w:rsid w:val="00F81419"/>
    <w:rsid w:val="00F81450"/>
    <w:rsid w:val="00F81659"/>
    <w:rsid w:val="00F81B61"/>
    <w:rsid w:val="00F81BE2"/>
    <w:rsid w:val="00F81BFD"/>
    <w:rsid w:val="00F81F38"/>
    <w:rsid w:val="00F82115"/>
    <w:rsid w:val="00F83468"/>
    <w:rsid w:val="00F8412A"/>
    <w:rsid w:val="00F8417C"/>
    <w:rsid w:val="00F84FA7"/>
    <w:rsid w:val="00F85B6F"/>
    <w:rsid w:val="00F86574"/>
    <w:rsid w:val="00F873CD"/>
    <w:rsid w:val="00F87507"/>
    <w:rsid w:val="00F87C75"/>
    <w:rsid w:val="00F87FC9"/>
    <w:rsid w:val="00F90954"/>
    <w:rsid w:val="00F90DDA"/>
    <w:rsid w:val="00F91066"/>
    <w:rsid w:val="00F919B1"/>
    <w:rsid w:val="00F92200"/>
    <w:rsid w:val="00F932F7"/>
    <w:rsid w:val="00F93EB4"/>
    <w:rsid w:val="00F94580"/>
    <w:rsid w:val="00F94910"/>
    <w:rsid w:val="00F94A7E"/>
    <w:rsid w:val="00F9511F"/>
    <w:rsid w:val="00F95347"/>
    <w:rsid w:val="00F95593"/>
    <w:rsid w:val="00F95653"/>
    <w:rsid w:val="00F96CDC"/>
    <w:rsid w:val="00F97AFC"/>
    <w:rsid w:val="00F97C84"/>
    <w:rsid w:val="00FA17CD"/>
    <w:rsid w:val="00FA18D3"/>
    <w:rsid w:val="00FA22AC"/>
    <w:rsid w:val="00FA2563"/>
    <w:rsid w:val="00FA2857"/>
    <w:rsid w:val="00FA2D42"/>
    <w:rsid w:val="00FA33AC"/>
    <w:rsid w:val="00FA34C8"/>
    <w:rsid w:val="00FA3A4D"/>
    <w:rsid w:val="00FA3E43"/>
    <w:rsid w:val="00FA5017"/>
    <w:rsid w:val="00FA5163"/>
    <w:rsid w:val="00FA5203"/>
    <w:rsid w:val="00FA54E1"/>
    <w:rsid w:val="00FA58A8"/>
    <w:rsid w:val="00FA591D"/>
    <w:rsid w:val="00FA61E6"/>
    <w:rsid w:val="00FA6559"/>
    <w:rsid w:val="00FA6788"/>
    <w:rsid w:val="00FA6C1A"/>
    <w:rsid w:val="00FA6CB7"/>
    <w:rsid w:val="00FA71D5"/>
    <w:rsid w:val="00FA750D"/>
    <w:rsid w:val="00FA7E0B"/>
    <w:rsid w:val="00FB0518"/>
    <w:rsid w:val="00FB0536"/>
    <w:rsid w:val="00FB0F2E"/>
    <w:rsid w:val="00FB1606"/>
    <w:rsid w:val="00FB1800"/>
    <w:rsid w:val="00FB21A3"/>
    <w:rsid w:val="00FB2A29"/>
    <w:rsid w:val="00FB55F0"/>
    <w:rsid w:val="00FB5FF1"/>
    <w:rsid w:val="00FB6017"/>
    <w:rsid w:val="00FB6D9B"/>
    <w:rsid w:val="00FB6FE9"/>
    <w:rsid w:val="00FB7240"/>
    <w:rsid w:val="00FB73B8"/>
    <w:rsid w:val="00FB75C0"/>
    <w:rsid w:val="00FB77B1"/>
    <w:rsid w:val="00FB7977"/>
    <w:rsid w:val="00FC069D"/>
    <w:rsid w:val="00FC0EC7"/>
    <w:rsid w:val="00FC0F5F"/>
    <w:rsid w:val="00FC11E1"/>
    <w:rsid w:val="00FC12E2"/>
    <w:rsid w:val="00FC2879"/>
    <w:rsid w:val="00FC2F9D"/>
    <w:rsid w:val="00FC3254"/>
    <w:rsid w:val="00FC3483"/>
    <w:rsid w:val="00FC3FD6"/>
    <w:rsid w:val="00FC4C2E"/>
    <w:rsid w:val="00FC6207"/>
    <w:rsid w:val="00FC7439"/>
    <w:rsid w:val="00FC755D"/>
    <w:rsid w:val="00FC7642"/>
    <w:rsid w:val="00FD02AE"/>
    <w:rsid w:val="00FD03FC"/>
    <w:rsid w:val="00FD0AAB"/>
    <w:rsid w:val="00FD0FE1"/>
    <w:rsid w:val="00FD1029"/>
    <w:rsid w:val="00FD113F"/>
    <w:rsid w:val="00FD1444"/>
    <w:rsid w:val="00FD193F"/>
    <w:rsid w:val="00FD1AF8"/>
    <w:rsid w:val="00FD21EE"/>
    <w:rsid w:val="00FD269D"/>
    <w:rsid w:val="00FD2F48"/>
    <w:rsid w:val="00FD3A1B"/>
    <w:rsid w:val="00FD3C1C"/>
    <w:rsid w:val="00FD42EF"/>
    <w:rsid w:val="00FD5665"/>
    <w:rsid w:val="00FD5828"/>
    <w:rsid w:val="00FD65A2"/>
    <w:rsid w:val="00FD65EE"/>
    <w:rsid w:val="00FD6717"/>
    <w:rsid w:val="00FD74F4"/>
    <w:rsid w:val="00FE06D7"/>
    <w:rsid w:val="00FE08EB"/>
    <w:rsid w:val="00FE0FF1"/>
    <w:rsid w:val="00FE16ED"/>
    <w:rsid w:val="00FE187E"/>
    <w:rsid w:val="00FE18A0"/>
    <w:rsid w:val="00FE1CF0"/>
    <w:rsid w:val="00FE2B39"/>
    <w:rsid w:val="00FE2F68"/>
    <w:rsid w:val="00FE30E7"/>
    <w:rsid w:val="00FE3679"/>
    <w:rsid w:val="00FE477A"/>
    <w:rsid w:val="00FE4E90"/>
    <w:rsid w:val="00FE5A5B"/>
    <w:rsid w:val="00FE5D2D"/>
    <w:rsid w:val="00FE616A"/>
    <w:rsid w:val="00FE6447"/>
    <w:rsid w:val="00FE66AE"/>
    <w:rsid w:val="00FE69E3"/>
    <w:rsid w:val="00FE6AE0"/>
    <w:rsid w:val="00FE732F"/>
    <w:rsid w:val="00FE7DE7"/>
    <w:rsid w:val="00FF0077"/>
    <w:rsid w:val="00FF110E"/>
    <w:rsid w:val="00FF121C"/>
    <w:rsid w:val="00FF1919"/>
    <w:rsid w:val="00FF2155"/>
    <w:rsid w:val="00FF23F9"/>
    <w:rsid w:val="00FF2684"/>
    <w:rsid w:val="00FF29B8"/>
    <w:rsid w:val="00FF2E1C"/>
    <w:rsid w:val="00FF369A"/>
    <w:rsid w:val="00FF3A85"/>
    <w:rsid w:val="00FF3DDC"/>
    <w:rsid w:val="00FF50EE"/>
    <w:rsid w:val="00FF51DC"/>
    <w:rsid w:val="00FF51F9"/>
    <w:rsid w:val="00FF5421"/>
    <w:rsid w:val="00FF585E"/>
    <w:rsid w:val="00FF5998"/>
    <w:rsid w:val="00FF64B4"/>
    <w:rsid w:val="00FF6B61"/>
    <w:rsid w:val="00FF6BCE"/>
    <w:rsid w:val="00FF6CB6"/>
    <w:rsid w:val="00FF6FCD"/>
    <w:rsid w:val="00FF734A"/>
    <w:rsid w:val="00FF73FD"/>
    <w:rsid w:val="00FF7C73"/>
    <w:rsid w:val="0104117A"/>
    <w:rsid w:val="01055BE1"/>
    <w:rsid w:val="011A11DB"/>
    <w:rsid w:val="013A79F0"/>
    <w:rsid w:val="013B18A8"/>
    <w:rsid w:val="016435DB"/>
    <w:rsid w:val="016814B1"/>
    <w:rsid w:val="019C29F7"/>
    <w:rsid w:val="01D4468C"/>
    <w:rsid w:val="020D07B0"/>
    <w:rsid w:val="02A86297"/>
    <w:rsid w:val="02F869A6"/>
    <w:rsid w:val="03173DB3"/>
    <w:rsid w:val="031A06BC"/>
    <w:rsid w:val="031A67DB"/>
    <w:rsid w:val="03D70FC8"/>
    <w:rsid w:val="03D85217"/>
    <w:rsid w:val="04441D61"/>
    <w:rsid w:val="04613F4A"/>
    <w:rsid w:val="050D4CB4"/>
    <w:rsid w:val="052C1D56"/>
    <w:rsid w:val="055C0FAB"/>
    <w:rsid w:val="058248C8"/>
    <w:rsid w:val="058D7D75"/>
    <w:rsid w:val="05E93225"/>
    <w:rsid w:val="06212E9C"/>
    <w:rsid w:val="063D23A3"/>
    <w:rsid w:val="06585F98"/>
    <w:rsid w:val="067167A5"/>
    <w:rsid w:val="06BE157E"/>
    <w:rsid w:val="06CA7EFB"/>
    <w:rsid w:val="06D32E5B"/>
    <w:rsid w:val="06E371A6"/>
    <w:rsid w:val="0703278C"/>
    <w:rsid w:val="07604A02"/>
    <w:rsid w:val="077D43CA"/>
    <w:rsid w:val="07CB28F5"/>
    <w:rsid w:val="08071397"/>
    <w:rsid w:val="08254ACB"/>
    <w:rsid w:val="08277851"/>
    <w:rsid w:val="085A6F61"/>
    <w:rsid w:val="086D47C6"/>
    <w:rsid w:val="088034E8"/>
    <w:rsid w:val="0881282D"/>
    <w:rsid w:val="08F15268"/>
    <w:rsid w:val="090B6D49"/>
    <w:rsid w:val="09540F45"/>
    <w:rsid w:val="0A0A75A9"/>
    <w:rsid w:val="0A5832E9"/>
    <w:rsid w:val="0A834FF1"/>
    <w:rsid w:val="0B1526A9"/>
    <w:rsid w:val="0B590448"/>
    <w:rsid w:val="0BD82A34"/>
    <w:rsid w:val="0C3F4B2C"/>
    <w:rsid w:val="0DB43078"/>
    <w:rsid w:val="0DD624F7"/>
    <w:rsid w:val="0DD955B1"/>
    <w:rsid w:val="0E083E00"/>
    <w:rsid w:val="0E1F359E"/>
    <w:rsid w:val="0E68606E"/>
    <w:rsid w:val="0E8073EE"/>
    <w:rsid w:val="0EA263EB"/>
    <w:rsid w:val="0F6548D6"/>
    <w:rsid w:val="0FEB593F"/>
    <w:rsid w:val="0FF32A15"/>
    <w:rsid w:val="10190546"/>
    <w:rsid w:val="104E5C2D"/>
    <w:rsid w:val="10850170"/>
    <w:rsid w:val="109A6BC8"/>
    <w:rsid w:val="10E937F4"/>
    <w:rsid w:val="11211791"/>
    <w:rsid w:val="11344FAD"/>
    <w:rsid w:val="115A05A6"/>
    <w:rsid w:val="11914883"/>
    <w:rsid w:val="1193412C"/>
    <w:rsid w:val="11B51BEC"/>
    <w:rsid w:val="11E41675"/>
    <w:rsid w:val="11F33634"/>
    <w:rsid w:val="11F9667A"/>
    <w:rsid w:val="12011006"/>
    <w:rsid w:val="121C256F"/>
    <w:rsid w:val="124406B4"/>
    <w:rsid w:val="12627C12"/>
    <w:rsid w:val="1277005C"/>
    <w:rsid w:val="127B6760"/>
    <w:rsid w:val="129B4CBC"/>
    <w:rsid w:val="12A86484"/>
    <w:rsid w:val="12C765B7"/>
    <w:rsid w:val="13166FBF"/>
    <w:rsid w:val="136F25E2"/>
    <w:rsid w:val="1374654C"/>
    <w:rsid w:val="13911A90"/>
    <w:rsid w:val="13917F87"/>
    <w:rsid w:val="13A32387"/>
    <w:rsid w:val="13E35A62"/>
    <w:rsid w:val="143C1162"/>
    <w:rsid w:val="148D505F"/>
    <w:rsid w:val="15886937"/>
    <w:rsid w:val="15BE3397"/>
    <w:rsid w:val="15BF12A7"/>
    <w:rsid w:val="160D3E48"/>
    <w:rsid w:val="16475F68"/>
    <w:rsid w:val="16647F0F"/>
    <w:rsid w:val="16803050"/>
    <w:rsid w:val="16A7598A"/>
    <w:rsid w:val="16C678A1"/>
    <w:rsid w:val="17173F10"/>
    <w:rsid w:val="17203B72"/>
    <w:rsid w:val="178564C1"/>
    <w:rsid w:val="179472EE"/>
    <w:rsid w:val="17B6157F"/>
    <w:rsid w:val="17DC2443"/>
    <w:rsid w:val="1821268E"/>
    <w:rsid w:val="183B1275"/>
    <w:rsid w:val="190E2647"/>
    <w:rsid w:val="194B22FF"/>
    <w:rsid w:val="19720290"/>
    <w:rsid w:val="19826DF8"/>
    <w:rsid w:val="19DC0F2B"/>
    <w:rsid w:val="1A2329B0"/>
    <w:rsid w:val="1A546564"/>
    <w:rsid w:val="1A7870DA"/>
    <w:rsid w:val="1A8B5AA2"/>
    <w:rsid w:val="1B1B74C4"/>
    <w:rsid w:val="1B2528AD"/>
    <w:rsid w:val="1B3041CC"/>
    <w:rsid w:val="1B3713B3"/>
    <w:rsid w:val="1B596249"/>
    <w:rsid w:val="1B7A3E63"/>
    <w:rsid w:val="1BE90F15"/>
    <w:rsid w:val="1BF54625"/>
    <w:rsid w:val="1C5E7387"/>
    <w:rsid w:val="1C8A49FA"/>
    <w:rsid w:val="1CEB654E"/>
    <w:rsid w:val="1D432F64"/>
    <w:rsid w:val="1D44382C"/>
    <w:rsid w:val="1D5052BA"/>
    <w:rsid w:val="1DDE31AB"/>
    <w:rsid w:val="1DE04E16"/>
    <w:rsid w:val="1EB8717C"/>
    <w:rsid w:val="1ECC0B51"/>
    <w:rsid w:val="1EE20962"/>
    <w:rsid w:val="1F33719D"/>
    <w:rsid w:val="1F3F789D"/>
    <w:rsid w:val="1F5A1F72"/>
    <w:rsid w:val="1F5C349E"/>
    <w:rsid w:val="1FE54A07"/>
    <w:rsid w:val="20511721"/>
    <w:rsid w:val="20A5343E"/>
    <w:rsid w:val="20CA5D3E"/>
    <w:rsid w:val="20E61548"/>
    <w:rsid w:val="21834DD2"/>
    <w:rsid w:val="21BC2CAC"/>
    <w:rsid w:val="21EF7D6E"/>
    <w:rsid w:val="223A615D"/>
    <w:rsid w:val="22E61AD1"/>
    <w:rsid w:val="238E494F"/>
    <w:rsid w:val="23987DB3"/>
    <w:rsid w:val="23A14EBC"/>
    <w:rsid w:val="23C07E61"/>
    <w:rsid w:val="23C10311"/>
    <w:rsid w:val="23C975B0"/>
    <w:rsid w:val="23DF123F"/>
    <w:rsid w:val="245B4605"/>
    <w:rsid w:val="24623692"/>
    <w:rsid w:val="24E31510"/>
    <w:rsid w:val="25072C0B"/>
    <w:rsid w:val="252B7211"/>
    <w:rsid w:val="25454829"/>
    <w:rsid w:val="25667BB5"/>
    <w:rsid w:val="25694688"/>
    <w:rsid w:val="25B5125F"/>
    <w:rsid w:val="25BA2A83"/>
    <w:rsid w:val="25E86FD8"/>
    <w:rsid w:val="2601328A"/>
    <w:rsid w:val="265C7550"/>
    <w:rsid w:val="268C1E43"/>
    <w:rsid w:val="272D2FAF"/>
    <w:rsid w:val="278B7B24"/>
    <w:rsid w:val="27B94B49"/>
    <w:rsid w:val="27C501A6"/>
    <w:rsid w:val="28110C06"/>
    <w:rsid w:val="281951B1"/>
    <w:rsid w:val="281A4A03"/>
    <w:rsid w:val="28575047"/>
    <w:rsid w:val="28A906E1"/>
    <w:rsid w:val="28FD37FF"/>
    <w:rsid w:val="29197B2F"/>
    <w:rsid w:val="29207CF7"/>
    <w:rsid w:val="293B2E83"/>
    <w:rsid w:val="293F1222"/>
    <w:rsid w:val="294A394F"/>
    <w:rsid w:val="295B1A9E"/>
    <w:rsid w:val="296503C4"/>
    <w:rsid w:val="29CA0299"/>
    <w:rsid w:val="2A5618BC"/>
    <w:rsid w:val="2A7E3970"/>
    <w:rsid w:val="2A8710EC"/>
    <w:rsid w:val="2B193698"/>
    <w:rsid w:val="2B4A1AA4"/>
    <w:rsid w:val="2B4F629F"/>
    <w:rsid w:val="2B703C4F"/>
    <w:rsid w:val="2B892AAA"/>
    <w:rsid w:val="2C430C0E"/>
    <w:rsid w:val="2C4661AD"/>
    <w:rsid w:val="2CF9552F"/>
    <w:rsid w:val="2D1E70EB"/>
    <w:rsid w:val="2D436B43"/>
    <w:rsid w:val="2E104CC9"/>
    <w:rsid w:val="2E3B1AF8"/>
    <w:rsid w:val="2E7633AC"/>
    <w:rsid w:val="2EAC1344"/>
    <w:rsid w:val="2EB5246A"/>
    <w:rsid w:val="2F3B1E2F"/>
    <w:rsid w:val="2F67715E"/>
    <w:rsid w:val="2FA10A8B"/>
    <w:rsid w:val="303C7635"/>
    <w:rsid w:val="30444D13"/>
    <w:rsid w:val="30886FB3"/>
    <w:rsid w:val="30D00355"/>
    <w:rsid w:val="30D753F7"/>
    <w:rsid w:val="31206470"/>
    <w:rsid w:val="31312428"/>
    <w:rsid w:val="31404AC2"/>
    <w:rsid w:val="318E607C"/>
    <w:rsid w:val="31BE3A10"/>
    <w:rsid w:val="31C8616C"/>
    <w:rsid w:val="31CC1DA3"/>
    <w:rsid w:val="31D855AA"/>
    <w:rsid w:val="31E1624A"/>
    <w:rsid w:val="325D20BC"/>
    <w:rsid w:val="32CB650C"/>
    <w:rsid w:val="33D52402"/>
    <w:rsid w:val="34032D58"/>
    <w:rsid w:val="345576D6"/>
    <w:rsid w:val="345F06BD"/>
    <w:rsid w:val="34AA540B"/>
    <w:rsid w:val="34DF6AEB"/>
    <w:rsid w:val="34F7325C"/>
    <w:rsid w:val="352B4D6E"/>
    <w:rsid w:val="355669EB"/>
    <w:rsid w:val="3592097A"/>
    <w:rsid w:val="367134E5"/>
    <w:rsid w:val="36D33238"/>
    <w:rsid w:val="377444E6"/>
    <w:rsid w:val="384E4ED7"/>
    <w:rsid w:val="38553AD4"/>
    <w:rsid w:val="38C370FD"/>
    <w:rsid w:val="38C93665"/>
    <w:rsid w:val="38DF7E02"/>
    <w:rsid w:val="38EB185E"/>
    <w:rsid w:val="398007B1"/>
    <w:rsid w:val="398C5661"/>
    <w:rsid w:val="3A34109F"/>
    <w:rsid w:val="3AF653E6"/>
    <w:rsid w:val="3B2A5A15"/>
    <w:rsid w:val="3B7A0C42"/>
    <w:rsid w:val="3BBF5694"/>
    <w:rsid w:val="3C0B3579"/>
    <w:rsid w:val="3C51406D"/>
    <w:rsid w:val="3CCA07AF"/>
    <w:rsid w:val="3CD00B90"/>
    <w:rsid w:val="3CD76F0F"/>
    <w:rsid w:val="3CEC580A"/>
    <w:rsid w:val="3D5C547C"/>
    <w:rsid w:val="3D752E27"/>
    <w:rsid w:val="3DB03982"/>
    <w:rsid w:val="3DC13736"/>
    <w:rsid w:val="3E502C90"/>
    <w:rsid w:val="3E834C59"/>
    <w:rsid w:val="3F214472"/>
    <w:rsid w:val="3F5D24F1"/>
    <w:rsid w:val="3FAE124B"/>
    <w:rsid w:val="3FF35988"/>
    <w:rsid w:val="405D6094"/>
    <w:rsid w:val="40CB6D8B"/>
    <w:rsid w:val="410751CB"/>
    <w:rsid w:val="41155E85"/>
    <w:rsid w:val="41397DE3"/>
    <w:rsid w:val="414F24D7"/>
    <w:rsid w:val="41EF70D8"/>
    <w:rsid w:val="41FC4384"/>
    <w:rsid w:val="4212785B"/>
    <w:rsid w:val="42403225"/>
    <w:rsid w:val="427A27B4"/>
    <w:rsid w:val="42EA6269"/>
    <w:rsid w:val="42F97BDF"/>
    <w:rsid w:val="431333A0"/>
    <w:rsid w:val="43333487"/>
    <w:rsid w:val="438D657A"/>
    <w:rsid w:val="43E7702E"/>
    <w:rsid w:val="440B25C0"/>
    <w:rsid w:val="441E5D32"/>
    <w:rsid w:val="444246B7"/>
    <w:rsid w:val="449A2CFC"/>
    <w:rsid w:val="44E1670A"/>
    <w:rsid w:val="45967B96"/>
    <w:rsid w:val="45AD39F8"/>
    <w:rsid w:val="45E0569D"/>
    <w:rsid w:val="45E90ADF"/>
    <w:rsid w:val="45F12D41"/>
    <w:rsid w:val="462F56C6"/>
    <w:rsid w:val="46363EDE"/>
    <w:rsid w:val="464A162D"/>
    <w:rsid w:val="46835F27"/>
    <w:rsid w:val="46BF41A9"/>
    <w:rsid w:val="46CC3FD2"/>
    <w:rsid w:val="476D330C"/>
    <w:rsid w:val="47CA322E"/>
    <w:rsid w:val="485B1B0D"/>
    <w:rsid w:val="492F6EEB"/>
    <w:rsid w:val="49375234"/>
    <w:rsid w:val="49415E3C"/>
    <w:rsid w:val="498E073A"/>
    <w:rsid w:val="499F5757"/>
    <w:rsid w:val="49AE1049"/>
    <w:rsid w:val="49C83E68"/>
    <w:rsid w:val="49E12311"/>
    <w:rsid w:val="49F13E3D"/>
    <w:rsid w:val="4A5C5CE8"/>
    <w:rsid w:val="4A860E28"/>
    <w:rsid w:val="4AF63283"/>
    <w:rsid w:val="4B135CFC"/>
    <w:rsid w:val="4B357D81"/>
    <w:rsid w:val="4B522403"/>
    <w:rsid w:val="4B7431B7"/>
    <w:rsid w:val="4BD02DAD"/>
    <w:rsid w:val="4BEA203B"/>
    <w:rsid w:val="4C0250F8"/>
    <w:rsid w:val="4C4C7FAD"/>
    <w:rsid w:val="4C4F071D"/>
    <w:rsid w:val="4C620E79"/>
    <w:rsid w:val="4C757967"/>
    <w:rsid w:val="4C902D5C"/>
    <w:rsid w:val="4CC95742"/>
    <w:rsid w:val="4CE217A5"/>
    <w:rsid w:val="4D6D041D"/>
    <w:rsid w:val="4DC437C0"/>
    <w:rsid w:val="4DDD7546"/>
    <w:rsid w:val="4EB91603"/>
    <w:rsid w:val="4F501078"/>
    <w:rsid w:val="4F5F526E"/>
    <w:rsid w:val="4F610B9D"/>
    <w:rsid w:val="4F704DDF"/>
    <w:rsid w:val="4FB31116"/>
    <w:rsid w:val="4FC941C9"/>
    <w:rsid w:val="4FCC3398"/>
    <w:rsid w:val="506108E5"/>
    <w:rsid w:val="509121C1"/>
    <w:rsid w:val="50C34F97"/>
    <w:rsid w:val="50E85919"/>
    <w:rsid w:val="50FA60E8"/>
    <w:rsid w:val="51042C18"/>
    <w:rsid w:val="51251A18"/>
    <w:rsid w:val="5126319D"/>
    <w:rsid w:val="51430D13"/>
    <w:rsid w:val="514C5045"/>
    <w:rsid w:val="516F7EA7"/>
    <w:rsid w:val="518526B5"/>
    <w:rsid w:val="519805C3"/>
    <w:rsid w:val="51AE428B"/>
    <w:rsid w:val="51B7093D"/>
    <w:rsid w:val="51C962CA"/>
    <w:rsid w:val="52214A5D"/>
    <w:rsid w:val="52883381"/>
    <w:rsid w:val="52A76390"/>
    <w:rsid w:val="52C12E15"/>
    <w:rsid w:val="52C673B2"/>
    <w:rsid w:val="531B54F2"/>
    <w:rsid w:val="531E37CC"/>
    <w:rsid w:val="5367420E"/>
    <w:rsid w:val="536C23EF"/>
    <w:rsid w:val="539E7A53"/>
    <w:rsid w:val="53A12167"/>
    <w:rsid w:val="53A35EAA"/>
    <w:rsid w:val="53B363A8"/>
    <w:rsid w:val="53C6504E"/>
    <w:rsid w:val="541D549B"/>
    <w:rsid w:val="54B02A1D"/>
    <w:rsid w:val="54D31DC9"/>
    <w:rsid w:val="55056114"/>
    <w:rsid w:val="5524472E"/>
    <w:rsid w:val="553625CD"/>
    <w:rsid w:val="55C205A3"/>
    <w:rsid w:val="560E4B83"/>
    <w:rsid w:val="56573B89"/>
    <w:rsid w:val="566E16B5"/>
    <w:rsid w:val="566E5D97"/>
    <w:rsid w:val="56881F56"/>
    <w:rsid w:val="569E474A"/>
    <w:rsid w:val="56C67981"/>
    <w:rsid w:val="56E41B26"/>
    <w:rsid w:val="571F7091"/>
    <w:rsid w:val="573445B5"/>
    <w:rsid w:val="57C41BF1"/>
    <w:rsid w:val="58170B60"/>
    <w:rsid w:val="58676ACB"/>
    <w:rsid w:val="589F5894"/>
    <w:rsid w:val="58AA1A96"/>
    <w:rsid w:val="58FB0D6A"/>
    <w:rsid w:val="591B4B22"/>
    <w:rsid w:val="592D6FF2"/>
    <w:rsid w:val="593A2E6A"/>
    <w:rsid w:val="59417793"/>
    <w:rsid w:val="596008B0"/>
    <w:rsid w:val="59742330"/>
    <w:rsid w:val="59934F9C"/>
    <w:rsid w:val="59B02E72"/>
    <w:rsid w:val="5A2813B3"/>
    <w:rsid w:val="5A332E58"/>
    <w:rsid w:val="5A36306F"/>
    <w:rsid w:val="5A604D02"/>
    <w:rsid w:val="5AD93C33"/>
    <w:rsid w:val="5AE617F5"/>
    <w:rsid w:val="5B1C4013"/>
    <w:rsid w:val="5B394BC5"/>
    <w:rsid w:val="5B9300B5"/>
    <w:rsid w:val="5B9B13DC"/>
    <w:rsid w:val="5B9B5880"/>
    <w:rsid w:val="5B9C546A"/>
    <w:rsid w:val="5BEE20A9"/>
    <w:rsid w:val="5C37252E"/>
    <w:rsid w:val="5C4C769D"/>
    <w:rsid w:val="5CF25BB5"/>
    <w:rsid w:val="5D5506CB"/>
    <w:rsid w:val="5D575FCD"/>
    <w:rsid w:val="5D684E84"/>
    <w:rsid w:val="5D8D7E0C"/>
    <w:rsid w:val="5DA327CA"/>
    <w:rsid w:val="5DC10EA2"/>
    <w:rsid w:val="5EA92338"/>
    <w:rsid w:val="5EAB5EE9"/>
    <w:rsid w:val="5EEE180B"/>
    <w:rsid w:val="5EF76C2A"/>
    <w:rsid w:val="5F190BAD"/>
    <w:rsid w:val="5F1B04DA"/>
    <w:rsid w:val="5F394319"/>
    <w:rsid w:val="5F531053"/>
    <w:rsid w:val="5F60275D"/>
    <w:rsid w:val="5F837C91"/>
    <w:rsid w:val="5F9D1924"/>
    <w:rsid w:val="5FCC24AC"/>
    <w:rsid w:val="603B5F79"/>
    <w:rsid w:val="60437E5A"/>
    <w:rsid w:val="60740DC8"/>
    <w:rsid w:val="60AE7788"/>
    <w:rsid w:val="60BD6D3F"/>
    <w:rsid w:val="60ED0D1E"/>
    <w:rsid w:val="61047762"/>
    <w:rsid w:val="61CD564F"/>
    <w:rsid w:val="61CE0199"/>
    <w:rsid w:val="620E7BDF"/>
    <w:rsid w:val="621537FD"/>
    <w:rsid w:val="62441EEF"/>
    <w:rsid w:val="62B77590"/>
    <w:rsid w:val="62E01DCA"/>
    <w:rsid w:val="62EA5E1C"/>
    <w:rsid w:val="63277F96"/>
    <w:rsid w:val="637A5D7B"/>
    <w:rsid w:val="6385646E"/>
    <w:rsid w:val="638C410F"/>
    <w:rsid w:val="63B23767"/>
    <w:rsid w:val="63BA6A57"/>
    <w:rsid w:val="63CD0945"/>
    <w:rsid w:val="63F37308"/>
    <w:rsid w:val="64016D60"/>
    <w:rsid w:val="641021BF"/>
    <w:rsid w:val="64474A6E"/>
    <w:rsid w:val="648237F1"/>
    <w:rsid w:val="654A5282"/>
    <w:rsid w:val="674768BC"/>
    <w:rsid w:val="67716A91"/>
    <w:rsid w:val="67C979B5"/>
    <w:rsid w:val="67F44768"/>
    <w:rsid w:val="683F6400"/>
    <w:rsid w:val="68914FBE"/>
    <w:rsid w:val="68B94F38"/>
    <w:rsid w:val="68DF242D"/>
    <w:rsid w:val="694F5B42"/>
    <w:rsid w:val="69B46D9E"/>
    <w:rsid w:val="69BD5E24"/>
    <w:rsid w:val="6A014EB0"/>
    <w:rsid w:val="6A3D167C"/>
    <w:rsid w:val="6A813E93"/>
    <w:rsid w:val="6A8C32CC"/>
    <w:rsid w:val="6AB93C0C"/>
    <w:rsid w:val="6AF1381A"/>
    <w:rsid w:val="6B190332"/>
    <w:rsid w:val="6B647ABE"/>
    <w:rsid w:val="6B9E3A1A"/>
    <w:rsid w:val="6C0C538A"/>
    <w:rsid w:val="6C1B0340"/>
    <w:rsid w:val="6C58703A"/>
    <w:rsid w:val="6CEF2BD3"/>
    <w:rsid w:val="6D0C613F"/>
    <w:rsid w:val="6D255DA7"/>
    <w:rsid w:val="6D2C2081"/>
    <w:rsid w:val="6D8C5C0C"/>
    <w:rsid w:val="6DAB29EA"/>
    <w:rsid w:val="6DE0046C"/>
    <w:rsid w:val="6E031C5C"/>
    <w:rsid w:val="6E0A6C7E"/>
    <w:rsid w:val="6E2316F9"/>
    <w:rsid w:val="6E3327E4"/>
    <w:rsid w:val="6E3E7220"/>
    <w:rsid w:val="6E8D2F3A"/>
    <w:rsid w:val="6EA9572D"/>
    <w:rsid w:val="6EC31E21"/>
    <w:rsid w:val="6ED03539"/>
    <w:rsid w:val="6EED6D2B"/>
    <w:rsid w:val="6F435BBB"/>
    <w:rsid w:val="6FD33957"/>
    <w:rsid w:val="70092847"/>
    <w:rsid w:val="7022712D"/>
    <w:rsid w:val="705C7988"/>
    <w:rsid w:val="70794EEE"/>
    <w:rsid w:val="70AC59E2"/>
    <w:rsid w:val="71181F9D"/>
    <w:rsid w:val="71294999"/>
    <w:rsid w:val="71690E5D"/>
    <w:rsid w:val="720A6EE9"/>
    <w:rsid w:val="720F1936"/>
    <w:rsid w:val="7213254E"/>
    <w:rsid w:val="7235272A"/>
    <w:rsid w:val="723F0011"/>
    <w:rsid w:val="727D4EDC"/>
    <w:rsid w:val="729B2130"/>
    <w:rsid w:val="7326458B"/>
    <w:rsid w:val="73334EDB"/>
    <w:rsid w:val="734304AD"/>
    <w:rsid w:val="73975F44"/>
    <w:rsid w:val="73E37BC7"/>
    <w:rsid w:val="74123E4B"/>
    <w:rsid w:val="74887E58"/>
    <w:rsid w:val="74A36FDA"/>
    <w:rsid w:val="74B70B92"/>
    <w:rsid w:val="75485815"/>
    <w:rsid w:val="75AE7B06"/>
    <w:rsid w:val="75D65FF7"/>
    <w:rsid w:val="75F560E0"/>
    <w:rsid w:val="76621781"/>
    <w:rsid w:val="76F80FFC"/>
    <w:rsid w:val="771C4063"/>
    <w:rsid w:val="774C1A35"/>
    <w:rsid w:val="77AE4378"/>
    <w:rsid w:val="7865568C"/>
    <w:rsid w:val="78670B1B"/>
    <w:rsid w:val="789541CC"/>
    <w:rsid w:val="78B05311"/>
    <w:rsid w:val="78C852B2"/>
    <w:rsid w:val="78E21B7D"/>
    <w:rsid w:val="78F54384"/>
    <w:rsid w:val="790D7A43"/>
    <w:rsid w:val="79200BAA"/>
    <w:rsid w:val="7948367B"/>
    <w:rsid w:val="79D76AFB"/>
    <w:rsid w:val="7A1D73C0"/>
    <w:rsid w:val="7A232320"/>
    <w:rsid w:val="7A365F60"/>
    <w:rsid w:val="7A4B0019"/>
    <w:rsid w:val="7A9B2272"/>
    <w:rsid w:val="7AD93877"/>
    <w:rsid w:val="7AF67425"/>
    <w:rsid w:val="7B0040F3"/>
    <w:rsid w:val="7B1233E9"/>
    <w:rsid w:val="7B4330CF"/>
    <w:rsid w:val="7B535D0E"/>
    <w:rsid w:val="7B8856CB"/>
    <w:rsid w:val="7B8D18A0"/>
    <w:rsid w:val="7BAE69F7"/>
    <w:rsid w:val="7BDE1312"/>
    <w:rsid w:val="7C28344E"/>
    <w:rsid w:val="7C7D2246"/>
    <w:rsid w:val="7C8E3E37"/>
    <w:rsid w:val="7CB77BE8"/>
    <w:rsid w:val="7CBF19A2"/>
    <w:rsid w:val="7CC678C9"/>
    <w:rsid w:val="7CF05FA2"/>
    <w:rsid w:val="7CF16C56"/>
    <w:rsid w:val="7D3C214F"/>
    <w:rsid w:val="7D9A006D"/>
    <w:rsid w:val="7DD33E7C"/>
    <w:rsid w:val="7DE40569"/>
    <w:rsid w:val="7E1D2035"/>
    <w:rsid w:val="7E5266BD"/>
    <w:rsid w:val="7E7C095A"/>
    <w:rsid w:val="7EBB15EB"/>
    <w:rsid w:val="7F0C421B"/>
    <w:rsid w:val="7F44262C"/>
    <w:rsid w:val="7F506D25"/>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0" w:semiHidden="0" w:name="toc 2" w:locked="1"/>
    <w:lsdException w:uiPriority="39" w:name="toc 3" w:locked="1"/>
    <w:lsdException w:uiPriority="39" w:name="toc 4" w:locked="1"/>
    <w:lsdException w:uiPriority="39" w:name="toc 5" w:locked="1"/>
    <w:lsdException w:qFormat="1" w:unhideWhenUsed="0" w:uiPriority="99" w:semiHidden="0" w:name="toc 6" w:locked="1"/>
    <w:lsdException w:uiPriority="39" w:name="toc 7" w:locked="1"/>
    <w:lsdException w:uiPriority="39" w:name="toc 8" w:locked="1"/>
    <w:lsdException w:uiPriority="39" w:name="toc 9" w:locked="1"/>
    <w:lsdException w:qFormat="1" w:unhideWhenUsed="0" w:uiPriority="99" w:semiHidden="0" w:name="Normal Indent"/>
    <w:lsdException w:uiPriority="99" w:name="footnote text" w:locked="1"/>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ocked="1"/>
    <w:lsdException w:qFormat="1" w:unhideWhenUsed="0" w:uiPriority="99" w:semiHidden="0" w:name="caption"/>
    <w:lsdException w:uiPriority="99" w:name="table of figures" w:locked="1"/>
    <w:lsdException w:uiPriority="99" w:name="envelope address" w:locked="1"/>
    <w:lsdException w:uiPriority="99" w:name="envelope return" w:locked="1"/>
    <w:lsdException w:qFormat="1" w:uiPriority="0" w:semiHidden="0" w:name="footnote reference" w:locked="1"/>
    <w:lsdException w:qFormat="1" w:unhideWhenUsed="0" w:uiPriority="99" w:semiHidden="0" w:name="annotation reference"/>
    <w:lsdException w:uiPriority="99" w:name="line number" w:locked="1"/>
    <w:lsdException w:qFormat="1" w:unhideWhenUsed="0" w:uiPriority="99" w:semiHidden="0" w:name="page number"/>
    <w:lsdException w:uiPriority="99" w:name="endnote reference" w:locked="1"/>
    <w:lsdException w:qFormat="1" w:unhideWhenUsed="0" w:uiPriority="99" w:name="endnote text"/>
    <w:lsdException w:uiPriority="99" w:name="table of authorities" w:locked="1"/>
    <w:lsdException w:uiPriority="99" w:name="macro" w:locked="1"/>
    <w:lsdException w:uiPriority="99" w:name="toa heading" w:locked="1"/>
    <w:lsdException w:qFormat="1" w:unhideWhenUsed="0" w:uiPriority="99" w:semiHidden="0" w:name="List"/>
    <w:lsdException w:qFormat="1" w:unhideWhenUsed="0" w:uiPriority="99" w:semiHidden="0" w:name="List Bullet"/>
    <w:lsdException w:qFormat="1" w:unhideWhenUsed="0" w:uiPriority="99" w:semiHidden="0" w:name="List Number"/>
    <w:lsdException w:qFormat="1" w:unhideWhenUsed="0" w:uiPriority="99" w:semiHidden="0" w:name="List 2"/>
    <w:lsdException w:uiPriority="99" w:name="List 3" w:locked="1"/>
    <w:lsdException w:uiPriority="99" w:name="List 4" w:locked="1"/>
    <w:lsdException w:uiPriority="99" w:name="List 5" w:locked="1"/>
    <w:lsdException w:qFormat="1" w:unhideWhenUsed="0" w:uiPriority="99" w:semiHidden="0" w:name="List Bullet 2"/>
    <w:lsdException w:uiPriority="99" w:name="List Bullet 3" w:locked="1"/>
    <w:lsdException w:uiPriority="99" w:name="List Bullet 4" w:locked="1"/>
    <w:lsdException w:uiPriority="99" w:name="List Bullet 5" w:locked="1"/>
    <w:lsdException w:uiPriority="99" w:name="List Number 2" w:locked="1"/>
    <w:lsdException w:qFormat="1" w:unhideWhenUsed="0" w:uiPriority="99" w:semiHidden="0" w:name="List Number 3"/>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nhideWhenUsed="0" w:uiPriority="99"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99" w:semiHidden="0" w:name="HTML Preformatted"/>
    <w:lsdException w:uiPriority="99" w:name="HTML Sample" w:locked="1"/>
    <w:lsdException w:uiPriority="99" w:name="HTML Typewriter" w:locked="1"/>
    <w:lsdException w:uiPriority="99" w:name="HTML Variable" w:locked="1"/>
    <w:lsdException w:qFormat="1" w:uiPriority="99" w:semiHidden="0"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60"/>
    <w:qFormat/>
    <w:uiPriority w:val="99"/>
    <w:pPr>
      <w:keepNext/>
      <w:keepLines/>
      <w:spacing w:before="340" w:after="330" w:line="578" w:lineRule="auto"/>
      <w:outlineLvl w:val="0"/>
    </w:pPr>
    <w:rPr>
      <w:b/>
      <w:bCs/>
      <w:kern w:val="44"/>
      <w:sz w:val="44"/>
      <w:szCs w:val="44"/>
    </w:rPr>
  </w:style>
  <w:style w:type="paragraph" w:styleId="6">
    <w:name w:val="heading 2"/>
    <w:basedOn w:val="1"/>
    <w:next w:val="1"/>
    <w:link w:val="261"/>
    <w:qFormat/>
    <w:uiPriority w:val="99"/>
    <w:pPr>
      <w:keepNext/>
      <w:keepLines/>
      <w:spacing w:before="260" w:after="260" w:line="416" w:lineRule="auto"/>
      <w:outlineLvl w:val="1"/>
    </w:pPr>
    <w:rPr>
      <w:rFonts w:ascii="Arial" w:hAnsi="Arial"/>
      <w:b/>
      <w:bCs/>
      <w:sz w:val="28"/>
      <w:szCs w:val="32"/>
    </w:rPr>
  </w:style>
  <w:style w:type="paragraph" w:styleId="7">
    <w:name w:val="heading 3"/>
    <w:basedOn w:val="1"/>
    <w:next w:val="1"/>
    <w:link w:val="62"/>
    <w:qFormat/>
    <w:uiPriority w:val="99"/>
    <w:pPr>
      <w:keepNext/>
      <w:keepLines/>
      <w:autoSpaceDE w:val="0"/>
      <w:autoSpaceDN w:val="0"/>
      <w:adjustRightInd w:val="0"/>
      <w:spacing w:before="360" w:after="120"/>
      <w:jc w:val="left"/>
      <w:outlineLvl w:val="2"/>
    </w:pPr>
    <w:rPr>
      <w:rFonts w:ascii="宋体"/>
      <w:b/>
      <w:kern w:val="0"/>
      <w:sz w:val="24"/>
      <w:szCs w:val="20"/>
      <w:u w:val="single"/>
    </w:rPr>
  </w:style>
  <w:style w:type="paragraph" w:styleId="8">
    <w:name w:val="heading 4"/>
    <w:basedOn w:val="1"/>
    <w:next w:val="1"/>
    <w:link w:val="63"/>
    <w:qFormat/>
    <w:uiPriority w:val="99"/>
    <w:pPr>
      <w:keepNext/>
      <w:keepLines/>
      <w:spacing w:before="280" w:after="290" w:line="376" w:lineRule="auto"/>
      <w:outlineLvl w:val="3"/>
    </w:pPr>
    <w:rPr>
      <w:rFonts w:ascii="Arial" w:hAnsi="Arial" w:eastAsia="黑体"/>
      <w:b/>
      <w:bCs/>
      <w:sz w:val="28"/>
      <w:szCs w:val="28"/>
    </w:rPr>
  </w:style>
  <w:style w:type="paragraph" w:styleId="9">
    <w:name w:val="heading 5"/>
    <w:basedOn w:val="1"/>
    <w:next w:val="1"/>
    <w:link w:val="64"/>
    <w:qFormat/>
    <w:uiPriority w:val="99"/>
    <w:pPr>
      <w:keepNext/>
      <w:keepLines/>
      <w:spacing w:before="280" w:after="290" w:line="376" w:lineRule="auto"/>
      <w:outlineLvl w:val="4"/>
    </w:pPr>
    <w:rPr>
      <w:b/>
      <w:bCs/>
      <w:sz w:val="28"/>
      <w:szCs w:val="28"/>
    </w:rPr>
  </w:style>
  <w:style w:type="paragraph" w:styleId="10">
    <w:name w:val="heading 6"/>
    <w:basedOn w:val="1"/>
    <w:next w:val="1"/>
    <w:link w:val="65"/>
    <w:qFormat/>
    <w:uiPriority w:val="99"/>
    <w:pPr>
      <w:keepNext/>
      <w:keepLines/>
      <w:spacing w:before="240" w:after="64" w:line="320" w:lineRule="auto"/>
      <w:outlineLvl w:val="5"/>
    </w:pPr>
    <w:rPr>
      <w:rFonts w:ascii="Arial" w:hAnsi="Arial" w:eastAsia="黑体"/>
      <w:b/>
      <w:bCs/>
      <w:sz w:val="24"/>
      <w:szCs w:val="20"/>
    </w:rPr>
  </w:style>
  <w:style w:type="paragraph" w:styleId="11">
    <w:name w:val="heading 7"/>
    <w:basedOn w:val="1"/>
    <w:next w:val="1"/>
    <w:link w:val="66"/>
    <w:qFormat/>
    <w:uiPriority w:val="99"/>
    <w:pPr>
      <w:keepNext/>
      <w:keepLines/>
      <w:numPr>
        <w:ilvl w:val="6"/>
        <w:numId w:val="1"/>
      </w:numPr>
      <w:adjustRightInd w:val="0"/>
      <w:spacing w:before="240" w:after="64" w:line="320" w:lineRule="atLeast"/>
      <w:textAlignment w:val="baseline"/>
      <w:outlineLvl w:val="6"/>
    </w:pPr>
    <w:rPr>
      <w:rFonts w:ascii="宋体" w:eastAsia="仿宋_GB2312"/>
      <w:b/>
      <w:kern w:val="0"/>
      <w:sz w:val="24"/>
      <w:szCs w:val="20"/>
    </w:rPr>
  </w:style>
  <w:style w:type="paragraph" w:styleId="12">
    <w:name w:val="heading 8"/>
    <w:basedOn w:val="1"/>
    <w:next w:val="1"/>
    <w:link w:val="67"/>
    <w:qFormat/>
    <w:uiPriority w:val="99"/>
    <w:pPr>
      <w:keepNext/>
      <w:keepLines/>
      <w:numPr>
        <w:ilvl w:val="7"/>
        <w:numId w:val="1"/>
      </w:numPr>
      <w:adjustRightInd w:val="0"/>
      <w:spacing w:before="240" w:after="64" w:line="320" w:lineRule="atLeast"/>
      <w:textAlignment w:val="baseline"/>
      <w:outlineLvl w:val="7"/>
    </w:pPr>
    <w:rPr>
      <w:rFonts w:ascii="Arial" w:hAnsi="Arial" w:eastAsia="黑体"/>
      <w:kern w:val="0"/>
      <w:sz w:val="24"/>
      <w:szCs w:val="20"/>
    </w:rPr>
  </w:style>
  <w:style w:type="paragraph" w:styleId="13">
    <w:name w:val="heading 9"/>
    <w:basedOn w:val="1"/>
    <w:next w:val="1"/>
    <w:link w:val="68"/>
    <w:qFormat/>
    <w:uiPriority w:val="99"/>
    <w:pPr>
      <w:keepNext/>
      <w:keepLines/>
      <w:numPr>
        <w:ilvl w:val="8"/>
        <w:numId w:val="1"/>
      </w:numPr>
      <w:adjustRightInd w:val="0"/>
      <w:spacing w:before="240" w:after="64" w:line="320" w:lineRule="atLeast"/>
      <w:textAlignment w:val="baseline"/>
      <w:outlineLvl w:val="8"/>
    </w:pPr>
    <w:rPr>
      <w:rFonts w:ascii="Arial" w:hAnsi="Arial" w:eastAsia="黑体"/>
      <w:kern w:val="0"/>
      <w:sz w:val="28"/>
      <w:szCs w:val="20"/>
    </w:rPr>
  </w:style>
  <w:style w:type="character" w:default="1" w:styleId="47">
    <w:name w:val="Default Paragraph Font"/>
    <w:semiHidden/>
    <w:qFormat/>
    <w:uiPriority w:val="99"/>
  </w:style>
  <w:style w:type="table" w:default="1" w:styleId="45">
    <w:name w:val="Normal Table"/>
    <w:unhideWhenUsed/>
    <w:qFormat/>
    <w:uiPriority w:val="99"/>
    <w:tblPr>
      <w:tblCellMar>
        <w:top w:w="0" w:type="dxa"/>
        <w:left w:w="108" w:type="dxa"/>
        <w:bottom w:w="0" w:type="dxa"/>
        <w:right w:w="108" w:type="dxa"/>
      </w:tblCellMar>
    </w:tblPr>
  </w:style>
  <w:style w:type="paragraph" w:styleId="2">
    <w:name w:val="Body Text First Indent"/>
    <w:basedOn w:val="3"/>
    <w:next w:val="4"/>
    <w:link w:val="89"/>
    <w:qFormat/>
    <w:uiPriority w:val="99"/>
    <w:pPr>
      <w:spacing w:line="360" w:lineRule="auto"/>
      <w:ind w:firstLine="200" w:firstLineChars="200"/>
      <w:jc w:val="left"/>
    </w:pPr>
    <w:rPr>
      <w:bCs/>
      <w:sz w:val="24"/>
    </w:rPr>
  </w:style>
  <w:style w:type="paragraph" w:styleId="3">
    <w:name w:val="Body Text"/>
    <w:basedOn w:val="1"/>
    <w:next w:val="1"/>
    <w:link w:val="73"/>
    <w:qFormat/>
    <w:uiPriority w:val="99"/>
    <w:pPr>
      <w:spacing w:after="120"/>
    </w:pPr>
    <w:rPr>
      <w:sz w:val="28"/>
    </w:rPr>
  </w:style>
  <w:style w:type="paragraph" w:styleId="4">
    <w:name w:val="toc 6"/>
    <w:basedOn w:val="1"/>
    <w:next w:val="1"/>
    <w:qFormat/>
    <w:locked/>
    <w:uiPriority w:val="99"/>
    <w:pPr>
      <w:ind w:left="2100" w:leftChars="1000"/>
    </w:pPr>
  </w:style>
  <w:style w:type="paragraph" w:styleId="14">
    <w:name w:val="List Number"/>
    <w:basedOn w:val="1"/>
    <w:qFormat/>
    <w:uiPriority w:val="99"/>
    <w:pPr>
      <w:widowControl/>
      <w:tabs>
        <w:tab w:val="left" w:pos="454"/>
        <w:tab w:val="left" w:pos="720"/>
      </w:tabs>
      <w:spacing w:afterLines="50"/>
      <w:ind w:left="454" w:hanging="284"/>
      <w:jc w:val="left"/>
    </w:pPr>
    <w:rPr>
      <w:kern w:val="0"/>
      <w:sz w:val="24"/>
      <w:szCs w:val="20"/>
    </w:rPr>
  </w:style>
  <w:style w:type="paragraph" w:styleId="15">
    <w:name w:val="Normal Indent"/>
    <w:basedOn w:val="1"/>
    <w:next w:val="16"/>
    <w:link w:val="226"/>
    <w:qFormat/>
    <w:uiPriority w:val="99"/>
    <w:pPr>
      <w:ind w:firstLine="420"/>
    </w:pPr>
    <w:rPr>
      <w:szCs w:val="20"/>
    </w:rPr>
  </w:style>
  <w:style w:type="paragraph" w:styleId="16">
    <w:name w:val="Body Text Indent"/>
    <w:basedOn w:val="1"/>
    <w:next w:val="1"/>
    <w:link w:val="74"/>
    <w:qFormat/>
    <w:uiPriority w:val="99"/>
    <w:pPr>
      <w:spacing w:line="200" w:lineRule="exact"/>
      <w:ind w:firstLine="301"/>
    </w:pPr>
    <w:rPr>
      <w:rFonts w:ascii="宋体" w:hAnsi="Courier New"/>
      <w:spacing w:val="-4"/>
      <w:sz w:val="18"/>
      <w:szCs w:val="20"/>
    </w:rPr>
  </w:style>
  <w:style w:type="paragraph" w:styleId="17">
    <w:name w:val="caption"/>
    <w:basedOn w:val="1"/>
    <w:next w:val="1"/>
    <w:qFormat/>
    <w:uiPriority w:val="99"/>
    <w:pPr>
      <w:spacing w:before="152" w:after="160"/>
    </w:pPr>
    <w:rPr>
      <w:rFonts w:ascii="Arial" w:hAnsi="Arial" w:eastAsia="黑体" w:cs="Arial"/>
      <w:sz w:val="20"/>
      <w:szCs w:val="20"/>
    </w:rPr>
  </w:style>
  <w:style w:type="paragraph" w:styleId="18">
    <w:name w:val="List Bullet"/>
    <w:basedOn w:val="1"/>
    <w:qFormat/>
    <w:uiPriority w:val="99"/>
    <w:pPr>
      <w:widowControl/>
      <w:tabs>
        <w:tab w:val="left" w:pos="900"/>
      </w:tabs>
      <w:spacing w:before="100" w:beforeAutospacing="1" w:afterLines="50" w:afterAutospacing="1"/>
      <w:ind w:left="900" w:hanging="420"/>
      <w:jc w:val="left"/>
    </w:pPr>
    <w:rPr>
      <w:kern w:val="0"/>
      <w:szCs w:val="20"/>
    </w:rPr>
  </w:style>
  <w:style w:type="paragraph" w:styleId="19">
    <w:name w:val="Document Map"/>
    <w:basedOn w:val="1"/>
    <w:link w:val="69"/>
    <w:semiHidden/>
    <w:qFormat/>
    <w:uiPriority w:val="99"/>
    <w:pPr>
      <w:shd w:val="clear" w:color="auto" w:fill="000080"/>
    </w:pPr>
  </w:style>
  <w:style w:type="paragraph" w:styleId="20">
    <w:name w:val="annotation text"/>
    <w:basedOn w:val="1"/>
    <w:link w:val="70"/>
    <w:semiHidden/>
    <w:qFormat/>
    <w:uiPriority w:val="99"/>
    <w:pPr>
      <w:jc w:val="left"/>
    </w:pPr>
  </w:style>
  <w:style w:type="paragraph" w:styleId="21">
    <w:name w:val="Salutation"/>
    <w:basedOn w:val="1"/>
    <w:next w:val="1"/>
    <w:link w:val="71"/>
    <w:qFormat/>
    <w:uiPriority w:val="99"/>
    <w:rPr>
      <w:sz w:val="24"/>
    </w:rPr>
  </w:style>
  <w:style w:type="paragraph" w:styleId="22">
    <w:name w:val="Body Text 3"/>
    <w:basedOn w:val="1"/>
    <w:link w:val="72"/>
    <w:qFormat/>
    <w:uiPriority w:val="99"/>
    <w:pPr>
      <w:snapToGrid w:val="0"/>
      <w:spacing w:before="50" w:after="50"/>
    </w:pPr>
    <w:rPr>
      <w:rFonts w:hAnsi="宋体" w:eastAsia="仿宋_GB2312"/>
      <w:b/>
      <w:bCs/>
      <w:sz w:val="24"/>
      <w:szCs w:val="20"/>
    </w:rPr>
  </w:style>
  <w:style w:type="paragraph" w:styleId="23">
    <w:name w:val="List Number 3"/>
    <w:basedOn w:val="1"/>
    <w:qFormat/>
    <w:uiPriority w:val="99"/>
    <w:pPr>
      <w:tabs>
        <w:tab w:val="left" w:pos="1200"/>
      </w:tabs>
      <w:ind w:left="1200" w:leftChars="400" w:hanging="360" w:hangingChars="200"/>
    </w:pPr>
  </w:style>
  <w:style w:type="paragraph" w:styleId="24">
    <w:name w:val="List 2"/>
    <w:basedOn w:val="1"/>
    <w:qFormat/>
    <w:uiPriority w:val="99"/>
    <w:pPr>
      <w:ind w:left="100" w:leftChars="200" w:hanging="200" w:hangingChars="200"/>
    </w:pPr>
    <w:rPr>
      <w:sz w:val="28"/>
    </w:rPr>
  </w:style>
  <w:style w:type="paragraph" w:styleId="25">
    <w:name w:val="List Bullet 2"/>
    <w:basedOn w:val="1"/>
    <w:qFormat/>
    <w:uiPriority w:val="99"/>
    <w:pPr>
      <w:tabs>
        <w:tab w:val="left" w:pos="360"/>
        <w:tab w:val="left" w:pos="1191"/>
      </w:tabs>
      <w:snapToGrid w:val="0"/>
      <w:spacing w:line="360" w:lineRule="auto"/>
      <w:ind w:left="482" w:hanging="482" w:hangingChars="200"/>
      <w:jc w:val="left"/>
    </w:pPr>
    <w:rPr>
      <w:b/>
      <w:bCs/>
      <w:sz w:val="24"/>
      <w:szCs w:val="32"/>
    </w:rPr>
  </w:style>
  <w:style w:type="paragraph" w:styleId="26">
    <w:name w:val="Plain Text"/>
    <w:basedOn w:val="1"/>
    <w:next w:val="1"/>
    <w:link w:val="76"/>
    <w:qFormat/>
    <w:uiPriority w:val="99"/>
    <w:pPr>
      <w:spacing w:beforeLines="50" w:afterLines="50" w:line="400" w:lineRule="exact"/>
    </w:pPr>
    <w:rPr>
      <w:rFonts w:ascii="宋体" w:hAnsi="Courier New"/>
      <w:sz w:val="24"/>
    </w:rPr>
  </w:style>
  <w:style w:type="paragraph" w:styleId="27">
    <w:name w:val="Date"/>
    <w:basedOn w:val="1"/>
    <w:next w:val="1"/>
    <w:link w:val="77"/>
    <w:qFormat/>
    <w:uiPriority w:val="99"/>
    <w:pPr>
      <w:ind w:left="2500" w:leftChars="2500"/>
    </w:pPr>
    <w:rPr>
      <w:rFonts w:eastAsia="楷体_GB2312"/>
      <w:sz w:val="32"/>
      <w:szCs w:val="20"/>
    </w:rPr>
  </w:style>
  <w:style w:type="paragraph" w:styleId="28">
    <w:name w:val="Body Text Indent 2"/>
    <w:basedOn w:val="1"/>
    <w:link w:val="78"/>
    <w:qFormat/>
    <w:uiPriority w:val="99"/>
    <w:pPr>
      <w:snapToGrid w:val="0"/>
      <w:ind w:firstLine="542" w:firstLineChars="225"/>
    </w:pPr>
    <w:rPr>
      <w:rFonts w:ascii="仿宋_GB2312" w:hAnsi="宋体" w:cs="Arial"/>
      <w:b/>
      <w:bCs/>
      <w:color w:val="000000"/>
      <w:sz w:val="24"/>
    </w:rPr>
  </w:style>
  <w:style w:type="paragraph" w:styleId="29">
    <w:name w:val="endnote text"/>
    <w:basedOn w:val="1"/>
    <w:link w:val="79"/>
    <w:semiHidden/>
    <w:qFormat/>
    <w:uiPriority w:val="99"/>
    <w:pPr>
      <w:snapToGrid w:val="0"/>
      <w:spacing w:afterLines="50"/>
      <w:jc w:val="left"/>
    </w:pPr>
    <w:rPr>
      <w:rFonts w:ascii="宋体"/>
      <w:kern w:val="0"/>
      <w:szCs w:val="20"/>
    </w:rPr>
  </w:style>
  <w:style w:type="paragraph" w:styleId="30">
    <w:name w:val="Balloon Text"/>
    <w:basedOn w:val="1"/>
    <w:link w:val="80"/>
    <w:semiHidden/>
    <w:qFormat/>
    <w:uiPriority w:val="99"/>
    <w:rPr>
      <w:sz w:val="18"/>
      <w:szCs w:val="18"/>
    </w:rPr>
  </w:style>
  <w:style w:type="paragraph" w:styleId="31">
    <w:name w:val="footer"/>
    <w:basedOn w:val="1"/>
    <w:link w:val="81"/>
    <w:qFormat/>
    <w:uiPriority w:val="99"/>
    <w:pPr>
      <w:tabs>
        <w:tab w:val="center" w:pos="4153"/>
        <w:tab w:val="right" w:pos="8306"/>
      </w:tabs>
      <w:snapToGrid w:val="0"/>
      <w:jc w:val="left"/>
    </w:pPr>
    <w:rPr>
      <w:rFonts w:eastAsia="黑体"/>
      <w:kern w:val="0"/>
      <w:sz w:val="18"/>
      <w:szCs w:val="18"/>
    </w:rPr>
  </w:style>
  <w:style w:type="paragraph" w:styleId="32">
    <w:name w:val="header"/>
    <w:basedOn w:val="1"/>
    <w:link w:val="82"/>
    <w:qFormat/>
    <w:uiPriority w:val="99"/>
    <w:pPr>
      <w:pBdr>
        <w:bottom w:val="single" w:color="auto" w:sz="6" w:space="1"/>
      </w:pBdr>
      <w:tabs>
        <w:tab w:val="center" w:pos="4153"/>
        <w:tab w:val="right" w:pos="8306"/>
      </w:tabs>
      <w:snapToGrid w:val="0"/>
      <w:jc w:val="center"/>
    </w:pPr>
    <w:rPr>
      <w:rFonts w:eastAsia="仿宋_GB2312"/>
      <w:sz w:val="18"/>
      <w:szCs w:val="20"/>
    </w:rPr>
  </w:style>
  <w:style w:type="paragraph" w:styleId="33">
    <w:name w:val="toc 1"/>
    <w:basedOn w:val="1"/>
    <w:next w:val="1"/>
    <w:semiHidden/>
    <w:qFormat/>
    <w:uiPriority w:val="99"/>
  </w:style>
  <w:style w:type="paragraph" w:styleId="34">
    <w:name w:val="Subtitle"/>
    <w:basedOn w:val="1"/>
    <w:link w:val="83"/>
    <w:qFormat/>
    <w:uiPriority w:val="99"/>
    <w:pPr>
      <w:spacing w:afterLines="50"/>
      <w:jc w:val="center"/>
    </w:pPr>
    <w:rPr>
      <w:rFonts w:ascii="宋体"/>
      <w:i/>
      <w:kern w:val="0"/>
      <w:sz w:val="36"/>
      <w:szCs w:val="20"/>
      <w:lang w:val="en-AU"/>
    </w:rPr>
  </w:style>
  <w:style w:type="paragraph" w:styleId="35">
    <w:name w:val="List"/>
    <w:basedOn w:val="1"/>
    <w:qFormat/>
    <w:uiPriority w:val="99"/>
    <w:pPr>
      <w:ind w:left="200" w:hanging="200" w:hangingChars="200"/>
    </w:pPr>
    <w:rPr>
      <w:sz w:val="28"/>
    </w:rPr>
  </w:style>
  <w:style w:type="paragraph" w:styleId="36">
    <w:name w:val="Body Text Indent 3"/>
    <w:basedOn w:val="1"/>
    <w:link w:val="84"/>
    <w:qFormat/>
    <w:uiPriority w:val="99"/>
    <w:pPr>
      <w:snapToGrid w:val="0"/>
      <w:ind w:firstLine="480" w:firstLineChars="200"/>
      <w:jc w:val="left"/>
    </w:pPr>
    <w:rPr>
      <w:rFonts w:ascii="仿宋_GB2312" w:hAnsi="宋体" w:eastAsia="仿宋_GB2312"/>
      <w:color w:val="000000"/>
      <w:sz w:val="24"/>
    </w:rPr>
  </w:style>
  <w:style w:type="paragraph" w:styleId="37">
    <w:name w:val="toc 2"/>
    <w:basedOn w:val="1"/>
    <w:next w:val="1"/>
    <w:qFormat/>
    <w:locked/>
    <w:uiPriority w:val="0"/>
    <w:pPr>
      <w:ind w:left="420" w:leftChars="200"/>
    </w:pPr>
  </w:style>
  <w:style w:type="paragraph" w:styleId="38">
    <w:name w:val="Body Text 2"/>
    <w:basedOn w:val="1"/>
    <w:link w:val="85"/>
    <w:qFormat/>
    <w:uiPriority w:val="99"/>
    <w:pPr>
      <w:widowControl/>
      <w:snapToGrid w:val="0"/>
      <w:spacing w:before="50" w:afterLines="50" w:line="400" w:lineRule="exact"/>
      <w:jc w:val="left"/>
    </w:pPr>
    <w:rPr>
      <w:rFonts w:ascii="宋体" w:hAnsi="宋体"/>
      <w:color w:val="000000"/>
      <w:sz w:val="24"/>
    </w:rPr>
  </w:style>
  <w:style w:type="paragraph" w:styleId="39">
    <w:name w:val="HTML Preformatted"/>
    <w:basedOn w:val="1"/>
    <w:link w:val="86"/>
    <w:qFormat/>
    <w:uiPriority w:val="99"/>
    <w:rPr>
      <w:rFonts w:ascii="Courier New" w:hAnsi="Courier New" w:cs="Courier New"/>
      <w:sz w:val="20"/>
      <w:szCs w:val="20"/>
    </w:rPr>
  </w:style>
  <w:style w:type="paragraph" w:styleId="40">
    <w:name w:val="Normal (Web)"/>
    <w:basedOn w:val="1"/>
    <w:next w:val="1"/>
    <w:qFormat/>
    <w:uiPriority w:val="99"/>
    <w:pPr>
      <w:widowControl/>
      <w:spacing w:before="100" w:beforeAutospacing="1" w:after="100" w:afterAutospacing="1"/>
      <w:jc w:val="left"/>
    </w:pPr>
    <w:rPr>
      <w:rFonts w:ascii="宋体" w:hAnsi="宋体"/>
      <w:color w:val="000000"/>
      <w:kern w:val="0"/>
      <w:sz w:val="24"/>
    </w:rPr>
  </w:style>
  <w:style w:type="paragraph" w:styleId="41">
    <w:name w:val="Title"/>
    <w:basedOn w:val="1"/>
    <w:next w:val="1"/>
    <w:link w:val="87"/>
    <w:qFormat/>
    <w:uiPriority w:val="99"/>
    <w:pPr>
      <w:widowControl/>
      <w:overflowPunct w:val="0"/>
      <w:autoSpaceDE w:val="0"/>
      <w:autoSpaceDN w:val="0"/>
      <w:adjustRightInd w:val="0"/>
      <w:jc w:val="center"/>
      <w:textAlignment w:val="baseline"/>
    </w:pPr>
    <w:rPr>
      <w:b/>
      <w:kern w:val="0"/>
      <w:sz w:val="24"/>
      <w:szCs w:val="20"/>
      <w:lang w:val="en-GB"/>
    </w:rPr>
  </w:style>
  <w:style w:type="paragraph" w:styleId="42">
    <w:name w:val="annotation subject"/>
    <w:basedOn w:val="20"/>
    <w:next w:val="20"/>
    <w:link w:val="88"/>
    <w:qFormat/>
    <w:uiPriority w:val="99"/>
    <w:rPr>
      <w:b/>
      <w:bCs/>
    </w:rPr>
  </w:style>
  <w:style w:type="paragraph" w:styleId="43">
    <w:name w:val="Body Text First Indent 2"/>
    <w:basedOn w:val="16"/>
    <w:next w:val="44"/>
    <w:link w:val="75"/>
    <w:qFormat/>
    <w:uiPriority w:val="99"/>
    <w:pPr>
      <w:spacing w:line="312" w:lineRule="auto"/>
      <w:ind w:firstLine="420" w:firstLineChars="200"/>
    </w:pPr>
    <w:rPr>
      <w:rFonts w:ascii="Times New Roman" w:hAnsi="Times New Roman"/>
      <w:kern w:val="0"/>
      <w:sz w:val="22"/>
    </w:rPr>
  </w:style>
  <w:style w:type="paragraph" w:customStyle="1" w:styleId="44">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rPr>
  </w:style>
  <w:style w:type="table" w:styleId="46">
    <w:name w:val="Table Grid"/>
    <w:basedOn w:val="45"/>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8">
    <w:name w:val="Strong"/>
    <w:basedOn w:val="47"/>
    <w:qFormat/>
    <w:uiPriority w:val="99"/>
    <w:rPr>
      <w:rFonts w:cs="Times New Roman"/>
      <w:b/>
    </w:rPr>
  </w:style>
  <w:style w:type="character" w:styleId="49">
    <w:name w:val="page number"/>
    <w:basedOn w:val="47"/>
    <w:qFormat/>
    <w:uiPriority w:val="99"/>
    <w:rPr>
      <w:rFonts w:cs="Times New Roman"/>
    </w:rPr>
  </w:style>
  <w:style w:type="character" w:styleId="50">
    <w:name w:val="FollowedHyperlink"/>
    <w:basedOn w:val="47"/>
    <w:qFormat/>
    <w:uiPriority w:val="99"/>
    <w:rPr>
      <w:rFonts w:cs="Times New Roman"/>
      <w:color w:val="800080"/>
      <w:u w:val="single"/>
    </w:rPr>
  </w:style>
  <w:style w:type="character" w:styleId="51">
    <w:name w:val="Emphasis"/>
    <w:basedOn w:val="47"/>
    <w:qFormat/>
    <w:uiPriority w:val="99"/>
    <w:rPr>
      <w:rFonts w:cs="Times New Roman"/>
      <w:i/>
    </w:rPr>
  </w:style>
  <w:style w:type="character" w:styleId="52">
    <w:name w:val="Hyperlink"/>
    <w:basedOn w:val="47"/>
    <w:qFormat/>
    <w:uiPriority w:val="99"/>
    <w:rPr>
      <w:rFonts w:cs="Times New Roman"/>
      <w:color w:val="0000FF"/>
      <w:u w:val="single"/>
    </w:rPr>
  </w:style>
  <w:style w:type="character" w:styleId="53">
    <w:name w:val="annotation reference"/>
    <w:basedOn w:val="47"/>
    <w:qFormat/>
    <w:uiPriority w:val="99"/>
    <w:rPr>
      <w:rFonts w:cs="Times New Roman"/>
      <w:sz w:val="21"/>
    </w:rPr>
  </w:style>
  <w:style w:type="character" w:styleId="54">
    <w:name w:val="footnote reference"/>
    <w:basedOn w:val="47"/>
    <w:unhideWhenUsed/>
    <w:qFormat/>
    <w:locked/>
    <w:uiPriority w:val="0"/>
    <w:rPr>
      <w:vertAlign w:val="superscript"/>
    </w:rPr>
  </w:style>
  <w:style w:type="paragraph" w:customStyle="1" w:styleId="55">
    <w:name w:val="章正文"/>
    <w:basedOn w:val="1"/>
    <w:qFormat/>
    <w:uiPriority w:val="99"/>
    <w:pPr>
      <w:spacing w:beforeLines="50" w:after="120" w:line="300" w:lineRule="auto"/>
      <w:ind w:firstLine="480"/>
    </w:pPr>
    <w:rPr>
      <w:rFonts w:ascii="Helvetica" w:hAnsi="Helvetica"/>
      <w:kern w:val="0"/>
      <w:sz w:val="24"/>
    </w:rPr>
  </w:style>
  <w:style w:type="paragraph" w:customStyle="1" w:styleId="56">
    <w:name w:val="样式 表格正文 + 两端对齐"/>
    <w:basedOn w:val="1"/>
    <w:next w:val="57"/>
    <w:qFormat/>
    <w:uiPriority w:val="0"/>
    <w:pPr>
      <w:spacing w:line="300" w:lineRule="auto"/>
    </w:pPr>
    <w:rPr>
      <w:rFonts w:ascii="Times New Roman"/>
    </w:rPr>
  </w:style>
  <w:style w:type="paragraph" w:customStyle="1" w:styleId="57">
    <w:name w:val="正文1"/>
    <w:basedOn w:val="1"/>
    <w:qFormat/>
    <w:uiPriority w:val="99"/>
    <w:pPr>
      <w:widowControl/>
      <w:overflowPunct w:val="0"/>
      <w:autoSpaceDE w:val="0"/>
      <w:autoSpaceDN w:val="0"/>
      <w:adjustRightInd w:val="0"/>
      <w:spacing w:line="400" w:lineRule="exact"/>
      <w:textAlignment w:val="baseline"/>
    </w:pPr>
    <w:rPr>
      <w:kern w:val="0"/>
      <w:sz w:val="24"/>
      <w:szCs w:val="20"/>
    </w:rPr>
  </w:style>
  <w:style w:type="paragraph" w:customStyle="1" w:styleId="58">
    <w:name w:val="首行缩进"/>
    <w:basedOn w:val="1"/>
    <w:qFormat/>
    <w:uiPriority w:val="99"/>
    <w:pPr>
      <w:widowControl/>
      <w:tabs>
        <w:tab w:val="left" w:pos="822"/>
      </w:tabs>
      <w:snapToGrid w:val="0"/>
      <w:spacing w:before="40" w:after="40" w:line="300" w:lineRule="atLeast"/>
      <w:ind w:left="1701"/>
    </w:pPr>
    <w:rPr>
      <w:rFonts w:ascii="Arial" w:hAnsi="Arial"/>
      <w:kern w:val="0"/>
      <w:szCs w:val="20"/>
    </w:rPr>
  </w:style>
  <w:style w:type="paragraph" w:customStyle="1" w:styleId="59">
    <w:name w:val="列出段落1"/>
    <w:basedOn w:val="1"/>
    <w:qFormat/>
    <w:uiPriority w:val="99"/>
    <w:pPr>
      <w:spacing w:line="360" w:lineRule="auto"/>
      <w:ind w:firstLine="420" w:firstLineChars="200"/>
      <w:jc w:val="left"/>
    </w:pPr>
    <w:rPr>
      <w:rFonts w:ascii="Calibri" w:hAnsi="Calibri"/>
      <w:sz w:val="24"/>
      <w:szCs w:val="22"/>
    </w:rPr>
  </w:style>
  <w:style w:type="character" w:customStyle="1" w:styleId="60">
    <w:name w:val="Heading 1 Char"/>
    <w:basedOn w:val="47"/>
    <w:link w:val="5"/>
    <w:qFormat/>
    <w:locked/>
    <w:uiPriority w:val="99"/>
    <w:rPr>
      <w:rFonts w:ascii="Times New Roman" w:hAnsi="Times New Roman" w:eastAsia="宋体" w:cs="Times New Roman"/>
      <w:b/>
      <w:kern w:val="44"/>
      <w:sz w:val="44"/>
      <w:lang w:val="en-US" w:eastAsia="zh-CN"/>
    </w:rPr>
  </w:style>
  <w:style w:type="character" w:customStyle="1" w:styleId="61">
    <w:name w:val="Heading 2 Char"/>
    <w:basedOn w:val="47"/>
    <w:link w:val="6"/>
    <w:qFormat/>
    <w:locked/>
    <w:uiPriority w:val="99"/>
    <w:rPr>
      <w:rFonts w:ascii="Arial" w:hAnsi="Arial" w:eastAsia="宋体" w:cs="Times New Roman"/>
      <w:b/>
      <w:kern w:val="2"/>
      <w:sz w:val="32"/>
      <w:lang w:val="en-US" w:eastAsia="zh-CN"/>
    </w:rPr>
  </w:style>
  <w:style w:type="character" w:customStyle="1" w:styleId="62">
    <w:name w:val="Heading 3 Char"/>
    <w:basedOn w:val="47"/>
    <w:link w:val="7"/>
    <w:semiHidden/>
    <w:qFormat/>
    <w:locked/>
    <w:uiPriority w:val="99"/>
    <w:rPr>
      <w:rFonts w:cs="Times New Roman"/>
      <w:b/>
      <w:bCs/>
      <w:sz w:val="32"/>
      <w:szCs w:val="32"/>
    </w:rPr>
  </w:style>
  <w:style w:type="character" w:customStyle="1" w:styleId="63">
    <w:name w:val="Heading 4 Char"/>
    <w:basedOn w:val="47"/>
    <w:link w:val="8"/>
    <w:semiHidden/>
    <w:qFormat/>
    <w:locked/>
    <w:uiPriority w:val="99"/>
    <w:rPr>
      <w:rFonts w:ascii="Cambria" w:hAnsi="Cambria" w:eastAsia="宋体" w:cs="Times New Roman"/>
      <w:b/>
      <w:bCs/>
      <w:sz w:val="28"/>
      <w:szCs w:val="28"/>
    </w:rPr>
  </w:style>
  <w:style w:type="character" w:customStyle="1" w:styleId="64">
    <w:name w:val="Heading 5 Char"/>
    <w:basedOn w:val="47"/>
    <w:link w:val="9"/>
    <w:semiHidden/>
    <w:qFormat/>
    <w:locked/>
    <w:uiPriority w:val="99"/>
    <w:rPr>
      <w:rFonts w:cs="Times New Roman"/>
      <w:b/>
      <w:bCs/>
      <w:sz w:val="28"/>
      <w:szCs w:val="28"/>
    </w:rPr>
  </w:style>
  <w:style w:type="character" w:customStyle="1" w:styleId="65">
    <w:name w:val="Heading 6 Char"/>
    <w:basedOn w:val="47"/>
    <w:link w:val="10"/>
    <w:semiHidden/>
    <w:qFormat/>
    <w:locked/>
    <w:uiPriority w:val="99"/>
    <w:rPr>
      <w:rFonts w:ascii="Cambria" w:hAnsi="Cambria" w:eastAsia="宋体" w:cs="Times New Roman"/>
      <w:b/>
      <w:bCs/>
      <w:sz w:val="24"/>
      <w:szCs w:val="24"/>
    </w:rPr>
  </w:style>
  <w:style w:type="character" w:customStyle="1" w:styleId="66">
    <w:name w:val="Heading 7 Char"/>
    <w:basedOn w:val="47"/>
    <w:link w:val="11"/>
    <w:qFormat/>
    <w:locked/>
    <w:uiPriority w:val="99"/>
    <w:rPr>
      <w:rFonts w:ascii="宋体" w:eastAsia="仿宋_GB2312"/>
      <w:b/>
      <w:kern w:val="0"/>
      <w:sz w:val="24"/>
      <w:szCs w:val="20"/>
    </w:rPr>
  </w:style>
  <w:style w:type="character" w:customStyle="1" w:styleId="67">
    <w:name w:val="Heading 8 Char"/>
    <w:basedOn w:val="47"/>
    <w:link w:val="12"/>
    <w:qFormat/>
    <w:locked/>
    <w:uiPriority w:val="99"/>
    <w:rPr>
      <w:rFonts w:ascii="Arial" w:hAnsi="Arial" w:eastAsia="黑体"/>
      <w:kern w:val="0"/>
      <w:sz w:val="24"/>
      <w:szCs w:val="20"/>
    </w:rPr>
  </w:style>
  <w:style w:type="character" w:customStyle="1" w:styleId="68">
    <w:name w:val="Heading 9 Char"/>
    <w:basedOn w:val="47"/>
    <w:link w:val="13"/>
    <w:qFormat/>
    <w:locked/>
    <w:uiPriority w:val="99"/>
    <w:rPr>
      <w:rFonts w:ascii="Arial" w:hAnsi="Arial" w:eastAsia="黑体"/>
      <w:kern w:val="0"/>
      <w:sz w:val="28"/>
      <w:szCs w:val="20"/>
    </w:rPr>
  </w:style>
  <w:style w:type="character" w:customStyle="1" w:styleId="69">
    <w:name w:val="Document Map Char"/>
    <w:basedOn w:val="47"/>
    <w:link w:val="19"/>
    <w:semiHidden/>
    <w:qFormat/>
    <w:locked/>
    <w:uiPriority w:val="99"/>
    <w:rPr>
      <w:rFonts w:cs="Times New Roman"/>
      <w:sz w:val="2"/>
    </w:rPr>
  </w:style>
  <w:style w:type="character" w:customStyle="1" w:styleId="70">
    <w:name w:val="Comment Text Char"/>
    <w:basedOn w:val="47"/>
    <w:link w:val="20"/>
    <w:qFormat/>
    <w:locked/>
    <w:uiPriority w:val="99"/>
    <w:rPr>
      <w:rFonts w:eastAsia="宋体" w:cs="Times New Roman"/>
      <w:kern w:val="2"/>
      <w:sz w:val="24"/>
      <w:lang w:val="en-US" w:eastAsia="zh-CN"/>
    </w:rPr>
  </w:style>
  <w:style w:type="character" w:customStyle="1" w:styleId="71">
    <w:name w:val="Salutation Char"/>
    <w:basedOn w:val="47"/>
    <w:link w:val="21"/>
    <w:semiHidden/>
    <w:qFormat/>
    <w:locked/>
    <w:uiPriority w:val="99"/>
    <w:rPr>
      <w:rFonts w:cs="Times New Roman"/>
      <w:sz w:val="24"/>
      <w:szCs w:val="24"/>
    </w:rPr>
  </w:style>
  <w:style w:type="character" w:customStyle="1" w:styleId="72">
    <w:name w:val="Body Text 3 Char"/>
    <w:basedOn w:val="47"/>
    <w:link w:val="22"/>
    <w:semiHidden/>
    <w:qFormat/>
    <w:locked/>
    <w:uiPriority w:val="99"/>
    <w:rPr>
      <w:rFonts w:cs="Times New Roman"/>
      <w:sz w:val="16"/>
      <w:szCs w:val="16"/>
    </w:rPr>
  </w:style>
  <w:style w:type="character" w:customStyle="1" w:styleId="73">
    <w:name w:val="Body Text Char"/>
    <w:basedOn w:val="47"/>
    <w:link w:val="3"/>
    <w:qFormat/>
    <w:locked/>
    <w:uiPriority w:val="99"/>
    <w:rPr>
      <w:rFonts w:eastAsia="宋体" w:cs="Times New Roman"/>
      <w:kern w:val="2"/>
      <w:sz w:val="24"/>
      <w:lang w:val="en-US" w:eastAsia="zh-CN"/>
    </w:rPr>
  </w:style>
  <w:style w:type="character" w:customStyle="1" w:styleId="74">
    <w:name w:val="Body Text Indent Char"/>
    <w:basedOn w:val="47"/>
    <w:link w:val="16"/>
    <w:qFormat/>
    <w:locked/>
    <w:uiPriority w:val="99"/>
    <w:rPr>
      <w:rFonts w:ascii="宋体" w:hAnsi="Courier New" w:cs="Times New Roman"/>
      <w:spacing w:val="-4"/>
      <w:kern w:val="2"/>
      <w:sz w:val="18"/>
    </w:rPr>
  </w:style>
  <w:style w:type="character" w:customStyle="1" w:styleId="75">
    <w:name w:val="Body Text First Indent 2 Char"/>
    <w:basedOn w:val="74"/>
    <w:link w:val="43"/>
    <w:semiHidden/>
    <w:qFormat/>
    <w:locked/>
    <w:uiPriority w:val="99"/>
    <w:rPr>
      <w:sz w:val="24"/>
      <w:szCs w:val="24"/>
    </w:rPr>
  </w:style>
  <w:style w:type="character" w:customStyle="1" w:styleId="76">
    <w:name w:val="Plain Text Char"/>
    <w:basedOn w:val="47"/>
    <w:link w:val="26"/>
    <w:qFormat/>
    <w:locked/>
    <w:uiPriority w:val="99"/>
    <w:rPr>
      <w:rFonts w:ascii="宋体" w:hAnsi="Courier New" w:eastAsia="宋体" w:cs="Times New Roman"/>
      <w:kern w:val="2"/>
      <w:sz w:val="24"/>
      <w:lang w:val="en-US" w:eastAsia="zh-CN"/>
    </w:rPr>
  </w:style>
  <w:style w:type="character" w:customStyle="1" w:styleId="77">
    <w:name w:val="Date Char"/>
    <w:basedOn w:val="47"/>
    <w:link w:val="27"/>
    <w:semiHidden/>
    <w:qFormat/>
    <w:locked/>
    <w:uiPriority w:val="99"/>
    <w:rPr>
      <w:rFonts w:cs="Times New Roman"/>
      <w:sz w:val="24"/>
      <w:szCs w:val="24"/>
    </w:rPr>
  </w:style>
  <w:style w:type="character" w:customStyle="1" w:styleId="78">
    <w:name w:val="Body Text Indent 2 Char"/>
    <w:basedOn w:val="47"/>
    <w:link w:val="28"/>
    <w:semiHidden/>
    <w:qFormat/>
    <w:locked/>
    <w:uiPriority w:val="99"/>
    <w:rPr>
      <w:rFonts w:cs="Times New Roman"/>
      <w:sz w:val="24"/>
      <w:szCs w:val="24"/>
    </w:rPr>
  </w:style>
  <w:style w:type="character" w:customStyle="1" w:styleId="79">
    <w:name w:val="Endnote Text Char"/>
    <w:basedOn w:val="47"/>
    <w:link w:val="29"/>
    <w:semiHidden/>
    <w:qFormat/>
    <w:locked/>
    <w:uiPriority w:val="99"/>
    <w:rPr>
      <w:rFonts w:cs="Times New Roman"/>
      <w:sz w:val="24"/>
      <w:szCs w:val="24"/>
    </w:rPr>
  </w:style>
  <w:style w:type="character" w:customStyle="1" w:styleId="80">
    <w:name w:val="Balloon Text Char"/>
    <w:basedOn w:val="47"/>
    <w:link w:val="30"/>
    <w:semiHidden/>
    <w:qFormat/>
    <w:locked/>
    <w:uiPriority w:val="99"/>
    <w:rPr>
      <w:rFonts w:cs="Times New Roman"/>
      <w:sz w:val="2"/>
    </w:rPr>
  </w:style>
  <w:style w:type="character" w:customStyle="1" w:styleId="81">
    <w:name w:val="Footer Char"/>
    <w:basedOn w:val="47"/>
    <w:link w:val="31"/>
    <w:semiHidden/>
    <w:qFormat/>
    <w:locked/>
    <w:uiPriority w:val="99"/>
    <w:rPr>
      <w:rFonts w:cs="Times New Roman"/>
      <w:sz w:val="18"/>
      <w:szCs w:val="18"/>
    </w:rPr>
  </w:style>
  <w:style w:type="character" w:customStyle="1" w:styleId="82">
    <w:name w:val="Header Char"/>
    <w:basedOn w:val="47"/>
    <w:link w:val="32"/>
    <w:semiHidden/>
    <w:qFormat/>
    <w:locked/>
    <w:uiPriority w:val="99"/>
    <w:rPr>
      <w:rFonts w:cs="Times New Roman"/>
      <w:sz w:val="18"/>
      <w:szCs w:val="18"/>
    </w:rPr>
  </w:style>
  <w:style w:type="character" w:customStyle="1" w:styleId="83">
    <w:name w:val="Subtitle Char"/>
    <w:basedOn w:val="47"/>
    <w:link w:val="34"/>
    <w:qFormat/>
    <w:locked/>
    <w:uiPriority w:val="99"/>
    <w:rPr>
      <w:rFonts w:ascii="Cambria" w:hAnsi="Cambria" w:cs="Times New Roman"/>
      <w:b/>
      <w:bCs/>
      <w:kern w:val="28"/>
      <w:sz w:val="32"/>
      <w:szCs w:val="32"/>
    </w:rPr>
  </w:style>
  <w:style w:type="character" w:customStyle="1" w:styleId="84">
    <w:name w:val="Body Text Indent 3 Char"/>
    <w:basedOn w:val="47"/>
    <w:link w:val="36"/>
    <w:qFormat/>
    <w:locked/>
    <w:uiPriority w:val="99"/>
    <w:rPr>
      <w:rFonts w:ascii="仿宋_GB2312" w:hAnsi="宋体" w:eastAsia="仿宋_GB2312" w:cs="Times New Roman"/>
      <w:color w:val="000000"/>
      <w:kern w:val="2"/>
      <w:sz w:val="24"/>
      <w:lang w:val="en-US" w:eastAsia="zh-CN"/>
    </w:rPr>
  </w:style>
  <w:style w:type="character" w:customStyle="1" w:styleId="85">
    <w:name w:val="Body Text 2 Char"/>
    <w:basedOn w:val="47"/>
    <w:link w:val="38"/>
    <w:semiHidden/>
    <w:qFormat/>
    <w:locked/>
    <w:uiPriority w:val="99"/>
    <w:rPr>
      <w:rFonts w:cs="Times New Roman"/>
      <w:sz w:val="24"/>
      <w:szCs w:val="24"/>
    </w:rPr>
  </w:style>
  <w:style w:type="character" w:customStyle="1" w:styleId="86">
    <w:name w:val="HTML Preformatted Char"/>
    <w:basedOn w:val="47"/>
    <w:link w:val="39"/>
    <w:semiHidden/>
    <w:qFormat/>
    <w:locked/>
    <w:uiPriority w:val="99"/>
    <w:rPr>
      <w:rFonts w:ascii="Courier New" w:hAnsi="Courier New" w:cs="Courier New"/>
      <w:sz w:val="20"/>
      <w:szCs w:val="20"/>
    </w:rPr>
  </w:style>
  <w:style w:type="character" w:customStyle="1" w:styleId="87">
    <w:name w:val="Title Char"/>
    <w:basedOn w:val="47"/>
    <w:link w:val="41"/>
    <w:qFormat/>
    <w:locked/>
    <w:uiPriority w:val="99"/>
    <w:rPr>
      <w:rFonts w:ascii="Cambria" w:hAnsi="Cambria" w:cs="Times New Roman"/>
      <w:b/>
      <w:bCs/>
      <w:sz w:val="32"/>
      <w:szCs w:val="32"/>
    </w:rPr>
  </w:style>
  <w:style w:type="character" w:customStyle="1" w:styleId="88">
    <w:name w:val="Comment Subject Char"/>
    <w:basedOn w:val="70"/>
    <w:link w:val="42"/>
    <w:qFormat/>
    <w:locked/>
    <w:uiPriority w:val="99"/>
    <w:rPr>
      <w:b/>
    </w:rPr>
  </w:style>
  <w:style w:type="character" w:customStyle="1" w:styleId="89">
    <w:name w:val="Body Text First Indent Char"/>
    <w:basedOn w:val="73"/>
    <w:link w:val="2"/>
    <w:semiHidden/>
    <w:qFormat/>
    <w:locked/>
    <w:uiPriority w:val="99"/>
    <w:rPr>
      <w:szCs w:val="24"/>
    </w:rPr>
  </w:style>
  <w:style w:type="paragraph" w:customStyle="1" w:styleId="90">
    <w:name w:val="ÕýÎÄ"/>
    <w:qFormat/>
    <w:uiPriority w:val="99"/>
    <w:pPr>
      <w:widowControl w:val="0"/>
      <w:overflowPunct w:val="0"/>
      <w:autoSpaceDE w:val="0"/>
      <w:autoSpaceDN w:val="0"/>
      <w:adjustRightInd w:val="0"/>
      <w:spacing w:line="351" w:lineRule="atLeast"/>
      <w:ind w:firstLine="419"/>
      <w:jc w:val="both"/>
      <w:textAlignment w:val="baseline"/>
    </w:pPr>
    <w:rPr>
      <w:rFonts w:ascii="Times New Roman" w:hAnsi="Times New Roman" w:eastAsia="宋体" w:cs="Times New Roman"/>
      <w:color w:val="000000"/>
      <w:kern w:val="0"/>
      <w:sz w:val="21"/>
      <w:szCs w:val="20"/>
      <w:lang w:val="en-US" w:eastAsia="zh-CN" w:bidi="ar-SA"/>
    </w:rPr>
  </w:style>
  <w:style w:type="paragraph" w:customStyle="1" w:styleId="91">
    <w:name w:val="样式 左侧:  1 厘米 段后: 0.5 行"/>
    <w:basedOn w:val="1"/>
    <w:qFormat/>
    <w:uiPriority w:val="99"/>
    <w:pPr>
      <w:spacing w:afterLines="50"/>
      <w:ind w:firstLine="425"/>
      <w:jc w:val="left"/>
    </w:pPr>
    <w:rPr>
      <w:rFonts w:ascii="宋体" w:cs="宋体"/>
      <w:kern w:val="0"/>
      <w:szCs w:val="20"/>
    </w:rPr>
  </w:style>
  <w:style w:type="paragraph" w:customStyle="1" w:styleId="92">
    <w:name w:val="Body"/>
    <w:basedOn w:val="1"/>
    <w:qFormat/>
    <w:uiPriority w:val="99"/>
    <w:pPr>
      <w:widowControl/>
      <w:spacing w:before="120" w:afterLines="50"/>
    </w:pPr>
    <w:rPr>
      <w:rFonts w:ascii="宋体"/>
      <w:kern w:val="0"/>
      <w:szCs w:val="20"/>
    </w:rPr>
  </w:style>
  <w:style w:type="paragraph" w:customStyle="1" w:styleId="93">
    <w:name w:val="InfoBlue"/>
    <w:basedOn w:val="1"/>
    <w:next w:val="3"/>
    <w:qFormat/>
    <w:uiPriority w:val="99"/>
    <w:pPr>
      <w:spacing w:afterLines="50"/>
      <w:ind w:left="720"/>
      <w:jc w:val="left"/>
    </w:pPr>
    <w:rPr>
      <w:rFonts w:ascii="宋体"/>
      <w:i/>
      <w:color w:val="0000FF"/>
      <w:kern w:val="0"/>
      <w:szCs w:val="20"/>
    </w:rPr>
  </w:style>
  <w:style w:type="paragraph" w:customStyle="1" w:styleId="94">
    <w:name w:val="样式 样式 样式 标题 3Chapter X.X.X. + 段后: 0.5 行 + 段后: 0.5 行 + 段后: 0.5 行"/>
    <w:basedOn w:val="95"/>
    <w:qFormat/>
    <w:uiPriority w:val="99"/>
  </w:style>
  <w:style w:type="paragraph" w:customStyle="1" w:styleId="95">
    <w:name w:val="样式 样式 标题 3Chapter X.X.X. + 段后: 0.5 行 + 段后: 0.5 行"/>
    <w:basedOn w:val="96"/>
    <w:qFormat/>
    <w:uiPriority w:val="99"/>
  </w:style>
  <w:style w:type="paragraph" w:customStyle="1" w:styleId="96">
    <w:name w:val="样式 标题 3Chapter X.X.X. + 段后: 0.5 行"/>
    <w:basedOn w:val="7"/>
    <w:qFormat/>
    <w:uiPriority w:val="99"/>
    <w:pPr>
      <w:keepLines w:val="0"/>
      <w:autoSpaceDE/>
      <w:autoSpaceDN/>
      <w:adjustRightInd/>
      <w:spacing w:before="120" w:afterLines="50"/>
    </w:pPr>
    <w:rPr>
      <w:rFonts w:cs="宋体"/>
      <w:bCs/>
      <w:u w:val="none"/>
    </w:rPr>
  </w:style>
  <w:style w:type="paragraph" w:customStyle="1" w:styleId="97">
    <w:name w:val="P1"/>
    <w:basedOn w:val="1"/>
    <w:qFormat/>
    <w:uiPriority w:val="99"/>
    <w:pPr>
      <w:widowControl/>
      <w:spacing w:before="240" w:line="240" w:lineRule="atLeast"/>
      <w:jc w:val="left"/>
    </w:pPr>
    <w:rPr>
      <w:b/>
      <w:kern w:val="0"/>
      <w:szCs w:val="21"/>
      <w:lang w:val="en-AU" w:eastAsia="en-US"/>
    </w:rPr>
  </w:style>
  <w:style w:type="paragraph" w:customStyle="1" w:styleId="98">
    <w:name w:val="S4-L15"/>
    <w:basedOn w:val="1"/>
    <w:qFormat/>
    <w:uiPriority w:val="99"/>
    <w:pPr>
      <w:spacing w:after="120" w:line="360" w:lineRule="auto"/>
      <w:ind w:left="720" w:firstLine="392"/>
    </w:pPr>
    <w:rPr>
      <w:szCs w:val="21"/>
      <w:lang w:val="fr-FR"/>
    </w:rPr>
  </w:style>
  <w:style w:type="paragraph" w:customStyle="1" w:styleId="99">
    <w:name w:val="Style-正文"/>
    <w:basedOn w:val="1"/>
    <w:qFormat/>
    <w:uiPriority w:val="99"/>
    <w:pPr>
      <w:spacing w:line="360" w:lineRule="auto"/>
      <w:ind w:firstLine="420"/>
    </w:pPr>
    <w:rPr>
      <w:rFonts w:ascii="宋体" w:hAnsi="宋体"/>
      <w:sz w:val="24"/>
    </w:rPr>
  </w:style>
  <w:style w:type="paragraph" w:customStyle="1" w:styleId="100">
    <w:name w:val="样式2"/>
    <w:basedOn w:val="6"/>
    <w:qFormat/>
    <w:uiPriority w:val="99"/>
    <w:pPr>
      <w:tabs>
        <w:tab w:val="left" w:pos="600"/>
      </w:tabs>
      <w:ind w:left="600" w:hanging="600"/>
    </w:pPr>
  </w:style>
  <w:style w:type="paragraph" w:customStyle="1" w:styleId="101">
    <w:name w:val="S4-L15-C"/>
    <w:basedOn w:val="1"/>
    <w:qFormat/>
    <w:uiPriority w:val="99"/>
    <w:pPr>
      <w:spacing w:after="120" w:line="360" w:lineRule="auto"/>
      <w:jc w:val="center"/>
    </w:pPr>
    <w:rPr>
      <w:szCs w:val="21"/>
    </w:rPr>
  </w:style>
  <w:style w:type="paragraph" w:customStyle="1" w:styleId="102">
    <w:name w:val="样式 标题 4 + 段后: 0.5 行"/>
    <w:basedOn w:val="8"/>
    <w:qFormat/>
    <w:uiPriority w:val="99"/>
    <w:pPr>
      <w:keepLines w:val="0"/>
      <w:spacing w:before="120" w:afterLines="50" w:line="240" w:lineRule="auto"/>
      <w:jc w:val="left"/>
    </w:pPr>
    <w:rPr>
      <w:rFonts w:ascii="宋体" w:hAnsi="Times New Roman" w:eastAsia="宋体" w:cs="宋体"/>
      <w:kern w:val="0"/>
      <w:sz w:val="21"/>
      <w:szCs w:val="20"/>
    </w:rPr>
  </w:style>
  <w:style w:type="paragraph" w:customStyle="1" w:styleId="103">
    <w:name w:val="Bullet1"/>
    <w:basedOn w:val="1"/>
    <w:qFormat/>
    <w:uiPriority w:val="99"/>
    <w:pPr>
      <w:spacing w:afterLines="50"/>
      <w:ind w:left="720" w:hanging="432"/>
      <w:jc w:val="left"/>
    </w:pPr>
    <w:rPr>
      <w:rFonts w:ascii="宋体"/>
      <w:kern w:val="0"/>
      <w:szCs w:val="20"/>
    </w:rPr>
  </w:style>
  <w:style w:type="paragraph" w:customStyle="1" w:styleId="104">
    <w:name w:val="样式 标题 4Chapter X.X.X.X. + 段后: 0.5 行1"/>
    <w:basedOn w:val="102"/>
    <w:qFormat/>
    <w:uiPriority w:val="99"/>
    <w:pPr>
      <w:spacing w:after="120"/>
    </w:pPr>
  </w:style>
  <w:style w:type="paragraph" w:customStyle="1" w:styleId="105">
    <w:name w:val="文档正文"/>
    <w:basedOn w:val="1"/>
    <w:qFormat/>
    <w:uiPriority w:val="99"/>
    <w:pPr>
      <w:adjustRightInd w:val="0"/>
      <w:spacing w:line="440" w:lineRule="exact"/>
      <w:ind w:firstLine="567"/>
      <w:textAlignment w:val="baseline"/>
    </w:pPr>
    <w:rPr>
      <w:rFonts w:ascii="Arial Narrow" w:hAnsi="Arial Narrow"/>
      <w:kern w:val="0"/>
      <w:sz w:val="24"/>
    </w:rPr>
  </w:style>
  <w:style w:type="paragraph" w:customStyle="1" w:styleId="106">
    <w:name w:val="样式 标题1"/>
    <w:basedOn w:val="107"/>
    <w:next w:val="108"/>
    <w:qFormat/>
    <w:uiPriority w:val="99"/>
    <w:pPr>
      <w:tabs>
        <w:tab w:val="left" w:pos="1140"/>
      </w:tabs>
      <w:spacing w:after="50"/>
      <w:ind w:left="1140" w:hanging="720"/>
    </w:pPr>
    <w:rPr>
      <w:bCs w:val="0"/>
      <w:sz w:val="32"/>
    </w:rPr>
  </w:style>
  <w:style w:type="paragraph" w:customStyle="1" w:styleId="107">
    <w:name w:val="样式 标题 1 + 段后: 0.5 行"/>
    <w:basedOn w:val="5"/>
    <w:qFormat/>
    <w:uiPriority w:val="99"/>
    <w:pPr>
      <w:keepLines w:val="0"/>
      <w:spacing w:before="120" w:afterLines="50" w:line="240" w:lineRule="auto"/>
      <w:jc w:val="left"/>
    </w:pPr>
    <w:rPr>
      <w:rFonts w:ascii="宋体" w:cs="宋体"/>
      <w:kern w:val="0"/>
      <w:sz w:val="28"/>
      <w:szCs w:val="20"/>
    </w:rPr>
  </w:style>
  <w:style w:type="paragraph" w:customStyle="1" w:styleId="108">
    <w:name w:val="最新标题2"/>
    <w:basedOn w:val="109"/>
    <w:next w:val="110"/>
    <w:qFormat/>
    <w:uiPriority w:val="99"/>
    <w:pPr>
      <w:spacing w:after="120"/>
    </w:pPr>
  </w:style>
  <w:style w:type="paragraph" w:customStyle="1" w:styleId="109">
    <w:name w:val="样式 标题 2"/>
    <w:basedOn w:val="6"/>
    <w:next w:val="110"/>
    <w:qFormat/>
    <w:uiPriority w:val="99"/>
    <w:pPr>
      <w:keepLines w:val="0"/>
      <w:spacing w:before="120" w:afterLines="50" w:line="240" w:lineRule="auto"/>
      <w:ind w:left="380" w:hanging="380"/>
      <w:jc w:val="left"/>
    </w:pPr>
    <w:rPr>
      <w:rFonts w:ascii="宋体" w:hAnsi="Times New Roman" w:cs="宋体"/>
      <w:szCs w:val="20"/>
    </w:rPr>
  </w:style>
  <w:style w:type="paragraph" w:customStyle="1" w:styleId="110">
    <w:name w:val="最新标题3"/>
    <w:basedOn w:val="111"/>
    <w:next w:val="112"/>
    <w:qFormat/>
    <w:uiPriority w:val="99"/>
  </w:style>
  <w:style w:type="paragraph" w:customStyle="1" w:styleId="111">
    <w:name w:val="样式 标题 3"/>
    <w:basedOn w:val="7"/>
    <w:next w:val="112"/>
    <w:qFormat/>
    <w:uiPriority w:val="99"/>
    <w:pPr>
      <w:keepLines w:val="0"/>
      <w:autoSpaceDE/>
      <w:autoSpaceDN/>
      <w:adjustRightInd/>
      <w:spacing w:before="120" w:afterLines="50"/>
    </w:pPr>
    <w:rPr>
      <w:rFonts w:cs="宋体"/>
      <w:bCs/>
      <w:u w:val="none"/>
    </w:rPr>
  </w:style>
  <w:style w:type="paragraph" w:customStyle="1" w:styleId="112">
    <w:name w:val="最新标题4"/>
    <w:basedOn w:val="113"/>
    <w:next w:val="1"/>
    <w:qFormat/>
    <w:uiPriority w:val="99"/>
    <w:pPr>
      <w:tabs>
        <w:tab w:val="left" w:pos="2100"/>
      </w:tabs>
      <w:spacing w:after="120"/>
      <w:ind w:left="0" w:firstLine="0"/>
    </w:pPr>
  </w:style>
  <w:style w:type="paragraph" w:customStyle="1" w:styleId="113">
    <w:name w:val="样式 标题 4"/>
    <w:basedOn w:val="104"/>
    <w:next w:val="114"/>
    <w:qFormat/>
    <w:uiPriority w:val="99"/>
    <w:pPr>
      <w:tabs>
        <w:tab w:val="left" w:pos="2100"/>
      </w:tabs>
      <w:spacing w:after="50"/>
      <w:ind w:left="2100" w:hanging="420"/>
    </w:pPr>
  </w:style>
  <w:style w:type="paragraph" w:customStyle="1" w:styleId="114">
    <w:name w:val="样式 正文"/>
    <w:basedOn w:val="1"/>
    <w:next w:val="1"/>
    <w:qFormat/>
    <w:uiPriority w:val="99"/>
    <w:pPr>
      <w:spacing w:afterLines="50"/>
      <w:jc w:val="left"/>
    </w:pPr>
    <w:rPr>
      <w:rFonts w:ascii="宋体" w:cs="宋体"/>
      <w:kern w:val="0"/>
      <w:szCs w:val="20"/>
    </w:rPr>
  </w:style>
  <w:style w:type="paragraph" w:customStyle="1" w:styleId="115">
    <w:name w:val="段(正文）"/>
    <w:qFormat/>
    <w:uiPriority w:val="99"/>
    <w:pPr>
      <w:autoSpaceDE w:val="0"/>
      <w:autoSpaceDN w:val="0"/>
      <w:ind w:firstLine="420"/>
      <w:jc w:val="both"/>
    </w:pPr>
    <w:rPr>
      <w:rFonts w:ascii="宋体" w:hAnsi="Times New Roman" w:eastAsia="宋体" w:cs="Times New Roman"/>
      <w:kern w:val="0"/>
      <w:sz w:val="21"/>
      <w:szCs w:val="20"/>
      <w:lang w:val="en-US" w:eastAsia="zh-CN" w:bidi="ar-SA"/>
    </w:rPr>
  </w:style>
  <w:style w:type="paragraph" w:customStyle="1" w:styleId="116">
    <w:name w:val="Char Char Char Char Char Char Char Char Char Char Char Char Char Char Char Char"/>
    <w:basedOn w:val="1"/>
    <w:qFormat/>
    <w:uiPriority w:val="99"/>
    <w:pPr>
      <w:tabs>
        <w:tab w:val="left" w:pos="360"/>
      </w:tabs>
    </w:pPr>
    <w:rPr>
      <w:sz w:val="24"/>
    </w:rPr>
  </w:style>
  <w:style w:type="paragraph" w:customStyle="1" w:styleId="117">
    <w:name w:val="Main Title"/>
    <w:basedOn w:val="1"/>
    <w:qFormat/>
    <w:uiPriority w:val="99"/>
    <w:pPr>
      <w:spacing w:before="480" w:afterLines="50"/>
      <w:jc w:val="center"/>
    </w:pPr>
    <w:rPr>
      <w:rFonts w:ascii="宋体"/>
      <w:b/>
      <w:kern w:val="28"/>
      <w:sz w:val="32"/>
      <w:szCs w:val="20"/>
    </w:rPr>
  </w:style>
  <w:style w:type="paragraph" w:customStyle="1" w:styleId="118">
    <w:name w:val="font5"/>
    <w:basedOn w:val="1"/>
    <w:qFormat/>
    <w:uiPriority w:val="99"/>
    <w:pPr>
      <w:widowControl/>
      <w:spacing w:before="100" w:beforeAutospacing="1" w:after="100" w:afterAutospacing="1"/>
      <w:jc w:val="left"/>
    </w:pPr>
    <w:rPr>
      <w:rFonts w:ascii="宋体" w:hAnsi="宋体"/>
      <w:kern w:val="0"/>
      <w:sz w:val="18"/>
      <w:szCs w:val="18"/>
    </w:rPr>
  </w:style>
  <w:style w:type="paragraph" w:customStyle="1" w:styleId="119">
    <w:name w:val="Char1 Char Char Char Char Char Char"/>
    <w:basedOn w:val="1"/>
    <w:qFormat/>
    <w:uiPriority w:val="99"/>
    <w:rPr>
      <w:rFonts w:ascii="Tahoma" w:hAnsi="Tahoma"/>
      <w:sz w:val="24"/>
      <w:szCs w:val="20"/>
    </w:rPr>
  </w:style>
  <w:style w:type="paragraph" w:customStyle="1" w:styleId="120">
    <w:name w:val="样式7"/>
    <w:basedOn w:val="1"/>
    <w:qFormat/>
    <w:uiPriority w:val="99"/>
    <w:pPr>
      <w:adjustRightInd w:val="0"/>
      <w:spacing w:beforeLines="50" w:afterLines="50" w:line="360" w:lineRule="auto"/>
      <w:ind w:firstLine="669"/>
      <w:textAlignment w:val="baseline"/>
    </w:pPr>
    <w:rPr>
      <w:rFonts w:ascii="宋体" w:hAnsi="宋体"/>
      <w:kern w:val="0"/>
      <w:sz w:val="28"/>
      <w:szCs w:val="20"/>
    </w:rPr>
  </w:style>
  <w:style w:type="paragraph" w:customStyle="1" w:styleId="121">
    <w:name w:val="S4-I-U-L15-No-dot"/>
    <w:basedOn w:val="1"/>
    <w:qFormat/>
    <w:uiPriority w:val="99"/>
    <w:pPr>
      <w:tabs>
        <w:tab w:val="left" w:pos="1112"/>
      </w:tabs>
      <w:spacing w:after="120" w:line="360" w:lineRule="auto"/>
      <w:ind w:left="1112" w:hanging="420"/>
    </w:pPr>
    <w:rPr>
      <w:i/>
      <w:sz w:val="24"/>
      <w:u w:val="single"/>
    </w:rPr>
  </w:style>
  <w:style w:type="paragraph" w:customStyle="1" w:styleId="122">
    <w:name w:val="正文2"/>
    <w:basedOn w:val="1"/>
    <w:qFormat/>
    <w:uiPriority w:val="99"/>
    <w:pPr>
      <w:spacing w:beforeLines="50" w:afterLines="50" w:line="360" w:lineRule="auto"/>
      <w:ind w:firstLine="480" w:firstLineChars="200"/>
    </w:pPr>
    <w:rPr>
      <w:rFonts w:ascii="仿宋_GB2312"/>
      <w:sz w:val="24"/>
      <w:szCs w:val="20"/>
    </w:rPr>
  </w:style>
  <w:style w:type="paragraph" w:customStyle="1" w:styleId="123">
    <w:name w:val="正文段"/>
    <w:basedOn w:val="1"/>
    <w:qFormat/>
    <w:uiPriority w:val="99"/>
    <w:pPr>
      <w:widowControl/>
      <w:snapToGrid w:val="0"/>
      <w:spacing w:afterLines="50"/>
      <w:ind w:firstLine="200" w:firstLineChars="200"/>
    </w:pPr>
    <w:rPr>
      <w:kern w:val="0"/>
      <w:sz w:val="24"/>
      <w:szCs w:val="20"/>
    </w:rPr>
  </w:style>
  <w:style w:type="paragraph" w:customStyle="1" w:styleId="124">
    <w:name w:val="样式 标题 4Chapter X.X.X. + 段后: 0.5 行1 + 段后: 0.5 行"/>
    <w:basedOn w:val="125"/>
    <w:qFormat/>
    <w:uiPriority w:val="99"/>
    <w:rPr>
      <w:szCs w:val="21"/>
    </w:rPr>
  </w:style>
  <w:style w:type="paragraph" w:customStyle="1" w:styleId="125">
    <w:name w:val="样式 标题 4Chapter X.X.X. + 段后: 0.5 行1"/>
    <w:basedOn w:val="8"/>
    <w:next w:val="8"/>
    <w:qFormat/>
    <w:uiPriority w:val="99"/>
    <w:pPr>
      <w:keepLines w:val="0"/>
      <w:spacing w:before="120" w:afterLines="50" w:line="240" w:lineRule="auto"/>
      <w:ind w:left="425" w:hanging="425"/>
      <w:jc w:val="left"/>
    </w:pPr>
    <w:rPr>
      <w:rFonts w:ascii="宋体" w:hAnsi="Times New Roman" w:eastAsia="宋体" w:cs="宋体"/>
      <w:kern w:val="0"/>
      <w:sz w:val="21"/>
      <w:szCs w:val="20"/>
    </w:rPr>
  </w:style>
  <w:style w:type="paragraph" w:customStyle="1" w:styleId="126">
    <w:name w:val="表格正文"/>
    <w:basedOn w:val="1"/>
    <w:qFormat/>
    <w:uiPriority w:val="99"/>
    <w:pPr>
      <w:adjustRightInd w:val="0"/>
      <w:snapToGrid w:val="0"/>
      <w:spacing w:before="60" w:after="60"/>
      <w:jc w:val="center"/>
      <w:textAlignment w:val="baseline"/>
    </w:pPr>
    <w:rPr>
      <w:kern w:val="0"/>
      <w:sz w:val="24"/>
      <w:szCs w:val="20"/>
    </w:rPr>
  </w:style>
  <w:style w:type="paragraph" w:customStyle="1" w:styleId="127">
    <w:name w:val="表格标题(居中)"/>
    <w:basedOn w:val="1"/>
    <w:qFormat/>
    <w:uiPriority w:val="99"/>
    <w:pPr>
      <w:adjustRightInd w:val="0"/>
      <w:snapToGrid w:val="0"/>
      <w:spacing w:line="300" w:lineRule="auto"/>
      <w:ind w:firstLine="200" w:firstLineChars="200"/>
      <w:jc w:val="center"/>
    </w:pPr>
    <w:rPr>
      <w:rFonts w:eastAsia="黑体"/>
      <w:color w:val="000000"/>
      <w:kern w:val="0"/>
      <w:sz w:val="24"/>
      <w:szCs w:val="20"/>
    </w:rPr>
  </w:style>
  <w:style w:type="paragraph" w:customStyle="1" w:styleId="128">
    <w:name w:val="Proposals body"/>
    <w:basedOn w:val="1"/>
    <w:next w:val="1"/>
    <w:qFormat/>
    <w:uiPriority w:val="99"/>
    <w:pPr>
      <w:widowControl/>
      <w:spacing w:line="360" w:lineRule="auto"/>
      <w:jc w:val="left"/>
    </w:pPr>
    <w:rPr>
      <w:rFonts w:ascii="宋体"/>
      <w:color w:val="000000"/>
      <w:kern w:val="0"/>
      <w:sz w:val="24"/>
      <w:szCs w:val="20"/>
    </w:rPr>
  </w:style>
  <w:style w:type="paragraph" w:customStyle="1" w:styleId="129">
    <w:name w:val="标题1"/>
    <w:basedOn w:val="26"/>
    <w:qFormat/>
    <w:uiPriority w:val="99"/>
    <w:pPr>
      <w:spacing w:beforeLines="0" w:afterLines="0" w:line="360" w:lineRule="auto"/>
    </w:pPr>
    <w:rPr>
      <w:b/>
      <w:sz w:val="30"/>
      <w:szCs w:val="20"/>
    </w:rPr>
  </w:style>
  <w:style w:type="paragraph" w:customStyle="1" w:styleId="130">
    <w:name w:val="Paragraph4"/>
    <w:basedOn w:val="1"/>
    <w:qFormat/>
    <w:uiPriority w:val="99"/>
    <w:pPr>
      <w:spacing w:before="80" w:afterLines="50"/>
      <w:ind w:left="2250"/>
    </w:pPr>
    <w:rPr>
      <w:rFonts w:ascii="宋体"/>
      <w:kern w:val="0"/>
      <w:szCs w:val="20"/>
    </w:rPr>
  </w:style>
  <w:style w:type="paragraph" w:customStyle="1" w:styleId="131">
    <w:name w:val="Char Char Char Char1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132">
    <w:name w:val="!我的正文 Ctr+Q"/>
    <w:basedOn w:val="1"/>
    <w:link w:val="243"/>
    <w:qFormat/>
    <w:uiPriority w:val="99"/>
    <w:pPr>
      <w:adjustRightInd w:val="0"/>
      <w:snapToGrid w:val="0"/>
      <w:spacing w:line="360" w:lineRule="auto"/>
      <w:ind w:firstLine="480" w:firstLineChars="200"/>
    </w:pPr>
    <w:rPr>
      <w:rFonts w:ascii="Arial" w:hAnsi="Arial"/>
      <w:szCs w:val="20"/>
    </w:rPr>
  </w:style>
  <w:style w:type="paragraph" w:customStyle="1" w:styleId="133">
    <w:name w:val="封面标准文稿编辑信息"/>
    <w:qFormat/>
    <w:uiPriority w:val="99"/>
    <w:pPr>
      <w:spacing w:before="180" w:line="180" w:lineRule="exact"/>
      <w:jc w:val="center"/>
    </w:pPr>
    <w:rPr>
      <w:rFonts w:ascii="宋体" w:hAnsi="Times New Roman" w:eastAsia="宋体" w:cs="Times New Roman"/>
      <w:kern w:val="0"/>
      <w:sz w:val="21"/>
      <w:szCs w:val="20"/>
      <w:lang w:val="en-US" w:eastAsia="zh-CN" w:bidi="ar-SA"/>
    </w:rPr>
  </w:style>
  <w:style w:type="paragraph" w:customStyle="1" w:styleId="134">
    <w:name w:val="Char Char Char Char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135">
    <w:name w:val="Char Char Char1 Char Char Char Char"/>
    <w:basedOn w:val="1"/>
    <w:qFormat/>
    <w:uiPriority w:val="99"/>
    <w:rPr>
      <w:rFonts w:ascii="仿宋_GB2312" w:eastAsia="仿宋_GB2312"/>
      <w:b/>
      <w:sz w:val="32"/>
      <w:szCs w:val="32"/>
    </w:rPr>
  </w:style>
  <w:style w:type="paragraph" w:customStyle="1" w:styleId="136">
    <w:name w:val="段"/>
    <w:qFormat/>
    <w:uiPriority w:val="99"/>
    <w:pPr>
      <w:autoSpaceDE w:val="0"/>
      <w:autoSpaceDN w:val="0"/>
      <w:ind w:firstLine="200" w:firstLineChars="200"/>
      <w:jc w:val="both"/>
    </w:pPr>
    <w:rPr>
      <w:rFonts w:ascii="宋体" w:hAnsi="Times New Roman" w:eastAsia="宋体" w:cs="Times New Roman"/>
      <w:kern w:val="0"/>
      <w:sz w:val="21"/>
      <w:szCs w:val="20"/>
      <w:lang w:val="en-US" w:eastAsia="zh-CN" w:bidi="ar-SA"/>
    </w:rPr>
  </w:style>
  <w:style w:type="paragraph" w:customStyle="1" w:styleId="137">
    <w:name w:val="样式6"/>
    <w:basedOn w:val="1"/>
    <w:qFormat/>
    <w:uiPriority w:val="99"/>
    <w:pPr>
      <w:adjustRightInd w:val="0"/>
      <w:spacing w:beforeLines="50" w:afterLines="50"/>
      <w:ind w:firstLine="669"/>
      <w:textAlignment w:val="baseline"/>
    </w:pPr>
    <w:rPr>
      <w:rFonts w:ascii="宋体" w:hAnsi="宋体"/>
      <w:kern w:val="0"/>
      <w:sz w:val="28"/>
      <w:szCs w:val="20"/>
    </w:rPr>
  </w:style>
  <w:style w:type="paragraph" w:customStyle="1" w:styleId="138">
    <w:name w:val="Paragraph2"/>
    <w:basedOn w:val="1"/>
    <w:qFormat/>
    <w:uiPriority w:val="99"/>
    <w:pPr>
      <w:spacing w:before="80" w:afterLines="50"/>
      <w:ind w:left="720"/>
    </w:pPr>
    <w:rPr>
      <w:rFonts w:ascii="宋体"/>
      <w:color w:val="000000"/>
      <w:kern w:val="0"/>
      <w:szCs w:val="20"/>
      <w:lang w:val="en-AU"/>
    </w:rPr>
  </w:style>
  <w:style w:type="paragraph" w:customStyle="1" w:styleId="139">
    <w:name w:val="Char Char8"/>
    <w:basedOn w:val="1"/>
    <w:qFormat/>
    <w:uiPriority w:val="99"/>
    <w:pPr>
      <w:tabs>
        <w:tab w:val="left" w:pos="360"/>
      </w:tabs>
    </w:pPr>
  </w:style>
  <w:style w:type="paragraph" w:customStyle="1" w:styleId="140">
    <w:name w:val="Char Char"/>
    <w:basedOn w:val="1"/>
    <w:qFormat/>
    <w:uiPriority w:val="99"/>
    <w:pPr>
      <w:spacing w:line="240" w:lineRule="atLeast"/>
      <w:ind w:left="420" w:firstLine="420"/>
    </w:pPr>
    <w:rPr>
      <w:kern w:val="0"/>
      <w:szCs w:val="21"/>
    </w:rPr>
  </w:style>
  <w:style w:type="paragraph" w:customStyle="1" w:styleId="141">
    <w:name w:val="Plain Text1"/>
    <w:basedOn w:val="1"/>
    <w:qFormat/>
    <w:uiPriority w:val="99"/>
    <w:pPr>
      <w:autoSpaceDE w:val="0"/>
      <w:autoSpaceDN w:val="0"/>
      <w:adjustRightInd w:val="0"/>
      <w:spacing w:line="360" w:lineRule="auto"/>
    </w:pPr>
    <w:rPr>
      <w:rFonts w:ascii="宋体" w:hAnsi="宋体"/>
      <w:sz w:val="24"/>
      <w:szCs w:val="20"/>
    </w:rPr>
  </w:style>
  <w:style w:type="paragraph" w:customStyle="1" w:styleId="142">
    <w:name w:val="表格(五号)"/>
    <w:basedOn w:val="1"/>
    <w:qFormat/>
    <w:uiPriority w:val="99"/>
    <w:pPr>
      <w:adjustRightInd w:val="0"/>
      <w:snapToGrid w:val="0"/>
      <w:spacing w:line="300" w:lineRule="auto"/>
      <w:jc w:val="center"/>
    </w:pPr>
    <w:rPr>
      <w:kern w:val="0"/>
      <w:sz w:val="18"/>
      <w:szCs w:val="20"/>
    </w:rPr>
  </w:style>
  <w:style w:type="paragraph" w:customStyle="1" w:styleId="143">
    <w:name w:val="P3"/>
    <w:basedOn w:val="1"/>
    <w:qFormat/>
    <w:uiPriority w:val="99"/>
    <w:pPr>
      <w:widowControl/>
      <w:spacing w:before="240" w:line="240" w:lineRule="atLeast"/>
      <w:ind w:left="1152"/>
      <w:jc w:val="left"/>
    </w:pPr>
    <w:rPr>
      <w:b/>
      <w:kern w:val="0"/>
      <w:szCs w:val="21"/>
      <w:lang w:val="en-AU" w:eastAsia="en-US"/>
    </w:rPr>
  </w:style>
  <w:style w:type="paragraph" w:customStyle="1" w:styleId="144">
    <w:name w:val="标准标题1"/>
    <w:basedOn w:val="5"/>
    <w:qFormat/>
    <w:uiPriority w:val="99"/>
    <w:pPr>
      <w:pageBreakBefore/>
      <w:tabs>
        <w:tab w:val="left" w:pos="1080"/>
      </w:tabs>
      <w:ind w:left="425" w:hanging="425"/>
    </w:pPr>
    <w:rPr>
      <w:rFonts w:eastAsia="仿宋_GB2312"/>
      <w:sz w:val="32"/>
    </w:rPr>
  </w:style>
  <w:style w:type="paragraph" w:customStyle="1" w:styleId="145">
    <w:name w:val="Char1"/>
    <w:basedOn w:val="1"/>
    <w:qFormat/>
    <w:uiPriority w:val="99"/>
    <w:pPr>
      <w:tabs>
        <w:tab w:val="left" w:pos="432"/>
      </w:tabs>
      <w:spacing w:beforeLines="50" w:afterLines="50"/>
      <w:ind w:left="432" w:hanging="432"/>
    </w:pPr>
    <w:rPr>
      <w:sz w:val="24"/>
    </w:rPr>
  </w:style>
  <w:style w:type="paragraph" w:customStyle="1" w:styleId="146">
    <w:name w:val="样式 标题 2 + 五号"/>
    <w:basedOn w:val="6"/>
    <w:qFormat/>
    <w:uiPriority w:val="99"/>
    <w:pPr>
      <w:spacing w:before="0" w:after="0" w:line="240" w:lineRule="auto"/>
    </w:pPr>
    <w:rPr>
      <w:rFonts w:ascii="宋体" w:hAnsi="宋体"/>
      <w:sz w:val="21"/>
    </w:rPr>
  </w:style>
  <w:style w:type="paragraph" w:customStyle="1" w:styleId="147">
    <w:name w:val="Paragraph3"/>
    <w:basedOn w:val="1"/>
    <w:qFormat/>
    <w:uiPriority w:val="99"/>
    <w:pPr>
      <w:spacing w:before="80" w:afterLines="50"/>
      <w:ind w:left="1530"/>
    </w:pPr>
    <w:rPr>
      <w:rFonts w:ascii="宋体"/>
      <w:kern w:val="0"/>
      <w:szCs w:val="20"/>
    </w:rPr>
  </w:style>
  <w:style w:type="paragraph" w:customStyle="1" w:styleId="148">
    <w:name w:val="页面边线"/>
    <w:basedOn w:val="1"/>
    <w:qFormat/>
    <w:uiPriority w:val="99"/>
    <w:pPr>
      <w:adjustRightInd w:val="0"/>
      <w:spacing w:line="360" w:lineRule="atLeast"/>
      <w:textAlignment w:val="baseline"/>
    </w:pPr>
    <w:rPr>
      <w:rFonts w:ascii="Century" w:hAnsi="Century"/>
      <w:kern w:val="0"/>
      <w:szCs w:val="20"/>
      <w:lang w:eastAsia="ja-JP"/>
    </w:rPr>
  </w:style>
  <w:style w:type="paragraph" w:customStyle="1" w:styleId="149">
    <w:name w:val="Char Char Char Char1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150">
    <w:name w:val="样式 三号 加粗 段后: 0.5 行"/>
    <w:basedOn w:val="1"/>
    <w:qFormat/>
    <w:uiPriority w:val="99"/>
    <w:pPr>
      <w:spacing w:afterLines="50"/>
      <w:jc w:val="left"/>
    </w:pPr>
    <w:rPr>
      <w:rFonts w:ascii="宋体" w:cs="宋体"/>
      <w:b/>
      <w:bCs/>
      <w:kern w:val="0"/>
      <w:sz w:val="32"/>
      <w:szCs w:val="20"/>
    </w:rPr>
  </w:style>
  <w:style w:type="paragraph" w:customStyle="1" w:styleId="151">
    <w:name w:val="S4-B-L15"/>
    <w:basedOn w:val="1"/>
    <w:qFormat/>
    <w:uiPriority w:val="99"/>
    <w:pPr>
      <w:spacing w:line="360" w:lineRule="auto"/>
    </w:pPr>
    <w:rPr>
      <w:b/>
      <w:bCs/>
      <w:sz w:val="24"/>
    </w:rPr>
  </w:style>
  <w:style w:type="paragraph" w:customStyle="1" w:styleId="152">
    <w:name w:val="样式　标题4"/>
    <w:basedOn w:val="125"/>
    <w:next w:val="1"/>
    <w:qFormat/>
    <w:uiPriority w:val="99"/>
  </w:style>
  <w:style w:type="paragraph" w:customStyle="1" w:styleId="153">
    <w:name w:val="样式 标题 3Chapter X.X.X. + 五号 段后: 0.5 行"/>
    <w:basedOn w:val="7"/>
    <w:qFormat/>
    <w:uiPriority w:val="99"/>
    <w:pPr>
      <w:keepLines w:val="0"/>
      <w:autoSpaceDE/>
      <w:autoSpaceDN/>
      <w:adjustRightInd/>
      <w:spacing w:before="120" w:afterLines="50"/>
    </w:pPr>
    <w:rPr>
      <w:rFonts w:cs="宋体"/>
      <w:bCs/>
      <w:sz w:val="21"/>
      <w:u w:val="none"/>
    </w:rPr>
  </w:style>
  <w:style w:type="paragraph" w:customStyle="1" w:styleId="154">
    <w:name w:val="样式 标题 1 + 五号1 Char Char Char Char Char Char Char Char Char Char Char Char Char Char Char Char Char"/>
    <w:basedOn w:val="5"/>
    <w:qFormat/>
    <w:uiPriority w:val="99"/>
    <w:pPr>
      <w:spacing w:before="0" w:after="0" w:line="480" w:lineRule="auto"/>
    </w:pPr>
    <w:rPr>
      <w:sz w:val="21"/>
    </w:rPr>
  </w:style>
  <w:style w:type="paragraph" w:customStyle="1" w:styleId="155">
    <w:name w:val="标题 3Chapter X.X.X. + 段后: 0.5 行 + 段后: 0.5 行 + 段后: 0.5 行1"/>
    <w:basedOn w:val="95"/>
    <w:qFormat/>
    <w:uiPriority w:val="99"/>
  </w:style>
  <w:style w:type="paragraph" w:customStyle="1" w:styleId="156">
    <w:name w:val="样式 标题 1 + 五号"/>
    <w:basedOn w:val="5"/>
    <w:qFormat/>
    <w:uiPriority w:val="99"/>
    <w:pPr>
      <w:spacing w:before="0" w:after="0" w:line="240" w:lineRule="auto"/>
      <w:jc w:val="center"/>
    </w:pPr>
    <w:rPr>
      <w:sz w:val="32"/>
      <w:szCs w:val="32"/>
    </w:rPr>
  </w:style>
  <w:style w:type="paragraph" w:customStyle="1" w:styleId="157">
    <w:name w:val="Blockquote"/>
    <w:basedOn w:val="1"/>
    <w:qFormat/>
    <w:uiPriority w:val="99"/>
    <w:pPr>
      <w:widowControl/>
      <w:spacing w:before="100" w:afterLines="50"/>
      <w:ind w:left="360" w:right="360"/>
      <w:jc w:val="left"/>
    </w:pPr>
    <w:rPr>
      <w:rFonts w:ascii="宋体"/>
      <w:kern w:val="0"/>
      <w:sz w:val="24"/>
      <w:szCs w:val="20"/>
      <w:lang w:val="en-CA"/>
    </w:rPr>
  </w:style>
  <w:style w:type="paragraph" w:customStyle="1" w:styleId="158">
    <w:name w:val="Item List"/>
    <w:qFormat/>
    <w:uiPriority w:val="99"/>
    <w:pPr>
      <w:tabs>
        <w:tab w:val="left" w:pos="2126"/>
      </w:tabs>
      <w:spacing w:line="300" w:lineRule="auto"/>
      <w:ind w:left="2126" w:hanging="425"/>
      <w:jc w:val="both"/>
    </w:pPr>
    <w:rPr>
      <w:rFonts w:ascii="Arial" w:hAnsi="Arial" w:eastAsia="宋体" w:cs="Times New Roman"/>
      <w:kern w:val="0"/>
      <w:sz w:val="21"/>
      <w:szCs w:val="20"/>
      <w:lang w:val="en-US" w:eastAsia="en-US" w:bidi="ar-SA"/>
    </w:rPr>
  </w:style>
  <w:style w:type="paragraph" w:customStyle="1" w:styleId="159">
    <w:name w:val="Bullet2"/>
    <w:basedOn w:val="1"/>
    <w:qFormat/>
    <w:uiPriority w:val="99"/>
    <w:pPr>
      <w:spacing w:afterLines="50"/>
      <w:ind w:left="1440" w:hanging="360"/>
      <w:jc w:val="left"/>
    </w:pPr>
    <w:rPr>
      <w:rFonts w:ascii="宋体"/>
      <w:color w:val="000080"/>
      <w:kern w:val="0"/>
      <w:szCs w:val="20"/>
    </w:rPr>
  </w:style>
  <w:style w:type="paragraph" w:customStyle="1" w:styleId="160">
    <w:name w:val="最新标题1"/>
    <w:basedOn w:val="106"/>
    <w:next w:val="108"/>
    <w:qFormat/>
    <w:uiPriority w:val="99"/>
    <w:pPr>
      <w:spacing w:after="120"/>
    </w:pPr>
    <w:rPr>
      <w:bCs/>
    </w:rPr>
  </w:style>
  <w:style w:type="paragraph" w:customStyle="1" w:styleId="161">
    <w:name w:val="标准标题3"/>
    <w:basedOn w:val="7"/>
    <w:qFormat/>
    <w:uiPriority w:val="99"/>
    <w:pPr>
      <w:tabs>
        <w:tab w:val="left" w:pos="1050"/>
      </w:tabs>
      <w:autoSpaceDE/>
      <w:autoSpaceDN/>
      <w:adjustRightInd/>
      <w:spacing w:before="260" w:after="260"/>
      <w:ind w:left="-258" w:leftChars="-258"/>
      <w:jc w:val="both"/>
    </w:pPr>
    <w:rPr>
      <w:rFonts w:ascii="Times New Roman" w:eastAsia="仿宋_GB2312"/>
      <w:bCs/>
      <w:kern w:val="2"/>
      <w:sz w:val="28"/>
      <w:szCs w:val="32"/>
      <w:u w:val="none"/>
    </w:rPr>
  </w:style>
  <w:style w:type="paragraph" w:customStyle="1" w:styleId="162">
    <w:name w:val="Bullet"/>
    <w:basedOn w:val="1"/>
    <w:qFormat/>
    <w:uiPriority w:val="99"/>
    <w:pPr>
      <w:widowControl/>
      <w:tabs>
        <w:tab w:val="left" w:pos="720"/>
        <w:tab w:val="left" w:pos="964"/>
      </w:tabs>
      <w:spacing w:before="120" w:afterLines="50"/>
      <w:ind w:left="720" w:right="360" w:hanging="482"/>
    </w:pPr>
    <w:rPr>
      <w:rFonts w:ascii="宋体"/>
      <w:kern w:val="0"/>
      <w:szCs w:val="20"/>
    </w:rPr>
  </w:style>
  <w:style w:type="paragraph" w:customStyle="1" w:styleId="163">
    <w:name w:val="Char Char Char"/>
    <w:basedOn w:val="1"/>
    <w:qFormat/>
    <w:uiPriority w:val="99"/>
    <w:rPr>
      <w:rFonts w:ascii="Tahoma" w:hAnsi="Tahoma"/>
      <w:sz w:val="24"/>
      <w:szCs w:val="20"/>
    </w:rPr>
  </w:style>
  <w:style w:type="paragraph" w:customStyle="1" w:styleId="164">
    <w:name w:val="样式 标题 2Chapter X.X. Statementh22Header 2l2Level 2 Headhea...1"/>
    <w:basedOn w:val="7"/>
    <w:qFormat/>
    <w:uiPriority w:val="99"/>
    <w:pPr>
      <w:keepLines w:val="0"/>
      <w:autoSpaceDE/>
      <w:autoSpaceDN/>
      <w:adjustRightInd/>
      <w:spacing w:before="120" w:afterLines="50"/>
    </w:pPr>
    <w:rPr>
      <w:rFonts w:cs="宋体"/>
      <w:bCs/>
      <w:u w:val="none"/>
    </w:rPr>
  </w:style>
  <w:style w:type="paragraph" w:customStyle="1" w:styleId="165">
    <w:name w:val="Char Char Char Char Char Char Char Char Char Char"/>
    <w:basedOn w:val="19"/>
    <w:qFormat/>
    <w:uiPriority w:val="99"/>
    <w:rPr>
      <w:rFonts w:ascii="Tahoma" w:hAnsi="Tahoma"/>
      <w:sz w:val="24"/>
    </w:rPr>
  </w:style>
  <w:style w:type="paragraph" w:customStyle="1" w:styleId="166">
    <w:name w:val="样式 样式 标题 4 + 段后: 0.5 行1"/>
    <w:basedOn w:val="102"/>
    <w:next w:val="29"/>
    <w:qFormat/>
    <w:uiPriority w:val="99"/>
    <w:pPr>
      <w:spacing w:after="120"/>
    </w:pPr>
  </w:style>
  <w:style w:type="paragraph" w:customStyle="1" w:styleId="167">
    <w:name w:val="样式 模板描述"/>
    <w:basedOn w:val="1"/>
    <w:next w:val="114"/>
    <w:qFormat/>
    <w:uiPriority w:val="99"/>
    <w:pPr>
      <w:spacing w:afterLines="50"/>
      <w:jc w:val="left"/>
    </w:pPr>
    <w:rPr>
      <w:rFonts w:ascii="宋体" w:cs="宋体"/>
      <w:i/>
      <w:iCs/>
      <w:color w:val="0000FF"/>
      <w:kern w:val="0"/>
      <w:szCs w:val="21"/>
    </w:rPr>
  </w:style>
  <w:style w:type="paragraph" w:customStyle="1" w:styleId="168">
    <w:name w:val="IBM 正文"/>
    <w:basedOn w:val="1"/>
    <w:qFormat/>
    <w:uiPriority w:val="99"/>
    <w:pPr>
      <w:spacing w:line="360" w:lineRule="atLeast"/>
    </w:pPr>
    <w:rPr>
      <w:sz w:val="24"/>
      <w:szCs w:val="20"/>
    </w:rPr>
  </w:style>
  <w:style w:type="paragraph" w:customStyle="1" w:styleId="169">
    <w:name w:val="此正文"/>
    <w:basedOn w:val="1"/>
    <w:qFormat/>
    <w:uiPriority w:val="99"/>
    <w:pPr>
      <w:spacing w:line="360" w:lineRule="auto"/>
      <w:ind w:firstLine="200" w:firstLineChars="200"/>
    </w:pPr>
    <w:rPr>
      <w:sz w:val="24"/>
      <w:szCs w:val="20"/>
    </w:rPr>
  </w:style>
  <w:style w:type="paragraph" w:customStyle="1" w:styleId="170">
    <w:name w:val="Char Char3 Char Char Char Char"/>
    <w:basedOn w:val="1"/>
    <w:qFormat/>
    <w:uiPriority w:val="99"/>
    <w:pPr>
      <w:widowControl/>
      <w:spacing w:after="160" w:line="360" w:lineRule="auto"/>
      <w:jc w:val="left"/>
    </w:pPr>
    <w:rPr>
      <w:rFonts w:ascii="Verdana" w:hAnsi="Verdana"/>
      <w:kern w:val="0"/>
      <w:sz w:val="24"/>
      <w:szCs w:val="20"/>
      <w:lang w:eastAsia="en-US"/>
    </w:rPr>
  </w:style>
  <w:style w:type="paragraph" w:customStyle="1" w:styleId="171">
    <w:name w:val="样式 正文文本缩进 + 仿宋_GB2312 小四 首行缩进:  0 厘米 行距: 1.5 倍行距"/>
    <w:basedOn w:val="16"/>
    <w:qFormat/>
    <w:uiPriority w:val="99"/>
    <w:pPr>
      <w:spacing w:line="360" w:lineRule="auto"/>
      <w:ind w:firstLine="0"/>
    </w:pPr>
    <w:rPr>
      <w:rFonts w:ascii="仿宋_GB2312" w:hAnsi="Times New Roman" w:eastAsia="新宋体"/>
      <w:spacing w:val="0"/>
      <w:sz w:val="24"/>
    </w:rPr>
  </w:style>
  <w:style w:type="paragraph" w:customStyle="1" w:styleId="172">
    <w:name w:val="Figure Description"/>
    <w:next w:val="1"/>
    <w:qFormat/>
    <w:uiPriority w:val="99"/>
    <w:pPr>
      <w:snapToGrid w:val="0"/>
      <w:spacing w:before="80" w:after="320"/>
      <w:ind w:left="1701"/>
      <w:jc w:val="center"/>
    </w:pPr>
    <w:rPr>
      <w:rFonts w:ascii="Arial" w:hAnsi="Arial" w:eastAsia="黑体" w:cs="Times New Roman"/>
      <w:kern w:val="0"/>
      <w:sz w:val="18"/>
      <w:szCs w:val="20"/>
      <w:lang w:val="en-US" w:eastAsia="en-US" w:bidi="ar-SA"/>
    </w:rPr>
  </w:style>
  <w:style w:type="paragraph" w:customStyle="1" w:styleId="173">
    <w:name w:val="Char2"/>
    <w:basedOn w:val="1"/>
    <w:qFormat/>
    <w:uiPriority w:val="99"/>
    <w:pPr>
      <w:tabs>
        <w:tab w:val="left" w:pos="432"/>
      </w:tabs>
      <w:spacing w:beforeLines="50" w:afterLines="50"/>
      <w:ind w:left="432" w:hanging="432"/>
    </w:pPr>
    <w:rPr>
      <w:sz w:val="24"/>
    </w:rPr>
  </w:style>
  <w:style w:type="paragraph" w:customStyle="1" w:styleId="174">
    <w:name w:val="默认段落字体 Para Char Char Char Char Char Char Char Char Char1 Char Char Char Char"/>
    <w:basedOn w:val="1"/>
    <w:qFormat/>
    <w:uiPriority w:val="99"/>
    <w:rPr>
      <w:rFonts w:ascii="Tahoma" w:hAnsi="Tahoma"/>
      <w:sz w:val="24"/>
      <w:szCs w:val="20"/>
    </w:rPr>
  </w:style>
  <w:style w:type="paragraph" w:customStyle="1" w:styleId="175">
    <w:name w:val="Char Char Char Char Char"/>
    <w:basedOn w:val="1"/>
    <w:qFormat/>
    <w:uiPriority w:val="99"/>
    <w:pPr>
      <w:widowControl/>
      <w:adjustRightInd w:val="0"/>
      <w:ind w:firstLine="200" w:firstLineChars="200"/>
      <w:jc w:val="left"/>
      <w:textAlignment w:val="baseline"/>
    </w:pPr>
  </w:style>
  <w:style w:type="paragraph" w:customStyle="1" w:styleId="176">
    <w:name w:val="P2"/>
    <w:basedOn w:val="1"/>
    <w:qFormat/>
    <w:uiPriority w:val="99"/>
    <w:pPr>
      <w:widowControl/>
      <w:spacing w:before="240" w:line="240" w:lineRule="atLeast"/>
      <w:ind w:left="578"/>
      <w:jc w:val="left"/>
    </w:pPr>
    <w:rPr>
      <w:b/>
      <w:kern w:val="0"/>
      <w:szCs w:val="21"/>
      <w:lang w:val="en-AU" w:eastAsia="en-US"/>
    </w:rPr>
  </w:style>
  <w:style w:type="paragraph" w:customStyle="1" w:styleId="177">
    <w:name w:val="样式 样式 标题 4 + 段后: 0.5 行 + 段后: 0.5 行"/>
    <w:basedOn w:val="102"/>
    <w:qFormat/>
    <w:uiPriority w:val="99"/>
  </w:style>
  <w:style w:type="paragraph" w:customStyle="1" w:styleId="178">
    <w:name w:val="Tabletext"/>
    <w:basedOn w:val="1"/>
    <w:qFormat/>
    <w:uiPriority w:val="99"/>
    <w:pPr>
      <w:keepLines/>
      <w:spacing w:afterLines="50"/>
      <w:jc w:val="left"/>
    </w:pPr>
    <w:rPr>
      <w:rFonts w:ascii="宋体"/>
      <w:kern w:val="0"/>
      <w:szCs w:val="20"/>
    </w:rPr>
  </w:style>
  <w:style w:type="paragraph" w:customStyle="1" w:styleId="179">
    <w:name w:val="图"/>
    <w:basedOn w:val="1"/>
    <w:qFormat/>
    <w:uiPriority w:val="99"/>
    <w:pPr>
      <w:keepNext/>
      <w:adjustRightInd w:val="0"/>
      <w:snapToGrid w:val="0"/>
      <w:spacing w:before="60" w:after="60" w:line="300" w:lineRule="auto"/>
      <w:jc w:val="center"/>
    </w:pPr>
    <w:rPr>
      <w:spacing w:val="20"/>
      <w:kern w:val="0"/>
      <w:sz w:val="24"/>
      <w:szCs w:val="20"/>
    </w:rPr>
  </w:style>
  <w:style w:type="paragraph" w:customStyle="1" w:styleId="180">
    <w:name w:val="Paragraph1"/>
    <w:basedOn w:val="1"/>
    <w:qFormat/>
    <w:uiPriority w:val="99"/>
    <w:pPr>
      <w:spacing w:before="80" w:afterLines="50"/>
    </w:pPr>
    <w:rPr>
      <w:rFonts w:ascii="宋体"/>
      <w:kern w:val="0"/>
      <w:szCs w:val="20"/>
    </w:rPr>
  </w:style>
  <w:style w:type="paragraph" w:customStyle="1" w:styleId="181">
    <w:name w:val="文本框内文字"/>
    <w:basedOn w:val="1"/>
    <w:qFormat/>
    <w:uiPriority w:val="99"/>
    <w:pPr>
      <w:spacing w:line="240" w:lineRule="atLeast"/>
    </w:pPr>
    <w:rPr>
      <w:rFonts w:eastAsia="仿宋_GB2312"/>
      <w:sz w:val="22"/>
    </w:rPr>
  </w:style>
  <w:style w:type="paragraph" w:customStyle="1" w:styleId="182">
    <w:name w:val="样式 标题 3Chapter X.X.X. + 段后: 0.5 行1"/>
    <w:basedOn w:val="7"/>
    <w:next w:val="1"/>
    <w:qFormat/>
    <w:uiPriority w:val="99"/>
    <w:pPr>
      <w:keepLines w:val="0"/>
      <w:autoSpaceDE/>
      <w:autoSpaceDN/>
      <w:adjustRightInd/>
      <w:spacing w:before="120" w:afterLines="50"/>
    </w:pPr>
    <w:rPr>
      <w:rFonts w:cs="宋体"/>
      <w:bCs/>
      <w:u w:val="none"/>
    </w:rPr>
  </w:style>
  <w:style w:type="paragraph" w:customStyle="1" w:styleId="183">
    <w:name w:val="paragraph1"/>
    <w:basedOn w:val="1"/>
    <w:qFormat/>
    <w:uiPriority w:val="99"/>
    <w:pPr>
      <w:spacing w:afterLines="30" w:line="360" w:lineRule="auto"/>
      <w:ind w:firstLine="420" w:firstLineChars="200"/>
    </w:pPr>
    <w:rPr>
      <w:rFonts w:eastAsia="楷体_GB2312"/>
      <w:sz w:val="24"/>
      <w:szCs w:val="20"/>
    </w:rPr>
  </w:style>
  <w:style w:type="paragraph" w:customStyle="1" w:styleId="184">
    <w:name w:val="正文_13"/>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85">
    <w:name w:val="Char Char Char Char Char Char Char Char Char"/>
    <w:basedOn w:val="1"/>
    <w:qFormat/>
    <w:uiPriority w:val="99"/>
    <w:rPr>
      <w:rFonts w:ascii="Tahoma" w:hAnsi="Tahoma" w:eastAsia="仿宋_GB2312"/>
      <w:sz w:val="24"/>
      <w:szCs w:val="20"/>
    </w:rPr>
  </w:style>
  <w:style w:type="paragraph" w:customStyle="1" w:styleId="186">
    <w:name w:val="标准标题2"/>
    <w:basedOn w:val="6"/>
    <w:qFormat/>
    <w:uiPriority w:val="99"/>
    <w:pPr>
      <w:spacing w:line="360" w:lineRule="auto"/>
    </w:pPr>
    <w:rPr>
      <w:rFonts w:eastAsia="仿宋_GB2312"/>
      <w:bCs w:val="0"/>
    </w:rPr>
  </w:style>
  <w:style w:type="paragraph" w:customStyle="1" w:styleId="187">
    <w:name w:val="样式 标题 3Chapter X.X.X"/>
    <w:basedOn w:val="155"/>
    <w:qFormat/>
    <w:uiPriority w:val="99"/>
  </w:style>
  <w:style w:type="paragraph" w:customStyle="1" w:styleId="188">
    <w:name w:val="Table Description"/>
    <w:next w:val="1"/>
    <w:qFormat/>
    <w:uiPriority w:val="99"/>
    <w:pPr>
      <w:keepNext/>
      <w:snapToGrid w:val="0"/>
      <w:spacing w:before="160" w:after="80"/>
      <w:ind w:left="1701"/>
      <w:jc w:val="center"/>
    </w:pPr>
    <w:rPr>
      <w:rFonts w:ascii="Arial" w:hAnsi="Arial" w:eastAsia="黑体" w:cs="Times New Roman"/>
      <w:kern w:val="0"/>
      <w:sz w:val="18"/>
      <w:szCs w:val="20"/>
      <w:lang w:val="en-US" w:eastAsia="en-US" w:bidi="ar-SA"/>
    </w:rPr>
  </w:style>
  <w:style w:type="paragraph" w:customStyle="1" w:styleId="189">
    <w:name w:val="Char Char7 Char"/>
    <w:basedOn w:val="1"/>
    <w:qFormat/>
    <w:uiPriority w:val="99"/>
    <w:pPr>
      <w:tabs>
        <w:tab w:val="left" w:pos="425"/>
      </w:tabs>
      <w:ind w:left="420" w:leftChars="200" w:firstLine="270" w:firstLineChars="150"/>
    </w:pPr>
    <w:rPr>
      <w:szCs w:val="20"/>
    </w:rPr>
  </w:style>
  <w:style w:type="paragraph" w:customStyle="1" w:styleId="190">
    <w:name w:val="Char3 Char Char Char"/>
    <w:basedOn w:val="1"/>
    <w:qFormat/>
    <w:uiPriority w:val="99"/>
    <w:pPr>
      <w:numPr>
        <w:ilvl w:val="0"/>
        <w:numId w:val="2"/>
      </w:numPr>
    </w:pPr>
    <w:rPr>
      <w:sz w:val="24"/>
    </w:rPr>
  </w:style>
  <w:style w:type="paragraph" w:customStyle="1" w:styleId="191">
    <w:name w:val="Char Char Char Char Char Char Char Char Char Char Char Char Char Char Char Char Char Char Char"/>
    <w:basedOn w:val="1"/>
    <w:qFormat/>
    <w:uiPriority w:val="99"/>
    <w:pPr>
      <w:widowControl/>
      <w:spacing w:before="100" w:beforeAutospacing="1" w:after="100" w:afterAutospacing="1" w:line="330" w:lineRule="atLeast"/>
      <w:ind w:left="360"/>
      <w:jc w:val="left"/>
    </w:pPr>
    <w:rPr>
      <w:rFonts w:ascii="??" w:hAnsi="??" w:cs="宋体"/>
      <w:color w:val="51585D"/>
      <w:kern w:val="0"/>
      <w:szCs w:val="18"/>
    </w:rPr>
  </w:style>
  <w:style w:type="paragraph" w:customStyle="1" w:styleId="192">
    <w:name w:val="二级项目符号"/>
    <w:basedOn w:val="1"/>
    <w:qFormat/>
    <w:uiPriority w:val="99"/>
    <w:pPr>
      <w:widowControl/>
      <w:tabs>
        <w:tab w:val="left" w:pos="964"/>
      </w:tabs>
      <w:spacing w:line="360" w:lineRule="auto"/>
      <w:ind w:left="964" w:hanging="482"/>
    </w:pPr>
    <w:rPr>
      <w:kern w:val="0"/>
      <w:sz w:val="24"/>
      <w:szCs w:val="20"/>
    </w:rPr>
  </w:style>
  <w:style w:type="paragraph" w:customStyle="1" w:styleId="193">
    <w:name w:val="样式 标题 3(A-3)sect1.2.3h3H3level_3PIM 3Level 3 HeadHeading..."/>
    <w:basedOn w:val="7"/>
    <w:qFormat/>
    <w:uiPriority w:val="99"/>
    <w:pPr>
      <w:autoSpaceDE/>
      <w:autoSpaceDN/>
      <w:adjustRightInd/>
      <w:spacing w:before="260" w:after="260" w:line="416" w:lineRule="auto"/>
      <w:jc w:val="both"/>
    </w:pPr>
    <w:rPr>
      <w:rFonts w:ascii="Arial" w:hAnsi="Arial"/>
      <w:bCs/>
      <w:kern w:val="2"/>
      <w:sz w:val="30"/>
      <w:szCs w:val="32"/>
      <w:u w:val="none"/>
    </w:rPr>
  </w:style>
  <w:style w:type="paragraph" w:customStyle="1" w:styleId="194">
    <w:name w:val="f1"/>
    <w:basedOn w:val="1"/>
    <w:qFormat/>
    <w:uiPriority w:val="99"/>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95">
    <w:name w:val="Char Char Char Char"/>
    <w:basedOn w:val="1"/>
    <w:qFormat/>
    <w:uiPriority w:val="99"/>
  </w:style>
  <w:style w:type="paragraph" w:customStyle="1" w:styleId="196">
    <w:name w:val="text"/>
    <w:basedOn w:val="1"/>
    <w:qFormat/>
    <w:uiPriority w:val="99"/>
    <w:pPr>
      <w:adjustRightInd w:val="0"/>
      <w:spacing w:before="120" w:line="360" w:lineRule="auto"/>
      <w:ind w:firstLine="425"/>
      <w:jc w:val="left"/>
      <w:textAlignment w:val="baseline"/>
    </w:pPr>
    <w:rPr>
      <w:rFonts w:ascii="宋体" w:hAnsi="Arial" w:cs="Arial"/>
      <w:bCs/>
      <w:kern w:val="0"/>
      <w:sz w:val="26"/>
      <w:szCs w:val="32"/>
    </w:rPr>
  </w:style>
  <w:style w:type="paragraph" w:customStyle="1" w:styleId="197">
    <w:name w:val="Table - Text"/>
    <w:basedOn w:val="1"/>
    <w:qFormat/>
    <w:uiPriority w:val="99"/>
    <w:pPr>
      <w:widowControl/>
      <w:spacing w:before="60" w:afterLines="50"/>
      <w:jc w:val="left"/>
    </w:pPr>
    <w:rPr>
      <w:kern w:val="0"/>
      <w:szCs w:val="20"/>
      <w:lang w:eastAsia="en-US"/>
    </w:rPr>
  </w:style>
  <w:style w:type="paragraph" w:customStyle="1" w:styleId="198">
    <w:name w:val="样式 样式 正文文本缩进 + 仿宋_GB2312 小四 首行缩进:  0 厘米 行距: 1.5 倍行距 + (中文) 仿宋_GB... Char Char"/>
    <w:basedOn w:val="171"/>
    <w:qFormat/>
    <w:uiPriority w:val="99"/>
    <w:pPr>
      <w:ind w:firstLine="480" w:firstLineChars="200"/>
    </w:pPr>
  </w:style>
  <w:style w:type="paragraph" w:customStyle="1" w:styleId="199">
    <w:name w:val="样式 标题 2Chapter X.X. Statementh22Header 2l2Level 2 Headhea..."/>
    <w:basedOn w:val="6"/>
    <w:qFormat/>
    <w:uiPriority w:val="99"/>
    <w:pPr>
      <w:keepLines w:val="0"/>
      <w:spacing w:before="120" w:afterLines="50" w:line="240" w:lineRule="auto"/>
      <w:jc w:val="left"/>
    </w:pPr>
    <w:rPr>
      <w:rFonts w:ascii="宋体" w:hAnsi="Times New Roman" w:cs="宋体"/>
      <w:sz w:val="24"/>
      <w:szCs w:val="24"/>
    </w:rPr>
  </w:style>
  <w:style w:type="paragraph" w:customStyle="1" w:styleId="200">
    <w:name w:val="Table - Col. Head"/>
    <w:basedOn w:val="1"/>
    <w:qFormat/>
    <w:uiPriority w:val="99"/>
    <w:pPr>
      <w:keepNext/>
      <w:widowControl/>
      <w:spacing w:before="60" w:afterLines="50"/>
      <w:jc w:val="left"/>
    </w:pPr>
    <w:rPr>
      <w:rFonts w:ascii="Arial" w:hAnsi="Arial"/>
      <w:b/>
      <w:kern w:val="0"/>
      <w:sz w:val="18"/>
      <w:szCs w:val="20"/>
      <w:lang w:eastAsia="en-US"/>
    </w:rPr>
  </w:style>
  <w:style w:type="paragraph" w:customStyle="1" w:styleId="201">
    <w:name w:val="Char"/>
    <w:basedOn w:val="1"/>
    <w:qFormat/>
    <w:uiPriority w:val="99"/>
  </w:style>
  <w:style w:type="paragraph" w:customStyle="1" w:styleId="202">
    <w:name w:val="S4-L15-No"/>
    <w:basedOn w:val="98"/>
    <w:qFormat/>
    <w:uiPriority w:val="99"/>
    <w:pPr>
      <w:tabs>
        <w:tab w:val="left" w:pos="720"/>
      </w:tabs>
      <w:ind w:hanging="720"/>
    </w:pPr>
  </w:style>
  <w:style w:type="paragraph" w:customStyle="1" w:styleId="203">
    <w:name w:val="huide00"/>
    <w:basedOn w:val="1"/>
    <w:qFormat/>
    <w:uiPriority w:val="99"/>
    <w:pPr>
      <w:widowControl/>
      <w:spacing w:before="100" w:beforeAutospacing="1" w:after="100" w:afterAutospacing="1"/>
      <w:jc w:val="left"/>
    </w:pPr>
    <w:rPr>
      <w:rFonts w:ascii="Arial" w:hAnsi="Arial" w:cs="Arial"/>
      <w:color w:val="666666"/>
      <w:kern w:val="0"/>
      <w:sz w:val="18"/>
      <w:szCs w:val="18"/>
    </w:rPr>
  </w:style>
  <w:style w:type="paragraph" w:customStyle="1" w:styleId="204">
    <w:name w:val="p0"/>
    <w:basedOn w:val="1"/>
    <w:qFormat/>
    <w:uiPriority w:val="99"/>
    <w:pPr>
      <w:widowControl/>
      <w:spacing w:after="50"/>
    </w:pPr>
    <w:rPr>
      <w:kern w:val="0"/>
      <w:szCs w:val="21"/>
    </w:rPr>
  </w:style>
  <w:style w:type="paragraph" w:customStyle="1" w:styleId="205">
    <w:name w:val="样式 样式3 + 宋体 五号 Char Char Char"/>
    <w:basedOn w:val="1"/>
    <w:qFormat/>
    <w:uiPriority w:val="99"/>
    <w:pPr>
      <w:keepNext/>
      <w:keepLines/>
      <w:tabs>
        <w:tab w:val="left" w:pos="1050"/>
      </w:tabs>
      <w:ind w:left="1050" w:hanging="450"/>
      <w:jc w:val="left"/>
      <w:outlineLvl w:val="7"/>
    </w:pPr>
    <w:rPr>
      <w:rFonts w:ascii="宋体" w:hAnsi="宋体"/>
      <w:b/>
      <w:bCs/>
    </w:rPr>
  </w:style>
  <w:style w:type="paragraph" w:customStyle="1" w:styleId="206">
    <w:name w:val="S4-I-L15-U"/>
    <w:basedOn w:val="1"/>
    <w:qFormat/>
    <w:uiPriority w:val="99"/>
    <w:pPr>
      <w:spacing w:line="360" w:lineRule="auto"/>
    </w:pPr>
    <w:rPr>
      <w:b/>
      <w:i/>
      <w:sz w:val="24"/>
      <w:u w:val="single"/>
    </w:rPr>
  </w:style>
  <w:style w:type="paragraph" w:customStyle="1" w:styleId="207">
    <w:name w:val="标准有序列表（L1）"/>
    <w:basedOn w:val="15"/>
    <w:qFormat/>
    <w:uiPriority w:val="99"/>
    <w:pPr>
      <w:tabs>
        <w:tab w:val="left" w:pos="0"/>
      </w:tabs>
      <w:spacing w:line="360" w:lineRule="auto"/>
      <w:ind w:firstLine="0"/>
    </w:pPr>
    <w:rPr>
      <w:rFonts w:ascii="黑体" w:eastAsia="黑体"/>
      <w:color w:val="000000"/>
      <w:sz w:val="24"/>
    </w:rPr>
  </w:style>
  <w:style w:type="paragraph" w:customStyle="1" w:styleId="208">
    <w:name w:val="Char3"/>
    <w:basedOn w:val="1"/>
    <w:qFormat/>
    <w:uiPriority w:val="99"/>
    <w:rPr>
      <w:szCs w:val="20"/>
    </w:rPr>
  </w:style>
  <w:style w:type="paragraph" w:customStyle="1" w:styleId="209">
    <w:name w:val="List Paragraph"/>
    <w:basedOn w:val="1"/>
    <w:qFormat/>
    <w:uiPriority w:val="99"/>
    <w:pPr>
      <w:widowControl/>
      <w:spacing w:after="200" w:line="276" w:lineRule="auto"/>
      <w:ind w:left="720"/>
      <w:contextualSpacing/>
      <w:jc w:val="left"/>
    </w:pPr>
    <w:rPr>
      <w:rFonts w:ascii="Calibri" w:hAnsi="Calibri"/>
      <w:kern w:val="0"/>
      <w:sz w:val="22"/>
      <w:szCs w:val="22"/>
    </w:rPr>
  </w:style>
  <w:style w:type="paragraph" w:customStyle="1" w:styleId="210">
    <w:name w:val="样式 样式 正文文本缩进 + 仿宋_GB2312 小四 首行缩进:  0 厘米 行距: 1.5 倍行距 + (中文) 仿宋_GB..."/>
    <w:basedOn w:val="171"/>
    <w:qFormat/>
    <w:uiPriority w:val="99"/>
    <w:pPr>
      <w:ind w:firstLine="480" w:firstLineChars="200"/>
    </w:pPr>
  </w:style>
  <w:style w:type="paragraph" w:customStyle="1" w:styleId="211">
    <w:name w:val="沈标题四"/>
    <w:basedOn w:val="8"/>
    <w:next w:val="1"/>
    <w:qFormat/>
    <w:uiPriority w:val="99"/>
    <w:pPr>
      <w:keepNext w:val="0"/>
      <w:keepLines w:val="0"/>
      <w:spacing w:line="377" w:lineRule="auto"/>
    </w:pPr>
    <w:rPr>
      <w:rFonts w:ascii="Arial Narrow" w:hAnsi="Arial Narrow" w:eastAsia="方正姚体"/>
      <w:b w:val="0"/>
      <w:sz w:val="24"/>
      <w:szCs w:val="24"/>
    </w:rPr>
  </w:style>
  <w:style w:type="paragraph" w:customStyle="1" w:styleId="212">
    <w:name w:val="表格内容"/>
    <w:basedOn w:val="3"/>
    <w:qFormat/>
    <w:uiPriority w:val="99"/>
    <w:pPr>
      <w:suppressLineNumbers/>
      <w:suppressAutoHyphens/>
    </w:pPr>
    <w:rPr>
      <w:kern w:val="1"/>
      <w:sz w:val="21"/>
      <w:lang w:eastAsia="ar-SA"/>
    </w:rPr>
  </w:style>
  <w:style w:type="paragraph" w:customStyle="1" w:styleId="213">
    <w:name w:val="表格标题"/>
    <w:basedOn w:val="212"/>
    <w:qFormat/>
    <w:uiPriority w:val="99"/>
    <w:pPr>
      <w:jc w:val="center"/>
    </w:pPr>
    <w:rPr>
      <w:b/>
      <w:bCs/>
      <w:i/>
      <w:iCs/>
    </w:rPr>
  </w:style>
  <w:style w:type="paragraph" w:customStyle="1" w:styleId="214">
    <w:name w:val="表内文字"/>
    <w:basedOn w:val="1"/>
    <w:qFormat/>
    <w:uiPriority w:val="99"/>
    <w:pPr>
      <w:tabs>
        <w:tab w:val="left" w:pos="1418"/>
      </w:tabs>
      <w:spacing w:line="360" w:lineRule="auto"/>
      <w:jc w:val="center"/>
    </w:pPr>
    <w:rPr>
      <w:rFonts w:ascii="仿宋_GB2312" w:eastAsia="仿宋_GB2312"/>
      <w:spacing w:val="-20"/>
      <w:kern w:val="0"/>
      <w:sz w:val="24"/>
    </w:rPr>
  </w:style>
  <w:style w:type="character" w:customStyle="1" w:styleId="215">
    <w:name w:val="Char Char17"/>
    <w:qFormat/>
    <w:uiPriority w:val="99"/>
    <w:rPr>
      <w:rFonts w:ascii="宋体" w:hAnsi="Courier New" w:eastAsia="宋体"/>
      <w:kern w:val="2"/>
      <w:sz w:val="24"/>
      <w:lang w:val="en-US" w:eastAsia="zh-CN"/>
    </w:rPr>
  </w:style>
  <w:style w:type="character" w:customStyle="1" w:styleId="216">
    <w:name w:val="tw4winMark"/>
    <w:qFormat/>
    <w:uiPriority w:val="99"/>
    <w:rPr>
      <w:rFonts w:ascii="Courier New" w:hAnsi="Courier New"/>
      <w:vanish/>
      <w:color w:val="800080"/>
      <w:vertAlign w:val="subscript"/>
    </w:rPr>
  </w:style>
  <w:style w:type="character" w:customStyle="1" w:styleId="217">
    <w:name w:val="标题 1 Char Char"/>
    <w:qFormat/>
    <w:uiPriority w:val="99"/>
    <w:rPr>
      <w:rFonts w:eastAsia="宋体"/>
      <w:b/>
      <w:spacing w:val="-2"/>
      <w:sz w:val="24"/>
      <w:lang w:val="en-US" w:eastAsia="zh-CN"/>
    </w:rPr>
  </w:style>
  <w:style w:type="character" w:customStyle="1" w:styleId="218">
    <w:name w:val="para"/>
    <w:basedOn w:val="47"/>
    <w:qFormat/>
    <w:uiPriority w:val="99"/>
    <w:rPr>
      <w:rFonts w:cs="Times New Roman"/>
    </w:rPr>
  </w:style>
  <w:style w:type="character" w:customStyle="1" w:styleId="219">
    <w:name w:val="样式 样式3 + 宋体 五号 Char Char Char Char"/>
    <w:qFormat/>
    <w:uiPriority w:val="99"/>
    <w:rPr>
      <w:rFonts w:ascii="宋体" w:hAnsi="宋体" w:eastAsia="宋体"/>
      <w:b/>
      <w:kern w:val="2"/>
      <w:sz w:val="24"/>
      <w:lang w:val="en-US" w:eastAsia="zh-CN"/>
    </w:rPr>
  </w:style>
  <w:style w:type="character" w:customStyle="1" w:styleId="220">
    <w:name w:val="fontblank12"/>
    <w:basedOn w:val="47"/>
    <w:qFormat/>
    <w:uiPriority w:val="99"/>
    <w:rPr>
      <w:rFonts w:cs="Times New Roman"/>
    </w:rPr>
  </w:style>
  <w:style w:type="character" w:customStyle="1" w:styleId="221">
    <w:name w:val="标题 2 Char3"/>
    <w:qFormat/>
    <w:uiPriority w:val="99"/>
    <w:rPr>
      <w:rFonts w:ascii="Arial" w:hAnsi="Arial" w:eastAsia="宋体"/>
      <w:b/>
      <w:kern w:val="2"/>
      <w:sz w:val="32"/>
      <w:lang w:val="en-US" w:eastAsia="zh-CN"/>
    </w:rPr>
  </w:style>
  <w:style w:type="character" w:customStyle="1" w:styleId="222">
    <w:name w:val="Char Char3"/>
    <w:qFormat/>
    <w:uiPriority w:val="99"/>
    <w:rPr>
      <w:rFonts w:ascii="仿宋_GB2312" w:hAnsi="宋体" w:eastAsia="仿宋_GB2312"/>
      <w:color w:val="000000"/>
      <w:sz w:val="24"/>
    </w:rPr>
  </w:style>
  <w:style w:type="character" w:customStyle="1" w:styleId="223">
    <w:name w:val="Char Char27"/>
    <w:qFormat/>
    <w:uiPriority w:val="99"/>
    <w:rPr>
      <w:rFonts w:ascii="宋体" w:hAnsi="Courier New" w:eastAsia="宋体"/>
      <w:kern w:val="2"/>
      <w:sz w:val="24"/>
      <w:lang w:val="en-US" w:eastAsia="zh-CN"/>
    </w:rPr>
  </w:style>
  <w:style w:type="character" w:customStyle="1" w:styleId="224">
    <w:name w:val="纯文本 Char2"/>
    <w:qFormat/>
    <w:locked/>
    <w:uiPriority w:val="99"/>
    <w:rPr>
      <w:rFonts w:ascii="宋体" w:hAnsi="Courier New" w:eastAsia="宋体"/>
      <w:kern w:val="2"/>
      <w:sz w:val="21"/>
      <w:lang w:val="en-US" w:eastAsia="zh-CN"/>
    </w:rPr>
  </w:style>
  <w:style w:type="character" w:customStyle="1" w:styleId="225">
    <w:name w:val="Char Char21"/>
    <w:qFormat/>
    <w:uiPriority w:val="99"/>
    <w:rPr>
      <w:rFonts w:ascii="Arial" w:hAnsi="Arial" w:eastAsia="宋体"/>
      <w:b/>
      <w:kern w:val="2"/>
      <w:sz w:val="32"/>
      <w:lang w:val="en-US" w:eastAsia="zh-CN"/>
    </w:rPr>
  </w:style>
  <w:style w:type="character" w:customStyle="1" w:styleId="226">
    <w:name w:val="Normal Indent Char"/>
    <w:link w:val="15"/>
    <w:qFormat/>
    <w:locked/>
    <w:uiPriority w:val="99"/>
    <w:rPr>
      <w:rFonts w:eastAsia="宋体"/>
      <w:kern w:val="2"/>
      <w:sz w:val="21"/>
      <w:lang w:val="en-US" w:eastAsia="zh-CN"/>
    </w:rPr>
  </w:style>
  <w:style w:type="character" w:customStyle="1" w:styleId="227">
    <w:name w:val="标题 3 Char"/>
    <w:qFormat/>
    <w:uiPriority w:val="99"/>
    <w:rPr>
      <w:rFonts w:eastAsia="宋体"/>
      <w:b/>
      <w:kern w:val="2"/>
      <w:sz w:val="32"/>
      <w:lang w:val="en-US" w:eastAsia="zh-CN"/>
    </w:rPr>
  </w:style>
  <w:style w:type="character" w:customStyle="1" w:styleId="228">
    <w:name w:val="tw4winExternal"/>
    <w:qFormat/>
    <w:uiPriority w:val="99"/>
    <w:rPr>
      <w:rFonts w:ascii="Courier New" w:hAnsi="Courier New"/>
      <w:color w:val="808080"/>
    </w:rPr>
  </w:style>
  <w:style w:type="character" w:customStyle="1" w:styleId="229">
    <w:name w:val="style101"/>
    <w:qFormat/>
    <w:uiPriority w:val="99"/>
    <w:rPr>
      <w:color w:val="FFFFFF"/>
    </w:rPr>
  </w:style>
  <w:style w:type="character" w:customStyle="1" w:styleId="230">
    <w:name w:val="font3"/>
    <w:basedOn w:val="47"/>
    <w:qFormat/>
    <w:uiPriority w:val="99"/>
    <w:rPr>
      <w:rFonts w:cs="Times New Roman"/>
    </w:rPr>
  </w:style>
  <w:style w:type="character" w:customStyle="1" w:styleId="231">
    <w:name w:val="标题 2 Char2"/>
    <w:qFormat/>
    <w:uiPriority w:val="99"/>
    <w:rPr>
      <w:rFonts w:ascii="Arial" w:hAnsi="Arial"/>
      <w:b/>
      <w:sz w:val="32"/>
    </w:rPr>
  </w:style>
  <w:style w:type="character" w:customStyle="1" w:styleId="232">
    <w:name w:val="tw4winJump"/>
    <w:qFormat/>
    <w:uiPriority w:val="99"/>
    <w:rPr>
      <w:rFonts w:ascii="Courier New" w:hAnsi="Courier New"/>
      <w:color w:val="008080"/>
    </w:rPr>
  </w:style>
  <w:style w:type="character" w:customStyle="1" w:styleId="233">
    <w:name w:val="huide001"/>
    <w:qFormat/>
    <w:uiPriority w:val="99"/>
    <w:rPr>
      <w:rFonts w:ascii="Arial" w:hAnsi="Arial"/>
      <w:color w:val="666666"/>
      <w:sz w:val="18"/>
    </w:rPr>
  </w:style>
  <w:style w:type="character" w:customStyle="1" w:styleId="234">
    <w:name w:val="b titlename wangputoptitle"/>
    <w:basedOn w:val="47"/>
    <w:qFormat/>
    <w:uiPriority w:val="99"/>
    <w:rPr>
      <w:rFonts w:cs="Times New Roman"/>
    </w:rPr>
  </w:style>
  <w:style w:type="character" w:customStyle="1" w:styleId="235">
    <w:name w:val="large1"/>
    <w:qFormat/>
    <w:uiPriority w:val="99"/>
    <w:rPr>
      <w:rFonts w:ascii="宋体" w:hAnsi="宋体" w:eastAsia="宋体"/>
      <w:sz w:val="21"/>
    </w:rPr>
  </w:style>
  <w:style w:type="character" w:customStyle="1" w:styleId="236">
    <w:name w:val="pagetitle"/>
    <w:basedOn w:val="47"/>
    <w:qFormat/>
    <w:uiPriority w:val="99"/>
    <w:rPr>
      <w:rFonts w:cs="Times New Roman"/>
    </w:rPr>
  </w:style>
  <w:style w:type="character" w:customStyle="1" w:styleId="237">
    <w:name w:val="Char Char7"/>
    <w:qFormat/>
    <w:uiPriority w:val="99"/>
    <w:rPr>
      <w:rFonts w:ascii="宋体" w:hAnsi="Courier New" w:eastAsia="宋体"/>
      <w:spacing w:val="-4"/>
      <w:kern w:val="2"/>
      <w:sz w:val="18"/>
      <w:lang w:val="en-US" w:eastAsia="zh-CN"/>
    </w:rPr>
  </w:style>
  <w:style w:type="character" w:customStyle="1" w:styleId="238">
    <w:name w:val="font2"/>
    <w:qFormat/>
    <w:uiPriority w:val="99"/>
    <w:rPr>
      <w:rFonts w:ascii="Arial" w:hAnsi="Arial"/>
      <w:color w:val="333333"/>
      <w:spacing w:val="0"/>
      <w:sz w:val="18"/>
    </w:rPr>
  </w:style>
  <w:style w:type="character" w:customStyle="1" w:styleId="239">
    <w:name w:val="tw4winTerm"/>
    <w:qFormat/>
    <w:uiPriority w:val="99"/>
    <w:rPr>
      <w:color w:val="0000FF"/>
    </w:rPr>
  </w:style>
  <w:style w:type="character" w:customStyle="1" w:styleId="240">
    <w:name w:val="line1"/>
    <w:qFormat/>
    <w:uiPriority w:val="99"/>
    <w:rPr>
      <w:u w:val="none"/>
    </w:rPr>
  </w:style>
  <w:style w:type="character" w:customStyle="1" w:styleId="241">
    <w:name w:val="style11"/>
    <w:qFormat/>
    <w:uiPriority w:val="99"/>
    <w:rPr>
      <w:rFonts w:eastAsia="宋体"/>
      <w:kern w:val="2"/>
      <w:sz w:val="21"/>
      <w:lang w:val="en-US" w:eastAsia="zh-CN"/>
    </w:rPr>
  </w:style>
  <w:style w:type="character" w:customStyle="1" w:styleId="242">
    <w:name w:val="标题 2 Char"/>
    <w:qFormat/>
    <w:uiPriority w:val="99"/>
    <w:rPr>
      <w:rFonts w:ascii="Arial" w:hAnsi="Arial" w:eastAsia="黑体"/>
      <w:b/>
      <w:kern w:val="2"/>
      <w:sz w:val="32"/>
      <w:lang w:val="en-US" w:eastAsia="zh-CN"/>
    </w:rPr>
  </w:style>
  <w:style w:type="character" w:customStyle="1" w:styleId="243">
    <w:name w:val="!我的正文 Ctr+Q Char"/>
    <w:link w:val="132"/>
    <w:qFormat/>
    <w:locked/>
    <w:uiPriority w:val="99"/>
    <w:rPr>
      <w:rFonts w:ascii="Arial" w:hAnsi="Arial" w:eastAsia="宋体"/>
      <w:kern w:val="2"/>
      <w:sz w:val="21"/>
      <w:lang w:val="en-US" w:eastAsia="zh-CN"/>
    </w:rPr>
  </w:style>
  <w:style w:type="character" w:customStyle="1" w:styleId="244">
    <w:name w:val="point_normal1"/>
    <w:qFormat/>
    <w:uiPriority w:val="99"/>
    <w:rPr>
      <w:rFonts w:ascii="Arial" w:hAnsi="Arial"/>
      <w:sz w:val="18"/>
    </w:rPr>
  </w:style>
  <w:style w:type="character" w:customStyle="1" w:styleId="245">
    <w:name w:val="tw4winError"/>
    <w:qFormat/>
    <w:uiPriority w:val="99"/>
    <w:rPr>
      <w:rFonts w:ascii="Courier New" w:hAnsi="Courier New"/>
      <w:color w:val="00FF00"/>
      <w:sz w:val="40"/>
    </w:rPr>
  </w:style>
  <w:style w:type="character" w:customStyle="1" w:styleId="246">
    <w:name w:val="unnamed11"/>
    <w:qFormat/>
    <w:uiPriority w:val="99"/>
    <w:rPr>
      <w:sz w:val="20"/>
    </w:rPr>
  </w:style>
  <w:style w:type="character" w:customStyle="1" w:styleId="247">
    <w:name w:val="tw4winInternal"/>
    <w:qFormat/>
    <w:uiPriority w:val="99"/>
    <w:rPr>
      <w:rFonts w:ascii="Courier New" w:hAnsi="Courier New"/>
      <w:color w:val="FF0000"/>
    </w:rPr>
  </w:style>
  <w:style w:type="character" w:customStyle="1" w:styleId="248">
    <w:name w:val="style31"/>
    <w:qFormat/>
    <w:uiPriority w:val="99"/>
    <w:rPr>
      <w:color w:val="4B4B4B"/>
    </w:rPr>
  </w:style>
  <w:style w:type="character" w:customStyle="1" w:styleId="249">
    <w:name w:val="标题 2 Char1"/>
    <w:qFormat/>
    <w:uiPriority w:val="99"/>
    <w:rPr>
      <w:rFonts w:ascii="Arial" w:hAnsi="Arial" w:eastAsia="宋体"/>
      <w:b/>
      <w:sz w:val="32"/>
    </w:rPr>
  </w:style>
  <w:style w:type="character" w:customStyle="1" w:styleId="250">
    <w:name w:val="tw4winPopup"/>
    <w:qFormat/>
    <w:uiPriority w:val="99"/>
    <w:rPr>
      <w:rFonts w:ascii="Courier New" w:hAnsi="Courier New"/>
      <w:color w:val="008000"/>
    </w:rPr>
  </w:style>
  <w:style w:type="character" w:customStyle="1" w:styleId="251">
    <w:name w:val="A C"/>
    <w:qFormat/>
    <w:uiPriority w:val="99"/>
    <w:rPr>
      <w:rFonts w:ascii="仿宋_GB2312"/>
      <w:sz w:val="24"/>
    </w:rPr>
  </w:style>
  <w:style w:type="character" w:customStyle="1" w:styleId="252">
    <w:name w:val="标题 1 Char"/>
    <w:basedOn w:val="47"/>
    <w:qFormat/>
    <w:uiPriority w:val="99"/>
    <w:rPr>
      <w:rFonts w:cs="Times New Roman"/>
      <w:b/>
      <w:bCs/>
      <w:kern w:val="44"/>
      <w:sz w:val="44"/>
      <w:szCs w:val="44"/>
    </w:rPr>
  </w:style>
  <w:style w:type="character" w:customStyle="1" w:styleId="253">
    <w:name w:val="样式 小四"/>
    <w:qFormat/>
    <w:uiPriority w:val="99"/>
    <w:rPr>
      <w:sz w:val="21"/>
    </w:rPr>
  </w:style>
  <w:style w:type="character" w:customStyle="1" w:styleId="254">
    <w:name w:val="Normal Indent Char1 Char1 Char2 Char Char Char Char Char Char Char Char Char Char Char Char Char Char"/>
    <w:qFormat/>
    <w:uiPriority w:val="99"/>
    <w:rPr>
      <w:rFonts w:eastAsia="仿宋_GB2312"/>
      <w:kern w:val="2"/>
      <w:sz w:val="24"/>
      <w:lang w:val="en-US" w:eastAsia="zh-CN"/>
    </w:rPr>
  </w:style>
  <w:style w:type="character" w:customStyle="1" w:styleId="255">
    <w:name w:val="text11"/>
    <w:qFormat/>
    <w:uiPriority w:val="99"/>
    <w:rPr>
      <w:rFonts w:ascii="Verdana" w:hAnsi="Verdana"/>
      <w:color w:val="4E4E4E"/>
      <w:sz w:val="18"/>
    </w:rPr>
  </w:style>
  <w:style w:type="character" w:customStyle="1" w:styleId="256">
    <w:name w:val="font31"/>
    <w:basedOn w:val="47"/>
    <w:qFormat/>
    <w:uiPriority w:val="99"/>
    <w:rPr>
      <w:rFonts w:ascii="宋体" w:hAnsi="宋体" w:eastAsia="宋体" w:cs="宋体"/>
      <w:color w:val="000000"/>
      <w:sz w:val="21"/>
      <w:szCs w:val="21"/>
      <w:u w:val="none"/>
    </w:rPr>
  </w:style>
  <w:style w:type="character" w:customStyle="1" w:styleId="257">
    <w:name w:val="font11"/>
    <w:basedOn w:val="47"/>
    <w:qFormat/>
    <w:uiPriority w:val="99"/>
    <w:rPr>
      <w:rFonts w:ascii="Times New Roman" w:hAnsi="Times New Roman" w:cs="Times New Roman"/>
      <w:color w:val="000000"/>
      <w:sz w:val="21"/>
      <w:szCs w:val="21"/>
      <w:u w:val="none"/>
    </w:rPr>
  </w:style>
  <w:style w:type="paragraph" w:customStyle="1" w:styleId="258">
    <w:name w:val="F-正文"/>
    <w:qFormat/>
    <w:uiPriority w:val="0"/>
    <w:pPr>
      <w:spacing w:line="560" w:lineRule="exact"/>
      <w:jc w:val="both"/>
    </w:pPr>
    <w:rPr>
      <w:rFonts w:ascii="Times" w:hAnsi="Times" w:eastAsia="仿宋" w:cs="Times New Roman"/>
      <w:kern w:val="2"/>
      <w:sz w:val="24"/>
      <w:lang w:val="en-US" w:eastAsia="zh-CN" w:bidi="ar-SA"/>
    </w:rPr>
  </w:style>
  <w:style w:type="paragraph" w:customStyle="1" w:styleId="259">
    <w:name w:val="_Style 3"/>
    <w:basedOn w:val="1"/>
    <w:qFormat/>
    <w:uiPriority w:val="1"/>
    <w:pPr>
      <w:adjustRightInd/>
      <w:ind w:firstLine="420" w:firstLineChars="200"/>
    </w:pPr>
    <w:rPr>
      <w:rFonts w:eastAsia="仿宋_GB2312"/>
      <w:sz w:val="28"/>
    </w:rPr>
  </w:style>
  <w:style w:type="character" w:customStyle="1" w:styleId="260">
    <w:name w:val="NormalCharacter"/>
    <w:qFormat/>
    <w:uiPriority w:val="0"/>
  </w:style>
  <w:style w:type="character" w:customStyle="1" w:styleId="261">
    <w:name w:val="标题 2 字符"/>
    <w:link w:val="6"/>
    <w:qFormat/>
    <w:uiPriority w:val="0"/>
    <w:rPr>
      <w:rFonts w:ascii="Arial" w:hAnsi="Arial" w:eastAsia="宋体"/>
      <w:b/>
      <w:bCs/>
      <w:kern w:val="2"/>
      <w:sz w:val="28"/>
      <w:szCs w:val="32"/>
      <w:lang w:val="en-US" w:eastAsia="zh-CN" w:bidi="ar-SA"/>
    </w:rPr>
  </w:style>
  <w:style w:type="paragraph" w:customStyle="1" w:styleId="262">
    <w:name w:val="BodyText1I"/>
    <w:basedOn w:val="263"/>
    <w:qFormat/>
    <w:uiPriority w:val="0"/>
    <w:pPr>
      <w:ind w:firstLine="420" w:firstLineChars="100"/>
      <w:jc w:val="both"/>
      <w:textAlignment w:val="baseline"/>
    </w:pPr>
  </w:style>
  <w:style w:type="paragraph" w:customStyle="1" w:styleId="263">
    <w:name w:val="BodyText"/>
    <w:basedOn w:val="1"/>
    <w:next w:val="264"/>
    <w:qFormat/>
    <w:uiPriority w:val="0"/>
    <w:pPr>
      <w:jc w:val="both"/>
      <w:textAlignment w:val="baseline"/>
    </w:pPr>
    <w:rPr>
      <w:rFonts w:ascii="宋体" w:hAnsi="宋体" w:eastAsia="宋体"/>
      <w:kern w:val="2"/>
      <w:sz w:val="21"/>
      <w:szCs w:val="21"/>
      <w:lang w:val="zh-CN" w:eastAsia="zh-CN" w:bidi="zh-CN"/>
    </w:rPr>
  </w:style>
  <w:style w:type="paragraph" w:customStyle="1" w:styleId="264">
    <w:name w:val="TOC2"/>
    <w:basedOn w:val="1"/>
    <w:next w:val="1"/>
    <w:qFormat/>
    <w:uiPriority w:val="0"/>
    <w:pPr>
      <w:ind w:left="420" w:leftChars="200"/>
      <w:jc w:val="both"/>
      <w:textAlignment w:val="baseline"/>
    </w:pPr>
  </w:style>
  <w:style w:type="paragraph" w:customStyle="1" w:styleId="265">
    <w:name w:val="条款正文"/>
    <w:basedOn w:val="1"/>
    <w:qFormat/>
    <w:uiPriority w:val="0"/>
    <w:pPr>
      <w:adjustRightInd w:val="0"/>
      <w:snapToGrid w:val="0"/>
      <w:ind w:left="840" w:leftChars="400" w:firstLine="420" w:firstLineChars="200"/>
    </w:pPr>
    <w:rPr>
      <w:szCs w:val="20"/>
    </w:rPr>
  </w:style>
  <w:style w:type="paragraph" w:customStyle="1" w:styleId="266">
    <w:name w:val="Plain Text"/>
    <w:basedOn w:val="1"/>
    <w:next w:val="1"/>
    <w:qFormat/>
    <w:uiPriority w:val="0"/>
    <w:pPr>
      <w:spacing w:before="156" w:beforeLines="50" w:after="156" w:afterLines="50" w:line="400" w:lineRule="exact"/>
    </w:pPr>
    <w:rPr>
      <w:rFonts w:ascii="宋体" w:hAnsi="Courier New" w:eastAsia="宋体" w:cs="Times New Roman"/>
      <w:kern w:val="2"/>
      <w:sz w:val="24"/>
      <w:lang w:val="en-US" w:eastAsia="zh-CN"/>
    </w:rPr>
  </w:style>
  <w:style w:type="character" w:customStyle="1" w:styleId="267">
    <w:name w:val="ca-11"/>
    <w:qFormat/>
    <w:uiPriority w:val="0"/>
    <w:rPr>
      <w:rFonts w:hint="eastAsia" w:ascii="仿宋_GB2312" w:eastAsia="仿宋_GB2312"/>
      <w:sz w:val="28"/>
      <w:szCs w:val="28"/>
    </w:rPr>
  </w:style>
  <w:style w:type="paragraph" w:customStyle="1" w:styleId="268">
    <w:name w:val="Body Text 3"/>
    <w:basedOn w:val="1"/>
    <w:qFormat/>
    <w:uiPriority w:val="0"/>
    <w:pPr>
      <w:snapToGrid w:val="0"/>
      <w:spacing w:before="50" w:beforeLines="0" w:after="50" w:afterLines="0"/>
    </w:pPr>
    <w:rPr>
      <w:rFonts w:cs="Times New Roman"/>
      <w:sz w:val="16"/>
      <w:szCs w:val="16"/>
    </w:rPr>
  </w:style>
  <w:style w:type="paragraph" w:customStyle="1" w:styleId="269">
    <w:name w:val="列出段落3"/>
    <w:basedOn w:val="1"/>
    <w:qFormat/>
    <w:uiPriority w:val="0"/>
    <w:pPr>
      <w:ind w:firstLine="420" w:firstLineChars="200"/>
    </w:pPr>
  </w:style>
  <w:style w:type="paragraph" w:customStyle="1" w:styleId="270">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1">
    <w:name w:val="纯文本1"/>
    <w:basedOn w:val="57"/>
    <w:qFormat/>
    <w:uiPriority w:val="99"/>
    <w:pPr>
      <w:widowControl/>
      <w:jc w:val="left"/>
    </w:pPr>
    <w:rPr>
      <w:rFonts w:ascii="宋体" w:hAnsi="Courier New"/>
    </w:rPr>
  </w:style>
  <w:style w:type="character" w:customStyle="1" w:styleId="272">
    <w:name w:val="*正文 Char Char"/>
    <w:link w:val="273"/>
    <w:qFormat/>
    <w:uiPriority w:val="0"/>
    <w:rPr>
      <w:rFonts w:ascii="宋体" w:hAnsi="宋体" w:eastAsia="黑体"/>
      <w:sz w:val="24"/>
      <w:lang w:val="zh-CN"/>
    </w:rPr>
  </w:style>
  <w:style w:type="paragraph" w:customStyle="1" w:styleId="273">
    <w:name w:val="*正文"/>
    <w:basedOn w:val="1"/>
    <w:link w:val="272"/>
    <w:qFormat/>
    <w:uiPriority w:val="0"/>
    <w:pPr>
      <w:spacing w:line="360" w:lineRule="auto"/>
      <w:ind w:firstLine="200" w:firstLineChars="200"/>
    </w:pPr>
    <w:rPr>
      <w:rFonts w:ascii="宋体" w:hAnsi="宋体" w:eastAsia="黑体"/>
      <w:sz w:val="24"/>
      <w:lang w:val="zh-CN"/>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8.xml"/><Relationship Id="rId13" Type="http://schemas.openxmlformats.org/officeDocument/2006/relationships/header" Target="header4.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Microsoft</Company>
  <Pages>81</Pages>
  <Words>45629</Words>
  <Characters>48338</Characters>
  <Lines>0</Lines>
  <Paragraphs>0</Paragraphs>
  <TotalTime>5</TotalTime>
  <ScaleCrop>false</ScaleCrop>
  <LinksUpToDate>false</LinksUpToDate>
  <CharactersWithSpaces>50753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2020-08-26T06:52:00Z</dcterms:created>
  <dc:creator>厉先光</dc:creator>
  <cp:lastModifiedBy>Aay</cp:lastModifiedBy>
  <cp:lastPrinted>2023-10-19T08:16:00Z</cp:lastPrinted>
  <dcterms:modified xsi:type="dcterms:W3CDTF">2025-04-15T01:35:25Z</dcterms:modified>
  <dc:title>浙江省政府采购招标文件范本（试行）</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D51926204A524C34A92DD53EA8CDB3C0_13</vt:lpwstr>
  </property>
  <property fmtid="{D5CDD505-2E9C-101B-9397-08002B2CF9AE}" pid="4" name="KSOTemplateDocerSaveRecord">
    <vt:lpwstr>eyJoZGlkIjoiOGY1ZTI3YTUyMTgxYjgxNjNhMWVhMTA0NTI5MDg0M2MiLCJ1c2VySWQiOiIyNjQyMzc4NDQifQ==</vt:lpwstr>
  </property>
</Properties>
</file>