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outlineLvl w:val="0"/>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杭州市拱墅区人民政府祥符街道办事处2025年市场监管服务（重新招标） </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2025-0102-104502-1</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杭州市拱墅区人民政府祥符街道办事处</w:t>
      </w:r>
    </w:p>
    <w:p>
      <w:pPr>
        <w:spacing w:line="360" w:lineRule="auto"/>
        <w:jc w:val="center"/>
        <w:outlineLvl w:val="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浙江广通工程咨询有限公司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4"/>
        <w:outlineLvl w:val="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outlineLvl w:val="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杭州市拱墅区人民政府祥符街道办事处2025年市场监管服务（重新招标）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outlineLvl w:val="1"/>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2025-0102-104502-1</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杭州市拱墅区人民政府祥符街道办事处2025年市场监管服务（重新招标） </w:t>
      </w:r>
    </w:p>
    <w:p>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00000.00  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最高限价（元）：1</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00000.00</w:t>
      </w:r>
      <w:r>
        <w:rPr>
          <w:rFonts w:ascii="宋体" w:hAnsi="宋体" w:cs="宋体"/>
          <w:color w:val="auto"/>
          <w:sz w:val="24"/>
          <w:highlight w:val="none"/>
        </w:rPr>
        <w:t xml:space="preserve"> </w:t>
      </w:r>
    </w:p>
    <w:p>
      <w:pPr>
        <w:pStyle w:val="7"/>
        <w:spacing w:line="360" w:lineRule="auto"/>
        <w:ind w:firstLine="480"/>
        <w:rPr>
          <w:rFonts w:hint="eastAsia" w:asciiTheme="minorEastAsia" w:hAnsiTheme="minorEastAsia" w:eastAsiaTheme="minorEastAsia"/>
          <w:snapToGrid/>
          <w:color w:val="auto"/>
          <w:kern w:val="2"/>
          <w:sz w:val="24"/>
          <w:szCs w:val="24"/>
          <w:highlight w:val="none"/>
          <w:lang w:eastAsia="zh-CN"/>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 xml:space="preserve">杭州市拱墅区人民政府祥符街道办事处2025年市场监管服务（重新招标） </w:t>
      </w:r>
      <w:r>
        <w:rPr>
          <w:rFonts w:hint="eastAsia" w:hAnsi="宋体" w:cs="宋体"/>
          <w:bCs/>
          <w:snapToGrid/>
          <w:color w:val="auto"/>
          <w:kern w:val="2"/>
          <w:sz w:val="24"/>
          <w:szCs w:val="24"/>
          <w:highlight w:val="none"/>
        </w:rPr>
        <w:t xml:space="preserve">主要内容： </w:t>
      </w:r>
      <w:r>
        <w:rPr>
          <w:rFonts w:hint="eastAsia" w:asciiTheme="minorEastAsia" w:hAnsiTheme="minorEastAsia" w:eastAsiaTheme="minorEastAsia"/>
          <w:snapToGrid/>
          <w:color w:val="auto"/>
          <w:kern w:val="2"/>
          <w:sz w:val="24"/>
          <w:szCs w:val="24"/>
          <w:highlight w:val="none"/>
        </w:rPr>
        <w:t>（1）协助开展宣传教育、文字信息、档案管理、后勤保障等工作；</w:t>
      </w:r>
    </w:p>
    <w:p>
      <w:pPr>
        <w:pStyle w:val="7"/>
        <w:spacing w:line="360" w:lineRule="auto"/>
        <w:ind w:firstLine="48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（2）协助开展市场主体行政审批、行政许可、年报、解答咨询等窗口服务工作；</w:t>
      </w:r>
    </w:p>
    <w:p>
      <w:pPr>
        <w:pStyle w:val="7"/>
        <w:spacing w:line="360" w:lineRule="auto"/>
        <w:ind w:firstLine="48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（3）协助执法人员开展食品、药品、特种设备、产品质量、广告、合同、知识产权、价格等日常监管和服务工作；</w:t>
      </w:r>
    </w:p>
    <w:p>
      <w:pPr>
        <w:pStyle w:val="7"/>
        <w:spacing w:line="360" w:lineRule="auto"/>
        <w:ind w:firstLine="48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（4）协助执法人员开展执法相关工作，按规定协助对涉案物品进行处理。</w:t>
      </w:r>
    </w:p>
    <w:p>
      <w:pPr>
        <w:pStyle w:val="7"/>
        <w:spacing w:line="360" w:lineRule="auto"/>
        <w:ind w:firstLine="48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（5）协助执法人员预防和劝阻违法行为，协助完成各类专项整治工作；</w:t>
      </w:r>
    </w:p>
    <w:p>
      <w:pPr>
        <w:pStyle w:val="7"/>
        <w:spacing w:line="360" w:lineRule="auto"/>
        <w:ind w:firstLine="48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（6）协助处理各类消费者投诉（纠纷），维护消费者合法权益；</w:t>
      </w:r>
    </w:p>
    <w:p>
      <w:pPr>
        <w:pStyle w:val="7"/>
        <w:spacing w:line="360" w:lineRule="auto"/>
        <w:ind w:firstLine="48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（7）完成交办的其他工作。</w:t>
      </w:r>
    </w:p>
    <w:p>
      <w:pPr>
        <w:pStyle w:val="7"/>
        <w:spacing w:line="360" w:lineRule="auto"/>
        <w:ind w:firstLine="480"/>
        <w:rPr>
          <w:rFonts w:hAnsi="宋体" w:cs="宋体"/>
          <w:bCs/>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8"/>
        <w:ind w:firstLine="482"/>
        <w:outlineLvl w:val="2"/>
        <w:rPr>
          <w:rFonts w:hint="eastAsia" w:ascii="宋体" w:hAnsi="宋体" w:cs="宋体"/>
          <w:b/>
          <w:color w:val="auto"/>
          <w:highlight w:val="none"/>
          <w:lang w:val="en-US" w:eastAsia="zh-CN"/>
        </w:rPr>
      </w:pPr>
      <w:r>
        <w:rPr>
          <w:rFonts w:hint="eastAsia" w:ascii="宋体" w:hAnsi="宋体" w:cs="宋体"/>
          <w:b/>
          <w:color w:val="auto"/>
          <w:highlight w:val="none"/>
        </w:rPr>
        <w:t>合同履约期限：2025年全年</w:t>
      </w:r>
    </w:p>
    <w:p>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outlineLvl w:val="2"/>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outlineLvl w:val="2"/>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2月28日13</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2月28日13</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bookmarkStart w:id="410" w:name="_GoBack"/>
      <w:bookmarkEnd w:id="410"/>
    </w:p>
    <w:p>
      <w:pPr>
        <w:spacing w:line="360" w:lineRule="auto"/>
        <w:outlineLvl w:val="1"/>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outlineLvl w:val="2"/>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outlineLvl w:val="3"/>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杭州市拱墅区人民政府祥符街道办事处</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浙江省杭州市拱墅区三墩路85号</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宋体" w:hAnsi="宋体" w:eastAsia="宋体" w:cs="宋体"/>
          <w:color w:val="auto"/>
          <w:sz w:val="24"/>
          <w:highlight w:val="none"/>
          <w:lang w:val="en-US" w:eastAsia="zh-CN"/>
        </w:rPr>
        <w:t>叶志军   </w:t>
      </w:r>
      <w:r>
        <w:rPr>
          <w:rFonts w:hint="eastAsia" w:ascii="宋体" w:hAnsi="宋体" w:cs="宋体"/>
          <w:color w:val="auto"/>
          <w:sz w:val="24"/>
          <w:highlight w:val="none"/>
        </w:rPr>
        <w:t xml:space="preserve"> </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 </w:t>
      </w:r>
      <w:r>
        <w:rPr>
          <w:rFonts w:hint="eastAsia" w:ascii="宋体" w:hAnsi="宋体" w:eastAsia="宋体" w:cs="宋体"/>
          <w:color w:val="auto"/>
          <w:sz w:val="24"/>
          <w:highlight w:val="none"/>
          <w:lang w:val="en-US" w:eastAsia="zh-CN"/>
        </w:rPr>
        <w:t>15658813586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质疑联系人：叶新 </w:t>
      </w:r>
    </w:p>
    <w:p>
      <w:pPr>
        <w:spacing w:line="360" w:lineRule="auto"/>
        <w:ind w:left="480" w:hanging="480" w:hangingChars="20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lang w:val="en-US" w:eastAsia="zh-CN"/>
        </w:rPr>
        <w:t xml:space="preserve">0571-88966758   </w:t>
      </w:r>
      <w:r>
        <w:rPr>
          <w:rFonts w:hint="eastAsia" w:ascii="宋体" w:hAnsi="宋体" w:cs="宋体"/>
          <w:color w:val="auto"/>
          <w:sz w:val="24"/>
          <w:highlight w:val="none"/>
          <w:lang w:val="en-US" w:eastAsia="zh-CN"/>
        </w:rPr>
        <w:t xml:space="preserve">    </w:t>
      </w:r>
    </w:p>
    <w:p>
      <w:pPr>
        <w:spacing w:line="360" w:lineRule="auto"/>
        <w:ind w:left="480" w:hanging="480" w:hanging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（请通过以下路径在线提起质疑：政采云-项目采购-询问质疑投诉-质疑列表</w:t>
      </w:r>
      <w:r>
        <w:rPr>
          <w:rFonts w:hint="eastAsia" w:ascii="宋体" w:hAnsi="宋体" w:cs="宋体"/>
          <w:color w:val="auto"/>
          <w:sz w:val="24"/>
          <w:highlight w:val="none"/>
          <w:lang w:eastAsia="zh-CN"/>
        </w:rPr>
        <w:t>）</w:t>
      </w:r>
    </w:p>
    <w:p>
      <w:pPr>
        <w:spacing w:line="360" w:lineRule="auto"/>
        <w:outlineLvl w:val="2"/>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浙江广通工程咨询有限公司</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浙江省杭州市拱墅区石祥路389号禹渡发展中心1号楼701室</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叶永生</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13989457364</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徐永锋</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87763237</w:t>
      </w:r>
      <w:r>
        <w:rPr>
          <w:rFonts w:hint="eastAsia" w:ascii="宋体" w:hAnsi="宋体" w:cs="宋体"/>
          <w:color w:val="auto"/>
          <w:sz w:val="24"/>
          <w:highlight w:val="none"/>
        </w:rPr>
        <w:t xml:space="preserve"> （请通过以下路径在线提起质疑：政采云-项目采购-询问质疑投诉-质疑列表）</w:t>
      </w:r>
    </w:p>
    <w:p>
      <w:pPr>
        <w:spacing w:line="360" w:lineRule="auto"/>
        <w:outlineLvl w:val="2"/>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 xml:space="preserve">   名称：杭州市拱墅区财政局、浙江省政府采购行政裁决服务中心（杭州）</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地址：杭州市上城区清泰街549号城建综合大楼11楼（快递仅限ems或顺丰）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监督投诉电话：电话：0571-87800218,0571-87227671 （仅限投诉事项）</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w:t>
      </w:r>
      <w:r>
        <w:rPr>
          <w:rFonts w:hint="eastAsia" w:ascii="宋体" w:hAnsi="宋体" w:cs="宋体"/>
          <w:color w:val="auto"/>
          <w:sz w:val="24"/>
          <w:highlight w:val="none"/>
          <w:lang w:val="en-US" w:eastAsia="zh-CN"/>
        </w:rPr>
        <w:t>曹女士</w:t>
      </w:r>
      <w:r>
        <w:rPr>
          <w:rFonts w:hint="eastAsia" w:ascii="宋体" w:hAnsi="宋体" w:cs="宋体"/>
          <w:color w:val="auto"/>
          <w:sz w:val="24"/>
          <w:highlight w:val="none"/>
        </w:rPr>
        <w:t>，0571-89505675、89505676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eastAsia="zh-CN"/>
              </w:rPr>
              <w:t>杭州市拱墅区人民政府祥符街道办事处2025年市场监管服务（重新招标）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sz w:val="24"/>
                <w:highlight w:val="none"/>
                <w:u w:val="single"/>
                <w:lang w:eastAsia="zh-CN"/>
              </w:rPr>
              <w:t xml:space="preserve"> 租赁和商务服务业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81"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val="en-US" w:eastAsia="zh-CN"/>
              </w:rPr>
              <w:t>浙江省杭州市拱墅区石祥路389号禹渡发展中心1号楼701室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叶永生</w:t>
            </w:r>
            <w:r>
              <w:rPr>
                <w:rFonts w:hint="eastAsia" w:hAnsi="宋体" w:cs="宋体"/>
                <w:color w:val="auto"/>
                <w:kern w:val="28"/>
                <w:sz w:val="24"/>
                <w:szCs w:val="24"/>
                <w:highlight w:val="none"/>
                <w:lang w:val="en-US" w:eastAsia="zh-CN"/>
              </w:rPr>
              <w:t xml:space="preserve">  </w:t>
            </w:r>
            <w:r>
              <w:rPr>
                <w:rFonts w:hint="eastAsia" w:hAnsi="宋体" w:cs="宋体"/>
                <w:color w:val="auto"/>
                <w:sz w:val="24"/>
                <w:highlight w:val="none"/>
                <w:u w:val="single"/>
                <w:lang w:val="en-US" w:eastAsia="zh-CN"/>
              </w:rPr>
              <w:t>13989457364</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721"/>
              <w:snapToGrid w:val="0"/>
              <w:spacing w:line="240" w:lineRule="auto"/>
              <w:ind w:firstLine="0" w:firstLineChars="0"/>
              <w:rPr>
                <w:rFonts w:cs="Arial"/>
                <w:color w:val="auto"/>
                <w:highlight w:val="none"/>
              </w:rPr>
            </w:pPr>
            <w:r>
              <w:rPr>
                <w:rFonts w:hint="eastAsia" w:cs="宋体"/>
                <w:snapToGrid w:val="0"/>
                <w:color w:val="auto"/>
                <w:kern w:val="28"/>
                <w:sz w:val="24"/>
                <w:highlight w:val="none"/>
                <w:lang w:val="en-US" w:eastAsia="zh-CN"/>
              </w:rPr>
              <w:t>招标代理服务费金额：以标项中标金额为计算基数，按计价格【2002】1980号文、发改办价格[2003]857号文及发改价格【2011】534号文规定标准费率8折计算值收取。</w:t>
            </w:r>
            <w:r>
              <w:rPr>
                <w:rFonts w:cs="Arial"/>
                <w:color w:val="auto"/>
                <w:highlight w:val="none"/>
              </w:rPr>
              <w:t>收费计算示例：（标项中标金额200万元）</w:t>
            </w:r>
          </w:p>
          <w:p>
            <w:pPr>
              <w:pStyle w:val="721"/>
              <w:snapToGrid w:val="0"/>
              <w:spacing w:line="240" w:lineRule="auto"/>
              <w:ind w:firstLine="0" w:firstLineChars="0"/>
              <w:rPr>
                <w:rFonts w:cs="Arial"/>
                <w:color w:val="auto"/>
                <w:highlight w:val="none"/>
              </w:rPr>
            </w:pPr>
            <w:r>
              <w:rPr>
                <w:rFonts w:hint="eastAsia" w:cs="Arial"/>
                <w:color w:val="auto"/>
                <w:highlight w:val="none"/>
                <w:lang w:eastAsia="zh-CN"/>
              </w:rPr>
              <w:t>（</w:t>
            </w:r>
            <w:r>
              <w:rPr>
                <w:rFonts w:cs="Arial"/>
                <w:color w:val="auto"/>
                <w:highlight w:val="none"/>
              </w:rPr>
              <w:t>100*1.5%+100*0.8%</w:t>
            </w:r>
            <w:r>
              <w:rPr>
                <w:rFonts w:hint="eastAsia" w:cs="Arial"/>
                <w:color w:val="auto"/>
                <w:highlight w:val="none"/>
                <w:lang w:eastAsia="zh-CN"/>
              </w:rPr>
              <w:t>）</w:t>
            </w:r>
            <w:r>
              <w:rPr>
                <w:rFonts w:hint="eastAsia" w:cs="Arial"/>
                <w:color w:val="auto"/>
                <w:highlight w:val="none"/>
                <w:lang w:val="en-US" w:eastAsia="zh-CN"/>
              </w:rPr>
              <w:t>*0.8</w:t>
            </w:r>
            <w:r>
              <w:rPr>
                <w:rFonts w:cs="Arial"/>
                <w:color w:val="auto"/>
                <w:highlight w:val="none"/>
              </w:rPr>
              <w:t>=</w:t>
            </w:r>
            <w:r>
              <w:rPr>
                <w:rFonts w:hint="eastAsia" w:cs="Arial"/>
                <w:color w:val="auto"/>
                <w:highlight w:val="none"/>
                <w:lang w:val="en-US" w:eastAsia="zh-CN"/>
              </w:rPr>
              <w:t>1.84</w:t>
            </w:r>
            <w:r>
              <w:rPr>
                <w:rFonts w:cs="Arial"/>
                <w:color w:val="auto"/>
                <w:highlight w:val="none"/>
              </w:rPr>
              <w:t>万元。</w:t>
            </w:r>
          </w:p>
          <w:p>
            <w:pPr>
              <w:pStyle w:val="721"/>
              <w:snapToGrid w:val="0"/>
              <w:spacing w:line="240" w:lineRule="auto"/>
              <w:ind w:firstLine="0" w:firstLineChars="0"/>
              <w:rPr>
                <w:rFonts w:cs="Arial"/>
                <w:color w:val="auto"/>
                <w:highlight w:val="none"/>
              </w:rPr>
            </w:pPr>
            <w:r>
              <w:rPr>
                <w:rFonts w:cs="Arial"/>
                <w:color w:val="auto"/>
                <w:highlight w:val="none"/>
              </w:rPr>
              <w:t>采购代理服务费缴纳形式：汇票/支票/电汇/现金</w:t>
            </w:r>
          </w:p>
          <w:p>
            <w:pPr>
              <w:pStyle w:val="721"/>
              <w:snapToGrid w:val="0"/>
              <w:spacing w:line="240" w:lineRule="auto"/>
              <w:ind w:firstLine="0" w:firstLineChars="0"/>
              <w:rPr>
                <w:rFonts w:hint="eastAsia" w:ascii="宋体" w:hAnsi="宋体" w:eastAsia="宋体" w:cs="宋体"/>
                <w:snapToGrid w:val="0"/>
                <w:color w:val="auto"/>
                <w:kern w:val="28"/>
                <w:sz w:val="24"/>
                <w:highlight w:val="none"/>
              </w:rPr>
            </w:pPr>
            <w:r>
              <w:rPr>
                <w:rFonts w:cs="Arial"/>
                <w:b/>
                <w:color w:val="auto"/>
                <w:highlight w:val="none"/>
              </w:rPr>
              <w:t>采购代理服务费由</w:t>
            </w:r>
            <w:r>
              <w:rPr>
                <w:rFonts w:hint="eastAsia" w:cs="Arial"/>
                <w:b/>
                <w:color w:val="auto"/>
                <w:highlight w:val="none"/>
                <w:lang w:val="en-US" w:eastAsia="zh-CN"/>
              </w:rPr>
              <w:t>中标单位</w:t>
            </w:r>
            <w:r>
              <w:rPr>
                <w:rFonts w:cs="Arial"/>
                <w:b/>
                <w:color w:val="auto"/>
                <w:highlight w:val="none"/>
              </w:rPr>
              <w:t>在</w:t>
            </w:r>
            <w:r>
              <w:rPr>
                <w:rFonts w:hint="eastAsia" w:cs="Arial"/>
                <w:b/>
                <w:color w:val="auto"/>
                <w:highlight w:val="none"/>
              </w:rPr>
              <w:t>采购</w:t>
            </w:r>
            <w:r>
              <w:rPr>
                <w:rFonts w:cs="Arial"/>
                <w:b/>
                <w:color w:val="auto"/>
                <w:highlight w:val="none"/>
              </w:rPr>
              <w:t>结果公示期结束时以人民币方式向采购代理机构支付</w:t>
            </w:r>
            <w:r>
              <w:rPr>
                <w:rFonts w:cs="Arial"/>
                <w:color w:val="auto"/>
                <w:highlight w:val="none"/>
              </w:rPr>
              <w:t>。</w:t>
            </w:r>
            <w:r>
              <w:rPr>
                <w:rFonts w:hint="eastAsia" w:ascii="宋体" w:hAnsi="宋体" w:eastAsia="宋体" w:cs="宋体"/>
                <w:snapToGrid w:val="0"/>
                <w:color w:val="auto"/>
                <w:kern w:val="28"/>
                <w:sz w:val="24"/>
                <w:highlight w:val="none"/>
              </w:rPr>
              <w:t>汇入以下账户 ：</w:t>
            </w:r>
          </w:p>
          <w:p>
            <w:pPr>
              <w:pStyle w:val="721"/>
              <w:snapToGrid w:val="0"/>
              <w:spacing w:line="240" w:lineRule="auto"/>
              <w:ind w:firstLine="0" w:firstLineChars="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户 名：浙江广通工程咨询有限公司</w:t>
            </w:r>
          </w:p>
          <w:p>
            <w:pPr>
              <w:pStyle w:val="721"/>
              <w:snapToGrid w:val="0"/>
              <w:spacing w:line="240" w:lineRule="auto"/>
              <w:ind w:firstLine="0" w:firstLineChars="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账号:19036101040034674</w:t>
            </w:r>
          </w:p>
          <w:p>
            <w:pPr>
              <w:pStyle w:val="721"/>
              <w:snapToGrid w:val="0"/>
              <w:spacing w:line="240" w:lineRule="auto"/>
              <w:ind w:firstLine="0" w:firstLineChars="0"/>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28"/>
                <w:sz w:val="24"/>
                <w:highlight w:val="none"/>
              </w:rPr>
              <w:t>开户银行:中国农业银行杭州延安路支行</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1"/>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2"/>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outlineLvl w:val="2"/>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outlineLvl w:val="3"/>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outlineLvl w:val="3"/>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outlineLvl w:val="3"/>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outlineLvl w:val="3"/>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outlineLvl w:val="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outlineLvl w:val="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outlineLvl w:val="3"/>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outlineLvl w:val="4"/>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outlineLvl w:val="3"/>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outlineLvl w:val="2"/>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outlineLvl w:val="3"/>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outlineLvl w:val="4"/>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outlineLvl w:val="3"/>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outlineLvl w:val="3"/>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outlineLvl w:val="2"/>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outlineLvl w:val="2"/>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28"/>
        <w:spacing w:before="0"/>
        <w:ind w:firstLine="480"/>
        <w:outlineLvl w:val="3"/>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28"/>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outlineLvl w:val="2"/>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outlineLvl w:val="3"/>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outlineLvl w:val="2"/>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outlineLvl w:val="2"/>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8"/>
        <w:snapToGrid w:val="0"/>
        <w:spacing w:before="0"/>
        <w:ind w:firstLine="480"/>
        <w:outlineLvl w:val="2"/>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outlineLvl w:val="2"/>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5236290"/>
      <w:bookmarkEnd w:id="16"/>
      <w:bookmarkStart w:id="17" w:name="_Hlt74730295"/>
      <w:bookmarkEnd w:id="17"/>
      <w:bookmarkStart w:id="18" w:name="_Hlt75236101"/>
      <w:bookmarkEnd w:id="18"/>
      <w:bookmarkStart w:id="19" w:name="_Hlt74714665"/>
      <w:bookmarkEnd w:id="19"/>
      <w:bookmarkStart w:id="20" w:name="_Hlt68073093"/>
      <w:bookmarkEnd w:id="20"/>
      <w:bookmarkStart w:id="21" w:name="_Hlt74729768"/>
      <w:bookmarkEnd w:id="21"/>
      <w:bookmarkStart w:id="22" w:name="_Hlt75236011"/>
      <w:bookmarkEnd w:id="22"/>
      <w:bookmarkStart w:id="23" w:name="_Hlt74707468"/>
      <w:bookmarkEnd w:id="23"/>
      <w:bookmarkStart w:id="24" w:name="_Hlt68057669"/>
      <w:bookmarkEnd w:id="24"/>
      <w:bookmarkStart w:id="25" w:name="_Hlt68072990"/>
      <w:bookmarkEnd w:id="25"/>
      <w:bookmarkStart w:id="26" w:name="_Hlt68403820"/>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kern w:val="0"/>
          <w:sz w:val="24"/>
          <w:szCs w:val="24"/>
          <w:highlight w:val="none"/>
          <w:lang w:val="en-US" w:eastAsia="zh-CN" w:bidi="ar-SA"/>
        </w:rPr>
      </w:pPr>
      <w:bookmarkStart w:id="28" w:name="_Toc437617083"/>
      <w:r>
        <w:rPr>
          <w:rFonts w:hint="eastAsia" w:ascii="仿宋" w:hAnsi="仿宋" w:eastAsia="仿宋" w:cs="仿宋"/>
          <w:b/>
          <w:bCs/>
          <w:color w:val="auto"/>
          <w:kern w:val="0"/>
          <w:sz w:val="24"/>
          <w:szCs w:val="24"/>
          <w:highlight w:val="none"/>
          <w:lang w:val="en-US" w:eastAsia="zh-CN" w:bidi="ar-SA"/>
        </w:rPr>
        <w:t>一、概述</w:t>
      </w:r>
      <w:bookmarkEnd w:id="28"/>
    </w:p>
    <w:p>
      <w:pPr>
        <w:pStyle w:val="7"/>
        <w:spacing w:line="360" w:lineRule="auto"/>
        <w:ind w:left="0" w:leftChars="0" w:firstLine="0" w:firstLineChars="0"/>
        <w:rPr>
          <w:rFonts w:hint="eastAsia" w:hAnsi="宋体" w:eastAsia="宋体" w:cs="宋体"/>
          <w:bCs/>
          <w:snapToGrid/>
          <w:color w:val="auto"/>
          <w:kern w:val="2"/>
          <w:sz w:val="24"/>
          <w:szCs w:val="24"/>
          <w:highlight w:val="none"/>
          <w:lang w:eastAsia="zh-CN"/>
        </w:rPr>
      </w:pPr>
      <w:bookmarkStart w:id="29" w:name="_Toc437617084"/>
      <w:r>
        <w:rPr>
          <w:rFonts w:hint="eastAsia" w:hAnsi="宋体" w:cs="宋体"/>
          <w:bCs/>
          <w:snapToGrid/>
          <w:color w:val="auto"/>
          <w:kern w:val="2"/>
          <w:sz w:val="24"/>
          <w:szCs w:val="24"/>
          <w:highlight w:val="none"/>
          <w:lang w:eastAsia="zh-CN"/>
        </w:rPr>
        <w:t xml:space="preserve">杭州市拱墅区人民政府祥符街道办事处2025年市场监管服务（重新招标） </w:t>
      </w:r>
      <w:r>
        <w:rPr>
          <w:rFonts w:hint="eastAsia" w:hAnsi="宋体" w:cs="宋体"/>
          <w:bCs/>
          <w:snapToGrid/>
          <w:color w:val="auto"/>
          <w:kern w:val="2"/>
          <w:sz w:val="24"/>
          <w:szCs w:val="24"/>
          <w:highlight w:val="none"/>
        </w:rPr>
        <w:t xml:space="preserve">主要内容： </w:t>
      </w:r>
    </w:p>
    <w:p>
      <w:pPr>
        <w:pStyle w:val="7"/>
        <w:spacing w:line="360" w:lineRule="auto"/>
        <w:ind w:left="0" w:leftChars="0" w:firstLine="0" w:firstLineChars="0"/>
        <w:outlineLvl w:val="2"/>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（1）协助开展宣传教育、文字信息、档案管理、后勤保障等工作；</w:t>
      </w:r>
    </w:p>
    <w:p>
      <w:pPr>
        <w:pStyle w:val="7"/>
        <w:spacing w:line="360" w:lineRule="auto"/>
        <w:ind w:left="0" w:leftChars="0" w:firstLine="0" w:firstLineChars="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（2）协助开展市场主体行政审批、行政许可、年报、解答咨询等窗口服务工作；</w:t>
      </w:r>
    </w:p>
    <w:p>
      <w:pPr>
        <w:pStyle w:val="7"/>
        <w:spacing w:line="360" w:lineRule="auto"/>
        <w:ind w:left="0" w:leftChars="0" w:firstLine="0" w:firstLineChars="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（3）协助执法人员开展食品、药品、特种设备、产品质量、广告、合同、知识产权、价格等日常监管和服务工作；</w:t>
      </w:r>
    </w:p>
    <w:p>
      <w:pPr>
        <w:pStyle w:val="7"/>
        <w:spacing w:line="360" w:lineRule="auto"/>
        <w:ind w:left="0" w:leftChars="0" w:firstLine="0" w:firstLineChars="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（4）协助执法人员开展执法相关工作，按规定协助对涉案物品进行处理。</w:t>
      </w:r>
    </w:p>
    <w:p>
      <w:pPr>
        <w:pStyle w:val="7"/>
        <w:spacing w:line="360" w:lineRule="auto"/>
        <w:ind w:left="0" w:leftChars="0" w:firstLine="0" w:firstLineChars="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（5）协助执法人员预防和劝阻违法行为，协助完成各类专项整治工作；</w:t>
      </w:r>
    </w:p>
    <w:p>
      <w:pPr>
        <w:pStyle w:val="7"/>
        <w:spacing w:line="360" w:lineRule="auto"/>
        <w:ind w:left="0" w:leftChars="0" w:firstLine="0" w:firstLineChars="0"/>
        <w:rPr>
          <w:rFonts w:hint="eastAsia" w:asciiTheme="minorEastAsia" w:hAnsiTheme="minorEastAsia" w:eastAsiaTheme="minorEastAsia"/>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rPr>
        <w:t>（6）协助处理各类消费者投诉（纠纷），维护消费者合法权益；</w:t>
      </w:r>
    </w:p>
    <w:p>
      <w:pPr>
        <w:pStyle w:val="7"/>
        <w:spacing w:line="360" w:lineRule="auto"/>
        <w:ind w:left="0" w:leftChars="0" w:firstLine="0" w:firstLineChars="0"/>
        <w:rPr>
          <w:rFonts w:hint="eastAsia" w:ascii="仿宋" w:hAnsi="仿宋" w:eastAsia="仿宋" w:cs="仿宋"/>
          <w:color w:val="auto"/>
          <w:kern w:val="0"/>
          <w:sz w:val="24"/>
          <w:highlight w:val="none"/>
        </w:rPr>
      </w:pPr>
      <w:r>
        <w:rPr>
          <w:rFonts w:hint="eastAsia" w:asciiTheme="minorEastAsia" w:hAnsiTheme="minorEastAsia" w:eastAsiaTheme="minorEastAsia"/>
          <w:snapToGrid/>
          <w:color w:val="auto"/>
          <w:kern w:val="2"/>
          <w:sz w:val="24"/>
          <w:szCs w:val="24"/>
          <w:highlight w:val="none"/>
        </w:rPr>
        <w:t>（7）完成交办的其他工作。</w:t>
      </w:r>
      <w:r>
        <w:rPr>
          <w:rFonts w:hint="eastAsia" w:ascii="仿宋" w:hAnsi="仿宋" w:eastAsia="仿宋" w:cs="仿宋"/>
          <w:color w:val="auto"/>
          <w:kern w:val="0"/>
          <w:sz w:val="24"/>
          <w:highlight w:val="none"/>
          <w:lang w:val="en-US" w:eastAsia="zh-CN"/>
        </w:rPr>
        <w:t xml:space="preserve">   </w:t>
      </w:r>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bidi="ar-SA"/>
        </w:rPr>
        <w:t>二、服务期</w:t>
      </w:r>
      <w:bookmarkEnd w:id="29"/>
      <w:r>
        <w:rPr>
          <w:rFonts w:hint="eastAsia" w:ascii="仿宋" w:hAnsi="仿宋" w:eastAsia="仿宋" w:cs="仿宋"/>
          <w:b/>
          <w:bCs/>
          <w:color w:val="auto"/>
          <w:kern w:val="0"/>
          <w:sz w:val="24"/>
          <w:szCs w:val="24"/>
          <w:highlight w:val="none"/>
          <w:lang w:val="en-US" w:eastAsia="zh-CN" w:bidi="ar-SA"/>
        </w:rPr>
        <w:t>及服务人员：</w:t>
      </w:r>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本项目服务期均为2025年全年，2025年1月1日至2025年12月31日。</w:t>
      </w:r>
      <w:bookmarkStart w:id="30" w:name="_Toc437617085"/>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2"/>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（1）本项目岗位数暂定</w:t>
      </w:r>
      <w:r>
        <w:rPr>
          <w:rFonts w:hint="eastAsia" w:cs="Times New Roman" w:asciiTheme="minorEastAsia" w:hAnsiTheme="minorEastAsia" w:eastAsiaTheme="minorEastAsia"/>
          <w:b/>
          <w:bCs/>
          <w:snapToGrid/>
          <w:color w:val="auto"/>
          <w:kern w:val="2"/>
          <w:sz w:val="24"/>
          <w:szCs w:val="24"/>
          <w:highlight w:val="none"/>
          <w:lang w:val="en-US" w:eastAsia="zh-CN" w:bidi="ar-SA"/>
        </w:rPr>
        <w:t>22岗，根据采购人需求增减</w:t>
      </w:r>
      <w:r>
        <w:rPr>
          <w:rFonts w:hint="eastAsia" w:cs="Times New Roman" w:asciiTheme="minorEastAsia" w:hAnsiTheme="minorEastAsia" w:eastAsiaTheme="minorEastAsia"/>
          <w:b w:val="0"/>
          <w:bCs w:val="0"/>
          <w:snapToGrid/>
          <w:color w:val="auto"/>
          <w:kern w:val="2"/>
          <w:sz w:val="24"/>
          <w:szCs w:val="24"/>
          <w:highlight w:val="none"/>
          <w:lang w:val="en-US" w:eastAsia="zh-CN" w:bidi="ar-SA"/>
        </w:rPr>
        <w:t>：</w:t>
      </w:r>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2"/>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（2）岗位学历要求：大专以上学历；</w:t>
      </w:r>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三、服务范围</w:t>
      </w:r>
      <w:bookmarkEnd w:id="30"/>
      <w:r>
        <w:rPr>
          <w:rFonts w:hint="eastAsia" w:ascii="仿宋" w:hAnsi="仿宋" w:eastAsia="仿宋" w:cs="仿宋"/>
          <w:b/>
          <w:bCs/>
          <w:color w:val="auto"/>
          <w:kern w:val="0"/>
          <w:sz w:val="24"/>
          <w:szCs w:val="24"/>
          <w:highlight w:val="none"/>
          <w:lang w:val="en-US" w:eastAsia="zh-CN" w:bidi="ar-SA"/>
        </w:rPr>
        <w:t>：</w:t>
      </w:r>
      <w:r>
        <w:rPr>
          <w:rFonts w:hint="eastAsia" w:ascii="仿宋" w:eastAsia="仿宋" w:cs="仿宋"/>
          <w:b w:val="0"/>
          <w:bCs w:val="0"/>
          <w:color w:val="auto"/>
          <w:kern w:val="0"/>
          <w:sz w:val="24"/>
          <w:szCs w:val="24"/>
          <w:highlight w:val="none"/>
          <w:lang w:val="en-US" w:eastAsia="zh-CN" w:bidi="ar-SA"/>
        </w:rPr>
        <w:t>按</w:t>
      </w:r>
      <w:r>
        <w:rPr>
          <w:rFonts w:hint="eastAsia" w:ascii="仿宋" w:hAnsi="仿宋" w:eastAsia="仿宋" w:cs="仿宋"/>
          <w:b w:val="0"/>
          <w:bCs w:val="0"/>
          <w:color w:val="auto"/>
          <w:kern w:val="0"/>
          <w:sz w:val="24"/>
          <w:highlight w:val="none"/>
          <w:lang w:eastAsia="zh-CN"/>
        </w:rPr>
        <w:t>采购人</w:t>
      </w:r>
      <w:r>
        <w:rPr>
          <w:rFonts w:hint="eastAsia" w:ascii="仿宋" w:hAnsi="仿宋" w:eastAsia="仿宋" w:cs="仿宋"/>
          <w:b w:val="0"/>
          <w:bCs w:val="0"/>
          <w:color w:val="auto"/>
          <w:kern w:val="0"/>
          <w:sz w:val="24"/>
          <w:highlight w:val="none"/>
        </w:rPr>
        <w:t>安排</w:t>
      </w:r>
      <w:r>
        <w:rPr>
          <w:rFonts w:hint="eastAsia" w:ascii="仿宋" w:hAnsi="仿宋" w:eastAsia="仿宋" w:cs="仿宋"/>
          <w:b w:val="0"/>
          <w:bCs w:val="0"/>
          <w:color w:val="auto"/>
          <w:kern w:val="0"/>
          <w:sz w:val="24"/>
          <w:szCs w:val="24"/>
          <w:highlight w:val="none"/>
          <w:lang w:val="en-US" w:eastAsia="zh-CN" w:bidi="ar-SA"/>
        </w:rPr>
        <w:t>。</w:t>
      </w:r>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2"/>
        <w:rPr>
          <w:rFonts w:hint="eastAsia" w:cs="Times New Roman" w:asciiTheme="minorEastAsia" w:hAnsiTheme="minorEastAsia" w:eastAsiaTheme="minorEastAsia"/>
          <w:b w:val="0"/>
          <w:bCs w:val="0"/>
          <w:snapToGrid/>
          <w:color w:val="auto"/>
          <w:kern w:val="2"/>
          <w:sz w:val="24"/>
          <w:szCs w:val="24"/>
          <w:highlight w:val="none"/>
          <w:lang w:val="en-US" w:eastAsia="zh-CN" w:bidi="ar-SA"/>
        </w:rPr>
      </w:pPr>
      <w:bookmarkStart w:id="31" w:name="_Toc437617086"/>
      <w:r>
        <w:rPr>
          <w:rFonts w:hint="eastAsia" w:cs="Times New Roman" w:asciiTheme="minorEastAsia" w:hAnsiTheme="minorEastAsia" w:eastAsiaTheme="minorEastAsia"/>
          <w:b w:val="0"/>
          <w:bCs w:val="0"/>
          <w:snapToGrid/>
          <w:color w:val="auto"/>
          <w:kern w:val="2"/>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bidi="ar-SA"/>
        </w:rPr>
        <w:t>四、招标需求（服务要求）</w:t>
      </w:r>
      <w:bookmarkEnd w:id="31"/>
    </w:p>
    <w:p>
      <w:pPr>
        <w:adjustRightInd w:val="0"/>
        <w:snapToGrid w:val="0"/>
        <w:spacing w:line="360" w:lineRule="auto"/>
        <w:ind w:firstLine="470" w:firstLineChars="196"/>
        <w:rPr>
          <w:rFonts w:hint="eastAsia" w:cs="Times New Roman" w:asciiTheme="minorEastAsia" w:hAnsiTheme="minorEastAsia" w:eastAsiaTheme="minorEastAsia"/>
          <w:snapToGrid/>
          <w:color w:val="auto"/>
          <w:kern w:val="2"/>
          <w:sz w:val="24"/>
          <w:szCs w:val="24"/>
          <w:highlight w:val="none"/>
          <w:lang w:val="en-US" w:eastAsia="zh-CN" w:bidi="ar-SA"/>
        </w:rPr>
      </w:pPr>
      <w:r>
        <w:rPr>
          <w:rFonts w:hint="eastAsia" w:cs="Times New Roman" w:asciiTheme="minorEastAsia" w:hAnsiTheme="minorEastAsia" w:eastAsiaTheme="minorEastAsia"/>
          <w:snapToGrid/>
          <w:color w:val="auto"/>
          <w:kern w:val="2"/>
          <w:sz w:val="24"/>
          <w:szCs w:val="24"/>
          <w:highlight w:val="none"/>
          <w:lang w:val="en-US" w:eastAsia="zh-CN" w:bidi="ar-SA"/>
        </w:rPr>
        <w:t>1、岗位时间要求：中标人应确保本项目每个岗位每周有5天人员在岗，每天有8小时人员在岗（具体时间由采购人安排）。</w:t>
      </w:r>
    </w:p>
    <w:p>
      <w:pPr>
        <w:spacing w:line="360" w:lineRule="auto"/>
        <w:ind w:firstLine="480" w:firstLineChars="200"/>
        <w:outlineLvl w:val="2"/>
        <w:rPr>
          <w:rFonts w:hint="eastAsia" w:cs="Times New Roman" w:asciiTheme="minorEastAsia" w:hAnsiTheme="minorEastAsia" w:eastAsiaTheme="minorEastAsia"/>
          <w:snapToGrid/>
          <w:color w:val="auto"/>
          <w:kern w:val="2"/>
          <w:sz w:val="24"/>
          <w:szCs w:val="24"/>
          <w:highlight w:val="none"/>
          <w:lang w:val="en-US" w:eastAsia="zh-CN" w:bidi="ar-SA"/>
        </w:rPr>
      </w:pPr>
      <w:r>
        <w:rPr>
          <w:rFonts w:hint="eastAsia" w:cs="Times New Roman" w:asciiTheme="minorEastAsia" w:hAnsiTheme="minorEastAsia" w:eastAsiaTheme="minorEastAsia"/>
          <w:snapToGrid/>
          <w:color w:val="auto"/>
          <w:kern w:val="2"/>
          <w:sz w:val="24"/>
          <w:szCs w:val="24"/>
          <w:highlight w:val="none"/>
          <w:lang w:val="en-US" w:eastAsia="zh-CN" w:bidi="ar-SA"/>
        </w:rPr>
        <w:t>2、投标报价包括以下内容：</w:t>
      </w:r>
    </w:p>
    <w:p>
      <w:pPr>
        <w:spacing w:line="360" w:lineRule="auto"/>
        <w:rPr>
          <w:rFonts w:hint="eastAsia" w:cs="Times New Roman" w:asciiTheme="minorEastAsia" w:hAnsiTheme="minorEastAsia" w:eastAsiaTheme="minorEastAsia"/>
          <w:snapToGrid/>
          <w:color w:val="auto"/>
          <w:kern w:val="2"/>
          <w:sz w:val="24"/>
          <w:szCs w:val="24"/>
          <w:highlight w:val="none"/>
          <w:lang w:val="en-US" w:eastAsia="zh-CN" w:bidi="ar-SA"/>
        </w:rPr>
      </w:pPr>
      <w:r>
        <w:rPr>
          <w:rFonts w:hint="eastAsia" w:cs="Times New Roman" w:asciiTheme="minorEastAsia" w:hAnsiTheme="minorEastAsia" w:eastAsiaTheme="minorEastAsia"/>
          <w:snapToGrid/>
          <w:color w:val="auto"/>
          <w:kern w:val="2"/>
          <w:sz w:val="24"/>
          <w:szCs w:val="24"/>
          <w:highlight w:val="none"/>
          <w:lang w:val="en-US" w:eastAsia="zh-CN" w:bidi="ar-SA"/>
        </w:rPr>
        <w:t xml:space="preserve">    本项目投标报价为365日历天（年度）服务费报价，即固定总价承包。投标报价包括完成各招项目下全部工作所需的一切费用，包括但不限于：人工成本（人员工资、奖金、法定节假日各种加班费、夜餐费、法定五险一金等），服装费、材料费，交通设备、办公设备和设施、装备等费用，安全措施、劳动保护费，其他相关费用，各种管理费用、税费、利润、风险费用及完成合同所需的一切费用。</w:t>
      </w:r>
    </w:p>
    <w:p>
      <w:pPr>
        <w:spacing w:line="360" w:lineRule="auto"/>
        <w:ind w:firstLine="480" w:firstLineChars="200"/>
        <w:rPr>
          <w:rFonts w:hint="eastAsia" w:cs="Times New Roman" w:asciiTheme="minorEastAsia" w:hAnsiTheme="minorEastAsia" w:eastAsiaTheme="minorEastAsia"/>
          <w:snapToGrid/>
          <w:color w:val="auto"/>
          <w:kern w:val="2"/>
          <w:sz w:val="24"/>
          <w:szCs w:val="24"/>
          <w:highlight w:val="none"/>
          <w:lang w:val="en-US" w:eastAsia="zh-CN" w:bidi="ar-SA"/>
        </w:rPr>
      </w:pPr>
      <w:r>
        <w:rPr>
          <w:rFonts w:hint="eastAsia" w:cs="Times New Roman" w:asciiTheme="minorEastAsia" w:hAnsiTheme="minorEastAsia" w:eastAsiaTheme="minorEastAsia"/>
          <w:snapToGrid/>
          <w:color w:val="auto"/>
          <w:kern w:val="2"/>
          <w:sz w:val="24"/>
          <w:szCs w:val="24"/>
          <w:highlight w:val="none"/>
          <w:lang w:val="en-US" w:eastAsia="zh-CN" w:bidi="ar-SA"/>
        </w:rPr>
        <w:t>本项目报价为包干报价，在合同约定的整个年度内，合同价不予调整。</w:t>
      </w:r>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kern w:val="0"/>
          <w:sz w:val="24"/>
          <w:szCs w:val="24"/>
          <w:highlight w:val="none"/>
          <w:lang w:val="en-US" w:eastAsia="zh-CN" w:bidi="ar-SA"/>
        </w:rPr>
      </w:pPr>
      <w:bookmarkStart w:id="32" w:name="_Toc437617087"/>
      <w:r>
        <w:rPr>
          <w:rFonts w:hint="eastAsia" w:ascii="仿宋" w:hAnsi="仿宋" w:eastAsia="仿宋" w:cs="仿宋"/>
          <w:b/>
          <w:bCs/>
          <w:color w:val="auto"/>
          <w:kern w:val="0"/>
          <w:sz w:val="24"/>
          <w:szCs w:val="24"/>
          <w:highlight w:val="none"/>
          <w:lang w:val="en-US" w:eastAsia="zh-CN" w:bidi="ar-SA"/>
        </w:rPr>
        <w:t>五、其他基本要求</w:t>
      </w:r>
      <w:bookmarkEnd w:id="32"/>
    </w:p>
    <w:p>
      <w:pPr>
        <w:spacing w:line="360" w:lineRule="auto"/>
        <w:ind w:firstLine="480" w:firstLineChars="200"/>
        <w:outlineLvl w:val="2"/>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1、人员要求</w:t>
      </w:r>
    </w:p>
    <w:p>
      <w:pPr>
        <w:adjustRightInd w:val="0"/>
        <w:snapToGrid w:val="0"/>
        <w:spacing w:line="360" w:lineRule="auto"/>
        <w:ind w:firstLine="470" w:firstLineChars="196"/>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（1）人员：具备吃苦耐劳、工作认真仔细、能满足本岗位要求、身体健康。具有大专以上学历。</w:t>
      </w:r>
    </w:p>
    <w:p>
      <w:pPr>
        <w:spacing w:line="360" w:lineRule="auto"/>
        <w:ind w:firstLine="480" w:firstLineChars="20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（2）未经招标人同意，中标人不得在合同期限内将本服务项目转包。</w:t>
      </w:r>
    </w:p>
    <w:p>
      <w:pPr>
        <w:spacing w:line="360" w:lineRule="auto"/>
        <w:ind w:firstLine="480" w:firstLineChars="20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2、中标人有责任配合招标人接受上级领导部门的监督、检查，提供必须的资料。</w:t>
      </w:r>
    </w:p>
    <w:p>
      <w:pPr>
        <w:spacing w:line="360" w:lineRule="auto"/>
        <w:ind w:firstLine="480" w:firstLineChars="20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3、中标人自行负责其招聘员工的一切工资、福利、社会保险等，如发生工伤、疾病乃至死亡的一切责任及费用由中标人全部负责。中标人应严格遵守国家有关的法律、法规要求的标准。如应中标人原因造成第三方损失的，一切责任及费用由中标人负全责。</w:t>
      </w:r>
    </w:p>
    <w:p>
      <w:pPr>
        <w:spacing w:line="360" w:lineRule="auto"/>
        <w:ind w:firstLine="480" w:firstLineChars="20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4、全部服务人员的工作时间应严格按照国家有关法律法规及行业标准执行，因工作原因产生的加班（含节日加班）应严格按国家有关法律、法规要求标准给付员工加班薪资（加班费用等已含在投标总报价中，不得再向杭州市拱墅区人民政府祥符街道办事处索取额外加班薪资）。</w:t>
      </w:r>
    </w:p>
    <w:p>
      <w:pPr>
        <w:spacing w:line="360" w:lineRule="auto"/>
        <w:ind w:firstLine="480" w:firstLineChars="200"/>
        <w:outlineLvl w:val="2"/>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5、所有员工都必须体检，合格可上岗（费用由中标人负责）。</w:t>
      </w:r>
    </w:p>
    <w:p>
      <w:pPr>
        <w:spacing w:line="360" w:lineRule="auto"/>
        <w:ind w:firstLine="480" w:firstLineChars="20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6、招标人不接受投标人任何因遗漏报价而发生的费用追加，因中标人违反《劳动法》等法律法规而造成 杭州市拱墅区人民政府祥符街道办事处的连带责任和损失全部由中标人承担。</w:t>
      </w:r>
    </w:p>
    <w:p>
      <w:pPr>
        <w:spacing w:line="360" w:lineRule="auto"/>
        <w:ind w:firstLine="480" w:firstLineChars="20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7、中标人须认真履行职责，员工按照服务协议中的质量保证体系做好服务范围内的承包服务工作。确保在岗在位，各尽其职，保证符合招标人的各项服务要求和服务质量标准。投标人提供重大节日、活动的配合工作方案。</w:t>
      </w:r>
    </w:p>
    <w:p>
      <w:pPr>
        <w:spacing w:line="360" w:lineRule="auto"/>
        <w:ind w:firstLine="480" w:firstLineChars="20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8、中标人应保证在承包期内拟派本项目的员工相对较优的工资福利待遇。最低月工资标准不低于杭州市最低标准。也不得以报价优惠为理由而降低人员的工资待遇。</w:t>
      </w:r>
    </w:p>
    <w:p>
      <w:pPr>
        <w:pStyle w:val="61"/>
        <w:ind w:left="0" w:leftChars="0" w:firstLine="48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11、中标人承诺在承包期结束后在新服务单位人员正式到岗前，中标人仍应按本招标文件约定的内容完成相关工作，期间产生的费用按本招标文件约定的标准据实结算。</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w:t>
      </w:r>
      <w:r>
        <w:rPr>
          <w:rFonts w:hint="eastAsia" w:cs="Times New Roman" w:asciiTheme="minorEastAsia" w:hAnsiTheme="minorEastAsia" w:eastAsiaTheme="minorEastAsia"/>
          <w:b/>
          <w:bCs/>
          <w:snapToGrid/>
          <w:color w:val="auto"/>
          <w:kern w:val="2"/>
          <w:sz w:val="24"/>
          <w:szCs w:val="24"/>
          <w:highlight w:val="none"/>
          <w:lang w:val="en-US" w:eastAsia="zh-CN" w:bidi="ar-SA"/>
        </w:rPr>
        <w:t>12、服务周期从2025年1月1日至2025年12月31日结束；2025年1月1日至本服务合同签订日期间为服务空档期，服务空档期由原服务单位实施，费用由中标供应商按本次招标中标价，结合实际服务天数及人数，扣除考核违约金后，与原服务单位进行结算 。</w:t>
      </w:r>
    </w:p>
    <w:p>
      <w:pPr>
        <w:spacing w:line="360" w:lineRule="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p>
      <w:pPr>
        <w:widowControl/>
        <w:ind w:firstLine="720" w:firstLineChars="300"/>
        <w:jc w:val="left"/>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p>
      <w:pP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p>
      <w:pPr>
        <w:spacing w:line="360" w:lineRule="auto"/>
        <w:jc w:val="center"/>
        <w:outlineLvl w:val="0"/>
        <w:rPr>
          <w:rFonts w:hint="eastAsia" w:cs="Times New Roman" w:asciiTheme="minorEastAsia" w:hAnsiTheme="minorEastAsia" w:eastAsiaTheme="minorEastAsia"/>
          <w:b/>
          <w:bCs/>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br w:type="page"/>
      </w:r>
      <w:r>
        <w:rPr>
          <w:rFonts w:hint="eastAsia" w:cs="Times New Roman" w:asciiTheme="minorEastAsia" w:hAnsiTheme="minorEastAsia" w:eastAsiaTheme="minorEastAsia"/>
          <w:b/>
          <w:bCs/>
          <w:snapToGrid/>
          <w:color w:val="auto"/>
          <w:kern w:val="2"/>
          <w:sz w:val="24"/>
          <w:szCs w:val="24"/>
          <w:highlight w:val="none"/>
          <w:lang w:val="en-US" w:eastAsia="zh-CN" w:bidi="ar-SA"/>
        </w:rPr>
        <w:t xml:space="preserve">第四部分   </w:t>
      </w:r>
      <w:bookmarkStart w:id="33" w:name="_Toc184310302"/>
      <w:bookmarkEnd w:id="33"/>
      <w:bookmarkStart w:id="34" w:name="_Toc184314457"/>
      <w:bookmarkEnd w:id="34"/>
      <w:bookmarkStart w:id="35" w:name="_Toc184312096"/>
      <w:bookmarkEnd w:id="35"/>
      <w:bookmarkStart w:id="36" w:name="_Toc184312130"/>
      <w:bookmarkEnd w:id="36"/>
      <w:bookmarkStart w:id="37" w:name="_Toc184308087"/>
      <w:bookmarkEnd w:id="37"/>
      <w:bookmarkStart w:id="38" w:name="_Toc184308067"/>
      <w:bookmarkEnd w:id="38"/>
      <w:bookmarkStart w:id="39" w:name="_Toc184312101"/>
      <w:bookmarkEnd w:id="39"/>
      <w:bookmarkStart w:id="40" w:name="_Toc184314433"/>
      <w:bookmarkEnd w:id="40"/>
      <w:bookmarkStart w:id="41" w:name="_Toc184312116"/>
      <w:bookmarkEnd w:id="41"/>
      <w:bookmarkStart w:id="42" w:name="_Toc184310283"/>
      <w:bookmarkEnd w:id="42"/>
      <w:bookmarkStart w:id="43" w:name="_Toc184308055"/>
      <w:bookmarkEnd w:id="43"/>
      <w:bookmarkStart w:id="44" w:name="_Toc184313281"/>
      <w:bookmarkEnd w:id="44"/>
      <w:bookmarkStart w:id="45" w:name="_Toc184313267"/>
      <w:bookmarkEnd w:id="45"/>
      <w:bookmarkStart w:id="46" w:name="_Toc184314416"/>
      <w:bookmarkEnd w:id="46"/>
      <w:bookmarkStart w:id="47" w:name="_Toc184314444"/>
      <w:bookmarkEnd w:id="47"/>
      <w:bookmarkStart w:id="48" w:name="_Toc184310275"/>
      <w:bookmarkEnd w:id="48"/>
      <w:bookmarkStart w:id="49" w:name="_Toc184310323"/>
      <w:bookmarkEnd w:id="49"/>
      <w:bookmarkStart w:id="50" w:name="_Toc184314412"/>
      <w:bookmarkEnd w:id="50"/>
      <w:bookmarkStart w:id="51" w:name="_Toc184308038"/>
      <w:bookmarkEnd w:id="51"/>
      <w:bookmarkStart w:id="52" w:name="_Toc184313238"/>
      <w:bookmarkEnd w:id="52"/>
      <w:bookmarkStart w:id="53" w:name="_Toc184310297"/>
      <w:bookmarkEnd w:id="53"/>
      <w:bookmarkStart w:id="54" w:name="_Toc184313289"/>
      <w:bookmarkEnd w:id="54"/>
      <w:bookmarkStart w:id="55" w:name="_Toc184314436"/>
      <w:bookmarkEnd w:id="55"/>
      <w:bookmarkStart w:id="56" w:name="_Toc184308064"/>
      <w:bookmarkEnd w:id="56"/>
      <w:bookmarkStart w:id="57" w:name="_Toc184310314"/>
      <w:bookmarkEnd w:id="57"/>
      <w:bookmarkStart w:id="58" w:name="_Toc184314438"/>
      <w:bookmarkEnd w:id="58"/>
      <w:bookmarkStart w:id="59" w:name="_Toc184312080"/>
      <w:bookmarkEnd w:id="59"/>
      <w:bookmarkStart w:id="60" w:name="_Toc184310293"/>
      <w:bookmarkEnd w:id="60"/>
      <w:bookmarkStart w:id="61" w:name="_Toc184308061"/>
      <w:bookmarkEnd w:id="61"/>
      <w:bookmarkStart w:id="62" w:name="_Toc184312122"/>
      <w:bookmarkEnd w:id="62"/>
      <w:bookmarkStart w:id="63" w:name="_Toc184314471"/>
      <w:bookmarkEnd w:id="63"/>
      <w:bookmarkStart w:id="64" w:name="_Toc184314449"/>
      <w:bookmarkEnd w:id="64"/>
      <w:bookmarkStart w:id="65" w:name="_Toc184308060"/>
      <w:bookmarkEnd w:id="65"/>
      <w:bookmarkStart w:id="66" w:name="_Toc184308072"/>
      <w:bookmarkEnd w:id="66"/>
      <w:bookmarkStart w:id="67" w:name="_Toc184308075"/>
      <w:bookmarkEnd w:id="67"/>
      <w:bookmarkStart w:id="68" w:name="_Toc184313291"/>
      <w:bookmarkEnd w:id="68"/>
      <w:bookmarkStart w:id="69" w:name="_Toc184313299"/>
      <w:bookmarkEnd w:id="69"/>
      <w:bookmarkStart w:id="70" w:name="_Toc184308066"/>
      <w:bookmarkEnd w:id="70"/>
      <w:bookmarkStart w:id="71" w:name="_Toc184312124"/>
      <w:bookmarkEnd w:id="71"/>
      <w:bookmarkStart w:id="72" w:name="_Toc184314466"/>
      <w:bookmarkEnd w:id="72"/>
      <w:bookmarkStart w:id="73" w:name="_Toc184313250"/>
      <w:bookmarkEnd w:id="73"/>
      <w:bookmarkStart w:id="74" w:name="_Toc184310326"/>
      <w:bookmarkEnd w:id="74"/>
      <w:bookmarkStart w:id="75" w:name="_Toc184308058"/>
      <w:bookmarkEnd w:id="75"/>
      <w:bookmarkStart w:id="76" w:name="_Toc184308094"/>
      <w:bookmarkEnd w:id="76"/>
      <w:bookmarkStart w:id="77" w:name="_Toc184313245"/>
      <w:bookmarkEnd w:id="77"/>
      <w:bookmarkStart w:id="78" w:name="_Toc184308104"/>
      <w:bookmarkEnd w:id="78"/>
      <w:bookmarkStart w:id="79" w:name="_Toc184310290"/>
      <w:bookmarkEnd w:id="79"/>
      <w:bookmarkStart w:id="80" w:name="_Toc184310318"/>
      <w:bookmarkEnd w:id="80"/>
      <w:bookmarkStart w:id="81" w:name="_Toc184310331"/>
      <w:bookmarkEnd w:id="81"/>
      <w:bookmarkStart w:id="82" w:name="_Toc184312113"/>
      <w:bookmarkEnd w:id="82"/>
      <w:bookmarkStart w:id="83" w:name="_Toc184308047"/>
      <w:bookmarkEnd w:id="83"/>
      <w:bookmarkStart w:id="84" w:name="_Toc184308081"/>
      <w:bookmarkEnd w:id="84"/>
      <w:bookmarkStart w:id="85" w:name="_Toc184314429"/>
      <w:bookmarkEnd w:id="85"/>
      <w:bookmarkStart w:id="86" w:name="_Toc184314462"/>
      <w:bookmarkEnd w:id="86"/>
      <w:bookmarkStart w:id="87" w:name="_Toc184312084"/>
      <w:bookmarkEnd w:id="87"/>
      <w:bookmarkStart w:id="88" w:name="_Toc184313308"/>
      <w:bookmarkEnd w:id="88"/>
      <w:bookmarkStart w:id="89" w:name="_Toc184314437"/>
      <w:bookmarkEnd w:id="89"/>
      <w:bookmarkStart w:id="90" w:name="_Toc184312106"/>
      <w:bookmarkEnd w:id="90"/>
      <w:bookmarkStart w:id="91" w:name="_Toc184312132"/>
      <w:bookmarkEnd w:id="91"/>
      <w:bookmarkStart w:id="92" w:name="_Toc184308080"/>
      <w:bookmarkEnd w:id="92"/>
      <w:bookmarkStart w:id="93" w:name="_Toc184313257"/>
      <w:bookmarkEnd w:id="93"/>
      <w:bookmarkStart w:id="94" w:name="_Toc184310321"/>
      <w:bookmarkEnd w:id="94"/>
      <w:bookmarkStart w:id="95" w:name="_Toc184313279"/>
      <w:bookmarkEnd w:id="95"/>
      <w:bookmarkStart w:id="96" w:name="_Toc184312087"/>
      <w:bookmarkEnd w:id="96"/>
      <w:bookmarkStart w:id="97" w:name="_Toc184313265"/>
      <w:bookmarkEnd w:id="97"/>
      <w:bookmarkStart w:id="98" w:name="_Toc184313247"/>
      <w:bookmarkEnd w:id="98"/>
      <w:bookmarkStart w:id="99" w:name="_Toc184314431"/>
      <w:bookmarkEnd w:id="99"/>
      <w:bookmarkStart w:id="100" w:name="_Toc184314468"/>
      <w:bookmarkEnd w:id="100"/>
      <w:bookmarkStart w:id="101" w:name="_Toc184308069"/>
      <w:bookmarkEnd w:id="101"/>
      <w:bookmarkStart w:id="102" w:name="_Toc184312128"/>
      <w:bookmarkEnd w:id="102"/>
      <w:bookmarkStart w:id="103" w:name="_Toc184314453"/>
      <w:bookmarkEnd w:id="103"/>
      <w:bookmarkStart w:id="104" w:name="_Toc184313243"/>
      <w:bookmarkEnd w:id="104"/>
      <w:bookmarkStart w:id="105" w:name="_Toc184312127"/>
      <w:bookmarkEnd w:id="105"/>
      <w:bookmarkStart w:id="106" w:name="_Toc184314454"/>
      <w:bookmarkEnd w:id="106"/>
      <w:bookmarkStart w:id="107" w:name="_Toc184312092"/>
      <w:bookmarkEnd w:id="107"/>
      <w:bookmarkStart w:id="108" w:name="_Toc184312067"/>
      <w:bookmarkEnd w:id="108"/>
      <w:bookmarkStart w:id="109" w:name="_Toc184308056"/>
      <w:bookmarkEnd w:id="109"/>
      <w:bookmarkStart w:id="110" w:name="_Toc184314463"/>
      <w:bookmarkEnd w:id="110"/>
      <w:bookmarkStart w:id="111" w:name="_Toc184312120"/>
      <w:bookmarkEnd w:id="111"/>
      <w:bookmarkStart w:id="112" w:name="_Toc184314419"/>
      <w:bookmarkEnd w:id="112"/>
      <w:bookmarkStart w:id="113" w:name="_Toc184310279"/>
      <w:bookmarkEnd w:id="113"/>
      <w:bookmarkStart w:id="114" w:name="_Toc184312088"/>
      <w:bookmarkEnd w:id="114"/>
      <w:bookmarkStart w:id="115" w:name="_Toc184308057"/>
      <w:bookmarkEnd w:id="115"/>
      <w:bookmarkStart w:id="116" w:name="_Toc184308085"/>
      <w:bookmarkEnd w:id="116"/>
      <w:bookmarkStart w:id="117" w:name="_Toc184314425"/>
      <w:bookmarkEnd w:id="117"/>
      <w:bookmarkStart w:id="118" w:name="_Toc184308090"/>
      <w:bookmarkEnd w:id="118"/>
      <w:bookmarkStart w:id="119" w:name="_Toc184310311"/>
      <w:bookmarkEnd w:id="119"/>
      <w:bookmarkStart w:id="120" w:name="_Toc184312081"/>
      <w:bookmarkEnd w:id="120"/>
      <w:bookmarkStart w:id="121" w:name="_Toc184314456"/>
      <w:bookmarkEnd w:id="121"/>
      <w:bookmarkStart w:id="122" w:name="_Toc184312076"/>
      <w:bookmarkEnd w:id="122"/>
      <w:bookmarkStart w:id="123" w:name="_Toc184314474"/>
      <w:bookmarkEnd w:id="123"/>
      <w:bookmarkStart w:id="124" w:name="_Toc184310296"/>
      <w:bookmarkEnd w:id="124"/>
      <w:bookmarkStart w:id="125" w:name="_Toc184312114"/>
      <w:bookmarkEnd w:id="125"/>
      <w:bookmarkStart w:id="126" w:name="_Toc184312097"/>
      <w:bookmarkEnd w:id="126"/>
      <w:bookmarkStart w:id="127" w:name="_Toc184312137"/>
      <w:bookmarkEnd w:id="127"/>
      <w:bookmarkStart w:id="128" w:name="_Toc184313261"/>
      <w:bookmarkEnd w:id="128"/>
      <w:bookmarkStart w:id="129" w:name="_Toc184308105"/>
      <w:bookmarkEnd w:id="129"/>
      <w:bookmarkStart w:id="130" w:name="_Toc184312104"/>
      <w:bookmarkEnd w:id="130"/>
      <w:bookmarkStart w:id="131" w:name="_Toc184312108"/>
      <w:bookmarkEnd w:id="131"/>
      <w:bookmarkStart w:id="132" w:name="_Toc184312125"/>
      <w:bookmarkEnd w:id="132"/>
      <w:bookmarkStart w:id="133" w:name="_Toc184308077"/>
      <w:bookmarkEnd w:id="133"/>
      <w:bookmarkStart w:id="134" w:name="_Toc184314432"/>
      <w:bookmarkEnd w:id="134"/>
      <w:bookmarkStart w:id="135" w:name="_Toc184314469"/>
      <w:bookmarkEnd w:id="135"/>
      <w:bookmarkStart w:id="136" w:name="_Toc184313260"/>
      <w:bookmarkEnd w:id="136"/>
      <w:bookmarkStart w:id="137" w:name="_Toc184310277"/>
      <w:bookmarkEnd w:id="137"/>
      <w:bookmarkStart w:id="138" w:name="_Toc184310276"/>
      <w:bookmarkEnd w:id="138"/>
      <w:bookmarkStart w:id="139" w:name="_Toc184314446"/>
      <w:bookmarkEnd w:id="139"/>
      <w:bookmarkStart w:id="140" w:name="_Toc184314440"/>
      <w:bookmarkEnd w:id="140"/>
      <w:bookmarkStart w:id="141" w:name="_Toc184313283"/>
      <w:bookmarkEnd w:id="141"/>
      <w:bookmarkStart w:id="142" w:name="_Toc184310287"/>
      <w:bookmarkEnd w:id="142"/>
      <w:bookmarkStart w:id="143" w:name="_Toc184308091"/>
      <w:bookmarkEnd w:id="143"/>
      <w:bookmarkStart w:id="144" w:name="_Toc184308051"/>
      <w:bookmarkEnd w:id="144"/>
      <w:bookmarkStart w:id="145" w:name="_Toc184313249"/>
      <w:bookmarkEnd w:id="145"/>
      <w:bookmarkStart w:id="146" w:name="_Toc184313290"/>
      <w:bookmarkEnd w:id="146"/>
      <w:bookmarkStart w:id="147" w:name="_Toc184312123"/>
      <w:bookmarkEnd w:id="147"/>
      <w:bookmarkStart w:id="148" w:name="_Toc184312110"/>
      <w:bookmarkEnd w:id="148"/>
      <w:bookmarkStart w:id="149" w:name="_Toc184312068"/>
      <w:bookmarkEnd w:id="149"/>
      <w:bookmarkStart w:id="150" w:name="_Toc184308092"/>
      <w:bookmarkEnd w:id="150"/>
      <w:bookmarkStart w:id="151" w:name="_Toc184310291"/>
      <w:bookmarkEnd w:id="151"/>
      <w:bookmarkStart w:id="152" w:name="_Toc184314439"/>
      <w:bookmarkEnd w:id="152"/>
      <w:bookmarkStart w:id="153" w:name="_Toc184313285"/>
      <w:bookmarkEnd w:id="153"/>
      <w:bookmarkStart w:id="154" w:name="_Toc184313297"/>
      <w:bookmarkEnd w:id="154"/>
      <w:bookmarkStart w:id="155" w:name="_Toc184313263"/>
      <w:bookmarkEnd w:id="155"/>
      <w:bookmarkStart w:id="156" w:name="_Toc184312109"/>
      <w:bookmarkEnd w:id="156"/>
      <w:bookmarkStart w:id="157" w:name="_Toc184308042"/>
      <w:bookmarkEnd w:id="157"/>
      <w:bookmarkStart w:id="158" w:name="_Toc184308045"/>
      <w:bookmarkEnd w:id="158"/>
      <w:bookmarkStart w:id="159" w:name="_Toc184308049"/>
      <w:bookmarkEnd w:id="159"/>
      <w:bookmarkStart w:id="160" w:name="_Toc184310307"/>
      <w:bookmarkEnd w:id="160"/>
      <w:bookmarkStart w:id="161" w:name="_Toc184310278"/>
      <w:bookmarkEnd w:id="161"/>
      <w:bookmarkStart w:id="162" w:name="_Toc184308040"/>
      <w:bookmarkEnd w:id="162"/>
      <w:bookmarkStart w:id="163" w:name="_Toc184313269"/>
      <w:bookmarkEnd w:id="163"/>
      <w:bookmarkStart w:id="164" w:name="_Toc184313273"/>
      <w:bookmarkEnd w:id="164"/>
      <w:bookmarkStart w:id="165" w:name="_Toc184314461"/>
      <w:bookmarkEnd w:id="165"/>
      <w:bookmarkStart w:id="166" w:name="_Toc184312098"/>
      <w:bookmarkEnd w:id="166"/>
      <w:bookmarkStart w:id="167" w:name="_Toc184314458"/>
      <w:bookmarkEnd w:id="167"/>
      <w:bookmarkStart w:id="168" w:name="_Toc184314421"/>
      <w:bookmarkEnd w:id="168"/>
      <w:bookmarkStart w:id="169" w:name="_Toc184313258"/>
      <w:bookmarkEnd w:id="169"/>
      <w:bookmarkStart w:id="170" w:name="_Toc184313278"/>
      <w:bookmarkEnd w:id="170"/>
      <w:bookmarkStart w:id="171" w:name="_Toc184313287"/>
      <w:bookmarkEnd w:id="171"/>
      <w:bookmarkStart w:id="172" w:name="_Toc184313309"/>
      <w:bookmarkEnd w:id="172"/>
      <w:bookmarkStart w:id="173" w:name="_Toc184308106"/>
      <w:bookmarkEnd w:id="173"/>
      <w:bookmarkStart w:id="174" w:name="_Toc184314481"/>
      <w:bookmarkEnd w:id="174"/>
      <w:bookmarkStart w:id="175" w:name="_Toc184312117"/>
      <w:bookmarkEnd w:id="175"/>
      <w:bookmarkStart w:id="176" w:name="_Toc184312136"/>
      <w:bookmarkEnd w:id="176"/>
      <w:bookmarkStart w:id="177" w:name="_Toc184314452"/>
      <w:bookmarkEnd w:id="177"/>
      <w:bookmarkStart w:id="178" w:name="_Toc184313284"/>
      <w:bookmarkEnd w:id="178"/>
      <w:bookmarkStart w:id="179" w:name="_Toc184310325"/>
      <w:bookmarkEnd w:id="179"/>
      <w:bookmarkStart w:id="180" w:name="_Toc184308044"/>
      <w:bookmarkEnd w:id="180"/>
      <w:bookmarkStart w:id="181" w:name="_Toc184312077"/>
      <w:bookmarkEnd w:id="181"/>
      <w:bookmarkStart w:id="182" w:name="_Toc184312107"/>
      <w:bookmarkEnd w:id="182"/>
      <w:bookmarkStart w:id="183" w:name="_Toc184312119"/>
      <w:bookmarkEnd w:id="183"/>
      <w:bookmarkStart w:id="184" w:name="_Toc184313254"/>
      <w:bookmarkEnd w:id="184"/>
      <w:bookmarkStart w:id="185" w:name="_Toc184314445"/>
      <w:bookmarkEnd w:id="185"/>
      <w:bookmarkStart w:id="186" w:name="_Toc184314472"/>
      <w:bookmarkEnd w:id="186"/>
      <w:bookmarkStart w:id="187" w:name="_Toc184314415"/>
      <w:bookmarkEnd w:id="187"/>
      <w:bookmarkStart w:id="188" w:name="_Toc184308048"/>
      <w:bookmarkEnd w:id="188"/>
      <w:bookmarkStart w:id="189" w:name="_Toc184314435"/>
      <w:bookmarkEnd w:id="189"/>
      <w:bookmarkStart w:id="190" w:name="_Toc184308095"/>
      <w:bookmarkEnd w:id="190"/>
      <w:bookmarkStart w:id="191" w:name="_Toc184312074"/>
      <w:bookmarkEnd w:id="191"/>
      <w:bookmarkStart w:id="192" w:name="_Toc184313288"/>
      <w:bookmarkEnd w:id="192"/>
      <w:bookmarkStart w:id="193" w:name="_Toc184310281"/>
      <w:bookmarkEnd w:id="193"/>
      <w:bookmarkStart w:id="194" w:name="_Toc184313241"/>
      <w:bookmarkEnd w:id="194"/>
      <w:bookmarkStart w:id="195" w:name="_Toc184313294"/>
      <w:bookmarkEnd w:id="195"/>
      <w:bookmarkStart w:id="196" w:name="_Toc184314422"/>
      <w:bookmarkEnd w:id="196"/>
      <w:bookmarkStart w:id="197" w:name="_Toc184314448"/>
      <w:bookmarkEnd w:id="197"/>
      <w:bookmarkStart w:id="198" w:name="_Toc184313296"/>
      <w:bookmarkEnd w:id="198"/>
      <w:bookmarkStart w:id="199" w:name="_Toc184312075"/>
      <w:bookmarkEnd w:id="199"/>
      <w:bookmarkStart w:id="200" w:name="_Toc184314464"/>
      <w:bookmarkEnd w:id="200"/>
      <w:bookmarkStart w:id="201" w:name="_Toc184313307"/>
      <w:bookmarkEnd w:id="201"/>
      <w:bookmarkStart w:id="202" w:name="_Toc184313306"/>
      <w:bookmarkEnd w:id="202"/>
      <w:bookmarkStart w:id="203" w:name="_Toc184312118"/>
      <w:bookmarkEnd w:id="203"/>
      <w:bookmarkStart w:id="204" w:name="_Toc184308036"/>
      <w:bookmarkEnd w:id="204"/>
      <w:bookmarkStart w:id="205" w:name="_Toc184313248"/>
      <w:bookmarkEnd w:id="205"/>
      <w:bookmarkStart w:id="206" w:name="_Toc184313286"/>
      <w:bookmarkEnd w:id="206"/>
      <w:bookmarkStart w:id="207" w:name="_Toc184308053"/>
      <w:bookmarkEnd w:id="207"/>
      <w:bookmarkStart w:id="208" w:name="_Toc184313239"/>
      <w:bookmarkEnd w:id="208"/>
      <w:bookmarkStart w:id="209" w:name="_Toc184310300"/>
      <w:bookmarkEnd w:id="209"/>
      <w:bookmarkStart w:id="210" w:name="_Toc184313253"/>
      <w:bookmarkEnd w:id="210"/>
      <w:bookmarkStart w:id="211" w:name="_Toc184314459"/>
      <w:bookmarkEnd w:id="211"/>
      <w:bookmarkStart w:id="212" w:name="_Toc184310315"/>
      <w:bookmarkEnd w:id="212"/>
      <w:bookmarkStart w:id="213" w:name="_Toc184310292"/>
      <w:bookmarkEnd w:id="213"/>
      <w:bookmarkStart w:id="214" w:name="_Toc184308050"/>
      <w:bookmarkEnd w:id="214"/>
      <w:bookmarkStart w:id="215" w:name="_Toc184312072"/>
      <w:bookmarkEnd w:id="215"/>
      <w:bookmarkStart w:id="216" w:name="_Toc184313270"/>
      <w:bookmarkEnd w:id="216"/>
      <w:bookmarkStart w:id="217" w:name="_Toc184312102"/>
      <w:bookmarkEnd w:id="217"/>
      <w:bookmarkStart w:id="218" w:name="_Toc184310309"/>
      <w:bookmarkEnd w:id="218"/>
      <w:bookmarkStart w:id="219" w:name="_Toc184308088"/>
      <w:bookmarkEnd w:id="219"/>
      <w:bookmarkStart w:id="220" w:name="_Toc184313255"/>
      <w:bookmarkEnd w:id="220"/>
      <w:bookmarkStart w:id="221" w:name="_Toc184308108"/>
      <w:bookmarkEnd w:id="221"/>
      <w:bookmarkStart w:id="222" w:name="_Toc184313264"/>
      <w:bookmarkEnd w:id="222"/>
      <w:bookmarkStart w:id="223" w:name="_Toc184308096"/>
      <w:bookmarkEnd w:id="223"/>
      <w:bookmarkStart w:id="224" w:name="_Toc184312105"/>
      <w:bookmarkEnd w:id="224"/>
      <w:bookmarkStart w:id="225" w:name="_Toc184313292"/>
      <w:bookmarkEnd w:id="225"/>
      <w:bookmarkStart w:id="226" w:name="_Toc184313271"/>
      <w:bookmarkEnd w:id="226"/>
      <w:bookmarkStart w:id="227" w:name="_Toc184308073"/>
      <w:bookmarkEnd w:id="227"/>
      <w:bookmarkStart w:id="228" w:name="_Toc184314473"/>
      <w:bookmarkEnd w:id="228"/>
      <w:bookmarkStart w:id="229" w:name="_Toc184312099"/>
      <w:bookmarkEnd w:id="229"/>
      <w:bookmarkStart w:id="230" w:name="_Toc184313244"/>
      <w:bookmarkEnd w:id="230"/>
      <w:bookmarkStart w:id="231" w:name="_Toc184314470"/>
      <w:bookmarkEnd w:id="231"/>
      <w:bookmarkStart w:id="232" w:name="_Toc184308089"/>
      <w:bookmarkEnd w:id="232"/>
      <w:bookmarkStart w:id="233" w:name="_Toc184310310"/>
      <w:bookmarkEnd w:id="233"/>
      <w:bookmarkStart w:id="234" w:name="_Toc184313310"/>
      <w:bookmarkEnd w:id="234"/>
      <w:bookmarkStart w:id="235" w:name="_Toc184313259"/>
      <w:bookmarkEnd w:id="235"/>
      <w:bookmarkStart w:id="236" w:name="_Toc184310289"/>
      <w:bookmarkEnd w:id="236"/>
      <w:bookmarkStart w:id="237" w:name="_Toc184308046"/>
      <w:bookmarkEnd w:id="237"/>
      <w:bookmarkStart w:id="238" w:name="_Toc184313305"/>
      <w:bookmarkEnd w:id="238"/>
      <w:bookmarkStart w:id="239" w:name="_Toc184314477"/>
      <w:bookmarkEnd w:id="239"/>
      <w:bookmarkStart w:id="240" w:name="_Toc184314450"/>
      <w:bookmarkEnd w:id="240"/>
      <w:bookmarkStart w:id="241" w:name="_Toc184314465"/>
      <w:bookmarkEnd w:id="241"/>
      <w:bookmarkStart w:id="242" w:name="_Toc184310329"/>
      <w:bookmarkEnd w:id="242"/>
      <w:bookmarkStart w:id="243" w:name="_Toc184313268"/>
      <w:bookmarkEnd w:id="243"/>
      <w:bookmarkStart w:id="244" w:name="_Toc184313300"/>
      <w:bookmarkEnd w:id="244"/>
      <w:bookmarkStart w:id="245" w:name="_Toc184314428"/>
      <w:bookmarkEnd w:id="245"/>
      <w:bookmarkStart w:id="246" w:name="_Toc184310288"/>
      <w:bookmarkEnd w:id="246"/>
      <w:bookmarkStart w:id="247" w:name="_Toc184310303"/>
      <w:bookmarkEnd w:id="247"/>
      <w:bookmarkStart w:id="248" w:name="_Toc184312093"/>
      <w:bookmarkEnd w:id="248"/>
      <w:bookmarkStart w:id="249" w:name="_Toc184310341"/>
      <w:bookmarkEnd w:id="249"/>
      <w:bookmarkStart w:id="250" w:name="_Toc184312139"/>
      <w:bookmarkEnd w:id="250"/>
      <w:bookmarkStart w:id="251" w:name="_Toc184313275"/>
      <w:bookmarkEnd w:id="251"/>
      <w:bookmarkStart w:id="252" w:name="_Toc184314480"/>
      <w:bookmarkEnd w:id="252"/>
      <w:bookmarkStart w:id="253" w:name="_Toc184310333"/>
      <w:bookmarkEnd w:id="253"/>
      <w:bookmarkStart w:id="254" w:name="_Toc184308102"/>
      <w:bookmarkEnd w:id="254"/>
      <w:bookmarkStart w:id="255" w:name="_Toc184313252"/>
      <w:bookmarkEnd w:id="255"/>
      <w:bookmarkStart w:id="256" w:name="_Toc184314482"/>
      <w:bookmarkEnd w:id="256"/>
      <w:bookmarkStart w:id="257" w:name="_Toc184313256"/>
      <w:bookmarkEnd w:id="257"/>
      <w:bookmarkStart w:id="258" w:name="_Toc184308079"/>
      <w:bookmarkEnd w:id="258"/>
      <w:bookmarkStart w:id="259" w:name="_Toc184313303"/>
      <w:bookmarkEnd w:id="259"/>
      <w:bookmarkStart w:id="260" w:name="_Toc184308054"/>
      <w:bookmarkEnd w:id="260"/>
      <w:bookmarkStart w:id="261" w:name="_Toc184308082"/>
      <w:bookmarkEnd w:id="261"/>
      <w:bookmarkStart w:id="262" w:name="_Toc184308098"/>
      <w:bookmarkEnd w:id="262"/>
      <w:bookmarkStart w:id="263" w:name="_Toc184312126"/>
      <w:bookmarkEnd w:id="263"/>
      <w:bookmarkStart w:id="264" w:name="_Toc184308059"/>
      <w:bookmarkEnd w:id="264"/>
      <w:bookmarkStart w:id="265" w:name="_Toc184312085"/>
      <w:bookmarkEnd w:id="265"/>
      <w:bookmarkStart w:id="266" w:name="_Toc184312083"/>
      <w:bookmarkEnd w:id="266"/>
      <w:bookmarkStart w:id="267" w:name="_Toc184310340"/>
      <w:bookmarkEnd w:id="267"/>
      <w:bookmarkStart w:id="268" w:name="_Toc184314413"/>
      <w:bookmarkEnd w:id="268"/>
      <w:bookmarkStart w:id="269" w:name="_Toc184313266"/>
      <w:bookmarkEnd w:id="269"/>
      <w:bookmarkStart w:id="270" w:name="_Toc184312091"/>
      <w:bookmarkEnd w:id="270"/>
      <w:bookmarkStart w:id="271" w:name="_Toc184310273"/>
      <w:bookmarkEnd w:id="271"/>
      <w:bookmarkStart w:id="272" w:name="_Toc184308083"/>
      <w:bookmarkEnd w:id="272"/>
      <w:bookmarkStart w:id="273" w:name="_Toc184310317"/>
      <w:bookmarkEnd w:id="273"/>
      <w:bookmarkStart w:id="274" w:name="_Toc184314424"/>
      <w:bookmarkEnd w:id="274"/>
      <w:bookmarkStart w:id="275" w:name="_Toc184312111"/>
      <w:bookmarkEnd w:id="275"/>
      <w:bookmarkStart w:id="276" w:name="_Toc184313282"/>
      <w:bookmarkEnd w:id="276"/>
      <w:bookmarkStart w:id="277" w:name="_Toc184310320"/>
      <w:bookmarkEnd w:id="277"/>
      <w:bookmarkStart w:id="278" w:name="_Toc184308107"/>
      <w:bookmarkEnd w:id="278"/>
      <w:bookmarkStart w:id="279" w:name="_Toc184312073"/>
      <w:bookmarkEnd w:id="279"/>
      <w:bookmarkStart w:id="280" w:name="_Toc184308062"/>
      <w:bookmarkEnd w:id="280"/>
      <w:bookmarkStart w:id="281" w:name="_Toc184312100"/>
      <w:bookmarkEnd w:id="281"/>
      <w:bookmarkStart w:id="282" w:name="_Toc184308063"/>
      <w:bookmarkEnd w:id="282"/>
      <w:bookmarkStart w:id="283" w:name="_Toc184310319"/>
      <w:bookmarkEnd w:id="283"/>
      <w:bookmarkStart w:id="284" w:name="_Toc184310313"/>
      <w:bookmarkEnd w:id="284"/>
      <w:bookmarkStart w:id="285" w:name="_Toc184310301"/>
      <w:bookmarkEnd w:id="285"/>
      <w:bookmarkStart w:id="286" w:name="_Toc184310286"/>
      <w:bookmarkEnd w:id="286"/>
      <w:bookmarkStart w:id="287" w:name="_Toc184314426"/>
      <w:bookmarkEnd w:id="287"/>
      <w:bookmarkStart w:id="288" w:name="_Toc184308065"/>
      <w:bookmarkEnd w:id="288"/>
      <w:bookmarkStart w:id="289" w:name="_Toc184314455"/>
      <w:bookmarkEnd w:id="289"/>
      <w:bookmarkStart w:id="290" w:name="_Toc184310324"/>
      <w:bookmarkEnd w:id="290"/>
      <w:bookmarkStart w:id="291" w:name="_Toc184310322"/>
      <w:bookmarkEnd w:id="291"/>
      <w:bookmarkStart w:id="292" w:name="_Toc184314411"/>
      <w:bookmarkEnd w:id="292"/>
      <w:bookmarkStart w:id="293" w:name="_Toc184310343"/>
      <w:bookmarkEnd w:id="293"/>
      <w:bookmarkStart w:id="294" w:name="_Toc184308086"/>
      <w:bookmarkEnd w:id="294"/>
      <w:bookmarkStart w:id="295" w:name="_Toc184313298"/>
      <w:bookmarkEnd w:id="295"/>
      <w:bookmarkStart w:id="296" w:name="_Toc184312070"/>
      <w:bookmarkEnd w:id="296"/>
      <w:bookmarkStart w:id="297" w:name="_Toc184312071"/>
      <w:bookmarkEnd w:id="297"/>
      <w:bookmarkStart w:id="298" w:name="_Toc184313304"/>
      <w:bookmarkEnd w:id="298"/>
      <w:bookmarkStart w:id="299" w:name="_Toc184313272"/>
      <w:bookmarkEnd w:id="299"/>
      <w:bookmarkStart w:id="300" w:name="_Toc184310295"/>
      <w:bookmarkEnd w:id="300"/>
      <w:bookmarkStart w:id="301" w:name="_Toc184310344"/>
      <w:bookmarkEnd w:id="301"/>
      <w:bookmarkStart w:id="302" w:name="_Toc184314460"/>
      <w:bookmarkEnd w:id="302"/>
      <w:bookmarkStart w:id="303" w:name="_Toc184314417"/>
      <w:bookmarkEnd w:id="303"/>
      <w:bookmarkStart w:id="304" w:name="_Toc184308037"/>
      <w:bookmarkEnd w:id="304"/>
      <w:bookmarkStart w:id="305" w:name="_Toc184313246"/>
      <w:bookmarkEnd w:id="305"/>
      <w:bookmarkStart w:id="306" w:name="_Toc184314427"/>
      <w:bookmarkEnd w:id="306"/>
      <w:bookmarkStart w:id="307" w:name="_Toc184313242"/>
      <w:bookmarkEnd w:id="307"/>
      <w:bookmarkStart w:id="308" w:name="_Toc184310299"/>
      <w:bookmarkEnd w:id="308"/>
      <w:bookmarkStart w:id="309" w:name="_Toc184308076"/>
      <w:bookmarkEnd w:id="309"/>
      <w:bookmarkStart w:id="310" w:name="_Toc184308097"/>
      <w:bookmarkEnd w:id="310"/>
      <w:bookmarkStart w:id="311" w:name="_Toc184310285"/>
      <w:bookmarkEnd w:id="311"/>
      <w:bookmarkStart w:id="312" w:name="_Toc184314447"/>
      <w:bookmarkEnd w:id="312"/>
      <w:bookmarkStart w:id="313" w:name="_Toc184312089"/>
      <w:bookmarkEnd w:id="313"/>
      <w:bookmarkStart w:id="314" w:name="_Toc184308093"/>
      <w:bookmarkEnd w:id="314"/>
      <w:bookmarkStart w:id="315" w:name="_Toc184310308"/>
      <w:bookmarkEnd w:id="315"/>
      <w:bookmarkStart w:id="316" w:name="_Toc184308071"/>
      <w:bookmarkEnd w:id="316"/>
      <w:bookmarkStart w:id="317" w:name="_Toc184308070"/>
      <w:bookmarkEnd w:id="317"/>
      <w:bookmarkStart w:id="318" w:name="_Toc184310280"/>
      <w:bookmarkEnd w:id="318"/>
      <w:bookmarkStart w:id="319" w:name="_Toc184308078"/>
      <w:bookmarkEnd w:id="319"/>
      <w:bookmarkStart w:id="320" w:name="_Toc184313276"/>
      <w:bookmarkEnd w:id="320"/>
      <w:bookmarkStart w:id="321" w:name="_Toc184308084"/>
      <w:bookmarkEnd w:id="321"/>
      <w:bookmarkStart w:id="322" w:name="_Toc184314430"/>
      <w:bookmarkEnd w:id="322"/>
      <w:bookmarkStart w:id="323" w:name="_Toc184310282"/>
      <w:bookmarkEnd w:id="323"/>
      <w:bookmarkStart w:id="324" w:name="_Toc184310304"/>
      <w:bookmarkEnd w:id="324"/>
      <w:bookmarkStart w:id="325" w:name="_Toc184308052"/>
      <w:bookmarkEnd w:id="325"/>
      <w:bookmarkStart w:id="326" w:name="_Toc184312115"/>
      <w:bookmarkEnd w:id="326"/>
      <w:bookmarkStart w:id="327" w:name="_Toc184312095"/>
      <w:bookmarkEnd w:id="327"/>
      <w:bookmarkStart w:id="328" w:name="_Toc184312135"/>
      <w:bookmarkEnd w:id="328"/>
      <w:bookmarkStart w:id="329" w:name="_Toc184312112"/>
      <w:bookmarkEnd w:id="329"/>
      <w:bookmarkStart w:id="330" w:name="_Toc184310327"/>
      <w:bookmarkEnd w:id="330"/>
      <w:bookmarkStart w:id="331" w:name="_Toc184310332"/>
      <w:bookmarkEnd w:id="331"/>
      <w:bookmarkStart w:id="332" w:name="_Toc184313262"/>
      <w:bookmarkEnd w:id="332"/>
      <w:bookmarkStart w:id="333" w:name="_Toc184312079"/>
      <w:bookmarkEnd w:id="333"/>
      <w:bookmarkStart w:id="334" w:name="_Toc184310335"/>
      <w:bookmarkEnd w:id="334"/>
      <w:bookmarkStart w:id="335" w:name="_Toc184314442"/>
      <w:bookmarkEnd w:id="335"/>
      <w:bookmarkStart w:id="336" w:name="_Toc184310342"/>
      <w:bookmarkEnd w:id="336"/>
      <w:bookmarkStart w:id="337" w:name="_Toc184314418"/>
      <w:bookmarkEnd w:id="337"/>
      <w:bookmarkStart w:id="338" w:name="_Toc184314410"/>
      <w:bookmarkEnd w:id="338"/>
      <w:bookmarkStart w:id="339" w:name="_Toc184308043"/>
      <w:bookmarkEnd w:id="339"/>
      <w:bookmarkStart w:id="340" w:name="_Toc184312086"/>
      <w:bookmarkEnd w:id="340"/>
      <w:bookmarkStart w:id="341" w:name="_Toc184314434"/>
      <w:bookmarkEnd w:id="341"/>
      <w:bookmarkStart w:id="342" w:name="_Toc184313274"/>
      <w:bookmarkEnd w:id="342"/>
      <w:bookmarkStart w:id="343" w:name="_Toc184313301"/>
      <w:bookmarkEnd w:id="343"/>
      <w:bookmarkStart w:id="344" w:name="_Toc184313295"/>
      <w:bookmarkEnd w:id="344"/>
      <w:bookmarkStart w:id="345" w:name="_Toc184312131"/>
      <w:bookmarkEnd w:id="345"/>
      <w:bookmarkStart w:id="346" w:name="_Toc184310274"/>
      <w:bookmarkEnd w:id="346"/>
      <w:bookmarkStart w:id="347" w:name="_Toc184314467"/>
      <w:bookmarkEnd w:id="347"/>
      <w:bookmarkStart w:id="348" w:name="_Toc184314414"/>
      <w:bookmarkEnd w:id="348"/>
      <w:bookmarkStart w:id="349" w:name="_Toc184314479"/>
      <w:bookmarkEnd w:id="349"/>
      <w:bookmarkStart w:id="350" w:name="_Toc184310272"/>
      <w:bookmarkEnd w:id="350"/>
      <w:bookmarkStart w:id="351" w:name="_Toc184310298"/>
      <w:bookmarkEnd w:id="351"/>
      <w:bookmarkStart w:id="352" w:name="_Toc184308103"/>
      <w:bookmarkEnd w:id="352"/>
      <w:bookmarkStart w:id="353" w:name="_Toc184313293"/>
      <w:bookmarkEnd w:id="353"/>
      <w:bookmarkStart w:id="354" w:name="_Toc184310336"/>
      <w:bookmarkEnd w:id="354"/>
      <w:bookmarkStart w:id="355" w:name="_Toc184308039"/>
      <w:bookmarkEnd w:id="355"/>
      <w:bookmarkStart w:id="356" w:name="_Toc184310306"/>
      <w:bookmarkEnd w:id="356"/>
      <w:bookmarkStart w:id="357" w:name="_Toc184312138"/>
      <w:bookmarkEnd w:id="357"/>
      <w:bookmarkStart w:id="358" w:name="_Toc184308068"/>
      <w:bookmarkEnd w:id="358"/>
      <w:bookmarkStart w:id="359" w:name="_Toc184312082"/>
      <w:bookmarkEnd w:id="359"/>
      <w:bookmarkStart w:id="360" w:name="_Toc184308041"/>
      <w:bookmarkEnd w:id="360"/>
      <w:bookmarkStart w:id="361" w:name="_Toc184310284"/>
      <w:bookmarkEnd w:id="361"/>
      <w:bookmarkStart w:id="362" w:name="_Toc184310337"/>
      <w:bookmarkEnd w:id="362"/>
      <w:bookmarkStart w:id="363" w:name="_Toc184312133"/>
      <w:bookmarkEnd w:id="363"/>
      <w:bookmarkStart w:id="364" w:name="_Toc184313302"/>
      <w:bookmarkEnd w:id="364"/>
      <w:bookmarkStart w:id="365" w:name="_Toc184312090"/>
      <w:bookmarkEnd w:id="365"/>
      <w:bookmarkStart w:id="366" w:name="_Toc184312121"/>
      <w:bookmarkEnd w:id="366"/>
      <w:bookmarkStart w:id="367" w:name="_Toc184308101"/>
      <w:bookmarkEnd w:id="367"/>
      <w:bookmarkStart w:id="368" w:name="_Toc184313251"/>
      <w:bookmarkEnd w:id="368"/>
      <w:bookmarkStart w:id="369" w:name="_Toc184314441"/>
      <w:bookmarkEnd w:id="369"/>
      <w:bookmarkStart w:id="370" w:name="_Toc184314443"/>
      <w:bookmarkEnd w:id="370"/>
      <w:bookmarkStart w:id="371" w:name="_Toc184310330"/>
      <w:bookmarkEnd w:id="371"/>
      <w:bookmarkStart w:id="372" w:name="_Toc184312094"/>
      <w:bookmarkEnd w:id="372"/>
      <w:bookmarkStart w:id="373" w:name="_Toc184310316"/>
      <w:bookmarkEnd w:id="373"/>
      <w:bookmarkStart w:id="374" w:name="_Toc184312134"/>
      <w:bookmarkEnd w:id="374"/>
      <w:bookmarkStart w:id="375" w:name="_Toc184312078"/>
      <w:bookmarkEnd w:id="375"/>
      <w:bookmarkStart w:id="376" w:name="_Toc184310338"/>
      <w:bookmarkEnd w:id="376"/>
      <w:bookmarkStart w:id="377" w:name="_Toc184308074"/>
      <w:bookmarkEnd w:id="377"/>
      <w:bookmarkStart w:id="378" w:name="_Toc184314476"/>
      <w:bookmarkEnd w:id="378"/>
      <w:bookmarkStart w:id="379" w:name="_Toc184312129"/>
      <w:bookmarkEnd w:id="379"/>
      <w:bookmarkStart w:id="380" w:name="_Toc184313277"/>
      <w:bookmarkEnd w:id="380"/>
      <w:bookmarkStart w:id="381" w:name="_Toc184310328"/>
      <w:bookmarkEnd w:id="381"/>
      <w:bookmarkStart w:id="382" w:name="_Toc184314475"/>
      <w:bookmarkEnd w:id="382"/>
      <w:bookmarkStart w:id="383" w:name="_Toc184314478"/>
      <w:bookmarkEnd w:id="383"/>
      <w:bookmarkStart w:id="384" w:name="_Toc184308099"/>
      <w:bookmarkEnd w:id="384"/>
      <w:bookmarkStart w:id="385" w:name="_Toc184313240"/>
      <w:bookmarkEnd w:id="385"/>
      <w:bookmarkStart w:id="386" w:name="_Toc184310339"/>
      <w:bookmarkEnd w:id="386"/>
      <w:bookmarkStart w:id="387" w:name="_Toc184312103"/>
      <w:bookmarkEnd w:id="387"/>
      <w:bookmarkStart w:id="388" w:name="_Toc184310334"/>
      <w:bookmarkEnd w:id="388"/>
      <w:bookmarkStart w:id="389" w:name="_Toc184314451"/>
      <w:bookmarkEnd w:id="389"/>
      <w:bookmarkStart w:id="390" w:name="_Toc184310305"/>
      <w:bookmarkEnd w:id="390"/>
      <w:bookmarkStart w:id="391" w:name="_Toc184310312"/>
      <w:bookmarkEnd w:id="391"/>
      <w:bookmarkStart w:id="392" w:name="_Toc184314423"/>
      <w:bookmarkEnd w:id="392"/>
      <w:bookmarkStart w:id="393" w:name="_Toc184312069"/>
      <w:bookmarkEnd w:id="393"/>
      <w:bookmarkStart w:id="394" w:name="_Toc184310294"/>
      <w:bookmarkEnd w:id="394"/>
      <w:bookmarkStart w:id="395" w:name="_Toc184314420"/>
      <w:bookmarkEnd w:id="395"/>
      <w:bookmarkStart w:id="396" w:name="_Toc184313280"/>
      <w:bookmarkEnd w:id="396"/>
      <w:bookmarkStart w:id="397" w:name="_Toc184308100"/>
      <w:bookmarkEnd w:id="397"/>
      <w:r>
        <w:rPr>
          <w:rFonts w:hint="eastAsia" w:cs="Times New Roman" w:asciiTheme="minorEastAsia" w:hAnsiTheme="minorEastAsia" w:eastAsiaTheme="minorEastAsia"/>
          <w:b/>
          <w:bCs/>
          <w:snapToGrid/>
          <w:color w:val="auto"/>
          <w:kern w:val="2"/>
          <w:sz w:val="24"/>
          <w:szCs w:val="24"/>
          <w:highlight w:val="none"/>
          <w:lang w:val="en-US" w:eastAsia="zh-CN" w:bidi="ar-SA"/>
        </w:rPr>
        <w:t>评标办法</w:t>
      </w:r>
    </w:p>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序号</w:t>
            </w:r>
          </w:p>
        </w:tc>
        <w:tc>
          <w:tcPr>
            <w:tcW w:w="3545"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评标标准</w:t>
            </w:r>
          </w:p>
        </w:tc>
        <w:tc>
          <w:tcPr>
            <w:tcW w:w="764"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权重</w:t>
            </w:r>
          </w:p>
        </w:tc>
        <w:tc>
          <w:tcPr>
            <w:tcW w:w="1147"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主观分/客观分属性</w:t>
            </w:r>
          </w:p>
        </w:tc>
        <w:tc>
          <w:tcPr>
            <w:tcW w:w="2150" w:type="dxa"/>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889"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1</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企业认证：同时具有</w:t>
            </w:r>
            <w:r>
              <w:rPr>
                <w:rFonts w:hint="eastAsia" w:ascii="宋体" w:hAnsi="宋体" w:eastAsia="宋体" w:cs="宋体"/>
                <w:color w:val="auto"/>
                <w:sz w:val="24"/>
              </w:rPr>
              <w:t>ISO9001质量管理体系认证证书、环境管理体系认证证书、职业健康安全管理体系认证证书</w:t>
            </w:r>
            <w:r>
              <w:rPr>
                <w:rFonts w:hint="eastAsia" w:cs="Times New Roman" w:asciiTheme="minorEastAsia" w:hAnsiTheme="minorEastAsia" w:eastAsiaTheme="minorEastAsia"/>
                <w:b w:val="0"/>
                <w:bCs w:val="0"/>
                <w:snapToGrid/>
                <w:color w:val="auto"/>
                <w:kern w:val="2"/>
                <w:sz w:val="24"/>
                <w:szCs w:val="24"/>
                <w:highlight w:val="none"/>
                <w:lang w:val="en-US" w:eastAsia="zh-CN" w:bidi="ar-SA"/>
              </w:rPr>
              <w:t>且在有效期内的；</w:t>
            </w:r>
            <w:r>
              <w:rPr>
                <w:rFonts w:hint="eastAsia" w:ascii="宋体" w:hAnsi="宋体" w:eastAsia="宋体" w:cs="宋体"/>
                <w:color w:val="auto"/>
                <w:sz w:val="24"/>
              </w:rPr>
              <w:t>认证每一类单独得</w:t>
            </w:r>
            <w:r>
              <w:rPr>
                <w:rFonts w:hint="eastAsia" w:ascii="宋体" w:hAnsi="宋体" w:cs="宋体"/>
                <w:color w:val="auto"/>
                <w:sz w:val="24"/>
                <w:lang w:val="en-US" w:eastAsia="zh-CN"/>
              </w:rPr>
              <w:t>1</w:t>
            </w:r>
            <w:r>
              <w:rPr>
                <w:rFonts w:hint="eastAsia" w:ascii="宋体" w:hAnsi="宋体" w:eastAsia="宋体" w:cs="宋体"/>
                <w:color w:val="auto"/>
                <w:sz w:val="24"/>
              </w:rPr>
              <w:t>分，最高得3分</w:t>
            </w:r>
            <w:r>
              <w:rPr>
                <w:rFonts w:hint="eastAsia" w:cs="Times New Roman" w:asciiTheme="minorEastAsia" w:hAnsiTheme="minorEastAsia" w:eastAsiaTheme="minorEastAsia"/>
                <w:b w:val="0"/>
                <w:bCs w:val="0"/>
                <w:snapToGrid/>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证明材料：有效期内的相关认证证书，证书可在国家认证认可监督管理委员会官方网站</w:t>
            </w:r>
            <w:r>
              <w:rPr>
                <w:rFonts w:hint="default" w:cs="Times New Roman" w:asciiTheme="minorEastAsia" w:hAnsiTheme="minorEastAsia" w:eastAsiaTheme="minorEastAsia"/>
                <w:b w:val="0"/>
                <w:bCs w:val="0"/>
                <w:snapToGrid/>
                <w:color w:val="auto"/>
                <w:kern w:val="2"/>
                <w:sz w:val="24"/>
                <w:szCs w:val="24"/>
                <w:highlight w:val="none"/>
                <w:lang w:val="en-US" w:eastAsia="zh-CN" w:bidi="ar-SA"/>
              </w:rPr>
              <w:t>http://cx.cnca.cn</w:t>
            </w:r>
            <w:r>
              <w:rPr>
                <w:rFonts w:hint="eastAsia" w:cs="Times New Roman" w:asciiTheme="minorEastAsia" w:hAnsiTheme="minorEastAsia" w:eastAsiaTheme="minorEastAsia"/>
                <w:b w:val="0"/>
                <w:bCs w:val="0"/>
                <w:snapToGrid/>
                <w:color w:val="auto"/>
                <w:kern w:val="2"/>
                <w:sz w:val="24"/>
                <w:szCs w:val="24"/>
                <w:highlight w:val="none"/>
                <w:lang w:val="en-US" w:eastAsia="zh-CN" w:bidi="ar-SA"/>
              </w:rPr>
              <w:t>查询到。</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3</w:t>
            </w:r>
          </w:p>
        </w:tc>
        <w:tc>
          <w:tcPr>
            <w:tcW w:w="1147"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客观分</w:t>
            </w:r>
          </w:p>
        </w:tc>
        <w:tc>
          <w:tcPr>
            <w:tcW w:w="2150" w:type="dxa"/>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89"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2</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类似业绩：2021年1月1日（以合同签订日期为准）以来单独实施的类似的项目，1个得0.5分，满分1分。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证明材料：合同复印件。</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1</w:t>
            </w:r>
          </w:p>
        </w:tc>
        <w:tc>
          <w:tcPr>
            <w:tcW w:w="1147"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客观分</w:t>
            </w:r>
          </w:p>
        </w:tc>
        <w:tc>
          <w:tcPr>
            <w:tcW w:w="2150" w:type="dxa"/>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89"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3</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供应商拟投入本项目的项目负责人</w:t>
            </w:r>
            <w:r>
              <w:rPr>
                <w:rFonts w:cs="Calibri"/>
                <w:color w:val="auto"/>
                <w:highlight w:val="none"/>
              </w:rPr>
              <w:t>年龄在</w:t>
            </w:r>
            <w:r>
              <w:rPr>
                <w:rFonts w:hint="eastAsia" w:cs="Calibri"/>
                <w:color w:val="auto"/>
                <w:highlight w:val="none"/>
                <w:lang w:val="en-US" w:eastAsia="zh-CN"/>
              </w:rPr>
              <w:t>4</w:t>
            </w:r>
            <w:r>
              <w:rPr>
                <w:rFonts w:hint="eastAsia" w:cs="Calibri"/>
                <w:color w:val="auto"/>
                <w:highlight w:val="none"/>
              </w:rPr>
              <w:t>0</w:t>
            </w:r>
            <w:r>
              <w:rPr>
                <w:rFonts w:cs="Calibri"/>
                <w:color w:val="auto"/>
                <w:highlight w:val="none"/>
              </w:rPr>
              <w:t>周岁以下</w:t>
            </w:r>
            <w:r>
              <w:rPr>
                <w:rFonts w:hint="eastAsia" w:cs="Calibri"/>
                <w:color w:val="auto"/>
                <w:highlight w:val="none"/>
                <w:lang w:val="en-US" w:eastAsia="zh-CN"/>
              </w:rPr>
              <w:t>且有</w:t>
            </w:r>
            <w:r>
              <w:rPr>
                <w:rFonts w:cs="Calibri"/>
                <w:color w:val="auto"/>
                <w:highlight w:val="none"/>
              </w:rPr>
              <w:t>大学本科及以上文化程度</w:t>
            </w:r>
            <w:r>
              <w:rPr>
                <w:rFonts w:hint="eastAsia" w:cs="Times New Roman" w:asciiTheme="minorEastAsia" w:hAnsiTheme="minorEastAsia" w:eastAsiaTheme="minorEastAsia"/>
                <w:b w:val="0"/>
                <w:bCs w:val="0"/>
                <w:snapToGrid/>
                <w:color w:val="auto"/>
                <w:kern w:val="2"/>
                <w:sz w:val="24"/>
                <w:szCs w:val="24"/>
                <w:highlight w:val="none"/>
                <w:lang w:val="en-US" w:eastAsia="zh-CN" w:bidi="ar-SA"/>
              </w:rPr>
              <w:t>证书的，得2分；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证明材料：身份证及证书印件。</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2</w:t>
            </w:r>
          </w:p>
        </w:tc>
        <w:tc>
          <w:tcPr>
            <w:tcW w:w="1147"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客观分</w:t>
            </w:r>
          </w:p>
        </w:tc>
        <w:tc>
          <w:tcPr>
            <w:tcW w:w="2150" w:type="dxa"/>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889"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4</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对于劳动关系争议处理流程及相关措施，其他相关法律风险、用工风险等防范措施的合理性2分，科学性2分，可行性2分。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6</w:t>
            </w:r>
          </w:p>
        </w:tc>
        <w:tc>
          <w:tcPr>
            <w:tcW w:w="1147"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主观分</w:t>
            </w:r>
          </w:p>
        </w:tc>
        <w:tc>
          <w:tcPr>
            <w:tcW w:w="2150" w:type="dxa"/>
          </w:tcPr>
          <w:p>
            <w:pPr>
              <w:snapToGrid w:val="0"/>
              <w:spacing w:line="360" w:lineRule="auto"/>
              <w:jc w:val="center"/>
              <w:rPr>
                <w:rFonts w:hint="default" w:cs="Times New Roman" w:asciiTheme="minorEastAsia" w:hAnsiTheme="minorEastAsia" w:eastAsiaTheme="minorEastAsia"/>
                <w:b w:val="0"/>
                <w:bCs w:val="0"/>
                <w:snapToGrid/>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5</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本项目所提供相关设备、器材、物资配备情况：按管理需要装备器材，设备精良并附配置清单，按实际配备，包括但不限于：交通工具、服装等符合实际需求的装备，满分5分。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注：提供承诺函及装备实物照片。</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5</w:t>
            </w:r>
          </w:p>
        </w:tc>
        <w:tc>
          <w:tcPr>
            <w:tcW w:w="1147"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主观分</w:t>
            </w:r>
          </w:p>
        </w:tc>
        <w:tc>
          <w:tcPr>
            <w:tcW w:w="2150" w:type="dxa"/>
          </w:tcPr>
          <w:p>
            <w:pPr>
              <w:snapToGrid w:val="0"/>
              <w:spacing w:line="360" w:lineRule="auto"/>
              <w:jc w:val="center"/>
              <w:rPr>
                <w:rFonts w:hint="default" w:cs="Times New Roman" w:asciiTheme="minorEastAsia" w:hAnsiTheme="minorEastAsia" w:eastAsiaTheme="minorEastAsia"/>
                <w:b w:val="0"/>
                <w:bCs w:val="0"/>
                <w:snapToGrid/>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89"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6</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default" w:cs="Times New Roman" w:asciiTheme="minorEastAsia" w:hAnsiTheme="minorEastAsia" w:eastAsiaTheme="minorEastAsia"/>
                <w:b w:val="0"/>
                <w:bCs w:val="0"/>
                <w:snapToGrid/>
                <w:color w:val="auto"/>
                <w:kern w:val="2"/>
                <w:sz w:val="24"/>
                <w:szCs w:val="24"/>
                <w:highlight w:val="none"/>
                <w:lang w:val="en-US" w:eastAsia="zh-CN" w:bidi="ar-SA"/>
              </w:rPr>
              <w:t>投标总体方案与项目内容和服务需求的吻合程度（</w:t>
            </w:r>
            <w:r>
              <w:rPr>
                <w:rFonts w:hint="eastAsia" w:cs="Times New Roman" w:asciiTheme="minorEastAsia" w:hAnsiTheme="minorEastAsia" w:eastAsiaTheme="minorEastAsia"/>
                <w:b w:val="0"/>
                <w:bCs w:val="0"/>
                <w:snapToGrid/>
                <w:color w:val="auto"/>
                <w:kern w:val="2"/>
                <w:sz w:val="24"/>
                <w:szCs w:val="24"/>
                <w:highlight w:val="none"/>
                <w:lang w:val="en-US" w:eastAsia="zh-CN" w:bidi="ar-SA"/>
              </w:rPr>
              <w:t>4</w:t>
            </w:r>
            <w:r>
              <w:rPr>
                <w:rFonts w:hint="default" w:cs="Times New Roman" w:asciiTheme="minorEastAsia" w:hAnsiTheme="minorEastAsia" w:eastAsiaTheme="minorEastAsia"/>
                <w:b w:val="0"/>
                <w:bCs w:val="0"/>
                <w:snapToGrid/>
                <w:color w:val="auto"/>
                <w:kern w:val="2"/>
                <w:sz w:val="24"/>
                <w:szCs w:val="24"/>
                <w:highlight w:val="none"/>
                <w:lang w:val="en-US" w:eastAsia="zh-CN" w:bidi="ar-SA"/>
              </w:rPr>
              <w:t>分）及其响应情况的合理性（3分）、可操作性（3分）</w:t>
            </w:r>
            <w:r>
              <w:rPr>
                <w:rFonts w:hint="eastAsia" w:cs="Times New Roman" w:asciiTheme="minorEastAsia" w:hAnsiTheme="minorEastAsia" w:eastAsiaTheme="minorEastAsia"/>
                <w:b w:val="0"/>
                <w:bCs w:val="0"/>
                <w:snapToGrid/>
                <w:color w:val="auto"/>
                <w:kern w:val="2"/>
                <w:sz w:val="24"/>
                <w:szCs w:val="24"/>
                <w:highlight w:val="none"/>
                <w:lang w:val="en-US" w:eastAsia="zh-CN" w:bidi="ar-SA"/>
              </w:rPr>
              <w:t xml:space="preserve"> </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10</w:t>
            </w:r>
          </w:p>
        </w:tc>
        <w:tc>
          <w:tcPr>
            <w:tcW w:w="1147" w:type="dxa"/>
            <w:vAlign w:val="center"/>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r>
              <w:rPr>
                <w:rFonts w:hint="eastAsia" w:cs="Times New Roman" w:asciiTheme="minorEastAsia" w:hAnsiTheme="minorEastAsia" w:eastAsiaTheme="minorEastAsia"/>
                <w:b w:val="0"/>
                <w:bCs w:val="0"/>
                <w:snapToGrid/>
                <w:color w:val="auto"/>
                <w:kern w:val="2"/>
                <w:sz w:val="24"/>
                <w:szCs w:val="24"/>
                <w:highlight w:val="none"/>
                <w:lang w:val="en-US" w:eastAsia="zh-CN" w:bidi="ar-SA"/>
              </w:rPr>
              <w:t>主观分</w:t>
            </w:r>
          </w:p>
        </w:tc>
        <w:tc>
          <w:tcPr>
            <w:tcW w:w="2150" w:type="dxa"/>
          </w:tcPr>
          <w:p>
            <w:pPr>
              <w:snapToGrid w:val="0"/>
              <w:spacing w:line="360" w:lineRule="auto"/>
              <w:jc w:val="center"/>
              <w:rPr>
                <w:rFonts w:hint="eastAsia" w:cs="Times New Roman" w:asciiTheme="minorEastAsia" w:hAnsiTheme="minorEastAsia" w:eastAsiaTheme="minorEastAsia"/>
                <w:b w:val="0"/>
                <w:bCs w:val="0"/>
                <w:snapToGrid/>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服务管理模式及配套措施</w:t>
            </w:r>
            <w:r>
              <w:rPr>
                <w:rFonts w:hint="eastAsia" w:ascii="宋体" w:hAnsi="宋体" w:cs="仿宋"/>
                <w:color w:val="auto"/>
                <w:sz w:val="21"/>
                <w:szCs w:val="21"/>
                <w:highlight w:val="none"/>
                <w:lang w:val="en-US" w:eastAsia="zh-CN"/>
              </w:rPr>
              <w:t>：</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各项管理规章制度是否完善并具有针对性，是否符合招标人的管理模式和服务现场的需要（</w:t>
            </w:r>
            <w:r>
              <w:rPr>
                <w:rFonts w:hint="eastAsia" w:ascii="宋体" w:hAnsi="宋体" w:cs="仿宋"/>
                <w:color w:val="auto"/>
                <w:sz w:val="21"/>
                <w:szCs w:val="21"/>
                <w:highlight w:val="none"/>
                <w:lang w:val="en-US" w:eastAsia="zh-CN"/>
              </w:rPr>
              <w:t>10</w:t>
            </w:r>
            <w:r>
              <w:rPr>
                <w:rFonts w:hint="default" w:ascii="宋体" w:hAnsi="宋体" w:eastAsia="宋体" w:cs="仿宋"/>
                <w:color w:val="auto"/>
                <w:sz w:val="21"/>
                <w:szCs w:val="21"/>
                <w:highlight w:val="none"/>
                <w:lang w:val="en-US" w:eastAsia="zh-CN"/>
              </w:rPr>
              <w:t>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宋体" w:hAnsi="宋体" w:eastAsia="宋体" w:cs="仿宋"/>
                <w:color w:val="auto"/>
                <w:sz w:val="21"/>
                <w:szCs w:val="21"/>
                <w:highlight w:val="none"/>
                <w:lang w:val="en-US" w:eastAsia="zh-CN"/>
              </w:rPr>
            </w:pPr>
            <w:r>
              <w:rPr>
                <w:rFonts w:hint="eastAsia" w:ascii="宋体" w:hAnsi="宋体" w:eastAsia="宋体" w:cs="仿宋"/>
                <w:color w:val="auto"/>
                <w:sz w:val="21"/>
                <w:szCs w:val="21"/>
                <w:highlight w:val="none"/>
                <w:lang w:val="en-US" w:eastAsia="zh-CN"/>
              </w:rPr>
              <w:t>优秀（按招标要求提供完善的管理制度和服务措施）：</w:t>
            </w:r>
            <w:r>
              <w:rPr>
                <w:rFonts w:hint="eastAsia" w:ascii="宋体" w:hAnsi="宋体" w:cs="仿宋"/>
                <w:color w:val="auto"/>
                <w:sz w:val="21"/>
                <w:szCs w:val="21"/>
                <w:highlight w:val="none"/>
                <w:lang w:val="en-US" w:eastAsia="zh-CN"/>
              </w:rPr>
              <w:t>7-10</w:t>
            </w:r>
            <w:r>
              <w:rPr>
                <w:rFonts w:hint="eastAsia" w:ascii="宋体" w:hAnsi="宋体" w:eastAsia="宋体" w:cs="仿宋"/>
                <w:color w:val="auto"/>
                <w:sz w:val="21"/>
                <w:szCs w:val="21"/>
                <w:highlight w:val="none"/>
                <w:lang w:val="en-US" w:eastAsia="zh-CN"/>
              </w:rPr>
              <w:t xml:space="preserve">分 </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宋体" w:hAnsi="宋体" w:eastAsia="宋体" w:cs="仿宋"/>
                <w:color w:val="auto"/>
                <w:sz w:val="21"/>
                <w:szCs w:val="21"/>
                <w:highlight w:val="none"/>
                <w:lang w:val="en-US" w:eastAsia="zh-CN"/>
              </w:rPr>
            </w:pPr>
            <w:r>
              <w:rPr>
                <w:rFonts w:hint="eastAsia" w:ascii="宋体" w:hAnsi="宋体" w:eastAsia="宋体" w:cs="仿宋"/>
                <w:color w:val="auto"/>
                <w:sz w:val="21"/>
                <w:szCs w:val="21"/>
                <w:highlight w:val="none"/>
                <w:lang w:val="en-US" w:eastAsia="zh-CN"/>
              </w:rPr>
              <w:t>良好(按招标要求提供的管理制度基本满足和服务措施可操作性一般）：3-</w:t>
            </w:r>
            <w:r>
              <w:rPr>
                <w:rFonts w:hint="eastAsia" w:ascii="宋体" w:hAnsi="宋体" w:cs="仿宋"/>
                <w:color w:val="auto"/>
                <w:sz w:val="21"/>
                <w:szCs w:val="21"/>
                <w:highlight w:val="none"/>
                <w:lang w:val="en-US" w:eastAsia="zh-CN"/>
              </w:rPr>
              <w:t>7</w:t>
            </w:r>
            <w:r>
              <w:rPr>
                <w:rFonts w:hint="eastAsia" w:ascii="宋体" w:hAnsi="宋体" w:eastAsia="宋体" w:cs="仿宋"/>
                <w:color w:val="auto"/>
                <w:sz w:val="21"/>
                <w:szCs w:val="21"/>
                <w:highlight w:val="none"/>
                <w:lang w:val="en-US" w:eastAsia="zh-CN"/>
              </w:rPr>
              <w:t xml:space="preserve">分 </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eastAsia" w:ascii="宋体" w:hAnsi="宋体" w:eastAsia="宋体" w:cs="仿宋"/>
                <w:color w:val="auto"/>
                <w:sz w:val="21"/>
                <w:szCs w:val="21"/>
                <w:highlight w:val="none"/>
                <w:lang w:val="en-US" w:eastAsia="zh-CN"/>
              </w:rPr>
              <w:t>差(按招标要求提供的管理制度有缺陷和服务措施可操作性差）：1-2分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889"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应急方案及措施的可行性、可操作性及针对性（1</w:t>
            </w:r>
            <w:r>
              <w:rPr>
                <w:rFonts w:hint="eastAsia" w:ascii="宋体" w:hAnsi="宋体" w:cs="仿宋"/>
                <w:color w:val="auto"/>
                <w:sz w:val="21"/>
                <w:szCs w:val="21"/>
                <w:highlight w:val="none"/>
                <w:lang w:val="en-US" w:eastAsia="zh-CN"/>
              </w:rPr>
              <w:t>8</w:t>
            </w:r>
            <w:r>
              <w:rPr>
                <w:rFonts w:hint="default" w:ascii="宋体" w:hAnsi="宋体" w:eastAsia="宋体" w:cs="仿宋"/>
                <w:color w:val="auto"/>
                <w:sz w:val="21"/>
                <w:szCs w:val="21"/>
                <w:highlight w:val="none"/>
                <w:lang w:val="en-US" w:eastAsia="zh-CN"/>
              </w:rPr>
              <w:t>分）</w:t>
            </w:r>
            <w:r>
              <w:rPr>
                <w:rFonts w:hint="eastAsia" w:ascii="宋体" w:hAnsi="宋体" w:cs="仿宋"/>
                <w:color w:val="auto"/>
                <w:sz w:val="21"/>
                <w:szCs w:val="21"/>
                <w:highlight w:val="none"/>
                <w:lang w:val="en-US" w:eastAsia="zh-CN"/>
              </w:rPr>
              <w:t>包含但不限于响应速度、方案的科学性等。</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投标人服务机构设置方案、运作流程、工作标准及服务过程相关记录资料的信息管理办法等是否周全评审（5分）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对招标人的工作管理要求及业务的适应性、符合性评审。（5分）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eastAsia" w:ascii="宋体" w:hAnsi="宋体" w:eastAsia="宋体" w:cs="仿宋"/>
                <w:color w:val="auto"/>
                <w:sz w:val="21"/>
                <w:szCs w:val="21"/>
                <w:highlight w:val="none"/>
                <w:lang w:val="en-US" w:eastAsia="zh-CN"/>
              </w:rPr>
              <w:t>优秀：5分 良好：3-4分 差：1-2分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投标人</w:t>
            </w:r>
            <w:r>
              <w:rPr>
                <w:rFonts w:hint="eastAsia" w:ascii="宋体" w:hAnsi="宋体" w:eastAsia="宋体" w:cs="仿宋"/>
                <w:color w:val="auto"/>
                <w:sz w:val="21"/>
                <w:szCs w:val="21"/>
                <w:highlight w:val="none"/>
                <w:lang w:val="en-US" w:eastAsia="zh-CN"/>
              </w:rPr>
              <w:t>提供</w:t>
            </w:r>
            <w:r>
              <w:rPr>
                <w:rFonts w:hint="default" w:ascii="宋体" w:hAnsi="宋体" w:eastAsia="宋体" w:cs="仿宋"/>
                <w:color w:val="auto"/>
                <w:sz w:val="21"/>
                <w:szCs w:val="21"/>
                <w:highlight w:val="none"/>
                <w:lang w:val="en-US" w:eastAsia="zh-CN"/>
              </w:rPr>
              <w:t>确保出勤率措施</w:t>
            </w:r>
            <w:r>
              <w:rPr>
                <w:rFonts w:hint="eastAsia" w:ascii="宋体" w:hAnsi="宋体" w:eastAsia="宋体" w:cs="仿宋"/>
                <w:color w:val="auto"/>
                <w:sz w:val="21"/>
                <w:szCs w:val="21"/>
                <w:highlight w:val="none"/>
                <w:lang w:val="en-US" w:eastAsia="zh-CN"/>
              </w:rPr>
              <w:t>并具有可操作性得</w:t>
            </w:r>
            <w:r>
              <w:rPr>
                <w:rFonts w:hint="eastAsia" w:ascii="宋体" w:hAnsi="宋体" w:cs="仿宋"/>
                <w:color w:val="auto"/>
                <w:sz w:val="21"/>
                <w:szCs w:val="21"/>
                <w:highlight w:val="none"/>
                <w:lang w:val="en-US" w:eastAsia="zh-CN"/>
              </w:rPr>
              <w:t>7</w:t>
            </w:r>
            <w:r>
              <w:rPr>
                <w:rFonts w:hint="eastAsia" w:ascii="宋体" w:hAnsi="宋体" w:eastAsia="宋体" w:cs="仿宋"/>
                <w:color w:val="auto"/>
                <w:sz w:val="21"/>
                <w:szCs w:val="21"/>
                <w:highlight w:val="none"/>
                <w:lang w:val="en-US" w:eastAsia="zh-CN"/>
              </w:rPr>
              <w:t>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eastAsia" w:ascii="宋体" w:hAnsi="宋体" w:eastAsia="宋体" w:cs="仿宋"/>
                <w:color w:val="auto"/>
                <w:sz w:val="21"/>
                <w:szCs w:val="21"/>
                <w:highlight w:val="none"/>
                <w:lang w:val="en-US" w:eastAsia="zh-CN"/>
              </w:rPr>
              <w:t>提供</w:t>
            </w:r>
            <w:r>
              <w:rPr>
                <w:rFonts w:hint="default" w:ascii="宋体" w:hAnsi="宋体" w:eastAsia="宋体" w:cs="仿宋"/>
                <w:color w:val="auto"/>
                <w:sz w:val="21"/>
                <w:szCs w:val="21"/>
                <w:highlight w:val="none"/>
                <w:lang w:val="en-US" w:eastAsia="zh-CN"/>
              </w:rPr>
              <w:t>出勤率不足的自罚承诺</w:t>
            </w:r>
            <w:r>
              <w:rPr>
                <w:rFonts w:hint="eastAsia" w:ascii="宋体" w:hAnsi="宋体" w:eastAsia="宋体" w:cs="仿宋"/>
                <w:color w:val="auto"/>
                <w:sz w:val="21"/>
                <w:szCs w:val="21"/>
                <w:highlight w:val="none"/>
                <w:lang w:val="en-US" w:eastAsia="zh-CN"/>
              </w:rPr>
              <w:t>得2</w:t>
            </w:r>
            <w:r>
              <w:rPr>
                <w:rFonts w:hint="default" w:ascii="宋体" w:hAnsi="宋体" w:eastAsia="宋体" w:cs="仿宋"/>
                <w:color w:val="auto"/>
                <w:sz w:val="21"/>
                <w:szCs w:val="21"/>
                <w:highlight w:val="none"/>
                <w:lang w:val="en-US" w:eastAsia="zh-CN"/>
              </w:rPr>
              <w:t>分</w:t>
            </w:r>
            <w:r>
              <w:rPr>
                <w:rFonts w:hint="eastAsia" w:ascii="宋体" w:hAnsi="宋体" w:eastAsia="宋体" w:cs="仿宋"/>
                <w:color w:val="auto"/>
                <w:sz w:val="21"/>
                <w:szCs w:val="21"/>
                <w:highlight w:val="none"/>
                <w:lang w:val="en-US" w:eastAsia="zh-CN"/>
              </w:rPr>
              <w:t>；</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对招标人</w:t>
            </w:r>
            <w:r>
              <w:rPr>
                <w:rFonts w:hint="eastAsia" w:ascii="宋体" w:hAnsi="宋体" w:eastAsia="宋体" w:cs="仿宋"/>
                <w:color w:val="auto"/>
                <w:sz w:val="21"/>
                <w:szCs w:val="21"/>
                <w:highlight w:val="none"/>
                <w:lang w:val="en-US" w:eastAsia="zh-CN"/>
              </w:rPr>
              <w:t>提供</w:t>
            </w:r>
            <w:r>
              <w:rPr>
                <w:rFonts w:hint="default" w:ascii="宋体" w:hAnsi="宋体" w:eastAsia="宋体" w:cs="仿宋"/>
                <w:color w:val="auto"/>
                <w:sz w:val="21"/>
                <w:szCs w:val="21"/>
                <w:highlight w:val="none"/>
                <w:lang w:val="en-US" w:eastAsia="zh-CN"/>
              </w:rPr>
              <w:t>专业技术支持承诺</w:t>
            </w:r>
            <w:r>
              <w:rPr>
                <w:rFonts w:hint="eastAsia" w:ascii="宋体" w:hAnsi="宋体" w:eastAsia="宋体" w:cs="仿宋"/>
                <w:color w:val="auto"/>
                <w:sz w:val="21"/>
                <w:szCs w:val="21"/>
                <w:highlight w:val="none"/>
                <w:lang w:val="en-US" w:eastAsia="zh-CN"/>
              </w:rPr>
              <w:t>得1</w:t>
            </w:r>
            <w:r>
              <w:rPr>
                <w:rFonts w:hint="default" w:ascii="宋体" w:hAnsi="宋体" w:eastAsia="宋体" w:cs="仿宋"/>
                <w:color w:val="auto"/>
                <w:sz w:val="21"/>
                <w:szCs w:val="21"/>
                <w:highlight w:val="none"/>
                <w:lang w:val="en-US" w:eastAsia="zh-CN"/>
              </w:rPr>
              <w:t>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其他实质性的合理化措施或优惠承诺（主要是针对保持</w:t>
            </w:r>
            <w:r>
              <w:rPr>
                <w:rFonts w:hint="eastAsia" w:ascii="宋体" w:hAnsi="宋体" w:cs="仿宋"/>
                <w:color w:val="auto"/>
                <w:sz w:val="21"/>
                <w:szCs w:val="21"/>
                <w:highlight w:val="none"/>
                <w:lang w:val="en-US" w:eastAsia="zh-CN"/>
              </w:rPr>
              <w:t>服务队伍</w:t>
            </w:r>
            <w:r>
              <w:rPr>
                <w:rFonts w:hint="default" w:ascii="宋体" w:hAnsi="宋体" w:eastAsia="宋体" w:cs="仿宋"/>
                <w:color w:val="auto"/>
                <w:sz w:val="21"/>
                <w:szCs w:val="21"/>
                <w:highlight w:val="none"/>
                <w:lang w:val="en-US" w:eastAsia="zh-CN"/>
              </w:rPr>
              <w:t>稳定，满足招标人的各方面需求，有利于本项目顺利实施等方面的措施或承诺）。（5分）</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优秀：5分 良好：3-4分 差：1-2分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354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eastAsia" w:ascii="宋体" w:hAnsi="宋体" w:eastAsia="宋体" w:cs="仿宋"/>
                <w:color w:val="auto"/>
                <w:sz w:val="21"/>
                <w:szCs w:val="21"/>
                <w:highlight w:val="none"/>
                <w:lang w:val="en-US" w:eastAsia="zh-CN"/>
              </w:rPr>
              <w:t>培训方案：提供</w:t>
            </w:r>
            <w:r>
              <w:rPr>
                <w:rFonts w:hint="default" w:ascii="宋体" w:hAnsi="宋体" w:eastAsia="宋体" w:cs="仿宋"/>
                <w:color w:val="auto"/>
                <w:sz w:val="21"/>
                <w:szCs w:val="21"/>
                <w:highlight w:val="none"/>
                <w:lang w:val="en-US" w:eastAsia="zh-CN"/>
              </w:rPr>
              <w:t>上岗前全面、完善的培训计划，</w:t>
            </w:r>
            <w:r>
              <w:rPr>
                <w:rFonts w:hint="eastAsia" w:ascii="宋体" w:hAnsi="宋体" w:eastAsia="宋体" w:cs="仿宋"/>
                <w:color w:val="auto"/>
                <w:sz w:val="21"/>
                <w:szCs w:val="21"/>
                <w:highlight w:val="none"/>
                <w:lang w:val="en-US" w:eastAsia="zh-CN"/>
              </w:rPr>
              <w:t>计划中应</w:t>
            </w:r>
            <w:r>
              <w:rPr>
                <w:rFonts w:hint="default" w:ascii="宋体" w:hAnsi="宋体" w:eastAsia="宋体" w:cs="仿宋"/>
                <w:color w:val="auto"/>
                <w:sz w:val="21"/>
                <w:szCs w:val="21"/>
                <w:highlight w:val="none"/>
                <w:lang w:val="en-US" w:eastAsia="zh-CN"/>
              </w:rPr>
              <w:t>包括培训内容、培训目标、培训形式等。</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hint="default" w:ascii="宋体" w:hAnsi="宋体" w:eastAsia="宋体" w:cs="仿宋"/>
                <w:color w:val="auto"/>
                <w:sz w:val="21"/>
                <w:szCs w:val="21"/>
                <w:highlight w:val="none"/>
                <w:lang w:val="en-US" w:eastAsia="zh-CN"/>
              </w:rPr>
            </w:pPr>
            <w:r>
              <w:rPr>
                <w:rFonts w:hint="default" w:ascii="宋体" w:hAnsi="宋体" w:eastAsia="宋体" w:cs="仿宋"/>
                <w:color w:val="auto"/>
                <w:sz w:val="21"/>
                <w:szCs w:val="21"/>
                <w:highlight w:val="none"/>
                <w:lang w:val="en-US" w:eastAsia="zh-CN"/>
              </w:rPr>
              <w:t>优秀：</w:t>
            </w:r>
            <w:r>
              <w:rPr>
                <w:rFonts w:hint="eastAsia" w:ascii="宋体" w:hAnsi="宋体" w:cs="仿宋"/>
                <w:color w:val="auto"/>
                <w:sz w:val="21"/>
                <w:szCs w:val="21"/>
                <w:highlight w:val="none"/>
                <w:lang w:val="en-US" w:eastAsia="zh-CN"/>
              </w:rPr>
              <w:t>7-10</w:t>
            </w:r>
            <w:r>
              <w:rPr>
                <w:rFonts w:hint="default" w:ascii="宋体" w:hAnsi="宋体" w:eastAsia="宋体" w:cs="仿宋"/>
                <w:color w:val="auto"/>
                <w:sz w:val="21"/>
                <w:szCs w:val="21"/>
                <w:highlight w:val="none"/>
                <w:lang w:val="en-US" w:eastAsia="zh-CN"/>
              </w:rPr>
              <w:t>分 良好：</w:t>
            </w:r>
            <w:r>
              <w:rPr>
                <w:rFonts w:hint="eastAsia" w:ascii="宋体" w:hAnsi="宋体" w:cs="仿宋"/>
                <w:color w:val="auto"/>
                <w:sz w:val="21"/>
                <w:szCs w:val="21"/>
                <w:highlight w:val="none"/>
                <w:lang w:val="en-US" w:eastAsia="zh-CN"/>
              </w:rPr>
              <w:t>4</w:t>
            </w:r>
            <w:r>
              <w:rPr>
                <w:rFonts w:hint="default" w:ascii="宋体" w:hAnsi="宋体" w:eastAsia="宋体" w:cs="仿宋"/>
                <w:color w:val="auto"/>
                <w:sz w:val="21"/>
                <w:szCs w:val="21"/>
                <w:highlight w:val="none"/>
                <w:lang w:val="en-US" w:eastAsia="zh-CN"/>
              </w:rPr>
              <w:t>-</w:t>
            </w:r>
            <w:r>
              <w:rPr>
                <w:rFonts w:hint="eastAsia" w:ascii="宋体" w:hAnsi="宋体" w:cs="仿宋"/>
                <w:color w:val="auto"/>
                <w:sz w:val="21"/>
                <w:szCs w:val="21"/>
                <w:highlight w:val="none"/>
                <w:lang w:val="en-US" w:eastAsia="zh-CN"/>
              </w:rPr>
              <w:t>6</w:t>
            </w:r>
            <w:r>
              <w:rPr>
                <w:rFonts w:hint="default" w:ascii="宋体" w:hAnsi="宋体" w:eastAsia="宋体" w:cs="仿宋"/>
                <w:color w:val="auto"/>
                <w:sz w:val="21"/>
                <w:szCs w:val="21"/>
                <w:highlight w:val="none"/>
                <w:lang w:val="en-US" w:eastAsia="zh-CN"/>
              </w:rPr>
              <w:t>分 差：1-</w:t>
            </w:r>
            <w:r>
              <w:rPr>
                <w:rFonts w:hint="eastAsia" w:ascii="宋体" w:hAnsi="宋体" w:cs="仿宋"/>
                <w:color w:val="auto"/>
                <w:sz w:val="21"/>
                <w:szCs w:val="21"/>
                <w:highlight w:val="none"/>
                <w:lang w:val="en-US" w:eastAsia="zh-CN"/>
              </w:rPr>
              <w:t>3</w:t>
            </w:r>
            <w:r>
              <w:rPr>
                <w:rFonts w:hint="default" w:ascii="宋体" w:hAnsi="宋体" w:eastAsia="宋体" w:cs="仿宋"/>
                <w:color w:val="auto"/>
                <w:sz w:val="21"/>
                <w:szCs w:val="21"/>
                <w:highlight w:val="none"/>
                <w:lang w:val="en-US" w:eastAsia="zh-CN"/>
              </w:rPr>
              <w:t>分</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3545" w:type="dxa"/>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有效投标报价的最低价作为评标基准价，其最低报价为满分；按［投标报价得分</w:t>
            </w:r>
            <w:r>
              <w:rPr>
                <w:rFonts w:ascii="仿宋" w:hAnsi="仿宋" w:eastAsia="仿宋" w:cs="仿宋_GB2312"/>
                <w:color w:val="auto"/>
                <w:sz w:val="24"/>
                <w:highlight w:val="none"/>
              </w:rPr>
              <w:t>=（评标基准价/投标报价）*</w:t>
            </w:r>
            <w:r>
              <w:rPr>
                <w:rFonts w:hint="eastAsia" w:ascii="仿宋" w:hAnsi="仿宋" w:eastAsia="仿宋" w:cs="仿宋_GB2312"/>
                <w:color w:val="auto"/>
                <w:sz w:val="24"/>
                <w:highlight w:val="none"/>
                <w:lang w:val="en-US" w:eastAsia="zh-CN"/>
              </w:rPr>
              <w:t>1</w:t>
            </w:r>
            <w:r>
              <w:rPr>
                <w:rFonts w:ascii="仿宋" w:hAnsi="仿宋" w:eastAsia="仿宋" w:cs="仿宋_GB2312"/>
                <w:color w:val="auto"/>
                <w:sz w:val="24"/>
                <w:highlight w:val="none"/>
              </w:rPr>
              <w:t>0］的计算公式计算。</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firstLineChars="0"/>
              <w:jc w:val="left"/>
              <w:textAlignment w:val="auto"/>
              <w:rPr>
                <w:rFonts w:ascii="仿宋" w:hAnsi="仿宋" w:eastAsia="仿宋" w:cs="仿宋_GB2312"/>
                <w:color w:val="auto"/>
                <w:sz w:val="24"/>
                <w:highlight w:val="none"/>
              </w:rPr>
            </w:pPr>
            <w:r>
              <w:rPr>
                <w:rFonts w:ascii="仿宋" w:hAnsi="仿宋" w:eastAsia="仿宋" w:cs="仿宋_GB2312"/>
                <w:color w:val="auto"/>
                <w:sz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firstLineChars="0"/>
              <w:jc w:val="left"/>
              <w:textAlignment w:val="auto"/>
              <w:rPr>
                <w:rFonts w:ascii="仿宋" w:hAnsi="Times New Roman" w:eastAsia="仿宋" w:cs="Times New Roman"/>
                <w:color w:val="auto"/>
                <w:kern w:val="2"/>
                <w:sz w:val="24"/>
                <w:szCs w:val="24"/>
                <w:highlight w:val="none"/>
                <w:lang w:val="en-US" w:eastAsia="zh-CN" w:bidi="ar-SA"/>
              </w:rPr>
            </w:pPr>
            <w:r>
              <w:rPr>
                <w:rFonts w:ascii="仿宋" w:hAnsi="仿宋" w:eastAsia="仿宋" w:cs="仿宋_GB2312"/>
                <w:color w:val="auto"/>
                <w:sz w:val="24"/>
                <w:highlight w:val="none"/>
              </w:rPr>
              <w:t>因落实政府采购政策</w:t>
            </w:r>
            <w:r>
              <w:rPr>
                <w:rFonts w:hint="eastAsia" w:ascii="仿宋" w:hAnsi="仿宋" w:eastAsia="仿宋" w:cs="仿宋_GB2312"/>
                <w:color w:val="auto"/>
                <w:sz w:val="24"/>
                <w:highlight w:val="none"/>
              </w:rPr>
              <w:t>需要</w:t>
            </w:r>
            <w:r>
              <w:rPr>
                <w:rFonts w:ascii="仿宋" w:hAnsi="仿宋" w:eastAsia="仿宋" w:cs="仿宋_GB2312"/>
                <w:color w:val="auto"/>
                <w:sz w:val="24"/>
                <w:highlight w:val="none"/>
              </w:rPr>
              <w:t>进行价格调整的，以调整后的价格计算评标基准价和投标报价。</w:t>
            </w:r>
          </w:p>
        </w:tc>
        <w:tc>
          <w:tcPr>
            <w:tcW w:w="7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147"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2150" w:type="dxa"/>
          </w:tcPr>
          <w:p>
            <w:pPr>
              <w:snapToGrid w:val="0"/>
              <w:spacing w:line="360" w:lineRule="auto"/>
              <w:jc w:val="center"/>
              <w:rPr>
                <w:rFonts w:cs="仿宋_GB2312" w:asciiTheme="minorEastAsia" w:hAnsiTheme="minorEastAsia" w:eastAsiaTheme="minorEastAsia"/>
                <w:color w:val="auto"/>
                <w:sz w:val="24"/>
                <w:highlight w:val="none"/>
              </w:rPr>
            </w:pP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outlineLvl w:val="1"/>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outlineLvl w:val="2"/>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1"/>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outlineLvl w:val="2"/>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outlineLvl w:val="3"/>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outlineLvl w:val="2"/>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outlineLvl w:val="3"/>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outlineLvl w:val="3"/>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outlineLvl w:val="3"/>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5"/>
        <w:ind w:left="862" w:leftChars="205"/>
        <w:outlineLvl w:val="3"/>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rPr>
          <w:rFonts w:hint="eastAsia" w:ascii="宋体" w:hAnsi="宋体" w:cs="宋体"/>
          <w:b/>
          <w:color w:val="auto"/>
          <w:sz w:val="36"/>
          <w:szCs w:val="36"/>
          <w:highlight w:val="none"/>
        </w:rPr>
      </w:pPr>
      <w:bookmarkStart w:id="398" w:name="第五部分"/>
      <w:bookmarkStart w:id="399" w:name="_Toc86217003"/>
      <w:r>
        <w:rPr>
          <w:rFonts w:hint="eastAsia"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keepNext w:val="0"/>
        <w:keepLines w:val="0"/>
        <w:pageBreakBefore w:val="0"/>
        <w:kinsoku/>
        <w:overflowPunct/>
        <w:topLinePunct w:val="0"/>
        <w:bidi w:val="0"/>
        <w:adjustRightInd w:val="0"/>
        <w:snapToGrid w:val="0"/>
        <w:spacing w:line="360" w:lineRule="auto"/>
        <w:ind w:left="0" w:right="0" w:firstLine="482" w:firstLineChars="200"/>
        <w:jc w:val="center"/>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招标文件中仅提供部分合同格式条款，最终合同文本以双方签字盖章为准）</w:t>
      </w:r>
    </w:p>
    <w:p>
      <w:pPr>
        <w:pStyle w:val="33"/>
        <w:keepNext w:val="0"/>
        <w:keepLines w:val="0"/>
        <w:pageBreakBefore w:val="0"/>
        <w:kinsoku/>
        <w:wordWrap w:val="0"/>
        <w:overflowPunct/>
        <w:topLinePunct w:val="0"/>
        <w:bidi w:val="0"/>
        <w:adjustRightInd w:val="0"/>
        <w:snapToGrid w:val="0"/>
        <w:spacing w:line="360" w:lineRule="auto"/>
        <w:ind w:left="0" w:right="0" w:firstLine="480" w:firstLineChars="200"/>
        <w:jc w:val="righ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合同编号：            </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项目编号：</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标项名称：</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鉴证方（盖章）：</w:t>
      </w:r>
    </w:p>
    <w:p>
      <w:pPr>
        <w:keepNext w:val="0"/>
        <w:keepLines w:val="0"/>
        <w:pageBreakBefore w:val="0"/>
        <w:kinsoku/>
        <w:overflowPunct/>
        <w:topLinePunct w:val="0"/>
        <w:bidi w:val="0"/>
        <w:adjustRightInd w:val="0"/>
        <w:snapToGrid w:val="0"/>
        <w:spacing w:line="360" w:lineRule="auto"/>
        <w:ind w:right="0"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（招标文件中仅提供部分合同格式条款，最终合同文本以双方签字盖章为准）</w:t>
      </w:r>
    </w:p>
    <w:p>
      <w:pPr>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根据有关法律、法规，并依据</w:t>
      </w:r>
      <w:r>
        <w:rPr>
          <w:rFonts w:hint="eastAsia" w:ascii="仿宋" w:hAnsi="仿宋" w:eastAsia="仿宋" w:cs="仿宋"/>
          <w:color w:val="auto"/>
          <w:sz w:val="24"/>
          <w:szCs w:val="24"/>
          <w:highlight w:val="none"/>
          <w:lang w:eastAsia="zh-CN"/>
        </w:rPr>
        <w:t xml:space="preserve"> 杭州市拱墅区人民政府祥符街道办事处2025年市场监管服务（重新招标）项目</w:t>
      </w:r>
      <w:r>
        <w:rPr>
          <w:rFonts w:hint="eastAsia" w:ascii="仿宋" w:hAnsi="仿宋" w:eastAsia="仿宋" w:cs="仿宋"/>
          <w:color w:val="auto"/>
          <w:sz w:val="24"/>
          <w:szCs w:val="24"/>
          <w:highlight w:val="none"/>
        </w:rPr>
        <w:t>公开招标的评标结果，双方在自愿、平等、协商一致的基础上就</w:t>
      </w:r>
      <w:r>
        <w:rPr>
          <w:rFonts w:hint="eastAsia" w:ascii="仿宋" w:hAnsi="仿宋" w:eastAsia="仿宋" w:cs="仿宋"/>
          <w:color w:val="auto"/>
          <w:sz w:val="24"/>
          <w:szCs w:val="24"/>
          <w:highlight w:val="none"/>
          <w:lang w:val="en-US" w:eastAsia="zh-CN"/>
        </w:rPr>
        <w:t>市场监管</w:t>
      </w:r>
      <w:r>
        <w:rPr>
          <w:rFonts w:hint="eastAsia" w:ascii="仿宋" w:hAnsi="仿宋" w:eastAsia="仿宋" w:cs="仿宋"/>
          <w:color w:val="auto"/>
          <w:sz w:val="24"/>
          <w:szCs w:val="24"/>
          <w:highlight w:val="none"/>
        </w:rPr>
        <w:t>服务事宜，特订立本合同。</w:t>
      </w:r>
    </w:p>
    <w:p>
      <w:pPr>
        <w:keepNext w:val="0"/>
        <w:keepLines w:val="0"/>
        <w:pageBreakBefore w:val="0"/>
        <w:kinsoku/>
        <w:overflowPunct/>
        <w:topLinePunct w:val="0"/>
        <w:bidi w:val="0"/>
        <w:adjustRightInd w:val="0"/>
        <w:snapToGrid w:val="0"/>
        <w:spacing w:line="360" w:lineRule="auto"/>
        <w:ind w:left="0" w:right="0" w:firstLine="482" w:firstLineChars="2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一、合同内容概要：</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1、乙方承担</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snapToGrid w:val="0"/>
          <w:color w:val="auto"/>
          <w:kern w:val="2"/>
          <w:sz w:val="24"/>
          <w:szCs w:val="24"/>
          <w:highlight w:val="none"/>
          <w:u w:val="single"/>
          <w:lang w:val="en-US" w:eastAsia="zh-CN" w:bidi="ar-SA"/>
        </w:rPr>
        <w:t>杭州市拱墅区人民政府祥符街道办事处2025年市场监管服务（重新招标）</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2、合同总价：</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合同总价为</w:t>
      </w:r>
      <w:r>
        <w:rPr>
          <w:rFonts w:hint="eastAsia" w:ascii="仿宋" w:hAnsi="仿宋" w:eastAsia="仿宋" w:cs="仿宋"/>
          <w:color w:val="auto"/>
          <w:sz w:val="24"/>
          <w:szCs w:val="24"/>
          <w:highlight w:val="none"/>
          <w:lang w:val="en-US" w:eastAsia="zh-CN"/>
        </w:rPr>
        <w:t>365日历天（</w:t>
      </w:r>
      <w:r>
        <w:rPr>
          <w:rFonts w:hint="eastAsia" w:ascii="仿宋" w:hAnsi="仿宋" w:eastAsia="仿宋" w:cs="仿宋"/>
          <w:color w:val="auto"/>
          <w:sz w:val="24"/>
          <w:szCs w:val="24"/>
          <w:highlight w:val="none"/>
        </w:rPr>
        <w:t>年度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内的服务费</w:t>
      </w:r>
      <w:r>
        <w:rPr>
          <w:rFonts w:hint="eastAsia" w:ascii="仿宋" w:hAnsi="仿宋" w:eastAsia="仿宋" w:cs="仿宋"/>
          <w:color w:val="auto"/>
          <w:sz w:val="24"/>
          <w:szCs w:val="24"/>
          <w:highlight w:val="none"/>
          <w:lang w:eastAsia="zh-CN"/>
        </w:rPr>
        <w:t>总价</w:t>
      </w:r>
      <w:r>
        <w:rPr>
          <w:rFonts w:hint="eastAsia" w:ascii="仿宋" w:hAnsi="仿宋" w:eastAsia="仿宋" w:cs="仿宋"/>
          <w:color w:val="auto"/>
          <w:sz w:val="24"/>
          <w:szCs w:val="24"/>
          <w:highlight w:val="none"/>
        </w:rPr>
        <w:t>包干报价，为人民币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，包括招标项目中的所有服务内容、连带内容、关联内容及合同中明示或暗示的所有一般风险、责任和义务等一切应由乙方支付的费用。</w:t>
      </w:r>
      <w:r>
        <w:rPr>
          <w:rFonts w:hint="eastAsia" w:ascii="仿宋" w:hAnsi="仿宋" w:eastAsia="仿宋" w:cs="仿宋"/>
          <w:color w:val="auto"/>
          <w:sz w:val="24"/>
          <w:szCs w:val="24"/>
          <w:highlight w:val="none"/>
          <w:lang w:val="en-US" w:eastAsia="zh-CN"/>
        </w:rPr>
        <w:t>除上述费用外，甲方无需支付其他任何费用。</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3、服务期：</w:t>
      </w:r>
    </w:p>
    <w:p>
      <w:pPr>
        <w:keepNext w:val="0"/>
        <w:keepLines w:val="0"/>
        <w:pageBreakBefore w:val="0"/>
        <w:widowControl/>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u w:val="single"/>
        </w:rPr>
        <w:t>服务期为</w:t>
      </w:r>
      <w:r>
        <w:rPr>
          <w:rFonts w:hint="eastAsia" w:ascii="仿宋" w:hAnsi="仿宋" w:eastAsia="仿宋" w:cs="仿宋"/>
          <w:color w:val="auto"/>
          <w:sz w:val="24"/>
          <w:szCs w:val="24"/>
          <w:highlight w:val="none"/>
          <w:u w:val="single"/>
          <w:lang w:val="en-US" w:eastAsia="zh-CN"/>
        </w:rPr>
        <w:t>365</w:t>
      </w:r>
      <w:r>
        <w:rPr>
          <w:rFonts w:hint="eastAsia" w:ascii="仿宋" w:hAnsi="仿宋" w:eastAsia="仿宋" w:cs="仿宋"/>
          <w:color w:val="auto"/>
          <w:sz w:val="24"/>
          <w:szCs w:val="24"/>
          <w:highlight w:val="none"/>
          <w:u w:val="single"/>
          <w:lang w:eastAsia="zh-CN"/>
        </w:rPr>
        <w:t>日历天</w:t>
      </w:r>
      <w:r>
        <w:rPr>
          <w:rFonts w:hint="eastAsia" w:ascii="仿宋" w:hAnsi="仿宋" w:eastAsia="仿宋" w:cs="仿宋"/>
          <w:color w:val="auto"/>
          <w:kern w:val="0"/>
          <w:sz w:val="24"/>
          <w:szCs w:val="24"/>
          <w:highlight w:val="none"/>
        </w:rPr>
        <w:t>。</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自</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1 </w:t>
      </w:r>
      <w:r>
        <w:rPr>
          <w:rFonts w:hint="eastAsia" w:ascii="仿宋" w:hAnsi="仿宋" w:eastAsia="仿宋" w:cs="仿宋"/>
          <w:color w:val="auto"/>
          <w:sz w:val="24"/>
          <w:szCs w:val="24"/>
          <w:highlight w:val="none"/>
          <w:u w:val="single"/>
        </w:rPr>
        <w:t>日至202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12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31 </w:t>
      </w:r>
      <w:r>
        <w:rPr>
          <w:rFonts w:hint="eastAsia" w:ascii="仿宋" w:hAnsi="仿宋" w:eastAsia="仿宋" w:cs="仿宋"/>
          <w:color w:val="auto"/>
          <w:sz w:val="24"/>
          <w:szCs w:val="24"/>
          <w:highlight w:val="none"/>
          <w:u w:val="single"/>
        </w:rPr>
        <w:t>日。</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在合同有效期内合同任何一方不得擅自变更或</w:t>
      </w:r>
      <w:r>
        <w:rPr>
          <w:rFonts w:hint="eastAsia" w:ascii="仿宋" w:hAnsi="仿宋" w:eastAsia="仿宋" w:cs="仿宋"/>
          <w:color w:val="auto"/>
          <w:sz w:val="24"/>
          <w:szCs w:val="24"/>
          <w:highlight w:val="none"/>
          <w:lang w:val="en-US" w:eastAsia="zh-CN"/>
        </w:rPr>
        <w:t>终</w:t>
      </w:r>
      <w:r>
        <w:rPr>
          <w:rFonts w:hint="eastAsia" w:ascii="仿宋" w:hAnsi="仿宋" w:eastAsia="仿宋" w:cs="仿宋"/>
          <w:color w:val="auto"/>
          <w:sz w:val="24"/>
          <w:szCs w:val="24"/>
          <w:highlight w:val="none"/>
        </w:rPr>
        <w:t>止合同，如未经双方同意，擅自变更或</w:t>
      </w:r>
      <w:r>
        <w:rPr>
          <w:rFonts w:hint="eastAsia" w:ascii="仿宋" w:hAnsi="仿宋" w:eastAsia="仿宋" w:cs="仿宋"/>
          <w:color w:val="auto"/>
          <w:sz w:val="24"/>
          <w:szCs w:val="24"/>
          <w:highlight w:val="none"/>
          <w:lang w:val="en-US" w:eastAsia="zh-CN"/>
        </w:rPr>
        <w:t>终</w:t>
      </w:r>
      <w:r>
        <w:rPr>
          <w:rFonts w:hint="eastAsia" w:ascii="仿宋" w:hAnsi="仿宋" w:eastAsia="仿宋" w:cs="仿宋"/>
          <w:color w:val="auto"/>
          <w:sz w:val="24"/>
          <w:szCs w:val="24"/>
          <w:highlight w:val="none"/>
        </w:rPr>
        <w:t>止合同义务的一方要负违约责任。此项合同需终止或续签，应在合同期内至少提前1个月通知对方。</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4．下列文件为本合同的组成部分，内容和解释优先顺序如下：</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 中标通知书；</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乙方的投标文件；（如有负偏离于招标文件要求的内容，则须按招标文件要求执行）</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 乙方在招投标过程中所作的其它承诺、声明、书面澄清等；</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 招标文件及其附件；</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 合同附件。</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以上与本合同具有同等法律效力。</w:t>
      </w:r>
    </w:p>
    <w:p>
      <w:pPr>
        <w:keepNext w:val="0"/>
        <w:keepLines w:val="0"/>
        <w:pageBreakBefore w:val="0"/>
        <w:kinsoku/>
        <w:overflowPunct/>
        <w:topLinePunct w:val="0"/>
        <w:bidi w:val="0"/>
        <w:adjustRightInd w:val="0"/>
        <w:snapToGrid w:val="0"/>
        <w:spacing w:line="360" w:lineRule="auto"/>
        <w:ind w:left="0" w:right="0" w:firstLine="482" w:firstLineChars="20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二、服务范围和内容</w:t>
      </w:r>
    </w:p>
    <w:p>
      <w:pPr>
        <w:pStyle w:val="7"/>
        <w:spacing w:line="360" w:lineRule="auto"/>
        <w:ind w:left="0" w:leftChars="0" w:firstLine="0" w:firstLineChars="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snapToGrid w:val="0"/>
          <w:color w:val="auto"/>
          <w:kern w:val="2"/>
          <w:sz w:val="24"/>
          <w:szCs w:val="24"/>
          <w:highlight w:val="none"/>
          <w:lang w:val="en-US" w:eastAsia="zh-CN" w:bidi="ar-SA"/>
        </w:rPr>
        <w:t xml:space="preserve">杭州市拱墅区人民政府祥符街道办事处2025年市场监管服务（重新招标） 主要内容： </w:t>
      </w:r>
    </w:p>
    <w:p>
      <w:pPr>
        <w:pStyle w:val="7"/>
        <w:spacing w:line="360" w:lineRule="auto"/>
        <w:ind w:left="0" w:leftChars="0" w:firstLine="0" w:firstLineChars="0"/>
        <w:outlineLvl w:val="2"/>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（1）协助开展宣传教育、文字信息、档案管理、后勤保障等工作；</w:t>
      </w:r>
    </w:p>
    <w:p>
      <w:pPr>
        <w:pStyle w:val="7"/>
        <w:spacing w:line="360" w:lineRule="auto"/>
        <w:ind w:left="0" w:leftChars="0" w:firstLine="0" w:firstLineChars="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（2）协助开展市场主体行政审批、行政许可、年报、解答咨询等窗口服务工作；</w:t>
      </w:r>
    </w:p>
    <w:p>
      <w:pPr>
        <w:pStyle w:val="7"/>
        <w:spacing w:line="360" w:lineRule="auto"/>
        <w:ind w:left="0" w:leftChars="0" w:firstLine="0" w:firstLineChars="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（3）协助执法人员开展食品、药品、特种设备、产品质量、广告、合同、知识产权、价格等日常监管和服务工作；</w:t>
      </w:r>
    </w:p>
    <w:p>
      <w:pPr>
        <w:pStyle w:val="7"/>
        <w:spacing w:line="360" w:lineRule="auto"/>
        <w:ind w:left="0" w:leftChars="0" w:firstLine="0" w:firstLineChars="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（4）协助执法人员开展执法相关工作，按规定协助对涉案物品进行处理。</w:t>
      </w:r>
    </w:p>
    <w:p>
      <w:pPr>
        <w:pStyle w:val="7"/>
        <w:spacing w:line="360" w:lineRule="auto"/>
        <w:ind w:left="0" w:leftChars="0" w:firstLine="0" w:firstLineChars="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（5）协助执法人员预防和劝阻违法行为，协助完成各类专项整治工作；</w:t>
      </w:r>
    </w:p>
    <w:p>
      <w:pPr>
        <w:pStyle w:val="7"/>
        <w:spacing w:line="360" w:lineRule="auto"/>
        <w:ind w:left="0" w:leftChars="0" w:firstLine="0" w:firstLineChars="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（6）协助处理各类消费者投诉（纠纷），维护消费者合法权益；</w:t>
      </w:r>
    </w:p>
    <w:p>
      <w:pPr>
        <w:pStyle w:val="7"/>
        <w:spacing w:line="360" w:lineRule="auto"/>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snapToGrid w:val="0"/>
          <w:color w:val="auto"/>
          <w:kern w:val="2"/>
          <w:sz w:val="24"/>
          <w:szCs w:val="24"/>
          <w:highlight w:val="none"/>
          <w:lang w:val="en-US" w:eastAsia="zh-CN" w:bidi="ar-SA"/>
        </w:rPr>
        <w:t xml:space="preserve">（7）完成交办的其他工作。 </w:t>
      </w:r>
      <w:r>
        <w:rPr>
          <w:rFonts w:hint="eastAsia" w:ascii="仿宋" w:hAnsi="仿宋" w:eastAsia="仿宋" w:cs="仿宋"/>
          <w:color w:val="auto"/>
          <w:kern w:val="0"/>
          <w:sz w:val="24"/>
          <w:highlight w:val="none"/>
          <w:lang w:val="en-US" w:eastAsia="zh-CN"/>
        </w:rPr>
        <w:t xml:space="preserve">  </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2、具体合同细节内容，甲方认为必要时，可在合同中列明（以下内容不涉及价款的调整）： </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备注：乙方在接到中标通知书3天内将投标文件及其承诺的详细实施方案交甲方审查直至认可，该认可的详细方案在签订合同时作为本合同的附件，但不因此增加任何款项，如有需要的费用，应由投标人在投标报价时考虑，并包含在投标报价中）。</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w:t>
      </w:r>
      <w:r>
        <w:rPr>
          <w:rFonts w:hint="eastAsia" w:ascii="仿宋" w:hAnsi="仿宋" w:eastAsia="仿宋" w:cs="仿宋"/>
          <w:color w:val="auto"/>
          <w:sz w:val="24"/>
          <w:szCs w:val="24"/>
          <w:highlight w:val="none"/>
          <w:lang w:val="en-US" w:eastAsia="zh-CN"/>
        </w:rPr>
        <w:t>项目负责人</w:t>
      </w:r>
      <w:r>
        <w:rPr>
          <w:rFonts w:hint="eastAsia" w:ascii="仿宋" w:hAnsi="仿宋" w:eastAsia="仿宋" w:cs="仿宋"/>
          <w:color w:val="auto"/>
          <w:sz w:val="24"/>
          <w:szCs w:val="24"/>
          <w:highlight w:val="none"/>
        </w:rPr>
        <w:t>姓名：（        ），身份证号：（     ），</w:t>
      </w:r>
      <w:r>
        <w:rPr>
          <w:rFonts w:hint="eastAsia" w:ascii="仿宋" w:hAnsi="仿宋" w:eastAsia="仿宋" w:cs="仿宋"/>
          <w:color w:val="auto"/>
          <w:sz w:val="24"/>
          <w:szCs w:val="24"/>
          <w:highlight w:val="none"/>
          <w:lang w:val="en-US" w:eastAsia="zh-CN"/>
        </w:rPr>
        <w:t>项目负责人</w:t>
      </w:r>
      <w:r>
        <w:rPr>
          <w:rFonts w:hint="eastAsia" w:ascii="仿宋" w:hAnsi="仿宋" w:eastAsia="仿宋" w:cs="仿宋"/>
          <w:color w:val="auto"/>
          <w:sz w:val="24"/>
          <w:szCs w:val="24"/>
          <w:highlight w:val="none"/>
        </w:rPr>
        <w:t>负责中标后项目的具体组织实施，承担与本项目有关的全部管理责任，</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不得自行更换。</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color w:val="auto"/>
          <w:sz w:val="24"/>
          <w:szCs w:val="24"/>
          <w:highlight w:val="none"/>
        </w:rPr>
        <w:t>乙方人员配备总数：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岗</w:t>
      </w:r>
      <w:r>
        <w:rPr>
          <w:rFonts w:hint="eastAsia" w:ascii="仿宋" w:hAnsi="仿宋" w:eastAsia="仿宋" w:cs="仿宋"/>
          <w:color w:val="auto"/>
          <w:sz w:val="24"/>
          <w:szCs w:val="24"/>
          <w:highlight w:val="none"/>
        </w:rPr>
        <w:t>，具体人员分配按投标承诺如下：</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outlineLvl w:val="1"/>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（备注：签订合同时可附具体名单）</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如因人员流动，造成项目人数不足的，则按甲方（杭州市拱墅区人民政府祥符街道办事处）岗位需求，由乙方根据实际情况安排本部其余人员或其他驻点人员</w:t>
      </w:r>
      <w:r>
        <w:rPr>
          <w:rFonts w:hint="eastAsia" w:ascii="仿宋" w:hAnsi="仿宋" w:eastAsia="仿宋" w:cs="仿宋"/>
          <w:color w:val="auto"/>
          <w:sz w:val="24"/>
          <w:szCs w:val="24"/>
          <w:highlight w:val="none"/>
          <w:u w:val="single"/>
          <w:lang w:eastAsia="zh-CN"/>
        </w:rPr>
        <w:t>补岗</w:t>
      </w:r>
      <w:r>
        <w:rPr>
          <w:rFonts w:hint="eastAsia" w:ascii="仿宋" w:hAnsi="仿宋" w:eastAsia="仿宋" w:cs="仿宋"/>
          <w:color w:val="auto"/>
          <w:sz w:val="24"/>
          <w:szCs w:val="24"/>
          <w:highlight w:val="none"/>
          <w:u w:val="single"/>
        </w:rPr>
        <w:t>，总人次满足合同要求。</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三、甲、乙双方的责任</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（一）甲方责任：</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1、加强与乙方勾通，交流情况，互通信息。</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2、甲方应积极配合乙方工作人员履行好合同所规定的职责和义务。</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（二）乙方责任：</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1、乙方在从事服务工作中应当做到文明工作，采取必要的安全防范措施。</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2、乙方应及时调整不适应工作需求的服务人员及其员工。如甲方认为该员工不能胜任本职工作的，必须调整。</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3、乙方应经常对员工进行岗位职责和安全教育，加强岗位责任考核。因管理不当、违规操作发生设备损坏、被盗等安全事故对甲方造成损失的，乙方需承担相应的赔偿责任。</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4、乙方员工的食宿、交通自理。</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5、乙方有责任配合甲方做好节电节水环保工作。</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6、乙方有义务配合甲方做好各种突发性工作应急处理。</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7、乙方员工须按要求统一着装，并定期清洗、保持整洁。</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8、乙方应保证在承包期内其员工最低月工资标准不低于杭州市最低标准。</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9、乙方确保部分需要持证上岗的特殊岗位的员工须取得相应的上岗证，并在有效期内，否则由此造成的一切风险和责任由乙方负全责。</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四、合同价款的支付：</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本项目分四期支</w:t>
      </w:r>
      <w:r>
        <w:rPr>
          <w:rFonts w:hint="eastAsia" w:ascii="仿宋" w:hAnsi="仿宋" w:eastAsia="仿宋" w:cs="仿宋"/>
          <w:color w:val="auto"/>
          <w:sz w:val="24"/>
          <w:szCs w:val="24"/>
          <w:highlight w:val="none"/>
          <w:lang w:val="zh-CN" w:eastAsia="zh-CN"/>
        </w:rPr>
        <w:t>付，合同价的</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lang w:val="zh-CN" w:eastAsia="zh-CN"/>
        </w:rPr>
        <w:t>%作为预付款，预付款需在合同签订后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eastAsia="zh-CN"/>
        </w:rPr>
        <w:t>个工作日内支付；合同价的</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%作为二期款，需在202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月3</w:t>
      </w:r>
      <w:r>
        <w:rPr>
          <w:rFonts w:hint="eastAsia" w:ascii="仿宋" w:hAnsi="仿宋" w:eastAsia="仿宋" w:cs="仿宋"/>
          <w:b w:val="0"/>
          <w:color w:val="auto"/>
          <w:sz w:val="24"/>
          <w:szCs w:val="24"/>
          <w:highlight w:val="none"/>
          <w:lang w:val="en-US" w:eastAsia="zh-CN"/>
        </w:rPr>
        <w:t>0</w:t>
      </w:r>
      <w:r>
        <w:rPr>
          <w:rFonts w:hint="eastAsia" w:ascii="仿宋" w:hAnsi="仿宋" w:eastAsia="仿宋" w:cs="仿宋"/>
          <w:color w:val="auto"/>
          <w:sz w:val="24"/>
          <w:szCs w:val="24"/>
          <w:highlight w:val="none"/>
          <w:lang w:val="zh-CN" w:eastAsia="zh-CN"/>
        </w:rPr>
        <w:t>日后7个工作日内支付；合同价的</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%作为三期款，需在202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eastAsia="zh-CN"/>
        </w:rPr>
        <w:t>月</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val="zh-CN" w:eastAsia="zh-CN"/>
        </w:rPr>
        <w:t>日后7个工作日内前支付；合同价的</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%作为四期款，在</w:t>
      </w:r>
      <w:r>
        <w:rPr>
          <w:rFonts w:hint="eastAsia" w:ascii="仿宋" w:hAnsi="仿宋" w:eastAsia="仿宋" w:cs="仿宋"/>
          <w:snapToGrid w:val="0"/>
          <w:color w:val="auto"/>
          <w:kern w:val="2"/>
          <w:sz w:val="24"/>
          <w:szCs w:val="24"/>
          <w:highlight w:val="none"/>
          <w:lang w:val="zh-CN"/>
        </w:rPr>
        <w:t>合同期满综合测评</w:t>
      </w:r>
      <w:r>
        <w:rPr>
          <w:rFonts w:hint="eastAsia" w:ascii="仿宋" w:hAnsi="仿宋" w:eastAsia="仿宋" w:cs="仿宋"/>
          <w:snapToGrid w:val="0"/>
          <w:color w:val="auto"/>
          <w:kern w:val="2"/>
          <w:sz w:val="24"/>
          <w:szCs w:val="24"/>
          <w:highlight w:val="none"/>
          <w:lang w:val="zh-CN" w:eastAsia="zh-CN"/>
        </w:rPr>
        <w:t>履约验收</w:t>
      </w:r>
      <w:r>
        <w:rPr>
          <w:rFonts w:hint="eastAsia" w:ascii="仿宋" w:hAnsi="仿宋" w:eastAsia="仿宋" w:cs="仿宋"/>
          <w:snapToGrid w:val="0"/>
          <w:color w:val="auto"/>
          <w:kern w:val="2"/>
          <w:sz w:val="24"/>
          <w:szCs w:val="24"/>
          <w:highlight w:val="none"/>
          <w:lang w:val="zh-CN"/>
        </w:rPr>
        <w:t>后的10个工作日内支付给</w:t>
      </w:r>
      <w:r>
        <w:rPr>
          <w:rFonts w:hint="eastAsia" w:ascii="仿宋" w:hAnsi="仿宋" w:eastAsia="仿宋" w:cs="仿宋"/>
          <w:snapToGrid w:val="0"/>
          <w:color w:val="auto"/>
          <w:kern w:val="2"/>
          <w:sz w:val="24"/>
          <w:szCs w:val="24"/>
          <w:highlight w:val="none"/>
          <w:lang w:val="zh-CN" w:eastAsia="zh-CN"/>
        </w:rPr>
        <w:t>中标人。</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甲方提前告知中标人，中标人按被告知的每</w:t>
      </w:r>
      <w:r>
        <w:rPr>
          <w:rFonts w:hint="eastAsia" w:ascii="仿宋" w:hAnsi="仿宋" w:eastAsia="仿宋" w:cs="仿宋"/>
          <w:color w:val="auto"/>
          <w:sz w:val="24"/>
          <w:szCs w:val="24"/>
          <w:highlight w:val="none"/>
          <w:lang w:eastAsia="zh-CN"/>
        </w:rPr>
        <w:t>期</w:t>
      </w:r>
      <w:r>
        <w:rPr>
          <w:rFonts w:hint="eastAsia" w:ascii="仿宋" w:hAnsi="仿宋" w:eastAsia="仿宋" w:cs="仿宋"/>
          <w:color w:val="auto"/>
          <w:sz w:val="24"/>
          <w:szCs w:val="24"/>
          <w:highlight w:val="none"/>
          <w:lang w:val="zh-CN"/>
        </w:rPr>
        <w:t>应得经费向招标人结算。</w:t>
      </w:r>
      <w:r>
        <w:rPr>
          <w:rFonts w:hint="eastAsia" w:ascii="仿宋" w:hAnsi="仿宋" w:eastAsia="仿宋" w:cs="仿宋"/>
          <w:color w:val="auto"/>
          <w:sz w:val="24"/>
          <w:szCs w:val="24"/>
          <w:highlight w:val="none"/>
          <w:lang w:val="en-US" w:eastAsia="zh-CN"/>
        </w:rPr>
        <w:t>中标人应在招标人付款前，提供符合招标人财务制度要求的等额发票</w:t>
      </w:r>
      <w:r>
        <w:rPr>
          <w:rFonts w:hint="eastAsia" w:ascii="仿宋" w:hAnsi="仿宋" w:eastAsia="仿宋" w:cs="仿宋"/>
          <w:color w:val="auto"/>
          <w:sz w:val="24"/>
          <w:szCs w:val="24"/>
          <w:highlight w:val="none"/>
          <w:lang w:val="zh-CN"/>
        </w:rPr>
        <w:t>。</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服务周期从2025年1月1日至2025年12月31日结束；2025年1月1日至本服务合同签订日期间为服务空档期，服务空档期由原服务单位实施，费用乙方按本合同价，结合实际服务天数及人数，扣除考核违约金后，与原服务单位进行结算。</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如乙方发生违约行为致甲方造成经济损失的，则甲方有权从其服务费中扣除相应的款项。</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、乙方严格按照投标报价员工福利执行，若员工福利部分没有按投标报价执行，甲方将对乙方扣回相应款项，并处以合同价月服务费1%的处罚。</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、乙方委派的人员要求保证相对稳定，若人员流动率超过20%的，甲方将对乙方以合同价月服务费1%的处罚。</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、岗位考勤：进行岗位考勤时，发现有缺岗现象的，按400元/人次扣除合同金额。一个月内考勤缺岗率达5%，除按400元/人次扣除外，并处以合同价每月服务费1%的处罚。</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、若队员因病假、事假请假，须事先经招标人书面批假，且每月总出勤率不得低于95%，并按180元/人天扣除合同金额。总出勤率低于95%的，按300元/人天扣除合同金额。</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、因乙方过失造成社会重大、恶劣影响的，甲方有权提前</w:t>
      </w:r>
      <w:r>
        <w:rPr>
          <w:rFonts w:hint="eastAsia" w:ascii="仿宋" w:hAnsi="仿宋" w:eastAsia="仿宋" w:cs="仿宋"/>
          <w:b/>
          <w:color w:val="auto"/>
          <w:sz w:val="24"/>
          <w:szCs w:val="24"/>
          <w:highlight w:val="none"/>
          <w:lang w:val="en-US" w:eastAsia="zh-CN"/>
        </w:rPr>
        <w:t>解除</w:t>
      </w:r>
      <w:r>
        <w:rPr>
          <w:rFonts w:hint="eastAsia" w:ascii="仿宋" w:hAnsi="仿宋" w:eastAsia="仿宋" w:cs="仿宋"/>
          <w:b/>
          <w:color w:val="auto"/>
          <w:sz w:val="24"/>
          <w:szCs w:val="24"/>
          <w:highlight w:val="none"/>
        </w:rPr>
        <w:t>合同，</w:t>
      </w:r>
      <w:r>
        <w:rPr>
          <w:rFonts w:hint="eastAsia" w:ascii="仿宋" w:hAnsi="仿宋" w:eastAsia="仿宋" w:cs="仿宋"/>
          <w:b/>
          <w:color w:val="auto"/>
          <w:sz w:val="24"/>
          <w:szCs w:val="24"/>
          <w:highlight w:val="none"/>
          <w:lang w:val="zh-CN"/>
        </w:rPr>
        <w:t>余款不予以支付，并由</w:t>
      </w:r>
      <w:r>
        <w:rPr>
          <w:rFonts w:hint="eastAsia" w:ascii="仿宋" w:hAnsi="仿宋" w:eastAsia="仿宋" w:cs="仿宋"/>
          <w:b/>
          <w:color w:val="auto"/>
          <w:sz w:val="24"/>
          <w:szCs w:val="24"/>
          <w:highlight w:val="none"/>
        </w:rPr>
        <w:t>乙方</w:t>
      </w:r>
      <w:r>
        <w:rPr>
          <w:rFonts w:hint="eastAsia" w:ascii="仿宋" w:hAnsi="仿宋" w:eastAsia="仿宋" w:cs="仿宋"/>
          <w:b/>
          <w:color w:val="auto"/>
          <w:sz w:val="24"/>
          <w:szCs w:val="24"/>
          <w:highlight w:val="none"/>
          <w:lang w:val="zh-CN"/>
        </w:rPr>
        <w:t>赔偿</w:t>
      </w:r>
      <w:r>
        <w:rPr>
          <w:rFonts w:hint="eastAsia" w:ascii="仿宋" w:hAnsi="仿宋" w:eastAsia="仿宋" w:cs="仿宋"/>
          <w:b/>
          <w:color w:val="auto"/>
          <w:sz w:val="24"/>
          <w:szCs w:val="24"/>
          <w:highlight w:val="none"/>
        </w:rPr>
        <w:t>甲方的损失</w:t>
      </w:r>
      <w:r>
        <w:rPr>
          <w:rFonts w:hint="eastAsia" w:ascii="仿宋" w:hAnsi="仿宋" w:eastAsia="仿宋" w:cs="仿宋"/>
          <w:b/>
          <w:color w:val="auto"/>
          <w:sz w:val="24"/>
          <w:szCs w:val="24"/>
          <w:highlight w:val="none"/>
          <w:lang w:val="zh-CN"/>
        </w:rPr>
        <w:t>。</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五、履约保证金：</w:t>
      </w:r>
      <w:r>
        <w:rPr>
          <w:rFonts w:hint="eastAsia" w:ascii="仿宋" w:hAnsi="仿宋" w:eastAsia="仿宋" w:cs="仿宋"/>
          <w:b/>
          <w:color w:val="auto"/>
          <w:sz w:val="24"/>
          <w:szCs w:val="24"/>
          <w:highlight w:val="none"/>
          <w:lang w:eastAsia="zh-CN"/>
        </w:rPr>
        <w:t>本项目免收履约保证金</w:t>
      </w:r>
      <w:r>
        <w:rPr>
          <w:rFonts w:hint="eastAsia" w:ascii="仿宋" w:hAnsi="仿宋" w:eastAsia="仿宋" w:cs="仿宋"/>
          <w:b/>
          <w:color w:val="auto"/>
          <w:sz w:val="24"/>
          <w:szCs w:val="24"/>
          <w:highlight w:val="none"/>
        </w:rPr>
        <w:t>。</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六、保险</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1、第三者责任保险</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乙方应对乙方人员以及第三方全权负责(如乙方应投保第三责任险)，在乙方的责任区内由于乙方原因导致自己员工或第三方的事故由乙方负责，甲方不承担任何责任。</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2、员工人身意外</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在承包期内，乙方所有人员的事故由乙方自行全权负责(如乙方应对其员工投保人身意外险)，以保证甲方在乙方工作人员索赔时不受任何责任的约束。</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3、其他保险及费用</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乙方须按《劳动合同法》</w:t>
      </w:r>
      <w:r>
        <w:rPr>
          <w:rFonts w:hint="eastAsia" w:ascii="仿宋" w:hAnsi="仿宋" w:eastAsia="仿宋" w:cs="仿宋"/>
          <w:color w:val="auto"/>
          <w:sz w:val="24"/>
          <w:szCs w:val="24"/>
          <w:highlight w:val="none"/>
          <w:lang w:val="en-US" w:eastAsia="zh-CN"/>
        </w:rPr>
        <w:t>等相关法律</w:t>
      </w:r>
      <w:r>
        <w:rPr>
          <w:rFonts w:hint="eastAsia" w:ascii="仿宋" w:hAnsi="仿宋" w:eastAsia="仿宋" w:cs="仿宋"/>
          <w:color w:val="auto"/>
          <w:sz w:val="24"/>
          <w:szCs w:val="24"/>
          <w:highlight w:val="none"/>
        </w:rPr>
        <w:t>和政府有关各部门规定为全体服务人员交纳所有相关的社会保险及其他相关费用。乙方对此全权负责。</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七、其它</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1、乙方应做好职工的安全生产教育，并配备一定的劳动保护必需品以供职工使用。</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2、乙方及其员工遵守甲方的一切行政管理、消防安全等规定和制度。</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3、遇突发事件或安全检查时，乙方必须配合有关部门执行任务，并指定专职人员协助工作，直至完成。</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outlineLvl w:val="1"/>
        <w:rPr>
          <w:rFonts w:hint="eastAsia" w:ascii="仿宋" w:hAnsi="仿宋" w:eastAsia="仿宋" w:cs="仿宋"/>
          <w:b/>
          <w:snapToGrid w:val="0"/>
          <w:color w:val="auto"/>
          <w:sz w:val="24"/>
          <w:szCs w:val="24"/>
          <w:highlight w:val="none"/>
        </w:rPr>
      </w:pPr>
      <w:r>
        <w:rPr>
          <w:rFonts w:hint="eastAsia" w:ascii="仿宋" w:hAnsi="仿宋" w:eastAsia="仿宋" w:cs="仿宋"/>
          <w:b/>
          <w:color w:val="auto"/>
          <w:sz w:val="24"/>
          <w:szCs w:val="24"/>
          <w:highlight w:val="none"/>
        </w:rPr>
        <w:t>八、合同的生效</w:t>
      </w:r>
      <w:r>
        <w:rPr>
          <w:rFonts w:hint="eastAsia" w:ascii="仿宋" w:hAnsi="仿宋" w:eastAsia="仿宋" w:cs="仿宋"/>
          <w:b/>
          <w:snapToGrid w:val="0"/>
          <w:color w:val="auto"/>
          <w:sz w:val="24"/>
          <w:szCs w:val="24"/>
          <w:highlight w:val="none"/>
        </w:rPr>
        <w:t>和终止</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1、本合同在双方签字盖章后生效。</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终止</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2.1提前终止</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2.1.1如果甲方在服务期内无理由终止合同，甲方须提前一个月向乙方发出书面通知终止承包，甲方支付给乙方月度服务费二倍金额的赔偿金。</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2.1.2因乙方在服务期内超过两次服务综合考评未达标，甲方可以单方面终止承包，且乙方须支付给甲方月度服务费二倍金额的赔偿金。</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2.1.3如甲方发现乙方出现转</w:t>
      </w:r>
      <w:r>
        <w:rPr>
          <w:rFonts w:hint="eastAsia" w:ascii="仿宋" w:hAnsi="仿宋" w:eastAsia="仿宋" w:cs="仿宋"/>
          <w:color w:val="auto"/>
          <w:sz w:val="24"/>
          <w:szCs w:val="24"/>
          <w:highlight w:val="none"/>
          <w:lang w:val="en-US" w:eastAsia="zh-CN"/>
        </w:rPr>
        <w:t>包</w:t>
      </w:r>
      <w:r>
        <w:rPr>
          <w:rFonts w:hint="eastAsia" w:ascii="仿宋" w:hAnsi="仿宋" w:eastAsia="仿宋" w:cs="仿宋"/>
          <w:color w:val="auto"/>
          <w:sz w:val="24"/>
          <w:szCs w:val="24"/>
          <w:highlight w:val="none"/>
        </w:rPr>
        <w:t>等情况，甲方可以单方面终止承包，且乙方须支付给甲方月度服务费二倍金额的赔偿金。</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如果乙方在服务期内无理由终止合同，乙方须提前三个月向甲方发出书面通知终止承包，乙方须支付给甲方月度服务费二倍金额的赔偿金；如果乙方在服务期内突然无理由终止合同，未提前三个月向甲方发出书面通知终止承包，乙方须支付给甲方月度服务费三倍金额的赔偿金。</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2.1.5如果乙方在服务期内由于乙方原因造成重大责任事故或安全事故，甲方可以单方面终止承包，且乙方须赔偿给甲方造成的经济损失，并须支付给甲方</w:t>
      </w:r>
      <w:r>
        <w:rPr>
          <w:rFonts w:hint="eastAsia" w:ascii="仿宋" w:hAnsi="仿宋" w:eastAsia="仿宋" w:cs="仿宋"/>
          <w:color w:val="auto"/>
          <w:sz w:val="24"/>
          <w:szCs w:val="24"/>
          <w:highlight w:val="none"/>
          <w:lang w:val="en-US" w:eastAsia="zh-CN"/>
        </w:rPr>
        <w:t>合同价款的30%</w:t>
      </w:r>
      <w:r>
        <w:rPr>
          <w:rFonts w:hint="eastAsia" w:ascii="仿宋" w:hAnsi="仿宋" w:eastAsia="仿宋" w:cs="仿宋"/>
          <w:color w:val="auto"/>
          <w:sz w:val="24"/>
          <w:szCs w:val="24"/>
          <w:highlight w:val="none"/>
        </w:rPr>
        <w:t>的赔偿金。</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2.1.6提前终止承包期早于月底最后一天，应视为月底最后一天期满，此条适用于上述2.1.1、2.1.2、2.1.3、2.1.4、2.1.5五条。</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2.1.7乙方未能履行合同和遵守有关规定，在甲方发出书面警告后一周内乙方仍无采取补救措施，甲方可立即终止承包。</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2.1.8乙方破产清</w:t>
      </w:r>
      <w:r>
        <w:rPr>
          <w:rFonts w:hint="eastAsia" w:ascii="仿宋" w:hAnsi="仿宋" w:eastAsia="仿宋" w:cs="仿宋"/>
          <w:color w:val="auto"/>
          <w:sz w:val="24"/>
          <w:szCs w:val="24"/>
          <w:highlight w:val="none"/>
          <w:lang w:val="en-US" w:eastAsia="zh-CN"/>
        </w:rPr>
        <w:t>算</w:t>
      </w:r>
      <w:r>
        <w:rPr>
          <w:rFonts w:hint="eastAsia" w:ascii="仿宋" w:hAnsi="仿宋" w:eastAsia="仿宋" w:cs="仿宋"/>
          <w:color w:val="auto"/>
          <w:sz w:val="24"/>
          <w:szCs w:val="24"/>
          <w:highlight w:val="none"/>
        </w:rPr>
        <w:t>、重组及兼并等事实发生，或被债权人接管经营，甲方</w:t>
      </w:r>
      <w:r>
        <w:rPr>
          <w:rFonts w:hint="eastAsia" w:ascii="仿宋" w:hAnsi="仿宋" w:eastAsia="仿宋" w:cs="仿宋"/>
          <w:color w:val="auto"/>
          <w:sz w:val="24"/>
          <w:szCs w:val="24"/>
          <w:highlight w:val="none"/>
          <w:lang w:val="en-US" w:eastAsia="zh-CN"/>
        </w:rPr>
        <w:t>自知道上述事实时</w:t>
      </w:r>
      <w:r>
        <w:rPr>
          <w:rFonts w:hint="eastAsia" w:ascii="仿宋" w:hAnsi="仿宋" w:eastAsia="仿宋" w:cs="仿宋"/>
          <w:color w:val="auto"/>
          <w:sz w:val="24"/>
          <w:szCs w:val="24"/>
          <w:highlight w:val="none"/>
        </w:rPr>
        <w:t>不必通知乙方即可终止承包。</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自然终止</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合同规定的承包服务期满，承包自然终止。</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承包终止后果</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3.1终止承包，不影响根据合同规定进行的赔偿、补偿，也不影响履约保证金的效力。</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3.2上述2.1.6、2.1.7二条的终止，乙方的履约保证金作为违约金支付给甲方。</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3.3承包终止时，双方应进行结算，甲方同时进行乙方承包区域设施、设备状况检查并要求乙方三天内将乙方物品撤离指定区域，否则甲方将代理处理，乙方支付甲方代理费及10%的手续费。</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不放弃权利</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甲方接受乙方的服务，但不放弃对乙方违约行为进行追究的权利；同时，若甲方对乙方某一违约行为放弃进行追究的权利，但不放弃对乙方其他违约行为进行追究的权利。</w:t>
      </w:r>
    </w:p>
    <w:p>
      <w:pPr>
        <w:pStyle w:val="33"/>
        <w:keepNext w:val="0"/>
        <w:keepLines w:val="0"/>
        <w:pageBreakBefore w:val="0"/>
        <w:kinsoku/>
        <w:overflowPunct/>
        <w:topLinePunct w:val="0"/>
        <w:bidi w:val="0"/>
        <w:adjustRightInd w:val="0"/>
        <w:snapToGrid w:val="0"/>
        <w:spacing w:line="360" w:lineRule="auto"/>
        <w:ind w:left="0" w:right="0" w:firstLine="482" w:firstLineChars="2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九、争议处理</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引起的或与本协议有关的任何争议，双方应当协商解决。经双方协商不能解决的，双方同意按照以下第    种方式解决：</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杭州市</w:t>
      </w:r>
      <w:r>
        <w:rPr>
          <w:rFonts w:hint="eastAsia" w:ascii="仿宋" w:hAnsi="仿宋" w:eastAsia="仿宋" w:cs="仿宋"/>
          <w:color w:val="auto"/>
          <w:sz w:val="24"/>
          <w:szCs w:val="24"/>
          <w:highlight w:val="none"/>
        </w:rPr>
        <w:t>仲裁委员会按照该会仲裁规则进行仲裁。</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（二）任何一方均有权向</w:t>
      </w:r>
      <w:r>
        <w:rPr>
          <w:rFonts w:hint="eastAsia" w:ascii="仿宋" w:hAnsi="仿宋" w:eastAsia="仿宋" w:cs="仿宋"/>
          <w:color w:val="auto"/>
          <w:sz w:val="24"/>
          <w:szCs w:val="24"/>
          <w:highlight w:val="none"/>
          <w:lang w:val="en-US" w:eastAsia="zh-CN"/>
        </w:rPr>
        <w:t>甲方所在地</w:t>
      </w:r>
      <w:r>
        <w:rPr>
          <w:rFonts w:hint="eastAsia" w:ascii="仿宋" w:hAnsi="仿宋" w:eastAsia="仿宋" w:cs="仿宋"/>
          <w:color w:val="auto"/>
          <w:sz w:val="24"/>
          <w:szCs w:val="24"/>
          <w:highlight w:val="none"/>
        </w:rPr>
        <w:t>人民法院提起诉讼。</w:t>
      </w:r>
    </w:p>
    <w:p>
      <w:pPr>
        <w:pStyle w:val="33"/>
        <w:keepNext w:val="0"/>
        <w:keepLines w:val="0"/>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sz w:val="24"/>
          <w:szCs w:val="24"/>
          <w:highlight w:val="none"/>
        </w:rPr>
      </w:pPr>
    </w:p>
    <w:p>
      <w:pPr>
        <w:keepNext w:val="0"/>
        <w:keepLines w:val="0"/>
        <w:pageBreakBefore w:val="0"/>
        <w:kinsoku/>
        <w:overflowPunct/>
        <w:topLinePunct w:val="0"/>
        <w:autoSpaceDE w:val="0"/>
        <w:autoSpaceDN w:val="0"/>
        <w:bidi w:val="0"/>
        <w:adjustRightInd w:val="0"/>
        <w:snapToGrid w:val="0"/>
        <w:spacing w:line="360" w:lineRule="auto"/>
        <w:ind w:left="0" w:right="0" w:firstLine="482" w:firstLineChars="20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十、其他</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1．未经过甲方的书面同意，乙方不得转让其应履行的合同项下的义务。</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2．乙方不得参与可能与合同规定的与甲方的利益相冲突的任何活动。</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3．乙方人员在甲方场地工作时，应遵守甲方相关规章、制度。</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4．本合同任何一方给另一方的通知，都应以书面或电传/传真/电报的形式发送，而另一方应以书面形式确认并发送到对方明确的地址。</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5．合同履行期内甲乙双方均不得随意变更或解除合同。合同若有未尽事宜，需经双方共同协商，订立补充协议，补充协议与本合同有同等法律效力。</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6．招标文件、投标文件及评标过程中形成的文字资料、询标纪要均作为本合同的组成部分，具有同等效力。</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7．本合同一式陆份，甲方执叁份、乙方执贰份、招标代理机构执壹份。</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8．适用法律：本合同应按照中华人民共和国的法律进行解释。</w:t>
      </w:r>
    </w:p>
    <w:p>
      <w:pPr>
        <w:keepNext w:val="0"/>
        <w:keepLines w:val="0"/>
        <w:pageBreakBefore w:val="0"/>
        <w:kinsoku/>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附合同附件：考核办法（合同正式签订时提供）。</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甲方（盖章）：                          乙方（盖章）：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                           法定代表人：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或授权代表（签字）：                    或授权代表（签字）：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地址：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邮编：                                 邮编：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电话：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传真：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帐号：                                 帐号：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鉴证方（盖章）：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或授权代表（签字）：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邮编：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p>
      <w:pPr>
        <w:keepNext w:val="0"/>
        <w:keepLines w:val="0"/>
        <w:pageBreakBefore w:val="0"/>
        <w:kinsoku/>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p>
      <w:pPr>
        <w:keepNext w:val="0"/>
        <w:keepLines w:val="0"/>
        <w:pageBreakBefore w:val="0"/>
        <w:kinsoku/>
        <w:overflowPunct/>
        <w:topLinePunct w:val="0"/>
        <w:bidi w:val="0"/>
        <w:adjustRightInd w:val="0"/>
        <w:snapToGrid w:val="0"/>
        <w:spacing w:line="360" w:lineRule="auto"/>
        <w:ind w:left="0" w:right="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签约时间：      年    月   日</w:t>
      </w:r>
    </w:p>
    <w:p>
      <w:pPr>
        <w:keepNext w:val="0"/>
        <w:keepLines w:val="0"/>
        <w:pageBreakBefore w:val="0"/>
        <w:kinsoku/>
        <w:overflowPunct/>
        <w:topLinePunct w:val="0"/>
        <w:bidi w:val="0"/>
        <w:adjustRightInd w:val="0"/>
        <w:snapToGrid w:val="0"/>
        <w:spacing w:line="360" w:lineRule="auto"/>
        <w:ind w:left="0" w:right="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签约地点：</w:t>
      </w:r>
    </w:p>
    <w:p>
      <w:pPr>
        <w:keepNext w:val="0"/>
        <w:keepLines w:val="0"/>
        <w:pageBreakBefore w:val="0"/>
        <w:kinsoku/>
        <w:overflowPunct/>
        <w:topLinePunct w:val="0"/>
        <w:bidi w:val="0"/>
        <w:adjustRightInd w:val="0"/>
        <w:snapToGrid w:val="0"/>
        <w:spacing w:line="360" w:lineRule="auto"/>
        <w:ind w:left="0" w:right="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rPr>
        <w:t>此仅为合同书样本，中标单位需根据实际情况和采购人签订相应的合同！</w:t>
      </w:r>
    </w:p>
    <w:p>
      <w:pPr>
        <w:widowControl/>
        <w:adjustRightInd/>
        <w:jc w:val="left"/>
        <w:rPr>
          <w:rFonts w:ascii="宋体" w:hAnsi="宋体" w:cs="宋体"/>
          <w:color w:val="auto"/>
          <w:sz w:val="24"/>
          <w:highlight w:val="none"/>
        </w:rPr>
      </w:pPr>
      <w:r>
        <w:rPr>
          <w:rFonts w:ascii="宋体" w:hAnsi="宋体"/>
          <w:b/>
          <w:color w:val="auto"/>
          <w:highlight w:val="none"/>
        </w:rPr>
        <w:br w:type="page"/>
      </w:r>
    </w:p>
    <w:p>
      <w:pPr>
        <w:widowControl/>
        <w:adjustRightInd/>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pPr>
        <w:spacing w:line="360" w:lineRule="auto"/>
        <w:jc w:val="center"/>
        <w:outlineLvl w:val="9"/>
        <w:rPr>
          <w:rFonts w:ascii="宋体" w:hAnsi="宋体" w:cs="宋体"/>
          <w:b/>
          <w:color w:val="auto"/>
          <w:kern w:val="0"/>
          <w:sz w:val="36"/>
          <w:szCs w:val="36"/>
          <w:highlight w:val="none"/>
        </w:rPr>
      </w:pPr>
    </w:p>
    <w:p>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9"/>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outlineLvl w:val="1"/>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杭州市拱墅区人民政府祥符街道办事处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浙江广通工程咨询有限公司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杭州市拱墅区人民政府祥符街道办事处2025年市场监管服务（重新招标）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2025-0102-104502-1</w:t>
      </w:r>
      <w:r>
        <w:rPr>
          <w:rFonts w:hint="eastAsia" w:ascii="宋体" w:hAnsi="宋体" w:cs="宋体"/>
          <w:color w:val="auto"/>
          <w:sz w:val="24"/>
          <w:highlight w:val="none"/>
        </w:rPr>
        <w:t>】政府采购活动，郑重承诺：</w:t>
      </w:r>
    </w:p>
    <w:p>
      <w:pPr>
        <w:snapToGrid w:val="0"/>
        <w:spacing w:line="360" w:lineRule="auto"/>
        <w:ind w:firstLine="360" w:firstLineChars="150"/>
        <w:outlineLvl w:val="2"/>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9"/>
        <w:rPr>
          <w:rFonts w:ascii="宋体" w:hAnsi="宋体" w:cs="宋体"/>
          <w:b/>
          <w:color w:val="auto"/>
          <w:kern w:val="0"/>
          <w:sz w:val="24"/>
          <w:highlight w:val="none"/>
        </w:rPr>
      </w:pPr>
    </w:p>
    <w:p>
      <w:pPr>
        <w:spacing w:line="360" w:lineRule="auto"/>
        <w:jc w:val="center"/>
        <w:outlineLvl w:val="2"/>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outlineLvl w:val="2"/>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1"/>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杭州市拱墅区人民政府祥符街道办事处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浙江广通工程咨询有限公司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杭州市拱墅区人民政府祥符街道办事处2025年市场监管服务（重新招标）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2025-0102-104502-1</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outlineLvl w:val="3"/>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0" w:name="_Hlk101257010"/>
      <w:r>
        <w:rPr>
          <w:rFonts w:hint="eastAsia" w:ascii="宋体" w:hAnsi="宋体" w:cs="宋体"/>
          <w:color w:val="auto"/>
          <w:sz w:val="24"/>
          <w:highlight w:val="none"/>
        </w:rPr>
        <w:t>（如果有)</w:t>
      </w:r>
      <w:bookmarkEnd w:id="400"/>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outlineLvl w:val="3"/>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outlineLvl w:val="3"/>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5"/>
        <w:outlineLvl w:val="9"/>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outlineLvl w:val="1"/>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杭州市拱墅区人民政府祥符街道办事处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浙江广通工程咨询有限公司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杭州市拱墅区人民政府祥符街道办事处2025年市场监管服务（重新招标）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2025-0102-104502-1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杭州市拱墅区人民政府祥符街道办事处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浙江广通工程咨询有限公司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杭州市拱墅区人民政府祥符街道办事处2025年市场监管服务（重新招标）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2025-0102-104502-1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outlineLvl w:val="1"/>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outlineLvl w:val="1"/>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杭州市拱墅区人民政府祥符街道办事处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浙江广通工程咨询有限公司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2"/>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9"/>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1"/>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杭州市拱墅区人民政府祥符街道办事处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浙江广通工程咨询有限公司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杭州市拱墅区人民政府祥符街道办事处2025年市场监管服务（重新招标）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2025-0102-104502-1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outlineLvl w:val="2"/>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1"/>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outlineLvl w:val="2"/>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01" w:name="OLE_LINK14"/>
      <w:bookmarkStart w:id="402" w:name="OLE_LINK13"/>
      <w:r>
        <w:rPr>
          <w:rFonts w:hint="eastAsia" w:ascii="宋体" w:hAnsi="宋体" w:cs="宋体"/>
          <w:b/>
          <w:color w:val="auto"/>
          <w:spacing w:val="6"/>
          <w:sz w:val="32"/>
          <w:szCs w:val="32"/>
          <w:highlight w:val="none"/>
        </w:rPr>
        <w:t>残疾人福利性单位声明函</w:t>
      </w:r>
    </w:p>
    <w:bookmarkEnd w:id="401"/>
    <w:bookmarkEnd w:id="40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杭州市拱墅区人民政府祥符街道办事处2025年市场监管服务（重新招标）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outlineLvl w:val="1"/>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outlineLvl w:val="1"/>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outlineLvl w:val="1"/>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outlineLvl w:val="1"/>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outlineLvl w:val="2"/>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outlineLvl w:val="2"/>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outlineLvl w:val="2"/>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outlineLvl w:val="1"/>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杭州市拱墅区人民政府祥符街道办事处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浙江广通工程咨询有限公司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杭州市拱墅区人民政府祥符街道办事处2025年市场监管服务（重新招标）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2025-0102-104502-1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杭州市拱墅区人民政府祥符街道办事处2025年市场监管服务（重新招标）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2025-0102-104502-1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4"/>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5"/>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outlineLvl w:val="2"/>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杭州市拱墅区人民政府祥符街道办事处2025年市场监管服务（重新招标）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2025-0102-104502-1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9" w:firstLineChars="95"/>
        <w:outlineLvl w:val="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杭州市拱墅区人民政府祥符街道办事处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杭州市拱墅区人民政府祥符街道办事处2025年市场监管服务（重新招标）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outlineLvl w:val="9"/>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6" w:name="_Toc164085800"/>
    <w:bookmarkStart w:id="407" w:name="_Toc91899912"/>
    <w:bookmarkStart w:id="408" w:name="_Toc36110187"/>
    <w:bookmarkStart w:id="409" w:name="_Toc131845147"/>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277A9"/>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27EE4"/>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E767B"/>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60BC7"/>
    <w:rsid w:val="10F33360"/>
    <w:rsid w:val="10FC16EA"/>
    <w:rsid w:val="110F1D40"/>
    <w:rsid w:val="11266F33"/>
    <w:rsid w:val="118963A1"/>
    <w:rsid w:val="11C6522A"/>
    <w:rsid w:val="11E104CC"/>
    <w:rsid w:val="11E20309"/>
    <w:rsid w:val="12255233"/>
    <w:rsid w:val="123D08C5"/>
    <w:rsid w:val="12530213"/>
    <w:rsid w:val="127723A9"/>
    <w:rsid w:val="12862074"/>
    <w:rsid w:val="12883966"/>
    <w:rsid w:val="129E45B4"/>
    <w:rsid w:val="12D81596"/>
    <w:rsid w:val="13072A44"/>
    <w:rsid w:val="13451B2E"/>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703603"/>
    <w:rsid w:val="16A8729C"/>
    <w:rsid w:val="16B33777"/>
    <w:rsid w:val="16BC70A7"/>
    <w:rsid w:val="16C6339E"/>
    <w:rsid w:val="172F2D79"/>
    <w:rsid w:val="17557BEF"/>
    <w:rsid w:val="17AB4CAC"/>
    <w:rsid w:val="17D349C1"/>
    <w:rsid w:val="1830729E"/>
    <w:rsid w:val="1870062C"/>
    <w:rsid w:val="18817102"/>
    <w:rsid w:val="18830A15"/>
    <w:rsid w:val="18852B28"/>
    <w:rsid w:val="188B5321"/>
    <w:rsid w:val="18A312F5"/>
    <w:rsid w:val="190D1F22"/>
    <w:rsid w:val="19932372"/>
    <w:rsid w:val="19A20DD5"/>
    <w:rsid w:val="19AE03F1"/>
    <w:rsid w:val="1A071A03"/>
    <w:rsid w:val="1A1F16AE"/>
    <w:rsid w:val="1A3B5C77"/>
    <w:rsid w:val="1A984BAD"/>
    <w:rsid w:val="1AA975DE"/>
    <w:rsid w:val="1AB8220E"/>
    <w:rsid w:val="1AE4166C"/>
    <w:rsid w:val="1AF06CFB"/>
    <w:rsid w:val="1AF11B8D"/>
    <w:rsid w:val="1B11359C"/>
    <w:rsid w:val="1B2A271F"/>
    <w:rsid w:val="1B3C64AA"/>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C805EC"/>
    <w:rsid w:val="25F74A5C"/>
    <w:rsid w:val="2628662C"/>
    <w:rsid w:val="262D45DE"/>
    <w:rsid w:val="265837D5"/>
    <w:rsid w:val="26871DC8"/>
    <w:rsid w:val="26A53EF9"/>
    <w:rsid w:val="26A547A9"/>
    <w:rsid w:val="26A94201"/>
    <w:rsid w:val="26AC274F"/>
    <w:rsid w:val="27044A29"/>
    <w:rsid w:val="271D34C8"/>
    <w:rsid w:val="276142BF"/>
    <w:rsid w:val="27783712"/>
    <w:rsid w:val="27907362"/>
    <w:rsid w:val="2801645C"/>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884F1E"/>
    <w:rsid w:val="2CE82D6F"/>
    <w:rsid w:val="2D343236"/>
    <w:rsid w:val="2DD15014"/>
    <w:rsid w:val="2DEC60C8"/>
    <w:rsid w:val="2DF72DE4"/>
    <w:rsid w:val="2E0220AF"/>
    <w:rsid w:val="2E4B082A"/>
    <w:rsid w:val="2E5D4E86"/>
    <w:rsid w:val="2E5D790B"/>
    <w:rsid w:val="2E9A3C18"/>
    <w:rsid w:val="2EB31167"/>
    <w:rsid w:val="2EBB0FEE"/>
    <w:rsid w:val="2EC63002"/>
    <w:rsid w:val="2F0A6B38"/>
    <w:rsid w:val="2F946CCB"/>
    <w:rsid w:val="2FD25781"/>
    <w:rsid w:val="2FDC745C"/>
    <w:rsid w:val="2FFD7934"/>
    <w:rsid w:val="30733ACD"/>
    <w:rsid w:val="308C3862"/>
    <w:rsid w:val="309379D8"/>
    <w:rsid w:val="30A270F7"/>
    <w:rsid w:val="30DF1478"/>
    <w:rsid w:val="30EC586F"/>
    <w:rsid w:val="314550B7"/>
    <w:rsid w:val="317F1A54"/>
    <w:rsid w:val="319C6071"/>
    <w:rsid w:val="31AC537E"/>
    <w:rsid w:val="31E3679B"/>
    <w:rsid w:val="31E732FD"/>
    <w:rsid w:val="32517576"/>
    <w:rsid w:val="32BE5C2C"/>
    <w:rsid w:val="32CF5ADE"/>
    <w:rsid w:val="32FB6478"/>
    <w:rsid w:val="33263B3F"/>
    <w:rsid w:val="336963EB"/>
    <w:rsid w:val="33816EEB"/>
    <w:rsid w:val="33EB55CD"/>
    <w:rsid w:val="33EC4C02"/>
    <w:rsid w:val="340D2360"/>
    <w:rsid w:val="3410665D"/>
    <w:rsid w:val="34211214"/>
    <w:rsid w:val="342E63AB"/>
    <w:rsid w:val="34521F12"/>
    <w:rsid w:val="34950E68"/>
    <w:rsid w:val="34986E94"/>
    <w:rsid w:val="34AF62C9"/>
    <w:rsid w:val="34CB4388"/>
    <w:rsid w:val="34FA6E12"/>
    <w:rsid w:val="354D7158"/>
    <w:rsid w:val="358D5588"/>
    <w:rsid w:val="360E1443"/>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742F7"/>
    <w:rsid w:val="38586797"/>
    <w:rsid w:val="38BC0149"/>
    <w:rsid w:val="38D87D1C"/>
    <w:rsid w:val="390B0AC4"/>
    <w:rsid w:val="39636459"/>
    <w:rsid w:val="396B7F6C"/>
    <w:rsid w:val="39B417A9"/>
    <w:rsid w:val="39FC5695"/>
    <w:rsid w:val="3A006D8E"/>
    <w:rsid w:val="3A3651E5"/>
    <w:rsid w:val="3A5C4116"/>
    <w:rsid w:val="3A5D6DD9"/>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0C2185"/>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033BE"/>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07B4A"/>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12BBC"/>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08741E"/>
    <w:rsid w:val="4C245A30"/>
    <w:rsid w:val="4CB6685F"/>
    <w:rsid w:val="4CB8254D"/>
    <w:rsid w:val="4CC367FE"/>
    <w:rsid w:val="4CC80995"/>
    <w:rsid w:val="4CE36943"/>
    <w:rsid w:val="4D077F3C"/>
    <w:rsid w:val="4D123355"/>
    <w:rsid w:val="4D2A3B31"/>
    <w:rsid w:val="4D312C52"/>
    <w:rsid w:val="4D6827FE"/>
    <w:rsid w:val="4D905305"/>
    <w:rsid w:val="4D964A72"/>
    <w:rsid w:val="4D9C1254"/>
    <w:rsid w:val="4E793892"/>
    <w:rsid w:val="4E800872"/>
    <w:rsid w:val="4EC569ED"/>
    <w:rsid w:val="4ED50EA1"/>
    <w:rsid w:val="4EEC050C"/>
    <w:rsid w:val="4F104EC3"/>
    <w:rsid w:val="4F47354A"/>
    <w:rsid w:val="4F6B0C39"/>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437F6"/>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D373D4"/>
    <w:rsid w:val="60ED368C"/>
    <w:rsid w:val="60FA2EE8"/>
    <w:rsid w:val="61054A27"/>
    <w:rsid w:val="610A52BC"/>
    <w:rsid w:val="611D2366"/>
    <w:rsid w:val="61421856"/>
    <w:rsid w:val="615227C4"/>
    <w:rsid w:val="61654E3F"/>
    <w:rsid w:val="6182292A"/>
    <w:rsid w:val="619F7F92"/>
    <w:rsid w:val="61F94C26"/>
    <w:rsid w:val="62000E56"/>
    <w:rsid w:val="624F3E49"/>
    <w:rsid w:val="62632286"/>
    <w:rsid w:val="62885958"/>
    <w:rsid w:val="629E744E"/>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648C9"/>
    <w:rsid w:val="673E055F"/>
    <w:rsid w:val="67551CE3"/>
    <w:rsid w:val="67A22552"/>
    <w:rsid w:val="67B22DCC"/>
    <w:rsid w:val="67BE71AA"/>
    <w:rsid w:val="67D90273"/>
    <w:rsid w:val="67DE5875"/>
    <w:rsid w:val="67E55852"/>
    <w:rsid w:val="67EB1AB4"/>
    <w:rsid w:val="67FA1285"/>
    <w:rsid w:val="684D057F"/>
    <w:rsid w:val="68551F4F"/>
    <w:rsid w:val="687C10C9"/>
    <w:rsid w:val="68840C16"/>
    <w:rsid w:val="68872541"/>
    <w:rsid w:val="68876EFB"/>
    <w:rsid w:val="68884654"/>
    <w:rsid w:val="6898156C"/>
    <w:rsid w:val="689F444F"/>
    <w:rsid w:val="68B96DBB"/>
    <w:rsid w:val="68C36416"/>
    <w:rsid w:val="68CA2805"/>
    <w:rsid w:val="68E937A3"/>
    <w:rsid w:val="691664E5"/>
    <w:rsid w:val="693E15D3"/>
    <w:rsid w:val="69627681"/>
    <w:rsid w:val="6977531D"/>
    <w:rsid w:val="69CC2BFF"/>
    <w:rsid w:val="69FD55B8"/>
    <w:rsid w:val="6A026DA2"/>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004977"/>
    <w:rsid w:val="6D167928"/>
    <w:rsid w:val="6D26299B"/>
    <w:rsid w:val="6D4772EC"/>
    <w:rsid w:val="6D9078AF"/>
    <w:rsid w:val="6DAA3FEF"/>
    <w:rsid w:val="6DC0172B"/>
    <w:rsid w:val="6DCB690C"/>
    <w:rsid w:val="6DD41A5B"/>
    <w:rsid w:val="6DEF2F06"/>
    <w:rsid w:val="6DF43C2E"/>
    <w:rsid w:val="6DF51CA3"/>
    <w:rsid w:val="6E24410B"/>
    <w:rsid w:val="6E8335BD"/>
    <w:rsid w:val="6E8E12EF"/>
    <w:rsid w:val="6E972936"/>
    <w:rsid w:val="6ED446C5"/>
    <w:rsid w:val="6F2A7D94"/>
    <w:rsid w:val="6F8331F1"/>
    <w:rsid w:val="6FAE1A09"/>
    <w:rsid w:val="6FD75BF8"/>
    <w:rsid w:val="6FF56F86"/>
    <w:rsid w:val="707723D0"/>
    <w:rsid w:val="70F5661B"/>
    <w:rsid w:val="71360107"/>
    <w:rsid w:val="713B688E"/>
    <w:rsid w:val="71D43752"/>
    <w:rsid w:val="71F1796A"/>
    <w:rsid w:val="72154626"/>
    <w:rsid w:val="72262B5D"/>
    <w:rsid w:val="72270A55"/>
    <w:rsid w:val="72283FF7"/>
    <w:rsid w:val="722E7212"/>
    <w:rsid w:val="723A0474"/>
    <w:rsid w:val="725923E4"/>
    <w:rsid w:val="72864BF7"/>
    <w:rsid w:val="729023FC"/>
    <w:rsid w:val="73291D2D"/>
    <w:rsid w:val="73A214A5"/>
    <w:rsid w:val="73C0646E"/>
    <w:rsid w:val="742222F5"/>
    <w:rsid w:val="74476126"/>
    <w:rsid w:val="745E3539"/>
    <w:rsid w:val="74706664"/>
    <w:rsid w:val="747F3682"/>
    <w:rsid w:val="749C4185"/>
    <w:rsid w:val="75067759"/>
    <w:rsid w:val="752E6DCD"/>
    <w:rsid w:val="7551380D"/>
    <w:rsid w:val="75600BE5"/>
    <w:rsid w:val="7564475C"/>
    <w:rsid w:val="7583797F"/>
    <w:rsid w:val="75D20F1D"/>
    <w:rsid w:val="75DA2C18"/>
    <w:rsid w:val="75F54412"/>
    <w:rsid w:val="761D08E0"/>
    <w:rsid w:val="762B2479"/>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466AA"/>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D1BBF"/>
    <w:rsid w:val="7E9A4E1F"/>
    <w:rsid w:val="7EA7723A"/>
    <w:rsid w:val="7EC82D9D"/>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318"/>
    <w:autoRedefine/>
    <w:qFormat/>
    <w:uiPriority w:val="0"/>
    <w:pPr>
      <w:ind w:firstLine="420"/>
    </w:pPr>
    <w:rPr>
      <w:rFonts w:hAnsi="Calibri" w:cs="Times New Roman"/>
      <w:snapToGrid/>
      <w:szCs w:val="20"/>
    </w:rPr>
  </w:style>
  <w:style w:type="paragraph" w:styleId="3">
    <w:name w:val="Body Text"/>
    <w:basedOn w:val="1"/>
    <w:next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199"/>
    <w:autoRedefine/>
    <w:qFormat/>
    <w:uiPriority w:val="0"/>
    <w:pPr>
      <w:shd w:val="clear" w:color="auto" w:fill="000080"/>
    </w:pPr>
  </w:style>
  <w:style w:type="paragraph" w:styleId="21">
    <w:name w:val="annotation text"/>
    <w:basedOn w:val="1"/>
    <w:link w:val="341"/>
    <w:autoRedefine/>
    <w:qFormat/>
    <w:uiPriority w:val="99"/>
    <w:pPr>
      <w:jc w:val="left"/>
    </w:pPr>
  </w:style>
  <w:style w:type="paragraph" w:styleId="22">
    <w:name w:val="Salutation"/>
    <w:basedOn w:val="1"/>
    <w:next w:val="1"/>
    <w:link w:val="295"/>
    <w:autoRedefine/>
    <w:qFormat/>
    <w:uiPriority w:val="0"/>
    <w:rPr>
      <w:rFonts w:ascii="仿宋_GB2312" w:eastAsia="仿宋_GB2312"/>
      <w:sz w:val="28"/>
      <w:szCs w:val="20"/>
    </w:rPr>
  </w:style>
  <w:style w:type="paragraph" w:styleId="23">
    <w:name w:val="Body Text 3"/>
    <w:basedOn w:val="1"/>
    <w:link w:val="327"/>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link w:val="26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autoRedefine/>
    <w:qFormat/>
    <w:uiPriority w:val="0"/>
    <w:pPr>
      <w:ind w:left="100" w:leftChars="2500"/>
    </w:pPr>
    <w:rPr>
      <w:rFonts w:ascii="宋体"/>
      <w:sz w:val="24"/>
      <w:szCs w:val="21"/>
      <w:lang w:val="zh-CN"/>
    </w:rPr>
  </w:style>
  <w:style w:type="paragraph" w:styleId="37">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0"/>
    <w:autoRedefine/>
    <w:qFormat/>
    <w:uiPriority w:val="99"/>
    <w:pPr>
      <w:tabs>
        <w:tab w:val="center" w:pos="4153"/>
        <w:tab w:val="right" w:pos="8306"/>
      </w:tabs>
      <w:snapToGrid w:val="0"/>
      <w:jc w:val="left"/>
    </w:pPr>
    <w:rPr>
      <w:sz w:val="18"/>
      <w:szCs w:val="18"/>
    </w:rPr>
  </w:style>
  <w:style w:type="paragraph" w:styleId="41">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autoRedefine/>
    <w:qFormat/>
    <w:uiPriority w:val="0"/>
    <w:rPr>
      <w:b/>
      <w:bCs/>
    </w:rPr>
  </w:style>
  <w:style w:type="paragraph" w:styleId="61">
    <w:name w:val="Body Text First Indent 2"/>
    <w:basedOn w:val="1"/>
    <w:next w:val="1"/>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7"/>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10"/>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5"/>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6"/>
    <w:autoRedefine/>
    <w:qFormat/>
    <w:uiPriority w:val="0"/>
    <w:rPr>
      <w:rFonts w:ascii="宋体"/>
      <w:kern w:val="2"/>
      <w:sz w:val="24"/>
      <w:szCs w:val="21"/>
      <w:lang w:val="zh-CN"/>
    </w:rPr>
  </w:style>
  <w:style w:type="character" w:customStyle="1" w:styleId="179">
    <w:name w:val="标题 9 Char"/>
    <w:link w:val="13"/>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9"/>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20"/>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8"/>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8"/>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5"/>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4"/>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9"/>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2"/>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8"/>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1"/>
    <w:autoRedefine/>
    <w:qFormat/>
    <w:uiPriority w:val="0"/>
    <w:rPr>
      <w:b/>
      <w:bCs/>
      <w:kern w:val="2"/>
      <w:sz w:val="24"/>
      <w:szCs w:val="24"/>
    </w:rPr>
  </w:style>
  <w:style w:type="character" w:customStyle="1" w:styleId="305">
    <w:name w:val="正文文本缩进 2 Char"/>
    <w:link w:val="37"/>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0"/>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8"/>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3"/>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autoRedefine/>
    <w:qFormat/>
    <w:uiPriority w:val="99"/>
    <w:rPr>
      <w:kern w:val="2"/>
      <w:sz w:val="21"/>
      <w:szCs w:val="24"/>
    </w:rPr>
  </w:style>
  <w:style w:type="character" w:customStyle="1" w:styleId="342">
    <w:name w:val="签名 Char"/>
    <w:link w:val="42"/>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0"/>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1"/>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7"/>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6"/>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9"/>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4"/>
    <w:autoRedefine/>
    <w:qFormat/>
    <w:uiPriority w:val="0"/>
    <w:pPr>
      <w:tabs>
        <w:tab w:val="left" w:pos="840"/>
      </w:tabs>
      <w:adjustRightInd/>
      <w:ind w:left="840" w:hanging="420"/>
    </w:pPr>
  </w:style>
  <w:style w:type="paragraph" w:customStyle="1" w:styleId="62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0"/>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autoRedefine/>
    <w:qFormat/>
    <w:uiPriority w:val="0"/>
    <w:pPr>
      <w:tabs>
        <w:tab w:val="left" w:pos="1080"/>
      </w:tabs>
      <w:ind w:left="1080" w:hanging="1080"/>
    </w:pPr>
  </w:style>
  <w:style w:type="paragraph" w:customStyle="1" w:styleId="894">
    <w:name w:val="数字标题1"/>
    <w:basedOn w:val="4"/>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TotalTime>6</TotalTime>
  <ScaleCrop>false</ScaleCrop>
  <LinksUpToDate>false</LinksUpToDate>
  <CharactersWithSpaces>37980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永生@油条</cp:lastModifiedBy>
  <cp:lastPrinted>2021-12-27T11:06:00Z</cp:lastPrinted>
  <dcterms:modified xsi:type="dcterms:W3CDTF">2025-02-06T02:48:32Z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