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E89BC76">
      <w:pPr>
        <w:adjustRightInd w:val="0"/>
        <w:snapToGrid w:val="0"/>
        <w:jc w:val="center"/>
        <w:rPr>
          <w:rFonts w:ascii="黑体" w:hAnsi="宋体" w:eastAsia="黑体"/>
          <w:b/>
          <w:bCs/>
          <w:spacing w:val="36"/>
          <w:sz w:val="84"/>
          <w:szCs w:val="84"/>
        </w:rPr>
      </w:pPr>
    </w:p>
    <w:p w14:paraId="1177A417">
      <w:pPr>
        <w:adjustRightInd w:val="0"/>
        <w:snapToGrid w:val="0"/>
        <w:jc w:val="center"/>
        <w:rPr>
          <w:rFonts w:ascii="黑体" w:hAnsi="宋体" w:eastAsia="黑体"/>
          <w:b/>
          <w:bCs/>
          <w:spacing w:val="36"/>
          <w:sz w:val="84"/>
          <w:szCs w:val="84"/>
        </w:rPr>
      </w:pPr>
    </w:p>
    <w:p w14:paraId="3F131B5A">
      <w:pPr>
        <w:adjustRightInd w:val="0"/>
        <w:snapToGrid w:val="0"/>
        <w:rPr>
          <w:rFonts w:ascii="黑体" w:hAnsi="宋体" w:eastAsia="黑体"/>
          <w:b/>
          <w:bCs/>
          <w:spacing w:val="36"/>
          <w:sz w:val="84"/>
          <w:szCs w:val="84"/>
        </w:rPr>
      </w:pPr>
    </w:p>
    <w:p w14:paraId="0FBFAFCA">
      <w:pPr>
        <w:jc w:val="center"/>
        <w:rPr>
          <w:rFonts w:ascii="宋体" w:hAnsi="宋体"/>
          <w:b/>
          <w:spacing w:val="80"/>
          <w:sz w:val="84"/>
          <w:szCs w:val="84"/>
        </w:rPr>
      </w:pPr>
      <w:r>
        <w:rPr>
          <w:rFonts w:hint="eastAsia" w:ascii="宋体" w:hAnsi="宋体" w:eastAsia="宋体"/>
          <w:b/>
          <w:spacing w:val="80"/>
          <w:sz w:val="84"/>
          <w:szCs w:val="84"/>
        </w:rPr>
        <w:t>竞争性谈判</w:t>
      </w:r>
      <w:r>
        <w:rPr>
          <w:rFonts w:hint="eastAsia" w:ascii="宋体" w:hAnsi="宋体"/>
          <w:b/>
          <w:spacing w:val="80"/>
          <w:sz w:val="84"/>
          <w:szCs w:val="84"/>
        </w:rPr>
        <w:t>文件</w:t>
      </w:r>
    </w:p>
    <w:p w14:paraId="25E02260">
      <w:pPr>
        <w:adjustRightInd w:val="0"/>
        <w:snapToGrid w:val="0"/>
        <w:jc w:val="center"/>
        <w:rPr>
          <w:rFonts w:ascii="华文行楷" w:hAnsi="宋体" w:eastAsia="华文行楷"/>
          <w:b/>
          <w:bCs/>
          <w:spacing w:val="36"/>
          <w:sz w:val="24"/>
        </w:rPr>
      </w:pPr>
    </w:p>
    <w:p w14:paraId="375E550C">
      <w:pPr>
        <w:adjustRightInd w:val="0"/>
        <w:snapToGrid w:val="0"/>
        <w:jc w:val="center"/>
        <w:rPr>
          <w:rFonts w:ascii="华文行楷" w:hAnsi="宋体" w:eastAsia="华文行楷"/>
          <w:b/>
          <w:bCs/>
          <w:spacing w:val="36"/>
          <w:sz w:val="24"/>
        </w:rPr>
      </w:pPr>
    </w:p>
    <w:p w14:paraId="539FD787">
      <w:pPr>
        <w:adjustRightInd w:val="0"/>
        <w:snapToGrid w:val="0"/>
        <w:jc w:val="center"/>
        <w:rPr>
          <w:rFonts w:ascii="华文行楷" w:hAnsi="宋体" w:eastAsia="华文行楷"/>
          <w:b/>
          <w:bCs/>
          <w:spacing w:val="36"/>
          <w:sz w:val="24"/>
        </w:rPr>
      </w:pPr>
    </w:p>
    <w:p w14:paraId="6AAC6FF1">
      <w:pPr>
        <w:adjustRightInd w:val="0"/>
        <w:snapToGrid w:val="0"/>
        <w:jc w:val="center"/>
        <w:rPr>
          <w:rFonts w:ascii="华文行楷" w:hAnsi="宋体" w:eastAsia="华文行楷"/>
          <w:b/>
          <w:bCs/>
          <w:spacing w:val="36"/>
          <w:sz w:val="24"/>
        </w:rPr>
      </w:pPr>
    </w:p>
    <w:p w14:paraId="00D0CAE2">
      <w:pPr>
        <w:adjustRightInd w:val="0"/>
        <w:snapToGrid w:val="0"/>
        <w:jc w:val="center"/>
        <w:rPr>
          <w:rFonts w:ascii="华文行楷" w:hAnsi="宋体" w:eastAsia="华文行楷"/>
          <w:b/>
          <w:bCs/>
          <w:spacing w:val="36"/>
          <w:sz w:val="24"/>
        </w:rPr>
      </w:pPr>
    </w:p>
    <w:p w14:paraId="47AA3EB8">
      <w:pPr>
        <w:adjustRightInd w:val="0"/>
        <w:snapToGrid w:val="0"/>
        <w:spacing w:line="480" w:lineRule="auto"/>
        <w:jc w:val="center"/>
        <w:rPr>
          <w:rFonts w:hint="eastAsia" w:ascii="宋体" w:hAnsi="宋体" w:eastAsia="宋体"/>
          <w:b/>
          <w:sz w:val="24"/>
          <w:lang w:eastAsia="zh-CN"/>
        </w:rPr>
      </w:pPr>
      <w:r>
        <w:rPr>
          <w:rFonts w:hint="eastAsia" w:ascii="宋体" w:hAnsi="宋体"/>
          <w:b/>
          <w:sz w:val="24"/>
        </w:rPr>
        <w:t>项目编号：</w:t>
      </w:r>
      <w:r>
        <w:rPr>
          <w:rFonts w:hint="eastAsia" w:ascii="宋体" w:hAnsi="宋体" w:eastAsia="宋体"/>
          <w:b/>
          <w:sz w:val="24"/>
          <w:lang w:eastAsia="zh-CN"/>
        </w:rPr>
        <w:t>TYXJ-202501</w:t>
      </w:r>
    </w:p>
    <w:p w14:paraId="104F5B0E">
      <w:pPr>
        <w:adjustRightInd w:val="0"/>
        <w:snapToGrid w:val="0"/>
        <w:spacing w:line="480" w:lineRule="auto"/>
        <w:jc w:val="center"/>
        <w:rPr>
          <w:rFonts w:hint="eastAsia" w:ascii="宋体" w:hAnsi="宋体" w:eastAsia="宋体"/>
          <w:b/>
          <w:sz w:val="24"/>
          <w:lang w:eastAsia="zh-CN"/>
        </w:rPr>
      </w:pPr>
      <w:r>
        <w:rPr>
          <w:rFonts w:hint="eastAsia" w:ascii="宋体" w:hAnsi="宋体"/>
          <w:b/>
          <w:sz w:val="24"/>
        </w:rPr>
        <w:t>项目名称：</w:t>
      </w:r>
      <w:r>
        <w:rPr>
          <w:rFonts w:hint="eastAsia" w:ascii="宋体" w:hAnsi="宋体" w:eastAsia="宋体"/>
          <w:b/>
          <w:sz w:val="24"/>
          <w:lang w:eastAsia="zh-CN"/>
        </w:rPr>
        <w:t>白塔镇景园村关金生态停车场建设项目</w:t>
      </w:r>
    </w:p>
    <w:p w14:paraId="1D60FB42">
      <w:pPr>
        <w:spacing w:line="500" w:lineRule="atLeast"/>
        <w:ind w:firstLine="560" w:firstLineChars="200"/>
        <w:rPr>
          <w:rFonts w:ascii="宋体" w:hAnsi="宋体" w:eastAsia="华文行楷"/>
          <w:sz w:val="28"/>
        </w:rPr>
      </w:pPr>
    </w:p>
    <w:p w14:paraId="59719A7C">
      <w:pPr>
        <w:spacing w:line="500" w:lineRule="atLeast"/>
        <w:ind w:firstLine="560" w:firstLineChars="200"/>
        <w:rPr>
          <w:rFonts w:ascii="宋体" w:hAnsi="宋体" w:eastAsia="华文行楷"/>
          <w:sz w:val="28"/>
        </w:rPr>
      </w:pPr>
    </w:p>
    <w:p w14:paraId="44A183E2">
      <w:pPr>
        <w:spacing w:line="500" w:lineRule="atLeast"/>
        <w:ind w:firstLine="1800" w:firstLineChars="600"/>
        <w:rPr>
          <w:rFonts w:ascii="宋体" w:hAnsi="宋体"/>
          <w:bCs/>
          <w:sz w:val="30"/>
        </w:rPr>
      </w:pPr>
    </w:p>
    <w:p w14:paraId="12C98A11">
      <w:pPr>
        <w:spacing w:line="500" w:lineRule="atLeast"/>
        <w:rPr>
          <w:rFonts w:ascii="宋体" w:hAnsi="宋体"/>
          <w:bCs/>
          <w:sz w:val="30"/>
        </w:rPr>
      </w:pPr>
    </w:p>
    <w:p w14:paraId="5099AC4F">
      <w:pPr>
        <w:spacing w:line="500" w:lineRule="atLeast"/>
        <w:ind w:firstLine="1800" w:firstLineChars="600"/>
        <w:rPr>
          <w:rFonts w:ascii="宋体" w:hAnsi="宋体"/>
          <w:bCs/>
          <w:sz w:val="30"/>
        </w:rPr>
      </w:pPr>
    </w:p>
    <w:p w14:paraId="6B6E4439">
      <w:pPr>
        <w:spacing w:line="500" w:lineRule="atLeast"/>
        <w:ind w:firstLine="1800" w:firstLineChars="750"/>
        <w:rPr>
          <w:rFonts w:ascii="宋体" w:hAnsi="宋体"/>
          <w:bCs/>
          <w:sz w:val="24"/>
        </w:rPr>
      </w:pPr>
      <w:r>
        <w:rPr>
          <w:rFonts w:hint="eastAsia" w:ascii="宋体" w:hAnsi="宋体"/>
          <w:bCs/>
          <w:sz w:val="24"/>
        </w:rPr>
        <w:t xml:space="preserve">            </w:t>
      </w:r>
    </w:p>
    <w:p w14:paraId="0501E929">
      <w:pPr>
        <w:spacing w:line="500" w:lineRule="atLeast"/>
        <w:ind w:firstLine="1920" w:firstLineChars="800"/>
        <w:rPr>
          <w:rFonts w:ascii="宋体" w:hAnsi="宋体"/>
          <w:bCs/>
          <w:sz w:val="24"/>
        </w:rPr>
      </w:pPr>
      <w:r>
        <w:rPr>
          <w:rFonts w:hint="eastAsia" w:ascii="宋体" w:hAnsi="宋体"/>
          <w:bCs/>
          <w:sz w:val="24"/>
        </w:rPr>
        <w:t>采购单位：</w:t>
      </w:r>
      <w:r>
        <w:rPr>
          <w:rFonts w:hint="eastAsia" w:ascii="宋体" w:hAnsi="宋体" w:eastAsia="宋体"/>
          <w:bCs/>
          <w:sz w:val="24"/>
          <w:u w:val="single"/>
          <w:lang w:eastAsia="zh-CN"/>
        </w:rPr>
        <w:t>仙居县白塔镇人民政府</w:t>
      </w:r>
      <w:r>
        <w:rPr>
          <w:rFonts w:hint="eastAsia" w:ascii="宋体" w:hAnsi="宋体"/>
          <w:bCs/>
          <w:sz w:val="24"/>
          <w:u w:val="single"/>
        </w:rPr>
        <w:t xml:space="preserve">     （盖章）</w:t>
      </w:r>
    </w:p>
    <w:p w14:paraId="235CF3F1">
      <w:pPr>
        <w:spacing w:line="500" w:lineRule="atLeast"/>
        <w:ind w:firstLine="1920" w:firstLineChars="800"/>
        <w:rPr>
          <w:rFonts w:ascii="宋体" w:hAnsi="宋体"/>
          <w:bCs/>
          <w:sz w:val="24"/>
        </w:rPr>
      </w:pPr>
      <w:r>
        <w:rPr>
          <w:rFonts w:hint="eastAsia" w:ascii="宋体" w:hAnsi="宋体"/>
          <w:bCs/>
          <w:sz w:val="24"/>
        </w:rPr>
        <w:t>代理机构：</w:t>
      </w:r>
      <w:r>
        <w:rPr>
          <w:rFonts w:hint="eastAsia" w:ascii="宋体" w:hAnsi="宋体" w:eastAsia="宋体"/>
          <w:bCs/>
          <w:sz w:val="24"/>
          <w:u w:val="single"/>
          <w:lang w:eastAsia="zh-CN"/>
        </w:rPr>
        <w:t>泰宇建筑工程技术咨询有限公司</w:t>
      </w:r>
      <w:r>
        <w:rPr>
          <w:rFonts w:hint="eastAsia" w:ascii="宋体" w:hAnsi="宋体" w:eastAsia="宋体"/>
          <w:bCs/>
          <w:sz w:val="24"/>
          <w:u w:val="single"/>
        </w:rPr>
        <w:t xml:space="preserve"> </w:t>
      </w:r>
      <w:r>
        <w:rPr>
          <w:rFonts w:hint="eastAsia" w:ascii="宋体" w:hAnsi="宋体"/>
          <w:bCs/>
          <w:sz w:val="24"/>
          <w:u w:val="single"/>
        </w:rPr>
        <w:t>（盖章）</w:t>
      </w:r>
    </w:p>
    <w:p w14:paraId="2B19C332">
      <w:pPr>
        <w:spacing w:line="500" w:lineRule="atLeast"/>
        <w:jc w:val="center"/>
        <w:rPr>
          <w:rFonts w:ascii="宋体" w:hAnsi="宋体"/>
          <w:bCs/>
          <w:sz w:val="24"/>
        </w:rPr>
      </w:pPr>
    </w:p>
    <w:p w14:paraId="6BB95FC3">
      <w:pPr>
        <w:spacing w:line="500" w:lineRule="atLeast"/>
        <w:jc w:val="center"/>
        <w:rPr>
          <w:rFonts w:ascii="宋体" w:hAnsi="宋体"/>
          <w:bCs/>
          <w:sz w:val="24"/>
        </w:rPr>
      </w:pPr>
      <w:r>
        <w:rPr>
          <w:rFonts w:hint="eastAsia" w:ascii="宋体" w:hAnsi="宋体"/>
          <w:bCs/>
          <w:sz w:val="24"/>
        </w:rPr>
        <w:t>二○二</w:t>
      </w:r>
      <w:r>
        <w:rPr>
          <w:rFonts w:hint="eastAsia" w:ascii="宋体" w:hAnsi="宋体" w:eastAsia="宋体"/>
          <w:bCs/>
          <w:sz w:val="24"/>
        </w:rPr>
        <w:t>五</w:t>
      </w:r>
      <w:r>
        <w:rPr>
          <w:rFonts w:hint="eastAsia" w:ascii="宋体" w:hAnsi="宋体"/>
          <w:bCs/>
          <w:sz w:val="24"/>
        </w:rPr>
        <w:t>年</w:t>
      </w:r>
      <w:r>
        <w:rPr>
          <w:rFonts w:hint="eastAsia" w:ascii="宋体" w:hAnsi="宋体" w:eastAsia="宋体"/>
          <w:bCs/>
          <w:sz w:val="24"/>
        </w:rPr>
        <w:t>二</w:t>
      </w:r>
      <w:r>
        <w:rPr>
          <w:rFonts w:hint="eastAsia" w:ascii="宋体" w:hAnsi="宋体"/>
          <w:bCs/>
          <w:sz w:val="24"/>
        </w:rPr>
        <w:t>月</w:t>
      </w:r>
    </w:p>
    <w:p w14:paraId="2BE75338">
      <w:pPr>
        <w:pStyle w:val="14"/>
        <w:jc w:val="both"/>
        <w:rPr>
          <w:sz w:val="21"/>
          <w:szCs w:val="21"/>
        </w:rPr>
        <w:sectPr>
          <w:headerReference r:id="rId5" w:type="first"/>
          <w:footerReference r:id="rId8" w:type="first"/>
          <w:headerReference r:id="rId3" w:type="default"/>
          <w:footerReference r:id="rId6" w:type="default"/>
          <w:headerReference r:id="rId4" w:type="even"/>
          <w:footerReference r:id="rId7" w:type="even"/>
          <w:pgSz w:w="11906" w:h="16838"/>
          <w:pgMar w:top="1440" w:right="1133" w:bottom="1440" w:left="1440" w:header="851" w:footer="992" w:gutter="0"/>
          <w:pgNumType w:start="0"/>
          <w:cols w:space="720" w:num="1"/>
          <w:titlePg/>
          <w:docGrid w:linePitch="312" w:charSpace="0"/>
        </w:sectPr>
      </w:pPr>
    </w:p>
    <w:p w14:paraId="2CD31E2F">
      <w:pPr>
        <w:pStyle w:val="14"/>
        <w:rPr>
          <w:sz w:val="36"/>
          <w:szCs w:val="36"/>
        </w:rPr>
      </w:pPr>
      <w:r>
        <w:rPr>
          <w:rFonts w:hint="eastAsia"/>
          <w:sz w:val="36"/>
          <w:szCs w:val="36"/>
        </w:rPr>
        <w:t>目录</w:t>
      </w:r>
    </w:p>
    <w:p w14:paraId="5A2845D3">
      <w:pPr>
        <w:pStyle w:val="14"/>
        <w:rPr>
          <w:rFonts w:ascii="宋体" w:hAnsi="宋体" w:eastAsia="宋体" w:cs="宋体"/>
          <w:b w:val="0"/>
          <w:sz w:val="24"/>
          <w:szCs w:val="24"/>
        </w:rPr>
      </w:pPr>
      <w:r>
        <w:rPr>
          <w:b w:val="0"/>
          <w:sz w:val="30"/>
          <w:szCs w:val="30"/>
        </w:rPr>
        <w:fldChar w:fldCharType="begin"/>
      </w:r>
      <w:r>
        <w:rPr>
          <w:b w:val="0"/>
          <w:sz w:val="30"/>
          <w:szCs w:val="30"/>
        </w:rPr>
        <w:instrText xml:space="preserve"> </w:instrText>
      </w:r>
      <w:r>
        <w:rPr>
          <w:rFonts w:hint="eastAsia"/>
          <w:b w:val="0"/>
          <w:sz w:val="30"/>
          <w:szCs w:val="30"/>
        </w:rPr>
        <w:instrText xml:space="preserve">TOC \o "1-3" \h \z \u</w:instrText>
      </w:r>
      <w:r>
        <w:rPr>
          <w:b w:val="0"/>
          <w:sz w:val="30"/>
          <w:szCs w:val="30"/>
        </w:rPr>
        <w:instrText xml:space="preserve"> </w:instrText>
      </w:r>
      <w:r>
        <w:rPr>
          <w:b w:val="0"/>
          <w:sz w:val="30"/>
          <w:szCs w:val="30"/>
        </w:rPr>
        <w:fldChar w:fldCharType="separate"/>
      </w:r>
      <w:r>
        <w:fldChar w:fldCharType="begin"/>
      </w:r>
      <w:r>
        <w:instrText xml:space="preserve"> HYPERLINK \l "_Toc306901419" </w:instrText>
      </w:r>
      <w:r>
        <w:fldChar w:fldCharType="separate"/>
      </w:r>
      <w:r>
        <w:rPr>
          <w:rStyle w:val="26"/>
          <w:rFonts w:hint="eastAsia" w:ascii="宋体" w:hAnsi="宋体" w:eastAsia="宋体" w:cs="宋体"/>
          <w:b w:val="0"/>
          <w:color w:val="auto"/>
          <w:sz w:val="24"/>
          <w:szCs w:val="24"/>
        </w:rPr>
        <w:t>第一部分 竞争性谈判公告</w:t>
      </w:r>
      <w:r>
        <w:rPr>
          <w:rFonts w:hint="eastAsia" w:ascii="宋体" w:hAnsi="宋体" w:eastAsia="宋体" w:cs="宋体"/>
          <w:b w:val="0"/>
          <w:sz w:val="24"/>
          <w:szCs w:val="24"/>
        </w:rPr>
        <w:tab/>
      </w:r>
      <w:r>
        <w:rPr>
          <w:rFonts w:hint="eastAsia" w:ascii="宋体" w:hAnsi="宋体" w:eastAsia="宋体" w:cs="宋体"/>
          <w:b w:val="0"/>
          <w:sz w:val="24"/>
          <w:szCs w:val="24"/>
        </w:rPr>
        <w:t>2</w:t>
      </w:r>
      <w:r>
        <w:rPr>
          <w:rFonts w:hint="eastAsia" w:ascii="宋体" w:hAnsi="宋体" w:eastAsia="宋体" w:cs="宋体"/>
          <w:b w:val="0"/>
          <w:sz w:val="24"/>
          <w:szCs w:val="24"/>
        </w:rPr>
        <w:fldChar w:fldCharType="end"/>
      </w:r>
    </w:p>
    <w:p w14:paraId="139ED5A9">
      <w:pPr>
        <w:pStyle w:val="14"/>
        <w:rPr>
          <w:rFonts w:ascii="宋体" w:hAnsi="宋体" w:eastAsia="宋体" w:cs="宋体"/>
          <w:b w:val="0"/>
          <w:sz w:val="24"/>
          <w:szCs w:val="24"/>
        </w:rPr>
      </w:pPr>
      <w:r>
        <w:fldChar w:fldCharType="begin"/>
      </w:r>
      <w:r>
        <w:instrText xml:space="preserve"> HYPERLINK \l "_Toc306901436" </w:instrText>
      </w:r>
      <w:r>
        <w:fldChar w:fldCharType="separate"/>
      </w:r>
      <w:r>
        <w:rPr>
          <w:rStyle w:val="26"/>
          <w:rFonts w:hint="eastAsia" w:ascii="宋体" w:hAnsi="宋体" w:eastAsia="宋体" w:cs="宋体"/>
          <w:b w:val="0"/>
          <w:color w:val="auto"/>
          <w:sz w:val="24"/>
          <w:szCs w:val="24"/>
        </w:rPr>
        <w:t>第二部分 采购需求</w:t>
      </w:r>
      <w:r>
        <w:rPr>
          <w:rFonts w:hint="eastAsia" w:ascii="宋体" w:hAnsi="宋体" w:eastAsia="宋体" w:cs="宋体"/>
          <w:b w:val="0"/>
          <w:sz w:val="24"/>
          <w:szCs w:val="24"/>
        </w:rPr>
        <w:tab/>
      </w:r>
      <w:r>
        <w:rPr>
          <w:rFonts w:hint="eastAsia" w:ascii="宋体" w:hAnsi="宋体" w:eastAsia="宋体" w:cs="宋体"/>
          <w:b w:val="0"/>
          <w:sz w:val="24"/>
          <w:szCs w:val="24"/>
        </w:rPr>
        <w:t>6</w:t>
      </w:r>
      <w:r>
        <w:rPr>
          <w:rFonts w:hint="eastAsia" w:ascii="宋体" w:hAnsi="宋体" w:eastAsia="宋体" w:cs="宋体"/>
          <w:b w:val="0"/>
          <w:sz w:val="24"/>
          <w:szCs w:val="24"/>
        </w:rPr>
        <w:fldChar w:fldCharType="end"/>
      </w:r>
    </w:p>
    <w:p w14:paraId="1BB587B9">
      <w:pPr>
        <w:pStyle w:val="14"/>
        <w:rPr>
          <w:rFonts w:ascii="宋体" w:hAnsi="宋体" w:eastAsia="宋体" w:cs="宋体"/>
          <w:b w:val="0"/>
          <w:sz w:val="24"/>
          <w:szCs w:val="24"/>
        </w:rPr>
      </w:pPr>
      <w:r>
        <w:fldChar w:fldCharType="begin"/>
      </w:r>
      <w:r>
        <w:instrText xml:space="preserve"> HYPERLINK \l "_Toc306901444" </w:instrText>
      </w:r>
      <w:r>
        <w:fldChar w:fldCharType="separate"/>
      </w:r>
      <w:r>
        <w:rPr>
          <w:rStyle w:val="26"/>
          <w:rFonts w:hint="eastAsia" w:ascii="宋体" w:hAnsi="宋体" w:eastAsia="宋体" w:cs="宋体"/>
          <w:b w:val="0"/>
          <w:color w:val="auto"/>
          <w:sz w:val="24"/>
          <w:szCs w:val="24"/>
        </w:rPr>
        <w:t>第三部分 谈判须知</w:t>
      </w:r>
      <w:r>
        <w:rPr>
          <w:rFonts w:hint="eastAsia" w:ascii="宋体" w:hAnsi="宋体" w:eastAsia="宋体" w:cs="宋体"/>
          <w:b w:val="0"/>
          <w:sz w:val="24"/>
          <w:szCs w:val="24"/>
        </w:rPr>
        <w:tab/>
      </w:r>
      <w:r>
        <w:rPr>
          <w:rFonts w:hint="eastAsia" w:ascii="宋体" w:hAnsi="宋体" w:eastAsia="宋体" w:cs="宋体"/>
          <w:b w:val="0"/>
          <w:sz w:val="24"/>
          <w:szCs w:val="24"/>
        </w:rPr>
        <w:fldChar w:fldCharType="end"/>
      </w:r>
      <w:r>
        <w:rPr>
          <w:rFonts w:hint="eastAsia" w:ascii="宋体" w:hAnsi="宋体" w:eastAsia="宋体" w:cs="宋体"/>
          <w:b w:val="0"/>
          <w:sz w:val="24"/>
          <w:szCs w:val="24"/>
        </w:rPr>
        <w:t>11</w:t>
      </w:r>
    </w:p>
    <w:p w14:paraId="11C2A50C">
      <w:pPr>
        <w:pStyle w:val="14"/>
        <w:rPr>
          <w:rFonts w:ascii="宋体" w:hAnsi="宋体" w:eastAsia="宋体" w:cs="宋体"/>
          <w:b w:val="0"/>
          <w:sz w:val="24"/>
          <w:szCs w:val="24"/>
        </w:rPr>
      </w:pPr>
      <w:r>
        <w:fldChar w:fldCharType="begin"/>
      </w:r>
      <w:r>
        <w:instrText xml:space="preserve"> HYPERLINK \l "_Toc306901461" </w:instrText>
      </w:r>
      <w:r>
        <w:fldChar w:fldCharType="separate"/>
      </w:r>
      <w:r>
        <w:rPr>
          <w:rStyle w:val="26"/>
          <w:rFonts w:hint="eastAsia" w:ascii="宋体" w:hAnsi="宋体" w:eastAsia="宋体" w:cs="宋体"/>
          <w:b w:val="0"/>
          <w:color w:val="auto"/>
          <w:sz w:val="24"/>
          <w:szCs w:val="24"/>
        </w:rPr>
        <w:t>第四部分 合同主要条款</w:t>
      </w:r>
      <w:r>
        <w:rPr>
          <w:rFonts w:hint="eastAsia" w:ascii="宋体" w:hAnsi="宋体" w:eastAsia="宋体" w:cs="宋体"/>
          <w:b w:val="0"/>
          <w:sz w:val="24"/>
          <w:szCs w:val="24"/>
        </w:rPr>
        <w:tab/>
      </w:r>
      <w:r>
        <w:rPr>
          <w:rFonts w:hint="eastAsia" w:ascii="宋体" w:hAnsi="宋体" w:eastAsia="宋体" w:cs="宋体"/>
          <w:b w:val="0"/>
          <w:sz w:val="24"/>
          <w:szCs w:val="24"/>
        </w:rPr>
        <w:t>25</w:t>
      </w:r>
      <w:r>
        <w:rPr>
          <w:rFonts w:hint="eastAsia" w:ascii="宋体" w:hAnsi="宋体" w:eastAsia="宋体" w:cs="宋体"/>
          <w:b w:val="0"/>
          <w:sz w:val="24"/>
          <w:szCs w:val="24"/>
        </w:rPr>
        <w:fldChar w:fldCharType="end"/>
      </w:r>
    </w:p>
    <w:p w14:paraId="4349EF6B">
      <w:pPr>
        <w:pStyle w:val="14"/>
        <w:rPr>
          <w:rFonts w:eastAsia="宋体"/>
          <w:b w:val="0"/>
          <w:sz w:val="32"/>
          <w:szCs w:val="32"/>
        </w:rPr>
      </w:pPr>
      <w:r>
        <w:fldChar w:fldCharType="begin"/>
      </w:r>
      <w:r>
        <w:instrText xml:space="preserve"> HYPERLINK \l "_Toc306901462" </w:instrText>
      </w:r>
      <w:r>
        <w:fldChar w:fldCharType="separate"/>
      </w:r>
      <w:r>
        <w:rPr>
          <w:rStyle w:val="26"/>
          <w:rFonts w:hint="eastAsia" w:ascii="宋体" w:hAnsi="宋体" w:eastAsia="宋体" w:cs="宋体"/>
          <w:b w:val="0"/>
          <w:color w:val="auto"/>
          <w:sz w:val="24"/>
          <w:szCs w:val="24"/>
        </w:rPr>
        <w:t>第五部分 谈判响应文件格式</w:t>
      </w:r>
      <w:r>
        <w:rPr>
          <w:rFonts w:hint="eastAsia" w:ascii="宋体" w:hAnsi="宋体" w:eastAsia="宋体" w:cs="宋体"/>
          <w:b w:val="0"/>
          <w:sz w:val="24"/>
          <w:szCs w:val="24"/>
        </w:rPr>
        <w:tab/>
      </w:r>
      <w:r>
        <w:rPr>
          <w:rFonts w:hint="eastAsia" w:ascii="宋体" w:hAnsi="宋体" w:eastAsia="宋体" w:cs="宋体"/>
          <w:b w:val="0"/>
          <w:sz w:val="24"/>
          <w:szCs w:val="24"/>
        </w:rPr>
        <w:fldChar w:fldCharType="end"/>
      </w:r>
      <w:r>
        <w:rPr>
          <w:rFonts w:hint="eastAsia" w:ascii="宋体" w:hAnsi="宋体" w:eastAsia="宋体" w:cs="宋体"/>
          <w:b w:val="0"/>
          <w:sz w:val="24"/>
          <w:szCs w:val="24"/>
        </w:rPr>
        <w:t>55</w:t>
      </w:r>
    </w:p>
    <w:p w14:paraId="5FE81B7E">
      <w:pPr>
        <w:pStyle w:val="10"/>
        <w:snapToGrid w:val="0"/>
        <w:spacing w:before="120" w:after="120" w:line="360" w:lineRule="exact"/>
        <w:jc w:val="center"/>
        <w:outlineLvl w:val="0"/>
        <w:rPr>
          <w:rFonts w:ascii="黑体" w:hAnsi="宋体" w:eastAsia="黑体"/>
          <w:sz w:val="30"/>
          <w:szCs w:val="30"/>
        </w:rPr>
      </w:pPr>
      <w:r>
        <w:rPr>
          <w:sz w:val="30"/>
          <w:szCs w:val="30"/>
        </w:rPr>
        <w:fldChar w:fldCharType="end"/>
      </w:r>
      <w:r>
        <w:rPr>
          <w:b/>
          <w:sz w:val="44"/>
          <w:szCs w:val="44"/>
        </w:rPr>
        <w:br w:type="page"/>
      </w:r>
      <w:bookmarkStart w:id="0" w:name="_Toc248896024"/>
      <w:bookmarkStart w:id="1" w:name="_Toc255819805"/>
      <w:bookmarkStart w:id="2" w:name="_Toc292375873"/>
      <w:bookmarkStart w:id="3" w:name="_Toc237079649"/>
      <w:bookmarkStart w:id="4" w:name="_Toc239128656"/>
      <w:bookmarkStart w:id="5" w:name="_Toc301444164"/>
      <w:bookmarkStart w:id="6" w:name="_Toc283973049"/>
      <w:bookmarkStart w:id="7" w:name="_Toc237138373"/>
      <w:bookmarkStart w:id="8" w:name="_Toc238443285"/>
      <w:bookmarkStart w:id="9" w:name="_Toc290043085"/>
      <w:bookmarkStart w:id="10" w:name="_Toc240724364"/>
      <w:bookmarkStart w:id="11" w:name="_Toc255459621"/>
      <w:bookmarkStart w:id="12" w:name="_Toc306901421"/>
      <w:bookmarkStart w:id="13" w:name="_Toc261001044"/>
      <w:bookmarkStart w:id="14" w:name="_Toc237656250"/>
      <w:bookmarkStart w:id="15" w:name="_Toc218007228"/>
      <w:bookmarkStart w:id="16" w:name="_Toc302983069"/>
      <w:bookmarkStart w:id="17" w:name="_Toc218007959"/>
      <w:bookmarkStart w:id="18" w:name="_Toc255821799"/>
      <w:bookmarkStart w:id="19" w:name="_Toc261001136"/>
      <w:bookmarkStart w:id="20" w:name="_Toc217998399"/>
      <w:bookmarkStart w:id="21" w:name="_Toc240724029"/>
      <w:bookmarkStart w:id="22" w:name="_Toc248896172"/>
      <w:bookmarkStart w:id="23" w:name="_Toc277078921"/>
      <w:bookmarkStart w:id="24" w:name="_Toc248896331"/>
      <w:r>
        <w:rPr>
          <w:rFonts w:hint="eastAsia" w:hAnsi="宋体" w:eastAsia="宋体" w:cs="宋体"/>
          <w:b/>
          <w:bCs/>
          <w:sz w:val="36"/>
          <w:szCs w:val="36"/>
        </w:rPr>
        <w:t>第一章 竞争性谈判公告</w:t>
      </w:r>
    </w:p>
    <w:bookmarkEnd w:id="0"/>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tbl>
      <w:tblPr>
        <w:tblStyle w:val="22"/>
        <w:tblW w:w="894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48"/>
      </w:tblGrid>
      <w:tr w14:paraId="20E023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75" w:hRule="atLeast"/>
        </w:trPr>
        <w:tc>
          <w:tcPr>
            <w:tcW w:w="8948" w:type="dxa"/>
          </w:tcPr>
          <w:p w14:paraId="7BC8A879">
            <w:pPr>
              <w:pStyle w:val="18"/>
              <w:spacing w:before="0" w:beforeAutospacing="0" w:after="0" w:afterAutospacing="0" w:line="360" w:lineRule="auto"/>
              <w:rPr>
                <w:rFonts w:hint="default" w:eastAsia="宋体" w:cs="宋体"/>
                <w:sz w:val="21"/>
                <w:szCs w:val="21"/>
              </w:rPr>
            </w:pPr>
            <w:bookmarkStart w:id="25" w:name="B30_其他事项"/>
            <w:r>
              <w:rPr>
                <w:rFonts w:ascii="微软雅黑" w:hAnsi="微软雅黑" w:eastAsia="微软雅黑" w:cs="微软雅黑"/>
                <w:sz w:val="31"/>
                <w:szCs w:val="31"/>
              </w:rPr>
              <w:t> </w:t>
            </w:r>
            <w:r>
              <w:rPr>
                <w:rFonts w:eastAsia="宋体" w:cs="宋体"/>
                <w:sz w:val="21"/>
                <w:szCs w:val="21"/>
              </w:rPr>
              <w:t> 项目概况</w:t>
            </w:r>
          </w:p>
          <w:p w14:paraId="2D696491">
            <w:pPr>
              <w:pStyle w:val="18"/>
              <w:spacing w:before="0" w:beforeAutospacing="0" w:after="0" w:afterAutospacing="0" w:line="360" w:lineRule="auto"/>
              <w:jc w:val="both"/>
              <w:rPr>
                <w:rFonts w:hint="default" w:eastAsia="宋体" w:cs="宋体"/>
                <w:b/>
                <w:kern w:val="2"/>
                <w:sz w:val="21"/>
                <w:szCs w:val="21"/>
              </w:rPr>
            </w:pPr>
            <w:r>
              <w:rPr>
                <w:rFonts w:eastAsia="宋体" w:cs="宋体"/>
                <w:sz w:val="21"/>
                <w:szCs w:val="21"/>
              </w:rPr>
              <w:t>  </w:t>
            </w:r>
            <w:r>
              <w:rPr>
                <w:rFonts w:hint="eastAsia" w:eastAsia="宋体" w:cs="宋体"/>
                <w:sz w:val="21"/>
                <w:szCs w:val="21"/>
                <w:lang w:eastAsia="zh-CN"/>
              </w:rPr>
              <w:t>白塔镇景园村关金生态停车场建设项目</w:t>
            </w:r>
            <w:r>
              <w:rPr>
                <w:rFonts w:eastAsia="宋体" w:cs="宋体"/>
                <w:sz w:val="21"/>
                <w:szCs w:val="21"/>
              </w:rPr>
              <w:t>的潜在供应商应在 浙江政府采购网（http://zfcg.czt.zj.gov.cn） 获取（下载）采购文件，并于  2025年</w:t>
            </w:r>
            <w:r>
              <w:rPr>
                <w:rFonts w:hint="eastAsia" w:eastAsia="宋体" w:cs="宋体"/>
                <w:sz w:val="21"/>
                <w:szCs w:val="21"/>
                <w:lang w:val="en-US" w:eastAsia="zh-CN"/>
              </w:rPr>
              <w:t>3</w:t>
            </w:r>
            <w:r>
              <w:rPr>
                <w:rFonts w:eastAsia="宋体" w:cs="宋体"/>
                <w:sz w:val="21"/>
                <w:szCs w:val="21"/>
              </w:rPr>
              <w:t>月</w:t>
            </w:r>
            <w:r>
              <w:rPr>
                <w:rFonts w:hint="eastAsia" w:eastAsia="宋体" w:cs="宋体"/>
                <w:sz w:val="21"/>
                <w:szCs w:val="21"/>
                <w:lang w:val="en-US" w:eastAsia="zh-CN"/>
              </w:rPr>
              <w:t>5</w:t>
            </w:r>
            <w:r>
              <w:rPr>
                <w:rFonts w:eastAsia="宋体" w:cs="宋体"/>
                <w:sz w:val="21"/>
                <w:szCs w:val="21"/>
              </w:rPr>
              <w:t>日 09:30 （北京时间）前提交（上传）响应文件。</w:t>
            </w:r>
          </w:p>
        </w:tc>
      </w:tr>
    </w:tbl>
    <w:p w14:paraId="4E139EA1">
      <w:pPr>
        <w:pStyle w:val="18"/>
        <w:widowControl w:val="0"/>
        <w:numPr>
          <w:ilvl w:val="0"/>
          <w:numId w:val="1"/>
        </w:numPr>
        <w:spacing w:before="0" w:beforeAutospacing="0" w:after="0" w:afterAutospacing="0" w:line="400" w:lineRule="exact"/>
        <w:ind w:left="0" w:firstLine="422" w:firstLineChars="200"/>
        <w:jc w:val="both"/>
        <w:rPr>
          <w:rFonts w:hint="default" w:eastAsia="宋体" w:cs="宋体"/>
          <w:b/>
          <w:kern w:val="2"/>
          <w:sz w:val="21"/>
          <w:szCs w:val="21"/>
        </w:rPr>
      </w:pPr>
      <w:r>
        <w:rPr>
          <w:rFonts w:eastAsia="宋体" w:cs="宋体"/>
          <w:b/>
          <w:kern w:val="2"/>
          <w:sz w:val="21"/>
          <w:szCs w:val="21"/>
        </w:rPr>
        <w:t>项目基本情况</w:t>
      </w:r>
    </w:p>
    <w:p w14:paraId="56B45B4F">
      <w:pPr>
        <w:spacing w:line="400" w:lineRule="exact"/>
        <w:ind w:firstLine="420" w:firstLineChars="200"/>
        <w:rPr>
          <w:rFonts w:hint="eastAsia" w:ascii="宋体" w:hAnsi="宋体" w:eastAsia="宋体" w:cs="宋体"/>
          <w:kern w:val="0"/>
          <w:sz w:val="21"/>
          <w:szCs w:val="21"/>
          <w:lang w:eastAsia="zh-CN"/>
        </w:rPr>
      </w:pPr>
      <w:r>
        <w:rPr>
          <w:rFonts w:hint="eastAsia" w:ascii="宋体" w:hAnsi="宋体" w:eastAsia="宋体" w:cs="宋体"/>
          <w:kern w:val="0"/>
          <w:sz w:val="21"/>
          <w:szCs w:val="21"/>
        </w:rPr>
        <w:t>项目编号：</w:t>
      </w:r>
      <w:r>
        <w:rPr>
          <w:rFonts w:hint="eastAsia" w:ascii="宋体" w:hAnsi="宋体" w:eastAsia="宋体" w:cs="宋体"/>
          <w:kern w:val="0"/>
          <w:sz w:val="21"/>
          <w:szCs w:val="21"/>
          <w:lang w:eastAsia="zh-CN"/>
        </w:rPr>
        <w:t>TYXJ-202501</w:t>
      </w:r>
    </w:p>
    <w:p w14:paraId="296E9171">
      <w:pPr>
        <w:spacing w:line="400" w:lineRule="exact"/>
        <w:ind w:firstLine="420" w:firstLineChars="200"/>
        <w:rPr>
          <w:rFonts w:hint="eastAsia" w:ascii="宋体" w:hAnsi="宋体" w:eastAsia="宋体" w:cs="宋体"/>
          <w:kern w:val="0"/>
          <w:sz w:val="21"/>
          <w:szCs w:val="21"/>
          <w:lang w:eastAsia="zh-CN"/>
        </w:rPr>
      </w:pPr>
      <w:r>
        <w:rPr>
          <w:rFonts w:hint="eastAsia" w:ascii="宋体" w:hAnsi="宋体" w:eastAsia="宋体" w:cs="宋体"/>
          <w:kern w:val="0"/>
          <w:sz w:val="21"/>
          <w:szCs w:val="21"/>
        </w:rPr>
        <w:t>项目名称：</w:t>
      </w:r>
      <w:r>
        <w:rPr>
          <w:rFonts w:hint="eastAsia" w:ascii="宋体" w:hAnsi="宋体" w:eastAsia="宋体" w:cs="宋体"/>
          <w:kern w:val="0"/>
          <w:sz w:val="21"/>
          <w:szCs w:val="21"/>
          <w:lang w:eastAsia="zh-CN"/>
        </w:rPr>
        <w:t>白塔镇景园村关金生态停车场建设项目</w:t>
      </w:r>
    </w:p>
    <w:p w14:paraId="0E529B4C">
      <w:pPr>
        <w:spacing w:line="400" w:lineRule="exact"/>
        <w:ind w:firstLine="420" w:firstLineChars="200"/>
        <w:rPr>
          <w:rFonts w:ascii="宋体" w:hAnsi="宋体" w:eastAsia="宋体" w:cs="宋体"/>
          <w:kern w:val="0"/>
          <w:sz w:val="21"/>
          <w:szCs w:val="21"/>
        </w:rPr>
      </w:pPr>
      <w:r>
        <w:rPr>
          <w:rFonts w:hint="eastAsia" w:ascii="宋体" w:hAnsi="宋体" w:eastAsia="宋体" w:cs="宋体"/>
          <w:kern w:val="0"/>
          <w:sz w:val="21"/>
          <w:szCs w:val="21"/>
        </w:rPr>
        <w:t>采购方式：竞争性谈判</w:t>
      </w:r>
    </w:p>
    <w:p w14:paraId="51E5D774">
      <w:pPr>
        <w:spacing w:line="400" w:lineRule="exact"/>
        <w:ind w:firstLine="420" w:firstLineChars="200"/>
        <w:rPr>
          <w:rFonts w:hint="eastAsia" w:ascii="宋体" w:hAnsi="宋体" w:eastAsia="宋体" w:cs="宋体"/>
          <w:kern w:val="0"/>
          <w:sz w:val="21"/>
          <w:szCs w:val="21"/>
          <w:lang w:eastAsia="zh-CN"/>
        </w:rPr>
      </w:pPr>
      <w:r>
        <w:rPr>
          <w:rFonts w:hint="eastAsia" w:ascii="宋体" w:hAnsi="宋体" w:eastAsia="宋体" w:cs="宋体"/>
          <w:kern w:val="0"/>
          <w:sz w:val="21"/>
          <w:szCs w:val="21"/>
        </w:rPr>
        <w:t>预算金额（元）：</w:t>
      </w:r>
      <w:r>
        <w:rPr>
          <w:rFonts w:hint="eastAsia" w:ascii="宋体" w:hAnsi="宋体" w:eastAsia="宋体" w:cs="宋体"/>
          <w:bCs/>
          <w:kern w:val="0"/>
          <w:sz w:val="21"/>
          <w:szCs w:val="21"/>
          <w:lang w:eastAsia="zh-CN"/>
        </w:rPr>
        <w:t>1284494</w:t>
      </w:r>
    </w:p>
    <w:p w14:paraId="5582FD59">
      <w:pPr>
        <w:spacing w:line="400" w:lineRule="exact"/>
        <w:ind w:firstLine="420" w:firstLineChars="200"/>
        <w:rPr>
          <w:rFonts w:hint="eastAsia" w:ascii="宋体" w:hAnsi="宋体" w:eastAsia="宋体" w:cs="宋体"/>
          <w:kern w:val="0"/>
          <w:sz w:val="21"/>
          <w:szCs w:val="21"/>
          <w:lang w:eastAsia="zh-CN"/>
        </w:rPr>
      </w:pPr>
      <w:r>
        <w:rPr>
          <w:rFonts w:hint="eastAsia" w:ascii="宋体" w:hAnsi="宋体" w:eastAsia="宋体" w:cs="宋体"/>
          <w:kern w:val="0"/>
          <w:sz w:val="21"/>
          <w:szCs w:val="21"/>
        </w:rPr>
        <w:t>最高限价（元）：</w:t>
      </w:r>
      <w:r>
        <w:rPr>
          <w:rFonts w:hint="eastAsia" w:ascii="宋体" w:hAnsi="宋体" w:eastAsia="宋体" w:cs="宋体"/>
          <w:kern w:val="0"/>
          <w:sz w:val="21"/>
          <w:szCs w:val="21"/>
          <w:lang w:eastAsia="zh-CN"/>
        </w:rPr>
        <w:t>1156045</w:t>
      </w:r>
    </w:p>
    <w:p w14:paraId="796499A6">
      <w:pPr>
        <w:spacing w:line="400" w:lineRule="exact"/>
        <w:ind w:firstLine="420" w:firstLineChars="200"/>
        <w:rPr>
          <w:rFonts w:ascii="宋体" w:hAnsi="宋体" w:eastAsia="宋体" w:cs="宋体"/>
          <w:kern w:val="0"/>
          <w:sz w:val="21"/>
          <w:szCs w:val="21"/>
        </w:rPr>
      </w:pPr>
      <w:r>
        <w:rPr>
          <w:rFonts w:hint="eastAsia" w:ascii="宋体" w:hAnsi="宋体" w:eastAsia="宋体" w:cs="宋体"/>
          <w:kern w:val="0"/>
          <w:sz w:val="21"/>
          <w:szCs w:val="21"/>
        </w:rPr>
        <w:t>数量：1</w:t>
      </w:r>
    </w:p>
    <w:p w14:paraId="741516EF">
      <w:pPr>
        <w:spacing w:line="400" w:lineRule="exact"/>
        <w:ind w:firstLine="420" w:firstLineChars="200"/>
        <w:rPr>
          <w:rFonts w:hint="eastAsia" w:ascii="宋体" w:hAnsi="宋体" w:eastAsia="宋体" w:cs="宋体"/>
          <w:kern w:val="0"/>
          <w:sz w:val="21"/>
          <w:szCs w:val="21"/>
          <w:lang w:eastAsia="zh-CN"/>
        </w:rPr>
      </w:pPr>
      <w:r>
        <w:rPr>
          <w:rFonts w:hint="eastAsia" w:ascii="宋体" w:hAnsi="宋体" w:eastAsia="宋体" w:cs="宋体"/>
          <w:kern w:val="0"/>
          <w:sz w:val="21"/>
          <w:szCs w:val="21"/>
        </w:rPr>
        <w:t>预算金额（元）：</w:t>
      </w:r>
      <w:r>
        <w:rPr>
          <w:rFonts w:hint="eastAsia" w:ascii="宋体" w:hAnsi="宋体" w:eastAsia="宋体" w:cs="宋体"/>
          <w:bCs/>
          <w:kern w:val="0"/>
          <w:sz w:val="21"/>
          <w:szCs w:val="21"/>
          <w:lang w:eastAsia="zh-CN"/>
        </w:rPr>
        <w:t>1284494</w:t>
      </w:r>
    </w:p>
    <w:p w14:paraId="54DDC08F">
      <w:pPr>
        <w:spacing w:line="400" w:lineRule="exact"/>
        <w:ind w:firstLine="420" w:firstLineChars="200"/>
        <w:rPr>
          <w:rFonts w:ascii="宋体" w:hAnsi="宋体" w:eastAsia="宋体" w:cs="宋体"/>
          <w:kern w:val="0"/>
          <w:sz w:val="21"/>
          <w:szCs w:val="21"/>
        </w:rPr>
      </w:pPr>
      <w:r>
        <w:rPr>
          <w:rFonts w:hint="eastAsia" w:ascii="宋体" w:hAnsi="宋体" w:eastAsia="宋体" w:cs="宋体"/>
          <w:kern w:val="0"/>
          <w:sz w:val="21"/>
          <w:szCs w:val="21"/>
        </w:rPr>
        <w:t>单位：项 </w:t>
      </w:r>
    </w:p>
    <w:p w14:paraId="04846A06">
      <w:pPr>
        <w:spacing w:line="400" w:lineRule="exact"/>
        <w:ind w:firstLine="420" w:firstLineChars="200"/>
        <w:rPr>
          <w:rFonts w:ascii="宋体" w:hAnsi="宋体" w:eastAsia="宋体" w:cs="宋体"/>
          <w:kern w:val="0"/>
          <w:sz w:val="21"/>
          <w:szCs w:val="21"/>
        </w:rPr>
      </w:pPr>
      <w:r>
        <w:rPr>
          <w:rFonts w:hint="eastAsia" w:ascii="宋体" w:hAnsi="宋体" w:eastAsia="宋体" w:cs="宋体"/>
          <w:kern w:val="0"/>
          <w:sz w:val="21"/>
          <w:szCs w:val="21"/>
        </w:rPr>
        <w:t>简要规格描述：详见谈判文件 </w:t>
      </w:r>
    </w:p>
    <w:p w14:paraId="72E0BF4B">
      <w:pPr>
        <w:spacing w:line="400" w:lineRule="exact"/>
        <w:ind w:firstLine="420" w:firstLineChars="200"/>
        <w:rPr>
          <w:rFonts w:ascii="宋体" w:hAnsi="宋体" w:eastAsia="宋体" w:cs="宋体"/>
          <w:kern w:val="0"/>
          <w:sz w:val="21"/>
          <w:szCs w:val="21"/>
        </w:rPr>
      </w:pPr>
      <w:r>
        <w:rPr>
          <w:rFonts w:hint="eastAsia" w:ascii="宋体" w:hAnsi="宋体" w:eastAsia="宋体" w:cs="宋体"/>
          <w:kern w:val="0"/>
          <w:sz w:val="21"/>
          <w:szCs w:val="21"/>
        </w:rPr>
        <w:t>备注： </w:t>
      </w:r>
    </w:p>
    <w:p w14:paraId="7353C67D">
      <w:pPr>
        <w:spacing w:line="400" w:lineRule="exact"/>
        <w:ind w:firstLine="420" w:firstLineChars="200"/>
        <w:rPr>
          <w:rFonts w:ascii="宋体" w:hAnsi="宋体" w:eastAsia="宋体" w:cs="宋体"/>
          <w:kern w:val="0"/>
          <w:sz w:val="21"/>
          <w:szCs w:val="21"/>
        </w:rPr>
      </w:pPr>
      <w:r>
        <w:rPr>
          <w:rFonts w:hint="eastAsia" w:ascii="宋体" w:hAnsi="宋体" w:eastAsia="宋体" w:cs="宋体"/>
          <w:kern w:val="0"/>
          <w:sz w:val="21"/>
          <w:szCs w:val="21"/>
        </w:rPr>
        <w:t>合同履约期限：标项 1，详见谈判文件 </w:t>
      </w:r>
    </w:p>
    <w:p w14:paraId="46E7D02D">
      <w:pPr>
        <w:spacing w:line="400" w:lineRule="exact"/>
        <w:ind w:firstLine="420" w:firstLineChars="200"/>
        <w:rPr>
          <w:rFonts w:ascii="宋体" w:hAnsi="宋体" w:eastAsia="宋体" w:cs="宋体"/>
          <w:kern w:val="0"/>
          <w:sz w:val="21"/>
          <w:szCs w:val="21"/>
        </w:rPr>
      </w:pPr>
      <w:r>
        <w:rPr>
          <w:rFonts w:hint="eastAsia" w:ascii="宋体" w:hAnsi="宋体" w:eastAsia="宋体" w:cs="宋体"/>
          <w:kern w:val="0"/>
          <w:sz w:val="21"/>
          <w:szCs w:val="21"/>
        </w:rPr>
        <w:t>本项目（否）接受联合体投标。</w:t>
      </w:r>
    </w:p>
    <w:p w14:paraId="633B1F24">
      <w:pPr>
        <w:pStyle w:val="18"/>
        <w:widowControl w:val="0"/>
        <w:numPr>
          <w:ilvl w:val="0"/>
          <w:numId w:val="1"/>
        </w:numPr>
        <w:spacing w:before="0" w:beforeAutospacing="0" w:after="0" w:afterAutospacing="0" w:line="400" w:lineRule="exact"/>
        <w:ind w:left="0" w:firstLine="422" w:firstLineChars="200"/>
        <w:jc w:val="both"/>
        <w:rPr>
          <w:rFonts w:hint="default" w:eastAsia="宋体" w:cs="宋体"/>
          <w:b/>
          <w:kern w:val="2"/>
          <w:sz w:val="21"/>
          <w:szCs w:val="21"/>
        </w:rPr>
      </w:pPr>
      <w:r>
        <w:rPr>
          <w:rFonts w:eastAsia="宋体" w:cs="宋体"/>
          <w:b/>
          <w:kern w:val="2"/>
          <w:sz w:val="21"/>
          <w:szCs w:val="21"/>
        </w:rPr>
        <w:t>申请人的资格要求：</w:t>
      </w:r>
    </w:p>
    <w:p w14:paraId="0281D408">
      <w:pPr>
        <w:spacing w:line="400" w:lineRule="exact"/>
        <w:ind w:firstLine="420" w:firstLineChars="200"/>
        <w:rPr>
          <w:rFonts w:ascii="宋体" w:hAnsi="宋体" w:eastAsia="宋体" w:cs="宋体"/>
          <w:kern w:val="0"/>
          <w:sz w:val="21"/>
          <w:szCs w:val="21"/>
        </w:rPr>
      </w:pPr>
      <w:r>
        <w:rPr>
          <w:rFonts w:hint="eastAsia" w:ascii="宋体" w:hAnsi="宋体" w:eastAsia="宋体" w:cs="宋体"/>
          <w:kern w:val="0"/>
          <w:sz w:val="21"/>
          <w:szCs w:val="21"/>
        </w:rPr>
        <w:t>1.满足</w:t>
      </w:r>
      <w:r>
        <w:rPr>
          <w:rFonts w:hint="eastAsia" w:ascii="宋体" w:hAnsi="宋体" w:eastAsia="宋体" w:cs="宋体"/>
          <w:sz w:val="21"/>
          <w:szCs w:val="21"/>
        </w:rPr>
        <w:t>《中华人民共和国政府采购法》第二十二条规定，未被“信用中国”（www.creditchina.gov.cn)、中国政府采购网（www.ccgp.gov.cn）列入失信被执行人、重大税收违法案件当事人名单、政府采购严重违法失信行为记录名单。</w:t>
      </w:r>
    </w:p>
    <w:p w14:paraId="16E47FB0">
      <w:pPr>
        <w:spacing w:line="400" w:lineRule="exact"/>
        <w:ind w:firstLine="420" w:firstLineChars="200"/>
        <w:rPr>
          <w:rFonts w:ascii="宋体" w:hAnsi="宋体" w:eastAsia="宋体" w:cs="宋体"/>
          <w:kern w:val="0"/>
          <w:sz w:val="21"/>
          <w:szCs w:val="21"/>
        </w:rPr>
      </w:pPr>
      <w:r>
        <w:rPr>
          <w:rFonts w:hint="eastAsia" w:ascii="宋体" w:hAnsi="宋体" w:eastAsia="宋体" w:cs="宋体"/>
          <w:kern w:val="0"/>
          <w:sz w:val="21"/>
          <w:szCs w:val="21"/>
        </w:rPr>
        <w:t>2.落实政府采购政策需满足的资格要求：供应商为中小企业/小微企业或监狱企业或残疾人福利性单位；</w:t>
      </w:r>
    </w:p>
    <w:p w14:paraId="7ADD34F9">
      <w:pPr>
        <w:spacing w:line="400" w:lineRule="exact"/>
        <w:ind w:firstLine="420" w:firstLineChars="200"/>
        <w:rPr>
          <w:rFonts w:ascii="宋体" w:hAnsi="宋体" w:eastAsia="宋体" w:cs="宋体"/>
          <w:kern w:val="0"/>
          <w:sz w:val="21"/>
          <w:szCs w:val="21"/>
        </w:rPr>
      </w:pPr>
      <w:r>
        <w:rPr>
          <w:rFonts w:hint="eastAsia" w:ascii="宋体" w:hAnsi="宋体" w:eastAsia="宋体" w:cs="宋体"/>
          <w:kern w:val="0"/>
          <w:sz w:val="21"/>
          <w:szCs w:val="21"/>
        </w:rPr>
        <w:t xml:space="preserve">3.本项目的特定资格要求： </w:t>
      </w:r>
      <w:r>
        <w:rPr>
          <w:rFonts w:hint="eastAsia" w:ascii="宋体" w:hAnsi="宋体" w:eastAsia="宋体" w:cs="宋体"/>
          <w:kern w:val="0"/>
          <w:sz w:val="21"/>
          <w:szCs w:val="21"/>
          <w:lang w:val="en-US" w:eastAsia="zh-CN"/>
        </w:rPr>
        <w:t>①具有市政公用工程施工总承包三级及以上资质等级，并在人员、设备、资金等方面具有相应的施工能力，企业具有安全生产许可证，且在有效期内；浙江省省外企业须具有有效的《省外企业进浙承接业务备案证明》或浙江省建筑市场监管公共服务系统已完成办理的公示信息网站截图证明。</w:t>
      </w:r>
    </w:p>
    <w:p w14:paraId="5A0E4810">
      <w:pPr>
        <w:pStyle w:val="18"/>
        <w:widowControl w:val="0"/>
        <w:numPr>
          <w:ilvl w:val="0"/>
          <w:numId w:val="1"/>
        </w:numPr>
        <w:spacing w:before="0" w:beforeAutospacing="0" w:after="0" w:afterAutospacing="0" w:line="400" w:lineRule="exact"/>
        <w:ind w:left="0" w:firstLine="422" w:firstLineChars="200"/>
        <w:jc w:val="both"/>
        <w:rPr>
          <w:rFonts w:hint="default" w:eastAsia="宋体" w:cs="宋体"/>
          <w:b/>
          <w:kern w:val="2"/>
          <w:sz w:val="21"/>
          <w:szCs w:val="21"/>
        </w:rPr>
      </w:pPr>
      <w:r>
        <w:rPr>
          <w:rFonts w:eastAsia="宋体" w:cs="宋体"/>
          <w:b/>
          <w:kern w:val="2"/>
          <w:sz w:val="21"/>
          <w:szCs w:val="21"/>
        </w:rPr>
        <w:t>获取（下载）采购文件</w:t>
      </w:r>
    </w:p>
    <w:p w14:paraId="20E3E797">
      <w:pPr>
        <w:spacing w:line="400" w:lineRule="exact"/>
        <w:ind w:firstLine="420" w:firstLineChars="200"/>
        <w:rPr>
          <w:rFonts w:ascii="宋体" w:hAnsi="宋体" w:eastAsia="宋体" w:cs="宋体"/>
          <w:kern w:val="0"/>
          <w:sz w:val="21"/>
          <w:szCs w:val="21"/>
        </w:rPr>
      </w:pPr>
      <w:r>
        <w:rPr>
          <w:rFonts w:hint="eastAsia" w:ascii="宋体" w:hAnsi="宋体" w:eastAsia="宋体" w:cs="宋体"/>
          <w:kern w:val="0"/>
          <w:sz w:val="21"/>
          <w:szCs w:val="21"/>
        </w:rPr>
        <w:t>1.时间：/至2025年</w:t>
      </w:r>
      <w:r>
        <w:rPr>
          <w:rFonts w:hint="eastAsia" w:ascii="宋体" w:hAnsi="宋体" w:eastAsia="宋体" w:cs="宋体"/>
          <w:kern w:val="0"/>
          <w:sz w:val="21"/>
          <w:szCs w:val="21"/>
          <w:lang w:val="en-US" w:eastAsia="zh-CN"/>
        </w:rPr>
        <w:t xml:space="preserve"> 3 </w:t>
      </w:r>
      <w:r>
        <w:rPr>
          <w:rFonts w:hint="eastAsia" w:ascii="宋体" w:hAnsi="宋体" w:eastAsia="宋体" w:cs="宋体"/>
          <w:kern w:val="0"/>
          <w:sz w:val="21"/>
          <w:szCs w:val="21"/>
        </w:rPr>
        <w:t>月</w:t>
      </w:r>
      <w:r>
        <w:rPr>
          <w:rFonts w:hint="eastAsia" w:ascii="宋体" w:hAnsi="宋体" w:eastAsia="宋体" w:cs="宋体"/>
          <w:kern w:val="0"/>
          <w:sz w:val="21"/>
          <w:szCs w:val="21"/>
          <w:lang w:val="en-US" w:eastAsia="zh-CN"/>
        </w:rPr>
        <w:t xml:space="preserve"> 5 </w:t>
      </w:r>
      <w:r>
        <w:rPr>
          <w:rFonts w:hint="eastAsia" w:ascii="宋体" w:hAnsi="宋体" w:eastAsia="宋体" w:cs="宋体"/>
          <w:kern w:val="0"/>
          <w:sz w:val="21"/>
          <w:szCs w:val="21"/>
        </w:rPr>
        <w:t>日，每天上午00:00至12:00，下午12:00至23:59（北京时间，线上获取法定节假日均可，线下获取文件法定节假日除外）</w:t>
      </w:r>
    </w:p>
    <w:p w14:paraId="565608E6">
      <w:pPr>
        <w:spacing w:line="400" w:lineRule="exact"/>
        <w:ind w:firstLine="420" w:firstLineChars="200"/>
        <w:rPr>
          <w:rFonts w:ascii="宋体" w:hAnsi="宋体" w:eastAsia="宋体" w:cs="宋体"/>
          <w:kern w:val="0"/>
          <w:sz w:val="21"/>
          <w:szCs w:val="21"/>
        </w:rPr>
      </w:pPr>
      <w:r>
        <w:rPr>
          <w:rFonts w:hint="eastAsia" w:ascii="宋体" w:hAnsi="宋体" w:eastAsia="宋体" w:cs="宋体"/>
          <w:kern w:val="0"/>
          <w:sz w:val="21"/>
          <w:szCs w:val="21"/>
        </w:rPr>
        <w:t>2.地点（网址）：浙江政府采购网（http://zfcg.czt.zj.gov.cn） </w:t>
      </w:r>
    </w:p>
    <w:p w14:paraId="7E6FA9B2">
      <w:pPr>
        <w:spacing w:line="400" w:lineRule="exact"/>
        <w:ind w:firstLine="420" w:firstLineChars="200"/>
        <w:rPr>
          <w:rFonts w:ascii="宋体" w:hAnsi="宋体" w:eastAsia="宋体" w:cs="宋体"/>
          <w:kern w:val="0"/>
          <w:sz w:val="21"/>
          <w:szCs w:val="21"/>
        </w:rPr>
      </w:pPr>
      <w:r>
        <w:rPr>
          <w:rFonts w:hint="eastAsia" w:ascii="宋体" w:hAnsi="宋体" w:eastAsia="宋体" w:cs="宋体"/>
          <w:kern w:val="0"/>
          <w:sz w:val="21"/>
          <w:szCs w:val="21"/>
        </w:rPr>
        <w:t>3.方式：供应商通过“浙江政府采购网”在线获取（谈判公告下方选取“潜在供应商”处“获取采购文件”），不提供纸制版采购文件；供应商只有在“浙江政府采购网”完成获取采购文件申请并下载了采购文件后才视作依法获取采购文件（法律法规所指的供应商获取采购文件时间以供应商完成获取采购文件申请后下载采购文件的时间为准）。通过公告下方“游客，浏览采购文件”下载的采购文件仅供浏览，不视作依法获取采购文件。 </w:t>
      </w:r>
    </w:p>
    <w:p w14:paraId="2B06DDEC">
      <w:pPr>
        <w:spacing w:line="400" w:lineRule="exact"/>
        <w:ind w:firstLine="420" w:firstLineChars="200"/>
        <w:rPr>
          <w:rFonts w:ascii="宋体" w:hAnsi="宋体" w:eastAsia="宋体" w:cs="宋体"/>
          <w:kern w:val="0"/>
          <w:sz w:val="21"/>
          <w:szCs w:val="21"/>
        </w:rPr>
      </w:pPr>
      <w:r>
        <w:rPr>
          <w:rFonts w:hint="eastAsia" w:ascii="宋体" w:hAnsi="宋体" w:eastAsia="宋体" w:cs="宋体"/>
          <w:kern w:val="0"/>
          <w:sz w:val="21"/>
          <w:szCs w:val="21"/>
        </w:rPr>
        <w:t>4.售价（元）：0 </w:t>
      </w:r>
    </w:p>
    <w:p w14:paraId="7A357264">
      <w:pPr>
        <w:pStyle w:val="18"/>
        <w:widowControl w:val="0"/>
        <w:numPr>
          <w:ilvl w:val="0"/>
          <w:numId w:val="1"/>
        </w:numPr>
        <w:spacing w:before="0" w:beforeAutospacing="0" w:after="0" w:afterAutospacing="0" w:line="400" w:lineRule="exact"/>
        <w:ind w:left="0" w:firstLine="422" w:firstLineChars="200"/>
        <w:jc w:val="both"/>
        <w:rPr>
          <w:rFonts w:hint="default" w:eastAsia="宋体" w:cs="宋体"/>
          <w:b/>
          <w:kern w:val="2"/>
          <w:sz w:val="21"/>
          <w:szCs w:val="21"/>
        </w:rPr>
      </w:pPr>
      <w:r>
        <w:rPr>
          <w:rFonts w:eastAsia="宋体" w:cs="宋体"/>
          <w:b/>
          <w:kern w:val="2"/>
          <w:sz w:val="21"/>
          <w:szCs w:val="21"/>
        </w:rPr>
        <w:t>响应文件提交（上传）</w:t>
      </w:r>
    </w:p>
    <w:p w14:paraId="45217965">
      <w:pPr>
        <w:pStyle w:val="18"/>
        <w:spacing w:before="0" w:beforeAutospacing="0" w:after="0" w:afterAutospacing="0" w:line="400" w:lineRule="exact"/>
        <w:ind w:firstLine="420" w:firstLineChars="200"/>
        <w:rPr>
          <w:rFonts w:hint="default" w:eastAsia="宋体" w:cs="宋体"/>
          <w:sz w:val="21"/>
          <w:szCs w:val="21"/>
        </w:rPr>
      </w:pPr>
      <w:r>
        <w:rPr>
          <w:rFonts w:eastAsia="宋体" w:cs="宋体"/>
          <w:sz w:val="21"/>
          <w:szCs w:val="21"/>
        </w:rPr>
        <w:t>1.截止时间：</w:t>
      </w:r>
      <w:r>
        <w:rPr>
          <w:rFonts w:eastAsia="宋体" w:cs="宋体"/>
          <w:sz w:val="21"/>
          <w:szCs w:val="21"/>
          <w:u w:val="single"/>
        </w:rPr>
        <w:t>2025年</w:t>
      </w:r>
      <w:r>
        <w:rPr>
          <w:rFonts w:hint="eastAsia" w:eastAsia="宋体" w:cs="宋体"/>
          <w:sz w:val="21"/>
          <w:szCs w:val="21"/>
          <w:u w:val="single"/>
          <w:lang w:val="en-US" w:eastAsia="zh-CN"/>
        </w:rPr>
        <w:t xml:space="preserve"> 3 </w:t>
      </w:r>
      <w:r>
        <w:rPr>
          <w:rFonts w:eastAsia="宋体" w:cs="宋体"/>
          <w:sz w:val="21"/>
          <w:szCs w:val="21"/>
          <w:u w:val="single"/>
        </w:rPr>
        <w:t>月</w:t>
      </w:r>
      <w:r>
        <w:rPr>
          <w:rFonts w:hint="eastAsia" w:eastAsia="宋体" w:cs="宋体"/>
          <w:sz w:val="21"/>
          <w:szCs w:val="21"/>
          <w:u w:val="single"/>
          <w:lang w:val="en-US" w:eastAsia="zh-CN"/>
        </w:rPr>
        <w:t xml:space="preserve"> 5 </w:t>
      </w:r>
      <w:r>
        <w:rPr>
          <w:rFonts w:eastAsia="宋体" w:cs="宋体"/>
          <w:sz w:val="21"/>
          <w:szCs w:val="21"/>
          <w:u w:val="single"/>
        </w:rPr>
        <w:t>日 09:30</w:t>
      </w:r>
      <w:r>
        <w:rPr>
          <w:rFonts w:eastAsia="宋体" w:cs="宋体"/>
          <w:sz w:val="21"/>
          <w:szCs w:val="21"/>
        </w:rPr>
        <w:t>（北京时间）</w:t>
      </w:r>
    </w:p>
    <w:p w14:paraId="0FC13344">
      <w:pPr>
        <w:pStyle w:val="18"/>
        <w:spacing w:before="0" w:beforeAutospacing="0" w:after="0" w:afterAutospacing="0" w:line="400" w:lineRule="exact"/>
        <w:ind w:firstLine="420" w:firstLineChars="200"/>
        <w:rPr>
          <w:rFonts w:hint="default" w:eastAsia="宋体" w:cs="宋体"/>
          <w:sz w:val="21"/>
          <w:szCs w:val="21"/>
        </w:rPr>
      </w:pPr>
      <w:r>
        <w:rPr>
          <w:rFonts w:eastAsia="宋体" w:cs="宋体"/>
          <w:sz w:val="21"/>
          <w:szCs w:val="21"/>
        </w:rPr>
        <w:t>2.地点（网址）：</w:t>
      </w:r>
    </w:p>
    <w:p w14:paraId="03A5A0AD">
      <w:pPr>
        <w:pStyle w:val="18"/>
        <w:spacing w:before="0" w:beforeAutospacing="0" w:after="0" w:afterAutospacing="0" w:line="400" w:lineRule="exact"/>
        <w:ind w:firstLine="420" w:firstLineChars="200"/>
        <w:rPr>
          <w:rFonts w:hint="default" w:eastAsia="宋体" w:cs="宋体"/>
          <w:sz w:val="21"/>
          <w:szCs w:val="21"/>
        </w:rPr>
      </w:pPr>
      <w:r>
        <w:rPr>
          <w:rFonts w:eastAsia="宋体" w:cs="宋体"/>
          <w:sz w:val="21"/>
          <w:szCs w:val="21"/>
        </w:rPr>
        <w:t xml:space="preserve">（1）电子加密响应文件：在“政府采购云平台”上传提交。“电子加密响应文件”成功上传提交后，供应商自行打印响应文件接收回执。 </w:t>
      </w:r>
    </w:p>
    <w:p w14:paraId="3FDC90AD">
      <w:pPr>
        <w:pStyle w:val="18"/>
        <w:spacing w:before="0" w:beforeAutospacing="0" w:after="0" w:afterAutospacing="0" w:line="400" w:lineRule="exact"/>
        <w:ind w:firstLine="420" w:firstLineChars="200"/>
        <w:rPr>
          <w:rFonts w:hint="default" w:eastAsia="宋体" w:cs="宋体"/>
          <w:sz w:val="21"/>
          <w:szCs w:val="21"/>
        </w:rPr>
      </w:pPr>
      <w:r>
        <w:rPr>
          <w:rFonts w:eastAsia="宋体" w:cs="宋体"/>
          <w:sz w:val="21"/>
          <w:szCs w:val="21"/>
        </w:rPr>
        <w:t>（2）备份响应文件：供应商自行确定是否提交。若提交请在响应文件截止时间前将备份响应文件打包压缩加密（未加密造成泄密的由供应商自行承担）后以电子邮件的形式发送至</w:t>
      </w:r>
      <w:r>
        <w:rPr>
          <w:rFonts w:hint="eastAsia" w:eastAsia="宋体" w:cs="宋体"/>
          <w:sz w:val="21"/>
          <w:szCs w:val="21"/>
          <w:lang w:eastAsia="zh-CN"/>
        </w:rPr>
        <w:t>501431643@qq.com</w:t>
      </w:r>
      <w:r>
        <w:rPr>
          <w:rFonts w:eastAsia="宋体" w:cs="宋体"/>
          <w:sz w:val="21"/>
          <w:szCs w:val="21"/>
        </w:rPr>
        <w:t xml:space="preserve"> 。</w:t>
      </w:r>
    </w:p>
    <w:p w14:paraId="4001DC12">
      <w:pPr>
        <w:pStyle w:val="18"/>
        <w:widowControl w:val="0"/>
        <w:numPr>
          <w:ilvl w:val="0"/>
          <w:numId w:val="1"/>
        </w:numPr>
        <w:spacing w:before="0" w:beforeAutospacing="0" w:after="0" w:afterAutospacing="0" w:line="400" w:lineRule="exact"/>
        <w:ind w:left="0" w:firstLine="422" w:firstLineChars="200"/>
        <w:jc w:val="both"/>
        <w:rPr>
          <w:rFonts w:hint="default" w:eastAsia="宋体" w:cs="宋体"/>
          <w:b/>
          <w:kern w:val="2"/>
          <w:sz w:val="21"/>
          <w:szCs w:val="21"/>
        </w:rPr>
      </w:pPr>
      <w:r>
        <w:rPr>
          <w:rFonts w:eastAsia="宋体" w:cs="宋体"/>
          <w:b/>
          <w:kern w:val="2"/>
          <w:sz w:val="21"/>
          <w:szCs w:val="21"/>
        </w:rPr>
        <w:t>响应文件开启</w:t>
      </w:r>
    </w:p>
    <w:p w14:paraId="3CF72F63">
      <w:pPr>
        <w:pStyle w:val="18"/>
        <w:spacing w:before="0" w:beforeAutospacing="0" w:after="0" w:afterAutospacing="0" w:line="400" w:lineRule="exact"/>
        <w:ind w:firstLine="420" w:firstLineChars="200"/>
        <w:rPr>
          <w:rFonts w:hint="default" w:eastAsia="宋体" w:cs="宋体"/>
          <w:sz w:val="21"/>
          <w:szCs w:val="21"/>
        </w:rPr>
      </w:pPr>
      <w:r>
        <w:rPr>
          <w:rFonts w:eastAsia="宋体" w:cs="宋体"/>
          <w:sz w:val="21"/>
          <w:szCs w:val="21"/>
        </w:rPr>
        <w:t>1.开启时间：</w:t>
      </w:r>
      <w:r>
        <w:rPr>
          <w:rFonts w:eastAsia="宋体" w:cs="宋体"/>
          <w:sz w:val="21"/>
          <w:szCs w:val="21"/>
          <w:u w:val="single"/>
        </w:rPr>
        <w:t>2025年</w:t>
      </w:r>
      <w:r>
        <w:rPr>
          <w:rFonts w:hint="eastAsia" w:eastAsia="宋体" w:cs="宋体"/>
          <w:sz w:val="21"/>
          <w:szCs w:val="21"/>
          <w:u w:val="single"/>
          <w:lang w:val="en-US" w:eastAsia="zh-CN"/>
        </w:rPr>
        <w:t xml:space="preserve"> 3 </w:t>
      </w:r>
      <w:r>
        <w:rPr>
          <w:rFonts w:eastAsia="宋体" w:cs="宋体"/>
          <w:sz w:val="21"/>
          <w:szCs w:val="21"/>
          <w:u w:val="single"/>
        </w:rPr>
        <w:t>月</w:t>
      </w:r>
      <w:r>
        <w:rPr>
          <w:rFonts w:hint="eastAsia" w:eastAsia="宋体" w:cs="宋体"/>
          <w:sz w:val="21"/>
          <w:szCs w:val="21"/>
          <w:u w:val="single"/>
          <w:lang w:val="en-US" w:eastAsia="zh-CN"/>
        </w:rPr>
        <w:t xml:space="preserve"> 5 </w:t>
      </w:r>
      <w:r>
        <w:rPr>
          <w:rFonts w:eastAsia="宋体" w:cs="宋体"/>
          <w:sz w:val="21"/>
          <w:szCs w:val="21"/>
          <w:u w:val="single"/>
        </w:rPr>
        <w:t>日 09:30</w:t>
      </w:r>
      <w:r>
        <w:rPr>
          <w:rFonts w:eastAsia="宋体" w:cs="宋体"/>
          <w:sz w:val="21"/>
          <w:szCs w:val="21"/>
        </w:rPr>
        <w:t>（北京时间）</w:t>
      </w:r>
    </w:p>
    <w:p w14:paraId="736C0128">
      <w:pPr>
        <w:pStyle w:val="18"/>
        <w:spacing w:before="0" w:beforeAutospacing="0" w:after="0" w:afterAutospacing="0" w:line="400" w:lineRule="exact"/>
        <w:ind w:firstLine="420" w:firstLineChars="200"/>
        <w:rPr>
          <w:rFonts w:hint="default" w:eastAsia="宋体" w:cs="宋体"/>
          <w:sz w:val="21"/>
          <w:szCs w:val="21"/>
        </w:rPr>
      </w:pPr>
      <w:r>
        <w:rPr>
          <w:rFonts w:eastAsia="宋体" w:cs="宋体"/>
          <w:sz w:val="21"/>
          <w:szCs w:val="21"/>
        </w:rPr>
        <w:t>4.地点（网址）：在政府采购云平台（https://www.zcygov.cn）上开启响应文件,同时邀请供应商在线参加开标。</w:t>
      </w:r>
    </w:p>
    <w:p w14:paraId="0BD75246">
      <w:pPr>
        <w:pStyle w:val="18"/>
        <w:widowControl w:val="0"/>
        <w:numPr>
          <w:ilvl w:val="0"/>
          <w:numId w:val="1"/>
        </w:numPr>
        <w:spacing w:before="0" w:beforeAutospacing="0" w:after="0" w:afterAutospacing="0" w:line="400" w:lineRule="exact"/>
        <w:ind w:left="0" w:firstLine="422" w:firstLineChars="200"/>
        <w:jc w:val="both"/>
        <w:rPr>
          <w:rFonts w:hint="default" w:eastAsia="宋体" w:cs="宋体"/>
          <w:b/>
          <w:kern w:val="2"/>
          <w:sz w:val="21"/>
          <w:szCs w:val="21"/>
        </w:rPr>
      </w:pPr>
      <w:r>
        <w:rPr>
          <w:rFonts w:eastAsia="宋体" w:cs="宋体"/>
          <w:b/>
          <w:kern w:val="2"/>
          <w:sz w:val="21"/>
          <w:szCs w:val="21"/>
        </w:rPr>
        <w:t>公告期限</w:t>
      </w:r>
    </w:p>
    <w:p w14:paraId="1AF960F8">
      <w:pPr>
        <w:pStyle w:val="18"/>
        <w:spacing w:before="0" w:beforeAutospacing="0" w:after="0" w:afterAutospacing="0" w:line="400" w:lineRule="exact"/>
        <w:ind w:firstLine="420" w:firstLineChars="200"/>
        <w:rPr>
          <w:rFonts w:hint="default" w:eastAsia="宋体" w:cs="宋体"/>
          <w:sz w:val="21"/>
          <w:szCs w:val="21"/>
        </w:rPr>
      </w:pPr>
      <w:r>
        <w:rPr>
          <w:rFonts w:eastAsia="宋体" w:cs="宋体"/>
          <w:sz w:val="21"/>
          <w:szCs w:val="21"/>
        </w:rPr>
        <w:t>自本公告发布之日起3个工作日。</w:t>
      </w:r>
    </w:p>
    <w:p w14:paraId="09940738">
      <w:pPr>
        <w:widowControl/>
        <w:spacing w:line="360" w:lineRule="exact"/>
        <w:ind w:right="60" w:firstLine="422" w:firstLineChars="200"/>
        <w:jc w:val="left"/>
        <w:rPr>
          <w:rFonts w:ascii="宋体" w:hAnsi="宋体" w:eastAsia="宋体" w:cs="宋体"/>
          <w:b/>
          <w:sz w:val="21"/>
          <w:szCs w:val="21"/>
        </w:rPr>
      </w:pPr>
      <w:r>
        <w:rPr>
          <w:rFonts w:hint="eastAsia" w:ascii="宋体" w:hAnsi="宋体" w:eastAsia="宋体" w:cs="宋体"/>
          <w:b/>
          <w:sz w:val="21"/>
          <w:szCs w:val="21"/>
        </w:rPr>
        <w:t>其他补充事宜</w:t>
      </w:r>
    </w:p>
    <w:p w14:paraId="50F3E1D6">
      <w:pPr>
        <w:widowControl/>
        <w:spacing w:line="360" w:lineRule="exact"/>
        <w:ind w:right="60" w:firstLine="420" w:firstLineChars="200"/>
        <w:jc w:val="left"/>
        <w:rPr>
          <w:rFonts w:ascii="宋体" w:hAnsi="宋体" w:cs="宋体"/>
          <w:color w:val="000000"/>
          <w:kern w:val="0"/>
          <w:sz w:val="21"/>
          <w:szCs w:val="21"/>
        </w:rPr>
      </w:pPr>
      <w:r>
        <w:rPr>
          <w:rFonts w:hint="eastAsia" w:ascii="宋体" w:hAnsi="宋体" w:cs="宋体"/>
          <w:color w:val="000000"/>
          <w:kern w:val="0"/>
          <w:sz w:val="21"/>
          <w:szCs w:val="21"/>
        </w:rPr>
        <w:t>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14:paraId="5F35BAC5">
      <w:pPr>
        <w:widowControl/>
        <w:spacing w:line="360" w:lineRule="exact"/>
        <w:ind w:right="60" w:firstLine="420" w:firstLineChars="200"/>
        <w:jc w:val="left"/>
        <w:rPr>
          <w:rFonts w:ascii="宋体" w:hAnsi="宋体" w:eastAsia="宋体" w:cs="宋体"/>
          <w:b/>
          <w:sz w:val="21"/>
          <w:szCs w:val="21"/>
        </w:rPr>
      </w:pPr>
      <w:r>
        <w:rPr>
          <w:rFonts w:hint="eastAsia" w:ascii="宋体" w:hAnsi="宋体" w:cs="宋体"/>
          <w:color w:val="000000"/>
          <w:kern w:val="0"/>
          <w:sz w:val="21"/>
          <w:szCs w:val="21"/>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2B8C08C6">
      <w:pPr>
        <w:pStyle w:val="18"/>
        <w:spacing w:before="0" w:beforeAutospacing="0" w:after="0" w:afterAutospacing="0" w:line="400" w:lineRule="exact"/>
        <w:ind w:firstLine="420" w:firstLineChars="200"/>
        <w:rPr>
          <w:rFonts w:hint="default" w:eastAsia="宋体" w:cs="宋体"/>
          <w:sz w:val="21"/>
          <w:szCs w:val="21"/>
        </w:rPr>
      </w:pPr>
      <w:r>
        <w:rPr>
          <w:rFonts w:eastAsia="宋体" w:cs="宋体"/>
          <w:sz w:val="21"/>
          <w:szCs w:val="21"/>
        </w:rPr>
        <w:t>3.供应商认为采购文件使自己的权益受到损害的，可以自收到采购文件之日（采购文件获取截止日之后收到采购文件的，以采购文件获取截止日为准）或者采购文件公告期限届满之日（公告发布后的第4个工作日）起7个工作日内，以书面形式一次性向采购人和采购代理机构提出同一环节的质疑。质疑供应商对采购人、采购代理机构的答复不满意或者采购人、采购代理机构未在规定的时间内作出答复的，可以在答复期满后十五个工作日内向同级政府采购监督管理部门投诉。质疑</w:t>
      </w:r>
      <w:r>
        <w:rPr>
          <w:rFonts w:cs="宋体"/>
          <w:sz w:val="21"/>
          <w:szCs w:val="21"/>
        </w:rPr>
        <w:t>函范本、投诉书范本请到浙江政府采购网下载专区下载。</w:t>
      </w:r>
      <w:r>
        <w:rPr>
          <w:rFonts w:eastAsia="宋体" w:cs="宋体"/>
          <w:sz w:val="21"/>
          <w:szCs w:val="21"/>
        </w:rPr>
        <w:t xml:space="preserve"> </w:t>
      </w:r>
    </w:p>
    <w:p w14:paraId="78B1BF58">
      <w:pPr>
        <w:pStyle w:val="18"/>
        <w:spacing w:before="0" w:beforeAutospacing="0" w:after="0" w:afterAutospacing="0" w:line="400" w:lineRule="exact"/>
        <w:ind w:firstLine="422" w:firstLineChars="200"/>
        <w:rPr>
          <w:rFonts w:hint="default" w:eastAsia="宋体" w:cs="宋体"/>
          <w:b/>
          <w:bCs/>
          <w:sz w:val="21"/>
          <w:szCs w:val="21"/>
        </w:rPr>
      </w:pPr>
      <w:r>
        <w:rPr>
          <w:rFonts w:eastAsia="宋体" w:cs="宋体"/>
          <w:b/>
          <w:bCs/>
          <w:sz w:val="21"/>
          <w:szCs w:val="21"/>
        </w:rPr>
        <w:t>2.其他事项</w:t>
      </w:r>
    </w:p>
    <w:p w14:paraId="456FDBEA">
      <w:pPr>
        <w:pStyle w:val="18"/>
        <w:spacing w:before="0" w:beforeAutospacing="0" w:after="0" w:afterAutospacing="0" w:line="400" w:lineRule="exact"/>
        <w:ind w:firstLine="420" w:firstLineChars="200"/>
        <w:rPr>
          <w:rFonts w:hint="default" w:eastAsia="宋体" w:cs="宋体"/>
          <w:sz w:val="21"/>
          <w:szCs w:val="21"/>
        </w:rPr>
      </w:pPr>
      <w:r>
        <w:rPr>
          <w:rFonts w:eastAsia="宋体" w:cs="宋体"/>
          <w:sz w:val="21"/>
          <w:szCs w:val="21"/>
        </w:rPr>
        <w:t>（1）谈判保证金：本项目不需要缴纳谈判保证金。</w:t>
      </w:r>
    </w:p>
    <w:p w14:paraId="6B08005D">
      <w:pPr>
        <w:pStyle w:val="18"/>
        <w:spacing w:before="0" w:beforeAutospacing="0" w:after="0" w:afterAutospacing="0" w:line="400" w:lineRule="exact"/>
        <w:ind w:firstLine="420" w:firstLineChars="200"/>
        <w:rPr>
          <w:rFonts w:hint="default" w:eastAsia="宋体" w:cs="宋体"/>
          <w:sz w:val="21"/>
          <w:szCs w:val="21"/>
        </w:rPr>
      </w:pPr>
      <w:r>
        <w:rPr>
          <w:rFonts w:eastAsia="宋体" w:cs="宋体"/>
          <w:sz w:val="21"/>
          <w:szCs w:val="21"/>
        </w:rPr>
        <w:t>（2）采购项</w:t>
      </w:r>
      <w:r>
        <w:rPr>
          <w:rFonts w:cs="宋体"/>
          <w:sz w:val="21"/>
          <w:szCs w:val="21"/>
        </w:rPr>
        <w:t>目需要落实的政府采购政</w:t>
      </w:r>
      <w:r>
        <w:rPr>
          <w:rFonts w:asciiTheme="minorEastAsia" w:hAnsiTheme="minorEastAsia" w:eastAsiaTheme="minorEastAsia" w:cstheme="minorEastAsia"/>
          <w:sz w:val="21"/>
          <w:szCs w:val="21"/>
        </w:rPr>
        <w:t>策：①《政府采购促进中小企业发展管理办法》、《关于促进残疾人就业政府采购政策的通知》（财库〔2017〕141号）、《关于政府采购支持监狱企业发展有关问题的通知》。②政</w:t>
      </w:r>
      <w:r>
        <w:rPr>
          <w:rFonts w:cs="宋体"/>
          <w:sz w:val="21"/>
          <w:szCs w:val="21"/>
        </w:rPr>
        <w:t>府采购金融服务：鼓励供应商开展政采贷、履约保函等政府采购金融服务，供应商以银行、保险公司出具保函形式提交履约保证金的，采购单位不得拒收。</w:t>
      </w:r>
    </w:p>
    <w:p w14:paraId="2776F8ED">
      <w:pPr>
        <w:pStyle w:val="18"/>
        <w:spacing w:before="0" w:beforeAutospacing="0" w:after="0" w:afterAutospacing="0" w:line="400" w:lineRule="exact"/>
        <w:ind w:firstLine="422" w:firstLineChars="200"/>
        <w:rPr>
          <w:rFonts w:hint="default" w:eastAsia="宋体" w:cs="宋体"/>
          <w:b/>
          <w:bCs/>
          <w:sz w:val="21"/>
          <w:szCs w:val="21"/>
        </w:rPr>
      </w:pPr>
      <w:r>
        <w:rPr>
          <w:rFonts w:eastAsia="宋体" w:cs="宋体"/>
          <w:b/>
          <w:bCs/>
          <w:sz w:val="21"/>
          <w:szCs w:val="21"/>
        </w:rPr>
        <w:t>（3）在线响应（电子交易）说明</w:t>
      </w:r>
    </w:p>
    <w:p w14:paraId="5E17528A">
      <w:pPr>
        <w:spacing w:line="400" w:lineRule="exact"/>
        <w:ind w:firstLine="420" w:firstLineChars="200"/>
        <w:rPr>
          <w:rFonts w:ascii="宋体" w:hAnsi="宋体" w:eastAsia="宋体" w:cs="宋体"/>
          <w:kern w:val="0"/>
          <w:sz w:val="21"/>
          <w:szCs w:val="21"/>
        </w:rPr>
      </w:pPr>
      <w:r>
        <w:rPr>
          <w:rFonts w:hint="eastAsia" w:ascii="宋体" w:hAnsi="宋体" w:eastAsia="宋体" w:cs="宋体"/>
          <w:kern w:val="0"/>
          <w:sz w:val="21"/>
          <w:szCs w:val="21"/>
        </w:rPr>
        <w:t>①本项目实行电子交易，电子交易具体流程详见操作指南：登录政府采购云平台（www.zcygov.cn），从首页-服务中心-帮助文档-项目采购-电子招投标，查看文档和视频。供应商在使用系统进行投标的过程中遇到涉及平台使用的任何问题，可致电政采云平台技术支持热线咨询，联系方式：400-881-7190。</w:t>
      </w:r>
    </w:p>
    <w:p w14:paraId="47610EA3">
      <w:pPr>
        <w:spacing w:line="400" w:lineRule="exact"/>
        <w:ind w:firstLine="420" w:firstLineChars="200"/>
        <w:jc w:val="left"/>
        <w:rPr>
          <w:rFonts w:ascii="宋体" w:hAnsi="宋体" w:eastAsia="宋体" w:cs="宋体"/>
          <w:kern w:val="0"/>
          <w:sz w:val="21"/>
          <w:szCs w:val="21"/>
        </w:rPr>
      </w:pPr>
      <w:r>
        <w:rPr>
          <w:rFonts w:hint="eastAsia" w:ascii="宋体" w:hAnsi="宋体" w:eastAsia="宋体" w:cs="宋体"/>
          <w:kern w:val="0"/>
          <w:sz w:val="21"/>
          <w:szCs w:val="21"/>
        </w:rPr>
        <w:t>②供应商应在开标前完成CA数字证书办理（已经办理CA锁的须注意有效期限，办理流程详见http://zfcg.czt.zj.gov.cn/bidClientTemplate/2019-05-27/12945.html）。完成CA数字证书办理预计一周左右，建议各供应商抓紧时间办理，如有CA锁办理问题可联系客服400-881-7190。</w:t>
      </w:r>
    </w:p>
    <w:p w14:paraId="401D86ED">
      <w:pPr>
        <w:spacing w:line="400" w:lineRule="exact"/>
        <w:ind w:firstLine="420" w:firstLineChars="200"/>
        <w:jc w:val="distribute"/>
        <w:rPr>
          <w:rFonts w:ascii="宋体" w:hAnsi="宋体" w:eastAsia="宋体" w:cs="宋体"/>
          <w:kern w:val="0"/>
          <w:sz w:val="21"/>
          <w:szCs w:val="21"/>
        </w:rPr>
      </w:pPr>
      <w:r>
        <w:rPr>
          <w:rFonts w:hint="eastAsia" w:ascii="宋体" w:hAnsi="宋体" w:eastAsia="宋体" w:cs="宋体"/>
          <w:kern w:val="0"/>
          <w:sz w:val="21"/>
          <w:szCs w:val="21"/>
        </w:rPr>
        <w:t>③供应商通过政采云平台电子投标工具（政采云电子交易客户端）编制响应文件，电子投标工具请供应商自行前往浙江省政府采购网下载并安装（下载网址：</w:t>
      </w:r>
      <w:r>
        <w:fldChar w:fldCharType="begin"/>
      </w:r>
      <w:r>
        <w:instrText xml:space="preserve"> HYPERLINK "http://zfcg.czt.zj.gov.cn/bidClientTemplate/2019-09-24/12975.html），有关电子投标具体流程可以进入政府采购云平台服务中心（https:/service.zcygov.cn/" \l "/）搜寻相关内容或咨询政采云平台客服。" </w:instrText>
      </w:r>
      <w:r>
        <w:fldChar w:fldCharType="separate"/>
      </w:r>
      <w:r>
        <w:rPr>
          <w:rStyle w:val="26"/>
          <w:rFonts w:hint="eastAsia" w:ascii="宋体" w:hAnsi="宋体" w:eastAsia="宋体" w:cs="宋体"/>
          <w:color w:val="auto"/>
          <w:kern w:val="0"/>
          <w:sz w:val="21"/>
          <w:szCs w:val="21"/>
        </w:rPr>
        <w:t>http://zfcg.czt.zj.gov.cn/bidClientTemplate/2019-09-24/12975.html）。</w:t>
      </w:r>
      <w:r>
        <w:rPr>
          <w:rStyle w:val="26"/>
          <w:rFonts w:hint="eastAsia" w:ascii="宋体" w:hAnsi="宋体" w:eastAsia="宋体" w:cs="宋体"/>
          <w:color w:val="auto"/>
          <w:kern w:val="0"/>
          <w:sz w:val="21"/>
          <w:szCs w:val="21"/>
        </w:rPr>
        <w:fldChar w:fldCharType="end"/>
      </w:r>
    </w:p>
    <w:p w14:paraId="47EAD8E9">
      <w:pPr>
        <w:spacing w:line="400" w:lineRule="exact"/>
        <w:ind w:firstLine="420" w:firstLineChars="200"/>
        <w:rPr>
          <w:rFonts w:ascii="宋体" w:hAnsi="宋体" w:eastAsia="宋体" w:cs="宋体"/>
          <w:kern w:val="0"/>
          <w:sz w:val="21"/>
          <w:szCs w:val="21"/>
        </w:rPr>
      </w:pPr>
      <w:r>
        <w:rPr>
          <w:rFonts w:hint="eastAsia" w:ascii="宋体" w:hAnsi="宋体" w:eastAsia="宋体" w:cs="宋体"/>
          <w:kern w:val="0"/>
          <w:sz w:val="21"/>
          <w:szCs w:val="21"/>
        </w:rPr>
        <w:t>④供应商应当在截止时间前完成电子加密响应文件的在线提交，截止时间前可以补充、修改或者撤回电子加密响应文件。补充或者修改电子加密响应文件的，应当先行撤回原文件，补充、修改后重新上传提交。截止时间前未完成提交的，视为撤回响应文件。逾期递交的电子加密响应文件，将被政采云平台拒收。</w:t>
      </w:r>
    </w:p>
    <w:p w14:paraId="647F8CC6">
      <w:pPr>
        <w:pStyle w:val="18"/>
        <w:spacing w:before="0" w:beforeAutospacing="0" w:after="0" w:afterAutospacing="0" w:line="400" w:lineRule="exact"/>
        <w:ind w:firstLine="422" w:firstLineChars="200"/>
        <w:rPr>
          <w:rFonts w:hint="default" w:eastAsia="宋体" w:cs="宋体"/>
          <w:b/>
          <w:bCs/>
          <w:sz w:val="21"/>
          <w:szCs w:val="21"/>
        </w:rPr>
      </w:pPr>
      <w:r>
        <w:rPr>
          <w:rFonts w:eastAsia="宋体" w:cs="宋体"/>
          <w:b/>
          <w:bCs/>
          <w:sz w:val="21"/>
          <w:szCs w:val="21"/>
        </w:rPr>
        <w:t xml:space="preserve">（4）注意事项  </w:t>
      </w:r>
    </w:p>
    <w:p w14:paraId="531D332F">
      <w:pPr>
        <w:spacing w:line="400" w:lineRule="exact"/>
        <w:ind w:firstLine="420" w:firstLineChars="200"/>
        <w:rPr>
          <w:rFonts w:ascii="宋体" w:hAnsi="宋体" w:eastAsia="宋体" w:cs="宋体"/>
          <w:kern w:val="0"/>
          <w:sz w:val="21"/>
          <w:szCs w:val="21"/>
        </w:rPr>
      </w:pPr>
      <w:r>
        <w:rPr>
          <w:rFonts w:hint="eastAsia" w:ascii="宋体" w:hAnsi="宋体" w:eastAsia="宋体" w:cs="宋体"/>
          <w:kern w:val="0"/>
          <w:sz w:val="21"/>
          <w:szCs w:val="21"/>
        </w:rPr>
        <w:t>①成交供应商应在合同签订前完成政府采购云平台（https://www.zcygov.cn/）全部注册步骤并成为正式注册入库供应商，否则将导致合同款无法正常支付，责任由成交供应商承担。“浙江省政府采购供应商”注册事宜详见浙江省政府采购网官网介绍，客服、技术支持：400-881-7190。</w:t>
      </w:r>
    </w:p>
    <w:p w14:paraId="3CB824E7">
      <w:pPr>
        <w:spacing w:line="400" w:lineRule="exact"/>
        <w:ind w:firstLine="420" w:firstLineChars="200"/>
        <w:rPr>
          <w:rFonts w:ascii="宋体" w:hAnsi="宋体" w:eastAsia="宋体" w:cs="宋体"/>
          <w:kern w:val="0"/>
          <w:sz w:val="21"/>
          <w:szCs w:val="21"/>
        </w:rPr>
      </w:pPr>
      <w:r>
        <w:rPr>
          <w:rFonts w:hint="eastAsia" w:ascii="宋体" w:hAnsi="宋体" w:eastAsia="宋体" w:cs="宋体"/>
          <w:kern w:val="0"/>
          <w:sz w:val="21"/>
          <w:szCs w:val="21"/>
        </w:rPr>
        <w:t>②本项目相关公告发布网站：“浙江省政府采购网”（http://zfcg.czt.zj.gov.cn）和“仙居县公共资源交易中心”（http://www.zjxj.gov.cn/col/col1229347417/index.html）。</w:t>
      </w:r>
    </w:p>
    <w:p w14:paraId="5868CDDF">
      <w:pPr>
        <w:spacing w:line="400" w:lineRule="exact"/>
        <w:ind w:firstLine="420" w:firstLineChars="200"/>
        <w:rPr>
          <w:rFonts w:ascii="宋体" w:hAnsi="宋体" w:eastAsia="宋体" w:cs="宋体"/>
          <w:kern w:val="0"/>
          <w:sz w:val="21"/>
          <w:szCs w:val="21"/>
        </w:rPr>
      </w:pPr>
      <w:r>
        <w:rPr>
          <w:rFonts w:hint="eastAsia" w:ascii="宋体" w:hAnsi="宋体" w:eastAsia="宋体" w:cs="宋体"/>
          <w:kern w:val="0"/>
          <w:sz w:val="21"/>
          <w:szCs w:val="21"/>
        </w:rPr>
        <w:t>③供应商如在采购代理机构发布本项目更正、补充或澄清公告前获取采购文件的，请自行登录相关网站查看更正、补充或澄清公告内容，采购代理机构不再就上述内容作出书面通知。</w:t>
      </w:r>
    </w:p>
    <w:p w14:paraId="34C4D97C">
      <w:pPr>
        <w:spacing w:line="400" w:lineRule="exact"/>
        <w:ind w:firstLine="420" w:firstLineChars="200"/>
        <w:rPr>
          <w:rFonts w:ascii="宋体" w:hAnsi="宋体" w:eastAsia="宋体" w:cs="宋体"/>
          <w:kern w:val="0"/>
          <w:sz w:val="21"/>
          <w:szCs w:val="21"/>
        </w:rPr>
      </w:pPr>
      <w:r>
        <w:rPr>
          <w:rFonts w:hint="eastAsia" w:ascii="宋体" w:hAnsi="宋体" w:eastAsia="宋体" w:cs="宋体"/>
          <w:kern w:val="0"/>
          <w:sz w:val="21"/>
          <w:szCs w:val="21"/>
        </w:rPr>
        <w:t>④中标结果公告发出后，采购监管部门如发现供应商出现投标硬件异常的，若查证后存在违法事实的，将取消该供应商的中标资格，剩余供应商达3家及以上的，由采购人决定是否按中标顺位替补；不足3家的，该项目作废标处理。</w:t>
      </w:r>
    </w:p>
    <w:bookmarkEnd w:id="25"/>
    <w:p w14:paraId="01FEF468">
      <w:pPr>
        <w:pStyle w:val="18"/>
        <w:widowControl w:val="0"/>
        <w:numPr>
          <w:ilvl w:val="0"/>
          <w:numId w:val="1"/>
        </w:numPr>
        <w:spacing w:before="0" w:beforeAutospacing="0" w:after="0" w:afterAutospacing="0" w:line="400" w:lineRule="exact"/>
        <w:ind w:left="0" w:firstLine="422" w:firstLineChars="200"/>
        <w:jc w:val="both"/>
        <w:rPr>
          <w:rFonts w:hint="default" w:eastAsia="宋体" w:cs="宋体"/>
          <w:b/>
          <w:kern w:val="2"/>
          <w:sz w:val="21"/>
          <w:szCs w:val="21"/>
        </w:rPr>
      </w:pPr>
      <w:bookmarkStart w:id="26" w:name="_Toc306901436"/>
      <w:bookmarkStart w:id="27" w:name="_Toc173810692"/>
      <w:r>
        <w:rPr>
          <w:rFonts w:eastAsia="宋体" w:cs="宋体"/>
          <w:b/>
          <w:kern w:val="2"/>
          <w:sz w:val="21"/>
          <w:szCs w:val="21"/>
        </w:rPr>
        <w:t>对本次采购提出询问、质疑、投诉，请按以下方式联系</w:t>
      </w:r>
    </w:p>
    <w:p w14:paraId="0556BE7B">
      <w:pPr>
        <w:pStyle w:val="18"/>
        <w:spacing w:before="0" w:beforeAutospacing="0" w:after="0" w:afterAutospacing="0" w:line="400" w:lineRule="exact"/>
        <w:ind w:firstLine="420" w:firstLineChars="200"/>
        <w:rPr>
          <w:rFonts w:hint="default" w:eastAsia="宋体" w:cs="宋体"/>
          <w:sz w:val="21"/>
          <w:szCs w:val="21"/>
        </w:rPr>
      </w:pPr>
      <w:r>
        <w:rPr>
          <w:rFonts w:eastAsia="宋体" w:cs="宋体"/>
          <w:sz w:val="21"/>
          <w:szCs w:val="21"/>
        </w:rPr>
        <w:t>1.采购人信息</w:t>
      </w:r>
    </w:p>
    <w:p w14:paraId="557C7377">
      <w:pPr>
        <w:pStyle w:val="18"/>
        <w:spacing w:before="0" w:beforeAutospacing="0" w:after="0" w:afterAutospacing="0" w:line="400" w:lineRule="exact"/>
        <w:ind w:firstLine="420" w:firstLineChars="200"/>
        <w:rPr>
          <w:rFonts w:hint="default" w:eastAsia="宋体" w:cs="宋体"/>
          <w:sz w:val="21"/>
          <w:szCs w:val="21"/>
        </w:rPr>
      </w:pPr>
      <w:r>
        <w:rPr>
          <w:rFonts w:eastAsia="宋体" w:cs="宋体"/>
          <w:sz w:val="21"/>
          <w:szCs w:val="21"/>
        </w:rPr>
        <w:t>名  称： </w:t>
      </w:r>
      <w:r>
        <w:rPr>
          <w:rFonts w:hint="eastAsia" w:eastAsia="宋体" w:cs="宋体"/>
          <w:sz w:val="21"/>
          <w:szCs w:val="21"/>
          <w:lang w:eastAsia="zh-CN"/>
        </w:rPr>
        <w:t>仙居县白塔镇人民政府</w:t>
      </w:r>
      <w:r>
        <w:rPr>
          <w:rFonts w:eastAsia="宋体" w:cs="宋体"/>
          <w:sz w:val="21"/>
          <w:szCs w:val="21"/>
        </w:rPr>
        <w:t> </w:t>
      </w:r>
    </w:p>
    <w:p w14:paraId="7B511EE5">
      <w:pPr>
        <w:pStyle w:val="18"/>
        <w:spacing w:before="0" w:beforeAutospacing="0" w:after="0" w:afterAutospacing="0" w:line="400" w:lineRule="exact"/>
        <w:ind w:firstLine="420" w:firstLineChars="200"/>
        <w:rPr>
          <w:rFonts w:hint="default" w:eastAsia="宋体" w:cs="宋体"/>
          <w:sz w:val="21"/>
          <w:szCs w:val="21"/>
        </w:rPr>
      </w:pPr>
      <w:r>
        <w:rPr>
          <w:rFonts w:eastAsia="宋体" w:cs="宋体"/>
          <w:sz w:val="21"/>
          <w:szCs w:val="21"/>
        </w:rPr>
        <w:t>地  址：</w:t>
      </w:r>
      <w:r>
        <w:rPr>
          <w:rFonts w:hint="eastAsia" w:eastAsia="宋体" w:cs="宋体"/>
          <w:sz w:val="21"/>
          <w:szCs w:val="21"/>
          <w:lang w:eastAsia="zh-CN"/>
        </w:rPr>
        <w:t> 仙居县</w:t>
      </w:r>
      <w:r>
        <w:rPr>
          <w:rFonts w:eastAsia="宋体" w:cs="宋体"/>
          <w:sz w:val="21"/>
          <w:szCs w:val="21"/>
        </w:rPr>
        <w:t> </w:t>
      </w:r>
    </w:p>
    <w:p w14:paraId="6E396AB4">
      <w:pPr>
        <w:pStyle w:val="18"/>
        <w:spacing w:before="0" w:beforeAutospacing="0" w:after="0" w:afterAutospacing="0" w:line="400" w:lineRule="exact"/>
        <w:ind w:firstLine="420" w:firstLineChars="200"/>
        <w:rPr>
          <w:rFonts w:hint="default" w:eastAsia="宋体" w:cs="宋体"/>
          <w:sz w:val="21"/>
          <w:szCs w:val="21"/>
        </w:rPr>
      </w:pPr>
      <w:r>
        <w:rPr>
          <w:rFonts w:eastAsia="宋体" w:cs="宋体"/>
          <w:sz w:val="21"/>
          <w:szCs w:val="21"/>
        </w:rPr>
        <w:t>传   真： / </w:t>
      </w:r>
    </w:p>
    <w:p w14:paraId="6C077763">
      <w:pPr>
        <w:pStyle w:val="18"/>
        <w:spacing w:before="0" w:beforeAutospacing="0" w:after="0" w:afterAutospacing="0" w:line="400" w:lineRule="exact"/>
        <w:ind w:firstLine="420" w:firstLineChars="200"/>
        <w:rPr>
          <w:rFonts w:hint="eastAsia" w:eastAsia="宋体" w:cs="宋体"/>
          <w:sz w:val="21"/>
          <w:szCs w:val="21"/>
          <w:highlight w:val="yellow"/>
          <w:lang w:eastAsia="zh-CN"/>
        </w:rPr>
      </w:pPr>
      <w:r>
        <w:rPr>
          <w:rFonts w:eastAsia="宋体" w:cs="宋体"/>
          <w:sz w:val="21"/>
          <w:szCs w:val="21"/>
        </w:rPr>
        <w:t>项目联系人（询问）：</w:t>
      </w:r>
      <w:r>
        <w:rPr>
          <w:rFonts w:hint="eastAsia" w:eastAsia="宋体" w:cs="宋体"/>
          <w:sz w:val="21"/>
          <w:szCs w:val="21"/>
          <w:lang w:eastAsia="zh-CN"/>
        </w:rPr>
        <w:t>陈先生</w:t>
      </w:r>
    </w:p>
    <w:p w14:paraId="060D6291">
      <w:pPr>
        <w:pStyle w:val="18"/>
        <w:spacing w:before="0" w:beforeAutospacing="0" w:after="0" w:afterAutospacing="0" w:line="400" w:lineRule="exact"/>
        <w:ind w:firstLine="420" w:firstLineChars="200"/>
        <w:rPr>
          <w:rFonts w:hint="default" w:eastAsia="宋体" w:cs="宋体"/>
          <w:sz w:val="21"/>
          <w:szCs w:val="21"/>
        </w:rPr>
      </w:pPr>
      <w:r>
        <w:rPr>
          <w:rFonts w:eastAsia="宋体" w:cs="宋体"/>
          <w:sz w:val="21"/>
          <w:szCs w:val="21"/>
        </w:rPr>
        <w:t xml:space="preserve">项目联系方式（询问）： </w:t>
      </w:r>
      <w:r>
        <w:rPr>
          <w:rFonts w:hint="eastAsia" w:eastAsia="宋体" w:cs="宋体"/>
          <w:sz w:val="21"/>
          <w:szCs w:val="21"/>
          <w:lang w:eastAsia="zh-CN"/>
        </w:rPr>
        <w:t>0576-87012006</w:t>
      </w:r>
      <w:r>
        <w:rPr>
          <w:rFonts w:eastAsia="宋体" w:cs="宋体"/>
          <w:sz w:val="21"/>
          <w:szCs w:val="21"/>
        </w:rPr>
        <w:t xml:space="preserve">  </w:t>
      </w:r>
    </w:p>
    <w:p w14:paraId="5A3E74CA">
      <w:pPr>
        <w:pStyle w:val="18"/>
        <w:spacing w:before="0" w:beforeAutospacing="0" w:after="0" w:afterAutospacing="0" w:line="400" w:lineRule="exact"/>
        <w:ind w:firstLine="420" w:firstLineChars="200"/>
        <w:rPr>
          <w:rFonts w:hint="eastAsia" w:eastAsia="宋体" w:cs="宋体"/>
          <w:sz w:val="21"/>
          <w:szCs w:val="21"/>
          <w:lang w:eastAsia="zh-CN"/>
        </w:rPr>
      </w:pPr>
      <w:r>
        <w:rPr>
          <w:rFonts w:eastAsia="宋体" w:cs="宋体"/>
          <w:sz w:val="21"/>
          <w:szCs w:val="21"/>
        </w:rPr>
        <w:t xml:space="preserve">质疑联系人： </w:t>
      </w:r>
      <w:r>
        <w:rPr>
          <w:rFonts w:hint="eastAsia" w:eastAsia="宋体" w:cs="宋体"/>
          <w:sz w:val="21"/>
          <w:szCs w:val="21"/>
          <w:lang w:eastAsia="zh-CN"/>
        </w:rPr>
        <w:t>陈先生</w:t>
      </w:r>
    </w:p>
    <w:p w14:paraId="699D6B36">
      <w:pPr>
        <w:pStyle w:val="18"/>
        <w:spacing w:before="0" w:beforeAutospacing="0" w:after="0" w:afterAutospacing="0" w:line="400" w:lineRule="exact"/>
        <w:ind w:firstLine="420" w:firstLineChars="200"/>
        <w:rPr>
          <w:rFonts w:hint="eastAsia" w:eastAsia="宋体" w:cs="宋体"/>
          <w:sz w:val="21"/>
          <w:szCs w:val="21"/>
          <w:lang w:eastAsia="zh-CN"/>
        </w:rPr>
      </w:pPr>
      <w:r>
        <w:rPr>
          <w:rFonts w:eastAsia="宋体" w:cs="宋体"/>
          <w:sz w:val="21"/>
          <w:szCs w:val="21"/>
        </w:rPr>
        <w:t>质疑联系方式：</w:t>
      </w:r>
      <w:r>
        <w:rPr>
          <w:rFonts w:hint="default" w:eastAsia="宋体" w:cs="宋体"/>
          <w:sz w:val="21"/>
          <w:szCs w:val="21"/>
        </w:rPr>
        <w:t xml:space="preserve"> </w:t>
      </w:r>
      <w:r>
        <w:rPr>
          <w:rFonts w:hint="eastAsia" w:eastAsia="宋体" w:cs="宋体"/>
          <w:sz w:val="21"/>
          <w:szCs w:val="21"/>
          <w:lang w:eastAsia="zh-CN"/>
        </w:rPr>
        <w:t>0576-87012006</w:t>
      </w:r>
    </w:p>
    <w:p w14:paraId="1393AE91">
      <w:pPr>
        <w:pStyle w:val="18"/>
        <w:spacing w:before="0" w:beforeAutospacing="0" w:after="0" w:afterAutospacing="0" w:line="400" w:lineRule="exact"/>
        <w:ind w:firstLine="420" w:firstLineChars="200"/>
        <w:rPr>
          <w:rFonts w:hint="default" w:eastAsia="宋体" w:cs="宋体"/>
          <w:sz w:val="21"/>
          <w:szCs w:val="21"/>
        </w:rPr>
      </w:pPr>
      <w:r>
        <w:rPr>
          <w:rFonts w:eastAsia="宋体" w:cs="宋体"/>
          <w:sz w:val="21"/>
          <w:szCs w:val="21"/>
        </w:rPr>
        <w:t>2.采购代理机构信息</w:t>
      </w:r>
    </w:p>
    <w:p w14:paraId="27DCFA95">
      <w:pPr>
        <w:pStyle w:val="18"/>
        <w:spacing w:before="0" w:beforeAutospacing="0" w:after="0" w:afterAutospacing="0" w:line="400" w:lineRule="exact"/>
        <w:ind w:firstLine="420" w:firstLineChars="200"/>
        <w:rPr>
          <w:rFonts w:hint="default" w:eastAsia="宋体" w:cs="宋体"/>
          <w:sz w:val="21"/>
          <w:szCs w:val="21"/>
        </w:rPr>
      </w:pPr>
      <w:r>
        <w:rPr>
          <w:rFonts w:eastAsia="宋体" w:cs="宋体"/>
          <w:sz w:val="21"/>
          <w:szCs w:val="21"/>
        </w:rPr>
        <w:t>名  称： </w:t>
      </w:r>
      <w:r>
        <w:rPr>
          <w:rFonts w:hint="eastAsia" w:eastAsia="宋体" w:cs="宋体"/>
          <w:sz w:val="21"/>
          <w:szCs w:val="21"/>
          <w:lang w:eastAsia="zh-CN"/>
        </w:rPr>
        <w:t>泰宇建筑工程技术咨询有限公司</w:t>
      </w:r>
      <w:r>
        <w:rPr>
          <w:rFonts w:eastAsia="宋体" w:cs="宋体"/>
          <w:sz w:val="21"/>
          <w:szCs w:val="21"/>
        </w:rPr>
        <w:t xml:space="preserve">  </w:t>
      </w:r>
    </w:p>
    <w:p w14:paraId="450C069E">
      <w:pPr>
        <w:pStyle w:val="18"/>
        <w:spacing w:before="0" w:beforeAutospacing="0" w:after="0" w:afterAutospacing="0" w:line="400" w:lineRule="exact"/>
        <w:ind w:firstLine="420" w:firstLineChars="200"/>
        <w:rPr>
          <w:rFonts w:hint="default" w:eastAsia="宋体" w:cs="宋体"/>
          <w:sz w:val="21"/>
          <w:szCs w:val="21"/>
        </w:rPr>
      </w:pPr>
      <w:r>
        <w:rPr>
          <w:rFonts w:eastAsia="宋体" w:cs="宋体"/>
          <w:sz w:val="21"/>
          <w:szCs w:val="21"/>
        </w:rPr>
        <w:t>地  址： </w:t>
      </w:r>
      <w:r>
        <w:rPr>
          <w:rFonts w:hint="eastAsia" w:eastAsia="宋体" w:cs="宋体"/>
          <w:sz w:val="21"/>
          <w:szCs w:val="21"/>
          <w:lang w:eastAsia="zh-CN"/>
        </w:rPr>
        <w:t>浙江省台州市仙居县南峰街道省耕西路75号六楼</w:t>
      </w:r>
      <w:r>
        <w:rPr>
          <w:rFonts w:eastAsia="宋体" w:cs="宋体"/>
          <w:sz w:val="21"/>
          <w:szCs w:val="21"/>
        </w:rPr>
        <w:t> </w:t>
      </w:r>
    </w:p>
    <w:p w14:paraId="1A73D329">
      <w:pPr>
        <w:pStyle w:val="18"/>
        <w:spacing w:before="0" w:beforeAutospacing="0" w:after="0" w:afterAutospacing="0" w:line="400" w:lineRule="exact"/>
        <w:ind w:firstLine="420" w:firstLineChars="200"/>
        <w:rPr>
          <w:rFonts w:hint="default" w:eastAsia="宋体" w:cs="宋体"/>
          <w:sz w:val="21"/>
          <w:szCs w:val="21"/>
        </w:rPr>
      </w:pPr>
      <w:r>
        <w:rPr>
          <w:rFonts w:eastAsia="宋体" w:cs="宋体"/>
          <w:sz w:val="21"/>
          <w:szCs w:val="21"/>
        </w:rPr>
        <w:t>传   真： / </w:t>
      </w:r>
    </w:p>
    <w:p w14:paraId="4E9D9A79">
      <w:pPr>
        <w:pStyle w:val="18"/>
        <w:spacing w:before="0" w:beforeAutospacing="0" w:after="0" w:afterAutospacing="0" w:line="400" w:lineRule="exact"/>
        <w:ind w:firstLine="420" w:firstLineChars="200"/>
        <w:rPr>
          <w:rFonts w:hint="default" w:eastAsia="宋体" w:cs="宋体"/>
          <w:sz w:val="21"/>
          <w:szCs w:val="21"/>
        </w:rPr>
      </w:pPr>
      <w:r>
        <w:rPr>
          <w:rFonts w:eastAsia="宋体" w:cs="宋体"/>
          <w:sz w:val="21"/>
          <w:szCs w:val="21"/>
        </w:rPr>
        <w:t>项目联系人（询问）：</w:t>
      </w:r>
      <w:r>
        <w:rPr>
          <w:rFonts w:hint="eastAsia" w:eastAsia="宋体" w:cs="宋体"/>
          <w:sz w:val="21"/>
          <w:szCs w:val="21"/>
          <w:lang w:eastAsia="zh-CN"/>
        </w:rPr>
        <w:t>张工</w:t>
      </w:r>
      <w:r>
        <w:rPr>
          <w:rFonts w:eastAsia="宋体" w:cs="宋体"/>
          <w:sz w:val="21"/>
          <w:szCs w:val="21"/>
        </w:rPr>
        <w:t> </w:t>
      </w:r>
    </w:p>
    <w:p w14:paraId="072B3F49">
      <w:pPr>
        <w:pStyle w:val="18"/>
        <w:spacing w:before="0" w:beforeAutospacing="0" w:after="0" w:afterAutospacing="0" w:line="400" w:lineRule="exact"/>
        <w:ind w:firstLine="420" w:firstLineChars="200"/>
        <w:rPr>
          <w:rFonts w:hint="default" w:eastAsia="宋体" w:cs="宋体"/>
          <w:sz w:val="21"/>
          <w:szCs w:val="21"/>
        </w:rPr>
      </w:pPr>
      <w:r>
        <w:rPr>
          <w:rFonts w:eastAsia="宋体" w:cs="宋体"/>
          <w:sz w:val="21"/>
          <w:szCs w:val="21"/>
        </w:rPr>
        <w:t>项目联系方式（询问）： </w:t>
      </w:r>
      <w:r>
        <w:rPr>
          <w:rFonts w:hint="eastAsia" w:eastAsia="宋体" w:cs="宋体"/>
          <w:sz w:val="21"/>
          <w:szCs w:val="21"/>
          <w:lang w:eastAsia="zh-CN"/>
        </w:rPr>
        <w:t>13575805717</w:t>
      </w:r>
      <w:r>
        <w:rPr>
          <w:rFonts w:eastAsia="宋体" w:cs="宋体"/>
          <w:sz w:val="21"/>
          <w:szCs w:val="21"/>
        </w:rPr>
        <w:t> </w:t>
      </w:r>
    </w:p>
    <w:p w14:paraId="6EFEF1A4">
      <w:pPr>
        <w:pStyle w:val="18"/>
        <w:spacing w:before="0" w:beforeAutospacing="0" w:after="0" w:afterAutospacing="0" w:line="400" w:lineRule="exact"/>
        <w:ind w:firstLine="420" w:firstLineChars="200"/>
        <w:rPr>
          <w:rFonts w:hint="default" w:eastAsia="宋体" w:cs="宋体"/>
          <w:sz w:val="21"/>
          <w:szCs w:val="21"/>
        </w:rPr>
      </w:pPr>
      <w:r>
        <w:rPr>
          <w:rFonts w:eastAsia="宋体" w:cs="宋体"/>
          <w:sz w:val="21"/>
          <w:szCs w:val="21"/>
        </w:rPr>
        <w:t>质疑联系人： </w:t>
      </w:r>
      <w:r>
        <w:rPr>
          <w:rFonts w:hint="eastAsia" w:eastAsia="宋体" w:cs="宋体"/>
          <w:sz w:val="21"/>
          <w:szCs w:val="21"/>
          <w:lang w:eastAsia="zh-CN"/>
        </w:rPr>
        <w:t>张工</w:t>
      </w:r>
      <w:r>
        <w:rPr>
          <w:rFonts w:eastAsia="宋体" w:cs="宋体"/>
          <w:sz w:val="21"/>
          <w:szCs w:val="21"/>
        </w:rPr>
        <w:t xml:space="preserve">  </w:t>
      </w:r>
    </w:p>
    <w:p w14:paraId="56D985F4">
      <w:pPr>
        <w:pStyle w:val="18"/>
        <w:spacing w:before="0" w:beforeAutospacing="0" w:after="0" w:afterAutospacing="0" w:line="400" w:lineRule="exact"/>
        <w:ind w:firstLine="420" w:firstLineChars="200"/>
        <w:rPr>
          <w:rFonts w:hint="default" w:eastAsia="宋体" w:cs="宋体"/>
          <w:sz w:val="21"/>
          <w:szCs w:val="21"/>
        </w:rPr>
      </w:pPr>
      <w:r>
        <w:rPr>
          <w:rFonts w:eastAsia="宋体" w:cs="宋体"/>
          <w:sz w:val="21"/>
          <w:szCs w:val="21"/>
        </w:rPr>
        <w:t>质疑联系方式： </w:t>
      </w:r>
      <w:r>
        <w:rPr>
          <w:rFonts w:hint="eastAsia" w:eastAsia="宋体" w:cs="宋体"/>
          <w:sz w:val="21"/>
          <w:szCs w:val="21"/>
          <w:lang w:eastAsia="zh-CN"/>
        </w:rPr>
        <w:t>13575805717</w:t>
      </w:r>
      <w:r>
        <w:rPr>
          <w:rFonts w:eastAsia="宋体" w:cs="宋体"/>
          <w:sz w:val="21"/>
          <w:szCs w:val="21"/>
        </w:rPr>
        <w:t> </w:t>
      </w:r>
    </w:p>
    <w:p w14:paraId="10741B79">
      <w:pPr>
        <w:pStyle w:val="18"/>
        <w:spacing w:before="0" w:beforeAutospacing="0" w:after="0" w:afterAutospacing="0" w:line="400" w:lineRule="exact"/>
        <w:ind w:firstLine="420" w:firstLineChars="200"/>
        <w:rPr>
          <w:rFonts w:hint="default" w:eastAsia="宋体" w:cs="宋体"/>
          <w:sz w:val="21"/>
          <w:szCs w:val="21"/>
        </w:rPr>
      </w:pPr>
      <w:r>
        <w:rPr>
          <w:rFonts w:eastAsia="宋体" w:cs="宋体"/>
          <w:sz w:val="21"/>
          <w:szCs w:val="21"/>
        </w:rPr>
        <w:t>3.同级政府采购监督管理部门</w:t>
      </w:r>
    </w:p>
    <w:p w14:paraId="5794714E">
      <w:pPr>
        <w:pStyle w:val="18"/>
        <w:spacing w:before="0" w:beforeAutospacing="0" w:after="0" w:afterAutospacing="0" w:line="400" w:lineRule="exact"/>
        <w:ind w:firstLine="420" w:firstLineChars="200"/>
        <w:rPr>
          <w:rFonts w:hint="default" w:eastAsia="宋体" w:cs="宋体"/>
          <w:sz w:val="21"/>
          <w:szCs w:val="21"/>
        </w:rPr>
      </w:pPr>
      <w:r>
        <w:rPr>
          <w:rFonts w:eastAsia="宋体" w:cs="宋体"/>
          <w:sz w:val="21"/>
          <w:szCs w:val="21"/>
        </w:rPr>
        <w:t>名  称： 仙居县财政局政府采购监管科 </w:t>
      </w:r>
    </w:p>
    <w:p w14:paraId="19B321CB">
      <w:pPr>
        <w:pStyle w:val="18"/>
        <w:spacing w:before="0" w:beforeAutospacing="0" w:after="0" w:afterAutospacing="0" w:line="400" w:lineRule="exact"/>
        <w:ind w:firstLine="420" w:firstLineChars="200"/>
        <w:rPr>
          <w:rFonts w:hint="default" w:eastAsia="宋体" w:cs="宋体"/>
          <w:sz w:val="21"/>
          <w:szCs w:val="21"/>
        </w:rPr>
      </w:pPr>
      <w:r>
        <w:rPr>
          <w:rFonts w:eastAsia="宋体" w:cs="宋体"/>
          <w:sz w:val="21"/>
          <w:szCs w:val="21"/>
        </w:rPr>
        <w:t>地  址： 仙居县南峰街道环城南路财政大楼 </w:t>
      </w:r>
    </w:p>
    <w:p w14:paraId="3386D348">
      <w:pPr>
        <w:pStyle w:val="18"/>
        <w:spacing w:before="0" w:beforeAutospacing="0" w:after="0" w:afterAutospacing="0" w:line="400" w:lineRule="exact"/>
        <w:ind w:firstLine="420" w:firstLineChars="200"/>
        <w:rPr>
          <w:rFonts w:hint="default" w:eastAsia="宋体" w:cs="宋体"/>
          <w:sz w:val="21"/>
          <w:szCs w:val="21"/>
        </w:rPr>
      </w:pPr>
      <w:r>
        <w:rPr>
          <w:rFonts w:eastAsia="宋体" w:cs="宋体"/>
          <w:sz w:val="21"/>
          <w:szCs w:val="21"/>
        </w:rPr>
        <w:t>传  真： / </w:t>
      </w:r>
    </w:p>
    <w:p w14:paraId="18C8C058">
      <w:pPr>
        <w:pStyle w:val="18"/>
        <w:spacing w:before="0" w:beforeAutospacing="0" w:after="0" w:afterAutospacing="0" w:line="400" w:lineRule="exact"/>
        <w:ind w:firstLine="420" w:firstLineChars="200"/>
        <w:rPr>
          <w:rFonts w:hint="default" w:eastAsia="宋体" w:cs="宋体"/>
          <w:sz w:val="21"/>
          <w:szCs w:val="21"/>
        </w:rPr>
      </w:pPr>
      <w:r>
        <w:rPr>
          <w:rFonts w:eastAsia="宋体" w:cs="宋体"/>
          <w:sz w:val="21"/>
          <w:szCs w:val="21"/>
        </w:rPr>
        <w:t>联 系 人： 陈先生、吴女士</w:t>
      </w:r>
    </w:p>
    <w:p w14:paraId="716A370E">
      <w:pPr>
        <w:pStyle w:val="18"/>
        <w:spacing w:before="0" w:beforeAutospacing="0" w:after="0" w:afterAutospacing="0" w:line="400" w:lineRule="exact"/>
        <w:ind w:firstLine="420" w:firstLineChars="200"/>
        <w:rPr>
          <w:rFonts w:hint="default" w:eastAsia="宋体" w:cs="宋体"/>
          <w:sz w:val="21"/>
          <w:szCs w:val="21"/>
        </w:rPr>
      </w:pPr>
      <w:r>
        <w:rPr>
          <w:rFonts w:eastAsia="宋体" w:cs="宋体"/>
          <w:sz w:val="21"/>
          <w:szCs w:val="21"/>
        </w:rPr>
        <w:t>监督投诉电话：0576-87720209 </w:t>
      </w:r>
    </w:p>
    <w:p w14:paraId="06EF6B2C">
      <w:pPr>
        <w:spacing w:line="360" w:lineRule="exact"/>
        <w:ind w:right="480" w:firstLine="4410" w:firstLineChars="2100"/>
        <w:jc w:val="right"/>
        <w:rPr>
          <w:rFonts w:ascii="宋体" w:hAnsi="宋体" w:eastAsia="宋体" w:cs="宋体"/>
          <w:kern w:val="0"/>
          <w:sz w:val="21"/>
          <w:szCs w:val="21"/>
        </w:rPr>
      </w:pPr>
    </w:p>
    <w:p w14:paraId="40490B3C">
      <w:pPr>
        <w:widowControl/>
        <w:jc w:val="left"/>
        <w:rPr>
          <w:b/>
          <w:sz w:val="32"/>
          <w:szCs w:val="32"/>
        </w:rPr>
      </w:pPr>
      <w:r>
        <w:rPr>
          <w:b/>
          <w:sz w:val="32"/>
          <w:szCs w:val="32"/>
        </w:rPr>
        <w:br w:type="page"/>
      </w:r>
    </w:p>
    <w:p w14:paraId="624E4671">
      <w:pPr>
        <w:autoSpaceDE w:val="0"/>
        <w:autoSpaceDN w:val="0"/>
        <w:adjustRightInd w:val="0"/>
        <w:spacing w:line="360" w:lineRule="auto"/>
        <w:jc w:val="center"/>
        <w:outlineLvl w:val="0"/>
        <w:rPr>
          <w:b/>
          <w:sz w:val="32"/>
          <w:szCs w:val="32"/>
        </w:rPr>
      </w:pPr>
      <w:r>
        <w:rPr>
          <w:rFonts w:hint="eastAsia"/>
          <w:b/>
          <w:sz w:val="32"/>
          <w:szCs w:val="32"/>
        </w:rPr>
        <w:t>第二部分</w:t>
      </w:r>
      <w:r>
        <w:rPr>
          <w:b/>
          <w:sz w:val="32"/>
          <w:szCs w:val="32"/>
        </w:rPr>
        <w:t xml:space="preserve"> </w:t>
      </w:r>
      <w:r>
        <w:rPr>
          <w:rFonts w:hint="eastAsia"/>
          <w:b/>
          <w:sz w:val="32"/>
          <w:szCs w:val="32"/>
        </w:rPr>
        <w:t>采购需求</w:t>
      </w:r>
      <w:bookmarkEnd w:id="26"/>
    </w:p>
    <w:p w14:paraId="7F48D899">
      <w:pPr>
        <w:pStyle w:val="30"/>
        <w:snapToGrid w:val="0"/>
        <w:spacing w:before="0" w:after="0" w:line="360" w:lineRule="auto"/>
        <w:ind w:firstLine="462" w:firstLineChars="200"/>
        <w:rPr>
          <w:rFonts w:ascii="宋体" w:hAnsi="宋体" w:eastAsia="宋体" w:cs="宋体"/>
          <w:b/>
          <w:sz w:val="21"/>
          <w:szCs w:val="21"/>
        </w:rPr>
      </w:pPr>
      <w:bookmarkStart w:id="28" w:name="_Toc306901444"/>
      <w:r>
        <w:rPr>
          <w:rFonts w:hint="eastAsia" w:ascii="宋体" w:hAnsi="宋体" w:eastAsia="宋体" w:cs="宋体"/>
          <w:b/>
          <w:bCs w:val="0"/>
          <w:sz w:val="21"/>
          <w:szCs w:val="21"/>
        </w:rPr>
        <w:t>特别提醒：</w:t>
      </w:r>
      <w:r>
        <w:rPr>
          <w:rFonts w:hint="eastAsia" w:ascii="宋体" w:hAnsi="宋体" w:eastAsia="宋体" w:cs="宋体"/>
          <w:b/>
          <w:sz w:val="21"/>
          <w:szCs w:val="21"/>
        </w:rPr>
        <w:t>▲1、中标单位在签订合同时，若坚持提出附加条件和不合理要求，成交资格将被取消，该中标人对由此产生的一切后果负责。</w:t>
      </w:r>
    </w:p>
    <w:p w14:paraId="0767EB4A">
      <w:pPr>
        <w:pStyle w:val="30"/>
        <w:snapToGrid w:val="0"/>
        <w:spacing w:before="0" w:after="0" w:line="360" w:lineRule="auto"/>
        <w:ind w:firstLine="462" w:firstLineChars="200"/>
        <w:rPr>
          <w:rFonts w:ascii="宋体" w:hAnsi="宋体" w:eastAsia="宋体" w:cs="宋体"/>
          <w:b/>
          <w:sz w:val="21"/>
          <w:szCs w:val="21"/>
        </w:rPr>
      </w:pPr>
      <w:r>
        <w:rPr>
          <w:rFonts w:hint="eastAsia" w:ascii="宋体" w:hAnsi="宋体" w:eastAsia="宋体" w:cs="宋体"/>
          <w:b/>
          <w:sz w:val="21"/>
          <w:szCs w:val="21"/>
        </w:rPr>
        <w:t>2、加“▲”的技术要求或商务要求为实质性要求，投标人应特别注意，所提供的技术响应必须完全满足或优于这些要求，否则视为不满足。不满足实质性要求的投标文件将按无效标处理。</w:t>
      </w:r>
    </w:p>
    <w:p w14:paraId="1762CD69">
      <w:pPr>
        <w:snapToGrid w:val="0"/>
        <w:spacing w:line="360" w:lineRule="auto"/>
        <w:jc w:val="left"/>
        <w:rPr>
          <w:rFonts w:ascii="宋体" w:hAnsi="宋体" w:cs="宋体"/>
          <w:bCs/>
          <w:sz w:val="21"/>
          <w:szCs w:val="21"/>
        </w:rPr>
      </w:pPr>
      <w:r>
        <w:rPr>
          <w:rFonts w:hint="eastAsia" w:ascii="宋体" w:hAnsi="宋体" w:eastAsia="宋体" w:cs="宋体"/>
          <w:bCs/>
          <w:sz w:val="21"/>
          <w:szCs w:val="21"/>
        </w:rPr>
        <w:t>一、</w:t>
      </w:r>
      <w:r>
        <w:rPr>
          <w:rFonts w:hint="eastAsia" w:ascii="宋体" w:hAnsi="宋体" w:cs="宋体"/>
          <w:bCs/>
          <w:sz w:val="21"/>
          <w:szCs w:val="21"/>
        </w:rPr>
        <w:t>采购项目一览表</w:t>
      </w:r>
    </w:p>
    <w:p w14:paraId="03910D7B">
      <w:pPr>
        <w:tabs>
          <w:tab w:val="left" w:pos="8280"/>
        </w:tabs>
        <w:autoSpaceDE w:val="0"/>
        <w:autoSpaceDN w:val="0"/>
        <w:adjustRightInd w:val="0"/>
        <w:snapToGrid w:val="0"/>
        <w:spacing w:line="360" w:lineRule="auto"/>
        <w:ind w:right="25" w:firstLine="371" w:firstLineChars="177"/>
        <w:rPr>
          <w:rFonts w:ascii="宋体" w:hAnsi="宋体" w:eastAsia="宋体" w:cs="宋体"/>
          <w:sz w:val="21"/>
          <w:szCs w:val="21"/>
        </w:rPr>
      </w:pPr>
      <w:r>
        <w:rPr>
          <w:rFonts w:hint="eastAsia" w:ascii="宋体" w:hAnsi="宋体" w:eastAsia="宋体" w:cs="宋体"/>
          <w:sz w:val="21"/>
          <w:szCs w:val="21"/>
        </w:rPr>
        <w:t>本次招标共</w:t>
      </w:r>
      <w:r>
        <w:rPr>
          <w:rFonts w:hint="eastAsia" w:ascii="宋体" w:hAnsi="宋体" w:eastAsia="宋体" w:cs="宋体"/>
          <w:sz w:val="21"/>
          <w:szCs w:val="21"/>
          <w:u w:val="single"/>
        </w:rPr>
        <w:t xml:space="preserve"> </w:t>
      </w:r>
      <w:r>
        <w:rPr>
          <w:rFonts w:hint="eastAsia" w:ascii="宋体" w:hAnsi="宋体" w:cs="宋体"/>
          <w:sz w:val="21"/>
          <w:szCs w:val="21"/>
          <w:u w:val="single"/>
        </w:rPr>
        <w:t xml:space="preserve"> </w:t>
      </w:r>
      <w:r>
        <w:rPr>
          <w:rFonts w:hint="eastAsia" w:ascii="宋体" w:hAnsi="宋体" w:eastAsia="宋体" w:cs="宋体"/>
          <w:sz w:val="21"/>
          <w:szCs w:val="21"/>
          <w:u w:val="single"/>
        </w:rPr>
        <w:t xml:space="preserve">1  </w:t>
      </w:r>
      <w:r>
        <w:rPr>
          <w:rFonts w:hint="eastAsia" w:ascii="宋体" w:hAnsi="宋体" w:eastAsia="宋体" w:cs="宋体"/>
          <w:sz w:val="21"/>
          <w:szCs w:val="21"/>
        </w:rPr>
        <w:t>个标项，具体内容如下表：</w:t>
      </w:r>
    </w:p>
    <w:tbl>
      <w:tblPr>
        <w:tblStyle w:val="21"/>
        <w:tblW w:w="1040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1"/>
        <w:gridCol w:w="2409"/>
        <w:gridCol w:w="812"/>
        <w:gridCol w:w="725"/>
        <w:gridCol w:w="1213"/>
        <w:gridCol w:w="1287"/>
        <w:gridCol w:w="2384"/>
        <w:gridCol w:w="875"/>
      </w:tblGrid>
      <w:tr w14:paraId="5AC7E6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jc w:val="center"/>
        </w:trPr>
        <w:tc>
          <w:tcPr>
            <w:tcW w:w="701" w:type="dxa"/>
            <w:vAlign w:val="center"/>
          </w:tcPr>
          <w:p w14:paraId="5BA59699">
            <w:pPr>
              <w:widowControl/>
              <w:snapToGrid w:val="0"/>
              <w:spacing w:line="360" w:lineRule="auto"/>
              <w:jc w:val="center"/>
              <w:rPr>
                <w:rFonts w:ascii="宋体" w:hAnsi="宋体" w:eastAsia="宋体" w:cs="宋体"/>
                <w:b/>
                <w:bCs/>
                <w:sz w:val="21"/>
                <w:szCs w:val="21"/>
              </w:rPr>
            </w:pPr>
            <w:r>
              <w:rPr>
                <w:rFonts w:ascii="宋体" w:hAnsi="宋体" w:eastAsia="宋体"/>
                <w:b/>
                <w:bCs/>
                <w:kern w:val="0"/>
                <w:sz w:val="21"/>
                <w:szCs w:val="21"/>
              </w:rPr>
              <w:t>标项序号</w:t>
            </w:r>
          </w:p>
        </w:tc>
        <w:tc>
          <w:tcPr>
            <w:tcW w:w="2409" w:type="dxa"/>
            <w:vAlign w:val="center"/>
          </w:tcPr>
          <w:p w14:paraId="3FDA7BB8">
            <w:pPr>
              <w:widowControl/>
              <w:snapToGrid w:val="0"/>
              <w:spacing w:line="360" w:lineRule="auto"/>
              <w:jc w:val="center"/>
              <w:rPr>
                <w:rFonts w:ascii="宋体" w:hAnsi="宋体" w:eastAsia="宋体" w:cs="宋体"/>
                <w:b/>
                <w:bCs/>
                <w:sz w:val="21"/>
                <w:szCs w:val="21"/>
              </w:rPr>
            </w:pPr>
            <w:r>
              <w:rPr>
                <w:rFonts w:ascii="宋体" w:hAnsi="宋体" w:eastAsia="宋体"/>
                <w:b/>
                <w:bCs/>
                <w:kern w:val="0"/>
                <w:sz w:val="21"/>
                <w:szCs w:val="21"/>
              </w:rPr>
              <w:t>标项名称</w:t>
            </w:r>
          </w:p>
        </w:tc>
        <w:tc>
          <w:tcPr>
            <w:tcW w:w="812" w:type="dxa"/>
            <w:vAlign w:val="center"/>
          </w:tcPr>
          <w:p w14:paraId="55EF642D">
            <w:pPr>
              <w:widowControl/>
              <w:snapToGrid w:val="0"/>
              <w:spacing w:line="360" w:lineRule="auto"/>
              <w:jc w:val="center"/>
              <w:rPr>
                <w:rFonts w:ascii="宋体" w:hAnsi="宋体" w:eastAsia="宋体" w:cs="宋体"/>
                <w:b/>
                <w:bCs/>
                <w:sz w:val="21"/>
                <w:szCs w:val="21"/>
              </w:rPr>
            </w:pPr>
            <w:r>
              <w:rPr>
                <w:rFonts w:ascii="宋体" w:hAnsi="宋体" w:eastAsia="宋体"/>
                <w:b/>
                <w:bCs/>
                <w:kern w:val="0"/>
                <w:sz w:val="21"/>
                <w:szCs w:val="21"/>
              </w:rPr>
              <w:t>数量</w:t>
            </w:r>
          </w:p>
        </w:tc>
        <w:tc>
          <w:tcPr>
            <w:tcW w:w="725" w:type="dxa"/>
            <w:vAlign w:val="center"/>
          </w:tcPr>
          <w:p w14:paraId="270A745C">
            <w:pPr>
              <w:widowControl/>
              <w:snapToGrid w:val="0"/>
              <w:spacing w:line="360" w:lineRule="auto"/>
              <w:jc w:val="center"/>
              <w:rPr>
                <w:rFonts w:ascii="宋体" w:hAnsi="宋体" w:eastAsia="宋体" w:cs="宋体"/>
                <w:b/>
                <w:bCs/>
                <w:sz w:val="21"/>
                <w:szCs w:val="21"/>
              </w:rPr>
            </w:pPr>
            <w:r>
              <w:rPr>
                <w:rFonts w:ascii="宋体" w:hAnsi="宋体" w:eastAsia="宋体"/>
                <w:b/>
                <w:bCs/>
                <w:kern w:val="0"/>
                <w:sz w:val="21"/>
                <w:szCs w:val="21"/>
              </w:rPr>
              <w:t>单位</w:t>
            </w:r>
          </w:p>
        </w:tc>
        <w:tc>
          <w:tcPr>
            <w:tcW w:w="1213" w:type="dxa"/>
            <w:vAlign w:val="center"/>
          </w:tcPr>
          <w:p w14:paraId="3EECA415">
            <w:pPr>
              <w:widowControl/>
              <w:snapToGrid w:val="0"/>
              <w:spacing w:line="360" w:lineRule="auto"/>
              <w:jc w:val="center"/>
              <w:rPr>
                <w:rFonts w:ascii="宋体" w:hAnsi="宋体" w:eastAsia="宋体" w:cs="宋体"/>
                <w:b/>
                <w:bCs/>
                <w:sz w:val="21"/>
                <w:szCs w:val="21"/>
              </w:rPr>
            </w:pPr>
            <w:r>
              <w:rPr>
                <w:rFonts w:ascii="宋体" w:hAnsi="宋体" w:eastAsia="宋体"/>
                <w:b/>
                <w:bCs/>
                <w:kern w:val="0"/>
                <w:sz w:val="21"/>
                <w:szCs w:val="21"/>
              </w:rPr>
              <w:t>预算金额(元)</w:t>
            </w:r>
          </w:p>
        </w:tc>
        <w:tc>
          <w:tcPr>
            <w:tcW w:w="1287" w:type="dxa"/>
            <w:vAlign w:val="center"/>
          </w:tcPr>
          <w:p w14:paraId="5A864A3E">
            <w:pPr>
              <w:widowControl/>
              <w:snapToGrid w:val="0"/>
              <w:spacing w:line="360" w:lineRule="auto"/>
              <w:jc w:val="center"/>
              <w:rPr>
                <w:rFonts w:ascii="宋体" w:hAnsi="宋体" w:eastAsia="宋体" w:cs="宋体"/>
                <w:b/>
                <w:bCs/>
                <w:sz w:val="21"/>
                <w:szCs w:val="21"/>
              </w:rPr>
            </w:pPr>
            <w:r>
              <w:rPr>
                <w:rFonts w:ascii="宋体" w:hAnsi="宋体" w:eastAsia="宋体"/>
                <w:b/>
                <w:bCs/>
                <w:sz w:val="21"/>
                <w:szCs w:val="21"/>
              </w:rPr>
              <w:t>最高限价（元）</w:t>
            </w:r>
          </w:p>
        </w:tc>
        <w:tc>
          <w:tcPr>
            <w:tcW w:w="2384" w:type="dxa"/>
            <w:vAlign w:val="center"/>
          </w:tcPr>
          <w:p w14:paraId="29368734">
            <w:pPr>
              <w:widowControl/>
              <w:snapToGrid w:val="0"/>
              <w:spacing w:line="360" w:lineRule="auto"/>
              <w:jc w:val="center"/>
              <w:rPr>
                <w:rFonts w:ascii="宋体" w:hAnsi="宋体" w:eastAsia="宋体" w:cs="宋体"/>
                <w:b/>
                <w:bCs/>
                <w:sz w:val="21"/>
                <w:szCs w:val="21"/>
              </w:rPr>
            </w:pPr>
            <w:r>
              <w:rPr>
                <w:rFonts w:hint="eastAsia" w:ascii="宋体" w:hAnsi="宋体" w:eastAsia="宋体" w:cs="宋体"/>
                <w:b/>
                <w:bCs/>
                <w:sz w:val="21"/>
                <w:szCs w:val="21"/>
              </w:rPr>
              <w:t>具体工作范围</w:t>
            </w:r>
          </w:p>
        </w:tc>
        <w:tc>
          <w:tcPr>
            <w:tcW w:w="875" w:type="dxa"/>
            <w:vAlign w:val="center"/>
          </w:tcPr>
          <w:p w14:paraId="25A003E4">
            <w:pPr>
              <w:widowControl/>
              <w:snapToGrid w:val="0"/>
              <w:spacing w:line="360" w:lineRule="auto"/>
              <w:jc w:val="center"/>
              <w:rPr>
                <w:rFonts w:ascii="宋体" w:hAnsi="宋体" w:eastAsia="宋体" w:cs="宋体"/>
                <w:b/>
                <w:bCs/>
                <w:sz w:val="21"/>
                <w:szCs w:val="21"/>
              </w:rPr>
            </w:pPr>
            <w:r>
              <w:rPr>
                <w:rFonts w:hint="eastAsia" w:ascii="宋体" w:hAnsi="宋体" w:eastAsia="宋体" w:cs="宋体"/>
                <w:b/>
                <w:bCs/>
                <w:sz w:val="21"/>
                <w:szCs w:val="21"/>
              </w:rPr>
              <w:t>行业</w:t>
            </w:r>
          </w:p>
        </w:tc>
      </w:tr>
      <w:tr w14:paraId="1FEF86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9" w:hRule="atLeast"/>
          <w:jc w:val="center"/>
        </w:trPr>
        <w:tc>
          <w:tcPr>
            <w:tcW w:w="701" w:type="dxa"/>
            <w:vAlign w:val="center"/>
          </w:tcPr>
          <w:p w14:paraId="799E51B4">
            <w:pPr>
              <w:widowControl/>
              <w:snapToGrid w:val="0"/>
              <w:spacing w:line="360" w:lineRule="auto"/>
              <w:jc w:val="center"/>
              <w:rPr>
                <w:rFonts w:ascii="宋体" w:hAnsi="宋体" w:eastAsia="宋体" w:cs="宋体"/>
                <w:sz w:val="21"/>
                <w:szCs w:val="21"/>
              </w:rPr>
            </w:pPr>
            <w:r>
              <w:rPr>
                <w:rFonts w:hint="eastAsia" w:ascii="宋体" w:hAnsi="宋体" w:eastAsia="宋体" w:cs="宋体"/>
                <w:kern w:val="0"/>
                <w:sz w:val="21"/>
                <w:szCs w:val="21"/>
              </w:rPr>
              <w:t>1</w:t>
            </w:r>
          </w:p>
        </w:tc>
        <w:tc>
          <w:tcPr>
            <w:tcW w:w="2409" w:type="dxa"/>
            <w:vAlign w:val="center"/>
          </w:tcPr>
          <w:p w14:paraId="38CB8586">
            <w:pPr>
              <w:widowControl/>
              <w:snapToGrid w:val="0"/>
              <w:spacing w:line="360" w:lineRule="auto"/>
              <w:jc w:val="center"/>
              <w:rPr>
                <w:rFonts w:hint="eastAsia" w:ascii="宋体" w:hAnsi="宋体" w:eastAsia="宋体" w:cs="宋体"/>
                <w:sz w:val="21"/>
                <w:szCs w:val="21"/>
                <w:lang w:eastAsia="zh-CN"/>
              </w:rPr>
            </w:pPr>
            <w:r>
              <w:rPr>
                <w:rFonts w:hint="eastAsia" w:ascii="宋体" w:hAnsi="宋体" w:eastAsia="宋体" w:cs="宋体"/>
                <w:kern w:val="0"/>
                <w:sz w:val="21"/>
                <w:szCs w:val="21"/>
                <w:lang w:eastAsia="zh-CN"/>
              </w:rPr>
              <w:t>白塔镇景园村关金生态停车场建设项目</w:t>
            </w:r>
          </w:p>
        </w:tc>
        <w:tc>
          <w:tcPr>
            <w:tcW w:w="812" w:type="dxa"/>
            <w:vAlign w:val="center"/>
          </w:tcPr>
          <w:p w14:paraId="07241BF1">
            <w:pPr>
              <w:widowControl/>
              <w:snapToGrid w:val="0"/>
              <w:spacing w:line="360" w:lineRule="auto"/>
              <w:jc w:val="center"/>
              <w:rPr>
                <w:rFonts w:ascii="宋体" w:hAnsi="宋体" w:eastAsia="宋体" w:cs="宋体"/>
                <w:sz w:val="21"/>
                <w:szCs w:val="21"/>
              </w:rPr>
            </w:pPr>
            <w:r>
              <w:rPr>
                <w:rFonts w:hint="eastAsia" w:ascii="宋体" w:hAnsi="宋体" w:eastAsia="宋体" w:cs="宋体"/>
                <w:kern w:val="0"/>
                <w:sz w:val="21"/>
                <w:szCs w:val="21"/>
              </w:rPr>
              <w:t>1</w:t>
            </w:r>
          </w:p>
        </w:tc>
        <w:tc>
          <w:tcPr>
            <w:tcW w:w="725" w:type="dxa"/>
            <w:vAlign w:val="center"/>
          </w:tcPr>
          <w:p w14:paraId="458650BF">
            <w:pPr>
              <w:widowControl/>
              <w:snapToGrid w:val="0"/>
              <w:spacing w:line="360" w:lineRule="auto"/>
              <w:jc w:val="center"/>
              <w:rPr>
                <w:rFonts w:ascii="宋体" w:hAnsi="宋体" w:eastAsia="宋体" w:cs="宋体"/>
                <w:sz w:val="21"/>
                <w:szCs w:val="21"/>
              </w:rPr>
            </w:pPr>
            <w:r>
              <w:rPr>
                <w:rFonts w:hint="eastAsia" w:ascii="宋体" w:hAnsi="宋体" w:eastAsia="宋体" w:cs="宋体"/>
                <w:kern w:val="0"/>
                <w:sz w:val="21"/>
                <w:szCs w:val="21"/>
              </w:rPr>
              <w:t>项</w:t>
            </w:r>
          </w:p>
        </w:tc>
        <w:tc>
          <w:tcPr>
            <w:tcW w:w="1213" w:type="dxa"/>
            <w:vAlign w:val="center"/>
          </w:tcPr>
          <w:p w14:paraId="6B670B35">
            <w:pPr>
              <w:widowControl/>
              <w:snapToGrid w:val="0"/>
              <w:spacing w:line="360" w:lineRule="auto"/>
              <w:jc w:val="center"/>
              <w:rPr>
                <w:rFonts w:hint="eastAsia" w:ascii="宋体" w:hAnsi="宋体" w:eastAsia="宋体" w:cs="宋体"/>
                <w:kern w:val="0"/>
                <w:sz w:val="21"/>
                <w:szCs w:val="21"/>
                <w:lang w:eastAsia="zh-CN"/>
              </w:rPr>
            </w:pPr>
            <w:r>
              <w:rPr>
                <w:rFonts w:hint="eastAsia" w:ascii="宋体" w:hAnsi="宋体" w:eastAsia="宋体" w:cs="宋体"/>
                <w:kern w:val="0"/>
                <w:sz w:val="21"/>
                <w:szCs w:val="21"/>
                <w:lang w:eastAsia="zh-CN"/>
              </w:rPr>
              <w:t>1284494</w:t>
            </w:r>
          </w:p>
        </w:tc>
        <w:tc>
          <w:tcPr>
            <w:tcW w:w="1287" w:type="dxa"/>
            <w:vAlign w:val="center"/>
          </w:tcPr>
          <w:p w14:paraId="566CBAD3">
            <w:pPr>
              <w:widowControl/>
              <w:snapToGrid w:val="0"/>
              <w:spacing w:line="360" w:lineRule="auto"/>
              <w:jc w:val="center"/>
              <w:rPr>
                <w:rFonts w:hint="eastAsia" w:ascii="宋体" w:hAnsi="宋体" w:eastAsia="宋体" w:cs="宋体"/>
                <w:kern w:val="0"/>
                <w:sz w:val="21"/>
                <w:szCs w:val="21"/>
                <w:lang w:eastAsia="zh-CN"/>
              </w:rPr>
            </w:pPr>
            <w:r>
              <w:rPr>
                <w:rFonts w:hint="eastAsia" w:ascii="宋体" w:hAnsi="宋体" w:eastAsia="宋体" w:cs="宋体"/>
                <w:kern w:val="0"/>
                <w:sz w:val="21"/>
                <w:szCs w:val="21"/>
                <w:lang w:eastAsia="zh-CN"/>
              </w:rPr>
              <w:t>1156045</w:t>
            </w:r>
          </w:p>
        </w:tc>
        <w:tc>
          <w:tcPr>
            <w:tcW w:w="2384" w:type="dxa"/>
            <w:vAlign w:val="center"/>
          </w:tcPr>
          <w:p w14:paraId="6790AECF">
            <w:pPr>
              <w:adjustRightInd w:val="0"/>
              <w:snapToGrid w:val="0"/>
              <w:spacing w:line="360" w:lineRule="auto"/>
              <w:rPr>
                <w:rFonts w:ascii="宋体" w:hAnsi="宋体" w:eastAsia="宋体" w:cs="宋体"/>
                <w:sz w:val="21"/>
                <w:szCs w:val="21"/>
              </w:rPr>
            </w:pPr>
            <w:r>
              <w:rPr>
                <w:rFonts w:hint="eastAsia" w:ascii="宋体" w:hAnsi="宋体" w:cs="宋体" w:eastAsiaTheme="minorEastAsia"/>
                <w:sz w:val="21"/>
                <w:szCs w:val="21"/>
              </w:rPr>
              <w:t>本项目由采购人提供的施工图纸及预算书中所包含的工程等项目组成。具体内容详见发包人提供的工程量清单及编制说明。</w:t>
            </w:r>
          </w:p>
        </w:tc>
        <w:tc>
          <w:tcPr>
            <w:tcW w:w="875" w:type="dxa"/>
            <w:vAlign w:val="center"/>
          </w:tcPr>
          <w:p w14:paraId="0BC15B4B">
            <w:pPr>
              <w:widowControl/>
              <w:snapToGrid w:val="0"/>
              <w:spacing w:line="360" w:lineRule="auto"/>
              <w:jc w:val="center"/>
              <w:rPr>
                <w:rFonts w:ascii="宋体" w:hAnsi="宋体" w:eastAsia="宋体" w:cs="宋体"/>
                <w:sz w:val="21"/>
                <w:szCs w:val="21"/>
              </w:rPr>
            </w:pPr>
            <w:r>
              <w:rPr>
                <w:rFonts w:hint="eastAsia" w:ascii="宋体" w:hAnsi="宋体" w:eastAsia="宋体" w:cs="宋体"/>
                <w:sz w:val="21"/>
                <w:szCs w:val="21"/>
              </w:rPr>
              <w:t>建筑业</w:t>
            </w:r>
          </w:p>
        </w:tc>
      </w:tr>
    </w:tbl>
    <w:p w14:paraId="180FD6B3">
      <w:pPr>
        <w:adjustRightInd w:val="0"/>
        <w:snapToGrid w:val="0"/>
        <w:spacing w:line="360" w:lineRule="auto"/>
        <w:rPr>
          <w:rFonts w:ascii="宋体" w:hAnsi="宋体" w:cs="宋体" w:eastAsiaTheme="minorEastAsia"/>
          <w:b/>
          <w:bCs/>
          <w:sz w:val="21"/>
          <w:szCs w:val="21"/>
        </w:rPr>
      </w:pPr>
      <w:r>
        <w:rPr>
          <w:rFonts w:hint="eastAsia" w:ascii="宋体" w:hAnsi="宋体" w:eastAsia="宋体" w:cs="宋体"/>
          <w:b/>
          <w:bCs/>
          <w:kern w:val="0"/>
          <w:sz w:val="21"/>
          <w:szCs w:val="21"/>
        </w:rPr>
        <w:t>二、</w:t>
      </w:r>
      <w:r>
        <w:rPr>
          <w:rFonts w:hint="eastAsia" w:ascii="宋体" w:hAnsi="宋体" w:cs="宋体" w:eastAsiaTheme="minorEastAsia"/>
          <w:b/>
          <w:bCs/>
          <w:sz w:val="21"/>
          <w:szCs w:val="21"/>
        </w:rPr>
        <w:t>项目概况</w:t>
      </w:r>
    </w:p>
    <w:p w14:paraId="254FF9F5">
      <w:pPr>
        <w:adjustRightInd w:val="0"/>
        <w:snapToGrid w:val="0"/>
        <w:spacing w:line="360" w:lineRule="auto"/>
        <w:ind w:firstLine="420" w:firstLineChars="200"/>
        <w:rPr>
          <w:rFonts w:ascii="宋体" w:hAnsi="宋体" w:cs="宋体" w:eastAsiaTheme="minorEastAsia"/>
          <w:sz w:val="21"/>
          <w:szCs w:val="21"/>
        </w:rPr>
      </w:pPr>
      <w:r>
        <w:rPr>
          <w:rFonts w:hint="eastAsia" w:ascii="宋体" w:hAnsi="宋体" w:cs="宋体" w:eastAsiaTheme="minorEastAsia"/>
          <w:sz w:val="21"/>
          <w:szCs w:val="21"/>
        </w:rPr>
        <w:t>1、服务范围及内容：本项目由采购人提供的施工图纸及预算书中所包含的工程等项目组成。具体内容详见发包人提供的工程量清单及编制说明。</w:t>
      </w:r>
    </w:p>
    <w:p w14:paraId="3767CB06">
      <w:pPr>
        <w:adjustRightInd w:val="0"/>
        <w:snapToGrid w:val="0"/>
        <w:spacing w:line="360" w:lineRule="auto"/>
        <w:ind w:firstLine="420" w:firstLineChars="200"/>
        <w:rPr>
          <w:rFonts w:ascii="宋体" w:hAnsi="宋体" w:cs="宋体" w:eastAsiaTheme="minorEastAsia"/>
          <w:sz w:val="21"/>
          <w:szCs w:val="21"/>
        </w:rPr>
      </w:pPr>
      <w:r>
        <w:rPr>
          <w:rFonts w:hint="eastAsia" w:ascii="宋体" w:hAnsi="宋体" w:cs="宋体" w:eastAsiaTheme="minorEastAsia"/>
          <w:sz w:val="21"/>
          <w:szCs w:val="21"/>
        </w:rPr>
        <w:t>2、项目地址：位于仙居县。</w:t>
      </w:r>
    </w:p>
    <w:p w14:paraId="631175F8">
      <w:pPr>
        <w:adjustRightInd w:val="0"/>
        <w:snapToGrid w:val="0"/>
        <w:spacing w:line="360" w:lineRule="auto"/>
        <w:ind w:firstLine="420" w:firstLineChars="200"/>
        <w:rPr>
          <w:rFonts w:ascii="宋体" w:hAnsi="宋体" w:eastAsia="宋体" w:cs="宋体"/>
          <w:b/>
          <w:bCs/>
          <w:kern w:val="0"/>
          <w:sz w:val="21"/>
          <w:szCs w:val="21"/>
        </w:rPr>
      </w:pPr>
      <w:r>
        <w:rPr>
          <w:rFonts w:hint="eastAsia" w:ascii="宋体" w:hAnsi="宋体" w:cs="宋体" w:eastAsiaTheme="minorEastAsia"/>
          <w:sz w:val="21"/>
          <w:szCs w:val="21"/>
        </w:rPr>
        <w:t>3、采购人不组织现场踏勘，供应商应自行对工程现场和周围环境进行踏勘和了解，以获取有关编制响应文件和签署合同所需的各种资料，并应充分考虑影响本次报价的因素、预计实施过程中各种不利因素，由此可能发生的费用均由供应商考虑并包含在报价中。成交后，供应商不得再以不完全了解现场情况等为理由而提出额外付款或延长工期等的要求，若有此类要求，采购人将不作任何答复与考虑，供应商应承担现场踏勘的责任和风险，踏勘现场的费用由供应商自行承担。</w:t>
      </w:r>
    </w:p>
    <w:p w14:paraId="26FBB057">
      <w:pPr>
        <w:snapToGrid w:val="0"/>
        <w:spacing w:line="360" w:lineRule="auto"/>
        <w:jc w:val="left"/>
        <w:rPr>
          <w:rFonts w:ascii="宋体" w:hAnsi="宋体" w:eastAsia="宋体" w:cs="宋体"/>
          <w:b/>
          <w:bCs/>
          <w:kern w:val="0"/>
          <w:sz w:val="21"/>
          <w:szCs w:val="21"/>
        </w:rPr>
      </w:pPr>
      <w:r>
        <w:rPr>
          <w:rFonts w:hint="eastAsia" w:ascii="宋体" w:hAnsi="宋体" w:eastAsia="宋体" w:cs="宋体"/>
          <w:b/>
          <w:bCs/>
          <w:kern w:val="0"/>
          <w:sz w:val="21"/>
          <w:szCs w:val="21"/>
        </w:rPr>
        <w:t>三、规范要求</w:t>
      </w:r>
    </w:p>
    <w:p w14:paraId="1752A246">
      <w:pPr>
        <w:pStyle w:val="7"/>
        <w:snapToGrid w:val="0"/>
        <w:spacing w:after="0" w:line="360" w:lineRule="auto"/>
        <w:ind w:firstLine="420" w:firstLineChars="200"/>
        <w:rPr>
          <w:rFonts w:ascii="宋体" w:hAnsi="宋体" w:eastAsia="宋体" w:cs="宋体"/>
          <w:bCs/>
          <w:kern w:val="0"/>
          <w:szCs w:val="21"/>
        </w:rPr>
      </w:pPr>
      <w:r>
        <w:rPr>
          <w:rFonts w:hint="eastAsia" w:ascii="宋体" w:hAnsi="宋体" w:eastAsia="宋体" w:cs="宋体"/>
          <w:bCs/>
          <w:kern w:val="0"/>
          <w:szCs w:val="21"/>
        </w:rPr>
        <w:t>1、依据设计施工图纸和技术规范要求，本工程项目的材料、设备、施工必须达到现行中华人民共和国及省、市、行业的一切有关法规、规范的要求，如标准及规范要求有出入则以较严格者为准。</w:t>
      </w:r>
    </w:p>
    <w:p w14:paraId="523CDE37">
      <w:pPr>
        <w:pStyle w:val="7"/>
        <w:snapToGrid w:val="0"/>
        <w:spacing w:after="0" w:line="360" w:lineRule="auto"/>
        <w:ind w:firstLine="420" w:firstLineChars="200"/>
        <w:rPr>
          <w:rFonts w:ascii="宋体" w:hAnsi="宋体" w:eastAsia="宋体" w:cs="宋体"/>
          <w:bCs/>
          <w:kern w:val="0"/>
          <w:szCs w:val="21"/>
        </w:rPr>
      </w:pPr>
      <w:r>
        <w:rPr>
          <w:rFonts w:hint="eastAsia" w:ascii="宋体" w:hAnsi="宋体" w:eastAsia="宋体" w:cs="宋体"/>
          <w:bCs/>
          <w:kern w:val="0"/>
          <w:szCs w:val="21"/>
        </w:rPr>
        <w:t>2、技术规范由供应商方自备，如有不足之处或未能达到国家最新标准时，供应商应使施工及选用的设备和材料符合最新版本的国家标准、规范。</w:t>
      </w:r>
    </w:p>
    <w:p w14:paraId="5648BA54">
      <w:pPr>
        <w:pStyle w:val="7"/>
        <w:snapToGrid w:val="0"/>
        <w:spacing w:after="0" w:line="360" w:lineRule="auto"/>
        <w:rPr>
          <w:rFonts w:ascii="宋体" w:hAnsi="宋体" w:eastAsia="宋体" w:cs="宋体"/>
          <w:b/>
          <w:kern w:val="0"/>
          <w:szCs w:val="21"/>
        </w:rPr>
      </w:pPr>
      <w:r>
        <w:rPr>
          <w:rFonts w:hint="eastAsia" w:ascii="宋体" w:hAnsi="宋体" w:eastAsia="宋体" w:cs="宋体"/>
          <w:b/>
          <w:kern w:val="0"/>
          <w:szCs w:val="21"/>
        </w:rPr>
        <w:t>四、施工要求</w:t>
      </w:r>
    </w:p>
    <w:p w14:paraId="0DAEB595">
      <w:pPr>
        <w:pStyle w:val="42"/>
        <w:spacing w:line="360" w:lineRule="auto"/>
        <w:ind w:firstLine="420"/>
        <w:rPr>
          <w:rFonts w:ascii="宋体" w:hAnsi="宋体" w:eastAsia="宋体" w:cs="宋体"/>
          <w:color w:val="auto"/>
        </w:rPr>
      </w:pPr>
      <w:r>
        <w:rPr>
          <w:rFonts w:hint="eastAsia" w:ascii="宋体" w:hAnsi="宋体" w:eastAsia="宋体" w:cs="宋体"/>
          <w:color w:val="auto"/>
        </w:rPr>
        <w:t>1、本工程施工严格按照规范要求进行施工，达到各项拟定的设计指标，确保工程质量达到国家合格验收标准。</w:t>
      </w:r>
    </w:p>
    <w:p w14:paraId="1A7385AA">
      <w:pPr>
        <w:pStyle w:val="42"/>
        <w:spacing w:line="360" w:lineRule="auto"/>
        <w:ind w:firstLine="420"/>
        <w:rPr>
          <w:rFonts w:ascii="宋体" w:hAnsi="宋体" w:eastAsia="宋体" w:cs="宋体"/>
          <w:color w:val="auto"/>
        </w:rPr>
      </w:pPr>
      <w:r>
        <w:rPr>
          <w:rFonts w:hint="eastAsia" w:ascii="宋体" w:hAnsi="宋体" w:eastAsia="宋体" w:cs="宋体"/>
          <w:color w:val="auto"/>
        </w:rPr>
        <w:t>2、在工程施工实施过程中，供应商必须制定文明施工、安全生产的各项规定，遵守总包责任人制定的现场管理制度，并无条件地接受采购人全方位、全过程的监督管理。保持现场和工程的井然有序，以免发生伤害事故。发生安全事故、火灾事故造成的损失，由承包商承担全部责任。</w:t>
      </w:r>
    </w:p>
    <w:p w14:paraId="6D0414A9">
      <w:pPr>
        <w:pStyle w:val="42"/>
        <w:spacing w:line="360" w:lineRule="auto"/>
        <w:ind w:firstLine="420"/>
        <w:rPr>
          <w:rFonts w:ascii="宋体" w:hAnsi="宋体" w:eastAsia="宋体" w:cs="宋体"/>
          <w:color w:val="auto"/>
        </w:rPr>
      </w:pPr>
      <w:r>
        <w:rPr>
          <w:rFonts w:hint="eastAsia" w:ascii="宋体" w:hAnsi="宋体" w:eastAsia="宋体" w:cs="宋体"/>
          <w:color w:val="auto"/>
        </w:rPr>
        <w:t>3、所有材料设备必须在检验合格经采购人同意后，方可用于本工程。</w:t>
      </w:r>
    </w:p>
    <w:p w14:paraId="1599BC73">
      <w:pPr>
        <w:pStyle w:val="42"/>
        <w:spacing w:line="360" w:lineRule="auto"/>
        <w:ind w:firstLine="420"/>
        <w:rPr>
          <w:rFonts w:ascii="宋体" w:hAnsi="宋体" w:eastAsia="宋体" w:cs="宋体"/>
          <w:color w:val="auto"/>
        </w:rPr>
      </w:pPr>
      <w:r>
        <w:rPr>
          <w:rFonts w:hint="eastAsia" w:ascii="宋体" w:hAnsi="宋体" w:eastAsia="宋体" w:cs="宋体"/>
          <w:color w:val="auto"/>
        </w:rPr>
        <w:t>4、隐蔽工程必须经采购人检查、验收后，方可进行下一道工序。</w:t>
      </w:r>
    </w:p>
    <w:p w14:paraId="312B6176">
      <w:pPr>
        <w:pStyle w:val="42"/>
        <w:spacing w:line="360" w:lineRule="auto"/>
        <w:ind w:firstLine="420"/>
        <w:rPr>
          <w:rFonts w:ascii="宋体" w:hAnsi="宋体" w:eastAsia="宋体" w:cs="宋体"/>
          <w:color w:val="auto"/>
        </w:rPr>
      </w:pPr>
      <w:r>
        <w:rPr>
          <w:rFonts w:hint="eastAsia" w:ascii="宋体" w:hAnsi="宋体" w:eastAsia="宋体" w:cs="宋体"/>
          <w:color w:val="auto"/>
        </w:rPr>
        <w:t>5、在免费保修期内，成交供应商对有缺陷的部位必须无偿地给予修理与更换，并承担一切由此引起的对采购人或第三者的直接损失，除非该缺陷是由于人为破坏或合同规定的不可抗因素造成的损坏。</w:t>
      </w:r>
    </w:p>
    <w:p w14:paraId="6D2D780C">
      <w:pPr>
        <w:pStyle w:val="42"/>
        <w:spacing w:line="360" w:lineRule="auto"/>
        <w:ind w:firstLine="420"/>
        <w:rPr>
          <w:rFonts w:ascii="宋体" w:hAnsi="宋体" w:eastAsia="宋体" w:cs="宋体"/>
          <w:b/>
          <w:color w:val="auto"/>
          <w:kern w:val="0"/>
        </w:rPr>
      </w:pPr>
      <w:r>
        <w:rPr>
          <w:rFonts w:hint="eastAsia" w:ascii="宋体" w:hAnsi="宋体" w:eastAsia="宋体" w:cs="宋体"/>
          <w:color w:val="auto"/>
        </w:rPr>
        <w:t>6、供应商必须对所承包的工程的质量负全部责任，其责任不因其他材料生产商提供的保证书而减轻或更改。</w:t>
      </w:r>
    </w:p>
    <w:p w14:paraId="77E6AF19">
      <w:pPr>
        <w:pStyle w:val="7"/>
        <w:snapToGrid w:val="0"/>
        <w:spacing w:after="0" w:line="360" w:lineRule="auto"/>
        <w:rPr>
          <w:rFonts w:ascii="宋体" w:hAnsi="宋体" w:eastAsia="宋体" w:cs="宋体"/>
          <w:b/>
          <w:kern w:val="0"/>
          <w:szCs w:val="21"/>
        </w:rPr>
      </w:pPr>
      <w:r>
        <w:rPr>
          <w:rFonts w:hint="eastAsia" w:ascii="宋体" w:hAnsi="宋体" w:eastAsia="宋体" w:cs="宋体"/>
          <w:b/>
          <w:kern w:val="0"/>
          <w:szCs w:val="21"/>
        </w:rPr>
        <w:t>五、材料质量要求</w:t>
      </w:r>
    </w:p>
    <w:p w14:paraId="4115608E">
      <w:pPr>
        <w:pStyle w:val="42"/>
        <w:spacing w:line="360" w:lineRule="auto"/>
        <w:ind w:firstLine="0" w:firstLineChars="0"/>
        <w:rPr>
          <w:rFonts w:ascii="宋体" w:hAnsi="宋体" w:eastAsia="宋体" w:cs="宋体"/>
          <w:bCs/>
          <w:color w:val="auto"/>
          <w:kern w:val="0"/>
        </w:rPr>
      </w:pPr>
      <w:r>
        <w:rPr>
          <w:rFonts w:hint="eastAsia" w:ascii="宋体" w:hAnsi="宋体" w:eastAsia="宋体" w:cs="宋体"/>
          <w:bCs/>
          <w:color w:val="auto"/>
          <w:kern w:val="0"/>
        </w:rPr>
        <w:t xml:space="preserve">    1、材料选择</w:t>
      </w:r>
    </w:p>
    <w:p w14:paraId="4D10175E">
      <w:pPr>
        <w:pStyle w:val="42"/>
        <w:spacing w:line="360" w:lineRule="auto"/>
        <w:ind w:firstLine="420"/>
        <w:rPr>
          <w:rFonts w:ascii="宋体" w:hAnsi="宋体" w:eastAsia="宋体" w:cs="宋体"/>
          <w:bCs/>
          <w:color w:val="auto"/>
          <w:kern w:val="0"/>
        </w:rPr>
      </w:pPr>
      <w:r>
        <w:rPr>
          <w:rFonts w:hint="eastAsia" w:ascii="宋体" w:hAnsi="宋体" w:eastAsia="宋体" w:cs="宋体"/>
          <w:bCs/>
          <w:color w:val="auto"/>
          <w:kern w:val="0"/>
        </w:rPr>
        <w:t>1.1</w:t>
      </w:r>
      <w:r>
        <w:rPr>
          <w:rFonts w:hint="eastAsia" w:ascii="宋体" w:hAnsi="宋体" w:eastAsia="宋体" w:cs="宋体"/>
          <w:color w:val="auto"/>
        </w:rPr>
        <w:t>本工程所采用的材料，承包人在投标报价时必须考虑材料运至工地，到工地后的卸车、二次搬运、保管、验收所产生的费用。工程结算时，不作调整。承包人必须服从采购人安排并按采购人要求实施。</w:t>
      </w:r>
    </w:p>
    <w:p w14:paraId="785D66DF">
      <w:pPr>
        <w:pStyle w:val="42"/>
        <w:spacing w:line="360" w:lineRule="auto"/>
        <w:ind w:firstLine="0" w:firstLineChars="0"/>
        <w:rPr>
          <w:rFonts w:ascii="宋体" w:hAnsi="宋体" w:eastAsia="宋体" w:cs="宋体"/>
          <w:bCs/>
          <w:color w:val="auto"/>
          <w:kern w:val="0"/>
        </w:rPr>
      </w:pPr>
      <w:r>
        <w:rPr>
          <w:rFonts w:hint="eastAsia" w:ascii="宋体" w:hAnsi="宋体" w:eastAsia="宋体" w:cs="宋体"/>
          <w:bCs/>
          <w:color w:val="auto"/>
          <w:kern w:val="0"/>
        </w:rPr>
        <w:t xml:space="preserve">    2、材料的质量保证</w:t>
      </w:r>
    </w:p>
    <w:p w14:paraId="343DA347">
      <w:pPr>
        <w:pStyle w:val="50"/>
        <w:snapToGrid w:val="0"/>
        <w:spacing w:line="360" w:lineRule="auto"/>
        <w:rPr>
          <w:rFonts w:ascii="宋体" w:hAnsi="宋体" w:eastAsia="宋体"/>
          <w:bCs/>
          <w:kern w:val="0"/>
          <w:sz w:val="21"/>
          <w:szCs w:val="21"/>
        </w:rPr>
      </w:pPr>
      <w:r>
        <w:rPr>
          <w:rFonts w:hint="eastAsia" w:ascii="宋体" w:hAnsi="宋体" w:eastAsia="宋体"/>
          <w:bCs/>
          <w:kern w:val="0"/>
          <w:sz w:val="21"/>
          <w:szCs w:val="21"/>
        </w:rPr>
        <w:t>2.1承包人必须对所承包的工程的质量负全部责任，其责任不因其他材料生产商提供的保证书而减轻或更改。</w:t>
      </w:r>
    </w:p>
    <w:p w14:paraId="1FCF7BF5">
      <w:pPr>
        <w:pStyle w:val="50"/>
        <w:snapToGrid w:val="0"/>
        <w:spacing w:line="360" w:lineRule="auto"/>
        <w:rPr>
          <w:rFonts w:ascii="宋体" w:hAnsi="宋体" w:eastAsia="宋体"/>
          <w:bCs/>
          <w:kern w:val="0"/>
          <w:sz w:val="21"/>
          <w:szCs w:val="21"/>
        </w:rPr>
      </w:pPr>
      <w:r>
        <w:rPr>
          <w:rFonts w:hint="eastAsia" w:ascii="宋体" w:hAnsi="宋体" w:eastAsia="宋体"/>
          <w:bCs/>
          <w:kern w:val="0"/>
          <w:sz w:val="21"/>
          <w:szCs w:val="21"/>
        </w:rPr>
        <w:t>2.2材料检验结果证明其有害物质含量指标超标的产品不得在工程上使用。</w:t>
      </w:r>
    </w:p>
    <w:p w14:paraId="6A5C91D5">
      <w:pPr>
        <w:pStyle w:val="50"/>
        <w:snapToGrid w:val="0"/>
        <w:spacing w:line="360" w:lineRule="auto"/>
        <w:rPr>
          <w:rFonts w:ascii="宋体" w:hAnsi="宋体" w:eastAsia="宋体"/>
          <w:bCs/>
          <w:kern w:val="0"/>
          <w:sz w:val="21"/>
          <w:szCs w:val="21"/>
        </w:rPr>
      </w:pPr>
      <w:r>
        <w:rPr>
          <w:rFonts w:hint="eastAsia" w:ascii="宋体" w:hAnsi="宋体" w:eastAsia="宋体"/>
          <w:bCs/>
          <w:kern w:val="0"/>
          <w:sz w:val="21"/>
          <w:szCs w:val="21"/>
        </w:rPr>
        <w:t>2.3所有材料设备必须在检验合格经采购人（或采购人授权的监理）同意后，方可用于本工程。</w:t>
      </w:r>
    </w:p>
    <w:p w14:paraId="57464F2A">
      <w:pPr>
        <w:pStyle w:val="50"/>
        <w:snapToGrid w:val="0"/>
        <w:spacing w:line="360" w:lineRule="auto"/>
        <w:ind w:firstLine="0" w:firstLineChars="0"/>
        <w:rPr>
          <w:rFonts w:ascii="宋体" w:hAnsi="宋体" w:eastAsia="宋体"/>
          <w:bCs/>
          <w:kern w:val="0"/>
          <w:sz w:val="21"/>
          <w:szCs w:val="21"/>
        </w:rPr>
      </w:pPr>
      <w:r>
        <w:rPr>
          <w:rFonts w:hint="eastAsia" w:ascii="宋体" w:hAnsi="宋体" w:eastAsia="宋体"/>
          <w:bCs/>
          <w:kern w:val="0"/>
          <w:sz w:val="21"/>
          <w:szCs w:val="21"/>
        </w:rPr>
        <w:t xml:space="preserve">    3、供应要求</w:t>
      </w:r>
    </w:p>
    <w:p w14:paraId="4523F2E8">
      <w:pPr>
        <w:pStyle w:val="50"/>
        <w:snapToGrid w:val="0"/>
        <w:spacing w:line="360" w:lineRule="auto"/>
        <w:rPr>
          <w:rFonts w:ascii="宋体" w:hAnsi="宋体" w:eastAsia="宋体"/>
          <w:bCs/>
          <w:kern w:val="0"/>
          <w:sz w:val="21"/>
          <w:szCs w:val="21"/>
        </w:rPr>
      </w:pPr>
      <w:r>
        <w:rPr>
          <w:rFonts w:hint="eastAsia" w:ascii="宋体" w:hAnsi="宋体" w:eastAsia="宋体"/>
          <w:bCs/>
          <w:kern w:val="0"/>
          <w:sz w:val="21"/>
          <w:szCs w:val="21"/>
        </w:rPr>
        <w:t>3.1本次采购承包范围内的施工材料均由承包人根据</w:t>
      </w:r>
      <w:r>
        <w:rPr>
          <w:rFonts w:hint="eastAsia" w:ascii="宋体" w:hAnsi="宋体"/>
          <w:bCs/>
          <w:kern w:val="0"/>
          <w:sz w:val="21"/>
          <w:szCs w:val="21"/>
        </w:rPr>
        <w:t>本采购文件</w:t>
      </w:r>
      <w:r>
        <w:rPr>
          <w:rFonts w:hint="eastAsia" w:ascii="宋体" w:hAnsi="宋体" w:eastAsia="宋体"/>
          <w:bCs/>
          <w:kern w:val="0"/>
          <w:sz w:val="21"/>
          <w:szCs w:val="21"/>
        </w:rPr>
        <w:t>、设计图纸和国家有关规定的具体要求进行采购、运输、检验、保管，但发包人保留变更和指定材料的权利。</w:t>
      </w:r>
    </w:p>
    <w:p w14:paraId="0B1960F3">
      <w:pPr>
        <w:pStyle w:val="7"/>
        <w:snapToGrid w:val="0"/>
        <w:spacing w:after="0" w:line="360" w:lineRule="auto"/>
        <w:ind w:firstLine="420" w:firstLineChars="200"/>
        <w:rPr>
          <w:rFonts w:ascii="宋体" w:hAnsi="宋体" w:eastAsia="宋体" w:cs="宋体"/>
          <w:b/>
          <w:bCs/>
          <w:szCs w:val="21"/>
        </w:rPr>
      </w:pPr>
      <w:r>
        <w:rPr>
          <w:rFonts w:hint="eastAsia" w:ascii="宋体" w:hAnsi="宋体" w:eastAsia="宋体" w:cs="宋体"/>
          <w:bCs/>
          <w:kern w:val="0"/>
          <w:szCs w:val="21"/>
        </w:rPr>
        <w:t>3.2</w:t>
      </w:r>
      <w:r>
        <w:rPr>
          <w:rFonts w:hint="eastAsia" w:ascii="宋体" w:hAnsi="宋体" w:cs="Courier New"/>
          <w:szCs w:val="21"/>
        </w:rPr>
        <w:t>若采购人在项目实施过程中发现由</w:t>
      </w:r>
      <w:r>
        <w:rPr>
          <w:rFonts w:hint="eastAsia" w:ascii="宋体" w:hAnsi="宋体" w:eastAsia="宋体" w:cs="Courier New"/>
          <w:szCs w:val="21"/>
        </w:rPr>
        <w:t>成交供应商</w:t>
      </w:r>
      <w:r>
        <w:rPr>
          <w:rFonts w:hint="eastAsia" w:ascii="宋体" w:hAnsi="宋体" w:eastAsia="宋体" w:cs="宋体"/>
          <w:bCs/>
          <w:kern w:val="0"/>
          <w:szCs w:val="21"/>
        </w:rPr>
        <w:t>采购的主要建筑材料，当承包人选定的产品质量达不到设计要求和预期质量目标时，发包人保留更换的权利，且中标价不予调整。</w:t>
      </w:r>
    </w:p>
    <w:p w14:paraId="72F278A0">
      <w:pPr>
        <w:pStyle w:val="42"/>
        <w:spacing w:line="360" w:lineRule="auto"/>
        <w:ind w:firstLine="0" w:firstLineChars="0"/>
        <w:rPr>
          <w:rFonts w:ascii="宋体" w:hAnsi="宋体" w:eastAsia="宋体" w:cs="宋体"/>
          <w:b/>
          <w:bCs/>
          <w:color w:val="auto"/>
        </w:rPr>
      </w:pPr>
      <w:r>
        <w:rPr>
          <w:rFonts w:hint="eastAsia" w:ascii="宋体" w:hAnsi="宋体" w:eastAsia="宋体" w:cs="宋体"/>
          <w:b/>
          <w:bCs/>
          <w:color w:val="auto"/>
        </w:rPr>
        <w:t>六、工程管理要求</w:t>
      </w:r>
    </w:p>
    <w:p w14:paraId="59FC569D">
      <w:pPr>
        <w:pStyle w:val="10"/>
        <w:snapToGrid w:val="0"/>
        <w:spacing w:line="360" w:lineRule="auto"/>
        <w:ind w:firstLine="420" w:firstLineChars="200"/>
        <w:rPr>
          <w:rFonts w:hAnsi="宋体" w:eastAsia="宋体" w:cs="宋体"/>
          <w:szCs w:val="21"/>
        </w:rPr>
      </w:pPr>
      <w:r>
        <w:rPr>
          <w:rFonts w:hint="eastAsia" w:hAnsi="宋体" w:eastAsia="宋体" w:cs="宋体"/>
          <w:szCs w:val="21"/>
        </w:rPr>
        <w:t>1、本工程承包范围内的工程项目，成交供应商未经采购人同意，一律不得分包、转包，成交供应商擅自分包、转包以违约论，一经发现立即取消成交供应商的承包资格，成交供应商应承担由此引起的一切经济责任和法律责任。</w:t>
      </w:r>
    </w:p>
    <w:p w14:paraId="7CF2ABCF">
      <w:pPr>
        <w:pStyle w:val="10"/>
        <w:snapToGrid w:val="0"/>
        <w:spacing w:line="360" w:lineRule="auto"/>
        <w:ind w:firstLine="420" w:firstLineChars="200"/>
        <w:rPr>
          <w:rFonts w:hAnsi="宋体" w:cs="宋体"/>
          <w:szCs w:val="21"/>
        </w:rPr>
      </w:pPr>
      <w:r>
        <w:rPr>
          <w:rFonts w:hint="eastAsia" w:hAnsi="宋体" w:eastAsia="宋体" w:cs="宋体"/>
          <w:szCs w:val="21"/>
        </w:rPr>
        <w:t>2.供应商应严格按已确认施工技术方案组织施工，并无条件地接受采购人代表对施工质量的监督和管理。施工过程中，施工方必须要严格把关，</w:t>
      </w:r>
      <w:r>
        <w:rPr>
          <w:rFonts w:hint="eastAsia" w:hAnsi="宋体" w:cs="宋体"/>
          <w:szCs w:val="21"/>
        </w:rPr>
        <w:t>按照相应规范标准要求施工，如出现不符合标准要求的情况，施工方必须无条件返工，直至达到规范标准要求。所发生的费用均由施工方承担。</w:t>
      </w:r>
    </w:p>
    <w:p w14:paraId="5E054CBD">
      <w:pPr>
        <w:pStyle w:val="42"/>
        <w:spacing w:line="360" w:lineRule="auto"/>
        <w:ind w:firstLine="420"/>
        <w:rPr>
          <w:rFonts w:ascii="宋体" w:hAnsi="宋体" w:eastAsia="宋体" w:cs="宋体"/>
          <w:color w:val="auto"/>
        </w:rPr>
      </w:pPr>
      <w:r>
        <w:rPr>
          <w:rFonts w:hint="eastAsia" w:ascii="宋体" w:hAnsi="宋体" w:cs="宋体"/>
          <w:color w:val="auto"/>
        </w:rPr>
        <w:t>3</w:t>
      </w:r>
      <w:r>
        <w:rPr>
          <w:rFonts w:hint="eastAsia" w:ascii="宋体" w:hAnsi="宋体" w:eastAsia="宋体" w:cs="宋体"/>
          <w:color w:val="auto"/>
        </w:rPr>
        <w:t>.供应商在响应文件中的承诺的管理人员未经采购人同意，不得调换和撤离，并按工程进度及时到位。采购人有权要求撤换工作不负责任、管理不力、贻误工期和造成严重的安全事故和工程质量事故、违法乱纪的专业技术、管理人员、技术负责人，直至采购人满意为止。如相应资质的专业技术人员未按要求到位，视作违约，采购人有权单方面终止合同。</w:t>
      </w:r>
    </w:p>
    <w:p w14:paraId="28263D47">
      <w:pPr>
        <w:pStyle w:val="42"/>
        <w:spacing w:line="360" w:lineRule="auto"/>
        <w:ind w:firstLine="420"/>
        <w:rPr>
          <w:rFonts w:ascii="宋体" w:hAnsi="宋体" w:eastAsia="宋体" w:cs="宋体"/>
          <w:color w:val="auto"/>
        </w:rPr>
      </w:pPr>
      <w:r>
        <w:rPr>
          <w:rFonts w:hint="eastAsia" w:ascii="宋体" w:hAnsi="宋体" w:cs="宋体"/>
          <w:color w:val="auto"/>
        </w:rPr>
        <w:t>4</w:t>
      </w:r>
      <w:r>
        <w:rPr>
          <w:rFonts w:hint="eastAsia" w:ascii="宋体" w:hAnsi="宋体" w:eastAsia="宋体" w:cs="宋体"/>
          <w:color w:val="auto"/>
        </w:rPr>
        <w:t>.供应商在工程施工全过程中要认真做好产品保护。因失窃或失火造成的损失均由承包人负责，凡由此而损及采购人利益时，采购人将向成交施工单位索赔。</w:t>
      </w:r>
    </w:p>
    <w:p w14:paraId="399DC0A9">
      <w:pPr>
        <w:snapToGrid w:val="0"/>
        <w:spacing w:line="360" w:lineRule="auto"/>
        <w:ind w:firstLine="420" w:firstLineChars="200"/>
        <w:jc w:val="left"/>
        <w:rPr>
          <w:rFonts w:ascii="宋体" w:hAnsi="宋体" w:eastAsia="宋体" w:cs="宋体"/>
          <w:sz w:val="21"/>
          <w:szCs w:val="21"/>
        </w:rPr>
      </w:pPr>
      <w:r>
        <w:rPr>
          <w:rFonts w:hint="eastAsia" w:ascii="宋体" w:hAnsi="宋体" w:eastAsia="宋体" w:cs="宋体"/>
          <w:sz w:val="21"/>
          <w:szCs w:val="21"/>
        </w:rPr>
        <w:t>5、供应商应有详细的工程安全措施和安全组织及配备专职安全负责人的说明和承诺，以确保安全施工。</w:t>
      </w:r>
    </w:p>
    <w:p w14:paraId="4855DF89">
      <w:pPr>
        <w:snapToGrid w:val="0"/>
        <w:spacing w:line="360" w:lineRule="auto"/>
        <w:ind w:firstLine="420" w:firstLineChars="200"/>
        <w:jc w:val="left"/>
        <w:rPr>
          <w:rFonts w:ascii="宋体" w:hAnsi="宋体" w:eastAsia="宋体" w:cs="宋体"/>
          <w:sz w:val="21"/>
          <w:szCs w:val="21"/>
        </w:rPr>
      </w:pPr>
      <w:r>
        <w:rPr>
          <w:rFonts w:hint="eastAsia" w:ascii="宋体" w:hAnsi="宋体" w:eastAsia="宋体" w:cs="宋体"/>
          <w:sz w:val="21"/>
          <w:szCs w:val="21"/>
        </w:rPr>
        <w:t>6、施工期间，所有施工人员的食宿均由供应商自行安排，相关费用包含在报价中。</w:t>
      </w:r>
    </w:p>
    <w:p w14:paraId="285D86C0">
      <w:pPr>
        <w:snapToGrid w:val="0"/>
        <w:spacing w:line="360" w:lineRule="auto"/>
        <w:ind w:firstLine="420" w:firstLineChars="200"/>
        <w:jc w:val="left"/>
        <w:rPr>
          <w:rFonts w:ascii="宋体" w:hAnsi="宋体" w:eastAsia="宋体" w:cs="宋体"/>
          <w:sz w:val="21"/>
          <w:szCs w:val="21"/>
        </w:rPr>
      </w:pPr>
      <w:r>
        <w:rPr>
          <w:rFonts w:hint="eastAsia" w:ascii="宋体" w:hAnsi="宋体" w:eastAsia="宋体" w:cs="宋体"/>
          <w:sz w:val="21"/>
          <w:szCs w:val="21"/>
        </w:rPr>
        <w:t>7、本工程设及危大工程和重点难点工程的，供应商在施工前须制定充分、完整、详细的施工组织方案和计划，报监理、相关职能部门审核后开工，并编制应急预案一套。</w:t>
      </w:r>
    </w:p>
    <w:p w14:paraId="0AD17AED">
      <w:pPr>
        <w:snapToGrid w:val="0"/>
        <w:spacing w:line="360" w:lineRule="auto"/>
        <w:ind w:firstLine="420" w:firstLineChars="200"/>
        <w:jc w:val="left"/>
        <w:rPr>
          <w:rFonts w:ascii="宋体" w:hAnsi="宋体" w:eastAsia="宋体" w:cs="宋体"/>
          <w:sz w:val="21"/>
          <w:szCs w:val="21"/>
        </w:rPr>
      </w:pPr>
      <w:r>
        <w:rPr>
          <w:rFonts w:hint="eastAsia" w:ascii="宋体" w:hAnsi="宋体" w:eastAsia="宋体" w:cs="宋体"/>
          <w:sz w:val="21"/>
          <w:szCs w:val="21"/>
        </w:rPr>
        <w:t>8、供应商在选用的产品及各项工作遵循的标准、规范必须等效或优于相关规定。</w:t>
      </w:r>
    </w:p>
    <w:p w14:paraId="38D69ECC">
      <w:pPr>
        <w:snapToGrid w:val="0"/>
        <w:spacing w:line="360" w:lineRule="auto"/>
        <w:ind w:firstLine="420" w:firstLineChars="200"/>
        <w:jc w:val="left"/>
        <w:rPr>
          <w:rFonts w:ascii="宋体" w:hAnsi="宋体" w:eastAsia="宋体" w:cs="宋体"/>
          <w:sz w:val="21"/>
          <w:szCs w:val="21"/>
        </w:rPr>
      </w:pPr>
      <w:r>
        <w:rPr>
          <w:rFonts w:hint="eastAsia" w:ascii="宋体" w:hAnsi="宋体" w:eastAsia="宋体" w:cs="宋体"/>
          <w:sz w:val="21"/>
          <w:szCs w:val="21"/>
        </w:rPr>
        <w:t>9、 安全施工、文明管理：</w:t>
      </w:r>
    </w:p>
    <w:p w14:paraId="1E9D4807">
      <w:pPr>
        <w:snapToGrid w:val="0"/>
        <w:spacing w:line="360" w:lineRule="auto"/>
        <w:ind w:firstLine="630" w:firstLineChars="300"/>
        <w:jc w:val="left"/>
        <w:rPr>
          <w:rFonts w:ascii="宋体" w:hAnsi="宋体" w:eastAsia="宋体" w:cs="宋体"/>
          <w:sz w:val="21"/>
          <w:szCs w:val="21"/>
        </w:rPr>
      </w:pPr>
      <w:r>
        <w:rPr>
          <w:rFonts w:hint="eastAsia" w:ascii="宋体" w:hAnsi="宋体" w:eastAsia="宋体" w:cs="宋体"/>
          <w:sz w:val="21"/>
          <w:szCs w:val="21"/>
        </w:rPr>
        <w:t>1）项目安全生产的达标目标以及治安保卫由成交供应商负责，无安全生产及治安事故。</w:t>
      </w:r>
    </w:p>
    <w:p w14:paraId="799E54BD">
      <w:pPr>
        <w:snapToGrid w:val="0"/>
        <w:spacing w:line="360" w:lineRule="auto"/>
        <w:ind w:firstLine="630" w:firstLineChars="300"/>
        <w:jc w:val="left"/>
        <w:rPr>
          <w:rFonts w:ascii="宋体" w:hAnsi="宋体" w:eastAsia="宋体" w:cs="宋体"/>
          <w:sz w:val="21"/>
          <w:szCs w:val="21"/>
          <w:highlight w:val="yellow"/>
        </w:rPr>
      </w:pPr>
      <w:r>
        <w:rPr>
          <w:rFonts w:hint="eastAsia" w:ascii="宋体" w:hAnsi="宋体" w:eastAsia="宋体" w:cs="宋体"/>
          <w:sz w:val="21"/>
          <w:szCs w:val="21"/>
        </w:rPr>
        <w:t>2）文明施工的要求：按台州市相关文明施工规范要求执行。</w:t>
      </w:r>
    </w:p>
    <w:p w14:paraId="7E58671B">
      <w:pPr>
        <w:pStyle w:val="42"/>
        <w:spacing w:line="360" w:lineRule="auto"/>
        <w:ind w:firstLine="0" w:firstLineChars="0"/>
        <w:rPr>
          <w:rFonts w:ascii="宋体" w:hAnsi="宋体" w:eastAsia="宋体" w:cs="宋体"/>
          <w:b/>
          <w:bCs/>
          <w:color w:val="auto"/>
        </w:rPr>
      </w:pPr>
      <w:r>
        <w:rPr>
          <w:rFonts w:hint="eastAsia" w:ascii="宋体" w:hAnsi="宋体" w:eastAsia="宋体" w:cs="宋体"/>
          <w:b/>
          <w:bCs/>
          <w:color w:val="auto"/>
        </w:rPr>
        <w:t>▲</w:t>
      </w:r>
      <w:r>
        <w:rPr>
          <w:rFonts w:hint="eastAsia" w:ascii="宋体" w:hAnsi="宋体" w:eastAsia="宋体" w:cs="宋体"/>
          <w:b/>
          <w:color w:val="auto"/>
        </w:rPr>
        <w:t>七、</w:t>
      </w:r>
      <w:r>
        <w:rPr>
          <w:rFonts w:hint="eastAsia" w:ascii="宋体" w:hAnsi="宋体" w:eastAsia="宋体" w:cs="宋体"/>
          <w:b/>
          <w:bCs/>
          <w:color w:val="auto"/>
        </w:rPr>
        <w:t>拟投入项目负责人的资格要求</w:t>
      </w:r>
    </w:p>
    <w:p w14:paraId="4AC05CCE">
      <w:pPr>
        <w:keepNext w:val="0"/>
        <w:keepLines w:val="0"/>
        <w:pageBreakBefore w:val="0"/>
        <w:widowControl w:val="0"/>
        <w:numPr>
          <w:ilvl w:val="0"/>
          <w:numId w:val="0"/>
        </w:numPr>
        <w:tabs>
          <w:tab w:val="left" w:pos="8280"/>
        </w:tabs>
        <w:kinsoku/>
        <w:wordWrap/>
        <w:overflowPunct/>
        <w:topLinePunct w:val="0"/>
        <w:autoSpaceDE w:val="0"/>
        <w:autoSpaceDN w:val="0"/>
        <w:bidi w:val="0"/>
        <w:adjustRightInd w:val="0"/>
        <w:snapToGrid/>
        <w:spacing w:line="350" w:lineRule="exact"/>
        <w:ind w:right="0" w:rightChars="0" w:firstLine="211" w:firstLineChars="100"/>
        <w:textAlignment w:val="auto"/>
        <w:rPr>
          <w:rFonts w:ascii="宋体" w:hAnsi="宋体" w:eastAsia="宋体" w:cs="宋体"/>
          <w:b/>
          <w:bCs/>
          <w:sz w:val="21"/>
          <w:szCs w:val="21"/>
        </w:rPr>
      </w:pPr>
      <w:r>
        <w:rPr>
          <w:rFonts w:hint="eastAsia" w:ascii="宋体" w:hAnsi="宋体" w:eastAsia="宋体" w:cs="宋体"/>
          <w:b/>
          <w:bCs/>
          <w:sz w:val="21"/>
          <w:szCs w:val="21"/>
        </w:rPr>
        <w:t>1、拟派本工程项目负责人须具有</w:t>
      </w:r>
      <w:r>
        <w:rPr>
          <w:rFonts w:hint="eastAsia" w:ascii="宋体" w:hAnsi="宋体" w:eastAsia="宋体" w:cs="宋体"/>
          <w:b/>
          <w:bCs/>
          <w:sz w:val="21"/>
          <w:szCs w:val="21"/>
          <w:lang w:val="en-US" w:eastAsia="zh-CN"/>
        </w:rPr>
        <w:t>有效的</w:t>
      </w:r>
      <w:r>
        <w:rPr>
          <w:rFonts w:hint="eastAsia" w:ascii="宋体" w:hAnsi="宋体" w:eastAsia="宋体" w:cs="宋体"/>
          <w:b/>
          <w:bCs/>
          <w:sz w:val="21"/>
          <w:szCs w:val="21"/>
        </w:rPr>
        <w:t>市政公用工程二级及以上等级注册建造师（不含临时建造师）和三类人员“B”类证书</w:t>
      </w:r>
      <w:r>
        <w:rPr>
          <w:rFonts w:hint="eastAsia" w:ascii="宋体" w:hAnsi="宋体" w:eastAsia="宋体" w:cs="宋体"/>
          <w:b/>
          <w:bCs/>
          <w:sz w:val="21"/>
          <w:szCs w:val="21"/>
          <w:lang w:eastAsia="zh-CN"/>
        </w:rPr>
        <w:t>，</w:t>
      </w:r>
      <w:r>
        <w:rPr>
          <w:rFonts w:hint="eastAsia" w:ascii="宋体" w:hAnsi="宋体" w:eastAsia="宋体" w:cs="宋体"/>
          <w:b/>
          <w:bCs/>
          <w:sz w:val="21"/>
          <w:szCs w:val="21"/>
          <w:lang w:val="en-US" w:eastAsia="zh-CN"/>
        </w:rPr>
        <w:t>且</w:t>
      </w:r>
      <w:r>
        <w:rPr>
          <w:rFonts w:hint="eastAsia" w:ascii="宋体" w:hAnsi="宋体" w:eastAsia="宋体" w:cs="宋体"/>
          <w:b/>
          <w:bCs/>
          <w:sz w:val="21"/>
          <w:szCs w:val="21"/>
          <w:lang w:eastAsia="zh-CN"/>
        </w:rPr>
        <w:t>不得有在建工程</w:t>
      </w:r>
      <w:r>
        <w:rPr>
          <w:rFonts w:hint="eastAsia" w:ascii="宋体" w:hAnsi="宋体" w:eastAsia="宋体" w:cs="宋体"/>
          <w:b/>
          <w:bCs/>
          <w:sz w:val="21"/>
          <w:szCs w:val="21"/>
        </w:rPr>
        <w:t>。</w:t>
      </w:r>
    </w:p>
    <w:p w14:paraId="3216DA3D">
      <w:pPr>
        <w:snapToGrid w:val="0"/>
        <w:spacing w:line="360" w:lineRule="auto"/>
        <w:ind w:firstLine="540" w:firstLineChars="300"/>
        <w:jc w:val="left"/>
        <w:rPr>
          <w:rFonts w:ascii="宋体" w:hAnsi="宋体" w:eastAsia="宋体" w:cs="宋体"/>
          <w:sz w:val="18"/>
          <w:szCs w:val="18"/>
        </w:rPr>
      </w:pPr>
      <w:r>
        <w:rPr>
          <w:rFonts w:hint="eastAsia" w:ascii="宋体" w:hAnsi="宋体" w:eastAsia="宋体" w:cs="宋体"/>
          <w:sz w:val="18"/>
          <w:szCs w:val="18"/>
        </w:rPr>
        <w:t>注：项目负责人在建项目要求：项目负责人承接项目按照《注册建造师执业管理办法（试行）》（建市[2008]48号）第九条执行，同时在本工程投标文件提交截止日前，原以建造师身份承接（包括已办理项目负责人变更手续）的工程项目未通过竣工（交工）验收的（以竣工或交工验收记录为准），项目负责人不得参加投标。发生下列情形之一的除外：</w:t>
      </w:r>
    </w:p>
    <w:p w14:paraId="6711C80D">
      <w:pPr>
        <w:snapToGrid w:val="0"/>
        <w:spacing w:line="360" w:lineRule="auto"/>
        <w:ind w:firstLine="540" w:firstLineChars="300"/>
        <w:jc w:val="left"/>
        <w:rPr>
          <w:rFonts w:ascii="宋体" w:hAnsi="宋体" w:eastAsia="宋体" w:cs="宋体"/>
          <w:sz w:val="18"/>
          <w:szCs w:val="18"/>
        </w:rPr>
      </w:pPr>
      <w:r>
        <w:rPr>
          <w:rFonts w:hint="eastAsia" w:ascii="宋体" w:hAnsi="宋体" w:eastAsia="宋体" w:cs="宋体"/>
          <w:sz w:val="18"/>
          <w:szCs w:val="18"/>
        </w:rPr>
        <w:t>①原承接的项目与本工程属于同一工程相邻分段发包或分期施工的；</w:t>
      </w:r>
    </w:p>
    <w:p w14:paraId="6DE3C8D3">
      <w:pPr>
        <w:snapToGrid w:val="0"/>
        <w:spacing w:line="360" w:lineRule="auto"/>
        <w:ind w:firstLine="540" w:firstLineChars="300"/>
        <w:jc w:val="left"/>
        <w:rPr>
          <w:rFonts w:ascii="宋体" w:hAnsi="宋体" w:eastAsia="宋体" w:cs="宋体"/>
          <w:sz w:val="18"/>
          <w:szCs w:val="18"/>
        </w:rPr>
      </w:pPr>
      <w:r>
        <w:rPr>
          <w:rFonts w:hint="eastAsia" w:ascii="宋体" w:hAnsi="宋体" w:eastAsia="宋体" w:cs="宋体"/>
          <w:sz w:val="18"/>
          <w:szCs w:val="18"/>
        </w:rPr>
        <w:t>②因非承包方原因致使工程项目停工超过120天（含），经建设单位同意的（并须提供经工程所在地建设（建筑业）行政主管部门同意停工的书面证明）。</w:t>
      </w:r>
    </w:p>
    <w:p w14:paraId="02DB101F">
      <w:pPr>
        <w:snapToGrid w:val="0"/>
        <w:spacing w:line="360" w:lineRule="auto"/>
        <w:ind w:firstLine="540" w:firstLineChars="300"/>
        <w:jc w:val="left"/>
        <w:rPr>
          <w:rFonts w:ascii="宋体" w:hAnsi="宋体" w:eastAsia="宋体" w:cs="宋体"/>
          <w:sz w:val="18"/>
          <w:szCs w:val="18"/>
        </w:rPr>
      </w:pPr>
      <w:r>
        <w:rPr>
          <w:rFonts w:hint="eastAsia" w:ascii="宋体" w:hAnsi="宋体" w:eastAsia="宋体" w:cs="宋体"/>
          <w:sz w:val="18"/>
          <w:szCs w:val="18"/>
        </w:rPr>
        <w:t>③合同约定的工程已完工，承包方向建设单位提交竣工（交工）报告时间已超过120天（含），且经建设单位同意可承接其他项目的（并须提供经工程所在地建设（建筑业）行政主管部门书面证明和竣工（交工）报告）。</w:t>
      </w:r>
    </w:p>
    <w:p w14:paraId="6D2B552C">
      <w:pPr>
        <w:snapToGrid w:val="0"/>
        <w:spacing w:line="360" w:lineRule="auto"/>
        <w:ind w:firstLine="540" w:firstLineChars="300"/>
        <w:jc w:val="left"/>
        <w:rPr>
          <w:rFonts w:ascii="宋体" w:hAnsi="宋体" w:eastAsia="宋体" w:cs="宋体"/>
          <w:sz w:val="18"/>
          <w:szCs w:val="18"/>
        </w:rPr>
      </w:pPr>
      <w:r>
        <w:rPr>
          <w:rFonts w:hint="eastAsia" w:ascii="宋体" w:hAnsi="宋体" w:eastAsia="宋体" w:cs="宋体"/>
          <w:sz w:val="18"/>
          <w:szCs w:val="18"/>
        </w:rPr>
        <w:t>如发生以上情形，谈判供应商应在投标文件中提供有关书面证明材料，投标截止日后提供的证明材料视为瞒报、漏报，将不予认可。</w:t>
      </w:r>
    </w:p>
    <w:p w14:paraId="47A0820A">
      <w:pPr>
        <w:pStyle w:val="4"/>
        <w:snapToGrid w:val="0"/>
        <w:spacing w:before="0" w:after="0" w:line="360" w:lineRule="auto"/>
        <w:rPr>
          <w:rFonts w:ascii="宋体" w:hAnsi="宋体" w:eastAsia="宋体"/>
          <w:sz w:val="21"/>
          <w:szCs w:val="21"/>
        </w:rPr>
      </w:pPr>
      <w:r>
        <w:rPr>
          <w:rFonts w:hint="eastAsia" w:ascii="宋体" w:hAnsi="宋体" w:eastAsia="宋体" w:cs="宋体"/>
          <w:bCs w:val="0"/>
          <w:sz w:val="21"/>
          <w:szCs w:val="21"/>
        </w:rPr>
        <w:t>八、</w:t>
      </w:r>
      <w:r>
        <w:rPr>
          <w:rFonts w:ascii="宋体" w:hAnsi="宋体" w:eastAsia="宋体"/>
          <w:sz w:val="21"/>
          <w:szCs w:val="21"/>
        </w:rPr>
        <w:t>报价要求</w:t>
      </w:r>
    </w:p>
    <w:p w14:paraId="4329B2CD">
      <w:pPr>
        <w:adjustRightInd w:val="0"/>
        <w:snapToGrid w:val="0"/>
        <w:spacing w:line="360" w:lineRule="auto"/>
        <w:ind w:firstLine="480"/>
        <w:rPr>
          <w:rFonts w:ascii="宋体" w:hAnsi="宋体" w:cs="宋体" w:eastAsiaTheme="minorEastAsia"/>
          <w:sz w:val="21"/>
          <w:szCs w:val="21"/>
        </w:rPr>
      </w:pPr>
      <w:r>
        <w:rPr>
          <w:rFonts w:hint="eastAsia" w:ascii="宋体" w:hAnsi="宋体" w:cs="宋体" w:eastAsiaTheme="minorEastAsia"/>
          <w:sz w:val="21"/>
          <w:szCs w:val="21"/>
        </w:rPr>
        <w:t>1.承包方式</w:t>
      </w:r>
    </w:p>
    <w:p w14:paraId="518FDA15">
      <w:pPr>
        <w:adjustRightInd w:val="0"/>
        <w:snapToGrid w:val="0"/>
        <w:spacing w:line="360" w:lineRule="auto"/>
        <w:ind w:firstLine="420" w:firstLineChars="200"/>
        <w:rPr>
          <w:rFonts w:ascii="宋体" w:hAnsi="宋体" w:cs="宋体" w:eastAsiaTheme="minorEastAsia"/>
          <w:sz w:val="21"/>
          <w:szCs w:val="21"/>
        </w:rPr>
      </w:pPr>
      <w:r>
        <w:rPr>
          <w:rFonts w:hint="eastAsia" w:ascii="宋体" w:hAnsi="宋体" w:cs="宋体" w:eastAsiaTheme="minorEastAsia"/>
          <w:sz w:val="21"/>
          <w:szCs w:val="21"/>
        </w:rPr>
        <w:t>包工、包料、包工期、包质量、包安全文明施工等。</w:t>
      </w:r>
    </w:p>
    <w:p w14:paraId="4649C99D">
      <w:pPr>
        <w:adjustRightInd w:val="0"/>
        <w:snapToGrid w:val="0"/>
        <w:spacing w:line="360" w:lineRule="auto"/>
        <w:ind w:firstLine="420" w:firstLineChars="200"/>
        <w:rPr>
          <w:rFonts w:ascii="宋体" w:hAnsi="宋体" w:cs="宋体" w:eastAsiaTheme="minorEastAsia"/>
          <w:sz w:val="21"/>
          <w:szCs w:val="21"/>
        </w:rPr>
      </w:pPr>
      <w:r>
        <w:rPr>
          <w:rFonts w:hint="eastAsia" w:ascii="宋体" w:hAnsi="宋体" w:cs="宋体" w:eastAsiaTheme="minorEastAsia"/>
          <w:sz w:val="21"/>
          <w:szCs w:val="21"/>
        </w:rPr>
        <w:t>2.计价方式</w:t>
      </w:r>
    </w:p>
    <w:p w14:paraId="754E18C8">
      <w:pPr>
        <w:adjustRightInd w:val="0"/>
        <w:snapToGrid w:val="0"/>
        <w:spacing w:line="360" w:lineRule="auto"/>
        <w:ind w:firstLine="480"/>
        <w:rPr>
          <w:rFonts w:ascii="宋体" w:hAnsi="宋体" w:cs="宋体" w:eastAsiaTheme="minorEastAsia"/>
          <w:sz w:val="21"/>
          <w:szCs w:val="21"/>
        </w:rPr>
      </w:pPr>
      <w:r>
        <w:rPr>
          <w:rFonts w:hint="eastAsia" w:ascii="宋体" w:hAnsi="宋体" w:cs="宋体" w:eastAsiaTheme="minorEastAsia"/>
          <w:sz w:val="21"/>
          <w:szCs w:val="21"/>
        </w:rPr>
        <w:t>1）采用固定综合单价计价方式。</w:t>
      </w:r>
    </w:p>
    <w:p w14:paraId="45EF6FFF">
      <w:pPr>
        <w:adjustRightInd w:val="0"/>
        <w:snapToGrid w:val="0"/>
        <w:spacing w:line="360" w:lineRule="auto"/>
        <w:ind w:firstLine="480"/>
        <w:rPr>
          <w:rFonts w:ascii="宋体" w:hAnsi="宋体" w:cs="宋体" w:eastAsiaTheme="minorEastAsia"/>
          <w:sz w:val="21"/>
          <w:szCs w:val="21"/>
        </w:rPr>
      </w:pPr>
      <w:r>
        <w:rPr>
          <w:rFonts w:hint="eastAsia" w:ascii="宋体" w:hAnsi="宋体" w:cs="宋体" w:eastAsiaTheme="minorEastAsia"/>
          <w:sz w:val="21"/>
          <w:szCs w:val="21"/>
        </w:rPr>
        <w:t>2）在合同执行期内综合单价固定不变，工程量按实结算，采购人有权单方面做出决定增加或减少或取消数量，但不得调整综合单价。引起承包总价变化，最终以结算审核的结果为准。</w:t>
      </w:r>
    </w:p>
    <w:p w14:paraId="0B66DE00">
      <w:pPr>
        <w:adjustRightInd w:val="0"/>
        <w:snapToGrid w:val="0"/>
        <w:spacing w:line="360" w:lineRule="auto"/>
        <w:ind w:firstLine="480"/>
        <w:rPr>
          <w:rFonts w:ascii="宋体" w:hAnsi="宋体" w:cs="宋体" w:eastAsiaTheme="minorEastAsia"/>
          <w:sz w:val="21"/>
          <w:szCs w:val="21"/>
        </w:rPr>
      </w:pPr>
      <w:r>
        <w:rPr>
          <w:rFonts w:hint="eastAsia" w:ascii="宋体" w:hAnsi="宋体" w:cs="宋体" w:eastAsiaTheme="minorEastAsia"/>
          <w:sz w:val="21"/>
          <w:szCs w:val="21"/>
        </w:rPr>
        <w:t>3）供应商自行踏勘现场，认真核对工程量清单中施工内容和工程量，确立合理的施工方案并充分考虑相应的措施项目及费用，由供应商自行测算并进入报价，今后不得调整，清单里所列的技术措施项目只作为施工单位的参考，供应商可根据清单里所列的项目报价并增加其认为必要的技术措施费；若今后工程实施中发生新的措施项目但响应文件未列入的项目，视作供应商在风险费或其它项目中已考虑，今后不得调整。</w:t>
      </w:r>
    </w:p>
    <w:p w14:paraId="709807E3">
      <w:pPr>
        <w:adjustRightInd w:val="0"/>
        <w:snapToGrid w:val="0"/>
        <w:spacing w:line="360" w:lineRule="auto"/>
        <w:ind w:firstLine="480"/>
        <w:rPr>
          <w:rFonts w:ascii="宋体" w:hAnsi="宋体" w:cs="宋体" w:eastAsiaTheme="minorEastAsia"/>
          <w:sz w:val="21"/>
          <w:szCs w:val="21"/>
        </w:rPr>
      </w:pPr>
      <w:r>
        <w:rPr>
          <w:rFonts w:hint="eastAsia" w:ascii="宋体" w:hAnsi="宋体" w:cs="宋体" w:eastAsiaTheme="minorEastAsia"/>
          <w:sz w:val="21"/>
          <w:szCs w:val="21"/>
        </w:rPr>
        <w:t>4）成交以后，在合同施工范围内，无论现场施工条件如何变化、设计如何变更、也无论工程量增减的幅度如何，施工组织措施费费率、规费费率、税金税率均不再调整。</w:t>
      </w:r>
    </w:p>
    <w:p w14:paraId="4BDCEBC4">
      <w:pPr>
        <w:tabs>
          <w:tab w:val="left" w:pos="0"/>
        </w:tabs>
        <w:snapToGrid w:val="0"/>
        <w:spacing w:line="360" w:lineRule="auto"/>
        <w:rPr>
          <w:rFonts w:ascii="宋体" w:hAnsi="宋体" w:cs="宋体" w:eastAsiaTheme="minorEastAsia"/>
          <w:sz w:val="21"/>
          <w:szCs w:val="21"/>
        </w:rPr>
      </w:pPr>
      <w:r>
        <w:rPr>
          <w:rFonts w:hint="eastAsia" w:ascii="宋体" w:hAnsi="宋体" w:cs="宋体" w:eastAsiaTheme="minorEastAsia"/>
          <w:sz w:val="21"/>
          <w:szCs w:val="21"/>
        </w:rPr>
        <w:t xml:space="preserve">    5）除非采购人对采购文件予以修改，供应商应按采购人提供的清单报价表中列出的工程项目和工程量填报单价和合价（如供应商提供的工程项目单项名称、项目主要特征、单位、工程量与采购人提供的有不同时以采购人提供的为准）。每一项目只允许有一个报价。任何有选择的报价将不予接受。供应商未填单价或合价的工程项目，在实施后，采购人将不予以支付，并视为该项费用已包括在其他有价款的单价或合价内。</w:t>
      </w:r>
    </w:p>
    <w:p w14:paraId="2B8622DE">
      <w:pPr>
        <w:adjustRightInd w:val="0"/>
        <w:snapToGrid w:val="0"/>
        <w:spacing w:line="360" w:lineRule="auto"/>
        <w:ind w:firstLine="480"/>
        <w:rPr>
          <w:rFonts w:ascii="宋体" w:hAnsi="宋体" w:cs="宋体" w:eastAsiaTheme="minorEastAsia"/>
          <w:sz w:val="21"/>
          <w:szCs w:val="21"/>
        </w:rPr>
      </w:pPr>
      <w:r>
        <w:rPr>
          <w:rFonts w:hint="eastAsia" w:ascii="宋体" w:hAnsi="宋体" w:cs="宋体" w:eastAsiaTheme="minorEastAsia"/>
          <w:sz w:val="21"/>
          <w:szCs w:val="21"/>
        </w:rPr>
        <w:t>3.供应商应按 “清单报价表”的要求填写相应表格，在填报价格及费用时应充分考虑国家现行技术标准、规范和施工说明要求。</w:t>
      </w:r>
    </w:p>
    <w:p w14:paraId="0E1C4286">
      <w:pPr>
        <w:tabs>
          <w:tab w:val="left" w:pos="3870"/>
          <w:tab w:val="left" w:pos="4085"/>
        </w:tabs>
        <w:snapToGrid w:val="0"/>
        <w:spacing w:line="360" w:lineRule="auto"/>
        <w:ind w:firstLine="420" w:firstLineChars="200"/>
        <w:jc w:val="left"/>
        <w:rPr>
          <w:rFonts w:ascii="宋体" w:hAnsi="宋体" w:eastAsia="宋体"/>
          <w:kern w:val="0"/>
          <w:sz w:val="21"/>
          <w:szCs w:val="21"/>
        </w:rPr>
      </w:pPr>
      <w:r>
        <w:rPr>
          <w:rFonts w:hint="eastAsia" w:ascii="宋体" w:hAnsi="宋体" w:cs="宋体" w:eastAsiaTheme="minorEastAsia"/>
          <w:sz w:val="21"/>
          <w:szCs w:val="21"/>
        </w:rPr>
        <w:t>4.工程总报价应是采购文件所确定的采购范围内全部工作内容的价格表现，包括项目实施所需的包含所有一切</w:t>
      </w:r>
      <w:r>
        <w:rPr>
          <w:rFonts w:hint="eastAsia" w:ascii="宋体" w:hAnsi="宋体" w:cs="宋体"/>
          <w:kern w:val="0"/>
          <w:sz w:val="21"/>
          <w:szCs w:val="21"/>
        </w:rPr>
        <w:t>人工费、材料费、机械费、设备的进退场费用、二次搬运费、冬雨季施工增加费、行车、行人干扰增加费、检测费、保险费、管理费、利润及各种规费、税费、安全文明施工费、采购代理服务费等完成合同所需的一切本身和不可或缺的所有工作开支、政策性文件规定及合同包含的所有风险等各项全部费用，并承担一切风险责任</w:t>
      </w:r>
      <w:r>
        <w:rPr>
          <w:rFonts w:hint="eastAsia" w:ascii="宋体" w:hAnsi="宋体" w:eastAsia="宋体"/>
          <w:kern w:val="0"/>
          <w:sz w:val="21"/>
          <w:szCs w:val="21"/>
        </w:rPr>
        <w:t>。</w:t>
      </w:r>
    </w:p>
    <w:p w14:paraId="191BE811">
      <w:pPr>
        <w:adjustRightInd w:val="0"/>
        <w:snapToGrid w:val="0"/>
        <w:spacing w:line="360" w:lineRule="auto"/>
        <w:ind w:firstLine="480"/>
        <w:rPr>
          <w:rFonts w:ascii="宋体" w:hAnsi="宋体"/>
          <w:bCs/>
          <w:sz w:val="21"/>
          <w:szCs w:val="21"/>
        </w:rPr>
      </w:pPr>
      <w:r>
        <w:rPr>
          <w:rFonts w:hint="eastAsia" w:ascii="宋体" w:hAnsi="宋体" w:cs="宋体" w:eastAsiaTheme="minorEastAsia"/>
          <w:sz w:val="21"/>
          <w:szCs w:val="21"/>
        </w:rPr>
        <w:t>5.具体采购数量按实结算，采购人有权单方面做出决定增加或减少或取消数量，但不得调整综合单价，最终以结算审核的结果为准。</w:t>
      </w:r>
    </w:p>
    <w:p w14:paraId="455109E7">
      <w:pPr>
        <w:keepNext/>
        <w:keepLines/>
        <w:tabs>
          <w:tab w:val="left" w:pos="3765"/>
        </w:tabs>
        <w:snapToGrid w:val="0"/>
        <w:spacing w:line="360" w:lineRule="auto"/>
        <w:outlineLvl w:val="1"/>
        <w:rPr>
          <w:rFonts w:ascii="宋体" w:hAnsi="宋体" w:eastAsia="宋体" w:cs="宋体"/>
          <w:b/>
          <w:sz w:val="21"/>
          <w:szCs w:val="21"/>
        </w:rPr>
      </w:pPr>
      <w:r>
        <w:rPr>
          <w:rFonts w:hint="eastAsia" w:ascii="宋体" w:hAnsi="宋体" w:eastAsia="宋体" w:cs="宋体"/>
          <w:b/>
          <w:sz w:val="21"/>
          <w:szCs w:val="21"/>
        </w:rPr>
        <w:t>九、保修要求</w:t>
      </w:r>
    </w:p>
    <w:p w14:paraId="580E8298">
      <w:pPr>
        <w:snapToGrid w:val="0"/>
        <w:spacing w:line="360" w:lineRule="auto"/>
        <w:ind w:firstLine="420" w:firstLineChars="200"/>
        <w:rPr>
          <w:rFonts w:ascii="宋体" w:hAnsi="宋体" w:eastAsia="宋体" w:cs="宋体"/>
          <w:sz w:val="21"/>
          <w:szCs w:val="21"/>
        </w:rPr>
      </w:pPr>
      <w:r>
        <w:rPr>
          <w:rFonts w:hint="eastAsia" w:ascii="宋体" w:hAnsi="宋体" w:eastAsia="宋体" w:cs="宋体"/>
          <w:sz w:val="21"/>
          <w:szCs w:val="21"/>
        </w:rPr>
        <w:t>1、成交供应商施工完毕，并在工程竣工验收合格办理移交手续之日，在签订的工程质量保修书期限内，为发包方提供免费服务。</w:t>
      </w:r>
    </w:p>
    <w:p w14:paraId="3728A79D">
      <w:pPr>
        <w:snapToGrid w:val="0"/>
        <w:spacing w:line="360" w:lineRule="auto"/>
        <w:ind w:firstLine="420" w:firstLineChars="200"/>
        <w:rPr>
          <w:rFonts w:ascii="宋体" w:hAnsi="宋体" w:eastAsia="宋体" w:cs="宋体"/>
          <w:sz w:val="21"/>
          <w:szCs w:val="21"/>
        </w:rPr>
      </w:pPr>
      <w:r>
        <w:rPr>
          <w:rFonts w:hint="eastAsia" w:ascii="宋体" w:hAnsi="宋体" w:eastAsia="宋体" w:cs="宋体"/>
          <w:sz w:val="21"/>
          <w:szCs w:val="21"/>
        </w:rPr>
        <w:t>2、中标后承包人应与发包人签订工程质量保修书，承包人在质量保修期内，按照有关法律、法规、规章的管理规定和双方约定，承担本工程质量保修责任。</w:t>
      </w:r>
    </w:p>
    <w:p w14:paraId="23FF0EB0">
      <w:pPr>
        <w:snapToGrid w:val="0"/>
        <w:spacing w:line="360" w:lineRule="auto"/>
        <w:ind w:firstLine="420" w:firstLineChars="200"/>
        <w:rPr>
          <w:rFonts w:ascii="宋体" w:hAnsi="宋体" w:eastAsia="宋体" w:cs="宋体"/>
          <w:sz w:val="21"/>
          <w:szCs w:val="21"/>
          <w:lang w:val="zh-CN"/>
        </w:rPr>
      </w:pPr>
      <w:r>
        <w:rPr>
          <w:rFonts w:hint="eastAsia" w:ascii="宋体" w:hAnsi="宋体" w:eastAsia="宋体" w:cs="宋体"/>
          <w:sz w:val="21"/>
          <w:szCs w:val="21"/>
        </w:rPr>
        <w:t>3</w:t>
      </w:r>
      <w:r>
        <w:rPr>
          <w:rFonts w:hint="eastAsia" w:ascii="宋体" w:hAnsi="宋体" w:eastAsia="宋体" w:cs="宋体"/>
          <w:sz w:val="21"/>
          <w:szCs w:val="21"/>
          <w:lang w:val="zh-CN"/>
        </w:rPr>
        <w:t>、承包人要对其所提供的施工、材料、设备及其内在工程质量负全部责任。</w:t>
      </w:r>
    </w:p>
    <w:p w14:paraId="61DE5381">
      <w:pPr>
        <w:snapToGrid w:val="0"/>
        <w:spacing w:line="360" w:lineRule="auto"/>
        <w:rPr>
          <w:rFonts w:ascii="宋体" w:hAnsi="宋体" w:eastAsia="宋体" w:cs="宋体"/>
          <w:b/>
          <w:sz w:val="21"/>
          <w:szCs w:val="21"/>
        </w:rPr>
      </w:pPr>
      <w:r>
        <w:rPr>
          <w:rFonts w:hint="eastAsia" w:ascii="宋体" w:hAnsi="宋体" w:eastAsia="宋体" w:cs="宋体"/>
          <w:b/>
          <w:sz w:val="21"/>
          <w:szCs w:val="21"/>
        </w:rPr>
        <w:t>▲十、商务要求：</w:t>
      </w:r>
    </w:p>
    <w:tbl>
      <w:tblPr>
        <w:tblStyle w:val="21"/>
        <w:tblW w:w="9277" w:type="dxa"/>
        <w:tblInd w:w="-125"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55"/>
        <w:gridCol w:w="7522"/>
      </w:tblGrid>
      <w:tr w14:paraId="19C104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7" w:hRule="atLeast"/>
        </w:trPr>
        <w:tc>
          <w:tcPr>
            <w:tcW w:w="1755" w:type="dxa"/>
            <w:tcBorders>
              <w:top w:val="single" w:color="auto" w:sz="4" w:space="0"/>
              <w:left w:val="single" w:color="auto" w:sz="4" w:space="0"/>
              <w:bottom w:val="single" w:color="auto" w:sz="4" w:space="0"/>
              <w:right w:val="single" w:color="auto" w:sz="4" w:space="0"/>
            </w:tcBorders>
            <w:vAlign w:val="center"/>
          </w:tcPr>
          <w:p w14:paraId="24746DA4">
            <w:pPr>
              <w:snapToGrid w:val="0"/>
              <w:spacing w:line="360" w:lineRule="auto"/>
              <w:jc w:val="center"/>
              <w:rPr>
                <w:rFonts w:ascii="宋体" w:hAnsi="宋体" w:eastAsia="宋体" w:cs="宋体"/>
                <w:color w:val="000000"/>
                <w:sz w:val="21"/>
                <w:szCs w:val="21"/>
              </w:rPr>
            </w:pPr>
            <w:r>
              <w:rPr>
                <w:rFonts w:hint="eastAsia" w:ascii="宋体" w:hAnsi="宋体" w:eastAsia="宋体" w:cs="宋体"/>
                <w:color w:val="000000"/>
                <w:sz w:val="21"/>
                <w:szCs w:val="21"/>
              </w:rPr>
              <w:t>工期</w:t>
            </w:r>
          </w:p>
        </w:tc>
        <w:tc>
          <w:tcPr>
            <w:tcW w:w="7522" w:type="dxa"/>
            <w:tcBorders>
              <w:top w:val="single" w:color="auto" w:sz="4" w:space="0"/>
              <w:left w:val="single" w:color="auto" w:sz="4" w:space="0"/>
              <w:bottom w:val="single" w:color="auto" w:sz="4" w:space="0"/>
              <w:right w:val="single" w:color="auto" w:sz="4" w:space="0"/>
            </w:tcBorders>
            <w:vAlign w:val="center"/>
          </w:tcPr>
          <w:p w14:paraId="0F2DD27A">
            <w:pPr>
              <w:snapToGrid w:val="0"/>
              <w:spacing w:line="360" w:lineRule="auto"/>
              <w:jc w:val="center"/>
              <w:rPr>
                <w:rFonts w:ascii="宋体" w:hAnsi="宋体" w:eastAsia="宋体" w:cs="宋体"/>
                <w:color w:val="000000"/>
                <w:sz w:val="21"/>
                <w:szCs w:val="21"/>
              </w:rPr>
            </w:pPr>
            <w:r>
              <w:rPr>
                <w:rFonts w:hint="eastAsia" w:ascii="宋体" w:hAnsi="宋体" w:eastAsia="宋体" w:cs="宋体"/>
                <w:color w:val="000000"/>
                <w:sz w:val="21"/>
                <w:szCs w:val="21"/>
              </w:rPr>
              <w:t>工期不超过</w:t>
            </w:r>
            <w:r>
              <w:rPr>
                <w:rFonts w:hint="eastAsia" w:ascii="宋体" w:hAnsi="宋体" w:eastAsia="宋体" w:cs="宋体"/>
                <w:color w:val="000000"/>
                <w:sz w:val="21"/>
                <w:szCs w:val="21"/>
                <w:lang w:val="en-US" w:eastAsia="zh-CN"/>
              </w:rPr>
              <w:t>20</w:t>
            </w:r>
            <w:r>
              <w:rPr>
                <w:rFonts w:hint="eastAsia" w:ascii="宋体" w:hAnsi="宋体" w:eastAsia="宋体" w:cs="宋体"/>
                <w:color w:val="000000"/>
                <w:sz w:val="21"/>
                <w:szCs w:val="21"/>
              </w:rPr>
              <w:t>日历天（具体开工日期由采购人确定）</w:t>
            </w:r>
          </w:p>
        </w:tc>
      </w:tr>
      <w:tr w14:paraId="5D19431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7" w:hRule="atLeast"/>
        </w:trPr>
        <w:tc>
          <w:tcPr>
            <w:tcW w:w="1755" w:type="dxa"/>
            <w:tcBorders>
              <w:top w:val="single" w:color="auto" w:sz="4" w:space="0"/>
              <w:left w:val="single" w:color="auto" w:sz="4" w:space="0"/>
              <w:bottom w:val="single" w:color="auto" w:sz="4" w:space="0"/>
              <w:right w:val="single" w:color="auto" w:sz="4" w:space="0"/>
            </w:tcBorders>
            <w:vAlign w:val="center"/>
          </w:tcPr>
          <w:p w14:paraId="5F2A7028">
            <w:pPr>
              <w:snapToGrid w:val="0"/>
              <w:spacing w:line="360" w:lineRule="auto"/>
              <w:jc w:val="center"/>
              <w:rPr>
                <w:rFonts w:ascii="宋体" w:hAnsi="宋体" w:eastAsia="宋体" w:cs="宋体"/>
                <w:color w:val="000000"/>
                <w:sz w:val="21"/>
                <w:szCs w:val="21"/>
              </w:rPr>
            </w:pPr>
            <w:r>
              <w:rPr>
                <w:rFonts w:hint="eastAsia" w:ascii="宋体" w:hAnsi="宋体" w:eastAsia="宋体" w:cs="宋体"/>
                <w:color w:val="000000"/>
                <w:sz w:val="21"/>
                <w:szCs w:val="21"/>
              </w:rPr>
              <w:t>质量目标</w:t>
            </w:r>
          </w:p>
        </w:tc>
        <w:tc>
          <w:tcPr>
            <w:tcW w:w="7522" w:type="dxa"/>
            <w:tcBorders>
              <w:top w:val="single" w:color="auto" w:sz="4" w:space="0"/>
              <w:left w:val="single" w:color="auto" w:sz="4" w:space="0"/>
              <w:bottom w:val="single" w:color="auto" w:sz="4" w:space="0"/>
              <w:right w:val="single" w:color="auto" w:sz="4" w:space="0"/>
            </w:tcBorders>
            <w:vAlign w:val="center"/>
          </w:tcPr>
          <w:p w14:paraId="15FF15E0">
            <w:pPr>
              <w:snapToGrid w:val="0"/>
              <w:spacing w:line="360" w:lineRule="auto"/>
              <w:jc w:val="center"/>
              <w:rPr>
                <w:rFonts w:ascii="宋体" w:hAnsi="宋体" w:eastAsia="宋体" w:cs="宋体"/>
                <w:color w:val="000000"/>
                <w:sz w:val="21"/>
                <w:szCs w:val="21"/>
              </w:rPr>
            </w:pPr>
            <w:r>
              <w:rPr>
                <w:rFonts w:hint="eastAsia" w:ascii="宋体" w:hAnsi="宋体" w:eastAsia="宋体" w:cs="宋体"/>
                <w:color w:val="000000"/>
                <w:sz w:val="21"/>
                <w:szCs w:val="21"/>
              </w:rPr>
              <w:t>合格</w:t>
            </w:r>
          </w:p>
        </w:tc>
      </w:tr>
      <w:tr w14:paraId="5A62690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5" w:hRule="atLeast"/>
        </w:trPr>
        <w:tc>
          <w:tcPr>
            <w:tcW w:w="1755" w:type="dxa"/>
            <w:tcBorders>
              <w:top w:val="single" w:color="auto" w:sz="4" w:space="0"/>
              <w:left w:val="single" w:color="auto" w:sz="4" w:space="0"/>
              <w:bottom w:val="single" w:color="auto" w:sz="4" w:space="0"/>
              <w:right w:val="single" w:color="auto" w:sz="4" w:space="0"/>
            </w:tcBorders>
            <w:vAlign w:val="center"/>
          </w:tcPr>
          <w:p w14:paraId="30425041">
            <w:pPr>
              <w:snapToGrid w:val="0"/>
              <w:spacing w:line="360" w:lineRule="auto"/>
              <w:jc w:val="center"/>
              <w:rPr>
                <w:rFonts w:ascii="宋体" w:hAnsi="宋体" w:eastAsia="宋体" w:cs="宋体"/>
                <w:color w:val="000000"/>
                <w:sz w:val="21"/>
                <w:szCs w:val="21"/>
              </w:rPr>
            </w:pPr>
            <w:r>
              <w:rPr>
                <w:rFonts w:hint="eastAsia" w:ascii="宋体" w:hAnsi="宋体" w:eastAsia="宋体" w:cs="宋体"/>
                <w:bCs/>
                <w:sz w:val="21"/>
                <w:szCs w:val="21"/>
              </w:rPr>
              <w:t>服务质量保证期</w:t>
            </w:r>
          </w:p>
        </w:tc>
        <w:tc>
          <w:tcPr>
            <w:tcW w:w="7522" w:type="dxa"/>
            <w:tcBorders>
              <w:top w:val="single" w:color="auto" w:sz="4" w:space="0"/>
              <w:left w:val="single" w:color="auto" w:sz="4" w:space="0"/>
              <w:bottom w:val="single" w:color="auto" w:sz="4" w:space="0"/>
              <w:right w:val="single" w:color="auto" w:sz="4" w:space="0"/>
            </w:tcBorders>
            <w:vAlign w:val="center"/>
          </w:tcPr>
          <w:p w14:paraId="30ECFF85">
            <w:pPr>
              <w:snapToGrid w:val="0"/>
              <w:spacing w:line="360" w:lineRule="auto"/>
              <w:jc w:val="center"/>
              <w:rPr>
                <w:rFonts w:ascii="宋体" w:hAnsi="宋体" w:eastAsia="宋体" w:cs="宋体"/>
                <w:color w:val="000000"/>
                <w:sz w:val="21"/>
                <w:szCs w:val="21"/>
              </w:rPr>
            </w:pPr>
            <w:r>
              <w:rPr>
                <w:rFonts w:hint="eastAsia" w:ascii="宋体" w:hAnsi="宋体" w:eastAsia="宋体" w:cs="宋体"/>
                <w:color w:val="000000"/>
                <w:sz w:val="21"/>
                <w:szCs w:val="21"/>
              </w:rPr>
              <w:t>验收合格后</w:t>
            </w:r>
            <w:r>
              <w:rPr>
                <w:rFonts w:hint="eastAsia" w:ascii="宋体" w:hAnsi="宋体" w:eastAsia="宋体" w:cs="宋体"/>
                <w:color w:val="000000"/>
                <w:sz w:val="21"/>
                <w:szCs w:val="21"/>
                <w:lang w:val="en-US" w:eastAsia="zh-CN"/>
              </w:rPr>
              <w:t>1</w:t>
            </w:r>
            <w:r>
              <w:rPr>
                <w:rFonts w:hint="eastAsia" w:ascii="宋体" w:hAnsi="宋体" w:eastAsia="宋体" w:cs="宋体"/>
                <w:color w:val="000000"/>
                <w:sz w:val="21"/>
                <w:szCs w:val="21"/>
              </w:rPr>
              <w:t>年（竣工验收报告为准）</w:t>
            </w:r>
          </w:p>
        </w:tc>
      </w:tr>
      <w:tr w14:paraId="57BB5B7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1755" w:type="dxa"/>
            <w:tcBorders>
              <w:top w:val="single" w:color="auto" w:sz="4" w:space="0"/>
              <w:left w:val="single" w:color="auto" w:sz="4" w:space="0"/>
              <w:bottom w:val="single" w:color="auto" w:sz="4" w:space="0"/>
              <w:right w:val="single" w:color="auto" w:sz="4" w:space="0"/>
            </w:tcBorders>
            <w:vAlign w:val="center"/>
          </w:tcPr>
          <w:p w14:paraId="6A99383A">
            <w:pPr>
              <w:snapToGrid w:val="0"/>
              <w:spacing w:line="360" w:lineRule="auto"/>
              <w:jc w:val="center"/>
              <w:rPr>
                <w:rFonts w:ascii="宋体" w:hAnsi="宋体" w:eastAsia="宋体" w:cs="宋体"/>
                <w:bCs/>
                <w:sz w:val="21"/>
                <w:szCs w:val="21"/>
              </w:rPr>
            </w:pPr>
            <w:r>
              <w:rPr>
                <w:rFonts w:hint="eastAsia" w:ascii="宋体" w:hAnsi="宋体" w:eastAsia="宋体" w:cs="宋体"/>
                <w:bCs/>
                <w:sz w:val="21"/>
                <w:szCs w:val="21"/>
              </w:rPr>
              <w:t>履约保证金的收取及退还</w:t>
            </w:r>
          </w:p>
        </w:tc>
        <w:tc>
          <w:tcPr>
            <w:tcW w:w="7522" w:type="dxa"/>
            <w:tcBorders>
              <w:top w:val="single" w:color="auto" w:sz="4" w:space="0"/>
              <w:left w:val="single" w:color="auto" w:sz="4" w:space="0"/>
              <w:bottom w:val="single" w:color="auto" w:sz="4" w:space="0"/>
              <w:right w:val="single" w:color="auto" w:sz="4" w:space="0"/>
            </w:tcBorders>
            <w:vAlign w:val="center"/>
          </w:tcPr>
          <w:p w14:paraId="111865CD">
            <w:pPr>
              <w:snapToGrid w:val="0"/>
              <w:spacing w:line="360" w:lineRule="auto"/>
              <w:jc w:val="left"/>
              <w:rPr>
                <w:rFonts w:ascii="宋体" w:hAnsi="宋体" w:eastAsia="宋体" w:cs="宋体"/>
                <w:sz w:val="21"/>
                <w:szCs w:val="21"/>
              </w:rPr>
            </w:pPr>
            <w:r>
              <w:rPr>
                <w:rFonts w:hint="eastAsia" w:ascii="宋体" w:hAnsi="宋体" w:eastAsia="宋体" w:cs="宋体"/>
                <w:color w:val="000000"/>
                <w:sz w:val="21"/>
                <w:szCs w:val="21"/>
              </w:rPr>
              <w:t>中标价的1% ,保留千元整数</w:t>
            </w:r>
            <w:r>
              <w:rPr>
                <w:rFonts w:hint="eastAsia" w:ascii="宋体" w:hAnsi="宋体" w:eastAsia="宋体" w:cs="宋体"/>
                <w:sz w:val="21"/>
                <w:szCs w:val="21"/>
              </w:rPr>
              <w:t>。</w:t>
            </w:r>
          </w:p>
          <w:p w14:paraId="37B66C12">
            <w:pPr>
              <w:snapToGrid w:val="0"/>
              <w:spacing w:line="360" w:lineRule="auto"/>
              <w:jc w:val="left"/>
              <w:rPr>
                <w:rFonts w:ascii="宋体" w:hAnsi="宋体" w:eastAsia="宋体" w:cs="宋体"/>
                <w:kern w:val="0"/>
                <w:sz w:val="21"/>
                <w:szCs w:val="21"/>
              </w:rPr>
            </w:pPr>
            <w:r>
              <w:rPr>
                <w:rFonts w:hint="eastAsia" w:ascii="宋体" w:hAnsi="宋体" w:eastAsia="宋体" w:cs="宋体"/>
                <w:kern w:val="0"/>
                <w:sz w:val="21"/>
                <w:szCs w:val="21"/>
              </w:rPr>
              <w:t>2、成交供应商向采购人提供履约担保，</w:t>
            </w:r>
            <w:r>
              <w:rPr>
                <w:rFonts w:hint="eastAsia" w:ascii="宋体" w:hAnsi="宋体" w:eastAsia="宋体" w:cs="宋体"/>
                <w:sz w:val="21"/>
                <w:szCs w:val="21"/>
              </w:rPr>
              <w:t>担保方式为： 转账、及采购人认可的包含形式（如银行保函、保险机构保证保险保单和融资担保公司保函 ），</w:t>
            </w:r>
            <w:r>
              <w:rPr>
                <w:rFonts w:hint="eastAsia" w:ascii="宋体" w:hAnsi="宋体"/>
                <w:sz w:val="21"/>
                <w:szCs w:val="21"/>
              </w:rPr>
              <w:t>供应商以银行、保险公司出具保函形式提交履约保证金的，采购单位不得拒收。</w:t>
            </w:r>
            <w:r>
              <w:rPr>
                <w:rFonts w:hint="eastAsia" w:ascii="宋体" w:hAnsi="宋体" w:eastAsia="宋体" w:cs="宋体"/>
                <w:kern w:val="0"/>
                <w:sz w:val="21"/>
                <w:szCs w:val="21"/>
              </w:rPr>
              <w:t>担保合同作为合同附件。</w:t>
            </w:r>
          </w:p>
          <w:p w14:paraId="2262132A">
            <w:pPr>
              <w:snapToGrid w:val="0"/>
              <w:spacing w:line="360" w:lineRule="auto"/>
              <w:jc w:val="left"/>
              <w:rPr>
                <w:rFonts w:ascii="宋体" w:hAnsi="宋体" w:eastAsia="宋体" w:cs="宋体"/>
                <w:color w:val="000000"/>
                <w:sz w:val="21"/>
                <w:szCs w:val="21"/>
              </w:rPr>
            </w:pPr>
            <w:r>
              <w:rPr>
                <w:rFonts w:hint="eastAsia" w:ascii="宋体" w:hAnsi="宋体" w:eastAsia="宋体" w:cs="宋体"/>
                <w:kern w:val="0"/>
                <w:sz w:val="21"/>
                <w:szCs w:val="21"/>
              </w:rPr>
              <w:t>3、工程通过竣工验收合格后无息退还。如成交供应商原因造成合同中止，履约担保金不返还；如成交供应商不能按谈判承诺和合同要求履约，采购人将有权扣除相应甚至全部履约保证金。</w:t>
            </w:r>
          </w:p>
        </w:tc>
      </w:tr>
      <w:tr w14:paraId="1ECD400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31" w:hRule="atLeast"/>
        </w:trPr>
        <w:tc>
          <w:tcPr>
            <w:tcW w:w="1755" w:type="dxa"/>
            <w:tcBorders>
              <w:top w:val="single" w:color="auto" w:sz="4" w:space="0"/>
              <w:left w:val="single" w:color="auto" w:sz="4" w:space="0"/>
              <w:bottom w:val="single" w:color="auto" w:sz="4" w:space="0"/>
              <w:right w:val="single" w:color="auto" w:sz="4" w:space="0"/>
            </w:tcBorders>
            <w:vAlign w:val="center"/>
          </w:tcPr>
          <w:p w14:paraId="0BA3AA19">
            <w:pPr>
              <w:snapToGrid w:val="0"/>
              <w:spacing w:line="360" w:lineRule="auto"/>
              <w:jc w:val="center"/>
              <w:rPr>
                <w:rFonts w:ascii="宋体" w:hAnsi="宋体" w:eastAsia="宋体" w:cs="宋体"/>
                <w:sz w:val="21"/>
                <w:szCs w:val="21"/>
              </w:rPr>
            </w:pPr>
            <w:r>
              <w:rPr>
                <w:rFonts w:hint="eastAsia" w:ascii="宋体" w:hAnsi="宋体" w:eastAsia="宋体" w:cs="宋体"/>
                <w:sz w:val="21"/>
                <w:szCs w:val="21"/>
              </w:rPr>
              <w:t>付款方式</w:t>
            </w:r>
          </w:p>
        </w:tc>
        <w:tc>
          <w:tcPr>
            <w:tcW w:w="7522" w:type="dxa"/>
            <w:tcBorders>
              <w:top w:val="single" w:color="auto" w:sz="4" w:space="0"/>
              <w:left w:val="single" w:color="auto" w:sz="4" w:space="0"/>
              <w:bottom w:val="single" w:color="auto" w:sz="4" w:space="0"/>
              <w:right w:val="single" w:color="auto" w:sz="4" w:space="0"/>
            </w:tcBorders>
            <w:vAlign w:val="center"/>
          </w:tcPr>
          <w:p w14:paraId="41C150A8">
            <w:pPr>
              <w:pStyle w:val="8"/>
              <w:snapToGrid w:val="0"/>
              <w:spacing w:after="0" w:line="360" w:lineRule="auto"/>
              <w:ind w:firstLine="0" w:firstLineChars="0"/>
              <w:rPr>
                <w:rFonts w:ascii="宋体" w:hAnsi="宋体" w:eastAsia="宋体" w:cs="宋体"/>
                <w:szCs w:val="21"/>
              </w:rPr>
            </w:pPr>
            <w:r>
              <w:rPr>
                <w:rFonts w:hint="eastAsia" w:ascii="宋体" w:hAnsi="宋体" w:eastAsia="宋体" w:cs="宋体"/>
                <w:kern w:val="0"/>
                <w:szCs w:val="21"/>
              </w:rPr>
              <w:t>1.</w:t>
            </w:r>
            <w:r>
              <w:rPr>
                <w:rFonts w:hint="eastAsia" w:ascii="宋体" w:hAnsi="宋体" w:eastAsia="宋体" w:cs="宋体"/>
                <w:szCs w:val="21"/>
              </w:rPr>
              <w:t>本工程预付款为中标总价的</w:t>
            </w:r>
            <w:r>
              <w:rPr>
                <w:rFonts w:hint="eastAsia" w:ascii="宋体" w:hAnsi="宋体" w:eastAsia="宋体" w:cs="宋体"/>
                <w:szCs w:val="21"/>
                <w:lang w:val="en-US" w:eastAsia="zh-CN"/>
              </w:rPr>
              <w:t>4</w:t>
            </w:r>
            <w:r>
              <w:rPr>
                <w:rFonts w:hint="eastAsia" w:ascii="宋体" w:hAnsi="宋体" w:cs="宋体"/>
                <w:szCs w:val="21"/>
              </w:rPr>
              <w:t>0%（包含工资性工程预付款及工资性工程进度款、安全文明施工费），合同签订后7个工作日内支付</w:t>
            </w:r>
            <w:r>
              <w:rPr>
                <w:rFonts w:hint="eastAsia" w:ascii="宋体" w:hAnsi="宋体" w:eastAsia="宋体" w:cs="宋体"/>
                <w:szCs w:val="21"/>
              </w:rPr>
              <w:t>；工程施工期间按月支付</w:t>
            </w:r>
            <w:r>
              <w:rPr>
                <w:rFonts w:hint="eastAsia" w:ascii="宋体" w:hAnsi="宋体" w:cs="宋体"/>
                <w:bCs/>
                <w:szCs w:val="21"/>
                <w:u w:val="single"/>
              </w:rPr>
              <w:t>量工程量价款的</w:t>
            </w:r>
            <w:r>
              <w:rPr>
                <w:rFonts w:hint="eastAsia" w:ascii="宋体" w:hAnsi="宋体"/>
                <w:bCs/>
                <w:szCs w:val="21"/>
                <w:u w:val="single"/>
              </w:rPr>
              <w:t>80</w:t>
            </w:r>
            <w:r>
              <w:rPr>
                <w:rFonts w:ascii="宋体" w:hAnsi="宋体"/>
                <w:bCs/>
                <w:szCs w:val="21"/>
                <w:u w:val="single"/>
              </w:rPr>
              <w:t>%</w:t>
            </w:r>
            <w:r>
              <w:rPr>
                <w:rFonts w:hint="eastAsia" w:ascii="宋体" w:hAnsi="宋体" w:cs="宋体"/>
                <w:bCs/>
                <w:szCs w:val="21"/>
                <w:u w:val="single"/>
              </w:rPr>
              <w:t>工程价款（</w:t>
            </w:r>
            <w:r>
              <w:rPr>
                <w:rFonts w:hint="eastAsia" w:cs="宋体"/>
                <w:bCs/>
                <w:i/>
                <w:szCs w:val="21"/>
                <w:u w:val="single"/>
              </w:rPr>
              <w:t>含预付款，即当期实际支付工程款为计量工程量价款的</w:t>
            </w:r>
            <w:r>
              <w:rPr>
                <w:rFonts w:hint="eastAsia" w:cs="宋体" w:eastAsiaTheme="minorEastAsia"/>
                <w:bCs/>
                <w:i/>
                <w:szCs w:val="21"/>
                <w:u w:val="single"/>
              </w:rPr>
              <w:t>50</w:t>
            </w:r>
            <w:r>
              <w:rPr>
                <w:rFonts w:hint="eastAsia" w:cs="宋体"/>
                <w:bCs/>
                <w:i/>
                <w:szCs w:val="21"/>
                <w:u w:val="single"/>
              </w:rPr>
              <w:t>%）</w:t>
            </w:r>
            <w:r>
              <w:rPr>
                <w:rFonts w:hint="eastAsia" w:ascii="宋体" w:hAnsi="宋体" w:cs="宋体"/>
                <w:bCs/>
                <w:szCs w:val="21"/>
                <w:u w:val="single"/>
              </w:rPr>
              <w:t>。</w:t>
            </w:r>
            <w:r>
              <w:rPr>
                <w:rFonts w:hint="eastAsia" w:ascii="宋体" w:hAnsi="宋体" w:eastAsia="宋体" w:cs="宋体"/>
                <w:szCs w:val="21"/>
              </w:rPr>
              <w:t>待工程完工验收合格后，付至合格工程量工程款的85%（含</w:t>
            </w:r>
            <w:r>
              <w:rPr>
                <w:rFonts w:hint="eastAsia" w:ascii="宋体" w:hAnsi="宋体" w:eastAsia="宋体" w:cs="宋体"/>
                <w:szCs w:val="21"/>
                <w:lang w:val="en-US" w:eastAsia="zh-CN"/>
              </w:rPr>
              <w:t>4</w:t>
            </w:r>
            <w:r>
              <w:rPr>
                <w:rFonts w:hint="eastAsia" w:ascii="宋体" w:hAnsi="宋体" w:cs="宋体"/>
                <w:szCs w:val="21"/>
              </w:rPr>
              <w:t>0%</w:t>
            </w:r>
            <w:r>
              <w:rPr>
                <w:rFonts w:hint="eastAsia" w:ascii="宋体" w:hAnsi="宋体" w:eastAsia="宋体" w:cs="宋体"/>
                <w:szCs w:val="21"/>
              </w:rPr>
              <w:t>预付款）；发包人收到成交供应商递交的竣工结算报告及完整的结算资料，经有资质的工程造价咨询机构审定后，付至工程结算价的 98.5％；剩余1.5%（不计息）在缺陷责任期满后工程无质量问题、成交供应商无违约行为的情况下</w:t>
            </w:r>
            <w:r>
              <w:rPr>
                <w:rFonts w:hint="eastAsia" w:ascii="宋体" w:hAnsi="宋体" w:cs="宋体"/>
                <w:szCs w:val="21"/>
              </w:rPr>
              <w:t>7个工作日</w:t>
            </w:r>
            <w:r>
              <w:rPr>
                <w:rFonts w:hint="eastAsia" w:ascii="宋体" w:hAnsi="宋体" w:eastAsia="宋体" w:cs="宋体"/>
                <w:szCs w:val="21"/>
              </w:rPr>
              <w:t>内付清。供应商收取每期工程款时应开具正式发票，并附相应的支持性证明文件。</w:t>
            </w:r>
          </w:p>
          <w:p w14:paraId="56AD5F30">
            <w:pPr>
              <w:snapToGrid w:val="0"/>
              <w:spacing w:line="360" w:lineRule="auto"/>
              <w:jc w:val="left"/>
              <w:rPr>
                <w:rFonts w:ascii="宋体" w:hAnsi="宋体" w:eastAsia="宋体" w:cs="宋体"/>
                <w:kern w:val="0"/>
                <w:sz w:val="21"/>
                <w:szCs w:val="21"/>
              </w:rPr>
            </w:pPr>
            <w:r>
              <w:rPr>
                <w:rFonts w:hint="eastAsia" w:ascii="宋体" w:hAnsi="宋体" w:eastAsia="宋体" w:cs="宋体"/>
                <w:kern w:val="0"/>
                <w:sz w:val="21"/>
                <w:szCs w:val="21"/>
              </w:rPr>
              <w:t>2.供应商须开具正规合法的建筑增值税发票提供给采购人。</w:t>
            </w:r>
            <w:bookmarkStart w:id="522" w:name="_GoBack"/>
            <w:bookmarkEnd w:id="522"/>
          </w:p>
          <w:p w14:paraId="3DC7BD87">
            <w:pPr>
              <w:snapToGrid w:val="0"/>
              <w:spacing w:line="360" w:lineRule="auto"/>
              <w:jc w:val="left"/>
              <w:rPr>
                <w:rFonts w:ascii="宋体" w:hAnsi="宋体" w:eastAsia="宋体" w:cs="宋体"/>
                <w:sz w:val="21"/>
                <w:szCs w:val="21"/>
              </w:rPr>
            </w:pPr>
            <w:r>
              <w:rPr>
                <w:rFonts w:hint="eastAsia" w:ascii="宋体" w:hAnsi="宋体" w:eastAsia="宋体" w:cs="宋体"/>
                <w:kern w:val="0"/>
                <w:sz w:val="21"/>
                <w:szCs w:val="21"/>
              </w:rPr>
              <w:t>3.在项目实施中采购人有工作量增减需要的，在竣工结算时以出具的有效联系单为准，列入竣工结算款项，无甲方书面明确要求的，乙方不得擅自调整或变更。</w:t>
            </w:r>
          </w:p>
        </w:tc>
      </w:tr>
    </w:tbl>
    <w:p w14:paraId="1443BDD9">
      <w:pPr>
        <w:widowControl/>
        <w:snapToGrid w:val="0"/>
        <w:spacing w:line="400" w:lineRule="exact"/>
        <w:ind w:firstLine="2881" w:firstLineChars="900"/>
        <w:rPr>
          <w:b/>
          <w:sz w:val="32"/>
          <w:szCs w:val="32"/>
        </w:rPr>
      </w:pPr>
    </w:p>
    <w:p w14:paraId="4D8EC4FF">
      <w:pPr>
        <w:widowControl/>
        <w:jc w:val="left"/>
        <w:rPr>
          <w:b/>
          <w:sz w:val="32"/>
          <w:szCs w:val="32"/>
        </w:rPr>
      </w:pPr>
      <w:r>
        <w:rPr>
          <w:b/>
          <w:sz w:val="32"/>
          <w:szCs w:val="32"/>
        </w:rPr>
        <w:br w:type="page"/>
      </w:r>
    </w:p>
    <w:p w14:paraId="23D40186">
      <w:pPr>
        <w:widowControl/>
        <w:snapToGrid w:val="0"/>
        <w:spacing w:line="400" w:lineRule="exact"/>
        <w:ind w:firstLine="2881" w:firstLineChars="900"/>
        <w:rPr>
          <w:rFonts w:ascii="宋体"/>
          <w:sz w:val="32"/>
          <w:szCs w:val="32"/>
        </w:rPr>
      </w:pPr>
      <w:r>
        <w:rPr>
          <w:rFonts w:hint="eastAsia"/>
          <w:b/>
          <w:sz w:val="32"/>
          <w:szCs w:val="32"/>
        </w:rPr>
        <w:t xml:space="preserve">第三部分 </w:t>
      </w:r>
      <w:bookmarkEnd w:id="28"/>
      <w:bookmarkStart w:id="29" w:name="_Toc257923936"/>
      <w:r>
        <w:rPr>
          <w:rFonts w:hint="eastAsia" w:eastAsia="宋体"/>
          <w:b/>
          <w:sz w:val="32"/>
          <w:szCs w:val="32"/>
        </w:rPr>
        <w:t>供应商</w:t>
      </w:r>
      <w:r>
        <w:rPr>
          <w:rFonts w:hint="eastAsia"/>
          <w:b/>
          <w:sz w:val="32"/>
          <w:szCs w:val="32"/>
        </w:rPr>
        <w:t>须知</w:t>
      </w:r>
    </w:p>
    <w:p w14:paraId="1D91B01B">
      <w:pPr>
        <w:adjustRightInd w:val="0"/>
        <w:snapToGrid w:val="0"/>
        <w:jc w:val="center"/>
        <w:outlineLvl w:val="0"/>
        <w:rPr>
          <w:b/>
          <w:sz w:val="32"/>
          <w:szCs w:val="32"/>
        </w:rPr>
      </w:pPr>
      <w:bookmarkStart w:id="30" w:name="_Toc306901445"/>
      <w:bookmarkStart w:id="31" w:name="_Toc283973075"/>
      <w:bookmarkStart w:id="32" w:name="_Toc302983094"/>
      <w:r>
        <w:rPr>
          <w:rFonts w:hint="eastAsia"/>
          <w:b/>
          <w:sz w:val="32"/>
          <w:szCs w:val="32"/>
        </w:rPr>
        <w:t xml:space="preserve"> 前附表</w:t>
      </w:r>
      <w:bookmarkEnd w:id="29"/>
      <w:bookmarkEnd w:id="30"/>
      <w:bookmarkEnd w:id="31"/>
      <w:bookmarkEnd w:id="32"/>
    </w:p>
    <w:tbl>
      <w:tblPr>
        <w:tblStyle w:val="21"/>
        <w:tblW w:w="9679" w:type="dxa"/>
        <w:tblInd w:w="0"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675"/>
        <w:gridCol w:w="1843"/>
        <w:gridCol w:w="7161"/>
      </w:tblGrid>
      <w:tr w14:paraId="47B54A4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27" w:hRule="atLeast"/>
        </w:trPr>
        <w:tc>
          <w:tcPr>
            <w:tcW w:w="675" w:type="dxa"/>
            <w:vAlign w:val="center"/>
          </w:tcPr>
          <w:p w14:paraId="6C98C047">
            <w:pPr>
              <w:spacing w:line="300" w:lineRule="exact"/>
              <w:jc w:val="center"/>
              <w:rPr>
                <w:rFonts w:ascii="宋体" w:hAnsi="宋体"/>
                <w:b/>
                <w:sz w:val="21"/>
                <w:szCs w:val="21"/>
              </w:rPr>
            </w:pPr>
            <w:r>
              <w:rPr>
                <w:rFonts w:hint="eastAsia" w:ascii="宋体" w:hAnsi="宋体"/>
                <w:b/>
                <w:sz w:val="21"/>
                <w:szCs w:val="21"/>
              </w:rPr>
              <w:t>序号</w:t>
            </w:r>
          </w:p>
        </w:tc>
        <w:tc>
          <w:tcPr>
            <w:tcW w:w="1843" w:type="dxa"/>
            <w:vAlign w:val="center"/>
          </w:tcPr>
          <w:p w14:paraId="74FB0BF4">
            <w:pPr>
              <w:spacing w:line="300" w:lineRule="exact"/>
              <w:ind w:firstLine="210" w:firstLineChars="100"/>
              <w:jc w:val="center"/>
              <w:rPr>
                <w:rFonts w:ascii="宋体" w:hAnsi="宋体"/>
                <w:b/>
                <w:sz w:val="21"/>
                <w:szCs w:val="21"/>
              </w:rPr>
            </w:pPr>
            <w:r>
              <w:rPr>
                <w:rFonts w:hint="eastAsia" w:ascii="宋体" w:hAnsi="宋体"/>
                <w:b/>
                <w:sz w:val="21"/>
                <w:szCs w:val="21"/>
              </w:rPr>
              <w:t>项   目</w:t>
            </w:r>
          </w:p>
        </w:tc>
        <w:tc>
          <w:tcPr>
            <w:tcW w:w="7161" w:type="dxa"/>
            <w:vAlign w:val="center"/>
          </w:tcPr>
          <w:p w14:paraId="64C69AA9">
            <w:pPr>
              <w:spacing w:line="300" w:lineRule="exact"/>
              <w:jc w:val="center"/>
              <w:rPr>
                <w:rFonts w:ascii="宋体" w:hAnsi="宋体"/>
                <w:b/>
                <w:sz w:val="21"/>
                <w:szCs w:val="21"/>
              </w:rPr>
            </w:pPr>
            <w:r>
              <w:rPr>
                <w:rFonts w:hint="eastAsia" w:ascii="宋体" w:hAnsi="宋体"/>
                <w:b/>
                <w:sz w:val="21"/>
                <w:szCs w:val="21"/>
              </w:rPr>
              <w:t>内                容</w:t>
            </w:r>
          </w:p>
        </w:tc>
      </w:tr>
      <w:tr w14:paraId="611C18D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528" w:hRule="atLeast"/>
        </w:trPr>
        <w:tc>
          <w:tcPr>
            <w:tcW w:w="675" w:type="dxa"/>
            <w:vAlign w:val="center"/>
          </w:tcPr>
          <w:p w14:paraId="41B40AD2">
            <w:pPr>
              <w:spacing w:line="300" w:lineRule="exact"/>
              <w:jc w:val="center"/>
              <w:rPr>
                <w:rFonts w:ascii="宋体" w:hAnsi="宋体"/>
                <w:sz w:val="21"/>
                <w:szCs w:val="21"/>
              </w:rPr>
            </w:pPr>
            <w:r>
              <w:rPr>
                <w:rFonts w:hint="eastAsia" w:ascii="宋体" w:hAnsi="宋体"/>
                <w:sz w:val="21"/>
                <w:szCs w:val="21"/>
              </w:rPr>
              <w:t>1</w:t>
            </w:r>
          </w:p>
        </w:tc>
        <w:tc>
          <w:tcPr>
            <w:tcW w:w="1843" w:type="dxa"/>
            <w:vAlign w:val="center"/>
          </w:tcPr>
          <w:p w14:paraId="100EC20A">
            <w:pPr>
              <w:spacing w:line="300" w:lineRule="exact"/>
              <w:jc w:val="center"/>
              <w:rPr>
                <w:rFonts w:ascii="宋体" w:hAnsi="宋体"/>
                <w:bCs/>
                <w:sz w:val="21"/>
                <w:szCs w:val="21"/>
              </w:rPr>
            </w:pPr>
            <w:r>
              <w:rPr>
                <w:rFonts w:hint="eastAsia" w:ascii="宋体" w:hAnsi="宋体"/>
                <w:bCs/>
                <w:sz w:val="21"/>
                <w:szCs w:val="21"/>
              </w:rPr>
              <w:t>项目名称</w:t>
            </w:r>
          </w:p>
        </w:tc>
        <w:tc>
          <w:tcPr>
            <w:tcW w:w="7161" w:type="dxa"/>
            <w:vAlign w:val="center"/>
          </w:tcPr>
          <w:p w14:paraId="7BCB9BFB">
            <w:pPr>
              <w:spacing w:line="300" w:lineRule="exact"/>
              <w:ind w:left="-4" w:leftChars="-1" w:firstLine="2" w:firstLineChars="1"/>
              <w:rPr>
                <w:rFonts w:hint="eastAsia" w:ascii="宋体" w:hAnsi="宋体" w:eastAsia="宋体"/>
                <w:bCs/>
                <w:sz w:val="21"/>
                <w:szCs w:val="21"/>
                <w:lang w:eastAsia="zh-CN"/>
              </w:rPr>
            </w:pPr>
            <w:r>
              <w:rPr>
                <w:rFonts w:hint="eastAsia" w:ascii="宋体" w:hAnsi="宋体" w:eastAsia="宋体"/>
                <w:bCs/>
                <w:sz w:val="21"/>
                <w:szCs w:val="21"/>
                <w:lang w:eastAsia="zh-CN"/>
              </w:rPr>
              <w:t>白塔镇景园村关金生态停车场建设项目</w:t>
            </w:r>
          </w:p>
        </w:tc>
      </w:tr>
      <w:tr w14:paraId="19F4481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528" w:hRule="atLeast"/>
        </w:trPr>
        <w:tc>
          <w:tcPr>
            <w:tcW w:w="675" w:type="dxa"/>
            <w:vAlign w:val="center"/>
          </w:tcPr>
          <w:p w14:paraId="15313C1A">
            <w:pPr>
              <w:spacing w:line="300" w:lineRule="exact"/>
              <w:jc w:val="center"/>
              <w:rPr>
                <w:rFonts w:ascii="宋体" w:hAnsi="宋体"/>
                <w:sz w:val="21"/>
                <w:szCs w:val="21"/>
              </w:rPr>
            </w:pPr>
            <w:r>
              <w:rPr>
                <w:rFonts w:hint="eastAsia" w:ascii="宋体" w:hAnsi="宋体"/>
                <w:sz w:val="21"/>
                <w:szCs w:val="21"/>
              </w:rPr>
              <w:t>2</w:t>
            </w:r>
          </w:p>
        </w:tc>
        <w:tc>
          <w:tcPr>
            <w:tcW w:w="1843" w:type="dxa"/>
            <w:vAlign w:val="center"/>
          </w:tcPr>
          <w:p w14:paraId="046D9EA9">
            <w:pPr>
              <w:spacing w:line="300" w:lineRule="exact"/>
              <w:jc w:val="center"/>
              <w:rPr>
                <w:rFonts w:ascii="宋体" w:hAnsi="宋体"/>
                <w:bCs/>
                <w:sz w:val="21"/>
                <w:szCs w:val="21"/>
              </w:rPr>
            </w:pPr>
            <w:r>
              <w:rPr>
                <w:rFonts w:hint="eastAsia" w:ascii="宋体" w:hAnsi="宋体"/>
                <w:bCs/>
                <w:sz w:val="21"/>
                <w:szCs w:val="21"/>
              </w:rPr>
              <w:t>采购内容</w:t>
            </w:r>
          </w:p>
        </w:tc>
        <w:tc>
          <w:tcPr>
            <w:tcW w:w="7161" w:type="dxa"/>
            <w:vAlign w:val="center"/>
          </w:tcPr>
          <w:p w14:paraId="6D9781D3">
            <w:pPr>
              <w:spacing w:line="300" w:lineRule="exact"/>
              <w:ind w:left="-4" w:leftChars="-1" w:firstLine="2" w:firstLineChars="1"/>
              <w:rPr>
                <w:rFonts w:ascii="宋体" w:hAnsi="宋体"/>
                <w:bCs/>
                <w:sz w:val="21"/>
                <w:szCs w:val="21"/>
              </w:rPr>
            </w:pPr>
            <w:r>
              <w:rPr>
                <w:rFonts w:hint="eastAsia" w:ascii="宋体" w:hAnsi="宋体"/>
                <w:bCs/>
                <w:sz w:val="21"/>
                <w:szCs w:val="21"/>
              </w:rPr>
              <w:t>详见“第二部分采购需求”内容</w:t>
            </w:r>
          </w:p>
        </w:tc>
      </w:tr>
      <w:tr w14:paraId="1815CCD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528" w:hRule="atLeast"/>
        </w:trPr>
        <w:tc>
          <w:tcPr>
            <w:tcW w:w="675" w:type="dxa"/>
            <w:vAlign w:val="center"/>
          </w:tcPr>
          <w:p w14:paraId="7816445C">
            <w:pPr>
              <w:spacing w:line="300" w:lineRule="exact"/>
              <w:jc w:val="center"/>
              <w:rPr>
                <w:rFonts w:ascii="宋体" w:hAnsi="宋体"/>
                <w:sz w:val="21"/>
                <w:szCs w:val="21"/>
              </w:rPr>
            </w:pPr>
            <w:r>
              <w:rPr>
                <w:rFonts w:hint="eastAsia" w:ascii="宋体" w:hAnsi="宋体"/>
                <w:sz w:val="21"/>
                <w:szCs w:val="21"/>
              </w:rPr>
              <w:t>3</w:t>
            </w:r>
          </w:p>
        </w:tc>
        <w:tc>
          <w:tcPr>
            <w:tcW w:w="1843" w:type="dxa"/>
            <w:vAlign w:val="center"/>
          </w:tcPr>
          <w:p w14:paraId="54BC5261">
            <w:pPr>
              <w:spacing w:line="300" w:lineRule="exact"/>
              <w:jc w:val="center"/>
              <w:rPr>
                <w:rFonts w:ascii="宋体" w:hAnsi="宋体"/>
                <w:bCs/>
                <w:sz w:val="21"/>
                <w:szCs w:val="21"/>
              </w:rPr>
            </w:pPr>
            <w:r>
              <w:rPr>
                <w:rFonts w:hint="eastAsia" w:ascii="宋体" w:hAnsi="宋体"/>
                <w:bCs/>
                <w:sz w:val="21"/>
                <w:szCs w:val="21"/>
              </w:rPr>
              <w:t>采购方式</w:t>
            </w:r>
          </w:p>
        </w:tc>
        <w:tc>
          <w:tcPr>
            <w:tcW w:w="7161" w:type="dxa"/>
            <w:vAlign w:val="center"/>
          </w:tcPr>
          <w:p w14:paraId="57536510">
            <w:pPr>
              <w:spacing w:line="300" w:lineRule="exact"/>
              <w:rPr>
                <w:rFonts w:ascii="宋体" w:hAnsi="宋体" w:eastAsia="宋体"/>
                <w:bCs/>
                <w:sz w:val="21"/>
                <w:szCs w:val="21"/>
              </w:rPr>
            </w:pPr>
            <w:r>
              <w:rPr>
                <w:rFonts w:hint="eastAsia" w:ascii="宋体" w:hAnsi="宋体"/>
                <w:bCs/>
                <w:sz w:val="21"/>
                <w:szCs w:val="21"/>
              </w:rPr>
              <w:t>竞争性谈判</w:t>
            </w:r>
          </w:p>
        </w:tc>
      </w:tr>
      <w:tr w14:paraId="1558D36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28" w:hRule="atLeast"/>
        </w:trPr>
        <w:tc>
          <w:tcPr>
            <w:tcW w:w="675" w:type="dxa"/>
            <w:vAlign w:val="center"/>
          </w:tcPr>
          <w:p w14:paraId="319889B3">
            <w:pPr>
              <w:spacing w:line="300" w:lineRule="exact"/>
              <w:jc w:val="center"/>
              <w:rPr>
                <w:rFonts w:ascii="宋体" w:hAnsi="宋体"/>
                <w:sz w:val="21"/>
                <w:szCs w:val="21"/>
                <w:highlight w:val="yellow"/>
              </w:rPr>
            </w:pPr>
            <w:r>
              <w:rPr>
                <w:rFonts w:hint="eastAsia" w:ascii="宋体" w:hAnsi="宋体"/>
                <w:sz w:val="21"/>
                <w:szCs w:val="21"/>
              </w:rPr>
              <w:t>4</w:t>
            </w:r>
          </w:p>
        </w:tc>
        <w:tc>
          <w:tcPr>
            <w:tcW w:w="1843" w:type="dxa"/>
            <w:vAlign w:val="center"/>
          </w:tcPr>
          <w:p w14:paraId="53A53FC0">
            <w:pPr>
              <w:spacing w:line="300" w:lineRule="exact"/>
              <w:jc w:val="center"/>
              <w:rPr>
                <w:rFonts w:ascii="宋体" w:hAnsi="宋体" w:eastAsia="宋体"/>
                <w:bCs/>
                <w:sz w:val="21"/>
                <w:szCs w:val="21"/>
              </w:rPr>
            </w:pPr>
            <w:r>
              <w:rPr>
                <w:rFonts w:hint="eastAsia" w:ascii="宋体" w:hAnsi="宋体"/>
                <w:b/>
                <w:sz w:val="21"/>
                <w:szCs w:val="21"/>
              </w:rPr>
              <w:t>▲</w:t>
            </w:r>
            <w:r>
              <w:rPr>
                <w:rFonts w:hint="eastAsia" w:ascii="宋体" w:hAnsi="宋体"/>
                <w:bCs/>
                <w:sz w:val="21"/>
                <w:szCs w:val="21"/>
              </w:rPr>
              <w:t>采购工期</w:t>
            </w:r>
          </w:p>
        </w:tc>
        <w:tc>
          <w:tcPr>
            <w:tcW w:w="7161" w:type="dxa"/>
            <w:vAlign w:val="center"/>
          </w:tcPr>
          <w:p w14:paraId="0DE36FE6">
            <w:pPr>
              <w:spacing w:line="300" w:lineRule="exact"/>
              <w:ind w:left="-4" w:leftChars="-1" w:firstLine="2" w:firstLineChars="1"/>
              <w:rPr>
                <w:rFonts w:ascii="宋体" w:hAnsi="宋体" w:eastAsia="宋体"/>
                <w:bCs/>
                <w:sz w:val="21"/>
                <w:szCs w:val="21"/>
              </w:rPr>
            </w:pPr>
            <w:r>
              <w:rPr>
                <w:rFonts w:hint="eastAsia" w:ascii="宋体" w:hAnsi="宋体" w:eastAsia="宋体" w:cs="宋体"/>
                <w:kern w:val="0"/>
                <w:sz w:val="21"/>
                <w:szCs w:val="21"/>
              </w:rPr>
              <w:t>不超过</w:t>
            </w:r>
            <w:r>
              <w:rPr>
                <w:rFonts w:hint="eastAsia" w:ascii="宋体" w:hAnsi="宋体" w:eastAsia="宋体" w:cs="宋体"/>
                <w:kern w:val="0"/>
                <w:sz w:val="21"/>
                <w:szCs w:val="21"/>
                <w:lang w:val="en-US" w:eastAsia="zh-CN"/>
              </w:rPr>
              <w:t>20</w:t>
            </w:r>
            <w:r>
              <w:rPr>
                <w:rFonts w:hint="eastAsia" w:ascii="宋体" w:hAnsi="宋体" w:eastAsia="宋体" w:cs="宋体"/>
                <w:kern w:val="0"/>
                <w:sz w:val="21"/>
                <w:szCs w:val="21"/>
              </w:rPr>
              <w:t>日历天</w:t>
            </w:r>
          </w:p>
        </w:tc>
      </w:tr>
      <w:tr w14:paraId="155B492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9" w:hRule="atLeast"/>
        </w:trPr>
        <w:tc>
          <w:tcPr>
            <w:tcW w:w="675" w:type="dxa"/>
            <w:vAlign w:val="center"/>
          </w:tcPr>
          <w:p w14:paraId="0D82EC6B">
            <w:pPr>
              <w:spacing w:line="300" w:lineRule="exact"/>
              <w:jc w:val="center"/>
              <w:rPr>
                <w:rFonts w:ascii="宋体" w:hAnsi="宋体" w:eastAsia="宋体"/>
                <w:sz w:val="21"/>
                <w:szCs w:val="21"/>
              </w:rPr>
            </w:pPr>
            <w:r>
              <w:rPr>
                <w:rFonts w:hint="eastAsia" w:ascii="宋体" w:hAnsi="宋体"/>
                <w:sz w:val="21"/>
                <w:szCs w:val="21"/>
              </w:rPr>
              <w:t>5</w:t>
            </w:r>
          </w:p>
        </w:tc>
        <w:tc>
          <w:tcPr>
            <w:tcW w:w="1843" w:type="dxa"/>
            <w:vAlign w:val="center"/>
          </w:tcPr>
          <w:p w14:paraId="79523F14">
            <w:pPr>
              <w:spacing w:line="300" w:lineRule="exact"/>
              <w:jc w:val="center"/>
              <w:rPr>
                <w:rFonts w:ascii="宋体" w:hAnsi="宋体"/>
                <w:bCs/>
                <w:sz w:val="21"/>
                <w:szCs w:val="21"/>
              </w:rPr>
            </w:pPr>
            <w:r>
              <w:rPr>
                <w:rFonts w:hint="eastAsia" w:ascii="宋体" w:hAnsi="宋体" w:eastAsia="宋体"/>
                <w:bCs/>
                <w:sz w:val="21"/>
                <w:szCs w:val="21"/>
              </w:rPr>
              <w:t>谈判</w:t>
            </w:r>
            <w:r>
              <w:rPr>
                <w:rFonts w:hint="eastAsia" w:ascii="宋体" w:hAnsi="宋体"/>
                <w:bCs/>
                <w:sz w:val="21"/>
                <w:szCs w:val="21"/>
              </w:rPr>
              <w:t>响应文件有效期</w:t>
            </w:r>
          </w:p>
        </w:tc>
        <w:tc>
          <w:tcPr>
            <w:tcW w:w="7161" w:type="dxa"/>
            <w:vAlign w:val="center"/>
          </w:tcPr>
          <w:p w14:paraId="1B3336A3">
            <w:pPr>
              <w:pStyle w:val="18"/>
              <w:snapToGrid w:val="0"/>
              <w:spacing w:line="300" w:lineRule="exact"/>
              <w:rPr>
                <w:rFonts w:hint="default"/>
                <w:bCs/>
                <w:sz w:val="21"/>
                <w:szCs w:val="21"/>
              </w:rPr>
            </w:pPr>
            <w:r>
              <w:rPr>
                <w:rFonts w:eastAsia="宋体"/>
                <w:bCs/>
                <w:sz w:val="21"/>
                <w:szCs w:val="21"/>
              </w:rPr>
              <w:t>谈判</w:t>
            </w:r>
            <w:r>
              <w:rPr>
                <w:bCs/>
                <w:sz w:val="21"/>
                <w:szCs w:val="21"/>
              </w:rPr>
              <w:t>响应有效期为90天，</w:t>
            </w:r>
            <w:r>
              <w:rPr>
                <w:rFonts w:eastAsia="宋体"/>
                <w:bCs/>
                <w:sz w:val="21"/>
                <w:szCs w:val="21"/>
              </w:rPr>
              <w:t>谈判</w:t>
            </w:r>
            <w:r>
              <w:rPr>
                <w:bCs/>
                <w:sz w:val="21"/>
                <w:szCs w:val="21"/>
              </w:rPr>
              <w:t>响应有效期从提交</w:t>
            </w:r>
            <w:r>
              <w:rPr>
                <w:rFonts w:eastAsia="宋体"/>
                <w:bCs/>
                <w:sz w:val="21"/>
                <w:szCs w:val="21"/>
              </w:rPr>
              <w:t>谈判</w:t>
            </w:r>
            <w:r>
              <w:rPr>
                <w:bCs/>
                <w:sz w:val="21"/>
                <w:szCs w:val="21"/>
              </w:rPr>
              <w:t>响应文件的截止之日起算。</w:t>
            </w:r>
          </w:p>
        </w:tc>
      </w:tr>
      <w:tr w14:paraId="5BAA9DF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065" w:hRule="atLeast"/>
        </w:trPr>
        <w:tc>
          <w:tcPr>
            <w:tcW w:w="675" w:type="dxa"/>
            <w:vAlign w:val="center"/>
          </w:tcPr>
          <w:p w14:paraId="28832C31">
            <w:pPr>
              <w:spacing w:line="300" w:lineRule="exact"/>
              <w:jc w:val="center"/>
              <w:rPr>
                <w:rFonts w:ascii="宋体" w:hAnsi="宋体" w:eastAsia="宋体"/>
                <w:sz w:val="21"/>
                <w:szCs w:val="21"/>
              </w:rPr>
            </w:pPr>
            <w:r>
              <w:rPr>
                <w:rFonts w:hint="eastAsia" w:ascii="宋体" w:hAnsi="宋体"/>
                <w:sz w:val="21"/>
                <w:szCs w:val="21"/>
              </w:rPr>
              <w:t>6</w:t>
            </w:r>
          </w:p>
        </w:tc>
        <w:tc>
          <w:tcPr>
            <w:tcW w:w="1843" w:type="dxa"/>
            <w:vAlign w:val="center"/>
          </w:tcPr>
          <w:p w14:paraId="5DBCCDBD">
            <w:pPr>
              <w:spacing w:line="300" w:lineRule="exact"/>
              <w:jc w:val="center"/>
              <w:rPr>
                <w:rFonts w:ascii="宋体" w:hAnsi="宋体" w:eastAsia="宋体"/>
                <w:bCs/>
                <w:sz w:val="21"/>
                <w:szCs w:val="21"/>
              </w:rPr>
            </w:pPr>
            <w:r>
              <w:rPr>
                <w:rFonts w:hint="eastAsia" w:ascii="宋体" w:hAnsi="宋体"/>
                <w:bCs/>
                <w:sz w:val="21"/>
                <w:szCs w:val="21"/>
              </w:rPr>
              <w:t>履约保证金</w:t>
            </w:r>
          </w:p>
        </w:tc>
        <w:tc>
          <w:tcPr>
            <w:tcW w:w="7161" w:type="dxa"/>
            <w:vAlign w:val="center"/>
          </w:tcPr>
          <w:p w14:paraId="4EA372F1">
            <w:pPr>
              <w:spacing w:line="300" w:lineRule="exact"/>
              <w:rPr>
                <w:rFonts w:ascii="宋体" w:hAnsi="宋体" w:eastAsia="宋体"/>
                <w:sz w:val="21"/>
                <w:szCs w:val="21"/>
              </w:rPr>
            </w:pPr>
            <w:r>
              <w:rPr>
                <w:rFonts w:hint="eastAsia" w:ascii="宋体" w:hAnsi="宋体"/>
                <w:sz w:val="21"/>
                <w:szCs w:val="21"/>
              </w:rPr>
              <w:t>本项目履约保证金为合同</w:t>
            </w:r>
            <w:r>
              <w:rPr>
                <w:rFonts w:hint="eastAsia" w:ascii="宋体" w:hAnsi="宋体" w:eastAsia="宋体"/>
                <w:sz w:val="21"/>
                <w:szCs w:val="21"/>
              </w:rPr>
              <w:t>价</w:t>
            </w:r>
            <w:r>
              <w:rPr>
                <w:rFonts w:hint="eastAsia" w:ascii="宋体" w:hAnsi="宋体"/>
                <w:sz w:val="21"/>
                <w:szCs w:val="21"/>
              </w:rPr>
              <w:t>的</w:t>
            </w:r>
            <w:r>
              <w:rPr>
                <w:rFonts w:hint="eastAsia" w:ascii="宋体" w:hAnsi="宋体" w:eastAsia="宋体"/>
                <w:sz w:val="21"/>
                <w:szCs w:val="21"/>
              </w:rPr>
              <w:t>1</w:t>
            </w:r>
            <w:r>
              <w:rPr>
                <w:rFonts w:hint="eastAsia" w:ascii="宋体" w:hAnsi="宋体"/>
                <w:sz w:val="21"/>
                <w:szCs w:val="21"/>
              </w:rPr>
              <w:t>%</w:t>
            </w:r>
            <w:r>
              <w:rPr>
                <w:rFonts w:hint="eastAsia" w:ascii="宋体" w:hAnsi="宋体" w:eastAsia="宋体"/>
                <w:sz w:val="21"/>
                <w:szCs w:val="21"/>
              </w:rPr>
              <w:t>。</w:t>
            </w:r>
          </w:p>
          <w:p w14:paraId="12CBA696">
            <w:pPr>
              <w:spacing w:line="300" w:lineRule="exact"/>
              <w:rPr>
                <w:rFonts w:ascii="宋体" w:hAnsi="宋体"/>
                <w:sz w:val="21"/>
                <w:szCs w:val="21"/>
              </w:rPr>
            </w:pPr>
            <w:r>
              <w:rPr>
                <w:rFonts w:hint="eastAsia" w:ascii="宋体" w:hAnsi="宋体"/>
                <w:sz w:val="21"/>
                <w:szCs w:val="21"/>
              </w:rPr>
              <w:t>鼓励供应商开展政采贷、履约保函等政府采购金融服务，供应商以银行、保险公司出具保函形式提交履约保证金的，采购单位不得拒收。</w:t>
            </w:r>
          </w:p>
        </w:tc>
      </w:tr>
      <w:tr w14:paraId="2F26859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805" w:hRule="atLeast"/>
        </w:trPr>
        <w:tc>
          <w:tcPr>
            <w:tcW w:w="675" w:type="dxa"/>
            <w:vAlign w:val="center"/>
          </w:tcPr>
          <w:p w14:paraId="286DFD1D">
            <w:pPr>
              <w:spacing w:line="300" w:lineRule="exact"/>
              <w:jc w:val="center"/>
              <w:rPr>
                <w:rFonts w:ascii="宋体" w:hAnsi="宋体"/>
                <w:sz w:val="21"/>
                <w:szCs w:val="21"/>
              </w:rPr>
            </w:pPr>
            <w:r>
              <w:rPr>
                <w:rFonts w:hint="eastAsia" w:ascii="宋体" w:hAnsi="宋体"/>
                <w:sz w:val="21"/>
                <w:szCs w:val="21"/>
              </w:rPr>
              <w:t>7</w:t>
            </w:r>
          </w:p>
        </w:tc>
        <w:tc>
          <w:tcPr>
            <w:tcW w:w="1843" w:type="dxa"/>
            <w:vAlign w:val="center"/>
          </w:tcPr>
          <w:p w14:paraId="030826A3">
            <w:pPr>
              <w:spacing w:line="300" w:lineRule="exact"/>
              <w:jc w:val="center"/>
              <w:rPr>
                <w:rFonts w:ascii="宋体" w:hAnsi="宋体"/>
                <w:sz w:val="21"/>
                <w:szCs w:val="21"/>
              </w:rPr>
            </w:pPr>
            <w:r>
              <w:rPr>
                <w:rFonts w:hint="eastAsia" w:ascii="宋体" w:hAnsi="宋体"/>
                <w:sz w:val="21"/>
                <w:szCs w:val="21"/>
              </w:rPr>
              <w:t>响应文件上传（递交）要求</w:t>
            </w:r>
          </w:p>
        </w:tc>
        <w:tc>
          <w:tcPr>
            <w:tcW w:w="7161" w:type="dxa"/>
            <w:vAlign w:val="center"/>
          </w:tcPr>
          <w:p w14:paraId="75C43874">
            <w:pPr>
              <w:rPr>
                <w:rFonts w:ascii="宋体" w:hAnsi="宋体"/>
                <w:sz w:val="21"/>
                <w:szCs w:val="21"/>
              </w:rPr>
            </w:pPr>
            <w:r>
              <w:rPr>
                <w:rFonts w:hint="eastAsia" w:ascii="宋体" w:hAnsi="宋体"/>
                <w:sz w:val="21"/>
                <w:szCs w:val="21"/>
              </w:rPr>
              <w:t xml:space="preserve">（1）电子加密响应文件：政府采购云平台在线提交、上传一份。 </w:t>
            </w:r>
          </w:p>
          <w:p w14:paraId="7C027D9A">
            <w:pPr>
              <w:rPr>
                <w:rFonts w:ascii="宋体" w:hAnsi="宋体" w:eastAsia="宋体" w:cs="宋体"/>
                <w:sz w:val="21"/>
                <w:szCs w:val="21"/>
              </w:rPr>
            </w:pPr>
            <w:r>
              <w:rPr>
                <w:rFonts w:hint="eastAsia" w:ascii="宋体" w:hAnsi="宋体"/>
                <w:sz w:val="21"/>
                <w:szCs w:val="21"/>
              </w:rPr>
              <w:t>（2）</w:t>
            </w:r>
            <w:r>
              <w:rPr>
                <w:rFonts w:hint="eastAsia" w:ascii="宋体" w:hAnsi="宋体" w:eastAsia="宋体" w:cs="宋体"/>
                <w:sz w:val="21"/>
                <w:szCs w:val="21"/>
              </w:rPr>
              <w:t>备份响应文件：</w:t>
            </w:r>
            <w:r>
              <w:fldChar w:fldCharType="begin"/>
            </w:r>
            <w:r>
              <w:instrText xml:space="preserve"> HYPERLINK "mailto:政采云平台上最后生成的具备电子签章的备份响应文件，文件名后缀为备份标书四字的首字母。供应商自行确定是否提交；若提交请在提交磋商响应文件截止时间前将备份响应文件打包压缩加密（未加密造成泄密的由投标人自行承担）后以电子邮件的形式发送至846270514@qq.com，逾期发送的将被视为未提交。" </w:instrText>
            </w:r>
            <w:r>
              <w:fldChar w:fldCharType="separate"/>
            </w:r>
            <w:r>
              <w:rPr>
                <w:rFonts w:hint="eastAsia" w:ascii="宋体" w:hAnsi="宋体" w:eastAsia="宋体" w:cs="宋体"/>
                <w:sz w:val="21"/>
                <w:szCs w:val="21"/>
              </w:rPr>
              <w:t>政采云平台上最后生成的具备电子签章的备份响应文件，文件名后缀为备份标书四字的首字母。供应商自行确定是否提交；若提交请在提交谈判响应文件截止时间前将备份响应文件打包压缩加密（未加密造成泄密的由供应商自行承担）后以电子邮件的形式发送至</w:t>
            </w:r>
            <w:r>
              <w:rPr>
                <w:rFonts w:hint="eastAsia" w:ascii="宋体" w:hAnsi="宋体" w:eastAsia="宋体" w:cs="宋体"/>
                <w:sz w:val="21"/>
                <w:szCs w:val="21"/>
                <w:lang w:eastAsia="zh-CN"/>
              </w:rPr>
              <w:t>501431643@qq.com</w:t>
            </w:r>
            <w:r>
              <w:rPr>
                <w:rFonts w:hint="eastAsia" w:ascii="宋体" w:hAnsi="宋体" w:eastAsia="宋体" w:cs="宋体"/>
                <w:sz w:val="21"/>
                <w:szCs w:val="21"/>
              </w:rPr>
              <w:t>，逾期发送的将被视为未提交。</w:t>
            </w:r>
            <w:r>
              <w:rPr>
                <w:rFonts w:hint="eastAsia" w:ascii="宋体" w:hAnsi="宋体" w:eastAsia="宋体" w:cs="宋体"/>
                <w:sz w:val="21"/>
                <w:szCs w:val="21"/>
              </w:rPr>
              <w:fldChar w:fldCharType="end"/>
            </w:r>
          </w:p>
          <w:p w14:paraId="71B53848">
            <w:pPr>
              <w:rPr>
                <w:rFonts w:ascii="宋体" w:hAnsi="宋体" w:eastAsia="宋体" w:cs="宋体"/>
                <w:sz w:val="21"/>
                <w:szCs w:val="21"/>
              </w:rPr>
            </w:pPr>
            <w:r>
              <w:rPr>
                <w:rFonts w:hint="eastAsia" w:ascii="宋体" w:hAnsi="宋体" w:eastAsia="宋体" w:cs="宋体"/>
                <w:sz w:val="21"/>
                <w:szCs w:val="21"/>
              </w:rPr>
              <w:t>（3）响应文件提交截止时间前，供应商仅递交了“备份响应文件”而未将电子加密响应文件上传至“政府采购云平台”的，视为无效。</w:t>
            </w:r>
          </w:p>
          <w:p w14:paraId="49A0E471">
            <w:pPr>
              <w:rPr>
                <w:rFonts w:ascii="宋体" w:hAnsi="宋体" w:eastAsia="宋体" w:cs="宋体"/>
                <w:kern w:val="0"/>
                <w:sz w:val="21"/>
                <w:szCs w:val="21"/>
              </w:rPr>
            </w:pPr>
            <w:r>
              <w:rPr>
                <w:rFonts w:hint="eastAsia" w:ascii="宋体" w:hAnsi="宋体" w:eastAsia="宋体" w:cs="宋体"/>
                <w:sz w:val="21"/>
                <w:szCs w:val="21"/>
              </w:rPr>
              <w:t>（4）中标公告公示结束后如无特殊情况，中标单位需另行提供与其在本项目投标时的电子投标文件的格式、内容完全一致的纸质投标文件</w:t>
            </w:r>
            <w:r>
              <w:rPr>
                <w:rFonts w:ascii="宋体" w:hAnsi="宋体" w:eastAsia="宋体" w:cs="宋体"/>
                <w:sz w:val="21"/>
                <w:szCs w:val="21"/>
              </w:rPr>
              <w:t>3</w:t>
            </w:r>
            <w:r>
              <w:rPr>
                <w:rFonts w:hint="eastAsia" w:ascii="宋体" w:hAnsi="宋体" w:eastAsia="宋体" w:cs="宋体"/>
                <w:sz w:val="21"/>
                <w:szCs w:val="21"/>
              </w:rPr>
              <w:t>份。</w:t>
            </w:r>
          </w:p>
          <w:p w14:paraId="5262FD0F">
            <w:pPr>
              <w:widowControl/>
              <w:jc w:val="left"/>
              <w:rPr>
                <w:rFonts w:ascii="宋体" w:hAnsi="宋体" w:eastAsia="宋体" w:cs="宋体"/>
                <w:kern w:val="0"/>
                <w:sz w:val="21"/>
                <w:szCs w:val="21"/>
              </w:rPr>
            </w:pPr>
            <w:r>
              <w:rPr>
                <w:rFonts w:hint="eastAsia" w:ascii="宋体" w:hAnsi="宋体" w:eastAsia="宋体" w:cs="宋体"/>
                <w:b/>
                <w:bCs/>
                <w:kern w:val="0"/>
                <w:sz w:val="21"/>
                <w:szCs w:val="21"/>
              </w:rPr>
              <w:t>注：</w:t>
            </w:r>
            <w:r>
              <w:rPr>
                <w:rFonts w:hint="eastAsia" w:ascii="宋体" w:hAnsi="宋体" w:eastAsia="宋体" w:cs="宋体"/>
                <w:b/>
                <w:bCs/>
                <w:sz w:val="21"/>
                <w:szCs w:val="21"/>
              </w:rPr>
              <w:t>备份响应文件仅在在线解密异常处理时使用。响应文件已按时解密的，备份响应文件自动失效。</w:t>
            </w:r>
          </w:p>
        </w:tc>
      </w:tr>
      <w:tr w14:paraId="19196DF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595" w:hRule="atLeast"/>
        </w:trPr>
        <w:tc>
          <w:tcPr>
            <w:tcW w:w="675" w:type="dxa"/>
            <w:vAlign w:val="center"/>
          </w:tcPr>
          <w:p w14:paraId="4E084ABA">
            <w:pPr>
              <w:spacing w:line="300" w:lineRule="exact"/>
              <w:jc w:val="center"/>
              <w:rPr>
                <w:rFonts w:ascii="宋体" w:hAnsi="宋体"/>
                <w:sz w:val="21"/>
                <w:szCs w:val="21"/>
              </w:rPr>
            </w:pPr>
            <w:r>
              <w:rPr>
                <w:rFonts w:hint="eastAsia" w:ascii="宋体" w:hAnsi="宋体"/>
                <w:sz w:val="21"/>
                <w:szCs w:val="21"/>
              </w:rPr>
              <w:t>8</w:t>
            </w:r>
          </w:p>
        </w:tc>
        <w:tc>
          <w:tcPr>
            <w:tcW w:w="1843" w:type="dxa"/>
            <w:vAlign w:val="center"/>
          </w:tcPr>
          <w:p w14:paraId="26AE2D78">
            <w:pPr>
              <w:spacing w:line="300" w:lineRule="exact"/>
              <w:jc w:val="center"/>
              <w:rPr>
                <w:rFonts w:ascii="宋体" w:hAnsi="宋体"/>
                <w:sz w:val="21"/>
                <w:szCs w:val="21"/>
              </w:rPr>
            </w:pPr>
            <w:r>
              <w:rPr>
                <w:rFonts w:hint="eastAsia" w:ascii="宋体" w:hAnsi="宋体"/>
                <w:bCs/>
                <w:sz w:val="21"/>
                <w:szCs w:val="21"/>
              </w:rPr>
              <w:t>▲响应文件谈判截止时间</w:t>
            </w:r>
          </w:p>
        </w:tc>
        <w:tc>
          <w:tcPr>
            <w:tcW w:w="7161" w:type="dxa"/>
            <w:vAlign w:val="center"/>
          </w:tcPr>
          <w:p w14:paraId="23D63A77">
            <w:pPr>
              <w:spacing w:line="300" w:lineRule="exact"/>
              <w:rPr>
                <w:sz w:val="21"/>
                <w:szCs w:val="21"/>
              </w:rPr>
            </w:pPr>
            <w:r>
              <w:rPr>
                <w:rFonts w:hint="eastAsia" w:ascii="宋体" w:hAnsi="宋体" w:eastAsia="宋体" w:cs="宋体"/>
                <w:sz w:val="21"/>
                <w:szCs w:val="21"/>
              </w:rPr>
              <w:t>供应商应当在</w:t>
            </w:r>
            <w:r>
              <w:rPr>
                <w:rFonts w:hint="eastAsia" w:ascii="宋体" w:hAnsi="宋体" w:eastAsia="宋体" w:cs="宋体"/>
                <w:b/>
                <w:bCs/>
                <w:sz w:val="21"/>
                <w:szCs w:val="21"/>
              </w:rPr>
              <w:t>谈判截止时间：2025年</w:t>
            </w:r>
            <w:r>
              <w:rPr>
                <w:rFonts w:hint="eastAsia" w:ascii="宋体" w:hAnsi="宋体" w:eastAsia="宋体" w:cs="宋体"/>
                <w:b/>
                <w:bCs/>
                <w:sz w:val="21"/>
                <w:szCs w:val="21"/>
                <w:lang w:val="en-US" w:eastAsia="zh-CN"/>
              </w:rPr>
              <w:t xml:space="preserve"> 3 </w:t>
            </w:r>
            <w:r>
              <w:rPr>
                <w:rFonts w:hint="eastAsia" w:ascii="宋体" w:hAnsi="宋体" w:eastAsia="宋体" w:cs="宋体"/>
                <w:b/>
                <w:bCs/>
                <w:sz w:val="21"/>
                <w:szCs w:val="21"/>
              </w:rPr>
              <w:t>月</w:t>
            </w:r>
            <w:r>
              <w:rPr>
                <w:rFonts w:hint="eastAsia" w:ascii="宋体" w:hAnsi="宋体" w:eastAsia="宋体" w:cs="宋体"/>
                <w:b/>
                <w:bCs/>
                <w:sz w:val="21"/>
                <w:szCs w:val="21"/>
                <w:lang w:val="en-US" w:eastAsia="zh-CN"/>
              </w:rPr>
              <w:t xml:space="preserve"> 5</w:t>
            </w:r>
            <w:r>
              <w:rPr>
                <w:rFonts w:hint="eastAsia" w:ascii="宋体" w:hAnsi="宋体" w:eastAsia="宋体" w:cs="宋体"/>
                <w:b/>
                <w:bCs/>
                <w:sz w:val="21"/>
                <w:szCs w:val="21"/>
              </w:rPr>
              <w:t>日09:</w:t>
            </w:r>
            <w:r>
              <w:rPr>
                <w:rFonts w:hint="eastAsia" w:ascii="宋体" w:hAnsi="宋体" w:eastAsia="宋体" w:cs="宋体"/>
                <w:b/>
                <w:bCs/>
                <w:sz w:val="21"/>
                <w:szCs w:val="21"/>
                <w:lang w:val="en-US" w:eastAsia="zh-CN"/>
              </w:rPr>
              <w:t>3</w:t>
            </w:r>
            <w:r>
              <w:rPr>
                <w:rFonts w:hint="eastAsia" w:ascii="宋体" w:hAnsi="宋体" w:eastAsia="宋体" w:cs="宋体"/>
                <w:b/>
                <w:bCs/>
                <w:sz w:val="21"/>
                <w:szCs w:val="21"/>
              </w:rPr>
              <w:t>0（北京时间）前</w:t>
            </w:r>
            <w:r>
              <w:rPr>
                <w:rFonts w:hint="eastAsia" w:ascii="宋体" w:hAnsi="宋体" w:eastAsia="宋体" w:cs="宋体"/>
                <w:sz w:val="21"/>
                <w:szCs w:val="21"/>
              </w:rPr>
              <w:t>完成电子加密响应文件的传输提交，截止时间前可以补充、修改或者撤回电子谈判响应文件。补充或者修改电子响应文件的，应当先行撤回原文件，补充、修改后重新传输提交。截止时间前未完成传输的，视为撤回电子响应文件。</w:t>
            </w:r>
          </w:p>
        </w:tc>
      </w:tr>
      <w:tr w14:paraId="0CD0047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87" w:hRule="atLeast"/>
        </w:trPr>
        <w:tc>
          <w:tcPr>
            <w:tcW w:w="675" w:type="dxa"/>
            <w:vAlign w:val="center"/>
          </w:tcPr>
          <w:p w14:paraId="52AB6970">
            <w:pPr>
              <w:spacing w:line="300" w:lineRule="exact"/>
              <w:jc w:val="center"/>
              <w:rPr>
                <w:rFonts w:ascii="宋体" w:hAnsi="宋体" w:eastAsia="宋体"/>
                <w:sz w:val="21"/>
                <w:szCs w:val="21"/>
              </w:rPr>
            </w:pPr>
            <w:r>
              <w:rPr>
                <w:rFonts w:hint="eastAsia" w:ascii="宋体" w:hAnsi="宋体"/>
                <w:sz w:val="21"/>
                <w:szCs w:val="21"/>
              </w:rPr>
              <w:t>9</w:t>
            </w:r>
          </w:p>
        </w:tc>
        <w:tc>
          <w:tcPr>
            <w:tcW w:w="1843" w:type="dxa"/>
            <w:vAlign w:val="center"/>
          </w:tcPr>
          <w:p w14:paraId="10633BEF">
            <w:pPr>
              <w:snapToGrid w:val="0"/>
              <w:spacing w:line="300" w:lineRule="exact"/>
              <w:jc w:val="center"/>
              <w:rPr>
                <w:rFonts w:ascii="宋体" w:hAnsi="宋体"/>
                <w:bCs/>
                <w:sz w:val="21"/>
                <w:szCs w:val="21"/>
              </w:rPr>
            </w:pPr>
            <w:r>
              <w:rPr>
                <w:rFonts w:hint="eastAsia" w:ascii="宋体" w:hAnsi="宋体"/>
                <w:bCs/>
                <w:sz w:val="21"/>
                <w:szCs w:val="21"/>
              </w:rPr>
              <w:t>开标时间及地点</w:t>
            </w:r>
          </w:p>
        </w:tc>
        <w:tc>
          <w:tcPr>
            <w:tcW w:w="7161" w:type="dxa"/>
            <w:vAlign w:val="center"/>
          </w:tcPr>
          <w:p w14:paraId="1A303300">
            <w:pPr>
              <w:pStyle w:val="18"/>
              <w:widowControl w:val="0"/>
              <w:spacing w:before="0" w:beforeAutospacing="0" w:after="0" w:afterAutospacing="0" w:line="400" w:lineRule="exact"/>
              <w:jc w:val="both"/>
              <w:rPr>
                <w:rFonts w:hint="default" w:eastAsia="宋体" w:cs="宋体"/>
                <w:sz w:val="21"/>
                <w:szCs w:val="21"/>
                <w:highlight w:val="yellow"/>
              </w:rPr>
            </w:pPr>
            <w:r>
              <w:rPr>
                <w:rFonts w:eastAsia="宋体" w:cs="宋体"/>
                <w:sz w:val="21"/>
                <w:szCs w:val="21"/>
              </w:rPr>
              <w:t>开启时间</w:t>
            </w:r>
            <w:r>
              <w:rPr>
                <w:rFonts w:eastAsia="宋体" w:cs="宋体"/>
                <w:b/>
                <w:bCs/>
                <w:sz w:val="21"/>
                <w:szCs w:val="21"/>
              </w:rPr>
              <w:t>：2025年</w:t>
            </w:r>
            <w:r>
              <w:rPr>
                <w:rFonts w:hint="eastAsia" w:eastAsia="宋体" w:cs="宋体"/>
                <w:b/>
                <w:bCs/>
                <w:sz w:val="21"/>
                <w:szCs w:val="21"/>
                <w:lang w:val="en-US" w:eastAsia="zh-CN"/>
              </w:rPr>
              <w:t xml:space="preserve"> 3 </w:t>
            </w:r>
            <w:r>
              <w:rPr>
                <w:rFonts w:eastAsia="宋体" w:cs="宋体"/>
                <w:b/>
                <w:bCs/>
                <w:sz w:val="21"/>
                <w:szCs w:val="21"/>
              </w:rPr>
              <w:t>月</w:t>
            </w:r>
            <w:r>
              <w:rPr>
                <w:rFonts w:hint="eastAsia" w:eastAsia="宋体" w:cs="宋体"/>
                <w:b/>
                <w:bCs/>
                <w:sz w:val="21"/>
                <w:szCs w:val="21"/>
                <w:lang w:val="en-US" w:eastAsia="zh-CN"/>
              </w:rPr>
              <w:t xml:space="preserve"> 5 </w:t>
            </w:r>
            <w:r>
              <w:rPr>
                <w:rFonts w:eastAsia="宋体" w:cs="宋体"/>
                <w:b/>
                <w:bCs/>
                <w:sz w:val="21"/>
                <w:szCs w:val="21"/>
              </w:rPr>
              <w:t>日 09:</w:t>
            </w:r>
            <w:r>
              <w:rPr>
                <w:rFonts w:hint="eastAsia" w:eastAsia="宋体" w:cs="宋体"/>
                <w:b/>
                <w:bCs/>
                <w:sz w:val="21"/>
                <w:szCs w:val="21"/>
                <w:lang w:val="en-US" w:eastAsia="zh-CN"/>
              </w:rPr>
              <w:t>3</w:t>
            </w:r>
            <w:r>
              <w:rPr>
                <w:rFonts w:eastAsia="宋体" w:cs="宋体"/>
                <w:b/>
                <w:bCs/>
                <w:sz w:val="21"/>
                <w:szCs w:val="21"/>
              </w:rPr>
              <w:t>0（北京时间）</w:t>
            </w:r>
          </w:p>
          <w:p w14:paraId="77DFE8D0">
            <w:pPr>
              <w:widowControl/>
              <w:jc w:val="left"/>
              <w:rPr>
                <w:sz w:val="21"/>
                <w:szCs w:val="21"/>
              </w:rPr>
            </w:pPr>
            <w:r>
              <w:rPr>
                <w:rFonts w:hint="eastAsia" w:ascii="宋体" w:hAnsi="宋体" w:eastAsia="宋体" w:cs="宋体"/>
                <w:sz w:val="21"/>
                <w:szCs w:val="21"/>
              </w:rPr>
              <w:t>地点（网址）：在政府采购云平台（https://www.zcygov.cn）上开启响应文件,同时邀请供应商在线参加开标。</w:t>
            </w:r>
          </w:p>
        </w:tc>
      </w:tr>
      <w:tr w14:paraId="614565A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75" w:hRule="atLeast"/>
        </w:trPr>
        <w:tc>
          <w:tcPr>
            <w:tcW w:w="675" w:type="dxa"/>
            <w:tcBorders>
              <w:bottom w:val="single" w:color="auto" w:sz="4" w:space="0"/>
            </w:tcBorders>
            <w:vAlign w:val="center"/>
          </w:tcPr>
          <w:p w14:paraId="7CAFA67C">
            <w:pPr>
              <w:spacing w:line="300" w:lineRule="exact"/>
              <w:jc w:val="center"/>
              <w:rPr>
                <w:rFonts w:ascii="宋体" w:hAnsi="宋体" w:eastAsia="宋体"/>
                <w:sz w:val="21"/>
                <w:szCs w:val="21"/>
              </w:rPr>
            </w:pPr>
            <w:r>
              <w:rPr>
                <w:rFonts w:hint="eastAsia" w:ascii="宋体" w:hAnsi="宋体"/>
                <w:sz w:val="21"/>
                <w:szCs w:val="21"/>
              </w:rPr>
              <w:t>10</w:t>
            </w:r>
          </w:p>
        </w:tc>
        <w:tc>
          <w:tcPr>
            <w:tcW w:w="1843" w:type="dxa"/>
            <w:tcBorders>
              <w:bottom w:val="single" w:color="auto" w:sz="4" w:space="0"/>
            </w:tcBorders>
            <w:vAlign w:val="center"/>
          </w:tcPr>
          <w:p w14:paraId="5D168277">
            <w:pPr>
              <w:autoSpaceDE w:val="0"/>
              <w:autoSpaceDN w:val="0"/>
              <w:adjustRightInd w:val="0"/>
              <w:spacing w:line="300" w:lineRule="exact"/>
              <w:jc w:val="center"/>
              <w:rPr>
                <w:rFonts w:ascii="宋体" w:hAnsi="宋体"/>
                <w:sz w:val="21"/>
                <w:szCs w:val="21"/>
                <w:lang w:val="zh-CN"/>
              </w:rPr>
            </w:pPr>
            <w:r>
              <w:rPr>
                <w:rFonts w:hint="eastAsia" w:ascii="宋体" w:hAnsi="宋体"/>
                <w:sz w:val="21"/>
                <w:szCs w:val="21"/>
                <w:lang w:val="zh-CN"/>
              </w:rPr>
              <w:t>实质性条款</w:t>
            </w:r>
          </w:p>
        </w:tc>
        <w:tc>
          <w:tcPr>
            <w:tcW w:w="7161" w:type="dxa"/>
            <w:tcBorders>
              <w:bottom w:val="single" w:color="auto" w:sz="4" w:space="0"/>
            </w:tcBorders>
            <w:vAlign w:val="center"/>
          </w:tcPr>
          <w:p w14:paraId="36AD52F9">
            <w:pPr>
              <w:autoSpaceDE w:val="0"/>
              <w:autoSpaceDN w:val="0"/>
              <w:adjustRightInd w:val="0"/>
              <w:spacing w:line="300" w:lineRule="exact"/>
              <w:ind w:left="1050" w:hanging="1050"/>
              <w:rPr>
                <w:rFonts w:ascii="宋体" w:hAnsi="宋体"/>
                <w:kern w:val="0"/>
                <w:sz w:val="21"/>
                <w:szCs w:val="21"/>
                <w:lang w:val="zh-CN"/>
              </w:rPr>
            </w:pPr>
            <w:r>
              <w:rPr>
                <w:rFonts w:hint="eastAsia" w:ascii="宋体" w:hAnsi="宋体"/>
                <w:kern w:val="0"/>
                <w:sz w:val="21"/>
                <w:szCs w:val="21"/>
                <w:lang w:val="zh-CN"/>
              </w:rPr>
              <w:t>带</w:t>
            </w:r>
            <w:r>
              <w:rPr>
                <w:rFonts w:hint="eastAsia" w:ascii="宋体" w:hAnsi="宋体"/>
                <w:bCs/>
                <w:sz w:val="21"/>
                <w:szCs w:val="21"/>
              </w:rPr>
              <w:t>▲是实质性条款，谈判响应文件须作出实质性响应，否则作无效标处理。</w:t>
            </w:r>
          </w:p>
        </w:tc>
      </w:tr>
      <w:tr w14:paraId="617A4D0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3" w:hRule="atLeast"/>
        </w:trPr>
        <w:tc>
          <w:tcPr>
            <w:tcW w:w="675" w:type="dxa"/>
            <w:tcBorders>
              <w:top w:val="single" w:color="auto" w:sz="4" w:space="0"/>
              <w:bottom w:val="single" w:color="auto" w:sz="4" w:space="0"/>
            </w:tcBorders>
            <w:vAlign w:val="center"/>
          </w:tcPr>
          <w:p w14:paraId="29F51726">
            <w:pPr>
              <w:spacing w:line="300" w:lineRule="exact"/>
              <w:jc w:val="center"/>
              <w:rPr>
                <w:rFonts w:ascii="宋体" w:hAnsi="宋体" w:eastAsiaTheme="minorEastAsia"/>
                <w:sz w:val="21"/>
                <w:szCs w:val="21"/>
              </w:rPr>
            </w:pPr>
            <w:r>
              <w:rPr>
                <w:rFonts w:hint="eastAsia" w:ascii="宋体" w:hAnsi="宋体" w:eastAsiaTheme="minorEastAsia"/>
                <w:sz w:val="21"/>
                <w:szCs w:val="21"/>
              </w:rPr>
              <w:t>11</w:t>
            </w:r>
          </w:p>
        </w:tc>
        <w:tc>
          <w:tcPr>
            <w:tcW w:w="1843" w:type="dxa"/>
            <w:tcBorders>
              <w:top w:val="single" w:color="auto" w:sz="4" w:space="0"/>
              <w:bottom w:val="single" w:color="auto" w:sz="4" w:space="0"/>
            </w:tcBorders>
            <w:vAlign w:val="center"/>
          </w:tcPr>
          <w:p w14:paraId="3DB555E9">
            <w:pPr>
              <w:autoSpaceDE w:val="0"/>
              <w:autoSpaceDN w:val="0"/>
              <w:adjustRightInd w:val="0"/>
              <w:spacing w:line="300" w:lineRule="exact"/>
              <w:jc w:val="center"/>
              <w:rPr>
                <w:rFonts w:ascii="宋体" w:hAnsi="宋体"/>
                <w:bCs/>
                <w:sz w:val="21"/>
                <w:szCs w:val="21"/>
                <w:lang w:val="zh-CN"/>
              </w:rPr>
            </w:pPr>
            <w:r>
              <w:rPr>
                <w:rFonts w:hint="eastAsia" w:ascii="宋体" w:hAnsi="宋体"/>
                <w:bCs/>
                <w:sz w:val="21"/>
                <w:szCs w:val="21"/>
              </w:rPr>
              <w:t>▲项目最高限价</w:t>
            </w:r>
          </w:p>
        </w:tc>
        <w:tc>
          <w:tcPr>
            <w:tcW w:w="7161" w:type="dxa"/>
            <w:tcBorders>
              <w:top w:val="single" w:color="auto" w:sz="4" w:space="0"/>
              <w:bottom w:val="single" w:color="auto" w:sz="4" w:space="0"/>
            </w:tcBorders>
            <w:vAlign w:val="center"/>
          </w:tcPr>
          <w:p w14:paraId="03A3E740">
            <w:pPr>
              <w:autoSpaceDE w:val="0"/>
              <w:autoSpaceDN w:val="0"/>
              <w:adjustRightInd w:val="0"/>
              <w:spacing w:line="300" w:lineRule="exact"/>
              <w:rPr>
                <w:rFonts w:ascii="宋体" w:hAnsi="宋体" w:eastAsia="宋体"/>
                <w:bCs/>
                <w:sz w:val="21"/>
                <w:szCs w:val="21"/>
                <w:lang w:val="zh-CN"/>
              </w:rPr>
            </w:pPr>
            <w:r>
              <w:rPr>
                <w:rFonts w:hint="eastAsia" w:ascii="宋体" w:hAnsi="宋体" w:eastAsia="宋体"/>
                <w:bCs/>
                <w:sz w:val="21"/>
                <w:szCs w:val="21"/>
              </w:rPr>
              <w:t>最高限价为</w:t>
            </w:r>
            <w:r>
              <w:rPr>
                <w:rFonts w:hint="eastAsia" w:ascii="宋体" w:hAnsi="宋体" w:eastAsia="宋体"/>
                <w:b/>
                <w:sz w:val="21"/>
                <w:szCs w:val="21"/>
                <w:u w:val="single"/>
              </w:rPr>
              <w:t xml:space="preserve"> </w:t>
            </w:r>
            <w:r>
              <w:rPr>
                <w:rFonts w:hint="eastAsia" w:ascii="宋体" w:hAnsi="宋体" w:eastAsia="宋体"/>
                <w:b/>
                <w:sz w:val="21"/>
                <w:szCs w:val="21"/>
                <w:u w:val="single"/>
                <w:lang w:eastAsia="zh-CN"/>
              </w:rPr>
              <w:t>1156045</w:t>
            </w:r>
            <w:r>
              <w:rPr>
                <w:rFonts w:hint="eastAsia" w:ascii="宋体" w:hAnsi="宋体" w:eastAsia="宋体"/>
                <w:b/>
                <w:sz w:val="21"/>
                <w:szCs w:val="21"/>
                <w:u w:val="single"/>
              </w:rPr>
              <w:t xml:space="preserve"> </w:t>
            </w:r>
            <w:r>
              <w:rPr>
                <w:rFonts w:hint="eastAsia" w:ascii="宋体" w:hAnsi="宋体" w:eastAsia="宋体"/>
                <w:b/>
                <w:sz w:val="21"/>
                <w:szCs w:val="21"/>
                <w:lang w:val="zh-CN"/>
              </w:rPr>
              <w:t>元</w:t>
            </w:r>
            <w:r>
              <w:rPr>
                <w:rFonts w:hint="eastAsia" w:ascii="宋体" w:hAnsi="宋体" w:eastAsia="宋体"/>
                <w:bCs/>
                <w:sz w:val="21"/>
                <w:szCs w:val="21"/>
              </w:rPr>
              <w:t xml:space="preserve">。如供应商的谈判报价超过最高限价，其谈判响应文件作无效标处理。 </w:t>
            </w:r>
          </w:p>
        </w:tc>
      </w:tr>
      <w:tr w14:paraId="21E3139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5" w:hRule="atLeast"/>
        </w:trPr>
        <w:tc>
          <w:tcPr>
            <w:tcW w:w="675" w:type="dxa"/>
            <w:tcBorders>
              <w:top w:val="single" w:color="auto" w:sz="4" w:space="0"/>
              <w:bottom w:val="single" w:color="auto" w:sz="4" w:space="0"/>
            </w:tcBorders>
            <w:vAlign w:val="center"/>
          </w:tcPr>
          <w:p w14:paraId="0A3E3E58">
            <w:pPr>
              <w:spacing w:line="300" w:lineRule="exact"/>
              <w:jc w:val="center"/>
              <w:rPr>
                <w:rFonts w:ascii="宋体" w:hAnsi="宋体" w:eastAsia="宋体"/>
                <w:sz w:val="21"/>
                <w:szCs w:val="21"/>
              </w:rPr>
            </w:pPr>
            <w:r>
              <w:rPr>
                <w:rFonts w:hint="eastAsia" w:ascii="宋体" w:hAnsi="宋体" w:eastAsia="宋体"/>
                <w:sz w:val="21"/>
                <w:szCs w:val="21"/>
              </w:rPr>
              <w:t>12</w:t>
            </w:r>
          </w:p>
        </w:tc>
        <w:tc>
          <w:tcPr>
            <w:tcW w:w="1843" w:type="dxa"/>
            <w:tcBorders>
              <w:top w:val="single" w:color="auto" w:sz="4" w:space="0"/>
              <w:bottom w:val="single" w:color="auto" w:sz="4" w:space="0"/>
            </w:tcBorders>
            <w:vAlign w:val="center"/>
          </w:tcPr>
          <w:p w14:paraId="5C0FE906">
            <w:pPr>
              <w:autoSpaceDE w:val="0"/>
              <w:autoSpaceDN w:val="0"/>
              <w:adjustRightInd w:val="0"/>
              <w:spacing w:line="360" w:lineRule="auto"/>
              <w:jc w:val="center"/>
              <w:rPr>
                <w:rFonts w:ascii="宋体" w:hAnsi="宋体"/>
                <w:bCs/>
                <w:sz w:val="21"/>
                <w:szCs w:val="21"/>
              </w:rPr>
            </w:pPr>
            <w:r>
              <w:rPr>
                <w:rFonts w:hint="eastAsia" w:ascii="宋体" w:hAnsi="宋体" w:eastAsia="宋体" w:cs="宋体"/>
                <w:sz w:val="21"/>
                <w:szCs w:val="21"/>
                <w:lang w:val="zh-CN"/>
              </w:rPr>
              <w:t>实质性条款</w:t>
            </w:r>
          </w:p>
        </w:tc>
        <w:tc>
          <w:tcPr>
            <w:tcW w:w="7161" w:type="dxa"/>
            <w:tcBorders>
              <w:top w:val="single" w:color="auto" w:sz="4" w:space="0"/>
              <w:bottom w:val="single" w:color="auto" w:sz="4" w:space="0"/>
            </w:tcBorders>
            <w:vAlign w:val="center"/>
          </w:tcPr>
          <w:p w14:paraId="0AD718AF">
            <w:pPr>
              <w:autoSpaceDE w:val="0"/>
              <w:autoSpaceDN w:val="0"/>
              <w:adjustRightInd w:val="0"/>
              <w:spacing w:line="300" w:lineRule="exact"/>
              <w:ind w:left="11" w:hanging="11"/>
              <w:jc w:val="left"/>
              <w:rPr>
                <w:rFonts w:ascii="宋体" w:hAnsi="宋体" w:eastAsia="宋体"/>
                <w:bCs/>
                <w:sz w:val="21"/>
                <w:szCs w:val="21"/>
              </w:rPr>
            </w:pPr>
            <w:r>
              <w:rPr>
                <w:rFonts w:hint="eastAsia" w:ascii="宋体" w:hAnsi="宋体"/>
                <w:bCs/>
                <w:kern w:val="0"/>
                <w:sz w:val="21"/>
                <w:szCs w:val="21"/>
                <w:lang w:val="zh-CN"/>
              </w:rPr>
              <w:t>带“▲”的条款是实质性条款，谈判响应文件须作出实质性响应，否则作无效响应处理。</w:t>
            </w:r>
          </w:p>
        </w:tc>
      </w:tr>
      <w:tr w14:paraId="0A8A63D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58" w:hRule="atLeast"/>
        </w:trPr>
        <w:tc>
          <w:tcPr>
            <w:tcW w:w="675" w:type="dxa"/>
            <w:tcBorders>
              <w:top w:val="single" w:color="auto" w:sz="4" w:space="0"/>
            </w:tcBorders>
            <w:vAlign w:val="center"/>
          </w:tcPr>
          <w:p w14:paraId="6E3BFA77">
            <w:pPr>
              <w:spacing w:line="300" w:lineRule="exact"/>
              <w:jc w:val="center"/>
              <w:rPr>
                <w:rFonts w:ascii="宋体" w:hAnsi="宋体" w:eastAsiaTheme="minorEastAsia"/>
                <w:sz w:val="21"/>
                <w:szCs w:val="21"/>
              </w:rPr>
            </w:pPr>
            <w:r>
              <w:rPr>
                <w:rFonts w:hint="eastAsia" w:ascii="宋体" w:hAnsi="宋体"/>
                <w:sz w:val="21"/>
                <w:szCs w:val="21"/>
              </w:rPr>
              <w:t>1</w:t>
            </w:r>
            <w:r>
              <w:rPr>
                <w:rFonts w:hint="eastAsia" w:ascii="宋体" w:hAnsi="宋体" w:eastAsiaTheme="minorEastAsia"/>
                <w:sz w:val="21"/>
                <w:szCs w:val="21"/>
              </w:rPr>
              <w:t>3</w:t>
            </w:r>
          </w:p>
        </w:tc>
        <w:tc>
          <w:tcPr>
            <w:tcW w:w="1843" w:type="dxa"/>
            <w:tcBorders>
              <w:top w:val="single" w:color="auto" w:sz="4" w:space="0"/>
            </w:tcBorders>
            <w:vAlign w:val="center"/>
          </w:tcPr>
          <w:p w14:paraId="22D3B98C">
            <w:pPr>
              <w:autoSpaceDE w:val="0"/>
              <w:autoSpaceDN w:val="0"/>
              <w:adjustRightInd w:val="0"/>
              <w:spacing w:line="300" w:lineRule="exact"/>
              <w:jc w:val="center"/>
              <w:rPr>
                <w:rFonts w:ascii="宋体" w:hAnsi="宋体"/>
                <w:sz w:val="21"/>
                <w:szCs w:val="21"/>
              </w:rPr>
            </w:pPr>
            <w:r>
              <w:rPr>
                <w:rFonts w:hint="eastAsia" w:ascii="宋体" w:hAnsi="宋体"/>
                <w:sz w:val="21"/>
                <w:szCs w:val="21"/>
              </w:rPr>
              <w:t>解释权</w:t>
            </w:r>
          </w:p>
        </w:tc>
        <w:tc>
          <w:tcPr>
            <w:tcW w:w="7161" w:type="dxa"/>
            <w:tcBorders>
              <w:top w:val="single" w:color="auto" w:sz="4" w:space="0"/>
            </w:tcBorders>
            <w:vAlign w:val="center"/>
          </w:tcPr>
          <w:p w14:paraId="413B6FC6">
            <w:pPr>
              <w:autoSpaceDE w:val="0"/>
              <w:autoSpaceDN w:val="0"/>
              <w:adjustRightInd w:val="0"/>
              <w:spacing w:line="300" w:lineRule="exact"/>
              <w:rPr>
                <w:rFonts w:ascii="宋体" w:hAnsi="宋体"/>
                <w:sz w:val="21"/>
                <w:szCs w:val="21"/>
              </w:rPr>
            </w:pPr>
            <w:r>
              <w:rPr>
                <w:rFonts w:hint="eastAsia" w:ascii="宋体" w:hAnsi="宋体"/>
                <w:sz w:val="21"/>
                <w:szCs w:val="21"/>
              </w:rPr>
              <w:t>本</w:t>
            </w:r>
            <w:r>
              <w:rPr>
                <w:rFonts w:hint="eastAsia" w:ascii="宋体" w:hAnsi="宋体" w:eastAsia="宋体"/>
                <w:sz w:val="21"/>
                <w:szCs w:val="21"/>
              </w:rPr>
              <w:t>谈判</w:t>
            </w:r>
            <w:r>
              <w:rPr>
                <w:rFonts w:hint="eastAsia" w:ascii="宋体" w:hAnsi="宋体"/>
                <w:sz w:val="21"/>
                <w:szCs w:val="21"/>
              </w:rPr>
              <w:t>文件解释权属于采购人和采购代理机构。</w:t>
            </w:r>
          </w:p>
        </w:tc>
      </w:tr>
    </w:tbl>
    <w:p w14:paraId="41F09D55">
      <w:pPr>
        <w:autoSpaceDE w:val="0"/>
        <w:autoSpaceDN w:val="0"/>
        <w:adjustRightInd w:val="0"/>
        <w:snapToGrid w:val="0"/>
        <w:spacing w:line="312" w:lineRule="auto"/>
        <w:ind w:firstLine="480"/>
        <w:jc w:val="center"/>
        <w:rPr>
          <w:rFonts w:ascii="宋体" w:hAnsi="宋体" w:cs="宋体"/>
          <w:b/>
          <w:szCs w:val="21"/>
        </w:rPr>
      </w:pPr>
    </w:p>
    <w:p w14:paraId="437D6FE3">
      <w:pPr>
        <w:autoSpaceDE w:val="0"/>
        <w:autoSpaceDN w:val="0"/>
        <w:adjustRightInd w:val="0"/>
        <w:snapToGrid w:val="0"/>
        <w:spacing w:line="312" w:lineRule="auto"/>
        <w:ind w:firstLine="480"/>
        <w:jc w:val="center"/>
        <w:rPr>
          <w:rFonts w:ascii="宋体" w:hAnsi="宋体" w:eastAsia="宋体" w:cs="宋体"/>
          <w:bCs/>
          <w:sz w:val="21"/>
          <w:szCs w:val="21"/>
        </w:rPr>
      </w:pPr>
      <w:r>
        <w:rPr>
          <w:rFonts w:hint="eastAsia" w:ascii="宋体" w:hAnsi="宋体" w:eastAsia="宋体" w:cs="宋体"/>
          <w:b/>
          <w:sz w:val="21"/>
          <w:szCs w:val="21"/>
        </w:rPr>
        <w:t>政采贷相关说明</w:t>
      </w:r>
    </w:p>
    <w:p w14:paraId="4567ED05">
      <w:pPr>
        <w:snapToGrid w:val="0"/>
        <w:spacing w:line="312" w:lineRule="auto"/>
        <w:ind w:firstLine="420" w:firstLineChars="200"/>
        <w:rPr>
          <w:rFonts w:ascii="宋体" w:hAnsi="宋体" w:eastAsia="宋体" w:cs="宋体"/>
          <w:kern w:val="0"/>
          <w:sz w:val="21"/>
          <w:szCs w:val="21"/>
        </w:rPr>
      </w:pPr>
      <w:r>
        <w:rPr>
          <w:rFonts w:hint="eastAsia" w:ascii="宋体" w:hAnsi="宋体" w:eastAsia="宋体" w:cs="宋体"/>
          <w:bCs/>
          <w:sz w:val="21"/>
          <w:szCs w:val="21"/>
        </w:rPr>
        <w:t>为优化政府采购营商环境，缓解供应商资金难题，政采云平台已推广“政采贷”服务，成交供应商如有融资需求，可使用以下银行的政采贷服务：</w:t>
      </w:r>
    </w:p>
    <w:tbl>
      <w:tblPr>
        <w:tblStyle w:val="21"/>
        <w:tblW w:w="9603" w:type="dxa"/>
        <w:tblCellSpacing w:w="15" w:type="dxa"/>
        <w:tblInd w:w="1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354"/>
        <w:gridCol w:w="2311"/>
        <w:gridCol w:w="2938"/>
      </w:tblGrid>
      <w:tr w14:paraId="33F1DB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blCellSpacing w:w="15" w:type="dxa"/>
        </w:trPr>
        <w:tc>
          <w:tcPr>
            <w:tcW w:w="4309" w:type="dxa"/>
            <w:noWrap/>
            <w:tcMar>
              <w:top w:w="12" w:type="dxa"/>
              <w:left w:w="12" w:type="dxa"/>
              <w:right w:w="12" w:type="dxa"/>
            </w:tcMar>
            <w:vAlign w:val="center"/>
          </w:tcPr>
          <w:p w14:paraId="42F901C4">
            <w:pPr>
              <w:widowControl/>
              <w:snapToGrid w:val="0"/>
              <w:spacing w:line="312" w:lineRule="auto"/>
              <w:jc w:val="center"/>
              <w:textAlignment w:val="center"/>
              <w:rPr>
                <w:rFonts w:ascii="宋体" w:hAnsi="宋体" w:eastAsia="宋体" w:cs="宋体"/>
                <w:kern w:val="0"/>
                <w:sz w:val="21"/>
                <w:szCs w:val="21"/>
              </w:rPr>
            </w:pPr>
            <w:r>
              <w:rPr>
                <w:rFonts w:hint="eastAsia" w:ascii="宋体" w:hAnsi="宋体" w:eastAsia="宋体" w:cs="宋体"/>
                <w:kern w:val="0"/>
                <w:sz w:val="21"/>
                <w:szCs w:val="21"/>
              </w:rPr>
              <w:t>银行名称</w:t>
            </w:r>
          </w:p>
        </w:tc>
        <w:tc>
          <w:tcPr>
            <w:tcW w:w="2281" w:type="dxa"/>
            <w:noWrap/>
            <w:tcMar>
              <w:top w:w="12" w:type="dxa"/>
              <w:left w:w="12" w:type="dxa"/>
              <w:right w:w="12" w:type="dxa"/>
            </w:tcMar>
            <w:vAlign w:val="center"/>
          </w:tcPr>
          <w:p w14:paraId="357F2253">
            <w:pPr>
              <w:widowControl/>
              <w:snapToGrid w:val="0"/>
              <w:spacing w:line="312" w:lineRule="auto"/>
              <w:jc w:val="center"/>
              <w:textAlignment w:val="center"/>
              <w:rPr>
                <w:rFonts w:ascii="宋体" w:hAnsi="宋体" w:eastAsia="宋体" w:cs="宋体"/>
                <w:kern w:val="0"/>
                <w:sz w:val="21"/>
                <w:szCs w:val="21"/>
              </w:rPr>
            </w:pPr>
            <w:r>
              <w:rPr>
                <w:rFonts w:hint="eastAsia" w:ascii="宋体" w:hAnsi="宋体" w:eastAsia="宋体" w:cs="宋体"/>
                <w:kern w:val="0"/>
                <w:sz w:val="21"/>
                <w:szCs w:val="21"/>
              </w:rPr>
              <w:t>联系人</w:t>
            </w:r>
          </w:p>
        </w:tc>
        <w:tc>
          <w:tcPr>
            <w:tcW w:w="2893" w:type="dxa"/>
            <w:noWrap/>
            <w:tcMar>
              <w:top w:w="12" w:type="dxa"/>
              <w:left w:w="12" w:type="dxa"/>
              <w:right w:w="12" w:type="dxa"/>
            </w:tcMar>
            <w:vAlign w:val="center"/>
          </w:tcPr>
          <w:p w14:paraId="47C5807B">
            <w:pPr>
              <w:widowControl/>
              <w:snapToGrid w:val="0"/>
              <w:spacing w:line="312" w:lineRule="auto"/>
              <w:jc w:val="center"/>
              <w:textAlignment w:val="center"/>
              <w:rPr>
                <w:rFonts w:ascii="宋体" w:hAnsi="宋体" w:eastAsia="宋体" w:cs="宋体"/>
                <w:kern w:val="0"/>
                <w:sz w:val="21"/>
                <w:szCs w:val="21"/>
              </w:rPr>
            </w:pPr>
            <w:r>
              <w:rPr>
                <w:rFonts w:hint="eastAsia" w:ascii="宋体" w:hAnsi="宋体" w:eastAsia="宋体" w:cs="宋体"/>
                <w:kern w:val="0"/>
                <w:sz w:val="21"/>
                <w:szCs w:val="21"/>
              </w:rPr>
              <w:t>联系方式</w:t>
            </w:r>
          </w:p>
        </w:tc>
      </w:tr>
      <w:tr w14:paraId="3B5FE6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tblCellSpacing w:w="15" w:type="dxa"/>
        </w:trPr>
        <w:tc>
          <w:tcPr>
            <w:tcW w:w="4309" w:type="dxa"/>
            <w:noWrap/>
            <w:tcMar>
              <w:top w:w="12" w:type="dxa"/>
              <w:left w:w="12" w:type="dxa"/>
              <w:right w:w="12" w:type="dxa"/>
            </w:tcMar>
            <w:vAlign w:val="center"/>
          </w:tcPr>
          <w:p w14:paraId="3C036265">
            <w:pPr>
              <w:widowControl/>
              <w:snapToGrid w:val="0"/>
              <w:spacing w:line="312" w:lineRule="auto"/>
              <w:jc w:val="center"/>
              <w:textAlignment w:val="center"/>
              <w:rPr>
                <w:rFonts w:ascii="宋体" w:hAnsi="宋体" w:eastAsia="宋体" w:cs="宋体"/>
                <w:kern w:val="0"/>
                <w:sz w:val="21"/>
                <w:szCs w:val="21"/>
              </w:rPr>
            </w:pPr>
            <w:r>
              <w:rPr>
                <w:rFonts w:hint="eastAsia" w:ascii="宋体" w:hAnsi="宋体" w:eastAsia="宋体" w:cs="宋体"/>
                <w:kern w:val="0"/>
                <w:sz w:val="21"/>
                <w:szCs w:val="21"/>
              </w:rPr>
              <w:t>中国工商银行</w:t>
            </w:r>
          </w:p>
        </w:tc>
        <w:tc>
          <w:tcPr>
            <w:tcW w:w="2281" w:type="dxa"/>
            <w:noWrap/>
            <w:tcMar>
              <w:top w:w="12" w:type="dxa"/>
              <w:left w:w="12" w:type="dxa"/>
              <w:right w:w="12" w:type="dxa"/>
            </w:tcMar>
            <w:vAlign w:val="center"/>
          </w:tcPr>
          <w:p w14:paraId="4F09DFB1">
            <w:pPr>
              <w:widowControl/>
              <w:snapToGrid w:val="0"/>
              <w:spacing w:line="312" w:lineRule="auto"/>
              <w:jc w:val="center"/>
              <w:textAlignment w:val="center"/>
              <w:rPr>
                <w:rFonts w:ascii="宋体" w:hAnsi="宋体" w:eastAsia="宋体" w:cs="宋体"/>
                <w:kern w:val="0"/>
                <w:sz w:val="21"/>
                <w:szCs w:val="21"/>
              </w:rPr>
            </w:pPr>
            <w:r>
              <w:rPr>
                <w:rFonts w:hint="eastAsia" w:ascii="宋体" w:hAnsi="宋体" w:eastAsia="宋体" w:cs="宋体"/>
                <w:kern w:val="0"/>
                <w:sz w:val="21"/>
                <w:szCs w:val="21"/>
              </w:rPr>
              <w:t>王健永</w:t>
            </w:r>
          </w:p>
        </w:tc>
        <w:tc>
          <w:tcPr>
            <w:tcW w:w="2893" w:type="dxa"/>
            <w:noWrap/>
            <w:tcMar>
              <w:top w:w="12" w:type="dxa"/>
              <w:left w:w="12" w:type="dxa"/>
              <w:right w:w="12" w:type="dxa"/>
            </w:tcMar>
            <w:vAlign w:val="center"/>
          </w:tcPr>
          <w:p w14:paraId="5D443E39">
            <w:pPr>
              <w:widowControl/>
              <w:snapToGrid w:val="0"/>
              <w:spacing w:line="312" w:lineRule="auto"/>
              <w:jc w:val="center"/>
              <w:textAlignment w:val="center"/>
              <w:rPr>
                <w:rFonts w:ascii="宋体" w:hAnsi="宋体" w:eastAsia="宋体" w:cs="宋体"/>
                <w:kern w:val="0"/>
                <w:sz w:val="21"/>
                <w:szCs w:val="21"/>
              </w:rPr>
            </w:pPr>
            <w:r>
              <w:rPr>
                <w:rFonts w:hint="eastAsia" w:ascii="宋体" w:hAnsi="宋体" w:eastAsia="宋体" w:cs="宋体"/>
                <w:kern w:val="0"/>
                <w:sz w:val="21"/>
                <w:szCs w:val="21"/>
              </w:rPr>
              <w:t>13967615120</w:t>
            </w:r>
          </w:p>
        </w:tc>
      </w:tr>
      <w:tr w14:paraId="40DBCA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tblCellSpacing w:w="15" w:type="dxa"/>
        </w:trPr>
        <w:tc>
          <w:tcPr>
            <w:tcW w:w="4309" w:type="dxa"/>
            <w:noWrap/>
            <w:tcMar>
              <w:top w:w="12" w:type="dxa"/>
              <w:left w:w="12" w:type="dxa"/>
              <w:right w:w="12" w:type="dxa"/>
            </w:tcMar>
            <w:vAlign w:val="center"/>
          </w:tcPr>
          <w:p w14:paraId="7F19EDB6">
            <w:pPr>
              <w:widowControl/>
              <w:snapToGrid w:val="0"/>
              <w:spacing w:line="312" w:lineRule="auto"/>
              <w:jc w:val="center"/>
              <w:textAlignment w:val="center"/>
              <w:rPr>
                <w:rFonts w:ascii="宋体" w:hAnsi="宋体" w:eastAsia="宋体" w:cs="宋体"/>
                <w:kern w:val="0"/>
                <w:sz w:val="21"/>
                <w:szCs w:val="21"/>
              </w:rPr>
            </w:pPr>
            <w:r>
              <w:rPr>
                <w:rFonts w:hint="eastAsia" w:ascii="宋体" w:hAnsi="宋体" w:eastAsia="宋体" w:cs="宋体"/>
                <w:kern w:val="0"/>
                <w:sz w:val="21"/>
                <w:szCs w:val="21"/>
              </w:rPr>
              <w:t>浙江泰隆商业银行</w:t>
            </w:r>
          </w:p>
        </w:tc>
        <w:tc>
          <w:tcPr>
            <w:tcW w:w="2281" w:type="dxa"/>
            <w:noWrap/>
            <w:tcMar>
              <w:top w:w="12" w:type="dxa"/>
              <w:left w:w="12" w:type="dxa"/>
              <w:right w:w="12" w:type="dxa"/>
            </w:tcMar>
            <w:vAlign w:val="center"/>
          </w:tcPr>
          <w:p w14:paraId="3AC7F94B">
            <w:pPr>
              <w:widowControl/>
              <w:snapToGrid w:val="0"/>
              <w:spacing w:line="312" w:lineRule="auto"/>
              <w:jc w:val="center"/>
              <w:textAlignment w:val="center"/>
              <w:rPr>
                <w:rFonts w:ascii="宋体" w:hAnsi="宋体" w:eastAsia="宋体" w:cs="宋体"/>
                <w:kern w:val="0"/>
                <w:sz w:val="21"/>
                <w:szCs w:val="21"/>
              </w:rPr>
            </w:pPr>
            <w:r>
              <w:rPr>
                <w:rFonts w:hint="eastAsia" w:ascii="宋体" w:hAnsi="宋体" w:eastAsia="宋体" w:cs="宋体"/>
                <w:kern w:val="0"/>
                <w:sz w:val="21"/>
                <w:szCs w:val="21"/>
              </w:rPr>
              <w:t>陈超</w:t>
            </w:r>
          </w:p>
        </w:tc>
        <w:tc>
          <w:tcPr>
            <w:tcW w:w="2893" w:type="dxa"/>
            <w:noWrap/>
            <w:tcMar>
              <w:top w:w="12" w:type="dxa"/>
              <w:left w:w="12" w:type="dxa"/>
              <w:right w:w="12" w:type="dxa"/>
            </w:tcMar>
            <w:vAlign w:val="center"/>
          </w:tcPr>
          <w:p w14:paraId="7FAE27DE">
            <w:pPr>
              <w:widowControl/>
              <w:snapToGrid w:val="0"/>
              <w:spacing w:line="312" w:lineRule="auto"/>
              <w:jc w:val="center"/>
              <w:textAlignment w:val="center"/>
              <w:rPr>
                <w:rFonts w:ascii="宋体" w:hAnsi="宋体" w:eastAsia="宋体" w:cs="宋体"/>
                <w:kern w:val="0"/>
                <w:sz w:val="21"/>
                <w:szCs w:val="21"/>
              </w:rPr>
            </w:pPr>
            <w:r>
              <w:rPr>
                <w:rFonts w:hint="eastAsia" w:ascii="宋体" w:hAnsi="宋体" w:eastAsia="宋体" w:cs="宋体"/>
                <w:kern w:val="0"/>
                <w:sz w:val="21"/>
                <w:szCs w:val="21"/>
              </w:rPr>
              <w:t>17858683697</w:t>
            </w:r>
          </w:p>
        </w:tc>
      </w:tr>
      <w:tr w14:paraId="7539E2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tblCellSpacing w:w="15" w:type="dxa"/>
        </w:trPr>
        <w:tc>
          <w:tcPr>
            <w:tcW w:w="4309" w:type="dxa"/>
            <w:noWrap/>
            <w:tcMar>
              <w:top w:w="12" w:type="dxa"/>
              <w:left w:w="12" w:type="dxa"/>
              <w:right w:w="12" w:type="dxa"/>
            </w:tcMar>
            <w:vAlign w:val="center"/>
          </w:tcPr>
          <w:p w14:paraId="67FF34D5">
            <w:pPr>
              <w:widowControl/>
              <w:snapToGrid w:val="0"/>
              <w:spacing w:line="312" w:lineRule="auto"/>
              <w:jc w:val="center"/>
              <w:textAlignment w:val="center"/>
              <w:rPr>
                <w:rFonts w:ascii="宋体" w:hAnsi="宋体" w:eastAsia="宋体" w:cs="宋体"/>
                <w:kern w:val="0"/>
                <w:sz w:val="21"/>
                <w:szCs w:val="21"/>
              </w:rPr>
            </w:pPr>
            <w:r>
              <w:rPr>
                <w:rFonts w:hint="eastAsia" w:ascii="宋体" w:hAnsi="宋体" w:eastAsia="宋体" w:cs="宋体"/>
                <w:kern w:val="0"/>
                <w:sz w:val="21"/>
                <w:szCs w:val="21"/>
              </w:rPr>
              <w:t>浙江民泰商业银行</w:t>
            </w:r>
          </w:p>
        </w:tc>
        <w:tc>
          <w:tcPr>
            <w:tcW w:w="2281" w:type="dxa"/>
            <w:noWrap/>
            <w:tcMar>
              <w:top w:w="12" w:type="dxa"/>
              <w:left w:w="12" w:type="dxa"/>
              <w:right w:w="12" w:type="dxa"/>
            </w:tcMar>
            <w:vAlign w:val="center"/>
          </w:tcPr>
          <w:p w14:paraId="456213F1">
            <w:pPr>
              <w:widowControl/>
              <w:snapToGrid w:val="0"/>
              <w:spacing w:line="312" w:lineRule="auto"/>
              <w:jc w:val="center"/>
              <w:textAlignment w:val="center"/>
              <w:rPr>
                <w:rFonts w:ascii="宋体" w:hAnsi="宋体" w:eastAsia="宋体" w:cs="宋体"/>
                <w:kern w:val="0"/>
                <w:sz w:val="21"/>
                <w:szCs w:val="21"/>
              </w:rPr>
            </w:pPr>
            <w:r>
              <w:rPr>
                <w:rFonts w:hint="eastAsia" w:ascii="宋体" w:hAnsi="宋体" w:eastAsia="宋体" w:cs="宋体"/>
                <w:kern w:val="0"/>
                <w:sz w:val="21"/>
                <w:szCs w:val="21"/>
              </w:rPr>
              <w:t>朱祖优</w:t>
            </w:r>
          </w:p>
        </w:tc>
        <w:tc>
          <w:tcPr>
            <w:tcW w:w="2893" w:type="dxa"/>
            <w:noWrap/>
            <w:tcMar>
              <w:top w:w="12" w:type="dxa"/>
              <w:left w:w="12" w:type="dxa"/>
              <w:right w:w="12" w:type="dxa"/>
            </w:tcMar>
            <w:vAlign w:val="center"/>
          </w:tcPr>
          <w:p w14:paraId="4BFF61E4">
            <w:pPr>
              <w:widowControl/>
              <w:snapToGrid w:val="0"/>
              <w:spacing w:line="312" w:lineRule="auto"/>
              <w:jc w:val="center"/>
              <w:textAlignment w:val="center"/>
              <w:rPr>
                <w:rFonts w:ascii="宋体" w:hAnsi="宋体" w:eastAsia="宋体" w:cs="宋体"/>
                <w:kern w:val="0"/>
                <w:sz w:val="21"/>
                <w:szCs w:val="21"/>
              </w:rPr>
            </w:pPr>
            <w:r>
              <w:rPr>
                <w:rFonts w:hint="eastAsia" w:ascii="宋体" w:hAnsi="宋体" w:eastAsia="宋体" w:cs="宋体"/>
                <w:kern w:val="0"/>
                <w:sz w:val="21"/>
                <w:szCs w:val="21"/>
              </w:rPr>
              <w:t>13858602876</w:t>
            </w:r>
          </w:p>
        </w:tc>
      </w:tr>
      <w:tr w14:paraId="24556C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tblCellSpacing w:w="15" w:type="dxa"/>
        </w:trPr>
        <w:tc>
          <w:tcPr>
            <w:tcW w:w="4309" w:type="dxa"/>
            <w:noWrap/>
            <w:tcMar>
              <w:top w:w="12" w:type="dxa"/>
              <w:left w:w="12" w:type="dxa"/>
              <w:right w:w="12" w:type="dxa"/>
            </w:tcMar>
            <w:vAlign w:val="center"/>
          </w:tcPr>
          <w:p w14:paraId="327DD9CE">
            <w:pPr>
              <w:widowControl/>
              <w:snapToGrid w:val="0"/>
              <w:spacing w:line="312" w:lineRule="auto"/>
              <w:jc w:val="center"/>
              <w:textAlignment w:val="center"/>
              <w:rPr>
                <w:rFonts w:ascii="宋体" w:hAnsi="宋体" w:eastAsia="宋体" w:cs="宋体"/>
                <w:kern w:val="0"/>
                <w:sz w:val="21"/>
                <w:szCs w:val="21"/>
              </w:rPr>
            </w:pPr>
            <w:r>
              <w:rPr>
                <w:rFonts w:hint="eastAsia" w:ascii="宋体" w:hAnsi="宋体" w:eastAsia="宋体" w:cs="宋体"/>
                <w:kern w:val="0"/>
                <w:sz w:val="21"/>
                <w:szCs w:val="21"/>
              </w:rPr>
              <w:t>中国建设银行</w:t>
            </w:r>
          </w:p>
        </w:tc>
        <w:tc>
          <w:tcPr>
            <w:tcW w:w="2281" w:type="dxa"/>
            <w:noWrap/>
            <w:tcMar>
              <w:top w:w="12" w:type="dxa"/>
              <w:left w:w="12" w:type="dxa"/>
              <w:right w:w="12" w:type="dxa"/>
            </w:tcMar>
            <w:vAlign w:val="center"/>
          </w:tcPr>
          <w:p w14:paraId="26735C09">
            <w:pPr>
              <w:widowControl/>
              <w:snapToGrid w:val="0"/>
              <w:spacing w:line="312" w:lineRule="auto"/>
              <w:jc w:val="center"/>
              <w:textAlignment w:val="center"/>
              <w:rPr>
                <w:rFonts w:ascii="宋体" w:hAnsi="宋体" w:eastAsia="宋体" w:cs="宋体"/>
                <w:kern w:val="0"/>
                <w:sz w:val="21"/>
                <w:szCs w:val="21"/>
              </w:rPr>
            </w:pPr>
            <w:r>
              <w:rPr>
                <w:rFonts w:hint="eastAsia" w:ascii="宋体" w:hAnsi="宋体" w:eastAsia="宋体" w:cs="宋体"/>
                <w:kern w:val="0"/>
                <w:sz w:val="21"/>
                <w:szCs w:val="21"/>
              </w:rPr>
              <w:t>徐旭霞</w:t>
            </w:r>
          </w:p>
        </w:tc>
        <w:tc>
          <w:tcPr>
            <w:tcW w:w="2893" w:type="dxa"/>
            <w:noWrap/>
            <w:tcMar>
              <w:top w:w="12" w:type="dxa"/>
              <w:left w:w="12" w:type="dxa"/>
              <w:right w:w="12" w:type="dxa"/>
            </w:tcMar>
            <w:vAlign w:val="center"/>
          </w:tcPr>
          <w:p w14:paraId="367B0621">
            <w:pPr>
              <w:widowControl/>
              <w:snapToGrid w:val="0"/>
              <w:spacing w:line="312" w:lineRule="auto"/>
              <w:jc w:val="center"/>
              <w:textAlignment w:val="center"/>
              <w:rPr>
                <w:rFonts w:ascii="宋体" w:hAnsi="宋体" w:eastAsia="宋体" w:cs="宋体"/>
                <w:kern w:val="0"/>
                <w:sz w:val="21"/>
                <w:szCs w:val="21"/>
              </w:rPr>
            </w:pPr>
            <w:r>
              <w:rPr>
                <w:rFonts w:hint="eastAsia" w:ascii="宋体" w:hAnsi="宋体" w:eastAsia="宋体" w:cs="宋体"/>
                <w:kern w:val="0"/>
                <w:sz w:val="21"/>
                <w:szCs w:val="21"/>
              </w:rPr>
              <w:t>15988932355</w:t>
            </w:r>
          </w:p>
        </w:tc>
      </w:tr>
      <w:tr w14:paraId="1FF08D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tblCellSpacing w:w="15" w:type="dxa"/>
        </w:trPr>
        <w:tc>
          <w:tcPr>
            <w:tcW w:w="4309" w:type="dxa"/>
            <w:noWrap/>
            <w:tcMar>
              <w:top w:w="12" w:type="dxa"/>
              <w:left w:w="12" w:type="dxa"/>
              <w:right w:w="12" w:type="dxa"/>
            </w:tcMar>
            <w:vAlign w:val="center"/>
          </w:tcPr>
          <w:p w14:paraId="58EC163E">
            <w:pPr>
              <w:widowControl/>
              <w:snapToGrid w:val="0"/>
              <w:spacing w:line="312" w:lineRule="auto"/>
              <w:jc w:val="center"/>
              <w:textAlignment w:val="center"/>
              <w:rPr>
                <w:rFonts w:ascii="宋体" w:hAnsi="宋体" w:eastAsia="宋体" w:cs="宋体"/>
                <w:kern w:val="0"/>
                <w:sz w:val="21"/>
                <w:szCs w:val="21"/>
              </w:rPr>
            </w:pPr>
            <w:r>
              <w:rPr>
                <w:rFonts w:hint="eastAsia" w:ascii="宋体" w:hAnsi="宋体" w:eastAsia="宋体" w:cs="宋体"/>
                <w:kern w:val="0"/>
                <w:sz w:val="21"/>
                <w:szCs w:val="21"/>
              </w:rPr>
              <w:t>中国邮政储蓄银行</w:t>
            </w:r>
          </w:p>
        </w:tc>
        <w:tc>
          <w:tcPr>
            <w:tcW w:w="2281" w:type="dxa"/>
            <w:noWrap/>
            <w:tcMar>
              <w:top w:w="12" w:type="dxa"/>
              <w:left w:w="12" w:type="dxa"/>
              <w:right w:w="12" w:type="dxa"/>
            </w:tcMar>
            <w:vAlign w:val="center"/>
          </w:tcPr>
          <w:p w14:paraId="6E680503">
            <w:pPr>
              <w:widowControl/>
              <w:snapToGrid w:val="0"/>
              <w:spacing w:line="312" w:lineRule="auto"/>
              <w:jc w:val="center"/>
              <w:textAlignment w:val="center"/>
              <w:rPr>
                <w:rFonts w:ascii="宋体" w:hAnsi="宋体" w:eastAsia="宋体" w:cs="宋体"/>
                <w:kern w:val="0"/>
                <w:sz w:val="21"/>
                <w:szCs w:val="21"/>
              </w:rPr>
            </w:pPr>
            <w:r>
              <w:rPr>
                <w:rFonts w:hint="eastAsia" w:ascii="宋体" w:hAnsi="宋体" w:eastAsia="宋体" w:cs="宋体"/>
                <w:kern w:val="0"/>
                <w:sz w:val="21"/>
                <w:szCs w:val="21"/>
              </w:rPr>
              <w:t>赵红芳</w:t>
            </w:r>
          </w:p>
        </w:tc>
        <w:tc>
          <w:tcPr>
            <w:tcW w:w="2893" w:type="dxa"/>
            <w:noWrap/>
            <w:tcMar>
              <w:top w:w="12" w:type="dxa"/>
              <w:left w:w="12" w:type="dxa"/>
              <w:right w:w="12" w:type="dxa"/>
            </w:tcMar>
            <w:vAlign w:val="center"/>
          </w:tcPr>
          <w:p w14:paraId="44F2CEBE">
            <w:pPr>
              <w:widowControl/>
              <w:snapToGrid w:val="0"/>
              <w:spacing w:line="312" w:lineRule="auto"/>
              <w:jc w:val="center"/>
              <w:textAlignment w:val="center"/>
              <w:rPr>
                <w:rFonts w:ascii="宋体" w:hAnsi="宋体" w:eastAsia="宋体" w:cs="宋体"/>
                <w:kern w:val="0"/>
                <w:sz w:val="21"/>
                <w:szCs w:val="21"/>
              </w:rPr>
            </w:pPr>
            <w:r>
              <w:rPr>
                <w:rFonts w:hint="eastAsia" w:ascii="宋体" w:hAnsi="宋体" w:eastAsia="宋体" w:cs="宋体"/>
                <w:kern w:val="0"/>
                <w:sz w:val="21"/>
                <w:szCs w:val="21"/>
              </w:rPr>
              <w:t>18968556112</w:t>
            </w:r>
          </w:p>
        </w:tc>
      </w:tr>
      <w:tr w14:paraId="2371B7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tblCellSpacing w:w="15" w:type="dxa"/>
        </w:trPr>
        <w:tc>
          <w:tcPr>
            <w:tcW w:w="4309" w:type="dxa"/>
            <w:noWrap/>
            <w:tcMar>
              <w:top w:w="12" w:type="dxa"/>
              <w:left w:w="12" w:type="dxa"/>
              <w:right w:w="12" w:type="dxa"/>
            </w:tcMar>
            <w:vAlign w:val="center"/>
          </w:tcPr>
          <w:p w14:paraId="2FCC850C">
            <w:pPr>
              <w:widowControl/>
              <w:snapToGrid w:val="0"/>
              <w:spacing w:line="312" w:lineRule="auto"/>
              <w:jc w:val="center"/>
              <w:textAlignment w:val="center"/>
              <w:rPr>
                <w:rFonts w:ascii="宋体" w:hAnsi="宋体" w:eastAsia="宋体" w:cs="宋体"/>
                <w:kern w:val="0"/>
                <w:sz w:val="21"/>
                <w:szCs w:val="21"/>
              </w:rPr>
            </w:pPr>
            <w:r>
              <w:rPr>
                <w:rFonts w:hint="eastAsia" w:ascii="宋体" w:hAnsi="宋体" w:eastAsia="宋体" w:cs="宋体"/>
                <w:kern w:val="0"/>
                <w:sz w:val="21"/>
                <w:szCs w:val="21"/>
              </w:rPr>
              <w:t>农村商业银行</w:t>
            </w:r>
          </w:p>
        </w:tc>
        <w:tc>
          <w:tcPr>
            <w:tcW w:w="2281" w:type="dxa"/>
            <w:noWrap/>
            <w:tcMar>
              <w:top w:w="12" w:type="dxa"/>
              <w:left w:w="12" w:type="dxa"/>
              <w:right w:w="12" w:type="dxa"/>
            </w:tcMar>
            <w:vAlign w:val="center"/>
          </w:tcPr>
          <w:p w14:paraId="5A875011">
            <w:pPr>
              <w:widowControl/>
              <w:snapToGrid w:val="0"/>
              <w:spacing w:line="312" w:lineRule="auto"/>
              <w:jc w:val="center"/>
              <w:textAlignment w:val="center"/>
              <w:rPr>
                <w:rFonts w:ascii="宋体" w:hAnsi="宋体" w:eastAsia="宋体" w:cs="宋体"/>
                <w:kern w:val="0"/>
                <w:sz w:val="21"/>
                <w:szCs w:val="21"/>
              </w:rPr>
            </w:pPr>
            <w:r>
              <w:rPr>
                <w:rFonts w:hint="eastAsia" w:ascii="宋体" w:hAnsi="宋体" w:eastAsia="宋体" w:cs="宋体"/>
                <w:kern w:val="0"/>
                <w:sz w:val="21"/>
                <w:szCs w:val="21"/>
              </w:rPr>
              <w:t>叶斌昇</w:t>
            </w:r>
          </w:p>
        </w:tc>
        <w:tc>
          <w:tcPr>
            <w:tcW w:w="2893" w:type="dxa"/>
            <w:noWrap/>
            <w:tcMar>
              <w:top w:w="12" w:type="dxa"/>
              <w:left w:w="12" w:type="dxa"/>
              <w:right w:w="12" w:type="dxa"/>
            </w:tcMar>
            <w:vAlign w:val="center"/>
          </w:tcPr>
          <w:p w14:paraId="5DB8D56C">
            <w:pPr>
              <w:widowControl/>
              <w:snapToGrid w:val="0"/>
              <w:spacing w:line="312" w:lineRule="auto"/>
              <w:jc w:val="center"/>
              <w:textAlignment w:val="center"/>
              <w:rPr>
                <w:rFonts w:ascii="宋体" w:hAnsi="宋体" w:eastAsia="宋体" w:cs="宋体"/>
                <w:kern w:val="0"/>
                <w:sz w:val="21"/>
                <w:szCs w:val="21"/>
              </w:rPr>
            </w:pPr>
            <w:r>
              <w:rPr>
                <w:rFonts w:hint="eastAsia" w:ascii="宋体" w:hAnsi="宋体" w:eastAsia="宋体" w:cs="宋体"/>
                <w:kern w:val="0"/>
                <w:sz w:val="21"/>
                <w:szCs w:val="21"/>
              </w:rPr>
              <w:t>13806593583</w:t>
            </w:r>
          </w:p>
        </w:tc>
      </w:tr>
      <w:tr w14:paraId="21848F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tblCellSpacing w:w="15" w:type="dxa"/>
        </w:trPr>
        <w:tc>
          <w:tcPr>
            <w:tcW w:w="4309" w:type="dxa"/>
            <w:noWrap/>
            <w:tcMar>
              <w:top w:w="12" w:type="dxa"/>
              <w:left w:w="12" w:type="dxa"/>
              <w:right w:w="12" w:type="dxa"/>
            </w:tcMar>
            <w:vAlign w:val="center"/>
          </w:tcPr>
          <w:p w14:paraId="715BC196">
            <w:pPr>
              <w:widowControl/>
              <w:snapToGrid w:val="0"/>
              <w:spacing w:line="312" w:lineRule="auto"/>
              <w:jc w:val="center"/>
              <w:textAlignment w:val="center"/>
              <w:rPr>
                <w:rFonts w:ascii="宋体" w:hAnsi="宋体" w:eastAsia="宋体" w:cs="宋体"/>
                <w:kern w:val="0"/>
                <w:sz w:val="21"/>
                <w:szCs w:val="21"/>
              </w:rPr>
            </w:pPr>
            <w:r>
              <w:rPr>
                <w:rFonts w:hint="eastAsia" w:ascii="宋体" w:hAnsi="宋体" w:eastAsia="宋体" w:cs="宋体"/>
                <w:kern w:val="0"/>
                <w:sz w:val="21"/>
                <w:szCs w:val="21"/>
              </w:rPr>
              <w:t>台州银行</w:t>
            </w:r>
          </w:p>
        </w:tc>
        <w:tc>
          <w:tcPr>
            <w:tcW w:w="2281" w:type="dxa"/>
            <w:noWrap/>
            <w:tcMar>
              <w:top w:w="12" w:type="dxa"/>
              <w:left w:w="12" w:type="dxa"/>
              <w:right w:w="12" w:type="dxa"/>
            </w:tcMar>
            <w:vAlign w:val="center"/>
          </w:tcPr>
          <w:p w14:paraId="2A9269EB">
            <w:pPr>
              <w:widowControl/>
              <w:snapToGrid w:val="0"/>
              <w:spacing w:line="312" w:lineRule="auto"/>
              <w:jc w:val="center"/>
              <w:textAlignment w:val="center"/>
              <w:rPr>
                <w:rFonts w:ascii="宋体" w:hAnsi="宋体" w:eastAsia="宋体" w:cs="宋体"/>
                <w:kern w:val="0"/>
                <w:sz w:val="21"/>
                <w:szCs w:val="21"/>
              </w:rPr>
            </w:pPr>
            <w:r>
              <w:rPr>
                <w:rFonts w:hint="eastAsia" w:ascii="宋体" w:hAnsi="宋体" w:eastAsia="宋体" w:cs="宋体"/>
                <w:kern w:val="0"/>
                <w:sz w:val="21"/>
                <w:szCs w:val="21"/>
              </w:rPr>
              <w:t>朱翔</w:t>
            </w:r>
          </w:p>
        </w:tc>
        <w:tc>
          <w:tcPr>
            <w:tcW w:w="2893" w:type="dxa"/>
            <w:noWrap/>
            <w:tcMar>
              <w:top w:w="12" w:type="dxa"/>
              <w:left w:w="12" w:type="dxa"/>
              <w:right w:w="12" w:type="dxa"/>
            </w:tcMar>
            <w:vAlign w:val="center"/>
          </w:tcPr>
          <w:p w14:paraId="641EF771">
            <w:pPr>
              <w:widowControl/>
              <w:snapToGrid w:val="0"/>
              <w:spacing w:line="312" w:lineRule="auto"/>
              <w:jc w:val="center"/>
              <w:textAlignment w:val="center"/>
              <w:rPr>
                <w:rFonts w:ascii="宋体" w:hAnsi="宋体" w:eastAsia="宋体" w:cs="宋体"/>
                <w:kern w:val="0"/>
                <w:sz w:val="21"/>
                <w:szCs w:val="21"/>
              </w:rPr>
            </w:pPr>
            <w:r>
              <w:rPr>
                <w:rFonts w:hint="eastAsia" w:ascii="宋体" w:hAnsi="宋体" w:eastAsia="宋体" w:cs="宋体"/>
                <w:kern w:val="0"/>
                <w:sz w:val="21"/>
                <w:szCs w:val="21"/>
              </w:rPr>
              <w:t>13819660917</w:t>
            </w:r>
          </w:p>
        </w:tc>
      </w:tr>
      <w:tr w14:paraId="4537A2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atLeast"/>
          <w:tblCellSpacing w:w="15" w:type="dxa"/>
        </w:trPr>
        <w:tc>
          <w:tcPr>
            <w:tcW w:w="4309" w:type="dxa"/>
            <w:noWrap/>
            <w:tcMar>
              <w:top w:w="12" w:type="dxa"/>
              <w:left w:w="12" w:type="dxa"/>
              <w:right w:w="12" w:type="dxa"/>
            </w:tcMar>
            <w:vAlign w:val="center"/>
          </w:tcPr>
          <w:p w14:paraId="21CA3476">
            <w:pPr>
              <w:widowControl/>
              <w:snapToGrid w:val="0"/>
              <w:spacing w:line="312" w:lineRule="auto"/>
              <w:jc w:val="center"/>
              <w:textAlignment w:val="center"/>
              <w:rPr>
                <w:rFonts w:ascii="宋体" w:hAnsi="宋体" w:eastAsia="宋体" w:cs="宋体"/>
                <w:kern w:val="0"/>
                <w:sz w:val="21"/>
                <w:szCs w:val="21"/>
              </w:rPr>
            </w:pPr>
            <w:r>
              <w:rPr>
                <w:rFonts w:hint="eastAsia" w:ascii="宋体" w:hAnsi="宋体" w:eastAsia="宋体" w:cs="宋体"/>
                <w:kern w:val="0"/>
                <w:sz w:val="21"/>
                <w:szCs w:val="21"/>
              </w:rPr>
              <w:t>中国农业银行</w:t>
            </w:r>
          </w:p>
        </w:tc>
        <w:tc>
          <w:tcPr>
            <w:tcW w:w="2281" w:type="dxa"/>
            <w:noWrap/>
            <w:tcMar>
              <w:top w:w="12" w:type="dxa"/>
              <w:left w:w="12" w:type="dxa"/>
              <w:right w:w="12" w:type="dxa"/>
            </w:tcMar>
            <w:vAlign w:val="center"/>
          </w:tcPr>
          <w:p w14:paraId="3FF71716">
            <w:pPr>
              <w:widowControl/>
              <w:snapToGrid w:val="0"/>
              <w:spacing w:line="312" w:lineRule="auto"/>
              <w:jc w:val="center"/>
              <w:textAlignment w:val="center"/>
              <w:rPr>
                <w:rFonts w:ascii="宋体" w:hAnsi="宋体" w:eastAsia="宋体" w:cs="宋体"/>
                <w:kern w:val="0"/>
                <w:sz w:val="21"/>
                <w:szCs w:val="21"/>
              </w:rPr>
            </w:pPr>
            <w:r>
              <w:rPr>
                <w:rFonts w:hint="eastAsia" w:ascii="宋体" w:hAnsi="宋体" w:eastAsia="宋体" w:cs="宋体"/>
                <w:kern w:val="0"/>
                <w:sz w:val="21"/>
                <w:szCs w:val="21"/>
              </w:rPr>
              <w:t>娄志伟</w:t>
            </w:r>
          </w:p>
        </w:tc>
        <w:tc>
          <w:tcPr>
            <w:tcW w:w="2893" w:type="dxa"/>
            <w:noWrap/>
            <w:tcMar>
              <w:top w:w="12" w:type="dxa"/>
              <w:left w:w="12" w:type="dxa"/>
              <w:right w:w="12" w:type="dxa"/>
            </w:tcMar>
            <w:vAlign w:val="center"/>
          </w:tcPr>
          <w:p w14:paraId="0C92685C">
            <w:pPr>
              <w:widowControl/>
              <w:snapToGrid w:val="0"/>
              <w:spacing w:line="312" w:lineRule="auto"/>
              <w:jc w:val="center"/>
              <w:textAlignment w:val="center"/>
              <w:rPr>
                <w:rFonts w:ascii="宋体" w:hAnsi="宋体" w:eastAsia="宋体" w:cs="宋体"/>
                <w:kern w:val="0"/>
                <w:sz w:val="21"/>
                <w:szCs w:val="21"/>
              </w:rPr>
            </w:pPr>
            <w:r>
              <w:rPr>
                <w:rFonts w:hint="eastAsia" w:ascii="宋体" w:hAnsi="宋体" w:eastAsia="宋体" w:cs="宋体"/>
                <w:kern w:val="0"/>
                <w:sz w:val="21"/>
                <w:szCs w:val="21"/>
              </w:rPr>
              <w:t>13958514828</w:t>
            </w:r>
          </w:p>
        </w:tc>
      </w:tr>
      <w:tr w14:paraId="0214FB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atLeast"/>
          <w:tblCellSpacing w:w="15" w:type="dxa"/>
        </w:trPr>
        <w:tc>
          <w:tcPr>
            <w:tcW w:w="4309" w:type="dxa"/>
            <w:noWrap/>
            <w:tcMar>
              <w:top w:w="12" w:type="dxa"/>
              <w:left w:w="12" w:type="dxa"/>
              <w:right w:w="12" w:type="dxa"/>
            </w:tcMar>
            <w:vAlign w:val="center"/>
          </w:tcPr>
          <w:p w14:paraId="10A58414">
            <w:pPr>
              <w:autoSpaceDE w:val="0"/>
              <w:autoSpaceDN w:val="0"/>
              <w:adjustRightInd w:val="0"/>
              <w:spacing w:line="360" w:lineRule="exact"/>
              <w:jc w:val="center"/>
              <w:rPr>
                <w:rFonts w:ascii="宋体" w:hAnsi="宋体" w:eastAsia="宋体" w:cs="宋体"/>
                <w:kern w:val="0"/>
                <w:sz w:val="21"/>
                <w:szCs w:val="21"/>
              </w:rPr>
            </w:pPr>
            <w:r>
              <w:rPr>
                <w:rFonts w:hint="eastAsia" w:ascii="宋体" w:hAnsi="宋体" w:eastAsia="宋体" w:cs="宋体"/>
                <w:sz w:val="21"/>
                <w:szCs w:val="21"/>
              </w:rPr>
              <w:t>台州银行</w:t>
            </w:r>
          </w:p>
        </w:tc>
        <w:tc>
          <w:tcPr>
            <w:tcW w:w="2281" w:type="dxa"/>
            <w:noWrap/>
            <w:tcMar>
              <w:top w:w="12" w:type="dxa"/>
              <w:left w:w="12" w:type="dxa"/>
              <w:right w:w="12" w:type="dxa"/>
            </w:tcMar>
            <w:vAlign w:val="center"/>
          </w:tcPr>
          <w:p w14:paraId="5CC44934">
            <w:pPr>
              <w:autoSpaceDE w:val="0"/>
              <w:autoSpaceDN w:val="0"/>
              <w:adjustRightInd w:val="0"/>
              <w:spacing w:line="360" w:lineRule="exact"/>
              <w:jc w:val="center"/>
              <w:rPr>
                <w:rFonts w:ascii="宋体" w:hAnsi="宋体" w:eastAsia="宋体" w:cs="宋体"/>
                <w:kern w:val="0"/>
                <w:sz w:val="21"/>
                <w:szCs w:val="21"/>
              </w:rPr>
            </w:pPr>
            <w:r>
              <w:rPr>
                <w:rFonts w:hint="eastAsia" w:ascii="宋体" w:hAnsi="宋体" w:eastAsia="宋体" w:cs="宋体"/>
                <w:sz w:val="21"/>
                <w:szCs w:val="21"/>
              </w:rPr>
              <w:t>朱翔</w:t>
            </w:r>
          </w:p>
        </w:tc>
        <w:tc>
          <w:tcPr>
            <w:tcW w:w="2893" w:type="dxa"/>
            <w:noWrap/>
            <w:tcMar>
              <w:top w:w="12" w:type="dxa"/>
              <w:left w:w="12" w:type="dxa"/>
              <w:right w:w="12" w:type="dxa"/>
            </w:tcMar>
            <w:vAlign w:val="center"/>
          </w:tcPr>
          <w:p w14:paraId="5D06F57B">
            <w:pPr>
              <w:autoSpaceDE w:val="0"/>
              <w:autoSpaceDN w:val="0"/>
              <w:adjustRightInd w:val="0"/>
              <w:spacing w:line="360" w:lineRule="exact"/>
              <w:jc w:val="center"/>
              <w:rPr>
                <w:rFonts w:ascii="宋体" w:hAnsi="宋体" w:eastAsia="宋体" w:cs="宋体"/>
                <w:kern w:val="0"/>
                <w:sz w:val="21"/>
                <w:szCs w:val="21"/>
              </w:rPr>
            </w:pPr>
            <w:r>
              <w:rPr>
                <w:rFonts w:hint="eastAsia" w:ascii="宋体" w:hAnsi="宋体" w:eastAsia="宋体" w:cs="宋体"/>
                <w:sz w:val="21"/>
                <w:szCs w:val="21"/>
              </w:rPr>
              <w:t>13819660917</w:t>
            </w:r>
          </w:p>
        </w:tc>
      </w:tr>
    </w:tbl>
    <w:p w14:paraId="319851F3">
      <w:pPr>
        <w:pStyle w:val="18"/>
        <w:snapToGrid w:val="0"/>
        <w:spacing w:before="0" w:beforeAutospacing="0" w:after="0" w:afterAutospacing="0" w:line="312" w:lineRule="auto"/>
        <w:jc w:val="center"/>
        <w:rPr>
          <w:rFonts w:hint="default" w:eastAsia="宋体" w:cs="宋体"/>
          <w:b/>
          <w:kern w:val="2"/>
          <w:sz w:val="21"/>
          <w:szCs w:val="21"/>
        </w:rPr>
      </w:pPr>
    </w:p>
    <w:p w14:paraId="1164C827">
      <w:pPr>
        <w:pStyle w:val="18"/>
        <w:snapToGrid w:val="0"/>
        <w:spacing w:before="0" w:beforeAutospacing="0" w:after="0" w:afterAutospacing="0" w:line="312" w:lineRule="auto"/>
        <w:jc w:val="center"/>
        <w:rPr>
          <w:rFonts w:hint="default" w:eastAsia="宋体" w:cs="宋体"/>
          <w:b/>
          <w:kern w:val="2"/>
          <w:sz w:val="21"/>
          <w:szCs w:val="21"/>
        </w:rPr>
      </w:pPr>
      <w:r>
        <w:rPr>
          <w:rFonts w:eastAsia="宋体" w:cs="宋体"/>
          <w:b/>
          <w:kern w:val="2"/>
          <w:sz w:val="21"/>
          <w:szCs w:val="21"/>
        </w:rPr>
        <w:t>履约保函、预付款保函相关说明</w:t>
      </w:r>
    </w:p>
    <w:tbl>
      <w:tblPr>
        <w:tblStyle w:val="21"/>
        <w:tblW w:w="9539" w:type="dxa"/>
        <w:tblInd w:w="6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77"/>
        <w:gridCol w:w="5384"/>
        <w:gridCol w:w="1778"/>
      </w:tblGrid>
      <w:tr w14:paraId="0C90A8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4" w:hRule="atLeast"/>
        </w:trPr>
        <w:tc>
          <w:tcPr>
            <w:tcW w:w="2377" w:type="dxa"/>
            <w:vAlign w:val="center"/>
          </w:tcPr>
          <w:p w14:paraId="59516428">
            <w:pPr>
              <w:jc w:val="center"/>
              <w:rPr>
                <w:rFonts w:ascii="宋体" w:hAnsi="宋体" w:eastAsia="宋体" w:cs="宋体"/>
                <w:b/>
                <w:bCs/>
                <w:sz w:val="21"/>
                <w:szCs w:val="21"/>
              </w:rPr>
            </w:pPr>
            <w:r>
              <w:rPr>
                <w:rFonts w:hint="eastAsia" w:ascii="宋体" w:hAnsi="宋体" w:eastAsia="宋体" w:cs="宋体"/>
                <w:b/>
                <w:bCs/>
                <w:sz w:val="21"/>
                <w:szCs w:val="21"/>
              </w:rPr>
              <w:t>金融机构名称及意愿承担保函（保单）种类</w:t>
            </w:r>
          </w:p>
        </w:tc>
        <w:tc>
          <w:tcPr>
            <w:tcW w:w="5384" w:type="dxa"/>
            <w:vAlign w:val="center"/>
          </w:tcPr>
          <w:p w14:paraId="16EFBCC2">
            <w:pPr>
              <w:jc w:val="center"/>
              <w:rPr>
                <w:rFonts w:ascii="宋体" w:hAnsi="宋体" w:eastAsia="宋体" w:cs="宋体"/>
                <w:b/>
                <w:bCs/>
                <w:sz w:val="21"/>
                <w:szCs w:val="21"/>
              </w:rPr>
            </w:pPr>
            <w:r>
              <w:rPr>
                <w:rFonts w:hint="eastAsia" w:ascii="宋体" w:hAnsi="宋体" w:eastAsia="宋体" w:cs="宋体"/>
                <w:b/>
                <w:bCs/>
                <w:sz w:val="21"/>
                <w:szCs w:val="21"/>
              </w:rPr>
              <w:t>保函（保单）收费情况</w:t>
            </w:r>
          </w:p>
        </w:tc>
        <w:tc>
          <w:tcPr>
            <w:tcW w:w="1778" w:type="dxa"/>
            <w:vAlign w:val="center"/>
          </w:tcPr>
          <w:p w14:paraId="4638C093">
            <w:pPr>
              <w:jc w:val="center"/>
              <w:rPr>
                <w:rFonts w:ascii="宋体" w:hAnsi="宋体" w:eastAsia="宋体" w:cs="宋体"/>
                <w:b/>
                <w:bCs/>
                <w:sz w:val="21"/>
                <w:szCs w:val="21"/>
              </w:rPr>
            </w:pPr>
            <w:r>
              <w:rPr>
                <w:rFonts w:hint="eastAsia" w:ascii="宋体" w:hAnsi="宋体" w:eastAsia="宋体" w:cs="宋体"/>
                <w:b/>
                <w:bCs/>
                <w:sz w:val="21"/>
                <w:szCs w:val="21"/>
              </w:rPr>
              <w:t>联系人及联系方式</w:t>
            </w:r>
          </w:p>
        </w:tc>
      </w:tr>
      <w:tr w14:paraId="30CF86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trPr>
        <w:tc>
          <w:tcPr>
            <w:tcW w:w="2377" w:type="dxa"/>
            <w:vAlign w:val="center"/>
          </w:tcPr>
          <w:p w14:paraId="05A98FA1">
            <w:pPr>
              <w:rPr>
                <w:rFonts w:ascii="宋体" w:hAnsi="宋体" w:eastAsia="宋体" w:cs="宋体"/>
                <w:sz w:val="21"/>
                <w:szCs w:val="21"/>
              </w:rPr>
            </w:pPr>
            <w:r>
              <w:rPr>
                <w:rFonts w:hint="eastAsia" w:ascii="宋体" w:hAnsi="宋体" w:eastAsia="宋体" w:cs="宋体"/>
                <w:sz w:val="21"/>
                <w:szCs w:val="21"/>
              </w:rPr>
              <w:t>机构名称：中国工商银行股份有限公司仙居支行</w:t>
            </w:r>
          </w:p>
          <w:p w14:paraId="3D8E8019">
            <w:pPr>
              <w:rPr>
                <w:rFonts w:ascii="宋体" w:hAnsi="宋体" w:eastAsia="宋体" w:cs="宋体"/>
                <w:sz w:val="21"/>
                <w:szCs w:val="21"/>
              </w:rPr>
            </w:pPr>
            <w:r>
              <w:rPr>
                <w:rFonts w:hint="eastAsia" w:ascii="宋体" w:hAnsi="宋体" w:eastAsia="宋体" w:cs="宋体"/>
                <w:sz w:val="21"/>
                <w:szCs w:val="21"/>
              </w:rPr>
              <w:t>履约保函： 是</w:t>
            </w:r>
          </w:p>
          <w:p w14:paraId="52B5F113">
            <w:pPr>
              <w:rPr>
                <w:rFonts w:ascii="宋体" w:hAnsi="宋体" w:eastAsia="宋体" w:cs="宋体"/>
                <w:sz w:val="21"/>
                <w:szCs w:val="21"/>
              </w:rPr>
            </w:pPr>
            <w:r>
              <w:rPr>
                <w:rFonts w:hint="eastAsia" w:ascii="宋体" w:hAnsi="宋体" w:eastAsia="宋体" w:cs="宋体"/>
                <w:sz w:val="21"/>
                <w:szCs w:val="21"/>
              </w:rPr>
              <w:t>预付款保函： 是</w:t>
            </w:r>
          </w:p>
          <w:p w14:paraId="52CF0EF6">
            <w:pPr>
              <w:rPr>
                <w:rFonts w:ascii="宋体" w:hAnsi="宋体" w:eastAsia="宋体" w:cs="宋体"/>
                <w:sz w:val="21"/>
                <w:szCs w:val="21"/>
              </w:rPr>
            </w:pPr>
          </w:p>
        </w:tc>
        <w:tc>
          <w:tcPr>
            <w:tcW w:w="5384" w:type="dxa"/>
            <w:vAlign w:val="center"/>
          </w:tcPr>
          <w:p w14:paraId="138176A5">
            <w:pPr>
              <w:rPr>
                <w:rFonts w:ascii="宋体" w:hAnsi="宋体" w:eastAsia="宋体" w:cs="宋体"/>
                <w:sz w:val="21"/>
                <w:szCs w:val="21"/>
              </w:rPr>
            </w:pPr>
            <w:r>
              <w:rPr>
                <w:rFonts w:hint="eastAsia" w:ascii="宋体" w:hAnsi="宋体" w:eastAsia="宋体" w:cs="宋体"/>
                <w:sz w:val="21"/>
                <w:szCs w:val="21"/>
              </w:rPr>
              <w:t>对外保函服务</w:t>
            </w:r>
          </w:p>
          <w:p w14:paraId="6B368F1E">
            <w:pPr>
              <w:rPr>
                <w:rFonts w:ascii="宋体" w:hAnsi="宋体" w:eastAsia="宋体" w:cs="宋体"/>
                <w:sz w:val="21"/>
                <w:szCs w:val="21"/>
              </w:rPr>
            </w:pPr>
            <w:r>
              <w:rPr>
                <w:rFonts w:hint="eastAsia" w:ascii="宋体" w:hAnsi="宋体" w:eastAsia="宋体" w:cs="宋体"/>
                <w:sz w:val="21"/>
                <w:szCs w:val="21"/>
              </w:rPr>
              <w:t>1.开立及展期费担保费率：</w:t>
            </w:r>
          </w:p>
          <w:p w14:paraId="22ABDC6D">
            <w:pPr>
              <w:rPr>
                <w:rFonts w:ascii="宋体" w:hAnsi="宋体" w:eastAsia="宋体" w:cs="宋体"/>
                <w:sz w:val="21"/>
                <w:szCs w:val="21"/>
              </w:rPr>
            </w:pPr>
            <w:r>
              <w:rPr>
                <w:rFonts w:hint="eastAsia" w:ascii="宋体" w:hAnsi="宋体" w:eastAsia="宋体" w:cs="宋体"/>
                <w:sz w:val="21"/>
                <w:szCs w:val="21"/>
              </w:rPr>
              <w:t>（1)融资性保函：期限在一年（含）以内，客户按担保额度0.05-0.25%/月计收。最小计费周期为实际月（按实际发生天数，从保函生效之日至失效日计算，30天为1月），期限不足1月的按1个月计收。最低500元／季。</w:t>
            </w:r>
          </w:p>
          <w:p w14:paraId="0BD04B06">
            <w:pPr>
              <w:rPr>
                <w:rFonts w:ascii="宋体" w:hAnsi="宋体" w:eastAsia="宋体" w:cs="宋体"/>
                <w:sz w:val="21"/>
                <w:szCs w:val="21"/>
              </w:rPr>
            </w:pPr>
            <w:r>
              <w:rPr>
                <w:rFonts w:hint="eastAsia" w:ascii="宋体" w:hAnsi="宋体" w:eastAsia="宋体" w:cs="宋体"/>
                <w:sz w:val="21"/>
                <w:szCs w:val="21"/>
              </w:rPr>
              <w:t>（2)非融资性保函：期限在一年（含）以内，客户按0.027-0.167%/月计收。最小计费周期为实际月（按实际发生天数，从保函生效之日至失效日计算，30天为1月），期限不足1月的按1个月计收。最低500元／季。</w:t>
            </w:r>
          </w:p>
          <w:p w14:paraId="46F17541">
            <w:pPr>
              <w:rPr>
                <w:rFonts w:ascii="宋体" w:hAnsi="宋体" w:eastAsia="宋体" w:cs="宋体"/>
                <w:sz w:val="21"/>
                <w:szCs w:val="21"/>
              </w:rPr>
            </w:pPr>
            <w:r>
              <w:rPr>
                <w:rFonts w:hint="eastAsia" w:ascii="宋体" w:hAnsi="宋体" w:eastAsia="宋体" w:cs="宋体"/>
                <w:sz w:val="21"/>
                <w:szCs w:val="21"/>
              </w:rPr>
              <w:t>（3)担保期限超过一年的，每增加一年整体费率提高10%（单利）。若担保文本未明确确定的到期日或含有自动延展性质条款的，我行可按根据基础合同和担保文本的有关约定推算出的担保最长有效期调整对应的费率。</w:t>
            </w:r>
          </w:p>
          <w:p w14:paraId="5BDDE168">
            <w:pPr>
              <w:rPr>
                <w:rFonts w:ascii="宋体" w:hAnsi="宋体" w:eastAsia="宋体" w:cs="宋体"/>
                <w:sz w:val="21"/>
                <w:szCs w:val="21"/>
              </w:rPr>
            </w:pPr>
            <w:r>
              <w:rPr>
                <w:rFonts w:hint="eastAsia" w:ascii="宋体" w:hAnsi="宋体" w:eastAsia="宋体" w:cs="宋体"/>
                <w:sz w:val="21"/>
                <w:szCs w:val="21"/>
              </w:rPr>
              <w:t>如企业划型为小微企业的，以上手续费全免。</w:t>
            </w:r>
          </w:p>
        </w:tc>
        <w:tc>
          <w:tcPr>
            <w:tcW w:w="1778" w:type="dxa"/>
            <w:vAlign w:val="center"/>
          </w:tcPr>
          <w:p w14:paraId="0663A88F">
            <w:pPr>
              <w:jc w:val="left"/>
              <w:rPr>
                <w:rFonts w:ascii="宋体" w:hAnsi="宋体" w:eastAsia="宋体" w:cs="宋体"/>
                <w:sz w:val="21"/>
                <w:szCs w:val="21"/>
              </w:rPr>
            </w:pPr>
            <w:r>
              <w:rPr>
                <w:rFonts w:hint="eastAsia" w:ascii="宋体" w:hAnsi="宋体" w:eastAsia="宋体" w:cs="宋体"/>
                <w:sz w:val="21"/>
                <w:szCs w:val="21"/>
              </w:rPr>
              <w:t>王健永13967615120</w:t>
            </w:r>
          </w:p>
        </w:tc>
      </w:tr>
      <w:tr w14:paraId="010137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2" w:hRule="atLeast"/>
        </w:trPr>
        <w:tc>
          <w:tcPr>
            <w:tcW w:w="2377" w:type="dxa"/>
            <w:vAlign w:val="center"/>
          </w:tcPr>
          <w:p w14:paraId="30D49C69">
            <w:pPr>
              <w:rPr>
                <w:rFonts w:ascii="宋体" w:hAnsi="宋体" w:eastAsia="宋体" w:cs="宋体"/>
                <w:sz w:val="21"/>
                <w:szCs w:val="21"/>
              </w:rPr>
            </w:pPr>
            <w:r>
              <w:rPr>
                <w:rFonts w:hint="eastAsia" w:ascii="宋体" w:hAnsi="宋体" w:eastAsia="宋体" w:cs="宋体"/>
                <w:sz w:val="21"/>
                <w:szCs w:val="21"/>
              </w:rPr>
              <w:t>机构名称：浙江泰隆商业银行台州仙居支行</w:t>
            </w:r>
          </w:p>
          <w:p w14:paraId="795EC84C">
            <w:pPr>
              <w:rPr>
                <w:rFonts w:ascii="宋体" w:hAnsi="宋体" w:eastAsia="宋体" w:cs="宋体"/>
                <w:sz w:val="21"/>
                <w:szCs w:val="21"/>
              </w:rPr>
            </w:pPr>
            <w:r>
              <w:rPr>
                <w:rFonts w:hint="eastAsia" w:ascii="宋体" w:hAnsi="宋体" w:eastAsia="宋体" w:cs="宋体"/>
                <w:sz w:val="21"/>
                <w:szCs w:val="21"/>
              </w:rPr>
              <w:t>履约保函：是</w:t>
            </w:r>
          </w:p>
          <w:p w14:paraId="7FE25E39">
            <w:pPr>
              <w:rPr>
                <w:rFonts w:ascii="宋体" w:hAnsi="宋体" w:eastAsia="宋体" w:cs="宋体"/>
                <w:sz w:val="21"/>
                <w:szCs w:val="21"/>
              </w:rPr>
            </w:pPr>
            <w:r>
              <w:rPr>
                <w:rFonts w:hint="eastAsia" w:ascii="宋体" w:hAnsi="宋体" w:eastAsia="宋体" w:cs="宋体"/>
                <w:sz w:val="21"/>
                <w:szCs w:val="21"/>
              </w:rPr>
              <w:t>预付款保函：是</w:t>
            </w:r>
          </w:p>
          <w:p w14:paraId="79488613">
            <w:pPr>
              <w:rPr>
                <w:rFonts w:ascii="宋体" w:hAnsi="宋体" w:eastAsia="宋体" w:cs="宋体"/>
                <w:sz w:val="21"/>
                <w:szCs w:val="21"/>
              </w:rPr>
            </w:pPr>
            <w:r>
              <w:rPr>
                <w:rFonts w:hint="eastAsia" w:ascii="宋体" w:hAnsi="宋体" w:eastAsia="宋体" w:cs="宋体"/>
                <w:sz w:val="21"/>
                <w:szCs w:val="21"/>
              </w:rPr>
              <w:t>备注：我行目前只有线下模式</w:t>
            </w:r>
          </w:p>
        </w:tc>
        <w:tc>
          <w:tcPr>
            <w:tcW w:w="5384" w:type="dxa"/>
            <w:vAlign w:val="center"/>
          </w:tcPr>
          <w:p w14:paraId="3CAAEB5D">
            <w:pPr>
              <w:rPr>
                <w:rFonts w:ascii="宋体" w:hAnsi="宋体" w:eastAsia="宋体" w:cs="宋体"/>
                <w:sz w:val="21"/>
                <w:szCs w:val="21"/>
              </w:rPr>
            </w:pPr>
            <w:r>
              <w:rPr>
                <w:rFonts w:hint="eastAsia" w:ascii="宋体" w:hAnsi="宋体" w:eastAsia="宋体" w:cs="宋体"/>
                <w:sz w:val="21"/>
                <w:szCs w:val="21"/>
              </w:rPr>
              <w:t>根据保证金比例不同，参照下述费率计收：</w:t>
            </w:r>
          </w:p>
          <w:p w14:paraId="18D4980E">
            <w:pPr>
              <w:rPr>
                <w:rFonts w:ascii="宋体" w:hAnsi="宋体" w:eastAsia="宋体" w:cs="宋体"/>
                <w:sz w:val="21"/>
                <w:szCs w:val="21"/>
              </w:rPr>
            </w:pPr>
            <w:r>
              <w:rPr>
                <w:rFonts w:hint="eastAsia" w:ascii="宋体" w:hAnsi="宋体" w:eastAsia="宋体" w:cs="宋体"/>
                <w:sz w:val="21"/>
                <w:szCs w:val="21"/>
              </w:rPr>
              <w:t>全额保证金，500一年；</w:t>
            </w:r>
          </w:p>
          <w:p w14:paraId="6C4B1FD0">
            <w:pPr>
              <w:rPr>
                <w:rFonts w:ascii="宋体" w:hAnsi="宋体" w:eastAsia="宋体" w:cs="宋体"/>
                <w:sz w:val="21"/>
                <w:szCs w:val="21"/>
              </w:rPr>
            </w:pPr>
            <w:r>
              <w:rPr>
                <w:rFonts w:hint="eastAsia" w:ascii="宋体" w:hAnsi="宋体" w:eastAsia="宋体" w:cs="宋体"/>
                <w:sz w:val="21"/>
                <w:szCs w:val="21"/>
              </w:rPr>
              <w:t>保证金比例50%以下，保函敞口金额的1.25‰/季，最低500元/季；</w:t>
            </w:r>
          </w:p>
          <w:p w14:paraId="4C5813E8">
            <w:pPr>
              <w:rPr>
                <w:rFonts w:ascii="宋体" w:hAnsi="宋体" w:eastAsia="宋体" w:cs="宋体"/>
                <w:sz w:val="21"/>
                <w:szCs w:val="21"/>
              </w:rPr>
            </w:pPr>
            <w:r>
              <w:rPr>
                <w:rFonts w:hint="eastAsia" w:ascii="宋体" w:hAnsi="宋体" w:eastAsia="宋体" w:cs="宋体"/>
                <w:sz w:val="21"/>
                <w:szCs w:val="21"/>
              </w:rPr>
              <w:t>保证金比例50%（含）以上，保函敞口金额的1‰/季，最低500元/季。</w:t>
            </w:r>
          </w:p>
          <w:p w14:paraId="4CD03787">
            <w:pPr>
              <w:rPr>
                <w:rFonts w:ascii="宋体" w:hAnsi="宋体" w:eastAsia="宋体" w:cs="宋体"/>
                <w:sz w:val="21"/>
                <w:szCs w:val="21"/>
              </w:rPr>
            </w:pPr>
            <w:r>
              <w:rPr>
                <w:rFonts w:hint="eastAsia" w:ascii="宋体" w:hAnsi="宋体" w:eastAsia="宋体" w:cs="宋体"/>
                <w:sz w:val="21"/>
                <w:szCs w:val="21"/>
              </w:rPr>
              <w:t>涉及保函增额，增额部分参照开立保函收费标准另行收费，延期修改按照300/次的标准另行收费；</w:t>
            </w:r>
          </w:p>
          <w:p w14:paraId="234E28E5">
            <w:pPr>
              <w:rPr>
                <w:rFonts w:ascii="宋体" w:hAnsi="宋体" w:eastAsia="宋体" w:cs="宋体"/>
                <w:sz w:val="21"/>
                <w:szCs w:val="21"/>
              </w:rPr>
            </w:pPr>
            <w:r>
              <w:rPr>
                <w:rFonts w:hint="eastAsia" w:ascii="宋体" w:hAnsi="宋体" w:eastAsia="宋体" w:cs="宋体"/>
                <w:sz w:val="21"/>
                <w:szCs w:val="21"/>
              </w:rPr>
              <w:t>按年收费项目不足一年按一年计收，超过一年三十天按照两年计收（从保函开立之日起390天（含）为一个年度三十天）</w:t>
            </w:r>
          </w:p>
          <w:p w14:paraId="3C14A1C4">
            <w:pPr>
              <w:rPr>
                <w:rFonts w:ascii="宋体" w:hAnsi="宋体" w:eastAsia="宋体" w:cs="宋体"/>
                <w:sz w:val="21"/>
                <w:szCs w:val="21"/>
              </w:rPr>
            </w:pPr>
            <w:r>
              <w:rPr>
                <w:rFonts w:hint="eastAsia" w:ascii="宋体" w:hAnsi="宋体" w:eastAsia="宋体" w:cs="宋体"/>
                <w:sz w:val="21"/>
                <w:szCs w:val="21"/>
              </w:rPr>
              <w:t>按季收费项目不足一季按一季度计收，超过一季度十天的按两季度计收（从保函开立之日起100天（含）为一个季度十天）</w:t>
            </w:r>
          </w:p>
        </w:tc>
        <w:tc>
          <w:tcPr>
            <w:tcW w:w="1778" w:type="dxa"/>
            <w:vAlign w:val="center"/>
          </w:tcPr>
          <w:p w14:paraId="314FABA5">
            <w:pPr>
              <w:jc w:val="left"/>
              <w:rPr>
                <w:rFonts w:ascii="宋体" w:hAnsi="宋体" w:eastAsia="宋体" w:cs="宋体"/>
                <w:sz w:val="21"/>
                <w:szCs w:val="21"/>
              </w:rPr>
            </w:pPr>
            <w:r>
              <w:rPr>
                <w:rFonts w:hint="eastAsia" w:ascii="宋体" w:hAnsi="宋体" w:eastAsia="宋体" w:cs="宋体"/>
                <w:sz w:val="21"/>
                <w:szCs w:val="21"/>
              </w:rPr>
              <w:t>银行联系人：陈超17858683697</w:t>
            </w:r>
          </w:p>
          <w:p w14:paraId="5E37597B">
            <w:pPr>
              <w:jc w:val="left"/>
              <w:rPr>
                <w:rFonts w:ascii="宋体" w:hAnsi="宋体" w:eastAsia="宋体" w:cs="宋体"/>
                <w:sz w:val="21"/>
                <w:szCs w:val="21"/>
              </w:rPr>
            </w:pPr>
            <w:r>
              <w:rPr>
                <w:rFonts w:hint="eastAsia" w:ascii="宋体" w:hAnsi="宋体" w:eastAsia="宋体" w:cs="宋体"/>
                <w:sz w:val="21"/>
                <w:szCs w:val="21"/>
              </w:rPr>
              <w:t>具体保函业务办理客户经理：王英15868677616</w:t>
            </w:r>
          </w:p>
        </w:tc>
      </w:tr>
      <w:tr w14:paraId="312518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1" w:hRule="atLeast"/>
        </w:trPr>
        <w:tc>
          <w:tcPr>
            <w:tcW w:w="2377" w:type="dxa"/>
            <w:vAlign w:val="center"/>
          </w:tcPr>
          <w:p w14:paraId="2674355F">
            <w:pPr>
              <w:rPr>
                <w:rFonts w:ascii="宋体" w:hAnsi="宋体" w:eastAsia="宋体" w:cs="宋体"/>
                <w:sz w:val="21"/>
                <w:szCs w:val="21"/>
              </w:rPr>
            </w:pPr>
            <w:r>
              <w:rPr>
                <w:rFonts w:hint="eastAsia" w:ascii="宋体" w:hAnsi="宋体" w:eastAsia="宋体" w:cs="宋体"/>
                <w:sz w:val="21"/>
                <w:szCs w:val="21"/>
              </w:rPr>
              <w:t>机构名称：仙居农商银行</w:t>
            </w:r>
          </w:p>
          <w:p w14:paraId="2720B047">
            <w:pPr>
              <w:rPr>
                <w:rFonts w:ascii="宋体" w:hAnsi="宋体" w:eastAsia="宋体" w:cs="宋体"/>
                <w:sz w:val="21"/>
                <w:szCs w:val="21"/>
              </w:rPr>
            </w:pPr>
            <w:r>
              <w:rPr>
                <w:rFonts w:hint="eastAsia" w:ascii="宋体" w:hAnsi="宋体" w:eastAsia="宋体" w:cs="宋体"/>
                <w:sz w:val="21"/>
                <w:szCs w:val="21"/>
              </w:rPr>
              <w:t>履约保函：是</w:t>
            </w:r>
          </w:p>
          <w:p w14:paraId="00C190B6">
            <w:pPr>
              <w:rPr>
                <w:rFonts w:ascii="宋体" w:hAnsi="宋体" w:eastAsia="宋体" w:cs="宋体"/>
                <w:sz w:val="21"/>
                <w:szCs w:val="21"/>
              </w:rPr>
            </w:pPr>
            <w:r>
              <w:rPr>
                <w:rFonts w:hint="eastAsia" w:ascii="宋体" w:hAnsi="宋体" w:eastAsia="宋体" w:cs="宋体"/>
                <w:sz w:val="21"/>
                <w:szCs w:val="21"/>
              </w:rPr>
              <w:t>预付款保函：是</w:t>
            </w:r>
          </w:p>
        </w:tc>
        <w:tc>
          <w:tcPr>
            <w:tcW w:w="5384" w:type="dxa"/>
            <w:vAlign w:val="center"/>
          </w:tcPr>
          <w:p w14:paraId="62E6F564">
            <w:pPr>
              <w:rPr>
                <w:rFonts w:ascii="宋体" w:hAnsi="宋体" w:eastAsia="宋体" w:cs="宋体"/>
                <w:sz w:val="21"/>
                <w:szCs w:val="21"/>
              </w:rPr>
            </w:pPr>
            <w:r>
              <w:rPr>
                <w:rFonts w:hint="eastAsia" w:ascii="宋体" w:hAnsi="宋体" w:eastAsia="宋体" w:cs="宋体"/>
                <w:sz w:val="21"/>
                <w:szCs w:val="21"/>
              </w:rPr>
              <w:t>合同（质量）履约按履约保证金年费率万分之五，在出具保函前一次性收取。</w:t>
            </w:r>
          </w:p>
        </w:tc>
        <w:tc>
          <w:tcPr>
            <w:tcW w:w="1778" w:type="dxa"/>
            <w:vAlign w:val="center"/>
          </w:tcPr>
          <w:p w14:paraId="00C2FADD">
            <w:pPr>
              <w:jc w:val="left"/>
              <w:rPr>
                <w:rFonts w:ascii="宋体" w:hAnsi="宋体" w:eastAsia="宋体" w:cs="宋体"/>
                <w:sz w:val="21"/>
                <w:szCs w:val="21"/>
              </w:rPr>
            </w:pPr>
            <w:r>
              <w:rPr>
                <w:rFonts w:hint="eastAsia" w:ascii="宋体" w:hAnsi="宋体" w:eastAsia="宋体" w:cs="宋体"/>
                <w:sz w:val="21"/>
                <w:szCs w:val="21"/>
              </w:rPr>
              <w:t>李杭13586233529</w:t>
            </w:r>
          </w:p>
        </w:tc>
      </w:tr>
      <w:tr w14:paraId="618EE0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6" w:hRule="atLeast"/>
        </w:trPr>
        <w:tc>
          <w:tcPr>
            <w:tcW w:w="2377" w:type="dxa"/>
            <w:vAlign w:val="center"/>
          </w:tcPr>
          <w:p w14:paraId="13632FF9">
            <w:pPr>
              <w:rPr>
                <w:rFonts w:ascii="宋体" w:hAnsi="宋体" w:eastAsia="宋体" w:cs="宋体"/>
                <w:sz w:val="21"/>
                <w:szCs w:val="21"/>
              </w:rPr>
            </w:pPr>
            <w:r>
              <w:rPr>
                <w:rFonts w:hint="eastAsia" w:ascii="宋体" w:hAnsi="宋体" w:eastAsia="宋体" w:cs="宋体"/>
                <w:sz w:val="21"/>
                <w:szCs w:val="21"/>
              </w:rPr>
              <w:t>机构名称：仙居中国银行</w:t>
            </w:r>
          </w:p>
          <w:p w14:paraId="744F1795">
            <w:pPr>
              <w:rPr>
                <w:rFonts w:ascii="宋体" w:hAnsi="宋体" w:eastAsia="宋体" w:cs="宋体"/>
                <w:sz w:val="21"/>
                <w:szCs w:val="21"/>
              </w:rPr>
            </w:pPr>
            <w:r>
              <w:rPr>
                <w:rFonts w:hint="eastAsia" w:ascii="宋体" w:hAnsi="宋体" w:eastAsia="宋体" w:cs="宋体"/>
                <w:sz w:val="21"/>
                <w:szCs w:val="21"/>
              </w:rPr>
              <w:t>履约保函：是</w:t>
            </w:r>
          </w:p>
          <w:p w14:paraId="3F38872A">
            <w:pPr>
              <w:rPr>
                <w:rFonts w:ascii="宋体" w:hAnsi="宋体" w:eastAsia="宋体" w:cs="宋体"/>
                <w:sz w:val="21"/>
                <w:szCs w:val="21"/>
              </w:rPr>
            </w:pPr>
            <w:r>
              <w:rPr>
                <w:rFonts w:hint="eastAsia" w:ascii="宋体" w:hAnsi="宋体" w:eastAsia="宋体" w:cs="宋体"/>
                <w:sz w:val="21"/>
                <w:szCs w:val="21"/>
              </w:rPr>
              <w:t>预付款保函：是</w:t>
            </w:r>
          </w:p>
        </w:tc>
        <w:tc>
          <w:tcPr>
            <w:tcW w:w="5384" w:type="dxa"/>
            <w:vAlign w:val="center"/>
          </w:tcPr>
          <w:p w14:paraId="1AEBD683">
            <w:pPr>
              <w:rPr>
                <w:rFonts w:ascii="宋体" w:hAnsi="宋体" w:eastAsia="宋体" w:cs="宋体"/>
                <w:sz w:val="21"/>
                <w:szCs w:val="21"/>
              </w:rPr>
            </w:pPr>
            <w:r>
              <w:rPr>
                <w:rFonts w:hint="eastAsia" w:ascii="宋体" w:hAnsi="宋体" w:eastAsia="宋体" w:cs="宋体"/>
                <w:sz w:val="21"/>
                <w:szCs w:val="21"/>
              </w:rPr>
              <w:t>合同（质量）履约按履约保证金年费率1%（1.5%），每单保函最低保险费为500元。</w:t>
            </w:r>
          </w:p>
        </w:tc>
        <w:tc>
          <w:tcPr>
            <w:tcW w:w="1778" w:type="dxa"/>
            <w:vAlign w:val="center"/>
          </w:tcPr>
          <w:p w14:paraId="3E11D7BE">
            <w:pPr>
              <w:jc w:val="left"/>
              <w:rPr>
                <w:rFonts w:ascii="宋体" w:hAnsi="宋体" w:eastAsia="宋体" w:cs="宋体"/>
                <w:sz w:val="21"/>
                <w:szCs w:val="21"/>
              </w:rPr>
            </w:pPr>
            <w:r>
              <w:rPr>
                <w:rFonts w:hint="eastAsia" w:ascii="宋体" w:hAnsi="宋体" w:eastAsia="宋体" w:cs="宋体"/>
                <w:sz w:val="21"/>
                <w:szCs w:val="21"/>
              </w:rPr>
              <w:t>张弥0576-87796908</w:t>
            </w:r>
          </w:p>
        </w:tc>
      </w:tr>
      <w:tr w14:paraId="19E0D2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2" w:hRule="atLeast"/>
        </w:trPr>
        <w:tc>
          <w:tcPr>
            <w:tcW w:w="2377" w:type="dxa"/>
            <w:vAlign w:val="center"/>
          </w:tcPr>
          <w:p w14:paraId="4FE78C98">
            <w:pPr>
              <w:rPr>
                <w:rFonts w:ascii="宋体" w:hAnsi="宋体" w:eastAsia="宋体" w:cs="宋体"/>
                <w:sz w:val="21"/>
                <w:szCs w:val="21"/>
              </w:rPr>
            </w:pPr>
            <w:r>
              <w:rPr>
                <w:rFonts w:hint="eastAsia" w:ascii="宋体" w:hAnsi="宋体" w:eastAsia="宋体" w:cs="宋体"/>
                <w:sz w:val="21"/>
                <w:szCs w:val="21"/>
              </w:rPr>
              <w:t>机构名称：中国人民财产保险股份有限公司仙居支公司</w:t>
            </w:r>
          </w:p>
          <w:p w14:paraId="19E15E7B">
            <w:pPr>
              <w:rPr>
                <w:rFonts w:ascii="宋体" w:hAnsi="宋体" w:eastAsia="宋体" w:cs="宋体"/>
                <w:sz w:val="21"/>
                <w:szCs w:val="21"/>
              </w:rPr>
            </w:pPr>
            <w:r>
              <w:rPr>
                <w:rFonts w:hint="eastAsia" w:ascii="宋体" w:hAnsi="宋体" w:eastAsia="宋体" w:cs="宋体"/>
                <w:sz w:val="21"/>
                <w:szCs w:val="21"/>
              </w:rPr>
              <w:t>履约保险：是</w:t>
            </w:r>
          </w:p>
          <w:p w14:paraId="5AC8A875">
            <w:pPr>
              <w:rPr>
                <w:rFonts w:ascii="宋体" w:hAnsi="宋体" w:eastAsia="宋体" w:cs="宋体"/>
                <w:sz w:val="21"/>
                <w:szCs w:val="21"/>
              </w:rPr>
            </w:pPr>
            <w:r>
              <w:rPr>
                <w:rFonts w:hint="eastAsia" w:ascii="宋体" w:hAnsi="宋体" w:eastAsia="宋体" w:cs="宋体"/>
                <w:sz w:val="21"/>
                <w:szCs w:val="21"/>
              </w:rPr>
              <w:t>预付款保函：是</w:t>
            </w:r>
          </w:p>
        </w:tc>
        <w:tc>
          <w:tcPr>
            <w:tcW w:w="5384" w:type="dxa"/>
            <w:vAlign w:val="center"/>
          </w:tcPr>
          <w:p w14:paraId="3FB4980F">
            <w:pPr>
              <w:rPr>
                <w:rFonts w:ascii="宋体" w:hAnsi="宋体" w:eastAsia="宋体" w:cs="宋体"/>
                <w:sz w:val="21"/>
                <w:szCs w:val="21"/>
              </w:rPr>
            </w:pPr>
            <w:r>
              <w:rPr>
                <w:rFonts w:hint="eastAsia" w:ascii="宋体" w:hAnsi="宋体" w:eastAsia="宋体" w:cs="宋体"/>
                <w:sz w:val="21"/>
                <w:szCs w:val="21"/>
              </w:rPr>
              <w:t>建设工程合同款支付保证保险，年费率1.2%，每单最低保险费为1000元。</w:t>
            </w:r>
          </w:p>
          <w:p w14:paraId="6C7049F8">
            <w:pPr>
              <w:rPr>
                <w:rFonts w:ascii="宋体" w:hAnsi="宋体" w:eastAsia="宋体" w:cs="宋体"/>
                <w:sz w:val="21"/>
                <w:szCs w:val="21"/>
              </w:rPr>
            </w:pPr>
            <w:r>
              <w:rPr>
                <w:rFonts w:hint="eastAsia" w:ascii="宋体" w:hAnsi="宋体" w:eastAsia="宋体" w:cs="宋体"/>
                <w:sz w:val="21"/>
                <w:szCs w:val="21"/>
              </w:rPr>
              <w:t>建设工程预付款保证保险，年费率0.6%，每单最低保险费为1000元。</w:t>
            </w:r>
          </w:p>
        </w:tc>
        <w:tc>
          <w:tcPr>
            <w:tcW w:w="1778" w:type="dxa"/>
            <w:vAlign w:val="center"/>
          </w:tcPr>
          <w:p w14:paraId="170FFD69">
            <w:pPr>
              <w:jc w:val="left"/>
              <w:rPr>
                <w:rFonts w:ascii="宋体" w:hAnsi="宋体" w:eastAsia="宋体" w:cs="宋体"/>
                <w:sz w:val="21"/>
                <w:szCs w:val="21"/>
              </w:rPr>
            </w:pPr>
          </w:p>
          <w:p w14:paraId="28A4E1BB">
            <w:pPr>
              <w:jc w:val="left"/>
              <w:rPr>
                <w:rFonts w:ascii="宋体" w:hAnsi="宋体" w:eastAsia="宋体" w:cs="宋体"/>
                <w:sz w:val="21"/>
                <w:szCs w:val="21"/>
              </w:rPr>
            </w:pPr>
          </w:p>
          <w:p w14:paraId="5A05CF35">
            <w:pPr>
              <w:jc w:val="left"/>
              <w:rPr>
                <w:rFonts w:ascii="宋体" w:hAnsi="宋体" w:eastAsia="宋体" w:cs="宋体"/>
                <w:sz w:val="21"/>
                <w:szCs w:val="21"/>
              </w:rPr>
            </w:pPr>
            <w:r>
              <w:rPr>
                <w:rFonts w:hint="eastAsia" w:ascii="宋体" w:hAnsi="宋体" w:eastAsia="宋体" w:cs="宋体"/>
                <w:sz w:val="21"/>
                <w:szCs w:val="21"/>
              </w:rPr>
              <w:t>王巧红13968483573</w:t>
            </w:r>
          </w:p>
        </w:tc>
      </w:tr>
      <w:tr w14:paraId="494C44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2" w:hRule="atLeast"/>
        </w:trPr>
        <w:tc>
          <w:tcPr>
            <w:tcW w:w="2377" w:type="dxa"/>
            <w:vAlign w:val="center"/>
          </w:tcPr>
          <w:p w14:paraId="3CCB9816">
            <w:pPr>
              <w:rPr>
                <w:rFonts w:ascii="宋体" w:hAnsi="宋体" w:eastAsia="宋体" w:cs="宋体"/>
                <w:sz w:val="21"/>
                <w:szCs w:val="21"/>
              </w:rPr>
            </w:pPr>
            <w:r>
              <w:rPr>
                <w:rFonts w:hint="eastAsia" w:ascii="宋体" w:hAnsi="宋体" w:eastAsia="宋体" w:cs="宋体"/>
                <w:sz w:val="21"/>
                <w:szCs w:val="21"/>
              </w:rPr>
              <w:t>机构名称：中国大地财产保险股份有限公司仙居支公司</w:t>
            </w:r>
          </w:p>
          <w:p w14:paraId="7381A3CC">
            <w:pPr>
              <w:rPr>
                <w:rFonts w:ascii="宋体" w:hAnsi="宋体" w:eastAsia="宋体" w:cs="宋体"/>
                <w:sz w:val="21"/>
                <w:szCs w:val="21"/>
              </w:rPr>
            </w:pPr>
            <w:r>
              <w:rPr>
                <w:rFonts w:hint="eastAsia" w:ascii="宋体" w:hAnsi="宋体" w:eastAsia="宋体" w:cs="宋体"/>
                <w:sz w:val="21"/>
                <w:szCs w:val="21"/>
              </w:rPr>
              <w:t>履约保函：是</w:t>
            </w:r>
          </w:p>
          <w:p w14:paraId="3986FFAD">
            <w:pPr>
              <w:rPr>
                <w:rFonts w:ascii="宋体" w:hAnsi="宋体" w:eastAsia="宋体" w:cs="宋体"/>
                <w:sz w:val="21"/>
                <w:szCs w:val="21"/>
              </w:rPr>
            </w:pPr>
            <w:r>
              <w:rPr>
                <w:rFonts w:hint="eastAsia" w:ascii="宋体" w:hAnsi="宋体" w:eastAsia="宋体" w:cs="宋体"/>
                <w:sz w:val="21"/>
                <w:szCs w:val="21"/>
              </w:rPr>
              <w:t>预付款保函：否</w:t>
            </w:r>
          </w:p>
        </w:tc>
        <w:tc>
          <w:tcPr>
            <w:tcW w:w="5384" w:type="dxa"/>
            <w:vAlign w:val="center"/>
          </w:tcPr>
          <w:p w14:paraId="22638B38">
            <w:pPr>
              <w:rPr>
                <w:rFonts w:ascii="宋体" w:hAnsi="宋体" w:eastAsia="宋体" w:cs="宋体"/>
                <w:sz w:val="21"/>
                <w:szCs w:val="21"/>
              </w:rPr>
            </w:pPr>
            <w:r>
              <w:rPr>
                <w:rFonts w:hint="eastAsia" w:ascii="宋体" w:hAnsi="宋体" w:eastAsia="宋体" w:cs="宋体"/>
                <w:sz w:val="21"/>
                <w:szCs w:val="21"/>
              </w:rPr>
              <w:t>合同（质量）履约按履约保证金年费率最低0.5%，每单保函最低保险费为1000元。</w:t>
            </w:r>
          </w:p>
        </w:tc>
        <w:tc>
          <w:tcPr>
            <w:tcW w:w="1778" w:type="dxa"/>
            <w:vAlign w:val="center"/>
          </w:tcPr>
          <w:p w14:paraId="2BD561AA">
            <w:pPr>
              <w:jc w:val="left"/>
              <w:rPr>
                <w:rFonts w:ascii="宋体" w:hAnsi="宋体" w:eastAsia="宋体" w:cs="宋体"/>
                <w:sz w:val="21"/>
                <w:szCs w:val="21"/>
              </w:rPr>
            </w:pPr>
            <w:r>
              <w:rPr>
                <w:rFonts w:hint="eastAsia" w:ascii="宋体" w:hAnsi="宋体" w:eastAsia="宋体" w:cs="宋体"/>
                <w:sz w:val="21"/>
                <w:szCs w:val="21"/>
              </w:rPr>
              <w:t>吴琼17858699170</w:t>
            </w:r>
          </w:p>
        </w:tc>
      </w:tr>
      <w:tr w14:paraId="414FB8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2" w:hRule="atLeast"/>
        </w:trPr>
        <w:tc>
          <w:tcPr>
            <w:tcW w:w="2377" w:type="dxa"/>
            <w:vAlign w:val="center"/>
          </w:tcPr>
          <w:p w14:paraId="04775DA3">
            <w:pPr>
              <w:widowControl/>
              <w:textAlignment w:val="center"/>
              <w:rPr>
                <w:rFonts w:ascii="宋体" w:hAnsi="宋体" w:eastAsia="宋体" w:cs="宋体"/>
                <w:kern w:val="0"/>
                <w:sz w:val="21"/>
                <w:szCs w:val="21"/>
              </w:rPr>
            </w:pPr>
            <w:r>
              <w:rPr>
                <w:rFonts w:hint="eastAsia" w:ascii="宋体" w:hAnsi="宋体" w:eastAsia="宋体" w:cs="宋体"/>
                <w:kern w:val="0"/>
                <w:sz w:val="21"/>
                <w:szCs w:val="21"/>
              </w:rPr>
              <w:t>机构名称：天安财产保险股份有限公司台州中心支公司仙居县营销服务部</w:t>
            </w:r>
          </w:p>
          <w:p w14:paraId="050FEA4A">
            <w:pPr>
              <w:widowControl/>
              <w:textAlignment w:val="center"/>
              <w:rPr>
                <w:rFonts w:ascii="宋体" w:hAnsi="宋体" w:eastAsia="宋体" w:cs="宋体"/>
                <w:kern w:val="0"/>
                <w:sz w:val="21"/>
                <w:szCs w:val="21"/>
              </w:rPr>
            </w:pPr>
            <w:r>
              <w:rPr>
                <w:rFonts w:hint="eastAsia" w:ascii="宋体" w:hAnsi="宋体" w:eastAsia="宋体" w:cs="宋体"/>
                <w:kern w:val="0"/>
                <w:sz w:val="21"/>
                <w:szCs w:val="21"/>
              </w:rPr>
              <w:t>履约保函：否</w:t>
            </w:r>
          </w:p>
          <w:p w14:paraId="5C4AA483">
            <w:pPr>
              <w:widowControl/>
              <w:textAlignment w:val="center"/>
              <w:rPr>
                <w:rFonts w:ascii="宋体" w:hAnsi="宋体" w:eastAsia="宋体" w:cs="宋体"/>
                <w:sz w:val="21"/>
                <w:szCs w:val="21"/>
              </w:rPr>
            </w:pPr>
            <w:r>
              <w:rPr>
                <w:rFonts w:hint="eastAsia" w:ascii="宋体" w:hAnsi="宋体" w:eastAsia="宋体" w:cs="宋体"/>
                <w:kern w:val="0"/>
                <w:sz w:val="21"/>
                <w:szCs w:val="21"/>
              </w:rPr>
              <w:t>预付款保函：是</w:t>
            </w:r>
          </w:p>
        </w:tc>
        <w:tc>
          <w:tcPr>
            <w:tcW w:w="5384" w:type="dxa"/>
            <w:vAlign w:val="center"/>
          </w:tcPr>
          <w:p w14:paraId="273555F9">
            <w:pPr>
              <w:widowControl/>
              <w:textAlignment w:val="center"/>
              <w:rPr>
                <w:rFonts w:ascii="宋体" w:hAnsi="宋体" w:eastAsia="宋体" w:cs="宋体"/>
                <w:sz w:val="21"/>
                <w:szCs w:val="21"/>
              </w:rPr>
            </w:pPr>
            <w:r>
              <w:rPr>
                <w:rFonts w:hint="eastAsia" w:ascii="宋体" w:hAnsi="宋体" w:eastAsia="宋体" w:cs="宋体"/>
                <w:kern w:val="0"/>
                <w:sz w:val="21"/>
                <w:szCs w:val="21"/>
              </w:rPr>
              <w:t>预付款保函：按预付款金额投保，年费率为1%-2%，每单保函最低保险费为500元；保险期限最长不超过5年。</w:t>
            </w:r>
          </w:p>
        </w:tc>
        <w:tc>
          <w:tcPr>
            <w:tcW w:w="1778" w:type="dxa"/>
            <w:vAlign w:val="center"/>
          </w:tcPr>
          <w:p w14:paraId="3E6F783A">
            <w:pPr>
              <w:widowControl/>
              <w:jc w:val="left"/>
              <w:textAlignment w:val="center"/>
              <w:rPr>
                <w:rFonts w:ascii="宋体" w:hAnsi="宋体" w:eastAsia="宋体" w:cs="宋体"/>
                <w:sz w:val="21"/>
                <w:szCs w:val="21"/>
              </w:rPr>
            </w:pPr>
            <w:r>
              <w:rPr>
                <w:rFonts w:hint="eastAsia" w:ascii="宋体" w:hAnsi="宋体" w:eastAsia="宋体" w:cs="宋体"/>
                <w:kern w:val="0"/>
                <w:sz w:val="21"/>
                <w:szCs w:val="21"/>
              </w:rPr>
              <w:t>陶正鹏13858613668</w:t>
            </w:r>
          </w:p>
        </w:tc>
      </w:tr>
      <w:tr w14:paraId="0BBD9D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6" w:hRule="atLeast"/>
        </w:trPr>
        <w:tc>
          <w:tcPr>
            <w:tcW w:w="2377" w:type="dxa"/>
            <w:vAlign w:val="center"/>
          </w:tcPr>
          <w:p w14:paraId="2878C47F">
            <w:pPr>
              <w:rPr>
                <w:rFonts w:ascii="宋体" w:hAnsi="宋体" w:eastAsia="宋体" w:cs="宋体"/>
                <w:sz w:val="21"/>
                <w:szCs w:val="21"/>
              </w:rPr>
            </w:pPr>
            <w:r>
              <w:rPr>
                <w:rFonts w:hint="eastAsia" w:ascii="宋体" w:hAnsi="宋体" w:eastAsia="宋体" w:cs="宋体"/>
                <w:sz w:val="21"/>
                <w:szCs w:val="21"/>
              </w:rPr>
              <w:t>机构名称：仙居县台融融资担保有限公司</w:t>
            </w:r>
          </w:p>
          <w:p w14:paraId="09D3C727">
            <w:pPr>
              <w:rPr>
                <w:rFonts w:ascii="宋体" w:hAnsi="宋体" w:eastAsia="宋体" w:cs="宋体"/>
                <w:sz w:val="21"/>
                <w:szCs w:val="21"/>
              </w:rPr>
            </w:pPr>
            <w:r>
              <w:rPr>
                <w:rFonts w:hint="eastAsia" w:ascii="宋体" w:hAnsi="宋体" w:eastAsia="宋体" w:cs="宋体"/>
                <w:sz w:val="21"/>
                <w:szCs w:val="21"/>
              </w:rPr>
              <w:t>履约保函：是</w:t>
            </w:r>
          </w:p>
        </w:tc>
        <w:tc>
          <w:tcPr>
            <w:tcW w:w="5384" w:type="dxa"/>
            <w:vAlign w:val="center"/>
          </w:tcPr>
          <w:p w14:paraId="12F5198B">
            <w:pPr>
              <w:rPr>
                <w:rFonts w:ascii="宋体" w:hAnsi="宋体" w:eastAsia="宋体" w:cs="宋体"/>
                <w:sz w:val="21"/>
                <w:szCs w:val="21"/>
              </w:rPr>
            </w:pPr>
            <w:r>
              <w:rPr>
                <w:rFonts w:hint="eastAsia" w:ascii="宋体" w:hAnsi="宋体" w:eastAsia="宋体" w:cs="宋体"/>
                <w:sz w:val="21"/>
                <w:szCs w:val="21"/>
              </w:rPr>
              <w:t>合同（质量）履约按履约保证金年费率0.2%，每单保函最低保险费为800元。</w:t>
            </w:r>
          </w:p>
        </w:tc>
        <w:tc>
          <w:tcPr>
            <w:tcW w:w="1778" w:type="dxa"/>
            <w:vAlign w:val="center"/>
          </w:tcPr>
          <w:p w14:paraId="40E9DE5A">
            <w:pPr>
              <w:jc w:val="left"/>
              <w:rPr>
                <w:rFonts w:ascii="宋体" w:hAnsi="宋体" w:eastAsia="宋体" w:cs="宋体"/>
                <w:sz w:val="21"/>
                <w:szCs w:val="21"/>
              </w:rPr>
            </w:pPr>
            <w:r>
              <w:rPr>
                <w:rFonts w:hint="eastAsia" w:ascii="宋体" w:hAnsi="宋体" w:eastAsia="宋体" w:cs="宋体"/>
                <w:sz w:val="21"/>
                <w:szCs w:val="21"/>
              </w:rPr>
              <w:t>郭鹏飞13819645716</w:t>
            </w:r>
          </w:p>
        </w:tc>
      </w:tr>
      <w:tr w14:paraId="589EC9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6" w:hRule="atLeast"/>
        </w:trPr>
        <w:tc>
          <w:tcPr>
            <w:tcW w:w="2377" w:type="dxa"/>
            <w:vAlign w:val="center"/>
          </w:tcPr>
          <w:p w14:paraId="20C024CC">
            <w:pPr>
              <w:rPr>
                <w:rFonts w:ascii="宋体" w:hAnsi="宋体" w:eastAsia="宋体" w:cs="宋体"/>
                <w:sz w:val="21"/>
                <w:szCs w:val="21"/>
              </w:rPr>
            </w:pPr>
            <w:r>
              <w:rPr>
                <w:rFonts w:hint="eastAsia" w:ascii="宋体" w:hAnsi="宋体" w:eastAsia="宋体" w:cs="宋体"/>
                <w:sz w:val="21"/>
                <w:szCs w:val="21"/>
              </w:rPr>
              <w:t>机构名称：浙江商盈融资担保有限公司</w:t>
            </w:r>
          </w:p>
          <w:p w14:paraId="74F2C3D9">
            <w:pPr>
              <w:rPr>
                <w:rFonts w:ascii="宋体" w:hAnsi="宋体" w:eastAsia="宋体" w:cs="宋体"/>
                <w:sz w:val="21"/>
                <w:szCs w:val="21"/>
              </w:rPr>
            </w:pPr>
            <w:r>
              <w:rPr>
                <w:rFonts w:hint="eastAsia" w:ascii="宋体" w:hAnsi="宋体" w:eastAsia="宋体" w:cs="宋体"/>
                <w:sz w:val="21"/>
                <w:szCs w:val="21"/>
              </w:rPr>
              <w:t>履约保函：是</w:t>
            </w:r>
          </w:p>
        </w:tc>
        <w:tc>
          <w:tcPr>
            <w:tcW w:w="5384" w:type="dxa"/>
            <w:vAlign w:val="center"/>
          </w:tcPr>
          <w:p w14:paraId="1C7F4E8C">
            <w:pPr>
              <w:rPr>
                <w:rFonts w:ascii="宋体" w:hAnsi="宋体" w:eastAsia="宋体" w:cs="宋体"/>
                <w:sz w:val="21"/>
                <w:szCs w:val="21"/>
              </w:rPr>
            </w:pPr>
            <w:r>
              <w:rPr>
                <w:rFonts w:hint="eastAsia" w:ascii="宋体" w:hAnsi="宋体" w:eastAsia="宋体" w:cs="宋体"/>
                <w:sz w:val="21"/>
                <w:szCs w:val="21"/>
              </w:rPr>
              <w:t>合同（质量）履约按履约保证金年费率0.2%，每单保函最低保险费为800元。</w:t>
            </w:r>
          </w:p>
        </w:tc>
        <w:tc>
          <w:tcPr>
            <w:tcW w:w="1778" w:type="dxa"/>
            <w:vAlign w:val="center"/>
          </w:tcPr>
          <w:p w14:paraId="6813C015">
            <w:pPr>
              <w:rPr>
                <w:rFonts w:ascii="宋体" w:hAnsi="宋体" w:eastAsia="宋体" w:cs="宋体"/>
                <w:sz w:val="21"/>
                <w:szCs w:val="21"/>
              </w:rPr>
            </w:pPr>
            <w:r>
              <w:rPr>
                <w:rFonts w:hint="eastAsia" w:ascii="宋体" w:hAnsi="宋体" w:eastAsia="宋体" w:cs="宋体"/>
                <w:sz w:val="21"/>
                <w:szCs w:val="21"/>
              </w:rPr>
              <w:t>冯婳婳13586233988</w:t>
            </w:r>
          </w:p>
        </w:tc>
      </w:tr>
    </w:tbl>
    <w:p w14:paraId="36FD1F71">
      <w:pPr>
        <w:snapToGrid w:val="0"/>
        <w:spacing w:line="360" w:lineRule="auto"/>
        <w:rPr>
          <w:rFonts w:asciiTheme="majorEastAsia" w:hAnsiTheme="majorEastAsia" w:eastAsiaTheme="majorEastAsia"/>
          <w:b/>
          <w:sz w:val="24"/>
        </w:rPr>
      </w:pPr>
    </w:p>
    <w:p w14:paraId="6CBDAE68">
      <w:pPr>
        <w:widowControl/>
        <w:jc w:val="left"/>
        <w:rPr>
          <w:rFonts w:ascii="宋体"/>
          <w:b/>
          <w:bCs/>
          <w:sz w:val="24"/>
          <w:lang w:val="zh-CN"/>
        </w:rPr>
      </w:pPr>
      <w:bookmarkStart w:id="33" w:name="_Toc306901446"/>
      <w:bookmarkStart w:id="34" w:name="_Toc302983095"/>
      <w:r>
        <w:rPr>
          <w:rFonts w:ascii="宋体"/>
          <w:b/>
          <w:bCs/>
          <w:sz w:val="24"/>
          <w:lang w:val="zh-CN"/>
        </w:rPr>
        <w:br w:type="page"/>
      </w:r>
    </w:p>
    <w:p w14:paraId="6D782482">
      <w:pPr>
        <w:autoSpaceDE w:val="0"/>
        <w:autoSpaceDN w:val="0"/>
        <w:adjustRightInd w:val="0"/>
        <w:spacing w:line="360" w:lineRule="auto"/>
        <w:jc w:val="center"/>
        <w:outlineLvl w:val="1"/>
        <w:rPr>
          <w:rFonts w:ascii="宋体"/>
          <w:b/>
          <w:bCs/>
          <w:sz w:val="24"/>
          <w:lang w:val="zh-CN"/>
        </w:rPr>
      </w:pPr>
      <w:r>
        <w:rPr>
          <w:rFonts w:hint="eastAsia" w:ascii="宋体"/>
          <w:b/>
          <w:bCs/>
          <w:sz w:val="24"/>
          <w:lang w:val="zh-CN"/>
        </w:rPr>
        <w:t>一、</w:t>
      </w:r>
      <w:bookmarkEnd w:id="33"/>
      <w:bookmarkEnd w:id="34"/>
      <w:r>
        <w:rPr>
          <w:rFonts w:hint="eastAsia" w:ascii="宋体"/>
          <w:b/>
          <w:bCs/>
          <w:sz w:val="24"/>
          <w:lang w:val="zh-CN"/>
        </w:rPr>
        <w:t>总则</w:t>
      </w:r>
    </w:p>
    <w:p w14:paraId="3CF023EE">
      <w:pPr>
        <w:snapToGrid w:val="0"/>
        <w:spacing w:line="360" w:lineRule="auto"/>
        <w:ind w:firstLine="413" w:firstLineChars="196"/>
        <w:jc w:val="left"/>
        <w:outlineLvl w:val="1"/>
        <w:rPr>
          <w:rFonts w:ascii="宋体" w:hAnsi="宋体" w:eastAsia="宋体" w:cs="宋体"/>
          <w:b/>
          <w:sz w:val="21"/>
          <w:szCs w:val="21"/>
        </w:rPr>
      </w:pPr>
      <w:r>
        <w:rPr>
          <w:rFonts w:hint="eastAsia" w:ascii="宋体" w:hAnsi="宋体" w:eastAsia="宋体" w:cs="宋体"/>
          <w:b/>
          <w:sz w:val="21"/>
          <w:szCs w:val="21"/>
          <w:lang w:val="zh-CN"/>
        </w:rPr>
        <w:t>（一）</w:t>
      </w:r>
      <w:r>
        <w:rPr>
          <w:rFonts w:hint="eastAsia" w:ascii="宋体" w:hAnsi="宋体" w:eastAsia="宋体" w:cs="宋体"/>
          <w:b/>
          <w:sz w:val="21"/>
          <w:szCs w:val="21"/>
        </w:rPr>
        <w:t>适用范围</w:t>
      </w:r>
    </w:p>
    <w:p w14:paraId="787A9A57">
      <w:pPr>
        <w:autoSpaceDE w:val="0"/>
        <w:autoSpaceDN w:val="0"/>
        <w:adjustRightInd w:val="0"/>
        <w:spacing w:line="360" w:lineRule="auto"/>
        <w:ind w:firstLine="480"/>
        <w:rPr>
          <w:rFonts w:ascii="宋体" w:hAnsi="宋体" w:eastAsia="宋体" w:cs="宋体"/>
          <w:sz w:val="21"/>
          <w:szCs w:val="21"/>
          <w:lang w:val="zh-CN"/>
        </w:rPr>
      </w:pPr>
      <w:r>
        <w:rPr>
          <w:rFonts w:hint="eastAsia" w:ascii="宋体" w:hAnsi="宋体" w:eastAsia="宋体" w:cs="宋体"/>
          <w:sz w:val="21"/>
          <w:szCs w:val="21"/>
          <w:lang w:val="zh-CN"/>
        </w:rPr>
        <w:t>本</w:t>
      </w:r>
      <w:r>
        <w:rPr>
          <w:rFonts w:hint="eastAsia" w:ascii="宋体" w:hAnsi="宋体" w:eastAsia="宋体" w:cs="宋体"/>
          <w:sz w:val="21"/>
          <w:szCs w:val="21"/>
        </w:rPr>
        <w:t>谈判</w:t>
      </w:r>
      <w:r>
        <w:rPr>
          <w:rFonts w:hint="eastAsia" w:ascii="宋体" w:hAnsi="宋体" w:eastAsia="宋体" w:cs="宋体"/>
          <w:sz w:val="21"/>
          <w:szCs w:val="21"/>
          <w:lang w:val="zh-CN"/>
        </w:rPr>
        <w:t>文件适用于本次项目的</w:t>
      </w:r>
      <w:r>
        <w:rPr>
          <w:rFonts w:hint="eastAsia" w:ascii="宋体" w:hAnsi="宋体" w:eastAsia="宋体" w:cs="宋体"/>
          <w:sz w:val="21"/>
          <w:szCs w:val="21"/>
        </w:rPr>
        <w:t>谈判</w:t>
      </w:r>
      <w:r>
        <w:rPr>
          <w:rFonts w:hint="eastAsia" w:ascii="宋体" w:hAnsi="宋体" w:eastAsia="宋体" w:cs="宋体"/>
          <w:sz w:val="21"/>
          <w:szCs w:val="21"/>
          <w:lang w:val="zh-CN"/>
        </w:rPr>
        <w:t>、评审、确定成交供应商、验收、合同履约、付款等行为（法律、法规另有规定的，从其规定）。</w:t>
      </w:r>
    </w:p>
    <w:p w14:paraId="446DDD68">
      <w:pPr>
        <w:autoSpaceDE w:val="0"/>
        <w:autoSpaceDN w:val="0"/>
        <w:adjustRightInd w:val="0"/>
        <w:spacing w:line="360" w:lineRule="auto"/>
        <w:ind w:firstLine="480"/>
        <w:rPr>
          <w:rFonts w:ascii="宋体" w:hAnsi="宋体" w:eastAsia="宋体" w:cs="宋体"/>
          <w:b/>
          <w:bCs/>
          <w:sz w:val="21"/>
          <w:szCs w:val="21"/>
        </w:rPr>
      </w:pPr>
      <w:bookmarkStart w:id="35" w:name="_Toc302983099"/>
      <w:bookmarkStart w:id="36" w:name="_Toc306901451"/>
      <w:r>
        <w:rPr>
          <w:rFonts w:hint="eastAsia" w:ascii="宋体" w:hAnsi="宋体" w:eastAsia="宋体" w:cs="宋体"/>
          <w:b/>
          <w:bCs/>
          <w:sz w:val="21"/>
          <w:szCs w:val="21"/>
        </w:rPr>
        <w:t>（二）定义</w:t>
      </w:r>
    </w:p>
    <w:p w14:paraId="177CD278">
      <w:pPr>
        <w:autoSpaceDE w:val="0"/>
        <w:autoSpaceDN w:val="0"/>
        <w:adjustRightInd w:val="0"/>
        <w:spacing w:line="360" w:lineRule="auto"/>
        <w:ind w:firstLine="480"/>
        <w:rPr>
          <w:rFonts w:ascii="宋体" w:hAnsi="宋体" w:eastAsia="宋体" w:cs="宋体"/>
          <w:sz w:val="21"/>
          <w:szCs w:val="21"/>
        </w:rPr>
      </w:pPr>
      <w:r>
        <w:rPr>
          <w:rFonts w:hint="eastAsia" w:ascii="宋体" w:hAnsi="宋体" w:eastAsia="宋体" w:cs="宋体"/>
          <w:sz w:val="21"/>
          <w:szCs w:val="21"/>
        </w:rPr>
        <w:t>1、</w:t>
      </w:r>
      <w:r>
        <w:rPr>
          <w:rFonts w:hint="eastAsia" w:ascii="宋体" w:hAnsi="宋体" w:eastAsia="宋体" w:cs="宋体"/>
          <w:sz w:val="21"/>
          <w:szCs w:val="21"/>
          <w:lang w:val="zh-CN"/>
        </w:rPr>
        <w:t>“采购组织机构”指受采购人委托，在委托的范围内办理政府采购事宜的机构。</w:t>
      </w:r>
    </w:p>
    <w:p w14:paraId="5914E2B5">
      <w:pPr>
        <w:autoSpaceDE w:val="0"/>
        <w:autoSpaceDN w:val="0"/>
        <w:adjustRightInd w:val="0"/>
        <w:spacing w:line="360" w:lineRule="auto"/>
        <w:ind w:firstLine="480"/>
        <w:rPr>
          <w:rFonts w:ascii="宋体" w:hAnsi="宋体" w:eastAsia="宋体" w:cs="宋体"/>
          <w:sz w:val="21"/>
          <w:szCs w:val="21"/>
        </w:rPr>
      </w:pPr>
      <w:r>
        <w:rPr>
          <w:rFonts w:hint="eastAsia" w:ascii="宋体" w:hAnsi="宋体" w:eastAsia="宋体" w:cs="宋体"/>
          <w:sz w:val="21"/>
          <w:szCs w:val="21"/>
        </w:rPr>
        <w:t>2、采购人：是指委托集中采购机构或采购代理机构采购本次项目的国家机关、事业单位和团体组织。</w:t>
      </w:r>
    </w:p>
    <w:p w14:paraId="74A286A9">
      <w:pPr>
        <w:autoSpaceDE w:val="0"/>
        <w:autoSpaceDN w:val="0"/>
        <w:adjustRightInd w:val="0"/>
        <w:spacing w:line="360" w:lineRule="auto"/>
        <w:ind w:firstLine="480"/>
        <w:rPr>
          <w:rFonts w:ascii="宋体" w:hAnsi="宋体" w:eastAsia="宋体" w:cs="宋体"/>
          <w:sz w:val="21"/>
          <w:szCs w:val="21"/>
        </w:rPr>
      </w:pPr>
      <w:r>
        <w:rPr>
          <w:rFonts w:hint="eastAsia" w:ascii="宋体" w:hAnsi="宋体" w:eastAsia="宋体" w:cs="宋体"/>
          <w:sz w:val="21"/>
          <w:szCs w:val="21"/>
        </w:rPr>
        <w:t>3、谈判供应商：是指参加本政府采购项目谈判的供应商。</w:t>
      </w:r>
    </w:p>
    <w:p w14:paraId="05BCD7AD">
      <w:pPr>
        <w:autoSpaceDE w:val="0"/>
        <w:autoSpaceDN w:val="0"/>
        <w:adjustRightInd w:val="0"/>
        <w:spacing w:line="360" w:lineRule="auto"/>
        <w:ind w:firstLine="480"/>
        <w:rPr>
          <w:rFonts w:ascii="宋体" w:hAnsi="宋体" w:eastAsia="宋体" w:cs="宋体"/>
          <w:sz w:val="21"/>
          <w:szCs w:val="21"/>
        </w:rPr>
      </w:pPr>
      <w:r>
        <w:rPr>
          <w:rFonts w:hint="eastAsia" w:ascii="宋体" w:hAnsi="宋体" w:eastAsia="宋体" w:cs="宋体"/>
          <w:sz w:val="21"/>
          <w:szCs w:val="21"/>
        </w:rPr>
        <w:t>4、货物：是指各种形态和种类的物品，包括原材料、燃料、设备、产品等。</w:t>
      </w:r>
    </w:p>
    <w:p w14:paraId="198A5AD8">
      <w:pPr>
        <w:autoSpaceDE w:val="0"/>
        <w:autoSpaceDN w:val="0"/>
        <w:adjustRightInd w:val="0"/>
        <w:spacing w:line="360" w:lineRule="auto"/>
        <w:ind w:firstLine="480"/>
        <w:rPr>
          <w:rFonts w:ascii="宋体" w:hAnsi="宋体" w:eastAsia="宋体" w:cs="宋体"/>
          <w:sz w:val="21"/>
          <w:szCs w:val="21"/>
        </w:rPr>
      </w:pPr>
      <w:r>
        <w:rPr>
          <w:rFonts w:hint="eastAsia" w:ascii="宋体" w:hAnsi="宋体" w:eastAsia="宋体" w:cs="宋体"/>
          <w:sz w:val="21"/>
          <w:szCs w:val="21"/>
        </w:rPr>
        <w:t>5、服务：是指除货物和工程以外的政府采购对象，包括各类专业服务、信息网络开发服务、金融保险服务、运输服务，以及维修与维护服务等。</w:t>
      </w:r>
    </w:p>
    <w:p w14:paraId="22D476AF">
      <w:pPr>
        <w:autoSpaceDE w:val="0"/>
        <w:autoSpaceDN w:val="0"/>
        <w:adjustRightInd w:val="0"/>
        <w:spacing w:line="360" w:lineRule="auto"/>
        <w:ind w:firstLine="480"/>
        <w:rPr>
          <w:rFonts w:ascii="宋体" w:hAnsi="宋体" w:eastAsia="宋体" w:cs="宋体"/>
          <w:sz w:val="21"/>
          <w:szCs w:val="21"/>
        </w:rPr>
      </w:pPr>
      <w:r>
        <w:rPr>
          <w:rFonts w:hint="eastAsia" w:ascii="宋体" w:hAnsi="宋体" w:eastAsia="宋体" w:cs="宋体"/>
          <w:sz w:val="21"/>
          <w:szCs w:val="21"/>
        </w:rPr>
        <w:t>6、“书面形式”包括信函、传真等。</w:t>
      </w:r>
    </w:p>
    <w:p w14:paraId="210730C6">
      <w:pPr>
        <w:autoSpaceDE w:val="0"/>
        <w:autoSpaceDN w:val="0"/>
        <w:adjustRightInd w:val="0"/>
        <w:spacing w:line="360" w:lineRule="auto"/>
        <w:ind w:firstLine="480"/>
        <w:rPr>
          <w:rFonts w:ascii="宋体" w:hAnsi="宋体" w:eastAsia="宋体" w:cs="宋体"/>
          <w:sz w:val="21"/>
          <w:szCs w:val="21"/>
        </w:rPr>
      </w:pPr>
      <w:r>
        <w:rPr>
          <w:rFonts w:hint="eastAsia" w:ascii="宋体" w:hAnsi="宋体" w:eastAsia="宋体" w:cs="宋体"/>
          <w:sz w:val="21"/>
          <w:szCs w:val="21"/>
        </w:rPr>
        <w:t>7、“▲”系指实质性要求条款。</w:t>
      </w:r>
    </w:p>
    <w:p w14:paraId="58B482A3">
      <w:pPr>
        <w:autoSpaceDE w:val="0"/>
        <w:autoSpaceDN w:val="0"/>
        <w:adjustRightInd w:val="0"/>
        <w:spacing w:line="360" w:lineRule="auto"/>
        <w:ind w:firstLine="480"/>
        <w:rPr>
          <w:rFonts w:ascii="宋体" w:hAnsi="宋体" w:eastAsia="宋体" w:cs="宋体"/>
          <w:b/>
          <w:bCs/>
          <w:sz w:val="21"/>
          <w:szCs w:val="21"/>
        </w:rPr>
      </w:pPr>
      <w:r>
        <w:rPr>
          <w:rFonts w:hint="eastAsia" w:ascii="宋体" w:hAnsi="宋体" w:eastAsia="宋体" w:cs="宋体"/>
          <w:b/>
          <w:bCs/>
          <w:sz w:val="21"/>
          <w:szCs w:val="21"/>
        </w:rPr>
        <w:t>（三）谈判费用</w:t>
      </w:r>
    </w:p>
    <w:p w14:paraId="6713FADE">
      <w:pPr>
        <w:autoSpaceDE w:val="0"/>
        <w:autoSpaceDN w:val="0"/>
        <w:adjustRightInd w:val="0"/>
        <w:spacing w:line="360" w:lineRule="auto"/>
        <w:ind w:firstLine="480"/>
        <w:rPr>
          <w:rFonts w:ascii="宋体" w:hAnsi="宋体" w:eastAsia="宋体" w:cs="宋体"/>
          <w:sz w:val="21"/>
          <w:szCs w:val="21"/>
        </w:rPr>
      </w:pPr>
      <w:r>
        <w:rPr>
          <w:rFonts w:hint="eastAsia" w:ascii="宋体" w:hAnsi="宋体" w:eastAsia="宋体" w:cs="宋体"/>
          <w:sz w:val="21"/>
          <w:szCs w:val="21"/>
        </w:rPr>
        <w:t>1、不论谈判结果如何，供应商均应自行承担所有与谈判有关的全部费用（谈判文件有相关规定除外）。</w:t>
      </w:r>
    </w:p>
    <w:p w14:paraId="5A9CC9D4">
      <w:pPr>
        <w:keepNext w:val="0"/>
        <w:keepLines w:val="0"/>
        <w:pageBreakBefore w:val="0"/>
        <w:widowControl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0000FF"/>
          <w:spacing w:val="0"/>
          <w:kern w:val="21"/>
          <w:sz w:val="21"/>
          <w:szCs w:val="21"/>
          <w:highlight w:val="none"/>
          <w:lang w:val="zh-CN"/>
        </w:rPr>
      </w:pPr>
      <w:r>
        <w:rPr>
          <w:rFonts w:hint="eastAsia" w:ascii="宋体" w:hAnsi="宋体" w:eastAsia="宋体" w:cs="宋体"/>
          <w:color w:val="0000FF"/>
          <w:spacing w:val="0"/>
          <w:kern w:val="21"/>
          <w:sz w:val="21"/>
          <w:szCs w:val="21"/>
          <w:highlight w:val="none"/>
          <w:lang w:val="zh-CN"/>
        </w:rPr>
        <w:t>2</w:t>
      </w:r>
      <w:r>
        <w:rPr>
          <w:rFonts w:hint="eastAsia" w:ascii="宋体" w:hAnsi="宋体" w:eastAsia="宋体" w:cs="宋体"/>
          <w:color w:val="0000FF"/>
          <w:spacing w:val="0"/>
          <w:kern w:val="21"/>
          <w:sz w:val="21"/>
          <w:szCs w:val="21"/>
          <w:highlight w:val="none"/>
          <w:lang w:val="en-US" w:eastAsia="zh-CN"/>
        </w:rPr>
        <w:t>、</w:t>
      </w:r>
      <w:r>
        <w:rPr>
          <w:rFonts w:hint="eastAsia" w:ascii="宋体" w:hAnsi="宋体" w:eastAsia="宋体" w:cs="宋体"/>
          <w:color w:val="0000FF"/>
          <w:spacing w:val="0"/>
          <w:kern w:val="21"/>
          <w:sz w:val="21"/>
          <w:szCs w:val="21"/>
          <w:highlight w:val="none"/>
          <w:lang w:val="zh-CN"/>
        </w:rPr>
        <w:t>本项目</w:t>
      </w:r>
      <w:r>
        <w:rPr>
          <w:rFonts w:hint="eastAsia" w:ascii="宋体" w:hAnsi="宋体" w:eastAsia="宋体" w:cs="宋体"/>
          <w:color w:val="0000FF"/>
          <w:spacing w:val="0"/>
          <w:kern w:val="21"/>
          <w:sz w:val="21"/>
          <w:szCs w:val="21"/>
          <w:highlight w:val="none"/>
          <w:lang w:val="en-US" w:eastAsia="zh-CN"/>
        </w:rPr>
        <w:t>采购</w:t>
      </w:r>
      <w:r>
        <w:rPr>
          <w:rFonts w:hint="eastAsia" w:ascii="宋体" w:hAnsi="宋体" w:eastAsia="宋体" w:cs="宋体"/>
          <w:color w:val="0000FF"/>
          <w:spacing w:val="0"/>
          <w:kern w:val="21"/>
          <w:sz w:val="21"/>
          <w:szCs w:val="21"/>
          <w:highlight w:val="none"/>
          <w:lang w:val="zh-CN"/>
        </w:rPr>
        <w:t>代理服务费由中标单位支付，</w:t>
      </w:r>
      <w:r>
        <w:rPr>
          <w:rFonts w:hint="eastAsia" w:ascii="宋体" w:hAnsi="宋体" w:eastAsia="宋体" w:cs="宋体"/>
          <w:color w:val="0000FF"/>
          <w:spacing w:val="0"/>
          <w:kern w:val="21"/>
          <w:sz w:val="21"/>
          <w:szCs w:val="21"/>
          <w:highlight w:val="none"/>
          <w:lang w:val="en-US" w:eastAsia="zh-CN"/>
        </w:rPr>
        <w:t>服务</w:t>
      </w:r>
      <w:r>
        <w:rPr>
          <w:rFonts w:hint="eastAsia" w:ascii="宋体" w:hAnsi="宋体" w:eastAsia="宋体" w:cs="宋体"/>
          <w:color w:val="0000FF"/>
          <w:spacing w:val="0"/>
          <w:kern w:val="21"/>
          <w:sz w:val="21"/>
          <w:szCs w:val="21"/>
          <w:highlight w:val="none"/>
          <w:lang w:val="zh-CN"/>
        </w:rPr>
        <w:t>类</w:t>
      </w:r>
      <w:r>
        <w:rPr>
          <w:rFonts w:hint="eastAsia" w:ascii="宋体" w:hAnsi="宋体" w:eastAsia="宋体" w:cs="宋体"/>
          <w:color w:val="0000FF"/>
          <w:spacing w:val="0"/>
          <w:kern w:val="21"/>
          <w:sz w:val="21"/>
          <w:szCs w:val="21"/>
          <w:highlight w:val="none"/>
          <w:lang w:val="en-US" w:eastAsia="zh-CN"/>
        </w:rPr>
        <w:t>收费</w:t>
      </w:r>
      <w:r>
        <w:rPr>
          <w:rFonts w:hint="eastAsia" w:ascii="宋体" w:hAnsi="宋体" w:eastAsia="宋体" w:cs="宋体"/>
          <w:color w:val="0000FF"/>
          <w:spacing w:val="0"/>
          <w:kern w:val="21"/>
          <w:sz w:val="21"/>
          <w:szCs w:val="21"/>
          <w:highlight w:val="none"/>
          <w:lang w:val="zh-CN"/>
        </w:rPr>
        <w:t>标准如下：</w:t>
      </w:r>
    </w:p>
    <w:p w14:paraId="3670BCF4">
      <w:pPr>
        <w:keepNext w:val="0"/>
        <w:keepLines w:val="0"/>
        <w:pageBreakBefore w:val="0"/>
        <w:widowControl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0000FF"/>
          <w:spacing w:val="0"/>
          <w:kern w:val="21"/>
          <w:sz w:val="21"/>
          <w:szCs w:val="21"/>
          <w:highlight w:val="none"/>
          <w:lang w:val="zh-CN"/>
        </w:rPr>
      </w:pPr>
      <w:r>
        <w:rPr>
          <w:rFonts w:hint="eastAsia" w:ascii="宋体" w:hAnsi="宋体" w:eastAsia="宋体" w:cs="宋体"/>
          <w:color w:val="0000FF"/>
          <w:spacing w:val="0"/>
          <w:kern w:val="21"/>
          <w:sz w:val="21"/>
          <w:szCs w:val="21"/>
          <w:highlight w:val="none"/>
          <w:lang w:val="zh-CN"/>
        </w:rPr>
        <w:t>成交金额100万元</w:t>
      </w:r>
      <w:r>
        <w:rPr>
          <w:rFonts w:hint="eastAsia" w:ascii="宋体" w:hAnsi="宋体" w:eastAsia="宋体" w:cs="宋体"/>
          <w:color w:val="0000FF"/>
          <w:sz w:val="21"/>
          <w:szCs w:val="21"/>
        </w:rPr>
        <w:t>（含100</w:t>
      </w:r>
      <w:r>
        <w:rPr>
          <w:rFonts w:hint="eastAsia" w:ascii="宋体" w:hAnsi="宋体" w:eastAsia="宋体" w:cs="宋体"/>
          <w:color w:val="0000FF"/>
          <w:spacing w:val="0"/>
          <w:kern w:val="21"/>
          <w:sz w:val="21"/>
          <w:szCs w:val="21"/>
          <w:highlight w:val="none"/>
          <w:lang w:val="zh-CN"/>
        </w:rPr>
        <w:t>万元</w:t>
      </w:r>
      <w:r>
        <w:rPr>
          <w:rFonts w:hint="eastAsia" w:ascii="宋体" w:hAnsi="宋体" w:eastAsia="宋体" w:cs="宋体"/>
          <w:color w:val="0000FF"/>
          <w:sz w:val="21"/>
          <w:szCs w:val="21"/>
        </w:rPr>
        <w:t>）</w:t>
      </w:r>
      <w:r>
        <w:rPr>
          <w:rFonts w:hint="eastAsia" w:ascii="宋体" w:hAnsi="宋体" w:eastAsia="宋体" w:cs="宋体"/>
          <w:color w:val="0000FF"/>
          <w:spacing w:val="0"/>
          <w:kern w:val="21"/>
          <w:sz w:val="21"/>
          <w:szCs w:val="21"/>
          <w:highlight w:val="none"/>
          <w:lang w:val="zh-CN"/>
        </w:rPr>
        <w:t>以下的部分，费率1</w:t>
      </w:r>
      <w:r>
        <w:rPr>
          <w:rFonts w:hint="eastAsia" w:ascii="宋体" w:hAnsi="宋体" w:eastAsia="宋体" w:cs="宋体"/>
          <w:color w:val="0000FF"/>
          <w:spacing w:val="0"/>
          <w:kern w:val="21"/>
          <w:sz w:val="21"/>
          <w:szCs w:val="21"/>
          <w:highlight w:val="none"/>
          <w:lang w:val="en-US" w:eastAsia="zh-CN"/>
        </w:rPr>
        <w:t>.0</w:t>
      </w:r>
      <w:r>
        <w:rPr>
          <w:rFonts w:hint="eastAsia" w:ascii="宋体" w:hAnsi="宋体" w:eastAsia="宋体" w:cs="宋体"/>
          <w:color w:val="0000FF"/>
          <w:spacing w:val="0"/>
          <w:kern w:val="21"/>
          <w:sz w:val="21"/>
          <w:szCs w:val="21"/>
          <w:highlight w:val="none"/>
          <w:lang w:val="zh-CN"/>
        </w:rPr>
        <w:t>%；</w:t>
      </w:r>
    </w:p>
    <w:p w14:paraId="2995B055">
      <w:pPr>
        <w:keepNext w:val="0"/>
        <w:keepLines w:val="0"/>
        <w:pageBreakBefore w:val="0"/>
        <w:widowControl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0000FF"/>
          <w:spacing w:val="0"/>
          <w:kern w:val="21"/>
          <w:sz w:val="21"/>
          <w:szCs w:val="21"/>
          <w:highlight w:val="none"/>
          <w:lang w:val="zh-CN"/>
        </w:rPr>
      </w:pPr>
      <w:r>
        <w:rPr>
          <w:rFonts w:hint="eastAsia" w:ascii="宋体" w:hAnsi="宋体" w:eastAsia="宋体" w:cs="宋体"/>
          <w:color w:val="0000FF"/>
          <w:spacing w:val="0"/>
          <w:kern w:val="21"/>
          <w:sz w:val="21"/>
          <w:szCs w:val="21"/>
          <w:highlight w:val="none"/>
          <w:lang w:val="zh-CN"/>
        </w:rPr>
        <w:t>成交金额100万元至500万元</w:t>
      </w:r>
      <w:r>
        <w:rPr>
          <w:rFonts w:hint="eastAsia" w:ascii="宋体" w:hAnsi="宋体" w:eastAsia="宋体" w:cs="宋体"/>
          <w:color w:val="0000FF"/>
          <w:sz w:val="21"/>
          <w:szCs w:val="21"/>
        </w:rPr>
        <w:t>（含</w:t>
      </w:r>
      <w:r>
        <w:rPr>
          <w:rFonts w:hint="eastAsia" w:ascii="宋体" w:hAnsi="宋体" w:eastAsia="宋体" w:cs="宋体"/>
          <w:color w:val="0000FF"/>
          <w:sz w:val="21"/>
          <w:szCs w:val="21"/>
          <w:lang w:val="en-US" w:eastAsia="zh-CN"/>
        </w:rPr>
        <w:t>5</w:t>
      </w:r>
      <w:r>
        <w:rPr>
          <w:rFonts w:hint="eastAsia" w:ascii="宋体" w:hAnsi="宋体" w:eastAsia="宋体" w:cs="宋体"/>
          <w:color w:val="0000FF"/>
          <w:sz w:val="21"/>
          <w:szCs w:val="21"/>
        </w:rPr>
        <w:t>00</w:t>
      </w:r>
      <w:r>
        <w:rPr>
          <w:rFonts w:hint="eastAsia" w:ascii="宋体" w:hAnsi="宋体" w:eastAsia="宋体" w:cs="宋体"/>
          <w:color w:val="0000FF"/>
          <w:spacing w:val="0"/>
          <w:kern w:val="21"/>
          <w:sz w:val="21"/>
          <w:szCs w:val="21"/>
          <w:highlight w:val="none"/>
          <w:lang w:val="zh-CN"/>
        </w:rPr>
        <w:t>万元</w:t>
      </w:r>
      <w:r>
        <w:rPr>
          <w:rFonts w:hint="eastAsia" w:ascii="宋体" w:hAnsi="宋体" w:eastAsia="宋体" w:cs="宋体"/>
          <w:color w:val="0000FF"/>
          <w:sz w:val="21"/>
          <w:szCs w:val="21"/>
        </w:rPr>
        <w:t>）</w:t>
      </w:r>
      <w:r>
        <w:rPr>
          <w:rFonts w:hint="eastAsia" w:ascii="宋体" w:hAnsi="宋体" w:eastAsia="宋体" w:cs="宋体"/>
          <w:color w:val="0000FF"/>
          <w:spacing w:val="0"/>
          <w:kern w:val="21"/>
          <w:sz w:val="21"/>
          <w:szCs w:val="21"/>
          <w:highlight w:val="none"/>
          <w:lang w:val="zh-CN"/>
        </w:rPr>
        <w:t>的部分，费率</w:t>
      </w:r>
      <w:r>
        <w:rPr>
          <w:rFonts w:hint="eastAsia" w:ascii="宋体" w:hAnsi="宋体" w:eastAsia="宋体" w:cs="宋体"/>
          <w:color w:val="0000FF"/>
          <w:spacing w:val="0"/>
          <w:kern w:val="21"/>
          <w:sz w:val="21"/>
          <w:szCs w:val="21"/>
          <w:highlight w:val="none"/>
          <w:lang w:val="en-US" w:eastAsia="zh-CN"/>
        </w:rPr>
        <w:t>0.7</w:t>
      </w:r>
      <w:r>
        <w:rPr>
          <w:rFonts w:hint="eastAsia" w:ascii="宋体" w:hAnsi="宋体" w:eastAsia="宋体" w:cs="宋体"/>
          <w:color w:val="0000FF"/>
          <w:spacing w:val="0"/>
          <w:kern w:val="21"/>
          <w:sz w:val="21"/>
          <w:szCs w:val="21"/>
          <w:highlight w:val="none"/>
          <w:lang w:val="zh-CN"/>
        </w:rPr>
        <w:t>%；</w:t>
      </w:r>
    </w:p>
    <w:p w14:paraId="40AC184E">
      <w:pPr>
        <w:keepNext w:val="0"/>
        <w:keepLines w:val="0"/>
        <w:pageBreakBefore w:val="0"/>
        <w:widowControl w:val="0"/>
        <w:kinsoku/>
        <w:wordWrap w:val="0"/>
        <w:overflowPunct/>
        <w:topLinePunct w:val="0"/>
        <w:autoSpaceDE/>
        <w:autoSpaceDN/>
        <w:bidi w:val="0"/>
        <w:adjustRightInd/>
        <w:snapToGrid/>
        <w:spacing w:line="360" w:lineRule="auto"/>
        <w:ind w:firstLine="420" w:firstLineChars="200"/>
        <w:textAlignment w:val="auto"/>
      </w:pPr>
      <w:r>
        <w:rPr>
          <w:rFonts w:hint="eastAsia" w:ascii="宋体" w:hAnsi="宋体" w:eastAsia="宋体" w:cs="宋体"/>
          <w:color w:val="0000FF"/>
          <w:spacing w:val="0"/>
          <w:kern w:val="21"/>
          <w:sz w:val="21"/>
          <w:szCs w:val="21"/>
          <w:highlight w:val="none"/>
          <w:lang w:val="zh-CN"/>
        </w:rPr>
        <w:t>按</w:t>
      </w:r>
      <w:r>
        <w:rPr>
          <w:rFonts w:hint="eastAsia" w:ascii="宋体" w:hAnsi="宋体" w:eastAsia="宋体" w:cs="宋体"/>
          <w:color w:val="0000FF"/>
          <w:spacing w:val="0"/>
          <w:kern w:val="21"/>
          <w:sz w:val="21"/>
          <w:szCs w:val="21"/>
          <w:highlight w:val="none"/>
          <w:lang w:val="en-US" w:eastAsia="zh-CN"/>
        </w:rPr>
        <w:t>以上</w:t>
      </w:r>
      <w:r>
        <w:rPr>
          <w:rFonts w:hint="eastAsia" w:eastAsia="宋体" w:cs="宋体"/>
          <w:color w:val="0000FF"/>
          <w:spacing w:val="0"/>
          <w:kern w:val="21"/>
          <w:sz w:val="21"/>
          <w:szCs w:val="21"/>
          <w:highlight w:val="none"/>
          <w:lang w:val="en-US" w:eastAsia="zh-CN"/>
        </w:rPr>
        <w:t>标准的</w:t>
      </w:r>
      <w:r>
        <w:rPr>
          <w:rFonts w:hint="eastAsia" w:cs="宋体"/>
          <w:color w:val="0000FF"/>
          <w:spacing w:val="0"/>
          <w:kern w:val="21"/>
          <w:sz w:val="21"/>
          <w:szCs w:val="21"/>
          <w:highlight w:val="none"/>
          <w:lang w:val="en-US" w:eastAsia="zh-CN"/>
        </w:rPr>
        <w:t>7</w:t>
      </w:r>
      <w:r>
        <w:rPr>
          <w:rFonts w:hint="eastAsia" w:eastAsia="宋体" w:cs="宋体"/>
          <w:color w:val="0000FF"/>
          <w:spacing w:val="0"/>
          <w:kern w:val="21"/>
          <w:sz w:val="21"/>
          <w:szCs w:val="21"/>
          <w:highlight w:val="none"/>
          <w:lang w:val="en-US" w:eastAsia="zh-CN"/>
        </w:rPr>
        <w:t>0%计取，由</w:t>
      </w:r>
      <w:r>
        <w:rPr>
          <w:rFonts w:hint="eastAsia" w:ascii="宋体" w:hAnsi="宋体" w:eastAsia="宋体" w:cs="宋体"/>
          <w:color w:val="0000FF"/>
          <w:spacing w:val="0"/>
          <w:kern w:val="21"/>
          <w:sz w:val="21"/>
          <w:szCs w:val="21"/>
          <w:highlight w:val="none"/>
          <w:lang w:val="zh-CN"/>
        </w:rPr>
        <w:t>中标（成交）人在领取中标（成交）通知书</w:t>
      </w:r>
      <w:r>
        <w:rPr>
          <w:rFonts w:hint="eastAsia" w:eastAsia="宋体" w:cs="宋体"/>
          <w:color w:val="0000FF"/>
          <w:spacing w:val="0"/>
          <w:kern w:val="21"/>
          <w:sz w:val="21"/>
          <w:szCs w:val="21"/>
          <w:highlight w:val="none"/>
          <w:lang w:val="en-US" w:eastAsia="zh-CN"/>
        </w:rPr>
        <w:t>时</w:t>
      </w:r>
      <w:r>
        <w:rPr>
          <w:rFonts w:hint="eastAsia" w:ascii="宋体" w:hAnsi="宋体" w:eastAsia="宋体" w:cs="宋体"/>
          <w:color w:val="0000FF"/>
          <w:spacing w:val="0"/>
          <w:kern w:val="21"/>
          <w:sz w:val="21"/>
          <w:szCs w:val="21"/>
          <w:highlight w:val="none"/>
          <w:lang w:val="zh-CN"/>
        </w:rPr>
        <w:t>一次性向代理机构缴清</w:t>
      </w:r>
      <w:r>
        <w:rPr>
          <w:rFonts w:hint="eastAsia" w:eastAsia="宋体" w:cs="宋体"/>
          <w:color w:val="0000FF"/>
          <w:spacing w:val="0"/>
          <w:kern w:val="21"/>
          <w:sz w:val="21"/>
          <w:szCs w:val="21"/>
          <w:highlight w:val="none"/>
          <w:lang w:val="zh-CN"/>
        </w:rPr>
        <w:t>。</w:t>
      </w:r>
    </w:p>
    <w:p w14:paraId="62031181">
      <w:pPr>
        <w:autoSpaceDE w:val="0"/>
        <w:autoSpaceDN w:val="0"/>
        <w:adjustRightInd w:val="0"/>
        <w:spacing w:line="360" w:lineRule="auto"/>
        <w:ind w:firstLine="480"/>
        <w:rPr>
          <w:rFonts w:ascii="宋体" w:hAnsi="宋体" w:eastAsia="宋体" w:cs="宋体"/>
          <w:b/>
          <w:bCs/>
          <w:sz w:val="21"/>
          <w:szCs w:val="21"/>
        </w:rPr>
      </w:pPr>
      <w:r>
        <w:rPr>
          <w:rFonts w:hint="eastAsia" w:ascii="宋体" w:hAnsi="宋体" w:eastAsia="宋体" w:cs="宋体"/>
          <w:b/>
          <w:bCs/>
          <w:sz w:val="21"/>
          <w:szCs w:val="21"/>
        </w:rPr>
        <w:t>（四）联合体谈判</w:t>
      </w:r>
    </w:p>
    <w:p w14:paraId="4DB9E951">
      <w:pPr>
        <w:autoSpaceDE w:val="0"/>
        <w:autoSpaceDN w:val="0"/>
        <w:adjustRightInd w:val="0"/>
        <w:spacing w:line="360" w:lineRule="auto"/>
        <w:ind w:firstLine="480"/>
        <w:rPr>
          <w:rFonts w:ascii="宋体" w:hAnsi="宋体" w:eastAsia="宋体" w:cs="宋体"/>
          <w:sz w:val="21"/>
          <w:szCs w:val="21"/>
        </w:rPr>
      </w:pPr>
      <w:r>
        <w:rPr>
          <w:rFonts w:hint="eastAsia" w:ascii="宋体" w:hAnsi="宋体" w:eastAsia="宋体" w:cs="宋体"/>
          <w:sz w:val="21"/>
          <w:szCs w:val="21"/>
        </w:rPr>
        <w:t>本项目不接受联合体谈判</w:t>
      </w:r>
      <w:r>
        <w:rPr>
          <w:rFonts w:hint="eastAsia" w:ascii="宋体" w:hAnsi="宋体" w:eastAsia="宋体" w:cs="宋体"/>
          <w:sz w:val="21"/>
          <w:szCs w:val="21"/>
          <w:lang w:val="zh-CN"/>
        </w:rPr>
        <w:t>。</w:t>
      </w:r>
    </w:p>
    <w:p w14:paraId="6F2FF4EB">
      <w:pPr>
        <w:autoSpaceDE w:val="0"/>
        <w:autoSpaceDN w:val="0"/>
        <w:adjustRightInd w:val="0"/>
        <w:spacing w:line="360" w:lineRule="auto"/>
        <w:ind w:firstLine="480"/>
        <w:rPr>
          <w:rFonts w:ascii="宋体" w:hAnsi="宋体" w:cs="宋体"/>
          <w:sz w:val="24"/>
          <w:lang w:val="zh-CN"/>
        </w:rPr>
      </w:pPr>
      <w:r>
        <w:rPr>
          <w:rFonts w:hint="eastAsia" w:ascii="宋体" w:hAnsi="宋体" w:eastAsia="宋体" w:cs="宋体"/>
          <w:b/>
          <w:bCs/>
          <w:sz w:val="21"/>
          <w:szCs w:val="21"/>
        </w:rPr>
        <w:t>（五）特别说明</w:t>
      </w:r>
    </w:p>
    <w:p w14:paraId="52671D35">
      <w:pPr>
        <w:snapToGrid w:val="0"/>
        <w:spacing w:line="360" w:lineRule="auto"/>
        <w:ind w:firstLine="420" w:firstLineChars="200"/>
        <w:rPr>
          <w:rFonts w:ascii="宋体" w:hAnsi="宋体" w:cs="宋体"/>
          <w:sz w:val="24"/>
          <w:lang w:val="zh-CN"/>
        </w:rPr>
      </w:pPr>
      <w:r>
        <w:rPr>
          <w:rFonts w:hint="eastAsia" w:ascii="宋体" w:hAnsi="宋体" w:eastAsia="宋体" w:cs="宋体"/>
          <w:sz w:val="21"/>
          <w:szCs w:val="21"/>
        </w:rPr>
        <w:t>1</w:t>
      </w:r>
      <w:r>
        <w:rPr>
          <w:rFonts w:hint="eastAsia" w:ascii="宋体" w:hAnsi="宋体" w:cs="宋体"/>
          <w:sz w:val="21"/>
          <w:szCs w:val="21"/>
          <w:lang w:val="zh-CN"/>
        </w:rPr>
        <w:t>、</w:t>
      </w:r>
      <w:r>
        <w:rPr>
          <w:rFonts w:hint="eastAsia" w:ascii="宋体" w:hAnsi="宋体" w:cs="宋体"/>
          <w:sz w:val="21"/>
          <w:szCs w:val="21"/>
        </w:rPr>
        <w:t>供应商谈判</w:t>
      </w:r>
      <w:r>
        <w:rPr>
          <w:rFonts w:hint="eastAsia" w:ascii="宋体" w:hAnsi="宋体" w:cs="宋体"/>
          <w:sz w:val="21"/>
          <w:szCs w:val="21"/>
          <w:lang w:val="zh-CN"/>
        </w:rPr>
        <w:t>所使用的资格、信誉、荣誉、业绩与企业认证必须为本法人所拥有。</w:t>
      </w:r>
      <w:r>
        <w:rPr>
          <w:rFonts w:hint="eastAsia" w:ascii="宋体" w:hAnsi="宋体" w:cs="宋体"/>
          <w:sz w:val="21"/>
          <w:szCs w:val="21"/>
        </w:rPr>
        <w:t>供应商谈判</w:t>
      </w:r>
      <w:r>
        <w:rPr>
          <w:rFonts w:hint="eastAsia" w:ascii="宋体" w:hAnsi="宋体" w:cs="宋体"/>
          <w:sz w:val="21"/>
          <w:szCs w:val="21"/>
          <w:lang w:val="zh-CN"/>
        </w:rPr>
        <w:t>所使用的采购项目实施人员必须为本法人员工（或必须为本法人或控股公司正式员工）。</w:t>
      </w:r>
    </w:p>
    <w:p w14:paraId="26841092">
      <w:pPr>
        <w:snapToGrid w:val="0"/>
        <w:spacing w:line="360" w:lineRule="auto"/>
        <w:ind w:firstLine="420" w:firstLineChars="200"/>
        <w:rPr>
          <w:rFonts w:ascii="宋体" w:hAnsi="宋体" w:cs="宋体"/>
          <w:sz w:val="21"/>
          <w:szCs w:val="21"/>
          <w:lang w:val="zh-CN"/>
        </w:rPr>
      </w:pPr>
      <w:r>
        <w:rPr>
          <w:rFonts w:hint="eastAsia" w:ascii="宋体" w:hAnsi="宋体" w:eastAsia="宋体" w:cs="宋体"/>
          <w:sz w:val="21"/>
          <w:szCs w:val="21"/>
        </w:rPr>
        <w:t>2、供应商所标产品除谈判文件中明确规定要求“提供官网截图或相应检测报告的证明材料”以外，所有技术参数描述均以谈判文件为准。谈判供应商对所投产品技术参数的真实性承担法律责任。项目谈判结束后、质疑期限内，如有质疑供应商认为成交供应商所投产品、谈判文件技术参数与谈判需求存在重大偏离、错误、甚至造假的情况，应提供具体有效的证明材料。</w:t>
      </w:r>
    </w:p>
    <w:p w14:paraId="2D4715DB">
      <w:pPr>
        <w:pStyle w:val="43"/>
        <w:snapToGrid w:val="0"/>
        <w:spacing w:line="360" w:lineRule="auto"/>
        <w:ind w:firstLineChars="0"/>
        <w:rPr>
          <w:rFonts w:ascii="宋体" w:hAnsi="宋体" w:eastAsia="宋体" w:cs="宋体"/>
          <w:sz w:val="21"/>
          <w:szCs w:val="21"/>
        </w:rPr>
      </w:pPr>
      <w:r>
        <w:rPr>
          <w:rFonts w:hint="eastAsia" w:ascii="宋体" w:hAnsi="宋体" w:eastAsia="宋体" w:cs="宋体"/>
          <w:sz w:val="21"/>
          <w:szCs w:val="21"/>
        </w:rPr>
        <w:t>3、</w:t>
      </w:r>
      <w:r>
        <w:rPr>
          <w:rFonts w:hint="eastAsia" w:ascii="宋体" w:hAnsi="宋体" w:eastAsia="宋体" w:cs="宋体"/>
          <w:kern w:val="0"/>
          <w:sz w:val="21"/>
          <w:szCs w:val="21"/>
        </w:rPr>
        <w:t>供应商</w:t>
      </w:r>
      <w:r>
        <w:rPr>
          <w:rFonts w:hint="eastAsia" w:ascii="宋体" w:hAnsi="宋体" w:eastAsia="宋体" w:cs="宋体"/>
          <w:sz w:val="21"/>
          <w:szCs w:val="21"/>
        </w:rPr>
        <w:t>在谈判活动中提供任何虚假材料,其响应无效，并报监管部门查处；成交后发现的,根据《中华人民共和国政府采购法》第七十七条第一款第一项之规定，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14:paraId="29025A00">
      <w:pPr>
        <w:pStyle w:val="5"/>
        <w:keepNext w:val="0"/>
        <w:keepLines w:val="0"/>
        <w:tabs>
          <w:tab w:val="left" w:pos="851"/>
        </w:tabs>
        <w:autoSpaceDE w:val="0"/>
        <w:autoSpaceDN w:val="0"/>
        <w:adjustRightInd w:val="0"/>
        <w:snapToGrid w:val="0"/>
        <w:spacing w:before="0" w:after="0" w:line="360" w:lineRule="auto"/>
        <w:ind w:firstLine="420" w:firstLineChars="200"/>
        <w:rPr>
          <w:rFonts w:ascii="宋体" w:hAnsi="宋体" w:eastAsia="宋体" w:cs="宋体"/>
          <w:b w:val="0"/>
          <w:bCs w:val="0"/>
          <w:sz w:val="21"/>
          <w:szCs w:val="21"/>
        </w:rPr>
      </w:pPr>
      <w:r>
        <w:rPr>
          <w:rFonts w:hint="eastAsia" w:ascii="宋体" w:hAnsi="宋体" w:eastAsia="宋体" w:cs="宋体"/>
          <w:b w:val="0"/>
          <w:bCs w:val="0"/>
          <w:sz w:val="21"/>
          <w:szCs w:val="21"/>
        </w:rPr>
        <w:t>4、</w:t>
      </w:r>
      <w:r>
        <w:rPr>
          <w:rFonts w:hint="eastAsia" w:ascii="宋体" w:hAnsi="宋体" w:eastAsia="宋体" w:cs="宋体"/>
          <w:b w:val="0"/>
          <w:bCs w:val="0"/>
          <w:kern w:val="0"/>
          <w:sz w:val="21"/>
          <w:szCs w:val="21"/>
        </w:rPr>
        <w:t>供应商</w:t>
      </w:r>
      <w:r>
        <w:rPr>
          <w:rFonts w:hint="eastAsia" w:ascii="宋体" w:hAnsi="宋体" w:eastAsia="宋体" w:cs="宋体"/>
          <w:b w:val="0"/>
          <w:bCs w:val="0"/>
          <w:sz w:val="21"/>
          <w:szCs w:val="21"/>
        </w:rPr>
        <w:t>不得相互串通谈判报价，不得妨碍其他供应商的公平竞争，不得损害采购人或其他供应商的合法权益，供应商不得以向采购人、谈判小组成员行贿或者采取其他不正当手段谋取成交。</w:t>
      </w:r>
    </w:p>
    <w:p w14:paraId="0D91C83D">
      <w:pPr>
        <w:snapToGrid w:val="0"/>
        <w:spacing w:line="360" w:lineRule="auto"/>
        <w:ind w:firstLine="420" w:firstLineChars="200"/>
        <w:rPr>
          <w:rFonts w:ascii="宋体" w:hAnsi="宋体" w:eastAsia="宋体" w:cs="宋体"/>
          <w:sz w:val="21"/>
          <w:szCs w:val="21"/>
        </w:rPr>
      </w:pPr>
      <w:r>
        <w:rPr>
          <w:rFonts w:hint="eastAsia" w:ascii="宋体" w:hAnsi="宋体" w:eastAsia="宋体" w:cs="宋体"/>
          <w:sz w:val="21"/>
          <w:szCs w:val="21"/>
        </w:rPr>
        <w:t>5、为采购项目提供项目管理、</w:t>
      </w:r>
      <w:r>
        <w:rPr>
          <w:rFonts w:hint="eastAsia" w:ascii="宋体" w:hAnsi="宋体" w:cs="宋体"/>
          <w:sz w:val="21"/>
          <w:szCs w:val="21"/>
        </w:rPr>
        <w:t>施工</w:t>
      </w:r>
      <w:r>
        <w:rPr>
          <w:rFonts w:hint="eastAsia" w:ascii="宋体" w:hAnsi="宋体" w:eastAsia="宋体" w:cs="宋体"/>
          <w:sz w:val="21"/>
          <w:szCs w:val="21"/>
        </w:rPr>
        <w:t>、检测等服务的供应商，不得再参加该采购项目的其他采购活动。</w:t>
      </w:r>
    </w:p>
    <w:p w14:paraId="2BA215D3">
      <w:pPr>
        <w:pStyle w:val="5"/>
        <w:keepNext w:val="0"/>
        <w:keepLines w:val="0"/>
        <w:tabs>
          <w:tab w:val="left" w:pos="851"/>
        </w:tabs>
        <w:autoSpaceDE w:val="0"/>
        <w:autoSpaceDN w:val="0"/>
        <w:adjustRightInd w:val="0"/>
        <w:snapToGrid w:val="0"/>
        <w:spacing w:before="0" w:after="0" w:line="360" w:lineRule="auto"/>
        <w:ind w:firstLine="420" w:firstLineChars="200"/>
        <w:rPr>
          <w:rFonts w:ascii="宋体" w:hAnsi="宋体" w:eastAsia="宋体" w:cs="宋体"/>
          <w:b w:val="0"/>
          <w:bCs w:val="0"/>
          <w:sz w:val="21"/>
          <w:szCs w:val="21"/>
        </w:rPr>
      </w:pPr>
      <w:r>
        <w:rPr>
          <w:rFonts w:hint="eastAsia" w:ascii="宋体" w:hAnsi="宋体" w:eastAsia="宋体" w:cs="宋体"/>
          <w:b w:val="0"/>
          <w:bCs w:val="0"/>
          <w:sz w:val="21"/>
          <w:szCs w:val="21"/>
        </w:rPr>
        <w:t>6、谈判响应文件格式中的表格式样可以根据项目差别做适当调整,但应当保持表格样式基本形态不变。</w:t>
      </w:r>
    </w:p>
    <w:p w14:paraId="0768E8B0">
      <w:pPr>
        <w:pStyle w:val="5"/>
        <w:keepNext w:val="0"/>
        <w:keepLines w:val="0"/>
        <w:tabs>
          <w:tab w:val="left" w:pos="851"/>
        </w:tabs>
        <w:autoSpaceDE w:val="0"/>
        <w:autoSpaceDN w:val="0"/>
        <w:adjustRightInd w:val="0"/>
        <w:snapToGrid w:val="0"/>
        <w:spacing w:before="0" w:after="0" w:line="360" w:lineRule="auto"/>
        <w:ind w:firstLine="420" w:firstLineChars="200"/>
        <w:rPr>
          <w:rFonts w:ascii="宋体" w:hAnsi="宋体" w:eastAsia="宋体" w:cs="宋体"/>
          <w:b w:val="0"/>
          <w:bCs w:val="0"/>
          <w:sz w:val="21"/>
          <w:szCs w:val="21"/>
        </w:rPr>
      </w:pPr>
      <w:r>
        <w:rPr>
          <w:rFonts w:hint="eastAsia" w:ascii="宋体" w:hAnsi="宋体" w:eastAsia="宋体" w:cs="宋体"/>
          <w:b w:val="0"/>
          <w:bCs w:val="0"/>
          <w:sz w:val="21"/>
          <w:szCs w:val="21"/>
        </w:rPr>
        <w:t>7、单位负责人为同一人或者存在直接控股、管理关系的不同供应商，不得参加同一合同项下的政府采购活动。</w:t>
      </w:r>
    </w:p>
    <w:p w14:paraId="3407A21A">
      <w:pPr>
        <w:pStyle w:val="7"/>
        <w:ind w:firstLine="420" w:firstLineChars="200"/>
        <w:rPr>
          <w:lang w:val="zh-CN"/>
        </w:rPr>
      </w:pPr>
      <w:r>
        <w:rPr>
          <w:rFonts w:hint="eastAsia" w:ascii="宋体" w:hAnsi="宋体" w:eastAsia="宋体" w:cs="宋体"/>
          <w:szCs w:val="21"/>
        </w:rPr>
        <w:t>8、本项目不允许转包、不允许分包。</w:t>
      </w:r>
    </w:p>
    <w:p w14:paraId="11D79B19">
      <w:pPr>
        <w:snapToGrid w:val="0"/>
        <w:spacing w:line="360" w:lineRule="auto"/>
        <w:ind w:firstLine="420" w:firstLineChars="200"/>
        <w:rPr>
          <w:rFonts w:ascii="宋体" w:hAnsi="宋体" w:cs="宋体"/>
          <w:sz w:val="21"/>
          <w:szCs w:val="21"/>
          <w:lang w:val="zh-CN"/>
        </w:rPr>
      </w:pPr>
      <w:r>
        <w:rPr>
          <w:rFonts w:hint="eastAsia" w:ascii="宋体" w:hAnsi="宋体" w:cs="宋体"/>
          <w:sz w:val="21"/>
          <w:szCs w:val="21"/>
          <w:lang w:val="zh-CN"/>
        </w:rPr>
        <w:t>▲</w:t>
      </w:r>
      <w:r>
        <w:rPr>
          <w:rFonts w:hint="eastAsia" w:ascii="宋体" w:hAnsi="宋体" w:eastAsia="宋体" w:cs="宋体"/>
          <w:sz w:val="21"/>
          <w:szCs w:val="21"/>
        </w:rPr>
        <w:t>9、</w:t>
      </w:r>
      <w:r>
        <w:rPr>
          <w:rFonts w:hint="eastAsia" w:ascii="宋体" w:hAnsi="宋体" w:cs="宋体"/>
          <w:b/>
          <w:bCs/>
          <w:sz w:val="21"/>
          <w:szCs w:val="21"/>
        </w:rPr>
        <w:t>供应商</w:t>
      </w:r>
      <w:r>
        <w:rPr>
          <w:rFonts w:hint="eastAsia" w:ascii="宋体" w:hAnsi="宋体" w:cs="宋体"/>
          <w:b/>
          <w:bCs/>
          <w:sz w:val="21"/>
          <w:szCs w:val="21"/>
          <w:lang w:val="zh-CN"/>
        </w:rPr>
        <w:t>信用信息查询渠道及截止时点、信用信息查询记录和证据留存的具体方式、信用信息的使用规则：</w:t>
      </w:r>
    </w:p>
    <w:p w14:paraId="4E0D5D60">
      <w:pPr>
        <w:snapToGrid w:val="0"/>
        <w:spacing w:line="360" w:lineRule="auto"/>
        <w:ind w:firstLine="420" w:firstLineChars="200"/>
        <w:rPr>
          <w:rFonts w:ascii="宋体" w:hAnsi="宋体" w:cs="宋体"/>
          <w:sz w:val="21"/>
          <w:szCs w:val="21"/>
          <w:lang w:val="zh-CN"/>
        </w:rPr>
      </w:pPr>
      <w:r>
        <w:rPr>
          <w:rFonts w:hint="eastAsia" w:ascii="宋体" w:hAnsi="宋体" w:cs="宋体"/>
          <w:sz w:val="21"/>
          <w:szCs w:val="21"/>
          <w:lang w:val="zh-CN"/>
        </w:rPr>
        <w:sym w:font="Wingdings" w:char="0081"/>
      </w:r>
      <w:r>
        <w:rPr>
          <w:rFonts w:hint="eastAsia" w:ascii="宋体" w:hAnsi="宋体" w:cs="宋体"/>
          <w:sz w:val="21"/>
          <w:szCs w:val="21"/>
          <w:lang w:val="zh-CN"/>
        </w:rPr>
        <w:t>查询渠道：中国政府采购网（网址：http://www.ccgp.gov.cn）、信用中国（网址：</w:t>
      </w:r>
      <w:r>
        <w:fldChar w:fldCharType="begin"/>
      </w:r>
      <w:r>
        <w:instrText xml:space="preserve"> HYPERLINK "http://www.creditchina.gov.cn" </w:instrText>
      </w:r>
      <w:r>
        <w:fldChar w:fldCharType="separate"/>
      </w:r>
      <w:r>
        <w:rPr>
          <w:rFonts w:hint="eastAsia" w:ascii="宋体" w:hAnsi="宋体" w:cs="宋体"/>
          <w:sz w:val="21"/>
          <w:szCs w:val="21"/>
          <w:lang w:val="zh-CN"/>
        </w:rPr>
        <w:t>http://www.creditchina.gov.cn</w:t>
      </w:r>
      <w:r>
        <w:rPr>
          <w:rFonts w:hint="eastAsia" w:ascii="宋体" w:hAnsi="宋体" w:cs="宋体"/>
          <w:sz w:val="21"/>
          <w:szCs w:val="21"/>
          <w:lang w:val="zh-CN"/>
        </w:rPr>
        <w:fldChar w:fldCharType="end"/>
      </w:r>
      <w:r>
        <w:rPr>
          <w:rFonts w:hint="eastAsia" w:ascii="宋体" w:hAnsi="宋体" w:cs="宋体"/>
          <w:sz w:val="21"/>
          <w:szCs w:val="21"/>
          <w:lang w:val="zh-CN"/>
        </w:rPr>
        <w:t>）。</w:t>
      </w:r>
    </w:p>
    <w:p w14:paraId="17273E67">
      <w:pPr>
        <w:snapToGrid w:val="0"/>
        <w:spacing w:line="360" w:lineRule="auto"/>
        <w:ind w:firstLine="420" w:firstLineChars="200"/>
        <w:rPr>
          <w:rFonts w:ascii="宋体" w:hAnsi="宋体" w:cs="宋体"/>
          <w:sz w:val="21"/>
          <w:szCs w:val="21"/>
          <w:lang w:val="zh-CN"/>
        </w:rPr>
      </w:pPr>
      <w:r>
        <w:rPr>
          <w:rFonts w:hint="eastAsia" w:ascii="宋体" w:hAnsi="宋体" w:cs="宋体"/>
          <w:sz w:val="21"/>
          <w:szCs w:val="21"/>
          <w:lang w:val="zh-CN"/>
        </w:rPr>
        <w:sym w:font="Wingdings" w:char="F082"/>
      </w:r>
      <w:r>
        <w:rPr>
          <w:rFonts w:hint="eastAsia" w:ascii="宋体" w:hAnsi="宋体" w:cs="宋体"/>
          <w:sz w:val="21"/>
          <w:szCs w:val="21"/>
          <w:lang w:val="zh-CN"/>
        </w:rPr>
        <w:t>截止时间：开标后评标前。</w:t>
      </w:r>
    </w:p>
    <w:p w14:paraId="2316C459">
      <w:pPr>
        <w:snapToGrid w:val="0"/>
        <w:spacing w:line="360" w:lineRule="auto"/>
        <w:ind w:firstLine="420" w:firstLineChars="200"/>
        <w:rPr>
          <w:rFonts w:ascii="宋体" w:hAnsi="宋体" w:cs="宋体"/>
          <w:sz w:val="21"/>
          <w:szCs w:val="21"/>
          <w:lang w:val="zh-CN"/>
        </w:rPr>
      </w:pPr>
      <w:r>
        <w:rPr>
          <w:rFonts w:hint="eastAsia" w:ascii="宋体" w:hAnsi="宋体" w:cs="宋体"/>
          <w:sz w:val="21"/>
          <w:szCs w:val="21"/>
          <w:lang w:val="zh-CN"/>
        </w:rPr>
        <w:sym w:font="Wingdings" w:char="F083"/>
      </w:r>
      <w:r>
        <w:rPr>
          <w:rFonts w:hint="eastAsia" w:ascii="宋体" w:hAnsi="宋体" w:cs="宋体"/>
          <w:sz w:val="21"/>
          <w:szCs w:val="21"/>
          <w:lang w:val="zh-CN"/>
        </w:rPr>
        <w:t>信用信息查询记录和证据留存的具体方式：将在规定查询时间内打印信用信息查询记录及相关证据，并将与其他采购文件一并保存。</w:t>
      </w:r>
    </w:p>
    <w:p w14:paraId="7037D7C0">
      <w:pPr>
        <w:autoSpaceDE w:val="0"/>
        <w:autoSpaceDN w:val="0"/>
        <w:adjustRightInd w:val="0"/>
        <w:spacing w:line="360" w:lineRule="auto"/>
        <w:ind w:firstLine="480"/>
        <w:rPr>
          <w:rFonts w:ascii="宋体" w:hAnsi="宋体" w:cs="宋体"/>
          <w:sz w:val="21"/>
          <w:szCs w:val="21"/>
        </w:rPr>
      </w:pPr>
      <w:r>
        <w:rPr>
          <w:rFonts w:hint="eastAsia" w:ascii="宋体" w:hAnsi="宋体" w:cs="宋体"/>
          <w:sz w:val="21"/>
          <w:szCs w:val="21"/>
          <w:lang w:val="zh-CN"/>
        </w:rPr>
        <w:sym w:font="Wingdings" w:char="0084"/>
      </w:r>
      <w:r>
        <w:rPr>
          <w:rFonts w:hint="eastAsia" w:ascii="宋体" w:hAnsi="宋体" w:cs="宋体"/>
          <w:sz w:val="21"/>
          <w:szCs w:val="21"/>
          <w:lang w:val="zh-CN"/>
        </w:rPr>
        <w:t>使用规则：对列入失信被执行人、重大税收违法案件当事人名单、政府采购严重违法失信行为记录名单的供应商，拒绝其参与采购活动</w:t>
      </w:r>
      <w:r>
        <w:rPr>
          <w:rFonts w:hint="eastAsia" w:ascii="宋体" w:hAnsi="宋体" w:cs="宋体"/>
          <w:sz w:val="21"/>
          <w:szCs w:val="21"/>
        </w:rPr>
        <w:t>。</w:t>
      </w:r>
    </w:p>
    <w:p w14:paraId="4EE24F32">
      <w:pPr>
        <w:snapToGrid w:val="0"/>
        <w:spacing w:line="360" w:lineRule="auto"/>
        <w:ind w:firstLine="420" w:firstLineChars="200"/>
        <w:rPr>
          <w:rFonts w:ascii="宋体" w:hAnsi="宋体" w:eastAsia="宋体" w:cs="宋体"/>
          <w:b/>
          <w:bCs/>
          <w:sz w:val="21"/>
          <w:szCs w:val="21"/>
          <w:lang w:val="zh-CN"/>
        </w:rPr>
      </w:pPr>
      <w:r>
        <w:rPr>
          <w:rFonts w:hint="eastAsia" w:ascii="宋体" w:hAnsi="宋体" w:eastAsia="宋体" w:cs="宋体"/>
          <w:sz w:val="21"/>
          <w:szCs w:val="21"/>
        </w:rPr>
        <w:t>10、</w:t>
      </w:r>
      <w:r>
        <w:rPr>
          <w:rFonts w:hint="eastAsia" w:ascii="宋体" w:hAnsi="宋体" w:eastAsia="宋体" w:cs="宋体"/>
          <w:b/>
          <w:bCs/>
          <w:sz w:val="21"/>
          <w:szCs w:val="21"/>
          <w:lang w:val="zh-CN"/>
        </w:rPr>
        <w:t>政府采购政策：</w:t>
      </w:r>
    </w:p>
    <w:p w14:paraId="70013B0E">
      <w:pPr>
        <w:snapToGrid w:val="0"/>
        <w:spacing w:line="360" w:lineRule="auto"/>
        <w:ind w:firstLine="422" w:firstLineChars="200"/>
        <w:rPr>
          <w:rFonts w:ascii="宋体" w:hAnsi="宋体" w:eastAsia="宋体" w:cs="宋体"/>
          <w:b/>
          <w:bCs/>
          <w:sz w:val="21"/>
          <w:szCs w:val="21"/>
          <w:lang w:val="zh-CN"/>
        </w:rPr>
      </w:pPr>
      <w:r>
        <w:rPr>
          <w:rFonts w:hint="eastAsia" w:ascii="宋体" w:hAnsi="宋体" w:eastAsia="宋体" w:cs="宋体"/>
          <w:b/>
          <w:bCs/>
          <w:sz w:val="21"/>
          <w:szCs w:val="21"/>
          <w:lang w:val="zh-CN"/>
        </w:rPr>
        <w:t>（1）本次采购专门面向中小企业/小微企业或监狱企业或残疾人福利性单位的采购项目。</w:t>
      </w:r>
    </w:p>
    <w:p w14:paraId="77ADC51A">
      <w:pPr>
        <w:snapToGrid w:val="0"/>
        <w:spacing w:line="360" w:lineRule="auto"/>
        <w:ind w:firstLine="422" w:firstLineChars="200"/>
        <w:rPr>
          <w:rFonts w:ascii="宋体" w:hAnsi="宋体" w:eastAsia="宋体" w:cs="宋体"/>
          <w:b/>
          <w:bCs/>
          <w:sz w:val="21"/>
          <w:szCs w:val="21"/>
          <w:lang w:val="zh-CN"/>
        </w:rPr>
      </w:pPr>
      <w:r>
        <w:rPr>
          <w:rFonts w:hint="eastAsia" w:ascii="宋体" w:hAnsi="宋体" w:eastAsia="宋体" w:cs="宋体"/>
          <w:b/>
          <w:bCs/>
          <w:sz w:val="21"/>
          <w:szCs w:val="21"/>
          <w:lang w:val="zh-CN"/>
        </w:rPr>
        <w:t>（2）本采购文件所称中小企业，是指在中华人民共和国境内依法设立，依据国务院批准的中小企业划分标准确定的中型企业、小型企业和微型企业，但与大企业的负责人为同一人，或者与大企业存在直接控股、管理关系的除外。</w:t>
      </w:r>
    </w:p>
    <w:p w14:paraId="3FA09A09">
      <w:pPr>
        <w:snapToGrid w:val="0"/>
        <w:spacing w:line="360" w:lineRule="auto"/>
        <w:ind w:firstLine="422" w:firstLineChars="200"/>
        <w:rPr>
          <w:rFonts w:ascii="宋体" w:hAnsi="宋体" w:eastAsia="宋体" w:cs="宋体"/>
          <w:b/>
          <w:bCs/>
          <w:sz w:val="21"/>
          <w:szCs w:val="21"/>
          <w:lang w:val="zh-CN"/>
        </w:rPr>
      </w:pPr>
      <w:r>
        <w:rPr>
          <w:rFonts w:hint="eastAsia" w:ascii="宋体" w:hAnsi="宋体" w:eastAsia="宋体" w:cs="宋体"/>
          <w:b/>
          <w:bCs/>
          <w:sz w:val="21"/>
          <w:szCs w:val="21"/>
          <w:lang w:val="zh-CN"/>
        </w:rPr>
        <w:t>（3）以联合体形式参加政府采购活动，联合体各方均为小微企业的，联合体视同小微企业。（本项目不适用）</w:t>
      </w:r>
    </w:p>
    <w:p w14:paraId="5E7DDC8E">
      <w:pPr>
        <w:snapToGrid w:val="0"/>
        <w:spacing w:line="360" w:lineRule="auto"/>
        <w:ind w:firstLine="422" w:firstLineChars="200"/>
        <w:rPr>
          <w:rFonts w:ascii="宋体" w:hAnsi="宋体" w:eastAsia="宋体" w:cs="宋体"/>
          <w:b/>
          <w:bCs/>
          <w:sz w:val="21"/>
          <w:szCs w:val="21"/>
          <w:lang w:val="zh-CN"/>
        </w:rPr>
      </w:pPr>
      <w:r>
        <w:rPr>
          <w:rFonts w:hint="eastAsia" w:ascii="宋体" w:hAnsi="宋体" w:eastAsia="宋体" w:cs="宋体"/>
          <w:b/>
          <w:bCs/>
          <w:sz w:val="21"/>
          <w:szCs w:val="21"/>
          <w:lang w:val="zh-CN"/>
        </w:rPr>
        <w:t>（4）符合小微企业划分标准的个体工商户，视同小微企业。</w:t>
      </w:r>
    </w:p>
    <w:p w14:paraId="4230FCF0">
      <w:pPr>
        <w:snapToGrid w:val="0"/>
        <w:spacing w:line="360" w:lineRule="auto"/>
        <w:ind w:firstLine="422" w:firstLineChars="200"/>
        <w:rPr>
          <w:rFonts w:ascii="宋体" w:hAnsi="宋体" w:eastAsia="宋体" w:cs="宋体"/>
          <w:b/>
          <w:bCs/>
          <w:sz w:val="21"/>
          <w:szCs w:val="21"/>
          <w:lang w:val="zh-CN"/>
        </w:rPr>
      </w:pPr>
      <w:r>
        <w:rPr>
          <w:rFonts w:hint="eastAsia" w:ascii="宋体" w:hAnsi="宋体" w:eastAsia="宋体" w:cs="宋体"/>
          <w:b/>
          <w:bCs/>
          <w:sz w:val="21"/>
          <w:szCs w:val="21"/>
          <w:lang w:val="zh-CN"/>
        </w:rPr>
        <w:t>（5）本项目不接受大中型企业与小微企业组成联合体。</w:t>
      </w:r>
    </w:p>
    <w:p w14:paraId="6EF83697">
      <w:pPr>
        <w:snapToGrid w:val="0"/>
        <w:spacing w:line="360" w:lineRule="auto"/>
        <w:ind w:firstLine="422" w:firstLineChars="200"/>
        <w:rPr>
          <w:rFonts w:ascii="宋体" w:hAnsi="宋体" w:eastAsia="宋体" w:cs="宋体"/>
          <w:b/>
          <w:bCs/>
          <w:sz w:val="21"/>
          <w:szCs w:val="21"/>
          <w:lang w:val="zh-CN"/>
        </w:rPr>
      </w:pPr>
      <w:r>
        <w:rPr>
          <w:rFonts w:hint="eastAsia" w:ascii="宋体" w:hAnsi="宋体" w:eastAsia="宋体" w:cs="宋体"/>
          <w:b/>
          <w:bCs/>
          <w:sz w:val="21"/>
          <w:szCs w:val="21"/>
          <w:lang w:val="zh-CN"/>
        </w:rPr>
        <w:t>（6）本项目不允许大中型企业向一家或者多家小微企业分包。</w:t>
      </w:r>
    </w:p>
    <w:p w14:paraId="096929A3">
      <w:pPr>
        <w:snapToGrid w:val="0"/>
        <w:spacing w:line="360" w:lineRule="auto"/>
        <w:ind w:firstLine="422" w:firstLineChars="200"/>
        <w:rPr>
          <w:rFonts w:ascii="宋体" w:hAnsi="宋体" w:eastAsia="宋体" w:cs="宋体"/>
          <w:b/>
          <w:bCs/>
          <w:sz w:val="21"/>
          <w:szCs w:val="21"/>
          <w:lang w:val="zh-CN"/>
        </w:rPr>
      </w:pPr>
      <w:r>
        <w:rPr>
          <w:rFonts w:hint="eastAsia" w:ascii="宋体" w:hAnsi="宋体" w:eastAsia="宋体" w:cs="宋体"/>
          <w:b/>
          <w:bCs/>
          <w:sz w:val="21"/>
          <w:szCs w:val="21"/>
          <w:lang w:val="zh-CN"/>
        </w:rPr>
        <w:t>（7）提供的服务全部由中小微企业承接（包括联合体内的小微企业和接受分包的小微企业）的，供应商应当出具《中小企业声明函》。</w:t>
      </w:r>
    </w:p>
    <w:p w14:paraId="35D83741">
      <w:pPr>
        <w:snapToGrid w:val="0"/>
        <w:spacing w:line="360" w:lineRule="auto"/>
        <w:ind w:firstLine="422" w:firstLineChars="200"/>
        <w:rPr>
          <w:rFonts w:ascii="宋体" w:hAnsi="宋体" w:eastAsia="宋体" w:cs="宋体"/>
          <w:b/>
          <w:bCs/>
          <w:sz w:val="21"/>
          <w:szCs w:val="21"/>
          <w:lang w:val="zh-CN"/>
        </w:rPr>
      </w:pPr>
      <w:r>
        <w:rPr>
          <w:rFonts w:hint="eastAsia" w:ascii="宋体" w:hAnsi="宋体" w:eastAsia="宋体" w:cs="宋体"/>
          <w:b/>
          <w:bCs/>
          <w:sz w:val="21"/>
          <w:szCs w:val="21"/>
          <w:lang w:val="zh-CN"/>
        </w:rPr>
        <w:t>（8）残疾人福利性单位视同小微企业，参加政府采购活动时，应当提供《残疾人福利性单位声明函》。</w:t>
      </w:r>
    </w:p>
    <w:p w14:paraId="3FB33F45">
      <w:pPr>
        <w:pStyle w:val="5"/>
        <w:keepNext w:val="0"/>
        <w:keepLines w:val="0"/>
        <w:tabs>
          <w:tab w:val="left" w:pos="851"/>
        </w:tabs>
        <w:autoSpaceDE w:val="0"/>
        <w:autoSpaceDN w:val="0"/>
        <w:adjustRightInd w:val="0"/>
        <w:snapToGrid w:val="0"/>
        <w:spacing w:before="0" w:after="0" w:line="360" w:lineRule="auto"/>
        <w:ind w:firstLine="422" w:firstLineChars="200"/>
        <w:rPr>
          <w:rFonts w:ascii="宋体" w:hAnsi="宋体" w:eastAsia="宋体" w:cs="宋体"/>
          <w:sz w:val="21"/>
          <w:szCs w:val="21"/>
          <w:lang w:val="zh-CN"/>
        </w:rPr>
      </w:pPr>
      <w:r>
        <w:rPr>
          <w:rFonts w:hint="eastAsia" w:ascii="宋体" w:hAnsi="宋体" w:eastAsia="宋体" w:cs="宋体"/>
          <w:sz w:val="21"/>
          <w:szCs w:val="21"/>
          <w:lang w:val="zh-CN"/>
        </w:rPr>
        <w:t>（9）监狱企业视同小微企业，参加政府采购活动时，应当出具省级以上监狱管理局、戒毒管理局（含新疆生产建设兵团）提供的属于监狱企业的证明文件。</w:t>
      </w:r>
    </w:p>
    <w:bookmarkEnd w:id="35"/>
    <w:bookmarkEnd w:id="36"/>
    <w:p w14:paraId="5A6B1955">
      <w:pPr>
        <w:autoSpaceDE w:val="0"/>
        <w:autoSpaceDN w:val="0"/>
        <w:adjustRightInd w:val="0"/>
        <w:spacing w:line="360" w:lineRule="auto"/>
        <w:ind w:firstLine="480"/>
        <w:rPr>
          <w:rFonts w:ascii="宋体" w:hAnsi="宋体" w:eastAsia="宋体" w:cs="宋体"/>
          <w:b/>
          <w:bCs/>
          <w:sz w:val="21"/>
          <w:szCs w:val="21"/>
          <w:lang w:val="zh-CN"/>
        </w:rPr>
      </w:pPr>
      <w:r>
        <w:rPr>
          <w:rFonts w:hint="eastAsia" w:ascii="宋体" w:hAnsi="宋体" w:eastAsia="宋体" w:cs="宋体"/>
          <w:b/>
          <w:bCs/>
          <w:sz w:val="21"/>
          <w:szCs w:val="21"/>
        </w:rPr>
        <w:t>（六）</w:t>
      </w:r>
      <w:r>
        <w:rPr>
          <w:rFonts w:hint="eastAsia" w:ascii="宋体" w:hAnsi="宋体" w:eastAsia="宋体" w:cs="宋体"/>
          <w:b/>
          <w:bCs/>
          <w:sz w:val="21"/>
          <w:szCs w:val="21"/>
          <w:lang w:val="zh-CN"/>
        </w:rPr>
        <w:t>质疑与投诉</w:t>
      </w:r>
    </w:p>
    <w:p w14:paraId="7008A030">
      <w:pPr>
        <w:pStyle w:val="10"/>
        <w:spacing w:line="360" w:lineRule="auto"/>
        <w:ind w:firstLine="420" w:firstLineChars="200"/>
        <w:rPr>
          <w:rFonts w:hAnsi="宋体" w:eastAsia="宋体" w:cs="宋体"/>
          <w:szCs w:val="21"/>
          <w:lang w:val="zh-CN"/>
        </w:rPr>
      </w:pPr>
      <w:r>
        <w:rPr>
          <w:rFonts w:hint="eastAsia" w:hAnsi="宋体" w:eastAsia="宋体" w:cs="宋体"/>
          <w:szCs w:val="21"/>
          <w:lang w:val="zh-CN"/>
        </w:rPr>
        <w:t>1、</w:t>
      </w:r>
      <w:r>
        <w:rPr>
          <w:rFonts w:hint="eastAsia" w:hAnsi="宋体" w:eastAsia="宋体" w:cs="宋体"/>
          <w:szCs w:val="21"/>
        </w:rPr>
        <w:t>供应商</w:t>
      </w:r>
      <w:r>
        <w:rPr>
          <w:rFonts w:hint="eastAsia" w:hAnsi="宋体" w:eastAsia="宋体" w:cs="宋体"/>
          <w:szCs w:val="21"/>
          <w:lang w:val="zh-CN"/>
        </w:rPr>
        <w:t>认为</w:t>
      </w:r>
      <w:r>
        <w:rPr>
          <w:rFonts w:hint="eastAsia" w:hAnsi="宋体" w:eastAsia="宋体" w:cs="宋体"/>
          <w:szCs w:val="21"/>
        </w:rPr>
        <w:t>谈判</w:t>
      </w:r>
      <w:r>
        <w:rPr>
          <w:rFonts w:hint="eastAsia" w:hAnsi="宋体" w:eastAsia="宋体" w:cs="宋体"/>
          <w:szCs w:val="21"/>
          <w:lang w:val="zh-CN"/>
        </w:rPr>
        <w:t>文件、</w:t>
      </w:r>
      <w:r>
        <w:rPr>
          <w:rFonts w:hint="eastAsia" w:hAnsi="宋体" w:eastAsia="宋体" w:cs="宋体"/>
          <w:szCs w:val="21"/>
        </w:rPr>
        <w:t>谈判</w:t>
      </w:r>
      <w:r>
        <w:rPr>
          <w:rFonts w:hint="eastAsia" w:hAnsi="宋体" w:eastAsia="宋体" w:cs="宋体"/>
          <w:szCs w:val="21"/>
          <w:lang w:val="zh-CN"/>
        </w:rPr>
        <w:t>过程和中标结果使自己的权益收到损害的，可以在知道或者应知其权益收到损害之日起七个工作日内，以书面形式向代理机构提出质疑（在法定质疑期内一次性提出针对同一</w:t>
      </w:r>
      <w:r>
        <w:rPr>
          <w:rFonts w:hint="eastAsia" w:hAnsi="宋体" w:eastAsia="宋体" w:cs="宋体"/>
          <w:szCs w:val="21"/>
        </w:rPr>
        <w:t>采购</w:t>
      </w:r>
      <w:r>
        <w:rPr>
          <w:rFonts w:hint="eastAsia" w:hAnsi="宋体" w:eastAsia="宋体" w:cs="宋体"/>
          <w:szCs w:val="21"/>
          <w:lang w:val="zh-CN"/>
        </w:rPr>
        <w:t>程序环节的质疑）。</w:t>
      </w:r>
    </w:p>
    <w:p w14:paraId="60D5EB06">
      <w:pPr>
        <w:pStyle w:val="10"/>
        <w:spacing w:line="360" w:lineRule="auto"/>
        <w:ind w:firstLine="420" w:firstLineChars="200"/>
        <w:rPr>
          <w:rFonts w:hAnsi="宋体" w:eastAsia="宋体" w:cs="宋体"/>
          <w:szCs w:val="21"/>
          <w:lang w:val="zh-CN"/>
        </w:rPr>
      </w:pPr>
      <w:r>
        <w:rPr>
          <w:rFonts w:hint="eastAsia" w:hAnsi="宋体" w:eastAsia="宋体" w:cs="宋体"/>
          <w:szCs w:val="21"/>
          <w:lang w:val="zh-CN"/>
        </w:rPr>
        <w:t>2、质疑供应商可直接提交、传真或邮寄方式提交质疑书（一式三份），以其他方式提出的质疑，代理机构可不予接受、答复。其中，以传真方式送达质疑书的，应及时将质疑书原件送达代理机构，代理机构以实际收到原件之日作为收到质疑的日期（在质疑期限届满前质疑书已经传真成功的，质疑不视为过期）；邮寄方式送达质疑书的，以代理机构实际收到邮件之日作为收到质疑的日期。</w:t>
      </w:r>
    </w:p>
    <w:p w14:paraId="69DBFB98">
      <w:pPr>
        <w:pStyle w:val="10"/>
        <w:spacing w:line="360" w:lineRule="auto"/>
        <w:ind w:firstLine="420" w:firstLineChars="200"/>
        <w:rPr>
          <w:rFonts w:hAnsi="宋体" w:eastAsia="宋体" w:cs="宋体"/>
          <w:szCs w:val="21"/>
          <w:lang w:val="zh-CN"/>
        </w:rPr>
      </w:pPr>
      <w:r>
        <w:rPr>
          <w:rFonts w:hint="eastAsia" w:hAnsi="宋体" w:eastAsia="宋体" w:cs="宋体"/>
          <w:szCs w:val="21"/>
          <w:lang w:val="zh-CN"/>
        </w:rPr>
        <w:t>3、代理机构在收到质疑供应商的书面质疑后7个工作日内作出书面答复（涉及项目</w:t>
      </w:r>
      <w:r>
        <w:rPr>
          <w:rFonts w:hint="eastAsia" w:hAnsi="宋体" w:eastAsia="宋体" w:cs="宋体"/>
          <w:szCs w:val="21"/>
        </w:rPr>
        <w:t>采购</w:t>
      </w:r>
      <w:r>
        <w:rPr>
          <w:rFonts w:hint="eastAsia" w:hAnsi="宋体" w:eastAsia="宋体" w:cs="宋体"/>
          <w:szCs w:val="21"/>
          <w:lang w:val="zh-CN"/>
        </w:rPr>
        <w:t>需求内容的由采购人答复），质疑人在收到答复后应于1 日内，以书面或传真形式（签署意见并加盖公章）向代理机构回复予以确认。过期未回复的，视为默认接受。</w:t>
      </w:r>
    </w:p>
    <w:p w14:paraId="71281490">
      <w:pPr>
        <w:spacing w:line="360" w:lineRule="auto"/>
        <w:ind w:firstLine="482"/>
        <w:rPr>
          <w:rFonts w:ascii="宋体" w:hAnsi="宋体" w:eastAsia="宋体" w:cs="宋体"/>
          <w:sz w:val="21"/>
          <w:szCs w:val="21"/>
          <w:lang w:val="zh-CN"/>
        </w:rPr>
      </w:pPr>
      <w:r>
        <w:rPr>
          <w:rFonts w:hint="eastAsia" w:ascii="宋体" w:hAnsi="宋体" w:eastAsia="宋体" w:cs="宋体"/>
          <w:sz w:val="21"/>
          <w:szCs w:val="21"/>
          <w:lang w:val="zh-CN"/>
        </w:rPr>
        <w:t>4、质疑</w:t>
      </w:r>
      <w:r>
        <w:rPr>
          <w:rFonts w:hint="eastAsia" w:ascii="宋体" w:hAnsi="宋体" w:eastAsia="宋体" w:cs="宋体"/>
          <w:sz w:val="21"/>
          <w:szCs w:val="21"/>
        </w:rPr>
        <w:t>供应商</w:t>
      </w:r>
      <w:r>
        <w:rPr>
          <w:rFonts w:hint="eastAsia" w:ascii="宋体" w:hAnsi="宋体" w:eastAsia="宋体" w:cs="宋体"/>
          <w:sz w:val="21"/>
          <w:szCs w:val="21"/>
          <w:lang w:val="zh-CN"/>
        </w:rPr>
        <w:t>捏造事实、提供虚假材料进行质疑的，代理机构报告同级监督部门。情况属实的，列入不良行为记录并在指定的媒体上公告。</w:t>
      </w:r>
    </w:p>
    <w:p w14:paraId="14CFAF99">
      <w:pPr>
        <w:pStyle w:val="3"/>
        <w:spacing w:before="0" w:after="0" w:line="360" w:lineRule="auto"/>
        <w:ind w:firstLine="420" w:firstLineChars="200"/>
        <w:rPr>
          <w:rFonts w:ascii="宋体" w:hAnsi="宋体" w:eastAsia="宋体" w:cs="宋体"/>
          <w:b w:val="0"/>
          <w:bCs w:val="0"/>
          <w:sz w:val="21"/>
          <w:szCs w:val="21"/>
          <w:lang w:val="zh-CN"/>
        </w:rPr>
      </w:pPr>
      <w:r>
        <w:rPr>
          <w:rFonts w:hint="eastAsia" w:ascii="宋体" w:hAnsi="宋体" w:eastAsia="宋体" w:cs="宋体"/>
          <w:b w:val="0"/>
          <w:bCs w:val="0"/>
          <w:sz w:val="21"/>
          <w:szCs w:val="21"/>
          <w:lang w:val="zh-CN"/>
        </w:rPr>
        <w:t>5、</w:t>
      </w:r>
      <w:r>
        <w:rPr>
          <w:rFonts w:hint="eastAsia" w:ascii="宋体" w:hAnsi="宋体" w:eastAsia="宋体" w:cs="宋体"/>
          <w:b w:val="0"/>
          <w:bCs w:val="0"/>
          <w:kern w:val="0"/>
          <w:sz w:val="21"/>
          <w:szCs w:val="21"/>
        </w:rPr>
        <w:t>质疑供应商对采购人、代理机构的答复不满意或者采购人、代理机构未在规定的时间内作出答复的，可以在答复期满后十五个工作日内向</w:t>
      </w:r>
      <w:r>
        <w:rPr>
          <w:rFonts w:hint="eastAsia" w:ascii="宋体" w:hAnsi="宋体" w:eastAsia="宋体" w:cs="宋体"/>
          <w:b w:val="0"/>
          <w:bCs w:val="0"/>
          <w:sz w:val="21"/>
          <w:szCs w:val="21"/>
          <w:lang w:val="zh-CN"/>
        </w:rPr>
        <w:t>同级监督部门</w:t>
      </w:r>
      <w:r>
        <w:rPr>
          <w:rFonts w:hint="eastAsia" w:ascii="宋体" w:hAnsi="宋体" w:eastAsia="宋体" w:cs="宋体"/>
          <w:b w:val="0"/>
          <w:bCs w:val="0"/>
          <w:kern w:val="0"/>
          <w:sz w:val="21"/>
          <w:szCs w:val="21"/>
        </w:rPr>
        <w:t>投诉。</w:t>
      </w:r>
    </w:p>
    <w:p w14:paraId="0B5D2F3E">
      <w:pPr>
        <w:autoSpaceDE w:val="0"/>
        <w:autoSpaceDN w:val="0"/>
        <w:adjustRightInd w:val="0"/>
        <w:spacing w:line="360" w:lineRule="auto"/>
        <w:ind w:firstLine="422" w:firstLineChars="200"/>
        <w:jc w:val="center"/>
        <w:rPr>
          <w:rFonts w:ascii="宋体" w:hAnsi="宋体" w:eastAsia="宋体" w:cs="宋体"/>
          <w:b/>
          <w:sz w:val="21"/>
          <w:szCs w:val="21"/>
        </w:rPr>
      </w:pPr>
      <w:r>
        <w:rPr>
          <w:rFonts w:hint="eastAsia" w:ascii="宋体" w:hAnsi="宋体" w:eastAsia="宋体" w:cs="宋体"/>
          <w:b/>
          <w:sz w:val="21"/>
          <w:szCs w:val="21"/>
        </w:rPr>
        <w:t>二</w:t>
      </w:r>
      <w:r>
        <w:rPr>
          <w:rFonts w:hint="eastAsia" w:ascii="宋体" w:hAnsi="宋体" w:eastAsia="宋体" w:cs="宋体"/>
          <w:b/>
          <w:sz w:val="21"/>
          <w:szCs w:val="21"/>
          <w:lang w:val="zh-CN"/>
        </w:rPr>
        <w:t>、</w:t>
      </w:r>
      <w:r>
        <w:rPr>
          <w:rFonts w:hint="eastAsia" w:ascii="宋体" w:hAnsi="宋体" w:eastAsia="宋体" w:cs="宋体"/>
          <w:b/>
          <w:sz w:val="21"/>
          <w:szCs w:val="21"/>
        </w:rPr>
        <w:t>谈判</w:t>
      </w:r>
      <w:r>
        <w:rPr>
          <w:rFonts w:hint="eastAsia" w:ascii="宋体" w:hAnsi="宋体" w:eastAsia="宋体" w:cs="宋体"/>
          <w:b/>
          <w:sz w:val="21"/>
          <w:szCs w:val="21"/>
          <w:lang w:val="zh-CN"/>
        </w:rPr>
        <w:t>响应文件</w:t>
      </w:r>
    </w:p>
    <w:p w14:paraId="76A17D73">
      <w:pPr>
        <w:autoSpaceDE w:val="0"/>
        <w:autoSpaceDN w:val="0"/>
        <w:adjustRightInd w:val="0"/>
        <w:spacing w:line="360" w:lineRule="auto"/>
        <w:ind w:firstLine="422" w:firstLineChars="200"/>
        <w:rPr>
          <w:rFonts w:ascii="宋体" w:hAnsi="宋体" w:eastAsia="宋体" w:cs="宋体"/>
          <w:b/>
          <w:sz w:val="21"/>
          <w:szCs w:val="21"/>
          <w:lang w:val="zh-CN"/>
        </w:rPr>
      </w:pPr>
      <w:r>
        <w:rPr>
          <w:rFonts w:hint="eastAsia" w:ascii="宋体" w:hAnsi="宋体" w:eastAsia="宋体" w:cs="宋体"/>
          <w:b/>
          <w:sz w:val="21"/>
          <w:szCs w:val="21"/>
          <w:lang w:val="zh-CN"/>
        </w:rPr>
        <w:t>（一）</w:t>
      </w:r>
      <w:r>
        <w:rPr>
          <w:rFonts w:hint="eastAsia" w:ascii="宋体" w:hAnsi="宋体" w:eastAsia="宋体" w:cs="宋体"/>
          <w:b/>
          <w:sz w:val="21"/>
          <w:szCs w:val="21"/>
        </w:rPr>
        <w:t>谈判</w:t>
      </w:r>
      <w:r>
        <w:rPr>
          <w:rFonts w:hint="eastAsia" w:ascii="宋体" w:hAnsi="宋体" w:eastAsia="宋体" w:cs="宋体"/>
          <w:b/>
          <w:sz w:val="21"/>
          <w:szCs w:val="21"/>
          <w:lang w:val="zh-CN"/>
        </w:rPr>
        <w:t>响应文件的形式和效力</w:t>
      </w:r>
    </w:p>
    <w:p w14:paraId="0EFABCF4">
      <w:pPr>
        <w:snapToGrid w:val="0"/>
        <w:spacing w:line="360" w:lineRule="auto"/>
        <w:ind w:firstLine="420" w:firstLineChars="200"/>
        <w:rPr>
          <w:rFonts w:ascii="宋体" w:hAnsi="宋体" w:cs="宋体"/>
          <w:sz w:val="21"/>
          <w:szCs w:val="21"/>
          <w:lang w:val="zh-CN"/>
        </w:rPr>
      </w:pPr>
      <w:r>
        <w:rPr>
          <w:rFonts w:hint="eastAsia" w:ascii="宋体" w:hAnsi="宋体" w:cs="宋体"/>
          <w:sz w:val="21"/>
          <w:szCs w:val="21"/>
          <w:lang w:val="zh-CN"/>
        </w:rPr>
        <w:t>1、</w:t>
      </w:r>
      <w:r>
        <w:rPr>
          <w:rFonts w:hint="eastAsia" w:ascii="宋体" w:hAnsi="宋体" w:eastAsia="宋体" w:cs="宋体"/>
          <w:sz w:val="21"/>
          <w:szCs w:val="21"/>
        </w:rPr>
        <w:t>谈判</w:t>
      </w:r>
      <w:r>
        <w:rPr>
          <w:rFonts w:hint="eastAsia" w:ascii="宋体" w:hAnsi="宋体" w:cs="宋体"/>
          <w:sz w:val="21"/>
          <w:szCs w:val="21"/>
          <w:lang w:val="zh-CN"/>
        </w:rPr>
        <w:t>响应文件形式：电子</w:t>
      </w:r>
      <w:r>
        <w:rPr>
          <w:rFonts w:hint="eastAsia" w:ascii="宋体" w:hAnsi="宋体" w:eastAsia="宋体" w:cs="宋体"/>
          <w:sz w:val="21"/>
          <w:szCs w:val="21"/>
        </w:rPr>
        <w:t>谈判</w:t>
      </w:r>
      <w:r>
        <w:rPr>
          <w:rFonts w:hint="eastAsia" w:ascii="宋体" w:hAnsi="宋体" w:cs="宋体"/>
          <w:sz w:val="21"/>
          <w:szCs w:val="21"/>
          <w:lang w:val="zh-CN"/>
        </w:rPr>
        <w:t>响应文件（包括“电子加密</w:t>
      </w:r>
      <w:r>
        <w:rPr>
          <w:rFonts w:hint="eastAsia" w:ascii="宋体" w:hAnsi="宋体" w:eastAsia="宋体" w:cs="宋体"/>
          <w:sz w:val="21"/>
          <w:szCs w:val="21"/>
        </w:rPr>
        <w:t>响应</w:t>
      </w:r>
      <w:r>
        <w:rPr>
          <w:rFonts w:hint="eastAsia" w:ascii="宋体" w:hAnsi="宋体" w:cs="宋体"/>
          <w:sz w:val="21"/>
          <w:szCs w:val="21"/>
          <w:lang w:val="zh-CN"/>
        </w:rPr>
        <w:t>文件”和“备份</w:t>
      </w:r>
      <w:r>
        <w:rPr>
          <w:rFonts w:hint="eastAsia" w:ascii="宋体" w:hAnsi="宋体" w:eastAsia="宋体" w:cs="宋体"/>
          <w:sz w:val="21"/>
          <w:szCs w:val="21"/>
        </w:rPr>
        <w:t>响应</w:t>
      </w:r>
      <w:r>
        <w:rPr>
          <w:rFonts w:hint="eastAsia" w:ascii="宋体" w:hAnsi="宋体" w:cs="宋体"/>
          <w:sz w:val="21"/>
          <w:szCs w:val="21"/>
          <w:lang w:val="zh-CN"/>
        </w:rPr>
        <w:t>文件”，“电子加密</w:t>
      </w:r>
      <w:r>
        <w:rPr>
          <w:rFonts w:hint="eastAsia" w:ascii="宋体" w:hAnsi="宋体" w:eastAsia="宋体" w:cs="宋体"/>
          <w:sz w:val="21"/>
          <w:szCs w:val="21"/>
        </w:rPr>
        <w:t>响应</w:t>
      </w:r>
      <w:r>
        <w:rPr>
          <w:rFonts w:hint="eastAsia" w:ascii="宋体" w:hAnsi="宋体" w:cs="宋体"/>
          <w:sz w:val="21"/>
          <w:szCs w:val="21"/>
          <w:lang w:val="zh-CN"/>
        </w:rPr>
        <w:t>文件”和“备份</w:t>
      </w:r>
      <w:r>
        <w:rPr>
          <w:rFonts w:hint="eastAsia" w:ascii="宋体" w:hAnsi="宋体" w:eastAsia="宋体" w:cs="宋体"/>
          <w:sz w:val="21"/>
          <w:szCs w:val="21"/>
        </w:rPr>
        <w:t>响应</w:t>
      </w:r>
      <w:r>
        <w:rPr>
          <w:rFonts w:hint="eastAsia" w:ascii="宋体" w:hAnsi="宋体" w:cs="宋体"/>
          <w:sz w:val="21"/>
          <w:szCs w:val="21"/>
          <w:lang w:val="zh-CN"/>
        </w:rPr>
        <w:t>文件”在</w:t>
      </w:r>
      <w:r>
        <w:rPr>
          <w:rFonts w:hint="eastAsia" w:ascii="宋体" w:hAnsi="宋体" w:eastAsia="宋体" w:cs="宋体"/>
          <w:sz w:val="21"/>
          <w:szCs w:val="21"/>
        </w:rPr>
        <w:t>谈判</w:t>
      </w:r>
      <w:r>
        <w:rPr>
          <w:rFonts w:hint="eastAsia" w:ascii="宋体" w:hAnsi="宋体" w:cs="宋体"/>
          <w:sz w:val="21"/>
          <w:szCs w:val="21"/>
          <w:lang w:val="zh-CN"/>
        </w:rPr>
        <w:t>响应文件编制完成后同时生成）。电子加密</w:t>
      </w:r>
      <w:r>
        <w:rPr>
          <w:rFonts w:hint="eastAsia" w:ascii="宋体" w:hAnsi="宋体" w:eastAsia="宋体" w:cs="宋体"/>
          <w:sz w:val="21"/>
          <w:szCs w:val="21"/>
        </w:rPr>
        <w:t>响应</w:t>
      </w:r>
      <w:r>
        <w:rPr>
          <w:rFonts w:hint="eastAsia" w:ascii="宋体" w:hAnsi="宋体" w:cs="宋体"/>
          <w:sz w:val="21"/>
          <w:szCs w:val="21"/>
          <w:lang w:val="zh-CN"/>
        </w:rPr>
        <w:t>文件，按“【浙江省】供应商-政府采购项目电子交易操作指南”及本</w:t>
      </w:r>
      <w:r>
        <w:rPr>
          <w:rFonts w:hint="eastAsia" w:ascii="宋体" w:hAnsi="宋体" w:eastAsia="宋体" w:cs="宋体"/>
          <w:sz w:val="21"/>
          <w:szCs w:val="21"/>
        </w:rPr>
        <w:t>谈判</w:t>
      </w:r>
      <w:r>
        <w:rPr>
          <w:rFonts w:hint="eastAsia" w:ascii="宋体" w:hAnsi="宋体" w:cs="宋体"/>
          <w:sz w:val="21"/>
          <w:szCs w:val="21"/>
          <w:lang w:val="zh-CN"/>
        </w:rPr>
        <w:t>文件要求制作、加密并提交。</w:t>
      </w:r>
    </w:p>
    <w:p w14:paraId="22633AFE">
      <w:pPr>
        <w:snapToGrid w:val="0"/>
        <w:spacing w:line="360" w:lineRule="auto"/>
        <w:ind w:firstLine="420" w:firstLineChars="200"/>
        <w:rPr>
          <w:rFonts w:ascii="宋体" w:hAnsi="宋体" w:cs="宋体"/>
          <w:sz w:val="21"/>
          <w:szCs w:val="21"/>
          <w:lang w:val="zh-CN"/>
        </w:rPr>
      </w:pPr>
      <w:r>
        <w:rPr>
          <w:rFonts w:hint="eastAsia" w:ascii="宋体" w:hAnsi="宋体" w:cs="宋体"/>
          <w:sz w:val="21"/>
          <w:szCs w:val="21"/>
          <w:lang w:val="zh-CN"/>
        </w:rPr>
        <w:t>2、</w:t>
      </w:r>
      <w:r>
        <w:rPr>
          <w:rFonts w:hint="eastAsia" w:ascii="宋体" w:hAnsi="宋体" w:eastAsia="宋体" w:cs="宋体"/>
          <w:sz w:val="21"/>
          <w:szCs w:val="21"/>
        </w:rPr>
        <w:t>谈判</w:t>
      </w:r>
      <w:r>
        <w:rPr>
          <w:rFonts w:hint="eastAsia" w:ascii="宋体" w:hAnsi="宋体" w:cs="宋体"/>
          <w:sz w:val="21"/>
          <w:szCs w:val="21"/>
          <w:lang w:val="zh-CN"/>
        </w:rPr>
        <w:t>响应文件的效力：“电子加密</w:t>
      </w:r>
      <w:r>
        <w:rPr>
          <w:rFonts w:hint="eastAsia" w:ascii="宋体" w:hAnsi="宋体" w:eastAsia="宋体" w:cs="宋体"/>
          <w:sz w:val="21"/>
          <w:szCs w:val="21"/>
        </w:rPr>
        <w:t>响应</w:t>
      </w:r>
      <w:r>
        <w:rPr>
          <w:rFonts w:hint="eastAsia" w:ascii="宋体" w:hAnsi="宋体" w:cs="宋体"/>
          <w:sz w:val="21"/>
          <w:szCs w:val="21"/>
          <w:lang w:val="zh-CN"/>
        </w:rPr>
        <w:t>文件”和“备份</w:t>
      </w:r>
      <w:r>
        <w:rPr>
          <w:rFonts w:hint="eastAsia" w:ascii="宋体" w:hAnsi="宋体" w:eastAsia="宋体" w:cs="宋体"/>
          <w:sz w:val="21"/>
          <w:szCs w:val="21"/>
        </w:rPr>
        <w:t>响应</w:t>
      </w:r>
      <w:r>
        <w:rPr>
          <w:rFonts w:hint="eastAsia" w:ascii="宋体" w:hAnsi="宋体" w:cs="宋体"/>
          <w:sz w:val="21"/>
          <w:szCs w:val="21"/>
          <w:lang w:val="zh-CN"/>
        </w:rPr>
        <w:t>文件”具有同等效力，数据电文内容应完全一致。</w:t>
      </w:r>
    </w:p>
    <w:p w14:paraId="7438EF78">
      <w:pPr>
        <w:snapToGrid w:val="0"/>
        <w:spacing w:line="360" w:lineRule="auto"/>
        <w:ind w:firstLine="420" w:firstLineChars="200"/>
        <w:rPr>
          <w:rFonts w:ascii="宋体" w:hAnsi="宋体" w:cs="宋体"/>
          <w:sz w:val="21"/>
          <w:szCs w:val="21"/>
          <w:lang w:val="zh-CN"/>
        </w:rPr>
      </w:pPr>
      <w:r>
        <w:rPr>
          <w:rFonts w:hint="eastAsia" w:ascii="宋体" w:hAnsi="宋体" w:cs="宋体"/>
          <w:sz w:val="21"/>
          <w:szCs w:val="21"/>
          <w:lang w:val="zh-CN"/>
        </w:rPr>
        <w:t>▲3、电子加密</w:t>
      </w:r>
      <w:r>
        <w:rPr>
          <w:rFonts w:hint="eastAsia" w:ascii="宋体" w:hAnsi="宋体" w:eastAsia="宋体" w:cs="宋体"/>
          <w:sz w:val="21"/>
          <w:szCs w:val="21"/>
        </w:rPr>
        <w:t>响应</w:t>
      </w:r>
      <w:r>
        <w:rPr>
          <w:rFonts w:hint="eastAsia" w:ascii="宋体" w:hAnsi="宋体" w:cs="宋体"/>
          <w:sz w:val="21"/>
          <w:szCs w:val="21"/>
          <w:lang w:val="zh-CN"/>
        </w:rPr>
        <w:t>文件按时解密成功的，备份</w:t>
      </w:r>
      <w:r>
        <w:rPr>
          <w:rFonts w:hint="eastAsia" w:ascii="宋体" w:hAnsi="宋体" w:eastAsia="宋体" w:cs="宋体"/>
          <w:sz w:val="21"/>
          <w:szCs w:val="21"/>
        </w:rPr>
        <w:t>响应</w:t>
      </w:r>
      <w:r>
        <w:rPr>
          <w:rFonts w:hint="eastAsia" w:ascii="宋体" w:hAnsi="宋体" w:cs="宋体"/>
          <w:sz w:val="21"/>
          <w:szCs w:val="21"/>
          <w:lang w:val="zh-CN"/>
        </w:rPr>
        <w:t>文件自动失效；电子加密</w:t>
      </w:r>
      <w:r>
        <w:rPr>
          <w:rFonts w:hint="eastAsia" w:ascii="宋体" w:hAnsi="宋体" w:eastAsia="宋体" w:cs="宋体"/>
          <w:sz w:val="21"/>
          <w:szCs w:val="21"/>
        </w:rPr>
        <w:t>响应</w:t>
      </w:r>
      <w:r>
        <w:rPr>
          <w:rFonts w:hint="eastAsia" w:ascii="宋体" w:hAnsi="宋体" w:cs="宋体"/>
          <w:sz w:val="21"/>
          <w:szCs w:val="21"/>
          <w:lang w:val="zh-CN"/>
        </w:rPr>
        <w:t>文件解密失败，按时启动备份</w:t>
      </w:r>
      <w:r>
        <w:rPr>
          <w:rFonts w:hint="eastAsia" w:ascii="宋体" w:hAnsi="宋体" w:eastAsia="宋体" w:cs="宋体"/>
          <w:sz w:val="21"/>
          <w:szCs w:val="21"/>
        </w:rPr>
        <w:t>响应</w:t>
      </w:r>
      <w:r>
        <w:rPr>
          <w:rFonts w:hint="eastAsia" w:ascii="宋体" w:hAnsi="宋体" w:cs="宋体"/>
          <w:sz w:val="21"/>
          <w:szCs w:val="21"/>
          <w:lang w:val="zh-CN"/>
        </w:rPr>
        <w:t>文件电子且有效的，以备份</w:t>
      </w:r>
      <w:r>
        <w:rPr>
          <w:rFonts w:hint="eastAsia" w:ascii="宋体" w:hAnsi="宋体" w:eastAsia="宋体" w:cs="宋体"/>
          <w:sz w:val="21"/>
          <w:szCs w:val="21"/>
        </w:rPr>
        <w:t>响应</w:t>
      </w:r>
      <w:r>
        <w:rPr>
          <w:rFonts w:hint="eastAsia" w:ascii="宋体" w:hAnsi="宋体" w:cs="宋体"/>
          <w:sz w:val="21"/>
          <w:szCs w:val="21"/>
          <w:lang w:val="zh-CN"/>
        </w:rPr>
        <w:t>文件为准；电子加密</w:t>
      </w:r>
      <w:r>
        <w:rPr>
          <w:rFonts w:hint="eastAsia" w:ascii="宋体" w:hAnsi="宋体" w:eastAsia="宋体" w:cs="宋体"/>
          <w:sz w:val="21"/>
          <w:szCs w:val="21"/>
        </w:rPr>
        <w:t>响应</w:t>
      </w:r>
      <w:r>
        <w:rPr>
          <w:rFonts w:hint="eastAsia" w:ascii="宋体" w:hAnsi="宋体" w:cs="宋体"/>
          <w:sz w:val="21"/>
          <w:szCs w:val="21"/>
          <w:lang w:val="zh-CN"/>
        </w:rPr>
        <w:t>文件解密失败，又未提交备份</w:t>
      </w:r>
      <w:r>
        <w:rPr>
          <w:rFonts w:hint="eastAsia" w:ascii="宋体" w:hAnsi="宋体" w:eastAsia="宋体" w:cs="宋体"/>
          <w:sz w:val="21"/>
          <w:szCs w:val="21"/>
        </w:rPr>
        <w:t>响应</w:t>
      </w:r>
      <w:r>
        <w:rPr>
          <w:rFonts w:hint="eastAsia" w:ascii="宋体" w:hAnsi="宋体" w:cs="宋体"/>
          <w:sz w:val="21"/>
          <w:szCs w:val="21"/>
          <w:lang w:val="zh-CN"/>
        </w:rPr>
        <w:t>文件（包括提交备份响应文件未按时提供解密密码或密码错误的），视同放弃投标；仅提交备份响应文件的，</w:t>
      </w:r>
      <w:r>
        <w:rPr>
          <w:rFonts w:hint="eastAsia" w:ascii="宋体" w:hAnsi="宋体" w:eastAsia="宋体" w:cs="宋体"/>
          <w:sz w:val="21"/>
          <w:szCs w:val="21"/>
        </w:rPr>
        <w:t>谈判</w:t>
      </w:r>
      <w:r>
        <w:rPr>
          <w:rFonts w:hint="eastAsia" w:ascii="宋体" w:hAnsi="宋体" w:cs="宋体"/>
          <w:sz w:val="21"/>
          <w:szCs w:val="21"/>
          <w:lang w:val="zh-CN"/>
        </w:rPr>
        <w:t>无效。</w:t>
      </w:r>
    </w:p>
    <w:p w14:paraId="6C3A678D">
      <w:pPr>
        <w:snapToGrid w:val="0"/>
        <w:spacing w:line="360" w:lineRule="auto"/>
        <w:ind w:firstLine="422" w:firstLineChars="200"/>
        <w:rPr>
          <w:rFonts w:ascii="宋体" w:hAnsi="宋体" w:eastAsia="宋体" w:cs="宋体"/>
          <w:b/>
          <w:sz w:val="21"/>
          <w:szCs w:val="21"/>
        </w:rPr>
      </w:pPr>
      <w:r>
        <w:rPr>
          <w:rFonts w:hint="eastAsia" w:ascii="宋体" w:hAnsi="宋体" w:eastAsia="宋体" w:cs="宋体"/>
          <w:b/>
          <w:sz w:val="21"/>
          <w:szCs w:val="21"/>
        </w:rPr>
        <w:t>（二）</w:t>
      </w:r>
      <w:r>
        <w:rPr>
          <w:rFonts w:hint="eastAsia" w:ascii="宋体" w:hAnsi="宋体" w:eastAsia="宋体" w:cs="宋体"/>
          <w:b/>
          <w:sz w:val="21"/>
          <w:szCs w:val="21"/>
          <w:lang w:val="zh-CN"/>
        </w:rPr>
        <w:t>谈判响应文件的组成</w:t>
      </w:r>
    </w:p>
    <w:p w14:paraId="36753F08">
      <w:pPr>
        <w:snapToGrid w:val="0"/>
        <w:spacing w:line="360" w:lineRule="auto"/>
        <w:ind w:firstLine="422" w:firstLineChars="200"/>
        <w:rPr>
          <w:rFonts w:ascii="宋体" w:hAnsi="宋体" w:eastAsia="宋体" w:cs="宋体"/>
          <w:b/>
          <w:sz w:val="21"/>
          <w:szCs w:val="21"/>
        </w:rPr>
      </w:pPr>
      <w:r>
        <w:rPr>
          <w:rFonts w:hint="eastAsia" w:ascii="宋体" w:hAnsi="宋体" w:eastAsia="宋体" w:cs="宋体"/>
          <w:b/>
          <w:sz w:val="21"/>
          <w:szCs w:val="21"/>
        </w:rPr>
        <w:t>▲1、资格证明文件的组成：</w:t>
      </w:r>
    </w:p>
    <w:p w14:paraId="231D3511">
      <w:pPr>
        <w:snapToGrid w:val="0"/>
        <w:spacing w:line="360" w:lineRule="auto"/>
        <w:ind w:firstLine="420" w:firstLineChars="200"/>
        <w:rPr>
          <w:rFonts w:ascii="宋体" w:hAnsi="宋体" w:eastAsia="宋体" w:cs="宋体"/>
          <w:sz w:val="21"/>
          <w:szCs w:val="21"/>
          <w:lang w:val="zh-CN"/>
        </w:rPr>
      </w:pPr>
      <w:r>
        <w:rPr>
          <w:rFonts w:hint="eastAsia" w:ascii="宋体" w:hAnsi="宋体" w:eastAsia="宋体" w:cs="宋体"/>
          <w:sz w:val="21"/>
          <w:szCs w:val="21"/>
          <w:lang w:val="zh-CN"/>
        </w:rPr>
        <w:t>（1）谈判</w:t>
      </w:r>
      <w:r>
        <w:rPr>
          <w:rFonts w:hint="eastAsia" w:ascii="宋体" w:hAnsi="宋体" w:eastAsia="宋体" w:cs="宋体"/>
          <w:sz w:val="21"/>
          <w:szCs w:val="21"/>
        </w:rPr>
        <w:t>承诺函</w:t>
      </w:r>
      <w:r>
        <w:rPr>
          <w:rFonts w:hint="eastAsia" w:ascii="宋体" w:hAnsi="宋体" w:eastAsia="宋体" w:cs="宋体"/>
          <w:sz w:val="21"/>
          <w:szCs w:val="21"/>
          <w:lang w:val="zh-CN"/>
        </w:rPr>
        <w:t>（格式见附件)；</w:t>
      </w:r>
    </w:p>
    <w:p w14:paraId="10187A52">
      <w:pPr>
        <w:snapToGrid w:val="0"/>
        <w:spacing w:line="360" w:lineRule="auto"/>
        <w:ind w:firstLine="420" w:firstLineChars="200"/>
        <w:rPr>
          <w:rFonts w:ascii="宋体" w:hAnsi="宋体" w:eastAsia="宋体" w:cs="宋体"/>
          <w:sz w:val="21"/>
          <w:szCs w:val="21"/>
          <w:lang w:val="zh-CN"/>
        </w:rPr>
      </w:pPr>
      <w:r>
        <w:rPr>
          <w:rFonts w:hint="eastAsia" w:ascii="宋体" w:hAnsi="宋体" w:eastAsia="宋体" w:cs="宋体"/>
          <w:sz w:val="21"/>
          <w:szCs w:val="21"/>
          <w:lang w:val="zh-CN"/>
        </w:rPr>
        <w:t>（2）授权委托书(格式见附件)（</w:t>
      </w:r>
      <w:r>
        <w:rPr>
          <w:rFonts w:hint="eastAsia" w:ascii="宋体" w:hAnsi="宋体" w:cs="宋体"/>
          <w:sz w:val="21"/>
          <w:szCs w:val="21"/>
          <w:lang w:val="zh-CN"/>
        </w:rPr>
        <w:t>若法定代表人亲自办理投标事宜的，可提供法定代表人有效的身份证；若自然人参加投标的，则无须提供</w:t>
      </w:r>
      <w:r>
        <w:rPr>
          <w:rFonts w:hint="eastAsia" w:ascii="宋体" w:hAnsi="宋体" w:eastAsia="宋体" w:cs="宋体"/>
          <w:sz w:val="21"/>
          <w:szCs w:val="21"/>
          <w:lang w:val="zh-CN"/>
        </w:rPr>
        <w:t>）；</w:t>
      </w:r>
    </w:p>
    <w:p w14:paraId="09DC3A3D">
      <w:pPr>
        <w:snapToGrid w:val="0"/>
        <w:spacing w:line="360" w:lineRule="auto"/>
        <w:ind w:firstLine="420" w:firstLineChars="200"/>
        <w:rPr>
          <w:rFonts w:ascii="宋体" w:hAnsi="宋体" w:eastAsia="宋体" w:cs="宋体"/>
          <w:sz w:val="21"/>
          <w:szCs w:val="21"/>
          <w:lang w:val="zh-CN"/>
        </w:rPr>
      </w:pPr>
      <w:r>
        <w:rPr>
          <w:rFonts w:hint="eastAsia" w:ascii="宋体" w:hAnsi="宋体" w:eastAsia="宋体" w:cs="宋体"/>
          <w:sz w:val="21"/>
          <w:szCs w:val="21"/>
          <w:lang w:val="zh-CN"/>
        </w:rPr>
        <w:t>（</w:t>
      </w:r>
      <w:r>
        <w:rPr>
          <w:rFonts w:hint="eastAsia" w:ascii="宋体" w:hAnsi="宋体" w:eastAsia="宋体" w:cs="宋体"/>
          <w:sz w:val="21"/>
          <w:szCs w:val="21"/>
        </w:rPr>
        <w:t>3</w:t>
      </w:r>
      <w:r>
        <w:rPr>
          <w:rFonts w:hint="eastAsia" w:ascii="宋体" w:hAnsi="宋体" w:eastAsia="宋体" w:cs="宋体"/>
          <w:sz w:val="21"/>
          <w:szCs w:val="21"/>
          <w:lang w:val="zh-CN"/>
        </w:rPr>
        <w:t>）提供有效的营业执照复印件；</w:t>
      </w:r>
      <w:r>
        <w:rPr>
          <w:rFonts w:ascii="宋体" w:hAnsi="宋体" w:eastAsia="宋体"/>
          <w:sz w:val="21"/>
          <w:lang w:val="zh-CN"/>
        </w:rPr>
        <w:t>如事业单位参加</w:t>
      </w:r>
      <w:r>
        <w:rPr>
          <w:rFonts w:hint="eastAsia" w:ascii="宋体" w:hAnsi="宋体" w:eastAsia="宋体"/>
          <w:sz w:val="21"/>
          <w:lang w:val="zh-CN"/>
        </w:rPr>
        <w:t>谈判</w:t>
      </w:r>
      <w:r>
        <w:rPr>
          <w:rFonts w:ascii="宋体" w:hAnsi="宋体" w:eastAsia="宋体"/>
          <w:sz w:val="21"/>
          <w:lang w:val="zh-CN"/>
        </w:rPr>
        <w:t>的，则提供有效的《事业单位法人证书》复印件；如自然人参加</w:t>
      </w:r>
      <w:r>
        <w:rPr>
          <w:rFonts w:hint="eastAsia" w:ascii="宋体" w:hAnsi="宋体" w:eastAsia="宋体"/>
          <w:sz w:val="21"/>
          <w:lang w:val="zh-CN"/>
        </w:rPr>
        <w:t>谈判</w:t>
      </w:r>
      <w:r>
        <w:rPr>
          <w:rFonts w:ascii="宋体" w:hAnsi="宋体" w:eastAsia="宋体"/>
          <w:sz w:val="21"/>
          <w:lang w:val="zh-CN"/>
        </w:rPr>
        <w:t>的，则提供自然人身份证复印件；</w:t>
      </w:r>
    </w:p>
    <w:p w14:paraId="2583191E">
      <w:pPr>
        <w:snapToGrid w:val="0"/>
        <w:spacing w:line="360" w:lineRule="auto"/>
        <w:ind w:firstLine="420" w:firstLineChars="200"/>
        <w:rPr>
          <w:rFonts w:ascii="宋体" w:hAnsi="宋体" w:eastAsia="宋体" w:cs="宋体"/>
          <w:sz w:val="21"/>
          <w:szCs w:val="21"/>
          <w:lang w:val="zh-CN"/>
        </w:rPr>
      </w:pPr>
      <w:r>
        <w:rPr>
          <w:rFonts w:hint="eastAsia" w:ascii="宋体" w:hAnsi="宋体" w:eastAsia="宋体" w:cs="宋体"/>
          <w:sz w:val="21"/>
          <w:szCs w:val="21"/>
          <w:lang w:val="zh-CN"/>
        </w:rPr>
        <w:t>（</w:t>
      </w:r>
      <w:r>
        <w:rPr>
          <w:rFonts w:hint="eastAsia" w:ascii="宋体" w:hAnsi="宋体" w:eastAsia="宋体" w:cs="宋体"/>
          <w:sz w:val="21"/>
          <w:szCs w:val="21"/>
        </w:rPr>
        <w:t>4</w:t>
      </w:r>
      <w:r>
        <w:rPr>
          <w:rFonts w:hint="eastAsia" w:ascii="宋体" w:hAnsi="宋体" w:eastAsia="宋体" w:cs="宋体"/>
          <w:sz w:val="21"/>
          <w:szCs w:val="21"/>
          <w:lang w:val="zh-CN"/>
        </w:rPr>
        <w:t>）有良好的商业信誉、健全的财务状况的承诺函（格式见附件）</w:t>
      </w:r>
      <w:r>
        <w:rPr>
          <w:rFonts w:hint="eastAsia" w:ascii="宋体" w:hAnsi="宋体" w:cs="宋体"/>
          <w:sz w:val="21"/>
          <w:szCs w:val="21"/>
          <w:lang w:val="zh-CN"/>
        </w:rPr>
        <w:t>；</w:t>
      </w:r>
    </w:p>
    <w:p w14:paraId="024BF884">
      <w:pPr>
        <w:snapToGrid w:val="0"/>
        <w:spacing w:line="360" w:lineRule="auto"/>
        <w:ind w:firstLine="420" w:firstLineChars="200"/>
        <w:rPr>
          <w:rFonts w:ascii="宋体" w:hAnsi="宋体" w:eastAsia="宋体" w:cs="宋体"/>
          <w:sz w:val="21"/>
          <w:szCs w:val="21"/>
          <w:lang w:val="zh-CN"/>
        </w:rPr>
      </w:pPr>
      <w:r>
        <w:rPr>
          <w:rFonts w:hint="eastAsia" w:ascii="宋体" w:hAnsi="宋体" w:eastAsia="宋体" w:cs="宋体"/>
          <w:sz w:val="21"/>
          <w:szCs w:val="21"/>
          <w:lang w:val="zh-CN"/>
        </w:rPr>
        <w:t>（</w:t>
      </w:r>
      <w:r>
        <w:rPr>
          <w:rFonts w:hint="eastAsia" w:ascii="宋体" w:hAnsi="宋体" w:eastAsia="宋体" w:cs="宋体"/>
          <w:sz w:val="21"/>
          <w:szCs w:val="21"/>
        </w:rPr>
        <w:t>5</w:t>
      </w:r>
      <w:r>
        <w:rPr>
          <w:rFonts w:hint="eastAsia" w:ascii="宋体" w:hAnsi="宋体" w:eastAsia="宋体" w:cs="宋体"/>
          <w:sz w:val="21"/>
          <w:szCs w:val="21"/>
          <w:lang w:val="zh-CN"/>
        </w:rPr>
        <w:t>）</w:t>
      </w:r>
      <w:r>
        <w:rPr>
          <w:rFonts w:hint="eastAsia" w:ascii="宋体" w:hAnsi="宋体" w:cs="宋体"/>
          <w:sz w:val="21"/>
          <w:szCs w:val="21"/>
          <w:lang w:val="zh-CN"/>
        </w:rPr>
        <w:t>依法缴纳税收及社会保障资金的承诺函（格式见附件）</w:t>
      </w:r>
      <w:r>
        <w:rPr>
          <w:rFonts w:hint="eastAsia" w:ascii="宋体" w:hAnsi="宋体" w:eastAsia="宋体" w:cs="宋体"/>
          <w:sz w:val="21"/>
          <w:szCs w:val="21"/>
          <w:lang w:val="zh-CN"/>
        </w:rPr>
        <w:t>；</w:t>
      </w:r>
    </w:p>
    <w:p w14:paraId="0FA139F9">
      <w:pPr>
        <w:snapToGrid w:val="0"/>
        <w:spacing w:line="360" w:lineRule="auto"/>
        <w:ind w:firstLine="420" w:firstLineChars="200"/>
        <w:rPr>
          <w:rFonts w:ascii="宋体" w:hAnsi="宋体" w:eastAsia="宋体" w:cs="宋体"/>
          <w:sz w:val="21"/>
          <w:szCs w:val="21"/>
          <w:lang w:val="zh-CN"/>
        </w:rPr>
      </w:pPr>
      <w:r>
        <w:rPr>
          <w:rFonts w:hint="eastAsia" w:ascii="宋体" w:hAnsi="宋体" w:eastAsia="宋体" w:cs="宋体"/>
          <w:sz w:val="21"/>
          <w:szCs w:val="21"/>
          <w:lang w:val="zh-CN"/>
        </w:rPr>
        <w:t>（</w:t>
      </w:r>
      <w:r>
        <w:rPr>
          <w:rFonts w:hint="eastAsia" w:ascii="宋体" w:hAnsi="宋体" w:eastAsia="宋体" w:cs="宋体"/>
          <w:sz w:val="21"/>
          <w:szCs w:val="21"/>
        </w:rPr>
        <w:t>6</w:t>
      </w:r>
      <w:r>
        <w:rPr>
          <w:rFonts w:hint="eastAsia" w:ascii="宋体" w:hAnsi="宋体" w:eastAsia="宋体" w:cs="宋体"/>
          <w:sz w:val="21"/>
          <w:szCs w:val="21"/>
          <w:lang w:val="zh-CN"/>
        </w:rPr>
        <w:t>）具有履行合同所必需设备和专业技术能力的承诺函（格式见附件）；其中，金融、保险、通讯等特定行业的全国性企业所设立的区域性分支机构参与投标的，还需提供总公司（总机构）授权（或出具总公司的有关文件或制度等能够证明总公司授权独立开展业务的证明）或提供房产权证或其他有效财产证明材料；</w:t>
      </w:r>
    </w:p>
    <w:p w14:paraId="5E162CC5">
      <w:pPr>
        <w:snapToGrid w:val="0"/>
        <w:spacing w:line="360" w:lineRule="auto"/>
        <w:ind w:firstLine="420" w:firstLineChars="200"/>
        <w:rPr>
          <w:rFonts w:ascii="宋体" w:hAnsi="宋体" w:eastAsia="宋体" w:cs="宋体"/>
          <w:sz w:val="21"/>
          <w:szCs w:val="21"/>
          <w:lang w:val="zh-CN"/>
        </w:rPr>
      </w:pPr>
      <w:r>
        <w:rPr>
          <w:rFonts w:hint="eastAsia" w:ascii="宋体" w:hAnsi="宋体" w:eastAsia="宋体" w:cs="宋体"/>
          <w:sz w:val="21"/>
          <w:szCs w:val="21"/>
          <w:lang w:val="zh-CN"/>
        </w:rPr>
        <w:t>（</w:t>
      </w:r>
      <w:r>
        <w:rPr>
          <w:rFonts w:hint="eastAsia" w:ascii="宋体" w:hAnsi="宋体" w:eastAsia="宋体" w:cs="宋体"/>
          <w:sz w:val="21"/>
          <w:szCs w:val="21"/>
        </w:rPr>
        <w:t>7</w:t>
      </w:r>
      <w:r>
        <w:rPr>
          <w:rFonts w:hint="eastAsia" w:ascii="宋体" w:hAnsi="宋体" w:eastAsia="宋体" w:cs="宋体"/>
          <w:sz w:val="21"/>
          <w:szCs w:val="21"/>
          <w:lang w:val="zh-CN"/>
        </w:rPr>
        <w:t>）参加政府采购活动前3年内在经营活动中没有重大违法记录的书面声明（格式见附件）；</w:t>
      </w:r>
    </w:p>
    <w:p w14:paraId="1E975AAB">
      <w:pPr>
        <w:snapToGrid w:val="0"/>
        <w:spacing w:line="360" w:lineRule="auto"/>
        <w:ind w:firstLine="420" w:firstLineChars="200"/>
        <w:rPr>
          <w:rFonts w:ascii="宋体" w:hAnsi="宋体" w:eastAsia="宋体" w:cs="宋体"/>
          <w:sz w:val="21"/>
          <w:szCs w:val="21"/>
        </w:rPr>
      </w:pPr>
      <w:r>
        <w:rPr>
          <w:rFonts w:hint="eastAsia" w:ascii="宋体" w:hAnsi="宋体" w:eastAsia="宋体" w:cs="宋体"/>
          <w:sz w:val="21"/>
          <w:szCs w:val="21"/>
          <w:lang w:val="zh-CN"/>
        </w:rPr>
        <w:t>（</w:t>
      </w:r>
      <w:r>
        <w:rPr>
          <w:rFonts w:hint="eastAsia" w:ascii="宋体" w:hAnsi="宋体" w:eastAsia="宋体" w:cs="宋体"/>
          <w:sz w:val="21"/>
          <w:szCs w:val="21"/>
        </w:rPr>
        <w:t>8</w:t>
      </w:r>
      <w:r>
        <w:rPr>
          <w:rFonts w:hint="eastAsia" w:ascii="宋体" w:hAnsi="宋体" w:eastAsia="宋体" w:cs="宋体"/>
          <w:sz w:val="21"/>
          <w:szCs w:val="21"/>
          <w:lang w:val="zh-CN"/>
        </w:rPr>
        <w:t>）</w:t>
      </w:r>
      <w:r>
        <w:rPr>
          <w:rFonts w:hint="eastAsia" w:ascii="宋体" w:hAnsi="宋体" w:eastAsia="宋体" w:cs="宋体"/>
          <w:sz w:val="21"/>
          <w:szCs w:val="21"/>
        </w:rPr>
        <w:t>落实政府采购政策需满足的资格要求：供应商为中小企业/小微企业或监狱企业或残疾人福利性单位；</w:t>
      </w:r>
    </w:p>
    <w:p w14:paraId="21D4D6EE">
      <w:pPr>
        <w:snapToGrid w:val="0"/>
        <w:spacing w:line="360" w:lineRule="auto"/>
        <w:ind w:firstLine="420" w:firstLineChars="200"/>
        <w:rPr>
          <w:rFonts w:ascii="宋体" w:hAnsi="宋体" w:eastAsia="宋体" w:cs="宋体"/>
          <w:sz w:val="21"/>
          <w:szCs w:val="21"/>
          <w:lang w:val="zh-CN"/>
        </w:rPr>
      </w:pPr>
      <w:r>
        <w:rPr>
          <w:rFonts w:hint="eastAsia" w:ascii="宋体" w:hAnsi="宋体" w:eastAsia="宋体" w:cs="宋体"/>
          <w:sz w:val="21"/>
          <w:szCs w:val="21"/>
        </w:rPr>
        <w:t>供应商为中小企业/小微企业须提供《中小企业声明函》或供应商为监狱企业的证明文件或残疾人福利性单位须提供《残疾人福利性单位声明函》</w:t>
      </w:r>
      <w:r>
        <w:rPr>
          <w:rFonts w:hint="eastAsia" w:ascii="宋体" w:hAnsi="宋体" w:eastAsia="宋体" w:cs="宋体"/>
          <w:sz w:val="21"/>
          <w:szCs w:val="21"/>
          <w:lang w:val="zh-CN"/>
        </w:rPr>
        <w:t>（格式见附件）；</w:t>
      </w:r>
    </w:p>
    <w:p w14:paraId="5C57FFB8">
      <w:pPr>
        <w:spacing w:line="400" w:lineRule="exact"/>
        <w:ind w:firstLine="420" w:firstLineChars="200"/>
        <w:rPr>
          <w:rFonts w:hint="eastAsia" w:ascii="宋体" w:hAnsi="宋体" w:eastAsia="宋体" w:cs="宋体"/>
          <w:sz w:val="21"/>
          <w:szCs w:val="21"/>
        </w:rPr>
      </w:pPr>
      <w:r>
        <w:rPr>
          <w:rFonts w:hint="eastAsia" w:ascii="宋体" w:hAnsi="宋体" w:eastAsia="宋体" w:cs="宋体"/>
          <w:sz w:val="21"/>
          <w:szCs w:val="21"/>
          <w:lang w:val="zh-CN"/>
        </w:rPr>
        <w:t>（</w:t>
      </w:r>
      <w:r>
        <w:rPr>
          <w:rFonts w:hint="eastAsia" w:ascii="宋体" w:hAnsi="宋体" w:eastAsia="宋体" w:cs="宋体"/>
          <w:sz w:val="21"/>
          <w:szCs w:val="21"/>
        </w:rPr>
        <w:t>9</w:t>
      </w:r>
      <w:r>
        <w:rPr>
          <w:rFonts w:hint="eastAsia" w:ascii="宋体" w:hAnsi="宋体" w:eastAsia="宋体" w:cs="宋体"/>
          <w:sz w:val="21"/>
          <w:szCs w:val="21"/>
          <w:lang w:val="zh-CN"/>
        </w:rPr>
        <w:t>）</w:t>
      </w:r>
      <w:r>
        <w:rPr>
          <w:rFonts w:hint="eastAsia" w:ascii="宋体" w:hAnsi="宋体" w:eastAsia="宋体" w:cs="宋体"/>
          <w:sz w:val="21"/>
          <w:szCs w:val="21"/>
          <w:lang w:val="en-US" w:eastAsia="zh-CN"/>
        </w:rPr>
        <w:t>具有市政公用工程施工总承包三级及以上资质等级，并在人员、设备、资金等方面具有相应的施工能力，企业具有安全生产许可证，且在有效期内；浙江省省外企业须具有有效的《省外企业进浙承接业务备案证明》或浙江省建筑市场监管公共服务系统已完成办理的公示信息网站截图证明。</w:t>
      </w:r>
    </w:p>
    <w:p w14:paraId="60260909">
      <w:pPr>
        <w:autoSpaceDE w:val="0"/>
        <w:autoSpaceDN w:val="0"/>
        <w:adjustRightInd w:val="0"/>
        <w:snapToGrid w:val="0"/>
        <w:spacing w:line="360" w:lineRule="auto"/>
        <w:ind w:firstLine="420" w:firstLineChars="200"/>
        <w:rPr>
          <w:rFonts w:ascii="宋体" w:hAnsi="宋体" w:eastAsia="宋体" w:cs="宋体"/>
          <w:sz w:val="21"/>
          <w:szCs w:val="21"/>
          <w:lang w:val="zh-CN"/>
        </w:rPr>
      </w:pPr>
      <w:r>
        <w:rPr>
          <w:rFonts w:hint="eastAsia" w:ascii="宋体" w:hAnsi="宋体" w:eastAsia="宋体" w:cs="宋体"/>
          <w:sz w:val="21"/>
          <w:szCs w:val="21"/>
          <w:lang w:val="zh-CN"/>
        </w:rPr>
        <w:t>（10）其他资料（如有）。</w:t>
      </w:r>
    </w:p>
    <w:p w14:paraId="27D48FC8">
      <w:pPr>
        <w:autoSpaceDE w:val="0"/>
        <w:autoSpaceDN w:val="0"/>
        <w:adjustRightInd w:val="0"/>
        <w:snapToGrid w:val="0"/>
        <w:spacing w:line="360" w:lineRule="auto"/>
        <w:ind w:firstLine="480"/>
        <w:rPr>
          <w:rFonts w:ascii="宋体" w:hAnsi="宋体" w:eastAsia="宋体" w:cs="宋体"/>
          <w:sz w:val="21"/>
          <w:szCs w:val="21"/>
          <w:lang w:val="zh-CN"/>
        </w:rPr>
      </w:pPr>
      <w:r>
        <w:rPr>
          <w:rFonts w:hint="eastAsia" w:ascii="宋体" w:hAnsi="宋体" w:eastAsia="宋体" w:cs="宋体"/>
          <w:b/>
          <w:bCs/>
          <w:sz w:val="21"/>
          <w:szCs w:val="21"/>
          <w:lang w:val="zh-CN"/>
        </w:rPr>
        <w:t>注：</w:t>
      </w:r>
      <w:r>
        <w:rPr>
          <w:rFonts w:hint="eastAsia" w:ascii="宋体" w:hAnsi="宋体" w:eastAsia="宋体" w:cs="宋体"/>
          <w:b/>
          <w:bCs/>
          <w:sz w:val="21"/>
          <w:szCs w:val="21"/>
        </w:rPr>
        <w:t>上述资格证明文件是谈判小组对供应商资格进行合格性审查的评审依据，供应商应上传上述资料。未按要求出具上述证明材料或出具的证明材料不完整的，资格性审查均不予通过。</w:t>
      </w:r>
    </w:p>
    <w:p w14:paraId="61CC7CA2">
      <w:pPr>
        <w:tabs>
          <w:tab w:val="left" w:pos="5955"/>
        </w:tabs>
        <w:snapToGrid w:val="0"/>
        <w:spacing w:line="360" w:lineRule="auto"/>
        <w:ind w:firstLine="422" w:firstLineChars="200"/>
        <w:rPr>
          <w:rFonts w:ascii="宋体" w:hAnsi="宋体" w:eastAsia="宋体" w:cs="宋体"/>
          <w:b/>
          <w:sz w:val="21"/>
          <w:szCs w:val="21"/>
        </w:rPr>
      </w:pPr>
      <w:r>
        <w:rPr>
          <w:rFonts w:hint="eastAsia" w:ascii="宋体" w:hAnsi="宋体" w:eastAsia="宋体" w:cs="宋体"/>
          <w:b/>
          <w:sz w:val="21"/>
          <w:szCs w:val="21"/>
        </w:rPr>
        <w:t>2、商务与技术文件的组成：</w:t>
      </w:r>
      <w:r>
        <w:rPr>
          <w:rFonts w:hint="eastAsia" w:ascii="宋体" w:hAnsi="宋体" w:eastAsia="宋体" w:cs="宋体"/>
          <w:b/>
          <w:sz w:val="21"/>
          <w:szCs w:val="21"/>
        </w:rPr>
        <w:tab/>
      </w:r>
    </w:p>
    <w:p w14:paraId="504275F1">
      <w:pPr>
        <w:spacing w:line="360" w:lineRule="auto"/>
        <w:ind w:firstLine="420" w:firstLineChars="200"/>
        <w:rPr>
          <w:rFonts w:ascii="宋体" w:hAnsi="宋体" w:eastAsia="宋体" w:cs="宋体"/>
          <w:kern w:val="0"/>
          <w:sz w:val="21"/>
          <w:szCs w:val="21"/>
        </w:rPr>
      </w:pPr>
      <w:r>
        <w:rPr>
          <w:rFonts w:hint="eastAsia" w:ascii="宋体" w:hAnsi="宋体" w:eastAsia="宋体" w:cs="宋体"/>
          <w:kern w:val="0"/>
          <w:sz w:val="21"/>
          <w:szCs w:val="21"/>
        </w:rPr>
        <w:t>（1）供应商情况介绍（人员与技术力量、企业规模、经营业绩等，格式自拟）；</w:t>
      </w:r>
    </w:p>
    <w:p w14:paraId="5606A285">
      <w:pPr>
        <w:spacing w:line="360" w:lineRule="auto"/>
        <w:ind w:firstLine="420" w:firstLineChars="200"/>
        <w:rPr>
          <w:rFonts w:ascii="宋体" w:hAnsi="宋体" w:eastAsia="宋体" w:cs="宋体"/>
          <w:kern w:val="0"/>
          <w:sz w:val="21"/>
          <w:szCs w:val="21"/>
        </w:rPr>
      </w:pPr>
      <w:r>
        <w:rPr>
          <w:rFonts w:hint="eastAsia" w:ascii="宋体" w:hAnsi="宋体" w:eastAsia="宋体" w:cs="宋体"/>
          <w:kern w:val="0"/>
          <w:sz w:val="21"/>
          <w:szCs w:val="21"/>
        </w:rPr>
        <w:t>（2）</w:t>
      </w:r>
      <w:r>
        <w:rPr>
          <w:rFonts w:hint="eastAsia" w:ascii="宋体" w:hAnsi="宋体" w:eastAsia="宋体" w:cs="宋体"/>
          <w:color w:val="000000" w:themeColor="text1"/>
          <w:sz w:val="21"/>
          <w:szCs w:val="21"/>
          <w14:textFill>
            <w14:solidFill>
              <w14:schemeClr w14:val="tx1"/>
            </w14:solidFill>
          </w14:textFill>
        </w:rPr>
        <w:t>商务响应承诺函</w:t>
      </w:r>
      <w:r>
        <w:rPr>
          <w:rFonts w:hint="eastAsia" w:ascii="宋体" w:hAnsi="宋体" w:eastAsia="宋体" w:cs="宋体"/>
          <w:kern w:val="0"/>
          <w:sz w:val="21"/>
          <w:szCs w:val="21"/>
        </w:rPr>
        <w:t>（格式见附件）；</w:t>
      </w:r>
    </w:p>
    <w:p w14:paraId="6817D0CD">
      <w:pPr>
        <w:snapToGrid w:val="0"/>
        <w:spacing w:line="360" w:lineRule="auto"/>
        <w:ind w:firstLine="420" w:firstLineChars="200"/>
        <w:rPr>
          <w:rFonts w:ascii="宋体" w:hAnsi="宋体" w:eastAsia="宋体" w:cs="宋体"/>
          <w:b/>
          <w:bCs/>
          <w:kern w:val="0"/>
          <w:sz w:val="21"/>
          <w:szCs w:val="21"/>
        </w:rPr>
      </w:pPr>
      <w:r>
        <w:rPr>
          <w:rFonts w:hint="eastAsia" w:ascii="宋体" w:hAnsi="宋体" w:eastAsia="宋体" w:cs="宋体"/>
          <w:kern w:val="0"/>
          <w:sz w:val="21"/>
          <w:szCs w:val="21"/>
        </w:rPr>
        <w:t>（3）项目负责人简历表（格式见附件）</w:t>
      </w:r>
      <w:r>
        <w:rPr>
          <w:rFonts w:hint="eastAsia" w:ascii="宋体" w:hAnsi="宋体" w:eastAsia="宋体" w:cs="宋体"/>
          <w:b/>
          <w:sz w:val="21"/>
          <w:szCs w:val="21"/>
        </w:rPr>
        <w:t>；</w:t>
      </w:r>
    </w:p>
    <w:p w14:paraId="4383BE07">
      <w:pPr>
        <w:snapToGrid w:val="0"/>
        <w:spacing w:line="360" w:lineRule="auto"/>
        <w:ind w:firstLine="420" w:firstLineChars="200"/>
        <w:rPr>
          <w:rFonts w:ascii="宋体" w:hAnsi="宋体" w:eastAsia="宋体" w:cs="宋体"/>
          <w:sz w:val="21"/>
          <w:szCs w:val="21"/>
          <w:lang w:val="zh-CN"/>
        </w:rPr>
      </w:pPr>
      <w:r>
        <w:rPr>
          <w:rFonts w:hint="eastAsia" w:ascii="宋体" w:hAnsi="宋体" w:eastAsia="宋体" w:cs="宋体"/>
          <w:sz w:val="21"/>
          <w:szCs w:val="21"/>
        </w:rPr>
        <w:t>（4）</w:t>
      </w:r>
      <w:r>
        <w:rPr>
          <w:rFonts w:hint="eastAsia" w:ascii="宋体" w:hAnsi="宋体" w:eastAsia="宋体" w:cs="宋体"/>
          <w:kern w:val="0"/>
          <w:sz w:val="21"/>
          <w:szCs w:val="21"/>
        </w:rPr>
        <w:t>技术负责人简历表</w:t>
      </w:r>
      <w:r>
        <w:rPr>
          <w:rFonts w:hint="eastAsia" w:ascii="宋体" w:hAnsi="宋体" w:eastAsia="宋体" w:cs="宋体"/>
          <w:sz w:val="21"/>
          <w:szCs w:val="21"/>
          <w:lang w:val="zh-CN"/>
        </w:rPr>
        <w:t>（格式见附件）；</w:t>
      </w:r>
    </w:p>
    <w:p w14:paraId="3DBD96E7">
      <w:pPr>
        <w:snapToGrid w:val="0"/>
        <w:spacing w:line="360" w:lineRule="auto"/>
        <w:ind w:firstLine="420" w:firstLineChars="200"/>
        <w:rPr>
          <w:rFonts w:ascii="宋体" w:hAnsi="宋体" w:eastAsia="宋体" w:cs="宋体"/>
          <w:sz w:val="21"/>
          <w:szCs w:val="21"/>
          <w:lang w:val="zh-CN"/>
        </w:rPr>
      </w:pPr>
      <w:r>
        <w:rPr>
          <w:rFonts w:hint="eastAsia" w:ascii="宋体" w:hAnsi="宋体" w:eastAsia="宋体" w:cs="宋体"/>
          <w:sz w:val="21"/>
          <w:szCs w:val="21"/>
          <w:lang w:val="zh-CN"/>
        </w:rPr>
        <w:t>（5）安全生产任职资格承诺书（格式见附件）；</w:t>
      </w:r>
    </w:p>
    <w:p w14:paraId="0930AD02">
      <w:pPr>
        <w:snapToGrid w:val="0"/>
        <w:spacing w:line="360" w:lineRule="auto"/>
        <w:ind w:firstLine="420" w:firstLineChars="200"/>
        <w:rPr>
          <w:rFonts w:ascii="宋体" w:hAnsi="宋体" w:eastAsia="宋体" w:cs="宋体"/>
          <w:sz w:val="21"/>
          <w:szCs w:val="21"/>
        </w:rPr>
      </w:pPr>
      <w:r>
        <w:rPr>
          <w:rFonts w:hint="eastAsia" w:ascii="宋体" w:hAnsi="宋体" w:eastAsia="宋体" w:cs="宋体"/>
          <w:sz w:val="21"/>
          <w:szCs w:val="21"/>
        </w:rPr>
        <w:t>（6）主要施工机械设备表</w:t>
      </w:r>
      <w:r>
        <w:rPr>
          <w:rFonts w:hint="eastAsia" w:ascii="宋体" w:hAnsi="宋体" w:eastAsia="宋体" w:cs="宋体"/>
          <w:sz w:val="21"/>
          <w:szCs w:val="21"/>
          <w:lang w:val="zh-CN"/>
        </w:rPr>
        <w:t>（格式见附件）；</w:t>
      </w:r>
    </w:p>
    <w:p w14:paraId="509420F7">
      <w:pPr>
        <w:snapToGrid w:val="0"/>
        <w:spacing w:line="360" w:lineRule="auto"/>
        <w:ind w:firstLine="420" w:firstLineChars="200"/>
        <w:rPr>
          <w:rFonts w:ascii="宋体" w:hAnsi="宋体" w:eastAsia="宋体" w:cs="宋体"/>
          <w:sz w:val="21"/>
          <w:szCs w:val="21"/>
        </w:rPr>
      </w:pPr>
      <w:r>
        <w:rPr>
          <w:rFonts w:hint="eastAsia" w:ascii="宋体" w:hAnsi="宋体" w:eastAsia="宋体" w:cs="宋体"/>
          <w:sz w:val="21"/>
          <w:szCs w:val="21"/>
        </w:rPr>
        <w:t>（7）供应商认为需要提供的其他资料。</w:t>
      </w:r>
    </w:p>
    <w:p w14:paraId="1A3AC2E5">
      <w:pPr>
        <w:snapToGrid w:val="0"/>
        <w:spacing w:line="360" w:lineRule="auto"/>
        <w:ind w:firstLine="422" w:firstLineChars="200"/>
        <w:rPr>
          <w:rFonts w:ascii="宋体" w:hAnsi="宋体" w:eastAsia="宋体" w:cs="宋体"/>
          <w:b/>
          <w:sz w:val="21"/>
          <w:szCs w:val="21"/>
        </w:rPr>
      </w:pPr>
      <w:r>
        <w:rPr>
          <w:rFonts w:hint="eastAsia" w:ascii="宋体" w:hAnsi="宋体" w:eastAsia="宋体" w:cs="宋体"/>
          <w:b/>
          <w:sz w:val="21"/>
          <w:szCs w:val="21"/>
        </w:rPr>
        <w:t>3、报价文件的组成：</w:t>
      </w:r>
    </w:p>
    <w:p w14:paraId="22D103D1">
      <w:pPr>
        <w:tabs>
          <w:tab w:val="left" w:pos="3870"/>
          <w:tab w:val="left" w:pos="4085"/>
        </w:tabs>
        <w:snapToGrid w:val="0"/>
        <w:spacing w:line="360" w:lineRule="auto"/>
        <w:ind w:firstLine="422" w:firstLineChars="200"/>
        <w:jc w:val="left"/>
        <w:rPr>
          <w:rFonts w:ascii="宋体" w:hAnsi="宋体" w:eastAsia="宋体"/>
          <w:b/>
          <w:kern w:val="0"/>
          <w:sz w:val="21"/>
        </w:rPr>
      </w:pPr>
      <w:r>
        <w:rPr>
          <w:rFonts w:hint="eastAsia" w:ascii="宋体" w:hAnsi="宋体" w:eastAsia="宋体"/>
          <w:b/>
          <w:kern w:val="0"/>
          <w:sz w:val="21"/>
        </w:rPr>
        <w:t>（1）报价内容由首次报价一览表、已标价工程量清单报价表，以及供应商认为其他需要说明的内容组成。</w:t>
      </w:r>
    </w:p>
    <w:p w14:paraId="00E00BDB">
      <w:pPr>
        <w:tabs>
          <w:tab w:val="left" w:pos="3870"/>
          <w:tab w:val="left" w:pos="4085"/>
        </w:tabs>
        <w:snapToGrid w:val="0"/>
        <w:spacing w:line="360" w:lineRule="auto"/>
        <w:ind w:firstLine="420" w:firstLineChars="200"/>
        <w:jc w:val="left"/>
        <w:rPr>
          <w:rFonts w:ascii="宋体" w:hAnsi="宋体" w:eastAsia="宋体"/>
          <w:kern w:val="0"/>
          <w:sz w:val="21"/>
        </w:rPr>
      </w:pPr>
      <w:r>
        <w:rPr>
          <w:rFonts w:hint="eastAsia" w:ascii="宋体" w:hAnsi="宋体" w:eastAsia="宋体"/>
          <w:sz w:val="21"/>
          <w:szCs w:val="21"/>
        </w:rPr>
        <w:t>▲</w:t>
      </w:r>
      <w:r>
        <w:rPr>
          <w:rFonts w:hint="eastAsia" w:ascii="宋体" w:hAnsi="宋体" w:eastAsia="宋体"/>
          <w:kern w:val="0"/>
          <w:sz w:val="21"/>
        </w:rPr>
        <w:t>（2）本项目谈判报价应当包括</w:t>
      </w:r>
      <w:r>
        <w:rPr>
          <w:rFonts w:hint="eastAsia" w:ascii="宋体" w:hAnsi="宋体" w:cs="宋体"/>
          <w:kern w:val="0"/>
          <w:sz w:val="21"/>
          <w:szCs w:val="21"/>
        </w:rPr>
        <w:t>包括项目实施所需的人工费、材料费、机械费、设备的进退场费用、二次搬运费、冬雨季施工增加费、行车、行人干扰增加费、检测费、保险费、管理费、利润及各种规费、税费、安全文明施工费、采购代理服务费等完成合同所需的一切本身和不可或缺的所有工作开支、政策性文件规定及合同包含的所有风险等各项全部费用，并承担一切风险责任</w:t>
      </w:r>
      <w:r>
        <w:rPr>
          <w:rFonts w:hint="eastAsia" w:ascii="宋体" w:hAnsi="宋体" w:eastAsia="宋体"/>
          <w:kern w:val="0"/>
          <w:sz w:val="21"/>
        </w:rPr>
        <w:t>。</w:t>
      </w:r>
    </w:p>
    <w:p w14:paraId="7F3784DA">
      <w:pPr>
        <w:pStyle w:val="30"/>
        <w:spacing w:before="0" w:after="0" w:line="360" w:lineRule="auto"/>
        <w:rPr>
          <w:rFonts w:ascii="宋体" w:hAnsi="宋体" w:eastAsia="宋体"/>
          <w:bCs w:val="0"/>
          <w:spacing w:val="0"/>
          <w:kern w:val="2"/>
          <w:sz w:val="21"/>
          <w:szCs w:val="21"/>
        </w:rPr>
      </w:pPr>
      <w:r>
        <w:rPr>
          <w:rFonts w:hint="eastAsia" w:eastAsia="宋体"/>
        </w:rPr>
        <w:t xml:space="preserve">   </w:t>
      </w:r>
      <w:r>
        <w:rPr>
          <w:rFonts w:hint="eastAsia" w:ascii="宋体" w:hAnsi="宋体" w:eastAsia="宋体"/>
          <w:bCs w:val="0"/>
          <w:spacing w:val="0"/>
          <w:kern w:val="2"/>
          <w:sz w:val="21"/>
          <w:szCs w:val="21"/>
        </w:rPr>
        <w:t>▲（3）谈判响应文件只允许有一个报价（包含其它一切所要涉及到的费用）谈判报价应按谈判文件中相关附表格式填报，《谈判报价一览表》的谈判报价大写金额应与《谈判报价明细表》的谈判报价相等，明细出现“0”元，视同赠送。</w:t>
      </w:r>
    </w:p>
    <w:p w14:paraId="7F2BD1FF">
      <w:pPr>
        <w:autoSpaceDE w:val="0"/>
        <w:autoSpaceDN w:val="0"/>
        <w:adjustRightInd w:val="0"/>
        <w:spacing w:line="360" w:lineRule="auto"/>
        <w:ind w:firstLine="420" w:firstLineChars="200"/>
        <w:rPr>
          <w:rFonts w:ascii="宋体" w:hAnsi="宋体" w:eastAsia="宋体" w:cs="宋体"/>
          <w:kern w:val="0"/>
          <w:sz w:val="21"/>
          <w:szCs w:val="21"/>
        </w:rPr>
      </w:pPr>
      <w:r>
        <w:rPr>
          <w:rFonts w:hint="eastAsia" w:ascii="宋体" w:hAnsi="宋体" w:eastAsia="宋体" w:cs="宋体"/>
          <w:kern w:val="0"/>
          <w:sz w:val="21"/>
          <w:szCs w:val="21"/>
          <w:lang w:val="zh-CN"/>
        </w:rPr>
        <w:t>（</w:t>
      </w:r>
      <w:r>
        <w:rPr>
          <w:rFonts w:hint="eastAsia" w:ascii="宋体" w:hAnsi="宋体" w:eastAsia="宋体" w:cs="宋体"/>
          <w:kern w:val="0"/>
          <w:sz w:val="21"/>
          <w:szCs w:val="21"/>
        </w:rPr>
        <w:t>4</w:t>
      </w:r>
      <w:r>
        <w:rPr>
          <w:rFonts w:hint="eastAsia" w:ascii="宋体" w:hAnsi="宋体" w:eastAsia="宋体" w:cs="宋体"/>
          <w:kern w:val="0"/>
          <w:sz w:val="21"/>
          <w:szCs w:val="21"/>
          <w:lang w:val="zh-CN"/>
        </w:rPr>
        <w:t>）</w:t>
      </w:r>
      <w:r>
        <w:rPr>
          <w:rFonts w:hint="eastAsia" w:ascii="宋体" w:hAnsi="宋体" w:eastAsia="宋体" w:cs="宋体"/>
          <w:kern w:val="0"/>
          <w:sz w:val="21"/>
          <w:szCs w:val="21"/>
        </w:rPr>
        <w:t>谈判报价单不得涂改和增删，如有错漏必须修改，修改处须由同一签署人签字或盖章。由于字迹模糊或表达不清引起的后果由供应商负责。</w:t>
      </w:r>
    </w:p>
    <w:p w14:paraId="46F0541C">
      <w:pPr>
        <w:snapToGrid w:val="0"/>
        <w:spacing w:line="360" w:lineRule="auto"/>
        <w:ind w:firstLine="420" w:firstLineChars="200"/>
        <w:rPr>
          <w:rFonts w:ascii="宋体" w:hAnsi="宋体" w:eastAsia="宋体" w:cs="宋体"/>
          <w:b/>
          <w:bCs/>
          <w:sz w:val="21"/>
          <w:szCs w:val="21"/>
        </w:rPr>
      </w:pPr>
      <w:r>
        <w:rPr>
          <w:rFonts w:hint="eastAsia" w:ascii="宋体" w:hAnsi="宋体" w:eastAsia="宋体" w:cs="宋体"/>
          <w:sz w:val="21"/>
          <w:szCs w:val="21"/>
        </w:rPr>
        <w:t>（</w:t>
      </w:r>
      <w:r>
        <w:rPr>
          <w:rFonts w:hint="eastAsia" w:ascii="宋体" w:hAnsi="宋体" w:eastAsia="宋体" w:cs="宋体"/>
          <w:kern w:val="0"/>
          <w:sz w:val="21"/>
          <w:szCs w:val="21"/>
        </w:rPr>
        <w:t>5</w:t>
      </w:r>
      <w:r>
        <w:rPr>
          <w:rFonts w:hint="eastAsia" w:ascii="宋体" w:hAnsi="宋体" w:eastAsia="宋体" w:cs="宋体"/>
          <w:sz w:val="21"/>
          <w:szCs w:val="21"/>
        </w:rPr>
        <w:t>）报价有关表格应按谈判采购文件中相关附表格式填写。</w:t>
      </w:r>
      <w:r>
        <w:rPr>
          <w:rFonts w:hint="eastAsia" w:ascii="宋体" w:hAnsi="宋体" w:eastAsia="宋体" w:cs="宋体"/>
          <w:b/>
          <w:bCs/>
          <w:sz w:val="21"/>
          <w:szCs w:val="21"/>
        </w:rPr>
        <w:t>（注：工程量清单计价表格样式仅供参考，可接受不同计价软件生成的表格样式）</w:t>
      </w:r>
    </w:p>
    <w:p w14:paraId="57598F61">
      <w:pPr>
        <w:snapToGrid w:val="0"/>
        <w:spacing w:line="360" w:lineRule="auto"/>
        <w:ind w:left="480"/>
        <w:rPr>
          <w:rFonts w:ascii="宋体" w:hAnsi="宋体" w:eastAsia="宋体"/>
          <w:sz w:val="21"/>
          <w:lang w:val="zh-CN"/>
        </w:rPr>
      </w:pPr>
      <w:r>
        <w:rPr>
          <w:rFonts w:hint="eastAsia" w:ascii="宋体" w:hAnsi="宋体" w:eastAsia="宋体"/>
          <w:b/>
          <w:kern w:val="0"/>
          <w:sz w:val="21"/>
        </w:rPr>
        <w:t>（三）、谈判响应文件的制作、份数及递交要求</w:t>
      </w:r>
    </w:p>
    <w:p w14:paraId="3A5B153F">
      <w:pPr>
        <w:autoSpaceDE w:val="0"/>
        <w:autoSpaceDN w:val="0"/>
        <w:adjustRightInd w:val="0"/>
        <w:snapToGrid w:val="0"/>
        <w:spacing w:line="360" w:lineRule="auto"/>
        <w:ind w:firstLine="480"/>
        <w:rPr>
          <w:rFonts w:ascii="宋体" w:hAnsi="宋体" w:eastAsia="宋体"/>
          <w:b/>
          <w:sz w:val="21"/>
        </w:rPr>
      </w:pPr>
      <w:r>
        <w:rPr>
          <w:rFonts w:hint="eastAsia" w:ascii="宋体" w:hAnsi="宋体" w:eastAsia="宋体"/>
          <w:b/>
          <w:sz w:val="21"/>
        </w:rPr>
        <w:t>1、谈判响应文件的制作要求</w:t>
      </w:r>
    </w:p>
    <w:p w14:paraId="71E42AB5">
      <w:pPr>
        <w:autoSpaceDE w:val="0"/>
        <w:autoSpaceDN w:val="0"/>
        <w:adjustRightInd w:val="0"/>
        <w:snapToGrid w:val="0"/>
        <w:spacing w:line="360" w:lineRule="auto"/>
        <w:ind w:firstLine="480"/>
        <w:rPr>
          <w:rFonts w:ascii="宋体" w:hAnsi="宋体" w:eastAsia="宋体"/>
          <w:kern w:val="0"/>
          <w:sz w:val="21"/>
        </w:rPr>
      </w:pPr>
      <w:r>
        <w:rPr>
          <w:rFonts w:hint="eastAsia" w:ascii="宋体" w:hAnsi="宋体" w:eastAsia="宋体"/>
          <w:sz w:val="21"/>
        </w:rPr>
        <w:t>（1）供应商应按照谈判响应文件组成内容及项目谈判需求和浙江政府采购云平台要求制作谈判响应文件，</w:t>
      </w:r>
      <w:r>
        <w:rPr>
          <w:rFonts w:hint="eastAsia" w:ascii="宋体" w:hAnsi="宋体" w:eastAsia="宋体"/>
          <w:kern w:val="0"/>
          <w:sz w:val="21"/>
        </w:rPr>
        <w:t>不按</w:t>
      </w:r>
      <w:r>
        <w:rPr>
          <w:rFonts w:hint="eastAsia" w:ascii="宋体" w:hAnsi="宋体" w:eastAsia="宋体"/>
          <w:sz w:val="21"/>
        </w:rPr>
        <w:t>谈判采购文件</w:t>
      </w:r>
      <w:r>
        <w:rPr>
          <w:rFonts w:hint="eastAsia" w:ascii="宋体" w:hAnsi="宋体" w:eastAsia="宋体"/>
          <w:kern w:val="0"/>
          <w:sz w:val="21"/>
        </w:rPr>
        <w:t>要求和浙江政府采购云平台要求制作</w:t>
      </w:r>
      <w:r>
        <w:rPr>
          <w:rFonts w:hint="eastAsia" w:ascii="宋体" w:hAnsi="宋体" w:eastAsia="宋体"/>
          <w:sz w:val="21"/>
        </w:rPr>
        <w:t>谈判响应文件</w:t>
      </w:r>
      <w:r>
        <w:rPr>
          <w:rFonts w:hint="eastAsia" w:ascii="宋体" w:hAnsi="宋体" w:eastAsia="宋体"/>
          <w:kern w:val="0"/>
          <w:sz w:val="21"/>
        </w:rPr>
        <w:t>的将视情处理（拒收等），由此产生的责任由</w:t>
      </w:r>
      <w:r>
        <w:rPr>
          <w:rFonts w:hint="eastAsia" w:ascii="宋体" w:hAnsi="宋体" w:eastAsia="宋体"/>
          <w:sz w:val="21"/>
        </w:rPr>
        <w:t>谈判供应商</w:t>
      </w:r>
      <w:r>
        <w:rPr>
          <w:rFonts w:hint="eastAsia" w:ascii="宋体" w:hAnsi="宋体" w:eastAsia="宋体"/>
          <w:kern w:val="0"/>
          <w:sz w:val="21"/>
        </w:rPr>
        <w:t>自行承担。</w:t>
      </w:r>
    </w:p>
    <w:p w14:paraId="685C60B3">
      <w:pPr>
        <w:snapToGrid w:val="0"/>
        <w:spacing w:line="360" w:lineRule="auto"/>
        <w:ind w:firstLine="420" w:firstLineChars="200"/>
        <w:rPr>
          <w:rFonts w:ascii="宋体" w:hAnsi="宋体" w:cs="宋体"/>
          <w:b/>
          <w:bCs/>
          <w:sz w:val="21"/>
          <w:szCs w:val="21"/>
        </w:rPr>
      </w:pPr>
      <w:r>
        <w:rPr>
          <w:rFonts w:hint="eastAsia" w:ascii="宋体" w:hAnsi="宋体" w:cs="宋体"/>
          <w:b/>
          <w:bCs/>
          <w:sz w:val="21"/>
          <w:szCs w:val="21"/>
        </w:rPr>
        <w:t>电子加密响应文件部分：供应商应根据“供应商-政府采购项目电子交易操作指南”及本谈判响应文件规定的格式和顺序编制电子谈判响应文件并进行关联定位。</w:t>
      </w:r>
    </w:p>
    <w:p w14:paraId="0CF8D90E">
      <w:pPr>
        <w:snapToGrid w:val="0"/>
        <w:spacing w:line="360" w:lineRule="auto"/>
        <w:ind w:firstLine="420" w:firstLineChars="200"/>
        <w:rPr>
          <w:sz w:val="21"/>
          <w:szCs w:val="21"/>
        </w:rPr>
      </w:pPr>
      <w:r>
        <w:rPr>
          <w:rFonts w:hint="eastAsia" w:ascii="宋体" w:hAnsi="宋体" w:cs="宋体"/>
          <w:b/>
          <w:bCs/>
          <w:sz w:val="21"/>
          <w:szCs w:val="21"/>
        </w:rPr>
        <w:t>备份响应文件应与政采云平台上传的电子加密响应文件一致。</w:t>
      </w:r>
    </w:p>
    <w:p w14:paraId="3CB85C3E">
      <w:pPr>
        <w:autoSpaceDE w:val="0"/>
        <w:autoSpaceDN w:val="0"/>
        <w:adjustRightInd w:val="0"/>
        <w:snapToGrid w:val="0"/>
        <w:spacing w:line="360" w:lineRule="auto"/>
        <w:ind w:firstLine="480" w:firstLineChars="200"/>
        <w:rPr>
          <w:rFonts w:ascii="宋体" w:hAnsi="宋体" w:eastAsia="宋体"/>
          <w:kern w:val="0"/>
          <w:sz w:val="21"/>
          <w:lang w:val="zh-CN"/>
        </w:rPr>
      </w:pPr>
      <w:r>
        <w:rPr>
          <w:rFonts w:hint="eastAsia" w:ascii="宋体" w:hAnsi="宋体" w:cs="宋体"/>
          <w:bCs/>
          <w:sz w:val="24"/>
        </w:rPr>
        <w:t>▲</w:t>
      </w:r>
      <w:r>
        <w:rPr>
          <w:rFonts w:hint="eastAsia" w:ascii="宋体" w:hAnsi="宋体" w:eastAsia="宋体"/>
          <w:sz w:val="21"/>
        </w:rPr>
        <w:t>（2）供应商应对所提供的全部资料的真实性承担法律责任，谈判响应文件</w:t>
      </w:r>
      <w:r>
        <w:rPr>
          <w:rFonts w:hint="eastAsia" w:ascii="宋体" w:hAnsi="宋体" w:eastAsia="宋体"/>
          <w:sz w:val="21"/>
          <w:lang w:val="zh-CN"/>
        </w:rPr>
        <w:t>内容中有要求盖章的地方，</w:t>
      </w:r>
      <w:r>
        <w:rPr>
          <w:rFonts w:hint="eastAsia" w:ascii="宋体" w:hAnsi="宋体" w:eastAsia="宋体"/>
          <w:kern w:val="0"/>
          <w:sz w:val="21"/>
          <w:lang w:val="zh-CN"/>
        </w:rPr>
        <w:t>必须加盖</w:t>
      </w:r>
      <w:r>
        <w:rPr>
          <w:rFonts w:hint="eastAsia" w:ascii="宋体" w:hAnsi="宋体" w:eastAsia="宋体"/>
          <w:sz w:val="21"/>
        </w:rPr>
        <w:t>谈判供应商</w:t>
      </w:r>
      <w:r>
        <w:rPr>
          <w:rFonts w:hint="eastAsia" w:ascii="宋体" w:hAnsi="宋体" w:eastAsia="宋体"/>
          <w:kern w:val="0"/>
          <w:sz w:val="21"/>
          <w:lang w:val="zh-CN"/>
        </w:rPr>
        <w:t>的公章（或CA电子公章）以及法定代表人或全权代表的盖章或签字（CA电子签章或签字）</w:t>
      </w:r>
      <w:r>
        <w:rPr>
          <w:rFonts w:hint="eastAsia" w:ascii="宋体" w:hAnsi="宋体" w:eastAsia="宋体"/>
          <w:sz w:val="21"/>
        </w:rPr>
        <w:t>。</w:t>
      </w:r>
    </w:p>
    <w:p w14:paraId="32312885">
      <w:pPr>
        <w:snapToGrid w:val="0"/>
        <w:spacing w:line="360" w:lineRule="auto"/>
        <w:ind w:firstLine="420" w:firstLineChars="200"/>
        <w:jc w:val="left"/>
        <w:rPr>
          <w:rFonts w:ascii="宋体" w:hAnsi="宋体" w:eastAsia="宋体"/>
          <w:sz w:val="21"/>
        </w:rPr>
      </w:pPr>
      <w:r>
        <w:rPr>
          <w:rFonts w:hint="eastAsia" w:ascii="宋体" w:hAnsi="宋体" w:eastAsia="宋体"/>
          <w:kern w:val="0"/>
          <w:sz w:val="21"/>
          <w:lang w:val="zh-CN"/>
        </w:rPr>
        <w:t>（</w:t>
      </w:r>
      <w:r>
        <w:rPr>
          <w:rFonts w:hint="eastAsia" w:ascii="宋体" w:hAnsi="宋体" w:eastAsia="宋体"/>
          <w:kern w:val="0"/>
          <w:sz w:val="21"/>
        </w:rPr>
        <w:t>3</w:t>
      </w:r>
      <w:r>
        <w:rPr>
          <w:rFonts w:hint="eastAsia" w:ascii="宋体" w:hAnsi="宋体" w:eastAsia="宋体"/>
          <w:kern w:val="0"/>
          <w:sz w:val="21"/>
          <w:lang w:val="zh-CN"/>
        </w:rPr>
        <w:t>）</w:t>
      </w:r>
      <w:r>
        <w:rPr>
          <w:rFonts w:hint="eastAsia" w:ascii="宋体" w:hAnsi="宋体" w:eastAsia="宋体"/>
          <w:sz w:val="21"/>
        </w:rPr>
        <w:t>谈判响应文件以及谈判供应商与采购组织机构就有关谈判事宜的所有来往函电，均应以中文汉语书写。除签字、盖章、专用名称等特殊情形外，以中文汉语以外的文字表述的谈判响应文件视同未提供。</w:t>
      </w:r>
    </w:p>
    <w:p w14:paraId="126568A6">
      <w:pPr>
        <w:snapToGrid w:val="0"/>
        <w:spacing w:line="360" w:lineRule="auto"/>
        <w:ind w:firstLine="420" w:firstLineChars="200"/>
        <w:jc w:val="left"/>
        <w:rPr>
          <w:rFonts w:ascii="宋体" w:hAnsi="宋体" w:eastAsia="宋体"/>
          <w:sz w:val="21"/>
        </w:rPr>
      </w:pPr>
      <w:r>
        <w:rPr>
          <w:rFonts w:hint="eastAsia" w:ascii="宋体" w:hAnsi="宋体" w:eastAsia="宋体"/>
          <w:sz w:val="21"/>
        </w:rPr>
        <w:t>（4）谈判计量单位，谈判采购文件已有明确规定的，使用谈判采购文件规定的计量单位；谈判采购文件没有规定的，应采用中华人民共和国法定计量单位（货币单位：人民币元），否则视同未响应。</w:t>
      </w:r>
    </w:p>
    <w:p w14:paraId="70A743D5">
      <w:pPr>
        <w:autoSpaceDE w:val="0"/>
        <w:autoSpaceDN w:val="0"/>
        <w:adjustRightInd w:val="0"/>
        <w:snapToGrid w:val="0"/>
        <w:spacing w:line="360" w:lineRule="auto"/>
        <w:ind w:firstLine="480"/>
        <w:rPr>
          <w:rFonts w:ascii="宋体" w:hAnsi="宋体" w:eastAsia="宋体"/>
          <w:sz w:val="21"/>
        </w:rPr>
      </w:pPr>
      <w:r>
        <w:rPr>
          <w:rFonts w:hint="eastAsia" w:ascii="宋体" w:hAnsi="宋体" w:eastAsia="宋体"/>
          <w:sz w:val="21"/>
        </w:rPr>
        <w:t>（5）若谈判供应商不按采购文件的要求提供资格审查材料，其风险由谈判供应商自行承担。</w:t>
      </w:r>
    </w:p>
    <w:p w14:paraId="0EE85FA2">
      <w:pPr>
        <w:autoSpaceDE w:val="0"/>
        <w:autoSpaceDN w:val="0"/>
        <w:adjustRightInd w:val="0"/>
        <w:snapToGrid w:val="0"/>
        <w:spacing w:line="360" w:lineRule="auto"/>
        <w:ind w:firstLine="480"/>
        <w:rPr>
          <w:rFonts w:eastAsia="宋体"/>
        </w:rPr>
      </w:pPr>
      <w:r>
        <w:rPr>
          <w:rFonts w:hint="eastAsia" w:ascii="宋体" w:hAnsi="宋体" w:eastAsia="宋体"/>
          <w:kern w:val="0"/>
          <w:sz w:val="21"/>
        </w:rPr>
        <w:t>（6）</w:t>
      </w:r>
      <w:r>
        <w:rPr>
          <w:rFonts w:hint="eastAsia" w:ascii="宋体" w:hAnsi="宋体" w:eastAsia="宋体"/>
          <w:sz w:val="21"/>
        </w:rPr>
        <w:t>与本次谈判无关的内容请不要制作在内，确保谈判响应文件有针对性、简洁明了。</w:t>
      </w:r>
    </w:p>
    <w:p w14:paraId="06F021D7">
      <w:pPr>
        <w:autoSpaceDE w:val="0"/>
        <w:autoSpaceDN w:val="0"/>
        <w:adjustRightInd w:val="0"/>
        <w:snapToGrid w:val="0"/>
        <w:spacing w:line="360" w:lineRule="auto"/>
        <w:ind w:firstLine="416" w:firstLineChars="198"/>
        <w:rPr>
          <w:rFonts w:ascii="宋体" w:hAnsi="宋体"/>
          <w:b/>
          <w:sz w:val="21"/>
        </w:rPr>
      </w:pPr>
      <w:r>
        <w:rPr>
          <w:rFonts w:hint="eastAsia" w:ascii="宋体" w:hAnsi="宋体"/>
          <w:b/>
          <w:sz w:val="21"/>
        </w:rPr>
        <w:t>2、</w:t>
      </w:r>
      <w:r>
        <w:rPr>
          <w:rFonts w:hint="eastAsia" w:ascii="宋体" w:hAnsi="宋体" w:eastAsia="宋体"/>
          <w:b/>
          <w:sz w:val="21"/>
        </w:rPr>
        <w:t>谈判</w:t>
      </w:r>
      <w:r>
        <w:rPr>
          <w:rFonts w:hint="eastAsia" w:ascii="宋体" w:hAnsi="宋体"/>
          <w:b/>
          <w:sz w:val="21"/>
        </w:rPr>
        <w:t>响应文件份数：</w:t>
      </w:r>
    </w:p>
    <w:p w14:paraId="3615CBCC">
      <w:pPr>
        <w:autoSpaceDE w:val="0"/>
        <w:autoSpaceDN w:val="0"/>
        <w:adjustRightInd w:val="0"/>
        <w:snapToGrid w:val="0"/>
        <w:spacing w:line="360" w:lineRule="auto"/>
        <w:ind w:firstLine="416" w:firstLineChars="198"/>
        <w:rPr>
          <w:rFonts w:ascii="宋体" w:hAnsi="宋体"/>
          <w:b/>
          <w:sz w:val="21"/>
        </w:rPr>
      </w:pPr>
      <w:r>
        <w:rPr>
          <w:rFonts w:hint="eastAsia" w:ascii="宋体" w:hAnsi="宋体"/>
          <w:b/>
          <w:sz w:val="21"/>
        </w:rPr>
        <w:t>（1）电子加密响应文件一份：通过政采云平台电子投标工具（政采云电子投标客户端）生成的，一份为加密标书。</w:t>
      </w:r>
    </w:p>
    <w:p w14:paraId="037610CD">
      <w:pPr>
        <w:autoSpaceDE w:val="0"/>
        <w:autoSpaceDN w:val="0"/>
        <w:adjustRightInd w:val="0"/>
        <w:snapToGrid w:val="0"/>
        <w:spacing w:line="360" w:lineRule="auto"/>
        <w:ind w:firstLine="416" w:firstLineChars="198"/>
        <w:rPr>
          <w:rFonts w:ascii="宋体" w:hAnsi="宋体"/>
          <w:b/>
          <w:sz w:val="21"/>
        </w:rPr>
      </w:pPr>
      <w:r>
        <w:rPr>
          <w:rFonts w:hint="eastAsia" w:ascii="宋体" w:hAnsi="宋体"/>
          <w:b/>
          <w:sz w:val="21"/>
        </w:rPr>
        <w:t>（2）备份响应文件：</w:t>
      </w:r>
      <w:r>
        <w:fldChar w:fldCharType="begin"/>
      </w:r>
      <w:r>
        <w:instrText xml:space="preserve"> HYPERLINK "mailto:政采云平台上最后生成的具备电子签章的备份响应文件，文件名后缀为备份标书四字的首字母。供应商自行确定是否提交；若提交请在提交磋商响应文件截止时间前将备份响应文件打包压缩加密（未加密造成泄密的由投标人自行承担）后以电子邮件的形式发送至846270514@qq.com，逾期发送的将被视为未提交。" </w:instrText>
      </w:r>
      <w:r>
        <w:fldChar w:fldCharType="separate"/>
      </w:r>
      <w:r>
        <w:rPr>
          <w:rFonts w:hint="eastAsia" w:ascii="宋体" w:hAnsi="宋体"/>
          <w:b/>
          <w:sz w:val="21"/>
        </w:rPr>
        <w:t>政采云平台上最后生成的具备电子签章的备份响应文件，文件名后缀为备份标书四字的首字母。供应商自行确定是否提交；若提交请在提交谈判响应文件截止时间前将备份响应文件打包压缩加密（未加密造成泄密的由投标人自行承担）后以电子邮件的形式发送至</w:t>
      </w:r>
      <w:r>
        <w:rPr>
          <w:rFonts w:hint="eastAsia" w:ascii="宋体" w:hAnsi="宋体" w:eastAsia="宋体"/>
          <w:b/>
          <w:sz w:val="21"/>
          <w:lang w:eastAsia="zh-CN"/>
        </w:rPr>
        <w:t>501431643@qq.com</w:t>
      </w:r>
      <w:r>
        <w:rPr>
          <w:rFonts w:hint="eastAsia" w:ascii="宋体" w:hAnsi="宋体"/>
          <w:b/>
          <w:sz w:val="21"/>
        </w:rPr>
        <w:t>，逾期发送的将被视为未提交。</w:t>
      </w:r>
      <w:r>
        <w:rPr>
          <w:rFonts w:hint="eastAsia" w:ascii="宋体" w:hAnsi="宋体"/>
          <w:b/>
          <w:sz w:val="21"/>
        </w:rPr>
        <w:fldChar w:fldCharType="end"/>
      </w:r>
    </w:p>
    <w:p w14:paraId="028904B7">
      <w:pPr>
        <w:autoSpaceDE w:val="0"/>
        <w:autoSpaceDN w:val="0"/>
        <w:adjustRightInd w:val="0"/>
        <w:snapToGrid w:val="0"/>
        <w:spacing w:line="360" w:lineRule="auto"/>
        <w:ind w:firstLine="416" w:firstLineChars="198"/>
        <w:rPr>
          <w:rFonts w:ascii="宋体" w:hAnsi="宋体"/>
          <w:b/>
          <w:sz w:val="21"/>
        </w:rPr>
      </w:pPr>
      <w:r>
        <w:rPr>
          <w:rFonts w:hint="eastAsia" w:ascii="宋体" w:hAnsi="宋体"/>
          <w:b/>
          <w:sz w:val="21"/>
        </w:rPr>
        <w:t>备份响应文件在“电子加密响应文件”在线解密失败后启用，否则不予以启用；供应商确认“电子加密响应文件”在线解密失败后，将打包压缩加密的备份响应文件的解密密码在解密规定的时间（发出解密通知后60分钟内）发送至上述邮箱内，未在规定时间内发送造成的投标无效或失败由供应商人自行承担。</w:t>
      </w:r>
    </w:p>
    <w:p w14:paraId="443DF798">
      <w:pPr>
        <w:autoSpaceDE w:val="0"/>
        <w:autoSpaceDN w:val="0"/>
        <w:adjustRightInd w:val="0"/>
        <w:snapToGrid w:val="0"/>
        <w:spacing w:line="360" w:lineRule="auto"/>
        <w:ind w:firstLine="416" w:firstLineChars="198"/>
        <w:rPr>
          <w:rFonts w:ascii="宋体" w:hAnsi="宋体"/>
          <w:b/>
          <w:sz w:val="21"/>
        </w:rPr>
      </w:pPr>
      <w:r>
        <w:rPr>
          <w:rFonts w:hint="eastAsia" w:ascii="宋体" w:hAnsi="宋体"/>
          <w:b/>
          <w:sz w:val="21"/>
        </w:rPr>
        <w:t>（3）中标供应商应提供与电子谈判响应文件内容一致的纸质谈判响应文件各一正二副，装订成册，采用胶订或线订，不得采用活页夹等可随时拆换的方式装订。中标人在领取中标通知书时提供纸质谈判响应文件。</w:t>
      </w:r>
    </w:p>
    <w:p w14:paraId="4942DAB1">
      <w:pPr>
        <w:autoSpaceDE w:val="0"/>
        <w:autoSpaceDN w:val="0"/>
        <w:adjustRightInd w:val="0"/>
        <w:snapToGrid w:val="0"/>
        <w:spacing w:line="360" w:lineRule="auto"/>
        <w:ind w:firstLine="480"/>
        <w:rPr>
          <w:rFonts w:ascii="宋体" w:hAnsi="宋体"/>
          <w:b/>
          <w:sz w:val="21"/>
        </w:rPr>
      </w:pPr>
      <w:r>
        <w:rPr>
          <w:rFonts w:hint="eastAsia" w:ascii="宋体" w:hAnsi="宋体"/>
          <w:b/>
          <w:kern w:val="0"/>
          <w:sz w:val="21"/>
        </w:rPr>
        <w:t>3、</w:t>
      </w:r>
      <w:r>
        <w:rPr>
          <w:rFonts w:hint="eastAsia" w:ascii="宋体" w:hAnsi="宋体" w:eastAsia="宋体"/>
          <w:b/>
          <w:sz w:val="21"/>
        </w:rPr>
        <w:t>谈判</w:t>
      </w:r>
      <w:r>
        <w:rPr>
          <w:rFonts w:hint="eastAsia" w:ascii="宋体" w:hAnsi="宋体"/>
          <w:b/>
          <w:sz w:val="21"/>
        </w:rPr>
        <w:t>响应文件的递交要求</w:t>
      </w:r>
    </w:p>
    <w:p w14:paraId="1DBFB591">
      <w:pPr>
        <w:tabs>
          <w:tab w:val="left" w:pos="1418"/>
        </w:tabs>
        <w:autoSpaceDE w:val="0"/>
        <w:autoSpaceDN w:val="0"/>
        <w:adjustRightInd w:val="0"/>
        <w:snapToGrid w:val="0"/>
        <w:spacing w:line="360" w:lineRule="auto"/>
        <w:ind w:firstLine="420" w:firstLineChars="200"/>
        <w:rPr>
          <w:rFonts w:ascii="宋体" w:hAnsi="宋体"/>
          <w:kern w:val="0"/>
          <w:sz w:val="21"/>
        </w:rPr>
      </w:pPr>
      <w:bookmarkStart w:id="37" w:name="_Toc531359012"/>
      <w:bookmarkStart w:id="38" w:name="_Toc530551857"/>
      <w:bookmarkStart w:id="39" w:name="_Toc34895557"/>
      <w:r>
        <w:rPr>
          <w:rFonts w:hint="eastAsia" w:ascii="宋体" w:hAnsi="宋体"/>
          <w:kern w:val="0"/>
          <w:sz w:val="21"/>
        </w:rPr>
        <w:t>（1）谈判响应文件导入</w:t>
      </w:r>
      <w:bookmarkEnd w:id="37"/>
      <w:bookmarkEnd w:id="38"/>
      <w:r>
        <w:rPr>
          <w:rFonts w:hint="eastAsia" w:ascii="宋体" w:hAnsi="宋体"/>
          <w:kern w:val="0"/>
          <w:sz w:val="21"/>
        </w:rPr>
        <w:t>和加密</w:t>
      </w:r>
      <w:bookmarkEnd w:id="39"/>
    </w:p>
    <w:p w14:paraId="28971259">
      <w:pPr>
        <w:tabs>
          <w:tab w:val="left" w:pos="1418"/>
        </w:tabs>
        <w:autoSpaceDE w:val="0"/>
        <w:autoSpaceDN w:val="0"/>
        <w:adjustRightInd w:val="0"/>
        <w:snapToGrid w:val="0"/>
        <w:spacing w:line="360" w:lineRule="auto"/>
        <w:ind w:firstLine="420" w:firstLineChars="200"/>
        <w:rPr>
          <w:rFonts w:asciiTheme="minorEastAsia" w:hAnsiTheme="minorEastAsia" w:eastAsiaTheme="minorEastAsia" w:cstheme="minorEastAsia"/>
          <w:kern w:val="0"/>
          <w:sz w:val="21"/>
        </w:rPr>
      </w:pPr>
      <w:r>
        <w:rPr>
          <w:rFonts w:hint="eastAsia" w:asciiTheme="minorEastAsia" w:hAnsiTheme="minorEastAsia" w:eastAsiaTheme="minorEastAsia" w:cstheme="minorEastAsia"/>
          <w:kern w:val="0"/>
          <w:sz w:val="21"/>
        </w:rPr>
        <w:t>①谈判供应商应当按照资格证明文件、商务与技术文件和报价文件三部分分别导入相应位置，各文件之间不得导错位置；</w:t>
      </w:r>
    </w:p>
    <w:p w14:paraId="4B806DCB">
      <w:pPr>
        <w:tabs>
          <w:tab w:val="left" w:pos="1418"/>
        </w:tabs>
        <w:wordWrap w:val="0"/>
        <w:autoSpaceDE w:val="0"/>
        <w:autoSpaceDN w:val="0"/>
        <w:adjustRightInd w:val="0"/>
        <w:snapToGrid w:val="0"/>
        <w:spacing w:line="360" w:lineRule="auto"/>
        <w:ind w:firstLine="420" w:firstLineChars="200"/>
        <w:rPr>
          <w:rFonts w:ascii="宋体" w:hAnsi="宋体"/>
          <w:kern w:val="0"/>
          <w:sz w:val="21"/>
        </w:rPr>
      </w:pPr>
      <w:r>
        <w:rPr>
          <w:rFonts w:hint="eastAsia" w:asciiTheme="minorEastAsia" w:hAnsiTheme="minorEastAsia" w:eastAsiaTheme="minorEastAsia" w:cstheme="minorEastAsia"/>
          <w:kern w:val="0"/>
          <w:sz w:val="21"/>
        </w:rPr>
        <w:t>②谈判</w:t>
      </w:r>
      <w:r>
        <w:rPr>
          <w:rFonts w:hint="eastAsia" w:ascii="宋体" w:hAnsi="宋体"/>
          <w:kern w:val="0"/>
          <w:sz w:val="21"/>
        </w:rPr>
        <w:t>响应文件编制好后应当生成电子加密谈判文件，生成电子加密谈判文件具体流程详见【浙江省】供应商-政府采购项目电子交易操作指南网址：</w:t>
      </w:r>
      <w:r>
        <w:fldChar w:fldCharType="begin"/>
      </w:r>
      <w:r>
        <w:instrText xml:space="preserve"> HYPERLINK "https://service.zcygov.cn/" \l "/knowledges/CW1EtGwBFdiHxlNd6I3m/6IMVAG0BFdiHxlNdQ8Na" </w:instrText>
      </w:r>
      <w:r>
        <w:fldChar w:fldCharType="separate"/>
      </w:r>
      <w:r>
        <w:rPr>
          <w:rFonts w:hint="eastAsia" w:ascii="宋体" w:hAnsi="宋体"/>
          <w:kern w:val="0"/>
          <w:sz w:val="21"/>
        </w:rPr>
        <w:t>https://service.zcygov.cn/#/knowledges/CW1EtGwBFdiHxlNd6I3m/6IMVAG0BFdiHxlNdQ8Na</w:t>
      </w:r>
      <w:r>
        <w:rPr>
          <w:rFonts w:hint="eastAsia" w:ascii="宋体" w:hAnsi="宋体"/>
          <w:kern w:val="0"/>
          <w:sz w:val="21"/>
        </w:rPr>
        <w:fldChar w:fldCharType="end"/>
      </w:r>
    </w:p>
    <w:p w14:paraId="05FBB569">
      <w:pPr>
        <w:tabs>
          <w:tab w:val="left" w:pos="1418"/>
        </w:tabs>
        <w:autoSpaceDE w:val="0"/>
        <w:autoSpaceDN w:val="0"/>
        <w:adjustRightInd w:val="0"/>
        <w:snapToGrid w:val="0"/>
        <w:spacing w:line="360" w:lineRule="auto"/>
        <w:ind w:firstLine="420" w:firstLineChars="200"/>
        <w:rPr>
          <w:rFonts w:ascii="宋体" w:hAnsi="宋体"/>
          <w:kern w:val="0"/>
          <w:sz w:val="21"/>
        </w:rPr>
      </w:pPr>
      <w:r>
        <w:rPr>
          <w:rFonts w:hint="eastAsia" w:ascii="宋体" w:hAnsi="宋体"/>
          <w:kern w:val="0"/>
          <w:sz w:val="21"/>
        </w:rPr>
        <w:t>（2）谈判响应文件的提交</w:t>
      </w:r>
    </w:p>
    <w:p w14:paraId="3D85272F">
      <w:pPr>
        <w:tabs>
          <w:tab w:val="left" w:pos="1418"/>
        </w:tabs>
        <w:autoSpaceDE w:val="0"/>
        <w:autoSpaceDN w:val="0"/>
        <w:adjustRightInd w:val="0"/>
        <w:snapToGrid w:val="0"/>
        <w:spacing w:line="360" w:lineRule="auto"/>
        <w:ind w:firstLine="420" w:firstLineChars="200"/>
        <w:rPr>
          <w:rFonts w:asciiTheme="minorEastAsia" w:hAnsiTheme="minorEastAsia" w:eastAsiaTheme="minorEastAsia" w:cstheme="minorEastAsia"/>
          <w:kern w:val="0"/>
          <w:sz w:val="21"/>
        </w:rPr>
      </w:pPr>
      <w:r>
        <w:rPr>
          <w:rFonts w:hint="eastAsia" w:asciiTheme="minorEastAsia" w:hAnsiTheme="minorEastAsia" w:eastAsiaTheme="minorEastAsia" w:cstheme="minorEastAsia"/>
          <w:kern w:val="0"/>
          <w:sz w:val="21"/>
        </w:rPr>
        <w:t>①谈判响应文件提交截止时间：见谈判须知“前附表”；</w:t>
      </w:r>
    </w:p>
    <w:p w14:paraId="7624204E">
      <w:pPr>
        <w:tabs>
          <w:tab w:val="left" w:pos="1418"/>
        </w:tabs>
        <w:autoSpaceDE w:val="0"/>
        <w:autoSpaceDN w:val="0"/>
        <w:adjustRightInd w:val="0"/>
        <w:snapToGrid w:val="0"/>
        <w:spacing w:line="360" w:lineRule="auto"/>
        <w:ind w:firstLine="420" w:firstLineChars="200"/>
        <w:rPr>
          <w:rFonts w:ascii="宋体" w:hAnsi="宋体"/>
          <w:kern w:val="0"/>
          <w:sz w:val="21"/>
        </w:rPr>
      </w:pPr>
      <w:r>
        <w:rPr>
          <w:rFonts w:hint="eastAsia" w:asciiTheme="minorEastAsia" w:hAnsiTheme="minorEastAsia" w:eastAsiaTheme="minorEastAsia" w:cstheme="minorEastAsia"/>
          <w:kern w:val="0"/>
          <w:sz w:val="21"/>
        </w:rPr>
        <w:t>②谈判响</w:t>
      </w:r>
      <w:r>
        <w:rPr>
          <w:rFonts w:hint="eastAsia" w:ascii="宋体" w:hAnsi="宋体"/>
          <w:kern w:val="0"/>
          <w:sz w:val="21"/>
        </w:rPr>
        <w:t>应文件提交地点：见谈判须知“前附表”。</w:t>
      </w:r>
    </w:p>
    <w:p w14:paraId="1029CB9E">
      <w:pPr>
        <w:tabs>
          <w:tab w:val="left" w:pos="1418"/>
        </w:tabs>
        <w:autoSpaceDE w:val="0"/>
        <w:autoSpaceDN w:val="0"/>
        <w:adjustRightInd w:val="0"/>
        <w:snapToGrid w:val="0"/>
        <w:spacing w:line="360" w:lineRule="auto"/>
        <w:ind w:firstLine="420" w:firstLineChars="200"/>
        <w:rPr>
          <w:rFonts w:ascii="宋体" w:hAnsi="宋体"/>
          <w:kern w:val="0"/>
          <w:sz w:val="21"/>
        </w:rPr>
      </w:pPr>
      <w:r>
        <w:rPr>
          <w:rFonts w:hint="eastAsia" w:ascii="宋体" w:hAnsi="宋体"/>
          <w:kern w:val="0"/>
          <w:sz w:val="21"/>
        </w:rPr>
        <w:t>（3）不予接收的</w:t>
      </w:r>
      <w:r>
        <w:rPr>
          <w:rFonts w:hint="eastAsia" w:ascii="宋体" w:hAnsi="宋体" w:eastAsia="宋体"/>
          <w:kern w:val="0"/>
          <w:sz w:val="21"/>
        </w:rPr>
        <w:t>谈判</w:t>
      </w:r>
      <w:r>
        <w:rPr>
          <w:rFonts w:hint="eastAsia" w:ascii="宋体" w:hAnsi="宋体"/>
          <w:kern w:val="0"/>
          <w:sz w:val="21"/>
        </w:rPr>
        <w:t>响应文件情形</w:t>
      </w:r>
    </w:p>
    <w:p w14:paraId="1B112372">
      <w:pPr>
        <w:tabs>
          <w:tab w:val="left" w:pos="1418"/>
        </w:tabs>
        <w:autoSpaceDE w:val="0"/>
        <w:autoSpaceDN w:val="0"/>
        <w:adjustRightInd w:val="0"/>
        <w:snapToGrid w:val="0"/>
        <w:spacing w:line="360" w:lineRule="auto"/>
        <w:ind w:firstLine="420" w:firstLineChars="200"/>
        <w:rPr>
          <w:rFonts w:asciiTheme="minorEastAsia" w:hAnsiTheme="minorEastAsia" w:eastAsiaTheme="minorEastAsia" w:cstheme="minorEastAsia"/>
          <w:kern w:val="0"/>
          <w:sz w:val="21"/>
        </w:rPr>
      </w:pPr>
      <w:r>
        <w:rPr>
          <w:rFonts w:hint="eastAsia" w:asciiTheme="minorEastAsia" w:hAnsiTheme="minorEastAsia" w:eastAsiaTheme="minorEastAsia" w:cstheme="minorEastAsia"/>
          <w:kern w:val="0"/>
          <w:sz w:val="21"/>
        </w:rPr>
        <w:t>①谈判截止时间前未完成传输的谈判响应文件；</w:t>
      </w:r>
    </w:p>
    <w:p w14:paraId="10896C71">
      <w:pPr>
        <w:tabs>
          <w:tab w:val="left" w:pos="1418"/>
        </w:tabs>
        <w:autoSpaceDE w:val="0"/>
        <w:autoSpaceDN w:val="0"/>
        <w:adjustRightInd w:val="0"/>
        <w:snapToGrid w:val="0"/>
        <w:spacing w:line="360" w:lineRule="auto"/>
        <w:ind w:firstLine="420" w:firstLineChars="200"/>
        <w:rPr>
          <w:rFonts w:ascii="宋体" w:hAnsi="宋体"/>
          <w:kern w:val="0"/>
          <w:sz w:val="21"/>
        </w:rPr>
      </w:pPr>
      <w:r>
        <w:rPr>
          <w:rFonts w:hint="eastAsia" w:asciiTheme="minorEastAsia" w:hAnsiTheme="minorEastAsia" w:eastAsiaTheme="minorEastAsia" w:cstheme="minorEastAsia"/>
          <w:kern w:val="0"/>
          <w:sz w:val="21"/>
        </w:rPr>
        <w:t>②未生成加</w:t>
      </w:r>
      <w:r>
        <w:rPr>
          <w:rFonts w:hint="eastAsia" w:ascii="宋体" w:hAnsi="宋体"/>
          <w:kern w:val="0"/>
          <w:sz w:val="21"/>
        </w:rPr>
        <w:t>密的</w:t>
      </w:r>
      <w:r>
        <w:rPr>
          <w:rFonts w:hint="eastAsia" w:ascii="宋体" w:hAnsi="宋体" w:eastAsia="宋体"/>
          <w:kern w:val="0"/>
          <w:sz w:val="21"/>
        </w:rPr>
        <w:t>谈判</w:t>
      </w:r>
      <w:r>
        <w:rPr>
          <w:rFonts w:hint="eastAsia" w:ascii="宋体" w:hAnsi="宋体"/>
          <w:kern w:val="0"/>
          <w:sz w:val="21"/>
        </w:rPr>
        <w:t>响应文件；</w:t>
      </w:r>
    </w:p>
    <w:p w14:paraId="0C050DF7">
      <w:pPr>
        <w:tabs>
          <w:tab w:val="left" w:pos="1418"/>
        </w:tabs>
        <w:autoSpaceDE w:val="0"/>
        <w:autoSpaceDN w:val="0"/>
        <w:adjustRightInd w:val="0"/>
        <w:snapToGrid w:val="0"/>
        <w:spacing w:line="360" w:lineRule="auto"/>
        <w:ind w:firstLine="420" w:firstLineChars="200"/>
        <w:rPr>
          <w:rFonts w:ascii="宋体" w:hAnsi="宋体"/>
          <w:kern w:val="0"/>
          <w:sz w:val="21"/>
        </w:rPr>
      </w:pPr>
      <w:r>
        <w:rPr>
          <w:rFonts w:hint="eastAsia" w:ascii="宋体" w:hAnsi="宋体"/>
          <w:kern w:val="0"/>
          <w:sz w:val="21"/>
        </w:rPr>
        <w:t>（4）如有特殊情况，采购代理机构延长截止时间和开标时间，采购代理机构和谈判供应商的权利和义务将受到新的截止时间和开标时间的约束。</w:t>
      </w:r>
    </w:p>
    <w:p w14:paraId="432D8C66">
      <w:pPr>
        <w:tabs>
          <w:tab w:val="left" w:pos="1898"/>
        </w:tabs>
        <w:autoSpaceDE w:val="0"/>
        <w:autoSpaceDN w:val="0"/>
        <w:adjustRightInd w:val="0"/>
        <w:snapToGrid w:val="0"/>
        <w:spacing w:line="360" w:lineRule="auto"/>
        <w:ind w:firstLine="420" w:firstLineChars="200"/>
        <w:rPr>
          <w:rFonts w:ascii="宋体" w:hAnsi="宋体"/>
          <w:b/>
          <w:kern w:val="0"/>
          <w:sz w:val="21"/>
        </w:rPr>
      </w:pPr>
      <w:r>
        <w:rPr>
          <w:rFonts w:hint="eastAsia" w:ascii="宋体" w:hAnsi="宋体"/>
          <w:b/>
          <w:kern w:val="0"/>
          <w:sz w:val="21"/>
        </w:rPr>
        <w:t>4、</w:t>
      </w:r>
      <w:r>
        <w:rPr>
          <w:rFonts w:hint="eastAsia" w:ascii="宋体" w:hAnsi="宋体" w:eastAsia="宋体"/>
          <w:b/>
          <w:kern w:val="0"/>
          <w:sz w:val="21"/>
        </w:rPr>
        <w:t>谈判</w:t>
      </w:r>
      <w:r>
        <w:rPr>
          <w:rFonts w:hint="eastAsia" w:ascii="宋体" w:hAnsi="宋体"/>
          <w:b/>
          <w:kern w:val="0"/>
          <w:sz w:val="21"/>
        </w:rPr>
        <w:t>响应文件的补充、修改和撤回。</w:t>
      </w:r>
    </w:p>
    <w:p w14:paraId="7E4F7DAA">
      <w:pPr>
        <w:tabs>
          <w:tab w:val="left" w:pos="1418"/>
        </w:tabs>
        <w:autoSpaceDE w:val="0"/>
        <w:autoSpaceDN w:val="0"/>
        <w:adjustRightInd w:val="0"/>
        <w:snapToGrid w:val="0"/>
        <w:spacing w:line="360" w:lineRule="auto"/>
        <w:ind w:firstLine="420" w:firstLineChars="200"/>
        <w:rPr>
          <w:rFonts w:ascii="宋体" w:hAnsi="宋体"/>
          <w:kern w:val="0"/>
          <w:sz w:val="21"/>
        </w:rPr>
      </w:pPr>
      <w:r>
        <w:rPr>
          <w:rFonts w:hint="eastAsia" w:ascii="宋体" w:hAnsi="宋体"/>
          <w:kern w:val="0"/>
          <w:sz w:val="21"/>
        </w:rPr>
        <w:t>（1）在谈判截止时间前，谈判供应商可对已提交的</w:t>
      </w:r>
      <w:r>
        <w:rPr>
          <w:rFonts w:hint="eastAsia" w:ascii="宋体" w:hAnsi="宋体" w:eastAsia="宋体"/>
          <w:kern w:val="0"/>
          <w:sz w:val="21"/>
        </w:rPr>
        <w:t>谈判</w:t>
      </w:r>
      <w:r>
        <w:rPr>
          <w:rFonts w:hint="eastAsia" w:ascii="宋体" w:hAnsi="宋体"/>
          <w:kern w:val="0"/>
          <w:sz w:val="21"/>
        </w:rPr>
        <w:t>响应文件进行补充、修改或撤回。补充、修改</w:t>
      </w:r>
      <w:r>
        <w:rPr>
          <w:rFonts w:hint="eastAsia" w:ascii="宋体" w:hAnsi="宋体" w:eastAsia="宋体"/>
          <w:kern w:val="0"/>
          <w:sz w:val="21"/>
        </w:rPr>
        <w:t>谈判</w:t>
      </w:r>
      <w:r>
        <w:rPr>
          <w:rFonts w:hint="eastAsia" w:ascii="宋体" w:hAnsi="宋体"/>
          <w:kern w:val="0"/>
          <w:sz w:val="21"/>
        </w:rPr>
        <w:t>响应文件的，应当先行撤回原文件，补充、修改后重新生成加密的</w:t>
      </w:r>
      <w:r>
        <w:rPr>
          <w:rFonts w:hint="eastAsia" w:ascii="宋体" w:hAnsi="宋体" w:eastAsia="宋体"/>
          <w:kern w:val="0"/>
          <w:sz w:val="21"/>
        </w:rPr>
        <w:t>谈判</w:t>
      </w:r>
      <w:r>
        <w:rPr>
          <w:rFonts w:hint="eastAsia" w:ascii="宋体" w:hAnsi="宋体"/>
          <w:kern w:val="0"/>
          <w:sz w:val="21"/>
        </w:rPr>
        <w:t>响应文件并重新上传提交；补充、修改后重新提交的</w:t>
      </w:r>
      <w:r>
        <w:rPr>
          <w:rFonts w:hint="eastAsia" w:ascii="宋体" w:hAnsi="宋体" w:eastAsia="宋体"/>
          <w:kern w:val="0"/>
          <w:sz w:val="21"/>
        </w:rPr>
        <w:t>谈判</w:t>
      </w:r>
      <w:r>
        <w:rPr>
          <w:rFonts w:hint="eastAsia" w:ascii="宋体" w:hAnsi="宋体"/>
          <w:kern w:val="0"/>
          <w:sz w:val="21"/>
        </w:rPr>
        <w:t>响应文件应按谈判文件的规定编制、加密、导入和提交。</w:t>
      </w:r>
    </w:p>
    <w:p w14:paraId="420E5A40">
      <w:pPr>
        <w:tabs>
          <w:tab w:val="left" w:pos="1418"/>
        </w:tabs>
        <w:autoSpaceDE w:val="0"/>
        <w:autoSpaceDN w:val="0"/>
        <w:adjustRightInd w:val="0"/>
        <w:snapToGrid w:val="0"/>
        <w:spacing w:line="360" w:lineRule="auto"/>
        <w:ind w:firstLine="420" w:firstLineChars="200"/>
        <w:rPr>
          <w:rFonts w:ascii="宋体" w:hAnsi="宋体"/>
          <w:kern w:val="0"/>
          <w:sz w:val="21"/>
        </w:rPr>
      </w:pPr>
      <w:r>
        <w:rPr>
          <w:rFonts w:hint="eastAsia" w:ascii="宋体" w:hAnsi="宋体"/>
          <w:kern w:val="0"/>
          <w:sz w:val="21"/>
        </w:rPr>
        <w:t>（2）</w:t>
      </w:r>
      <w:r>
        <w:rPr>
          <w:rFonts w:hint="eastAsia" w:ascii="宋体" w:hAnsi="宋体"/>
          <w:kern w:val="0"/>
          <w:sz w:val="21"/>
          <w:lang w:val="zh-CN"/>
        </w:rPr>
        <w:t>在谈判响应文件递交截止时间后,谈判供应商不得修改或撤回已</w:t>
      </w:r>
      <w:r>
        <w:rPr>
          <w:rFonts w:hint="eastAsia" w:ascii="宋体" w:hAnsi="宋体"/>
          <w:kern w:val="0"/>
          <w:sz w:val="21"/>
        </w:rPr>
        <w:t>提交</w:t>
      </w:r>
      <w:r>
        <w:rPr>
          <w:rFonts w:hint="eastAsia" w:ascii="宋体" w:hAnsi="宋体"/>
          <w:kern w:val="0"/>
          <w:sz w:val="21"/>
          <w:lang w:val="zh-CN"/>
        </w:rPr>
        <w:t>的谈判响应文件。</w:t>
      </w:r>
    </w:p>
    <w:p w14:paraId="62AADE64">
      <w:pPr>
        <w:snapToGrid w:val="0"/>
        <w:spacing w:line="360" w:lineRule="auto"/>
        <w:ind w:firstLine="413" w:firstLineChars="196"/>
        <w:jc w:val="left"/>
        <w:rPr>
          <w:rFonts w:ascii="宋体" w:hAnsi="宋体" w:eastAsia="宋体" w:cs="宋体"/>
          <w:b/>
          <w:sz w:val="21"/>
          <w:szCs w:val="21"/>
        </w:rPr>
      </w:pPr>
      <w:r>
        <w:rPr>
          <w:rFonts w:hint="eastAsia" w:ascii="宋体" w:hAnsi="宋体" w:eastAsia="宋体" w:cs="宋体"/>
          <w:b/>
          <w:sz w:val="21"/>
          <w:szCs w:val="21"/>
        </w:rPr>
        <w:t>▲5、谈判报价</w:t>
      </w:r>
    </w:p>
    <w:p w14:paraId="3155426C">
      <w:pPr>
        <w:snapToGrid w:val="0"/>
        <w:spacing w:line="360" w:lineRule="auto"/>
        <w:ind w:firstLine="420" w:firstLineChars="200"/>
        <w:rPr>
          <w:rFonts w:ascii="宋体" w:hAnsi="宋体" w:eastAsia="宋体" w:cs="宋体"/>
          <w:sz w:val="21"/>
          <w:szCs w:val="21"/>
        </w:rPr>
      </w:pPr>
      <w:r>
        <w:rPr>
          <w:rFonts w:hint="eastAsia" w:ascii="宋体" w:hAnsi="宋体" w:eastAsia="宋体" w:cs="宋体"/>
          <w:sz w:val="21"/>
          <w:szCs w:val="21"/>
        </w:rPr>
        <w:t>（1）谈判报价</w:t>
      </w:r>
      <w:r>
        <w:rPr>
          <w:rFonts w:hint="eastAsia" w:ascii="宋体" w:hAnsi="宋体" w:eastAsia="宋体"/>
          <w:kern w:val="0"/>
          <w:sz w:val="21"/>
        </w:rPr>
        <w:t>应当包括</w:t>
      </w:r>
      <w:r>
        <w:rPr>
          <w:rFonts w:hint="eastAsia" w:ascii="宋体" w:hAnsi="宋体" w:cs="宋体"/>
          <w:kern w:val="0"/>
          <w:sz w:val="21"/>
          <w:szCs w:val="21"/>
        </w:rPr>
        <w:t>包括项目实施所需的人工费、材料费、机械费、设备的进退场费用、二次搬运费、冬雨季施工增加费、行车、行人干扰增加费、检测费、保险费、管理费、利润及各种规费、税费、安全文明施工费、采购代理服务费等完成合同所需的一切本身和不可或缺的所有工作开支、政策性文件规定及合同包含的所有风险等各项全部费用，并承担一切风险责任</w:t>
      </w:r>
      <w:r>
        <w:rPr>
          <w:rFonts w:hint="eastAsia" w:ascii="宋体" w:hAnsi="宋体" w:eastAsia="宋体"/>
          <w:kern w:val="0"/>
          <w:sz w:val="21"/>
        </w:rPr>
        <w:t>。</w:t>
      </w:r>
    </w:p>
    <w:p w14:paraId="07F8B7FB">
      <w:pPr>
        <w:snapToGrid w:val="0"/>
        <w:spacing w:line="360" w:lineRule="auto"/>
        <w:ind w:firstLine="422" w:firstLineChars="200"/>
        <w:rPr>
          <w:rFonts w:ascii="宋体" w:hAnsi="宋体" w:eastAsia="宋体" w:cs="宋体"/>
          <w:b/>
          <w:sz w:val="21"/>
          <w:szCs w:val="21"/>
        </w:rPr>
      </w:pPr>
      <w:r>
        <w:rPr>
          <w:rFonts w:hint="eastAsia" w:ascii="宋体" w:hAnsi="宋体" w:eastAsia="宋体" w:cs="宋体"/>
          <w:b/>
          <w:sz w:val="21"/>
          <w:szCs w:val="21"/>
        </w:rPr>
        <w:t>（2）报价分二次进行，首次报价在响应文件中体现；最终报价在本顶目谈判结束后由所有有效的谈判供应商在规定的时间时限内（最终报价时间时限根据评审情况另行确定）在平台上进行最终报价，同时将最终报价一览表、工程量清单填写好并加盖单位公章扫描成电子扫描件作为附件上传至政采云或发送至邮箱</w:t>
      </w:r>
      <w:r>
        <w:rPr>
          <w:rFonts w:hint="eastAsia" w:ascii="宋体" w:hAnsi="宋体" w:eastAsia="宋体" w:cs="宋体"/>
          <w:b/>
          <w:sz w:val="21"/>
          <w:szCs w:val="21"/>
          <w:lang w:eastAsia="zh-CN"/>
        </w:rPr>
        <w:t>501431643@qq.com</w:t>
      </w:r>
      <w:r>
        <w:rPr>
          <w:rFonts w:hint="eastAsia" w:ascii="宋体" w:hAnsi="宋体" w:eastAsia="宋体" w:cs="宋体"/>
          <w:b/>
          <w:sz w:val="21"/>
          <w:szCs w:val="21"/>
        </w:rPr>
        <w:t xml:space="preserve">。附件未在规定时间内上传或发送则投标无效，附件发送至邮箱未加密造成泄密的由投标人自行承担。最终报价不得高于初次报价，否则将导致无效标（谈判文件的采购需求发生实质性变动的情况除外）。 </w:t>
      </w:r>
    </w:p>
    <w:p w14:paraId="25E78023">
      <w:pPr>
        <w:snapToGrid w:val="0"/>
        <w:spacing w:line="360" w:lineRule="auto"/>
        <w:ind w:firstLine="422" w:firstLineChars="200"/>
        <w:rPr>
          <w:rFonts w:ascii="宋体" w:hAnsi="宋体" w:eastAsia="宋体" w:cs="宋体"/>
          <w:b/>
          <w:sz w:val="21"/>
          <w:szCs w:val="21"/>
        </w:rPr>
      </w:pPr>
      <w:r>
        <w:rPr>
          <w:rFonts w:hint="eastAsia" w:ascii="宋体" w:hAnsi="宋体" w:eastAsia="宋体" w:cs="宋体"/>
          <w:b/>
          <w:sz w:val="21"/>
          <w:szCs w:val="21"/>
        </w:rPr>
        <w:t>注：各供应商针对本项目最终报价工作应当事先作好充分准备，以避免在规定时间内未能完成最终报价，在规定时间内未能提交完成最终报价（含最终报价一览表、报价明细表及工程量清单）文件的，按供应商自动放弃处理，责任由供应商自负。</w:t>
      </w:r>
    </w:p>
    <w:p w14:paraId="081117F8">
      <w:pPr>
        <w:snapToGrid w:val="0"/>
        <w:spacing w:line="360" w:lineRule="auto"/>
        <w:ind w:firstLine="420" w:firstLineChars="200"/>
        <w:rPr>
          <w:rFonts w:ascii="宋体" w:hAnsi="宋体" w:eastAsia="宋体" w:cs="宋体"/>
          <w:bCs/>
          <w:sz w:val="21"/>
          <w:szCs w:val="21"/>
        </w:rPr>
      </w:pPr>
      <w:r>
        <w:rPr>
          <w:rFonts w:hint="eastAsia" w:ascii="宋体" w:hAnsi="宋体" w:eastAsia="宋体" w:cs="宋体"/>
          <w:bCs/>
          <w:sz w:val="21"/>
          <w:szCs w:val="21"/>
        </w:rPr>
        <w:t>（3）谈判响应文件中的所有报价均以人民币（元）为单位；</w:t>
      </w:r>
    </w:p>
    <w:p w14:paraId="690F0047">
      <w:pPr>
        <w:snapToGrid w:val="0"/>
        <w:spacing w:line="360" w:lineRule="auto"/>
        <w:ind w:firstLine="420" w:firstLineChars="200"/>
        <w:rPr>
          <w:rFonts w:ascii="宋体" w:hAnsi="宋体" w:eastAsia="宋体" w:cs="宋体"/>
          <w:bCs/>
          <w:sz w:val="21"/>
          <w:szCs w:val="21"/>
        </w:rPr>
      </w:pPr>
      <w:r>
        <w:rPr>
          <w:rFonts w:hint="eastAsia" w:ascii="宋体" w:hAnsi="宋体" w:eastAsia="宋体" w:cs="宋体"/>
          <w:bCs/>
          <w:sz w:val="21"/>
          <w:szCs w:val="21"/>
        </w:rPr>
        <w:t>（4）采购单位不接受备选方案；</w:t>
      </w:r>
    </w:p>
    <w:p w14:paraId="5775A3E5">
      <w:pPr>
        <w:snapToGrid w:val="0"/>
        <w:spacing w:line="360" w:lineRule="auto"/>
        <w:ind w:firstLine="420" w:firstLineChars="200"/>
        <w:rPr>
          <w:rFonts w:ascii="宋体" w:hAnsi="宋体" w:eastAsia="宋体" w:cs="宋体"/>
          <w:sz w:val="21"/>
          <w:szCs w:val="21"/>
        </w:rPr>
      </w:pPr>
      <w:r>
        <w:rPr>
          <w:rFonts w:hint="eastAsia" w:ascii="宋体" w:hAnsi="宋体" w:eastAsia="宋体" w:cs="宋体"/>
          <w:sz w:val="21"/>
          <w:szCs w:val="21"/>
        </w:rPr>
        <w:t>（5）本项目设有最高限价，最高限价见前附表。若谈判报价超过最高限价的，其谈判响应文件作无效标处理。</w:t>
      </w:r>
    </w:p>
    <w:p w14:paraId="7198421A">
      <w:pPr>
        <w:tabs>
          <w:tab w:val="left" w:pos="1418"/>
        </w:tabs>
        <w:autoSpaceDE w:val="0"/>
        <w:autoSpaceDN w:val="0"/>
        <w:adjustRightInd w:val="0"/>
        <w:spacing w:line="360" w:lineRule="auto"/>
        <w:ind w:firstLine="422" w:firstLineChars="200"/>
        <w:rPr>
          <w:rFonts w:ascii="宋体" w:hAnsi="宋体" w:eastAsia="宋体" w:cs="宋体"/>
          <w:b/>
          <w:kern w:val="0"/>
          <w:sz w:val="21"/>
          <w:szCs w:val="21"/>
        </w:rPr>
      </w:pPr>
      <w:r>
        <w:rPr>
          <w:rFonts w:hint="eastAsia" w:ascii="宋体" w:hAnsi="宋体" w:eastAsia="宋体" w:cs="宋体"/>
          <w:b/>
          <w:bCs/>
          <w:sz w:val="21"/>
          <w:szCs w:val="21"/>
        </w:rPr>
        <w:t>（6）在供应商报送价格后，谈判小组认为供应商的报价明显低于其他通过符合性审查供应商的报价，有可能影响产品质量或者不能诚信履约的，应当要求其在评标现场（谈判现场）合理的时间内提供书面说明，必要时提交相关证明材料；响应供应商不能证明报价合理性的，谈判小组应当将其作为无效投标（响应处理）。</w:t>
      </w:r>
    </w:p>
    <w:p w14:paraId="2B2CA250">
      <w:pPr>
        <w:tabs>
          <w:tab w:val="left" w:pos="1418"/>
        </w:tabs>
        <w:autoSpaceDE w:val="0"/>
        <w:autoSpaceDN w:val="0"/>
        <w:adjustRightInd w:val="0"/>
        <w:snapToGrid w:val="0"/>
        <w:spacing w:line="360" w:lineRule="auto"/>
        <w:ind w:left="480"/>
        <w:rPr>
          <w:rFonts w:ascii="宋体" w:hAnsi="宋体"/>
          <w:kern w:val="0"/>
          <w:sz w:val="21"/>
        </w:rPr>
      </w:pPr>
      <w:r>
        <w:rPr>
          <w:rFonts w:hint="eastAsia" w:ascii="宋体" w:hAnsi="宋体"/>
          <w:b/>
          <w:kern w:val="0"/>
          <w:sz w:val="21"/>
        </w:rPr>
        <w:t>（三）</w:t>
      </w:r>
      <w:r>
        <w:rPr>
          <w:rFonts w:hint="eastAsia" w:ascii="宋体" w:hAnsi="宋体" w:eastAsia="宋体"/>
          <w:b/>
          <w:kern w:val="0"/>
          <w:sz w:val="21"/>
        </w:rPr>
        <w:t>谈判</w:t>
      </w:r>
      <w:r>
        <w:rPr>
          <w:rFonts w:hint="eastAsia" w:ascii="宋体" w:hAnsi="宋体"/>
          <w:b/>
          <w:kern w:val="0"/>
          <w:sz w:val="21"/>
        </w:rPr>
        <w:t>响应文件的有效期</w:t>
      </w:r>
    </w:p>
    <w:p w14:paraId="01915223">
      <w:pPr>
        <w:snapToGrid w:val="0"/>
        <w:spacing w:line="360" w:lineRule="auto"/>
        <w:ind w:firstLine="422" w:firstLineChars="200"/>
        <w:rPr>
          <w:rFonts w:ascii="宋体" w:hAnsi="宋体"/>
          <w:sz w:val="21"/>
          <w:szCs w:val="21"/>
          <w:lang w:val="en-GB"/>
        </w:rPr>
      </w:pPr>
      <w:r>
        <w:rPr>
          <w:rFonts w:hint="eastAsia" w:ascii="宋体" w:hAnsi="宋体" w:eastAsia="宋体" w:cs="宋体"/>
          <w:b/>
          <w:sz w:val="21"/>
          <w:szCs w:val="21"/>
        </w:rPr>
        <w:t>▲</w:t>
      </w:r>
      <w:r>
        <w:rPr>
          <w:rFonts w:hint="eastAsia" w:ascii="宋体" w:hAnsi="宋体"/>
          <w:sz w:val="21"/>
        </w:rPr>
        <w:t>1、</w:t>
      </w:r>
      <w:r>
        <w:rPr>
          <w:rFonts w:hint="eastAsia" w:ascii="宋体"/>
          <w:sz w:val="21"/>
          <w:szCs w:val="21"/>
          <w:lang w:val="zh-CN"/>
        </w:rPr>
        <w:t>自谈判响应</w:t>
      </w:r>
      <w:r>
        <w:rPr>
          <w:rFonts w:hint="eastAsia" w:ascii="宋体"/>
          <w:sz w:val="21"/>
          <w:szCs w:val="21"/>
        </w:rPr>
        <w:t>文件</w:t>
      </w:r>
      <w:r>
        <w:rPr>
          <w:rFonts w:hint="eastAsia" w:ascii="宋体"/>
          <w:sz w:val="21"/>
          <w:szCs w:val="21"/>
          <w:lang w:val="zh-CN"/>
        </w:rPr>
        <w:t>提交截止之日起</w:t>
      </w:r>
      <w:r>
        <w:rPr>
          <w:rFonts w:ascii="宋体"/>
          <w:sz w:val="21"/>
          <w:szCs w:val="21"/>
          <w:lang w:val="zh-CN"/>
        </w:rPr>
        <w:t>90</w:t>
      </w:r>
      <w:r>
        <w:rPr>
          <w:rFonts w:hint="eastAsia" w:ascii="宋体"/>
          <w:sz w:val="21"/>
          <w:szCs w:val="21"/>
          <w:lang w:val="zh-CN"/>
        </w:rPr>
        <w:t>天谈判响应文件应保持有效。有效期短于这个规定期限的谈判响应文件将被拒绝。</w:t>
      </w:r>
      <w:r>
        <w:rPr>
          <w:rFonts w:hint="eastAsia" w:ascii="宋体" w:eastAsia="宋体"/>
          <w:sz w:val="21"/>
          <w:szCs w:val="21"/>
        </w:rPr>
        <w:t>成交</w:t>
      </w:r>
      <w:r>
        <w:rPr>
          <w:rFonts w:hint="eastAsia" w:ascii="宋体"/>
          <w:sz w:val="21"/>
          <w:szCs w:val="21"/>
          <w:lang w:val="zh-CN"/>
        </w:rPr>
        <w:t>谈判响应文件有</w:t>
      </w:r>
      <w:r>
        <w:rPr>
          <w:rFonts w:hint="eastAsia" w:ascii="宋体" w:hAnsi="宋体"/>
          <w:sz w:val="21"/>
          <w:szCs w:val="21"/>
          <w:lang w:val="en-GB"/>
        </w:rPr>
        <w:t>效期顺延至合同履行完毕，在此有效期内未经同意，</w:t>
      </w:r>
      <w:r>
        <w:rPr>
          <w:rFonts w:hint="eastAsia" w:ascii="宋体"/>
          <w:sz w:val="21"/>
          <w:szCs w:val="21"/>
          <w:lang w:val="zh-CN"/>
        </w:rPr>
        <w:t>谈判响应</w:t>
      </w:r>
      <w:r>
        <w:rPr>
          <w:rFonts w:hint="eastAsia" w:ascii="宋体" w:hAnsi="宋体"/>
          <w:sz w:val="21"/>
          <w:szCs w:val="21"/>
          <w:lang w:val="en-GB"/>
        </w:rPr>
        <w:t>文件的一切内容和补充承诺均为持续有效且不予改变。</w:t>
      </w:r>
    </w:p>
    <w:p w14:paraId="4D33B0EA">
      <w:pPr>
        <w:numPr>
          <w:ilvl w:val="0"/>
          <w:numId w:val="2"/>
        </w:numPr>
        <w:snapToGrid w:val="0"/>
        <w:spacing w:line="360" w:lineRule="auto"/>
        <w:ind w:firstLine="420" w:firstLineChars="200"/>
        <w:rPr>
          <w:rFonts w:ascii="宋体" w:hAnsi="宋体"/>
          <w:sz w:val="21"/>
        </w:rPr>
      </w:pPr>
      <w:r>
        <w:rPr>
          <w:rFonts w:hint="eastAsia" w:ascii="宋体" w:hAnsi="宋体"/>
          <w:sz w:val="21"/>
        </w:rPr>
        <w:t>在特殊情况下，采购人可与</w:t>
      </w:r>
      <w:r>
        <w:rPr>
          <w:rFonts w:hint="eastAsia" w:ascii="宋体" w:hAnsi="宋体" w:eastAsia="宋体"/>
          <w:sz w:val="21"/>
        </w:rPr>
        <w:t>谈判</w:t>
      </w:r>
      <w:r>
        <w:rPr>
          <w:rFonts w:hint="eastAsia" w:ascii="宋体" w:hAnsi="宋体"/>
          <w:sz w:val="21"/>
        </w:rPr>
        <w:t>供应商协商延长</w:t>
      </w:r>
      <w:r>
        <w:rPr>
          <w:rFonts w:hint="eastAsia" w:ascii="宋体" w:hAnsi="宋体" w:eastAsia="宋体"/>
          <w:sz w:val="21"/>
        </w:rPr>
        <w:t>谈判</w:t>
      </w:r>
      <w:r>
        <w:rPr>
          <w:rFonts w:hint="eastAsia" w:ascii="宋体" w:hAnsi="宋体"/>
          <w:sz w:val="21"/>
        </w:rPr>
        <w:t>响应文件的有效期，这种要求和答复均以书面形式进行。</w:t>
      </w:r>
    </w:p>
    <w:p w14:paraId="4B047FBD">
      <w:pPr>
        <w:numPr>
          <w:ilvl w:val="0"/>
          <w:numId w:val="2"/>
        </w:numPr>
        <w:snapToGrid w:val="0"/>
        <w:spacing w:line="360" w:lineRule="auto"/>
        <w:ind w:firstLine="420" w:firstLineChars="200"/>
        <w:rPr>
          <w:rFonts w:ascii="宋体" w:hAnsi="宋体"/>
          <w:sz w:val="21"/>
        </w:rPr>
      </w:pPr>
      <w:r>
        <w:rPr>
          <w:rFonts w:hint="eastAsia" w:ascii="宋体" w:hAnsi="宋体" w:eastAsia="宋体" w:cs="宋体"/>
          <w:sz w:val="21"/>
          <w:szCs w:val="21"/>
        </w:rPr>
        <w:t>成交供应商</w:t>
      </w:r>
      <w:r>
        <w:rPr>
          <w:rFonts w:hint="eastAsia" w:ascii="宋体" w:hAnsi="宋体"/>
          <w:sz w:val="21"/>
        </w:rPr>
        <w:t>的</w:t>
      </w:r>
      <w:r>
        <w:rPr>
          <w:rFonts w:hint="eastAsia" w:ascii="宋体" w:hAnsi="宋体" w:eastAsia="宋体"/>
          <w:sz w:val="21"/>
        </w:rPr>
        <w:t>谈判响应</w:t>
      </w:r>
      <w:r>
        <w:rPr>
          <w:rFonts w:hint="eastAsia" w:ascii="宋体" w:hAnsi="宋体"/>
          <w:sz w:val="21"/>
        </w:rPr>
        <w:t>文件自</w:t>
      </w:r>
      <w:r>
        <w:rPr>
          <w:rFonts w:hint="eastAsia" w:ascii="宋体" w:hAnsi="宋体" w:eastAsia="宋体"/>
          <w:sz w:val="21"/>
        </w:rPr>
        <w:t>谈判</w:t>
      </w:r>
      <w:r>
        <w:rPr>
          <w:rFonts w:hint="eastAsia" w:ascii="宋体" w:hAnsi="宋体"/>
          <w:sz w:val="21"/>
        </w:rPr>
        <w:t>之日起至合同履行完毕均应保持有效。</w:t>
      </w:r>
    </w:p>
    <w:p w14:paraId="2CA41BC5">
      <w:pPr>
        <w:tabs>
          <w:tab w:val="left" w:pos="1418"/>
        </w:tabs>
        <w:autoSpaceDE w:val="0"/>
        <w:autoSpaceDN w:val="0"/>
        <w:adjustRightInd w:val="0"/>
        <w:snapToGrid w:val="0"/>
        <w:spacing w:line="360" w:lineRule="auto"/>
        <w:ind w:left="60"/>
        <w:jc w:val="center"/>
        <w:rPr>
          <w:rFonts w:ascii="宋体" w:hAnsi="宋体" w:eastAsia="宋体"/>
          <w:b/>
          <w:kern w:val="0"/>
          <w:sz w:val="21"/>
        </w:rPr>
      </w:pPr>
      <w:r>
        <w:rPr>
          <w:rFonts w:hint="eastAsia" w:ascii="宋体" w:hAnsi="宋体" w:eastAsia="宋体"/>
          <w:b/>
          <w:kern w:val="0"/>
          <w:sz w:val="21"/>
        </w:rPr>
        <w:t>三、谈判</w:t>
      </w:r>
    </w:p>
    <w:p w14:paraId="0AFF4B77">
      <w:pPr>
        <w:pStyle w:val="7"/>
        <w:spacing w:line="360" w:lineRule="auto"/>
        <w:ind w:left="60" w:firstLine="420" w:firstLineChars="200"/>
      </w:pPr>
      <w:r>
        <w:rPr>
          <w:rFonts w:hint="eastAsia"/>
        </w:rPr>
        <w:t>本项目通过政府采购云平台进行开标、资格审查、评审、询标，供应商均应当准时在线参加，否则产生的风险由供应商自行承担（供应商务必不要离开电脑太久，并留意手机短信，建议供应商提前做好检查“政府采购云平台”内，关于“项目采购”的岗位权限是否勾选。如有问题，请致电400-881-7190）。</w:t>
      </w:r>
    </w:p>
    <w:p w14:paraId="68E48075">
      <w:pPr>
        <w:pStyle w:val="7"/>
        <w:spacing w:line="360" w:lineRule="auto"/>
        <w:ind w:left="60" w:firstLine="420" w:firstLineChars="200"/>
        <w:rPr>
          <w:bCs/>
        </w:rPr>
      </w:pPr>
      <w:r>
        <w:rPr>
          <w:rFonts w:hint="eastAsia"/>
          <w:bCs/>
        </w:rPr>
        <w:t>本项目开标实行全流程电子化，采取不见面钉钉直播开标，各供应商代表可自行下载“钉钉”软件观看。（钉钉直播群号为：</w:t>
      </w:r>
      <w:r>
        <w:rPr>
          <w:rFonts w:hint="eastAsia" w:eastAsia="宋体"/>
          <w:bCs/>
          <w:lang w:val="en-US" w:eastAsia="zh-CN"/>
        </w:rPr>
        <w:t xml:space="preserve">       </w:t>
      </w:r>
      <w:r>
        <w:rPr>
          <w:rFonts w:hint="eastAsia" w:eastAsia="宋体"/>
          <w:bCs/>
        </w:rPr>
        <w:t xml:space="preserve"> </w:t>
      </w:r>
      <w:r>
        <w:rPr>
          <w:rFonts w:hint="eastAsia"/>
          <w:bCs/>
        </w:rPr>
        <w:t>，供应商于开标当天</w:t>
      </w:r>
      <w:r>
        <w:rPr>
          <w:rFonts w:hint="eastAsia" w:ascii="宋体" w:hAnsi="宋体" w:eastAsia="宋体" w:cs="宋体"/>
          <w:bCs/>
        </w:rPr>
        <w:t>08:00</w:t>
      </w:r>
      <w:r>
        <w:rPr>
          <w:rFonts w:hint="eastAsia"/>
          <w:bCs/>
        </w:rPr>
        <w:t>以后搜索群号，并申请进群。）</w:t>
      </w:r>
    </w:p>
    <w:p w14:paraId="114D93B3">
      <w:pPr>
        <w:autoSpaceDE w:val="0"/>
        <w:autoSpaceDN w:val="0"/>
        <w:adjustRightInd w:val="0"/>
        <w:snapToGrid w:val="0"/>
        <w:spacing w:line="360" w:lineRule="auto"/>
        <w:rPr>
          <w:rFonts w:ascii="宋体" w:hAnsi="宋体" w:eastAsia="宋体"/>
          <w:b/>
          <w:sz w:val="21"/>
        </w:rPr>
      </w:pPr>
      <w:r>
        <w:rPr>
          <w:rFonts w:hint="eastAsia" w:ascii="宋体" w:hAnsi="宋体"/>
          <w:kern w:val="0"/>
          <w:sz w:val="21"/>
        </w:rPr>
        <w:t xml:space="preserve">   </w:t>
      </w:r>
      <w:r>
        <w:rPr>
          <w:rFonts w:hint="eastAsia" w:ascii="宋体" w:hAnsi="宋体"/>
          <w:b/>
          <w:sz w:val="21"/>
        </w:rPr>
        <w:t>（一）谈判事项</w:t>
      </w:r>
    </w:p>
    <w:p w14:paraId="439AA22C">
      <w:pPr>
        <w:autoSpaceDE w:val="0"/>
        <w:autoSpaceDN w:val="0"/>
        <w:adjustRightInd w:val="0"/>
        <w:spacing w:line="360" w:lineRule="auto"/>
        <w:ind w:firstLine="420" w:firstLineChars="200"/>
        <w:jc w:val="left"/>
        <w:rPr>
          <w:rFonts w:ascii="宋体" w:hAnsi="宋体" w:eastAsia="宋体" w:cs="宋体"/>
          <w:sz w:val="21"/>
          <w:szCs w:val="21"/>
        </w:rPr>
      </w:pPr>
      <w:r>
        <w:rPr>
          <w:rFonts w:hint="eastAsia" w:ascii="宋体" w:hAnsi="宋体" w:eastAsia="宋体" w:cs="宋体"/>
          <w:sz w:val="21"/>
          <w:szCs w:val="21"/>
          <w:lang w:val="zh-CN"/>
        </w:rPr>
        <w:t>1、采购代理机构在“谈判公告”规定的时间和地点进行开标。供应商的供应商代表应当在线参加，否则视同认可开标结果，事后不得对采购相关人员、开标过程和开标结果提出质疑。</w:t>
      </w:r>
      <w:r>
        <w:rPr>
          <w:rFonts w:hint="eastAsia" w:ascii="宋体" w:hAnsi="宋体" w:eastAsia="宋体" w:cs="宋体"/>
          <w:sz w:val="21"/>
          <w:szCs w:val="21"/>
        </w:rPr>
        <w:t xml:space="preserve">   </w:t>
      </w:r>
    </w:p>
    <w:p w14:paraId="5E676B62">
      <w:pPr>
        <w:autoSpaceDE w:val="0"/>
        <w:autoSpaceDN w:val="0"/>
        <w:adjustRightInd w:val="0"/>
        <w:spacing w:line="360" w:lineRule="auto"/>
        <w:ind w:firstLine="420" w:firstLineChars="200"/>
        <w:jc w:val="left"/>
        <w:rPr>
          <w:rFonts w:ascii="宋体" w:hAnsi="宋体" w:eastAsia="宋体" w:cs="宋体"/>
          <w:sz w:val="21"/>
          <w:szCs w:val="21"/>
          <w:lang w:val="zh-CN"/>
        </w:rPr>
      </w:pPr>
      <w:r>
        <w:rPr>
          <w:rFonts w:hint="eastAsia" w:ascii="宋体" w:hAnsi="宋体" w:eastAsia="宋体" w:cs="宋体"/>
          <w:sz w:val="21"/>
          <w:szCs w:val="21"/>
          <w:lang w:val="zh-CN"/>
        </w:rPr>
        <w:t>2、谈判小组成员不得参加开标活动。</w:t>
      </w:r>
    </w:p>
    <w:p w14:paraId="45C33EA4">
      <w:pPr>
        <w:autoSpaceDE w:val="0"/>
        <w:autoSpaceDN w:val="0"/>
        <w:adjustRightInd w:val="0"/>
        <w:spacing w:line="360" w:lineRule="auto"/>
        <w:ind w:firstLine="420" w:firstLineChars="200"/>
        <w:jc w:val="left"/>
        <w:rPr>
          <w:sz w:val="21"/>
          <w:szCs w:val="21"/>
        </w:rPr>
      </w:pPr>
      <w:r>
        <w:rPr>
          <w:rFonts w:hint="eastAsia" w:ascii="宋体" w:hAnsi="宋体" w:eastAsia="宋体" w:cs="宋体"/>
          <w:sz w:val="21"/>
          <w:szCs w:val="21"/>
          <w:lang w:val="zh-CN"/>
        </w:rPr>
        <w:t>3、本次开标采用先评审资格证明文件和商务与技术文件，后评审报价文件的方式进行。</w:t>
      </w:r>
    </w:p>
    <w:p w14:paraId="06AA80DC">
      <w:pPr>
        <w:autoSpaceDE w:val="0"/>
        <w:autoSpaceDN w:val="0"/>
        <w:adjustRightInd w:val="0"/>
        <w:snapToGrid w:val="0"/>
        <w:spacing w:line="360" w:lineRule="auto"/>
        <w:ind w:firstLine="210" w:firstLineChars="100"/>
        <w:rPr>
          <w:rFonts w:ascii="宋体" w:hAnsi="宋体"/>
          <w:kern w:val="0"/>
          <w:sz w:val="21"/>
        </w:rPr>
      </w:pPr>
      <w:r>
        <w:rPr>
          <w:rFonts w:hint="eastAsia" w:ascii="宋体" w:hAnsi="宋体"/>
          <w:b/>
          <w:sz w:val="21"/>
        </w:rPr>
        <w:t>（二）</w:t>
      </w:r>
      <w:r>
        <w:rPr>
          <w:rFonts w:hint="eastAsia" w:ascii="宋体" w:hAnsi="宋体" w:eastAsia="宋体"/>
          <w:b/>
          <w:sz w:val="21"/>
        </w:rPr>
        <w:t>谈判</w:t>
      </w:r>
      <w:r>
        <w:rPr>
          <w:rFonts w:hint="eastAsia" w:ascii="宋体" w:hAnsi="宋体"/>
          <w:b/>
          <w:sz w:val="21"/>
        </w:rPr>
        <w:t>程序</w:t>
      </w:r>
    </w:p>
    <w:p w14:paraId="200386A0">
      <w:pPr>
        <w:snapToGrid w:val="0"/>
        <w:spacing w:line="360" w:lineRule="auto"/>
        <w:ind w:firstLine="420" w:firstLineChars="200"/>
        <w:rPr>
          <w:rFonts w:ascii="宋体" w:hAnsi="宋体"/>
          <w:sz w:val="21"/>
        </w:rPr>
      </w:pPr>
      <w:r>
        <w:rPr>
          <w:rFonts w:hint="eastAsia" w:ascii="宋体" w:hAnsi="宋体"/>
          <w:sz w:val="21"/>
        </w:rPr>
        <w:t>1、开标会由采购代理机构工作人员主持，主持人宣布开标会开始</w:t>
      </w:r>
      <w:r>
        <w:rPr>
          <w:rFonts w:hint="eastAsia" w:asciiTheme="minorEastAsia" w:hAnsiTheme="minorEastAsia" w:eastAsiaTheme="minorEastAsia"/>
          <w:sz w:val="21"/>
        </w:rPr>
        <w:t>。</w:t>
      </w:r>
    </w:p>
    <w:p w14:paraId="258819E8">
      <w:pPr>
        <w:snapToGrid w:val="0"/>
        <w:spacing w:line="360" w:lineRule="auto"/>
        <w:ind w:firstLine="420" w:firstLineChars="200"/>
        <w:rPr>
          <w:rFonts w:ascii="宋体" w:hAnsi="宋体"/>
          <w:sz w:val="21"/>
        </w:rPr>
      </w:pPr>
      <w:r>
        <w:rPr>
          <w:rFonts w:hint="eastAsia" w:ascii="宋体" w:hAnsi="宋体" w:eastAsiaTheme="minorEastAsia"/>
          <w:sz w:val="21"/>
        </w:rPr>
        <w:t>2</w:t>
      </w:r>
      <w:r>
        <w:rPr>
          <w:rFonts w:hint="eastAsia" w:ascii="宋体" w:hAnsi="宋体"/>
          <w:sz w:val="21"/>
        </w:rPr>
        <w:t>、签署不存在影响公平竞争的《政府采购活动现场确认声明书》。各</w:t>
      </w:r>
      <w:r>
        <w:rPr>
          <w:rFonts w:hint="eastAsia" w:ascii="宋体" w:hAnsi="宋体" w:eastAsia="宋体"/>
          <w:sz w:val="21"/>
        </w:rPr>
        <w:t>供应商</w:t>
      </w:r>
      <w:r>
        <w:rPr>
          <w:rFonts w:hint="eastAsia" w:ascii="宋体" w:hAnsi="宋体"/>
          <w:sz w:val="21"/>
        </w:rPr>
        <w:t>代表应提前打印《政府采购活动现场确认声明书》（见附件），签署完毕后上传至钉钉直播群。</w:t>
      </w:r>
    </w:p>
    <w:p w14:paraId="071EA846">
      <w:pPr>
        <w:snapToGrid w:val="0"/>
        <w:spacing w:line="360" w:lineRule="auto"/>
        <w:ind w:firstLine="420" w:firstLineChars="200"/>
        <w:rPr>
          <w:rFonts w:ascii="宋体" w:hAnsi="宋体"/>
          <w:sz w:val="21"/>
        </w:rPr>
      </w:pPr>
      <w:r>
        <w:rPr>
          <w:rFonts w:hint="eastAsia" w:ascii="宋体" w:hAnsi="宋体" w:eastAsiaTheme="minorEastAsia"/>
          <w:sz w:val="21"/>
        </w:rPr>
        <w:t>3</w:t>
      </w:r>
      <w:r>
        <w:rPr>
          <w:rFonts w:hint="eastAsia" w:ascii="宋体" w:hAnsi="宋体"/>
          <w:sz w:val="21"/>
        </w:rPr>
        <w:t>、</w:t>
      </w:r>
      <w:r>
        <w:rPr>
          <w:rFonts w:hint="eastAsia" w:ascii="宋体" w:hAnsi="宋体" w:eastAsia="宋体"/>
          <w:sz w:val="21"/>
        </w:rPr>
        <w:t>供应商</w:t>
      </w:r>
      <w:r>
        <w:rPr>
          <w:rFonts w:hint="eastAsia" w:ascii="宋体" w:hAnsi="宋体"/>
          <w:sz w:val="21"/>
        </w:rPr>
        <w:t>进行在线解密（解密时间为开标时间后60分钟内）；若</w:t>
      </w:r>
      <w:r>
        <w:rPr>
          <w:rFonts w:hint="eastAsia" w:asciiTheme="minorEastAsia" w:hAnsiTheme="minorEastAsia" w:eastAsiaTheme="minorEastAsia"/>
          <w:sz w:val="21"/>
        </w:rPr>
        <w:t>供应商</w:t>
      </w:r>
      <w:r>
        <w:rPr>
          <w:rFonts w:hint="eastAsia" w:ascii="宋体" w:hAnsi="宋体"/>
          <w:sz w:val="21"/>
        </w:rPr>
        <w:t>在规定时间内无法解密，或解密失败且备份文件读取失败（含未提交），则投标无效。</w:t>
      </w:r>
    </w:p>
    <w:p w14:paraId="3875E4A6">
      <w:pPr>
        <w:snapToGrid w:val="0"/>
        <w:spacing w:line="360" w:lineRule="auto"/>
        <w:ind w:firstLine="420" w:firstLineChars="200"/>
        <w:rPr>
          <w:rFonts w:ascii="宋体" w:hAnsi="宋体"/>
          <w:sz w:val="21"/>
        </w:rPr>
      </w:pPr>
      <w:r>
        <w:rPr>
          <w:rFonts w:hint="eastAsia" w:ascii="宋体" w:hAnsi="宋体" w:eastAsiaTheme="minorEastAsia"/>
          <w:sz w:val="21"/>
        </w:rPr>
        <w:t>4</w:t>
      </w:r>
      <w:r>
        <w:rPr>
          <w:rFonts w:hint="eastAsia" w:ascii="宋体" w:hAnsi="宋体"/>
          <w:sz w:val="21"/>
        </w:rPr>
        <w:t>、</w:t>
      </w:r>
      <w:r>
        <w:rPr>
          <w:rFonts w:hint="eastAsia" w:ascii="宋体" w:hAnsi="宋体" w:eastAsia="宋体" w:cs="宋体"/>
          <w:sz w:val="21"/>
          <w:szCs w:val="21"/>
        </w:rPr>
        <w:t>开启谈判响应文件，</w:t>
      </w:r>
      <w:r>
        <w:rPr>
          <w:rFonts w:hint="eastAsia" w:ascii="宋体"/>
          <w:sz w:val="21"/>
          <w:szCs w:val="21"/>
          <w:lang w:val="zh-CN"/>
        </w:rPr>
        <w:t>采购人或采购机构</w:t>
      </w:r>
      <w:r>
        <w:rPr>
          <w:rFonts w:hint="eastAsia" w:ascii="宋体" w:hAnsi="宋体"/>
          <w:sz w:val="21"/>
        </w:rPr>
        <w:t>依法对资格证明文件进行审查，</w:t>
      </w:r>
      <w:r>
        <w:rPr>
          <w:rFonts w:hint="eastAsia" w:ascii="宋体" w:hAnsi="宋体" w:eastAsia="宋体" w:cs="宋体"/>
          <w:sz w:val="21"/>
        </w:rPr>
        <w:t>谈判小组</w:t>
      </w:r>
      <w:r>
        <w:rPr>
          <w:rFonts w:hint="eastAsia" w:ascii="宋体" w:hAnsi="宋体"/>
          <w:sz w:val="21"/>
        </w:rPr>
        <w:t>对</w:t>
      </w:r>
      <w:r>
        <w:rPr>
          <w:rFonts w:hint="eastAsia" w:hAnsi="宋体" w:cs="宋体"/>
          <w:sz w:val="21"/>
          <w:szCs w:val="21"/>
        </w:rPr>
        <w:t>通过资格审查供应商的</w:t>
      </w:r>
      <w:r>
        <w:rPr>
          <w:rFonts w:hint="eastAsia" w:ascii="宋体" w:hAnsi="宋体"/>
          <w:sz w:val="21"/>
        </w:rPr>
        <w:t>商务与技术文件进行</w:t>
      </w:r>
      <w:r>
        <w:rPr>
          <w:rFonts w:hint="eastAsia" w:hAnsi="宋体" w:cs="宋体"/>
          <w:sz w:val="21"/>
          <w:szCs w:val="21"/>
        </w:rPr>
        <w:t>符合性审查、商务技术评审；</w:t>
      </w:r>
      <w:r>
        <w:rPr>
          <w:rFonts w:hint="eastAsia" w:ascii="宋体" w:hAnsi="宋体" w:eastAsia="宋体" w:cs="宋体"/>
          <w:sz w:val="21"/>
          <w:szCs w:val="21"/>
        </w:rPr>
        <w:t>谈判小组必须按照客观、公正、审慎的原则，根据谈判文件规定的评审程序、评审方法和评审标准进行独立评审。未实质性响应谈判文件的响应文件按无效响应处理，谈判小组应当告知提交响应文件的供应商。</w:t>
      </w:r>
    </w:p>
    <w:p w14:paraId="5FE01A9F">
      <w:pPr>
        <w:snapToGrid w:val="0"/>
        <w:spacing w:line="360" w:lineRule="auto"/>
        <w:ind w:firstLine="420" w:firstLineChars="200"/>
        <w:rPr>
          <w:rFonts w:ascii="宋体" w:hAnsi="宋体"/>
          <w:sz w:val="21"/>
        </w:rPr>
      </w:pPr>
      <w:r>
        <w:rPr>
          <w:rFonts w:hint="eastAsia" w:ascii="宋体" w:hAnsi="宋体" w:eastAsiaTheme="minorEastAsia"/>
          <w:sz w:val="21"/>
        </w:rPr>
        <w:t>5</w:t>
      </w:r>
      <w:r>
        <w:rPr>
          <w:rFonts w:hint="eastAsia" w:ascii="宋体" w:hAnsi="宋体"/>
          <w:sz w:val="21"/>
        </w:rPr>
        <w:t>、</w:t>
      </w:r>
      <w:r>
        <w:rPr>
          <w:rFonts w:hint="eastAsia" w:ascii="宋体" w:hAnsi="宋体" w:eastAsia="宋体"/>
          <w:sz w:val="21"/>
        </w:rPr>
        <w:t>谈判</w:t>
      </w:r>
      <w:r>
        <w:rPr>
          <w:rFonts w:hint="eastAsia" w:ascii="宋体" w:hAnsi="宋体"/>
          <w:sz w:val="21"/>
        </w:rPr>
        <w:t>小组所有成员集中与单一供应商分别进行</w:t>
      </w:r>
      <w:r>
        <w:rPr>
          <w:rFonts w:hint="eastAsia" w:ascii="宋体" w:hAnsi="宋体" w:eastAsia="宋体"/>
          <w:sz w:val="21"/>
        </w:rPr>
        <w:t>谈判</w:t>
      </w:r>
      <w:r>
        <w:rPr>
          <w:rFonts w:hint="eastAsia" w:ascii="宋体" w:hAnsi="宋体"/>
          <w:sz w:val="21"/>
        </w:rPr>
        <w:t>，并给予所有参加</w:t>
      </w:r>
      <w:r>
        <w:rPr>
          <w:rFonts w:hint="eastAsia" w:ascii="宋体" w:hAnsi="宋体" w:eastAsia="宋体"/>
          <w:sz w:val="21"/>
        </w:rPr>
        <w:t>谈判</w:t>
      </w:r>
      <w:r>
        <w:rPr>
          <w:rFonts w:hint="eastAsia" w:ascii="宋体" w:hAnsi="宋体"/>
          <w:sz w:val="21"/>
        </w:rPr>
        <w:t>的供应商平等的</w:t>
      </w:r>
      <w:r>
        <w:rPr>
          <w:rFonts w:hint="eastAsia" w:ascii="宋体" w:hAnsi="宋体" w:eastAsia="宋体"/>
          <w:sz w:val="21"/>
        </w:rPr>
        <w:t>谈判</w:t>
      </w:r>
      <w:r>
        <w:rPr>
          <w:rFonts w:hint="eastAsia" w:ascii="宋体" w:hAnsi="宋体"/>
          <w:sz w:val="21"/>
        </w:rPr>
        <w:t>机会。</w:t>
      </w:r>
    </w:p>
    <w:p w14:paraId="5FDA6622">
      <w:pPr>
        <w:snapToGrid w:val="0"/>
        <w:spacing w:line="360" w:lineRule="auto"/>
        <w:ind w:firstLine="420" w:firstLineChars="200"/>
        <w:rPr>
          <w:rFonts w:ascii="宋体" w:hAnsi="宋体"/>
          <w:sz w:val="21"/>
        </w:rPr>
      </w:pPr>
      <w:r>
        <w:rPr>
          <w:rFonts w:hint="eastAsia" w:ascii="宋体" w:hAnsi="宋体" w:eastAsiaTheme="minorEastAsia"/>
          <w:sz w:val="21"/>
        </w:rPr>
        <w:t>6</w:t>
      </w:r>
      <w:r>
        <w:rPr>
          <w:rFonts w:hint="eastAsia" w:ascii="宋体" w:hAnsi="宋体"/>
          <w:sz w:val="21"/>
        </w:rPr>
        <w:t>、在</w:t>
      </w:r>
      <w:r>
        <w:rPr>
          <w:rFonts w:hint="eastAsia" w:ascii="宋体" w:hAnsi="宋体" w:eastAsia="宋体"/>
          <w:sz w:val="21"/>
        </w:rPr>
        <w:t>谈判</w:t>
      </w:r>
      <w:r>
        <w:rPr>
          <w:rFonts w:hint="eastAsia" w:ascii="宋体" w:hAnsi="宋体"/>
          <w:sz w:val="21"/>
        </w:rPr>
        <w:t>过程中，</w:t>
      </w:r>
      <w:r>
        <w:rPr>
          <w:rFonts w:hint="eastAsia" w:ascii="宋体" w:hAnsi="宋体" w:eastAsia="宋体"/>
          <w:sz w:val="21"/>
        </w:rPr>
        <w:t>谈判</w:t>
      </w:r>
      <w:r>
        <w:rPr>
          <w:rFonts w:hint="eastAsia" w:ascii="宋体" w:hAnsi="宋体"/>
          <w:sz w:val="21"/>
        </w:rPr>
        <w:t>小组可以根据</w:t>
      </w:r>
      <w:r>
        <w:rPr>
          <w:rFonts w:hint="eastAsia" w:ascii="宋体" w:hAnsi="宋体" w:eastAsia="宋体"/>
          <w:sz w:val="21"/>
        </w:rPr>
        <w:t>谈判</w:t>
      </w:r>
      <w:r>
        <w:rPr>
          <w:rFonts w:hint="eastAsia" w:ascii="宋体" w:hAnsi="宋体"/>
          <w:sz w:val="21"/>
        </w:rPr>
        <w:t>文件和</w:t>
      </w:r>
      <w:r>
        <w:rPr>
          <w:rFonts w:hint="eastAsia" w:ascii="宋体" w:hAnsi="宋体" w:eastAsia="宋体"/>
          <w:sz w:val="21"/>
        </w:rPr>
        <w:t>谈判</w:t>
      </w:r>
      <w:r>
        <w:rPr>
          <w:rFonts w:hint="eastAsia" w:ascii="宋体" w:hAnsi="宋体"/>
          <w:sz w:val="21"/>
        </w:rPr>
        <w:t>情况实质性变动采购需求中的技术、服务要求以及合同草案条款，但不得变动</w:t>
      </w:r>
      <w:r>
        <w:rPr>
          <w:rFonts w:hint="eastAsia" w:ascii="宋体" w:hAnsi="宋体" w:eastAsia="宋体"/>
          <w:sz w:val="21"/>
        </w:rPr>
        <w:t>谈判</w:t>
      </w:r>
      <w:r>
        <w:rPr>
          <w:rFonts w:hint="eastAsia" w:ascii="宋体" w:hAnsi="宋体"/>
          <w:sz w:val="21"/>
        </w:rPr>
        <w:t>文件中的其他内容。实质性变动的内容，须经采购人代表确认。对</w:t>
      </w:r>
      <w:r>
        <w:rPr>
          <w:rFonts w:hint="eastAsia" w:ascii="宋体" w:hAnsi="宋体" w:eastAsia="宋体"/>
          <w:sz w:val="21"/>
        </w:rPr>
        <w:t>谈判</w:t>
      </w:r>
      <w:r>
        <w:rPr>
          <w:rFonts w:hint="eastAsia" w:ascii="宋体" w:hAnsi="宋体"/>
          <w:sz w:val="21"/>
        </w:rPr>
        <w:t>文件作出的实质性变动是</w:t>
      </w:r>
      <w:r>
        <w:rPr>
          <w:rFonts w:hint="eastAsia" w:ascii="宋体" w:hAnsi="宋体" w:eastAsia="宋体"/>
          <w:sz w:val="21"/>
        </w:rPr>
        <w:t>谈判</w:t>
      </w:r>
      <w:r>
        <w:rPr>
          <w:rFonts w:hint="eastAsia" w:ascii="宋体" w:hAnsi="宋体"/>
          <w:sz w:val="21"/>
        </w:rPr>
        <w:t>文件的有效组成部分，</w:t>
      </w:r>
      <w:r>
        <w:rPr>
          <w:rFonts w:hint="eastAsia" w:ascii="宋体" w:hAnsi="宋体" w:eastAsia="宋体"/>
          <w:sz w:val="21"/>
        </w:rPr>
        <w:t>谈判</w:t>
      </w:r>
      <w:r>
        <w:rPr>
          <w:rFonts w:hint="eastAsia" w:ascii="宋体" w:hAnsi="宋体"/>
          <w:sz w:val="21"/>
        </w:rPr>
        <w:t>小组应当及时以书面形式</w:t>
      </w:r>
      <w:r>
        <w:rPr>
          <w:rFonts w:hint="eastAsia" w:ascii="宋体" w:hAnsi="宋体" w:eastAsia="宋体"/>
          <w:sz w:val="21"/>
        </w:rPr>
        <w:t>同时通知</w:t>
      </w:r>
      <w:r>
        <w:rPr>
          <w:rFonts w:hint="eastAsia" w:ascii="宋体" w:hAnsi="宋体"/>
          <w:sz w:val="21"/>
        </w:rPr>
        <w:t>所有参加</w:t>
      </w:r>
      <w:r>
        <w:rPr>
          <w:rFonts w:hint="eastAsia" w:ascii="宋体" w:hAnsi="宋体" w:eastAsia="宋体"/>
          <w:sz w:val="21"/>
        </w:rPr>
        <w:t>谈判</w:t>
      </w:r>
      <w:r>
        <w:rPr>
          <w:rFonts w:hint="eastAsia" w:ascii="宋体" w:hAnsi="宋体"/>
          <w:sz w:val="21"/>
        </w:rPr>
        <w:t>的供应商。供应商应当按照</w:t>
      </w:r>
      <w:r>
        <w:rPr>
          <w:rFonts w:hint="eastAsia" w:ascii="宋体" w:hAnsi="宋体" w:eastAsia="宋体"/>
          <w:sz w:val="21"/>
        </w:rPr>
        <w:t>谈判</w:t>
      </w:r>
      <w:r>
        <w:rPr>
          <w:rFonts w:hint="eastAsia" w:ascii="宋体" w:hAnsi="宋体"/>
          <w:sz w:val="21"/>
        </w:rPr>
        <w:t>文件的变动情况和</w:t>
      </w:r>
      <w:r>
        <w:rPr>
          <w:rFonts w:hint="eastAsia" w:ascii="宋体" w:hAnsi="宋体" w:eastAsia="宋体"/>
          <w:sz w:val="21"/>
        </w:rPr>
        <w:t>谈判</w:t>
      </w:r>
      <w:r>
        <w:rPr>
          <w:rFonts w:hint="eastAsia" w:ascii="宋体" w:hAnsi="宋体"/>
          <w:sz w:val="21"/>
        </w:rPr>
        <w:t>小组的要求重新提交响应文件</w:t>
      </w:r>
      <w:r>
        <w:rPr>
          <w:rFonts w:hint="eastAsia" w:ascii="宋体" w:hAnsi="宋体" w:eastAsia="宋体" w:cs="宋体"/>
          <w:sz w:val="21"/>
          <w:szCs w:val="21"/>
        </w:rPr>
        <w:t>或作出承诺</w:t>
      </w:r>
      <w:r>
        <w:rPr>
          <w:rFonts w:hint="eastAsia" w:ascii="宋体" w:hAnsi="宋体"/>
          <w:sz w:val="21"/>
        </w:rPr>
        <w:t>，并由其法定代表人或授权代表签字或者加盖公章。由授权代表签字的，应当附法定代表人授权书。</w:t>
      </w:r>
    </w:p>
    <w:p w14:paraId="0B546701">
      <w:pPr>
        <w:snapToGrid w:val="0"/>
        <w:spacing w:line="360" w:lineRule="auto"/>
        <w:ind w:firstLine="420" w:firstLineChars="200"/>
        <w:rPr>
          <w:rFonts w:ascii="宋体" w:hAnsi="宋体"/>
          <w:sz w:val="21"/>
        </w:rPr>
      </w:pPr>
      <w:r>
        <w:rPr>
          <w:rFonts w:hint="eastAsia" w:ascii="宋体" w:hAnsi="宋体" w:eastAsiaTheme="minorEastAsia"/>
          <w:sz w:val="21"/>
        </w:rPr>
        <w:t>7</w:t>
      </w:r>
      <w:r>
        <w:rPr>
          <w:rFonts w:hint="eastAsia" w:ascii="宋体" w:hAnsi="宋体"/>
          <w:sz w:val="21"/>
        </w:rPr>
        <w:t>、</w:t>
      </w:r>
      <w:r>
        <w:rPr>
          <w:rFonts w:hint="eastAsia" w:ascii="宋体" w:hAnsi="宋体" w:eastAsia="宋体"/>
          <w:sz w:val="21"/>
        </w:rPr>
        <w:t>谈判</w:t>
      </w:r>
      <w:r>
        <w:rPr>
          <w:rFonts w:hint="eastAsia" w:ascii="宋体" w:hAnsi="宋体"/>
          <w:sz w:val="21"/>
        </w:rPr>
        <w:t>结束后，</w:t>
      </w:r>
      <w:r>
        <w:rPr>
          <w:rFonts w:hint="eastAsia" w:ascii="宋体" w:hAnsi="宋体" w:eastAsia="宋体"/>
          <w:sz w:val="21"/>
        </w:rPr>
        <w:t>谈判</w:t>
      </w:r>
      <w:r>
        <w:rPr>
          <w:rFonts w:hint="eastAsia" w:ascii="宋体" w:hAnsi="宋体"/>
          <w:sz w:val="21"/>
        </w:rPr>
        <w:t>小组将要求所有实质性响应的供应商在规定时间内提交最</w:t>
      </w:r>
      <w:r>
        <w:rPr>
          <w:rFonts w:hint="eastAsia" w:ascii="宋体" w:hAnsi="宋体" w:eastAsia="宋体"/>
          <w:sz w:val="21"/>
        </w:rPr>
        <w:t>终</w:t>
      </w:r>
      <w:r>
        <w:rPr>
          <w:rFonts w:hint="eastAsia" w:ascii="宋体" w:hAnsi="宋体"/>
          <w:sz w:val="21"/>
        </w:rPr>
        <w:t>报价，最</w:t>
      </w:r>
      <w:r>
        <w:rPr>
          <w:rFonts w:hint="eastAsia" w:ascii="宋体" w:hAnsi="宋体" w:eastAsia="宋体"/>
          <w:sz w:val="21"/>
        </w:rPr>
        <w:t>终</w:t>
      </w:r>
      <w:r>
        <w:rPr>
          <w:rFonts w:hint="eastAsia" w:ascii="宋体" w:hAnsi="宋体"/>
          <w:sz w:val="21"/>
        </w:rPr>
        <w:t xml:space="preserve">报价是供应商响应文件的有效组成部分。 </w:t>
      </w:r>
    </w:p>
    <w:p w14:paraId="3F5C21C5">
      <w:pPr>
        <w:snapToGrid w:val="0"/>
        <w:spacing w:line="360" w:lineRule="auto"/>
        <w:ind w:firstLine="420" w:firstLineChars="200"/>
        <w:rPr>
          <w:rFonts w:asciiTheme="minorEastAsia" w:hAnsiTheme="minorEastAsia" w:eastAsiaTheme="minorEastAsia" w:cstheme="minorEastAsia"/>
          <w:sz w:val="21"/>
        </w:rPr>
      </w:pPr>
      <w:r>
        <w:rPr>
          <w:rFonts w:hint="eastAsia" w:asciiTheme="minorEastAsia" w:hAnsiTheme="minorEastAsia" w:eastAsiaTheme="minorEastAsia" w:cstheme="minorEastAsia"/>
          <w:sz w:val="21"/>
        </w:rPr>
        <w:t>8、</w:t>
      </w:r>
      <w:r>
        <w:rPr>
          <w:rFonts w:hint="eastAsia" w:ascii="宋体" w:hAnsi="宋体" w:eastAsia="宋体" w:cs="宋体"/>
          <w:sz w:val="21"/>
          <w:szCs w:val="21"/>
        </w:rPr>
        <w:t>现场开启供应商最终报价，并交由谈判小组审核报价内容。</w:t>
      </w:r>
    </w:p>
    <w:p w14:paraId="0062CB23">
      <w:pPr>
        <w:pStyle w:val="10"/>
        <w:snapToGrid w:val="0"/>
        <w:spacing w:line="360" w:lineRule="auto"/>
        <w:ind w:firstLine="420" w:firstLineChars="200"/>
        <w:rPr>
          <w:rFonts w:hAnsi="宋体"/>
        </w:rPr>
      </w:pPr>
      <w:r>
        <w:rPr>
          <w:rFonts w:hint="eastAsia" w:hAnsi="宋体" w:eastAsiaTheme="minorEastAsia"/>
        </w:rPr>
        <w:t>9</w:t>
      </w:r>
      <w:r>
        <w:rPr>
          <w:rFonts w:hint="eastAsia" w:hAnsi="宋体"/>
        </w:rPr>
        <w:t>、</w:t>
      </w:r>
      <w:r>
        <w:rPr>
          <w:rFonts w:hint="eastAsia" w:hAnsi="宋体" w:eastAsia="宋体" w:cs="宋体"/>
          <w:szCs w:val="21"/>
        </w:rPr>
        <w:t>谈判小组应当从质量和服务均能满足采购文件实质性响应要求的供应商中，按照最终报价由低到高的顺序推荐成交候选人（如有效供应商超过三家，原则上推荐三家），若同时有多家单位最终报价相同，则由采购人抽签确定成交候选人，并编写评审报告。</w:t>
      </w:r>
    </w:p>
    <w:p w14:paraId="676EE641">
      <w:pPr>
        <w:pStyle w:val="10"/>
        <w:snapToGrid w:val="0"/>
        <w:spacing w:line="360" w:lineRule="auto"/>
        <w:ind w:firstLine="420" w:firstLineChars="200"/>
      </w:pPr>
      <w:r>
        <w:rPr>
          <w:rFonts w:hint="eastAsia" w:hAnsi="宋体" w:eastAsia="宋体"/>
        </w:rPr>
        <w:t>10、如遇“政府采购云平台”电子化开标或评审程序调整的，或者政采云系统提供数据电文交互功能的，按其规定执行。</w:t>
      </w:r>
    </w:p>
    <w:p w14:paraId="324DD763">
      <w:pPr>
        <w:pStyle w:val="10"/>
        <w:snapToGrid w:val="0"/>
        <w:spacing w:line="360" w:lineRule="auto"/>
        <w:ind w:firstLine="420" w:firstLineChars="200"/>
        <w:rPr>
          <w:rFonts w:hAnsi="宋体"/>
        </w:rPr>
      </w:pPr>
      <w:r>
        <w:rPr>
          <w:rFonts w:hint="eastAsia" w:hAnsi="宋体"/>
          <w:b/>
        </w:rPr>
        <w:t>（二）澄清问题的形式</w:t>
      </w:r>
    </w:p>
    <w:p w14:paraId="5684DB3B">
      <w:pPr>
        <w:snapToGrid w:val="0"/>
        <w:spacing w:line="360" w:lineRule="auto"/>
        <w:ind w:firstLine="420" w:firstLineChars="200"/>
        <w:rPr>
          <w:rFonts w:ascii="宋体" w:hAnsi="宋体"/>
          <w:sz w:val="21"/>
        </w:rPr>
      </w:pPr>
      <w:r>
        <w:rPr>
          <w:rFonts w:hint="eastAsia" w:ascii="宋体" w:hAnsi="宋体"/>
          <w:sz w:val="21"/>
        </w:rPr>
        <w:t>1、评审中需要供应商对谈判响应文件作出澄清、说明或者补正的，</w:t>
      </w:r>
      <w:r>
        <w:rPr>
          <w:rFonts w:hint="eastAsia" w:ascii="宋体" w:hAnsi="宋体" w:eastAsia="宋体" w:cs="宋体"/>
          <w:sz w:val="21"/>
        </w:rPr>
        <w:t>谈判小组</w:t>
      </w:r>
      <w:r>
        <w:rPr>
          <w:rFonts w:hint="eastAsia" w:ascii="宋体" w:hAnsi="宋体"/>
          <w:sz w:val="21"/>
        </w:rPr>
        <w:t>将以书面形式（或通过“政府采购云平台”）进行询标。给予供应商提交澄清说明或补正的时间不得少于半小时，供应商已经明确表示澄清说明或补正完毕的除外。供应商务必在线等待，留意手机短信，及时在线澄清、说明或补正。</w:t>
      </w:r>
    </w:p>
    <w:p w14:paraId="75672AF2">
      <w:pPr>
        <w:snapToGrid w:val="0"/>
        <w:spacing w:line="360" w:lineRule="auto"/>
        <w:ind w:firstLine="420" w:firstLineChars="200"/>
        <w:rPr>
          <w:rFonts w:ascii="宋体" w:hAnsi="宋体"/>
          <w:sz w:val="21"/>
        </w:rPr>
      </w:pPr>
      <w:r>
        <w:rPr>
          <w:rFonts w:hint="eastAsia" w:ascii="宋体" w:hAnsi="宋体"/>
          <w:sz w:val="21"/>
        </w:rPr>
        <w:t>2、供应商的的澄清、说明或补正将作为谈判响应文件的一部分。</w:t>
      </w:r>
    </w:p>
    <w:p w14:paraId="5BE4F387">
      <w:pPr>
        <w:snapToGrid w:val="0"/>
        <w:spacing w:line="360" w:lineRule="auto"/>
        <w:ind w:firstLine="420" w:firstLineChars="200"/>
        <w:rPr>
          <w:rFonts w:ascii="宋体" w:hAnsi="宋体"/>
          <w:sz w:val="21"/>
        </w:rPr>
      </w:pPr>
      <w:r>
        <w:rPr>
          <w:rFonts w:hint="eastAsia" w:ascii="宋体" w:hAnsi="宋体"/>
          <w:b/>
          <w:sz w:val="21"/>
        </w:rPr>
        <w:t>（三）错误修正</w:t>
      </w:r>
    </w:p>
    <w:p w14:paraId="4B59E211">
      <w:pPr>
        <w:pStyle w:val="18"/>
        <w:snapToGrid w:val="0"/>
        <w:spacing w:before="0" w:beforeAutospacing="0" w:after="0" w:afterAutospacing="0" w:line="360" w:lineRule="auto"/>
        <w:ind w:firstLine="420" w:firstLineChars="200"/>
        <w:jc w:val="both"/>
        <w:rPr>
          <w:rFonts w:hint="default"/>
          <w:sz w:val="21"/>
        </w:rPr>
      </w:pPr>
      <w:r>
        <w:rPr>
          <w:rFonts w:eastAsia="宋体"/>
          <w:sz w:val="21"/>
        </w:rPr>
        <w:t>谈判</w:t>
      </w:r>
      <w:r>
        <w:rPr>
          <w:sz w:val="21"/>
        </w:rPr>
        <w:t>响应文件报价出现前后不一致的，除</w:t>
      </w:r>
      <w:r>
        <w:rPr>
          <w:rFonts w:eastAsia="宋体"/>
          <w:sz w:val="21"/>
        </w:rPr>
        <w:t>谈判</w:t>
      </w:r>
      <w:r>
        <w:rPr>
          <w:sz w:val="21"/>
        </w:rPr>
        <w:t>采购文件另有规定外，按照下列规定修正：</w:t>
      </w:r>
    </w:p>
    <w:p w14:paraId="06233C75">
      <w:pPr>
        <w:pStyle w:val="18"/>
        <w:snapToGrid w:val="0"/>
        <w:spacing w:before="0" w:beforeAutospacing="0" w:after="0" w:afterAutospacing="0" w:line="360" w:lineRule="auto"/>
        <w:jc w:val="both"/>
        <w:rPr>
          <w:rFonts w:hint="default"/>
          <w:sz w:val="21"/>
        </w:rPr>
      </w:pPr>
      <w:r>
        <w:rPr>
          <w:sz w:val="21"/>
        </w:rPr>
        <w:t>　　1、</w:t>
      </w:r>
      <w:r>
        <w:rPr>
          <w:rFonts w:eastAsia="宋体"/>
          <w:sz w:val="21"/>
        </w:rPr>
        <w:t>谈判</w:t>
      </w:r>
      <w:r>
        <w:rPr>
          <w:sz w:val="21"/>
        </w:rPr>
        <w:t>响应文件中首次（或最终）报价一览表内容与</w:t>
      </w:r>
      <w:r>
        <w:rPr>
          <w:rFonts w:eastAsia="宋体"/>
          <w:sz w:val="21"/>
        </w:rPr>
        <w:t>谈判</w:t>
      </w:r>
      <w:r>
        <w:rPr>
          <w:sz w:val="21"/>
        </w:rPr>
        <w:t>响应文件中相应内容不一致的，以首次（或最终）报价一览表为准；</w:t>
      </w:r>
    </w:p>
    <w:p w14:paraId="7E9221D0">
      <w:pPr>
        <w:pStyle w:val="18"/>
        <w:snapToGrid w:val="0"/>
        <w:spacing w:before="0" w:beforeAutospacing="0" w:after="0" w:afterAutospacing="0" w:line="360" w:lineRule="auto"/>
        <w:jc w:val="both"/>
        <w:rPr>
          <w:rFonts w:hint="default"/>
          <w:sz w:val="21"/>
        </w:rPr>
      </w:pPr>
      <w:r>
        <w:rPr>
          <w:sz w:val="21"/>
        </w:rPr>
        <w:t>　　2、大写金额和小写金额不一致的，以大写金额为准；</w:t>
      </w:r>
    </w:p>
    <w:p w14:paraId="39C929EF">
      <w:pPr>
        <w:pStyle w:val="18"/>
        <w:snapToGrid w:val="0"/>
        <w:spacing w:before="0" w:beforeAutospacing="0" w:after="0" w:afterAutospacing="0" w:line="360" w:lineRule="auto"/>
        <w:jc w:val="both"/>
        <w:rPr>
          <w:rFonts w:hint="default"/>
          <w:sz w:val="21"/>
        </w:rPr>
      </w:pPr>
      <w:r>
        <w:rPr>
          <w:sz w:val="21"/>
        </w:rPr>
        <w:t>　　3、单价金额小数点或者百分比有明显错位的，以首次（或最终）报价一览表的总价为准，并修改单价；</w:t>
      </w:r>
    </w:p>
    <w:p w14:paraId="635D0751">
      <w:pPr>
        <w:pStyle w:val="18"/>
        <w:snapToGrid w:val="0"/>
        <w:spacing w:before="0" w:beforeAutospacing="0" w:after="0" w:afterAutospacing="0" w:line="360" w:lineRule="auto"/>
        <w:jc w:val="both"/>
        <w:rPr>
          <w:rFonts w:hint="default"/>
          <w:sz w:val="21"/>
        </w:rPr>
      </w:pPr>
      <w:r>
        <w:rPr>
          <w:sz w:val="21"/>
        </w:rPr>
        <w:t>　　4、总价金额与按单价汇总金额不一致的，以单价金额计算结果为准。</w:t>
      </w:r>
    </w:p>
    <w:p w14:paraId="1295B93A">
      <w:pPr>
        <w:pStyle w:val="18"/>
        <w:snapToGrid w:val="0"/>
        <w:spacing w:before="0" w:beforeAutospacing="0" w:after="0" w:afterAutospacing="0" w:line="360" w:lineRule="auto"/>
        <w:ind w:firstLine="480"/>
        <w:jc w:val="both"/>
        <w:rPr>
          <w:rFonts w:hint="default"/>
          <w:sz w:val="21"/>
        </w:rPr>
      </w:pPr>
      <w:r>
        <w:rPr>
          <w:sz w:val="21"/>
        </w:rPr>
        <w:t>同时出现两种以上不一致的，按照前款规定的顺序修正。修正应当采用书面形式，并加盖公章，或者由法定代表人或其授权的代表签字，并上传至钉钉群。修正后的报价经</w:t>
      </w:r>
      <w:r>
        <w:rPr>
          <w:rFonts w:eastAsia="宋体"/>
          <w:sz w:val="21"/>
        </w:rPr>
        <w:t>谈判</w:t>
      </w:r>
      <w:r>
        <w:rPr>
          <w:sz w:val="21"/>
        </w:rPr>
        <w:t>供应商确认后产生约束力，</w:t>
      </w:r>
      <w:r>
        <w:rPr>
          <w:rFonts w:eastAsia="宋体"/>
          <w:sz w:val="21"/>
        </w:rPr>
        <w:t>谈判</w:t>
      </w:r>
      <w:r>
        <w:rPr>
          <w:sz w:val="21"/>
        </w:rPr>
        <w:t>供应商不确认的，将终止</w:t>
      </w:r>
      <w:r>
        <w:rPr>
          <w:rFonts w:eastAsia="宋体"/>
          <w:sz w:val="21"/>
        </w:rPr>
        <w:t>谈判</w:t>
      </w:r>
      <w:r>
        <w:rPr>
          <w:sz w:val="21"/>
        </w:rPr>
        <w:t>。</w:t>
      </w:r>
    </w:p>
    <w:p w14:paraId="7DB98AC0">
      <w:pPr>
        <w:pStyle w:val="18"/>
        <w:snapToGrid w:val="0"/>
        <w:spacing w:before="0" w:beforeAutospacing="0" w:after="0" w:afterAutospacing="0" w:line="360" w:lineRule="auto"/>
        <w:ind w:firstLine="480"/>
        <w:rPr>
          <w:rFonts w:hint="default"/>
          <w:b/>
          <w:sz w:val="21"/>
        </w:rPr>
      </w:pPr>
      <w:r>
        <w:rPr>
          <w:b/>
          <w:sz w:val="21"/>
        </w:rPr>
        <w:t>（四）谈判</w:t>
      </w:r>
      <w:r>
        <w:rPr>
          <w:rFonts w:hint="default"/>
          <w:b/>
          <w:sz w:val="21"/>
        </w:rPr>
        <w:t>过程中出现以下情形，导致电子交易平台无法正常运行，或者无法保证电子交易的公平、公正和安全时，采购组织机构可中止电子交易活动：</w:t>
      </w:r>
    </w:p>
    <w:p w14:paraId="5EE66232">
      <w:pPr>
        <w:adjustRightInd w:val="0"/>
        <w:snapToGrid w:val="0"/>
        <w:spacing w:line="360" w:lineRule="auto"/>
        <w:ind w:firstLine="420" w:firstLineChars="200"/>
        <w:jc w:val="left"/>
        <w:rPr>
          <w:rFonts w:ascii="宋体" w:hAnsi="宋体"/>
          <w:kern w:val="0"/>
          <w:sz w:val="21"/>
        </w:rPr>
      </w:pPr>
      <w:r>
        <w:rPr>
          <w:rFonts w:hint="eastAsia" w:ascii="宋体" w:hAnsi="宋体"/>
          <w:kern w:val="0"/>
          <w:sz w:val="21"/>
        </w:rPr>
        <w:t>1、</w:t>
      </w:r>
      <w:r>
        <w:rPr>
          <w:rFonts w:ascii="宋体" w:hAnsi="宋体"/>
          <w:kern w:val="0"/>
          <w:sz w:val="21"/>
        </w:rPr>
        <w:t>电子交易平台发生故障而无法登录访问的； </w:t>
      </w:r>
    </w:p>
    <w:p w14:paraId="7420BE55">
      <w:pPr>
        <w:adjustRightInd w:val="0"/>
        <w:snapToGrid w:val="0"/>
        <w:spacing w:line="360" w:lineRule="auto"/>
        <w:ind w:firstLine="420" w:firstLineChars="200"/>
        <w:jc w:val="left"/>
        <w:rPr>
          <w:rFonts w:ascii="宋体" w:hAnsi="宋体"/>
          <w:kern w:val="0"/>
          <w:sz w:val="21"/>
        </w:rPr>
      </w:pPr>
      <w:r>
        <w:rPr>
          <w:rFonts w:hint="eastAsia" w:ascii="宋体" w:hAnsi="宋体"/>
          <w:kern w:val="0"/>
          <w:sz w:val="21"/>
        </w:rPr>
        <w:t>2、</w:t>
      </w:r>
      <w:r>
        <w:rPr>
          <w:rFonts w:ascii="宋体" w:hAnsi="宋体"/>
          <w:kern w:val="0"/>
          <w:sz w:val="21"/>
        </w:rPr>
        <w:t>电子交易平台应用或数据库出现错误，不能进行正常操作的；</w:t>
      </w:r>
    </w:p>
    <w:p w14:paraId="23502765">
      <w:pPr>
        <w:adjustRightInd w:val="0"/>
        <w:snapToGrid w:val="0"/>
        <w:spacing w:line="360" w:lineRule="auto"/>
        <w:ind w:firstLine="420" w:firstLineChars="200"/>
        <w:jc w:val="left"/>
        <w:rPr>
          <w:rFonts w:ascii="宋体" w:hAnsi="宋体"/>
          <w:kern w:val="0"/>
          <w:sz w:val="21"/>
        </w:rPr>
      </w:pPr>
      <w:r>
        <w:rPr>
          <w:rFonts w:hint="eastAsia" w:ascii="宋体" w:hAnsi="宋体"/>
          <w:kern w:val="0"/>
          <w:sz w:val="21"/>
        </w:rPr>
        <w:t>3、</w:t>
      </w:r>
      <w:r>
        <w:rPr>
          <w:rFonts w:ascii="宋体" w:hAnsi="宋体"/>
          <w:kern w:val="0"/>
          <w:sz w:val="21"/>
        </w:rPr>
        <w:t>电子交易平台发现严重安全漏洞，有潜在泄密危险的；</w:t>
      </w:r>
    </w:p>
    <w:p w14:paraId="551699CD">
      <w:pPr>
        <w:adjustRightInd w:val="0"/>
        <w:snapToGrid w:val="0"/>
        <w:spacing w:line="360" w:lineRule="auto"/>
        <w:ind w:firstLine="420" w:firstLineChars="200"/>
        <w:jc w:val="left"/>
        <w:rPr>
          <w:rFonts w:ascii="宋体" w:hAnsi="宋体"/>
          <w:kern w:val="0"/>
          <w:sz w:val="21"/>
        </w:rPr>
      </w:pPr>
      <w:r>
        <w:rPr>
          <w:rFonts w:hint="eastAsia" w:ascii="宋体" w:hAnsi="宋体"/>
          <w:kern w:val="0"/>
          <w:sz w:val="21"/>
        </w:rPr>
        <w:t>4、</w:t>
      </w:r>
      <w:r>
        <w:rPr>
          <w:rFonts w:ascii="宋体" w:hAnsi="宋体"/>
          <w:kern w:val="0"/>
          <w:sz w:val="21"/>
        </w:rPr>
        <w:t>病毒发作导致不能进行正常操作的； </w:t>
      </w:r>
    </w:p>
    <w:p w14:paraId="39124277">
      <w:pPr>
        <w:adjustRightInd w:val="0"/>
        <w:snapToGrid w:val="0"/>
        <w:spacing w:line="360" w:lineRule="auto"/>
        <w:ind w:firstLine="420" w:firstLineChars="200"/>
        <w:jc w:val="left"/>
        <w:rPr>
          <w:rFonts w:ascii="宋体" w:hAnsi="宋体"/>
          <w:kern w:val="0"/>
          <w:sz w:val="21"/>
        </w:rPr>
      </w:pPr>
      <w:r>
        <w:rPr>
          <w:rFonts w:hint="eastAsia" w:ascii="宋体" w:hAnsi="宋体"/>
          <w:kern w:val="0"/>
          <w:sz w:val="21"/>
        </w:rPr>
        <w:t>5、</w:t>
      </w:r>
      <w:r>
        <w:rPr>
          <w:rFonts w:ascii="宋体" w:hAnsi="宋体"/>
          <w:kern w:val="0"/>
          <w:sz w:val="21"/>
        </w:rPr>
        <w:t>其他无法保证电子交易的公平、公正和安全的情况。</w:t>
      </w:r>
    </w:p>
    <w:p w14:paraId="6650B18A">
      <w:pPr>
        <w:adjustRightInd w:val="0"/>
        <w:snapToGrid w:val="0"/>
        <w:spacing w:line="360" w:lineRule="auto"/>
        <w:ind w:firstLine="420" w:firstLineChars="200"/>
        <w:jc w:val="left"/>
        <w:rPr>
          <w:sz w:val="21"/>
        </w:rPr>
      </w:pPr>
      <w:r>
        <w:rPr>
          <w:rFonts w:ascii="宋体" w:hAnsi="宋体"/>
          <w:kern w:val="0"/>
          <w:sz w:val="21"/>
        </w:rPr>
        <w:t>出现前款规定情形，不影响采购公平、公正性的，采购组织机构可以待上述情形消除后继续组织电子交易活动；影响或可能影响采购公平、公正性的，应当重新采购。</w:t>
      </w:r>
    </w:p>
    <w:p w14:paraId="2665AE1D">
      <w:pPr>
        <w:pStyle w:val="18"/>
        <w:snapToGrid w:val="0"/>
        <w:spacing w:before="0" w:beforeAutospacing="0" w:after="0" w:afterAutospacing="0" w:line="360" w:lineRule="auto"/>
        <w:ind w:firstLine="480"/>
        <w:rPr>
          <w:rFonts w:hint="default" w:eastAsia="宋体"/>
          <w:sz w:val="21"/>
        </w:rPr>
      </w:pPr>
      <w:r>
        <w:rPr>
          <w:b/>
          <w:sz w:val="21"/>
        </w:rPr>
        <w:t>（五）</w:t>
      </w:r>
      <w:r>
        <w:rPr>
          <w:rFonts w:eastAsia="宋体"/>
          <w:b/>
          <w:sz w:val="21"/>
        </w:rPr>
        <w:t>谈判</w:t>
      </w:r>
      <w:r>
        <w:rPr>
          <w:b/>
          <w:sz w:val="21"/>
        </w:rPr>
        <w:t>供应商存在下列情况之一的，响应无效，终止</w:t>
      </w:r>
      <w:r>
        <w:rPr>
          <w:rFonts w:eastAsia="宋体"/>
          <w:b/>
          <w:sz w:val="21"/>
        </w:rPr>
        <w:t>谈判</w:t>
      </w:r>
    </w:p>
    <w:p w14:paraId="65EE17CC">
      <w:pPr>
        <w:adjustRightInd w:val="0"/>
        <w:snapToGrid w:val="0"/>
        <w:spacing w:line="360" w:lineRule="auto"/>
        <w:ind w:firstLine="420" w:firstLineChars="200"/>
        <w:jc w:val="left"/>
        <w:rPr>
          <w:rFonts w:ascii="宋体" w:hAnsi="宋体"/>
          <w:kern w:val="0"/>
          <w:sz w:val="21"/>
        </w:rPr>
      </w:pPr>
      <w:r>
        <w:rPr>
          <w:rFonts w:hint="eastAsia" w:ascii="宋体" w:hAnsi="宋体"/>
          <w:kern w:val="0"/>
          <w:sz w:val="21"/>
        </w:rPr>
        <w:t>1、</w:t>
      </w:r>
      <w:r>
        <w:rPr>
          <w:rFonts w:hint="eastAsia" w:ascii="宋体" w:hAnsi="宋体" w:eastAsia="宋体" w:cs="宋体"/>
          <w:sz w:val="21"/>
          <w:szCs w:val="21"/>
        </w:rPr>
        <w:t>未按规定要求盖章和签字的。</w:t>
      </w:r>
    </w:p>
    <w:p w14:paraId="343A38BA">
      <w:pPr>
        <w:adjustRightInd w:val="0"/>
        <w:snapToGrid w:val="0"/>
        <w:spacing w:line="360" w:lineRule="auto"/>
        <w:ind w:firstLine="420" w:firstLineChars="200"/>
        <w:jc w:val="left"/>
        <w:rPr>
          <w:rFonts w:ascii="宋体" w:hAnsi="宋体"/>
          <w:kern w:val="0"/>
          <w:sz w:val="21"/>
        </w:rPr>
      </w:pPr>
      <w:r>
        <w:rPr>
          <w:rFonts w:hint="eastAsia" w:ascii="宋体" w:hAnsi="宋体"/>
          <w:kern w:val="0"/>
          <w:sz w:val="21"/>
        </w:rPr>
        <w:t>2、资格证明文件或商务与技术文件跟报价文件出现混装，或者在资格证明文件或商务与技术文件中出现投标报价的，或者报价文件中报价的货物跟商务与技术文件中的货物出现重大偏差的。</w:t>
      </w:r>
    </w:p>
    <w:p w14:paraId="65F06C08">
      <w:pPr>
        <w:adjustRightInd w:val="0"/>
        <w:snapToGrid w:val="0"/>
        <w:spacing w:line="360" w:lineRule="auto"/>
        <w:ind w:firstLine="420" w:firstLineChars="200"/>
        <w:jc w:val="left"/>
        <w:rPr>
          <w:rFonts w:ascii="宋体" w:hAnsi="宋体" w:eastAsiaTheme="minorEastAsia"/>
          <w:kern w:val="0"/>
          <w:sz w:val="21"/>
        </w:rPr>
      </w:pPr>
      <w:r>
        <w:rPr>
          <w:rFonts w:hint="eastAsia" w:ascii="宋体" w:hAnsi="宋体"/>
          <w:kern w:val="0"/>
          <w:sz w:val="21"/>
        </w:rPr>
        <w:t>3、不具备采购文件中规定的资格要求的；</w:t>
      </w:r>
    </w:p>
    <w:p w14:paraId="7962CBFB">
      <w:pPr>
        <w:adjustRightInd w:val="0"/>
        <w:snapToGrid w:val="0"/>
        <w:spacing w:line="360" w:lineRule="auto"/>
        <w:ind w:firstLine="420" w:firstLineChars="200"/>
        <w:jc w:val="left"/>
        <w:rPr>
          <w:rFonts w:ascii="宋体" w:hAnsi="宋体"/>
          <w:kern w:val="0"/>
          <w:sz w:val="21"/>
        </w:rPr>
      </w:pPr>
      <w:r>
        <w:rPr>
          <w:rFonts w:hint="eastAsia" w:ascii="宋体" w:hAnsi="宋体"/>
          <w:kern w:val="0"/>
          <w:sz w:val="21"/>
        </w:rPr>
        <w:t>4、谈判响应文件含有采购人不能接受的附加条件的；</w:t>
      </w:r>
    </w:p>
    <w:p w14:paraId="03B039AB">
      <w:pPr>
        <w:adjustRightInd w:val="0"/>
        <w:snapToGrid w:val="0"/>
        <w:spacing w:line="360" w:lineRule="auto"/>
        <w:ind w:firstLine="420" w:firstLineChars="200"/>
        <w:jc w:val="left"/>
        <w:rPr>
          <w:rFonts w:ascii="宋体" w:hAnsi="宋体"/>
          <w:kern w:val="0"/>
          <w:sz w:val="21"/>
        </w:rPr>
      </w:pPr>
      <w:r>
        <w:rPr>
          <w:rFonts w:hint="eastAsia" w:ascii="宋体" w:hAnsi="宋体"/>
          <w:kern w:val="0"/>
          <w:sz w:val="21"/>
        </w:rPr>
        <w:t>5、</w:t>
      </w:r>
      <w:r>
        <w:rPr>
          <w:rFonts w:hint="eastAsia" w:ascii="宋体" w:hAnsi="宋体" w:eastAsia="宋体" w:cs="宋体"/>
          <w:b/>
          <w:kern w:val="0"/>
          <w:sz w:val="21"/>
        </w:rPr>
        <w:t>谈判小组</w:t>
      </w:r>
      <w:r>
        <w:rPr>
          <w:rFonts w:hint="eastAsia" w:ascii="宋体" w:hAnsi="宋体"/>
          <w:b/>
          <w:kern w:val="0"/>
          <w:sz w:val="21"/>
        </w:rPr>
        <w:t>认为供应商的报价明显低于其他通过符合性审查供应商的报价，有可能影响产品质量或者不能诚信履约的，应当要求其在评标现场合理的时间内提供书面说明，必要时提交相关证明材料；供应商不能证明其报价合理性的，</w:t>
      </w:r>
      <w:r>
        <w:rPr>
          <w:rFonts w:hint="eastAsia" w:ascii="宋体" w:hAnsi="宋体" w:eastAsia="宋体" w:cs="宋体"/>
          <w:b/>
          <w:kern w:val="0"/>
          <w:sz w:val="21"/>
        </w:rPr>
        <w:t>谈判小组</w:t>
      </w:r>
      <w:r>
        <w:rPr>
          <w:rFonts w:hint="eastAsia" w:ascii="宋体" w:hAnsi="宋体"/>
          <w:b/>
          <w:kern w:val="0"/>
          <w:sz w:val="21"/>
        </w:rPr>
        <w:t>应当将其作为无效投标处理；</w:t>
      </w:r>
    </w:p>
    <w:p w14:paraId="300D6C89">
      <w:pPr>
        <w:adjustRightInd w:val="0"/>
        <w:snapToGrid w:val="0"/>
        <w:spacing w:line="360" w:lineRule="auto"/>
        <w:ind w:firstLine="420" w:firstLineChars="200"/>
        <w:jc w:val="left"/>
        <w:rPr>
          <w:rFonts w:ascii="宋体" w:hAnsi="宋体"/>
          <w:kern w:val="0"/>
          <w:sz w:val="21"/>
        </w:rPr>
      </w:pPr>
      <w:r>
        <w:rPr>
          <w:rFonts w:hint="eastAsia" w:ascii="宋体" w:hAnsi="宋体"/>
          <w:kern w:val="0"/>
          <w:sz w:val="21"/>
        </w:rPr>
        <w:t xml:space="preserve">6、谈判报价超过谈判文件中规定的最高限价； </w:t>
      </w:r>
    </w:p>
    <w:p w14:paraId="537DD2E6">
      <w:pPr>
        <w:adjustRightInd w:val="0"/>
        <w:snapToGrid w:val="0"/>
        <w:spacing w:line="360" w:lineRule="auto"/>
        <w:ind w:firstLine="420" w:firstLineChars="200"/>
        <w:jc w:val="left"/>
        <w:rPr>
          <w:rFonts w:ascii="宋体" w:hAnsi="宋体"/>
          <w:kern w:val="0"/>
          <w:sz w:val="21"/>
        </w:rPr>
      </w:pPr>
      <w:r>
        <w:rPr>
          <w:rFonts w:hint="eastAsia" w:ascii="宋体" w:hAnsi="宋体"/>
          <w:kern w:val="0"/>
          <w:sz w:val="21"/>
        </w:rPr>
        <w:t>7、谈判参数未如实填写，完全复制粘贴招标参数的；</w:t>
      </w:r>
    </w:p>
    <w:p w14:paraId="4A65BFF2">
      <w:pPr>
        <w:adjustRightInd w:val="0"/>
        <w:snapToGrid w:val="0"/>
        <w:spacing w:line="360" w:lineRule="auto"/>
        <w:ind w:firstLine="420" w:firstLineChars="200"/>
        <w:jc w:val="left"/>
        <w:rPr>
          <w:rFonts w:ascii="宋体" w:hAnsi="宋体"/>
          <w:kern w:val="0"/>
          <w:sz w:val="21"/>
        </w:rPr>
      </w:pPr>
      <w:r>
        <w:rPr>
          <w:rFonts w:hint="eastAsia" w:ascii="宋体" w:hAnsi="宋体"/>
          <w:kern w:val="0"/>
          <w:sz w:val="21"/>
        </w:rPr>
        <w:t>8、电子加密响应文件解密失败或未按时解密的，且未在规定时间内提交备份响应文件的（包括未在解密规定时间内提供备份响应文件解密密码或密码错误的）；</w:t>
      </w:r>
    </w:p>
    <w:p w14:paraId="10EF8A2C">
      <w:pPr>
        <w:adjustRightInd w:val="0"/>
        <w:snapToGrid w:val="0"/>
        <w:spacing w:line="360" w:lineRule="auto"/>
        <w:ind w:firstLine="420" w:firstLineChars="200"/>
        <w:jc w:val="left"/>
        <w:rPr>
          <w:rFonts w:ascii="宋体" w:hAnsi="宋体"/>
          <w:kern w:val="0"/>
          <w:sz w:val="21"/>
        </w:rPr>
      </w:pPr>
      <w:r>
        <w:rPr>
          <w:rFonts w:hint="eastAsia" w:ascii="宋体" w:hAnsi="宋体"/>
          <w:kern w:val="0"/>
          <w:sz w:val="21"/>
        </w:rPr>
        <w:t>9、谈判响应文件提供虚假材料的；</w:t>
      </w:r>
    </w:p>
    <w:p w14:paraId="6C074AF1">
      <w:pPr>
        <w:adjustRightInd w:val="0"/>
        <w:snapToGrid w:val="0"/>
        <w:spacing w:line="360" w:lineRule="auto"/>
        <w:ind w:firstLine="420" w:firstLineChars="200"/>
        <w:jc w:val="left"/>
        <w:rPr>
          <w:rFonts w:ascii="宋体" w:hAnsi="宋体"/>
          <w:kern w:val="0"/>
          <w:sz w:val="21"/>
        </w:rPr>
      </w:pPr>
      <w:r>
        <w:rPr>
          <w:rFonts w:hint="eastAsia" w:ascii="宋体" w:hAnsi="宋体"/>
          <w:kern w:val="0"/>
          <w:sz w:val="21"/>
        </w:rPr>
        <w:t>10、不符合中华人民共和国财政部令第87号《政府采购货物和服务招标投标管理办法》第三十七条情形之一的，视为投标人串通投标，其投标无效，并移送采购监管部门：</w:t>
      </w:r>
    </w:p>
    <w:p w14:paraId="62401F1E">
      <w:pPr>
        <w:adjustRightInd w:val="0"/>
        <w:snapToGrid w:val="0"/>
        <w:spacing w:line="360" w:lineRule="auto"/>
        <w:ind w:firstLine="420" w:firstLineChars="200"/>
        <w:jc w:val="left"/>
        <w:rPr>
          <w:rFonts w:ascii="宋体" w:hAnsi="宋体"/>
          <w:kern w:val="0"/>
          <w:sz w:val="21"/>
        </w:rPr>
      </w:pPr>
      <w:r>
        <w:rPr>
          <w:rFonts w:hint="eastAsia" w:ascii="宋体" w:hAnsi="宋体"/>
          <w:kern w:val="0"/>
          <w:sz w:val="21"/>
        </w:rPr>
        <w:t>（1）不同供应商的谈判响应文件由同一单位或者个人编制；</w:t>
      </w:r>
    </w:p>
    <w:p w14:paraId="4764CA47">
      <w:pPr>
        <w:adjustRightInd w:val="0"/>
        <w:snapToGrid w:val="0"/>
        <w:spacing w:line="360" w:lineRule="auto"/>
        <w:ind w:firstLine="420" w:firstLineChars="200"/>
        <w:jc w:val="left"/>
        <w:rPr>
          <w:rFonts w:ascii="宋体" w:hAnsi="宋体"/>
          <w:kern w:val="0"/>
          <w:sz w:val="21"/>
        </w:rPr>
      </w:pPr>
      <w:r>
        <w:rPr>
          <w:rFonts w:hint="eastAsia" w:ascii="宋体" w:hAnsi="宋体"/>
          <w:kern w:val="0"/>
          <w:sz w:val="21"/>
        </w:rPr>
        <w:t>（2）不同供应商委托同一单位或者个人办理谈判事宜；</w:t>
      </w:r>
    </w:p>
    <w:p w14:paraId="6F8257EB">
      <w:pPr>
        <w:adjustRightInd w:val="0"/>
        <w:snapToGrid w:val="0"/>
        <w:spacing w:line="360" w:lineRule="auto"/>
        <w:ind w:firstLine="420" w:firstLineChars="200"/>
        <w:jc w:val="left"/>
        <w:rPr>
          <w:rFonts w:ascii="宋体" w:hAnsi="宋体"/>
          <w:kern w:val="0"/>
          <w:sz w:val="21"/>
        </w:rPr>
      </w:pPr>
      <w:r>
        <w:rPr>
          <w:rFonts w:hint="eastAsia" w:ascii="宋体" w:hAnsi="宋体"/>
          <w:kern w:val="0"/>
          <w:sz w:val="21"/>
        </w:rPr>
        <w:t>（3）不同供应商的谈判响应文件载明的项目管理成员或者联系人员为同一人；</w:t>
      </w:r>
    </w:p>
    <w:p w14:paraId="5A79251F">
      <w:pPr>
        <w:adjustRightInd w:val="0"/>
        <w:snapToGrid w:val="0"/>
        <w:spacing w:line="360" w:lineRule="auto"/>
        <w:ind w:firstLine="420" w:firstLineChars="200"/>
        <w:jc w:val="left"/>
        <w:rPr>
          <w:rFonts w:ascii="宋体" w:hAnsi="宋体"/>
          <w:kern w:val="0"/>
          <w:sz w:val="21"/>
        </w:rPr>
      </w:pPr>
      <w:r>
        <w:rPr>
          <w:rFonts w:hint="eastAsia" w:ascii="宋体" w:hAnsi="宋体"/>
          <w:kern w:val="0"/>
          <w:sz w:val="21"/>
        </w:rPr>
        <w:t>（4）不同供应商的谈判响应文件异常一致或者谈判报价呈规律性差异；</w:t>
      </w:r>
    </w:p>
    <w:p w14:paraId="1C5C24A8">
      <w:pPr>
        <w:adjustRightInd w:val="0"/>
        <w:snapToGrid w:val="0"/>
        <w:spacing w:line="360" w:lineRule="auto"/>
        <w:ind w:firstLine="420" w:firstLineChars="200"/>
        <w:jc w:val="left"/>
        <w:rPr>
          <w:rFonts w:ascii="宋体" w:hAnsi="宋体"/>
          <w:kern w:val="0"/>
          <w:sz w:val="21"/>
        </w:rPr>
      </w:pPr>
      <w:r>
        <w:rPr>
          <w:rFonts w:hint="eastAsia" w:ascii="宋体" w:hAnsi="宋体"/>
          <w:kern w:val="0"/>
          <w:sz w:val="21"/>
        </w:rPr>
        <w:t>（5）不同供应商的谈判响应文件相互混装；</w:t>
      </w:r>
    </w:p>
    <w:p w14:paraId="4CBFF647">
      <w:pPr>
        <w:adjustRightInd w:val="0"/>
        <w:snapToGrid w:val="0"/>
        <w:spacing w:line="360" w:lineRule="auto"/>
        <w:ind w:firstLine="420" w:firstLineChars="200"/>
        <w:jc w:val="left"/>
        <w:rPr>
          <w:rFonts w:ascii="宋体" w:hAnsi="宋体"/>
          <w:kern w:val="0"/>
          <w:sz w:val="21"/>
        </w:rPr>
      </w:pPr>
      <w:r>
        <w:rPr>
          <w:rFonts w:hint="eastAsia" w:ascii="宋体" w:hAnsi="宋体"/>
          <w:kern w:val="0"/>
          <w:sz w:val="21"/>
        </w:rPr>
        <w:t>11、不符合法律、法规以及谈判文件中规定的无效标条款或其他实质性要求的（谈判文件中打“▲”内容及被拒绝的条款）。</w:t>
      </w:r>
    </w:p>
    <w:p w14:paraId="61894442">
      <w:pPr>
        <w:autoSpaceDE w:val="0"/>
        <w:autoSpaceDN w:val="0"/>
        <w:adjustRightInd w:val="0"/>
        <w:snapToGrid w:val="0"/>
        <w:spacing w:line="360" w:lineRule="auto"/>
        <w:ind w:firstLine="420" w:firstLineChars="200"/>
        <w:jc w:val="left"/>
        <w:rPr>
          <w:rFonts w:ascii="宋体" w:hAnsi="宋体"/>
          <w:kern w:val="0"/>
          <w:sz w:val="21"/>
        </w:rPr>
      </w:pPr>
      <w:r>
        <w:rPr>
          <w:rFonts w:hint="eastAsia" w:ascii="宋体" w:hAnsi="宋体"/>
          <w:b/>
          <w:kern w:val="0"/>
          <w:sz w:val="21"/>
        </w:rPr>
        <w:t>（六）有下列情况之一的，本次</w:t>
      </w:r>
      <w:r>
        <w:rPr>
          <w:rFonts w:hint="eastAsia" w:ascii="宋体" w:hAnsi="宋体" w:eastAsia="宋体"/>
          <w:b/>
          <w:kern w:val="0"/>
          <w:sz w:val="21"/>
        </w:rPr>
        <w:t>谈判</w:t>
      </w:r>
      <w:r>
        <w:rPr>
          <w:rFonts w:hint="eastAsia" w:ascii="宋体" w:hAnsi="宋体"/>
          <w:b/>
          <w:kern w:val="0"/>
          <w:sz w:val="21"/>
        </w:rPr>
        <w:t>终止。</w:t>
      </w:r>
    </w:p>
    <w:p w14:paraId="1E9CDF6D">
      <w:pPr>
        <w:autoSpaceDE w:val="0"/>
        <w:autoSpaceDN w:val="0"/>
        <w:spacing w:line="360" w:lineRule="auto"/>
        <w:ind w:firstLine="420" w:firstLineChars="200"/>
        <w:textAlignment w:val="bottom"/>
        <w:rPr>
          <w:rFonts w:ascii="宋体" w:hAnsi="宋体"/>
          <w:sz w:val="21"/>
          <w:szCs w:val="21"/>
        </w:rPr>
      </w:pPr>
      <w:r>
        <w:rPr>
          <w:rFonts w:hint="eastAsia" w:ascii="宋体" w:hAnsi="宋体" w:eastAsia="宋体"/>
          <w:sz w:val="21"/>
          <w:szCs w:val="21"/>
        </w:rPr>
        <w:t>1、</w:t>
      </w:r>
      <w:r>
        <w:rPr>
          <w:rFonts w:ascii="宋体" w:hAnsi="宋体"/>
          <w:sz w:val="21"/>
          <w:szCs w:val="21"/>
        </w:rPr>
        <w:t>出现影响采购公正的违法、违规</w:t>
      </w:r>
      <w:r>
        <w:rPr>
          <w:rFonts w:hint="eastAsia" w:ascii="宋体" w:hAnsi="宋体"/>
          <w:sz w:val="21"/>
          <w:szCs w:val="21"/>
        </w:rPr>
        <w:t>、欺骗行为</w:t>
      </w:r>
      <w:r>
        <w:rPr>
          <w:rFonts w:ascii="宋体" w:hAnsi="宋体"/>
          <w:sz w:val="21"/>
          <w:szCs w:val="21"/>
        </w:rPr>
        <w:t>的；</w:t>
      </w:r>
    </w:p>
    <w:p w14:paraId="28ED4C00">
      <w:pPr>
        <w:autoSpaceDE w:val="0"/>
        <w:autoSpaceDN w:val="0"/>
        <w:spacing w:line="360" w:lineRule="auto"/>
        <w:ind w:firstLine="420" w:firstLineChars="200"/>
        <w:textAlignment w:val="bottom"/>
        <w:rPr>
          <w:rFonts w:ascii="宋体" w:hAnsi="宋体"/>
          <w:sz w:val="21"/>
          <w:szCs w:val="21"/>
        </w:rPr>
      </w:pPr>
      <w:r>
        <w:rPr>
          <w:rFonts w:hint="eastAsia" w:ascii="宋体" w:hAnsi="宋体" w:eastAsia="宋体"/>
          <w:sz w:val="21"/>
          <w:szCs w:val="21"/>
        </w:rPr>
        <w:t>2、</w:t>
      </w:r>
      <w:r>
        <w:rPr>
          <w:rFonts w:ascii="宋体" w:hAnsi="宋体"/>
          <w:sz w:val="21"/>
          <w:szCs w:val="21"/>
        </w:rPr>
        <w:t>因重大变故，采购任务取消的；</w:t>
      </w:r>
    </w:p>
    <w:p w14:paraId="1A80D3A2">
      <w:pPr>
        <w:autoSpaceDE w:val="0"/>
        <w:autoSpaceDN w:val="0"/>
        <w:adjustRightInd w:val="0"/>
        <w:spacing w:line="360" w:lineRule="auto"/>
        <w:ind w:firstLine="420" w:firstLineChars="200"/>
        <w:rPr>
          <w:rFonts w:ascii="宋体" w:hAnsi="宋体"/>
          <w:sz w:val="21"/>
          <w:szCs w:val="21"/>
        </w:rPr>
      </w:pPr>
      <w:r>
        <w:rPr>
          <w:rFonts w:hint="eastAsia" w:ascii="宋体" w:hAnsi="宋体" w:eastAsia="宋体"/>
          <w:sz w:val="21"/>
          <w:szCs w:val="21"/>
        </w:rPr>
        <w:t>3、</w:t>
      </w:r>
      <w:r>
        <w:rPr>
          <w:rFonts w:hint="eastAsia" w:ascii="宋体" w:hAnsi="宋体"/>
          <w:sz w:val="21"/>
          <w:szCs w:val="21"/>
        </w:rPr>
        <w:t>提交谈判响应文件供应商或符合资格条件供应商或实质性响应供应商不足三家的；</w:t>
      </w:r>
    </w:p>
    <w:p w14:paraId="744DEDF7">
      <w:pPr>
        <w:autoSpaceDE w:val="0"/>
        <w:autoSpaceDN w:val="0"/>
        <w:adjustRightInd w:val="0"/>
        <w:spacing w:line="360" w:lineRule="auto"/>
        <w:ind w:firstLine="420" w:firstLineChars="200"/>
        <w:rPr>
          <w:rFonts w:ascii="宋体" w:hAnsi="宋体"/>
          <w:sz w:val="21"/>
          <w:szCs w:val="21"/>
        </w:rPr>
      </w:pPr>
      <w:r>
        <w:rPr>
          <w:rFonts w:hint="eastAsia" w:ascii="宋体" w:hAnsi="宋体"/>
          <w:sz w:val="21"/>
          <w:szCs w:val="21"/>
        </w:rPr>
        <w:t>4、</w:t>
      </w:r>
      <w:r>
        <w:rPr>
          <w:rFonts w:hint="eastAsia" w:ascii="宋体" w:hAnsi="宋体" w:eastAsia="宋体" w:cs="宋体"/>
          <w:sz w:val="21"/>
          <w:szCs w:val="21"/>
        </w:rPr>
        <w:t>谈判小组</w:t>
      </w:r>
      <w:r>
        <w:rPr>
          <w:rFonts w:hint="eastAsia" w:ascii="宋体" w:hAnsi="宋体"/>
          <w:sz w:val="21"/>
          <w:szCs w:val="21"/>
        </w:rPr>
        <w:t>发现采购文件存在歧义、重大缺陷导致评标工作无法进行，或者采购文件内容违反国家有关强制性规定的；</w:t>
      </w:r>
    </w:p>
    <w:p w14:paraId="48477DE9">
      <w:pPr>
        <w:autoSpaceDE w:val="0"/>
        <w:autoSpaceDN w:val="0"/>
        <w:adjustRightInd w:val="0"/>
        <w:spacing w:line="360" w:lineRule="auto"/>
        <w:ind w:firstLine="420" w:firstLineChars="200"/>
        <w:rPr>
          <w:rFonts w:ascii="宋体" w:hAnsi="宋体"/>
          <w:sz w:val="21"/>
          <w:szCs w:val="21"/>
        </w:rPr>
      </w:pPr>
      <w:r>
        <w:rPr>
          <w:rFonts w:hint="eastAsia" w:ascii="宋体" w:hAnsi="宋体"/>
          <w:sz w:val="21"/>
          <w:szCs w:val="21"/>
        </w:rPr>
        <w:t>5、法律、法规和招标文件规定的其他导致评标结果无效的。</w:t>
      </w:r>
    </w:p>
    <w:p w14:paraId="29B7D358">
      <w:pPr>
        <w:tabs>
          <w:tab w:val="left" w:pos="720"/>
          <w:tab w:val="left" w:pos="1260"/>
          <w:tab w:val="left" w:pos="2160"/>
          <w:tab w:val="left" w:pos="2880"/>
          <w:tab w:val="left" w:pos="3600"/>
          <w:tab w:val="left" w:pos="4320"/>
          <w:tab w:val="left" w:pos="5040"/>
          <w:tab w:val="left" w:pos="5760"/>
          <w:tab w:val="left" w:pos="8280"/>
        </w:tabs>
        <w:autoSpaceDE w:val="0"/>
        <w:autoSpaceDN w:val="0"/>
        <w:adjustRightInd w:val="0"/>
        <w:snapToGrid w:val="0"/>
        <w:spacing w:line="360" w:lineRule="auto"/>
        <w:ind w:right="25" w:firstLine="420" w:firstLineChars="200"/>
        <w:jc w:val="left"/>
        <w:rPr>
          <w:rFonts w:ascii="宋体" w:hAnsi="宋体"/>
          <w:b/>
          <w:kern w:val="0"/>
          <w:sz w:val="21"/>
        </w:rPr>
      </w:pPr>
      <w:r>
        <w:rPr>
          <w:rFonts w:hint="eastAsia" w:ascii="宋体" w:hAnsi="宋体"/>
          <w:b/>
          <w:kern w:val="0"/>
          <w:sz w:val="21"/>
        </w:rPr>
        <w:t>（七）</w:t>
      </w:r>
      <w:r>
        <w:rPr>
          <w:rFonts w:hint="eastAsia" w:ascii="宋体" w:hAnsi="宋体" w:eastAsia="宋体"/>
          <w:b/>
          <w:kern w:val="0"/>
          <w:sz w:val="21"/>
        </w:rPr>
        <w:t>谈判</w:t>
      </w:r>
      <w:r>
        <w:rPr>
          <w:rFonts w:hint="eastAsia" w:ascii="宋体" w:hAnsi="宋体"/>
          <w:b/>
          <w:kern w:val="0"/>
          <w:sz w:val="21"/>
        </w:rPr>
        <w:t>原则和方法</w:t>
      </w:r>
    </w:p>
    <w:p w14:paraId="74FFB7CC">
      <w:pPr>
        <w:pStyle w:val="10"/>
        <w:snapToGrid w:val="0"/>
        <w:spacing w:line="360" w:lineRule="auto"/>
        <w:ind w:firstLine="525" w:firstLineChars="250"/>
        <w:rPr>
          <w:rFonts w:hAnsi="宋体"/>
        </w:rPr>
      </w:pPr>
      <w:r>
        <w:rPr>
          <w:rFonts w:hint="eastAsia" w:hAnsi="宋体"/>
        </w:rPr>
        <w:t>1、</w:t>
      </w:r>
      <w:r>
        <w:rPr>
          <w:rFonts w:hint="eastAsia" w:hAnsi="宋体" w:eastAsia="宋体"/>
        </w:rPr>
        <w:t>谈判</w:t>
      </w:r>
      <w:r>
        <w:rPr>
          <w:rFonts w:hint="eastAsia" w:hAnsi="宋体"/>
        </w:rPr>
        <w:t>原则。</w:t>
      </w:r>
      <w:r>
        <w:rPr>
          <w:rFonts w:hint="eastAsia" w:hAnsi="宋体" w:eastAsia="宋体"/>
        </w:rPr>
        <w:t>谈判</w:t>
      </w:r>
      <w:r>
        <w:rPr>
          <w:rFonts w:hint="eastAsia" w:hAnsi="宋体"/>
        </w:rPr>
        <w:t>小组必须公平、公正、客观，不带任何倾向性和启发性；不得向外界透露任何与评审有关的内容；任何单位和个人不得干扰、影响评审的正常进行；</w:t>
      </w:r>
      <w:r>
        <w:rPr>
          <w:rFonts w:hint="eastAsia" w:hAnsi="宋体" w:eastAsia="宋体"/>
        </w:rPr>
        <w:t>谈判</w:t>
      </w:r>
      <w:r>
        <w:rPr>
          <w:rFonts w:hint="eastAsia" w:hAnsi="宋体"/>
        </w:rPr>
        <w:t>小组及有关工作人员不得私下与</w:t>
      </w:r>
      <w:r>
        <w:rPr>
          <w:rFonts w:hint="eastAsia" w:hAnsi="宋体" w:eastAsia="宋体"/>
        </w:rPr>
        <w:t>谈判</w:t>
      </w:r>
      <w:r>
        <w:rPr>
          <w:rFonts w:hint="eastAsia" w:hAnsi="宋体"/>
        </w:rPr>
        <w:t>供应商接触。</w:t>
      </w:r>
    </w:p>
    <w:p w14:paraId="6590E9CA">
      <w:pPr>
        <w:pStyle w:val="10"/>
        <w:snapToGrid w:val="0"/>
        <w:spacing w:line="360" w:lineRule="auto"/>
        <w:ind w:firstLine="525" w:firstLineChars="250"/>
        <w:rPr>
          <w:rFonts w:hAnsi="宋体" w:eastAsia="宋体"/>
        </w:rPr>
      </w:pPr>
      <w:r>
        <w:rPr>
          <w:rFonts w:hint="eastAsia" w:hAnsi="宋体"/>
        </w:rPr>
        <w:t>2、</w:t>
      </w:r>
      <w:r>
        <w:rPr>
          <w:rFonts w:hint="eastAsia" w:hAnsi="宋体" w:eastAsia="宋体"/>
        </w:rPr>
        <w:t>谈判</w:t>
      </w:r>
      <w:r>
        <w:rPr>
          <w:rFonts w:hint="eastAsia" w:hAnsi="宋体"/>
        </w:rPr>
        <w:t>办法</w:t>
      </w:r>
      <w:r>
        <w:rPr>
          <w:rFonts w:hint="eastAsia" w:hAnsi="宋体" w:eastAsia="宋体"/>
        </w:rPr>
        <w:t>：</w:t>
      </w:r>
    </w:p>
    <w:p w14:paraId="58EFBA61">
      <w:pPr>
        <w:pStyle w:val="10"/>
        <w:snapToGrid w:val="0"/>
        <w:spacing w:line="360" w:lineRule="auto"/>
        <w:ind w:firstLine="525" w:firstLineChars="250"/>
        <w:rPr>
          <w:rFonts w:hAnsi="宋体"/>
        </w:rPr>
      </w:pPr>
      <w:r>
        <w:rPr>
          <w:rFonts w:hint="eastAsia" w:hAnsi="宋体"/>
        </w:rPr>
        <w:t>（1）谈判小组应当从质量和服务均能满足谈判文件实质性响应要求的供应商中，按照报价由低到高的顺序确定成交候选人。</w:t>
      </w:r>
    </w:p>
    <w:p w14:paraId="21F7322F">
      <w:pPr>
        <w:pStyle w:val="10"/>
        <w:snapToGrid w:val="0"/>
        <w:spacing w:line="360" w:lineRule="auto"/>
        <w:ind w:firstLine="525" w:firstLineChars="250"/>
        <w:rPr>
          <w:rFonts w:hAnsi="宋体"/>
        </w:rPr>
      </w:pPr>
      <w:r>
        <w:rPr>
          <w:rFonts w:hint="eastAsia" w:hAnsi="宋体"/>
        </w:rPr>
        <w:t>（2）如遇相同最低报价，则由采购人抽签确定成交候选人。</w:t>
      </w:r>
    </w:p>
    <w:p w14:paraId="10595DD6">
      <w:pPr>
        <w:pStyle w:val="10"/>
        <w:snapToGrid w:val="0"/>
        <w:spacing w:line="360" w:lineRule="auto"/>
        <w:ind w:firstLine="420" w:firstLineChars="200"/>
        <w:rPr>
          <w:rFonts w:hAnsi="宋体"/>
        </w:rPr>
      </w:pPr>
      <w:r>
        <w:rPr>
          <w:rFonts w:hint="eastAsia" w:hAnsi="宋体"/>
          <w:b/>
        </w:rPr>
        <w:t>（八）评审过程的监控</w:t>
      </w:r>
    </w:p>
    <w:p w14:paraId="31173554">
      <w:pPr>
        <w:pStyle w:val="10"/>
        <w:snapToGrid w:val="0"/>
        <w:spacing w:line="360" w:lineRule="auto"/>
        <w:ind w:firstLine="525" w:firstLineChars="250"/>
        <w:rPr>
          <w:rFonts w:hAnsi="宋体"/>
        </w:rPr>
      </w:pPr>
      <w:r>
        <w:rPr>
          <w:rFonts w:hint="eastAsia" w:hAnsi="宋体"/>
        </w:rPr>
        <w:t>1、本项目评标过程实行全程录音、录像监控，政府采购监管部门视情进行现场监督，</w:t>
      </w:r>
      <w:r>
        <w:rPr>
          <w:rFonts w:hint="eastAsia" w:hAnsi="宋体" w:eastAsia="宋体"/>
        </w:rPr>
        <w:t>供应商</w:t>
      </w:r>
      <w:r>
        <w:rPr>
          <w:rFonts w:hint="eastAsia" w:hAnsi="宋体"/>
        </w:rPr>
        <w:t>在评标过程中所进行的试图影响评标结果的不公正活动，可能导致其</w:t>
      </w:r>
      <w:r>
        <w:rPr>
          <w:rFonts w:hint="eastAsia" w:hAnsi="宋体" w:eastAsia="宋体"/>
        </w:rPr>
        <w:t>谈判</w:t>
      </w:r>
      <w:r>
        <w:rPr>
          <w:rFonts w:hint="eastAsia" w:hAnsi="宋体"/>
        </w:rPr>
        <w:t>被拒绝。</w:t>
      </w:r>
    </w:p>
    <w:p w14:paraId="320F9053">
      <w:pPr>
        <w:pStyle w:val="10"/>
        <w:snapToGrid w:val="0"/>
        <w:spacing w:line="360" w:lineRule="auto"/>
        <w:ind w:firstLine="525" w:firstLineChars="250"/>
        <w:rPr>
          <w:rFonts w:hAnsi="宋体"/>
        </w:rPr>
      </w:pPr>
      <w:r>
        <w:rPr>
          <w:rFonts w:hint="eastAsia" w:hAnsi="宋体"/>
        </w:rPr>
        <w:t>2、评审过程中出现录音录像采集设备不能正常运行的，应当立即封存评审资料、中止评审活动，直至设备（或替代设备）运转正常或转移至符合条件的场所后继续进行评审工作。</w:t>
      </w:r>
    </w:p>
    <w:p w14:paraId="56D10022">
      <w:pPr>
        <w:pStyle w:val="18"/>
        <w:snapToGrid w:val="0"/>
        <w:spacing w:before="0" w:beforeAutospacing="0" w:after="0" w:afterAutospacing="0" w:line="360" w:lineRule="auto"/>
        <w:ind w:firstLine="422" w:firstLineChars="200"/>
        <w:jc w:val="center"/>
        <w:rPr>
          <w:rFonts w:hint="default"/>
          <w:sz w:val="21"/>
        </w:rPr>
      </w:pPr>
      <w:r>
        <w:rPr>
          <w:rFonts w:eastAsia="宋体"/>
          <w:b/>
          <w:sz w:val="21"/>
        </w:rPr>
        <w:t>四</w:t>
      </w:r>
      <w:r>
        <w:rPr>
          <w:b/>
          <w:sz w:val="21"/>
        </w:rPr>
        <w:t>、</w:t>
      </w:r>
      <w:r>
        <w:rPr>
          <w:rFonts w:eastAsia="宋体"/>
          <w:b/>
          <w:sz w:val="21"/>
        </w:rPr>
        <w:t>谈判</w:t>
      </w:r>
      <w:r>
        <w:rPr>
          <w:b/>
          <w:sz w:val="21"/>
        </w:rPr>
        <w:t>结果确定</w:t>
      </w:r>
    </w:p>
    <w:p w14:paraId="0F8F6802">
      <w:pPr>
        <w:pStyle w:val="18"/>
        <w:snapToGrid w:val="0"/>
        <w:spacing w:before="0" w:beforeAutospacing="0" w:after="0" w:afterAutospacing="0" w:line="360" w:lineRule="auto"/>
        <w:ind w:firstLine="420" w:firstLineChars="200"/>
        <w:jc w:val="both"/>
        <w:rPr>
          <w:rFonts w:hint="default"/>
          <w:sz w:val="21"/>
        </w:rPr>
      </w:pPr>
      <w:r>
        <w:rPr>
          <w:sz w:val="21"/>
        </w:rPr>
        <w:t>1、确定成交供应商。</w:t>
      </w:r>
      <w:r>
        <w:rPr>
          <w:rFonts w:eastAsia="宋体"/>
          <w:sz w:val="21"/>
        </w:rPr>
        <w:t>谈判</w:t>
      </w:r>
      <w:r>
        <w:rPr>
          <w:sz w:val="21"/>
        </w:rPr>
        <w:t>小组根据采购人的《授权意见确认书》，推荐成交候选供应商或直接确定成交供应商。其中推荐成交候选供应商的，采购组织机构在评审结束之日起2个工作日内将评审报告送交采购人，采购人自收到评审报告之日起5个工作日内在评审报告推荐的成交候选人中按顺序确定成交供应商。</w:t>
      </w:r>
    </w:p>
    <w:p w14:paraId="313E95A9">
      <w:pPr>
        <w:snapToGrid w:val="0"/>
        <w:spacing w:line="360" w:lineRule="auto"/>
        <w:ind w:firstLine="420" w:firstLineChars="200"/>
        <w:rPr>
          <w:rFonts w:ascii="宋体" w:hAnsi="宋体"/>
          <w:kern w:val="0"/>
          <w:sz w:val="21"/>
        </w:rPr>
      </w:pPr>
      <w:r>
        <w:rPr>
          <w:rFonts w:hint="eastAsia" w:ascii="宋体" w:hAnsi="宋体"/>
          <w:kern w:val="0"/>
          <w:sz w:val="21"/>
        </w:rPr>
        <w:t>2、发布成交结果公告。采购组织机构应当在成交供应商确定后2个工作日内，在省级以上财政部门指定的政府采购信息发布媒体及相关网站上公告成交结果，并将</w:t>
      </w:r>
      <w:r>
        <w:rPr>
          <w:rFonts w:hint="eastAsia" w:ascii="宋体" w:hAnsi="宋体" w:eastAsia="宋体"/>
          <w:kern w:val="0"/>
          <w:sz w:val="21"/>
        </w:rPr>
        <w:t>谈判</w:t>
      </w:r>
      <w:r>
        <w:rPr>
          <w:rFonts w:hint="eastAsia" w:ascii="宋体" w:hAnsi="宋体"/>
          <w:kern w:val="0"/>
          <w:sz w:val="21"/>
        </w:rPr>
        <w:t>文件随同公告。</w:t>
      </w:r>
    </w:p>
    <w:p w14:paraId="7AAF8D94">
      <w:pPr>
        <w:snapToGrid w:val="0"/>
        <w:spacing w:line="360" w:lineRule="auto"/>
        <w:ind w:firstLine="420" w:firstLineChars="200"/>
        <w:rPr>
          <w:rFonts w:ascii="宋体" w:hAnsi="宋体"/>
          <w:kern w:val="0"/>
          <w:sz w:val="21"/>
        </w:rPr>
      </w:pPr>
      <w:r>
        <w:rPr>
          <w:rFonts w:hint="eastAsia" w:ascii="宋体" w:hAnsi="宋体"/>
          <w:kern w:val="0"/>
          <w:sz w:val="21"/>
        </w:rPr>
        <w:t>3、发出成交通知书。采购组织机构在发布成交结果同时，向成交供应商发出成交通知书。</w:t>
      </w:r>
    </w:p>
    <w:p w14:paraId="50808823">
      <w:pPr>
        <w:snapToGrid w:val="0"/>
        <w:spacing w:line="360" w:lineRule="auto"/>
        <w:ind w:firstLine="422" w:firstLineChars="200"/>
        <w:jc w:val="center"/>
        <w:rPr>
          <w:rFonts w:ascii="宋体" w:hAnsi="宋体"/>
          <w:b/>
          <w:kern w:val="0"/>
          <w:sz w:val="21"/>
        </w:rPr>
      </w:pPr>
      <w:r>
        <w:rPr>
          <w:rFonts w:hint="eastAsia" w:ascii="宋体" w:hAnsi="宋体" w:eastAsia="宋体"/>
          <w:b/>
          <w:kern w:val="0"/>
          <w:sz w:val="21"/>
        </w:rPr>
        <w:t>五</w:t>
      </w:r>
      <w:r>
        <w:rPr>
          <w:rFonts w:hint="eastAsia" w:ascii="宋体" w:hAnsi="宋体"/>
          <w:b/>
          <w:kern w:val="0"/>
          <w:sz w:val="21"/>
        </w:rPr>
        <w:t>、合同签订及公告</w:t>
      </w:r>
    </w:p>
    <w:p w14:paraId="2D216FEB">
      <w:pPr>
        <w:pStyle w:val="2"/>
        <w:snapToGrid w:val="0"/>
        <w:spacing w:line="360" w:lineRule="auto"/>
        <w:ind w:firstLine="422" w:firstLineChars="200"/>
        <w:rPr>
          <w:rFonts w:ascii="宋体" w:hAnsi="宋体" w:eastAsia="宋体" w:cs="宋体"/>
          <w:b/>
          <w:sz w:val="21"/>
        </w:rPr>
      </w:pPr>
      <w:r>
        <w:rPr>
          <w:rFonts w:hint="eastAsia" w:ascii="宋体" w:hAnsi="宋体" w:eastAsia="宋体" w:cs="宋体"/>
          <w:b/>
          <w:sz w:val="21"/>
        </w:rPr>
        <w:t>（一）签订合同</w:t>
      </w:r>
    </w:p>
    <w:p w14:paraId="21F0E503">
      <w:pPr>
        <w:pStyle w:val="18"/>
        <w:snapToGrid w:val="0"/>
        <w:spacing w:before="0" w:beforeAutospacing="0" w:after="0" w:afterAutospacing="0" w:line="360" w:lineRule="auto"/>
        <w:ind w:firstLine="525" w:firstLineChars="250"/>
        <w:jc w:val="both"/>
        <w:rPr>
          <w:rFonts w:hint="default"/>
          <w:sz w:val="21"/>
        </w:rPr>
      </w:pPr>
      <w:r>
        <w:rPr>
          <w:sz w:val="21"/>
        </w:rPr>
        <w:t>1、采购人应当自成交通知书发出之日起30日内，按照</w:t>
      </w:r>
      <w:r>
        <w:rPr>
          <w:rFonts w:eastAsia="宋体"/>
          <w:sz w:val="21"/>
        </w:rPr>
        <w:t>谈判</w:t>
      </w:r>
      <w:r>
        <w:rPr>
          <w:sz w:val="21"/>
        </w:rPr>
        <w:t>采购文件确定的合同文本以及采购标的、规格型号、采购金额、采购数量和服务要求等事项签订政府采购合同。</w:t>
      </w:r>
    </w:p>
    <w:p w14:paraId="2538E709">
      <w:pPr>
        <w:pStyle w:val="18"/>
        <w:snapToGrid w:val="0"/>
        <w:spacing w:before="0" w:beforeAutospacing="0" w:after="0" w:afterAutospacing="0" w:line="360" w:lineRule="auto"/>
        <w:ind w:firstLine="525" w:firstLineChars="250"/>
        <w:jc w:val="both"/>
        <w:rPr>
          <w:rFonts w:hint="default"/>
          <w:sz w:val="21"/>
        </w:rPr>
      </w:pPr>
      <w:r>
        <w:rPr>
          <w:sz w:val="21"/>
        </w:rPr>
        <w:t>2、采购人不得向成交供应商提出超出</w:t>
      </w:r>
      <w:r>
        <w:rPr>
          <w:rFonts w:eastAsia="宋体"/>
          <w:sz w:val="21"/>
        </w:rPr>
        <w:t>谈判</w:t>
      </w:r>
      <w:r>
        <w:rPr>
          <w:sz w:val="21"/>
        </w:rPr>
        <w:t>文件以外的任何要求作为签订合同的条件，不得与成交供应商订立背离</w:t>
      </w:r>
      <w:r>
        <w:rPr>
          <w:rFonts w:eastAsia="宋体"/>
          <w:sz w:val="21"/>
        </w:rPr>
        <w:t>谈判</w:t>
      </w:r>
      <w:r>
        <w:rPr>
          <w:sz w:val="21"/>
        </w:rPr>
        <w:t>文件确定的合同文本以及采购标的、规格型号、采购金额、采购数量和服务要求等实质性内容的协议。</w:t>
      </w:r>
    </w:p>
    <w:p w14:paraId="3232BC15">
      <w:pPr>
        <w:pStyle w:val="18"/>
        <w:snapToGrid w:val="0"/>
        <w:spacing w:before="0" w:beforeAutospacing="0" w:after="0" w:afterAutospacing="0" w:line="360" w:lineRule="auto"/>
        <w:ind w:firstLine="525" w:firstLineChars="250"/>
        <w:jc w:val="both"/>
        <w:rPr>
          <w:rFonts w:hint="default"/>
          <w:sz w:val="21"/>
        </w:rPr>
      </w:pPr>
      <w:r>
        <w:rPr>
          <w:sz w:val="21"/>
        </w:rPr>
        <w:t>3、成交供应商无故拖延、拒签合同的,取消成交资格。</w:t>
      </w:r>
    </w:p>
    <w:p w14:paraId="3CAEC90E">
      <w:pPr>
        <w:pStyle w:val="18"/>
        <w:snapToGrid w:val="0"/>
        <w:spacing w:before="0" w:beforeAutospacing="0" w:after="0" w:afterAutospacing="0" w:line="360" w:lineRule="auto"/>
        <w:ind w:firstLine="525" w:firstLineChars="250"/>
        <w:jc w:val="both"/>
        <w:rPr>
          <w:rFonts w:hint="default"/>
          <w:sz w:val="21"/>
        </w:rPr>
      </w:pPr>
      <w:r>
        <w:rPr>
          <w:sz w:val="21"/>
        </w:rPr>
        <w:t>4、成交供应商拒绝与采购人签订合同的，采购人可以按照评审报告推荐的成交候选供应商名单排序，确定下一候选供应商为成交供应商，也可以重新开展政府采购活动。同时，拒绝与采购人签订合同的供应商，由同级财政部门依法作出处理。</w:t>
      </w:r>
    </w:p>
    <w:p w14:paraId="2FDDD521">
      <w:pPr>
        <w:pStyle w:val="18"/>
        <w:snapToGrid w:val="0"/>
        <w:spacing w:before="0" w:beforeAutospacing="0" w:after="0" w:afterAutospacing="0" w:line="360" w:lineRule="auto"/>
        <w:ind w:firstLine="525" w:firstLineChars="250"/>
        <w:jc w:val="both"/>
        <w:rPr>
          <w:rFonts w:hint="default"/>
          <w:sz w:val="21"/>
        </w:rPr>
      </w:pPr>
      <w:r>
        <w:rPr>
          <w:sz w:val="21"/>
        </w:rPr>
        <w:t>5、询问或者质疑事项可能影响成交结果的，采购人应当暂停签订合同，已经签订合同的，应当中止履行合同（成交结果的质疑期为成交结果公告期限届满之日起七个工作日）。</w:t>
      </w:r>
    </w:p>
    <w:p w14:paraId="2A41CDE5">
      <w:pPr>
        <w:pStyle w:val="18"/>
        <w:snapToGrid w:val="0"/>
        <w:spacing w:before="0" w:beforeAutospacing="0" w:after="0" w:afterAutospacing="0" w:line="360" w:lineRule="auto"/>
        <w:ind w:firstLine="525" w:firstLineChars="250"/>
        <w:jc w:val="both"/>
        <w:rPr>
          <w:rFonts w:hint="default" w:eastAsia="宋体"/>
          <w:sz w:val="21"/>
        </w:rPr>
      </w:pPr>
      <w:r>
        <w:rPr>
          <w:rFonts w:eastAsia="宋体"/>
          <w:sz w:val="21"/>
        </w:rPr>
        <w:t>6、</w:t>
      </w:r>
      <w:r>
        <w:rPr>
          <w:sz w:val="21"/>
        </w:rPr>
        <w:t>采购人应当自政府采购合同签订之日起2个工作日内，在省级以上财政部门指定的政府采购信息发布媒体及相关网站上公告。</w:t>
      </w:r>
    </w:p>
    <w:bookmarkEnd w:id="27"/>
    <w:p w14:paraId="0C92B4DE">
      <w:pPr>
        <w:rPr>
          <w:rFonts w:ascii="宋体" w:hAnsi="宋体" w:eastAsia="宋体" w:cs="宋体"/>
          <w:b/>
          <w:sz w:val="30"/>
          <w:szCs w:val="30"/>
        </w:rPr>
      </w:pPr>
      <w:bookmarkStart w:id="40" w:name="_Toc173810699"/>
      <w:bookmarkStart w:id="41" w:name="_Toc306901457"/>
    </w:p>
    <w:p w14:paraId="1FF3D713">
      <w:pPr>
        <w:widowControl/>
        <w:jc w:val="left"/>
        <w:rPr>
          <w:rFonts w:ascii="宋体" w:hAnsi="宋体" w:eastAsia="宋体" w:cs="宋体"/>
          <w:b/>
          <w:sz w:val="30"/>
          <w:szCs w:val="30"/>
        </w:rPr>
      </w:pPr>
      <w:r>
        <w:rPr>
          <w:rFonts w:ascii="宋体" w:hAnsi="宋体" w:eastAsia="宋体" w:cs="宋体"/>
          <w:b/>
          <w:sz w:val="30"/>
          <w:szCs w:val="30"/>
        </w:rPr>
        <w:br w:type="page"/>
      </w:r>
    </w:p>
    <w:bookmarkEnd w:id="40"/>
    <w:bookmarkEnd w:id="41"/>
    <w:p w14:paraId="27D05C64">
      <w:pPr>
        <w:numPr>
          <w:ilvl w:val="0"/>
          <w:numId w:val="3"/>
        </w:numPr>
        <w:autoSpaceDE w:val="0"/>
        <w:autoSpaceDN w:val="0"/>
        <w:adjustRightInd w:val="0"/>
        <w:jc w:val="center"/>
        <w:outlineLvl w:val="0"/>
        <w:rPr>
          <w:rFonts w:ascii="宋体" w:hAnsi="宋体" w:eastAsia="宋体" w:cs="宋体"/>
          <w:b/>
          <w:sz w:val="28"/>
          <w:szCs w:val="28"/>
        </w:rPr>
      </w:pPr>
      <w:r>
        <w:rPr>
          <w:rFonts w:hint="eastAsia" w:ascii="宋体" w:hAnsi="宋体" w:eastAsia="宋体" w:cs="宋体"/>
          <w:b/>
          <w:sz w:val="28"/>
          <w:szCs w:val="28"/>
        </w:rPr>
        <w:t>合同主要条款</w:t>
      </w:r>
    </w:p>
    <w:p w14:paraId="02EF69B0">
      <w:pPr>
        <w:keepNext/>
        <w:keepLines/>
        <w:tabs>
          <w:tab w:val="left" w:pos="0"/>
        </w:tabs>
        <w:spacing w:before="260" w:after="260"/>
        <w:jc w:val="center"/>
        <w:outlineLvl w:val="1"/>
        <w:rPr>
          <w:rFonts w:ascii="Times New Roman" w:hAnsi="Arial" w:eastAsia="黑体"/>
          <w:b/>
          <w:sz w:val="28"/>
          <w:szCs w:val="28"/>
        </w:rPr>
      </w:pPr>
      <w:bookmarkStart w:id="42" w:name="_Toc240724385"/>
      <w:bookmarkStart w:id="43" w:name="_Toc306901462"/>
      <w:r>
        <w:rPr>
          <w:rFonts w:hint="eastAsia" w:ascii="Times New Roman" w:hAnsi="Times New Roman" w:eastAsia="宋体"/>
          <w:sz w:val="21"/>
        </w:rPr>
        <w:t>注：该合同样本仅做参考，成交后，以采购人与供应商签订的正式合同为准。</w:t>
      </w:r>
    </w:p>
    <w:p w14:paraId="6946FD9F">
      <w:pPr>
        <w:keepNext/>
        <w:keepLines/>
        <w:tabs>
          <w:tab w:val="left" w:pos="0"/>
        </w:tabs>
        <w:spacing w:before="260" w:after="260"/>
        <w:jc w:val="center"/>
        <w:outlineLvl w:val="1"/>
        <w:rPr>
          <w:rFonts w:ascii="Times New Roman" w:hAnsi="Arial" w:eastAsia="黑体"/>
          <w:b/>
          <w:bCs/>
          <w:sz w:val="32"/>
          <w:szCs w:val="32"/>
        </w:rPr>
      </w:pPr>
      <w:r>
        <w:rPr>
          <w:rFonts w:ascii="Times New Roman" w:hAnsi="Arial" w:eastAsia="黑体"/>
          <w:b/>
          <w:sz w:val="28"/>
          <w:szCs w:val="28"/>
        </w:rPr>
        <w:t xml:space="preserve">第一部分  </w:t>
      </w:r>
      <w:r>
        <w:rPr>
          <w:rFonts w:hint="eastAsia" w:ascii="Times New Roman" w:hAnsi="Arial" w:eastAsia="黑体"/>
          <w:b/>
          <w:sz w:val="28"/>
          <w:szCs w:val="28"/>
        </w:rPr>
        <w:t>合同</w:t>
      </w:r>
      <w:r>
        <w:rPr>
          <w:rFonts w:ascii="Times New Roman" w:hAnsi="Arial" w:eastAsia="黑体"/>
          <w:b/>
          <w:sz w:val="28"/>
          <w:szCs w:val="28"/>
        </w:rPr>
        <w:t>协议书</w:t>
      </w:r>
    </w:p>
    <w:p w14:paraId="18A1584F">
      <w:pPr>
        <w:adjustRightInd w:val="0"/>
        <w:snapToGrid w:val="0"/>
        <w:spacing w:line="360" w:lineRule="auto"/>
        <w:ind w:firstLine="422" w:firstLineChars="200"/>
        <w:rPr>
          <w:rFonts w:ascii="Times New Roman" w:hAnsi="Times New Roman" w:eastAsia="宋体"/>
          <w:sz w:val="21"/>
          <w:u w:val="single"/>
        </w:rPr>
      </w:pPr>
      <w:bookmarkStart w:id="44" w:name="_Toc351203652"/>
      <w:r>
        <w:rPr>
          <w:rFonts w:ascii="Times New Roman" w:hAnsi="Times New Roman" w:eastAsia="宋体"/>
          <w:b/>
          <w:sz w:val="21"/>
        </w:rPr>
        <w:t>发包人（全称）</w:t>
      </w:r>
      <w:r>
        <w:rPr>
          <w:rFonts w:ascii="Times New Roman" w:hAnsi="Times New Roman" w:eastAsia="宋体"/>
          <w:sz w:val="21"/>
        </w:rPr>
        <w:t>：</w:t>
      </w:r>
      <w:r>
        <w:rPr>
          <w:rFonts w:ascii="Times New Roman" w:hAnsi="Times New Roman" w:eastAsia="宋体"/>
          <w:sz w:val="21"/>
          <w:u w:val="single"/>
        </w:rPr>
        <w:t xml:space="preserve">   </w:t>
      </w:r>
      <w:r>
        <w:rPr>
          <w:rFonts w:hint="eastAsia" w:ascii="Times New Roman" w:hAnsi="Times New Roman" w:eastAsia="宋体"/>
          <w:i/>
          <w:sz w:val="21"/>
          <w:u w:val="single"/>
          <w:lang w:eastAsia="zh-CN"/>
        </w:rPr>
        <w:t>仙居县白塔镇人民政府</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p>
    <w:p w14:paraId="5730B656">
      <w:pPr>
        <w:adjustRightInd w:val="0"/>
        <w:snapToGrid w:val="0"/>
        <w:spacing w:line="360" w:lineRule="auto"/>
        <w:ind w:firstLine="422" w:firstLineChars="200"/>
        <w:rPr>
          <w:rFonts w:ascii="Times New Roman" w:hAnsi="Times New Roman" w:eastAsia="宋体"/>
          <w:sz w:val="21"/>
        </w:rPr>
      </w:pPr>
      <w:r>
        <w:rPr>
          <w:rFonts w:ascii="Times New Roman" w:hAnsi="Times New Roman" w:eastAsia="宋体"/>
          <w:b/>
          <w:sz w:val="21"/>
        </w:rPr>
        <w:t>承包人（全称）</w:t>
      </w:r>
      <w:r>
        <w:rPr>
          <w:rFonts w:ascii="Times New Roman" w:hAnsi="Times New Roman" w:eastAsia="宋体"/>
          <w:sz w:val="21"/>
        </w:rPr>
        <w:t>：</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p>
    <w:p w14:paraId="041EF00A">
      <w:pPr>
        <w:adjustRightInd w:val="0"/>
        <w:snapToGrid w:val="0"/>
        <w:spacing w:line="360" w:lineRule="auto"/>
        <w:ind w:firstLine="420" w:firstLineChars="200"/>
        <w:rPr>
          <w:rFonts w:ascii="Times New Roman" w:hAnsi="Times New Roman" w:eastAsia="宋体"/>
          <w:sz w:val="21"/>
        </w:rPr>
      </w:pPr>
      <w:r>
        <w:rPr>
          <w:rFonts w:ascii="Times New Roman" w:hAnsi="Times New Roman" w:eastAsia="宋体"/>
          <w:sz w:val="21"/>
        </w:rPr>
        <w:t>依照《中华人民共和国</w:t>
      </w:r>
      <w:r>
        <w:rPr>
          <w:rFonts w:hint="eastAsia" w:ascii="Times New Roman" w:hAnsi="Times New Roman" w:eastAsia="宋体"/>
          <w:sz w:val="21"/>
        </w:rPr>
        <w:t>民法典</w:t>
      </w:r>
      <w:r>
        <w:rPr>
          <w:rFonts w:ascii="Times New Roman" w:hAnsi="Times New Roman" w:eastAsia="宋体"/>
          <w:sz w:val="21"/>
        </w:rPr>
        <w:t>》、《中华人民共和国建筑法》及其他有关法律、行政法规、遵循平等、自愿、公平和诚实信用的原则，双方就本建设工程施工项协商一致，订立本合同。</w:t>
      </w:r>
    </w:p>
    <w:p w14:paraId="06502A70">
      <w:pPr>
        <w:adjustRightInd w:val="0"/>
        <w:snapToGrid w:val="0"/>
        <w:spacing w:line="360" w:lineRule="auto"/>
        <w:ind w:firstLine="422" w:firstLineChars="200"/>
        <w:rPr>
          <w:rFonts w:ascii="Times New Roman" w:hAnsi="Times New Roman" w:eastAsia="宋体"/>
          <w:b/>
          <w:sz w:val="21"/>
        </w:rPr>
      </w:pPr>
      <w:r>
        <w:rPr>
          <w:rFonts w:ascii="Times New Roman" w:hAnsi="Times New Roman" w:eastAsia="宋体"/>
          <w:b/>
          <w:sz w:val="21"/>
        </w:rPr>
        <w:t>一、工程概况</w:t>
      </w:r>
    </w:p>
    <w:p w14:paraId="2F9B004F">
      <w:pPr>
        <w:adjustRightInd w:val="0"/>
        <w:snapToGrid w:val="0"/>
        <w:spacing w:line="360" w:lineRule="auto"/>
        <w:ind w:firstLine="420" w:firstLineChars="200"/>
        <w:rPr>
          <w:rFonts w:hint="eastAsia" w:ascii="Times New Roman" w:hAnsi="Times New Roman" w:eastAsia="宋体"/>
          <w:sz w:val="21"/>
          <w:lang w:eastAsia="zh-CN"/>
        </w:rPr>
      </w:pPr>
      <w:r>
        <w:rPr>
          <w:rFonts w:hint="eastAsia" w:ascii="Times New Roman" w:hAnsi="Times New Roman" w:eastAsia="宋体"/>
          <w:sz w:val="21"/>
        </w:rPr>
        <w:t>1.</w:t>
      </w:r>
      <w:r>
        <w:rPr>
          <w:rFonts w:ascii="Times New Roman" w:hAnsi="Times New Roman" w:eastAsia="宋体"/>
          <w:sz w:val="21"/>
        </w:rPr>
        <w:t>工程名称：</w:t>
      </w:r>
      <w:r>
        <w:rPr>
          <w:rFonts w:hint="eastAsia" w:ascii="Times New Roman" w:hAnsi="Times New Roman" w:eastAsia="宋体"/>
          <w:i/>
          <w:sz w:val="21"/>
          <w:u w:val="single"/>
          <w:lang w:eastAsia="zh-CN"/>
        </w:rPr>
        <w:t>白塔镇景园村关金生态停车场建设项目</w:t>
      </w:r>
    </w:p>
    <w:p w14:paraId="637FD246">
      <w:pPr>
        <w:numPr>
          <w:ilvl w:val="0"/>
          <w:numId w:val="4"/>
        </w:numPr>
        <w:adjustRightInd w:val="0"/>
        <w:snapToGrid w:val="0"/>
        <w:spacing w:line="360" w:lineRule="auto"/>
        <w:ind w:firstLine="420" w:firstLineChars="200"/>
        <w:rPr>
          <w:rFonts w:ascii="Times New Roman" w:hAnsi="Times New Roman" w:eastAsia="宋体"/>
          <w:sz w:val="21"/>
          <w:u w:val="single"/>
        </w:rPr>
      </w:pPr>
      <w:r>
        <w:rPr>
          <w:rFonts w:ascii="Times New Roman" w:hAnsi="Times New Roman" w:eastAsia="宋体"/>
          <w:sz w:val="21"/>
        </w:rPr>
        <w:t>工程地点：</w:t>
      </w:r>
      <w:r>
        <w:rPr>
          <w:rFonts w:hint="eastAsia" w:ascii="Times New Roman" w:hAnsi="Times New Roman" w:eastAsia="宋体"/>
          <w:i/>
          <w:sz w:val="21"/>
          <w:u w:val="single"/>
        </w:rPr>
        <w:t xml:space="preserve">仙居县 </w:t>
      </w:r>
      <w:r>
        <w:rPr>
          <w:rFonts w:hint="eastAsia" w:ascii="Times New Roman" w:hAnsi="Times New Roman" w:eastAsia="宋体"/>
          <w:sz w:val="21"/>
          <w:u w:val="single"/>
        </w:rPr>
        <w:t xml:space="preserve">    </w:t>
      </w:r>
    </w:p>
    <w:p w14:paraId="47DEA254">
      <w:pPr>
        <w:adjustRightInd w:val="0"/>
        <w:snapToGrid w:val="0"/>
        <w:spacing w:line="360" w:lineRule="auto"/>
        <w:rPr>
          <w:rFonts w:ascii="Times New Roman" w:hAnsi="Times New Roman" w:eastAsia="宋体"/>
          <w:sz w:val="21"/>
          <w:szCs w:val="21"/>
          <w:u w:val="single"/>
        </w:rPr>
      </w:pPr>
      <w:r>
        <w:rPr>
          <w:rFonts w:hint="eastAsia" w:ascii="Times New Roman" w:hAnsi="Times New Roman" w:eastAsia="宋体"/>
          <w:sz w:val="21"/>
          <w:szCs w:val="21"/>
        </w:rPr>
        <w:t xml:space="preserve">    3.工程立项批准文号：</w:t>
      </w:r>
      <w:r>
        <w:rPr>
          <w:rFonts w:hint="eastAsia" w:ascii="Times New Roman" w:hAnsi="Times New Roman" w:eastAsia="宋体"/>
          <w:sz w:val="21"/>
          <w:szCs w:val="21"/>
          <w:u w:val="single"/>
        </w:rPr>
        <w:t xml:space="preserve"> </w:t>
      </w:r>
      <w:r>
        <w:rPr>
          <w:rFonts w:hint="eastAsia" w:ascii="Times New Roman" w:hAnsi="Times New Roman" w:eastAsia="宋体"/>
          <w:i/>
          <w:sz w:val="21"/>
          <w:szCs w:val="21"/>
          <w:u w:val="single"/>
        </w:rPr>
        <w:t xml:space="preserve">        </w:t>
      </w:r>
    </w:p>
    <w:p w14:paraId="72B44BBC">
      <w:pPr>
        <w:tabs>
          <w:tab w:val="left" w:pos="574"/>
        </w:tabs>
        <w:adjustRightInd w:val="0"/>
        <w:snapToGrid w:val="0"/>
        <w:spacing w:line="360" w:lineRule="auto"/>
        <w:ind w:firstLine="420" w:firstLineChars="200"/>
        <w:rPr>
          <w:rFonts w:ascii="Times New Roman" w:hAnsi="Times New Roman" w:eastAsia="宋体"/>
          <w:sz w:val="21"/>
        </w:rPr>
      </w:pPr>
      <w:r>
        <w:rPr>
          <w:rFonts w:hint="eastAsia" w:ascii="Times New Roman" w:hAnsi="Times New Roman" w:eastAsia="宋体"/>
          <w:sz w:val="21"/>
        </w:rPr>
        <w:t>4.资金来源：</w:t>
      </w:r>
      <w:r>
        <w:rPr>
          <w:rFonts w:hint="eastAsia" w:ascii="Times New Roman" w:hAnsi="Times New Roman" w:eastAsia="宋体"/>
          <w:sz w:val="21"/>
          <w:u w:val="single"/>
        </w:rPr>
        <w:t xml:space="preserve">  财政拨款  </w:t>
      </w:r>
    </w:p>
    <w:p w14:paraId="6D73CCFE">
      <w:pPr>
        <w:tabs>
          <w:tab w:val="left" w:pos="574"/>
        </w:tabs>
        <w:adjustRightInd w:val="0"/>
        <w:snapToGrid w:val="0"/>
        <w:spacing w:after="120" w:line="360" w:lineRule="auto"/>
        <w:ind w:firstLine="420" w:firstLineChars="200"/>
        <w:rPr>
          <w:rFonts w:ascii="宋体" w:hAnsi="宋体" w:eastAsia="宋体"/>
          <w:i/>
          <w:sz w:val="21"/>
          <w:szCs w:val="21"/>
          <w:u w:val="single"/>
        </w:rPr>
      </w:pPr>
      <w:r>
        <w:rPr>
          <w:rFonts w:hint="eastAsia" w:ascii="Times New Roman" w:hAnsi="Times New Roman" w:eastAsia="宋体"/>
          <w:sz w:val="21"/>
        </w:rPr>
        <w:t>5.</w:t>
      </w:r>
      <w:r>
        <w:rPr>
          <w:rFonts w:ascii="Times New Roman" w:hAnsi="Times New Roman" w:eastAsia="宋体"/>
          <w:sz w:val="21"/>
        </w:rPr>
        <w:t>工程内容：</w:t>
      </w:r>
      <w:r>
        <w:rPr>
          <w:rFonts w:hint="eastAsia" w:ascii="宋体" w:hAnsi="宋体" w:eastAsia="宋体"/>
          <w:i/>
          <w:sz w:val="21"/>
          <w:u w:val="single"/>
        </w:rPr>
        <w:t>发包人提供的施工图纸及预算书中所包含的建筑、安装工程等工作内容，具体详见工程量清单及编制说明。</w:t>
      </w:r>
    </w:p>
    <w:p w14:paraId="383DD602">
      <w:pPr>
        <w:adjustRightInd w:val="0"/>
        <w:snapToGrid w:val="0"/>
        <w:spacing w:line="360" w:lineRule="auto"/>
        <w:ind w:firstLine="420" w:firstLineChars="200"/>
        <w:rPr>
          <w:rFonts w:ascii="Times New Roman" w:hAnsi="Times New Roman" w:eastAsia="宋体"/>
          <w:sz w:val="21"/>
        </w:rPr>
      </w:pPr>
      <w:r>
        <w:rPr>
          <w:rFonts w:hint="eastAsia" w:ascii="Times New Roman" w:hAnsi="Times New Roman" w:eastAsia="宋体"/>
          <w:sz w:val="21"/>
        </w:rPr>
        <w:t>群体工程应附《</w:t>
      </w:r>
      <w:r>
        <w:rPr>
          <w:rFonts w:ascii="Times New Roman" w:hAnsi="Times New Roman" w:eastAsia="宋体"/>
          <w:sz w:val="21"/>
        </w:rPr>
        <w:t>承包人承揽工程项目一览表</w:t>
      </w:r>
      <w:r>
        <w:rPr>
          <w:rFonts w:hint="eastAsia" w:ascii="Times New Roman" w:hAnsi="Times New Roman" w:eastAsia="宋体"/>
          <w:sz w:val="21"/>
        </w:rPr>
        <w:t>》（附件1）。</w:t>
      </w:r>
    </w:p>
    <w:p w14:paraId="112CEC2D">
      <w:pPr>
        <w:tabs>
          <w:tab w:val="left" w:pos="574"/>
        </w:tabs>
        <w:adjustRightInd w:val="0"/>
        <w:snapToGrid w:val="0"/>
        <w:spacing w:after="120" w:line="360" w:lineRule="auto"/>
        <w:ind w:firstLine="420" w:firstLineChars="200"/>
        <w:rPr>
          <w:rFonts w:ascii="宋体" w:hAnsi="宋体" w:eastAsia="宋体"/>
          <w:i/>
          <w:sz w:val="21"/>
          <w:szCs w:val="21"/>
          <w:u w:val="single"/>
        </w:rPr>
      </w:pPr>
      <w:r>
        <w:rPr>
          <w:rFonts w:hint="eastAsia" w:ascii="Times New Roman" w:hAnsi="Times New Roman" w:eastAsia="宋体"/>
          <w:sz w:val="21"/>
        </w:rPr>
        <w:t>6.工程</w:t>
      </w:r>
      <w:r>
        <w:rPr>
          <w:rFonts w:ascii="Times New Roman" w:hAnsi="Times New Roman" w:eastAsia="宋体"/>
          <w:sz w:val="21"/>
        </w:rPr>
        <w:t>承包范围：</w:t>
      </w:r>
      <w:r>
        <w:rPr>
          <w:rFonts w:hint="eastAsia" w:ascii="宋体" w:hAnsi="宋体" w:eastAsia="宋体"/>
          <w:i/>
          <w:sz w:val="21"/>
          <w:u w:val="single"/>
        </w:rPr>
        <w:t>发包人提供的施工图纸及预算书中所包含的建筑、安装工程等工作内容，具体详见工程量清单及编制说明。</w:t>
      </w:r>
    </w:p>
    <w:p w14:paraId="23F6F517">
      <w:pPr>
        <w:tabs>
          <w:tab w:val="left" w:pos="574"/>
        </w:tabs>
        <w:adjustRightInd w:val="0"/>
        <w:snapToGrid w:val="0"/>
        <w:spacing w:after="120" w:line="360" w:lineRule="auto"/>
        <w:ind w:firstLine="422" w:firstLineChars="200"/>
        <w:rPr>
          <w:rFonts w:ascii="Times New Roman" w:hAnsi="Times New Roman" w:eastAsia="宋体"/>
          <w:b/>
          <w:sz w:val="21"/>
        </w:rPr>
      </w:pPr>
      <w:r>
        <w:rPr>
          <w:rFonts w:hint="eastAsia" w:ascii="Times New Roman" w:hAnsi="Times New Roman" w:eastAsia="宋体"/>
          <w:b/>
          <w:sz w:val="21"/>
        </w:rPr>
        <w:t>二</w:t>
      </w:r>
      <w:r>
        <w:rPr>
          <w:rFonts w:ascii="Times New Roman" w:hAnsi="Times New Roman" w:eastAsia="宋体"/>
          <w:b/>
          <w:sz w:val="21"/>
        </w:rPr>
        <w:t>、合同工期</w:t>
      </w:r>
    </w:p>
    <w:p w14:paraId="5AA646E4">
      <w:pPr>
        <w:adjustRightInd w:val="0"/>
        <w:snapToGrid w:val="0"/>
        <w:spacing w:line="360" w:lineRule="auto"/>
        <w:ind w:firstLine="420" w:firstLineChars="200"/>
        <w:rPr>
          <w:rFonts w:ascii="Times New Roman" w:hAnsi="Times New Roman" w:eastAsia="宋体"/>
          <w:sz w:val="21"/>
        </w:rPr>
      </w:pPr>
      <w:r>
        <w:rPr>
          <w:rFonts w:ascii="Times New Roman" w:hAnsi="Times New Roman" w:eastAsia="宋体"/>
          <w:sz w:val="21"/>
        </w:rPr>
        <w:t>计划开工日期：</w:t>
      </w:r>
      <w:r>
        <w:rPr>
          <w:rFonts w:ascii="Times New Roman" w:hAnsi="Times New Roman" w:eastAsia="宋体"/>
          <w:sz w:val="21"/>
          <w:u w:val="single"/>
        </w:rPr>
        <w:t xml:space="preserve">         </w:t>
      </w:r>
      <w:r>
        <w:rPr>
          <w:rFonts w:ascii="Times New Roman" w:hAnsi="Times New Roman" w:eastAsia="宋体"/>
          <w:sz w:val="21"/>
        </w:rPr>
        <w:t>年</w:t>
      </w:r>
      <w:r>
        <w:rPr>
          <w:rFonts w:ascii="Times New Roman" w:hAnsi="Times New Roman" w:eastAsia="宋体"/>
          <w:sz w:val="21"/>
          <w:u w:val="single"/>
        </w:rPr>
        <w:t xml:space="preserve">         </w:t>
      </w:r>
      <w:r>
        <w:rPr>
          <w:rFonts w:ascii="Times New Roman" w:hAnsi="Times New Roman" w:eastAsia="宋体"/>
          <w:sz w:val="21"/>
        </w:rPr>
        <w:t>月</w:t>
      </w:r>
      <w:r>
        <w:rPr>
          <w:rFonts w:ascii="Times New Roman" w:hAnsi="Times New Roman" w:eastAsia="宋体"/>
          <w:sz w:val="21"/>
          <w:u w:val="single"/>
        </w:rPr>
        <w:t xml:space="preserve">         </w:t>
      </w:r>
      <w:r>
        <w:rPr>
          <w:rFonts w:ascii="Times New Roman" w:hAnsi="Times New Roman" w:eastAsia="宋体"/>
          <w:sz w:val="21"/>
        </w:rPr>
        <w:t>日。</w:t>
      </w:r>
      <w:r>
        <w:rPr>
          <w:rFonts w:hint="eastAsia" w:ascii="Times New Roman" w:hAnsi="Times New Roman" w:eastAsia="宋体"/>
          <w:sz w:val="21"/>
        </w:rPr>
        <w:t>（以开工令为准）</w:t>
      </w:r>
    </w:p>
    <w:p w14:paraId="7AF54613">
      <w:pPr>
        <w:spacing w:line="360" w:lineRule="auto"/>
        <w:ind w:firstLine="420" w:firstLineChars="200"/>
        <w:rPr>
          <w:rFonts w:ascii="Times New Roman" w:hAnsi="Times New Roman" w:eastAsia="宋体"/>
          <w:sz w:val="21"/>
        </w:rPr>
      </w:pPr>
      <w:r>
        <w:rPr>
          <w:rFonts w:ascii="Times New Roman" w:hAnsi="Times New Roman" w:eastAsia="宋体"/>
          <w:sz w:val="21"/>
        </w:rPr>
        <w:t>计划竣工日期：</w:t>
      </w:r>
      <w:r>
        <w:rPr>
          <w:rFonts w:ascii="Times New Roman" w:hAnsi="Times New Roman" w:eastAsia="宋体"/>
          <w:sz w:val="21"/>
          <w:u w:val="single"/>
        </w:rPr>
        <w:t xml:space="preserve">         </w:t>
      </w:r>
      <w:r>
        <w:rPr>
          <w:rFonts w:ascii="Times New Roman" w:hAnsi="Times New Roman" w:eastAsia="宋体"/>
          <w:sz w:val="21"/>
        </w:rPr>
        <w:t>年</w:t>
      </w:r>
      <w:r>
        <w:rPr>
          <w:rFonts w:ascii="Times New Roman" w:hAnsi="Times New Roman" w:eastAsia="宋体"/>
          <w:sz w:val="21"/>
          <w:u w:val="single"/>
        </w:rPr>
        <w:t xml:space="preserve">         </w:t>
      </w:r>
      <w:r>
        <w:rPr>
          <w:rFonts w:ascii="Times New Roman" w:hAnsi="Times New Roman" w:eastAsia="宋体"/>
          <w:sz w:val="21"/>
        </w:rPr>
        <w:t>月</w:t>
      </w:r>
      <w:r>
        <w:rPr>
          <w:rFonts w:ascii="Times New Roman" w:hAnsi="Times New Roman" w:eastAsia="宋体"/>
          <w:sz w:val="21"/>
          <w:u w:val="single"/>
        </w:rPr>
        <w:t xml:space="preserve">         </w:t>
      </w:r>
      <w:r>
        <w:rPr>
          <w:rFonts w:ascii="Times New Roman" w:hAnsi="Times New Roman" w:eastAsia="宋体"/>
          <w:sz w:val="21"/>
        </w:rPr>
        <w:t>日。</w:t>
      </w:r>
      <w:r>
        <w:rPr>
          <w:rFonts w:hint="eastAsia" w:ascii="Times New Roman" w:hAnsi="Times New Roman" w:eastAsia="宋体"/>
          <w:sz w:val="21"/>
        </w:rPr>
        <w:t>（以竣工报告为准）</w:t>
      </w:r>
    </w:p>
    <w:p w14:paraId="5954EB7E">
      <w:pPr>
        <w:adjustRightInd w:val="0"/>
        <w:snapToGrid w:val="0"/>
        <w:spacing w:line="360" w:lineRule="auto"/>
        <w:ind w:firstLine="420" w:firstLineChars="200"/>
        <w:rPr>
          <w:rFonts w:ascii="Times New Roman" w:hAnsi="Times New Roman" w:eastAsia="宋体"/>
          <w:sz w:val="21"/>
        </w:rPr>
      </w:pPr>
      <w:r>
        <w:rPr>
          <w:rFonts w:ascii="Times New Roman" w:hAnsi="Times New Roman" w:eastAsia="宋体"/>
          <w:sz w:val="21"/>
        </w:rPr>
        <w:t>合同工期总日历天数</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ascii="Times New Roman" w:hAnsi="Times New Roman" w:eastAsia="宋体"/>
          <w:sz w:val="21"/>
        </w:rPr>
        <w:t>天。工期总日历天数与根据前述计划开竣工日期计算的工期天数不一致的，以工期总日历天数为准。</w:t>
      </w:r>
    </w:p>
    <w:p w14:paraId="500D1BE6">
      <w:pPr>
        <w:adjustRightInd w:val="0"/>
        <w:snapToGrid w:val="0"/>
        <w:spacing w:line="360" w:lineRule="auto"/>
        <w:ind w:firstLine="420" w:firstLineChars="200"/>
        <w:rPr>
          <w:rFonts w:ascii="Times New Roman" w:hAnsi="Times New Roman" w:eastAsia="宋体"/>
          <w:sz w:val="21"/>
        </w:rPr>
      </w:pPr>
      <w:r>
        <w:rPr>
          <w:rFonts w:hint="eastAsia" w:ascii="Times New Roman" w:hAnsi="Times New Roman" w:eastAsia="宋体"/>
          <w:sz w:val="21"/>
          <w:szCs w:val="21"/>
        </w:rPr>
        <w:t xml:space="preserve">中间形象进度工期要求：  </w:t>
      </w:r>
      <w:r>
        <w:rPr>
          <w:rFonts w:hint="eastAsia" w:ascii="宋体" w:hAnsi="宋体" w:eastAsia="宋体"/>
          <w:sz w:val="21"/>
          <w:szCs w:val="21"/>
          <w:u w:val="single"/>
        </w:rPr>
        <w:t xml:space="preserve">                                      。</w:t>
      </w:r>
    </w:p>
    <w:p w14:paraId="149FC8AE">
      <w:pPr>
        <w:adjustRightInd w:val="0"/>
        <w:snapToGrid w:val="0"/>
        <w:spacing w:line="360" w:lineRule="auto"/>
        <w:ind w:firstLine="422" w:firstLineChars="200"/>
        <w:rPr>
          <w:rFonts w:ascii="Times New Roman" w:hAnsi="Times New Roman" w:eastAsia="宋体"/>
          <w:b/>
          <w:sz w:val="21"/>
        </w:rPr>
      </w:pPr>
      <w:r>
        <w:rPr>
          <w:rFonts w:hint="eastAsia" w:ascii="Times New Roman" w:hAnsi="Times New Roman" w:eastAsia="宋体"/>
          <w:b/>
          <w:sz w:val="21"/>
        </w:rPr>
        <w:t>三</w:t>
      </w:r>
      <w:r>
        <w:rPr>
          <w:rFonts w:ascii="Times New Roman" w:hAnsi="Times New Roman" w:eastAsia="宋体"/>
          <w:b/>
          <w:sz w:val="21"/>
        </w:rPr>
        <w:t>、质量标准</w:t>
      </w:r>
    </w:p>
    <w:p w14:paraId="0E281840">
      <w:pPr>
        <w:adjustRightInd w:val="0"/>
        <w:snapToGrid w:val="0"/>
        <w:spacing w:line="360" w:lineRule="auto"/>
        <w:ind w:firstLine="420" w:firstLineChars="200"/>
        <w:rPr>
          <w:rFonts w:ascii="Times New Roman" w:hAnsi="Times New Roman" w:eastAsia="宋体"/>
          <w:sz w:val="21"/>
        </w:rPr>
      </w:pPr>
      <w:r>
        <w:rPr>
          <w:rFonts w:ascii="Times New Roman" w:hAnsi="Times New Roman" w:eastAsia="宋体"/>
          <w:sz w:val="21"/>
        </w:rPr>
        <w:t>工程质量符合</w:t>
      </w:r>
      <w:r>
        <w:rPr>
          <w:rFonts w:ascii="Times New Roman" w:hAnsi="Times New Roman" w:eastAsia="宋体"/>
          <w:sz w:val="21"/>
          <w:u w:val="single"/>
        </w:rPr>
        <w:t xml:space="preserve">                                     </w:t>
      </w:r>
      <w:r>
        <w:rPr>
          <w:rFonts w:ascii="Times New Roman" w:hAnsi="Times New Roman" w:eastAsia="宋体"/>
          <w:sz w:val="21"/>
        </w:rPr>
        <w:t>标准。</w:t>
      </w:r>
    </w:p>
    <w:p w14:paraId="0E187E78">
      <w:pPr>
        <w:adjustRightInd w:val="0"/>
        <w:snapToGrid w:val="0"/>
        <w:spacing w:line="360" w:lineRule="auto"/>
        <w:ind w:firstLine="422" w:firstLineChars="200"/>
        <w:rPr>
          <w:rFonts w:ascii="Times New Roman" w:hAnsi="Times New Roman" w:eastAsia="宋体"/>
          <w:b/>
          <w:sz w:val="21"/>
        </w:rPr>
      </w:pPr>
      <w:r>
        <w:rPr>
          <w:rFonts w:hint="eastAsia" w:ascii="Times New Roman" w:hAnsi="Times New Roman" w:eastAsia="宋体"/>
          <w:b/>
          <w:sz w:val="21"/>
        </w:rPr>
        <w:t>四</w:t>
      </w:r>
      <w:r>
        <w:rPr>
          <w:rFonts w:ascii="Times New Roman" w:hAnsi="Times New Roman" w:eastAsia="宋体"/>
          <w:b/>
          <w:sz w:val="21"/>
        </w:rPr>
        <w:t>、签约合同价与合同价格形式</w:t>
      </w:r>
      <w:r>
        <w:rPr>
          <w:rFonts w:ascii="Times New Roman" w:hAnsi="Times New Roman" w:eastAsia="宋体"/>
          <w:b/>
          <w:sz w:val="21"/>
        </w:rPr>
        <w:tab/>
      </w:r>
    </w:p>
    <w:p w14:paraId="149D7315">
      <w:pPr>
        <w:adjustRightInd w:val="0"/>
        <w:snapToGrid w:val="0"/>
        <w:spacing w:line="360" w:lineRule="auto"/>
        <w:ind w:firstLine="420" w:firstLineChars="200"/>
        <w:rPr>
          <w:rFonts w:ascii="Times New Roman" w:hAnsi="Times New Roman" w:eastAsia="宋体"/>
          <w:sz w:val="21"/>
        </w:rPr>
      </w:pPr>
      <w:r>
        <w:rPr>
          <w:rFonts w:ascii="Times New Roman" w:hAnsi="Times New Roman" w:eastAsia="宋体"/>
          <w:sz w:val="21"/>
        </w:rPr>
        <w:t>1.</w:t>
      </w:r>
      <w:r>
        <w:rPr>
          <w:rFonts w:hint="eastAsia" w:ascii="Times New Roman" w:hAnsi="Times New Roman" w:eastAsia="宋体"/>
          <w:sz w:val="21"/>
        </w:rPr>
        <w:t xml:space="preserve"> </w:t>
      </w:r>
      <w:r>
        <w:rPr>
          <w:rFonts w:ascii="Times New Roman" w:hAnsi="Times New Roman" w:eastAsia="宋体"/>
          <w:sz w:val="21"/>
        </w:rPr>
        <w:t>签约合同价为：</w:t>
      </w:r>
    </w:p>
    <w:p w14:paraId="4C730524">
      <w:pPr>
        <w:adjustRightInd w:val="0"/>
        <w:snapToGrid w:val="0"/>
        <w:spacing w:line="360" w:lineRule="auto"/>
        <w:ind w:firstLine="420" w:firstLineChars="200"/>
        <w:rPr>
          <w:rFonts w:ascii="Times New Roman" w:hAnsi="Times New Roman" w:eastAsia="宋体"/>
          <w:sz w:val="21"/>
        </w:rPr>
      </w:pPr>
      <w:r>
        <w:rPr>
          <w:rFonts w:ascii="Times New Roman" w:hAnsi="Times New Roman" w:eastAsia="宋体"/>
          <w:sz w:val="21"/>
        </w:rPr>
        <w:t>人民币（大写）</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ascii="Times New Roman" w:hAnsi="Times New Roman" w:eastAsia="宋体"/>
          <w:sz w:val="21"/>
        </w:rPr>
        <w:t>(¥</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ascii="Times New Roman" w:hAnsi="Times New Roman" w:eastAsia="宋体"/>
          <w:sz w:val="21"/>
        </w:rPr>
        <w:t>元)；</w:t>
      </w:r>
    </w:p>
    <w:p w14:paraId="61AAA256">
      <w:pPr>
        <w:adjustRightInd w:val="0"/>
        <w:snapToGrid w:val="0"/>
        <w:spacing w:line="360" w:lineRule="auto"/>
        <w:ind w:firstLine="420" w:firstLineChars="200"/>
        <w:rPr>
          <w:rFonts w:ascii="Times New Roman" w:hAnsi="Times New Roman" w:eastAsia="宋体"/>
          <w:sz w:val="21"/>
        </w:rPr>
      </w:pPr>
      <w:r>
        <w:rPr>
          <w:rFonts w:ascii="Times New Roman" w:hAnsi="Times New Roman" w:eastAsia="宋体"/>
          <w:sz w:val="21"/>
        </w:rPr>
        <w:t>2.</w:t>
      </w:r>
      <w:r>
        <w:rPr>
          <w:rFonts w:hint="eastAsia" w:ascii="Times New Roman" w:hAnsi="Times New Roman" w:eastAsia="宋体"/>
          <w:sz w:val="21"/>
        </w:rPr>
        <w:t xml:space="preserve"> </w:t>
      </w:r>
      <w:r>
        <w:rPr>
          <w:rFonts w:ascii="Times New Roman" w:hAnsi="Times New Roman" w:eastAsia="宋体"/>
          <w:sz w:val="21"/>
        </w:rPr>
        <w:t>合同价格形式：</w:t>
      </w:r>
      <w:r>
        <w:rPr>
          <w:rFonts w:ascii="Times New Roman" w:hAnsi="Times New Roman" w:eastAsia="宋体"/>
          <w:sz w:val="21"/>
          <w:u w:val="single"/>
        </w:rPr>
        <w:t xml:space="preserve">    </w:t>
      </w:r>
      <w:r>
        <w:rPr>
          <w:rFonts w:hint="eastAsia" w:ascii="Times New Roman" w:hAnsi="Times New Roman" w:eastAsia="宋体"/>
          <w:i/>
          <w:sz w:val="21"/>
          <w:u w:val="single"/>
        </w:rPr>
        <w:t>单价合同</w:t>
      </w:r>
      <w:r>
        <w:rPr>
          <w:rFonts w:ascii="Times New Roman" w:hAnsi="Times New Roman" w:eastAsia="宋体"/>
          <w:sz w:val="21"/>
          <w:u w:val="single"/>
        </w:rPr>
        <w:t xml:space="preserve">       </w:t>
      </w:r>
      <w:r>
        <w:rPr>
          <w:rFonts w:ascii="Times New Roman" w:hAnsi="Times New Roman" w:eastAsia="宋体"/>
          <w:sz w:val="21"/>
        </w:rPr>
        <w:t>。</w:t>
      </w:r>
    </w:p>
    <w:p w14:paraId="6C849EC4">
      <w:pPr>
        <w:adjustRightInd w:val="0"/>
        <w:snapToGrid w:val="0"/>
        <w:spacing w:line="360" w:lineRule="auto"/>
        <w:ind w:firstLine="420" w:firstLineChars="200"/>
        <w:rPr>
          <w:rFonts w:ascii="Times New Roman" w:hAnsi="Times New Roman" w:eastAsia="宋体"/>
          <w:sz w:val="21"/>
        </w:rPr>
      </w:pPr>
      <w:r>
        <w:rPr>
          <w:rFonts w:hint="eastAsia" w:ascii="Times New Roman" w:hAnsi="Times New Roman" w:eastAsia="宋体"/>
          <w:sz w:val="21"/>
        </w:rPr>
        <w:t>3. 发包人向承包人支付工程价款及其他应当支付的款项均须汇入承包人合同协议书中的银行账户，并开具增值税专用发票。</w:t>
      </w:r>
    </w:p>
    <w:p w14:paraId="697AE592">
      <w:pPr>
        <w:adjustRightInd w:val="0"/>
        <w:snapToGrid w:val="0"/>
        <w:spacing w:line="360" w:lineRule="auto"/>
        <w:ind w:firstLine="420" w:firstLineChars="200"/>
        <w:rPr>
          <w:rFonts w:ascii="Times New Roman" w:hAnsi="Times New Roman" w:eastAsia="宋体"/>
          <w:sz w:val="21"/>
        </w:rPr>
      </w:pPr>
      <w:r>
        <w:rPr>
          <w:rFonts w:hint="eastAsia" w:ascii="Times New Roman" w:hAnsi="Times New Roman" w:eastAsia="宋体"/>
          <w:sz w:val="21"/>
        </w:rPr>
        <w:t>根据《关于全面推开营业税改征增值税试点的通知》（财税〔2016〕36号）等有关规定，承包人完成本合同项下应税行为的计税方式按以下第</w:t>
      </w:r>
      <w:r>
        <w:rPr>
          <w:rFonts w:hint="eastAsia" w:ascii="Times New Roman" w:hAnsi="Times New Roman" w:eastAsia="宋体"/>
          <w:sz w:val="21"/>
          <w:u w:val="single"/>
        </w:rPr>
        <w:t xml:space="preserve">  1  </w:t>
      </w:r>
      <w:r>
        <w:rPr>
          <w:rFonts w:hint="eastAsia" w:ascii="Times New Roman" w:hAnsi="Times New Roman" w:eastAsia="宋体"/>
          <w:sz w:val="21"/>
        </w:rPr>
        <w:t>种方法，并与工程计价时采用的计税方法一致。</w:t>
      </w:r>
    </w:p>
    <w:p w14:paraId="5DF4FFA1">
      <w:pPr>
        <w:adjustRightInd w:val="0"/>
        <w:snapToGrid w:val="0"/>
        <w:spacing w:line="360" w:lineRule="auto"/>
        <w:ind w:firstLine="420" w:firstLineChars="200"/>
        <w:rPr>
          <w:rFonts w:ascii="Times New Roman" w:hAnsi="Times New Roman" w:eastAsia="宋体"/>
          <w:sz w:val="21"/>
        </w:rPr>
      </w:pPr>
      <w:r>
        <w:rPr>
          <w:rFonts w:hint="eastAsia" w:ascii="Times New Roman" w:hAnsi="Times New Roman" w:eastAsia="宋体"/>
          <w:sz w:val="21"/>
        </w:rPr>
        <w:t>（1）一般计税方法。</w:t>
      </w:r>
    </w:p>
    <w:p w14:paraId="7266E5D8">
      <w:pPr>
        <w:adjustRightInd w:val="0"/>
        <w:snapToGrid w:val="0"/>
        <w:spacing w:line="360" w:lineRule="auto"/>
        <w:ind w:firstLine="420" w:firstLineChars="200"/>
        <w:rPr>
          <w:rFonts w:ascii="Times New Roman" w:hAnsi="Times New Roman" w:eastAsia="宋体"/>
          <w:sz w:val="21"/>
        </w:rPr>
      </w:pPr>
      <w:r>
        <w:rPr>
          <w:rFonts w:hint="eastAsia" w:ascii="Times New Roman" w:hAnsi="Times New Roman" w:eastAsia="宋体"/>
          <w:sz w:val="21"/>
        </w:rPr>
        <w:t>（2）本工程为</w:t>
      </w:r>
      <w:r>
        <w:rPr>
          <w:rFonts w:hint="eastAsia" w:ascii="Times New Roman" w:hAnsi="Times New Roman" w:eastAsia="宋体"/>
          <w:sz w:val="21"/>
          <w:u w:val="single"/>
        </w:rPr>
        <w:t xml:space="preserve">  /  </w:t>
      </w:r>
      <w:r>
        <w:rPr>
          <w:rFonts w:hint="eastAsia" w:ascii="Times New Roman" w:hAnsi="Times New Roman" w:eastAsia="宋体"/>
          <w:sz w:val="21"/>
        </w:rPr>
        <w:t>工程，按简易计税方法。</w:t>
      </w:r>
    </w:p>
    <w:p w14:paraId="3EF2578A">
      <w:pPr>
        <w:adjustRightInd w:val="0"/>
        <w:snapToGrid w:val="0"/>
        <w:spacing w:line="360" w:lineRule="auto"/>
        <w:ind w:firstLine="422" w:firstLineChars="200"/>
        <w:rPr>
          <w:rFonts w:ascii="Times New Roman" w:hAnsi="Times New Roman" w:eastAsia="宋体"/>
          <w:b/>
          <w:sz w:val="21"/>
        </w:rPr>
      </w:pPr>
      <w:bookmarkStart w:id="45" w:name="_Toc351203485"/>
      <w:r>
        <w:rPr>
          <w:rFonts w:ascii="Times New Roman" w:hAnsi="Times New Roman" w:eastAsia="宋体"/>
          <w:b/>
          <w:sz w:val="21"/>
        </w:rPr>
        <w:t>五、</w:t>
      </w:r>
      <w:bookmarkEnd w:id="45"/>
      <w:r>
        <w:rPr>
          <w:rFonts w:ascii="Times New Roman" w:hAnsi="Times New Roman" w:eastAsia="宋体"/>
          <w:b/>
          <w:sz w:val="21"/>
        </w:rPr>
        <w:t>项目经理</w:t>
      </w:r>
    </w:p>
    <w:p w14:paraId="1546D185">
      <w:pPr>
        <w:adjustRightInd w:val="0"/>
        <w:snapToGrid w:val="0"/>
        <w:spacing w:line="360" w:lineRule="auto"/>
        <w:ind w:firstLine="420" w:firstLineChars="200"/>
        <w:rPr>
          <w:rFonts w:ascii="Times New Roman" w:hAnsi="Times New Roman" w:eastAsia="宋体"/>
          <w:sz w:val="21"/>
        </w:rPr>
      </w:pPr>
      <w:r>
        <w:rPr>
          <w:rFonts w:ascii="Times New Roman" w:hAnsi="Times New Roman" w:eastAsia="宋体"/>
          <w:sz w:val="21"/>
        </w:rPr>
        <w:t>承包人项目经理：</w:t>
      </w:r>
      <w:r>
        <w:rPr>
          <w:rFonts w:ascii="Times New Roman" w:hAnsi="Times New Roman" w:eastAsia="宋体"/>
          <w:sz w:val="21"/>
          <w:u w:val="single"/>
        </w:rPr>
        <w:t xml:space="preserve">                                     </w:t>
      </w:r>
      <w:r>
        <w:rPr>
          <w:rFonts w:ascii="Times New Roman" w:hAnsi="Times New Roman" w:eastAsia="宋体"/>
          <w:sz w:val="21"/>
        </w:rPr>
        <w:t>。</w:t>
      </w:r>
    </w:p>
    <w:p w14:paraId="1FC55B1F">
      <w:pPr>
        <w:adjustRightInd w:val="0"/>
        <w:snapToGrid w:val="0"/>
        <w:spacing w:line="360" w:lineRule="auto"/>
        <w:ind w:firstLine="422" w:firstLineChars="200"/>
        <w:rPr>
          <w:rFonts w:ascii="Times New Roman" w:hAnsi="Times New Roman" w:eastAsia="宋体"/>
          <w:b/>
          <w:sz w:val="21"/>
        </w:rPr>
      </w:pPr>
      <w:bookmarkStart w:id="46" w:name="_Toc351203486"/>
      <w:r>
        <w:rPr>
          <w:rFonts w:ascii="Times New Roman" w:hAnsi="Times New Roman" w:eastAsia="宋体"/>
          <w:b/>
          <w:sz w:val="21"/>
        </w:rPr>
        <w:t>六、合同文件构成</w:t>
      </w:r>
      <w:bookmarkEnd w:id="46"/>
    </w:p>
    <w:p w14:paraId="6B5CCFD3">
      <w:pPr>
        <w:adjustRightInd w:val="0"/>
        <w:snapToGrid w:val="0"/>
        <w:spacing w:line="360" w:lineRule="auto"/>
        <w:ind w:firstLine="420" w:firstLineChars="200"/>
        <w:rPr>
          <w:rFonts w:ascii="Times New Roman" w:hAnsi="Times New Roman" w:eastAsia="宋体"/>
          <w:sz w:val="21"/>
        </w:rPr>
      </w:pPr>
      <w:r>
        <w:rPr>
          <w:rFonts w:ascii="Times New Roman" w:hAnsi="Times New Roman" w:eastAsia="宋体"/>
          <w:sz w:val="21"/>
        </w:rPr>
        <w:t>本协议书与下列文件一起构成合同文件：</w:t>
      </w:r>
    </w:p>
    <w:p w14:paraId="02FF47B5">
      <w:pPr>
        <w:adjustRightInd w:val="0"/>
        <w:snapToGrid w:val="0"/>
        <w:spacing w:line="360" w:lineRule="auto"/>
        <w:ind w:firstLine="420" w:firstLineChars="200"/>
        <w:rPr>
          <w:rFonts w:ascii="Times New Roman" w:hAnsi="Times New Roman" w:eastAsia="宋体"/>
          <w:sz w:val="21"/>
        </w:rPr>
      </w:pPr>
      <w:r>
        <w:rPr>
          <w:rFonts w:ascii="Times New Roman" w:hAnsi="Times New Roman" w:eastAsia="宋体"/>
          <w:sz w:val="21"/>
        </w:rPr>
        <w:t>（1）中标通知书（如果有）；</w:t>
      </w:r>
    </w:p>
    <w:p w14:paraId="39BACE51">
      <w:pPr>
        <w:adjustRightInd w:val="0"/>
        <w:snapToGrid w:val="0"/>
        <w:spacing w:line="360" w:lineRule="auto"/>
        <w:ind w:firstLine="420" w:firstLineChars="200"/>
        <w:rPr>
          <w:rFonts w:ascii="Times New Roman" w:hAnsi="Times New Roman" w:eastAsia="宋体"/>
          <w:sz w:val="21"/>
        </w:rPr>
      </w:pPr>
      <w:r>
        <w:rPr>
          <w:rFonts w:ascii="Times New Roman" w:hAnsi="Times New Roman" w:eastAsia="宋体"/>
          <w:sz w:val="21"/>
        </w:rPr>
        <w:t xml:space="preserve">（2）投标函及其附录（如果有）； </w:t>
      </w:r>
    </w:p>
    <w:p w14:paraId="63A6D086">
      <w:pPr>
        <w:adjustRightInd w:val="0"/>
        <w:snapToGrid w:val="0"/>
        <w:spacing w:line="360" w:lineRule="auto"/>
        <w:ind w:firstLine="420" w:firstLineChars="200"/>
        <w:rPr>
          <w:rFonts w:ascii="Times New Roman" w:hAnsi="Times New Roman" w:eastAsia="宋体"/>
          <w:sz w:val="21"/>
        </w:rPr>
      </w:pPr>
      <w:r>
        <w:rPr>
          <w:rFonts w:ascii="Times New Roman" w:hAnsi="Times New Roman" w:eastAsia="宋体"/>
          <w:sz w:val="21"/>
        </w:rPr>
        <w:t>（3）专用合同条款及其附件；</w:t>
      </w:r>
    </w:p>
    <w:p w14:paraId="4EF0CBBE">
      <w:pPr>
        <w:adjustRightInd w:val="0"/>
        <w:snapToGrid w:val="0"/>
        <w:spacing w:line="360" w:lineRule="auto"/>
        <w:ind w:firstLine="420" w:firstLineChars="200"/>
        <w:rPr>
          <w:rFonts w:ascii="Times New Roman" w:hAnsi="Times New Roman" w:eastAsia="宋体"/>
          <w:sz w:val="21"/>
        </w:rPr>
      </w:pPr>
      <w:r>
        <w:rPr>
          <w:rFonts w:ascii="Times New Roman" w:hAnsi="Times New Roman" w:eastAsia="宋体"/>
          <w:sz w:val="21"/>
        </w:rPr>
        <w:t>（4）通用合同条款；</w:t>
      </w:r>
    </w:p>
    <w:p w14:paraId="7930F1B5">
      <w:pPr>
        <w:adjustRightInd w:val="0"/>
        <w:snapToGrid w:val="0"/>
        <w:spacing w:line="360" w:lineRule="auto"/>
        <w:ind w:firstLine="420" w:firstLineChars="200"/>
        <w:rPr>
          <w:rFonts w:ascii="Times New Roman" w:hAnsi="Times New Roman" w:eastAsia="宋体"/>
          <w:sz w:val="21"/>
        </w:rPr>
      </w:pPr>
      <w:r>
        <w:rPr>
          <w:rFonts w:ascii="Times New Roman" w:hAnsi="Times New Roman" w:eastAsia="宋体"/>
          <w:sz w:val="21"/>
        </w:rPr>
        <w:t>（5）技术标准和要求；</w:t>
      </w:r>
    </w:p>
    <w:p w14:paraId="6BAEFC5F">
      <w:pPr>
        <w:adjustRightInd w:val="0"/>
        <w:snapToGrid w:val="0"/>
        <w:spacing w:line="360" w:lineRule="auto"/>
        <w:ind w:firstLine="420" w:firstLineChars="200"/>
        <w:rPr>
          <w:rFonts w:ascii="Times New Roman" w:hAnsi="Times New Roman" w:eastAsia="宋体"/>
          <w:sz w:val="21"/>
        </w:rPr>
      </w:pPr>
      <w:r>
        <w:rPr>
          <w:rFonts w:ascii="Times New Roman" w:hAnsi="Times New Roman" w:eastAsia="宋体"/>
          <w:sz w:val="21"/>
        </w:rPr>
        <w:t>（6）图纸；</w:t>
      </w:r>
    </w:p>
    <w:p w14:paraId="07887D52">
      <w:pPr>
        <w:adjustRightInd w:val="0"/>
        <w:snapToGrid w:val="0"/>
        <w:spacing w:line="360" w:lineRule="auto"/>
        <w:ind w:firstLine="420" w:firstLineChars="200"/>
        <w:rPr>
          <w:rFonts w:ascii="Times New Roman" w:hAnsi="Times New Roman" w:eastAsia="宋体"/>
          <w:sz w:val="21"/>
        </w:rPr>
      </w:pPr>
      <w:r>
        <w:rPr>
          <w:rFonts w:ascii="Times New Roman" w:hAnsi="Times New Roman" w:eastAsia="宋体"/>
          <w:sz w:val="21"/>
        </w:rPr>
        <w:t>（7）已标价工程量清单或预算书；</w:t>
      </w:r>
    </w:p>
    <w:p w14:paraId="6409DFB8">
      <w:pPr>
        <w:adjustRightInd w:val="0"/>
        <w:snapToGrid w:val="0"/>
        <w:spacing w:line="360" w:lineRule="auto"/>
        <w:ind w:firstLine="420" w:firstLineChars="200"/>
        <w:rPr>
          <w:rFonts w:ascii="Times New Roman" w:hAnsi="Times New Roman" w:eastAsia="宋体"/>
          <w:sz w:val="21"/>
        </w:rPr>
      </w:pPr>
      <w:r>
        <w:rPr>
          <w:rFonts w:ascii="Times New Roman" w:hAnsi="Times New Roman" w:eastAsia="宋体"/>
          <w:sz w:val="21"/>
        </w:rPr>
        <w:t>（8）其他合同文件。</w:t>
      </w:r>
    </w:p>
    <w:p w14:paraId="5A7FD904">
      <w:pPr>
        <w:adjustRightInd w:val="0"/>
        <w:snapToGrid w:val="0"/>
        <w:spacing w:line="360" w:lineRule="auto"/>
        <w:ind w:firstLine="420" w:firstLineChars="200"/>
        <w:rPr>
          <w:rFonts w:ascii="Times New Roman" w:hAnsi="Times New Roman" w:eastAsia="宋体"/>
          <w:sz w:val="21"/>
        </w:rPr>
      </w:pPr>
      <w:r>
        <w:rPr>
          <w:rFonts w:ascii="Times New Roman" w:hAnsi="Times New Roman" w:eastAsia="宋体"/>
          <w:sz w:val="21"/>
        </w:rPr>
        <w:t>在合同订立及履行过程中形成的与合同有关的文件均构成合同文件组成部分。</w:t>
      </w:r>
    </w:p>
    <w:p w14:paraId="57398324">
      <w:pPr>
        <w:adjustRightInd w:val="0"/>
        <w:snapToGrid w:val="0"/>
        <w:spacing w:line="360" w:lineRule="auto"/>
        <w:ind w:firstLine="420" w:firstLineChars="200"/>
        <w:rPr>
          <w:rFonts w:ascii="Times New Roman" w:hAnsi="Times New Roman" w:eastAsia="宋体"/>
          <w:sz w:val="21"/>
        </w:rPr>
      </w:pPr>
      <w:r>
        <w:rPr>
          <w:rFonts w:ascii="Times New Roman" w:hAnsi="Times New Roman" w:eastAsia="宋体"/>
          <w:sz w:val="21"/>
        </w:rPr>
        <w:t>上述各项合同文件包括合同当事人就该项合同文件所作出的补充和修改，属于同一类内容的文件，应以最新签署的为准。</w:t>
      </w:r>
      <w:r>
        <w:rPr>
          <w:rFonts w:hint="eastAsia" w:ascii="Times New Roman" w:hAnsi="Times New Roman" w:eastAsia="宋体"/>
          <w:sz w:val="21"/>
        </w:rPr>
        <w:t>专用合同条款及其附件须经合同当事人签字或盖章。</w:t>
      </w:r>
    </w:p>
    <w:p w14:paraId="73D71E52">
      <w:pPr>
        <w:adjustRightInd w:val="0"/>
        <w:snapToGrid w:val="0"/>
        <w:spacing w:line="360" w:lineRule="auto"/>
        <w:ind w:firstLine="422" w:firstLineChars="200"/>
        <w:rPr>
          <w:rFonts w:ascii="Times New Roman" w:hAnsi="Times New Roman" w:eastAsia="宋体"/>
          <w:b/>
          <w:sz w:val="21"/>
        </w:rPr>
      </w:pPr>
      <w:r>
        <w:rPr>
          <w:rFonts w:hint="eastAsia" w:ascii="Times New Roman" w:hAnsi="Times New Roman" w:eastAsia="宋体"/>
          <w:b/>
          <w:sz w:val="21"/>
        </w:rPr>
        <w:t>七、创优目标</w:t>
      </w:r>
    </w:p>
    <w:p w14:paraId="576BD216">
      <w:pPr>
        <w:autoSpaceDE w:val="0"/>
        <w:autoSpaceDN w:val="0"/>
        <w:adjustRightInd w:val="0"/>
        <w:spacing w:line="360" w:lineRule="exact"/>
        <w:ind w:firstLine="420" w:firstLineChars="200"/>
        <w:rPr>
          <w:rFonts w:ascii="Times New Roman" w:hAnsi="Times New Roman" w:eastAsia="宋体"/>
          <w:sz w:val="21"/>
          <w:szCs w:val="21"/>
          <w:u w:val="single"/>
        </w:rPr>
      </w:pPr>
      <w:r>
        <w:rPr>
          <w:rFonts w:hint="eastAsia" w:ascii="Times New Roman" w:hAnsi="Times New Roman" w:eastAsia="宋体"/>
          <w:sz w:val="21"/>
          <w:szCs w:val="21"/>
        </w:rPr>
        <w:t>工程质量创</w:t>
      </w:r>
      <w:r>
        <w:rPr>
          <w:rFonts w:hint="eastAsia" w:ascii="Times New Roman" w:hAnsi="Times New Roman" w:eastAsia="宋体"/>
          <w:sz w:val="21"/>
          <w:szCs w:val="21"/>
          <w:u w:val="single"/>
        </w:rPr>
        <w:t xml:space="preserve">  /  。</w:t>
      </w:r>
    </w:p>
    <w:p w14:paraId="1A79CE18">
      <w:pPr>
        <w:autoSpaceDE w:val="0"/>
        <w:autoSpaceDN w:val="0"/>
        <w:adjustRightInd w:val="0"/>
        <w:spacing w:line="360" w:lineRule="exact"/>
        <w:ind w:firstLine="420" w:firstLineChars="200"/>
        <w:rPr>
          <w:rFonts w:ascii="Times New Roman" w:hAnsi="Times New Roman" w:eastAsia="宋体"/>
          <w:sz w:val="21"/>
          <w:szCs w:val="21"/>
          <w:u w:val="single"/>
        </w:rPr>
      </w:pPr>
      <w:r>
        <w:rPr>
          <w:rFonts w:hint="eastAsia" w:ascii="Times New Roman" w:hAnsi="Times New Roman" w:eastAsia="宋体"/>
          <w:sz w:val="21"/>
          <w:szCs w:val="21"/>
        </w:rPr>
        <w:t>安全文明施工创</w:t>
      </w:r>
      <w:r>
        <w:rPr>
          <w:rFonts w:hint="eastAsia" w:ascii="Times New Roman" w:hAnsi="Times New Roman" w:eastAsia="宋体"/>
          <w:sz w:val="21"/>
          <w:szCs w:val="21"/>
          <w:u w:val="single"/>
        </w:rPr>
        <w:t xml:space="preserve">   /  。</w:t>
      </w:r>
    </w:p>
    <w:p w14:paraId="024A6494">
      <w:pPr>
        <w:keepNext/>
        <w:keepLines/>
        <w:spacing w:line="360" w:lineRule="exact"/>
        <w:outlineLvl w:val="3"/>
        <w:rPr>
          <w:rFonts w:ascii="Times New Roman" w:hAnsi="Times New Roman" w:eastAsia="黑体"/>
          <w:sz w:val="21"/>
          <w:szCs w:val="21"/>
        </w:rPr>
      </w:pPr>
      <w:r>
        <w:rPr>
          <w:rFonts w:ascii="Times New Roman" w:hAnsi="Times New Roman" w:eastAsia="黑体"/>
          <w:sz w:val="21"/>
          <w:szCs w:val="21"/>
        </w:rPr>
        <w:t xml:space="preserve">  </w:t>
      </w:r>
      <w:r>
        <w:rPr>
          <w:rFonts w:ascii="Times New Roman" w:hAnsi="Times New Roman" w:eastAsia="黑体"/>
          <w:bCs/>
          <w:sz w:val="21"/>
          <w:szCs w:val="21"/>
        </w:rPr>
        <w:t xml:space="preserve"> </w:t>
      </w:r>
      <w:bookmarkStart w:id="47" w:name="_Toc351203487"/>
      <w:r>
        <w:rPr>
          <w:rFonts w:hint="eastAsia" w:ascii="Times New Roman" w:hAnsi="Times New Roman" w:eastAsia="宋体"/>
          <w:b/>
          <w:sz w:val="21"/>
        </w:rPr>
        <w:t>八</w:t>
      </w:r>
      <w:r>
        <w:rPr>
          <w:rFonts w:ascii="Times New Roman" w:hAnsi="Times New Roman" w:eastAsia="宋体"/>
          <w:b/>
          <w:sz w:val="21"/>
        </w:rPr>
        <w:t>、承诺</w:t>
      </w:r>
      <w:bookmarkEnd w:id="47"/>
    </w:p>
    <w:p w14:paraId="68C89931">
      <w:pPr>
        <w:spacing w:line="360" w:lineRule="exact"/>
        <w:ind w:firstLine="420" w:firstLineChars="200"/>
        <w:rPr>
          <w:rFonts w:ascii="Times New Roman" w:hAnsi="Times New Roman" w:eastAsia="宋体"/>
          <w:bCs/>
          <w:sz w:val="21"/>
          <w:szCs w:val="21"/>
        </w:rPr>
      </w:pPr>
      <w:r>
        <w:rPr>
          <w:rFonts w:ascii="Times New Roman" w:hAnsi="Times New Roman" w:eastAsia="宋体"/>
          <w:bCs/>
          <w:sz w:val="21"/>
          <w:szCs w:val="21"/>
        </w:rPr>
        <w:t>1</w:t>
      </w:r>
      <w:r>
        <w:rPr>
          <w:rFonts w:hint="eastAsia" w:ascii="Times New Roman" w:hAnsi="Times New Roman" w:eastAsia="宋体"/>
          <w:bCs/>
          <w:sz w:val="21"/>
          <w:szCs w:val="21"/>
        </w:rPr>
        <w:t>．</w:t>
      </w:r>
      <w:r>
        <w:rPr>
          <w:rFonts w:ascii="Times New Roman" w:hAnsi="Times New Roman" w:eastAsia="宋体"/>
          <w:bCs/>
          <w:sz w:val="21"/>
          <w:szCs w:val="21"/>
        </w:rPr>
        <w:t>发包人承诺按照法律规定履行项目审批手续、筹集工程建设资金并按照合同约定的期限和方式支付合同价款。</w:t>
      </w:r>
    </w:p>
    <w:p w14:paraId="317526A0">
      <w:pPr>
        <w:spacing w:line="360" w:lineRule="exact"/>
        <w:ind w:firstLine="420" w:firstLineChars="200"/>
        <w:rPr>
          <w:rFonts w:ascii="Times New Roman" w:hAnsi="Times New Roman" w:eastAsia="宋体"/>
          <w:bCs/>
          <w:sz w:val="21"/>
          <w:szCs w:val="21"/>
        </w:rPr>
      </w:pPr>
      <w:r>
        <w:rPr>
          <w:rFonts w:ascii="Times New Roman" w:hAnsi="Times New Roman" w:eastAsia="宋体"/>
          <w:bCs/>
          <w:sz w:val="21"/>
          <w:szCs w:val="21"/>
        </w:rPr>
        <w:t>2</w:t>
      </w:r>
      <w:r>
        <w:rPr>
          <w:rFonts w:hint="eastAsia" w:ascii="Times New Roman" w:hAnsi="Times New Roman" w:eastAsia="宋体"/>
          <w:bCs/>
          <w:sz w:val="21"/>
          <w:szCs w:val="21"/>
        </w:rPr>
        <w:t>．</w:t>
      </w:r>
      <w:r>
        <w:rPr>
          <w:rFonts w:ascii="Times New Roman" w:hAnsi="Times New Roman" w:eastAsia="宋体"/>
          <w:bCs/>
          <w:sz w:val="21"/>
          <w:szCs w:val="21"/>
        </w:rPr>
        <w:t>承包人承诺按照法律规定及合同约定组织完成工程施工，确保工程质量和安全，不进行转包及违法分包，并在缺陷责任期及保修期内承担相应的工程维修责任。</w:t>
      </w:r>
    </w:p>
    <w:p w14:paraId="2DCDD294">
      <w:pPr>
        <w:tabs>
          <w:tab w:val="left" w:pos="0"/>
        </w:tabs>
        <w:spacing w:line="360" w:lineRule="exact"/>
        <w:ind w:firstLine="420" w:firstLineChars="200"/>
        <w:rPr>
          <w:rFonts w:ascii="Times New Roman" w:hAnsi="Times New Roman" w:eastAsia="宋体"/>
          <w:kern w:val="0"/>
          <w:sz w:val="21"/>
          <w:szCs w:val="21"/>
        </w:rPr>
      </w:pPr>
      <w:r>
        <w:rPr>
          <w:rFonts w:ascii="Times New Roman" w:hAnsi="Times New Roman" w:eastAsia="宋体"/>
          <w:bCs/>
          <w:sz w:val="21"/>
          <w:szCs w:val="21"/>
        </w:rPr>
        <w:t>3</w:t>
      </w:r>
      <w:r>
        <w:rPr>
          <w:rFonts w:hint="eastAsia" w:ascii="Times New Roman" w:hAnsi="Times New Roman" w:eastAsia="宋体"/>
          <w:bCs/>
          <w:sz w:val="21"/>
          <w:szCs w:val="21"/>
        </w:rPr>
        <w:t xml:space="preserve">. </w:t>
      </w:r>
      <w:r>
        <w:rPr>
          <w:rFonts w:hint="eastAsia" w:ascii="Times New Roman" w:hAnsi="Times New Roman" w:eastAsia="宋体"/>
          <w:kern w:val="0"/>
          <w:sz w:val="21"/>
          <w:szCs w:val="21"/>
        </w:rPr>
        <w:t>承包人</w:t>
      </w:r>
      <w:r>
        <w:rPr>
          <w:rFonts w:ascii="Times New Roman" w:hAnsi="Times New Roman" w:eastAsia="宋体"/>
          <w:bCs/>
          <w:sz w:val="21"/>
          <w:szCs w:val="21"/>
        </w:rPr>
        <w:t>承诺</w:t>
      </w:r>
      <w:r>
        <w:rPr>
          <w:rFonts w:hint="eastAsia" w:ascii="Times New Roman" w:hAnsi="Times New Roman" w:eastAsia="宋体"/>
          <w:kern w:val="0"/>
          <w:sz w:val="21"/>
          <w:szCs w:val="21"/>
        </w:rPr>
        <w:t>不拖欠工人工资，因拖欠工资造成的一切后果，均由承包人承担，发包人有权将应拔付的工程款，先代付工资。</w:t>
      </w:r>
    </w:p>
    <w:p w14:paraId="6D96B80C">
      <w:pPr>
        <w:spacing w:line="360" w:lineRule="exact"/>
        <w:ind w:firstLine="420" w:firstLineChars="200"/>
        <w:rPr>
          <w:rFonts w:ascii="Times New Roman" w:hAnsi="Times New Roman" w:eastAsia="宋体"/>
          <w:bCs/>
          <w:sz w:val="21"/>
          <w:szCs w:val="21"/>
        </w:rPr>
      </w:pPr>
      <w:r>
        <w:rPr>
          <w:rFonts w:hint="eastAsia" w:ascii="Times New Roman" w:hAnsi="Times New Roman" w:eastAsia="宋体"/>
          <w:bCs/>
          <w:sz w:val="21"/>
          <w:szCs w:val="21"/>
        </w:rPr>
        <w:t>4．</w:t>
      </w:r>
      <w:r>
        <w:rPr>
          <w:rFonts w:ascii="Times New Roman" w:hAnsi="Times New Roman" w:eastAsia="宋体"/>
          <w:bCs/>
          <w:sz w:val="21"/>
          <w:szCs w:val="21"/>
        </w:rPr>
        <w:t>发包人和承包人通过招投标形式签订合同的，双方理解并</w:t>
      </w:r>
      <w:r>
        <w:rPr>
          <w:rFonts w:hint="eastAsia" w:ascii="Times New Roman" w:hAnsi="Times New Roman" w:eastAsia="宋体"/>
          <w:bCs/>
          <w:sz w:val="21"/>
          <w:szCs w:val="21"/>
        </w:rPr>
        <w:t>承诺</w:t>
      </w:r>
      <w:r>
        <w:rPr>
          <w:rFonts w:ascii="Times New Roman" w:hAnsi="Times New Roman" w:eastAsia="宋体"/>
          <w:bCs/>
          <w:sz w:val="21"/>
          <w:szCs w:val="21"/>
        </w:rPr>
        <w:t>不再就同一工程另行签订与合同实质性内容相背离的协议。另行签订</w:t>
      </w:r>
      <w:r>
        <w:rPr>
          <w:rFonts w:hint="eastAsia" w:ascii="Times New Roman" w:hAnsi="Times New Roman" w:eastAsia="宋体"/>
          <w:bCs/>
          <w:sz w:val="21"/>
          <w:szCs w:val="21"/>
        </w:rPr>
        <w:t>的</w:t>
      </w:r>
      <w:r>
        <w:rPr>
          <w:rFonts w:ascii="Times New Roman" w:hAnsi="Times New Roman" w:eastAsia="宋体"/>
          <w:bCs/>
          <w:sz w:val="21"/>
          <w:szCs w:val="21"/>
        </w:rPr>
        <w:t>协议不能作为结算依据。</w:t>
      </w:r>
    </w:p>
    <w:p w14:paraId="45E3991D">
      <w:pPr>
        <w:spacing w:line="360" w:lineRule="exact"/>
        <w:rPr>
          <w:rFonts w:ascii="Times New Roman" w:hAnsi="Times New Roman" w:eastAsia="宋体"/>
          <w:b/>
          <w:sz w:val="21"/>
        </w:rPr>
      </w:pPr>
      <w:bookmarkStart w:id="48" w:name="_Toc351203488"/>
      <w:r>
        <w:rPr>
          <w:rFonts w:hint="eastAsia" w:ascii="Times New Roman" w:hAnsi="Times New Roman" w:eastAsia="黑体"/>
          <w:sz w:val="21"/>
          <w:szCs w:val="21"/>
        </w:rPr>
        <w:t xml:space="preserve">    </w:t>
      </w:r>
      <w:r>
        <w:rPr>
          <w:rFonts w:hint="eastAsia" w:ascii="Times New Roman" w:hAnsi="Times New Roman" w:eastAsia="宋体"/>
          <w:b/>
          <w:sz w:val="21"/>
        </w:rPr>
        <w:t>九</w:t>
      </w:r>
      <w:r>
        <w:rPr>
          <w:rFonts w:ascii="Times New Roman" w:hAnsi="Times New Roman" w:eastAsia="宋体"/>
          <w:b/>
          <w:sz w:val="21"/>
        </w:rPr>
        <w:t>、词语含义</w:t>
      </w:r>
      <w:bookmarkEnd w:id="48"/>
    </w:p>
    <w:p w14:paraId="7C50747A">
      <w:pPr>
        <w:spacing w:line="360" w:lineRule="exact"/>
        <w:ind w:firstLine="420" w:firstLineChars="200"/>
        <w:rPr>
          <w:rFonts w:ascii="Times New Roman" w:hAnsi="Times New Roman" w:eastAsia="宋体"/>
          <w:bCs/>
          <w:sz w:val="21"/>
          <w:szCs w:val="21"/>
        </w:rPr>
      </w:pPr>
      <w:r>
        <w:rPr>
          <w:rFonts w:ascii="Times New Roman" w:hAnsi="Times New Roman" w:eastAsia="宋体"/>
          <w:bCs/>
          <w:sz w:val="21"/>
          <w:szCs w:val="21"/>
        </w:rPr>
        <w:t>本协议书中词语含义与第二部分通用合同条款中赋予的含义相同。</w:t>
      </w:r>
    </w:p>
    <w:p w14:paraId="57CF0B05">
      <w:pPr>
        <w:spacing w:line="360" w:lineRule="exact"/>
        <w:rPr>
          <w:rFonts w:ascii="Times New Roman" w:hAnsi="Times New Roman" w:eastAsia="宋体"/>
          <w:b/>
          <w:sz w:val="21"/>
        </w:rPr>
      </w:pPr>
      <w:r>
        <w:rPr>
          <w:rFonts w:ascii="Times New Roman" w:hAnsi="Times New Roman" w:eastAsia="宋体"/>
          <w:bCs/>
          <w:sz w:val="21"/>
          <w:szCs w:val="21"/>
        </w:rPr>
        <w:t xml:space="preserve"> </w:t>
      </w:r>
      <w:r>
        <w:rPr>
          <w:rFonts w:hint="eastAsia" w:ascii="Times New Roman" w:hAnsi="Times New Roman" w:eastAsia="宋体"/>
          <w:bCs/>
          <w:sz w:val="21"/>
          <w:szCs w:val="21"/>
        </w:rPr>
        <w:t xml:space="preserve">  </w:t>
      </w:r>
      <w:r>
        <w:rPr>
          <w:rFonts w:ascii="Times New Roman" w:hAnsi="Times New Roman" w:eastAsia="宋体"/>
          <w:bCs/>
          <w:sz w:val="21"/>
          <w:szCs w:val="21"/>
        </w:rPr>
        <w:t xml:space="preserve"> </w:t>
      </w:r>
      <w:bookmarkStart w:id="49" w:name="_Toc351203489"/>
      <w:r>
        <w:rPr>
          <w:rFonts w:hint="eastAsia" w:ascii="Times New Roman" w:hAnsi="Times New Roman" w:eastAsia="宋体"/>
          <w:b/>
          <w:sz w:val="21"/>
          <w:szCs w:val="21"/>
        </w:rPr>
        <w:t>十</w:t>
      </w:r>
      <w:r>
        <w:rPr>
          <w:rFonts w:ascii="Times New Roman" w:hAnsi="Times New Roman" w:eastAsia="宋体"/>
          <w:b/>
          <w:sz w:val="21"/>
          <w:szCs w:val="21"/>
        </w:rPr>
        <w:t>、签订时间</w:t>
      </w:r>
      <w:bookmarkEnd w:id="49"/>
    </w:p>
    <w:p w14:paraId="1B71CC85">
      <w:pPr>
        <w:spacing w:line="360" w:lineRule="exact"/>
        <w:ind w:firstLine="420" w:firstLineChars="200"/>
        <w:rPr>
          <w:rFonts w:ascii="Times New Roman" w:hAnsi="Times New Roman" w:eastAsia="宋体"/>
          <w:bCs/>
          <w:sz w:val="21"/>
          <w:szCs w:val="21"/>
        </w:rPr>
      </w:pPr>
      <w:r>
        <w:rPr>
          <w:rFonts w:ascii="Times New Roman" w:hAnsi="Times New Roman" w:eastAsia="宋体"/>
          <w:bCs/>
          <w:sz w:val="21"/>
          <w:szCs w:val="21"/>
        </w:rPr>
        <w:t>本合同于</w:t>
      </w:r>
      <w:r>
        <w:rPr>
          <w:rFonts w:ascii="Times New Roman" w:hAnsi="Times New Roman" w:eastAsia="宋体"/>
          <w:bCs/>
          <w:sz w:val="21"/>
          <w:szCs w:val="21"/>
          <w:u w:val="single"/>
        </w:rPr>
        <w:t xml:space="preserve">     </w:t>
      </w:r>
      <w:r>
        <w:rPr>
          <w:rFonts w:ascii="Times New Roman" w:hAnsi="Times New Roman" w:eastAsia="宋体"/>
          <w:bCs/>
          <w:sz w:val="21"/>
          <w:szCs w:val="21"/>
        </w:rPr>
        <w:t>年</w:t>
      </w:r>
      <w:r>
        <w:rPr>
          <w:rFonts w:ascii="Times New Roman" w:hAnsi="Times New Roman" w:eastAsia="宋体"/>
          <w:bCs/>
          <w:sz w:val="21"/>
          <w:szCs w:val="21"/>
          <w:u w:val="single"/>
        </w:rPr>
        <w:t xml:space="preserve">    </w:t>
      </w:r>
      <w:r>
        <w:rPr>
          <w:rFonts w:ascii="Times New Roman" w:hAnsi="Times New Roman" w:eastAsia="宋体"/>
          <w:bCs/>
          <w:sz w:val="21"/>
          <w:szCs w:val="21"/>
        </w:rPr>
        <w:t>月</w:t>
      </w:r>
      <w:r>
        <w:rPr>
          <w:rFonts w:ascii="Times New Roman" w:hAnsi="Times New Roman" w:eastAsia="宋体"/>
          <w:bCs/>
          <w:sz w:val="21"/>
          <w:szCs w:val="21"/>
          <w:u w:val="single"/>
        </w:rPr>
        <w:t xml:space="preserve">    </w:t>
      </w:r>
      <w:r>
        <w:rPr>
          <w:rFonts w:ascii="Times New Roman" w:hAnsi="Times New Roman" w:eastAsia="宋体"/>
          <w:bCs/>
          <w:sz w:val="21"/>
          <w:szCs w:val="21"/>
        </w:rPr>
        <w:t>日签订。</w:t>
      </w:r>
    </w:p>
    <w:p w14:paraId="05E24CD6">
      <w:pPr>
        <w:spacing w:line="360" w:lineRule="exact"/>
        <w:rPr>
          <w:rFonts w:ascii="Times New Roman" w:hAnsi="Times New Roman" w:eastAsia="宋体"/>
          <w:bCs/>
          <w:sz w:val="21"/>
          <w:szCs w:val="21"/>
        </w:rPr>
      </w:pPr>
      <w:r>
        <w:rPr>
          <w:rFonts w:ascii="Times New Roman" w:hAnsi="Times New Roman" w:eastAsia="宋体"/>
          <w:bCs/>
          <w:sz w:val="21"/>
          <w:szCs w:val="21"/>
        </w:rPr>
        <w:t xml:space="preserve">    </w:t>
      </w:r>
      <w:bookmarkStart w:id="50" w:name="_Toc351203490"/>
      <w:r>
        <w:rPr>
          <w:rFonts w:ascii="Times New Roman" w:hAnsi="Times New Roman" w:eastAsia="宋体"/>
          <w:b/>
          <w:sz w:val="21"/>
        </w:rPr>
        <w:t>十</w:t>
      </w:r>
      <w:r>
        <w:rPr>
          <w:rFonts w:hint="eastAsia" w:ascii="Times New Roman" w:hAnsi="Times New Roman" w:eastAsia="宋体"/>
          <w:b/>
          <w:sz w:val="21"/>
        </w:rPr>
        <w:t>一</w:t>
      </w:r>
      <w:r>
        <w:rPr>
          <w:rFonts w:ascii="Times New Roman" w:hAnsi="Times New Roman" w:eastAsia="宋体"/>
          <w:b/>
          <w:sz w:val="21"/>
        </w:rPr>
        <w:t>、签订地点</w:t>
      </w:r>
      <w:bookmarkEnd w:id="50"/>
    </w:p>
    <w:p w14:paraId="2E96A7D7">
      <w:pPr>
        <w:spacing w:line="360" w:lineRule="exact"/>
        <w:ind w:firstLine="420" w:firstLineChars="200"/>
        <w:rPr>
          <w:rFonts w:ascii="Times New Roman" w:hAnsi="Times New Roman" w:eastAsia="宋体"/>
          <w:bCs/>
          <w:sz w:val="21"/>
          <w:szCs w:val="21"/>
        </w:rPr>
      </w:pPr>
      <w:r>
        <w:rPr>
          <w:rFonts w:ascii="Times New Roman" w:hAnsi="Times New Roman" w:eastAsia="宋体"/>
          <w:bCs/>
          <w:sz w:val="21"/>
          <w:szCs w:val="21"/>
        </w:rPr>
        <w:t>本合同在</w:t>
      </w:r>
      <w:r>
        <w:rPr>
          <w:rFonts w:ascii="Times New Roman" w:hAnsi="Times New Roman" w:eastAsia="宋体"/>
          <w:bCs/>
          <w:sz w:val="21"/>
          <w:szCs w:val="21"/>
          <w:u w:val="single"/>
        </w:rPr>
        <w:t xml:space="preserve">                                    </w:t>
      </w:r>
      <w:r>
        <w:rPr>
          <w:rFonts w:ascii="Times New Roman" w:hAnsi="Times New Roman" w:eastAsia="宋体"/>
          <w:bCs/>
          <w:sz w:val="21"/>
          <w:szCs w:val="21"/>
        </w:rPr>
        <w:t>签订。</w:t>
      </w:r>
    </w:p>
    <w:p w14:paraId="41ABD272">
      <w:pPr>
        <w:spacing w:line="360" w:lineRule="exact"/>
        <w:rPr>
          <w:rFonts w:ascii="Times New Roman" w:hAnsi="Times New Roman" w:eastAsia="宋体"/>
          <w:bCs/>
          <w:sz w:val="21"/>
          <w:szCs w:val="21"/>
        </w:rPr>
      </w:pPr>
      <w:r>
        <w:rPr>
          <w:rFonts w:ascii="Times New Roman" w:hAnsi="Times New Roman" w:eastAsia="宋体"/>
          <w:bCs/>
          <w:sz w:val="21"/>
          <w:szCs w:val="21"/>
        </w:rPr>
        <w:t xml:space="preserve">    </w:t>
      </w:r>
      <w:bookmarkStart w:id="51" w:name="_Toc351203491"/>
      <w:r>
        <w:rPr>
          <w:rFonts w:ascii="Times New Roman" w:hAnsi="Times New Roman" w:eastAsia="宋体"/>
          <w:b/>
          <w:sz w:val="21"/>
        </w:rPr>
        <w:t>十</w:t>
      </w:r>
      <w:r>
        <w:rPr>
          <w:rFonts w:hint="eastAsia" w:ascii="Times New Roman" w:hAnsi="Times New Roman" w:eastAsia="宋体"/>
          <w:b/>
          <w:sz w:val="21"/>
        </w:rPr>
        <w:t>二</w:t>
      </w:r>
      <w:r>
        <w:rPr>
          <w:rFonts w:ascii="Times New Roman" w:hAnsi="Times New Roman" w:eastAsia="宋体"/>
          <w:b/>
          <w:sz w:val="21"/>
        </w:rPr>
        <w:t>、补充协议</w:t>
      </w:r>
      <w:bookmarkEnd w:id="51"/>
    </w:p>
    <w:p w14:paraId="6D54BB7B">
      <w:pPr>
        <w:spacing w:line="360" w:lineRule="exact"/>
        <w:ind w:firstLine="420" w:firstLineChars="200"/>
        <w:rPr>
          <w:rFonts w:ascii="Times New Roman" w:hAnsi="Times New Roman" w:eastAsia="宋体"/>
          <w:b/>
          <w:bCs/>
          <w:sz w:val="21"/>
          <w:szCs w:val="21"/>
        </w:rPr>
      </w:pPr>
      <w:r>
        <w:rPr>
          <w:rFonts w:ascii="Times New Roman" w:hAnsi="Times New Roman" w:eastAsia="宋体"/>
          <w:bCs/>
          <w:sz w:val="21"/>
          <w:szCs w:val="21"/>
        </w:rPr>
        <w:t>合同未尽事宜，合同当事人另行签订补充协议</w:t>
      </w:r>
      <w:r>
        <w:rPr>
          <w:rFonts w:hint="eastAsia" w:ascii="Times New Roman" w:hAnsi="Times New Roman" w:eastAsia="宋体"/>
          <w:bCs/>
          <w:sz w:val="21"/>
          <w:szCs w:val="21"/>
        </w:rPr>
        <w:t>，</w:t>
      </w:r>
      <w:r>
        <w:rPr>
          <w:rFonts w:ascii="Times New Roman" w:hAnsi="Times New Roman" w:eastAsia="宋体"/>
          <w:bCs/>
          <w:sz w:val="21"/>
          <w:szCs w:val="21"/>
        </w:rPr>
        <w:t>补充协议是合同的组成部分。</w:t>
      </w:r>
    </w:p>
    <w:p w14:paraId="3C4B84B5">
      <w:pPr>
        <w:spacing w:line="360" w:lineRule="exact"/>
        <w:rPr>
          <w:rFonts w:ascii="Times New Roman" w:hAnsi="Times New Roman" w:eastAsia="宋体"/>
          <w:bCs/>
          <w:sz w:val="21"/>
          <w:szCs w:val="21"/>
        </w:rPr>
      </w:pPr>
      <w:r>
        <w:rPr>
          <w:rFonts w:ascii="Times New Roman" w:hAnsi="Times New Roman" w:eastAsia="宋体"/>
          <w:bCs/>
          <w:sz w:val="21"/>
          <w:szCs w:val="21"/>
        </w:rPr>
        <w:t xml:space="preserve">   </w:t>
      </w:r>
      <w:r>
        <w:rPr>
          <w:rFonts w:ascii="Times New Roman" w:hAnsi="Times New Roman" w:eastAsia="宋体"/>
          <w:b/>
          <w:sz w:val="21"/>
        </w:rPr>
        <w:t xml:space="preserve"> </w:t>
      </w:r>
      <w:bookmarkStart w:id="52" w:name="_Toc351203492"/>
      <w:r>
        <w:rPr>
          <w:rFonts w:ascii="Times New Roman" w:hAnsi="Times New Roman" w:eastAsia="宋体"/>
          <w:b/>
          <w:sz w:val="21"/>
        </w:rPr>
        <w:t>十</w:t>
      </w:r>
      <w:r>
        <w:rPr>
          <w:rFonts w:hint="eastAsia" w:ascii="Times New Roman" w:hAnsi="Times New Roman" w:eastAsia="宋体"/>
          <w:b/>
          <w:sz w:val="21"/>
        </w:rPr>
        <w:t>三</w:t>
      </w:r>
      <w:r>
        <w:rPr>
          <w:rFonts w:ascii="Times New Roman" w:hAnsi="Times New Roman" w:eastAsia="宋体"/>
          <w:b/>
          <w:sz w:val="21"/>
        </w:rPr>
        <w:t>、合同生效</w:t>
      </w:r>
      <w:bookmarkEnd w:id="52"/>
    </w:p>
    <w:p w14:paraId="6E5B4CE7">
      <w:pPr>
        <w:spacing w:line="360" w:lineRule="exact"/>
        <w:ind w:firstLine="420" w:firstLineChars="200"/>
        <w:rPr>
          <w:rFonts w:ascii="Times New Roman" w:hAnsi="Times New Roman" w:eastAsia="宋体"/>
          <w:bCs/>
          <w:sz w:val="21"/>
          <w:szCs w:val="21"/>
        </w:rPr>
      </w:pPr>
      <w:r>
        <w:rPr>
          <w:rFonts w:ascii="Times New Roman" w:hAnsi="Times New Roman" w:eastAsia="宋体"/>
          <w:bCs/>
          <w:sz w:val="21"/>
          <w:szCs w:val="21"/>
        </w:rPr>
        <w:t>本合同自</w:t>
      </w:r>
      <w:r>
        <w:rPr>
          <w:rFonts w:hint="eastAsia" w:ascii="Times New Roman" w:hAnsi="Times New Roman" w:eastAsia="宋体"/>
          <w:bCs/>
          <w:sz w:val="21"/>
          <w:szCs w:val="21"/>
          <w:u w:val="single"/>
        </w:rPr>
        <w:t>双方法定代表人或委托代理人签字并加盖公章后生</w:t>
      </w:r>
      <w:r>
        <w:rPr>
          <w:rFonts w:ascii="Times New Roman" w:hAnsi="Times New Roman" w:eastAsia="宋体"/>
          <w:bCs/>
          <w:sz w:val="21"/>
          <w:szCs w:val="21"/>
          <w:u w:val="single"/>
        </w:rPr>
        <w:t>效。</w:t>
      </w:r>
    </w:p>
    <w:p w14:paraId="3051C597">
      <w:pPr>
        <w:spacing w:line="360" w:lineRule="exact"/>
        <w:rPr>
          <w:rFonts w:ascii="Times New Roman" w:hAnsi="Times New Roman" w:eastAsia="宋体"/>
          <w:bCs/>
          <w:sz w:val="21"/>
          <w:szCs w:val="21"/>
        </w:rPr>
      </w:pPr>
      <w:r>
        <w:rPr>
          <w:rFonts w:ascii="Times New Roman" w:hAnsi="Times New Roman" w:eastAsia="宋体"/>
          <w:bCs/>
          <w:sz w:val="21"/>
          <w:szCs w:val="21"/>
        </w:rPr>
        <w:t xml:space="preserve">    </w:t>
      </w:r>
      <w:bookmarkStart w:id="53" w:name="_Toc351203493"/>
      <w:r>
        <w:rPr>
          <w:rFonts w:ascii="Times New Roman" w:hAnsi="Times New Roman" w:eastAsia="宋体"/>
          <w:b/>
          <w:sz w:val="21"/>
        </w:rPr>
        <w:t>十</w:t>
      </w:r>
      <w:r>
        <w:rPr>
          <w:rFonts w:hint="eastAsia" w:ascii="Times New Roman" w:hAnsi="Times New Roman" w:eastAsia="宋体"/>
          <w:b/>
          <w:sz w:val="21"/>
        </w:rPr>
        <w:t>四</w:t>
      </w:r>
      <w:r>
        <w:rPr>
          <w:rFonts w:ascii="Times New Roman" w:hAnsi="Times New Roman" w:eastAsia="宋体"/>
          <w:b/>
          <w:sz w:val="21"/>
        </w:rPr>
        <w:t>、合同份数</w:t>
      </w:r>
      <w:bookmarkEnd w:id="53"/>
    </w:p>
    <w:p w14:paraId="703DAF4B">
      <w:pPr>
        <w:spacing w:line="360" w:lineRule="exact"/>
        <w:ind w:firstLine="420" w:firstLineChars="200"/>
        <w:rPr>
          <w:rFonts w:ascii="Times New Roman" w:hAnsi="Times New Roman" w:eastAsia="宋体"/>
          <w:bCs/>
          <w:sz w:val="21"/>
          <w:szCs w:val="21"/>
        </w:rPr>
      </w:pPr>
      <w:r>
        <w:rPr>
          <w:rFonts w:ascii="Times New Roman" w:hAnsi="Times New Roman" w:eastAsia="宋体"/>
          <w:bCs/>
          <w:sz w:val="21"/>
          <w:szCs w:val="21"/>
        </w:rPr>
        <w:t>本合同一式</w:t>
      </w:r>
      <w:r>
        <w:rPr>
          <w:rFonts w:ascii="Times New Roman" w:hAnsi="Times New Roman" w:eastAsia="宋体"/>
          <w:bCs/>
          <w:sz w:val="21"/>
          <w:szCs w:val="21"/>
          <w:u w:val="single"/>
        </w:rPr>
        <w:t xml:space="preserve"> </w:t>
      </w:r>
      <w:r>
        <w:rPr>
          <w:rFonts w:hint="eastAsia" w:ascii="Times New Roman" w:hAnsi="Times New Roman" w:eastAsia="宋体"/>
          <w:bCs/>
          <w:sz w:val="21"/>
          <w:szCs w:val="21"/>
          <w:u w:val="single"/>
        </w:rPr>
        <w:t>捌</w:t>
      </w:r>
      <w:r>
        <w:rPr>
          <w:rFonts w:ascii="Times New Roman" w:hAnsi="Times New Roman" w:eastAsia="宋体"/>
          <w:bCs/>
          <w:sz w:val="21"/>
          <w:szCs w:val="21"/>
          <w:u w:val="single"/>
        </w:rPr>
        <w:t xml:space="preserve"> </w:t>
      </w:r>
      <w:r>
        <w:rPr>
          <w:rFonts w:ascii="Times New Roman" w:hAnsi="Times New Roman" w:eastAsia="宋体"/>
          <w:bCs/>
          <w:sz w:val="21"/>
          <w:szCs w:val="21"/>
        </w:rPr>
        <w:t>份，均具有同等法律效力，发包人执</w:t>
      </w:r>
      <w:r>
        <w:rPr>
          <w:rFonts w:ascii="Times New Roman" w:hAnsi="Times New Roman" w:eastAsia="宋体"/>
          <w:bCs/>
          <w:sz w:val="21"/>
          <w:szCs w:val="21"/>
          <w:u w:val="single"/>
        </w:rPr>
        <w:t xml:space="preserve"> </w:t>
      </w:r>
      <w:r>
        <w:rPr>
          <w:rFonts w:hint="eastAsia" w:ascii="Times New Roman" w:hAnsi="Times New Roman" w:eastAsia="宋体"/>
          <w:bCs/>
          <w:sz w:val="21"/>
          <w:szCs w:val="21"/>
          <w:u w:val="single"/>
        </w:rPr>
        <w:t>叁</w:t>
      </w:r>
      <w:r>
        <w:rPr>
          <w:rFonts w:ascii="Times New Roman" w:hAnsi="Times New Roman" w:eastAsia="宋体"/>
          <w:bCs/>
          <w:sz w:val="21"/>
          <w:szCs w:val="21"/>
          <w:u w:val="single"/>
        </w:rPr>
        <w:t xml:space="preserve"> </w:t>
      </w:r>
      <w:r>
        <w:rPr>
          <w:rFonts w:ascii="Times New Roman" w:hAnsi="Times New Roman" w:eastAsia="宋体"/>
          <w:bCs/>
          <w:sz w:val="21"/>
          <w:szCs w:val="21"/>
        </w:rPr>
        <w:t>份，承包人执</w:t>
      </w:r>
      <w:r>
        <w:rPr>
          <w:rFonts w:ascii="Times New Roman" w:hAnsi="Times New Roman" w:eastAsia="宋体"/>
          <w:bCs/>
          <w:sz w:val="21"/>
          <w:szCs w:val="21"/>
          <w:u w:val="single"/>
        </w:rPr>
        <w:t xml:space="preserve"> </w:t>
      </w:r>
      <w:r>
        <w:rPr>
          <w:rFonts w:hint="eastAsia" w:ascii="Times New Roman" w:hAnsi="Times New Roman" w:eastAsia="宋体"/>
          <w:bCs/>
          <w:sz w:val="21"/>
          <w:szCs w:val="21"/>
          <w:u w:val="single"/>
        </w:rPr>
        <w:t>叁</w:t>
      </w:r>
      <w:r>
        <w:rPr>
          <w:rFonts w:ascii="Times New Roman" w:hAnsi="Times New Roman" w:eastAsia="宋体"/>
          <w:bCs/>
          <w:sz w:val="21"/>
          <w:szCs w:val="21"/>
          <w:u w:val="single"/>
        </w:rPr>
        <w:t xml:space="preserve"> </w:t>
      </w:r>
      <w:r>
        <w:rPr>
          <w:rFonts w:ascii="Times New Roman" w:hAnsi="Times New Roman" w:eastAsia="宋体"/>
          <w:bCs/>
          <w:sz w:val="21"/>
          <w:szCs w:val="21"/>
        </w:rPr>
        <w:t>份</w:t>
      </w:r>
      <w:r>
        <w:rPr>
          <w:rFonts w:hint="eastAsia" w:ascii="Times New Roman" w:hAnsi="Times New Roman" w:eastAsia="宋体"/>
          <w:bCs/>
          <w:sz w:val="21"/>
          <w:szCs w:val="21"/>
        </w:rPr>
        <w:t>，招标代理执</w:t>
      </w:r>
      <w:r>
        <w:rPr>
          <w:rFonts w:hint="eastAsia" w:ascii="Times New Roman" w:hAnsi="Times New Roman" w:eastAsia="宋体"/>
          <w:bCs/>
          <w:sz w:val="21"/>
          <w:szCs w:val="21"/>
          <w:u w:val="single"/>
        </w:rPr>
        <w:t xml:space="preserve"> 壹 </w:t>
      </w:r>
      <w:r>
        <w:rPr>
          <w:rFonts w:hint="eastAsia" w:ascii="Times New Roman" w:hAnsi="Times New Roman" w:eastAsia="宋体"/>
          <w:bCs/>
          <w:sz w:val="21"/>
          <w:szCs w:val="21"/>
        </w:rPr>
        <w:t>份，监管部门执</w:t>
      </w:r>
      <w:r>
        <w:rPr>
          <w:rFonts w:hint="eastAsia" w:ascii="Times New Roman" w:hAnsi="Times New Roman" w:eastAsia="宋体"/>
          <w:bCs/>
          <w:sz w:val="21"/>
          <w:szCs w:val="21"/>
          <w:u w:val="single"/>
        </w:rPr>
        <w:t xml:space="preserve"> 壹 </w:t>
      </w:r>
      <w:r>
        <w:rPr>
          <w:rFonts w:hint="eastAsia" w:ascii="Times New Roman" w:hAnsi="Times New Roman" w:eastAsia="宋体"/>
          <w:bCs/>
          <w:sz w:val="21"/>
          <w:szCs w:val="21"/>
        </w:rPr>
        <w:t>份。</w:t>
      </w:r>
    </w:p>
    <w:p w14:paraId="0CF870E1">
      <w:pPr>
        <w:spacing w:line="360" w:lineRule="exact"/>
        <w:ind w:firstLine="420" w:firstLineChars="200"/>
        <w:rPr>
          <w:rFonts w:ascii="Times New Roman" w:hAnsi="Times New Roman" w:eastAsia="宋体"/>
          <w:bCs/>
          <w:sz w:val="21"/>
          <w:szCs w:val="21"/>
        </w:rPr>
      </w:pPr>
    </w:p>
    <w:p w14:paraId="1C31F182">
      <w:pPr>
        <w:adjustRightInd w:val="0"/>
        <w:snapToGrid w:val="0"/>
        <w:spacing w:line="420" w:lineRule="exact"/>
        <w:ind w:firstLine="420" w:firstLineChars="200"/>
        <w:rPr>
          <w:rFonts w:ascii="宋体" w:hAnsi="宋体" w:eastAsia="宋体" w:cs="宋体"/>
          <w:sz w:val="21"/>
          <w:szCs w:val="21"/>
          <w:u w:val="single"/>
        </w:rPr>
      </w:pPr>
      <w:bookmarkStart w:id="54" w:name="_Toc107735838"/>
      <w:bookmarkStart w:id="55" w:name="_Toc136335613"/>
      <w:r>
        <w:rPr>
          <w:rFonts w:hint="eastAsia" w:ascii="宋体" w:hAnsi="宋体" w:eastAsia="宋体" w:cs="宋体"/>
          <w:sz w:val="21"/>
          <w:szCs w:val="21"/>
        </w:rPr>
        <w:t xml:space="preserve">发包人：  (公章)                    承包人：  (公章)                             </w:t>
      </w:r>
    </w:p>
    <w:p w14:paraId="324E324D">
      <w:pPr>
        <w:adjustRightInd w:val="0"/>
        <w:snapToGrid w:val="0"/>
        <w:spacing w:line="420" w:lineRule="exact"/>
        <w:ind w:firstLine="420" w:firstLineChars="200"/>
        <w:rPr>
          <w:rFonts w:ascii="宋体" w:hAnsi="宋体" w:eastAsia="宋体" w:cs="宋体"/>
          <w:sz w:val="21"/>
          <w:szCs w:val="21"/>
        </w:rPr>
      </w:pPr>
      <w:r>
        <w:rPr>
          <w:rFonts w:hint="eastAsia" w:ascii="宋体" w:hAnsi="宋体" w:eastAsia="宋体" w:cs="宋体"/>
          <w:sz w:val="21"/>
          <w:szCs w:val="21"/>
        </w:rPr>
        <w:t>法定代表人或其委托代理人：          法定代表人或其委托代理人：</w:t>
      </w:r>
    </w:p>
    <w:p w14:paraId="0982CA3D">
      <w:pPr>
        <w:adjustRightInd w:val="0"/>
        <w:snapToGrid w:val="0"/>
        <w:spacing w:line="420" w:lineRule="exact"/>
        <w:ind w:firstLine="420" w:firstLineChars="200"/>
        <w:rPr>
          <w:rFonts w:ascii="宋体" w:hAnsi="宋体" w:eastAsia="宋体" w:cs="宋体"/>
          <w:sz w:val="21"/>
          <w:szCs w:val="21"/>
          <w:u w:val="single"/>
        </w:rPr>
      </w:pPr>
      <w:r>
        <w:rPr>
          <w:rFonts w:hint="eastAsia" w:ascii="宋体" w:hAnsi="宋体" w:eastAsia="宋体" w:cs="宋体"/>
          <w:sz w:val="21"/>
          <w:szCs w:val="21"/>
        </w:rPr>
        <w:t>（签字）                           （签字）</w:t>
      </w:r>
    </w:p>
    <w:p w14:paraId="01F0E236">
      <w:pPr>
        <w:tabs>
          <w:tab w:val="left" w:pos="4410"/>
        </w:tabs>
        <w:adjustRightInd w:val="0"/>
        <w:snapToGrid w:val="0"/>
        <w:spacing w:line="420" w:lineRule="exact"/>
        <w:ind w:firstLine="420" w:firstLineChars="200"/>
        <w:rPr>
          <w:rFonts w:ascii="宋体" w:hAnsi="宋体" w:eastAsia="宋体" w:cs="宋体"/>
          <w:sz w:val="21"/>
          <w:szCs w:val="21"/>
        </w:rPr>
      </w:pPr>
      <w:r>
        <w:rPr>
          <w:rFonts w:hint="eastAsia" w:ascii="宋体" w:hAnsi="宋体" w:eastAsia="宋体" w:cs="宋体"/>
          <w:sz w:val="21"/>
          <w:szCs w:val="21"/>
        </w:rPr>
        <w:t>组织机构代码：                      组织机构代码：</w:t>
      </w:r>
    </w:p>
    <w:p w14:paraId="7EAE0537">
      <w:pPr>
        <w:adjustRightInd w:val="0"/>
        <w:snapToGrid w:val="0"/>
        <w:spacing w:line="420" w:lineRule="exact"/>
        <w:ind w:firstLine="420" w:firstLineChars="200"/>
        <w:rPr>
          <w:rFonts w:ascii="宋体" w:hAnsi="宋体" w:eastAsia="宋体" w:cs="宋体"/>
          <w:sz w:val="21"/>
          <w:szCs w:val="21"/>
        </w:rPr>
      </w:pPr>
      <w:r>
        <w:rPr>
          <w:rFonts w:hint="eastAsia" w:ascii="宋体" w:hAnsi="宋体" w:eastAsia="宋体" w:cs="宋体"/>
          <w:sz w:val="21"/>
          <w:szCs w:val="21"/>
        </w:rPr>
        <w:t>地  址：                            地  址：</w:t>
      </w:r>
    </w:p>
    <w:p w14:paraId="2F1CD381">
      <w:pPr>
        <w:adjustRightInd w:val="0"/>
        <w:snapToGrid w:val="0"/>
        <w:spacing w:line="420" w:lineRule="exact"/>
        <w:ind w:firstLine="420" w:firstLineChars="200"/>
        <w:rPr>
          <w:rFonts w:ascii="宋体" w:hAnsi="宋体" w:eastAsia="宋体" w:cs="宋体"/>
          <w:sz w:val="21"/>
          <w:szCs w:val="21"/>
        </w:rPr>
      </w:pPr>
      <w:r>
        <w:rPr>
          <w:rFonts w:hint="eastAsia" w:ascii="宋体" w:hAnsi="宋体" w:eastAsia="宋体" w:cs="宋体"/>
          <w:sz w:val="21"/>
          <w:szCs w:val="21"/>
        </w:rPr>
        <w:t>邮政编码：                          邮政编码：</w:t>
      </w:r>
    </w:p>
    <w:p w14:paraId="262173F0">
      <w:pPr>
        <w:adjustRightInd w:val="0"/>
        <w:snapToGrid w:val="0"/>
        <w:spacing w:line="420" w:lineRule="exact"/>
        <w:ind w:firstLine="420" w:firstLineChars="200"/>
        <w:rPr>
          <w:rFonts w:ascii="宋体" w:hAnsi="宋体" w:eastAsia="宋体" w:cs="宋体"/>
          <w:sz w:val="21"/>
          <w:szCs w:val="21"/>
        </w:rPr>
      </w:pPr>
      <w:r>
        <w:rPr>
          <w:rFonts w:hint="eastAsia" w:ascii="宋体" w:hAnsi="宋体" w:eastAsia="宋体" w:cs="宋体"/>
          <w:sz w:val="21"/>
          <w:szCs w:val="21"/>
        </w:rPr>
        <w:t>法定代表人：                        法定代表人：</w:t>
      </w:r>
    </w:p>
    <w:p w14:paraId="726F7250">
      <w:pPr>
        <w:adjustRightInd w:val="0"/>
        <w:snapToGrid w:val="0"/>
        <w:spacing w:line="420" w:lineRule="exact"/>
        <w:ind w:firstLine="420" w:firstLineChars="200"/>
        <w:rPr>
          <w:rFonts w:ascii="宋体" w:hAnsi="宋体" w:eastAsia="宋体" w:cs="宋体"/>
          <w:sz w:val="21"/>
          <w:szCs w:val="21"/>
        </w:rPr>
      </w:pPr>
      <w:r>
        <w:rPr>
          <w:rFonts w:hint="eastAsia" w:ascii="宋体" w:hAnsi="宋体" w:eastAsia="宋体" w:cs="宋体"/>
          <w:sz w:val="21"/>
          <w:szCs w:val="21"/>
        </w:rPr>
        <w:t>委托代理人：                        委托代理人：</w:t>
      </w:r>
    </w:p>
    <w:p w14:paraId="4FE45B27">
      <w:pPr>
        <w:adjustRightInd w:val="0"/>
        <w:snapToGrid w:val="0"/>
        <w:spacing w:line="420" w:lineRule="exact"/>
        <w:ind w:firstLine="420" w:firstLineChars="200"/>
        <w:rPr>
          <w:rFonts w:ascii="宋体" w:hAnsi="宋体" w:eastAsia="宋体" w:cs="宋体"/>
          <w:sz w:val="21"/>
          <w:szCs w:val="21"/>
        </w:rPr>
      </w:pPr>
      <w:r>
        <w:rPr>
          <w:rFonts w:hint="eastAsia" w:ascii="宋体" w:hAnsi="宋体" w:eastAsia="宋体" w:cs="宋体"/>
          <w:sz w:val="21"/>
          <w:szCs w:val="21"/>
        </w:rPr>
        <w:t>电  话：                            电  话：</w:t>
      </w:r>
    </w:p>
    <w:p w14:paraId="72504839">
      <w:pPr>
        <w:adjustRightInd w:val="0"/>
        <w:snapToGrid w:val="0"/>
        <w:spacing w:line="420" w:lineRule="exact"/>
        <w:ind w:firstLine="420" w:firstLineChars="200"/>
        <w:rPr>
          <w:rFonts w:ascii="宋体" w:hAnsi="宋体" w:eastAsia="宋体" w:cs="宋体"/>
          <w:sz w:val="21"/>
          <w:szCs w:val="21"/>
        </w:rPr>
      </w:pPr>
      <w:r>
        <w:rPr>
          <w:rFonts w:hint="eastAsia" w:ascii="宋体" w:hAnsi="宋体" w:eastAsia="宋体" w:cs="宋体"/>
          <w:sz w:val="21"/>
          <w:szCs w:val="21"/>
        </w:rPr>
        <w:t>传  真：                            传  真：</w:t>
      </w:r>
    </w:p>
    <w:p w14:paraId="61B714B6">
      <w:pPr>
        <w:adjustRightInd w:val="0"/>
        <w:snapToGrid w:val="0"/>
        <w:spacing w:line="420" w:lineRule="exact"/>
        <w:ind w:firstLine="420" w:firstLineChars="200"/>
        <w:rPr>
          <w:rFonts w:ascii="宋体" w:hAnsi="宋体" w:eastAsia="宋体" w:cs="宋体"/>
          <w:sz w:val="21"/>
          <w:szCs w:val="21"/>
        </w:rPr>
      </w:pPr>
      <w:r>
        <w:rPr>
          <w:rFonts w:hint="eastAsia" w:ascii="宋体" w:hAnsi="宋体" w:eastAsia="宋体" w:cs="宋体"/>
          <w:sz w:val="21"/>
          <w:szCs w:val="21"/>
        </w:rPr>
        <w:t>电子信箱：                          电子信箱：</w:t>
      </w:r>
    </w:p>
    <w:p w14:paraId="461AE0B7">
      <w:pPr>
        <w:adjustRightInd w:val="0"/>
        <w:snapToGrid w:val="0"/>
        <w:spacing w:line="420" w:lineRule="exact"/>
        <w:ind w:firstLine="420" w:firstLineChars="200"/>
        <w:rPr>
          <w:rFonts w:ascii="宋体" w:hAnsi="宋体" w:eastAsia="宋体" w:cs="宋体"/>
          <w:sz w:val="21"/>
          <w:szCs w:val="21"/>
        </w:rPr>
      </w:pPr>
      <w:r>
        <w:rPr>
          <w:rFonts w:hint="eastAsia" w:ascii="宋体" w:hAnsi="宋体" w:eastAsia="宋体" w:cs="宋体"/>
          <w:sz w:val="21"/>
          <w:szCs w:val="21"/>
        </w:rPr>
        <w:t>开户银行：                          开户银行：</w:t>
      </w:r>
    </w:p>
    <w:p w14:paraId="3F9AA02C">
      <w:pPr>
        <w:adjustRightInd w:val="0"/>
        <w:snapToGrid w:val="0"/>
        <w:spacing w:line="420" w:lineRule="exact"/>
        <w:ind w:firstLine="420" w:firstLineChars="200"/>
        <w:rPr>
          <w:rFonts w:ascii="宋体" w:hAnsi="宋体" w:eastAsia="宋体" w:cs="宋体"/>
          <w:sz w:val="21"/>
          <w:szCs w:val="21"/>
        </w:rPr>
      </w:pPr>
      <w:r>
        <w:rPr>
          <w:rFonts w:hint="eastAsia" w:ascii="宋体" w:hAnsi="宋体" w:eastAsia="宋体" w:cs="宋体"/>
          <w:sz w:val="21"/>
          <w:szCs w:val="21"/>
        </w:rPr>
        <w:t>账  号：                            账  号：</w:t>
      </w:r>
    </w:p>
    <w:p w14:paraId="4DA78E6E">
      <w:pPr>
        <w:keepNext/>
        <w:keepLines/>
        <w:tabs>
          <w:tab w:val="left" w:pos="0"/>
        </w:tabs>
        <w:spacing w:before="260" w:after="260"/>
        <w:jc w:val="center"/>
        <w:outlineLvl w:val="1"/>
        <w:rPr>
          <w:rFonts w:ascii="Times New Roman" w:hAnsi="Arial" w:eastAsia="黑体"/>
          <w:b/>
          <w:sz w:val="28"/>
          <w:szCs w:val="28"/>
        </w:rPr>
      </w:pPr>
      <w:r>
        <w:rPr>
          <w:rFonts w:ascii="Arial" w:hAnsi="Arial" w:eastAsia="宋体"/>
          <w:b/>
          <w:bCs/>
          <w:sz w:val="32"/>
          <w:szCs w:val="32"/>
        </w:rPr>
        <w:br w:type="page"/>
      </w:r>
      <w:bookmarkEnd w:id="54"/>
      <w:bookmarkEnd w:id="55"/>
      <w:r>
        <w:rPr>
          <w:rFonts w:ascii="Times New Roman" w:hAnsi="Arial" w:eastAsia="黑体"/>
          <w:b/>
          <w:sz w:val="28"/>
          <w:szCs w:val="28"/>
        </w:rPr>
        <w:t>第二部分　通用</w:t>
      </w:r>
      <w:r>
        <w:rPr>
          <w:rFonts w:hint="eastAsia" w:ascii="Times New Roman" w:hAnsi="Arial" w:eastAsia="黑体"/>
          <w:b/>
          <w:sz w:val="28"/>
          <w:szCs w:val="28"/>
        </w:rPr>
        <w:t>合同</w:t>
      </w:r>
      <w:r>
        <w:rPr>
          <w:rFonts w:ascii="Times New Roman" w:hAnsi="Arial" w:eastAsia="黑体"/>
          <w:b/>
          <w:sz w:val="28"/>
          <w:szCs w:val="28"/>
        </w:rPr>
        <w:t>条款（略）</w:t>
      </w:r>
    </w:p>
    <w:bookmarkEnd w:id="44"/>
    <w:p w14:paraId="38D2F6A5">
      <w:pPr>
        <w:keepNext/>
        <w:keepLines/>
        <w:tabs>
          <w:tab w:val="left" w:pos="0"/>
        </w:tabs>
        <w:spacing w:before="260" w:after="260"/>
        <w:jc w:val="center"/>
        <w:outlineLvl w:val="1"/>
        <w:rPr>
          <w:rFonts w:ascii="Times New Roman" w:hAnsi="Arial" w:eastAsia="黑体"/>
          <w:b/>
          <w:sz w:val="32"/>
          <w:szCs w:val="32"/>
        </w:rPr>
      </w:pPr>
      <w:bookmarkStart w:id="56" w:name="_Toc445222339"/>
      <w:bookmarkStart w:id="57" w:name="_Toc446087103"/>
      <w:bookmarkStart w:id="58" w:name="_Toc429556779"/>
      <w:bookmarkStart w:id="59" w:name="_Toc414543749"/>
      <w:bookmarkStart w:id="60" w:name="_Toc415065196"/>
      <w:bookmarkStart w:id="61" w:name="_Toc415128292"/>
      <w:r>
        <w:rPr>
          <w:rFonts w:ascii="Times New Roman" w:hAnsi="Arial" w:eastAsia="黑体"/>
          <w:b/>
          <w:sz w:val="28"/>
          <w:szCs w:val="28"/>
        </w:rPr>
        <w:t>第三部分　专用</w:t>
      </w:r>
      <w:r>
        <w:rPr>
          <w:rFonts w:hint="eastAsia" w:ascii="Times New Roman" w:hAnsi="Arial" w:eastAsia="黑体"/>
          <w:b/>
          <w:sz w:val="28"/>
          <w:szCs w:val="28"/>
        </w:rPr>
        <w:t>合同</w:t>
      </w:r>
      <w:r>
        <w:rPr>
          <w:rFonts w:ascii="Times New Roman" w:hAnsi="Arial" w:eastAsia="黑体"/>
          <w:b/>
          <w:sz w:val="28"/>
          <w:szCs w:val="28"/>
        </w:rPr>
        <w:t>条款</w:t>
      </w:r>
      <w:bookmarkEnd w:id="56"/>
      <w:bookmarkEnd w:id="57"/>
      <w:bookmarkEnd w:id="58"/>
      <w:bookmarkEnd w:id="59"/>
      <w:bookmarkEnd w:id="60"/>
      <w:bookmarkEnd w:id="61"/>
    </w:p>
    <w:p w14:paraId="4056E027">
      <w:pPr>
        <w:adjustRightInd w:val="0"/>
        <w:snapToGrid w:val="0"/>
        <w:spacing w:line="360" w:lineRule="exact"/>
        <w:ind w:firstLine="422" w:firstLineChars="200"/>
        <w:rPr>
          <w:rFonts w:ascii="Times New Roman" w:hAnsi="Times New Roman" w:eastAsia="宋体"/>
          <w:b/>
          <w:sz w:val="21"/>
        </w:rPr>
      </w:pPr>
      <w:bookmarkStart w:id="62" w:name="_Toc351203633"/>
      <w:r>
        <w:rPr>
          <w:rFonts w:ascii="Times New Roman" w:hAnsi="Times New Roman" w:eastAsia="宋体"/>
          <w:b/>
          <w:sz w:val="21"/>
        </w:rPr>
        <w:t>1</w:t>
      </w:r>
      <w:bookmarkStart w:id="63" w:name="_Toc296891196"/>
      <w:bookmarkStart w:id="64" w:name="_Toc292559866"/>
      <w:bookmarkStart w:id="65" w:name="_Toc297120456"/>
      <w:bookmarkStart w:id="66" w:name="_Toc296347155"/>
      <w:bookmarkStart w:id="67" w:name="_Toc292559361"/>
      <w:bookmarkStart w:id="68" w:name="_Toc296503156"/>
      <w:bookmarkStart w:id="69" w:name="_Toc296890984"/>
      <w:bookmarkStart w:id="70" w:name="_Toc296944495"/>
      <w:bookmarkStart w:id="71" w:name="_Toc297048342"/>
      <w:bookmarkStart w:id="72" w:name="_Toc296346657"/>
      <w:r>
        <w:rPr>
          <w:rFonts w:ascii="Times New Roman" w:hAnsi="Times New Roman" w:eastAsia="宋体"/>
          <w:b/>
          <w:sz w:val="21"/>
        </w:rPr>
        <w:t>. 一般约定</w:t>
      </w:r>
      <w:bookmarkEnd w:id="62"/>
    </w:p>
    <w:bookmarkEnd w:id="63"/>
    <w:bookmarkEnd w:id="64"/>
    <w:bookmarkEnd w:id="65"/>
    <w:bookmarkEnd w:id="66"/>
    <w:bookmarkEnd w:id="67"/>
    <w:bookmarkEnd w:id="68"/>
    <w:bookmarkEnd w:id="69"/>
    <w:bookmarkEnd w:id="70"/>
    <w:bookmarkEnd w:id="71"/>
    <w:bookmarkEnd w:id="72"/>
    <w:p w14:paraId="3B25E432">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1.1 词语定义</w:t>
      </w:r>
    </w:p>
    <w:p w14:paraId="24F33D12">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1.1.1合同</w:t>
      </w:r>
    </w:p>
    <w:p w14:paraId="78486536">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1.1.1.10其他合同文件包括：</w:t>
      </w:r>
      <w:r>
        <w:rPr>
          <w:rFonts w:hint="eastAsia" w:ascii="Times New Roman" w:hAnsi="Times New Roman" w:eastAsia="宋体"/>
          <w:sz w:val="21"/>
          <w:u w:val="single"/>
        </w:rPr>
        <w:t xml:space="preserve">   </w:t>
      </w:r>
      <w:r>
        <w:rPr>
          <w:rFonts w:hint="eastAsia" w:ascii="Times New Roman" w:hAnsi="Times New Roman" w:eastAsia="宋体"/>
          <w:i/>
          <w:kern w:val="0"/>
          <w:sz w:val="21"/>
          <w:szCs w:val="21"/>
          <w:u w:val="single"/>
        </w:rPr>
        <w:t>工程招标文件、除投标函及其附录和已标价工程量清单或预算书外的其它投标文件、监理合同、经批准的施工组织设计、专项施工方案</w:t>
      </w:r>
      <w:r>
        <w:rPr>
          <w:rFonts w:hint="eastAsia" w:ascii="Times New Roman" w:hAnsi="Times New Roman" w:eastAsia="宋体"/>
          <w:sz w:val="21"/>
          <w:u w:val="single"/>
        </w:rPr>
        <w:t xml:space="preserve">  </w:t>
      </w:r>
      <w:r>
        <w:rPr>
          <w:rFonts w:ascii="Times New Roman" w:hAnsi="Times New Roman" w:eastAsia="宋体"/>
          <w:sz w:val="21"/>
        </w:rPr>
        <w:t>。</w:t>
      </w:r>
    </w:p>
    <w:p w14:paraId="59BD640E">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1.1.2 合同当事人及其他相关方</w:t>
      </w:r>
    </w:p>
    <w:p w14:paraId="4E6FF34A">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1.1.2.4监理人：</w:t>
      </w:r>
    </w:p>
    <w:p w14:paraId="2334BBAD">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名    称：</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ascii="Times New Roman" w:hAnsi="Times New Roman" w:eastAsia="宋体"/>
          <w:sz w:val="21"/>
        </w:rPr>
        <w:t>；</w:t>
      </w:r>
    </w:p>
    <w:p w14:paraId="208DC39D">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资质类别和等级：</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ascii="Times New Roman" w:hAnsi="Times New Roman" w:eastAsia="宋体"/>
          <w:sz w:val="21"/>
        </w:rPr>
        <w:t>；</w:t>
      </w:r>
    </w:p>
    <w:p w14:paraId="7A4B2EC3">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联系电话：</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ascii="Times New Roman" w:hAnsi="Times New Roman" w:eastAsia="宋体"/>
          <w:sz w:val="21"/>
        </w:rPr>
        <w:t>；</w:t>
      </w:r>
    </w:p>
    <w:p w14:paraId="109618B4">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电子信箱：</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ascii="Times New Roman" w:hAnsi="Times New Roman" w:eastAsia="宋体"/>
          <w:sz w:val="21"/>
        </w:rPr>
        <w:t>；</w:t>
      </w:r>
    </w:p>
    <w:p w14:paraId="5E833C09">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通信地址：</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ascii="Times New Roman" w:hAnsi="Times New Roman" w:eastAsia="宋体"/>
          <w:sz w:val="21"/>
        </w:rPr>
        <w:t>。</w:t>
      </w:r>
    </w:p>
    <w:p w14:paraId="7A1521A9">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1.1.2.5 设计人：</w:t>
      </w:r>
    </w:p>
    <w:p w14:paraId="0687AEBF">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名    称：</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ascii="Times New Roman" w:hAnsi="Times New Roman" w:eastAsia="宋体"/>
          <w:sz w:val="21"/>
        </w:rPr>
        <w:t>；</w:t>
      </w:r>
    </w:p>
    <w:p w14:paraId="374BAE3B">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资质类别和等级：</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ascii="Times New Roman" w:hAnsi="Times New Roman" w:eastAsia="宋体"/>
          <w:sz w:val="21"/>
        </w:rPr>
        <w:t>；</w:t>
      </w:r>
    </w:p>
    <w:p w14:paraId="130619AB">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联系电话：</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ascii="Times New Roman" w:hAnsi="Times New Roman" w:eastAsia="宋体"/>
          <w:sz w:val="21"/>
        </w:rPr>
        <w:t>；</w:t>
      </w:r>
    </w:p>
    <w:p w14:paraId="246FDFFF">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电子信箱：</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ascii="Times New Roman" w:hAnsi="Times New Roman" w:eastAsia="宋体"/>
          <w:sz w:val="21"/>
        </w:rPr>
        <w:t>；</w:t>
      </w:r>
    </w:p>
    <w:p w14:paraId="558191DD">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通信地址：</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ascii="Times New Roman" w:hAnsi="Times New Roman" w:eastAsia="宋体"/>
          <w:sz w:val="21"/>
        </w:rPr>
        <w:t>。</w:t>
      </w:r>
    </w:p>
    <w:p w14:paraId="2C243ADB">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1.1.3 工程和设备</w:t>
      </w:r>
    </w:p>
    <w:p w14:paraId="6427EF8A">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1.1.3.7 作为施工现场组成部分的其他场所包括：</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ascii="Times New Roman" w:hAnsi="Times New Roman" w:eastAsia="宋体"/>
          <w:sz w:val="21"/>
        </w:rPr>
        <w:t>。</w:t>
      </w:r>
    </w:p>
    <w:p w14:paraId="060EE0BE">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1.1.3.9 永久占地包括：</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ascii="Times New Roman" w:hAnsi="Times New Roman" w:eastAsia="宋体"/>
          <w:sz w:val="21"/>
        </w:rPr>
        <w:t>。</w:t>
      </w:r>
    </w:p>
    <w:p w14:paraId="0FC0C0A9">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1.1.3.10 临时占地包括：</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ascii="Times New Roman" w:hAnsi="Times New Roman" w:eastAsia="宋体"/>
          <w:sz w:val="21"/>
        </w:rPr>
        <w:t>。</w:t>
      </w:r>
    </w:p>
    <w:p w14:paraId="2A2DF7C7">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 xml:space="preserve">1.3法律 </w:t>
      </w:r>
    </w:p>
    <w:p w14:paraId="6E581A96">
      <w:pPr>
        <w:adjustRightInd w:val="0"/>
        <w:snapToGrid w:val="0"/>
        <w:spacing w:line="360" w:lineRule="exact"/>
        <w:ind w:firstLine="420" w:firstLineChars="200"/>
        <w:rPr>
          <w:rFonts w:ascii="Times New Roman" w:hAnsi="Times New Roman" w:eastAsia="宋体"/>
          <w:sz w:val="21"/>
          <w:szCs w:val="21"/>
          <w:u w:val="single"/>
          <w:lang w:val="zh-CN"/>
        </w:rPr>
      </w:pPr>
      <w:r>
        <w:rPr>
          <w:rFonts w:ascii="Times New Roman" w:hAnsi="Times New Roman" w:eastAsia="宋体"/>
          <w:sz w:val="21"/>
          <w:szCs w:val="21"/>
        </w:rPr>
        <w:t>适用于合同的其他规范性文件：</w:t>
      </w:r>
      <w:r>
        <w:rPr>
          <w:rFonts w:hint="eastAsia" w:ascii="Times New Roman" w:hAnsi="Times New Roman" w:eastAsia="宋体"/>
          <w:sz w:val="21"/>
          <w:szCs w:val="21"/>
          <w:u w:val="single"/>
          <w:lang w:val="zh-CN"/>
        </w:rPr>
        <w:t>《建设工程工程量清单计价规范（GB50500-2013）》；《浙江省建设工程工程量清单计价指引》；《浙江省房屋建筑与装饰工程预算定额》﹙2018版﹚；《浙江省通用安装工程预算定额》﹙2018版﹚；《浙江省市政工程预算定额（2018版）》；《浙江省园林绿化及仿古建筑工程预算定额》﹙2018版﹚；《浙江省建设工程机械台班费用定额（2018版）》；其它有关定额解释及国家、省、市工程量有关计算规则；</w:t>
      </w:r>
    </w:p>
    <w:p w14:paraId="05D64B92">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1.4 标准和规范</w:t>
      </w:r>
    </w:p>
    <w:p w14:paraId="742B83D3">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1.4.1适用于工程的标准规范包括：</w:t>
      </w:r>
      <w:r>
        <w:rPr>
          <w:rFonts w:hint="eastAsia" w:ascii="Times New Roman" w:hAnsi="Times New Roman" w:eastAsia="宋体"/>
          <w:sz w:val="21"/>
          <w:u w:val="single"/>
        </w:rPr>
        <w:t>按现行的国家、省、市施工验收规范、质量评定标准及有关规定。合同工期内的标准、规范，招标文件中的技术要求等</w:t>
      </w:r>
      <w:r>
        <w:rPr>
          <w:rFonts w:ascii="Times New Roman" w:hAnsi="Times New Roman" w:eastAsia="宋体"/>
          <w:sz w:val="21"/>
          <w:u w:val="single"/>
        </w:rPr>
        <w:t>。</w:t>
      </w:r>
    </w:p>
    <w:p w14:paraId="37CC8827">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1.4.2 发包人提供国外标准、规范的名称</w:t>
      </w:r>
      <w:r>
        <w:rPr>
          <w:rFonts w:ascii="Times New Roman" w:hAnsi="Times New Roman" w:eastAsia="宋体"/>
          <w:sz w:val="21"/>
          <w:u w:val="single"/>
        </w:rPr>
        <w:t>：</w:t>
      </w:r>
      <w:r>
        <w:rPr>
          <w:rFonts w:hint="eastAsia" w:ascii="Times New Roman" w:hAnsi="Times New Roman" w:eastAsia="宋体"/>
          <w:sz w:val="21"/>
          <w:u w:val="single"/>
        </w:rPr>
        <w:t xml:space="preserve">              </w:t>
      </w:r>
      <w:r>
        <w:rPr>
          <w:rFonts w:hint="eastAsia" w:ascii="Times New Roman" w:hAnsi="Times New Roman" w:eastAsia="宋体"/>
          <w:sz w:val="21"/>
        </w:rPr>
        <w:t>；</w:t>
      </w:r>
    </w:p>
    <w:p w14:paraId="40B6010A">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发包人提供国外标准、规范的份数：</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ascii="Times New Roman" w:hAnsi="Times New Roman" w:eastAsia="宋体"/>
          <w:sz w:val="21"/>
        </w:rPr>
        <w:t>；</w:t>
      </w:r>
    </w:p>
    <w:p w14:paraId="3D14DD77">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发包人提供国外标准、规范的名称：</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ascii="Times New Roman" w:hAnsi="Times New Roman" w:eastAsia="宋体"/>
          <w:sz w:val="21"/>
        </w:rPr>
        <w:t>。</w:t>
      </w:r>
    </w:p>
    <w:p w14:paraId="34682589">
      <w:pPr>
        <w:adjustRightInd w:val="0"/>
        <w:snapToGrid w:val="0"/>
        <w:spacing w:line="360" w:lineRule="exact"/>
        <w:ind w:firstLine="420" w:firstLineChars="200"/>
        <w:rPr>
          <w:rFonts w:ascii="Times New Roman" w:hAnsi="Times New Roman" w:eastAsia="宋体"/>
          <w:sz w:val="21"/>
          <w:u w:val="single"/>
        </w:rPr>
      </w:pPr>
      <w:r>
        <w:rPr>
          <w:rFonts w:ascii="Times New Roman" w:hAnsi="Times New Roman" w:eastAsia="宋体"/>
          <w:sz w:val="21"/>
        </w:rPr>
        <w:t>1.4.3发包人对工程的技术标准和功能要求的特殊要求：</w:t>
      </w:r>
      <w:r>
        <w:rPr>
          <w:rFonts w:hint="eastAsia" w:ascii="Times New Roman" w:hAnsi="Times New Roman" w:eastAsia="宋体"/>
          <w:i/>
          <w:sz w:val="21"/>
          <w:u w:val="single"/>
        </w:rPr>
        <w:t>没有国家标准、规范时，有行业标准、规范的，使用行业标准、规范；没有国家和行业标准、规范的，使用地方的标准、规范</w:t>
      </w:r>
      <w:r>
        <w:rPr>
          <w:rFonts w:ascii="Times New Roman" w:hAnsi="Times New Roman" w:eastAsia="宋体"/>
          <w:i/>
          <w:sz w:val="21"/>
          <w:u w:val="single"/>
        </w:rPr>
        <w:t>。</w:t>
      </w:r>
    </w:p>
    <w:p w14:paraId="4C0400EA">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1.5 合同文件的优先顺序</w:t>
      </w:r>
    </w:p>
    <w:p w14:paraId="0CC57586">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合同文件组成及优先顺序为：</w:t>
      </w:r>
      <w:r>
        <w:rPr>
          <w:rFonts w:hint="eastAsia" w:ascii="Times New Roman" w:hAnsi="Times New Roman" w:eastAsia="宋体"/>
          <w:sz w:val="21"/>
          <w:u w:val="single"/>
        </w:rPr>
        <w:t>按合同通用条款</w:t>
      </w:r>
      <w:r>
        <w:rPr>
          <w:rFonts w:ascii="Times New Roman" w:hAnsi="Times New Roman" w:eastAsia="宋体"/>
          <w:sz w:val="21"/>
          <w:u w:val="single"/>
        </w:rPr>
        <w:t>。</w:t>
      </w:r>
    </w:p>
    <w:p w14:paraId="6EE78504">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1.6 图纸和承包人文件</w:t>
      </w:r>
      <w:r>
        <w:rPr>
          <w:rFonts w:ascii="Times New Roman" w:hAnsi="Times New Roman" w:eastAsia="宋体"/>
          <w:sz w:val="21"/>
        </w:rPr>
        <w:tab/>
      </w:r>
    </w:p>
    <w:p w14:paraId="3A744129">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1.6.1 图纸的提供</w:t>
      </w:r>
    </w:p>
    <w:p w14:paraId="4CB4A2AD">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发包人向承包人提供图纸的期限：</w:t>
      </w:r>
      <w:r>
        <w:rPr>
          <w:rFonts w:hint="eastAsia" w:ascii="Times New Roman" w:hAnsi="Times New Roman" w:eastAsia="宋体"/>
          <w:sz w:val="21"/>
          <w:u w:val="single"/>
        </w:rPr>
        <w:t>开工日期前14天前</w:t>
      </w:r>
      <w:r>
        <w:rPr>
          <w:rFonts w:ascii="Times New Roman" w:hAnsi="Times New Roman" w:eastAsia="宋体"/>
          <w:sz w:val="21"/>
        </w:rPr>
        <w:t>；</w:t>
      </w:r>
    </w:p>
    <w:p w14:paraId="2879B5D0">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发包人向承包人提供图纸的数量：</w:t>
      </w:r>
      <w:r>
        <w:rPr>
          <w:rFonts w:hint="eastAsia" w:ascii="Times New Roman" w:hAnsi="Times New Roman" w:eastAsia="宋体"/>
          <w:sz w:val="21"/>
          <w:u w:val="single"/>
        </w:rPr>
        <w:t>纸质施工图[    ]套及与其一致的电子版施工图</w:t>
      </w:r>
      <w:r>
        <w:rPr>
          <w:rFonts w:ascii="Times New Roman" w:hAnsi="Times New Roman" w:eastAsia="宋体"/>
          <w:sz w:val="21"/>
        </w:rPr>
        <w:t>；</w:t>
      </w:r>
    </w:p>
    <w:p w14:paraId="45AF417F">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发包人向承包人提供图纸的内容：</w:t>
      </w:r>
      <w:r>
        <w:rPr>
          <w:rFonts w:hint="eastAsia" w:ascii="Times New Roman" w:hAnsi="Times New Roman" w:eastAsia="宋体"/>
          <w:sz w:val="21"/>
          <w:u w:val="single"/>
        </w:rPr>
        <w:t>（须载明施工图纸名称、工程号、版本、出图日期、目录、变更联系单编号等）</w:t>
      </w:r>
      <w:r>
        <w:rPr>
          <w:rFonts w:ascii="Times New Roman" w:hAnsi="Times New Roman" w:eastAsia="宋体"/>
          <w:sz w:val="21"/>
          <w:u w:val="single"/>
        </w:rPr>
        <w:t>。</w:t>
      </w:r>
    </w:p>
    <w:p w14:paraId="2973A9B8">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1.6.4 承包人文件</w:t>
      </w:r>
    </w:p>
    <w:p w14:paraId="77A8D8AE">
      <w:pPr>
        <w:adjustRightInd w:val="0"/>
        <w:snapToGrid w:val="0"/>
        <w:spacing w:line="360" w:lineRule="exact"/>
        <w:ind w:firstLine="420" w:firstLineChars="200"/>
        <w:rPr>
          <w:rFonts w:ascii="Times New Roman" w:hAnsi="Times New Roman" w:eastAsia="宋体"/>
          <w:sz w:val="21"/>
          <w:u w:val="single"/>
        </w:rPr>
      </w:pPr>
      <w:r>
        <w:rPr>
          <w:rFonts w:ascii="Times New Roman" w:hAnsi="Times New Roman" w:eastAsia="宋体"/>
          <w:sz w:val="21"/>
        </w:rPr>
        <w:t>需要由承包人提供的文件，包括：</w:t>
      </w:r>
      <w:r>
        <w:rPr>
          <w:rFonts w:hint="eastAsia" w:ascii="仿宋_GB2312" w:hAnsi="Times New Roman" w:eastAsia="宋体"/>
          <w:sz w:val="21"/>
          <w:szCs w:val="21"/>
          <w:u w:val="single"/>
        </w:rPr>
        <w:t>施工组织设计、专项施工方案(含危大工程,下同)、工程总进度计划、工程月进度计划表等</w:t>
      </w:r>
      <w:r>
        <w:rPr>
          <w:rFonts w:hint="eastAsia" w:ascii="仿宋_GB2312" w:hAnsi="Times New Roman" w:eastAsia="宋体"/>
          <w:sz w:val="21"/>
          <w:szCs w:val="21"/>
        </w:rPr>
        <w:t>；</w:t>
      </w:r>
      <w:r>
        <w:rPr>
          <w:rFonts w:hint="eastAsia" w:ascii="仿宋_GB2312" w:hAnsi="Times New Roman" w:eastAsia="宋体"/>
          <w:sz w:val="21"/>
          <w:szCs w:val="21"/>
          <w:u w:val="single"/>
        </w:rPr>
        <w:t>承包人提交修正后的施工组</w:t>
      </w:r>
      <w:r>
        <w:rPr>
          <w:rFonts w:hint="eastAsia" w:ascii="仿宋_GB2312" w:hAnsi="宋体" w:eastAsia="宋体"/>
          <w:sz w:val="21"/>
          <w:szCs w:val="21"/>
          <w:u w:val="single"/>
        </w:rPr>
        <w:t>织设计、专项施工方案等的技术标准不低于投标承诺或原承诺标准，</w:t>
      </w:r>
      <w:r>
        <w:rPr>
          <w:rFonts w:hint="eastAsia" w:ascii="仿宋_GB2312" w:hAnsi="Times New Roman" w:eastAsia="宋体"/>
          <w:sz w:val="21"/>
          <w:szCs w:val="21"/>
          <w:u w:val="single"/>
        </w:rPr>
        <w:t>且修改或优化</w:t>
      </w:r>
      <w:r>
        <w:rPr>
          <w:rFonts w:hint="eastAsia" w:ascii="仿宋_GB2312" w:hAnsi="仿宋" w:eastAsia="宋体" w:cs="仿宋"/>
          <w:sz w:val="21"/>
          <w:szCs w:val="21"/>
          <w:u w:val="single"/>
        </w:rPr>
        <w:t>后的施工组织设计、专项施工方案须报监理人</w:t>
      </w:r>
      <w:r>
        <w:rPr>
          <w:rFonts w:hint="eastAsia" w:ascii="仿宋_GB2312" w:hAnsi="Times New Roman" w:eastAsia="宋体"/>
          <w:sz w:val="21"/>
          <w:szCs w:val="21"/>
          <w:u w:val="single"/>
        </w:rPr>
        <w:t>、发包人批准。</w:t>
      </w:r>
    </w:p>
    <w:p w14:paraId="5B62CC59">
      <w:pPr>
        <w:adjustRightInd w:val="0"/>
        <w:snapToGrid w:val="0"/>
        <w:spacing w:line="360" w:lineRule="exact"/>
        <w:ind w:firstLine="420" w:firstLineChars="200"/>
        <w:rPr>
          <w:rFonts w:ascii="Times New Roman" w:hAnsi="Times New Roman" w:eastAsia="宋体"/>
          <w:sz w:val="21"/>
          <w:u w:val="single"/>
        </w:rPr>
      </w:pPr>
      <w:r>
        <w:rPr>
          <w:rFonts w:ascii="Times New Roman" w:hAnsi="Times New Roman" w:eastAsia="宋体"/>
          <w:sz w:val="21"/>
        </w:rPr>
        <w:t>承包人提供的文件的期限为：</w:t>
      </w:r>
      <w:r>
        <w:rPr>
          <w:rFonts w:hint="eastAsia" w:ascii="仿宋_GB2312" w:hAnsi="Times New Roman" w:eastAsia="宋体"/>
          <w:sz w:val="21"/>
          <w:szCs w:val="21"/>
          <w:u w:val="single"/>
        </w:rPr>
        <w:t>施工组织设计、进度计划在接到开工通知（或确定开工日期）后7天内，专项施工方案在相应部位施工前7天；发</w:t>
      </w:r>
      <w:r>
        <w:rPr>
          <w:rFonts w:hint="eastAsia" w:ascii="仿宋_GB2312" w:hAnsi="宋体" w:eastAsia="宋体"/>
          <w:sz w:val="21"/>
          <w:szCs w:val="21"/>
          <w:u w:val="single"/>
        </w:rPr>
        <w:t>包人对承包人的施工组织设计（或方案）和进度计划提出质疑和合理修正时，承包人应7天内提供修正完成并重新提交；每月20日前向发包方提交下一月进度计划和施工方案</w:t>
      </w:r>
      <w:r>
        <w:rPr>
          <w:rFonts w:ascii="Times New Roman" w:hAnsi="Times New Roman" w:eastAsia="宋体"/>
          <w:sz w:val="21"/>
          <w:szCs w:val="21"/>
        </w:rPr>
        <w:t>；</w:t>
      </w:r>
    </w:p>
    <w:p w14:paraId="1BA98575">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承包人提供的文件的数量为：</w:t>
      </w:r>
      <w:r>
        <w:rPr>
          <w:rFonts w:ascii="Times New Roman" w:hAnsi="Times New Roman" w:eastAsia="宋体"/>
          <w:sz w:val="21"/>
          <w:u w:val="single"/>
        </w:rPr>
        <w:t xml:space="preserve"> </w:t>
      </w:r>
      <w:r>
        <w:rPr>
          <w:rFonts w:hint="eastAsia" w:ascii="Times New Roman" w:hAnsi="Times New Roman" w:eastAsia="宋体"/>
          <w:i/>
          <w:sz w:val="21"/>
          <w:u w:val="single"/>
        </w:rPr>
        <w:t>按发包人要求</w:t>
      </w:r>
      <w:r>
        <w:rPr>
          <w:rFonts w:ascii="Times New Roman" w:hAnsi="Times New Roman" w:eastAsia="宋体"/>
          <w:sz w:val="21"/>
          <w:u w:val="single"/>
        </w:rPr>
        <w:t xml:space="preserve"> </w:t>
      </w:r>
      <w:r>
        <w:rPr>
          <w:rFonts w:ascii="Times New Roman" w:hAnsi="Times New Roman" w:eastAsia="宋体"/>
          <w:sz w:val="21"/>
        </w:rPr>
        <w:t>；</w:t>
      </w:r>
    </w:p>
    <w:p w14:paraId="6FC936EA">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承包人提供的文件的形式为：</w:t>
      </w:r>
      <w:r>
        <w:rPr>
          <w:rFonts w:hint="eastAsia" w:ascii="Times New Roman" w:hAnsi="Times New Roman" w:eastAsia="宋体"/>
          <w:sz w:val="21"/>
          <w:u w:val="single"/>
        </w:rPr>
        <w:t>纸质及电子版本</w:t>
      </w:r>
      <w:r>
        <w:rPr>
          <w:rFonts w:ascii="Times New Roman" w:hAnsi="Times New Roman" w:eastAsia="宋体"/>
          <w:sz w:val="21"/>
        </w:rPr>
        <w:t>；</w:t>
      </w:r>
    </w:p>
    <w:p w14:paraId="06CC7308">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发包人</w:t>
      </w:r>
      <w:r>
        <w:rPr>
          <w:rFonts w:hint="eastAsia" w:ascii="Times New Roman" w:hAnsi="Times New Roman" w:eastAsia="宋体"/>
          <w:sz w:val="21"/>
        </w:rPr>
        <w:t>审批</w:t>
      </w:r>
      <w:r>
        <w:rPr>
          <w:rFonts w:ascii="Times New Roman" w:hAnsi="Times New Roman" w:eastAsia="宋体"/>
          <w:sz w:val="21"/>
        </w:rPr>
        <w:t>承包人文件的期限：</w:t>
      </w:r>
      <w:r>
        <w:rPr>
          <w:rFonts w:hint="eastAsia" w:ascii="Times New Roman" w:hAnsi="Times New Roman" w:eastAsia="宋体"/>
          <w:sz w:val="21"/>
          <w:u w:val="single"/>
        </w:rPr>
        <w:t>收到相应文件后7天内</w:t>
      </w:r>
      <w:r>
        <w:rPr>
          <w:rFonts w:ascii="Times New Roman" w:hAnsi="Times New Roman" w:eastAsia="宋体"/>
          <w:sz w:val="21"/>
        </w:rPr>
        <w:t>。</w:t>
      </w:r>
    </w:p>
    <w:p w14:paraId="68AD0D05">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1.6.5 现场图纸准备</w:t>
      </w:r>
    </w:p>
    <w:p w14:paraId="2C43B206">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关于现场图纸准备的约定：</w:t>
      </w:r>
      <w:r>
        <w:rPr>
          <w:rFonts w:hint="eastAsia" w:ascii="Times New Roman" w:hAnsi="Times New Roman" w:eastAsia="宋体"/>
          <w:sz w:val="21"/>
          <w:u w:val="single"/>
        </w:rPr>
        <w:t>由</w:t>
      </w:r>
      <w:r>
        <w:rPr>
          <w:rFonts w:hint="eastAsia" w:ascii="Times New Roman" w:hAnsi="Times New Roman" w:eastAsia="宋体"/>
          <w:sz w:val="21"/>
          <w:szCs w:val="21"/>
          <w:u w:val="single"/>
        </w:rPr>
        <w:t>监理人在现场保管一套完整施工图，供发包人、监理人及有关人员进行工程检查等活动时使用</w:t>
      </w:r>
      <w:r>
        <w:rPr>
          <w:rFonts w:ascii="Times New Roman" w:hAnsi="Times New Roman" w:eastAsia="宋体"/>
          <w:sz w:val="21"/>
        </w:rPr>
        <w:t>。</w:t>
      </w:r>
    </w:p>
    <w:p w14:paraId="470B3C7D">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1.7 联络</w:t>
      </w:r>
    </w:p>
    <w:p w14:paraId="35CF7D9B">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1.7.1发包人和承包人应当在</w:t>
      </w:r>
      <w:r>
        <w:rPr>
          <w:rFonts w:ascii="Times New Roman" w:hAnsi="Times New Roman" w:eastAsia="宋体"/>
          <w:sz w:val="21"/>
          <w:u w:val="single"/>
        </w:rPr>
        <w:t xml:space="preserve">  </w:t>
      </w:r>
      <w:r>
        <w:rPr>
          <w:rFonts w:hint="eastAsia" w:ascii="Times New Roman" w:hAnsi="Times New Roman" w:eastAsia="宋体"/>
          <w:sz w:val="21"/>
          <w:u w:val="single"/>
        </w:rPr>
        <w:t xml:space="preserve">7 </w:t>
      </w:r>
      <w:r>
        <w:rPr>
          <w:rFonts w:ascii="Times New Roman" w:hAnsi="Times New Roman" w:eastAsia="宋体"/>
          <w:sz w:val="21"/>
          <w:u w:val="single"/>
        </w:rPr>
        <w:t xml:space="preserve"> </w:t>
      </w:r>
      <w:r>
        <w:rPr>
          <w:rFonts w:ascii="Times New Roman" w:hAnsi="Times New Roman" w:eastAsia="宋体"/>
          <w:sz w:val="21"/>
        </w:rPr>
        <w:t>天内将与合同有关的通知、批准、证明、证书、指示、指令、要求、请求、同意、意见、确定和决定等书面函件送达对方当事人</w:t>
      </w:r>
      <w:r>
        <w:rPr>
          <w:rFonts w:hint="eastAsia" w:ascii="Times New Roman" w:hAnsi="Times New Roman" w:eastAsia="宋体"/>
          <w:sz w:val="21"/>
        </w:rPr>
        <w:t>。</w:t>
      </w:r>
    </w:p>
    <w:p w14:paraId="02D15319">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1.7.2 发包人接收文件的地点：</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ascii="Times New Roman" w:hAnsi="Times New Roman" w:eastAsia="宋体"/>
          <w:sz w:val="21"/>
        </w:rPr>
        <w:t>；</w:t>
      </w:r>
    </w:p>
    <w:p w14:paraId="63637B37">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发包人指定的接收人为：</w:t>
      </w:r>
      <w:r>
        <w:rPr>
          <w:rFonts w:hint="eastAsia" w:ascii="Times New Roman" w:hAnsi="Times New Roman" w:eastAsia="宋体"/>
          <w:sz w:val="21"/>
          <w:u w:val="single"/>
        </w:rPr>
        <w:t xml:space="preserve">                       </w:t>
      </w:r>
      <w:r>
        <w:rPr>
          <w:rFonts w:ascii="Times New Roman" w:hAnsi="Times New Roman" w:eastAsia="宋体"/>
          <w:sz w:val="21"/>
        </w:rPr>
        <w:t>。</w:t>
      </w:r>
    </w:p>
    <w:p w14:paraId="40C19545">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承包人接收文件的地点：</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rPr>
        <w:t>；</w:t>
      </w:r>
    </w:p>
    <w:p w14:paraId="183F534F">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承包人指定的接收人为：</w:t>
      </w:r>
      <w:r>
        <w:rPr>
          <w:rFonts w:hint="eastAsia" w:ascii="Times New Roman" w:hAnsi="Times New Roman" w:eastAsia="宋体"/>
          <w:sz w:val="21"/>
          <w:u w:val="single"/>
        </w:rPr>
        <w:t xml:space="preserve">                          </w:t>
      </w:r>
      <w:r>
        <w:rPr>
          <w:rFonts w:ascii="Times New Roman" w:hAnsi="Times New Roman" w:eastAsia="宋体"/>
          <w:sz w:val="21"/>
        </w:rPr>
        <w:t>。</w:t>
      </w:r>
    </w:p>
    <w:p w14:paraId="7E755FE0">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监理人接收文件的地点：</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rPr>
        <w:t>；</w:t>
      </w:r>
    </w:p>
    <w:p w14:paraId="21354379">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监理人指定的接收人为：</w:t>
      </w:r>
      <w:r>
        <w:rPr>
          <w:rFonts w:hint="eastAsia" w:ascii="Times New Roman" w:hAnsi="Times New Roman" w:eastAsia="宋体"/>
          <w:sz w:val="21"/>
          <w:u w:val="single"/>
        </w:rPr>
        <w:t xml:space="preserve">                         </w:t>
      </w:r>
      <w:r>
        <w:rPr>
          <w:rFonts w:ascii="Times New Roman" w:hAnsi="Times New Roman" w:eastAsia="宋体"/>
          <w:sz w:val="21"/>
        </w:rPr>
        <w:t>。</w:t>
      </w:r>
    </w:p>
    <w:p w14:paraId="6EBA4BB6">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1.10 交通运输</w:t>
      </w:r>
    </w:p>
    <w:p w14:paraId="58BA8E3C">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1</w:t>
      </w:r>
      <w:bookmarkStart w:id="73" w:name="_Toc318581155"/>
      <w:bookmarkStart w:id="74" w:name="_Toc300934943"/>
      <w:bookmarkStart w:id="75" w:name="_Toc303539100"/>
      <w:bookmarkStart w:id="76" w:name="_Toc304295521"/>
      <w:bookmarkStart w:id="77" w:name="_Toc312677986"/>
      <w:r>
        <w:rPr>
          <w:rFonts w:ascii="Times New Roman" w:hAnsi="Times New Roman" w:eastAsia="宋体"/>
          <w:sz w:val="21"/>
        </w:rPr>
        <w:t>.10.1 出入现场的权利</w:t>
      </w:r>
    </w:p>
    <w:p w14:paraId="2905B905">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关于出入现场的权利的约定：</w:t>
      </w:r>
      <w:r>
        <w:rPr>
          <w:rFonts w:hint="eastAsia" w:ascii="Times New Roman" w:hAnsi="Times New Roman" w:eastAsia="宋体"/>
          <w:sz w:val="21"/>
          <w:u w:val="single"/>
        </w:rPr>
        <w:t>按合同通用条款</w:t>
      </w:r>
      <w:r>
        <w:rPr>
          <w:rFonts w:hint="eastAsia" w:ascii="Times New Roman" w:hAnsi="Times New Roman" w:eastAsia="宋体"/>
          <w:sz w:val="21"/>
          <w:szCs w:val="21"/>
          <w:u w:val="single"/>
        </w:rPr>
        <w:t>，可视工程实际双方再补充约定</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rPr>
        <w:t>。</w:t>
      </w:r>
    </w:p>
    <w:bookmarkEnd w:id="73"/>
    <w:bookmarkEnd w:id="74"/>
    <w:bookmarkEnd w:id="75"/>
    <w:bookmarkEnd w:id="76"/>
    <w:bookmarkEnd w:id="77"/>
    <w:p w14:paraId="7DE84093">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1</w:t>
      </w:r>
      <w:bookmarkStart w:id="78" w:name="_Toc318581156"/>
      <w:bookmarkStart w:id="79" w:name="_Toc304295522"/>
      <w:bookmarkStart w:id="80" w:name="_Toc300934944"/>
      <w:bookmarkStart w:id="81" w:name="_Toc312677987"/>
      <w:bookmarkStart w:id="82" w:name="_Toc303539101"/>
      <w:r>
        <w:rPr>
          <w:rFonts w:ascii="Times New Roman" w:hAnsi="Times New Roman" w:eastAsia="宋体"/>
          <w:sz w:val="21"/>
        </w:rPr>
        <w:t>.10.3 场内交通</w:t>
      </w:r>
    </w:p>
    <w:p w14:paraId="7207D6A5">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关于场外交通和场内交通的边界的约定：</w:t>
      </w:r>
      <w:r>
        <w:rPr>
          <w:rFonts w:hint="eastAsia" w:ascii="Times New Roman" w:hAnsi="Times New Roman" w:eastAsia="宋体"/>
          <w:sz w:val="21"/>
          <w:u w:val="single"/>
        </w:rPr>
        <w:t>　场外交通的边界按现状，场内按施工平面图边界所属范围内　　</w:t>
      </w:r>
      <w:r>
        <w:rPr>
          <w:rFonts w:ascii="Times New Roman" w:hAnsi="Times New Roman" w:eastAsia="宋体"/>
          <w:sz w:val="21"/>
        </w:rPr>
        <w:t>。</w:t>
      </w:r>
    </w:p>
    <w:p w14:paraId="3804865D">
      <w:pPr>
        <w:adjustRightInd w:val="0"/>
        <w:snapToGrid w:val="0"/>
        <w:spacing w:line="360" w:lineRule="exact"/>
        <w:ind w:firstLine="420" w:firstLineChars="200"/>
        <w:rPr>
          <w:rFonts w:ascii="Times New Roman" w:hAnsi="Times New Roman" w:eastAsia="宋体"/>
          <w:sz w:val="21"/>
          <w:u w:val="single"/>
        </w:rPr>
      </w:pPr>
      <w:r>
        <w:rPr>
          <w:rFonts w:ascii="Times New Roman" w:hAnsi="Times New Roman" w:eastAsia="宋体"/>
          <w:sz w:val="21"/>
        </w:rPr>
        <w:t>关于发包人向承包人免费提供满足工程施工需要的场内道路和交通设施的约定：</w:t>
      </w:r>
      <w:r>
        <w:rPr>
          <w:rFonts w:hint="eastAsia" w:ascii="Times New Roman" w:hAnsi="Times New Roman" w:eastAsia="宋体"/>
          <w:kern w:val="0"/>
          <w:sz w:val="21"/>
          <w:szCs w:val="21"/>
          <w:u w:val="single"/>
        </w:rPr>
        <w:t>发包人提供的场内交通条件为现状，承包人自行组织现场踏勘</w:t>
      </w:r>
      <w:r>
        <w:rPr>
          <w:rFonts w:hint="eastAsia" w:ascii="Times New Roman" w:hAnsi="Times New Roman" w:eastAsia="宋体"/>
          <w:i/>
          <w:sz w:val="21"/>
          <w:u w:val="single"/>
        </w:rPr>
        <w:t>。</w:t>
      </w:r>
      <w:bookmarkEnd w:id="78"/>
      <w:bookmarkEnd w:id="79"/>
      <w:bookmarkEnd w:id="80"/>
      <w:bookmarkEnd w:id="81"/>
      <w:bookmarkEnd w:id="82"/>
      <w:bookmarkStart w:id="83" w:name="_Toc318581157"/>
      <w:r>
        <w:rPr>
          <w:rFonts w:hint="eastAsia" w:ascii="Times New Roman" w:hAnsi="Times New Roman" w:eastAsia="宋体"/>
          <w:i/>
          <w:sz w:val="21"/>
          <w:u w:val="single"/>
        </w:rPr>
        <w:t>施工场地施工期间的维护、管理及相应费用由承包人承担；如因工程需要临时占用红线外场地及市政道路，由承包人自行协调并负责办理审批手续同时承担相应费用。</w:t>
      </w:r>
    </w:p>
    <w:p w14:paraId="38F09AC3">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1.10.4超大件和超重件的运输</w:t>
      </w:r>
    </w:p>
    <w:p w14:paraId="2B4E80A3">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运输超大件或超重件所需的道路和桥梁临时加固改造费用和其他有关费用</w:t>
      </w:r>
      <w:r>
        <w:rPr>
          <w:rFonts w:ascii="Times New Roman" w:hAnsi="Times New Roman" w:eastAsia="宋体"/>
          <w:i/>
          <w:sz w:val="21"/>
          <w:u w:val="single"/>
        </w:rPr>
        <w:t>由</w:t>
      </w:r>
      <w:r>
        <w:rPr>
          <w:rFonts w:hint="eastAsia" w:ascii="Times New Roman" w:hAnsi="Times New Roman" w:eastAsia="宋体"/>
          <w:i/>
          <w:sz w:val="21"/>
          <w:u w:val="single"/>
        </w:rPr>
        <w:t>承包人在报价中综合考虑，并承担相应费用</w:t>
      </w:r>
      <w:r>
        <w:rPr>
          <w:rFonts w:ascii="Times New Roman" w:hAnsi="Times New Roman" w:eastAsia="宋体"/>
          <w:i/>
          <w:sz w:val="21"/>
          <w:u w:val="single"/>
        </w:rPr>
        <w:t>承担。</w:t>
      </w:r>
    </w:p>
    <w:bookmarkEnd w:id="83"/>
    <w:p w14:paraId="75C942BD">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1.11 知识产权</w:t>
      </w:r>
    </w:p>
    <w:p w14:paraId="74DEABB6">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1.11.1关于发包人提供给承包人的图纸、发包人为实施工程自行编制或委托编制的技术规范以及反映发包人关于合同要求或其他类似性质的文件的著作权的归属：</w:t>
      </w:r>
      <w:r>
        <w:rPr>
          <w:rFonts w:hint="eastAsia" w:ascii="Times New Roman" w:hAnsi="Times New Roman" w:eastAsia="宋体"/>
          <w:sz w:val="21"/>
          <w:u w:val="single"/>
        </w:rPr>
        <w:t>按合同通用条款</w:t>
      </w:r>
      <w:r>
        <w:rPr>
          <w:rFonts w:ascii="Times New Roman" w:hAnsi="Times New Roman" w:eastAsia="宋体"/>
          <w:sz w:val="21"/>
          <w:u w:val="single"/>
        </w:rPr>
        <w:t xml:space="preserve">  </w:t>
      </w:r>
      <w:r>
        <w:rPr>
          <w:rFonts w:ascii="Times New Roman" w:hAnsi="Times New Roman" w:eastAsia="宋体"/>
          <w:sz w:val="21"/>
        </w:rPr>
        <w:t>。</w:t>
      </w:r>
    </w:p>
    <w:p w14:paraId="7F0CF397">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关于发包人提供的上述文件的使用限制的要求：</w:t>
      </w:r>
      <w:r>
        <w:rPr>
          <w:rFonts w:hint="eastAsia" w:ascii="Times New Roman" w:hAnsi="Times New Roman" w:eastAsia="宋体"/>
          <w:sz w:val="21"/>
          <w:u w:val="single"/>
        </w:rPr>
        <w:t>按合同通用条款</w:t>
      </w:r>
      <w:r>
        <w:rPr>
          <w:rFonts w:ascii="Times New Roman" w:hAnsi="Times New Roman" w:eastAsia="宋体"/>
          <w:sz w:val="21"/>
          <w:u w:val="single"/>
        </w:rPr>
        <w:t xml:space="preserve">  </w:t>
      </w:r>
      <w:r>
        <w:rPr>
          <w:rFonts w:ascii="Times New Roman" w:hAnsi="Times New Roman" w:eastAsia="宋体"/>
          <w:sz w:val="21"/>
        </w:rPr>
        <w:t>。</w:t>
      </w:r>
    </w:p>
    <w:p w14:paraId="17465306">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1.11.2 关于承包人为实施工程所编制文件的著作权的归属：</w:t>
      </w:r>
      <w:r>
        <w:rPr>
          <w:rFonts w:hint="eastAsia" w:ascii="Times New Roman" w:hAnsi="Times New Roman" w:eastAsia="宋体"/>
          <w:sz w:val="21"/>
          <w:u w:val="single"/>
        </w:rPr>
        <w:t>发包人</w:t>
      </w:r>
      <w:r>
        <w:rPr>
          <w:rFonts w:ascii="Times New Roman" w:hAnsi="Times New Roman" w:eastAsia="宋体"/>
          <w:sz w:val="21"/>
        </w:rPr>
        <w:t>。</w:t>
      </w:r>
    </w:p>
    <w:p w14:paraId="71259B0D">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关于承包人提供的上述文件的使用限制的要求：</w:t>
      </w:r>
      <w:r>
        <w:rPr>
          <w:rFonts w:hint="eastAsia" w:ascii="Times New Roman" w:hAnsi="Times New Roman" w:eastAsia="宋体"/>
          <w:sz w:val="21"/>
          <w:u w:val="single"/>
        </w:rPr>
        <w:t>按合同通用条款</w:t>
      </w:r>
      <w:r>
        <w:rPr>
          <w:rFonts w:ascii="Times New Roman" w:hAnsi="Times New Roman" w:eastAsia="宋体"/>
          <w:sz w:val="21"/>
        </w:rPr>
        <w:t>。</w:t>
      </w:r>
    </w:p>
    <w:p w14:paraId="7DD3FFD1">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1.11.4 承包人在施工过程中所采用的专利、专有技术、技术秘密的使用费的承担方式：</w:t>
      </w:r>
      <w:r>
        <w:rPr>
          <w:rFonts w:hint="eastAsia" w:ascii="Times New Roman" w:hAnsi="Times New Roman" w:eastAsia="宋体"/>
          <w:sz w:val="21"/>
          <w:u w:val="single"/>
        </w:rPr>
        <w:t>包含在签约合同价内</w:t>
      </w:r>
      <w:r>
        <w:rPr>
          <w:rFonts w:ascii="Times New Roman" w:hAnsi="Times New Roman" w:eastAsia="宋体"/>
          <w:sz w:val="21"/>
        </w:rPr>
        <w:t>。</w:t>
      </w:r>
    </w:p>
    <w:p w14:paraId="07B57640">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1.13工程量清单错误的修正</w:t>
      </w:r>
    </w:p>
    <w:p w14:paraId="292BC335">
      <w:pPr>
        <w:adjustRightInd w:val="0"/>
        <w:snapToGrid w:val="0"/>
        <w:spacing w:line="360" w:lineRule="exact"/>
        <w:ind w:firstLine="420" w:firstLineChars="200"/>
        <w:rPr>
          <w:rFonts w:ascii="Times New Roman" w:hAnsi="Times New Roman" w:eastAsia="宋体"/>
          <w:sz w:val="21"/>
        </w:rPr>
      </w:pPr>
      <w:r>
        <w:rPr>
          <w:rFonts w:hint="eastAsia" w:ascii="Times New Roman" w:hAnsi="Times New Roman" w:eastAsia="宋体"/>
          <w:sz w:val="21"/>
        </w:rPr>
        <w:t>出现工程量清单错误时，是否调整合同价格：</w:t>
      </w:r>
      <w:r>
        <w:rPr>
          <w:rFonts w:hint="eastAsia" w:ascii="Times New Roman" w:hAnsi="Times New Roman" w:eastAsia="宋体"/>
          <w:sz w:val="21"/>
          <w:u w:val="single"/>
        </w:rPr>
        <w:t>调整合同价格</w:t>
      </w:r>
      <w:r>
        <w:rPr>
          <w:rFonts w:ascii="Times New Roman" w:hAnsi="Times New Roman" w:eastAsia="宋体"/>
          <w:sz w:val="21"/>
        </w:rPr>
        <w:t>。</w:t>
      </w:r>
    </w:p>
    <w:p w14:paraId="06807763">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允许调整合同价格的工程量偏差范围：</w:t>
      </w:r>
      <w:r>
        <w:rPr>
          <w:rFonts w:hint="eastAsia" w:ascii="Times New Roman" w:hAnsi="Times New Roman" w:eastAsia="宋体"/>
          <w:sz w:val="21"/>
          <w:szCs w:val="21"/>
          <w:u w:val="single"/>
        </w:rPr>
        <w:t>清单工程量变化不调整综合单价，但如综合单价异常（见专用条款10.4.1），则调整合同价格的工程量偏差范围按</w:t>
      </w:r>
      <w:r>
        <w:rPr>
          <w:rFonts w:hint="eastAsia" w:ascii="仿宋_GB2312" w:hAnsi="Times New Roman" w:eastAsia="宋体"/>
          <w:sz w:val="21"/>
          <w:szCs w:val="21"/>
          <w:u w:val="single"/>
        </w:rPr>
        <w:t>专用条款</w:t>
      </w:r>
      <w:r>
        <w:rPr>
          <w:rFonts w:ascii="Times New Roman" w:hAnsi="Times New Roman" w:eastAsia="宋体"/>
          <w:sz w:val="21"/>
          <w:szCs w:val="21"/>
          <w:u w:val="single"/>
        </w:rPr>
        <w:t>10.4.1</w:t>
      </w:r>
      <w:r>
        <w:rPr>
          <w:rFonts w:hint="eastAsia" w:ascii="Times New Roman" w:hAnsi="Times New Roman" w:eastAsia="宋体"/>
          <w:sz w:val="21"/>
          <w:szCs w:val="21"/>
          <w:u w:val="single"/>
        </w:rPr>
        <w:t>（</w:t>
      </w:r>
      <w:r>
        <w:rPr>
          <w:rFonts w:ascii="Times New Roman" w:hAnsi="Times New Roman" w:eastAsia="宋体"/>
          <w:sz w:val="21"/>
          <w:szCs w:val="21"/>
          <w:u w:val="single"/>
        </w:rPr>
        <w:t>1</w:t>
      </w:r>
      <w:r>
        <w:rPr>
          <w:rFonts w:hint="eastAsia" w:ascii="Times New Roman" w:hAnsi="Times New Roman" w:eastAsia="宋体"/>
          <w:sz w:val="21"/>
          <w:szCs w:val="21"/>
          <w:u w:val="single"/>
        </w:rPr>
        <w:t>）条约定调整。</w:t>
      </w:r>
    </w:p>
    <w:p w14:paraId="7C6DD9CA">
      <w:pPr>
        <w:adjustRightInd w:val="0"/>
        <w:snapToGrid w:val="0"/>
        <w:spacing w:line="360" w:lineRule="exact"/>
        <w:ind w:firstLine="422" w:firstLineChars="200"/>
        <w:rPr>
          <w:rFonts w:ascii="Times New Roman" w:hAnsi="Times New Roman" w:eastAsia="宋体"/>
          <w:b/>
          <w:sz w:val="21"/>
        </w:rPr>
      </w:pPr>
      <w:bookmarkStart w:id="84" w:name="_Toc351203634"/>
      <w:r>
        <w:rPr>
          <w:rFonts w:ascii="Times New Roman" w:hAnsi="Times New Roman" w:eastAsia="宋体"/>
          <w:b/>
          <w:sz w:val="21"/>
        </w:rPr>
        <w:t>2</w:t>
      </w:r>
      <w:bookmarkStart w:id="85" w:name="_Toc296503157"/>
      <w:bookmarkStart w:id="86" w:name="_Toc296891197"/>
      <w:bookmarkStart w:id="87" w:name="_Toc297120457"/>
      <w:bookmarkStart w:id="88" w:name="_Toc296890985"/>
      <w:bookmarkStart w:id="89" w:name="_Toc296944496"/>
      <w:bookmarkStart w:id="90" w:name="_Toc292559362"/>
      <w:bookmarkStart w:id="91" w:name="_Toc292559867"/>
      <w:bookmarkStart w:id="92" w:name="_Toc296346658"/>
      <w:bookmarkStart w:id="93" w:name="_Toc296347156"/>
      <w:bookmarkStart w:id="94" w:name="_Toc297048343"/>
      <w:r>
        <w:rPr>
          <w:rFonts w:ascii="Times New Roman" w:hAnsi="Times New Roman" w:eastAsia="宋体"/>
          <w:b/>
          <w:sz w:val="21"/>
        </w:rPr>
        <w:t>. 发包人</w:t>
      </w:r>
      <w:bookmarkEnd w:id="84"/>
    </w:p>
    <w:bookmarkEnd w:id="85"/>
    <w:bookmarkEnd w:id="86"/>
    <w:bookmarkEnd w:id="87"/>
    <w:bookmarkEnd w:id="88"/>
    <w:bookmarkEnd w:id="89"/>
    <w:bookmarkEnd w:id="90"/>
    <w:bookmarkEnd w:id="91"/>
    <w:bookmarkEnd w:id="92"/>
    <w:bookmarkEnd w:id="93"/>
    <w:bookmarkEnd w:id="94"/>
    <w:p w14:paraId="5192629E">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2.2 发包人代表</w:t>
      </w:r>
    </w:p>
    <w:p w14:paraId="3F4C0CCF">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发包人代表：</w:t>
      </w:r>
    </w:p>
    <w:p w14:paraId="2D2D252A">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姓    名：</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rPr>
        <w:t>；</w:t>
      </w:r>
    </w:p>
    <w:p w14:paraId="74C158C8">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身份证号：</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rPr>
        <w:t>；</w:t>
      </w:r>
    </w:p>
    <w:p w14:paraId="6453D575">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职    务：</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rPr>
        <w:t>；</w:t>
      </w:r>
    </w:p>
    <w:p w14:paraId="35881EE7">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联系电话：</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rPr>
        <w:t>；</w:t>
      </w:r>
    </w:p>
    <w:p w14:paraId="1CD92785">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电子信箱：</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rPr>
        <w:t>；</w:t>
      </w:r>
    </w:p>
    <w:p w14:paraId="58EE95D0">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通信地址：</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rPr>
        <w:t>。</w:t>
      </w:r>
    </w:p>
    <w:p w14:paraId="0F47BA0D">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发包人对发包人代表的授权范围如下：</w:t>
      </w:r>
      <w:r>
        <w:rPr>
          <w:rFonts w:ascii="Times New Roman" w:hAnsi="Times New Roman" w:eastAsia="宋体"/>
          <w:sz w:val="21"/>
          <w:u w:val="single"/>
        </w:rPr>
        <w:t xml:space="preserve">   </w:t>
      </w:r>
      <w:r>
        <w:rPr>
          <w:rFonts w:hint="eastAsia" w:ascii="Times New Roman" w:hAnsi="Times New Roman" w:eastAsia="宋体"/>
          <w:i/>
          <w:sz w:val="21"/>
          <w:szCs w:val="21"/>
          <w:u w:val="single"/>
        </w:rPr>
        <w:t>①有对工程建设的所有外部关系的协调权。②对分包施工单位选择的最终确认与否定权。③对工程图纸会审、协调会的组织、主持权。④对工程设计变更的确认权。⑤有权要求对不称职的施工、监理人员更换的权利。⑥有组织主持竣工验收的权利。⑦施工工期、工程量复核、施工联系单、工程款支付签证由发包人代表和监理工程师共同签署，按规定报审</w:t>
      </w:r>
      <w:r>
        <w:rPr>
          <w:rFonts w:hint="eastAsia" w:ascii="Times New Roman" w:hAnsi="Times New Roman" w:eastAsia="宋体"/>
          <w:sz w:val="21"/>
          <w:u w:val="single"/>
        </w:rPr>
        <w:t>　</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hint="eastAsia" w:ascii="Times New Roman" w:hAnsi="Times New Roman" w:eastAsia="宋体"/>
          <w:sz w:val="21"/>
        </w:rPr>
        <w:t>。</w:t>
      </w:r>
    </w:p>
    <w:p w14:paraId="1A2E1F10">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2.4 施工现场、施工条件和基础资料的提供</w:t>
      </w:r>
    </w:p>
    <w:p w14:paraId="1364E81A">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2.4.1 提供施工现场</w:t>
      </w:r>
    </w:p>
    <w:p w14:paraId="78C7F6B3">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关于发包人移交施工现场的期限要求：</w:t>
      </w:r>
      <w:r>
        <w:rPr>
          <w:rFonts w:ascii="Times New Roman" w:hAnsi="Times New Roman" w:eastAsia="宋体"/>
          <w:sz w:val="21"/>
          <w:u w:val="single"/>
        </w:rPr>
        <w:t xml:space="preserve">  </w:t>
      </w:r>
      <w:r>
        <w:rPr>
          <w:rFonts w:hint="eastAsia" w:ascii="Times New Roman" w:hAnsi="Times New Roman" w:eastAsia="宋体"/>
          <w:sz w:val="21"/>
          <w:u w:val="single"/>
        </w:rPr>
        <w:t>开工日期14天前</w:t>
      </w:r>
      <w:r>
        <w:rPr>
          <w:rFonts w:ascii="Times New Roman" w:hAnsi="Times New Roman" w:eastAsia="宋体"/>
          <w:sz w:val="21"/>
          <w:u w:val="single"/>
        </w:rPr>
        <w:t>。</w:t>
      </w:r>
    </w:p>
    <w:p w14:paraId="2A763F30">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2.4.2 提供施工条件</w:t>
      </w:r>
    </w:p>
    <w:p w14:paraId="13F893A9">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关于发包人应负责提供施工</w:t>
      </w:r>
      <w:r>
        <w:rPr>
          <w:rFonts w:hint="eastAsia" w:ascii="Times New Roman" w:hAnsi="Times New Roman" w:eastAsia="宋体"/>
          <w:sz w:val="21"/>
        </w:rPr>
        <w:t>所需要的条件，</w:t>
      </w:r>
      <w:r>
        <w:rPr>
          <w:rFonts w:ascii="Times New Roman" w:hAnsi="Times New Roman" w:eastAsia="宋体"/>
          <w:sz w:val="21"/>
        </w:rPr>
        <w:t>包</w:t>
      </w:r>
      <w:r>
        <w:rPr>
          <w:rFonts w:hint="eastAsia" w:ascii="Times New Roman" w:hAnsi="Times New Roman" w:eastAsia="宋体"/>
          <w:sz w:val="21"/>
        </w:rPr>
        <w:t>括：</w:t>
      </w:r>
      <w:r>
        <w:rPr>
          <w:rFonts w:hint="eastAsia" w:ascii="宋体" w:hAnsi="宋体" w:eastAsia="宋体"/>
          <w:sz w:val="21"/>
          <w:u w:val="single"/>
        </w:rPr>
        <w:t>施工现场用水、用电已由发包人统一接至项目现场配置点，场地内接线及施工期间的维护工作由承包人负责，且相关人员应持证上岗</w:t>
      </w:r>
      <w:r>
        <w:rPr>
          <w:rFonts w:hint="eastAsia" w:ascii="Times New Roman" w:hAnsi="Times New Roman" w:eastAsia="宋体"/>
          <w:sz w:val="21"/>
          <w:u w:val="single"/>
        </w:rPr>
        <w:t xml:space="preserve">。   </w:t>
      </w:r>
    </w:p>
    <w:p w14:paraId="7DE6AF66">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2.5 资金来源证明及支付担保</w:t>
      </w:r>
    </w:p>
    <w:p w14:paraId="466F52E3">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发包人提供资金来源证明的期限要求：</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rPr>
        <w:t>。</w:t>
      </w:r>
    </w:p>
    <w:p w14:paraId="37B64633">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发包人是否提供支付担保：</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hint="eastAsia" w:ascii="Times New Roman" w:hAnsi="Times New Roman" w:eastAsia="宋体"/>
          <w:sz w:val="21"/>
          <w:u w:val="single"/>
        </w:rPr>
        <w:t>/</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rPr>
        <w:t>。</w:t>
      </w:r>
    </w:p>
    <w:p w14:paraId="4288179E">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发包人提供支付担保的形式：</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rPr>
        <w:t>。</w:t>
      </w:r>
    </w:p>
    <w:p w14:paraId="39B2BB45">
      <w:pPr>
        <w:adjustRightInd w:val="0"/>
        <w:snapToGrid w:val="0"/>
        <w:spacing w:line="360" w:lineRule="exact"/>
        <w:ind w:firstLine="422" w:firstLineChars="200"/>
        <w:rPr>
          <w:rFonts w:ascii="Times New Roman" w:hAnsi="Times New Roman" w:eastAsia="宋体"/>
          <w:b/>
          <w:sz w:val="21"/>
        </w:rPr>
      </w:pPr>
      <w:bookmarkStart w:id="95" w:name="_Toc351203635"/>
      <w:r>
        <w:rPr>
          <w:rFonts w:ascii="Times New Roman" w:hAnsi="Times New Roman" w:eastAsia="宋体"/>
          <w:b/>
          <w:sz w:val="21"/>
        </w:rPr>
        <w:t>3</w:t>
      </w:r>
      <w:bookmarkStart w:id="96" w:name="_Toc296346659"/>
      <w:bookmarkStart w:id="97" w:name="_Toc297120458"/>
      <w:bookmarkStart w:id="98" w:name="_Toc296503158"/>
      <w:bookmarkStart w:id="99" w:name="_Toc296944497"/>
      <w:bookmarkStart w:id="100" w:name="_Toc292559868"/>
      <w:bookmarkStart w:id="101" w:name="_Toc292559363"/>
      <w:bookmarkStart w:id="102" w:name="_Toc296347157"/>
      <w:bookmarkStart w:id="103" w:name="_Toc297048344"/>
      <w:bookmarkStart w:id="104" w:name="_Toc296890986"/>
      <w:bookmarkStart w:id="105" w:name="_Toc296891198"/>
      <w:r>
        <w:rPr>
          <w:rFonts w:ascii="Times New Roman" w:hAnsi="Times New Roman" w:eastAsia="宋体"/>
          <w:b/>
          <w:sz w:val="21"/>
        </w:rPr>
        <w:t>. 承包人</w:t>
      </w:r>
      <w:bookmarkEnd w:id="95"/>
    </w:p>
    <w:bookmarkEnd w:id="96"/>
    <w:bookmarkEnd w:id="97"/>
    <w:bookmarkEnd w:id="98"/>
    <w:bookmarkEnd w:id="99"/>
    <w:bookmarkEnd w:id="100"/>
    <w:bookmarkEnd w:id="101"/>
    <w:bookmarkEnd w:id="102"/>
    <w:bookmarkEnd w:id="103"/>
    <w:bookmarkEnd w:id="104"/>
    <w:bookmarkEnd w:id="105"/>
    <w:p w14:paraId="15B37ABF">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3.1 承包人的一般义务</w:t>
      </w:r>
    </w:p>
    <w:p w14:paraId="64148C34">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w:t>
      </w:r>
      <w:r>
        <w:rPr>
          <w:rFonts w:hint="eastAsia" w:ascii="Times New Roman" w:hAnsi="Times New Roman" w:eastAsia="宋体"/>
          <w:sz w:val="21"/>
        </w:rPr>
        <w:t>9</w:t>
      </w:r>
      <w:r>
        <w:rPr>
          <w:rFonts w:ascii="Times New Roman" w:hAnsi="Times New Roman" w:eastAsia="宋体"/>
          <w:sz w:val="21"/>
        </w:rPr>
        <w:t>）承包人提交的竣工资料的内容：</w:t>
      </w:r>
      <w:r>
        <w:rPr>
          <w:rFonts w:hint="eastAsia" w:ascii="Times New Roman" w:hAnsi="Times New Roman" w:eastAsia="宋体"/>
          <w:sz w:val="21"/>
          <w:u w:val="single"/>
        </w:rPr>
        <w:t>向发包人提交按规范规定应由承包人编制部分的竣工资料并符合建设工程资料存档要求</w:t>
      </w:r>
      <w:r>
        <w:rPr>
          <w:rFonts w:ascii="Times New Roman" w:hAnsi="Times New Roman" w:eastAsia="宋体"/>
          <w:sz w:val="21"/>
          <w:u w:val="single"/>
        </w:rPr>
        <w:t>。</w:t>
      </w:r>
    </w:p>
    <w:p w14:paraId="75C6733D">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承包人需要提交的竣工资料套数：</w:t>
      </w:r>
      <w:r>
        <w:rPr>
          <w:rFonts w:hint="eastAsia" w:ascii="Times New Roman" w:hAnsi="Times New Roman" w:eastAsia="宋体"/>
          <w:sz w:val="21"/>
          <w:u w:val="single"/>
        </w:rPr>
        <w:t>两套</w:t>
      </w:r>
      <w:r>
        <w:rPr>
          <w:rFonts w:ascii="Times New Roman" w:hAnsi="Times New Roman" w:eastAsia="宋体"/>
          <w:sz w:val="21"/>
        </w:rPr>
        <w:t>。</w:t>
      </w:r>
    </w:p>
    <w:p w14:paraId="603989B3">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承包人提交的竣工资料的费用承担：</w:t>
      </w:r>
      <w:r>
        <w:rPr>
          <w:rFonts w:hint="eastAsia" w:ascii="Times New Roman" w:hAnsi="Times New Roman" w:eastAsia="宋体"/>
          <w:sz w:val="21"/>
          <w:u w:val="single"/>
        </w:rPr>
        <w:t xml:space="preserve">由承包人承担 </w:t>
      </w:r>
      <w:r>
        <w:rPr>
          <w:rFonts w:ascii="Times New Roman" w:hAnsi="Times New Roman" w:eastAsia="宋体"/>
          <w:sz w:val="21"/>
          <w:u w:val="single"/>
        </w:rPr>
        <w:t xml:space="preserve"> </w:t>
      </w:r>
      <w:r>
        <w:rPr>
          <w:rFonts w:ascii="Times New Roman" w:hAnsi="Times New Roman" w:eastAsia="宋体"/>
          <w:sz w:val="21"/>
        </w:rPr>
        <w:t>。</w:t>
      </w:r>
    </w:p>
    <w:p w14:paraId="0DB1A579">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承包人提交的竣工资料移交时间：</w:t>
      </w:r>
      <w:r>
        <w:rPr>
          <w:rFonts w:hint="eastAsia" w:ascii="Times New Roman" w:hAnsi="Times New Roman" w:eastAsia="宋体"/>
          <w:sz w:val="21"/>
          <w:u w:val="single"/>
        </w:rPr>
        <w:t>工程竣工验收合格后7天内</w:t>
      </w:r>
      <w:r>
        <w:rPr>
          <w:rFonts w:ascii="Times New Roman" w:hAnsi="Times New Roman" w:eastAsia="宋体"/>
          <w:sz w:val="21"/>
        </w:rPr>
        <w:t>。</w:t>
      </w:r>
    </w:p>
    <w:p w14:paraId="72084E5F">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承包人提交的竣工资料形式要求：</w:t>
      </w:r>
      <w:r>
        <w:rPr>
          <w:rFonts w:hint="eastAsia" w:ascii="Times New Roman" w:hAnsi="Times New Roman" w:eastAsia="宋体"/>
          <w:sz w:val="21"/>
          <w:u w:val="single"/>
        </w:rPr>
        <w:t>纸质及相关电子数据</w:t>
      </w:r>
      <w:r>
        <w:rPr>
          <w:rFonts w:ascii="Times New Roman" w:hAnsi="Times New Roman" w:eastAsia="宋体"/>
          <w:sz w:val="21"/>
          <w:u w:val="single"/>
        </w:rPr>
        <w:t xml:space="preserve">  </w:t>
      </w:r>
      <w:r>
        <w:rPr>
          <w:rFonts w:ascii="Times New Roman" w:hAnsi="Times New Roman" w:eastAsia="宋体"/>
          <w:sz w:val="21"/>
        </w:rPr>
        <w:t>。</w:t>
      </w:r>
    </w:p>
    <w:p w14:paraId="392BC9DE">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w:t>
      </w:r>
      <w:r>
        <w:rPr>
          <w:rFonts w:hint="eastAsia" w:ascii="Times New Roman" w:hAnsi="Times New Roman" w:eastAsia="宋体"/>
          <w:sz w:val="21"/>
        </w:rPr>
        <w:t>10</w:t>
      </w:r>
      <w:r>
        <w:rPr>
          <w:rFonts w:ascii="Times New Roman" w:hAnsi="Times New Roman" w:eastAsia="宋体"/>
          <w:sz w:val="21"/>
        </w:rPr>
        <w:t>）承包人应履行的其他义务：</w:t>
      </w:r>
    </w:p>
    <w:p w14:paraId="2B9739C1">
      <w:pPr>
        <w:adjustRightInd w:val="0"/>
        <w:snapToGrid w:val="0"/>
        <w:spacing w:line="360" w:lineRule="exact"/>
        <w:ind w:firstLine="420" w:firstLineChars="200"/>
        <w:rPr>
          <w:rFonts w:ascii="Times New Roman" w:hAnsi="Times New Roman" w:eastAsia="宋体"/>
          <w:sz w:val="21"/>
          <w:u w:val="single"/>
        </w:rPr>
      </w:pPr>
      <w:r>
        <w:rPr>
          <w:rFonts w:hint="eastAsia" w:ascii="Times New Roman" w:hAnsi="Times New Roman" w:eastAsia="宋体"/>
          <w:sz w:val="21"/>
          <w:u w:val="single"/>
        </w:rPr>
        <w:t>a、</w:t>
      </w:r>
      <w:r>
        <w:rPr>
          <w:rFonts w:hint="eastAsia" w:ascii="Times New Roman" w:hAnsi="Times New Roman" w:eastAsia="宋体"/>
          <w:i/>
          <w:sz w:val="21"/>
          <w:u w:val="single"/>
        </w:rPr>
        <w:t xml:space="preserve">向发包人、监理人提供施工现场足够面积的办公室【配套空调设施、办公桌椅及办公所需的通信网络】，会议室一间（配套空调设施）免费使用，上述用房、设施的维护费用均由承包人负责，并包含在合同总价中，不再另行计取。 </w:t>
      </w:r>
      <w:r>
        <w:rPr>
          <w:rFonts w:hint="eastAsia" w:ascii="Times New Roman" w:hAnsi="Times New Roman" w:eastAsia="宋体"/>
          <w:sz w:val="21"/>
          <w:u w:val="single"/>
        </w:rPr>
        <w:t xml:space="preserve"> </w:t>
      </w:r>
    </w:p>
    <w:p w14:paraId="4FC27B3D">
      <w:pPr>
        <w:adjustRightInd w:val="0"/>
        <w:snapToGrid w:val="0"/>
        <w:spacing w:line="360" w:lineRule="exact"/>
        <w:ind w:firstLine="420" w:firstLineChars="200"/>
        <w:rPr>
          <w:rFonts w:ascii="Times New Roman" w:hAnsi="Times New Roman" w:eastAsia="宋体"/>
          <w:sz w:val="21"/>
          <w:u w:val="single"/>
        </w:rPr>
      </w:pPr>
      <w:r>
        <w:rPr>
          <w:rFonts w:hint="eastAsia" w:ascii="Times New Roman" w:hAnsi="Times New Roman" w:eastAsia="宋体"/>
          <w:sz w:val="21"/>
          <w:u w:val="single"/>
        </w:rPr>
        <w:t>b、在施工中必须严格按照规范操作，并针对邻近建筑物实际情况，采取相应防护措施，对不按规范要求施工或未采取防护措施的，造成的损失由承包人承担。</w:t>
      </w:r>
    </w:p>
    <w:p w14:paraId="4B85D81D">
      <w:pPr>
        <w:adjustRightInd w:val="0"/>
        <w:snapToGrid w:val="0"/>
        <w:spacing w:line="360" w:lineRule="exact"/>
        <w:ind w:firstLine="420" w:firstLineChars="200"/>
        <w:rPr>
          <w:rFonts w:ascii="Times New Roman" w:hAnsi="Times New Roman" w:eastAsia="宋体"/>
          <w:sz w:val="21"/>
          <w:u w:val="single"/>
        </w:rPr>
      </w:pPr>
      <w:r>
        <w:rPr>
          <w:rFonts w:hint="eastAsia" w:ascii="Times New Roman" w:hAnsi="Times New Roman" w:eastAsia="宋体"/>
          <w:sz w:val="21"/>
          <w:u w:val="single"/>
        </w:rPr>
        <w:t>c、本项目施工安全由承包人负总责。</w:t>
      </w:r>
    </w:p>
    <w:p w14:paraId="6574F71D">
      <w:pPr>
        <w:adjustRightInd w:val="0"/>
        <w:snapToGrid w:val="0"/>
        <w:spacing w:line="360" w:lineRule="exact"/>
        <w:ind w:firstLine="420" w:firstLineChars="200"/>
        <w:rPr>
          <w:rFonts w:ascii="Times New Roman" w:hAnsi="Times New Roman" w:eastAsia="宋体"/>
          <w:sz w:val="21"/>
          <w:u w:val="single"/>
        </w:rPr>
      </w:pPr>
      <w:r>
        <w:rPr>
          <w:rFonts w:hint="eastAsia" w:ascii="Times New Roman" w:hAnsi="Times New Roman" w:eastAsia="宋体"/>
          <w:sz w:val="21"/>
          <w:u w:val="single"/>
        </w:rPr>
        <w:t>d、按当地有关部门要求,由承包人办理的有关施工场地交通、环卫和施工噪音管理等手续。</w:t>
      </w:r>
    </w:p>
    <w:p w14:paraId="557093B2">
      <w:pPr>
        <w:adjustRightInd w:val="0"/>
        <w:snapToGrid w:val="0"/>
        <w:spacing w:line="360" w:lineRule="exact"/>
        <w:ind w:firstLine="420" w:firstLineChars="200"/>
        <w:rPr>
          <w:rFonts w:ascii="Times New Roman" w:hAnsi="Times New Roman" w:eastAsia="宋体"/>
          <w:i/>
          <w:sz w:val="21"/>
          <w:u w:val="single"/>
        </w:rPr>
      </w:pPr>
      <w:r>
        <w:rPr>
          <w:rFonts w:hint="eastAsia" w:ascii="Times New Roman" w:hAnsi="Times New Roman" w:eastAsia="宋体"/>
          <w:sz w:val="21"/>
          <w:u w:val="single"/>
        </w:rPr>
        <w:t>e 、</w:t>
      </w:r>
      <w:r>
        <w:rPr>
          <w:rFonts w:hint="eastAsia" w:ascii="Times New Roman" w:hAnsi="Times New Roman" w:eastAsia="宋体"/>
          <w:i/>
          <w:sz w:val="21"/>
          <w:u w:val="single"/>
        </w:rPr>
        <w:t>本项目夜间施工照明由承包人负总责，施工期间必须做好安全保卫工作，实际施工时，</w:t>
      </w:r>
    </w:p>
    <w:p w14:paraId="57A8CBA6">
      <w:pPr>
        <w:spacing w:line="360" w:lineRule="exact"/>
        <w:rPr>
          <w:rFonts w:ascii="Times New Roman" w:hAnsi="Times New Roman" w:eastAsia="宋体"/>
          <w:i/>
          <w:sz w:val="21"/>
          <w:u w:val="single"/>
        </w:rPr>
      </w:pPr>
      <w:r>
        <w:rPr>
          <w:rFonts w:hint="eastAsia" w:ascii="Times New Roman" w:hAnsi="Times New Roman" w:eastAsia="宋体"/>
          <w:i/>
          <w:sz w:val="21"/>
          <w:u w:val="single"/>
        </w:rPr>
        <w:t>在施工场内外做好警示标识，合理安排交通组织，确保安全, 降低施工噪音对周边环境正常秩序的干扰。承包人施工期间要做好现场安全防护，工程未竣工验收、交付使用前，所有非发包人原因导致的发包人、承包人或第三方人员伤亡或财产损失，由承包人负责，在报价中自行综合考虑。</w:t>
      </w:r>
    </w:p>
    <w:p w14:paraId="254B147F">
      <w:pPr>
        <w:spacing w:line="360" w:lineRule="exact"/>
        <w:ind w:firstLine="420" w:firstLineChars="200"/>
        <w:rPr>
          <w:rFonts w:ascii="Times New Roman" w:hAnsi="Times New Roman" w:eastAsia="宋体"/>
          <w:i/>
          <w:sz w:val="21"/>
          <w:u w:val="single"/>
        </w:rPr>
      </w:pPr>
      <w:r>
        <w:rPr>
          <w:rFonts w:hint="eastAsia" w:ascii="Times New Roman" w:hAnsi="Times New Roman" w:eastAsia="宋体"/>
          <w:i/>
          <w:sz w:val="21"/>
          <w:u w:val="single"/>
        </w:rPr>
        <w:t>f、不管投标时有无承诺，施工现场必须配备能满足停电、电荒时施工所需要的发电机组和满足停水时必要的储水设施，该配备设施的费用及油电、网电的差价已包含在合同价内综合考虑，不再另行计取。</w:t>
      </w:r>
    </w:p>
    <w:p w14:paraId="02B8018D">
      <w:pPr>
        <w:spacing w:line="360" w:lineRule="exact"/>
        <w:ind w:firstLine="420" w:firstLineChars="200"/>
        <w:rPr>
          <w:rFonts w:ascii="Times New Roman" w:hAnsi="Times New Roman" w:eastAsia="宋体"/>
          <w:i/>
          <w:sz w:val="21"/>
          <w:u w:val="single"/>
        </w:rPr>
      </w:pPr>
      <w:r>
        <w:rPr>
          <w:rFonts w:hint="eastAsia" w:ascii="Times New Roman" w:hAnsi="Times New Roman" w:eastAsia="宋体"/>
          <w:i/>
          <w:sz w:val="21"/>
          <w:u w:val="single"/>
        </w:rPr>
        <w:t>g、协助办理竣工验收备案、工程档案移交、工程项目移交的相关手续，并协助发包人进行工程移交。承包人协助组织施工过程中的专项验收、竣工验收等，相关费用含在本合同价款中，发包人不再另行支付。</w:t>
      </w:r>
    </w:p>
    <w:p w14:paraId="66AAC89A">
      <w:pPr>
        <w:spacing w:line="360" w:lineRule="exact"/>
        <w:ind w:firstLine="420" w:firstLineChars="200"/>
        <w:rPr>
          <w:rFonts w:ascii="Times New Roman" w:hAnsi="Times New Roman" w:eastAsia="宋体"/>
          <w:i/>
          <w:sz w:val="21"/>
          <w:u w:val="single"/>
        </w:rPr>
      </w:pPr>
      <w:r>
        <w:rPr>
          <w:rFonts w:hint="eastAsia" w:ascii="Times New Roman" w:hAnsi="Times New Roman" w:eastAsia="宋体"/>
          <w:i/>
          <w:sz w:val="21"/>
          <w:u w:val="single"/>
        </w:rPr>
        <w:t>h、承包人应承担法律法规以及按规范、标准要求必须进行的各类复试检测，所发生的一切费用由承包人承担。如发包人对承包人提供的检测报告或检测结论有异议，认为需要重新检测时，承包人应无条件重新检测，重新检测的材料费由承包人承担，当检测合格时，检测费用由发包人承担；当检测不合格时，检测费用由承包人承担，并无条件更换已进场或已使用的材料同时承担由此产生的一切损失及费用（包括再次重新检测时发生的材料费、检测费等一切费用，直到检测合格为止）。</w:t>
      </w:r>
    </w:p>
    <w:p w14:paraId="5041E80F">
      <w:pPr>
        <w:spacing w:line="360" w:lineRule="exact"/>
        <w:ind w:firstLine="420" w:firstLineChars="200"/>
        <w:rPr>
          <w:rFonts w:ascii="Times New Roman" w:hAnsi="Times New Roman" w:eastAsia="宋体"/>
          <w:i/>
          <w:sz w:val="21"/>
          <w:u w:val="single"/>
        </w:rPr>
      </w:pPr>
      <w:r>
        <w:rPr>
          <w:rFonts w:hint="eastAsia" w:ascii="Times New Roman" w:hAnsi="Times New Roman" w:eastAsia="宋体"/>
          <w:i/>
          <w:sz w:val="21"/>
          <w:u w:val="single"/>
        </w:rPr>
        <w:t>对于未经发包人参与检测确认的检测报告或检测结论，发包人有权不予认可，发包人如要求重新检测的，承包人须无条件配合重新检测，重新检测所需材料费用、检测费用由承包人承担。</w:t>
      </w:r>
    </w:p>
    <w:p w14:paraId="410188A6">
      <w:pPr>
        <w:spacing w:line="360" w:lineRule="exact"/>
        <w:ind w:firstLine="420" w:firstLineChars="200"/>
        <w:rPr>
          <w:rFonts w:ascii="Times New Roman" w:hAnsi="Times New Roman" w:eastAsia="宋体"/>
          <w:i/>
          <w:sz w:val="21"/>
          <w:u w:val="single"/>
        </w:rPr>
      </w:pPr>
      <w:r>
        <w:rPr>
          <w:rFonts w:hint="eastAsia" w:ascii="Times New Roman" w:hAnsi="Times New Roman" w:eastAsia="宋体"/>
          <w:i/>
          <w:sz w:val="21"/>
          <w:u w:val="single"/>
        </w:rPr>
        <w:t>i、如承包人完成的某项工作内容达不到相关标准要求，在监理方下达整改通知后仍不执行，则发包人有权委托第三方完成该项工作，并将相应费用从承包人的工程款中扣除，由此造成的损失和后果由承包人执行承担。</w:t>
      </w:r>
    </w:p>
    <w:p w14:paraId="7B1ABDDE">
      <w:pPr>
        <w:spacing w:line="360" w:lineRule="exact"/>
        <w:ind w:firstLine="420" w:firstLineChars="200"/>
        <w:rPr>
          <w:rFonts w:ascii="Times New Roman" w:hAnsi="Times New Roman" w:eastAsia="宋体"/>
          <w:i/>
          <w:sz w:val="21"/>
          <w:u w:val="single"/>
        </w:rPr>
      </w:pPr>
      <w:r>
        <w:rPr>
          <w:rFonts w:hint="eastAsia" w:ascii="Times New Roman" w:hAnsi="Times New Roman" w:eastAsia="宋体"/>
          <w:i/>
          <w:sz w:val="21"/>
          <w:u w:val="single"/>
        </w:rPr>
        <w:t>j、与本工程有关的临时设施场地由承包人自行解决，费用包含在合同总价中，承包人在投标时综合考虑。</w:t>
      </w:r>
    </w:p>
    <w:p w14:paraId="694CB7D4">
      <w:pPr>
        <w:spacing w:line="360" w:lineRule="exact"/>
        <w:ind w:firstLine="420" w:firstLineChars="200"/>
        <w:rPr>
          <w:rFonts w:ascii="Times New Roman" w:hAnsi="Times New Roman" w:eastAsia="宋体"/>
          <w:i/>
          <w:sz w:val="21"/>
          <w:u w:val="single"/>
        </w:rPr>
      </w:pPr>
      <w:r>
        <w:rPr>
          <w:rFonts w:hint="eastAsia" w:ascii="Times New Roman" w:hAnsi="Times New Roman" w:eastAsia="宋体"/>
          <w:i/>
          <w:sz w:val="21"/>
          <w:u w:val="single"/>
        </w:rPr>
        <w:t>k、已竣工工程未交付之前，承包人负责已完工程的保护工作，保护期间发生损坏，责任方自费予以修复至符合验收条件。</w:t>
      </w:r>
    </w:p>
    <w:p w14:paraId="0E5BC87A">
      <w:pPr>
        <w:spacing w:line="360" w:lineRule="exact"/>
        <w:ind w:firstLine="420" w:firstLineChars="200"/>
        <w:rPr>
          <w:rFonts w:ascii="Times New Roman" w:hAnsi="Times New Roman" w:eastAsia="宋体"/>
          <w:i/>
          <w:sz w:val="21"/>
          <w:u w:val="single"/>
        </w:rPr>
      </w:pPr>
      <w:r>
        <w:rPr>
          <w:rFonts w:hint="eastAsia" w:ascii="Times New Roman" w:hAnsi="Times New Roman" w:eastAsia="宋体"/>
          <w:i/>
          <w:sz w:val="21"/>
          <w:u w:val="single"/>
        </w:rPr>
        <w:t>l、重大活动期间以及发包人需要的时间段内，可能对施工做出某些限制和配合要求，承包人应按照要求做出必要的配合，并承担有可能因此而引起工效降低所需增加的费用。相关费用含在合同价款中。</w:t>
      </w:r>
    </w:p>
    <w:p w14:paraId="39B148C7">
      <w:pPr>
        <w:spacing w:line="360" w:lineRule="exact"/>
        <w:ind w:firstLine="420" w:firstLineChars="200"/>
        <w:rPr>
          <w:rFonts w:ascii="Times New Roman" w:hAnsi="Times New Roman" w:eastAsia="宋体"/>
          <w:i/>
          <w:sz w:val="21"/>
          <w:u w:val="single"/>
        </w:rPr>
      </w:pPr>
      <w:r>
        <w:rPr>
          <w:rFonts w:hint="eastAsia" w:ascii="Times New Roman" w:hAnsi="Times New Roman" w:eastAsia="宋体"/>
          <w:i/>
          <w:sz w:val="21"/>
          <w:u w:val="single"/>
        </w:rPr>
        <w:t>m、本项目在施工过程中存在与其他项目交叉施工的情况，承包人须做好协调工作，否则造成工期延误的，由承包人自行承担。</w:t>
      </w:r>
    </w:p>
    <w:p w14:paraId="3A946FFF">
      <w:pPr>
        <w:adjustRightInd w:val="0"/>
        <w:spacing w:line="360" w:lineRule="exact"/>
        <w:ind w:firstLine="420" w:firstLineChars="200"/>
        <w:rPr>
          <w:rFonts w:ascii="Times New Roman" w:hAnsi="Times New Roman" w:eastAsia="宋体"/>
          <w:sz w:val="21"/>
        </w:rPr>
      </w:pPr>
      <w:r>
        <w:rPr>
          <w:rFonts w:hint="eastAsia" w:ascii="Times New Roman" w:hAnsi="Times New Roman" w:eastAsia="宋体"/>
          <w:sz w:val="21"/>
        </w:rPr>
        <w:t>（11）承包人诚实信用的承诺：</w:t>
      </w:r>
      <w:r>
        <w:rPr>
          <w:rFonts w:hint="eastAsia" w:ascii="Times New Roman" w:hAnsi="Times New Roman" w:eastAsia="宋体"/>
          <w:sz w:val="21"/>
          <w:u w:val="single"/>
        </w:rPr>
        <w:t xml:space="preserve">  </w:t>
      </w:r>
      <w:r>
        <w:rPr>
          <w:rFonts w:hint="eastAsia" w:ascii="Times New Roman" w:hAnsi="Times New Roman" w:eastAsia="宋体"/>
          <w:i/>
          <w:kern w:val="0"/>
          <w:sz w:val="21"/>
          <w:szCs w:val="21"/>
          <w:u w:val="single"/>
        </w:rPr>
        <w:t>承包人向发包人承诺按照本合同约定及现场发包人代表和监理工程师的指令进行施工。竣工后，保修期内承担工程质量保修责任，并履行本合同约定的全部义务</w:t>
      </w:r>
      <w:r>
        <w:rPr>
          <w:rFonts w:hint="eastAsia" w:ascii="Times New Roman" w:hAnsi="Times New Roman" w:eastAsia="宋体"/>
          <w:sz w:val="21"/>
          <w:u w:val="single"/>
        </w:rPr>
        <w:t xml:space="preserve">  </w:t>
      </w:r>
      <w:r>
        <w:rPr>
          <w:rFonts w:hint="eastAsia" w:ascii="Times New Roman" w:hAnsi="Times New Roman" w:eastAsia="宋体"/>
          <w:sz w:val="21"/>
        </w:rPr>
        <w:t>。</w:t>
      </w:r>
    </w:p>
    <w:p w14:paraId="72510F25">
      <w:pPr>
        <w:adjustRightInd w:val="0"/>
        <w:snapToGrid w:val="0"/>
        <w:spacing w:line="360" w:lineRule="exact"/>
        <w:ind w:firstLine="420" w:firstLineChars="200"/>
        <w:rPr>
          <w:rFonts w:ascii="Times New Roman" w:hAnsi="Times New Roman" w:eastAsia="宋体"/>
          <w:sz w:val="21"/>
        </w:rPr>
      </w:pPr>
      <w:r>
        <w:rPr>
          <w:rFonts w:hint="eastAsia" w:ascii="Times New Roman" w:hAnsi="Times New Roman" w:eastAsia="宋体"/>
          <w:sz w:val="21"/>
        </w:rPr>
        <w:t>（12）承包人使用新技术、工法、工艺的承诺：</w:t>
      </w:r>
      <w:r>
        <w:rPr>
          <w:rFonts w:hint="eastAsia" w:ascii="Times New Roman" w:hAnsi="Times New Roman" w:eastAsia="宋体"/>
          <w:sz w:val="21"/>
          <w:u w:val="single"/>
        </w:rPr>
        <w:t xml:space="preserve">                  </w:t>
      </w:r>
      <w:r>
        <w:rPr>
          <w:rFonts w:hint="eastAsia" w:ascii="Times New Roman" w:hAnsi="Times New Roman" w:eastAsia="宋体"/>
          <w:sz w:val="21"/>
        </w:rPr>
        <w:t xml:space="preserve">。 </w:t>
      </w:r>
    </w:p>
    <w:p w14:paraId="12F0A531">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3.2 项目经理</w:t>
      </w:r>
    </w:p>
    <w:p w14:paraId="3ADFAD09">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3.2.1 项目经理：</w:t>
      </w:r>
    </w:p>
    <w:p w14:paraId="06BA2185">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姓    名：</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rPr>
        <w:t>；</w:t>
      </w:r>
    </w:p>
    <w:p w14:paraId="475D5DD9">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身份证号：</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rPr>
        <w:t>；</w:t>
      </w:r>
    </w:p>
    <w:p w14:paraId="46F97F93">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建造师执业资格等级：</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rPr>
        <w:t>；</w:t>
      </w:r>
    </w:p>
    <w:p w14:paraId="201A33CD">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建造师注册证书号：</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ascii="Times New Roman" w:hAnsi="Times New Roman" w:eastAsia="宋体"/>
          <w:sz w:val="21"/>
        </w:rPr>
        <w:t>；</w:t>
      </w:r>
    </w:p>
    <w:p w14:paraId="1D9EF21B">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建造师执业印章号：</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ascii="Times New Roman" w:hAnsi="Times New Roman" w:eastAsia="宋体"/>
          <w:sz w:val="21"/>
        </w:rPr>
        <w:t>；</w:t>
      </w:r>
    </w:p>
    <w:p w14:paraId="542FF4BE">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安全生产考核合格证书号：</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rPr>
        <w:t>；</w:t>
      </w:r>
    </w:p>
    <w:p w14:paraId="6CE21C4F">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联系电话：</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rPr>
        <w:t>；</w:t>
      </w:r>
    </w:p>
    <w:p w14:paraId="3F661965">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电子信箱：</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rPr>
        <w:t>；</w:t>
      </w:r>
    </w:p>
    <w:p w14:paraId="5788CB82">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通信地址：</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rPr>
        <w:t>；</w:t>
      </w:r>
    </w:p>
    <w:p w14:paraId="7D269B17">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承包人对项目经理的授权范围如下：</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rPr>
        <w:t>。</w:t>
      </w:r>
    </w:p>
    <w:p w14:paraId="5F6986A0">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关于项目经理每月在施工现场的时间要求：</w:t>
      </w:r>
      <w:r>
        <w:rPr>
          <w:rFonts w:hint="eastAsia" w:ascii="仿宋_GB2312" w:hAnsi="宋体" w:eastAsia="宋体"/>
          <w:sz w:val="21"/>
          <w:szCs w:val="21"/>
          <w:u w:val="single"/>
        </w:rPr>
        <w:t>月到岗率须达到24天</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ascii="Times New Roman" w:hAnsi="Times New Roman" w:eastAsia="宋体"/>
          <w:sz w:val="21"/>
        </w:rPr>
        <w:t>。</w:t>
      </w:r>
    </w:p>
    <w:p w14:paraId="3C649AEE">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承包人未提交劳动合同，以及没有为项目经理缴纳社会保险证明的违约责任：</w:t>
      </w:r>
      <w:r>
        <w:rPr>
          <w:rFonts w:ascii="Times New Roman" w:hAnsi="Times New Roman" w:eastAsia="宋体"/>
          <w:sz w:val="21"/>
          <w:u w:val="single"/>
        </w:rPr>
        <w:t>发包人有权要求更换项目经理，由此增加的费用和（或）延误的工期由承包人承担</w:t>
      </w:r>
      <w:r>
        <w:rPr>
          <w:rFonts w:hint="eastAsia" w:ascii="Times New Roman" w:hAnsi="Times New Roman" w:eastAsia="宋体"/>
          <w:sz w:val="21"/>
          <w:u w:val="single"/>
        </w:rPr>
        <w:t>，并承担违约责任</w:t>
      </w:r>
      <w:r>
        <w:rPr>
          <w:rFonts w:ascii="Times New Roman" w:hAnsi="Times New Roman" w:eastAsia="宋体"/>
          <w:sz w:val="21"/>
        </w:rPr>
        <w:t>。</w:t>
      </w:r>
    </w:p>
    <w:p w14:paraId="7E507016">
      <w:pPr>
        <w:adjustRightInd w:val="0"/>
        <w:snapToGrid w:val="0"/>
        <w:spacing w:line="360" w:lineRule="exact"/>
        <w:ind w:firstLine="420" w:firstLineChars="200"/>
        <w:rPr>
          <w:rFonts w:ascii="Times New Roman" w:hAnsi="Times New Roman" w:eastAsia="宋体"/>
          <w:sz w:val="21"/>
          <w:u w:val="single"/>
        </w:rPr>
      </w:pPr>
      <w:r>
        <w:rPr>
          <w:rFonts w:ascii="Times New Roman" w:hAnsi="Times New Roman" w:eastAsia="宋体"/>
          <w:kern w:val="0"/>
          <w:sz w:val="21"/>
          <w:szCs w:val="21"/>
        </w:rPr>
        <w:t>项目经理未经批准，擅自离开施工现场的违约责任：</w:t>
      </w:r>
      <w:r>
        <w:rPr>
          <w:rFonts w:hint="eastAsia" w:ascii="仿宋_GB2312" w:hAnsi="宋体" w:eastAsia="宋体"/>
          <w:sz w:val="21"/>
          <w:szCs w:val="21"/>
          <w:u w:val="single"/>
        </w:rPr>
        <w:t>月到岗须达到24天</w:t>
      </w:r>
      <w:r>
        <w:rPr>
          <w:rFonts w:ascii="Times New Roman" w:hAnsi="Times New Roman" w:eastAsia="宋体"/>
          <w:sz w:val="21"/>
          <w:szCs w:val="21"/>
          <w:u w:val="single"/>
        </w:rPr>
        <w:t>，不足天数，每天扣除履约担保金额的0.1%，每月结算，在当期工程款支付时扣除；连续三个月达不到要求且项目经理不能到岗的，</w:t>
      </w:r>
      <w:r>
        <w:rPr>
          <w:rFonts w:hint="eastAsia" w:ascii="Times New Roman" w:hAnsi="Times New Roman" w:eastAsia="宋体"/>
          <w:sz w:val="21"/>
          <w:szCs w:val="21"/>
          <w:u w:val="single"/>
        </w:rPr>
        <w:t>一次性扣除</w:t>
      </w:r>
      <w:r>
        <w:rPr>
          <w:rFonts w:ascii="Times New Roman" w:hAnsi="Times New Roman" w:eastAsia="宋体"/>
          <w:sz w:val="21"/>
          <w:szCs w:val="21"/>
          <w:u w:val="single"/>
        </w:rPr>
        <w:t>履约担保金</w:t>
      </w:r>
      <w:r>
        <w:rPr>
          <w:rFonts w:hint="eastAsia" w:ascii="Times New Roman" w:hAnsi="Times New Roman" w:eastAsia="宋体"/>
          <w:sz w:val="21"/>
          <w:szCs w:val="21"/>
          <w:u w:val="single"/>
        </w:rPr>
        <w:t>的8%（含前三个月已扣除的</w:t>
      </w:r>
      <w:r>
        <w:rPr>
          <w:rFonts w:ascii="Times New Roman" w:hAnsi="Times New Roman" w:eastAsia="宋体"/>
          <w:sz w:val="21"/>
          <w:szCs w:val="21"/>
          <w:u w:val="single"/>
        </w:rPr>
        <w:t>履约担保金</w:t>
      </w:r>
      <w:r>
        <w:rPr>
          <w:rFonts w:hint="eastAsia" w:ascii="Times New Roman" w:hAnsi="Times New Roman" w:eastAsia="宋体"/>
          <w:sz w:val="21"/>
          <w:szCs w:val="21"/>
          <w:u w:val="single"/>
        </w:rPr>
        <w:t>），且</w:t>
      </w:r>
      <w:r>
        <w:rPr>
          <w:rFonts w:ascii="Times New Roman" w:hAnsi="Times New Roman" w:eastAsia="宋体"/>
          <w:sz w:val="21"/>
          <w:szCs w:val="21"/>
          <w:u w:val="single"/>
        </w:rPr>
        <w:t>发包人有权</w:t>
      </w:r>
      <w:r>
        <w:rPr>
          <w:rFonts w:hint="eastAsia" w:ascii="Times New Roman" w:hAnsi="Times New Roman" w:eastAsia="宋体"/>
          <w:sz w:val="21"/>
          <w:szCs w:val="21"/>
          <w:u w:val="single"/>
        </w:rPr>
        <w:t>要求承包人更换项目经理</w:t>
      </w:r>
      <w:r>
        <w:rPr>
          <w:rFonts w:ascii="Times New Roman" w:hAnsi="Times New Roman" w:eastAsia="宋体"/>
          <w:sz w:val="21"/>
          <w:szCs w:val="21"/>
          <w:u w:val="single"/>
        </w:rPr>
        <w:t>，同时由承包人赔偿发包人由此造成的损失。另遇有工程检查、验收或参观等活动时，无特殊原因不得</w:t>
      </w:r>
      <w:r>
        <w:rPr>
          <w:rFonts w:ascii="Times New Roman" w:hAnsi="Times New Roman" w:eastAsia="宋体"/>
          <w:kern w:val="0"/>
          <w:sz w:val="21"/>
          <w:szCs w:val="21"/>
          <w:u w:val="single"/>
        </w:rPr>
        <w:t>离开施工现场。</w:t>
      </w:r>
    </w:p>
    <w:p w14:paraId="112BD752">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3.2.3 承包人擅自更换项目经理的违约责任：</w:t>
      </w:r>
      <w:r>
        <w:rPr>
          <w:rFonts w:hint="eastAsia" w:ascii="Times New Roman" w:hAnsi="Times New Roman" w:eastAsia="宋体"/>
          <w:sz w:val="21"/>
          <w:szCs w:val="21"/>
          <w:u w:val="single"/>
        </w:rPr>
        <w:t>项目经理因发生重大安全事故不适合再任、生病住院、终止劳动合同关系（提供相关部门或单位证明材料）、被责令停止执业、羁押或判刑情形，无法继续担任项目经理，承包人向发包人提出申请，发包人应同意更换，并报所在地建设行政主管部门批准、备案，更换到位的项目经理资质、信用等级不低于原项目经理；除上述情形外不允许更换，如</w:t>
      </w:r>
      <w:r>
        <w:rPr>
          <w:rFonts w:ascii="Times New Roman" w:hAnsi="Times New Roman" w:eastAsia="宋体"/>
          <w:sz w:val="21"/>
          <w:szCs w:val="21"/>
          <w:u w:val="single"/>
        </w:rPr>
        <w:t>承包人擅自更换</w:t>
      </w:r>
      <w:r>
        <w:rPr>
          <w:rFonts w:hint="eastAsia" w:ascii="Times New Roman" w:hAnsi="Times New Roman" w:eastAsia="宋体"/>
          <w:sz w:val="21"/>
          <w:szCs w:val="21"/>
          <w:u w:val="single"/>
        </w:rPr>
        <w:t>，按每更换一人次扣除履约担保金额的</w:t>
      </w:r>
      <w:r>
        <w:rPr>
          <w:rFonts w:ascii="Times New Roman" w:hAnsi="Times New Roman" w:eastAsia="宋体"/>
          <w:sz w:val="21"/>
          <w:szCs w:val="21"/>
          <w:u w:val="single"/>
        </w:rPr>
        <w:t>20%</w:t>
      </w:r>
      <w:r>
        <w:rPr>
          <w:rFonts w:hint="eastAsia" w:ascii="Times New Roman" w:hAnsi="Times New Roman" w:eastAsia="宋体"/>
          <w:sz w:val="21"/>
          <w:szCs w:val="21"/>
          <w:u w:val="single"/>
        </w:rPr>
        <w:t>；及至发包人可通知承包人全部解除合同，所有履约担保金归发包人，并赔偿发包人损失。</w:t>
      </w:r>
    </w:p>
    <w:p w14:paraId="7331BB1D">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3.2.4 承包人无正当理由拒绝更换项目经理的违约责任</w:t>
      </w:r>
      <w:r>
        <w:rPr>
          <w:rFonts w:hint="eastAsia" w:ascii="Times New Roman" w:hAnsi="Times New Roman" w:eastAsia="宋体"/>
          <w:sz w:val="21"/>
        </w:rPr>
        <w:t>：</w:t>
      </w:r>
      <w:r>
        <w:rPr>
          <w:rFonts w:hint="eastAsia" w:ascii="Times New Roman" w:hAnsi="Times New Roman" w:eastAsia="宋体"/>
          <w:sz w:val="21"/>
          <w:u w:val="single"/>
        </w:rPr>
        <w:t>发包人可通知承包人全部解除合同，所有履约担保金归发包人，同时赔偿发包人损失</w:t>
      </w:r>
      <w:r>
        <w:rPr>
          <w:rFonts w:ascii="Times New Roman" w:hAnsi="Times New Roman" w:eastAsia="宋体"/>
          <w:sz w:val="21"/>
        </w:rPr>
        <w:t>。</w:t>
      </w:r>
    </w:p>
    <w:p w14:paraId="1D707D97">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3.3 承包人人员</w:t>
      </w:r>
    </w:p>
    <w:p w14:paraId="7F3ED9DF">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3.3.1 承包人提交项目管理机构及施工现场管理人员安排报告的期限：</w:t>
      </w:r>
      <w:r>
        <w:rPr>
          <w:rFonts w:hint="eastAsia" w:ascii="Times New Roman" w:hAnsi="Times New Roman" w:eastAsia="宋体"/>
          <w:sz w:val="21"/>
          <w:u w:val="single"/>
        </w:rPr>
        <w:t>接到开工通知（或确定开工日期）后7天内</w:t>
      </w:r>
      <w:r>
        <w:rPr>
          <w:rFonts w:ascii="Times New Roman" w:hAnsi="Times New Roman" w:eastAsia="宋体"/>
          <w:sz w:val="21"/>
          <w:u w:val="single"/>
        </w:rPr>
        <w:t>。</w:t>
      </w:r>
    </w:p>
    <w:p w14:paraId="5296DB28">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3.3.3 承包人无正当理由拒绝撤换主要施工管理人员的违约责任：</w:t>
      </w:r>
      <w:r>
        <w:rPr>
          <w:rFonts w:hint="eastAsia" w:ascii="仿宋_GB2312" w:hAnsi="宋体" w:eastAsia="宋体"/>
          <w:sz w:val="21"/>
          <w:szCs w:val="21"/>
          <w:u w:val="single"/>
        </w:rPr>
        <w:t>发包人可通知承包人全部解除合同，所有履约担保金归发包人，同时赔偿发包人损失。</w:t>
      </w:r>
    </w:p>
    <w:p w14:paraId="411919CB">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3.3.4 承包人主要施工管理人员离开施工现场的批准要求：</w:t>
      </w:r>
      <w:r>
        <w:rPr>
          <w:rFonts w:hint="eastAsia" w:ascii="仿宋_GB2312" w:hAnsi="Times New Roman" w:eastAsia="宋体"/>
          <w:sz w:val="21"/>
          <w:szCs w:val="21"/>
          <w:u w:val="single"/>
        </w:rPr>
        <w:t>按通用条款执行；另遇有工程检查、验收或参观等活动时，无特殊原因不得请假</w:t>
      </w:r>
      <w:r>
        <w:rPr>
          <w:rFonts w:ascii="Times New Roman" w:hAnsi="Times New Roman" w:eastAsia="宋体"/>
          <w:sz w:val="21"/>
          <w:szCs w:val="21"/>
        </w:rPr>
        <w:t>。</w:t>
      </w:r>
    </w:p>
    <w:p w14:paraId="2A1B2309">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3.3.5承包人擅自更换主要施工管理人员的违约责任：</w:t>
      </w:r>
      <w:r>
        <w:rPr>
          <w:rFonts w:hint="eastAsia" w:ascii="仿宋_GB2312" w:hAnsi="宋体" w:eastAsia="宋体"/>
          <w:sz w:val="21"/>
          <w:szCs w:val="21"/>
          <w:u w:val="single"/>
        </w:rPr>
        <w:t>因发生重大安全事故、生病住院、终止劳动合同关系、被责令停止执业、羁押或判刑情形，确已无法继续担任相应岗位工作，承包人向发包人提出申请，发包人应同意更换，并报工程所在地建设行政主管部门备案，对</w:t>
      </w:r>
      <w:r>
        <w:rPr>
          <w:rFonts w:hint="eastAsia" w:ascii="Times New Roman" w:hAnsi="Times New Roman" w:eastAsia="宋体"/>
          <w:sz w:val="21"/>
          <w:szCs w:val="21"/>
          <w:u w:val="single"/>
        </w:rPr>
        <w:t>更换到位的技术负责人资质、信用等级应不低于原技术负责人；如承包人擅自更换，按</w:t>
      </w:r>
      <w:r>
        <w:rPr>
          <w:rFonts w:hint="eastAsia" w:ascii="仿宋_GB2312" w:hAnsi="宋体" w:eastAsia="宋体"/>
          <w:sz w:val="21"/>
          <w:szCs w:val="21"/>
          <w:u w:val="single"/>
        </w:rPr>
        <w:t>技术负责人每更换一人次扣除履约担保金的10%；其他关键岗位人员每更换一人次扣除履约担保金额的5%。</w:t>
      </w:r>
    </w:p>
    <w:p w14:paraId="2D08E439">
      <w:pPr>
        <w:adjustRightInd w:val="0"/>
        <w:snapToGrid w:val="0"/>
        <w:spacing w:line="360" w:lineRule="exact"/>
        <w:ind w:firstLine="420" w:firstLineChars="200"/>
        <w:rPr>
          <w:rFonts w:ascii="Times New Roman" w:hAnsi="Times New Roman" w:eastAsia="宋体"/>
          <w:kern w:val="0"/>
          <w:sz w:val="21"/>
          <w:szCs w:val="21"/>
          <w:u w:val="single"/>
        </w:rPr>
      </w:pPr>
      <w:r>
        <w:rPr>
          <w:rFonts w:ascii="Times New Roman" w:hAnsi="Times New Roman" w:eastAsia="宋体"/>
          <w:sz w:val="21"/>
        </w:rPr>
        <w:t>承包人主要施工管理人员擅自离开施工现场的违约责任：</w:t>
      </w:r>
      <w:r>
        <w:rPr>
          <w:rFonts w:hint="eastAsia" w:ascii="Times New Roman" w:hAnsi="Times New Roman" w:eastAsia="宋体"/>
          <w:sz w:val="21"/>
          <w:szCs w:val="21"/>
          <w:u w:val="single"/>
        </w:rPr>
        <w:t>关键岗位人员到岗达不到24天的，</w:t>
      </w:r>
      <w:r>
        <w:rPr>
          <w:rFonts w:ascii="Times New Roman" w:hAnsi="Times New Roman" w:eastAsia="宋体"/>
          <w:sz w:val="21"/>
          <w:szCs w:val="21"/>
          <w:u w:val="single"/>
        </w:rPr>
        <w:t>不足天数每人次每天扣除履约担保金额的0.05%，每月结算，在当期工程款支付时</w:t>
      </w:r>
      <w:r>
        <w:rPr>
          <w:rFonts w:hint="eastAsia" w:ascii="仿宋_GB2312" w:hAnsi="宋体" w:eastAsia="宋体"/>
          <w:sz w:val="21"/>
          <w:szCs w:val="21"/>
          <w:u w:val="single"/>
        </w:rPr>
        <w:t>扣除。</w:t>
      </w:r>
      <w:r>
        <w:rPr>
          <w:rFonts w:hint="eastAsia" w:ascii="Times New Roman" w:hAnsi="Times New Roman" w:eastAsia="宋体"/>
          <w:sz w:val="21"/>
          <w:szCs w:val="21"/>
          <w:u w:val="single"/>
        </w:rPr>
        <w:t>某关键岗位人员</w:t>
      </w:r>
      <w:r>
        <w:rPr>
          <w:rFonts w:ascii="Times New Roman" w:hAnsi="Times New Roman" w:eastAsia="宋体"/>
          <w:sz w:val="21"/>
          <w:szCs w:val="21"/>
          <w:u w:val="single"/>
        </w:rPr>
        <w:t>连续三个月到岗率达不到要求且不能到岗的，</w:t>
      </w:r>
      <w:r>
        <w:rPr>
          <w:rFonts w:hint="eastAsia" w:ascii="Times New Roman" w:hAnsi="Times New Roman" w:eastAsia="宋体"/>
          <w:sz w:val="21"/>
          <w:szCs w:val="21"/>
          <w:u w:val="single"/>
        </w:rPr>
        <w:t>一次性扣除</w:t>
      </w:r>
      <w:r>
        <w:rPr>
          <w:rFonts w:ascii="Times New Roman" w:hAnsi="Times New Roman" w:eastAsia="宋体"/>
          <w:sz w:val="21"/>
          <w:szCs w:val="21"/>
          <w:u w:val="single"/>
        </w:rPr>
        <w:t>履约担保金</w:t>
      </w:r>
      <w:r>
        <w:rPr>
          <w:rFonts w:hint="eastAsia" w:ascii="Times New Roman" w:hAnsi="Times New Roman" w:eastAsia="宋体"/>
          <w:sz w:val="21"/>
          <w:szCs w:val="21"/>
          <w:u w:val="single"/>
        </w:rPr>
        <w:t>的3%（含前三个月已扣除的</w:t>
      </w:r>
      <w:r>
        <w:rPr>
          <w:rFonts w:ascii="Times New Roman" w:hAnsi="Times New Roman" w:eastAsia="宋体"/>
          <w:sz w:val="21"/>
          <w:szCs w:val="21"/>
          <w:u w:val="single"/>
        </w:rPr>
        <w:t>履约担保金</w:t>
      </w:r>
      <w:r>
        <w:rPr>
          <w:rFonts w:hint="eastAsia" w:ascii="Times New Roman" w:hAnsi="Times New Roman" w:eastAsia="宋体"/>
          <w:sz w:val="21"/>
          <w:szCs w:val="21"/>
          <w:u w:val="single"/>
        </w:rPr>
        <w:t>），且</w:t>
      </w:r>
      <w:r>
        <w:rPr>
          <w:rFonts w:ascii="Times New Roman" w:hAnsi="Times New Roman" w:eastAsia="宋体"/>
          <w:sz w:val="21"/>
          <w:szCs w:val="21"/>
          <w:u w:val="single"/>
        </w:rPr>
        <w:t>发包人有权</w:t>
      </w:r>
      <w:r>
        <w:rPr>
          <w:rFonts w:hint="eastAsia" w:ascii="Times New Roman" w:hAnsi="Times New Roman" w:eastAsia="宋体"/>
          <w:sz w:val="21"/>
          <w:szCs w:val="21"/>
          <w:u w:val="single"/>
        </w:rPr>
        <w:t>要求承包人更换该关键岗位人员。</w:t>
      </w:r>
    </w:p>
    <w:p w14:paraId="6001FF6C">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3</w:t>
      </w:r>
      <w:bookmarkStart w:id="106" w:name="_Toc296890987"/>
      <w:bookmarkStart w:id="107" w:name="_Toc296346660"/>
      <w:bookmarkStart w:id="108" w:name="_Toc303539102"/>
      <w:bookmarkStart w:id="109" w:name="_Toc312677988"/>
      <w:bookmarkStart w:id="110" w:name="_Toc292559364"/>
      <w:bookmarkStart w:id="111" w:name="_Toc304295523"/>
      <w:bookmarkStart w:id="112" w:name="_Toc296347158"/>
      <w:bookmarkStart w:id="113" w:name="_Toc297120459"/>
      <w:bookmarkStart w:id="114" w:name="_Toc296944498"/>
      <w:bookmarkStart w:id="115" w:name="_Toc297048345"/>
      <w:bookmarkStart w:id="116" w:name="_Toc292559869"/>
      <w:bookmarkStart w:id="117" w:name="_Toc297216151"/>
      <w:bookmarkStart w:id="118" w:name="_Toc296891199"/>
      <w:bookmarkStart w:id="119" w:name="_Toc300934945"/>
      <w:bookmarkStart w:id="120" w:name="_Toc297123492"/>
      <w:bookmarkStart w:id="121" w:name="_Toc296503159"/>
      <w:r>
        <w:rPr>
          <w:rFonts w:ascii="Times New Roman" w:hAnsi="Times New Roman" w:eastAsia="宋体"/>
          <w:sz w:val="21"/>
        </w:rPr>
        <w:t>.5 分包</w:t>
      </w:r>
    </w:p>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p w14:paraId="53AFE667">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3</w:t>
      </w:r>
      <w:bookmarkStart w:id="122" w:name="_Toc318581158"/>
      <w:bookmarkStart w:id="123" w:name="_Toc296347159"/>
      <w:bookmarkStart w:id="124" w:name="_Toc292559365"/>
      <w:bookmarkStart w:id="125" w:name="_Toc296944499"/>
      <w:bookmarkStart w:id="126" w:name="_Toc303539103"/>
      <w:bookmarkStart w:id="127" w:name="_Toc297123493"/>
      <w:bookmarkStart w:id="128" w:name="_Toc300934946"/>
      <w:bookmarkStart w:id="129" w:name="_Toc297048346"/>
      <w:bookmarkStart w:id="130" w:name="_Toc296891200"/>
      <w:bookmarkStart w:id="131" w:name="_Toc312677989"/>
      <w:bookmarkStart w:id="132" w:name="_Toc296503160"/>
      <w:bookmarkStart w:id="133" w:name="_Toc296346661"/>
      <w:bookmarkStart w:id="134" w:name="_Toc292559870"/>
      <w:bookmarkStart w:id="135" w:name="_Toc304295524"/>
      <w:bookmarkStart w:id="136" w:name="_Toc297120460"/>
      <w:bookmarkStart w:id="137" w:name="_Toc296890988"/>
      <w:bookmarkStart w:id="138" w:name="_Toc297216152"/>
      <w:r>
        <w:rPr>
          <w:rFonts w:ascii="Times New Roman" w:hAnsi="Times New Roman" w:eastAsia="宋体"/>
          <w:sz w:val="21"/>
        </w:rPr>
        <w:t>.5.1 分包的一般约定</w:t>
      </w:r>
    </w:p>
    <w:p w14:paraId="19FD155A">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禁止分包的工程包括：</w:t>
      </w:r>
      <w:r>
        <w:rPr>
          <w:rFonts w:hint="eastAsia" w:ascii="Times New Roman" w:hAnsi="Times New Roman" w:eastAsia="宋体"/>
          <w:sz w:val="21"/>
          <w:u w:val="single"/>
        </w:rPr>
        <w:t>工程主体结构、关键性工作</w:t>
      </w:r>
      <w:r>
        <w:rPr>
          <w:rFonts w:ascii="Times New Roman" w:hAnsi="Times New Roman" w:eastAsia="宋体"/>
          <w:sz w:val="21"/>
          <w:u w:val="single"/>
        </w:rPr>
        <w:t xml:space="preserve">  </w:t>
      </w:r>
      <w:r>
        <w:rPr>
          <w:rFonts w:ascii="Times New Roman" w:hAnsi="Times New Roman" w:eastAsia="宋体"/>
          <w:sz w:val="21"/>
        </w:rPr>
        <w:t>。</w:t>
      </w:r>
    </w:p>
    <w:p w14:paraId="063D52D2">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主体结构、关键性工作的范围：</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hint="eastAsia" w:ascii="Times New Roman" w:hAnsi="Times New Roman" w:eastAsia="宋体"/>
          <w:sz w:val="21"/>
          <w:u w:val="single"/>
        </w:rPr>
        <w:t>　</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hint="eastAsia" w:ascii="Times New Roman" w:hAnsi="Times New Roman" w:eastAsia="宋体"/>
          <w:sz w:val="21"/>
        </w:rPr>
        <w:t>。</w:t>
      </w:r>
    </w:p>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p w14:paraId="26F7E289">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3</w:t>
      </w:r>
      <w:bookmarkStart w:id="139" w:name="_Toc312677990"/>
      <w:bookmarkStart w:id="140" w:name="_Toc318581159"/>
      <w:r>
        <w:rPr>
          <w:rFonts w:ascii="Times New Roman" w:hAnsi="Times New Roman" w:eastAsia="宋体"/>
          <w:sz w:val="21"/>
        </w:rPr>
        <w:t>.5.2分包的确定</w:t>
      </w:r>
    </w:p>
    <w:p w14:paraId="60ACCFB5">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允许分包的专业工程包括：</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p>
    <w:p w14:paraId="1C423970">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其他关于分包的约定：</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hint="eastAsia" w:ascii="Times New Roman" w:hAnsi="Times New Roman" w:eastAsia="宋体"/>
          <w:sz w:val="21"/>
        </w:rPr>
        <w:t>。</w:t>
      </w:r>
    </w:p>
    <w:p w14:paraId="4D9CFFCF">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3.5.4 分包合同价款</w:t>
      </w:r>
    </w:p>
    <w:p w14:paraId="1791C43A">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关于分包合同价款支付的约定：</w:t>
      </w:r>
      <w:r>
        <w:rPr>
          <w:rFonts w:ascii="Times New Roman" w:hAnsi="Times New Roman" w:eastAsia="宋体"/>
          <w:sz w:val="21"/>
          <w:u w:val="single"/>
        </w:rPr>
        <w:t xml:space="preserve"> </w:t>
      </w:r>
      <w:r>
        <w:rPr>
          <w:rFonts w:hint="eastAsia" w:ascii="Times New Roman" w:hAnsi="Times New Roman" w:eastAsia="宋体"/>
          <w:sz w:val="21"/>
          <w:u w:val="single"/>
        </w:rPr>
        <w:t>　　　 　　　　</w:t>
      </w:r>
      <w:r>
        <w:rPr>
          <w:rFonts w:ascii="Times New Roman" w:hAnsi="Times New Roman" w:eastAsia="宋体"/>
          <w:sz w:val="21"/>
          <w:u w:val="single"/>
        </w:rPr>
        <w:t xml:space="preserve">   </w:t>
      </w:r>
      <w:r>
        <w:rPr>
          <w:rFonts w:ascii="Times New Roman" w:hAnsi="Times New Roman" w:eastAsia="宋体"/>
          <w:sz w:val="21"/>
        </w:rPr>
        <w:t>。</w:t>
      </w:r>
    </w:p>
    <w:bookmarkEnd w:id="139"/>
    <w:bookmarkEnd w:id="140"/>
    <w:p w14:paraId="40D878CA">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3.6 工程照管与成品、半成品保护</w:t>
      </w:r>
    </w:p>
    <w:p w14:paraId="28901C7B">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承包人负责照管工程及工程相关的材料、工程设备的起始时间：</w:t>
      </w:r>
      <w:r>
        <w:rPr>
          <w:rFonts w:hint="eastAsia" w:ascii="Times New Roman" w:hAnsi="Times New Roman" w:eastAsia="宋体"/>
          <w:sz w:val="21"/>
          <w:u w:val="single"/>
        </w:rPr>
        <w:t>按合同通用条款执行</w:t>
      </w:r>
      <w:r>
        <w:rPr>
          <w:rFonts w:ascii="Times New Roman" w:hAnsi="Times New Roman" w:eastAsia="宋体"/>
          <w:sz w:val="21"/>
        </w:rPr>
        <w:t>。</w:t>
      </w:r>
    </w:p>
    <w:p w14:paraId="4EB3A129">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3.7 履约担保</w:t>
      </w:r>
    </w:p>
    <w:p w14:paraId="09C80D66">
      <w:pPr>
        <w:adjustRightInd w:val="0"/>
        <w:snapToGrid w:val="0"/>
        <w:spacing w:line="360" w:lineRule="exact"/>
        <w:ind w:firstLine="420" w:firstLineChars="200"/>
        <w:rPr>
          <w:rFonts w:ascii="Times New Roman" w:hAnsi="Times New Roman" w:eastAsia="宋体"/>
          <w:sz w:val="21"/>
        </w:rPr>
      </w:pPr>
      <w:r>
        <w:rPr>
          <w:rFonts w:hint="eastAsia" w:ascii="Times New Roman" w:hAnsi="Times New Roman" w:eastAsia="宋体"/>
          <w:sz w:val="21"/>
        </w:rPr>
        <w:t>承包人是否提供履约担保：</w:t>
      </w:r>
      <w:r>
        <w:rPr>
          <w:rFonts w:ascii="Times New Roman" w:hAnsi="Times New Roman" w:eastAsia="宋体"/>
          <w:sz w:val="21"/>
          <w:u w:val="single"/>
        </w:rPr>
        <w:t xml:space="preserve">  </w:t>
      </w:r>
      <w:r>
        <w:rPr>
          <w:rFonts w:hint="eastAsia" w:ascii="Times New Roman" w:hAnsi="Times New Roman" w:eastAsia="宋体"/>
          <w:i/>
          <w:sz w:val="21"/>
          <w:u w:val="single"/>
        </w:rPr>
        <w:t>是</w:t>
      </w:r>
      <w:r>
        <w:rPr>
          <w:rFonts w:ascii="Times New Roman" w:hAnsi="Times New Roman" w:eastAsia="宋体"/>
          <w:sz w:val="21"/>
          <w:u w:val="single"/>
        </w:rPr>
        <w:t xml:space="preserve">    </w:t>
      </w:r>
      <w:r>
        <w:rPr>
          <w:rFonts w:hint="eastAsia" w:ascii="Times New Roman" w:hAnsi="Times New Roman" w:eastAsia="宋体"/>
          <w:sz w:val="21"/>
        </w:rPr>
        <w:t>。</w:t>
      </w:r>
    </w:p>
    <w:p w14:paraId="5C4DE00A">
      <w:pPr>
        <w:adjustRightInd w:val="0"/>
        <w:snapToGrid w:val="0"/>
        <w:spacing w:line="360" w:lineRule="exact"/>
        <w:ind w:firstLine="420" w:firstLineChars="200"/>
        <w:rPr>
          <w:rFonts w:ascii="宋体" w:hAnsi="宋体" w:eastAsia="宋体" w:cs="宋体"/>
          <w:sz w:val="21"/>
          <w:szCs w:val="21"/>
        </w:rPr>
      </w:pPr>
      <w:r>
        <w:rPr>
          <w:rFonts w:hint="eastAsia" w:ascii="Times New Roman" w:hAnsi="Times New Roman" w:eastAsia="宋体"/>
          <w:sz w:val="21"/>
        </w:rPr>
        <w:t>履约担保的形式：</w:t>
      </w:r>
      <w:r>
        <w:rPr>
          <w:rFonts w:hint="eastAsia" w:ascii="宋体" w:hAnsi="宋体" w:eastAsia="宋体" w:cs="宋体"/>
          <w:sz w:val="21"/>
          <w:szCs w:val="21"/>
          <w:u w:val="single"/>
        </w:rPr>
        <w:t>现金、转账、及采购人认可的包含形式（如银行保函、保险机构保证保险保单和融资担保公司保函）。</w:t>
      </w:r>
    </w:p>
    <w:p w14:paraId="5469E224">
      <w:pPr>
        <w:adjustRightInd w:val="0"/>
        <w:snapToGrid w:val="0"/>
        <w:spacing w:line="360" w:lineRule="exact"/>
        <w:ind w:firstLine="420" w:firstLineChars="200"/>
        <w:rPr>
          <w:rFonts w:ascii="Times New Roman" w:hAnsi="Times New Roman" w:eastAsia="宋体"/>
          <w:sz w:val="21"/>
        </w:rPr>
      </w:pPr>
      <w:r>
        <w:rPr>
          <w:rFonts w:hint="eastAsia" w:ascii="Times New Roman" w:hAnsi="Times New Roman" w:eastAsia="宋体"/>
          <w:sz w:val="21"/>
        </w:rPr>
        <w:t>履约担保的金额：</w:t>
      </w:r>
      <w:r>
        <w:rPr>
          <w:rFonts w:hint="eastAsia" w:ascii="Times New Roman" w:hAnsi="Times New Roman" w:eastAsia="宋体"/>
          <w:sz w:val="21"/>
          <w:u w:val="single"/>
        </w:rPr>
        <w:t>合同价的1%。</w:t>
      </w:r>
    </w:p>
    <w:p w14:paraId="79D25ADC">
      <w:pPr>
        <w:adjustRightInd w:val="0"/>
        <w:snapToGrid w:val="0"/>
        <w:spacing w:line="360" w:lineRule="exact"/>
        <w:ind w:firstLine="420" w:firstLineChars="200"/>
        <w:rPr>
          <w:rFonts w:ascii="Times New Roman" w:hAnsi="Times New Roman" w:eastAsia="宋体"/>
          <w:sz w:val="21"/>
        </w:rPr>
      </w:pPr>
      <w:r>
        <w:rPr>
          <w:rFonts w:hint="eastAsia" w:ascii="Times New Roman" w:hAnsi="Times New Roman" w:eastAsia="宋体"/>
          <w:sz w:val="21"/>
        </w:rPr>
        <w:t>履约担保的期限：</w:t>
      </w:r>
      <w:r>
        <w:rPr>
          <w:rFonts w:hint="eastAsia" w:ascii="Times New Roman" w:hAnsi="Times New Roman" w:eastAsia="宋体"/>
          <w:sz w:val="21"/>
          <w:u w:val="single"/>
        </w:rPr>
        <w:t>在本项目通过竣工验收合格后10日内予以退还（不计息）</w:t>
      </w:r>
      <w:r>
        <w:rPr>
          <w:rFonts w:hint="eastAsia" w:ascii="Times New Roman" w:hAnsi="Times New Roman" w:eastAsia="宋体"/>
          <w:sz w:val="21"/>
          <w:u w:val="single"/>
          <w:lang w:val="zh-CN"/>
        </w:rPr>
        <w:t>。</w:t>
      </w:r>
      <w:r>
        <w:rPr>
          <w:rFonts w:hint="eastAsia" w:ascii="Times New Roman" w:hAnsi="Times New Roman" w:eastAsia="宋体"/>
          <w:sz w:val="21"/>
          <w:u w:val="single"/>
        </w:rPr>
        <w:t>如成交供应商原因造成合同中止，履约担保金不返还；如成交供应商不能按谈判承诺和合同要求履约，采购人将有权扣除相应甚至全部履约保证金。</w:t>
      </w:r>
    </w:p>
    <w:p w14:paraId="7AF9416D">
      <w:pPr>
        <w:adjustRightInd w:val="0"/>
        <w:snapToGrid w:val="0"/>
        <w:spacing w:line="360" w:lineRule="exact"/>
        <w:ind w:firstLine="422" w:firstLineChars="200"/>
        <w:rPr>
          <w:rFonts w:ascii="Times New Roman" w:hAnsi="Times New Roman" w:eastAsia="宋体"/>
          <w:b/>
          <w:sz w:val="21"/>
        </w:rPr>
      </w:pPr>
      <w:r>
        <w:rPr>
          <w:rFonts w:hint="eastAsia" w:ascii="Times New Roman" w:hAnsi="Times New Roman" w:eastAsia="宋体"/>
          <w:b/>
          <w:sz w:val="21"/>
        </w:rPr>
        <w:t>4. 监理人</w:t>
      </w:r>
    </w:p>
    <w:p w14:paraId="197CE3E9">
      <w:pPr>
        <w:adjustRightInd w:val="0"/>
        <w:snapToGrid w:val="0"/>
        <w:spacing w:line="360" w:lineRule="exact"/>
        <w:ind w:firstLine="420" w:firstLineChars="200"/>
        <w:rPr>
          <w:rFonts w:ascii="Times New Roman" w:hAnsi="Times New Roman" w:eastAsia="宋体"/>
          <w:sz w:val="21"/>
        </w:rPr>
      </w:pPr>
      <w:r>
        <w:rPr>
          <w:rFonts w:hint="eastAsia" w:ascii="Times New Roman" w:hAnsi="Times New Roman" w:eastAsia="宋体"/>
          <w:sz w:val="21"/>
        </w:rPr>
        <w:t>4.1监理人的一般规定</w:t>
      </w:r>
    </w:p>
    <w:p w14:paraId="154AD58F">
      <w:pPr>
        <w:adjustRightInd w:val="0"/>
        <w:snapToGrid w:val="0"/>
        <w:spacing w:line="360" w:lineRule="exact"/>
        <w:ind w:firstLine="420" w:firstLineChars="200"/>
        <w:rPr>
          <w:rFonts w:ascii="Times New Roman" w:hAnsi="Times New Roman" w:eastAsia="宋体"/>
          <w:sz w:val="21"/>
        </w:rPr>
      </w:pPr>
      <w:r>
        <w:rPr>
          <w:rFonts w:hint="eastAsia" w:ascii="Times New Roman" w:hAnsi="Times New Roman" w:eastAsia="宋体"/>
          <w:sz w:val="21"/>
        </w:rPr>
        <w:t>关于监理人的监理内容：</w:t>
      </w:r>
      <w:r>
        <w:rPr>
          <w:rFonts w:hint="eastAsia" w:ascii="Times New Roman" w:hAnsi="Times New Roman" w:eastAsia="宋体"/>
          <w:sz w:val="21"/>
          <w:u w:val="single"/>
        </w:rPr>
        <w:t xml:space="preserve"> 按本工程监理合同约定内容</w:t>
      </w:r>
      <w:r>
        <w:rPr>
          <w:rFonts w:hint="eastAsia" w:ascii="Times New Roman" w:hAnsi="Times New Roman" w:eastAsia="宋体"/>
          <w:sz w:val="21"/>
        </w:rPr>
        <w:t>。</w:t>
      </w:r>
    </w:p>
    <w:p w14:paraId="03A2D9FF">
      <w:pPr>
        <w:adjustRightInd w:val="0"/>
        <w:snapToGrid w:val="0"/>
        <w:spacing w:line="360" w:lineRule="exact"/>
        <w:ind w:firstLine="420" w:firstLineChars="200"/>
        <w:rPr>
          <w:rFonts w:ascii="Times New Roman" w:hAnsi="Times New Roman" w:eastAsia="宋体"/>
          <w:sz w:val="21"/>
        </w:rPr>
      </w:pPr>
      <w:r>
        <w:rPr>
          <w:rFonts w:hint="eastAsia" w:ascii="Times New Roman" w:hAnsi="Times New Roman" w:eastAsia="宋体"/>
          <w:sz w:val="21"/>
        </w:rPr>
        <w:t>关于监理人的监理权限：</w:t>
      </w:r>
      <w:r>
        <w:rPr>
          <w:rFonts w:hint="eastAsia" w:ascii="Times New Roman" w:hAnsi="Times New Roman" w:eastAsia="宋体"/>
          <w:sz w:val="21"/>
          <w:szCs w:val="21"/>
        </w:rPr>
        <w:t>〔</w:t>
      </w:r>
      <w:r>
        <w:rPr>
          <w:rFonts w:hint="eastAsia" w:ascii="Times New Roman" w:hAnsi="Times New Roman" w:eastAsia="宋体"/>
          <w:sz w:val="21"/>
          <w:szCs w:val="21"/>
          <w:u w:val="single"/>
        </w:rPr>
        <w:t>按本工程监理合同约定内容，涉及工程变更（含设计变更等参建各方变更）均需报发包人审批后生效</w:t>
      </w:r>
      <w:r>
        <w:rPr>
          <w:rFonts w:hint="eastAsia" w:ascii="Times New Roman" w:hAnsi="Times New Roman" w:eastAsia="宋体"/>
          <w:sz w:val="21"/>
          <w:szCs w:val="21"/>
        </w:rPr>
        <w:t>〕。</w:t>
      </w:r>
    </w:p>
    <w:p w14:paraId="3D384E05">
      <w:pPr>
        <w:adjustRightInd w:val="0"/>
        <w:snapToGrid w:val="0"/>
        <w:spacing w:line="360" w:lineRule="exact"/>
        <w:ind w:firstLine="420" w:firstLineChars="200"/>
        <w:rPr>
          <w:rFonts w:ascii="Times New Roman" w:hAnsi="Times New Roman" w:eastAsia="宋体"/>
          <w:sz w:val="21"/>
        </w:rPr>
      </w:pPr>
      <w:r>
        <w:rPr>
          <w:rFonts w:hint="eastAsia" w:ascii="Times New Roman" w:hAnsi="Times New Roman" w:eastAsia="宋体"/>
          <w:sz w:val="21"/>
        </w:rPr>
        <w:t>关于监理人在施工现场的办公场所、生活场所的提供和费用承担的约定：</w:t>
      </w:r>
      <w:r>
        <w:rPr>
          <w:rFonts w:hint="eastAsia" w:ascii="Times New Roman" w:hAnsi="Times New Roman" w:eastAsia="宋体"/>
          <w:sz w:val="21"/>
          <w:u w:val="single"/>
        </w:rPr>
        <w:t>由承包人免费提供办公室1间使用</w:t>
      </w:r>
      <w:r>
        <w:rPr>
          <w:rFonts w:hint="eastAsia" w:ascii="Times New Roman" w:hAnsi="Times New Roman" w:eastAsia="宋体"/>
          <w:i/>
          <w:sz w:val="21"/>
          <w:u w:val="single"/>
        </w:rPr>
        <w:t>【配套空调设施、办公桌椅及办公所需的通信网络】</w:t>
      </w:r>
      <w:r>
        <w:rPr>
          <w:rFonts w:hint="eastAsia" w:ascii="Times New Roman" w:hAnsi="Times New Roman" w:eastAsia="宋体"/>
          <w:sz w:val="21"/>
          <w:u w:val="single"/>
        </w:rPr>
        <w:t xml:space="preserve"> </w:t>
      </w:r>
      <w:r>
        <w:rPr>
          <w:rFonts w:hint="eastAsia" w:ascii="Times New Roman" w:hAnsi="Times New Roman" w:eastAsia="宋体"/>
          <w:sz w:val="21"/>
        </w:rPr>
        <w:t>。</w:t>
      </w:r>
    </w:p>
    <w:p w14:paraId="7AAE72EE">
      <w:pPr>
        <w:adjustRightInd w:val="0"/>
        <w:snapToGrid w:val="0"/>
        <w:spacing w:line="360" w:lineRule="exact"/>
        <w:ind w:firstLine="420" w:firstLineChars="200"/>
        <w:rPr>
          <w:rFonts w:ascii="Times New Roman" w:hAnsi="Times New Roman" w:eastAsia="宋体"/>
          <w:sz w:val="21"/>
        </w:rPr>
      </w:pPr>
      <w:r>
        <w:rPr>
          <w:rFonts w:hint="eastAsia" w:ascii="Times New Roman" w:hAnsi="Times New Roman" w:eastAsia="宋体"/>
          <w:sz w:val="21"/>
        </w:rPr>
        <w:t>4.2 监理人员</w:t>
      </w:r>
    </w:p>
    <w:p w14:paraId="44DC33EE">
      <w:pPr>
        <w:adjustRightInd w:val="0"/>
        <w:snapToGrid w:val="0"/>
        <w:spacing w:line="360" w:lineRule="exact"/>
        <w:ind w:firstLine="420" w:firstLineChars="200"/>
        <w:rPr>
          <w:rFonts w:ascii="Times New Roman" w:hAnsi="Times New Roman" w:eastAsia="宋体"/>
          <w:sz w:val="21"/>
        </w:rPr>
      </w:pPr>
      <w:r>
        <w:rPr>
          <w:rFonts w:hint="eastAsia" w:ascii="Times New Roman" w:hAnsi="Times New Roman" w:eastAsia="宋体"/>
          <w:sz w:val="21"/>
        </w:rPr>
        <w:t>总监理工程师：</w:t>
      </w:r>
    </w:p>
    <w:p w14:paraId="023A61C1">
      <w:pPr>
        <w:adjustRightInd w:val="0"/>
        <w:snapToGrid w:val="0"/>
        <w:spacing w:line="360" w:lineRule="exact"/>
        <w:ind w:firstLine="420" w:firstLineChars="200"/>
        <w:rPr>
          <w:rFonts w:ascii="Times New Roman" w:hAnsi="Times New Roman" w:eastAsia="宋体"/>
          <w:sz w:val="21"/>
        </w:rPr>
      </w:pPr>
      <w:r>
        <w:rPr>
          <w:rFonts w:hint="eastAsia" w:ascii="Times New Roman" w:hAnsi="Times New Roman" w:eastAsia="宋体"/>
          <w:sz w:val="21"/>
        </w:rPr>
        <w:t>姓    名：</w:t>
      </w:r>
      <w:r>
        <w:rPr>
          <w:rFonts w:hint="eastAsia" w:ascii="Times New Roman" w:hAnsi="Times New Roman" w:eastAsia="宋体"/>
          <w:sz w:val="21"/>
          <w:u w:val="single"/>
        </w:rPr>
        <w:t>   </w:t>
      </w:r>
      <w:r>
        <w:rPr>
          <w:rFonts w:hint="eastAsia" w:ascii="Times New Roman" w:hAnsi="Times New Roman" w:eastAsia="宋体"/>
          <w:sz w:val="21"/>
        </w:rPr>
        <w:t>；</w:t>
      </w:r>
    </w:p>
    <w:p w14:paraId="7B8C5B50">
      <w:pPr>
        <w:adjustRightInd w:val="0"/>
        <w:snapToGrid w:val="0"/>
        <w:spacing w:line="360" w:lineRule="exact"/>
        <w:ind w:firstLine="420" w:firstLineChars="200"/>
        <w:rPr>
          <w:rFonts w:ascii="Times New Roman" w:hAnsi="Times New Roman" w:eastAsia="宋体"/>
          <w:sz w:val="21"/>
        </w:rPr>
      </w:pPr>
      <w:r>
        <w:rPr>
          <w:rFonts w:hint="eastAsia" w:ascii="Times New Roman" w:hAnsi="Times New Roman" w:eastAsia="宋体"/>
          <w:sz w:val="21"/>
        </w:rPr>
        <w:t>职    务：</w:t>
      </w:r>
      <w:r>
        <w:rPr>
          <w:rFonts w:hint="eastAsia" w:ascii="Times New Roman" w:hAnsi="Times New Roman" w:eastAsia="宋体"/>
          <w:sz w:val="21"/>
          <w:u w:val="single"/>
        </w:rPr>
        <w:t>   </w:t>
      </w:r>
      <w:r>
        <w:rPr>
          <w:rFonts w:hint="eastAsia" w:ascii="Times New Roman" w:hAnsi="Times New Roman" w:eastAsia="宋体"/>
          <w:sz w:val="21"/>
        </w:rPr>
        <w:t>；</w:t>
      </w:r>
    </w:p>
    <w:p w14:paraId="2431E3CB">
      <w:pPr>
        <w:adjustRightInd w:val="0"/>
        <w:snapToGrid w:val="0"/>
        <w:spacing w:line="360" w:lineRule="exact"/>
        <w:ind w:firstLine="420" w:firstLineChars="200"/>
        <w:rPr>
          <w:rFonts w:ascii="Times New Roman" w:hAnsi="Times New Roman" w:eastAsia="宋体"/>
          <w:sz w:val="21"/>
        </w:rPr>
      </w:pPr>
      <w:r>
        <w:rPr>
          <w:rFonts w:hint="eastAsia" w:ascii="Times New Roman" w:hAnsi="Times New Roman" w:eastAsia="宋体"/>
          <w:sz w:val="21"/>
        </w:rPr>
        <w:t>监理工程师执业资格证书号：</w:t>
      </w:r>
      <w:r>
        <w:rPr>
          <w:rFonts w:hint="eastAsia" w:ascii="Times New Roman" w:hAnsi="Times New Roman" w:eastAsia="宋体"/>
          <w:sz w:val="21"/>
          <w:u w:val="single"/>
        </w:rPr>
        <w:t> </w:t>
      </w:r>
      <w:r>
        <w:rPr>
          <w:rFonts w:hint="eastAsia" w:ascii="Times New Roman" w:hAnsi="Times New Roman" w:eastAsia="宋体"/>
          <w:sz w:val="21"/>
        </w:rPr>
        <w:t>；</w:t>
      </w:r>
    </w:p>
    <w:p w14:paraId="10EFA21D">
      <w:pPr>
        <w:adjustRightInd w:val="0"/>
        <w:snapToGrid w:val="0"/>
        <w:spacing w:line="360" w:lineRule="exact"/>
        <w:ind w:firstLine="420" w:firstLineChars="200"/>
        <w:rPr>
          <w:rFonts w:ascii="Times New Roman" w:hAnsi="Times New Roman" w:eastAsia="宋体"/>
          <w:sz w:val="21"/>
        </w:rPr>
      </w:pPr>
      <w:r>
        <w:rPr>
          <w:rFonts w:hint="eastAsia" w:ascii="Times New Roman" w:hAnsi="Times New Roman" w:eastAsia="宋体"/>
          <w:sz w:val="21"/>
        </w:rPr>
        <w:t>联系电话：</w:t>
      </w:r>
      <w:r>
        <w:rPr>
          <w:rFonts w:hint="eastAsia" w:ascii="Times New Roman" w:hAnsi="Times New Roman" w:eastAsia="宋体"/>
          <w:sz w:val="21"/>
          <w:u w:val="single"/>
        </w:rPr>
        <w:t>   </w:t>
      </w:r>
      <w:r>
        <w:rPr>
          <w:rFonts w:hint="eastAsia" w:ascii="Times New Roman" w:hAnsi="Times New Roman" w:eastAsia="宋体"/>
          <w:sz w:val="21"/>
        </w:rPr>
        <w:t>；</w:t>
      </w:r>
    </w:p>
    <w:p w14:paraId="4BD61C3B">
      <w:pPr>
        <w:adjustRightInd w:val="0"/>
        <w:snapToGrid w:val="0"/>
        <w:spacing w:line="360" w:lineRule="exact"/>
        <w:ind w:firstLine="420" w:firstLineChars="200"/>
        <w:rPr>
          <w:rFonts w:ascii="Times New Roman" w:hAnsi="Times New Roman" w:eastAsia="宋体"/>
          <w:sz w:val="21"/>
        </w:rPr>
      </w:pPr>
      <w:r>
        <w:rPr>
          <w:rFonts w:hint="eastAsia" w:ascii="Times New Roman" w:hAnsi="Times New Roman" w:eastAsia="宋体"/>
          <w:sz w:val="21"/>
        </w:rPr>
        <w:t>电子信箱：</w:t>
      </w:r>
      <w:r>
        <w:rPr>
          <w:rFonts w:hint="eastAsia" w:ascii="Times New Roman" w:hAnsi="Times New Roman" w:eastAsia="宋体"/>
          <w:sz w:val="21"/>
          <w:u w:val="single"/>
        </w:rPr>
        <w:t>   </w:t>
      </w:r>
      <w:r>
        <w:rPr>
          <w:rFonts w:hint="eastAsia" w:ascii="Times New Roman" w:hAnsi="Times New Roman" w:eastAsia="宋体"/>
          <w:sz w:val="21"/>
        </w:rPr>
        <w:t>；</w:t>
      </w:r>
    </w:p>
    <w:p w14:paraId="329E5C00">
      <w:pPr>
        <w:adjustRightInd w:val="0"/>
        <w:snapToGrid w:val="0"/>
        <w:spacing w:line="360" w:lineRule="exact"/>
        <w:ind w:firstLine="420" w:firstLineChars="200"/>
        <w:rPr>
          <w:rFonts w:ascii="Times New Roman" w:hAnsi="Times New Roman" w:eastAsia="宋体"/>
          <w:sz w:val="21"/>
        </w:rPr>
      </w:pPr>
      <w:r>
        <w:rPr>
          <w:rFonts w:hint="eastAsia" w:ascii="Times New Roman" w:hAnsi="Times New Roman" w:eastAsia="宋体"/>
          <w:sz w:val="21"/>
        </w:rPr>
        <w:t>通信地址：</w:t>
      </w:r>
      <w:r>
        <w:rPr>
          <w:rFonts w:hint="eastAsia" w:ascii="Times New Roman" w:hAnsi="Times New Roman" w:eastAsia="宋体"/>
          <w:sz w:val="21"/>
          <w:u w:val="single"/>
        </w:rPr>
        <w:t>   </w:t>
      </w:r>
      <w:r>
        <w:rPr>
          <w:rFonts w:hint="eastAsia" w:ascii="Times New Roman" w:hAnsi="Times New Roman" w:eastAsia="宋体"/>
          <w:sz w:val="21"/>
        </w:rPr>
        <w:t>；</w:t>
      </w:r>
    </w:p>
    <w:p w14:paraId="114DC13A">
      <w:pPr>
        <w:adjustRightInd w:val="0"/>
        <w:snapToGrid w:val="0"/>
        <w:spacing w:line="360" w:lineRule="exact"/>
        <w:ind w:firstLine="420" w:firstLineChars="200"/>
        <w:rPr>
          <w:rFonts w:ascii="Times New Roman" w:hAnsi="Times New Roman" w:eastAsia="宋体"/>
          <w:sz w:val="21"/>
        </w:rPr>
      </w:pPr>
      <w:r>
        <w:rPr>
          <w:rFonts w:hint="eastAsia" w:ascii="Times New Roman" w:hAnsi="Times New Roman" w:eastAsia="宋体"/>
          <w:sz w:val="21"/>
        </w:rPr>
        <w:t xml:space="preserve">关于监理人的其他约定： </w:t>
      </w:r>
    </w:p>
    <w:p w14:paraId="5800C47E">
      <w:pPr>
        <w:adjustRightInd w:val="0"/>
        <w:snapToGrid w:val="0"/>
        <w:spacing w:line="360" w:lineRule="exact"/>
        <w:ind w:firstLine="420" w:firstLineChars="200"/>
        <w:rPr>
          <w:rFonts w:ascii="Times New Roman" w:hAnsi="Times New Roman" w:eastAsia="宋体"/>
          <w:sz w:val="21"/>
          <w:u w:val="single"/>
        </w:rPr>
      </w:pPr>
      <w:r>
        <w:rPr>
          <w:rFonts w:hint="eastAsia" w:ascii="Times New Roman" w:hAnsi="Times New Roman" w:eastAsia="宋体"/>
          <w:sz w:val="21"/>
          <w:u w:val="single"/>
        </w:rPr>
        <w:t>（1）监理人授权超出合同约定，承包人有权提出异议，如监理人对于承包人合理的异议不予接受，则承包人可要求发包人就该事项作出处理决定；</w:t>
      </w:r>
    </w:p>
    <w:p w14:paraId="6F94F213">
      <w:pPr>
        <w:adjustRightInd w:val="0"/>
        <w:snapToGrid w:val="0"/>
        <w:spacing w:line="360" w:lineRule="exact"/>
        <w:ind w:firstLine="420" w:firstLineChars="200"/>
        <w:rPr>
          <w:rFonts w:ascii="Times New Roman" w:hAnsi="Times New Roman" w:eastAsia="宋体"/>
          <w:sz w:val="21"/>
          <w:u w:val="single"/>
        </w:rPr>
      </w:pPr>
      <w:r>
        <w:rPr>
          <w:rFonts w:hint="eastAsia" w:ascii="Times New Roman" w:hAnsi="Times New Roman" w:eastAsia="宋体"/>
          <w:sz w:val="21"/>
          <w:u w:val="single"/>
        </w:rPr>
        <w:t>（2）对于监理人更换其委派的监理人员的，监理人在征得发包人同意后应当提前48小时书面通知承包人；</w:t>
      </w:r>
    </w:p>
    <w:p w14:paraId="679B269A">
      <w:pPr>
        <w:adjustRightInd w:val="0"/>
        <w:snapToGrid w:val="0"/>
        <w:spacing w:line="360" w:lineRule="exact"/>
        <w:ind w:firstLine="420" w:firstLineChars="200"/>
        <w:rPr>
          <w:rFonts w:ascii="Times New Roman" w:hAnsi="Times New Roman" w:eastAsia="宋体"/>
          <w:sz w:val="21"/>
          <w:u w:val="single"/>
        </w:rPr>
      </w:pPr>
      <w:r>
        <w:rPr>
          <w:rFonts w:hint="eastAsia" w:ascii="Times New Roman" w:hAnsi="Times New Roman" w:eastAsia="宋体"/>
          <w:sz w:val="21"/>
          <w:u w:val="single"/>
        </w:rPr>
        <w:t>（3）监理人对其监理人员的任何授权，承包人均应当要求监理人提供书面的授权，否则，承包人有权拒绝接受监理人员的指示。</w:t>
      </w:r>
    </w:p>
    <w:p w14:paraId="40EC52C2">
      <w:pPr>
        <w:adjustRightInd w:val="0"/>
        <w:snapToGrid w:val="0"/>
        <w:spacing w:line="360" w:lineRule="exact"/>
        <w:ind w:firstLine="420" w:firstLineChars="200"/>
        <w:rPr>
          <w:rFonts w:ascii="Times New Roman" w:hAnsi="Times New Roman" w:eastAsia="宋体"/>
          <w:sz w:val="21"/>
        </w:rPr>
      </w:pPr>
      <w:r>
        <w:rPr>
          <w:rFonts w:hint="eastAsia" w:ascii="Times New Roman" w:hAnsi="Times New Roman" w:eastAsia="宋体"/>
          <w:sz w:val="21"/>
        </w:rPr>
        <w:t>4.4 商定或确定</w:t>
      </w:r>
    </w:p>
    <w:p w14:paraId="0B0CFB45">
      <w:pPr>
        <w:adjustRightInd w:val="0"/>
        <w:snapToGrid w:val="0"/>
        <w:spacing w:line="360" w:lineRule="exact"/>
        <w:ind w:firstLine="420" w:firstLineChars="200"/>
        <w:rPr>
          <w:rFonts w:ascii="Times New Roman" w:hAnsi="Times New Roman" w:eastAsia="宋体"/>
          <w:sz w:val="21"/>
        </w:rPr>
      </w:pPr>
      <w:r>
        <w:rPr>
          <w:rFonts w:hint="eastAsia" w:ascii="Times New Roman" w:hAnsi="Times New Roman" w:eastAsia="宋体"/>
          <w:sz w:val="21"/>
        </w:rPr>
        <w:t>在发包人和承包人不能通过协商达成一致意见时，发包人授权监理人对以下事项进行确定：</w:t>
      </w:r>
    </w:p>
    <w:p w14:paraId="2D51DFC3">
      <w:pPr>
        <w:adjustRightInd w:val="0"/>
        <w:snapToGrid w:val="0"/>
        <w:spacing w:line="360" w:lineRule="exact"/>
        <w:ind w:firstLine="420" w:firstLineChars="200"/>
        <w:rPr>
          <w:rFonts w:ascii="Times New Roman" w:hAnsi="Times New Roman" w:eastAsia="宋体"/>
          <w:sz w:val="21"/>
        </w:rPr>
      </w:pPr>
      <w:r>
        <w:rPr>
          <w:rFonts w:hint="eastAsia" w:ascii="Times New Roman" w:hAnsi="Times New Roman" w:eastAsia="宋体"/>
          <w:sz w:val="21"/>
        </w:rPr>
        <w:t>（1）</w:t>
      </w:r>
      <w:r>
        <w:rPr>
          <w:rFonts w:hint="eastAsia" w:ascii="Times New Roman" w:hAnsi="Times New Roman" w:eastAsia="宋体"/>
          <w:sz w:val="21"/>
          <w:u w:val="single"/>
        </w:rPr>
        <w:t xml:space="preserve">                                   </w:t>
      </w:r>
      <w:r>
        <w:rPr>
          <w:rFonts w:hint="eastAsia" w:ascii="Times New Roman" w:hAnsi="Times New Roman" w:eastAsia="宋体"/>
          <w:sz w:val="21"/>
        </w:rPr>
        <w:t>；</w:t>
      </w:r>
    </w:p>
    <w:p w14:paraId="33499B46">
      <w:pPr>
        <w:adjustRightInd w:val="0"/>
        <w:snapToGrid w:val="0"/>
        <w:spacing w:line="360" w:lineRule="exact"/>
        <w:ind w:firstLine="420" w:firstLineChars="200"/>
        <w:rPr>
          <w:rFonts w:ascii="Times New Roman" w:hAnsi="Times New Roman" w:eastAsia="宋体"/>
          <w:sz w:val="21"/>
        </w:rPr>
      </w:pPr>
      <w:r>
        <w:rPr>
          <w:rFonts w:hint="eastAsia" w:ascii="Times New Roman" w:hAnsi="Times New Roman" w:eastAsia="宋体"/>
          <w:sz w:val="21"/>
        </w:rPr>
        <w:t>（2）</w:t>
      </w:r>
      <w:r>
        <w:rPr>
          <w:rFonts w:hint="eastAsia" w:ascii="Times New Roman" w:hAnsi="Times New Roman" w:eastAsia="宋体"/>
          <w:sz w:val="21"/>
          <w:u w:val="single"/>
        </w:rPr>
        <w:t xml:space="preserve">                                   </w:t>
      </w:r>
      <w:r>
        <w:rPr>
          <w:rFonts w:hint="eastAsia" w:ascii="Times New Roman" w:hAnsi="Times New Roman" w:eastAsia="宋体"/>
          <w:sz w:val="21"/>
        </w:rPr>
        <w:t>；</w:t>
      </w:r>
    </w:p>
    <w:p w14:paraId="6B448DE6">
      <w:pPr>
        <w:adjustRightInd w:val="0"/>
        <w:snapToGrid w:val="0"/>
        <w:spacing w:line="360" w:lineRule="exact"/>
        <w:ind w:firstLine="420" w:firstLineChars="200"/>
        <w:rPr>
          <w:rFonts w:ascii="Times New Roman" w:hAnsi="Times New Roman" w:eastAsia="宋体"/>
          <w:sz w:val="21"/>
        </w:rPr>
      </w:pPr>
      <w:r>
        <w:rPr>
          <w:rFonts w:hint="eastAsia" w:ascii="Times New Roman" w:hAnsi="Times New Roman" w:eastAsia="宋体"/>
          <w:sz w:val="21"/>
        </w:rPr>
        <w:t>（3）</w:t>
      </w:r>
      <w:r>
        <w:rPr>
          <w:rFonts w:hint="eastAsia" w:ascii="Times New Roman" w:hAnsi="Times New Roman" w:eastAsia="宋体"/>
          <w:sz w:val="21"/>
          <w:u w:val="single"/>
        </w:rPr>
        <w:t xml:space="preserve">                                   </w:t>
      </w:r>
      <w:r>
        <w:rPr>
          <w:rFonts w:hint="eastAsia" w:ascii="Times New Roman" w:hAnsi="Times New Roman" w:eastAsia="宋体"/>
          <w:sz w:val="21"/>
        </w:rPr>
        <w:t>。</w:t>
      </w:r>
    </w:p>
    <w:p w14:paraId="7FA002AD">
      <w:pPr>
        <w:adjustRightInd w:val="0"/>
        <w:snapToGrid w:val="0"/>
        <w:spacing w:line="360" w:lineRule="exact"/>
        <w:ind w:firstLine="422" w:firstLineChars="200"/>
        <w:rPr>
          <w:rFonts w:ascii="Times New Roman" w:hAnsi="Times New Roman" w:eastAsia="宋体"/>
          <w:b/>
          <w:sz w:val="21"/>
        </w:rPr>
      </w:pPr>
      <w:bookmarkStart w:id="141" w:name="_Toc351203637"/>
      <w:r>
        <w:rPr>
          <w:rFonts w:ascii="Times New Roman" w:hAnsi="Times New Roman" w:eastAsia="宋体"/>
          <w:b/>
          <w:sz w:val="21"/>
        </w:rPr>
        <w:t>5. 工程质量</w:t>
      </w:r>
      <w:bookmarkEnd w:id="141"/>
    </w:p>
    <w:p w14:paraId="4952E1EE">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5.1 质量要求</w:t>
      </w:r>
    </w:p>
    <w:p w14:paraId="4904CB17">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5</w:t>
      </w:r>
      <w:bookmarkStart w:id="142" w:name="_Toc312677997"/>
      <w:bookmarkStart w:id="143" w:name="_Toc300934949"/>
      <w:bookmarkStart w:id="144" w:name="_Toc304295527"/>
      <w:bookmarkStart w:id="145" w:name="_Toc318581164"/>
      <w:bookmarkStart w:id="146" w:name="_Toc297216155"/>
      <w:bookmarkStart w:id="147" w:name="_Toc303539106"/>
      <w:bookmarkStart w:id="148" w:name="_Toc297123496"/>
      <w:r>
        <w:rPr>
          <w:rFonts w:ascii="Times New Roman" w:hAnsi="Times New Roman" w:eastAsia="宋体"/>
          <w:sz w:val="21"/>
        </w:rPr>
        <w:t>.1.1 特殊质量标准和要求：</w:t>
      </w:r>
      <w:r>
        <w:rPr>
          <w:rFonts w:ascii="Times New Roman" w:hAnsi="Times New Roman" w:eastAsia="宋体"/>
          <w:sz w:val="21"/>
          <w:u w:val="single"/>
        </w:rPr>
        <w:t xml:space="preserve">     </w:t>
      </w:r>
      <w:r>
        <w:rPr>
          <w:rFonts w:hint="eastAsia" w:ascii="Times New Roman" w:hAnsi="Times New Roman" w:eastAsia="宋体"/>
          <w:sz w:val="21"/>
          <w:u w:val="single"/>
        </w:rPr>
        <w:t>按国家现行施工验收规范</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hint="eastAsia" w:ascii="Times New Roman" w:hAnsi="Times New Roman" w:eastAsia="宋体"/>
          <w:sz w:val="21"/>
        </w:rPr>
        <w:t>。</w:t>
      </w:r>
    </w:p>
    <w:p w14:paraId="6263AB8F">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关于工程奖项的约定：</w:t>
      </w:r>
      <w:r>
        <w:rPr>
          <w:rFonts w:ascii="Times New Roman" w:hAnsi="Times New Roman" w:eastAsia="宋体"/>
          <w:sz w:val="21"/>
          <w:u w:val="single"/>
        </w:rPr>
        <w:t xml:space="preserve">             </w:t>
      </w:r>
      <w:r>
        <w:rPr>
          <w:rFonts w:hint="eastAsia" w:ascii="Times New Roman" w:hAnsi="Times New Roman" w:eastAsia="宋体"/>
          <w:sz w:val="21"/>
          <w:u w:val="single"/>
        </w:rPr>
        <w:t xml:space="preserve"> /           </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hint="eastAsia" w:ascii="Times New Roman" w:hAnsi="Times New Roman" w:eastAsia="宋体"/>
          <w:sz w:val="21"/>
        </w:rPr>
        <w:t>。</w:t>
      </w:r>
    </w:p>
    <w:p w14:paraId="7F55A0BC">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5.3 隐蔽工程检查</w:t>
      </w:r>
    </w:p>
    <w:p w14:paraId="7AB459F2">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5.3.2承包人提前通知监理人隐蔽工程检查的期限的约定：</w:t>
      </w:r>
      <w:r>
        <w:rPr>
          <w:rFonts w:hint="eastAsia" w:ascii="Times New Roman" w:hAnsi="Times New Roman" w:eastAsia="宋体"/>
          <w:sz w:val="21"/>
          <w:u w:val="single"/>
        </w:rPr>
        <w:t>按合同通用条款执行</w:t>
      </w:r>
      <w:r>
        <w:rPr>
          <w:rFonts w:ascii="Times New Roman" w:hAnsi="Times New Roman" w:eastAsia="宋体"/>
          <w:sz w:val="21"/>
        </w:rPr>
        <w:t>。</w:t>
      </w:r>
    </w:p>
    <w:p w14:paraId="61EECC15">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监理人不能按时进行检查时，应提前</w:t>
      </w:r>
      <w:r>
        <w:rPr>
          <w:rFonts w:ascii="Times New Roman" w:hAnsi="Times New Roman" w:eastAsia="宋体"/>
          <w:sz w:val="21"/>
          <w:u w:val="single"/>
        </w:rPr>
        <w:t xml:space="preserve"> </w:t>
      </w:r>
      <w:r>
        <w:rPr>
          <w:rFonts w:hint="eastAsia" w:ascii="Times New Roman" w:hAnsi="Times New Roman" w:eastAsia="宋体"/>
          <w:sz w:val="21"/>
          <w:u w:val="single"/>
        </w:rPr>
        <w:t>24</w:t>
      </w:r>
      <w:r>
        <w:rPr>
          <w:rFonts w:ascii="Times New Roman" w:hAnsi="Times New Roman" w:eastAsia="宋体"/>
          <w:sz w:val="21"/>
          <w:u w:val="single"/>
        </w:rPr>
        <w:t xml:space="preserve"> </w:t>
      </w:r>
      <w:r>
        <w:rPr>
          <w:rFonts w:ascii="Times New Roman" w:hAnsi="Times New Roman" w:eastAsia="宋体"/>
          <w:sz w:val="21"/>
        </w:rPr>
        <w:t>小时提交书面延期要求。</w:t>
      </w:r>
    </w:p>
    <w:p w14:paraId="0E23E719">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关于延期最长不得超过：</w:t>
      </w:r>
      <w:r>
        <w:rPr>
          <w:rFonts w:ascii="Times New Roman" w:hAnsi="Times New Roman" w:eastAsia="宋体"/>
          <w:sz w:val="21"/>
          <w:u w:val="single"/>
        </w:rPr>
        <w:t xml:space="preserve">  </w:t>
      </w:r>
      <w:r>
        <w:rPr>
          <w:rFonts w:hint="eastAsia" w:ascii="Times New Roman" w:hAnsi="Times New Roman" w:eastAsia="宋体"/>
          <w:sz w:val="21"/>
          <w:u w:val="single"/>
        </w:rPr>
        <w:t>24</w:t>
      </w:r>
      <w:r>
        <w:rPr>
          <w:rFonts w:ascii="Times New Roman" w:hAnsi="Times New Roman" w:eastAsia="宋体"/>
          <w:sz w:val="21"/>
          <w:u w:val="single"/>
        </w:rPr>
        <w:t xml:space="preserve">  </w:t>
      </w:r>
      <w:r>
        <w:rPr>
          <w:rFonts w:ascii="Times New Roman" w:hAnsi="Times New Roman" w:eastAsia="宋体"/>
          <w:sz w:val="21"/>
        </w:rPr>
        <w:t>小时。</w:t>
      </w:r>
      <w:r>
        <w:rPr>
          <w:rFonts w:hint="eastAsia" w:ascii="Times New Roman" w:hAnsi="Times New Roman" w:eastAsia="宋体"/>
          <w:sz w:val="21"/>
        </w:rPr>
        <w:t>由此导致工期延误的，工期予以顺延。</w:t>
      </w:r>
    </w:p>
    <w:p w14:paraId="043670BF">
      <w:pPr>
        <w:adjustRightInd w:val="0"/>
        <w:snapToGrid w:val="0"/>
        <w:spacing w:line="360" w:lineRule="exact"/>
        <w:ind w:firstLine="420" w:firstLineChars="200"/>
        <w:rPr>
          <w:rFonts w:ascii="Times New Roman" w:hAnsi="Times New Roman" w:eastAsia="宋体"/>
          <w:sz w:val="21"/>
          <w:u w:val="single"/>
        </w:rPr>
      </w:pPr>
      <w:r>
        <w:rPr>
          <w:rFonts w:hint="eastAsia" w:ascii="Times New Roman" w:hAnsi="Times New Roman" w:eastAsia="宋体"/>
          <w:sz w:val="21"/>
          <w:u w:val="single"/>
        </w:rPr>
        <w:t>隐蔽工程验收过程、验收部位除办理纸质验收记录，还应留置验收部位、验收过程、主要验收人员相片、影像等资料。</w:t>
      </w:r>
    </w:p>
    <w:p w14:paraId="0081DA38">
      <w:pPr>
        <w:adjustRightInd w:val="0"/>
        <w:snapToGrid w:val="0"/>
        <w:spacing w:line="360" w:lineRule="exact"/>
        <w:ind w:firstLine="422" w:firstLineChars="200"/>
        <w:rPr>
          <w:rFonts w:ascii="Times New Roman" w:hAnsi="Times New Roman" w:eastAsia="宋体"/>
          <w:b/>
          <w:sz w:val="21"/>
        </w:rPr>
      </w:pPr>
      <w:bookmarkStart w:id="149" w:name="_Toc351203638"/>
      <w:r>
        <w:rPr>
          <w:rFonts w:ascii="Times New Roman" w:hAnsi="Times New Roman" w:eastAsia="宋体"/>
          <w:b/>
          <w:sz w:val="21"/>
        </w:rPr>
        <w:t>6. 安全文明施工与环境保护</w:t>
      </w:r>
      <w:bookmarkEnd w:id="149"/>
    </w:p>
    <w:p w14:paraId="55B31BCD">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6.1安全文明施工</w:t>
      </w:r>
    </w:p>
    <w:p w14:paraId="1B396F73">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6.1.1 项目安全生产的达标目标及相应事项的约定：</w:t>
      </w:r>
      <w:r>
        <w:rPr>
          <w:rFonts w:ascii="Times New Roman" w:hAnsi="Times New Roman" w:eastAsia="宋体"/>
          <w:b/>
          <w:sz w:val="21"/>
          <w:szCs w:val="21"/>
          <w:u w:val="single"/>
        </w:rPr>
        <w:t>按《浙江省建筑施工安全标准化管理规定》（浙建建〔2012〕54号）及省、市建筑业、安全监督等相关主管部门发布的有关管理规定执行</w:t>
      </w:r>
      <w:r>
        <w:rPr>
          <w:rFonts w:ascii="Times New Roman" w:hAnsi="Times New Roman" w:eastAsia="宋体"/>
          <w:sz w:val="21"/>
          <w:szCs w:val="21"/>
        </w:rPr>
        <w:t>。</w:t>
      </w:r>
    </w:p>
    <w:p w14:paraId="7B8C73C6">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6.1.4 关于治安保卫的特别约定：</w:t>
      </w:r>
      <w:r>
        <w:rPr>
          <w:rFonts w:hint="eastAsia" w:ascii="Times New Roman" w:hAnsi="Times New Roman" w:eastAsia="宋体"/>
          <w:sz w:val="21"/>
          <w:u w:val="single"/>
        </w:rPr>
        <w:t>按合同通用条款</w:t>
      </w:r>
      <w:r>
        <w:rPr>
          <w:rFonts w:ascii="Times New Roman" w:hAnsi="Times New Roman" w:eastAsia="宋体"/>
          <w:sz w:val="21"/>
        </w:rPr>
        <w:t>。</w:t>
      </w:r>
    </w:p>
    <w:p w14:paraId="61774B52">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关于编制施工场地治安管理计划的约定：</w:t>
      </w:r>
      <w:r>
        <w:rPr>
          <w:rFonts w:hint="eastAsia" w:ascii="Times New Roman" w:hAnsi="Times New Roman" w:eastAsia="宋体"/>
          <w:sz w:val="21"/>
          <w:u w:val="single"/>
        </w:rPr>
        <w:t>按合同通用条款</w:t>
      </w:r>
      <w:r>
        <w:rPr>
          <w:rFonts w:ascii="Times New Roman" w:hAnsi="Times New Roman" w:eastAsia="宋体"/>
          <w:sz w:val="21"/>
        </w:rPr>
        <w:t>。</w:t>
      </w:r>
    </w:p>
    <w:p w14:paraId="6D063580">
      <w:pPr>
        <w:adjustRightInd w:val="0"/>
        <w:snapToGrid w:val="0"/>
        <w:spacing w:line="360" w:lineRule="exact"/>
        <w:ind w:firstLine="420" w:firstLineChars="200"/>
        <w:rPr>
          <w:rFonts w:ascii="Times New Roman" w:hAnsi="Times New Roman" w:eastAsia="宋体"/>
          <w:sz w:val="21"/>
        </w:rPr>
      </w:pPr>
      <w:r>
        <w:rPr>
          <w:rFonts w:hint="eastAsia" w:ascii="Times New Roman" w:hAnsi="Times New Roman" w:eastAsia="宋体"/>
          <w:sz w:val="21"/>
        </w:rPr>
        <w:t>6.1.5 文明施工</w:t>
      </w:r>
    </w:p>
    <w:p w14:paraId="753937EA">
      <w:pPr>
        <w:adjustRightInd w:val="0"/>
        <w:snapToGrid w:val="0"/>
        <w:spacing w:line="360" w:lineRule="exact"/>
        <w:ind w:firstLine="420" w:firstLineChars="200"/>
        <w:rPr>
          <w:rFonts w:ascii="Times New Roman" w:hAnsi="Times New Roman" w:eastAsia="宋体"/>
          <w:sz w:val="21"/>
        </w:rPr>
      </w:pPr>
      <w:r>
        <w:rPr>
          <w:rFonts w:hint="eastAsia" w:ascii="Times New Roman" w:hAnsi="Times New Roman" w:eastAsia="宋体"/>
          <w:sz w:val="21"/>
        </w:rPr>
        <w:t>合同当事人对文明施工的要求：</w:t>
      </w:r>
      <w:r>
        <w:rPr>
          <w:rFonts w:hint="eastAsia" w:ascii="Times New Roman" w:hAnsi="Times New Roman" w:eastAsia="宋体"/>
          <w:sz w:val="21"/>
          <w:u w:val="single"/>
        </w:rPr>
        <w:t>按省、市发有关文明施工管理规定执行</w:t>
      </w:r>
      <w:r>
        <w:rPr>
          <w:rFonts w:hint="eastAsia" w:ascii="Times New Roman" w:hAnsi="Times New Roman" w:eastAsia="宋体"/>
          <w:sz w:val="21"/>
        </w:rPr>
        <w:t>。</w:t>
      </w:r>
    </w:p>
    <w:p w14:paraId="7D54E5E3">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6.1.6 关于安全文明施工费支付比例和支付期限的约定：</w:t>
      </w:r>
      <w:r>
        <w:rPr>
          <w:rFonts w:hint="eastAsia" w:ascii="Times New Roman" w:hAnsi="Times New Roman" w:eastAsia="宋体"/>
          <w:sz w:val="21"/>
          <w:u w:val="single"/>
        </w:rPr>
        <w:t>安全文明施工费包含在签约合同价内。承包人经发包人同意采取合同以外的安全措施所产生的费用，由发、承包人协商处理；未经发包人同意，发包人可不承担由此增加费用；安全文明施工费支付比例、期限及使用按建建发〔2015〕517号文件执行</w:t>
      </w:r>
      <w:r>
        <w:rPr>
          <w:rFonts w:ascii="Times New Roman" w:hAnsi="Times New Roman" w:eastAsia="宋体"/>
          <w:sz w:val="21"/>
        </w:rPr>
        <w:t>。</w:t>
      </w:r>
    </w:p>
    <w:bookmarkEnd w:id="142"/>
    <w:bookmarkEnd w:id="143"/>
    <w:bookmarkEnd w:id="144"/>
    <w:bookmarkEnd w:id="145"/>
    <w:bookmarkEnd w:id="146"/>
    <w:bookmarkEnd w:id="147"/>
    <w:bookmarkEnd w:id="148"/>
    <w:p w14:paraId="3CDD6F48">
      <w:pPr>
        <w:adjustRightInd w:val="0"/>
        <w:snapToGrid w:val="0"/>
        <w:spacing w:line="360" w:lineRule="exact"/>
        <w:ind w:firstLine="422" w:firstLineChars="200"/>
        <w:rPr>
          <w:rFonts w:ascii="Times New Roman" w:hAnsi="Times New Roman" w:eastAsia="宋体"/>
          <w:b/>
          <w:sz w:val="21"/>
        </w:rPr>
      </w:pPr>
      <w:bookmarkStart w:id="150" w:name="_Toc351203639"/>
      <w:r>
        <w:rPr>
          <w:rFonts w:ascii="Times New Roman" w:hAnsi="Times New Roman" w:eastAsia="宋体"/>
          <w:b/>
          <w:sz w:val="21"/>
        </w:rPr>
        <w:t>7. 工期和进度</w:t>
      </w:r>
      <w:bookmarkEnd w:id="150"/>
    </w:p>
    <w:p w14:paraId="6E95A641">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7.1 施工组织设计</w:t>
      </w:r>
    </w:p>
    <w:p w14:paraId="3466F666">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7.1.</w:t>
      </w:r>
      <w:r>
        <w:rPr>
          <w:rFonts w:hint="eastAsia" w:ascii="Times New Roman" w:hAnsi="Times New Roman" w:eastAsia="宋体"/>
          <w:sz w:val="21"/>
        </w:rPr>
        <w:t>1 合同当事人约定的</w:t>
      </w:r>
      <w:r>
        <w:rPr>
          <w:rFonts w:ascii="Times New Roman" w:hAnsi="Times New Roman" w:eastAsia="宋体"/>
          <w:sz w:val="21"/>
        </w:rPr>
        <w:t>施工组织设计</w:t>
      </w:r>
      <w:r>
        <w:rPr>
          <w:rFonts w:hint="eastAsia" w:ascii="Times New Roman" w:hAnsi="Times New Roman" w:eastAsia="宋体"/>
          <w:sz w:val="21"/>
        </w:rPr>
        <w:t>应包括的其他内容</w:t>
      </w:r>
      <w:r>
        <w:rPr>
          <w:rFonts w:ascii="Times New Roman" w:hAnsi="Times New Roman" w:eastAsia="宋体"/>
          <w:sz w:val="21"/>
          <w:u w:val="single"/>
        </w:rPr>
        <w:t>：</w:t>
      </w:r>
      <w:r>
        <w:rPr>
          <w:rFonts w:hint="eastAsia" w:ascii="Times New Roman" w:hAnsi="Times New Roman" w:eastAsia="宋体"/>
          <w:sz w:val="21"/>
          <w:u w:val="single"/>
        </w:rPr>
        <w:t>对特殊工艺施工、危险性较大分部分项工程施工（如基坑支护方案、高大支模架方案、外墙悬挑架等专项施工方案）应按规定办理审批手续和按当地建设行政主管部门要求组织专家论证</w:t>
      </w:r>
      <w:r>
        <w:rPr>
          <w:rFonts w:ascii="Times New Roman" w:hAnsi="Times New Roman" w:eastAsia="宋体"/>
          <w:sz w:val="21"/>
        </w:rPr>
        <w:t>。</w:t>
      </w:r>
    </w:p>
    <w:p w14:paraId="1DD273E8">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7.1.2 施工组织设计的提交和修改</w:t>
      </w:r>
    </w:p>
    <w:p w14:paraId="5BE5A59E">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承包人提交详细施工组织设计的期限的约定：</w:t>
      </w:r>
      <w:r>
        <w:rPr>
          <w:rFonts w:hint="eastAsia" w:ascii="Times New Roman" w:hAnsi="Times New Roman" w:eastAsia="宋体"/>
          <w:sz w:val="21"/>
          <w:u w:val="single"/>
        </w:rPr>
        <w:t>接到开工通知（或确定开工日期）后7天内，专项施工方案在相应部位施工前7天。发包人对承包人的施工组织设计（或方案）提出质疑和合理修正时，承包人应7天内提供修正完成并重新提交；每月20日前向发包方提交下一月进度计划和施工方案</w:t>
      </w:r>
      <w:r>
        <w:rPr>
          <w:rFonts w:ascii="Times New Roman" w:hAnsi="Times New Roman" w:eastAsia="宋体"/>
          <w:sz w:val="21"/>
          <w:u w:val="single"/>
        </w:rPr>
        <w:t>。</w:t>
      </w:r>
    </w:p>
    <w:p w14:paraId="3CC7F986">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发包人和监理人在收到</w:t>
      </w:r>
      <w:r>
        <w:rPr>
          <w:rFonts w:hint="eastAsia" w:ascii="Times New Roman" w:hAnsi="Times New Roman" w:eastAsia="宋体"/>
          <w:sz w:val="21"/>
        </w:rPr>
        <w:t>详细的施工组织设计</w:t>
      </w:r>
      <w:r>
        <w:rPr>
          <w:rFonts w:ascii="Times New Roman" w:hAnsi="Times New Roman" w:eastAsia="宋体"/>
          <w:sz w:val="21"/>
        </w:rPr>
        <w:t>后确认或提出修改意见的期限：</w:t>
      </w:r>
      <w:r>
        <w:rPr>
          <w:rFonts w:hint="eastAsia" w:ascii="Times New Roman" w:hAnsi="Times New Roman" w:eastAsia="宋体"/>
          <w:sz w:val="21"/>
          <w:u w:val="single"/>
        </w:rPr>
        <w:t>收到相应文件后7天内</w:t>
      </w:r>
      <w:r>
        <w:rPr>
          <w:rFonts w:ascii="Times New Roman" w:hAnsi="Times New Roman" w:eastAsia="宋体"/>
          <w:sz w:val="21"/>
          <w:u w:val="single"/>
        </w:rPr>
        <w:t>。</w:t>
      </w:r>
    </w:p>
    <w:p w14:paraId="04967A4C">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7</w:t>
      </w:r>
      <w:bookmarkStart w:id="151" w:name="_Toc297123514"/>
      <w:bookmarkStart w:id="152" w:name="_Toc312678005"/>
      <w:bookmarkStart w:id="153" w:name="_Toc297216173"/>
      <w:bookmarkStart w:id="154" w:name="_Toc303539123"/>
      <w:bookmarkStart w:id="155" w:name="_Toc300934966"/>
      <w:bookmarkStart w:id="156" w:name="_Toc312677479"/>
      <w:bookmarkStart w:id="157" w:name="_Toc304295541"/>
      <w:r>
        <w:rPr>
          <w:rFonts w:ascii="Times New Roman" w:hAnsi="Times New Roman" w:eastAsia="宋体"/>
          <w:sz w:val="21"/>
        </w:rPr>
        <w:t>.2 施工进度计划</w:t>
      </w:r>
    </w:p>
    <w:p w14:paraId="468F9934">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7.2.2 施工进度计划的修订</w:t>
      </w:r>
    </w:p>
    <w:p w14:paraId="29A83552">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发包人和监理人在收到修订的施工进度计划后确认或提出修改意见的期限：</w:t>
      </w:r>
      <w:r>
        <w:rPr>
          <w:rFonts w:hint="eastAsia" w:ascii="Times New Roman" w:hAnsi="Times New Roman" w:eastAsia="宋体"/>
          <w:sz w:val="21"/>
          <w:u w:val="single"/>
        </w:rPr>
        <w:t>收到相应文件后7天内</w:t>
      </w:r>
      <w:r>
        <w:rPr>
          <w:rFonts w:ascii="Times New Roman" w:hAnsi="Times New Roman" w:eastAsia="宋体"/>
          <w:sz w:val="21"/>
          <w:u w:val="single"/>
        </w:rPr>
        <w:t>。</w:t>
      </w:r>
    </w:p>
    <w:p w14:paraId="20F52E50">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7.3 开工</w:t>
      </w:r>
    </w:p>
    <w:p w14:paraId="37E0175A">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7.3.1 开工准备</w:t>
      </w:r>
    </w:p>
    <w:p w14:paraId="4BFE5004">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关于承包人提交工程开工报审表的期限：</w:t>
      </w:r>
      <w:r>
        <w:rPr>
          <w:rFonts w:hint="eastAsia" w:ascii="Times New Roman" w:hAnsi="Times New Roman" w:eastAsia="宋体"/>
          <w:sz w:val="21"/>
          <w:u w:val="single"/>
        </w:rPr>
        <w:t>接到开工通知（或确定开工日期）后7天内</w:t>
      </w:r>
      <w:r>
        <w:rPr>
          <w:rFonts w:ascii="Times New Roman" w:hAnsi="Times New Roman" w:eastAsia="宋体"/>
          <w:sz w:val="21"/>
          <w:u w:val="single"/>
        </w:rPr>
        <w:t xml:space="preserve">  </w:t>
      </w:r>
      <w:r>
        <w:rPr>
          <w:rFonts w:ascii="Times New Roman" w:hAnsi="Times New Roman" w:eastAsia="宋体"/>
          <w:sz w:val="21"/>
        </w:rPr>
        <w:t>。</w:t>
      </w:r>
    </w:p>
    <w:p w14:paraId="7F6F5C45">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关于发包人应完成的其他开工准备工作及期限：</w:t>
      </w:r>
      <w:r>
        <w:rPr>
          <w:rFonts w:hint="eastAsia" w:ascii="Times New Roman" w:hAnsi="Times New Roman" w:eastAsia="宋体"/>
          <w:sz w:val="21"/>
          <w:u w:val="single"/>
        </w:rPr>
        <w:t>开工前7天</w:t>
      </w:r>
      <w:r>
        <w:rPr>
          <w:rFonts w:ascii="Times New Roman" w:hAnsi="Times New Roman" w:eastAsia="宋体"/>
          <w:sz w:val="21"/>
        </w:rPr>
        <w:t>。</w:t>
      </w:r>
    </w:p>
    <w:p w14:paraId="70C11519">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关于承包人应完成的其他开工准备工作及期限：</w:t>
      </w:r>
      <w:r>
        <w:rPr>
          <w:rFonts w:hint="eastAsia" w:ascii="Times New Roman" w:hAnsi="Times New Roman" w:eastAsia="宋体"/>
          <w:sz w:val="21"/>
          <w:u w:val="single"/>
        </w:rPr>
        <w:t>开工前</w:t>
      </w:r>
      <w:r>
        <w:rPr>
          <w:rFonts w:ascii="Times New Roman" w:hAnsi="Times New Roman" w:eastAsia="宋体"/>
          <w:sz w:val="21"/>
        </w:rPr>
        <w:t>。</w:t>
      </w:r>
    </w:p>
    <w:p w14:paraId="2F769141">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7.3.2开工通知</w:t>
      </w:r>
    </w:p>
    <w:p w14:paraId="3277F25E">
      <w:pPr>
        <w:adjustRightInd w:val="0"/>
        <w:snapToGrid w:val="0"/>
        <w:spacing w:line="360" w:lineRule="exact"/>
        <w:ind w:firstLine="420" w:firstLineChars="200"/>
        <w:rPr>
          <w:rFonts w:ascii="Times New Roman" w:hAnsi="Times New Roman" w:eastAsia="宋体"/>
          <w:sz w:val="21"/>
        </w:rPr>
      </w:pPr>
      <w:r>
        <w:rPr>
          <w:rFonts w:hint="eastAsia" w:ascii="Times New Roman" w:hAnsi="Times New Roman" w:eastAsia="宋体"/>
          <w:sz w:val="21"/>
        </w:rPr>
        <w:t>发包人（或监理人）在计划开工日期前7天向承包人发出开工通知，工期自开工通知中载明的开工日期起算。</w:t>
      </w:r>
    </w:p>
    <w:p w14:paraId="1D561322">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因发包人原因造成监理人未能在计划开工日期之日起</w:t>
      </w:r>
      <w:r>
        <w:rPr>
          <w:rFonts w:ascii="Times New Roman" w:hAnsi="Times New Roman" w:eastAsia="宋体"/>
          <w:sz w:val="21"/>
          <w:u w:val="single"/>
        </w:rPr>
        <w:t xml:space="preserve"> </w:t>
      </w:r>
      <w:r>
        <w:rPr>
          <w:rFonts w:hint="eastAsia" w:ascii="Times New Roman" w:hAnsi="Times New Roman" w:eastAsia="宋体"/>
          <w:sz w:val="21"/>
          <w:u w:val="single"/>
        </w:rPr>
        <w:t xml:space="preserve">90 </w:t>
      </w:r>
      <w:r>
        <w:rPr>
          <w:rFonts w:ascii="Times New Roman" w:hAnsi="Times New Roman" w:eastAsia="宋体"/>
          <w:sz w:val="21"/>
        </w:rPr>
        <w:t>天内发出开工通知的，承包人有权提出价格调整要求，或者解除合同。</w:t>
      </w:r>
      <w:r>
        <w:rPr>
          <w:rFonts w:hint="eastAsia" w:ascii="Times New Roman" w:hAnsi="Times New Roman" w:eastAsia="宋体"/>
          <w:sz w:val="21"/>
        </w:rPr>
        <w:t>发包人应当承担由此增加的费用或赔偿承包人的损失。</w:t>
      </w:r>
    </w:p>
    <w:bookmarkEnd w:id="151"/>
    <w:bookmarkEnd w:id="152"/>
    <w:bookmarkEnd w:id="153"/>
    <w:bookmarkEnd w:id="154"/>
    <w:bookmarkEnd w:id="155"/>
    <w:bookmarkEnd w:id="156"/>
    <w:bookmarkEnd w:id="157"/>
    <w:p w14:paraId="50605E71">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7.4 测量放线</w:t>
      </w:r>
    </w:p>
    <w:p w14:paraId="5C256764">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7.4.1发包人通过监理人向承包人提供测量基准点、基准线和水准点及其书面资料的期限：</w:t>
      </w:r>
      <w:r>
        <w:rPr>
          <w:rFonts w:hint="eastAsia" w:ascii="Times New Roman" w:hAnsi="Times New Roman" w:eastAsia="宋体"/>
          <w:sz w:val="21"/>
          <w:u w:val="single"/>
        </w:rPr>
        <w:t>按合同通用条款执行</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rPr>
        <w:t>。</w:t>
      </w:r>
    </w:p>
    <w:p w14:paraId="21928B2F">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7</w:t>
      </w:r>
      <w:bookmarkStart w:id="158" w:name="_Toc312678010"/>
      <w:bookmarkStart w:id="159" w:name="_Toc304295546"/>
      <w:bookmarkStart w:id="160" w:name="_Toc312677484"/>
      <w:bookmarkStart w:id="161" w:name="_Toc300934968"/>
      <w:bookmarkStart w:id="162" w:name="_Toc297123516"/>
      <w:bookmarkStart w:id="163" w:name="_Toc297216175"/>
      <w:bookmarkStart w:id="164" w:name="_Toc303539125"/>
      <w:r>
        <w:rPr>
          <w:rFonts w:ascii="Times New Roman" w:hAnsi="Times New Roman" w:eastAsia="宋体"/>
          <w:sz w:val="21"/>
        </w:rPr>
        <w:t>.5 工期延误</w:t>
      </w:r>
    </w:p>
    <w:bookmarkEnd w:id="158"/>
    <w:bookmarkEnd w:id="159"/>
    <w:bookmarkEnd w:id="160"/>
    <w:bookmarkEnd w:id="161"/>
    <w:bookmarkEnd w:id="162"/>
    <w:bookmarkEnd w:id="163"/>
    <w:bookmarkEnd w:id="164"/>
    <w:p w14:paraId="4FD37101">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7.5.1 因发包人原因导致工期延误</w:t>
      </w:r>
    </w:p>
    <w:p w14:paraId="781998D8">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（7）因发包人原因导致工期延误的其他情形：</w:t>
      </w:r>
      <w:r>
        <w:rPr>
          <w:rFonts w:hint="eastAsia" w:ascii="宋体" w:hAnsi="宋体" w:eastAsia="宋体"/>
          <w:i/>
          <w:sz w:val="21"/>
          <w:szCs w:val="21"/>
          <w:u w:val="single"/>
        </w:rPr>
        <w:t>①重大设计变更；②因政策处理不完善导致无法施工</w:t>
      </w:r>
      <w:r>
        <w:rPr>
          <w:rFonts w:hint="eastAsia" w:ascii="Times New Roman" w:hAnsi="Times New Roman" w:eastAsia="宋体"/>
          <w:sz w:val="21"/>
        </w:rPr>
        <w:t>。</w:t>
      </w:r>
    </w:p>
    <w:p w14:paraId="037A2C6A">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7</w:t>
      </w:r>
      <w:bookmarkStart w:id="165" w:name="_Toc318581169"/>
      <w:bookmarkStart w:id="166" w:name="_Toc303539127"/>
      <w:bookmarkStart w:id="167" w:name="_Toc297123518"/>
      <w:bookmarkStart w:id="168" w:name="_Toc304295548"/>
      <w:bookmarkStart w:id="169" w:name="_Toc300934970"/>
      <w:bookmarkStart w:id="170" w:name="_Toc312678012"/>
      <w:bookmarkStart w:id="171" w:name="_Toc297216177"/>
      <w:bookmarkStart w:id="172" w:name="_Toc312677486"/>
      <w:r>
        <w:rPr>
          <w:rFonts w:ascii="Times New Roman" w:hAnsi="Times New Roman" w:eastAsia="宋体"/>
          <w:sz w:val="21"/>
        </w:rPr>
        <w:t>.5.2 因承包人原因导致工期延误</w:t>
      </w:r>
    </w:p>
    <w:bookmarkEnd w:id="165"/>
    <w:bookmarkEnd w:id="166"/>
    <w:bookmarkEnd w:id="167"/>
    <w:bookmarkEnd w:id="168"/>
    <w:bookmarkEnd w:id="169"/>
    <w:bookmarkEnd w:id="170"/>
    <w:bookmarkEnd w:id="171"/>
    <w:bookmarkEnd w:id="172"/>
    <w:p w14:paraId="72EEC818">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因</w:t>
      </w:r>
      <w:bookmarkStart w:id="173" w:name="_Toc312678013"/>
      <w:bookmarkStart w:id="174" w:name="_Toc318581170"/>
      <w:bookmarkStart w:id="175" w:name="_Toc312677487"/>
      <w:r>
        <w:rPr>
          <w:rFonts w:ascii="Times New Roman" w:hAnsi="Times New Roman" w:eastAsia="宋体"/>
          <w:sz w:val="21"/>
        </w:rPr>
        <w:t>承包人原因造成工期延误，逾期竣工违约金的计算方法为：</w:t>
      </w:r>
      <w:bookmarkEnd w:id="173"/>
      <w:bookmarkEnd w:id="174"/>
      <w:bookmarkEnd w:id="175"/>
      <w:r>
        <w:rPr>
          <w:rFonts w:hint="eastAsia" w:ascii="Times New Roman" w:hAnsi="Times New Roman" w:eastAsia="宋体"/>
          <w:sz w:val="21"/>
          <w:u w:val="single"/>
        </w:rPr>
        <w:t xml:space="preserve">  500元/天 </w:t>
      </w:r>
      <w:r>
        <w:rPr>
          <w:rFonts w:hint="eastAsia" w:ascii="Times New Roman" w:hAnsi="Times New Roman" w:eastAsia="宋体"/>
          <w:sz w:val="21"/>
        </w:rPr>
        <w:t xml:space="preserve"> 。</w:t>
      </w:r>
    </w:p>
    <w:p w14:paraId="44FDDE2A">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因承包人原因造成工期延误，逾期竣工违约金的上限：</w:t>
      </w:r>
      <w:r>
        <w:rPr>
          <w:rFonts w:hint="eastAsia" w:ascii="Times New Roman" w:hAnsi="Times New Roman" w:eastAsia="宋体"/>
          <w:sz w:val="21"/>
          <w:u w:val="single"/>
        </w:rPr>
        <w:t xml:space="preserve">    累加计算   </w:t>
      </w:r>
      <w:r>
        <w:rPr>
          <w:rFonts w:hint="eastAsia" w:ascii="Times New Roman" w:hAnsi="Times New Roman" w:eastAsia="宋体"/>
          <w:sz w:val="21"/>
        </w:rPr>
        <w:t>。</w:t>
      </w:r>
    </w:p>
    <w:p w14:paraId="44C92729">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7</w:t>
      </w:r>
      <w:bookmarkStart w:id="176" w:name="_Toc303539128"/>
      <w:bookmarkStart w:id="177" w:name="_Toc312678015"/>
      <w:bookmarkStart w:id="178" w:name="_Toc304295549"/>
      <w:bookmarkStart w:id="179" w:name="_Toc300934971"/>
      <w:bookmarkStart w:id="180" w:name="_Toc297123519"/>
      <w:bookmarkStart w:id="181" w:name="_Toc297216178"/>
      <w:r>
        <w:rPr>
          <w:rFonts w:ascii="Times New Roman" w:hAnsi="Times New Roman" w:eastAsia="宋体"/>
          <w:sz w:val="21"/>
        </w:rPr>
        <w:t>.6 不</w:t>
      </w:r>
      <w:bookmarkEnd w:id="176"/>
      <w:bookmarkEnd w:id="177"/>
      <w:bookmarkEnd w:id="178"/>
      <w:bookmarkEnd w:id="179"/>
      <w:bookmarkEnd w:id="180"/>
      <w:bookmarkEnd w:id="181"/>
      <w:r>
        <w:rPr>
          <w:rFonts w:ascii="Times New Roman" w:hAnsi="Times New Roman" w:eastAsia="宋体"/>
          <w:sz w:val="21"/>
        </w:rPr>
        <w:t>利物质条件</w:t>
      </w:r>
    </w:p>
    <w:p w14:paraId="22B68177">
      <w:pPr>
        <w:adjustRightInd w:val="0"/>
        <w:snapToGrid w:val="0"/>
        <w:spacing w:line="360" w:lineRule="exact"/>
        <w:ind w:firstLine="420" w:firstLineChars="200"/>
        <w:rPr>
          <w:rFonts w:ascii="Times New Roman" w:hAnsi="Times New Roman" w:eastAsia="宋体"/>
          <w:sz w:val="21"/>
        </w:rPr>
      </w:pPr>
      <w:bookmarkStart w:id="182" w:name="_Toc303539129"/>
      <w:bookmarkStart w:id="183" w:name="_Toc300934972"/>
      <w:bookmarkStart w:id="184" w:name="_Toc318581172"/>
      <w:bookmarkStart w:id="185" w:name="_Toc312678016"/>
      <w:bookmarkStart w:id="186" w:name="_Toc304295550"/>
      <w:bookmarkStart w:id="187" w:name="_Toc297123520"/>
      <w:bookmarkStart w:id="188" w:name="_Toc297216179"/>
      <w:r>
        <w:rPr>
          <w:rFonts w:ascii="Times New Roman" w:hAnsi="Times New Roman" w:eastAsia="宋体"/>
          <w:sz w:val="21"/>
        </w:rPr>
        <w:t>不利物质条件的其他情形和有关约定：</w:t>
      </w:r>
    </w:p>
    <w:p w14:paraId="29A2C6D5">
      <w:pPr>
        <w:adjustRightInd w:val="0"/>
        <w:snapToGrid w:val="0"/>
        <w:spacing w:line="360" w:lineRule="exact"/>
        <w:ind w:firstLine="420" w:firstLineChars="200"/>
        <w:rPr>
          <w:rFonts w:ascii="Times New Roman" w:hAnsi="Times New Roman" w:eastAsia="宋体"/>
          <w:sz w:val="21"/>
          <w:u w:val="single"/>
        </w:rPr>
      </w:pPr>
      <w:r>
        <w:rPr>
          <w:rFonts w:ascii="Times New Roman" w:hAnsi="Times New Roman" w:eastAsia="宋体"/>
          <w:sz w:val="21"/>
        </w:rPr>
        <w:t>（1）</w:t>
      </w:r>
      <w:r>
        <w:rPr>
          <w:rFonts w:hint="eastAsia" w:ascii="Times New Roman" w:hAnsi="Times New Roman" w:eastAsia="宋体"/>
          <w:sz w:val="21"/>
          <w:u w:val="single"/>
        </w:rPr>
        <w:t>每天连续停水、停电超过8小时以上。</w:t>
      </w:r>
    </w:p>
    <w:p w14:paraId="693EBE53">
      <w:pPr>
        <w:adjustRightInd w:val="0"/>
        <w:snapToGrid w:val="0"/>
        <w:spacing w:line="360" w:lineRule="exact"/>
        <w:ind w:firstLine="420" w:firstLineChars="200"/>
        <w:rPr>
          <w:rFonts w:ascii="Times New Roman" w:hAnsi="Times New Roman" w:eastAsia="宋体"/>
          <w:sz w:val="21"/>
          <w:u w:val="single"/>
        </w:rPr>
      </w:pPr>
      <w:r>
        <w:rPr>
          <w:rFonts w:ascii="Times New Roman" w:hAnsi="Times New Roman" w:eastAsia="宋体"/>
          <w:sz w:val="21"/>
        </w:rPr>
        <w:t>（</w:t>
      </w:r>
      <w:r>
        <w:rPr>
          <w:rFonts w:hint="eastAsia" w:ascii="Times New Roman" w:hAnsi="Times New Roman" w:eastAsia="宋体"/>
          <w:sz w:val="21"/>
        </w:rPr>
        <w:t>2</w:t>
      </w:r>
      <w:r>
        <w:rPr>
          <w:rFonts w:ascii="Times New Roman" w:hAnsi="Times New Roman" w:eastAsia="宋体"/>
          <w:sz w:val="21"/>
        </w:rPr>
        <w:t>）</w:t>
      </w:r>
      <w:r>
        <w:rPr>
          <w:rFonts w:hint="eastAsia" w:ascii="Times New Roman" w:hAnsi="Times New Roman" w:eastAsia="宋体"/>
          <w:sz w:val="21"/>
          <w:u w:val="single"/>
        </w:rPr>
        <w:t>因政府行政命令（因承包人原因的除外）。</w:t>
      </w:r>
    </w:p>
    <w:p w14:paraId="1220EB4B">
      <w:pPr>
        <w:adjustRightInd w:val="0"/>
        <w:snapToGrid w:val="0"/>
        <w:spacing w:line="360" w:lineRule="exact"/>
        <w:ind w:firstLine="420" w:firstLineChars="200"/>
        <w:rPr>
          <w:rFonts w:ascii="Times New Roman" w:hAnsi="Times New Roman" w:eastAsia="宋体"/>
          <w:sz w:val="21"/>
          <w:u w:val="single"/>
        </w:rPr>
      </w:pPr>
      <w:r>
        <w:rPr>
          <w:rFonts w:ascii="Times New Roman" w:hAnsi="Times New Roman" w:eastAsia="宋体"/>
          <w:sz w:val="21"/>
        </w:rPr>
        <w:t>（</w:t>
      </w:r>
      <w:r>
        <w:rPr>
          <w:rFonts w:hint="eastAsia" w:ascii="Times New Roman" w:hAnsi="Times New Roman" w:eastAsia="宋体"/>
          <w:sz w:val="21"/>
        </w:rPr>
        <w:t>3</w:t>
      </w:r>
      <w:r>
        <w:rPr>
          <w:rFonts w:ascii="Times New Roman" w:hAnsi="Times New Roman" w:eastAsia="宋体"/>
          <w:sz w:val="21"/>
        </w:rPr>
        <w:t>）</w:t>
      </w:r>
      <w:r>
        <w:rPr>
          <w:rFonts w:hint="eastAsia" w:ascii="Times New Roman" w:hAnsi="Times New Roman" w:eastAsia="宋体"/>
          <w:sz w:val="21"/>
          <w:u w:val="single"/>
        </w:rPr>
        <w:t>非因双方原因而无法控制的爆炸、火灾等事件。</w:t>
      </w:r>
    </w:p>
    <w:p w14:paraId="59210BFD">
      <w:pPr>
        <w:adjustRightInd w:val="0"/>
        <w:snapToGrid w:val="0"/>
        <w:spacing w:line="360" w:lineRule="exact"/>
        <w:ind w:firstLine="420" w:firstLineChars="200"/>
        <w:rPr>
          <w:rFonts w:ascii="Times New Roman" w:hAnsi="Times New Roman" w:eastAsia="宋体"/>
          <w:sz w:val="21"/>
          <w:u w:val="single"/>
        </w:rPr>
      </w:pPr>
      <w:r>
        <w:rPr>
          <w:rFonts w:ascii="Times New Roman" w:hAnsi="Times New Roman" w:eastAsia="宋体"/>
          <w:sz w:val="21"/>
        </w:rPr>
        <w:t>（</w:t>
      </w:r>
      <w:r>
        <w:rPr>
          <w:rFonts w:hint="eastAsia" w:ascii="Times New Roman" w:hAnsi="Times New Roman" w:eastAsia="宋体"/>
          <w:sz w:val="21"/>
        </w:rPr>
        <w:t>4</w:t>
      </w:r>
      <w:r>
        <w:rPr>
          <w:rFonts w:ascii="Times New Roman" w:hAnsi="Times New Roman" w:eastAsia="宋体"/>
          <w:sz w:val="21"/>
        </w:rPr>
        <w:t>）</w:t>
      </w:r>
      <w:r>
        <w:rPr>
          <w:rFonts w:hint="eastAsia" w:ascii="Times New Roman" w:hAnsi="Times New Roman" w:eastAsia="宋体"/>
          <w:sz w:val="21"/>
          <w:u w:val="single"/>
        </w:rPr>
        <w:t>施工场地周围地下管线保护，地下障碍物和污染物排除，邻近建筑物、构筑物的保护要求。</w:t>
      </w:r>
    </w:p>
    <w:p w14:paraId="045511BA">
      <w:pPr>
        <w:adjustRightInd w:val="0"/>
        <w:snapToGrid w:val="0"/>
        <w:spacing w:line="360" w:lineRule="exact"/>
        <w:ind w:firstLine="420" w:firstLineChars="200"/>
        <w:rPr>
          <w:rFonts w:ascii="Times New Roman" w:hAnsi="Times New Roman" w:eastAsia="宋体"/>
          <w:sz w:val="21"/>
          <w:u w:val="single"/>
        </w:rPr>
      </w:pPr>
      <w:r>
        <w:rPr>
          <w:rFonts w:ascii="Times New Roman" w:hAnsi="Times New Roman" w:eastAsia="宋体"/>
          <w:sz w:val="21"/>
        </w:rPr>
        <w:t>（</w:t>
      </w:r>
      <w:r>
        <w:rPr>
          <w:rFonts w:hint="eastAsia" w:ascii="Times New Roman" w:hAnsi="Times New Roman" w:eastAsia="宋体"/>
          <w:sz w:val="21"/>
        </w:rPr>
        <w:t>5</w:t>
      </w:r>
      <w:r>
        <w:rPr>
          <w:rFonts w:ascii="Times New Roman" w:hAnsi="Times New Roman" w:eastAsia="宋体"/>
          <w:sz w:val="21"/>
        </w:rPr>
        <w:t>）</w:t>
      </w:r>
      <w:r>
        <w:rPr>
          <w:rFonts w:hint="eastAsia" w:ascii="Times New Roman" w:hAnsi="Times New Roman" w:eastAsia="宋体"/>
          <w:sz w:val="21"/>
          <w:u w:val="single"/>
        </w:rPr>
        <w:t>地质勘探资料未涉及的地下管道、暗沟、岩层等</w:t>
      </w:r>
      <w:r>
        <w:rPr>
          <w:rFonts w:ascii="Times New Roman" w:hAnsi="Times New Roman" w:eastAsia="宋体"/>
          <w:sz w:val="21"/>
          <w:u w:val="single"/>
        </w:rPr>
        <w:t>。</w:t>
      </w:r>
    </w:p>
    <w:bookmarkEnd w:id="182"/>
    <w:bookmarkEnd w:id="183"/>
    <w:bookmarkEnd w:id="184"/>
    <w:bookmarkEnd w:id="185"/>
    <w:bookmarkEnd w:id="186"/>
    <w:bookmarkEnd w:id="187"/>
    <w:bookmarkEnd w:id="188"/>
    <w:p w14:paraId="7EEF6ED0">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7</w:t>
      </w:r>
      <w:bookmarkStart w:id="189" w:name="_Toc304295551"/>
      <w:bookmarkStart w:id="190" w:name="_Toc300934973"/>
      <w:bookmarkStart w:id="191" w:name="_Toc297123521"/>
      <w:bookmarkStart w:id="192" w:name="_Toc312678017"/>
      <w:bookmarkStart w:id="193" w:name="_Toc303539130"/>
      <w:bookmarkStart w:id="194" w:name="_Toc297216180"/>
      <w:r>
        <w:rPr>
          <w:rFonts w:ascii="Times New Roman" w:hAnsi="Times New Roman" w:eastAsia="宋体"/>
          <w:sz w:val="21"/>
        </w:rPr>
        <w:t>.7异常恶劣的气候条件</w:t>
      </w:r>
    </w:p>
    <w:bookmarkEnd w:id="189"/>
    <w:bookmarkEnd w:id="190"/>
    <w:bookmarkEnd w:id="191"/>
    <w:bookmarkEnd w:id="192"/>
    <w:bookmarkEnd w:id="193"/>
    <w:bookmarkEnd w:id="194"/>
    <w:p w14:paraId="310B123B">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发包人和承包人同意以下情形视为异常恶劣的气候条件：</w:t>
      </w:r>
    </w:p>
    <w:p w14:paraId="3C551240">
      <w:pPr>
        <w:adjustRightInd w:val="0"/>
        <w:snapToGrid w:val="0"/>
        <w:spacing w:line="360" w:lineRule="exact"/>
        <w:ind w:firstLine="420" w:firstLineChars="200"/>
        <w:rPr>
          <w:rFonts w:ascii="Times New Roman" w:hAnsi="Times New Roman" w:eastAsia="宋体"/>
          <w:sz w:val="21"/>
          <w:u w:val="single"/>
        </w:rPr>
      </w:pPr>
      <w:r>
        <w:rPr>
          <w:rFonts w:ascii="Times New Roman" w:hAnsi="Times New Roman" w:eastAsia="宋体"/>
          <w:sz w:val="21"/>
        </w:rPr>
        <w:t>（1）</w:t>
      </w:r>
      <w:r>
        <w:rPr>
          <w:rFonts w:hint="eastAsia" w:ascii="Times New Roman" w:hAnsi="Times New Roman" w:eastAsia="宋体"/>
          <w:sz w:val="21"/>
          <w:u w:val="single"/>
        </w:rPr>
        <w:t>8级以上持续24小时的大风（台风）</w:t>
      </w:r>
      <w:r>
        <w:rPr>
          <w:rFonts w:ascii="Times New Roman" w:hAnsi="Times New Roman" w:eastAsia="宋体"/>
          <w:sz w:val="21"/>
          <w:u w:val="single"/>
        </w:rPr>
        <w:t xml:space="preserve"> ；</w:t>
      </w:r>
    </w:p>
    <w:p w14:paraId="00F29CD8">
      <w:pPr>
        <w:adjustRightInd w:val="0"/>
        <w:snapToGrid w:val="0"/>
        <w:spacing w:line="360" w:lineRule="exact"/>
        <w:ind w:firstLine="420" w:firstLineChars="200"/>
        <w:rPr>
          <w:rFonts w:ascii="Times New Roman" w:hAnsi="Times New Roman" w:eastAsia="宋体"/>
          <w:sz w:val="21"/>
          <w:u w:val="single"/>
        </w:rPr>
      </w:pPr>
      <w:r>
        <w:rPr>
          <w:rFonts w:ascii="Times New Roman" w:hAnsi="Times New Roman" w:eastAsia="宋体"/>
          <w:sz w:val="21"/>
        </w:rPr>
        <w:t>（2）</w:t>
      </w:r>
      <w:r>
        <w:rPr>
          <w:rFonts w:hint="eastAsia" w:ascii="Times New Roman" w:hAnsi="Times New Roman" w:eastAsia="宋体"/>
          <w:sz w:val="21"/>
          <w:u w:val="single"/>
        </w:rPr>
        <w:t>24小时内持续降雨且降水量为200mm以上</w:t>
      </w:r>
      <w:r>
        <w:rPr>
          <w:rFonts w:ascii="Times New Roman" w:hAnsi="Times New Roman" w:eastAsia="宋体"/>
          <w:sz w:val="21"/>
          <w:u w:val="single"/>
        </w:rPr>
        <w:t>；</w:t>
      </w:r>
    </w:p>
    <w:p w14:paraId="53CEECEC">
      <w:pPr>
        <w:adjustRightInd w:val="0"/>
        <w:snapToGrid w:val="0"/>
        <w:spacing w:line="360" w:lineRule="exact"/>
        <w:ind w:firstLine="420" w:firstLineChars="200"/>
        <w:rPr>
          <w:rFonts w:ascii="Times New Roman" w:hAnsi="Times New Roman" w:eastAsia="宋体"/>
          <w:sz w:val="21"/>
          <w:u w:val="single"/>
        </w:rPr>
      </w:pPr>
      <w:r>
        <w:rPr>
          <w:rFonts w:ascii="Times New Roman" w:hAnsi="Times New Roman" w:eastAsia="宋体"/>
          <w:sz w:val="21"/>
        </w:rPr>
        <w:t>（3）</w:t>
      </w:r>
      <w:r>
        <w:rPr>
          <w:rFonts w:hint="eastAsia" w:ascii="Times New Roman" w:hAnsi="Times New Roman" w:eastAsia="宋体"/>
          <w:sz w:val="21"/>
          <w:u w:val="single"/>
        </w:rPr>
        <w:t>40摄氏度及以上且持续2天以上以上的高温天气</w:t>
      </w:r>
      <w:r>
        <w:rPr>
          <w:rFonts w:ascii="Times New Roman" w:hAnsi="Times New Roman" w:eastAsia="宋体"/>
          <w:sz w:val="21"/>
          <w:u w:val="single"/>
        </w:rPr>
        <w:t>。</w:t>
      </w:r>
    </w:p>
    <w:p w14:paraId="419A1892">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7.9 提前竣工的奖励</w:t>
      </w:r>
    </w:p>
    <w:p w14:paraId="6F91853A">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7.9.2提前竣工的奖励：</w:t>
      </w:r>
    </w:p>
    <w:p w14:paraId="1614822A">
      <w:pPr>
        <w:adjustRightInd w:val="0"/>
        <w:snapToGrid w:val="0"/>
        <w:spacing w:line="360" w:lineRule="exact"/>
        <w:ind w:firstLine="420" w:firstLineChars="200"/>
        <w:rPr>
          <w:rFonts w:ascii="Times New Roman" w:hAnsi="Times New Roman" w:eastAsia="宋体"/>
          <w:sz w:val="21"/>
        </w:rPr>
      </w:pPr>
      <w:bookmarkStart w:id="195" w:name="_Toc351203640"/>
      <w:r>
        <w:rPr>
          <w:rFonts w:hint="eastAsia" w:ascii="Times New Roman" w:hAnsi="Times New Roman" w:eastAsia="宋体"/>
          <w:sz w:val="21"/>
        </w:rPr>
        <w:t>（1）每日历天奖励额度</w:t>
      </w:r>
      <w:r>
        <w:rPr>
          <w:rFonts w:hint="eastAsia" w:ascii="宋体" w:hAnsi="宋体" w:eastAsia="宋体"/>
          <w:sz w:val="21"/>
        </w:rPr>
        <w:t>:</w:t>
      </w:r>
      <w:r>
        <w:rPr>
          <w:rFonts w:hint="eastAsia" w:ascii="Times New Roman" w:hAnsi="Times New Roman" w:eastAsia="宋体"/>
          <w:sz w:val="21"/>
          <w:u w:val="single"/>
        </w:rPr>
        <w:t xml:space="preserve">   /</w:t>
      </w:r>
      <w:r>
        <w:rPr>
          <w:rFonts w:hint="eastAsia" w:ascii="Times New Roman" w:hAnsi="Times New Roman" w:eastAsia="宋体"/>
          <w:i/>
          <w:sz w:val="21"/>
          <w:u w:val="single"/>
        </w:rPr>
        <w:t xml:space="preserve">  </w:t>
      </w:r>
      <w:r>
        <w:rPr>
          <w:rFonts w:hint="eastAsia" w:ascii="Times New Roman" w:hAnsi="Times New Roman" w:eastAsia="宋体"/>
          <w:sz w:val="21"/>
        </w:rPr>
        <w:t>。</w:t>
      </w:r>
    </w:p>
    <w:p w14:paraId="12D29B06">
      <w:pPr>
        <w:adjustRightInd w:val="0"/>
        <w:snapToGrid w:val="0"/>
        <w:spacing w:line="360" w:lineRule="exact"/>
        <w:ind w:firstLine="420" w:firstLineChars="200"/>
        <w:rPr>
          <w:rFonts w:ascii="Times New Roman" w:hAnsi="Times New Roman" w:eastAsia="宋体"/>
          <w:sz w:val="21"/>
        </w:rPr>
      </w:pPr>
      <w:r>
        <w:rPr>
          <w:rFonts w:hint="eastAsia" w:ascii="Times New Roman" w:hAnsi="Times New Roman" w:eastAsia="宋体"/>
          <w:sz w:val="21"/>
        </w:rPr>
        <w:t>（2）提前竣工奖的最高限额是：</w:t>
      </w:r>
      <w:r>
        <w:rPr>
          <w:rFonts w:hint="eastAsia" w:ascii="Times New Roman" w:hAnsi="Times New Roman" w:eastAsia="宋体"/>
          <w:sz w:val="21"/>
          <w:u w:val="single"/>
        </w:rPr>
        <w:t xml:space="preserve">  / </w:t>
      </w:r>
      <w:r>
        <w:rPr>
          <w:rFonts w:hint="eastAsia" w:ascii="Times New Roman" w:hAnsi="Times New Roman" w:eastAsia="宋体"/>
          <w:i/>
          <w:sz w:val="21"/>
          <w:u w:val="single"/>
        </w:rPr>
        <w:t xml:space="preserve">   </w:t>
      </w:r>
      <w:r>
        <w:rPr>
          <w:rFonts w:hint="eastAsia" w:ascii="Times New Roman" w:hAnsi="Times New Roman" w:eastAsia="宋体"/>
          <w:sz w:val="21"/>
        </w:rPr>
        <w:t>。</w:t>
      </w:r>
    </w:p>
    <w:p w14:paraId="41C3955D">
      <w:pPr>
        <w:adjustRightInd w:val="0"/>
        <w:snapToGrid w:val="0"/>
        <w:spacing w:line="360" w:lineRule="exact"/>
        <w:ind w:firstLine="422" w:firstLineChars="200"/>
        <w:rPr>
          <w:rFonts w:ascii="Times New Roman" w:hAnsi="Times New Roman" w:eastAsia="宋体"/>
          <w:b/>
          <w:sz w:val="21"/>
        </w:rPr>
      </w:pPr>
      <w:r>
        <w:rPr>
          <w:rFonts w:ascii="Times New Roman" w:hAnsi="Times New Roman" w:eastAsia="宋体"/>
          <w:b/>
          <w:sz w:val="21"/>
        </w:rPr>
        <w:t>8. 材料与设备</w:t>
      </w:r>
      <w:bookmarkEnd w:id="195"/>
    </w:p>
    <w:p w14:paraId="0D54E8E4">
      <w:pPr>
        <w:adjustRightInd w:val="0"/>
        <w:snapToGrid w:val="0"/>
        <w:spacing w:line="360" w:lineRule="exact"/>
        <w:ind w:firstLine="420" w:firstLineChars="200"/>
        <w:rPr>
          <w:rFonts w:ascii="Times New Roman" w:hAnsi="Times New Roman" w:eastAsia="宋体"/>
          <w:sz w:val="21"/>
        </w:rPr>
      </w:pPr>
      <w:r>
        <w:rPr>
          <w:rFonts w:hint="eastAsia" w:ascii="Times New Roman" w:hAnsi="Times New Roman" w:eastAsia="宋体"/>
          <w:sz w:val="21"/>
        </w:rPr>
        <w:t>8.2 承包人采购材料与工程设备</w:t>
      </w:r>
    </w:p>
    <w:p w14:paraId="37AB5EEB">
      <w:pPr>
        <w:autoSpaceDE w:val="0"/>
        <w:autoSpaceDN w:val="0"/>
        <w:adjustRightInd w:val="0"/>
        <w:spacing w:line="360" w:lineRule="exact"/>
        <w:ind w:firstLine="420" w:firstLineChars="200"/>
        <w:rPr>
          <w:rFonts w:ascii="宋体" w:hAnsi="宋体" w:eastAsia="宋体"/>
          <w:sz w:val="21"/>
          <w:szCs w:val="21"/>
          <w:u w:val="single"/>
        </w:rPr>
      </w:pPr>
      <w:r>
        <w:rPr>
          <w:rFonts w:hint="eastAsia" w:ascii="宋体" w:hAnsi="宋体" w:eastAsia="宋体"/>
          <w:sz w:val="21"/>
          <w:szCs w:val="21"/>
        </w:rPr>
        <w:t>（1）</w:t>
      </w:r>
      <w:r>
        <w:rPr>
          <w:rFonts w:hint="eastAsia" w:ascii="宋体" w:hAnsi="宋体" w:eastAsia="宋体"/>
          <w:sz w:val="21"/>
          <w:szCs w:val="21"/>
          <w:u w:val="single"/>
        </w:rPr>
        <w:t>材料品牌、规格和使用要求：按招标文件（相应）技术标准和要求执行。</w:t>
      </w:r>
    </w:p>
    <w:p w14:paraId="44030C6B">
      <w:pPr>
        <w:autoSpaceDE w:val="0"/>
        <w:autoSpaceDN w:val="0"/>
        <w:spacing w:line="360" w:lineRule="exact"/>
        <w:ind w:firstLine="420" w:firstLineChars="200"/>
        <w:rPr>
          <w:rFonts w:ascii="仿宋_GB2312" w:hAnsi="宋体" w:eastAsia="宋体"/>
          <w:sz w:val="21"/>
          <w:szCs w:val="21"/>
          <w:u w:val="single"/>
        </w:rPr>
      </w:pPr>
      <w:r>
        <w:rPr>
          <w:rFonts w:hint="eastAsia" w:ascii="仿宋_GB2312" w:hAnsi="宋体" w:eastAsia="宋体"/>
          <w:sz w:val="21"/>
          <w:szCs w:val="21"/>
        </w:rPr>
        <w:t>（</w:t>
      </w:r>
      <w:r>
        <w:rPr>
          <w:rFonts w:ascii="Times New Roman" w:hAnsi="Times New Roman" w:eastAsia="宋体"/>
          <w:sz w:val="21"/>
          <w:szCs w:val="21"/>
        </w:rPr>
        <w:t>2</w:t>
      </w:r>
      <w:r>
        <w:rPr>
          <w:rFonts w:hint="eastAsia" w:ascii="仿宋_GB2312" w:hAnsi="宋体" w:eastAsia="宋体"/>
          <w:sz w:val="21"/>
          <w:szCs w:val="21"/>
        </w:rPr>
        <w:t>）</w:t>
      </w:r>
      <w:r>
        <w:rPr>
          <w:rFonts w:hint="eastAsia" w:ascii="仿宋_GB2312" w:hAnsi="宋体" w:eastAsia="宋体"/>
          <w:sz w:val="21"/>
          <w:szCs w:val="21"/>
          <w:u w:val="single"/>
        </w:rPr>
        <w:t>本工程已确定承包价的建筑材料均由承包人自行询价、采购、运输和保管。</w:t>
      </w:r>
    </w:p>
    <w:p w14:paraId="2B0371F5">
      <w:pPr>
        <w:adjustRightInd w:val="0"/>
        <w:snapToGrid w:val="0"/>
        <w:spacing w:line="360" w:lineRule="exact"/>
        <w:ind w:firstLine="422" w:firstLineChars="200"/>
        <w:jc w:val="left"/>
        <w:rPr>
          <w:rFonts w:ascii="宋体" w:hAnsi="宋体" w:eastAsia="宋体" w:cs="宋体"/>
          <w:b/>
          <w:sz w:val="21"/>
          <w:szCs w:val="21"/>
          <w:u w:val="single"/>
        </w:rPr>
      </w:pPr>
      <w:r>
        <w:rPr>
          <w:rFonts w:hint="eastAsia" w:ascii="仿宋_GB2312" w:hAnsi="宋体" w:eastAsia="宋体"/>
          <w:b/>
          <w:sz w:val="21"/>
          <w:szCs w:val="21"/>
        </w:rPr>
        <w:t>（</w:t>
      </w:r>
      <w:r>
        <w:rPr>
          <w:rFonts w:ascii="Times New Roman" w:hAnsi="Times New Roman" w:eastAsia="宋体"/>
          <w:b/>
          <w:sz w:val="21"/>
          <w:szCs w:val="21"/>
        </w:rPr>
        <w:t>3</w:t>
      </w:r>
      <w:r>
        <w:rPr>
          <w:rFonts w:hint="eastAsia" w:ascii="仿宋_GB2312" w:hAnsi="宋体" w:eastAsia="宋体"/>
          <w:b/>
          <w:sz w:val="21"/>
          <w:szCs w:val="21"/>
        </w:rPr>
        <w:t>）</w:t>
      </w:r>
      <w:r>
        <w:rPr>
          <w:rFonts w:hint="eastAsia" w:ascii="仿宋_GB2312" w:hAnsi="宋体" w:eastAsia="宋体"/>
          <w:b/>
          <w:sz w:val="21"/>
          <w:szCs w:val="21"/>
          <w:u w:val="single"/>
        </w:rPr>
        <w:t>本工程要求使用材料要求</w:t>
      </w:r>
      <w:r>
        <w:rPr>
          <w:rFonts w:hint="eastAsia" w:ascii="宋体" w:hAnsi="宋体" w:eastAsia="宋体" w:cs="宋体"/>
          <w:b/>
          <w:sz w:val="21"/>
          <w:szCs w:val="21"/>
          <w:u w:val="single"/>
        </w:rPr>
        <w:t>: 承包人所使用的设备、材料使用前其品牌、材质须经发包人备案确认认可，否则一切后果及经济损失均由承包人负责。</w:t>
      </w:r>
    </w:p>
    <w:p w14:paraId="69893E07">
      <w:pPr>
        <w:spacing w:line="360" w:lineRule="exact"/>
        <w:ind w:firstLine="420" w:firstLineChars="200"/>
        <w:rPr>
          <w:rFonts w:ascii="仿宋_GB2312" w:hAnsi="宋体" w:eastAsia="宋体"/>
          <w:sz w:val="21"/>
          <w:szCs w:val="21"/>
          <w:u w:val="single"/>
        </w:rPr>
      </w:pPr>
      <w:r>
        <w:rPr>
          <w:rFonts w:hint="eastAsia" w:ascii="仿宋_GB2312" w:hAnsi="宋体" w:eastAsia="宋体"/>
          <w:sz w:val="21"/>
          <w:szCs w:val="21"/>
        </w:rPr>
        <w:t>（</w:t>
      </w:r>
      <w:r>
        <w:rPr>
          <w:rFonts w:ascii="Times New Roman" w:hAnsi="Times New Roman" w:eastAsia="宋体"/>
          <w:sz w:val="21"/>
          <w:szCs w:val="21"/>
        </w:rPr>
        <w:t>4</w:t>
      </w:r>
      <w:r>
        <w:rPr>
          <w:rFonts w:hint="eastAsia" w:ascii="仿宋_GB2312" w:hAnsi="宋体" w:eastAsia="宋体"/>
          <w:sz w:val="21"/>
          <w:szCs w:val="21"/>
        </w:rPr>
        <w:t>）</w:t>
      </w:r>
      <w:r>
        <w:rPr>
          <w:rFonts w:hint="eastAsia" w:ascii="仿宋_GB2312" w:hAnsi="宋体" w:eastAsia="宋体"/>
          <w:sz w:val="21"/>
          <w:szCs w:val="21"/>
          <w:u w:val="single"/>
        </w:rPr>
        <w:t>所有材料必须有质保书或合格证，符合施工图纸和规范要求，且品牌、产地需报发包人备案，否则，因此产生的后果均由承包人负责。</w:t>
      </w:r>
    </w:p>
    <w:p w14:paraId="7B0A4EB6">
      <w:pPr>
        <w:spacing w:line="360" w:lineRule="exact"/>
        <w:ind w:firstLine="420" w:firstLineChars="200"/>
        <w:rPr>
          <w:rFonts w:ascii="仿宋_GB2312" w:hAnsi="宋体" w:eastAsia="宋体"/>
          <w:sz w:val="21"/>
          <w:szCs w:val="21"/>
          <w:u w:val="single"/>
        </w:rPr>
      </w:pPr>
      <w:r>
        <w:rPr>
          <w:rFonts w:hint="eastAsia" w:ascii="仿宋_GB2312" w:hAnsi="宋体" w:eastAsia="宋体"/>
          <w:sz w:val="21"/>
          <w:szCs w:val="21"/>
        </w:rPr>
        <w:t>（</w:t>
      </w:r>
      <w:r>
        <w:rPr>
          <w:rFonts w:ascii="Times New Roman" w:hAnsi="Times New Roman" w:eastAsia="宋体"/>
          <w:sz w:val="21"/>
          <w:szCs w:val="21"/>
        </w:rPr>
        <w:t>5</w:t>
      </w:r>
      <w:r>
        <w:rPr>
          <w:rFonts w:hint="eastAsia" w:ascii="仿宋_GB2312" w:hAnsi="宋体" w:eastAsia="宋体"/>
          <w:sz w:val="21"/>
          <w:szCs w:val="21"/>
        </w:rPr>
        <w:t>）</w:t>
      </w:r>
      <w:r>
        <w:rPr>
          <w:rFonts w:hint="eastAsia" w:ascii="仿宋_GB2312" w:hAnsi="宋体" w:eastAsia="宋体"/>
          <w:sz w:val="21"/>
          <w:szCs w:val="21"/>
          <w:u w:val="single"/>
        </w:rPr>
        <w:t>所有设备、材料和预制构件等均需有产品合格证和质保书、试验（试车）报告等必要资料，符合国家规定的技术标准和设计图纸要求的标准，并且须经发包人及监理单位验收合格后方可使用。</w:t>
      </w:r>
    </w:p>
    <w:p w14:paraId="69026B4C">
      <w:pPr>
        <w:spacing w:line="360" w:lineRule="exact"/>
        <w:ind w:firstLine="420" w:firstLineChars="200"/>
        <w:rPr>
          <w:rFonts w:ascii="仿宋_GB2312" w:hAnsi="宋体" w:eastAsia="宋体"/>
          <w:sz w:val="21"/>
          <w:szCs w:val="21"/>
          <w:u w:val="single"/>
        </w:rPr>
      </w:pPr>
      <w:r>
        <w:rPr>
          <w:rFonts w:hint="eastAsia" w:ascii="仿宋_GB2312" w:hAnsi="宋体" w:eastAsia="宋体"/>
          <w:sz w:val="21"/>
          <w:szCs w:val="21"/>
        </w:rPr>
        <w:t>（</w:t>
      </w:r>
      <w:r>
        <w:rPr>
          <w:rFonts w:ascii="Times New Roman" w:hAnsi="Times New Roman" w:eastAsia="宋体"/>
          <w:sz w:val="21"/>
          <w:szCs w:val="21"/>
        </w:rPr>
        <w:t>6</w:t>
      </w:r>
      <w:r>
        <w:rPr>
          <w:rFonts w:hint="eastAsia" w:ascii="仿宋_GB2312" w:hAnsi="宋体" w:eastAsia="宋体"/>
          <w:sz w:val="21"/>
          <w:szCs w:val="21"/>
        </w:rPr>
        <w:t>）</w:t>
      </w:r>
      <w:r>
        <w:rPr>
          <w:rFonts w:hint="eastAsia" w:ascii="仿宋_GB2312" w:hAnsi="宋体" w:eastAsia="宋体"/>
          <w:sz w:val="21"/>
          <w:szCs w:val="21"/>
          <w:u w:val="single"/>
        </w:rPr>
        <w:t>合同中原暂定价材料或由工程变更产生的无价材料（按有关规定可不组织招标采购的）由承包人采购时，应由发包人签证确定价格后采购，发包人收到承包人价格确定申请后，7日内审批完毕。</w:t>
      </w:r>
    </w:p>
    <w:p w14:paraId="7E11A0E5">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8</w:t>
      </w:r>
      <w:bookmarkStart w:id="196" w:name="_Toc296890995"/>
      <w:bookmarkStart w:id="197" w:name="_Toc297048353"/>
      <w:bookmarkStart w:id="198" w:name="_Toc303539136"/>
      <w:bookmarkStart w:id="199" w:name="_Toc300934979"/>
      <w:bookmarkStart w:id="200" w:name="_Toc296347166"/>
      <w:bookmarkStart w:id="201" w:name="_Toc296944506"/>
      <w:bookmarkStart w:id="202" w:name="_Toc297216186"/>
      <w:bookmarkStart w:id="203" w:name="_Toc297120467"/>
      <w:bookmarkStart w:id="204" w:name="_Toc296891207"/>
      <w:bookmarkStart w:id="205" w:name="_Toc296346668"/>
      <w:bookmarkStart w:id="206" w:name="_Toc312678019"/>
      <w:bookmarkStart w:id="207" w:name="_Toc280868654"/>
      <w:bookmarkStart w:id="208" w:name="_Toc312677493"/>
      <w:bookmarkStart w:id="209" w:name="_Toc304295556"/>
      <w:bookmarkStart w:id="210" w:name="_Toc296503167"/>
      <w:bookmarkStart w:id="211" w:name="_Toc292559877"/>
      <w:bookmarkStart w:id="212" w:name="_Toc297123527"/>
      <w:bookmarkStart w:id="213" w:name="_Toc292559372"/>
      <w:r>
        <w:rPr>
          <w:rFonts w:ascii="Times New Roman" w:hAnsi="Times New Roman" w:eastAsia="宋体"/>
          <w:sz w:val="21"/>
        </w:rPr>
        <w:t>.4材料与工程设备的保管与使用</w:t>
      </w:r>
    </w:p>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p w14:paraId="367DCB81">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8</w:t>
      </w:r>
      <w:bookmarkStart w:id="214" w:name="_Toc292559878"/>
      <w:bookmarkStart w:id="215" w:name="_Toc292559373"/>
      <w:bookmarkStart w:id="216" w:name="_Toc296890996"/>
      <w:bookmarkStart w:id="217" w:name="_Toc303539137"/>
      <w:bookmarkStart w:id="218" w:name="_Toc318581173"/>
      <w:bookmarkStart w:id="219" w:name="_Toc296503168"/>
      <w:bookmarkStart w:id="220" w:name="_Toc296347167"/>
      <w:bookmarkStart w:id="221" w:name="_Toc312678020"/>
      <w:bookmarkStart w:id="222" w:name="_Toc297216187"/>
      <w:bookmarkStart w:id="223" w:name="_Toc296944507"/>
      <w:bookmarkStart w:id="224" w:name="_Toc312677494"/>
      <w:bookmarkStart w:id="225" w:name="_Toc304295557"/>
      <w:bookmarkStart w:id="226" w:name="_Toc297120468"/>
      <w:bookmarkStart w:id="227" w:name="_Toc297048354"/>
      <w:bookmarkStart w:id="228" w:name="_Toc300934980"/>
      <w:bookmarkStart w:id="229" w:name="_Toc296891208"/>
      <w:bookmarkStart w:id="230" w:name="_Toc296346669"/>
      <w:bookmarkStart w:id="231" w:name="_Toc297123528"/>
      <w:r>
        <w:rPr>
          <w:rFonts w:ascii="Times New Roman" w:hAnsi="Times New Roman" w:eastAsia="宋体"/>
          <w:sz w:val="21"/>
        </w:rPr>
        <w:t>.4.1发包人供应的材料设备的保管费用的承担：</w:t>
      </w:r>
      <w:r>
        <w:rPr>
          <w:rFonts w:hint="eastAsia" w:ascii="Times New Roman" w:hAnsi="Times New Roman" w:eastAsia="宋体"/>
          <w:i/>
          <w:sz w:val="21"/>
          <w:u w:val="single"/>
        </w:rPr>
        <w:t>承包人在投标报价时综合考虑，并已包含在合同价内，不再另行计取</w:t>
      </w:r>
      <w:r>
        <w:rPr>
          <w:rFonts w:hint="eastAsia" w:ascii="Times New Roman" w:hAnsi="Times New Roman" w:eastAsia="宋体"/>
          <w:sz w:val="21"/>
        </w:rPr>
        <w:t>。</w:t>
      </w:r>
      <w:bookmarkEnd w:id="214"/>
      <w:bookmarkEnd w:id="215"/>
    </w:p>
    <w:p w14:paraId="49B3E229">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8.6 样品</w:t>
      </w:r>
    </w:p>
    <w:p w14:paraId="044EFF6F">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8.6.1</w:t>
      </w:r>
      <w:r>
        <w:rPr>
          <w:rFonts w:ascii="Times New Roman" w:hAnsi="Times New Roman" w:eastAsia="宋体"/>
          <w:sz w:val="21"/>
        </w:rPr>
        <w:tab/>
      </w:r>
      <w:r>
        <w:rPr>
          <w:rFonts w:ascii="Times New Roman" w:hAnsi="Times New Roman" w:eastAsia="宋体"/>
          <w:sz w:val="21"/>
        </w:rPr>
        <w:t>样品的报送</w:t>
      </w:r>
      <w:r>
        <w:rPr>
          <w:rFonts w:hint="eastAsia" w:ascii="Times New Roman" w:hAnsi="Times New Roman" w:eastAsia="宋体"/>
          <w:sz w:val="21"/>
        </w:rPr>
        <w:t>与封存</w:t>
      </w:r>
    </w:p>
    <w:p w14:paraId="301E3CED">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需要承包人报送样品的材料或工程设备，样品的种类、名称、规格、数量要求：</w:t>
      </w:r>
      <w:r>
        <w:rPr>
          <w:rFonts w:hint="eastAsia" w:ascii="Times New Roman" w:hAnsi="Times New Roman" w:eastAsia="宋体"/>
          <w:sz w:val="21"/>
          <w:u w:val="single"/>
        </w:rPr>
        <w:t xml:space="preserve">         </w:t>
      </w:r>
      <w:r>
        <w:rPr>
          <w:rFonts w:ascii="Times New Roman" w:hAnsi="Times New Roman" w:eastAsia="宋体"/>
          <w:sz w:val="21"/>
        </w:rPr>
        <w:t>。</w:t>
      </w:r>
    </w:p>
    <w:p w14:paraId="06ECA635">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8.8 施工设备和临时设施</w:t>
      </w:r>
    </w:p>
    <w:p w14:paraId="786BC3F5">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8.8.1 承包人提供的施工设备和临时设施</w:t>
      </w:r>
    </w:p>
    <w:p w14:paraId="78D69403">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关于修建临时设施费用承担的约定：</w:t>
      </w:r>
      <w:r>
        <w:rPr>
          <w:rFonts w:hint="eastAsia" w:ascii="Times New Roman" w:hAnsi="Times New Roman" w:eastAsia="宋体"/>
          <w:sz w:val="21"/>
          <w:u w:val="single"/>
        </w:rPr>
        <w:t>由承包人承担</w:t>
      </w:r>
      <w:r>
        <w:rPr>
          <w:rFonts w:ascii="Times New Roman" w:hAnsi="Times New Roman" w:eastAsia="宋体"/>
          <w:sz w:val="21"/>
        </w:rPr>
        <w:t>。</w:t>
      </w:r>
    </w:p>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p w14:paraId="0BD1FD53">
      <w:pPr>
        <w:adjustRightInd w:val="0"/>
        <w:snapToGrid w:val="0"/>
        <w:spacing w:line="360" w:lineRule="exact"/>
        <w:ind w:firstLine="422" w:firstLineChars="200"/>
        <w:rPr>
          <w:rFonts w:ascii="Times New Roman" w:hAnsi="Times New Roman" w:eastAsia="宋体"/>
          <w:b/>
          <w:sz w:val="21"/>
        </w:rPr>
      </w:pPr>
      <w:bookmarkStart w:id="232" w:name="_Toc351203641"/>
      <w:r>
        <w:rPr>
          <w:rFonts w:ascii="Times New Roman" w:hAnsi="Times New Roman" w:eastAsia="宋体"/>
          <w:b/>
          <w:sz w:val="21"/>
        </w:rPr>
        <w:t>9</w:t>
      </w:r>
      <w:bookmarkStart w:id="233" w:name="_Toc297216192"/>
      <w:bookmarkStart w:id="234" w:name="_Toc300934982"/>
      <w:bookmarkStart w:id="235" w:name="_Toc312678021"/>
      <w:bookmarkStart w:id="236" w:name="_Toc312677495"/>
      <w:bookmarkStart w:id="237" w:name="_Toc304295559"/>
      <w:bookmarkStart w:id="238" w:name="_Toc297123533"/>
      <w:bookmarkStart w:id="239" w:name="_Toc303539139"/>
      <w:r>
        <w:rPr>
          <w:rFonts w:ascii="Times New Roman" w:hAnsi="Times New Roman" w:eastAsia="宋体"/>
          <w:b/>
          <w:sz w:val="21"/>
        </w:rPr>
        <w:t>. 试验与检验</w:t>
      </w:r>
      <w:bookmarkEnd w:id="232"/>
    </w:p>
    <w:bookmarkEnd w:id="233"/>
    <w:bookmarkEnd w:id="234"/>
    <w:bookmarkEnd w:id="235"/>
    <w:bookmarkEnd w:id="236"/>
    <w:bookmarkEnd w:id="237"/>
    <w:bookmarkEnd w:id="238"/>
    <w:bookmarkEnd w:id="239"/>
    <w:p w14:paraId="26CDD298">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9</w:t>
      </w:r>
      <w:bookmarkStart w:id="240" w:name="_Toc297123534"/>
      <w:bookmarkStart w:id="241" w:name="_Toc303539140"/>
      <w:bookmarkStart w:id="242" w:name="_Toc297216193"/>
      <w:bookmarkStart w:id="243" w:name="_Toc304295560"/>
      <w:bookmarkStart w:id="244" w:name="_Toc312677496"/>
      <w:bookmarkStart w:id="245" w:name="_Toc300934983"/>
      <w:bookmarkStart w:id="246" w:name="_Toc312678022"/>
      <w:r>
        <w:rPr>
          <w:rFonts w:ascii="Times New Roman" w:hAnsi="Times New Roman" w:eastAsia="宋体"/>
          <w:sz w:val="21"/>
        </w:rPr>
        <w:t>.1试验设备与试验人员</w:t>
      </w:r>
    </w:p>
    <w:bookmarkEnd w:id="240"/>
    <w:bookmarkEnd w:id="241"/>
    <w:bookmarkEnd w:id="242"/>
    <w:bookmarkEnd w:id="243"/>
    <w:bookmarkEnd w:id="244"/>
    <w:bookmarkEnd w:id="245"/>
    <w:bookmarkEnd w:id="246"/>
    <w:p w14:paraId="696CBAFD">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9</w:t>
      </w:r>
      <w:bookmarkStart w:id="247" w:name="_Toc304295561"/>
      <w:bookmarkStart w:id="248" w:name="_Toc297123535"/>
      <w:bookmarkStart w:id="249" w:name="_Toc300934984"/>
      <w:bookmarkStart w:id="250" w:name="_Toc303539141"/>
      <w:bookmarkStart w:id="251" w:name="_Toc297216194"/>
      <w:bookmarkStart w:id="252" w:name="_Toc312678023"/>
      <w:bookmarkStart w:id="253" w:name="_Toc312677497"/>
      <w:bookmarkStart w:id="254" w:name="_Toc318581174"/>
      <w:r>
        <w:rPr>
          <w:rFonts w:ascii="Times New Roman" w:hAnsi="Times New Roman" w:eastAsia="宋体"/>
          <w:sz w:val="21"/>
        </w:rPr>
        <w:t>.1.2 试验设备</w:t>
      </w:r>
    </w:p>
    <w:p w14:paraId="1D7DDACA">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施工现场需要配置的试验场所：</w:t>
      </w:r>
      <w:bookmarkEnd w:id="247"/>
      <w:bookmarkEnd w:id="248"/>
      <w:bookmarkEnd w:id="249"/>
      <w:bookmarkEnd w:id="250"/>
      <w:bookmarkEnd w:id="251"/>
      <w:bookmarkEnd w:id="252"/>
      <w:bookmarkEnd w:id="253"/>
      <w:bookmarkStart w:id="255" w:name="_Toc297216195"/>
      <w:bookmarkStart w:id="256" w:name="_Toc300934985"/>
      <w:bookmarkStart w:id="257" w:name="_Toc312678024"/>
      <w:bookmarkStart w:id="258" w:name="_Toc312677498"/>
      <w:bookmarkStart w:id="259" w:name="_Toc297123536"/>
      <w:bookmarkStart w:id="260" w:name="_Toc304295562"/>
      <w:bookmarkStart w:id="261" w:name="_Toc303539142"/>
      <w:r>
        <w:rPr>
          <w:rFonts w:ascii="Times New Roman" w:hAnsi="Times New Roman" w:eastAsia="宋体"/>
          <w:sz w:val="21"/>
          <w:u w:val="single"/>
        </w:rPr>
        <w:t xml:space="preserve">   </w:t>
      </w:r>
      <w:r>
        <w:rPr>
          <w:rFonts w:hint="eastAsia" w:ascii="Times New Roman" w:hAnsi="Times New Roman" w:eastAsia="宋体"/>
          <w:sz w:val="21"/>
          <w:szCs w:val="21"/>
          <w:u w:val="single"/>
        </w:rPr>
        <w:t>按规范及（当地）建设行政主管部门要求配置</w:t>
      </w:r>
      <w:r>
        <w:rPr>
          <w:rFonts w:ascii="Times New Roman" w:hAnsi="Times New Roman" w:eastAsia="宋体"/>
          <w:sz w:val="21"/>
          <w:u w:val="single"/>
        </w:rPr>
        <w:t xml:space="preserve">  </w:t>
      </w:r>
      <w:r>
        <w:rPr>
          <w:rFonts w:ascii="Times New Roman" w:hAnsi="Times New Roman" w:eastAsia="宋体"/>
          <w:sz w:val="21"/>
        </w:rPr>
        <w:t>。</w:t>
      </w:r>
      <w:r>
        <w:rPr>
          <w:rFonts w:hint="eastAsia" w:ascii="Times New Roman" w:hAnsi="Times New Roman" w:eastAsia="宋体"/>
          <w:sz w:val="21"/>
        </w:rPr>
        <w:t xml:space="preserve"> </w:t>
      </w:r>
    </w:p>
    <w:p w14:paraId="6AB72CE9">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施工现场需要配备的试验设备：</w:t>
      </w:r>
      <w:r>
        <w:rPr>
          <w:rFonts w:ascii="Times New Roman" w:hAnsi="Times New Roman" w:eastAsia="宋体"/>
          <w:sz w:val="21"/>
          <w:u w:val="single"/>
        </w:rPr>
        <w:t xml:space="preserve">  </w:t>
      </w:r>
      <w:r>
        <w:rPr>
          <w:rFonts w:hint="eastAsia" w:ascii="Times New Roman" w:hAnsi="Times New Roman" w:eastAsia="宋体"/>
          <w:sz w:val="21"/>
          <w:szCs w:val="21"/>
          <w:u w:val="single"/>
        </w:rPr>
        <w:t>按规范及（当地）建设行政主管部门要求配置</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rPr>
        <w:t>。</w:t>
      </w:r>
    </w:p>
    <w:p w14:paraId="29C67153">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施工现场需要具备的其他试验条件：</w:t>
      </w:r>
      <w:r>
        <w:rPr>
          <w:rFonts w:ascii="Times New Roman" w:hAnsi="Times New Roman" w:eastAsia="宋体"/>
          <w:sz w:val="21"/>
          <w:u w:val="single"/>
        </w:rPr>
        <w:t xml:space="preserve"> </w:t>
      </w:r>
      <w:r>
        <w:rPr>
          <w:rFonts w:hint="eastAsia" w:ascii="Times New Roman" w:hAnsi="Times New Roman" w:eastAsia="宋体"/>
          <w:sz w:val="21"/>
          <w:szCs w:val="21"/>
          <w:u w:val="single"/>
        </w:rPr>
        <w:t>按规范及（当地）建设行政主管部门要求配置</w:t>
      </w:r>
      <w:r>
        <w:rPr>
          <w:rFonts w:ascii="Times New Roman" w:hAnsi="Times New Roman" w:eastAsia="宋体"/>
          <w:sz w:val="21"/>
          <w:u w:val="single"/>
        </w:rPr>
        <w:t xml:space="preserve"> </w:t>
      </w:r>
      <w:r>
        <w:rPr>
          <w:rFonts w:ascii="Times New Roman" w:hAnsi="Times New Roman" w:eastAsia="宋体"/>
          <w:sz w:val="21"/>
        </w:rPr>
        <w:t>。</w:t>
      </w:r>
    </w:p>
    <w:p w14:paraId="433F902C">
      <w:pPr>
        <w:adjustRightInd w:val="0"/>
        <w:snapToGrid w:val="0"/>
        <w:spacing w:line="360" w:lineRule="exact"/>
        <w:ind w:firstLine="420" w:firstLineChars="200"/>
        <w:rPr>
          <w:rFonts w:ascii="Times New Roman" w:hAnsi="Times New Roman" w:eastAsia="宋体"/>
          <w:sz w:val="21"/>
        </w:rPr>
      </w:pPr>
      <w:r>
        <w:rPr>
          <w:rFonts w:hint="eastAsia" w:ascii="Times New Roman" w:hAnsi="Times New Roman" w:eastAsia="宋体"/>
          <w:sz w:val="21"/>
        </w:rPr>
        <w:t>9.3 材料、工程设备和工程的试验和检验</w:t>
      </w:r>
    </w:p>
    <w:p w14:paraId="7EAF26FB">
      <w:pPr>
        <w:adjustRightInd w:val="0"/>
        <w:snapToGrid w:val="0"/>
        <w:spacing w:line="360" w:lineRule="exact"/>
        <w:ind w:firstLine="420" w:firstLineChars="200"/>
        <w:rPr>
          <w:sz w:val="21"/>
          <w:szCs w:val="21"/>
          <w:u w:val="single"/>
        </w:rPr>
      </w:pPr>
      <w:r>
        <w:rPr>
          <w:rFonts w:hint="eastAsia" w:ascii="仿宋_GB2312" w:hAnsi="Times New Roman" w:eastAsia="宋体"/>
          <w:sz w:val="21"/>
          <w:szCs w:val="21"/>
        </w:rPr>
        <w:t>材料、设备和工程的试验和检验的费用：</w:t>
      </w:r>
      <w:r>
        <w:rPr>
          <w:rFonts w:hint="eastAsia"/>
          <w:sz w:val="21"/>
          <w:szCs w:val="21"/>
          <w:u w:val="single"/>
        </w:rPr>
        <w:t>（1）材料、设备和工程的试验按《建设工程质量管理条例》、《房屋建筑工程和市政基础设施工程实行见证取样和送检的规定》、《浙江省房屋建筑和市政基础设施工程质量检测管理实施办法》等及工程所在地有关工程质量检测的规定实施。</w:t>
      </w:r>
    </w:p>
    <w:p w14:paraId="147398A8">
      <w:pPr>
        <w:adjustRightInd w:val="0"/>
        <w:snapToGrid w:val="0"/>
        <w:spacing w:line="360" w:lineRule="exact"/>
        <w:ind w:firstLine="420" w:firstLineChars="200"/>
        <w:rPr>
          <w:sz w:val="21"/>
          <w:szCs w:val="21"/>
          <w:u w:val="single"/>
        </w:rPr>
      </w:pPr>
      <w:r>
        <w:rPr>
          <w:rFonts w:hint="eastAsia"/>
          <w:sz w:val="21"/>
          <w:szCs w:val="21"/>
          <w:u w:val="single"/>
        </w:rPr>
        <w:t>（2）对建筑材料、构件和建筑安装物进行一般鉴定、检查所发生的费用，包括建设工程质量见证取样检测费、建筑施工企业配合检测及自设试验室进行试验所耗用的材料和化学药品等费用由承包人承担；专项检测试验费、新结构、新材料、构件破坏性试验及其他特殊要求检测试验等检测试验费由发包人承担。</w:t>
      </w:r>
    </w:p>
    <w:p w14:paraId="0C5DAA93">
      <w:pPr>
        <w:adjustRightInd w:val="0"/>
        <w:snapToGrid w:val="0"/>
        <w:spacing w:line="360" w:lineRule="exact"/>
        <w:ind w:firstLine="420" w:firstLineChars="200"/>
        <w:rPr>
          <w:sz w:val="21"/>
          <w:szCs w:val="21"/>
          <w:u w:val="single"/>
        </w:rPr>
      </w:pPr>
      <w:r>
        <w:rPr>
          <w:rFonts w:hint="eastAsia"/>
          <w:sz w:val="21"/>
          <w:szCs w:val="21"/>
          <w:u w:val="single"/>
        </w:rPr>
        <w:t>（3）当发包人或监理人指示承包人为核实本工程某一部分或某种材料设备是否有缺陷时，承包人应按要求进行检（试）验。如果该检（试）验表明确有缺陷存在，则检（试）验和试样的费用，发包人供应材料设备的，由发包人承担；承包人采购材料设备的，由承包人承担。如果该检（试）验表明没有缺陷，则由发包人承担检（试）验和试样的费用。</w:t>
      </w:r>
    </w:p>
    <w:p w14:paraId="4DFB067E">
      <w:pPr>
        <w:adjustRightInd w:val="0"/>
        <w:snapToGrid w:val="0"/>
        <w:spacing w:line="360" w:lineRule="exact"/>
        <w:ind w:firstLine="420" w:firstLineChars="200"/>
        <w:rPr>
          <w:rFonts w:ascii="Times New Roman" w:hAnsi="Times New Roman" w:eastAsia="宋体"/>
          <w:sz w:val="21"/>
          <w:szCs w:val="21"/>
          <w:u w:val="single"/>
        </w:rPr>
      </w:pPr>
      <w:r>
        <w:rPr>
          <w:rFonts w:hint="eastAsia"/>
          <w:sz w:val="21"/>
          <w:szCs w:val="21"/>
          <w:u w:val="single"/>
        </w:rPr>
        <w:t>（4）当质量安全管理机构根据规范，要求发包人与承包人开展本工程某一部分质量实体或某项材料设备质量抽检，如地基基础工程检测、主体结构工程现场实体检测、建筑节能检验、空气检测等专项检测需要时，发包人与承包人应配合，按要求进行检（试）验，检测、恢复费用由发包人承担。如检测不合格，则由承包人承担本次及重新检测、恢复费用。</w:t>
      </w:r>
    </w:p>
    <w:p w14:paraId="1B79149F">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9.4 现场工艺试验</w:t>
      </w:r>
      <w:r>
        <w:rPr>
          <w:rFonts w:hint="eastAsia" w:ascii="Times New Roman" w:hAnsi="Times New Roman" w:eastAsia="宋体"/>
          <w:sz w:val="21"/>
        </w:rPr>
        <w:t xml:space="preserve"> </w:t>
      </w:r>
    </w:p>
    <w:p w14:paraId="530B74E5">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现场工艺试验的有关约定：</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ascii="Times New Roman" w:hAnsi="Times New Roman" w:eastAsia="宋体"/>
          <w:sz w:val="21"/>
        </w:rPr>
        <w:t>。</w:t>
      </w:r>
    </w:p>
    <w:bookmarkEnd w:id="254"/>
    <w:bookmarkEnd w:id="255"/>
    <w:bookmarkEnd w:id="256"/>
    <w:bookmarkEnd w:id="257"/>
    <w:bookmarkEnd w:id="258"/>
    <w:bookmarkEnd w:id="259"/>
    <w:bookmarkEnd w:id="260"/>
    <w:bookmarkEnd w:id="261"/>
    <w:p w14:paraId="75692481">
      <w:pPr>
        <w:adjustRightInd w:val="0"/>
        <w:snapToGrid w:val="0"/>
        <w:spacing w:line="360" w:lineRule="exact"/>
        <w:ind w:firstLine="422" w:firstLineChars="200"/>
        <w:rPr>
          <w:rFonts w:ascii="Times New Roman" w:hAnsi="Times New Roman" w:eastAsia="宋体"/>
          <w:b/>
          <w:sz w:val="21"/>
        </w:rPr>
      </w:pPr>
      <w:bookmarkStart w:id="262" w:name="_Toc351203642"/>
      <w:r>
        <w:rPr>
          <w:rFonts w:ascii="Times New Roman" w:hAnsi="Times New Roman" w:eastAsia="宋体"/>
          <w:b/>
          <w:sz w:val="21"/>
        </w:rPr>
        <w:t>1</w:t>
      </w:r>
      <w:bookmarkStart w:id="263" w:name="_Toc297120493"/>
      <w:bookmarkStart w:id="264" w:name="_Toc292559398"/>
      <w:bookmarkStart w:id="265" w:name="_Toc297123540"/>
      <w:bookmarkStart w:id="266" w:name="_Toc296346694"/>
      <w:bookmarkStart w:id="267" w:name="_Toc300934989"/>
      <w:bookmarkStart w:id="268" w:name="_Toc297048379"/>
      <w:bookmarkStart w:id="269" w:name="_Toc296347192"/>
      <w:bookmarkStart w:id="270" w:name="_Toc303539146"/>
      <w:bookmarkStart w:id="271" w:name="_Toc296891233"/>
      <w:bookmarkStart w:id="272" w:name="_Toc296891021"/>
      <w:bookmarkStart w:id="273" w:name="_Toc304295566"/>
      <w:bookmarkStart w:id="274" w:name="_Toc297216199"/>
      <w:bookmarkStart w:id="275" w:name="_Toc296944532"/>
      <w:bookmarkStart w:id="276" w:name="_Toc292559903"/>
      <w:bookmarkStart w:id="277" w:name="_Toc296503193"/>
      <w:bookmarkStart w:id="278" w:name="_Toc312677499"/>
      <w:bookmarkStart w:id="279" w:name="_Toc312678025"/>
      <w:r>
        <w:rPr>
          <w:rFonts w:ascii="Times New Roman" w:hAnsi="Times New Roman" w:eastAsia="宋体"/>
          <w:b/>
          <w:sz w:val="21"/>
        </w:rPr>
        <w:t>0. 变更</w:t>
      </w:r>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p>
    <w:bookmarkEnd w:id="278"/>
    <w:bookmarkEnd w:id="279"/>
    <w:p w14:paraId="7B862542">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1</w:t>
      </w:r>
      <w:bookmarkStart w:id="280" w:name="_Toc296891022"/>
      <w:bookmarkStart w:id="281" w:name="_Toc296944533"/>
      <w:bookmarkStart w:id="282" w:name="_Toc296346695"/>
      <w:bookmarkStart w:id="283" w:name="_Toc296503194"/>
      <w:bookmarkStart w:id="284" w:name="_Toc312678026"/>
      <w:bookmarkStart w:id="285" w:name="_Toc296891234"/>
      <w:bookmarkStart w:id="286" w:name="_Toc304295567"/>
      <w:bookmarkStart w:id="287" w:name="_Toc303539147"/>
      <w:bookmarkStart w:id="288" w:name="_Toc297123541"/>
      <w:bookmarkStart w:id="289" w:name="_Toc296347193"/>
      <w:bookmarkStart w:id="290" w:name="_Toc292559399"/>
      <w:bookmarkStart w:id="291" w:name="_Toc300934990"/>
      <w:bookmarkStart w:id="292" w:name="_Toc292559904"/>
      <w:bookmarkStart w:id="293" w:name="_Toc312677500"/>
      <w:bookmarkStart w:id="294" w:name="_Toc297048380"/>
      <w:bookmarkStart w:id="295" w:name="_Toc297216200"/>
      <w:bookmarkStart w:id="296" w:name="_Toc297120494"/>
      <w:r>
        <w:rPr>
          <w:rFonts w:ascii="Times New Roman" w:hAnsi="Times New Roman" w:eastAsia="宋体"/>
          <w:sz w:val="21"/>
        </w:rPr>
        <w:t>0.1变更的范围</w:t>
      </w:r>
    </w:p>
    <w:p w14:paraId="41BD7C55">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关于变更的范围的约定：</w:t>
      </w:r>
      <w:r>
        <w:rPr>
          <w:rFonts w:hint="eastAsia" w:ascii="Times New Roman" w:hAnsi="Times New Roman" w:eastAsia="宋体"/>
          <w:sz w:val="21"/>
          <w:u w:val="single"/>
        </w:rPr>
        <w:t>按合同通用条款</w:t>
      </w:r>
      <w:r>
        <w:rPr>
          <w:rFonts w:ascii="Times New Roman" w:hAnsi="Times New Roman" w:eastAsia="宋体"/>
          <w:sz w:val="21"/>
          <w:u w:val="single"/>
        </w:rPr>
        <w:t>。</w:t>
      </w:r>
      <w:r>
        <w:rPr>
          <w:rFonts w:hint="eastAsia" w:ascii="Times New Roman" w:hAnsi="Times New Roman" w:eastAsia="宋体"/>
          <w:sz w:val="21"/>
          <w:u w:val="single"/>
        </w:rPr>
        <w:t>工程变更引起工程量的减少或增加，承包人不得因此拒绝施工</w:t>
      </w:r>
      <w:r>
        <w:rPr>
          <w:rFonts w:ascii="Times New Roman" w:hAnsi="Times New Roman" w:eastAsia="宋体"/>
          <w:sz w:val="21"/>
        </w:rPr>
        <w:t>。</w:t>
      </w:r>
    </w:p>
    <w:p w14:paraId="262D27E6">
      <w:pPr>
        <w:widowControl/>
        <w:adjustRightInd w:val="0"/>
        <w:snapToGrid w:val="0"/>
        <w:spacing w:line="360" w:lineRule="exact"/>
        <w:ind w:firstLine="420" w:firstLineChars="200"/>
        <w:rPr>
          <w:rFonts w:ascii="Times New Roman" w:hAnsi="Times New Roman" w:eastAsia="宋体"/>
          <w:sz w:val="21"/>
          <w:u w:val="single"/>
        </w:rPr>
      </w:pPr>
      <w:r>
        <w:rPr>
          <w:rFonts w:hint="eastAsia" w:ascii="宋体" w:hAnsi="宋体"/>
          <w:sz w:val="21"/>
          <w:szCs w:val="21"/>
          <w:u w:val="single"/>
        </w:rPr>
        <w:t>项目实施过程中的工程变更，按照仙居县人民政府仙居县人民政府关于印发《仙居县政府投资项目工程变更管理办法》的通知（仙政发〔2022〕8号）</w:t>
      </w:r>
      <w:r>
        <w:rPr>
          <w:rFonts w:hint="eastAsia" w:ascii="宋体" w:hAnsi="宋体" w:eastAsiaTheme="minorEastAsia"/>
          <w:sz w:val="21"/>
          <w:szCs w:val="21"/>
          <w:u w:val="single"/>
        </w:rPr>
        <w:t>执行，</w:t>
      </w:r>
      <w:r>
        <w:rPr>
          <w:rFonts w:hint="eastAsia" w:ascii="宋体" w:hAnsi="宋体" w:eastAsia="宋体"/>
          <w:sz w:val="21"/>
          <w:szCs w:val="21"/>
          <w:u w:val="single"/>
        </w:rPr>
        <w:t>如有变化的，按相关部门要求执行。</w:t>
      </w:r>
    </w:p>
    <w:p w14:paraId="4FBB4078">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10.4 变更估价</w:t>
      </w:r>
    </w:p>
    <w:p w14:paraId="1C682B93">
      <w:pPr>
        <w:adjustRightInd w:val="0"/>
        <w:snapToGrid w:val="0"/>
        <w:spacing w:line="360" w:lineRule="exact"/>
        <w:ind w:firstLine="420" w:firstLineChars="200"/>
        <w:rPr>
          <w:rFonts w:ascii="Times New Roman" w:hAnsi="Times New Roman" w:eastAsia="宋体"/>
          <w:sz w:val="21"/>
        </w:rPr>
      </w:pPr>
      <w:r>
        <w:rPr>
          <w:rFonts w:hint="eastAsia" w:ascii="Times New Roman" w:hAnsi="Times New Roman" w:eastAsia="宋体"/>
          <w:sz w:val="21"/>
        </w:rPr>
        <w:t>10.4.1 变更估价原则</w:t>
      </w:r>
    </w:p>
    <w:p w14:paraId="62824077">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 xml:space="preserve">关于变更估价的约定: </w:t>
      </w:r>
    </w:p>
    <w:p w14:paraId="00DF86F1">
      <w:pPr>
        <w:spacing w:line="360" w:lineRule="exact"/>
        <w:ind w:firstLine="315" w:firstLineChars="150"/>
        <w:rPr>
          <w:rFonts w:ascii="仿宋_GB2312" w:hAnsi="Times New Roman" w:eastAsia="宋体"/>
          <w:sz w:val="21"/>
          <w:szCs w:val="21"/>
          <w:u w:val="single"/>
        </w:rPr>
      </w:pPr>
      <w:r>
        <w:rPr>
          <w:rFonts w:hint="eastAsia" w:ascii="Times New Roman" w:hAnsi="Times New Roman" w:eastAsia="宋体"/>
          <w:sz w:val="21"/>
          <w:szCs w:val="21"/>
          <w:u w:val="single"/>
        </w:rPr>
        <w:t>（</w:t>
      </w:r>
      <w:r>
        <w:rPr>
          <w:rFonts w:ascii="Times New Roman" w:hAnsi="Times New Roman" w:eastAsia="宋体"/>
          <w:sz w:val="21"/>
          <w:szCs w:val="21"/>
          <w:u w:val="single"/>
        </w:rPr>
        <w:t>1</w:t>
      </w:r>
      <w:r>
        <w:rPr>
          <w:rFonts w:hint="eastAsia" w:ascii="仿宋_GB2312" w:hAnsi="Times New Roman" w:eastAsia="宋体"/>
          <w:sz w:val="21"/>
          <w:szCs w:val="21"/>
          <w:u w:val="single"/>
        </w:rPr>
        <w:t>）变更后项目与已标价工程量清单有相同项目的，按照相同项目综合单价确定。如该综合单价异常，则</w:t>
      </w:r>
      <w:r>
        <w:rPr>
          <w:rFonts w:hint="eastAsia" w:ascii="Times New Roman" w:hAnsi="Times New Roman" w:eastAsia="宋体"/>
          <w:sz w:val="21"/>
          <w:szCs w:val="21"/>
          <w:u w:val="single"/>
        </w:rPr>
        <w:t>投标清单中</w:t>
      </w:r>
      <w:r>
        <w:rPr>
          <w:rFonts w:hint="eastAsia" w:ascii="仿宋_GB2312" w:hAnsi="宋体" w:eastAsia="宋体"/>
          <w:sz w:val="21"/>
          <w:szCs w:val="21"/>
          <w:u w:val="single"/>
        </w:rPr>
        <w:t>合价金额占签约合同价2%及以上的分部分项清单项目，其工程量增加超过本项目工程数量15%及以上时；或</w:t>
      </w:r>
      <w:r>
        <w:rPr>
          <w:rFonts w:hint="eastAsia" w:ascii="Times New Roman" w:hAnsi="Times New Roman" w:eastAsia="宋体"/>
          <w:sz w:val="21"/>
          <w:szCs w:val="21"/>
          <w:u w:val="single"/>
        </w:rPr>
        <w:t>投标清单中</w:t>
      </w:r>
      <w:r>
        <w:rPr>
          <w:rFonts w:hint="eastAsia" w:ascii="仿宋_GB2312" w:hAnsi="宋体" w:eastAsia="宋体"/>
          <w:sz w:val="21"/>
          <w:szCs w:val="21"/>
          <w:u w:val="single"/>
        </w:rPr>
        <w:t>合价金额占签约合同价不到2%的分部分项清单项目，但其工程量增加超过本项目工程数量25%及以上时，</w:t>
      </w:r>
      <w:r>
        <w:rPr>
          <w:rFonts w:hint="eastAsia" w:ascii="Times New Roman" w:hAnsi="Times New Roman" w:eastAsia="宋体"/>
          <w:sz w:val="21"/>
          <w:szCs w:val="21"/>
          <w:u w:val="single"/>
        </w:rPr>
        <w:t>该分部分项清单超过约定幅度外部分工程量的综合单价按</w:t>
      </w:r>
      <w:r>
        <w:rPr>
          <w:rFonts w:hint="eastAsia" w:ascii="仿宋_GB2312" w:hAnsi="Times New Roman" w:eastAsia="宋体"/>
          <w:sz w:val="21"/>
          <w:szCs w:val="21"/>
          <w:u w:val="single"/>
        </w:rPr>
        <w:t>专用条款</w:t>
      </w:r>
      <w:r>
        <w:rPr>
          <w:rFonts w:ascii="仿宋_GB2312" w:hAnsi="宋体" w:eastAsia="宋体"/>
          <w:sz w:val="21"/>
          <w:szCs w:val="21"/>
          <w:u w:val="single"/>
        </w:rPr>
        <w:t>10.4.1</w:t>
      </w:r>
      <w:r>
        <w:rPr>
          <w:rFonts w:hint="eastAsia" w:ascii="仿宋_GB2312" w:hAnsi="宋体" w:eastAsia="宋体"/>
          <w:sz w:val="21"/>
          <w:szCs w:val="21"/>
          <w:u w:val="single"/>
        </w:rPr>
        <w:t>（2）</w:t>
      </w:r>
      <w:r>
        <w:rPr>
          <w:rFonts w:hint="eastAsia" w:ascii="仿宋_GB2312" w:hAnsi="Times New Roman" w:eastAsia="宋体"/>
          <w:sz w:val="21"/>
          <w:szCs w:val="21"/>
          <w:u w:val="single"/>
        </w:rPr>
        <w:t>（3）条约定调整。</w:t>
      </w:r>
    </w:p>
    <w:p w14:paraId="2C680D14">
      <w:pPr>
        <w:spacing w:line="360" w:lineRule="exact"/>
        <w:ind w:firstLine="420" w:firstLineChars="200"/>
        <w:rPr>
          <w:rFonts w:ascii="Times New Roman" w:hAnsi="Times New Roman" w:eastAsia="宋体"/>
          <w:sz w:val="21"/>
          <w:szCs w:val="21"/>
          <w:u w:val="single"/>
        </w:rPr>
      </w:pPr>
      <w:r>
        <w:rPr>
          <w:rFonts w:hint="eastAsia" w:ascii="宋体" w:hAnsi="宋体" w:cs="宋体"/>
          <w:sz w:val="21"/>
          <w:szCs w:val="21"/>
          <w:u w:val="single"/>
        </w:rPr>
        <w:t>综合单价异常是指：投标综合单价与按专用合同条款21.2条中计价依据计算的综合单价偏差±30%以上。</w:t>
      </w:r>
    </w:p>
    <w:p w14:paraId="43A83683">
      <w:pPr>
        <w:spacing w:line="360" w:lineRule="exact"/>
        <w:ind w:firstLine="210" w:firstLineChars="100"/>
        <w:rPr>
          <w:rFonts w:ascii="仿宋_GB2312" w:hAnsi="宋体" w:eastAsia="宋体"/>
          <w:sz w:val="21"/>
          <w:szCs w:val="21"/>
          <w:u w:val="single"/>
        </w:rPr>
      </w:pPr>
      <w:r>
        <w:rPr>
          <w:rFonts w:hint="eastAsia" w:ascii="仿宋_GB2312" w:hAnsi="宋体" w:eastAsia="宋体"/>
          <w:sz w:val="21"/>
          <w:szCs w:val="21"/>
          <w:u w:val="single"/>
        </w:rPr>
        <w:t>（2）</w:t>
      </w:r>
      <w:r>
        <w:rPr>
          <w:rFonts w:hint="eastAsia" w:ascii="仿宋_GB2312" w:hAnsi="Times New Roman" w:eastAsia="宋体"/>
          <w:sz w:val="21"/>
          <w:szCs w:val="21"/>
          <w:u w:val="single"/>
        </w:rPr>
        <w:t>变更后项目与</w:t>
      </w:r>
      <w:r>
        <w:rPr>
          <w:rFonts w:hint="eastAsia" w:ascii="仿宋_GB2312" w:hAnsi="宋体" w:eastAsia="宋体"/>
          <w:sz w:val="21"/>
          <w:szCs w:val="21"/>
          <w:u w:val="single"/>
        </w:rPr>
        <w:t>已标价工程量清单中没有适用的综合单价，但有类似的工程项目综合单价，承包人可参照类似工程项目综合单价计算，并报发包人确定。</w:t>
      </w:r>
    </w:p>
    <w:p w14:paraId="21FD76D2">
      <w:pPr>
        <w:numPr>
          <w:ilvl w:val="0"/>
          <w:numId w:val="5"/>
        </w:numPr>
        <w:spacing w:line="360" w:lineRule="exact"/>
        <w:ind w:firstLine="336" w:firstLineChars="160"/>
        <w:rPr>
          <w:rFonts w:ascii="仿宋_GB2312" w:hAnsi="宋体" w:eastAsia="宋体"/>
          <w:sz w:val="21"/>
          <w:szCs w:val="21"/>
          <w:u w:val="single"/>
        </w:rPr>
      </w:pPr>
      <w:r>
        <w:rPr>
          <w:rFonts w:hint="eastAsia" w:ascii="仿宋_GB2312" w:hAnsi="宋体" w:eastAsia="宋体"/>
          <w:sz w:val="21"/>
          <w:szCs w:val="21"/>
          <w:u w:val="single"/>
        </w:rPr>
        <w:t>某种材料（或半成品及成品）等级、标准变化的，清单组合子目不变，仅调整不同的材料市场价格之差；</w:t>
      </w:r>
    </w:p>
    <w:p w14:paraId="27117D4E">
      <w:pPr>
        <w:numPr>
          <w:ilvl w:val="0"/>
          <w:numId w:val="5"/>
        </w:numPr>
        <w:spacing w:line="360" w:lineRule="exact"/>
        <w:ind w:firstLine="420"/>
        <w:rPr>
          <w:rFonts w:ascii="仿宋_GB2312" w:hAnsi="宋体" w:eastAsia="宋体"/>
          <w:sz w:val="21"/>
          <w:szCs w:val="21"/>
          <w:u w:val="single"/>
        </w:rPr>
      </w:pPr>
      <w:r>
        <w:rPr>
          <w:rFonts w:hint="eastAsia" w:ascii="仿宋_GB2312" w:hAnsi="宋体" w:eastAsia="宋体"/>
          <w:sz w:val="21"/>
          <w:szCs w:val="21"/>
          <w:u w:val="single"/>
        </w:rPr>
        <w:t>清单项目组合内容中某一个（或多个）定额子目发生变化，不影响其他特征及工程内容价格的，仅调整发生变化的定额子目价格。</w:t>
      </w:r>
    </w:p>
    <w:p w14:paraId="5EE71DCF">
      <w:pPr>
        <w:autoSpaceDE w:val="0"/>
        <w:autoSpaceDN w:val="0"/>
        <w:adjustRightInd w:val="0"/>
        <w:snapToGrid w:val="0"/>
        <w:spacing w:line="360" w:lineRule="exact"/>
        <w:ind w:firstLine="420"/>
        <w:rPr>
          <w:rFonts w:ascii="Times New Roman" w:hAnsi="Times New Roman" w:eastAsia="宋体"/>
          <w:sz w:val="21"/>
          <w:szCs w:val="21"/>
          <w:u w:val="single"/>
        </w:rPr>
      </w:pPr>
      <w:r>
        <w:rPr>
          <w:rFonts w:hint="eastAsia" w:ascii="仿宋_GB2312" w:hAnsi="宋体" w:eastAsia="宋体"/>
          <w:sz w:val="21"/>
          <w:szCs w:val="21"/>
          <w:u w:val="single"/>
        </w:rPr>
        <w:t>c、如该类似工程项目的综合单价异常，则按</w:t>
      </w:r>
      <w:r>
        <w:rPr>
          <w:rFonts w:hint="eastAsia" w:ascii="仿宋_GB2312" w:hAnsi="Times New Roman" w:eastAsia="宋体"/>
          <w:sz w:val="21"/>
          <w:szCs w:val="21"/>
          <w:u w:val="single"/>
        </w:rPr>
        <w:t>专用条款</w:t>
      </w:r>
      <w:r>
        <w:rPr>
          <w:rFonts w:hint="eastAsia" w:ascii="仿宋_GB2312" w:hAnsi="宋体" w:eastAsia="宋体"/>
          <w:sz w:val="21"/>
          <w:szCs w:val="21"/>
          <w:u w:val="single"/>
        </w:rPr>
        <w:t>10.4.1（3）款重新计算综合单价。</w:t>
      </w:r>
    </w:p>
    <w:p w14:paraId="2957CAB7">
      <w:pPr>
        <w:adjustRightInd w:val="0"/>
        <w:snapToGrid w:val="0"/>
        <w:spacing w:line="360" w:lineRule="exact"/>
        <w:ind w:firstLine="420"/>
        <w:rPr>
          <w:rFonts w:ascii="仿宋_GB2312" w:hAnsi="Times New Roman" w:eastAsia="宋体"/>
          <w:sz w:val="21"/>
          <w:szCs w:val="21"/>
          <w:u w:val="single"/>
        </w:rPr>
      </w:pPr>
      <w:r>
        <w:rPr>
          <w:rFonts w:hint="eastAsia" w:ascii="仿宋_GB2312" w:hAnsi="Times New Roman" w:eastAsia="宋体"/>
          <w:sz w:val="21"/>
          <w:szCs w:val="21"/>
          <w:u w:val="single"/>
        </w:rPr>
        <w:t>（3）变更后项目与已标价工程量清单没有适用的综合单价，由承包人按招标控制价编制依据计算综合单价，乘以投标总报价与招标控制价下降幅度（即结算综合单价=按招标控制价编制依据计算的综合单价×投标总报价/招标控制价）编制变更项目的综合单价，报发包人审核后确定。但确定的综合单价，合同中约定的人工、材料、机械可调整的内容，仍按合同约定调整。</w:t>
      </w:r>
    </w:p>
    <w:p w14:paraId="35A07F85">
      <w:pPr>
        <w:adjustRightInd w:val="0"/>
        <w:snapToGrid w:val="0"/>
        <w:spacing w:line="360" w:lineRule="exact"/>
        <w:ind w:firstLine="420"/>
        <w:rPr>
          <w:rFonts w:ascii="Times New Roman" w:hAnsi="Times New Roman" w:eastAsia="宋体"/>
          <w:sz w:val="21"/>
          <w:u w:val="single"/>
        </w:rPr>
      </w:pPr>
      <w:r>
        <w:rPr>
          <w:rFonts w:hint="eastAsia" w:ascii="仿宋_GB2312" w:hAnsi="宋体" w:eastAsia="宋体"/>
          <w:sz w:val="21"/>
          <w:szCs w:val="21"/>
          <w:u w:val="single"/>
        </w:rPr>
        <w:t>如按以上编制依据缺项的内容，承包人应通过市场调查等手段提出单价，并报发包人确定后执行。</w:t>
      </w:r>
    </w:p>
    <w:p w14:paraId="44F42396">
      <w:pPr>
        <w:adjustRightInd w:val="0"/>
        <w:snapToGrid w:val="0"/>
        <w:spacing w:line="360" w:lineRule="exact"/>
        <w:ind w:firstLine="420" w:firstLineChars="200"/>
        <w:rPr>
          <w:rFonts w:ascii="Times New Roman" w:hAnsi="Times New Roman" w:eastAsia="宋体"/>
          <w:sz w:val="21"/>
        </w:rPr>
      </w:pPr>
      <w:r>
        <w:rPr>
          <w:rFonts w:hint="eastAsia" w:ascii="Times New Roman" w:hAnsi="Times New Roman" w:eastAsia="宋体"/>
          <w:sz w:val="21"/>
        </w:rPr>
        <w:t>10.4.2 变更估价程序</w:t>
      </w:r>
    </w:p>
    <w:p w14:paraId="584850D3">
      <w:pPr>
        <w:spacing w:line="360" w:lineRule="exact"/>
        <w:ind w:firstLine="420" w:firstLineChars="200"/>
        <w:rPr>
          <w:rFonts w:ascii="仿宋_GB2312" w:hAnsi="Times New Roman" w:eastAsia="宋体"/>
          <w:sz w:val="21"/>
          <w:szCs w:val="21"/>
          <w:u w:val="single"/>
        </w:rPr>
      </w:pPr>
      <w:r>
        <w:rPr>
          <w:rFonts w:hint="eastAsia" w:ascii="仿宋_GB2312" w:hAnsi="Times New Roman" w:eastAsia="宋体"/>
          <w:sz w:val="21"/>
          <w:szCs w:val="21"/>
          <w:u w:val="single"/>
        </w:rPr>
        <w:t>承包人收到发包人、监理人、设计单位的变更指示后</w:t>
      </w:r>
      <w:r>
        <w:rPr>
          <w:rFonts w:ascii="Times New Roman" w:hAnsi="Times New Roman" w:eastAsia="宋体"/>
          <w:sz w:val="21"/>
          <w:szCs w:val="21"/>
          <w:u w:val="single"/>
        </w:rPr>
        <w:t>14</w:t>
      </w:r>
      <w:r>
        <w:rPr>
          <w:rFonts w:hint="eastAsia" w:ascii="仿宋_GB2312" w:hAnsi="Times New Roman" w:eastAsia="宋体"/>
          <w:sz w:val="21"/>
          <w:szCs w:val="21"/>
          <w:u w:val="single"/>
        </w:rPr>
        <w:t>天内向发包人提交变更估价申请。</w:t>
      </w:r>
    </w:p>
    <w:p w14:paraId="48E22EBD">
      <w:pPr>
        <w:spacing w:line="360" w:lineRule="exact"/>
        <w:ind w:firstLine="420" w:firstLineChars="200"/>
        <w:rPr>
          <w:rFonts w:ascii="仿宋_GB2312" w:hAnsi="Times New Roman" w:eastAsia="宋体"/>
          <w:sz w:val="21"/>
          <w:szCs w:val="21"/>
          <w:u w:val="single"/>
        </w:rPr>
      </w:pPr>
      <w:r>
        <w:rPr>
          <w:rFonts w:hint="eastAsia" w:ascii="仿宋_GB2312" w:hAnsi="Times New Roman" w:eastAsia="宋体"/>
          <w:sz w:val="21"/>
          <w:szCs w:val="21"/>
          <w:u w:val="single"/>
        </w:rPr>
        <w:t>承包人提出工程变更、施工方案调整等变更应同时提交变更估价申请。</w:t>
      </w:r>
    </w:p>
    <w:p w14:paraId="12E953D3">
      <w:pPr>
        <w:adjustRightInd w:val="0"/>
        <w:snapToGrid w:val="0"/>
        <w:spacing w:line="360" w:lineRule="exact"/>
        <w:ind w:firstLine="420" w:firstLineChars="200"/>
        <w:rPr>
          <w:rFonts w:ascii="Times New Roman" w:hAnsi="Times New Roman" w:eastAsia="宋体"/>
          <w:sz w:val="21"/>
          <w:u w:val="single"/>
        </w:rPr>
      </w:pPr>
      <w:r>
        <w:rPr>
          <w:rFonts w:hint="eastAsia" w:ascii="仿宋_GB2312" w:hAnsi="Times New Roman" w:eastAsia="宋体"/>
          <w:sz w:val="21"/>
          <w:szCs w:val="21"/>
          <w:u w:val="single"/>
        </w:rPr>
        <w:t>承包人提交的变更估价申请，发包人应予以签收，并在14天内审批完毕。</w:t>
      </w:r>
    </w:p>
    <w:p w14:paraId="4933E286">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1</w:t>
      </w:r>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Start w:id="297" w:name="_Toc296944536"/>
      <w:bookmarkStart w:id="298" w:name="_Toc297120497"/>
      <w:bookmarkStart w:id="299" w:name="_Toc296891237"/>
      <w:bookmarkStart w:id="300" w:name="_Toc296347196"/>
      <w:bookmarkStart w:id="301" w:name="_Toc292559402"/>
      <w:bookmarkStart w:id="302" w:name="_Toc297123544"/>
      <w:bookmarkStart w:id="303" w:name="_Toc296891025"/>
      <w:bookmarkStart w:id="304" w:name="_Toc297216203"/>
      <w:bookmarkStart w:id="305" w:name="_Toc300934993"/>
      <w:bookmarkStart w:id="306" w:name="_Toc292559907"/>
      <w:bookmarkStart w:id="307" w:name="_Toc303539150"/>
      <w:bookmarkStart w:id="308" w:name="_Toc296503197"/>
      <w:bookmarkStart w:id="309" w:name="_Toc297048383"/>
      <w:bookmarkStart w:id="310" w:name="_Toc296346698"/>
      <w:bookmarkStart w:id="311" w:name="_Toc304295570"/>
      <w:bookmarkStart w:id="312" w:name="_Toc312677503"/>
      <w:bookmarkStart w:id="313" w:name="_Toc312678029"/>
      <w:r>
        <w:rPr>
          <w:rFonts w:ascii="Times New Roman" w:hAnsi="Times New Roman" w:eastAsia="宋体"/>
          <w:sz w:val="21"/>
        </w:rPr>
        <w:t>0.5承</w:t>
      </w:r>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Start w:id="314" w:name="_Toc297123545"/>
      <w:bookmarkStart w:id="315" w:name="_Toc296347202"/>
      <w:bookmarkStart w:id="316" w:name="_Toc297120503"/>
      <w:bookmarkStart w:id="317" w:name="_Toc296346704"/>
      <w:bookmarkStart w:id="318" w:name="_Toc296944542"/>
      <w:bookmarkStart w:id="319" w:name="_Toc296503203"/>
      <w:bookmarkStart w:id="320" w:name="_Toc303539151"/>
      <w:bookmarkStart w:id="321" w:name="_Toc296891031"/>
      <w:bookmarkStart w:id="322" w:name="_Toc300934994"/>
      <w:bookmarkStart w:id="323" w:name="_Toc297048389"/>
      <w:bookmarkStart w:id="324" w:name="_Toc292559408"/>
      <w:bookmarkStart w:id="325" w:name="_Toc292559913"/>
      <w:bookmarkStart w:id="326" w:name="_Toc296891243"/>
      <w:bookmarkStart w:id="327" w:name="_Toc297216204"/>
      <w:r>
        <w:rPr>
          <w:rFonts w:ascii="Times New Roman" w:hAnsi="Times New Roman" w:eastAsia="宋体"/>
          <w:sz w:val="21"/>
        </w:rPr>
        <w:t>包人的合理化建议</w:t>
      </w:r>
    </w:p>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p w14:paraId="49D13D2A">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监理人审查承包人合理化建议的期限：</w:t>
      </w:r>
      <w:r>
        <w:rPr>
          <w:rFonts w:hint="eastAsia" w:ascii="Times New Roman" w:hAnsi="Times New Roman" w:eastAsia="宋体"/>
          <w:sz w:val="21"/>
          <w:u w:val="single"/>
        </w:rPr>
        <w:t>按通用条款执行</w:t>
      </w:r>
      <w:r>
        <w:rPr>
          <w:rFonts w:ascii="Times New Roman" w:hAnsi="Times New Roman" w:eastAsia="宋体"/>
          <w:sz w:val="21"/>
        </w:rPr>
        <w:t>。</w:t>
      </w:r>
    </w:p>
    <w:p w14:paraId="2FA065F9">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发包人审批承包人合理化建议的期限：</w:t>
      </w:r>
      <w:r>
        <w:rPr>
          <w:rFonts w:hint="eastAsia" w:ascii="Times New Roman" w:hAnsi="Times New Roman" w:eastAsia="宋体"/>
          <w:sz w:val="21"/>
          <w:u w:val="single"/>
        </w:rPr>
        <w:t>按通用条款执行</w:t>
      </w:r>
      <w:r>
        <w:rPr>
          <w:rFonts w:ascii="Times New Roman" w:hAnsi="Times New Roman" w:eastAsia="宋体"/>
          <w:sz w:val="21"/>
        </w:rPr>
        <w:t>。</w:t>
      </w:r>
    </w:p>
    <w:p w14:paraId="06284994">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承</w:t>
      </w:r>
      <w:bookmarkStart w:id="328" w:name="_Toc300934995"/>
      <w:bookmarkStart w:id="329" w:name="_Toc312677504"/>
      <w:bookmarkStart w:id="330" w:name="_Toc296891244"/>
      <w:bookmarkStart w:id="331" w:name="_Toc296944543"/>
      <w:bookmarkStart w:id="332" w:name="_Toc297048390"/>
      <w:bookmarkStart w:id="333" w:name="_Toc292559914"/>
      <w:bookmarkStart w:id="334" w:name="_Toc297123546"/>
      <w:bookmarkStart w:id="335" w:name="_Toc303539152"/>
      <w:bookmarkStart w:id="336" w:name="_Toc296346705"/>
      <w:bookmarkStart w:id="337" w:name="_Toc318581175"/>
      <w:bookmarkStart w:id="338" w:name="_Toc297120504"/>
      <w:bookmarkStart w:id="339" w:name="_Toc297216205"/>
      <w:bookmarkStart w:id="340" w:name="_Toc292559409"/>
      <w:bookmarkStart w:id="341" w:name="_Toc312678030"/>
      <w:bookmarkStart w:id="342" w:name="_Toc296503204"/>
      <w:bookmarkStart w:id="343" w:name="_Toc296891032"/>
      <w:bookmarkStart w:id="344" w:name="_Toc296347203"/>
      <w:bookmarkStart w:id="345" w:name="_Toc304295571"/>
      <w:r>
        <w:rPr>
          <w:rFonts w:ascii="Times New Roman" w:hAnsi="Times New Roman" w:eastAsia="宋体"/>
          <w:sz w:val="21"/>
        </w:rPr>
        <w:t>包人提出的合理化建议降低了合同价格或者提高了工程经济效益的奖励的方法和金额为：</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ascii="Times New Roman" w:hAnsi="Times New Roman" w:eastAsia="宋体"/>
          <w:sz w:val="21"/>
        </w:rPr>
        <w:t>。</w:t>
      </w:r>
    </w:p>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p w14:paraId="10A88FCF">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1</w:t>
      </w:r>
      <w:bookmarkStart w:id="346" w:name="_Toc296891027"/>
      <w:bookmarkStart w:id="347" w:name="_Toc297216207"/>
      <w:bookmarkStart w:id="348" w:name="_Toc296503199"/>
      <w:bookmarkStart w:id="349" w:name="_Toc296891239"/>
      <w:bookmarkStart w:id="350" w:name="_Toc296944538"/>
      <w:bookmarkStart w:id="351" w:name="_Toc297120499"/>
      <w:bookmarkStart w:id="352" w:name="_Toc296347198"/>
      <w:bookmarkStart w:id="353" w:name="_Toc304295574"/>
      <w:bookmarkStart w:id="354" w:name="_Toc312678033"/>
      <w:bookmarkStart w:id="355" w:name="_Toc296346700"/>
      <w:bookmarkStart w:id="356" w:name="_Toc297123548"/>
      <w:bookmarkStart w:id="357" w:name="_Toc292559909"/>
      <w:bookmarkStart w:id="358" w:name="_Toc303539154"/>
      <w:bookmarkStart w:id="359" w:name="_Toc300934997"/>
      <w:bookmarkStart w:id="360" w:name="_Toc312677507"/>
      <w:bookmarkStart w:id="361" w:name="_Toc297048385"/>
      <w:bookmarkStart w:id="362" w:name="_Toc292559404"/>
      <w:r>
        <w:rPr>
          <w:rFonts w:ascii="Times New Roman" w:hAnsi="Times New Roman" w:eastAsia="宋体"/>
          <w:sz w:val="21"/>
        </w:rPr>
        <w:t>0.7 暂估价</w:t>
      </w:r>
    </w:p>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p w14:paraId="6764D916">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暂</w:t>
      </w:r>
      <w:bookmarkStart w:id="363" w:name="_Toc312677508"/>
      <w:bookmarkStart w:id="364" w:name="_Toc312678034"/>
      <w:bookmarkStart w:id="365" w:name="_Toc318581176"/>
      <w:r>
        <w:rPr>
          <w:rFonts w:ascii="Times New Roman" w:hAnsi="Times New Roman" w:eastAsia="宋体"/>
          <w:sz w:val="21"/>
        </w:rPr>
        <w:t>估价材料和工程设备的明细详见附件</w:t>
      </w:r>
      <w:r>
        <w:rPr>
          <w:rFonts w:hint="eastAsia" w:ascii="Times New Roman" w:hAnsi="Times New Roman" w:eastAsia="宋体"/>
          <w:sz w:val="21"/>
        </w:rPr>
        <w:t>11：《</w:t>
      </w:r>
      <w:r>
        <w:rPr>
          <w:rFonts w:ascii="Times New Roman" w:hAnsi="Times New Roman" w:eastAsia="宋体"/>
          <w:sz w:val="21"/>
        </w:rPr>
        <w:t>暂估价一览表</w:t>
      </w:r>
      <w:r>
        <w:rPr>
          <w:rFonts w:hint="eastAsia" w:ascii="Times New Roman" w:hAnsi="Times New Roman" w:eastAsia="宋体"/>
          <w:sz w:val="21"/>
        </w:rPr>
        <w:t>》。</w:t>
      </w:r>
    </w:p>
    <w:bookmarkEnd w:id="363"/>
    <w:bookmarkEnd w:id="364"/>
    <w:bookmarkEnd w:id="365"/>
    <w:p w14:paraId="1EBE80F4">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1</w:t>
      </w:r>
      <w:bookmarkStart w:id="366" w:name="_Toc312678035"/>
      <w:bookmarkStart w:id="367" w:name="_Toc318581177"/>
      <w:bookmarkStart w:id="368" w:name="_Toc312677509"/>
      <w:r>
        <w:rPr>
          <w:rFonts w:ascii="Times New Roman" w:hAnsi="Times New Roman" w:eastAsia="宋体"/>
          <w:sz w:val="21"/>
        </w:rPr>
        <w:t>0.7.1 依法必须招标的暂估价项目</w:t>
      </w:r>
    </w:p>
    <w:bookmarkEnd w:id="366"/>
    <w:bookmarkEnd w:id="367"/>
    <w:bookmarkEnd w:id="368"/>
    <w:p w14:paraId="46D533B5">
      <w:pPr>
        <w:adjustRightInd w:val="0"/>
        <w:snapToGrid w:val="0"/>
        <w:spacing w:line="360" w:lineRule="exact"/>
        <w:ind w:firstLine="420" w:firstLineChars="200"/>
        <w:rPr>
          <w:rFonts w:ascii="Times New Roman" w:hAnsi="Times New Roman" w:eastAsia="宋体"/>
          <w:sz w:val="21"/>
          <w:u w:val="single"/>
        </w:rPr>
      </w:pPr>
      <w:r>
        <w:rPr>
          <w:rFonts w:hint="eastAsia" w:ascii="仿宋_GB2312" w:hAnsi="宋体" w:eastAsia="宋体"/>
          <w:sz w:val="21"/>
          <w:szCs w:val="21"/>
          <w:u w:val="single"/>
        </w:rPr>
        <w:t>无承包价（暂定价）的单项材料、设备、专业分包工程估算价在</w:t>
      </w:r>
      <w:r>
        <w:rPr>
          <w:rFonts w:ascii="Times New Roman" w:hAnsi="Times New Roman" w:eastAsia="宋体"/>
          <w:sz w:val="21"/>
          <w:szCs w:val="21"/>
          <w:u w:val="single"/>
        </w:rPr>
        <w:t>30</w:t>
      </w:r>
      <w:r>
        <w:rPr>
          <w:rFonts w:hint="eastAsia" w:ascii="仿宋_GB2312" w:hAnsi="宋体" w:eastAsia="宋体"/>
          <w:sz w:val="21"/>
          <w:szCs w:val="21"/>
          <w:u w:val="single"/>
        </w:rPr>
        <w:t>万元以上的（指可以向同一家供应商采购的同类材料总价），须由发、承包双方通过公开招标确定价格、供应商或分包人。承包人应按照施工进度计划，在招标工作启动前</w:t>
      </w:r>
      <w:r>
        <w:rPr>
          <w:rFonts w:ascii="Times New Roman" w:hAnsi="Times New Roman" w:eastAsia="宋体"/>
          <w:sz w:val="21"/>
          <w:szCs w:val="21"/>
          <w:u w:val="single"/>
        </w:rPr>
        <w:t>28</w:t>
      </w:r>
      <w:r>
        <w:rPr>
          <w:rFonts w:hint="eastAsia" w:ascii="仿宋_GB2312" w:hAnsi="宋体" w:eastAsia="宋体"/>
          <w:sz w:val="21"/>
          <w:szCs w:val="21"/>
          <w:u w:val="single"/>
        </w:rPr>
        <w:t>天通知发包人，并提交暂估价招标方案和工作分工，招标工作接受有管辖权的建设工程招投标监督部门的监督。与组织招标工作有关的费用由发包人承担。</w:t>
      </w:r>
    </w:p>
    <w:p w14:paraId="57C3EC06">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10.7.2 不属于依法必须招标的暂估价项目</w:t>
      </w:r>
      <w:r>
        <w:rPr>
          <w:rFonts w:hint="eastAsia" w:ascii="Times New Roman" w:hAnsi="Times New Roman" w:eastAsia="宋体"/>
          <w:sz w:val="21"/>
        </w:rPr>
        <w:t>：</w:t>
      </w:r>
      <w:r>
        <w:rPr>
          <w:rFonts w:hint="eastAsia" w:ascii="Times New Roman" w:hAnsi="Times New Roman" w:eastAsia="宋体"/>
          <w:sz w:val="21"/>
          <w:u w:val="single"/>
        </w:rPr>
        <w:t>按合同通用条款</w:t>
      </w:r>
      <w:r>
        <w:rPr>
          <w:rFonts w:hint="eastAsia" w:ascii="Times New Roman" w:hAnsi="Times New Roman" w:eastAsia="宋体"/>
          <w:sz w:val="21"/>
        </w:rPr>
        <w:t>。</w:t>
      </w:r>
    </w:p>
    <w:p w14:paraId="2E331C85">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第3种方式：承包人直接实施的暂估价项目</w:t>
      </w:r>
    </w:p>
    <w:p w14:paraId="6ADBE574">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承包人直接实施的暂估价项目的约定：</w:t>
      </w:r>
      <w:r>
        <w:rPr>
          <w:rFonts w:hint="eastAsia" w:ascii="Times New Roman" w:hAnsi="Times New Roman" w:eastAsia="宋体"/>
          <w:sz w:val="21"/>
          <w:u w:val="single"/>
        </w:rPr>
        <w:t xml:space="preserve">    /  </w:t>
      </w:r>
      <w:r>
        <w:rPr>
          <w:rFonts w:ascii="Times New Roman" w:hAnsi="Times New Roman" w:eastAsia="宋体"/>
          <w:sz w:val="21"/>
        </w:rPr>
        <w:t>。</w:t>
      </w:r>
    </w:p>
    <w:p w14:paraId="2F5A1486">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10.8 暂列金额</w:t>
      </w:r>
    </w:p>
    <w:p w14:paraId="6CEF4396">
      <w:pPr>
        <w:autoSpaceDE w:val="0"/>
        <w:autoSpaceDN w:val="0"/>
        <w:adjustRightInd w:val="0"/>
        <w:spacing w:line="360" w:lineRule="exact"/>
        <w:ind w:firstLine="420" w:firstLineChars="200"/>
        <w:rPr>
          <w:rFonts w:ascii="Times New Roman" w:hAnsi="Times New Roman" w:eastAsia="宋体"/>
          <w:kern w:val="0"/>
          <w:sz w:val="21"/>
          <w:szCs w:val="21"/>
        </w:rPr>
      </w:pPr>
      <w:r>
        <w:rPr>
          <w:rFonts w:hint="eastAsia" w:ascii="Times New Roman" w:hAnsi="Times New Roman" w:eastAsia="宋体"/>
          <w:kern w:val="0"/>
          <w:sz w:val="21"/>
          <w:szCs w:val="21"/>
        </w:rPr>
        <w:t>合同当事人关于暂列金额使用的约定：</w:t>
      </w:r>
      <w:r>
        <w:rPr>
          <w:rFonts w:ascii="Times New Roman" w:hAnsi="Times New Roman" w:eastAsia="宋体"/>
          <w:sz w:val="21"/>
          <w:szCs w:val="21"/>
          <w:u w:val="single"/>
        </w:rPr>
        <w:t xml:space="preserve">  / </w:t>
      </w:r>
      <w:r>
        <w:rPr>
          <w:rFonts w:hint="eastAsia" w:ascii="Times New Roman" w:hAnsi="Times New Roman" w:eastAsia="宋体"/>
          <w:sz w:val="21"/>
          <w:szCs w:val="21"/>
          <w:u w:val="single"/>
        </w:rPr>
        <w:t xml:space="preserve">    </w:t>
      </w:r>
      <w:r>
        <w:rPr>
          <w:rFonts w:hint="eastAsia" w:ascii="Times New Roman" w:hAnsi="Times New Roman" w:eastAsia="宋体"/>
          <w:kern w:val="0"/>
          <w:sz w:val="21"/>
          <w:szCs w:val="21"/>
        </w:rPr>
        <w:t>。</w:t>
      </w:r>
    </w:p>
    <w:p w14:paraId="231E0AD7">
      <w:pPr>
        <w:adjustRightInd w:val="0"/>
        <w:snapToGrid w:val="0"/>
        <w:spacing w:line="360" w:lineRule="exact"/>
        <w:ind w:firstLine="422" w:firstLineChars="200"/>
        <w:rPr>
          <w:rFonts w:ascii="Times New Roman" w:hAnsi="Times New Roman" w:eastAsia="宋体"/>
          <w:b/>
          <w:sz w:val="21"/>
        </w:rPr>
      </w:pPr>
      <w:bookmarkStart w:id="369" w:name="_Toc351203643"/>
      <w:r>
        <w:rPr>
          <w:rFonts w:ascii="Times New Roman" w:hAnsi="Times New Roman" w:eastAsia="宋体"/>
          <w:b/>
          <w:sz w:val="21"/>
        </w:rPr>
        <w:t>11. 价格调整</w:t>
      </w:r>
      <w:bookmarkEnd w:id="369"/>
    </w:p>
    <w:p w14:paraId="2391E415">
      <w:pPr>
        <w:adjustRightInd w:val="0"/>
        <w:snapToGrid w:val="0"/>
        <w:spacing w:line="360" w:lineRule="exact"/>
        <w:ind w:firstLine="420" w:firstLineChars="200"/>
        <w:rPr>
          <w:rFonts w:ascii="Times New Roman" w:hAnsi="Times New Roman" w:eastAsia="宋体"/>
          <w:sz w:val="21"/>
        </w:rPr>
      </w:pPr>
      <w:bookmarkStart w:id="370" w:name="_Toc296891241"/>
      <w:bookmarkStart w:id="371" w:name="_Toc292559911"/>
      <w:bookmarkStart w:id="372" w:name="_Toc297216209"/>
      <w:bookmarkStart w:id="373" w:name="_Toc303539157"/>
      <w:bookmarkStart w:id="374" w:name="_Toc296944540"/>
      <w:bookmarkStart w:id="375" w:name="_Toc300935000"/>
      <w:bookmarkStart w:id="376" w:name="_Toc292559406"/>
      <w:bookmarkStart w:id="377" w:name="_Toc296503201"/>
      <w:bookmarkStart w:id="378" w:name="_Toc297120501"/>
      <w:bookmarkStart w:id="379" w:name="_Toc304295577"/>
      <w:bookmarkStart w:id="380" w:name="_Toc296347200"/>
      <w:bookmarkStart w:id="381" w:name="_Toc296346702"/>
      <w:bookmarkStart w:id="382" w:name="_Toc312678039"/>
      <w:bookmarkStart w:id="383" w:name="_Toc297048387"/>
      <w:bookmarkStart w:id="384" w:name="_Toc296891029"/>
      <w:bookmarkStart w:id="385" w:name="_Toc297123550"/>
      <w:r>
        <w:rPr>
          <w:rFonts w:ascii="Times New Roman" w:hAnsi="Times New Roman" w:eastAsia="宋体"/>
          <w:sz w:val="21"/>
        </w:rPr>
        <w:t>11.1 市场价格波动引起的调整</w:t>
      </w:r>
    </w:p>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p w14:paraId="559D3030">
      <w:pPr>
        <w:adjustRightInd w:val="0"/>
        <w:snapToGrid w:val="0"/>
        <w:spacing w:line="360" w:lineRule="exact"/>
        <w:ind w:firstLine="420" w:firstLineChars="200"/>
        <w:rPr>
          <w:rFonts w:ascii="Times New Roman" w:hAnsi="Times New Roman" w:eastAsia="宋体"/>
          <w:i/>
          <w:sz w:val="21"/>
          <w:u w:val="single"/>
        </w:rPr>
      </w:pPr>
      <w:bookmarkStart w:id="386" w:name="_Toc300935002"/>
      <w:bookmarkStart w:id="387" w:name="_Toc304295579"/>
      <w:bookmarkStart w:id="388" w:name="_Toc296346706"/>
      <w:bookmarkStart w:id="389" w:name="_Toc297120505"/>
      <w:bookmarkStart w:id="390" w:name="_Toc296944544"/>
      <w:bookmarkStart w:id="391" w:name="_Toc296503205"/>
      <w:bookmarkStart w:id="392" w:name="_Toc296891033"/>
      <w:bookmarkStart w:id="393" w:name="_Toc296891245"/>
      <w:bookmarkStart w:id="394" w:name="_Toc297216211"/>
      <w:bookmarkStart w:id="395" w:name="_Toc351203644"/>
      <w:bookmarkStart w:id="396" w:name="_Toc303539159"/>
      <w:bookmarkStart w:id="397" w:name="_Toc292559915"/>
      <w:bookmarkStart w:id="398" w:name="_Toc312678040"/>
      <w:bookmarkStart w:id="399" w:name="_Toc296347204"/>
      <w:bookmarkStart w:id="400" w:name="_Toc297123552"/>
      <w:bookmarkStart w:id="401" w:name="_Toc297048391"/>
      <w:bookmarkStart w:id="402" w:name="_Toc292559410"/>
      <w:r>
        <w:rPr>
          <w:rFonts w:ascii="Times New Roman" w:hAnsi="Times New Roman" w:eastAsia="宋体"/>
          <w:sz w:val="21"/>
        </w:rPr>
        <w:t>市场价格波动是否调整合同价格的约定：</w:t>
      </w:r>
      <w:r>
        <w:rPr>
          <w:rFonts w:hint="eastAsia" w:ascii="Times New Roman" w:hAnsi="Times New Roman" w:eastAsia="宋体"/>
          <w:i/>
          <w:sz w:val="21"/>
          <w:u w:val="single"/>
        </w:rPr>
        <w:t>不作调整。</w:t>
      </w:r>
    </w:p>
    <w:p w14:paraId="3D8F0161">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因市场价格波动调整合同价格，采用以下第</w:t>
      </w:r>
      <w:r>
        <w:rPr>
          <w:rFonts w:ascii="Times New Roman" w:hAnsi="Times New Roman" w:eastAsia="宋体"/>
          <w:sz w:val="21"/>
          <w:u w:val="single"/>
        </w:rPr>
        <w:t xml:space="preserve">  </w:t>
      </w:r>
      <w:r>
        <w:rPr>
          <w:rFonts w:hint="eastAsia" w:ascii="Times New Roman" w:hAnsi="Times New Roman" w:eastAsia="宋体"/>
          <w:sz w:val="21"/>
          <w:u w:val="single"/>
        </w:rPr>
        <w:t>3　</w:t>
      </w:r>
      <w:r>
        <w:rPr>
          <w:rFonts w:ascii="Times New Roman" w:hAnsi="Times New Roman" w:eastAsia="宋体"/>
          <w:sz w:val="21"/>
          <w:u w:val="single"/>
        </w:rPr>
        <w:t xml:space="preserve"> </w:t>
      </w:r>
      <w:r>
        <w:rPr>
          <w:rFonts w:ascii="Times New Roman" w:hAnsi="Times New Roman" w:eastAsia="宋体"/>
          <w:sz w:val="21"/>
        </w:rPr>
        <w:t>种方式对合同价格进行调整：</w:t>
      </w:r>
    </w:p>
    <w:p w14:paraId="05D3C82E">
      <w:pPr>
        <w:spacing w:line="360" w:lineRule="exact"/>
        <w:ind w:firstLine="420" w:firstLineChars="200"/>
        <w:rPr>
          <w:rFonts w:ascii="Times New Roman" w:hAnsi="Times New Roman" w:eastAsia="宋体"/>
          <w:sz w:val="21"/>
          <w:szCs w:val="21"/>
        </w:rPr>
      </w:pPr>
      <w:r>
        <w:rPr>
          <w:rFonts w:ascii="Times New Roman" w:hAnsi="Times New Roman" w:eastAsia="宋体"/>
          <w:sz w:val="21"/>
          <w:szCs w:val="21"/>
        </w:rPr>
        <w:t>第1种方式：采用价格指数</w:t>
      </w:r>
      <w:r>
        <w:rPr>
          <w:rFonts w:hint="eastAsia" w:ascii="Times New Roman" w:hAnsi="Times New Roman" w:eastAsia="宋体"/>
          <w:sz w:val="21"/>
          <w:szCs w:val="21"/>
        </w:rPr>
        <w:t>进行价格</w:t>
      </w:r>
      <w:r>
        <w:rPr>
          <w:rFonts w:ascii="Times New Roman" w:hAnsi="Times New Roman" w:eastAsia="宋体"/>
          <w:sz w:val="21"/>
          <w:szCs w:val="21"/>
        </w:rPr>
        <w:t>调整。</w:t>
      </w:r>
    </w:p>
    <w:p w14:paraId="5B175DE7">
      <w:pPr>
        <w:wordWrap w:val="0"/>
        <w:spacing w:line="360" w:lineRule="exact"/>
        <w:ind w:firstLine="420" w:firstLineChars="200"/>
        <w:rPr>
          <w:rFonts w:ascii="Times New Roman" w:hAnsi="Times New Roman" w:eastAsia="宋体"/>
          <w:sz w:val="21"/>
          <w:szCs w:val="21"/>
          <w:u w:val="single"/>
        </w:rPr>
      </w:pPr>
      <w:r>
        <w:rPr>
          <w:rFonts w:ascii="Times New Roman" w:hAnsi="Times New Roman" w:eastAsia="宋体"/>
          <w:sz w:val="21"/>
          <w:szCs w:val="21"/>
        </w:rPr>
        <w:t>关于各可调因子、定值和变值权重，以及基本价格指数及其来源的约定：</w:t>
      </w:r>
      <w:r>
        <w:rPr>
          <w:rFonts w:ascii="Times New Roman" w:hAnsi="Times New Roman" w:eastAsia="宋体"/>
          <w:sz w:val="21"/>
          <w:szCs w:val="21"/>
          <w:u w:val="single"/>
        </w:rPr>
        <w:t xml:space="preserve">     </w:t>
      </w:r>
      <w:r>
        <w:rPr>
          <w:rFonts w:ascii="Times New Roman" w:hAnsi="Times New Roman" w:eastAsia="宋体"/>
          <w:sz w:val="21"/>
          <w:szCs w:val="21"/>
        </w:rPr>
        <w:t xml:space="preserve">；  </w:t>
      </w:r>
    </w:p>
    <w:p w14:paraId="21570873">
      <w:pPr>
        <w:spacing w:line="360" w:lineRule="exact"/>
        <w:ind w:firstLine="420" w:firstLineChars="200"/>
        <w:rPr>
          <w:rFonts w:ascii="Times New Roman" w:hAnsi="Times New Roman" w:eastAsia="宋体"/>
          <w:sz w:val="21"/>
          <w:szCs w:val="21"/>
        </w:rPr>
      </w:pPr>
      <w:r>
        <w:rPr>
          <w:rFonts w:ascii="Times New Roman" w:hAnsi="Times New Roman" w:eastAsia="宋体"/>
          <w:sz w:val="21"/>
          <w:szCs w:val="21"/>
        </w:rPr>
        <w:t>第2种方式：采用造价信息</w:t>
      </w:r>
      <w:r>
        <w:rPr>
          <w:rFonts w:hint="eastAsia" w:ascii="Times New Roman" w:hAnsi="Times New Roman" w:eastAsia="宋体"/>
          <w:sz w:val="21"/>
          <w:szCs w:val="21"/>
        </w:rPr>
        <w:t>进行价格</w:t>
      </w:r>
      <w:r>
        <w:rPr>
          <w:rFonts w:ascii="Times New Roman" w:hAnsi="Times New Roman" w:eastAsia="宋体"/>
          <w:sz w:val="21"/>
          <w:szCs w:val="21"/>
        </w:rPr>
        <w:t>调整。</w:t>
      </w:r>
    </w:p>
    <w:p w14:paraId="2342E4EE">
      <w:pPr>
        <w:spacing w:line="360" w:lineRule="exact"/>
        <w:ind w:firstLine="447" w:firstLineChars="213"/>
        <w:rPr>
          <w:rFonts w:ascii="Times New Roman" w:hAnsi="Times New Roman" w:eastAsia="宋体"/>
          <w:sz w:val="21"/>
          <w:szCs w:val="21"/>
        </w:rPr>
      </w:pPr>
      <w:r>
        <w:rPr>
          <w:rFonts w:ascii="Times New Roman" w:hAnsi="Times New Roman" w:eastAsia="宋体"/>
          <w:sz w:val="21"/>
          <w:szCs w:val="21"/>
        </w:rPr>
        <w:t>（1）关于基准价格的约定：</w:t>
      </w:r>
      <w:r>
        <w:rPr>
          <w:rFonts w:hint="eastAsia" w:ascii="Times New Roman" w:hAnsi="Times New Roman" w:eastAsia="宋体"/>
          <w:sz w:val="21"/>
          <w:szCs w:val="21"/>
          <w:u w:val="single"/>
        </w:rPr>
        <w:t xml:space="preserve">      /        </w:t>
      </w:r>
      <w:r>
        <w:rPr>
          <w:rFonts w:ascii="Times New Roman" w:hAnsi="Times New Roman" w:eastAsia="宋体"/>
          <w:sz w:val="21"/>
          <w:szCs w:val="21"/>
        </w:rPr>
        <w:t>。</w:t>
      </w:r>
    </w:p>
    <w:p w14:paraId="4433FD2D">
      <w:pPr>
        <w:spacing w:line="360" w:lineRule="exact"/>
        <w:ind w:firstLine="420" w:firstLineChars="200"/>
        <w:rPr>
          <w:rFonts w:ascii="Times New Roman" w:hAnsi="Times New Roman" w:eastAsia="宋体"/>
          <w:sz w:val="21"/>
          <w:szCs w:val="21"/>
        </w:rPr>
      </w:pPr>
      <w:r>
        <w:rPr>
          <w:rFonts w:ascii="Times New Roman" w:hAnsi="Times New Roman" w:eastAsia="宋体"/>
          <w:sz w:val="21"/>
          <w:szCs w:val="21"/>
        </w:rPr>
        <w:t>（2）市场价格约定：</w:t>
      </w:r>
      <w:r>
        <w:rPr>
          <w:rFonts w:hint="eastAsia" w:ascii="Times New Roman" w:hAnsi="Times New Roman" w:eastAsia="宋体"/>
          <w:sz w:val="21"/>
          <w:szCs w:val="21"/>
          <w:u w:val="single"/>
        </w:rPr>
        <w:t xml:space="preserve">       /            。</w:t>
      </w:r>
    </w:p>
    <w:p w14:paraId="73DD3921">
      <w:pPr>
        <w:spacing w:line="360" w:lineRule="exact"/>
        <w:ind w:firstLine="420" w:firstLineChars="200"/>
        <w:rPr>
          <w:rFonts w:ascii="Times New Roman" w:hAnsi="Times New Roman" w:eastAsia="宋体"/>
          <w:sz w:val="21"/>
          <w:szCs w:val="21"/>
        </w:rPr>
      </w:pPr>
      <w:r>
        <w:rPr>
          <w:rFonts w:ascii="Times New Roman" w:hAnsi="Times New Roman" w:eastAsia="宋体"/>
          <w:sz w:val="21"/>
          <w:szCs w:val="21"/>
        </w:rPr>
        <w:t>（3）调整方法</w:t>
      </w:r>
    </w:p>
    <w:p w14:paraId="498F7E78">
      <w:pPr>
        <w:spacing w:line="360" w:lineRule="exact"/>
        <w:ind w:firstLine="420" w:firstLineChars="200"/>
        <w:rPr>
          <w:rFonts w:ascii="Times New Roman" w:hAnsi="Times New Roman" w:eastAsia="宋体"/>
          <w:sz w:val="21"/>
          <w:szCs w:val="21"/>
        </w:rPr>
      </w:pPr>
      <w:r>
        <w:rPr>
          <w:rFonts w:ascii="Times New Roman" w:hAnsi="Times New Roman" w:eastAsia="宋体"/>
          <w:sz w:val="21"/>
          <w:szCs w:val="21"/>
        </w:rPr>
        <w:t>a.当A2</w:t>
      </w:r>
      <w:r>
        <w:rPr>
          <w:rFonts w:hint="eastAsia" w:ascii="仿宋_GB2312" w:hAnsi="Times New Roman" w:eastAsia="宋体"/>
          <w:sz w:val="21"/>
          <w:szCs w:val="21"/>
        </w:rPr>
        <w:t>＞</w:t>
      </w:r>
      <w:r>
        <w:rPr>
          <w:rFonts w:ascii="Times New Roman" w:hAnsi="Times New Roman" w:eastAsia="宋体"/>
          <w:sz w:val="21"/>
          <w:szCs w:val="21"/>
        </w:rPr>
        <w:t>A1时，该材料（人工）结算单价按超出的金额调增，即该材料（人工）结算单价=承包人的投标单价+（A2</w:t>
      </w:r>
      <w:r>
        <w:rPr>
          <w:rFonts w:hint="eastAsia" w:ascii="仿宋_GB2312" w:hAnsi="Times New Roman" w:eastAsia="宋体"/>
          <w:sz w:val="21"/>
          <w:szCs w:val="21"/>
        </w:rPr>
        <w:t>－</w:t>
      </w:r>
      <w:r>
        <w:rPr>
          <w:rFonts w:ascii="Times New Roman" w:hAnsi="Times New Roman" w:eastAsia="宋体"/>
          <w:sz w:val="21"/>
          <w:szCs w:val="21"/>
        </w:rPr>
        <w:t>A1）；</w:t>
      </w:r>
    </w:p>
    <w:p w14:paraId="5CFBE01E">
      <w:pPr>
        <w:spacing w:line="360" w:lineRule="exact"/>
        <w:ind w:firstLine="420" w:firstLineChars="200"/>
        <w:rPr>
          <w:rFonts w:ascii="Times New Roman" w:hAnsi="Times New Roman" w:eastAsia="宋体"/>
          <w:sz w:val="21"/>
          <w:szCs w:val="21"/>
        </w:rPr>
      </w:pPr>
      <w:r>
        <w:rPr>
          <w:rFonts w:ascii="Times New Roman" w:hAnsi="Times New Roman" w:eastAsia="宋体"/>
          <w:sz w:val="21"/>
          <w:szCs w:val="21"/>
        </w:rPr>
        <w:t>b.当A2</w:t>
      </w:r>
      <w:r>
        <w:rPr>
          <w:rFonts w:hint="eastAsia" w:ascii="仿宋_GB2312" w:hAnsi="Times New Roman" w:eastAsia="宋体"/>
          <w:sz w:val="21"/>
          <w:szCs w:val="21"/>
        </w:rPr>
        <w:t>＜</w:t>
      </w:r>
      <w:r>
        <w:rPr>
          <w:rFonts w:ascii="Times New Roman" w:hAnsi="Times New Roman" w:eastAsia="宋体"/>
          <w:sz w:val="21"/>
          <w:szCs w:val="21"/>
        </w:rPr>
        <w:t>A1时，该材料（人工）结算单价按低于的金额调减，即该材料（人工）结算单价=承包人的投标单</w:t>
      </w:r>
      <w:r>
        <w:rPr>
          <w:rFonts w:ascii="仿宋_GB2312" w:hAnsi="Times New Roman" w:eastAsia="宋体"/>
          <w:sz w:val="21"/>
          <w:szCs w:val="21"/>
        </w:rPr>
        <w:t>价</w:t>
      </w:r>
      <w:r>
        <w:rPr>
          <w:rFonts w:hint="eastAsia" w:ascii="仿宋_GB2312" w:hAnsi="Times New Roman" w:eastAsia="宋体"/>
          <w:sz w:val="21"/>
          <w:szCs w:val="21"/>
        </w:rPr>
        <w:t>－</w:t>
      </w:r>
      <w:r>
        <w:rPr>
          <w:rFonts w:ascii="Times New Roman" w:hAnsi="Times New Roman" w:eastAsia="宋体"/>
          <w:sz w:val="21"/>
          <w:szCs w:val="21"/>
        </w:rPr>
        <w:t>（A1</w:t>
      </w:r>
      <w:r>
        <w:rPr>
          <w:rFonts w:hint="eastAsia" w:ascii="仿宋_GB2312" w:hAnsi="Times New Roman" w:eastAsia="宋体"/>
          <w:sz w:val="21"/>
          <w:szCs w:val="21"/>
        </w:rPr>
        <w:t>－</w:t>
      </w:r>
      <w:r>
        <w:rPr>
          <w:rFonts w:ascii="Times New Roman" w:hAnsi="Times New Roman" w:eastAsia="宋体"/>
          <w:sz w:val="21"/>
          <w:szCs w:val="21"/>
        </w:rPr>
        <w:t>A2）；</w:t>
      </w:r>
    </w:p>
    <w:p w14:paraId="7FEFFA6E">
      <w:pPr>
        <w:spacing w:line="360" w:lineRule="exact"/>
        <w:ind w:firstLine="420" w:firstLineChars="200"/>
        <w:rPr>
          <w:rFonts w:ascii="Times New Roman" w:hAnsi="Times New Roman" w:eastAsia="宋体"/>
          <w:sz w:val="21"/>
          <w:szCs w:val="21"/>
          <w:u w:val="single"/>
        </w:rPr>
      </w:pPr>
      <w:r>
        <w:rPr>
          <w:rFonts w:ascii="Times New Roman" w:hAnsi="Times New Roman" w:eastAsia="宋体"/>
          <w:sz w:val="21"/>
          <w:szCs w:val="21"/>
          <w:u w:val="single"/>
        </w:rPr>
        <w:t>c.当A2＝A1时，该材料（人工）结算单价不作调整。</w:t>
      </w:r>
    </w:p>
    <w:p w14:paraId="27C29440">
      <w:pPr>
        <w:spacing w:line="360" w:lineRule="exact"/>
        <w:ind w:firstLine="420" w:firstLineChars="200"/>
        <w:rPr>
          <w:rFonts w:ascii="宋体" w:hAnsi="宋体" w:eastAsia="宋体"/>
          <w:sz w:val="21"/>
          <w:szCs w:val="21"/>
        </w:rPr>
      </w:pPr>
      <w:r>
        <w:rPr>
          <w:rFonts w:ascii="Times New Roman" w:hAnsi="Times New Roman" w:eastAsia="宋体"/>
          <w:sz w:val="21"/>
          <w:szCs w:val="21"/>
        </w:rPr>
        <w:t>第3种方式：其他价格调整方式：</w:t>
      </w:r>
      <w:r>
        <w:rPr>
          <w:rFonts w:ascii="Times New Roman" w:hAnsi="Times New Roman" w:eastAsia="宋体"/>
          <w:sz w:val="21"/>
          <w:szCs w:val="21"/>
          <w:u w:val="single"/>
        </w:rPr>
        <w:t xml:space="preserve">   </w:t>
      </w:r>
      <w:r>
        <w:rPr>
          <w:rFonts w:hint="eastAsia" w:ascii="Times New Roman" w:hAnsi="Times New Roman" w:eastAsia="宋体"/>
          <w:i/>
          <w:sz w:val="21"/>
          <w:szCs w:val="21"/>
          <w:u w:val="single"/>
        </w:rPr>
        <w:t>不作调整</w:t>
      </w:r>
      <w:r>
        <w:rPr>
          <w:rFonts w:ascii="Times New Roman" w:hAnsi="Times New Roman" w:eastAsia="宋体"/>
          <w:sz w:val="21"/>
          <w:szCs w:val="21"/>
          <w:u w:val="single"/>
        </w:rPr>
        <w:t xml:space="preserve">       </w:t>
      </w:r>
      <w:r>
        <w:rPr>
          <w:rFonts w:ascii="Times New Roman" w:hAnsi="Times New Roman" w:eastAsia="宋体"/>
          <w:sz w:val="21"/>
          <w:szCs w:val="21"/>
        </w:rPr>
        <w:t>。</w:t>
      </w:r>
    </w:p>
    <w:p w14:paraId="265DF93E">
      <w:pPr>
        <w:adjustRightInd w:val="0"/>
        <w:snapToGrid w:val="0"/>
        <w:spacing w:line="360" w:lineRule="exact"/>
        <w:ind w:firstLine="420" w:firstLineChars="200"/>
        <w:rPr>
          <w:rFonts w:ascii="Times New Roman" w:hAnsi="Times New Roman" w:eastAsia="宋体"/>
          <w:sz w:val="21"/>
        </w:rPr>
      </w:pPr>
      <w:r>
        <w:rPr>
          <w:rFonts w:hint="eastAsia" w:ascii="Times New Roman" w:hAnsi="Times New Roman" w:eastAsia="宋体"/>
          <w:sz w:val="21"/>
          <w:szCs w:val="21"/>
        </w:rPr>
        <w:t>11.2  法律变化引起的调整 ：</w:t>
      </w:r>
      <w:r>
        <w:rPr>
          <w:rFonts w:hint="eastAsia" w:ascii="Times New Roman" w:hAnsi="Times New Roman" w:eastAsia="宋体"/>
          <w:sz w:val="21"/>
          <w:szCs w:val="21"/>
          <w:u w:val="single"/>
        </w:rPr>
        <w:t xml:space="preserve">  基准日期以后变化由发包人承担，但由承包人原因导致工期延误时的法律变化引起合同价增加的由承包人承担，合同价下降的由发包人受益。</w:t>
      </w:r>
    </w:p>
    <w:p w14:paraId="7EF900E5">
      <w:pPr>
        <w:adjustRightInd w:val="0"/>
        <w:snapToGrid w:val="0"/>
        <w:spacing w:line="360" w:lineRule="exact"/>
        <w:ind w:firstLine="422" w:firstLineChars="200"/>
        <w:rPr>
          <w:rFonts w:ascii="Times New Roman" w:hAnsi="Times New Roman" w:eastAsia="宋体"/>
          <w:b/>
          <w:sz w:val="21"/>
        </w:rPr>
      </w:pPr>
      <w:r>
        <w:rPr>
          <w:rFonts w:ascii="Times New Roman" w:hAnsi="Times New Roman" w:eastAsia="宋体"/>
          <w:b/>
          <w:sz w:val="21"/>
        </w:rPr>
        <w:t>12. 合同价格、计量与支付</w:t>
      </w:r>
    </w:p>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p w14:paraId="40E5007B">
      <w:pPr>
        <w:adjustRightInd w:val="0"/>
        <w:snapToGrid w:val="0"/>
        <w:spacing w:line="360" w:lineRule="exact"/>
        <w:ind w:firstLine="420" w:firstLineChars="200"/>
        <w:rPr>
          <w:rFonts w:ascii="Times New Roman" w:hAnsi="Times New Roman" w:eastAsia="宋体"/>
          <w:sz w:val="21"/>
        </w:rPr>
      </w:pPr>
      <w:bookmarkStart w:id="403" w:name="_Toc292559916"/>
      <w:bookmarkStart w:id="404" w:name="_Toc267251461"/>
      <w:bookmarkStart w:id="405" w:name="_Toc292559411"/>
      <w:bookmarkStart w:id="406" w:name="_Toc296944545"/>
      <w:bookmarkStart w:id="407" w:name="_Toc297120506"/>
      <w:bookmarkStart w:id="408" w:name="_Toc296346707"/>
      <w:bookmarkStart w:id="409" w:name="_Toc296347205"/>
      <w:bookmarkStart w:id="410" w:name="_Toc296503206"/>
      <w:bookmarkStart w:id="411" w:name="_Toc296891246"/>
      <w:bookmarkStart w:id="412" w:name="_Toc297048392"/>
      <w:bookmarkStart w:id="413" w:name="_Toc296891034"/>
      <w:bookmarkStart w:id="414" w:name="_Toc303539160"/>
      <w:bookmarkStart w:id="415" w:name="_Toc304295580"/>
      <w:bookmarkStart w:id="416" w:name="_Toc312678041"/>
      <w:bookmarkStart w:id="417" w:name="_Toc297123553"/>
      <w:bookmarkStart w:id="418" w:name="_Toc300935003"/>
      <w:bookmarkStart w:id="419" w:name="_Toc297216212"/>
      <w:r>
        <w:rPr>
          <w:rFonts w:ascii="Times New Roman" w:hAnsi="Times New Roman" w:eastAsia="宋体"/>
          <w:sz w:val="21"/>
        </w:rPr>
        <w:t>12.1 合</w:t>
      </w:r>
      <w:bookmarkEnd w:id="403"/>
      <w:bookmarkEnd w:id="404"/>
      <w:bookmarkEnd w:id="405"/>
      <w:r>
        <w:rPr>
          <w:rFonts w:ascii="Times New Roman" w:hAnsi="Times New Roman" w:eastAsia="宋体"/>
          <w:sz w:val="21"/>
        </w:rPr>
        <w:t>同价</w:t>
      </w:r>
      <w:bookmarkEnd w:id="406"/>
      <w:bookmarkEnd w:id="407"/>
      <w:bookmarkEnd w:id="408"/>
      <w:bookmarkEnd w:id="409"/>
      <w:bookmarkEnd w:id="410"/>
      <w:bookmarkEnd w:id="411"/>
      <w:bookmarkEnd w:id="412"/>
      <w:bookmarkEnd w:id="413"/>
      <w:r>
        <w:rPr>
          <w:rFonts w:ascii="Times New Roman" w:hAnsi="Times New Roman" w:eastAsia="宋体"/>
          <w:sz w:val="21"/>
        </w:rPr>
        <w:t>格形式</w:t>
      </w:r>
    </w:p>
    <w:p w14:paraId="14C7B8CB">
      <w:pPr>
        <w:adjustRightInd w:val="0"/>
        <w:snapToGrid w:val="0"/>
        <w:spacing w:line="360" w:lineRule="exact"/>
        <w:ind w:firstLine="420" w:firstLineChars="200"/>
        <w:rPr>
          <w:rFonts w:ascii="Times New Roman" w:hAnsi="Times New Roman" w:eastAsia="宋体"/>
          <w:sz w:val="21"/>
        </w:rPr>
      </w:pPr>
      <w:r>
        <w:rPr>
          <w:rFonts w:hint="eastAsia" w:ascii="Times New Roman" w:hAnsi="Times New Roman" w:eastAsia="宋体"/>
          <w:sz w:val="21"/>
        </w:rPr>
        <w:t>本合同价款采用第</w:t>
      </w:r>
      <w:r>
        <w:rPr>
          <w:rFonts w:hint="eastAsia" w:ascii="Times New Roman" w:hAnsi="Times New Roman" w:eastAsia="宋体"/>
          <w:sz w:val="21"/>
          <w:u w:val="single"/>
        </w:rPr>
        <w:t xml:space="preserve">  1  </w:t>
      </w:r>
      <w:r>
        <w:rPr>
          <w:rFonts w:hint="eastAsia" w:ascii="Times New Roman" w:hAnsi="Times New Roman" w:eastAsia="宋体"/>
          <w:sz w:val="21"/>
        </w:rPr>
        <w:t>种方式</w:t>
      </w:r>
      <w:r>
        <w:rPr>
          <w:rFonts w:hint="eastAsia" w:ascii="Times New Roman" w:hAnsi="Times New Roman" w:eastAsia="宋体"/>
          <w:sz w:val="21"/>
          <w:u w:val="single"/>
        </w:rPr>
        <w:t xml:space="preserve">  </w:t>
      </w:r>
      <w:r>
        <w:rPr>
          <w:rFonts w:ascii="Times New Roman" w:hAnsi="Times New Roman" w:eastAsia="宋体"/>
          <w:sz w:val="21"/>
          <w:u w:val="single"/>
        </w:rPr>
        <w:t>单价合同</w:t>
      </w:r>
      <w:r>
        <w:rPr>
          <w:rFonts w:hint="eastAsia" w:ascii="Times New Roman" w:hAnsi="Times New Roman" w:eastAsia="宋体"/>
          <w:sz w:val="21"/>
          <w:u w:val="single"/>
        </w:rPr>
        <w:t xml:space="preserve">   </w:t>
      </w:r>
      <w:r>
        <w:rPr>
          <w:rFonts w:hint="eastAsia" w:ascii="Times New Roman" w:hAnsi="Times New Roman" w:eastAsia="宋体"/>
          <w:sz w:val="21"/>
        </w:rPr>
        <w:t>确定。</w:t>
      </w:r>
    </w:p>
    <w:bookmarkEnd w:id="414"/>
    <w:bookmarkEnd w:id="415"/>
    <w:bookmarkEnd w:id="416"/>
    <w:bookmarkEnd w:id="417"/>
    <w:bookmarkEnd w:id="418"/>
    <w:bookmarkEnd w:id="419"/>
    <w:p w14:paraId="10F997BF">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1、单价合同。</w:t>
      </w:r>
    </w:p>
    <w:p w14:paraId="41DD0858">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综合单价包含的风险范围：</w:t>
      </w:r>
    </w:p>
    <w:p w14:paraId="65C9E0FB">
      <w:pPr>
        <w:autoSpaceDE w:val="0"/>
        <w:autoSpaceDN w:val="0"/>
        <w:spacing w:line="360" w:lineRule="exact"/>
        <w:ind w:firstLine="420" w:firstLineChars="200"/>
        <w:rPr>
          <w:rFonts w:ascii="仿宋_GB2312" w:hAnsi="宋体" w:eastAsia="宋体"/>
          <w:sz w:val="21"/>
          <w:szCs w:val="21"/>
          <w:u w:val="single"/>
        </w:rPr>
      </w:pPr>
      <w:r>
        <w:rPr>
          <w:rFonts w:hint="eastAsia" w:ascii="仿宋_GB2312" w:hAnsi="宋体" w:eastAsia="宋体"/>
          <w:sz w:val="21"/>
          <w:szCs w:val="21"/>
          <w:u w:val="single"/>
        </w:rPr>
        <w:t>本工程结算价的计算方式同投标价。除风险范围以外约定的调整外，以下内容按承包人的投标承诺不作调整：</w:t>
      </w:r>
    </w:p>
    <w:p w14:paraId="045B29BA">
      <w:pPr>
        <w:autoSpaceDE w:val="0"/>
        <w:autoSpaceDN w:val="0"/>
        <w:spacing w:line="360" w:lineRule="exact"/>
        <w:ind w:firstLine="420" w:firstLineChars="200"/>
        <w:rPr>
          <w:rFonts w:ascii="Times New Roman" w:hAnsi="Times New Roman" w:eastAsia="宋体"/>
          <w:sz w:val="21"/>
          <w:szCs w:val="21"/>
          <w:u w:val="single"/>
        </w:rPr>
      </w:pPr>
      <w:r>
        <w:rPr>
          <w:rFonts w:ascii="Times New Roman" w:hAnsi="Times New Roman" w:eastAsia="宋体"/>
          <w:sz w:val="21"/>
          <w:szCs w:val="21"/>
          <w:u w:val="single"/>
        </w:rPr>
        <w:t>（1）</w:t>
      </w:r>
      <w:r>
        <w:rPr>
          <w:rFonts w:hint="eastAsia" w:ascii="Times New Roman" w:hAnsi="Times New Roman" w:eastAsia="宋体"/>
          <w:sz w:val="21"/>
          <w:szCs w:val="21"/>
          <w:u w:val="single"/>
        </w:rPr>
        <w:t>最终报价中的</w:t>
      </w:r>
      <w:r>
        <w:rPr>
          <w:rFonts w:ascii="Times New Roman" w:hAnsi="Times New Roman" w:eastAsia="宋体"/>
          <w:sz w:val="21"/>
          <w:szCs w:val="21"/>
          <w:u w:val="single"/>
        </w:rPr>
        <w:t>综合单价</w:t>
      </w:r>
      <w:r>
        <w:rPr>
          <w:rFonts w:hint="eastAsia" w:ascii="Times New Roman" w:hAnsi="Times New Roman" w:eastAsia="宋体"/>
          <w:sz w:val="21"/>
          <w:szCs w:val="21"/>
          <w:u w:val="single"/>
        </w:rPr>
        <w:t>、最终报价相对首次报价的下浮率</w:t>
      </w:r>
      <w:r>
        <w:rPr>
          <w:rFonts w:ascii="Times New Roman" w:hAnsi="Times New Roman" w:eastAsia="宋体"/>
          <w:sz w:val="21"/>
          <w:szCs w:val="21"/>
          <w:u w:val="single"/>
        </w:rPr>
        <w:t>；</w:t>
      </w:r>
    </w:p>
    <w:p w14:paraId="7E0DB641">
      <w:pPr>
        <w:autoSpaceDE w:val="0"/>
        <w:autoSpaceDN w:val="0"/>
        <w:spacing w:line="360" w:lineRule="exact"/>
        <w:ind w:firstLine="420" w:firstLineChars="200"/>
        <w:rPr>
          <w:rFonts w:ascii="Times New Roman" w:hAnsi="Times New Roman" w:eastAsia="宋体"/>
          <w:sz w:val="21"/>
          <w:szCs w:val="21"/>
          <w:u w:val="single"/>
        </w:rPr>
      </w:pPr>
      <w:r>
        <w:rPr>
          <w:rFonts w:ascii="Times New Roman" w:hAnsi="Times New Roman" w:eastAsia="宋体"/>
          <w:sz w:val="21"/>
          <w:szCs w:val="21"/>
          <w:u w:val="single"/>
        </w:rPr>
        <w:t>（2）施工组织措施费费率；</w:t>
      </w:r>
    </w:p>
    <w:p w14:paraId="0213474D">
      <w:pPr>
        <w:autoSpaceDE w:val="0"/>
        <w:autoSpaceDN w:val="0"/>
        <w:spacing w:line="360" w:lineRule="exact"/>
        <w:ind w:firstLine="420" w:firstLineChars="200"/>
        <w:rPr>
          <w:rFonts w:ascii="Times New Roman" w:hAnsi="Times New Roman" w:eastAsia="宋体"/>
          <w:sz w:val="21"/>
          <w:szCs w:val="21"/>
          <w:u w:val="single"/>
        </w:rPr>
      </w:pPr>
      <w:r>
        <w:rPr>
          <w:rFonts w:ascii="Times New Roman" w:hAnsi="Times New Roman" w:eastAsia="宋体"/>
          <w:sz w:val="21"/>
          <w:szCs w:val="21"/>
          <w:u w:val="single"/>
        </w:rPr>
        <w:t>（3）规费费率、税金税率；</w:t>
      </w:r>
    </w:p>
    <w:p w14:paraId="7264D9D3">
      <w:pPr>
        <w:autoSpaceDE w:val="0"/>
        <w:autoSpaceDN w:val="0"/>
        <w:spacing w:line="360" w:lineRule="exact"/>
        <w:ind w:firstLine="420" w:firstLineChars="200"/>
        <w:rPr>
          <w:rFonts w:ascii="Times New Roman" w:hAnsi="Times New Roman" w:eastAsia="宋体"/>
          <w:sz w:val="21"/>
          <w:szCs w:val="21"/>
          <w:u w:val="single"/>
        </w:rPr>
      </w:pPr>
      <w:r>
        <w:rPr>
          <w:rFonts w:ascii="Times New Roman" w:hAnsi="Times New Roman" w:eastAsia="宋体"/>
          <w:sz w:val="21"/>
          <w:szCs w:val="21"/>
          <w:u w:val="single"/>
        </w:rPr>
        <w:t>（4）计日工综合单价（工数经发包人签证，综合单价按技术工</w:t>
      </w:r>
      <w:r>
        <w:rPr>
          <w:rFonts w:hint="eastAsia" w:ascii="Times New Roman" w:hAnsi="Times New Roman" w:eastAsia="宋体"/>
          <w:sz w:val="21"/>
          <w:szCs w:val="21"/>
          <w:u w:val="single"/>
        </w:rPr>
        <w:t>（260）</w:t>
      </w:r>
      <w:r>
        <w:rPr>
          <w:rFonts w:ascii="Times New Roman" w:hAnsi="Times New Roman" w:eastAsia="宋体"/>
          <w:sz w:val="21"/>
          <w:szCs w:val="21"/>
          <w:u w:val="single"/>
        </w:rPr>
        <w:t>元/工日、普工</w:t>
      </w:r>
      <w:r>
        <w:rPr>
          <w:rFonts w:hint="eastAsia" w:ascii="Times New Roman" w:hAnsi="Times New Roman" w:eastAsia="宋体"/>
          <w:sz w:val="21"/>
          <w:szCs w:val="21"/>
          <w:u w:val="single"/>
        </w:rPr>
        <w:t>（180）</w:t>
      </w:r>
      <w:r>
        <w:rPr>
          <w:rFonts w:ascii="Times New Roman" w:hAnsi="Times New Roman" w:eastAsia="宋体"/>
          <w:sz w:val="21"/>
          <w:szCs w:val="21"/>
          <w:u w:val="single"/>
        </w:rPr>
        <w:t>元/工日计取）；</w:t>
      </w:r>
    </w:p>
    <w:p w14:paraId="7E131FC8">
      <w:pPr>
        <w:autoSpaceDE w:val="0"/>
        <w:autoSpaceDN w:val="0"/>
        <w:spacing w:line="360" w:lineRule="exact"/>
        <w:rPr>
          <w:rFonts w:ascii="Times New Roman" w:hAnsi="Times New Roman" w:eastAsia="宋体"/>
          <w:sz w:val="21"/>
          <w:szCs w:val="21"/>
          <w:u w:val="single"/>
        </w:rPr>
      </w:pPr>
      <w:r>
        <w:rPr>
          <w:rFonts w:hint="eastAsia" w:ascii="Times New Roman" w:hAnsi="Times New Roman" w:eastAsia="宋体"/>
          <w:sz w:val="21"/>
          <w:szCs w:val="21"/>
        </w:rPr>
        <w:t xml:space="preserve">    </w:t>
      </w:r>
      <w:r>
        <w:rPr>
          <w:rFonts w:ascii="Times New Roman" w:hAnsi="Times New Roman" w:eastAsia="宋体"/>
          <w:sz w:val="21"/>
          <w:szCs w:val="21"/>
          <w:u w:val="single"/>
        </w:rPr>
        <w:t>（</w:t>
      </w:r>
      <w:r>
        <w:rPr>
          <w:rFonts w:hint="eastAsia" w:ascii="Times New Roman" w:hAnsi="Times New Roman" w:eastAsia="宋体"/>
          <w:sz w:val="21"/>
          <w:szCs w:val="21"/>
          <w:u w:val="single"/>
        </w:rPr>
        <w:t>5</w:t>
      </w:r>
      <w:r>
        <w:rPr>
          <w:rFonts w:ascii="Times New Roman" w:hAnsi="Times New Roman" w:eastAsia="宋体"/>
          <w:sz w:val="21"/>
          <w:szCs w:val="21"/>
          <w:u w:val="single"/>
        </w:rPr>
        <w:t>）其他可能发生的费用：</w:t>
      </w:r>
    </w:p>
    <w:p w14:paraId="3CE299D1">
      <w:pPr>
        <w:autoSpaceDE w:val="0"/>
        <w:autoSpaceDN w:val="0"/>
        <w:spacing w:line="360" w:lineRule="exact"/>
        <w:ind w:firstLine="420" w:firstLineChars="200"/>
        <w:rPr>
          <w:rFonts w:ascii="Times New Roman" w:hAnsi="Times New Roman" w:eastAsia="宋体"/>
          <w:sz w:val="21"/>
          <w:szCs w:val="21"/>
          <w:u w:val="single"/>
        </w:rPr>
      </w:pPr>
      <w:r>
        <w:rPr>
          <w:rFonts w:ascii="Times New Roman" w:hAnsi="Times New Roman" w:eastAsia="宋体"/>
          <w:sz w:val="21"/>
          <w:szCs w:val="21"/>
          <w:u w:val="single"/>
        </w:rPr>
        <w:t>a.因施工噪音、物体坠落、材料抛散而扰民及影响环境卫生、交通城管、现场文明和施工安全等问题而产生的费用，由承包人自行解决。因此而造成的工期延长由承包人负责。如给发包人另行造成额外的经济损失，发包人可从承包人的工程款中扣回。</w:t>
      </w:r>
    </w:p>
    <w:p w14:paraId="5A7AADA0">
      <w:pPr>
        <w:autoSpaceDE w:val="0"/>
        <w:autoSpaceDN w:val="0"/>
        <w:spacing w:line="360" w:lineRule="exact"/>
        <w:ind w:firstLine="420" w:firstLineChars="200"/>
        <w:rPr>
          <w:rFonts w:ascii="Times New Roman" w:hAnsi="Times New Roman" w:eastAsia="宋体"/>
          <w:sz w:val="21"/>
          <w:szCs w:val="21"/>
          <w:u w:val="single"/>
        </w:rPr>
      </w:pPr>
      <w:r>
        <w:rPr>
          <w:rFonts w:ascii="Times New Roman" w:hAnsi="Times New Roman" w:eastAsia="宋体"/>
          <w:sz w:val="21"/>
          <w:szCs w:val="21"/>
          <w:u w:val="single"/>
        </w:rPr>
        <w:t>b.实际施工中可能发生街道管理费、干扰费、环保费、占道押金等其它管理费。</w:t>
      </w:r>
    </w:p>
    <w:p w14:paraId="558168E3">
      <w:pPr>
        <w:adjustRightInd w:val="0"/>
        <w:snapToGrid w:val="0"/>
        <w:spacing w:line="360" w:lineRule="exact"/>
        <w:ind w:firstLine="420" w:firstLineChars="200"/>
        <w:rPr>
          <w:rFonts w:ascii="Times New Roman" w:hAnsi="Times New Roman" w:eastAsia="宋体"/>
          <w:sz w:val="21"/>
          <w:u w:val="single"/>
        </w:rPr>
      </w:pPr>
      <w:r>
        <w:rPr>
          <w:rFonts w:ascii="Times New Roman" w:hAnsi="Times New Roman" w:eastAsia="宋体"/>
          <w:sz w:val="21"/>
          <w:szCs w:val="21"/>
          <w:u w:val="single"/>
        </w:rPr>
        <w:t>c.土方开挖及外运、处置及泥浆外运、处置按当地有关要求办理，费用包含在合同价内。</w:t>
      </w:r>
    </w:p>
    <w:p w14:paraId="554FA3D7">
      <w:pPr>
        <w:autoSpaceDE w:val="0"/>
        <w:autoSpaceDN w:val="0"/>
        <w:adjustRightInd w:val="0"/>
        <w:snapToGrid w:val="0"/>
        <w:spacing w:line="360" w:lineRule="exact"/>
        <w:ind w:firstLine="420" w:firstLineChars="200"/>
        <w:jc w:val="left"/>
        <w:rPr>
          <w:rFonts w:ascii="宋体" w:hAnsi="宋体" w:eastAsia="宋体"/>
          <w:sz w:val="21"/>
          <w:szCs w:val="21"/>
          <w:u w:val="single"/>
        </w:rPr>
      </w:pPr>
      <w:r>
        <w:rPr>
          <w:rFonts w:hint="eastAsia" w:ascii="宋体" w:hAnsi="宋体" w:eastAsia="宋体"/>
          <w:sz w:val="21"/>
          <w:szCs w:val="21"/>
          <w:u w:val="single"/>
        </w:rPr>
        <w:t>d、</w:t>
      </w:r>
      <w:r>
        <w:rPr>
          <w:rFonts w:hint="eastAsia" w:ascii="宋体" w:hAnsi="宋体" w:eastAsia="宋体"/>
          <w:bCs/>
          <w:sz w:val="21"/>
          <w:szCs w:val="21"/>
          <w:u w:val="single"/>
        </w:rPr>
        <w:t>自备发电机、储水设施费用：包括由于停电、停水及施工用水加压而增加的费用，工程结算时不另行计取。</w:t>
      </w:r>
    </w:p>
    <w:p w14:paraId="4B233940">
      <w:pPr>
        <w:adjustRightInd w:val="0"/>
        <w:snapToGrid w:val="0"/>
        <w:spacing w:line="360" w:lineRule="exact"/>
        <w:ind w:firstLine="420" w:firstLineChars="200"/>
        <w:rPr>
          <w:rFonts w:ascii="宋体" w:hAnsi="宋体" w:eastAsia="宋体"/>
          <w:sz w:val="21"/>
          <w:szCs w:val="21"/>
          <w:u w:val="single"/>
        </w:rPr>
      </w:pPr>
      <w:r>
        <w:rPr>
          <w:rFonts w:hint="eastAsia" w:ascii="宋体" w:hAnsi="宋体" w:eastAsia="宋体"/>
          <w:sz w:val="21"/>
          <w:szCs w:val="21"/>
          <w:u w:val="single"/>
        </w:rPr>
        <w:t>e、本工程各类钢构件运输运距由投标人在投标报价时综合考虑，结算时不予调整。</w:t>
      </w:r>
    </w:p>
    <w:p w14:paraId="1BA7C680">
      <w:pPr>
        <w:adjustRightInd w:val="0"/>
        <w:snapToGrid w:val="0"/>
        <w:spacing w:line="360" w:lineRule="exact"/>
        <w:ind w:firstLine="420" w:firstLineChars="200"/>
        <w:rPr>
          <w:rFonts w:ascii="宋体" w:hAnsi="宋体" w:eastAsia="宋体"/>
          <w:sz w:val="21"/>
          <w:szCs w:val="21"/>
          <w:u w:val="single"/>
        </w:rPr>
      </w:pPr>
      <w:r>
        <w:rPr>
          <w:rFonts w:hint="eastAsia" w:ascii="宋体" w:hAnsi="宋体" w:eastAsia="宋体"/>
          <w:sz w:val="21"/>
          <w:szCs w:val="21"/>
          <w:u w:val="single"/>
        </w:rPr>
        <w:t>f、所有弃土（含废土、建筑垃圾、拆除料等）外运运距、现拌混凝土熟料场内运输运距均按预算书包定，超过部分运距费用，承包人综合考虑，工程结算时不另行计取。</w:t>
      </w:r>
    </w:p>
    <w:p w14:paraId="0D42835A">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风险费用的计算方法</w:t>
      </w:r>
      <w:r>
        <w:rPr>
          <w:rFonts w:ascii="Times New Roman" w:hAnsi="Times New Roman" w:eastAsia="宋体"/>
          <w:sz w:val="21"/>
          <w:u w:val="single"/>
        </w:rPr>
        <w:t>：</w:t>
      </w:r>
      <w:r>
        <w:rPr>
          <w:rFonts w:hint="eastAsia" w:ascii="Times New Roman" w:hAnsi="Times New Roman" w:eastAsia="宋体"/>
          <w:sz w:val="21"/>
          <w:u w:val="single"/>
        </w:rPr>
        <w:t>已包含在合同价内</w:t>
      </w:r>
      <w:r>
        <w:rPr>
          <w:rFonts w:ascii="Times New Roman" w:hAnsi="Times New Roman" w:eastAsia="宋体"/>
          <w:sz w:val="21"/>
        </w:rPr>
        <w:t>。</w:t>
      </w:r>
    </w:p>
    <w:p w14:paraId="3D50F5B2">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风险范围以外合同价格的调整方法：</w:t>
      </w:r>
    </w:p>
    <w:p w14:paraId="3F30E004">
      <w:pPr>
        <w:autoSpaceDE w:val="0"/>
        <w:autoSpaceDN w:val="0"/>
        <w:spacing w:line="360" w:lineRule="exact"/>
        <w:ind w:firstLine="420" w:firstLineChars="200"/>
        <w:rPr>
          <w:rFonts w:ascii="Times New Roman" w:hAnsi="Times New Roman" w:eastAsia="宋体"/>
          <w:sz w:val="21"/>
          <w:szCs w:val="21"/>
          <w:u w:val="single"/>
        </w:rPr>
      </w:pPr>
      <w:r>
        <w:rPr>
          <w:rFonts w:ascii="Times New Roman" w:hAnsi="Times New Roman" w:eastAsia="宋体"/>
          <w:sz w:val="21"/>
          <w:szCs w:val="21"/>
          <w:u w:val="single"/>
          <w:lang w:val="zh-CN"/>
        </w:rPr>
        <w:t>（1）</w:t>
      </w:r>
      <w:r>
        <w:rPr>
          <w:rFonts w:ascii="Times New Roman" w:hAnsi="Times New Roman" w:eastAsia="宋体"/>
          <w:sz w:val="21"/>
          <w:szCs w:val="21"/>
          <w:u w:val="single"/>
        </w:rPr>
        <w:t>工程量按照</w:t>
      </w:r>
      <w:r>
        <w:rPr>
          <w:rFonts w:hint="eastAsia" w:ascii="仿宋_GB2312" w:hAnsi="Times New Roman" w:eastAsia="宋体"/>
          <w:sz w:val="21"/>
          <w:szCs w:val="21"/>
          <w:u w:val="single"/>
        </w:rPr>
        <w:t>专用条</w:t>
      </w:r>
      <w:r>
        <w:rPr>
          <w:rFonts w:ascii="Times New Roman" w:hAnsi="Times New Roman" w:eastAsia="宋体"/>
          <w:sz w:val="21"/>
          <w:szCs w:val="21"/>
          <w:u w:val="single"/>
        </w:rPr>
        <w:t>款12.3.1条规定</w:t>
      </w:r>
      <w:r>
        <w:rPr>
          <w:rFonts w:hint="eastAsia" w:ascii="Times New Roman" w:hAnsi="Times New Roman" w:eastAsia="黑体"/>
          <w:sz w:val="21"/>
          <w:szCs w:val="21"/>
          <w:u w:val="single"/>
        </w:rPr>
        <w:t>，</w:t>
      </w:r>
      <w:r>
        <w:rPr>
          <w:rFonts w:ascii="Times New Roman" w:hAnsi="Times New Roman" w:eastAsia="宋体"/>
          <w:sz w:val="21"/>
          <w:szCs w:val="21"/>
          <w:u w:val="single"/>
        </w:rPr>
        <w:t>由承包人计量</w:t>
      </w:r>
      <w:r>
        <w:rPr>
          <w:rFonts w:hint="eastAsia" w:ascii="Times New Roman" w:hAnsi="Times New Roman" w:eastAsia="宋体"/>
          <w:sz w:val="21"/>
          <w:szCs w:val="21"/>
          <w:u w:val="single"/>
        </w:rPr>
        <w:t>，</w:t>
      </w:r>
      <w:r>
        <w:rPr>
          <w:rFonts w:ascii="Times New Roman" w:hAnsi="Times New Roman" w:eastAsia="宋体"/>
          <w:sz w:val="21"/>
          <w:szCs w:val="21"/>
          <w:u w:val="single"/>
        </w:rPr>
        <w:t>发包人及有关部门审核。</w:t>
      </w:r>
    </w:p>
    <w:p w14:paraId="22CC5A55">
      <w:pPr>
        <w:autoSpaceDE w:val="0"/>
        <w:autoSpaceDN w:val="0"/>
        <w:spacing w:line="360" w:lineRule="exact"/>
        <w:ind w:firstLine="420" w:firstLineChars="200"/>
        <w:rPr>
          <w:rFonts w:ascii="Times New Roman" w:hAnsi="Times New Roman" w:eastAsia="宋体"/>
          <w:sz w:val="21"/>
          <w:szCs w:val="21"/>
          <w:u w:val="single"/>
          <w:lang w:val="zh-CN"/>
        </w:rPr>
      </w:pPr>
      <w:r>
        <w:rPr>
          <w:rFonts w:ascii="Times New Roman" w:hAnsi="Times New Roman" w:eastAsia="宋体"/>
          <w:sz w:val="21"/>
          <w:szCs w:val="21"/>
          <w:u w:val="single"/>
        </w:rPr>
        <w:t>（2）</w:t>
      </w:r>
      <w:r>
        <w:rPr>
          <w:rFonts w:ascii="Times New Roman" w:hAnsi="Times New Roman" w:eastAsia="宋体"/>
          <w:kern w:val="0"/>
          <w:sz w:val="21"/>
          <w:szCs w:val="21"/>
          <w:u w:val="single"/>
        </w:rPr>
        <w:t>因市场价格波动引起的调整按</w:t>
      </w:r>
      <w:r>
        <w:rPr>
          <w:rFonts w:ascii="Times New Roman" w:hAnsi="Times New Roman" w:eastAsia="宋体"/>
          <w:sz w:val="21"/>
          <w:szCs w:val="21"/>
          <w:u w:val="single"/>
        </w:rPr>
        <w:t>本合同专用条款第11.1款的约定调整。</w:t>
      </w:r>
    </w:p>
    <w:p w14:paraId="74E7ED00">
      <w:pPr>
        <w:autoSpaceDE w:val="0"/>
        <w:autoSpaceDN w:val="0"/>
        <w:spacing w:line="360" w:lineRule="exact"/>
        <w:ind w:firstLine="420" w:firstLineChars="200"/>
        <w:rPr>
          <w:rFonts w:ascii="Times New Roman" w:hAnsi="Times New Roman" w:eastAsia="宋体"/>
          <w:sz w:val="21"/>
          <w:szCs w:val="21"/>
          <w:u w:val="single"/>
          <w:lang w:val="zh-CN"/>
        </w:rPr>
      </w:pPr>
      <w:r>
        <w:rPr>
          <w:rFonts w:ascii="Times New Roman" w:hAnsi="Times New Roman" w:eastAsia="宋体"/>
          <w:sz w:val="21"/>
          <w:szCs w:val="21"/>
          <w:u w:val="single"/>
          <w:lang w:val="zh-CN"/>
        </w:rPr>
        <w:t>（3）因发包人提供的工程量清单项目工程数量计算偏差或工程变更引起的</w:t>
      </w:r>
      <w:r>
        <w:rPr>
          <w:rFonts w:ascii="Times New Roman" w:hAnsi="Times New Roman" w:eastAsia="宋体"/>
          <w:sz w:val="21"/>
          <w:szCs w:val="21"/>
          <w:u w:val="single"/>
        </w:rPr>
        <w:t>工程量增加或减少，按</w:t>
      </w:r>
      <w:r>
        <w:rPr>
          <w:rFonts w:hint="eastAsia" w:ascii="仿宋_GB2312" w:hAnsi="Times New Roman" w:eastAsia="宋体"/>
          <w:sz w:val="21"/>
          <w:szCs w:val="21"/>
          <w:u w:val="single"/>
        </w:rPr>
        <w:t>专用条款</w:t>
      </w:r>
      <w:r>
        <w:rPr>
          <w:rFonts w:ascii="Times New Roman" w:hAnsi="Times New Roman" w:eastAsia="宋体"/>
          <w:sz w:val="21"/>
          <w:szCs w:val="21"/>
          <w:u w:val="single"/>
        </w:rPr>
        <w:t>10.4.1条执行。</w:t>
      </w:r>
    </w:p>
    <w:p w14:paraId="04DFFD98">
      <w:pPr>
        <w:autoSpaceDE w:val="0"/>
        <w:autoSpaceDN w:val="0"/>
        <w:spacing w:line="360" w:lineRule="exact"/>
        <w:ind w:firstLine="420" w:firstLineChars="200"/>
        <w:rPr>
          <w:rFonts w:ascii="Times New Roman" w:hAnsi="Times New Roman" w:eastAsia="宋体"/>
          <w:sz w:val="21"/>
          <w:szCs w:val="21"/>
          <w:u w:val="single"/>
          <w:lang w:val="zh-CN"/>
        </w:rPr>
      </w:pPr>
      <w:r>
        <w:rPr>
          <w:rFonts w:ascii="Times New Roman" w:hAnsi="Times New Roman" w:eastAsia="宋体"/>
          <w:sz w:val="21"/>
          <w:szCs w:val="21"/>
          <w:u w:val="single"/>
          <w:lang w:val="zh-CN"/>
        </w:rPr>
        <w:t>（4）发包人提供的工程量清单项目漏项、</w:t>
      </w:r>
      <w:r>
        <w:rPr>
          <w:rFonts w:hint="eastAsia" w:ascii="Times New Roman" w:hAnsi="Times New Roman" w:eastAsia="宋体"/>
          <w:sz w:val="21"/>
          <w:szCs w:val="21"/>
          <w:u w:val="single"/>
          <w:lang w:val="zh-CN"/>
        </w:rPr>
        <w:t>错项、</w:t>
      </w:r>
      <w:r>
        <w:rPr>
          <w:rFonts w:ascii="Times New Roman" w:hAnsi="Times New Roman" w:eastAsia="宋体"/>
          <w:sz w:val="21"/>
          <w:szCs w:val="21"/>
          <w:u w:val="single"/>
          <w:lang w:val="zh-CN"/>
        </w:rPr>
        <w:t>工程变更引起的新增项目、工程量清单局部变更，</w:t>
      </w:r>
      <w:r>
        <w:rPr>
          <w:rFonts w:ascii="Times New Roman" w:hAnsi="Times New Roman" w:eastAsia="宋体"/>
          <w:sz w:val="21"/>
          <w:szCs w:val="21"/>
          <w:u w:val="single"/>
        </w:rPr>
        <w:t>与已标价工程量清单项目不同或相类似项目，</w:t>
      </w:r>
      <w:r>
        <w:rPr>
          <w:rFonts w:ascii="Times New Roman" w:hAnsi="Times New Roman" w:eastAsia="宋体"/>
          <w:sz w:val="21"/>
          <w:szCs w:val="21"/>
          <w:u w:val="single"/>
          <w:lang w:val="zh-CN"/>
        </w:rPr>
        <w:t>其综合单价的确定方法</w:t>
      </w:r>
      <w:r>
        <w:rPr>
          <w:rFonts w:ascii="Times New Roman" w:hAnsi="Times New Roman" w:eastAsia="宋体"/>
          <w:sz w:val="21"/>
          <w:szCs w:val="21"/>
          <w:u w:val="single"/>
        </w:rPr>
        <w:t>按本合同专用条款10.4.1</w:t>
      </w:r>
      <w:r>
        <w:rPr>
          <w:rFonts w:hint="eastAsia" w:ascii="Times New Roman" w:hAnsi="Times New Roman" w:eastAsia="宋体"/>
          <w:sz w:val="21"/>
          <w:szCs w:val="21"/>
          <w:u w:val="single"/>
        </w:rPr>
        <w:t>条</w:t>
      </w:r>
      <w:r>
        <w:rPr>
          <w:rFonts w:ascii="Times New Roman" w:hAnsi="Times New Roman" w:eastAsia="宋体"/>
          <w:sz w:val="21"/>
          <w:szCs w:val="21"/>
          <w:u w:val="single"/>
        </w:rPr>
        <w:t>约定</w:t>
      </w:r>
      <w:r>
        <w:rPr>
          <w:rFonts w:hint="eastAsia" w:ascii="Times New Roman" w:hAnsi="Times New Roman" w:eastAsia="宋体"/>
          <w:sz w:val="21"/>
          <w:szCs w:val="21"/>
          <w:u w:val="single"/>
        </w:rPr>
        <w:t>调整</w:t>
      </w:r>
      <w:r>
        <w:rPr>
          <w:rFonts w:ascii="Times New Roman" w:hAnsi="Times New Roman" w:eastAsia="宋体"/>
          <w:sz w:val="21"/>
          <w:szCs w:val="21"/>
          <w:u w:val="single"/>
        </w:rPr>
        <w:t>。</w:t>
      </w:r>
    </w:p>
    <w:p w14:paraId="1EE3FEEE">
      <w:pPr>
        <w:autoSpaceDE w:val="0"/>
        <w:autoSpaceDN w:val="0"/>
        <w:spacing w:line="360" w:lineRule="exact"/>
        <w:ind w:firstLine="420" w:firstLineChars="200"/>
        <w:rPr>
          <w:rFonts w:ascii="仿宋_GB2312" w:hAnsi="宋体" w:eastAsia="宋体"/>
          <w:sz w:val="21"/>
          <w:szCs w:val="21"/>
          <w:u w:val="single"/>
        </w:rPr>
      </w:pPr>
      <w:r>
        <w:rPr>
          <w:rFonts w:hint="eastAsia" w:ascii="仿宋_GB2312" w:hAnsi="宋体" w:eastAsia="宋体"/>
          <w:sz w:val="21"/>
          <w:szCs w:val="21"/>
          <w:u w:val="single"/>
        </w:rPr>
        <w:t>（</w:t>
      </w:r>
      <w:r>
        <w:rPr>
          <w:rFonts w:ascii="Times New Roman" w:hAnsi="Times New Roman" w:eastAsia="宋体"/>
          <w:sz w:val="21"/>
          <w:szCs w:val="21"/>
          <w:u w:val="single"/>
        </w:rPr>
        <w:t>5</w:t>
      </w:r>
      <w:r>
        <w:rPr>
          <w:rFonts w:hint="eastAsia" w:ascii="仿宋_GB2312" w:hAnsi="宋体" w:eastAsia="宋体"/>
          <w:sz w:val="21"/>
          <w:szCs w:val="21"/>
          <w:u w:val="single"/>
        </w:rPr>
        <w:t>）因非承包人原因的分部分项工程量清单漏项、错项、工程变更及清单工程量增减等，引起措施项目内容、工程数量发生变化，则调整措施项目费用：</w:t>
      </w:r>
    </w:p>
    <w:p w14:paraId="2E47A3ED">
      <w:pPr>
        <w:autoSpaceDE w:val="0"/>
        <w:autoSpaceDN w:val="0"/>
        <w:spacing w:line="360" w:lineRule="exact"/>
        <w:ind w:firstLine="315" w:firstLineChars="150"/>
        <w:rPr>
          <w:rFonts w:ascii="仿宋_GB2312" w:hAnsi="宋体" w:eastAsia="宋体"/>
          <w:sz w:val="21"/>
          <w:szCs w:val="21"/>
          <w:u w:val="single"/>
        </w:rPr>
      </w:pPr>
      <w:r>
        <w:rPr>
          <w:rFonts w:hint="eastAsia" w:ascii="仿宋_GB2312" w:hAnsi="宋体" w:eastAsia="宋体"/>
          <w:sz w:val="21"/>
          <w:szCs w:val="21"/>
          <w:u w:val="single"/>
        </w:rPr>
        <w:t>a、采用综合单价计价的按</w:t>
      </w:r>
      <w:r>
        <w:rPr>
          <w:rFonts w:hint="eastAsia" w:ascii="仿宋_GB2312" w:hAnsi="Times New Roman" w:eastAsia="宋体"/>
          <w:sz w:val="21"/>
          <w:szCs w:val="21"/>
          <w:u w:val="single"/>
        </w:rPr>
        <w:t>专用条款</w:t>
      </w:r>
      <w:r>
        <w:rPr>
          <w:rFonts w:hint="eastAsia" w:ascii="仿宋_GB2312" w:hAnsi="宋体" w:eastAsia="宋体"/>
          <w:sz w:val="21"/>
          <w:szCs w:val="21"/>
          <w:u w:val="single"/>
        </w:rPr>
        <w:t>第10.4.1条计算综合单价。</w:t>
      </w:r>
    </w:p>
    <w:p w14:paraId="4B51953F">
      <w:pPr>
        <w:spacing w:line="360" w:lineRule="exact"/>
        <w:ind w:firstLine="315" w:firstLineChars="150"/>
        <w:rPr>
          <w:rFonts w:ascii="仿宋_GB2312" w:hAnsi="宋体" w:eastAsia="宋体"/>
          <w:sz w:val="21"/>
          <w:szCs w:val="21"/>
          <w:u w:val="single"/>
        </w:rPr>
      </w:pPr>
      <w:r>
        <w:rPr>
          <w:rFonts w:hint="eastAsia" w:ascii="仿宋_GB2312" w:hAnsi="宋体" w:eastAsia="宋体"/>
          <w:sz w:val="21"/>
          <w:szCs w:val="21"/>
          <w:u w:val="single"/>
        </w:rPr>
        <w:t>b、计量单位采用以“项”计价的措施项目，工程量清单项目及工程数量变化引起措施变动部分重新组价。</w:t>
      </w:r>
    </w:p>
    <w:p w14:paraId="7E18360F">
      <w:pPr>
        <w:autoSpaceDE w:val="0"/>
        <w:autoSpaceDN w:val="0"/>
        <w:spacing w:line="360" w:lineRule="exact"/>
        <w:ind w:firstLine="420" w:firstLineChars="200"/>
        <w:rPr>
          <w:rFonts w:ascii="仿宋_GB2312" w:hAnsi="宋体" w:eastAsia="宋体"/>
          <w:sz w:val="21"/>
          <w:szCs w:val="21"/>
          <w:u w:val="single"/>
        </w:rPr>
      </w:pPr>
      <w:r>
        <w:rPr>
          <w:rFonts w:hint="eastAsia" w:ascii="仿宋_GB2312" w:hAnsi="宋体" w:eastAsia="宋体"/>
          <w:sz w:val="21"/>
          <w:szCs w:val="21"/>
          <w:u w:val="single"/>
        </w:rPr>
        <w:t>c、施工组织措施项目，按合同约定的费率内容调整措施费用计算基数。</w:t>
      </w:r>
    </w:p>
    <w:p w14:paraId="70010C4F">
      <w:pPr>
        <w:adjustRightInd w:val="0"/>
        <w:snapToGrid w:val="0"/>
        <w:spacing w:line="360" w:lineRule="exact"/>
        <w:ind w:firstLine="420" w:firstLineChars="200"/>
        <w:rPr>
          <w:rFonts w:ascii="Times New Roman" w:hAnsi="Times New Roman" w:eastAsia="宋体"/>
          <w:sz w:val="21"/>
          <w:u w:val="single"/>
        </w:rPr>
      </w:pPr>
      <w:r>
        <w:rPr>
          <w:rFonts w:ascii="Times New Roman" w:hAnsi="Times New Roman" w:eastAsia="宋体"/>
          <w:sz w:val="21"/>
          <w:szCs w:val="21"/>
          <w:u w:val="single"/>
        </w:rPr>
        <w:t>（6）未在投标价中包含的专项施工方案的施工及论证费用，根据施工现场实际参照合同专用条款10.4.1款约定方法确定或签证。</w:t>
      </w:r>
    </w:p>
    <w:p w14:paraId="75705920">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2、总价合同。</w:t>
      </w:r>
    </w:p>
    <w:p w14:paraId="473D8DAC">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总价包含的风险范围：</w:t>
      </w:r>
      <w:r>
        <w:rPr>
          <w:rFonts w:ascii="Times New Roman" w:hAnsi="Times New Roman" w:eastAsia="宋体"/>
          <w:sz w:val="21"/>
          <w:u w:val="single"/>
        </w:rPr>
        <w:t xml:space="preserve">                 </w:t>
      </w:r>
      <w:r>
        <w:rPr>
          <w:rFonts w:hint="eastAsia" w:ascii="Times New Roman" w:hAnsi="Times New Roman" w:eastAsia="宋体"/>
          <w:sz w:val="21"/>
          <w:u w:val="single"/>
        </w:rPr>
        <w:t>/</w:t>
      </w:r>
      <w:r>
        <w:rPr>
          <w:rFonts w:ascii="Times New Roman" w:hAnsi="Times New Roman" w:eastAsia="宋体"/>
          <w:sz w:val="21"/>
          <w:u w:val="single"/>
        </w:rPr>
        <w:t xml:space="preserve">                  </w:t>
      </w:r>
      <w:r>
        <w:rPr>
          <w:rFonts w:hint="eastAsia" w:ascii="Times New Roman" w:hAnsi="Times New Roman" w:eastAsia="宋体"/>
          <w:sz w:val="21"/>
        </w:rPr>
        <w:t>。</w:t>
      </w:r>
    </w:p>
    <w:p w14:paraId="73053BA0">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风险费用的计算方法：</w:t>
      </w:r>
      <w:r>
        <w:rPr>
          <w:rFonts w:ascii="Times New Roman" w:hAnsi="Times New Roman" w:eastAsia="宋体"/>
          <w:sz w:val="21"/>
          <w:u w:val="single"/>
        </w:rPr>
        <w:t xml:space="preserve">                 </w:t>
      </w:r>
      <w:r>
        <w:rPr>
          <w:rFonts w:hint="eastAsia" w:ascii="Times New Roman" w:hAnsi="Times New Roman" w:eastAsia="宋体"/>
          <w:sz w:val="21"/>
          <w:u w:val="single"/>
        </w:rPr>
        <w:t>/</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hint="eastAsia" w:ascii="Times New Roman" w:hAnsi="Times New Roman" w:eastAsia="宋体"/>
          <w:sz w:val="21"/>
        </w:rPr>
        <w:t>。</w:t>
      </w:r>
    </w:p>
    <w:p w14:paraId="2C8055BD">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风险范围以外合同价格的调整方法：</w:t>
      </w:r>
      <w:r>
        <w:rPr>
          <w:rFonts w:ascii="Times New Roman" w:hAnsi="Times New Roman" w:eastAsia="宋体"/>
          <w:sz w:val="21"/>
          <w:u w:val="single"/>
        </w:rPr>
        <w:t xml:space="preserve">            </w:t>
      </w:r>
      <w:r>
        <w:rPr>
          <w:rFonts w:hint="eastAsia" w:ascii="Times New Roman" w:hAnsi="Times New Roman" w:eastAsia="宋体"/>
          <w:sz w:val="21"/>
          <w:u w:val="single"/>
        </w:rPr>
        <w:t>/</w:t>
      </w:r>
      <w:r>
        <w:rPr>
          <w:rFonts w:ascii="Times New Roman" w:hAnsi="Times New Roman" w:eastAsia="宋体"/>
          <w:sz w:val="21"/>
          <w:u w:val="single"/>
        </w:rPr>
        <w:t xml:space="preserve">           </w:t>
      </w:r>
      <w:r>
        <w:rPr>
          <w:rFonts w:hint="eastAsia" w:ascii="Times New Roman" w:hAnsi="Times New Roman" w:eastAsia="宋体"/>
          <w:sz w:val="21"/>
        </w:rPr>
        <w:t>。</w:t>
      </w:r>
      <w:r>
        <w:rPr>
          <w:rFonts w:ascii="Times New Roman" w:hAnsi="Times New Roman" w:eastAsia="宋体"/>
          <w:sz w:val="21"/>
        </w:rPr>
        <w:t xml:space="preserve">       </w:t>
      </w:r>
    </w:p>
    <w:p w14:paraId="130ECBAA">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3、其他价格方式：</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hint="eastAsia" w:ascii="Times New Roman" w:hAnsi="Times New Roman" w:eastAsia="宋体"/>
          <w:sz w:val="21"/>
        </w:rPr>
        <w:t>。</w:t>
      </w:r>
    </w:p>
    <w:p w14:paraId="75BEE048">
      <w:pPr>
        <w:adjustRightInd w:val="0"/>
        <w:snapToGrid w:val="0"/>
        <w:spacing w:line="360" w:lineRule="exact"/>
        <w:ind w:firstLine="420" w:firstLineChars="200"/>
        <w:rPr>
          <w:rFonts w:ascii="Times New Roman" w:hAnsi="Times New Roman" w:eastAsia="宋体"/>
          <w:sz w:val="21"/>
        </w:rPr>
      </w:pPr>
      <w:bookmarkStart w:id="420" w:name="_Toc300935004"/>
      <w:bookmarkStart w:id="421" w:name="_Toc312678042"/>
      <w:bookmarkStart w:id="422" w:name="_Toc297123554"/>
      <w:bookmarkStart w:id="423" w:name="_Toc303539161"/>
      <w:bookmarkStart w:id="424" w:name="_Toc304295581"/>
      <w:bookmarkStart w:id="425" w:name="_Toc297216213"/>
      <w:bookmarkStart w:id="426" w:name="_Toc296891035"/>
      <w:bookmarkStart w:id="427" w:name="_Toc297048393"/>
      <w:bookmarkStart w:id="428" w:name="_Toc296891247"/>
      <w:bookmarkStart w:id="429" w:name="_Toc292559412"/>
      <w:bookmarkStart w:id="430" w:name="_Toc296347206"/>
      <w:bookmarkStart w:id="431" w:name="_Toc296346708"/>
      <w:bookmarkStart w:id="432" w:name="_Toc297120507"/>
      <w:bookmarkStart w:id="433" w:name="_Toc292559917"/>
      <w:bookmarkStart w:id="434" w:name="_Toc296503207"/>
      <w:bookmarkStart w:id="435" w:name="_Toc296944546"/>
      <w:r>
        <w:rPr>
          <w:rFonts w:ascii="Times New Roman" w:hAnsi="Times New Roman" w:eastAsia="宋体"/>
          <w:sz w:val="21"/>
        </w:rPr>
        <w:t>12.2 预付款</w:t>
      </w:r>
    </w:p>
    <w:bookmarkEnd w:id="420"/>
    <w:bookmarkEnd w:id="421"/>
    <w:bookmarkEnd w:id="422"/>
    <w:bookmarkEnd w:id="423"/>
    <w:bookmarkEnd w:id="424"/>
    <w:bookmarkEnd w:id="425"/>
    <w:p w14:paraId="55D6C3DA">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12.2.1 预付款的支付</w:t>
      </w:r>
    </w:p>
    <w:p w14:paraId="2B9EA39B">
      <w:pPr>
        <w:adjustRightInd w:val="0"/>
        <w:snapToGrid w:val="0"/>
        <w:spacing w:line="360" w:lineRule="exact"/>
        <w:ind w:firstLine="420" w:firstLineChars="200"/>
        <w:rPr>
          <w:rFonts w:ascii="Times New Roman" w:hAnsi="Times New Roman" w:eastAsia="宋体"/>
          <w:sz w:val="21"/>
          <w:u w:val="single"/>
        </w:rPr>
      </w:pPr>
      <w:r>
        <w:rPr>
          <w:rFonts w:ascii="Times New Roman" w:hAnsi="Times New Roman" w:eastAsia="宋体"/>
          <w:sz w:val="21"/>
        </w:rPr>
        <w:t>预付款支付比例或金额：</w:t>
      </w:r>
      <w:r>
        <w:rPr>
          <w:rFonts w:hint="eastAsia" w:ascii="Times New Roman" w:hAnsi="Times New Roman" w:eastAsia="宋体"/>
          <w:sz w:val="21"/>
          <w:u w:val="single"/>
        </w:rPr>
        <w:t>签约合同价的30%（包含工资性工程预付款及工资性工程进度款、安全文明施工费）；包含专用条款6.1.6条例所列的安全文明施工费，其余作为备料款）</w:t>
      </w:r>
    </w:p>
    <w:p w14:paraId="4D34EEA1">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预付款支付期限：</w:t>
      </w:r>
      <w:r>
        <w:rPr>
          <w:rFonts w:hint="eastAsia" w:ascii="Times New Roman" w:hAnsi="Times New Roman" w:eastAsia="宋体"/>
          <w:sz w:val="21"/>
          <w:u w:val="single"/>
        </w:rPr>
        <w:t>按投标承诺的人员、机械设备进场后7天内</w:t>
      </w:r>
      <w:r>
        <w:rPr>
          <w:rFonts w:ascii="Times New Roman" w:hAnsi="Times New Roman" w:eastAsia="宋体"/>
          <w:sz w:val="21"/>
        </w:rPr>
        <w:t>。</w:t>
      </w:r>
    </w:p>
    <w:p w14:paraId="6A17941C">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预付款扣回的方式：</w:t>
      </w:r>
      <w:r>
        <w:rPr>
          <w:rFonts w:hint="eastAsia" w:ascii="Times New Roman" w:hAnsi="Times New Roman" w:eastAsia="宋体"/>
          <w:sz w:val="21"/>
          <w:u w:val="single"/>
        </w:rPr>
        <w:t>在支付每期工程进度款时按相应比例扣回</w:t>
      </w:r>
      <w:r>
        <w:rPr>
          <w:rFonts w:ascii="Times New Roman" w:hAnsi="Times New Roman" w:eastAsia="宋体"/>
          <w:sz w:val="21"/>
        </w:rPr>
        <w:t>。</w:t>
      </w:r>
    </w:p>
    <w:p w14:paraId="06575E73">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12.2.2 预付款担保</w:t>
      </w:r>
    </w:p>
    <w:p w14:paraId="5EF7CB53">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承包人提交预付款担保的期限：</w:t>
      </w:r>
      <w:r>
        <w:rPr>
          <w:rFonts w:hint="eastAsia" w:ascii="Times New Roman" w:hAnsi="Times New Roman" w:eastAsia="宋体"/>
          <w:sz w:val="21"/>
          <w:u w:val="single"/>
        </w:rPr>
        <w:t xml:space="preserve">                       </w:t>
      </w:r>
      <w:r>
        <w:rPr>
          <w:rFonts w:ascii="Times New Roman" w:hAnsi="Times New Roman" w:eastAsia="宋体"/>
          <w:sz w:val="21"/>
        </w:rPr>
        <w:t>。</w:t>
      </w:r>
    </w:p>
    <w:p w14:paraId="3E39D3FA">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预付款担保的形式为：</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rPr>
        <w:t>。</w:t>
      </w:r>
    </w:p>
    <w:bookmarkEnd w:id="426"/>
    <w:bookmarkEnd w:id="427"/>
    <w:bookmarkEnd w:id="428"/>
    <w:bookmarkEnd w:id="429"/>
    <w:bookmarkEnd w:id="430"/>
    <w:bookmarkEnd w:id="431"/>
    <w:bookmarkEnd w:id="432"/>
    <w:bookmarkEnd w:id="433"/>
    <w:bookmarkEnd w:id="434"/>
    <w:bookmarkEnd w:id="435"/>
    <w:p w14:paraId="3909D1F0">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12.3 计量</w:t>
      </w:r>
    </w:p>
    <w:p w14:paraId="12763222">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12.3.1 计量原则</w:t>
      </w:r>
    </w:p>
    <w:p w14:paraId="649B3E54">
      <w:pPr>
        <w:adjustRightInd w:val="0"/>
        <w:snapToGrid w:val="0"/>
        <w:spacing w:line="360" w:lineRule="exact"/>
        <w:ind w:firstLine="420" w:firstLineChars="200"/>
        <w:rPr>
          <w:rFonts w:ascii="Times New Roman" w:hAnsi="Times New Roman" w:eastAsia="宋体"/>
          <w:sz w:val="21"/>
          <w:szCs w:val="21"/>
          <w:u w:val="single"/>
          <w:lang w:val="zh-CN"/>
        </w:rPr>
      </w:pPr>
      <w:r>
        <w:rPr>
          <w:rFonts w:ascii="Times New Roman" w:hAnsi="Times New Roman" w:eastAsia="宋体"/>
          <w:sz w:val="21"/>
          <w:szCs w:val="21"/>
        </w:rPr>
        <w:t>工程量计算按照</w:t>
      </w:r>
      <w:r>
        <w:rPr>
          <w:rFonts w:hint="eastAsia" w:ascii="Times New Roman" w:hAnsi="Times New Roman" w:eastAsia="宋体"/>
          <w:sz w:val="21"/>
          <w:szCs w:val="21"/>
          <w:u w:val="single"/>
          <w:lang w:val="zh-CN"/>
        </w:rPr>
        <w:t>《建设工程工程量清单计价规范（GB50500-2013）》；《浙江省建设工程工程量清单计价指引》；《浙江省房屋建筑与装饰工程预算定额》﹙2018版﹚；《浙江省通用安装工程预算定额》﹙2018版﹚；《浙江省市政工程预算定额（2018版）》；《浙江省园林绿化及仿古建筑工程预算定额》﹙2018版﹚；《浙江省建设工程机械台班费用定额（2018版）》；其它有关定额解释及国家、省、市工程量有关计算规则；</w:t>
      </w:r>
    </w:p>
    <w:p w14:paraId="4CF7F604">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12.3.2 计量周期</w:t>
      </w:r>
    </w:p>
    <w:p w14:paraId="65D4DBA2">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关于计量周期的约定：</w:t>
      </w:r>
      <w:r>
        <w:rPr>
          <w:rFonts w:hint="eastAsia" w:ascii="Times New Roman" w:hAnsi="Times New Roman" w:eastAsia="宋体"/>
          <w:sz w:val="21"/>
          <w:szCs w:val="21"/>
          <w:u w:val="single"/>
        </w:rPr>
        <w:t xml:space="preserve">  </w:t>
      </w:r>
      <w:r>
        <w:rPr>
          <w:rFonts w:hint="eastAsia" w:ascii="宋体" w:hAnsi="宋体"/>
          <w:bCs/>
          <w:sz w:val="21"/>
          <w:szCs w:val="21"/>
          <w:u w:val="single"/>
        </w:rPr>
        <w:t>本工程按月支付工程进度款，承包人必须每月25日前将当月实际完成的各部位的已完工程量报告送交监理工程师</w:t>
      </w:r>
      <w:r>
        <w:rPr>
          <w:rFonts w:ascii="宋体" w:hAnsi="宋体"/>
          <w:bCs/>
          <w:sz w:val="21"/>
          <w:szCs w:val="21"/>
        </w:rPr>
        <w:t>。</w:t>
      </w:r>
    </w:p>
    <w:p w14:paraId="66B56EDD">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12.3.3 单价合同的计量</w:t>
      </w:r>
    </w:p>
    <w:p w14:paraId="240A6AE4">
      <w:pPr>
        <w:spacing w:line="360" w:lineRule="exact"/>
        <w:ind w:firstLine="420" w:firstLineChars="200"/>
        <w:rPr>
          <w:rFonts w:ascii="仿宋_GB2312" w:hAnsi="宋体" w:eastAsia="宋体"/>
          <w:sz w:val="21"/>
          <w:szCs w:val="21"/>
          <w:u w:val="single"/>
        </w:rPr>
      </w:pPr>
      <w:r>
        <w:rPr>
          <w:rFonts w:ascii="Times New Roman" w:hAnsi="Times New Roman" w:eastAsia="宋体"/>
          <w:sz w:val="21"/>
          <w:szCs w:val="21"/>
        </w:rPr>
        <w:t>关于单价合同计量的约定：</w:t>
      </w:r>
      <w:r>
        <w:rPr>
          <w:rFonts w:hint="eastAsia" w:ascii="仿宋_GB2312" w:hAnsi="宋体" w:eastAsia="宋体"/>
          <w:sz w:val="21"/>
          <w:szCs w:val="21"/>
          <w:u w:val="single"/>
        </w:rPr>
        <w:t>按合同通用条款执行。</w:t>
      </w:r>
    </w:p>
    <w:p w14:paraId="4078D185">
      <w:pPr>
        <w:adjustRightInd w:val="0"/>
        <w:snapToGrid w:val="0"/>
        <w:spacing w:line="360" w:lineRule="exact"/>
        <w:ind w:firstLine="420" w:firstLineChars="200"/>
        <w:rPr>
          <w:rFonts w:ascii="Times New Roman" w:hAnsi="Times New Roman" w:eastAsia="宋体"/>
          <w:kern w:val="0"/>
          <w:sz w:val="21"/>
          <w:szCs w:val="21"/>
          <w:u w:val="single"/>
        </w:rPr>
      </w:pPr>
      <w:r>
        <w:rPr>
          <w:rFonts w:hint="eastAsia" w:ascii="仿宋_GB2312" w:hAnsi="宋体" w:eastAsia="宋体"/>
          <w:sz w:val="21"/>
          <w:szCs w:val="21"/>
          <w:u w:val="single"/>
        </w:rPr>
        <w:t>（</w:t>
      </w:r>
      <w:r>
        <w:rPr>
          <w:rFonts w:hint="eastAsia" w:ascii="Times New Roman" w:hAnsi="Times New Roman" w:eastAsia="宋体"/>
          <w:kern w:val="0"/>
          <w:sz w:val="21"/>
          <w:szCs w:val="21"/>
          <w:u w:val="single"/>
        </w:rPr>
        <w:t>4）确认的工程量和单价仅作为本期工程款支付的依据。</w:t>
      </w:r>
    </w:p>
    <w:p w14:paraId="399EFB1C">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12.3.4 总价合同的计量</w:t>
      </w:r>
    </w:p>
    <w:p w14:paraId="3D197791">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关于总价合同计量的约定：</w:t>
      </w:r>
      <w:r>
        <w:rPr>
          <w:rFonts w:ascii="Times New Roman" w:hAnsi="Times New Roman" w:eastAsia="宋体"/>
          <w:sz w:val="21"/>
          <w:u w:val="single"/>
        </w:rPr>
        <w:t xml:space="preserve">            </w:t>
      </w:r>
      <w:r>
        <w:rPr>
          <w:rFonts w:hint="eastAsia" w:ascii="Times New Roman" w:hAnsi="Times New Roman" w:eastAsia="宋体"/>
          <w:sz w:val="21"/>
          <w:u w:val="single"/>
        </w:rPr>
        <w:t>/</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ascii="Times New Roman" w:hAnsi="Times New Roman" w:eastAsia="宋体"/>
          <w:sz w:val="21"/>
        </w:rPr>
        <w:t>。</w:t>
      </w:r>
    </w:p>
    <w:p w14:paraId="17C4F0CC">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12.3.5总价合同采用支付分解表计量支付的，是否适用第12.3.4 项</w:t>
      </w:r>
      <w:r>
        <w:rPr>
          <w:rFonts w:hint="eastAsia" w:ascii="Times New Roman" w:hAnsi="Times New Roman" w:eastAsia="宋体"/>
          <w:sz w:val="21"/>
        </w:rPr>
        <w:t>〔</w:t>
      </w:r>
      <w:r>
        <w:rPr>
          <w:rFonts w:ascii="Times New Roman" w:hAnsi="Times New Roman" w:eastAsia="宋体"/>
          <w:sz w:val="21"/>
        </w:rPr>
        <w:t>总价合同的计量</w:t>
      </w:r>
      <w:r>
        <w:rPr>
          <w:rFonts w:hint="eastAsia" w:ascii="Times New Roman" w:hAnsi="Times New Roman" w:eastAsia="宋体"/>
          <w:sz w:val="21"/>
        </w:rPr>
        <w:t>〕</w:t>
      </w:r>
      <w:r>
        <w:rPr>
          <w:rFonts w:ascii="Times New Roman" w:hAnsi="Times New Roman" w:eastAsia="宋体"/>
          <w:sz w:val="21"/>
        </w:rPr>
        <w:t>约定</w:t>
      </w:r>
      <w:r>
        <w:rPr>
          <w:rFonts w:hint="eastAsia" w:ascii="Times New Roman" w:hAnsi="Times New Roman" w:eastAsia="宋体"/>
          <w:sz w:val="21"/>
        </w:rPr>
        <w:t>进行计量：</w:t>
      </w:r>
      <w:r>
        <w:rPr>
          <w:rFonts w:ascii="Times New Roman" w:hAnsi="Times New Roman" w:eastAsia="宋体"/>
          <w:sz w:val="21"/>
          <w:u w:val="single"/>
        </w:rPr>
        <w:t xml:space="preserve">        </w:t>
      </w:r>
      <w:r>
        <w:rPr>
          <w:rFonts w:hint="eastAsia" w:ascii="Times New Roman" w:hAnsi="Times New Roman" w:eastAsia="宋体"/>
          <w:sz w:val="21"/>
          <w:u w:val="single"/>
        </w:rPr>
        <w:t xml:space="preserve">  /              </w:t>
      </w:r>
      <w:r>
        <w:rPr>
          <w:rFonts w:ascii="Times New Roman" w:hAnsi="Times New Roman" w:eastAsia="宋体"/>
          <w:sz w:val="21"/>
        </w:rPr>
        <w:t>。</w:t>
      </w:r>
    </w:p>
    <w:p w14:paraId="350CDF54">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12.3.6 其他价格形式合同的计量</w:t>
      </w:r>
    </w:p>
    <w:p w14:paraId="499F2A6C">
      <w:pPr>
        <w:adjustRightInd w:val="0"/>
        <w:snapToGrid w:val="0"/>
        <w:spacing w:line="360" w:lineRule="exact"/>
        <w:ind w:firstLine="420" w:firstLineChars="200"/>
        <w:rPr>
          <w:rFonts w:ascii="Times New Roman" w:hAnsi="Times New Roman" w:eastAsia="宋体"/>
          <w:sz w:val="21"/>
          <w:u w:val="single"/>
        </w:rPr>
      </w:pPr>
      <w:r>
        <w:rPr>
          <w:rFonts w:ascii="Times New Roman" w:hAnsi="Times New Roman" w:eastAsia="宋体"/>
          <w:sz w:val="21"/>
        </w:rPr>
        <w:t>其他价格形式的计量方式和程序：</w:t>
      </w:r>
      <w:r>
        <w:rPr>
          <w:rFonts w:hint="eastAsia" w:ascii="Times New Roman" w:hAnsi="Times New Roman" w:eastAsia="宋体"/>
          <w:sz w:val="21"/>
          <w:u w:val="single"/>
        </w:rPr>
        <w:t>无</w:t>
      </w:r>
      <w:r>
        <w:rPr>
          <w:rFonts w:ascii="Times New Roman" w:hAnsi="Times New Roman" w:eastAsia="宋体"/>
          <w:sz w:val="21"/>
          <w:u w:val="single"/>
        </w:rPr>
        <w:t>。</w:t>
      </w:r>
    </w:p>
    <w:p w14:paraId="5D3DB463">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12.4 工程进度款支付</w:t>
      </w:r>
    </w:p>
    <w:p w14:paraId="3666E5F8">
      <w:pPr>
        <w:adjustRightInd w:val="0"/>
        <w:snapToGrid w:val="0"/>
        <w:spacing w:line="360" w:lineRule="exact"/>
        <w:ind w:firstLine="420" w:firstLineChars="200"/>
        <w:rPr>
          <w:rFonts w:ascii="Times New Roman" w:hAnsi="Times New Roman" w:eastAsia="宋体"/>
          <w:sz w:val="21"/>
        </w:rPr>
      </w:pPr>
      <w:bookmarkStart w:id="436" w:name="_Toc300935006"/>
      <w:bookmarkStart w:id="437" w:name="_Toc296346712"/>
      <w:bookmarkStart w:id="438" w:name="_Toc296891039"/>
      <w:bookmarkStart w:id="439" w:name="_Toc303539163"/>
      <w:bookmarkStart w:id="440" w:name="_Toc292559416"/>
      <w:bookmarkStart w:id="441" w:name="_Toc296891251"/>
      <w:bookmarkStart w:id="442" w:name="_Toc297048397"/>
      <w:bookmarkStart w:id="443" w:name="_Toc297123556"/>
      <w:bookmarkStart w:id="444" w:name="_Toc296944550"/>
      <w:bookmarkStart w:id="445" w:name="_Toc292559921"/>
      <w:bookmarkStart w:id="446" w:name="_Toc297216215"/>
      <w:bookmarkStart w:id="447" w:name="_Toc296503211"/>
      <w:bookmarkStart w:id="448" w:name="_Toc296347210"/>
      <w:bookmarkStart w:id="449" w:name="_Toc297120511"/>
      <w:r>
        <w:rPr>
          <w:rFonts w:ascii="Times New Roman" w:hAnsi="Times New Roman" w:eastAsia="宋体"/>
          <w:sz w:val="21"/>
        </w:rPr>
        <w:t>12.4.</w:t>
      </w:r>
      <w:r>
        <w:rPr>
          <w:rFonts w:hint="eastAsia" w:ascii="Times New Roman" w:hAnsi="Times New Roman" w:eastAsia="宋体"/>
          <w:sz w:val="21"/>
        </w:rPr>
        <w:t>1付款周期</w:t>
      </w:r>
    </w:p>
    <w:p w14:paraId="328B8898">
      <w:pPr>
        <w:adjustRightInd w:val="0"/>
        <w:snapToGrid w:val="0"/>
        <w:spacing w:line="360" w:lineRule="exact"/>
        <w:ind w:firstLine="420" w:firstLineChars="200"/>
        <w:rPr>
          <w:rFonts w:ascii="Times New Roman" w:hAnsi="Times New Roman" w:eastAsia="宋体"/>
          <w:bCs/>
          <w:sz w:val="21"/>
        </w:rPr>
      </w:pPr>
      <w:r>
        <w:rPr>
          <w:rFonts w:ascii="Times New Roman" w:hAnsi="Times New Roman" w:eastAsia="宋体"/>
          <w:sz w:val="21"/>
        </w:rPr>
        <w:t>关于付款周期的约定：</w:t>
      </w:r>
      <w:r>
        <w:rPr>
          <w:rFonts w:hint="eastAsia" w:ascii="Times New Roman" w:hAnsi="Times New Roman" w:eastAsia="宋体"/>
          <w:sz w:val="21"/>
          <w:szCs w:val="21"/>
          <w:u w:val="single"/>
        </w:rPr>
        <w:t xml:space="preserve">   按月支付   </w:t>
      </w:r>
      <w:r>
        <w:rPr>
          <w:rFonts w:ascii="Times New Roman" w:hAnsi="Times New Roman" w:eastAsia="宋体"/>
          <w:bCs/>
          <w:i/>
          <w:sz w:val="21"/>
          <w:u w:val="single"/>
        </w:rPr>
        <w:t>。</w:t>
      </w:r>
    </w:p>
    <w:p w14:paraId="2EADC358">
      <w:pPr>
        <w:adjustRightInd w:val="0"/>
        <w:snapToGrid w:val="0"/>
        <w:spacing w:line="360" w:lineRule="exact"/>
        <w:ind w:firstLine="420" w:firstLineChars="200"/>
        <w:rPr>
          <w:rFonts w:ascii="Times New Roman" w:hAnsi="Times New Roman" w:eastAsia="宋体"/>
          <w:bCs/>
          <w:sz w:val="21"/>
        </w:rPr>
      </w:pPr>
      <w:r>
        <w:rPr>
          <w:rFonts w:ascii="Times New Roman" w:hAnsi="Times New Roman" w:eastAsia="宋体"/>
          <w:bCs/>
          <w:sz w:val="21"/>
        </w:rPr>
        <w:t>12.4.2 进度付款申请单的编制</w:t>
      </w:r>
    </w:p>
    <w:p w14:paraId="4A45C51B">
      <w:pPr>
        <w:snapToGrid w:val="0"/>
        <w:spacing w:line="360" w:lineRule="exact"/>
        <w:ind w:firstLine="420" w:firstLineChars="200"/>
        <w:rPr>
          <w:rFonts w:ascii="宋体" w:hAnsi="宋体" w:cs="宋体" w:eastAsiaTheme="minorEastAsia"/>
          <w:bCs/>
          <w:sz w:val="21"/>
          <w:szCs w:val="21"/>
          <w:u w:val="single"/>
        </w:rPr>
      </w:pPr>
      <w:r>
        <w:rPr>
          <w:rFonts w:ascii="Times New Roman" w:hAnsi="Times New Roman" w:eastAsia="宋体"/>
          <w:bCs/>
          <w:sz w:val="21"/>
        </w:rPr>
        <w:t>关于进度付款申请单编制的约定：</w:t>
      </w:r>
      <w:r>
        <w:rPr>
          <w:rFonts w:hint="eastAsia" w:ascii="宋体" w:hAnsi="宋体"/>
          <w:bCs/>
          <w:sz w:val="21"/>
          <w:szCs w:val="21"/>
          <w:u w:val="single"/>
        </w:rPr>
        <w:t>发</w:t>
      </w:r>
      <w:r>
        <w:rPr>
          <w:rFonts w:hint="eastAsia" w:ascii="宋体" w:hAnsi="宋体" w:cs="宋体"/>
          <w:bCs/>
          <w:sz w:val="21"/>
          <w:szCs w:val="21"/>
          <w:u w:val="single"/>
        </w:rPr>
        <w:t>包人向承包人支付当期按</w:t>
      </w:r>
      <w:r>
        <w:rPr>
          <w:rFonts w:ascii="宋体" w:hAnsi="宋体"/>
          <w:bCs/>
          <w:sz w:val="21"/>
          <w:szCs w:val="21"/>
          <w:u w:val="single"/>
        </w:rPr>
        <w:t>12.1</w:t>
      </w:r>
      <w:r>
        <w:rPr>
          <w:rFonts w:hint="eastAsia" w:ascii="宋体" w:hAnsi="宋体" w:cs="宋体"/>
          <w:bCs/>
          <w:sz w:val="21"/>
          <w:szCs w:val="21"/>
          <w:u w:val="single"/>
        </w:rPr>
        <w:t>、</w:t>
      </w:r>
      <w:r>
        <w:rPr>
          <w:rFonts w:ascii="宋体" w:hAnsi="宋体"/>
          <w:bCs/>
          <w:sz w:val="21"/>
          <w:szCs w:val="21"/>
          <w:u w:val="single"/>
        </w:rPr>
        <w:t>12.3</w:t>
      </w:r>
      <w:r>
        <w:rPr>
          <w:rFonts w:hint="eastAsia" w:ascii="宋体" w:hAnsi="宋体" w:cs="宋体"/>
          <w:bCs/>
          <w:sz w:val="21"/>
          <w:szCs w:val="21"/>
          <w:u w:val="single"/>
        </w:rPr>
        <w:t>款计量工程量价款的</w:t>
      </w:r>
      <w:r>
        <w:rPr>
          <w:rFonts w:hint="eastAsia" w:ascii="宋体" w:hAnsi="宋体"/>
          <w:bCs/>
          <w:sz w:val="21"/>
          <w:szCs w:val="21"/>
          <w:u w:val="single"/>
        </w:rPr>
        <w:t>80</w:t>
      </w:r>
      <w:r>
        <w:rPr>
          <w:rFonts w:ascii="宋体" w:hAnsi="宋体"/>
          <w:bCs/>
          <w:sz w:val="21"/>
          <w:szCs w:val="21"/>
          <w:u w:val="single"/>
        </w:rPr>
        <w:t>%</w:t>
      </w:r>
      <w:r>
        <w:rPr>
          <w:rFonts w:hint="eastAsia" w:ascii="宋体" w:hAnsi="宋体" w:cs="宋体"/>
          <w:bCs/>
          <w:sz w:val="21"/>
          <w:szCs w:val="21"/>
          <w:u w:val="single"/>
        </w:rPr>
        <w:t>工程价款（</w:t>
      </w:r>
      <w:r>
        <w:rPr>
          <w:rFonts w:hint="eastAsia" w:cs="宋体"/>
          <w:bCs/>
          <w:i/>
          <w:sz w:val="21"/>
          <w:szCs w:val="21"/>
          <w:u w:val="single"/>
        </w:rPr>
        <w:t>含预付款，即当期实际支付工程款为计量工程量价款的</w:t>
      </w:r>
      <w:r>
        <w:rPr>
          <w:rFonts w:hint="eastAsia" w:cs="宋体" w:eastAsiaTheme="minorEastAsia"/>
          <w:bCs/>
          <w:i/>
          <w:sz w:val="21"/>
          <w:szCs w:val="21"/>
          <w:u w:val="single"/>
        </w:rPr>
        <w:t>50</w:t>
      </w:r>
      <w:r>
        <w:rPr>
          <w:rFonts w:hint="eastAsia" w:cs="宋体"/>
          <w:bCs/>
          <w:i/>
          <w:sz w:val="21"/>
          <w:szCs w:val="21"/>
          <w:u w:val="single"/>
        </w:rPr>
        <w:t>%）</w:t>
      </w:r>
      <w:r>
        <w:rPr>
          <w:rFonts w:hint="eastAsia" w:ascii="宋体" w:hAnsi="宋体" w:cs="宋体"/>
          <w:bCs/>
          <w:sz w:val="21"/>
          <w:szCs w:val="21"/>
          <w:u w:val="single"/>
        </w:rPr>
        <w:t>。工程变更、索赔、现场签证等办理完毕的，计入当期工程进度款。</w:t>
      </w:r>
    </w:p>
    <w:p w14:paraId="24663AAB">
      <w:pPr>
        <w:snapToGrid w:val="0"/>
        <w:spacing w:line="360" w:lineRule="exact"/>
        <w:ind w:firstLine="420" w:firstLineChars="200"/>
        <w:rPr>
          <w:rFonts w:ascii="宋体" w:hAnsi="宋体"/>
          <w:bCs/>
          <w:sz w:val="21"/>
          <w:szCs w:val="21"/>
          <w:u w:val="single"/>
        </w:rPr>
      </w:pPr>
      <w:r>
        <w:rPr>
          <w:rFonts w:hint="eastAsia" w:ascii="宋体" w:hAnsi="宋体" w:cs="宋体"/>
          <w:bCs/>
          <w:sz w:val="21"/>
          <w:szCs w:val="21"/>
          <w:u w:val="single"/>
        </w:rPr>
        <w:t>合同范围内的施工内容施工完成，参建各方（建设、监理、施工、勘察、设计单位等）对工程验收并签署工程质量合格文件后，支付至进度款审核汇总的合同价格的</w:t>
      </w:r>
      <w:r>
        <w:rPr>
          <w:rFonts w:ascii="宋体" w:hAnsi="宋体"/>
          <w:bCs/>
          <w:sz w:val="21"/>
          <w:szCs w:val="21"/>
          <w:u w:val="single"/>
        </w:rPr>
        <w:t>85%</w:t>
      </w:r>
      <w:r>
        <w:rPr>
          <w:rFonts w:hint="eastAsia" w:ascii="宋体" w:hAnsi="宋体" w:cs="宋体"/>
          <w:bCs/>
          <w:sz w:val="21"/>
          <w:szCs w:val="21"/>
          <w:u w:val="single"/>
        </w:rPr>
        <w:t>（含</w:t>
      </w:r>
      <w:r>
        <w:rPr>
          <w:rFonts w:hint="eastAsia" w:ascii="宋体" w:hAnsi="宋体" w:cs="宋体" w:eastAsiaTheme="minorEastAsia"/>
          <w:bCs/>
          <w:sz w:val="21"/>
          <w:szCs w:val="21"/>
          <w:u w:val="single"/>
        </w:rPr>
        <w:t>3</w:t>
      </w:r>
      <w:r>
        <w:rPr>
          <w:rFonts w:hint="eastAsia" w:ascii="宋体" w:hAnsi="宋体" w:cs="宋体"/>
          <w:bCs/>
          <w:sz w:val="21"/>
          <w:szCs w:val="21"/>
          <w:u w:val="single"/>
        </w:rPr>
        <w:t>0%预付款）。发包人收到承包人递交的竣工结算报告及完整的结算资料后，在</w:t>
      </w:r>
      <w:r>
        <w:rPr>
          <w:rFonts w:hint="eastAsia" w:ascii="宋体" w:hAnsi="宋体"/>
          <w:bCs/>
          <w:sz w:val="21"/>
          <w:szCs w:val="21"/>
          <w:u w:val="single"/>
        </w:rPr>
        <w:t>3</w:t>
      </w:r>
      <w:r>
        <w:rPr>
          <w:rFonts w:hint="eastAsia" w:ascii="宋体" w:hAnsi="宋体" w:cs="宋体"/>
          <w:bCs/>
          <w:sz w:val="21"/>
          <w:szCs w:val="21"/>
          <w:u w:val="single"/>
        </w:rPr>
        <w:t>个月内核实并付至结算工程款的</w:t>
      </w:r>
      <w:r>
        <w:rPr>
          <w:rFonts w:ascii="宋体" w:hAnsi="宋体"/>
          <w:bCs/>
          <w:sz w:val="21"/>
          <w:szCs w:val="21"/>
          <w:u w:val="single"/>
        </w:rPr>
        <w:t>98.5%</w:t>
      </w:r>
      <w:r>
        <w:rPr>
          <w:rFonts w:hint="eastAsia" w:ascii="宋体" w:hAnsi="宋体" w:cs="宋体"/>
          <w:bCs/>
          <w:sz w:val="21"/>
          <w:szCs w:val="21"/>
          <w:u w:val="single"/>
        </w:rPr>
        <w:t>，余下结算工程款的</w:t>
      </w:r>
      <w:r>
        <w:rPr>
          <w:rFonts w:ascii="宋体" w:hAnsi="宋体"/>
          <w:bCs/>
          <w:sz w:val="21"/>
          <w:szCs w:val="21"/>
          <w:u w:val="single"/>
        </w:rPr>
        <w:t>1.5%</w:t>
      </w:r>
      <w:r>
        <w:rPr>
          <w:rFonts w:hint="eastAsia" w:ascii="宋体" w:hAnsi="宋体" w:cs="宋体"/>
          <w:bCs/>
          <w:sz w:val="21"/>
          <w:szCs w:val="21"/>
          <w:u w:val="single"/>
        </w:rPr>
        <w:t>作为质量保修金</w:t>
      </w:r>
      <w:r>
        <w:rPr>
          <w:rFonts w:ascii="宋体" w:hAnsi="宋体"/>
          <w:bCs/>
          <w:sz w:val="21"/>
          <w:szCs w:val="21"/>
          <w:u w:val="single"/>
        </w:rPr>
        <w:t>。</w:t>
      </w:r>
    </w:p>
    <w:p w14:paraId="2E027132">
      <w:pPr>
        <w:snapToGrid w:val="0"/>
        <w:spacing w:line="360" w:lineRule="exact"/>
        <w:ind w:firstLine="420" w:firstLineChars="200"/>
        <w:rPr>
          <w:rFonts w:ascii="Times New Roman" w:hAnsi="Times New Roman" w:eastAsia="宋体"/>
          <w:bCs/>
          <w:i/>
          <w:sz w:val="21"/>
          <w:u w:val="single"/>
        </w:rPr>
      </w:pPr>
      <w:r>
        <w:rPr>
          <w:rFonts w:hint="eastAsia" w:ascii="宋体" w:hAnsi="宋体"/>
          <w:bCs/>
          <w:sz w:val="21"/>
          <w:szCs w:val="21"/>
          <w:u w:val="single"/>
        </w:rPr>
        <w:t>承包人如采用银行保函〔保险保函〕等形式向发包人提供与质保期时间一致的工程质量保证金保函后（保函或保单的费用由承包人自行承担），可付至工程结算价的100%。</w:t>
      </w:r>
    </w:p>
    <w:p w14:paraId="054F4058">
      <w:pPr>
        <w:adjustRightInd w:val="0"/>
        <w:snapToGrid w:val="0"/>
        <w:spacing w:line="360" w:lineRule="exact"/>
        <w:ind w:firstLine="420" w:firstLineChars="200"/>
        <w:rPr>
          <w:rFonts w:ascii="Times New Roman" w:hAnsi="Times New Roman" w:eastAsia="宋体"/>
          <w:iCs/>
          <w:sz w:val="21"/>
        </w:rPr>
      </w:pPr>
      <w:r>
        <w:rPr>
          <w:rFonts w:hint="eastAsia" w:ascii="Times New Roman" w:hAnsi="Times New Roman" w:eastAsia="宋体"/>
          <w:iCs/>
          <w:sz w:val="21"/>
        </w:rPr>
        <w:t>政府性投资项目工程变更工程款支付条款：</w:t>
      </w:r>
      <w:r>
        <w:rPr>
          <w:rFonts w:hint="eastAsia" w:ascii="Times New Roman" w:hAnsi="Times New Roman" w:eastAsia="宋体"/>
          <w:iCs/>
          <w:sz w:val="21"/>
          <w:u w:val="single"/>
        </w:rPr>
        <w:t>工程变更，应按照</w:t>
      </w:r>
      <w:r>
        <w:rPr>
          <w:rFonts w:hint="eastAsia" w:ascii="宋体" w:hAnsi="宋体"/>
          <w:sz w:val="21"/>
          <w:szCs w:val="21"/>
          <w:u w:val="single"/>
        </w:rPr>
        <w:t>仙居县人民政府关于印发《仙居县政府投资项目工程变更管理办法》的通知（仙政发〔2022〕8号）</w:t>
      </w:r>
      <w:r>
        <w:rPr>
          <w:rFonts w:hint="eastAsia" w:ascii="Times New Roman" w:hAnsi="Times New Roman" w:eastAsia="宋体"/>
          <w:iCs/>
          <w:sz w:val="21"/>
          <w:u w:val="single"/>
        </w:rPr>
        <w:t>的规定报批，经批准的变更项目，其工程款根据变更项目的工程进度，与合同工程款支付办法同期支付。</w:t>
      </w:r>
    </w:p>
    <w:p w14:paraId="36E2EC91">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1</w:t>
      </w:r>
      <w:bookmarkEnd w:id="436"/>
      <w:bookmarkEnd w:id="437"/>
      <w:bookmarkEnd w:id="438"/>
      <w:bookmarkEnd w:id="439"/>
      <w:bookmarkEnd w:id="440"/>
      <w:bookmarkEnd w:id="441"/>
      <w:bookmarkEnd w:id="442"/>
      <w:bookmarkEnd w:id="443"/>
      <w:bookmarkEnd w:id="444"/>
      <w:bookmarkEnd w:id="445"/>
      <w:bookmarkEnd w:id="446"/>
      <w:bookmarkEnd w:id="447"/>
      <w:bookmarkEnd w:id="448"/>
      <w:bookmarkEnd w:id="449"/>
      <w:r>
        <w:rPr>
          <w:rFonts w:ascii="Times New Roman" w:hAnsi="Times New Roman" w:eastAsia="宋体"/>
          <w:sz w:val="21"/>
        </w:rPr>
        <w:t>2.4.</w:t>
      </w:r>
      <w:r>
        <w:rPr>
          <w:rFonts w:hint="eastAsia" w:ascii="Times New Roman" w:hAnsi="Times New Roman" w:eastAsia="宋体"/>
          <w:sz w:val="21"/>
        </w:rPr>
        <w:t>3</w:t>
      </w:r>
      <w:r>
        <w:rPr>
          <w:rFonts w:ascii="Times New Roman" w:hAnsi="Times New Roman" w:eastAsia="宋体"/>
          <w:sz w:val="21"/>
        </w:rPr>
        <w:t xml:space="preserve"> 进度付款申请单的提交</w:t>
      </w:r>
    </w:p>
    <w:p w14:paraId="25915C6F">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（1）单价合同进度付款申请单提交的约定</w:t>
      </w:r>
      <w:r>
        <w:rPr>
          <w:rFonts w:hint="eastAsia" w:ascii="Times New Roman" w:hAnsi="Times New Roman" w:eastAsia="宋体"/>
          <w:sz w:val="21"/>
        </w:rPr>
        <w:t>：</w:t>
      </w:r>
      <w:r>
        <w:rPr>
          <w:rFonts w:hint="eastAsia" w:ascii="Times New Roman" w:hAnsi="Times New Roman" w:eastAsia="宋体"/>
          <w:sz w:val="21"/>
          <w:u w:val="single"/>
        </w:rPr>
        <w:t>按合同通用条款</w:t>
      </w:r>
      <w:r>
        <w:rPr>
          <w:rFonts w:ascii="Times New Roman" w:hAnsi="Times New Roman" w:eastAsia="宋体"/>
          <w:sz w:val="21"/>
        </w:rPr>
        <w:t>。</w:t>
      </w:r>
    </w:p>
    <w:p w14:paraId="7330E1AF">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（2）总价合同进度付款申请单提交的约定</w:t>
      </w:r>
      <w:r>
        <w:rPr>
          <w:rFonts w:hint="eastAsia" w:ascii="Times New Roman" w:hAnsi="Times New Roman" w:eastAsia="宋体"/>
          <w:sz w:val="21"/>
        </w:rPr>
        <w:t>：</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ascii="Times New Roman" w:hAnsi="Times New Roman" w:eastAsia="宋体"/>
          <w:sz w:val="21"/>
        </w:rPr>
        <w:t>。</w:t>
      </w:r>
    </w:p>
    <w:p w14:paraId="7EB1DAF7">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（3）其他价格形式合同进度付款申请单提交的约定：</w:t>
      </w:r>
      <w:r>
        <w:rPr>
          <w:rFonts w:ascii="Times New Roman" w:hAnsi="Times New Roman" w:eastAsia="宋体"/>
          <w:sz w:val="21"/>
          <w:u w:val="single"/>
        </w:rPr>
        <w:t xml:space="preserve">      </w:t>
      </w:r>
      <w:r>
        <w:rPr>
          <w:rFonts w:hint="eastAsia" w:ascii="Times New Roman" w:hAnsi="Times New Roman" w:eastAsia="宋体"/>
          <w:sz w:val="21"/>
          <w:u w:val="single"/>
        </w:rPr>
        <w:t>/</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rPr>
        <w:t>。</w:t>
      </w:r>
    </w:p>
    <w:p w14:paraId="16CAA514">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12.4.</w:t>
      </w:r>
      <w:r>
        <w:rPr>
          <w:rFonts w:hint="eastAsia" w:ascii="Times New Roman" w:hAnsi="Times New Roman" w:eastAsia="宋体"/>
          <w:sz w:val="21"/>
        </w:rPr>
        <w:t>4</w:t>
      </w:r>
      <w:r>
        <w:rPr>
          <w:rFonts w:ascii="Times New Roman" w:hAnsi="Times New Roman" w:eastAsia="宋体"/>
          <w:sz w:val="21"/>
        </w:rPr>
        <w:t xml:space="preserve"> 进度款审核和支付</w:t>
      </w:r>
    </w:p>
    <w:p w14:paraId="51076B7C">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（1）监理人审查并报送发包人的期限：</w:t>
      </w:r>
      <w:r>
        <w:rPr>
          <w:rFonts w:hint="eastAsia" w:ascii="Times New Roman" w:hAnsi="Times New Roman" w:eastAsia="宋体"/>
          <w:sz w:val="21"/>
          <w:u w:val="single"/>
        </w:rPr>
        <w:t>按合同通用条款</w:t>
      </w:r>
      <w:r>
        <w:rPr>
          <w:rFonts w:ascii="Times New Roman" w:hAnsi="Times New Roman" w:eastAsia="宋体"/>
          <w:sz w:val="21"/>
        </w:rPr>
        <w:t>。</w:t>
      </w:r>
    </w:p>
    <w:p w14:paraId="0C4F6A5C">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发包人完成审批并签发进度款支付证书的期限：</w:t>
      </w:r>
      <w:r>
        <w:rPr>
          <w:rFonts w:hint="eastAsia" w:ascii="Times New Roman" w:hAnsi="Times New Roman" w:eastAsia="宋体"/>
          <w:sz w:val="21"/>
          <w:u w:val="single"/>
        </w:rPr>
        <w:t>按合同通用条款</w:t>
      </w:r>
      <w:r>
        <w:rPr>
          <w:rFonts w:ascii="Times New Roman" w:hAnsi="Times New Roman" w:eastAsia="宋体"/>
          <w:sz w:val="21"/>
        </w:rPr>
        <w:t>。</w:t>
      </w:r>
    </w:p>
    <w:p w14:paraId="6FC5EAE1">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（2）发包人支付进度款的期限：</w:t>
      </w:r>
      <w:r>
        <w:rPr>
          <w:rFonts w:hint="eastAsia" w:ascii="Times New Roman" w:hAnsi="Times New Roman" w:eastAsia="宋体"/>
          <w:sz w:val="21"/>
          <w:u w:val="single"/>
        </w:rPr>
        <w:t>在发包人确认计量结果后14天内完成支付</w:t>
      </w:r>
      <w:r>
        <w:rPr>
          <w:rFonts w:ascii="Times New Roman" w:hAnsi="Times New Roman" w:eastAsia="宋体"/>
          <w:sz w:val="21"/>
        </w:rPr>
        <w:t>。</w:t>
      </w:r>
    </w:p>
    <w:p w14:paraId="798CE475">
      <w:pPr>
        <w:spacing w:line="360" w:lineRule="exact"/>
        <w:ind w:firstLine="420" w:firstLineChars="200"/>
        <w:rPr>
          <w:rFonts w:ascii="仿宋_GB2312" w:hAnsi="Times New Roman" w:eastAsia="宋体"/>
          <w:sz w:val="21"/>
          <w:szCs w:val="21"/>
        </w:rPr>
      </w:pPr>
      <w:r>
        <w:rPr>
          <w:rFonts w:hint="eastAsia" w:ascii="仿宋_GB2312" w:hAnsi="Times New Roman" w:eastAsia="宋体"/>
          <w:sz w:val="21"/>
          <w:szCs w:val="21"/>
        </w:rPr>
        <w:t>发包人逾期支付进度款的违约金的计算方式：</w:t>
      </w:r>
      <w:r>
        <w:rPr>
          <w:rFonts w:hint="eastAsia" w:ascii="仿宋_GB2312" w:hAnsi="Times New Roman" w:eastAsia="宋体"/>
          <w:sz w:val="21"/>
          <w:szCs w:val="21"/>
          <w:u w:val="single"/>
        </w:rPr>
        <w:t xml:space="preserve">      /          </w:t>
      </w:r>
      <w:r>
        <w:rPr>
          <w:rFonts w:hint="eastAsia" w:ascii="仿宋_GB2312" w:hAnsi="Times New Roman" w:eastAsia="宋体"/>
          <w:sz w:val="21"/>
          <w:szCs w:val="21"/>
        </w:rPr>
        <w:t>。</w:t>
      </w:r>
    </w:p>
    <w:p w14:paraId="6BB482A2">
      <w:pPr>
        <w:adjustRightInd w:val="0"/>
        <w:snapToGrid w:val="0"/>
        <w:spacing w:line="360" w:lineRule="exact"/>
        <w:ind w:firstLine="420" w:firstLineChars="200"/>
        <w:rPr>
          <w:rFonts w:ascii="Times New Roman" w:hAnsi="Times New Roman" w:eastAsia="宋体"/>
          <w:sz w:val="21"/>
          <w:u w:val="single"/>
        </w:rPr>
      </w:pPr>
      <w:r>
        <w:rPr>
          <w:rFonts w:hint="eastAsia" w:ascii="Times New Roman" w:hAnsi="Times New Roman" w:eastAsia="宋体"/>
          <w:sz w:val="21"/>
        </w:rPr>
        <w:t>（3）</w:t>
      </w:r>
      <w:r>
        <w:rPr>
          <w:rFonts w:ascii="Times New Roman" w:hAnsi="Times New Roman" w:eastAsia="宋体"/>
          <w:sz w:val="21"/>
          <w:szCs w:val="21"/>
          <w:u w:val="single"/>
        </w:rPr>
        <w:t>发包人每月签发的工程量审核报告、进度款支付证书或临</w:t>
      </w:r>
      <w:r>
        <w:rPr>
          <w:rFonts w:hint="eastAsia" w:ascii="仿宋_GB2312" w:hAnsi="Times New Roman" w:eastAsia="宋体"/>
          <w:sz w:val="21"/>
          <w:szCs w:val="21"/>
          <w:u w:val="single"/>
        </w:rPr>
        <w:t>时进度款支付证书，不表明发包人已同意、批准或接受了承包人完成的相应部分工作或已确认计量结果，仅为本期工程款支付依据。</w:t>
      </w:r>
    </w:p>
    <w:p w14:paraId="077C4C80">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12.4.6 支付分解表的编制</w:t>
      </w:r>
    </w:p>
    <w:p w14:paraId="2136420A">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2、总价合同支付分解表的编制与审批：</w:t>
      </w:r>
      <w:r>
        <w:rPr>
          <w:rFonts w:ascii="Times New Roman" w:hAnsi="Times New Roman" w:eastAsia="宋体"/>
          <w:sz w:val="21"/>
          <w:u w:val="single"/>
        </w:rPr>
        <w:t xml:space="preserve">        </w:t>
      </w:r>
      <w:r>
        <w:rPr>
          <w:rFonts w:hint="eastAsia" w:ascii="Times New Roman" w:hAnsi="Times New Roman" w:eastAsia="宋体"/>
          <w:sz w:val="21"/>
          <w:u w:val="single"/>
        </w:rPr>
        <w:t>/</w:t>
      </w:r>
      <w:r>
        <w:rPr>
          <w:rFonts w:ascii="Times New Roman" w:hAnsi="Times New Roman" w:eastAsia="宋体"/>
          <w:sz w:val="21"/>
          <w:u w:val="single"/>
        </w:rPr>
        <w:t xml:space="preserve">          </w:t>
      </w:r>
      <w:r>
        <w:rPr>
          <w:rFonts w:ascii="Times New Roman" w:hAnsi="Times New Roman" w:eastAsia="宋体"/>
          <w:sz w:val="21"/>
        </w:rPr>
        <w:t>。</w:t>
      </w:r>
    </w:p>
    <w:p w14:paraId="726717F0">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3、单价合同的总价项目支付分解表的编制与审批：</w:t>
      </w:r>
      <w:r>
        <w:rPr>
          <w:rFonts w:ascii="Times New Roman" w:hAnsi="Times New Roman" w:eastAsia="宋体"/>
          <w:sz w:val="21"/>
          <w:u w:val="single"/>
        </w:rPr>
        <w:t xml:space="preserve">         </w:t>
      </w:r>
      <w:r>
        <w:rPr>
          <w:rFonts w:hint="eastAsia" w:ascii="Times New Roman" w:hAnsi="Times New Roman" w:eastAsia="宋体"/>
          <w:sz w:val="21"/>
          <w:u w:val="single"/>
        </w:rPr>
        <w:t>/</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ascii="Times New Roman" w:hAnsi="Times New Roman" w:eastAsia="宋体"/>
          <w:sz w:val="21"/>
        </w:rPr>
        <w:t>。</w:t>
      </w:r>
    </w:p>
    <w:p w14:paraId="1CCC748E">
      <w:pPr>
        <w:adjustRightInd w:val="0"/>
        <w:snapToGrid w:val="0"/>
        <w:spacing w:line="400" w:lineRule="exact"/>
        <w:ind w:firstLine="420" w:firstLineChars="200"/>
        <w:rPr>
          <w:rFonts w:ascii="宋体" w:hAnsi="宋体" w:eastAsia="宋体" w:cs="宋体"/>
          <w:sz w:val="21"/>
          <w:szCs w:val="21"/>
        </w:rPr>
      </w:pPr>
      <w:bookmarkStart w:id="450" w:name="_Toc351203645"/>
      <w:bookmarkStart w:id="451" w:name="_Toc297123564"/>
      <w:bookmarkStart w:id="452" w:name="_Toc292559929"/>
      <w:bookmarkStart w:id="453" w:name="_Toc296347218"/>
      <w:bookmarkStart w:id="454" w:name="_Toc300935015"/>
      <w:bookmarkStart w:id="455" w:name="_Toc297216223"/>
      <w:bookmarkStart w:id="456" w:name="_Toc303539172"/>
      <w:bookmarkStart w:id="457" w:name="_Toc304295593"/>
      <w:bookmarkStart w:id="458" w:name="_Toc292559424"/>
      <w:bookmarkStart w:id="459" w:name="_Toc296944558"/>
      <w:bookmarkStart w:id="460" w:name="_Toc296346720"/>
      <w:bookmarkStart w:id="461" w:name="_Toc297048405"/>
      <w:bookmarkStart w:id="462" w:name="_Toc296891047"/>
      <w:bookmarkStart w:id="463" w:name="_Toc297120519"/>
      <w:bookmarkStart w:id="464" w:name="_Toc312678053"/>
      <w:bookmarkStart w:id="465" w:name="_Toc296891259"/>
      <w:bookmarkStart w:id="466" w:name="_Toc296503219"/>
      <w:r>
        <w:rPr>
          <w:rFonts w:hint="eastAsia" w:ascii="宋体" w:hAnsi="宋体" w:eastAsia="宋体" w:cs="宋体"/>
          <w:bCs/>
          <w:sz w:val="21"/>
          <w:szCs w:val="21"/>
        </w:rPr>
        <w:t>12.5</w:t>
      </w:r>
      <w:r>
        <w:rPr>
          <w:rFonts w:hint="eastAsia" w:ascii="宋体" w:hAnsi="宋体" w:eastAsia="宋体" w:cs="宋体"/>
          <w:sz w:val="21"/>
          <w:szCs w:val="21"/>
        </w:rPr>
        <w:t>支付帐户</w:t>
      </w:r>
    </w:p>
    <w:p w14:paraId="3CAB7822">
      <w:pPr>
        <w:adjustRightInd w:val="0"/>
        <w:snapToGrid w:val="0"/>
        <w:spacing w:line="400" w:lineRule="exact"/>
        <w:ind w:firstLine="420" w:firstLineChars="200"/>
        <w:rPr>
          <w:rFonts w:ascii="宋体" w:hAnsi="宋体" w:eastAsia="宋体" w:cs="宋体"/>
          <w:sz w:val="21"/>
          <w:szCs w:val="21"/>
          <w:u w:val="single"/>
        </w:rPr>
      </w:pPr>
      <w:r>
        <w:rPr>
          <w:rFonts w:hint="eastAsia" w:ascii="宋体" w:hAnsi="宋体" w:eastAsia="宋体" w:cs="宋体"/>
          <w:sz w:val="21"/>
          <w:szCs w:val="21"/>
          <w:u w:val="single"/>
        </w:rPr>
        <w:t>发包人将当期应付工程进度款的(20)% 拨付到承包人的农民工工资专用账户：                        ；其余合同价款支付至合同协议书中约定的承包人帐户。</w:t>
      </w:r>
    </w:p>
    <w:p w14:paraId="15F15139">
      <w:pPr>
        <w:adjustRightInd w:val="0"/>
        <w:snapToGrid w:val="0"/>
        <w:spacing w:line="360" w:lineRule="exact"/>
        <w:ind w:firstLine="420" w:firstLineChars="200"/>
        <w:rPr>
          <w:rFonts w:ascii="宋体" w:hAnsi="宋体" w:eastAsia="宋体" w:cs="宋体"/>
          <w:b/>
          <w:sz w:val="21"/>
          <w:szCs w:val="21"/>
        </w:rPr>
      </w:pPr>
      <w:r>
        <w:rPr>
          <w:rFonts w:hint="eastAsia" w:ascii="宋体" w:hAnsi="宋体" w:eastAsia="宋体" w:cs="宋体"/>
          <w:sz w:val="21"/>
          <w:szCs w:val="21"/>
          <w:u w:val="single"/>
        </w:rPr>
        <w:t>如承包人因经营需要将合同价款支付至其他指定帐户时，应向发包人书面申请，并由承包人法定代表人或授权代表签字、盖章。</w:t>
      </w:r>
    </w:p>
    <w:p w14:paraId="48C4E561">
      <w:pPr>
        <w:adjustRightInd w:val="0"/>
        <w:snapToGrid w:val="0"/>
        <w:spacing w:line="360" w:lineRule="exact"/>
        <w:ind w:firstLine="422" w:firstLineChars="200"/>
        <w:rPr>
          <w:rFonts w:ascii="Times New Roman" w:hAnsi="Times New Roman" w:eastAsia="宋体"/>
          <w:b/>
          <w:sz w:val="21"/>
        </w:rPr>
      </w:pPr>
      <w:r>
        <w:rPr>
          <w:rFonts w:ascii="Times New Roman" w:hAnsi="Times New Roman" w:eastAsia="宋体"/>
          <w:b/>
          <w:sz w:val="21"/>
        </w:rPr>
        <w:t>13.</w:t>
      </w:r>
      <w:r>
        <w:rPr>
          <w:rFonts w:hint="eastAsia" w:ascii="Times New Roman" w:hAnsi="Times New Roman" w:eastAsia="宋体"/>
          <w:b/>
          <w:sz w:val="21"/>
        </w:rPr>
        <w:t xml:space="preserve"> </w:t>
      </w:r>
      <w:r>
        <w:rPr>
          <w:rFonts w:ascii="Times New Roman" w:hAnsi="Times New Roman" w:eastAsia="宋体"/>
          <w:b/>
          <w:sz w:val="21"/>
        </w:rPr>
        <w:t>验收和工程试车</w:t>
      </w:r>
      <w:bookmarkEnd w:id="450"/>
    </w:p>
    <w:bookmarkEnd w:id="451"/>
    <w:bookmarkEnd w:id="452"/>
    <w:bookmarkEnd w:id="453"/>
    <w:bookmarkEnd w:id="454"/>
    <w:bookmarkEnd w:id="455"/>
    <w:bookmarkEnd w:id="456"/>
    <w:bookmarkEnd w:id="457"/>
    <w:bookmarkEnd w:id="458"/>
    <w:bookmarkEnd w:id="459"/>
    <w:bookmarkEnd w:id="460"/>
    <w:bookmarkEnd w:id="461"/>
    <w:bookmarkEnd w:id="462"/>
    <w:bookmarkEnd w:id="463"/>
    <w:bookmarkEnd w:id="464"/>
    <w:bookmarkEnd w:id="465"/>
    <w:bookmarkEnd w:id="466"/>
    <w:p w14:paraId="762BA3C5">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13.1 分部分项工程验收</w:t>
      </w:r>
    </w:p>
    <w:p w14:paraId="2BC37320">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13.1.2监理人不能按时进行验收时，应提前</w:t>
      </w:r>
      <w:r>
        <w:rPr>
          <w:rFonts w:ascii="Times New Roman" w:hAnsi="Times New Roman" w:eastAsia="宋体"/>
          <w:sz w:val="21"/>
          <w:u w:val="single"/>
        </w:rPr>
        <w:t xml:space="preserve">  </w:t>
      </w:r>
      <w:r>
        <w:rPr>
          <w:rFonts w:hint="eastAsia" w:ascii="Times New Roman" w:hAnsi="Times New Roman" w:eastAsia="宋体"/>
          <w:sz w:val="21"/>
          <w:u w:val="single"/>
        </w:rPr>
        <w:t>24</w:t>
      </w:r>
      <w:r>
        <w:rPr>
          <w:rFonts w:ascii="Times New Roman" w:hAnsi="Times New Roman" w:eastAsia="宋体"/>
          <w:sz w:val="21"/>
          <w:u w:val="single"/>
        </w:rPr>
        <w:t xml:space="preserve">   </w:t>
      </w:r>
      <w:r>
        <w:rPr>
          <w:rFonts w:ascii="Times New Roman" w:hAnsi="Times New Roman" w:eastAsia="宋体"/>
          <w:sz w:val="21"/>
        </w:rPr>
        <w:t>小时提交书面延期要求。</w:t>
      </w:r>
    </w:p>
    <w:p w14:paraId="656C1744">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关于延期最长不得超过：</w:t>
      </w:r>
      <w:r>
        <w:rPr>
          <w:rFonts w:ascii="Times New Roman" w:hAnsi="Times New Roman" w:eastAsia="宋体"/>
          <w:sz w:val="21"/>
          <w:u w:val="single"/>
        </w:rPr>
        <w:t xml:space="preserve">   </w:t>
      </w:r>
      <w:r>
        <w:rPr>
          <w:rFonts w:hint="eastAsia" w:ascii="Times New Roman" w:hAnsi="Times New Roman" w:eastAsia="宋体"/>
          <w:sz w:val="21"/>
          <w:u w:val="single"/>
        </w:rPr>
        <w:t>24</w:t>
      </w:r>
      <w:r>
        <w:rPr>
          <w:rFonts w:ascii="Times New Roman" w:hAnsi="Times New Roman" w:eastAsia="宋体"/>
          <w:sz w:val="21"/>
          <w:u w:val="single"/>
        </w:rPr>
        <w:t xml:space="preserve">   </w:t>
      </w:r>
      <w:r>
        <w:rPr>
          <w:rFonts w:ascii="Times New Roman" w:hAnsi="Times New Roman" w:eastAsia="宋体"/>
          <w:sz w:val="21"/>
        </w:rPr>
        <w:t>小时。</w:t>
      </w:r>
    </w:p>
    <w:p w14:paraId="12809D74">
      <w:pPr>
        <w:adjustRightInd w:val="0"/>
        <w:snapToGrid w:val="0"/>
        <w:spacing w:line="360" w:lineRule="exact"/>
        <w:ind w:firstLine="420" w:firstLineChars="200"/>
        <w:rPr>
          <w:rFonts w:ascii="Times New Roman" w:hAnsi="Times New Roman" w:eastAsia="宋体"/>
          <w:sz w:val="21"/>
          <w:u w:val="single"/>
        </w:rPr>
      </w:pPr>
      <w:r>
        <w:rPr>
          <w:rFonts w:hint="eastAsia" w:ascii="Times New Roman" w:hAnsi="Times New Roman" w:eastAsia="宋体"/>
          <w:sz w:val="21"/>
          <w:u w:val="single"/>
        </w:rPr>
        <w:t>工程验收过程、验收部位除办理纸质验收记录，还应留置验收部位、验收过程、主要验收人员相片、影像等资料。</w:t>
      </w:r>
    </w:p>
    <w:p w14:paraId="38F2C362">
      <w:pPr>
        <w:adjustRightInd w:val="0"/>
        <w:snapToGrid w:val="0"/>
        <w:spacing w:line="360" w:lineRule="exact"/>
        <w:ind w:firstLine="420" w:firstLineChars="200"/>
        <w:rPr>
          <w:rFonts w:ascii="Times New Roman" w:hAnsi="Times New Roman" w:eastAsia="宋体"/>
          <w:sz w:val="21"/>
        </w:rPr>
      </w:pPr>
      <w:bookmarkStart w:id="467" w:name="_Toc300935016"/>
      <w:bookmarkStart w:id="468" w:name="_Toc292559428"/>
      <w:bookmarkStart w:id="469" w:name="_Toc297216224"/>
      <w:bookmarkStart w:id="470" w:name="_Toc312678056"/>
      <w:bookmarkStart w:id="471" w:name="_Toc296944562"/>
      <w:bookmarkStart w:id="472" w:name="_Toc304295596"/>
      <w:bookmarkStart w:id="473" w:name="_Toc296891051"/>
      <w:bookmarkStart w:id="474" w:name="_Toc303539173"/>
      <w:bookmarkStart w:id="475" w:name="_Toc296503223"/>
      <w:bookmarkStart w:id="476" w:name="_Toc296347222"/>
      <w:bookmarkStart w:id="477" w:name="_Toc297123565"/>
      <w:bookmarkStart w:id="478" w:name="_Toc296891263"/>
      <w:bookmarkStart w:id="479" w:name="_Toc296346724"/>
      <w:bookmarkStart w:id="480" w:name="_Toc292559933"/>
      <w:bookmarkStart w:id="481" w:name="_Toc297048409"/>
      <w:bookmarkStart w:id="482" w:name="_Toc297120523"/>
      <w:r>
        <w:rPr>
          <w:rFonts w:ascii="Times New Roman" w:hAnsi="Times New Roman" w:eastAsia="宋体"/>
          <w:sz w:val="21"/>
        </w:rPr>
        <w:t>13.2 竣工验收</w:t>
      </w:r>
    </w:p>
    <w:bookmarkEnd w:id="467"/>
    <w:bookmarkEnd w:id="468"/>
    <w:bookmarkEnd w:id="469"/>
    <w:bookmarkEnd w:id="470"/>
    <w:bookmarkEnd w:id="471"/>
    <w:bookmarkEnd w:id="472"/>
    <w:bookmarkEnd w:id="473"/>
    <w:bookmarkEnd w:id="474"/>
    <w:bookmarkEnd w:id="475"/>
    <w:bookmarkEnd w:id="476"/>
    <w:bookmarkEnd w:id="477"/>
    <w:bookmarkEnd w:id="478"/>
    <w:bookmarkEnd w:id="479"/>
    <w:bookmarkEnd w:id="480"/>
    <w:bookmarkEnd w:id="481"/>
    <w:bookmarkEnd w:id="482"/>
    <w:p w14:paraId="7979099F">
      <w:pPr>
        <w:adjustRightInd w:val="0"/>
        <w:snapToGrid w:val="0"/>
        <w:spacing w:line="360" w:lineRule="exact"/>
        <w:ind w:firstLine="420" w:firstLineChars="200"/>
        <w:rPr>
          <w:rFonts w:ascii="Times New Roman" w:hAnsi="Times New Roman" w:eastAsia="宋体"/>
          <w:sz w:val="21"/>
        </w:rPr>
      </w:pPr>
      <w:bookmarkStart w:id="483" w:name="_Toc280868704"/>
      <w:bookmarkStart w:id="484" w:name="_Toc280868705"/>
      <w:bookmarkStart w:id="485" w:name="_Toc280868706"/>
      <w:bookmarkStart w:id="486" w:name="_Toc280868707"/>
      <w:bookmarkStart w:id="487" w:name="_Toc280868708"/>
      <w:r>
        <w:rPr>
          <w:rFonts w:ascii="Times New Roman" w:hAnsi="Times New Roman" w:eastAsia="宋体"/>
          <w:sz w:val="21"/>
        </w:rPr>
        <w:t>13.2.2竣工验收程序</w:t>
      </w:r>
    </w:p>
    <w:bookmarkEnd w:id="483"/>
    <w:p w14:paraId="61855843">
      <w:pPr>
        <w:adjustRightInd w:val="0"/>
        <w:snapToGrid w:val="0"/>
        <w:spacing w:line="360" w:lineRule="exact"/>
        <w:ind w:firstLine="420" w:firstLineChars="200"/>
        <w:rPr>
          <w:rFonts w:ascii="Times New Roman" w:hAnsi="Times New Roman" w:eastAsia="宋体"/>
          <w:sz w:val="21"/>
          <w:u w:val="single"/>
        </w:rPr>
      </w:pPr>
      <w:r>
        <w:rPr>
          <w:rFonts w:ascii="Times New Roman" w:hAnsi="Times New Roman" w:eastAsia="宋体"/>
          <w:sz w:val="21"/>
        </w:rPr>
        <w:t>关于竣工验收程序的约定</w:t>
      </w:r>
      <w:r>
        <w:rPr>
          <w:rFonts w:ascii="Times New Roman" w:hAnsi="Times New Roman" w:eastAsia="宋体"/>
          <w:sz w:val="21"/>
          <w:u w:val="single"/>
        </w:rPr>
        <w:t>：</w:t>
      </w:r>
      <w:r>
        <w:rPr>
          <w:rFonts w:hint="eastAsia" w:ascii="宋体" w:hAnsi="宋体" w:cs="宋体"/>
          <w:sz w:val="21"/>
          <w:szCs w:val="21"/>
          <w:u w:val="single"/>
        </w:rPr>
        <w:t>按通用条款执行</w:t>
      </w:r>
      <w:r>
        <w:rPr>
          <w:rFonts w:hint="eastAsia" w:ascii="Times New Roman" w:hAnsi="Times New Roman" w:eastAsia="宋体"/>
          <w:sz w:val="21"/>
          <w:u w:val="single"/>
        </w:rPr>
        <w:t>。</w:t>
      </w:r>
    </w:p>
    <w:p w14:paraId="416A5BA6">
      <w:pPr>
        <w:adjustRightInd w:val="0"/>
        <w:snapToGrid w:val="0"/>
        <w:spacing w:line="360" w:lineRule="exact"/>
        <w:ind w:firstLine="420" w:firstLineChars="200"/>
        <w:rPr>
          <w:rFonts w:ascii="Times New Roman" w:hAnsi="Times New Roman" w:eastAsia="宋体"/>
          <w:sz w:val="21"/>
          <w:u w:val="single"/>
        </w:rPr>
      </w:pPr>
      <w:r>
        <w:rPr>
          <w:rFonts w:hint="eastAsia" w:ascii="Times New Roman" w:hAnsi="Times New Roman" w:eastAsia="宋体"/>
          <w:sz w:val="21"/>
        </w:rPr>
        <w:t>其他竣工验收程序的约定：</w:t>
      </w:r>
      <w:r>
        <w:rPr>
          <w:rFonts w:hint="eastAsia" w:ascii="Times New Roman" w:hAnsi="Times New Roman" w:eastAsia="宋体"/>
          <w:sz w:val="21"/>
          <w:u w:val="single"/>
        </w:rPr>
        <w:t>按通用条款</w:t>
      </w:r>
      <w:r>
        <w:rPr>
          <w:rFonts w:ascii="Times New Roman" w:hAnsi="Times New Roman" w:eastAsia="宋体"/>
          <w:sz w:val="21"/>
          <w:u w:val="single"/>
        </w:rPr>
        <w:t xml:space="preserve">   </w:t>
      </w:r>
      <w:r>
        <w:rPr>
          <w:rFonts w:hint="eastAsia" w:ascii="Times New Roman" w:hAnsi="Times New Roman" w:eastAsia="宋体"/>
          <w:sz w:val="21"/>
          <w:u w:val="single"/>
        </w:rPr>
        <w:t>。</w:t>
      </w:r>
    </w:p>
    <w:p w14:paraId="696E9AD1">
      <w:pPr>
        <w:adjustRightInd w:val="0"/>
        <w:snapToGrid w:val="0"/>
        <w:spacing w:line="360" w:lineRule="exact"/>
        <w:ind w:firstLine="420" w:firstLineChars="200"/>
        <w:rPr>
          <w:rFonts w:ascii="Times New Roman" w:hAnsi="Times New Roman" w:eastAsia="宋体"/>
          <w:sz w:val="21"/>
        </w:rPr>
      </w:pPr>
      <w:r>
        <w:rPr>
          <w:rFonts w:hint="eastAsia" w:ascii="宋体" w:hAnsi="宋体" w:cs="宋体"/>
          <w:sz w:val="21"/>
          <w:szCs w:val="21"/>
          <w:u w:val="single"/>
        </w:rPr>
        <w:t>承包人完成合同范围内的工程内容，向发包人或监理人提出验收申请，发包人应在监理人收到承包人提交的验收申请报告42天内组织监理人、承包人、设计勘察人等相关单位完成验收，并签署工程质量合格文件</w:t>
      </w:r>
      <w:r>
        <w:rPr>
          <w:rFonts w:hint="eastAsia" w:ascii="宋体" w:hAnsi="宋体" w:cs="宋体"/>
          <w:sz w:val="21"/>
          <w:szCs w:val="21"/>
        </w:rPr>
        <w:t>。</w:t>
      </w:r>
      <w:r>
        <w:rPr>
          <w:rFonts w:hint="eastAsia" w:ascii="宋体" w:hAnsi="宋体" w:cs="宋体"/>
          <w:sz w:val="21"/>
          <w:szCs w:val="21"/>
          <w:u w:val="single"/>
        </w:rPr>
        <w:t>承包人须配合发包人进行工程竣工验收。</w:t>
      </w:r>
    </w:p>
    <w:p w14:paraId="61DAFB42">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发包人不按照本项约定组织竣工验收、颁发工程接收证书的违约金的计算方法：</w:t>
      </w:r>
      <w:r>
        <w:rPr>
          <w:rFonts w:hint="eastAsia" w:ascii="Times New Roman" w:hAnsi="Times New Roman" w:eastAsia="宋体"/>
          <w:sz w:val="21"/>
          <w:u w:val="single"/>
        </w:rPr>
        <w:t>不计违约金</w:t>
      </w:r>
      <w:r>
        <w:rPr>
          <w:rFonts w:ascii="Times New Roman" w:hAnsi="Times New Roman" w:eastAsia="宋体"/>
          <w:sz w:val="21"/>
        </w:rPr>
        <w:t>。</w:t>
      </w:r>
    </w:p>
    <w:p w14:paraId="1F77C140">
      <w:pPr>
        <w:adjustRightInd w:val="0"/>
        <w:snapToGrid w:val="0"/>
        <w:spacing w:line="360" w:lineRule="exact"/>
        <w:ind w:firstLine="420" w:firstLineChars="200"/>
        <w:rPr>
          <w:rFonts w:ascii="Times New Roman" w:hAnsi="Times New Roman" w:eastAsia="宋体"/>
          <w:sz w:val="21"/>
          <w:u w:val="single"/>
        </w:rPr>
      </w:pPr>
      <w:r>
        <w:rPr>
          <w:rFonts w:hint="eastAsia" w:ascii="Times New Roman" w:hAnsi="Times New Roman" w:eastAsia="宋体"/>
          <w:sz w:val="21"/>
          <w:u w:val="single"/>
        </w:rPr>
        <w:t>因发包人原因，未在监理人接收到承包人提交的竣工验收申请报告42天内完成验收，或完成验收不予签发工程接收证书的，以提交竣工验收申请报告的日期为实际竣工日期</w:t>
      </w:r>
      <w:r>
        <w:rPr>
          <w:rFonts w:ascii="Times New Roman" w:hAnsi="Times New Roman" w:eastAsia="宋体"/>
          <w:sz w:val="21"/>
          <w:u w:val="single"/>
        </w:rPr>
        <w:t>。</w:t>
      </w:r>
    </w:p>
    <w:bookmarkEnd w:id="484"/>
    <w:p w14:paraId="5C8102C2">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13.2.5移交、接收全部与部分工程</w:t>
      </w:r>
    </w:p>
    <w:bookmarkEnd w:id="485"/>
    <w:p w14:paraId="09A60C79">
      <w:pPr>
        <w:adjustRightInd w:val="0"/>
        <w:snapToGrid w:val="0"/>
        <w:spacing w:line="360" w:lineRule="exact"/>
        <w:ind w:firstLine="420" w:firstLineChars="200"/>
        <w:rPr>
          <w:rFonts w:ascii="Times New Roman" w:hAnsi="Times New Roman" w:eastAsia="宋体"/>
          <w:sz w:val="21"/>
        </w:rPr>
      </w:pPr>
      <w:r>
        <w:rPr>
          <w:rFonts w:hint="eastAsia" w:ascii="Times New Roman" w:hAnsi="Times New Roman" w:eastAsia="宋体"/>
          <w:sz w:val="21"/>
        </w:rPr>
        <w:t>承包人向发包人移交工程的期限：</w:t>
      </w:r>
      <w:r>
        <w:rPr>
          <w:rFonts w:hint="eastAsia" w:ascii="Times New Roman" w:hAnsi="Times New Roman" w:eastAsia="宋体"/>
          <w:sz w:val="21"/>
          <w:u w:val="single"/>
        </w:rPr>
        <w:t>按通用条款执行</w:t>
      </w:r>
      <w:r>
        <w:rPr>
          <w:rFonts w:hint="eastAsia" w:ascii="Times New Roman" w:hAnsi="Times New Roman" w:eastAsia="宋体"/>
          <w:sz w:val="21"/>
        </w:rPr>
        <w:t>。</w:t>
      </w:r>
    </w:p>
    <w:p w14:paraId="5109CD18">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发包人未按本合同约定接收全部或部分工程的，违约金的计算方法为：</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ascii="Times New Roman" w:hAnsi="Times New Roman" w:eastAsia="宋体"/>
          <w:sz w:val="21"/>
        </w:rPr>
        <w:t>。</w:t>
      </w:r>
    </w:p>
    <w:bookmarkEnd w:id="486"/>
    <w:p w14:paraId="5C9390FD">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承包人未按时移交工程的，违约金的计算方法为：</w:t>
      </w:r>
      <w:r>
        <w:rPr>
          <w:rFonts w:hint="eastAsia" w:ascii="Times New Roman" w:hAnsi="Times New Roman" w:eastAsia="宋体"/>
          <w:sz w:val="21"/>
          <w:u w:val="single"/>
        </w:rPr>
        <w:t xml:space="preserve">                 </w:t>
      </w:r>
      <w:r>
        <w:rPr>
          <w:rFonts w:ascii="Times New Roman" w:hAnsi="Times New Roman" w:eastAsia="宋体"/>
          <w:sz w:val="21"/>
        </w:rPr>
        <w:t>。</w:t>
      </w:r>
    </w:p>
    <w:p w14:paraId="1502090C">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13.3 工程试车</w:t>
      </w:r>
    </w:p>
    <w:bookmarkEnd w:id="487"/>
    <w:p w14:paraId="40F60350">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13.3.1 试车程序</w:t>
      </w:r>
    </w:p>
    <w:p w14:paraId="21F322D1">
      <w:pPr>
        <w:adjustRightInd w:val="0"/>
        <w:snapToGrid w:val="0"/>
        <w:spacing w:line="360" w:lineRule="exact"/>
        <w:ind w:firstLine="420" w:firstLineChars="200"/>
        <w:rPr>
          <w:rFonts w:ascii="Times New Roman" w:hAnsi="Times New Roman" w:eastAsia="宋体"/>
          <w:sz w:val="21"/>
          <w:u w:val="single"/>
        </w:rPr>
      </w:pPr>
      <w:r>
        <w:rPr>
          <w:rFonts w:ascii="Times New Roman" w:hAnsi="Times New Roman" w:eastAsia="宋体"/>
          <w:sz w:val="21"/>
        </w:rPr>
        <w:t>工程试车内容：</w:t>
      </w:r>
      <w:r>
        <w:rPr>
          <w:rFonts w:ascii="Times New Roman" w:hAnsi="Times New Roman" w:eastAsia="宋体"/>
          <w:sz w:val="21"/>
          <w:u w:val="single"/>
        </w:rPr>
        <w:t xml:space="preserve">             </w:t>
      </w:r>
      <w:r>
        <w:rPr>
          <w:rFonts w:hint="eastAsia" w:ascii="Times New Roman" w:hAnsi="Times New Roman" w:eastAsia="宋体"/>
          <w:sz w:val="21"/>
          <w:u w:val="single"/>
        </w:rPr>
        <w:t xml:space="preserve">    /          </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hint="eastAsia" w:ascii="Times New Roman" w:hAnsi="Times New Roman" w:eastAsia="宋体"/>
          <w:sz w:val="21"/>
          <w:u w:val="single"/>
        </w:rPr>
        <w:t>。</w:t>
      </w:r>
    </w:p>
    <w:p w14:paraId="0C213E76">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（1）单机无负荷试车费用由</w:t>
      </w:r>
      <w:r>
        <w:rPr>
          <w:rFonts w:ascii="Times New Roman" w:hAnsi="Times New Roman" w:eastAsia="宋体"/>
          <w:sz w:val="21"/>
          <w:u w:val="single"/>
        </w:rPr>
        <w:t xml:space="preserve">         </w:t>
      </w:r>
      <w:r>
        <w:rPr>
          <w:rFonts w:hint="eastAsia" w:ascii="Times New Roman" w:hAnsi="Times New Roman" w:eastAsia="宋体"/>
          <w:sz w:val="21"/>
          <w:u w:val="single"/>
        </w:rPr>
        <w:t>/</w:t>
      </w:r>
      <w:r>
        <w:rPr>
          <w:rFonts w:ascii="Times New Roman" w:hAnsi="Times New Roman" w:eastAsia="宋体"/>
          <w:sz w:val="21"/>
          <w:u w:val="single"/>
        </w:rPr>
        <w:t xml:space="preserve">            </w:t>
      </w:r>
      <w:r>
        <w:rPr>
          <w:rFonts w:ascii="Times New Roman" w:hAnsi="Times New Roman" w:eastAsia="宋体"/>
          <w:sz w:val="21"/>
        </w:rPr>
        <w:t>承担；</w:t>
      </w:r>
    </w:p>
    <w:p w14:paraId="0D155072">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（2）无负荷联动试车费用由</w:t>
      </w:r>
      <w:r>
        <w:rPr>
          <w:rFonts w:ascii="Times New Roman" w:hAnsi="Times New Roman" w:eastAsia="宋体"/>
          <w:sz w:val="21"/>
          <w:u w:val="single"/>
        </w:rPr>
        <w:t xml:space="preserve">         </w:t>
      </w:r>
      <w:r>
        <w:rPr>
          <w:rFonts w:hint="eastAsia" w:ascii="Times New Roman" w:hAnsi="Times New Roman" w:eastAsia="宋体"/>
          <w:sz w:val="21"/>
          <w:u w:val="single"/>
        </w:rPr>
        <w:t>/</w:t>
      </w:r>
      <w:r>
        <w:rPr>
          <w:rFonts w:ascii="Times New Roman" w:hAnsi="Times New Roman" w:eastAsia="宋体"/>
          <w:sz w:val="21"/>
          <w:u w:val="single"/>
        </w:rPr>
        <w:t xml:space="preserve">            </w:t>
      </w:r>
      <w:r>
        <w:rPr>
          <w:rFonts w:ascii="Times New Roman" w:hAnsi="Times New Roman" w:eastAsia="宋体"/>
          <w:sz w:val="21"/>
        </w:rPr>
        <w:t>承担。</w:t>
      </w:r>
    </w:p>
    <w:p w14:paraId="235DE8E6">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13.3.3 投料试车</w:t>
      </w:r>
    </w:p>
    <w:p w14:paraId="31B3BE3B">
      <w:pPr>
        <w:adjustRightInd w:val="0"/>
        <w:snapToGrid w:val="0"/>
        <w:spacing w:line="360" w:lineRule="exact"/>
        <w:ind w:firstLine="420" w:firstLineChars="200"/>
        <w:rPr>
          <w:rFonts w:ascii="Times New Roman" w:hAnsi="Times New Roman" w:eastAsia="宋体"/>
          <w:sz w:val="21"/>
          <w:u w:val="single"/>
        </w:rPr>
      </w:pPr>
      <w:r>
        <w:rPr>
          <w:rFonts w:hint="eastAsia" w:ascii="Times New Roman" w:hAnsi="Times New Roman" w:eastAsia="宋体"/>
          <w:sz w:val="21"/>
        </w:rPr>
        <w:t>关于投料试车相关事项的约定：</w:t>
      </w:r>
      <w:r>
        <w:rPr>
          <w:rFonts w:hint="eastAsia" w:ascii="Times New Roman" w:hAnsi="Times New Roman" w:eastAsia="宋体"/>
          <w:sz w:val="21"/>
          <w:u w:val="single"/>
        </w:rPr>
        <w:t xml:space="preserve">              /             </w:t>
      </w:r>
    </w:p>
    <w:p w14:paraId="61C80D6F">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13.6 竣工退场</w:t>
      </w:r>
    </w:p>
    <w:p w14:paraId="381E55FA">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13.6.1 竣工退场</w:t>
      </w:r>
    </w:p>
    <w:p w14:paraId="5AE43FA4">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承包人完成竣工退场的期限：</w:t>
      </w:r>
      <w:r>
        <w:rPr>
          <w:rFonts w:hint="eastAsia" w:ascii="Times New Roman" w:hAnsi="Times New Roman" w:eastAsia="宋体"/>
          <w:sz w:val="21"/>
          <w:u w:val="single"/>
        </w:rPr>
        <w:t>颁发工程接收证书后7天内</w:t>
      </w:r>
      <w:r>
        <w:rPr>
          <w:rFonts w:ascii="Times New Roman" w:hAnsi="Times New Roman" w:eastAsia="宋体"/>
          <w:sz w:val="21"/>
          <w:u w:val="single"/>
        </w:rPr>
        <w:t xml:space="preserve">  </w:t>
      </w:r>
      <w:r>
        <w:rPr>
          <w:rFonts w:ascii="Times New Roman" w:hAnsi="Times New Roman" w:eastAsia="宋体"/>
          <w:sz w:val="21"/>
        </w:rPr>
        <w:t>。</w:t>
      </w:r>
    </w:p>
    <w:p w14:paraId="78597F83">
      <w:pPr>
        <w:adjustRightInd w:val="0"/>
        <w:snapToGrid w:val="0"/>
        <w:spacing w:line="360" w:lineRule="exact"/>
        <w:ind w:firstLine="422" w:firstLineChars="200"/>
        <w:rPr>
          <w:rFonts w:ascii="Times New Roman" w:hAnsi="Times New Roman" w:eastAsia="宋体"/>
          <w:b/>
          <w:sz w:val="21"/>
        </w:rPr>
      </w:pPr>
      <w:bookmarkStart w:id="488" w:name="_Toc351203646"/>
      <w:r>
        <w:rPr>
          <w:rFonts w:ascii="Times New Roman" w:hAnsi="Times New Roman" w:eastAsia="宋体"/>
          <w:b/>
          <w:sz w:val="21"/>
        </w:rPr>
        <w:t>14. 竣工结算</w:t>
      </w:r>
      <w:bookmarkEnd w:id="488"/>
    </w:p>
    <w:p w14:paraId="75190993">
      <w:pPr>
        <w:spacing w:line="360" w:lineRule="exact"/>
        <w:ind w:firstLine="420" w:firstLineChars="200"/>
        <w:rPr>
          <w:rFonts w:ascii="Times New Roman" w:hAnsi="Times New Roman" w:eastAsia="宋体"/>
          <w:sz w:val="21"/>
          <w:szCs w:val="21"/>
        </w:rPr>
      </w:pPr>
      <w:r>
        <w:rPr>
          <w:rFonts w:ascii="Times New Roman" w:hAnsi="Times New Roman" w:eastAsia="宋体"/>
          <w:sz w:val="21"/>
          <w:szCs w:val="21"/>
        </w:rPr>
        <w:t>14.1 竣工</w:t>
      </w:r>
      <w:r>
        <w:rPr>
          <w:rFonts w:hint="eastAsia" w:ascii="Times New Roman" w:hAnsi="Times New Roman" w:eastAsia="宋体"/>
          <w:sz w:val="21"/>
          <w:szCs w:val="21"/>
        </w:rPr>
        <w:t>结算</w:t>
      </w:r>
      <w:r>
        <w:rPr>
          <w:rFonts w:ascii="Times New Roman" w:hAnsi="Times New Roman" w:eastAsia="宋体"/>
          <w:sz w:val="21"/>
          <w:szCs w:val="21"/>
        </w:rPr>
        <w:t>申请</w:t>
      </w:r>
    </w:p>
    <w:p w14:paraId="30F8E45F">
      <w:pPr>
        <w:spacing w:line="360" w:lineRule="exact"/>
        <w:ind w:firstLine="420" w:firstLineChars="200"/>
        <w:rPr>
          <w:rFonts w:ascii="宋体" w:hAnsi="宋体" w:eastAsia="宋体"/>
          <w:sz w:val="21"/>
          <w:szCs w:val="21"/>
          <w:u w:val="single"/>
        </w:rPr>
      </w:pPr>
      <w:r>
        <w:rPr>
          <w:rFonts w:hint="eastAsia" w:ascii="Times New Roman" w:hAnsi="Times New Roman" w:eastAsia="宋体"/>
          <w:sz w:val="21"/>
          <w:szCs w:val="21"/>
          <w:u w:val="single"/>
        </w:rPr>
        <w:t>承包人应在完成合同范围内施工内容，工程建设各方主体（建设、监理、施工、勘察、设计单位等）对工程验收并签署工程质量合格文件后</w:t>
      </w:r>
      <w:r>
        <w:rPr>
          <w:rFonts w:ascii="Times New Roman" w:hAnsi="Times New Roman" w:eastAsia="宋体"/>
          <w:sz w:val="21"/>
          <w:szCs w:val="21"/>
          <w:u w:val="single"/>
        </w:rPr>
        <w:t>90</w:t>
      </w:r>
      <w:r>
        <w:rPr>
          <w:rFonts w:hint="eastAsia" w:ascii="Times New Roman" w:hAnsi="Times New Roman" w:eastAsia="宋体"/>
          <w:sz w:val="21"/>
          <w:szCs w:val="21"/>
          <w:u w:val="single"/>
        </w:rPr>
        <w:t>天内向发包人或监理人提交竣工结算申请单，并提交完整的工程结算资料一套。超过90天未提交竣工结算资料，经发包人催告后28天，承包人还不提交竣工结算资料的，发包人可根据自己资料办理竣工结算，且视为承包人认可竣工结算结果。</w:t>
      </w:r>
    </w:p>
    <w:p w14:paraId="3D3348B1">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14.2 竣工结算审核</w:t>
      </w:r>
    </w:p>
    <w:p w14:paraId="7C3B8C7C">
      <w:pPr>
        <w:adjustRightInd w:val="0"/>
        <w:snapToGrid w:val="0"/>
        <w:spacing w:line="360" w:lineRule="exact"/>
        <w:ind w:firstLine="420" w:firstLineChars="200"/>
        <w:rPr>
          <w:rFonts w:ascii="Times New Roman" w:hAnsi="Times New Roman" w:eastAsia="宋体"/>
          <w:sz w:val="21"/>
        </w:rPr>
      </w:pPr>
      <w:r>
        <w:rPr>
          <w:rFonts w:hint="eastAsia" w:ascii="Times New Roman" w:hAnsi="Times New Roman" w:eastAsia="宋体"/>
          <w:sz w:val="21"/>
        </w:rPr>
        <w:t>（1）发包人结算审核时间：</w:t>
      </w:r>
      <w:r>
        <w:rPr>
          <w:rFonts w:hint="eastAsia" w:ascii="Times New Roman" w:hAnsi="Times New Roman" w:eastAsia="宋体"/>
          <w:sz w:val="21"/>
          <w:u w:val="single"/>
        </w:rPr>
        <w:t>发包人收到承包人递交的竣工结算报告及结算资料后，在3个月内审核完毕，并签发竣工结算证书</w:t>
      </w:r>
      <w:r>
        <w:rPr>
          <w:rFonts w:hint="eastAsia" w:ascii="Times New Roman" w:hAnsi="Times New Roman" w:eastAsia="宋体"/>
          <w:sz w:val="21"/>
        </w:rPr>
        <w:t>。</w:t>
      </w:r>
    </w:p>
    <w:p w14:paraId="347BFD16">
      <w:pPr>
        <w:adjustRightInd w:val="0"/>
        <w:snapToGrid w:val="0"/>
        <w:spacing w:line="360" w:lineRule="exact"/>
        <w:ind w:firstLine="420" w:firstLineChars="200"/>
        <w:rPr>
          <w:rFonts w:ascii="Times New Roman" w:hAnsi="Times New Roman" w:eastAsia="宋体"/>
          <w:sz w:val="21"/>
        </w:rPr>
      </w:pPr>
      <w:r>
        <w:rPr>
          <w:rFonts w:hint="eastAsia" w:ascii="仿宋_GB2312" w:hAnsi="Times New Roman" w:eastAsia="宋体"/>
          <w:sz w:val="21"/>
          <w:szCs w:val="21"/>
        </w:rPr>
        <w:t>由发包人原因逾期审核责任：</w:t>
      </w:r>
      <w:r>
        <w:rPr>
          <w:rFonts w:hint="eastAsia" w:ascii="仿宋_GB2312" w:hAnsi="Times New Roman" w:eastAsia="宋体"/>
          <w:sz w:val="21"/>
          <w:szCs w:val="21"/>
          <w:u w:val="single"/>
        </w:rPr>
        <w:t xml:space="preserve">       /              。</w:t>
      </w:r>
    </w:p>
    <w:p w14:paraId="3637367B">
      <w:pPr>
        <w:adjustRightInd w:val="0"/>
        <w:snapToGrid w:val="0"/>
        <w:spacing w:line="360" w:lineRule="exact"/>
        <w:ind w:firstLine="420" w:firstLineChars="200"/>
        <w:rPr>
          <w:rFonts w:ascii="Times New Roman" w:hAnsi="Times New Roman" w:eastAsia="宋体"/>
          <w:sz w:val="21"/>
          <w:u w:val="single"/>
        </w:rPr>
      </w:pPr>
      <w:r>
        <w:rPr>
          <w:rFonts w:hint="eastAsia" w:ascii="Times New Roman" w:hAnsi="Times New Roman" w:eastAsia="宋体"/>
          <w:sz w:val="21"/>
          <w:u w:val="single"/>
        </w:rPr>
        <w:t>（2）</w:t>
      </w:r>
      <w:r>
        <w:rPr>
          <w:rFonts w:hint="eastAsia" w:ascii="仿宋_GB2312" w:hAnsi="Times New Roman" w:eastAsia="宋体"/>
          <w:sz w:val="21"/>
          <w:szCs w:val="21"/>
          <w:u w:val="single"/>
        </w:rPr>
        <w:t>发包人在签发竣工结算证书后</w:t>
      </w:r>
      <w:r>
        <w:rPr>
          <w:rFonts w:ascii="Times New Roman" w:hAnsi="Times New Roman" w:eastAsia="宋体"/>
          <w:sz w:val="21"/>
          <w:szCs w:val="21"/>
          <w:u w:val="single"/>
        </w:rPr>
        <w:t>14</w:t>
      </w:r>
      <w:r>
        <w:rPr>
          <w:rFonts w:hint="eastAsia" w:ascii="仿宋_GB2312" w:hAnsi="Times New Roman" w:eastAsia="宋体"/>
          <w:sz w:val="21"/>
          <w:szCs w:val="21"/>
          <w:u w:val="single"/>
        </w:rPr>
        <w:t xml:space="preserve">天内，扣留工程质量保证金后完成对承包人的竣工付款。 </w:t>
      </w:r>
    </w:p>
    <w:p w14:paraId="5042E85E">
      <w:pPr>
        <w:adjustRightInd w:val="0"/>
        <w:snapToGrid w:val="0"/>
        <w:spacing w:line="360" w:lineRule="exact"/>
        <w:ind w:firstLine="420" w:firstLineChars="200"/>
        <w:rPr>
          <w:rFonts w:ascii="Times New Roman" w:hAnsi="Times New Roman" w:eastAsia="宋体"/>
          <w:sz w:val="21"/>
          <w:u w:val="single"/>
        </w:rPr>
      </w:pPr>
      <w:r>
        <w:rPr>
          <w:rFonts w:hint="eastAsia" w:ascii="Times New Roman" w:hAnsi="Times New Roman" w:eastAsia="宋体"/>
          <w:sz w:val="21"/>
          <w:u w:val="single"/>
        </w:rPr>
        <w:t>（3）承包人对发包人签认的结算价有异议的，发包人可先支付承包人无异议部分结算款。异议部分重新进行复核或按照第20条</w:t>
      </w:r>
      <w:r>
        <w:rPr>
          <w:rFonts w:hint="eastAsia" w:ascii="Times New Roman" w:hAnsi="Times New Roman" w:eastAsia="宋体"/>
          <w:sz w:val="21"/>
          <w:szCs w:val="21"/>
          <w:u w:val="single"/>
        </w:rPr>
        <w:t>〔争议解决约定〕</w:t>
      </w:r>
      <w:r>
        <w:rPr>
          <w:rFonts w:hint="eastAsia" w:ascii="Times New Roman" w:hAnsi="Times New Roman" w:eastAsia="宋体"/>
          <w:sz w:val="21"/>
          <w:u w:val="single"/>
        </w:rPr>
        <w:t>处理。</w:t>
      </w:r>
    </w:p>
    <w:p w14:paraId="75EB531C">
      <w:pPr>
        <w:adjustRightInd w:val="0"/>
        <w:snapToGrid w:val="0"/>
        <w:spacing w:line="360" w:lineRule="exact"/>
        <w:ind w:firstLine="420" w:firstLineChars="200"/>
        <w:rPr>
          <w:rFonts w:ascii="Times New Roman" w:hAnsi="Times New Roman" w:eastAsia="宋体"/>
          <w:sz w:val="21"/>
        </w:rPr>
      </w:pPr>
      <w:r>
        <w:rPr>
          <w:rFonts w:hint="eastAsia" w:ascii="Times New Roman" w:hAnsi="Times New Roman" w:eastAsia="宋体"/>
          <w:sz w:val="21"/>
        </w:rPr>
        <w:t>（4）结算特殊要求：</w:t>
      </w:r>
      <w:r>
        <w:rPr>
          <w:rFonts w:hint="eastAsia" w:ascii="宋体" w:hAnsi="宋体" w:eastAsia="宋体"/>
          <w:i/>
          <w:sz w:val="21"/>
          <w:u w:val="single"/>
        </w:rPr>
        <w:t>工程结算按政府有关管理规定，由相关部门审核，结算核减率超过5%时，则超过部分的审核费（基数为超过送审造价5％的幅度以外的核减额）由承包人负责。</w:t>
      </w:r>
    </w:p>
    <w:p w14:paraId="393404C0">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14.4 最终结清</w:t>
      </w:r>
    </w:p>
    <w:p w14:paraId="19DE5187">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14.4.1 最终结清申请单</w:t>
      </w:r>
    </w:p>
    <w:p w14:paraId="612CAB8B">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承包人提交最终结清申请单的份数：</w:t>
      </w:r>
      <w:r>
        <w:rPr>
          <w:rFonts w:ascii="Times New Roman" w:hAnsi="Times New Roman" w:eastAsia="宋体"/>
          <w:sz w:val="21"/>
          <w:u w:val="single"/>
        </w:rPr>
        <w:t xml:space="preserve">   </w:t>
      </w:r>
      <w:r>
        <w:rPr>
          <w:rFonts w:hint="eastAsia" w:ascii="Times New Roman" w:hAnsi="Times New Roman" w:eastAsia="宋体"/>
          <w:sz w:val="21"/>
          <w:u w:val="single"/>
        </w:rPr>
        <w:t>满足发包人及相关部门审查要求</w:t>
      </w:r>
      <w:r>
        <w:rPr>
          <w:rFonts w:ascii="Times New Roman" w:hAnsi="Times New Roman" w:eastAsia="宋体"/>
          <w:sz w:val="21"/>
          <w:u w:val="single"/>
        </w:rPr>
        <w:t xml:space="preserve">  </w:t>
      </w:r>
      <w:r>
        <w:rPr>
          <w:rFonts w:ascii="Times New Roman" w:hAnsi="Times New Roman" w:eastAsia="宋体"/>
          <w:sz w:val="21"/>
        </w:rPr>
        <w:t>。</w:t>
      </w:r>
    </w:p>
    <w:p w14:paraId="30A7C8EC">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承包人提交最终结算申请单的期限：</w:t>
      </w:r>
      <w:r>
        <w:rPr>
          <w:rFonts w:ascii="Times New Roman" w:hAnsi="Times New Roman" w:eastAsia="宋体"/>
          <w:sz w:val="21"/>
          <w:u w:val="single"/>
        </w:rPr>
        <w:t xml:space="preserve">    </w:t>
      </w:r>
      <w:r>
        <w:rPr>
          <w:rFonts w:hint="eastAsia" w:ascii="Times New Roman" w:hAnsi="Times New Roman" w:eastAsia="宋体"/>
          <w:sz w:val="21"/>
          <w:u w:val="single"/>
        </w:rPr>
        <w:t>发包人另行书面通知</w:t>
      </w:r>
      <w:r>
        <w:rPr>
          <w:rFonts w:ascii="Times New Roman" w:hAnsi="Times New Roman" w:eastAsia="宋体"/>
          <w:sz w:val="21"/>
          <w:u w:val="single"/>
        </w:rPr>
        <w:t xml:space="preserve">    </w:t>
      </w:r>
      <w:r>
        <w:rPr>
          <w:rFonts w:ascii="Times New Roman" w:hAnsi="Times New Roman" w:eastAsia="宋体"/>
          <w:sz w:val="21"/>
        </w:rPr>
        <w:t xml:space="preserve">。 </w:t>
      </w:r>
    </w:p>
    <w:p w14:paraId="66CD6C0D">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14.4.2 最终结清证书和支付</w:t>
      </w:r>
    </w:p>
    <w:p w14:paraId="6C5E1B01">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（1）发包人完成最终结清申请单的</w:t>
      </w:r>
      <w:r>
        <w:rPr>
          <w:rFonts w:hint="eastAsia" w:ascii="Times New Roman" w:hAnsi="Times New Roman" w:eastAsia="宋体"/>
          <w:sz w:val="21"/>
        </w:rPr>
        <w:t>审批</w:t>
      </w:r>
      <w:r>
        <w:rPr>
          <w:rFonts w:ascii="Times New Roman" w:hAnsi="Times New Roman" w:eastAsia="宋体"/>
          <w:sz w:val="21"/>
        </w:rPr>
        <w:t>并颁发最终结清证书的期限：</w:t>
      </w:r>
      <w:r>
        <w:rPr>
          <w:rFonts w:hint="eastAsia" w:ascii="Times New Roman" w:hAnsi="Times New Roman" w:eastAsia="宋体"/>
          <w:sz w:val="21"/>
          <w:u w:val="single"/>
        </w:rPr>
        <w:t>按通用条款</w:t>
      </w:r>
      <w:r>
        <w:rPr>
          <w:rFonts w:ascii="Times New Roman" w:hAnsi="Times New Roman" w:eastAsia="宋体"/>
          <w:sz w:val="21"/>
          <w:u w:val="single"/>
        </w:rPr>
        <w:t xml:space="preserve">  </w:t>
      </w:r>
      <w:r>
        <w:rPr>
          <w:rFonts w:ascii="Times New Roman" w:hAnsi="Times New Roman" w:eastAsia="宋体"/>
          <w:sz w:val="21"/>
        </w:rPr>
        <w:t>。</w:t>
      </w:r>
    </w:p>
    <w:p w14:paraId="62B0020B">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（2）发包人完成支付的期限：</w:t>
      </w:r>
      <w:r>
        <w:rPr>
          <w:rFonts w:hint="eastAsia" w:ascii="Times New Roman" w:hAnsi="Times New Roman" w:eastAsia="宋体"/>
          <w:sz w:val="21"/>
          <w:u w:val="single"/>
        </w:rPr>
        <w:t>按通用条款</w:t>
      </w:r>
      <w:r>
        <w:rPr>
          <w:rFonts w:ascii="Times New Roman" w:hAnsi="Times New Roman" w:eastAsia="宋体"/>
          <w:sz w:val="21"/>
          <w:u w:val="single"/>
        </w:rPr>
        <w:t xml:space="preserve">  </w:t>
      </w:r>
      <w:r>
        <w:rPr>
          <w:rFonts w:ascii="Times New Roman" w:hAnsi="Times New Roman" w:eastAsia="宋体"/>
          <w:sz w:val="21"/>
        </w:rPr>
        <w:t>。</w:t>
      </w:r>
    </w:p>
    <w:p w14:paraId="3DA18C77">
      <w:pPr>
        <w:adjustRightInd w:val="0"/>
        <w:snapToGrid w:val="0"/>
        <w:spacing w:line="360" w:lineRule="exact"/>
        <w:ind w:firstLine="422" w:firstLineChars="200"/>
        <w:rPr>
          <w:rFonts w:ascii="Times New Roman" w:hAnsi="Times New Roman" w:eastAsia="宋体"/>
          <w:b/>
          <w:sz w:val="21"/>
        </w:rPr>
      </w:pPr>
      <w:bookmarkStart w:id="489" w:name="_Toc351203647"/>
      <w:bookmarkStart w:id="490" w:name="_Toc267251483"/>
      <w:bookmarkStart w:id="491" w:name="_Toc267251482"/>
      <w:bookmarkStart w:id="492" w:name="_Toc267251484"/>
      <w:bookmarkStart w:id="493" w:name="_Toc267251485"/>
      <w:bookmarkStart w:id="494" w:name="_Toc267251486"/>
      <w:bookmarkStart w:id="495" w:name="_Toc267251490"/>
      <w:bookmarkStart w:id="496" w:name="_Toc267251488"/>
      <w:bookmarkStart w:id="497" w:name="_Toc267251489"/>
      <w:r>
        <w:rPr>
          <w:rFonts w:ascii="Times New Roman" w:hAnsi="Times New Roman" w:eastAsia="宋体"/>
          <w:b/>
          <w:sz w:val="21"/>
        </w:rPr>
        <w:t>15. 缺陷责任期与保修</w:t>
      </w:r>
      <w:bookmarkEnd w:id="489"/>
    </w:p>
    <w:p w14:paraId="185D82F3">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15.2缺陷责任期</w:t>
      </w:r>
      <w:bookmarkEnd w:id="490"/>
    </w:p>
    <w:p w14:paraId="2D5FD4ED">
      <w:pPr>
        <w:adjustRightInd w:val="0"/>
        <w:snapToGrid w:val="0"/>
        <w:spacing w:line="360" w:lineRule="exact"/>
        <w:ind w:firstLine="420" w:firstLineChars="200"/>
        <w:rPr>
          <w:rFonts w:ascii="Times New Roman" w:hAnsi="Times New Roman" w:eastAsia="宋体"/>
          <w:sz w:val="21"/>
          <w:u w:val="single"/>
        </w:rPr>
      </w:pPr>
      <w:r>
        <w:rPr>
          <w:rFonts w:ascii="Times New Roman" w:hAnsi="Times New Roman" w:eastAsia="宋体"/>
          <w:sz w:val="21"/>
        </w:rPr>
        <w:t>缺陷责任期的具体期限：</w:t>
      </w:r>
      <w:r>
        <w:rPr>
          <w:rFonts w:hint="eastAsia" w:ascii="Times New Roman" w:hAnsi="Times New Roman" w:eastAsia="宋体"/>
          <w:sz w:val="21"/>
          <w:u w:val="single"/>
        </w:rPr>
        <w:t>缺陷责任期24个月</w:t>
      </w:r>
      <w:r>
        <w:rPr>
          <w:rFonts w:hint="eastAsia" w:ascii="宋体" w:hAnsi="宋体" w:cs="宋体"/>
          <w:sz w:val="21"/>
          <w:szCs w:val="21"/>
          <w:u w:val="single"/>
        </w:rPr>
        <w:t>，其余按通用条款执行。</w:t>
      </w:r>
    </w:p>
    <w:p w14:paraId="1391D838">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15.3 质量保证金</w:t>
      </w:r>
    </w:p>
    <w:p w14:paraId="5313B959">
      <w:pPr>
        <w:adjustRightInd w:val="0"/>
        <w:snapToGrid w:val="0"/>
        <w:spacing w:line="360" w:lineRule="exact"/>
        <w:ind w:firstLine="420" w:firstLineChars="200"/>
        <w:rPr>
          <w:rFonts w:ascii="Times New Roman" w:hAnsi="Times New Roman" w:eastAsia="宋体"/>
          <w:sz w:val="21"/>
        </w:rPr>
      </w:pPr>
      <w:r>
        <w:rPr>
          <w:rFonts w:hint="eastAsia" w:ascii="Times New Roman" w:hAnsi="Times New Roman" w:eastAsia="宋体"/>
          <w:sz w:val="21"/>
        </w:rPr>
        <w:t>关于是否扣留质量保证金的约定：</w:t>
      </w:r>
      <w:r>
        <w:rPr>
          <w:rFonts w:hint="eastAsia" w:ascii="Times New Roman" w:hAnsi="Times New Roman" w:eastAsia="宋体"/>
          <w:sz w:val="21"/>
          <w:u w:val="single"/>
        </w:rPr>
        <w:t xml:space="preserve">    /      </w:t>
      </w:r>
      <w:r>
        <w:rPr>
          <w:rFonts w:ascii="Times New Roman" w:hAnsi="Times New Roman" w:eastAsia="宋体"/>
          <w:sz w:val="21"/>
        </w:rPr>
        <w:t>。</w:t>
      </w:r>
    </w:p>
    <w:p w14:paraId="774DF657">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 xml:space="preserve">15.3.1 </w:t>
      </w:r>
      <w:r>
        <w:rPr>
          <w:rFonts w:hint="eastAsia" w:ascii="Times New Roman" w:hAnsi="Times New Roman" w:eastAsia="宋体"/>
          <w:sz w:val="21"/>
        </w:rPr>
        <w:t>承包人提供</w:t>
      </w:r>
      <w:r>
        <w:rPr>
          <w:rFonts w:ascii="Times New Roman" w:hAnsi="Times New Roman" w:eastAsia="宋体"/>
          <w:sz w:val="21"/>
        </w:rPr>
        <w:t>质量保证金的</w:t>
      </w:r>
      <w:r>
        <w:rPr>
          <w:rFonts w:hint="eastAsia" w:ascii="Times New Roman" w:hAnsi="Times New Roman" w:eastAsia="宋体"/>
          <w:sz w:val="21"/>
        </w:rPr>
        <w:t>方</w:t>
      </w:r>
      <w:r>
        <w:rPr>
          <w:rFonts w:ascii="Times New Roman" w:hAnsi="Times New Roman" w:eastAsia="宋体"/>
          <w:sz w:val="21"/>
        </w:rPr>
        <w:t>式</w:t>
      </w:r>
    </w:p>
    <w:p w14:paraId="67EECAB1">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质量保证金采用以下第</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ascii="Times New Roman" w:hAnsi="Times New Roman" w:eastAsia="宋体"/>
          <w:sz w:val="21"/>
        </w:rPr>
        <w:t>种方式：</w:t>
      </w:r>
    </w:p>
    <w:p w14:paraId="1CDA6F62">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（1）质量保证金保函，保证金额为：</w:t>
      </w:r>
      <w:r>
        <w:rPr>
          <w:rFonts w:ascii="Times New Roman" w:hAnsi="Times New Roman" w:eastAsia="宋体"/>
          <w:sz w:val="21"/>
          <w:u w:val="single"/>
        </w:rPr>
        <w:t xml:space="preserve"> 1.5 %</w:t>
      </w:r>
      <w:r>
        <w:rPr>
          <w:rFonts w:hint="eastAsia" w:ascii="Times New Roman" w:hAnsi="Times New Roman" w:eastAsia="宋体"/>
          <w:sz w:val="21"/>
          <w:u w:val="single"/>
        </w:rPr>
        <w:t>的工程结算价款</w:t>
      </w:r>
      <w:r>
        <w:rPr>
          <w:rFonts w:ascii="Times New Roman" w:hAnsi="Times New Roman" w:eastAsia="宋体"/>
          <w:sz w:val="21"/>
          <w:u w:val="single"/>
        </w:rPr>
        <w:t xml:space="preserve">  </w:t>
      </w:r>
      <w:r>
        <w:rPr>
          <w:rFonts w:ascii="Times New Roman" w:hAnsi="Times New Roman" w:eastAsia="宋体"/>
          <w:sz w:val="21"/>
        </w:rPr>
        <w:t xml:space="preserve">； </w:t>
      </w:r>
    </w:p>
    <w:p w14:paraId="21357CD8">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（2）</w:t>
      </w:r>
      <w:r>
        <w:rPr>
          <w:rFonts w:hint="eastAsia" w:ascii="Times New Roman" w:hAnsi="Times New Roman" w:eastAsia="宋体"/>
          <w:sz w:val="21"/>
          <w:u w:val="single"/>
        </w:rPr>
        <w:t xml:space="preserve"> 1.5</w:t>
      </w:r>
      <w:r>
        <w:rPr>
          <w:rFonts w:ascii="Times New Roman" w:hAnsi="Times New Roman" w:eastAsia="宋体"/>
          <w:sz w:val="21"/>
          <w:u w:val="single"/>
        </w:rPr>
        <w:t xml:space="preserve">  </w:t>
      </w:r>
      <w:r>
        <w:rPr>
          <w:rFonts w:ascii="Times New Roman" w:hAnsi="Times New Roman" w:eastAsia="宋体"/>
          <w:sz w:val="21"/>
        </w:rPr>
        <w:t>%的工程</w:t>
      </w:r>
      <w:r>
        <w:rPr>
          <w:rFonts w:hint="eastAsia" w:ascii="Times New Roman" w:hAnsi="Times New Roman" w:eastAsia="宋体"/>
          <w:sz w:val="21"/>
        </w:rPr>
        <w:t>结算价</w:t>
      </w:r>
      <w:r>
        <w:rPr>
          <w:rFonts w:ascii="Times New Roman" w:hAnsi="Times New Roman" w:eastAsia="宋体"/>
          <w:sz w:val="21"/>
        </w:rPr>
        <w:t>款；</w:t>
      </w:r>
    </w:p>
    <w:p w14:paraId="69A8D798">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（3）其他</w:t>
      </w:r>
      <w:r>
        <w:rPr>
          <w:rFonts w:hint="eastAsia" w:ascii="Times New Roman" w:hAnsi="Times New Roman" w:eastAsia="宋体"/>
          <w:sz w:val="21"/>
        </w:rPr>
        <w:t>方</w:t>
      </w:r>
      <w:r>
        <w:rPr>
          <w:rFonts w:ascii="Times New Roman" w:hAnsi="Times New Roman" w:eastAsia="宋体"/>
          <w:sz w:val="21"/>
        </w:rPr>
        <w:t>式:</w:t>
      </w:r>
      <w:r>
        <w:rPr>
          <w:rFonts w:ascii="Times New Roman" w:hAnsi="Times New Roman" w:eastAsia="宋体"/>
          <w:sz w:val="21"/>
          <w:u w:val="single"/>
        </w:rPr>
        <w:t xml:space="preserve">          </w:t>
      </w:r>
      <w:r>
        <w:rPr>
          <w:rFonts w:hint="eastAsia" w:ascii="Times New Roman" w:hAnsi="Times New Roman" w:eastAsia="宋体"/>
          <w:sz w:val="21"/>
          <w:u w:val="single"/>
        </w:rPr>
        <w:t xml:space="preserve">      /                 </w:t>
      </w:r>
      <w:r>
        <w:rPr>
          <w:rFonts w:ascii="Times New Roman" w:hAnsi="Times New Roman" w:eastAsia="宋体"/>
          <w:sz w:val="21"/>
          <w:u w:val="single"/>
        </w:rPr>
        <w:t xml:space="preserve">      </w:t>
      </w:r>
      <w:r>
        <w:rPr>
          <w:rFonts w:ascii="Times New Roman" w:hAnsi="Times New Roman" w:eastAsia="宋体"/>
          <w:sz w:val="21"/>
        </w:rPr>
        <w:t>。</w:t>
      </w:r>
    </w:p>
    <w:p w14:paraId="36C775F7">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 xml:space="preserve">15.3.2 质量保证金的扣留 </w:t>
      </w:r>
    </w:p>
    <w:p w14:paraId="2ED1B20C">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质量保证金的扣留采取以下第</w:t>
      </w:r>
      <w:r>
        <w:rPr>
          <w:rFonts w:ascii="Times New Roman" w:hAnsi="Times New Roman" w:eastAsia="宋体"/>
          <w:sz w:val="21"/>
          <w:u w:val="single"/>
        </w:rPr>
        <w:t xml:space="preserve"> </w:t>
      </w:r>
      <w:r>
        <w:rPr>
          <w:rFonts w:hint="eastAsia" w:ascii="Times New Roman" w:hAnsi="Times New Roman" w:eastAsia="宋体"/>
          <w:sz w:val="21"/>
          <w:u w:val="single"/>
        </w:rPr>
        <w:t xml:space="preserve"> （3）</w:t>
      </w:r>
      <w:r>
        <w:rPr>
          <w:rFonts w:ascii="Times New Roman" w:hAnsi="Times New Roman" w:eastAsia="宋体"/>
          <w:sz w:val="21"/>
          <w:u w:val="single"/>
        </w:rPr>
        <w:t xml:space="preserve">  </w:t>
      </w:r>
      <w:r>
        <w:rPr>
          <w:rFonts w:ascii="Times New Roman" w:hAnsi="Times New Roman" w:eastAsia="宋体"/>
          <w:sz w:val="21"/>
        </w:rPr>
        <w:t>种方式：</w:t>
      </w:r>
    </w:p>
    <w:p w14:paraId="06D7FF2C">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（1）在支付工程进度款时逐次扣留，在此情形下，质量保证金的计算基数不包括预付款的支付、扣回以及价格调整的金额；</w:t>
      </w:r>
    </w:p>
    <w:p w14:paraId="077BF156">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（2）工程竣工结算时一次性扣留质量保证金；</w:t>
      </w:r>
    </w:p>
    <w:p w14:paraId="5C1BC7ED">
      <w:pPr>
        <w:adjustRightInd w:val="0"/>
        <w:snapToGrid w:val="0"/>
        <w:spacing w:line="360" w:lineRule="exact"/>
        <w:ind w:firstLine="420" w:firstLineChars="200"/>
        <w:rPr>
          <w:rFonts w:ascii="Times New Roman" w:hAnsi="Times New Roman"/>
          <w:sz w:val="21"/>
          <w:u w:val="single"/>
        </w:rPr>
      </w:pPr>
      <w:r>
        <w:rPr>
          <w:rFonts w:ascii="Times New Roman" w:hAnsi="Times New Roman" w:eastAsia="宋体"/>
          <w:sz w:val="21"/>
        </w:rPr>
        <w:t>（3）其他扣留方式:</w:t>
      </w:r>
      <w:r>
        <w:rPr>
          <w:rFonts w:ascii="Times New Roman" w:hAnsi="Times New Roman" w:eastAsia="宋体"/>
          <w:sz w:val="21"/>
          <w:u w:val="single"/>
        </w:rPr>
        <w:t xml:space="preserve"> </w:t>
      </w:r>
      <w:r>
        <w:rPr>
          <w:rFonts w:hint="eastAsia" w:ascii="Times New Roman" w:hAnsi="Times New Roman" w:eastAsia="宋体"/>
          <w:sz w:val="21"/>
          <w:u w:val="single"/>
        </w:rPr>
        <w:t>承包人提供质量保证金保函后</w:t>
      </w:r>
      <w:r>
        <w:rPr>
          <w:rFonts w:ascii="Times New Roman" w:hAnsi="Times New Roman" w:eastAsia="宋体"/>
          <w:sz w:val="21"/>
          <w:u w:val="single"/>
        </w:rPr>
        <w:t>,</w:t>
      </w:r>
      <w:r>
        <w:rPr>
          <w:rFonts w:hint="eastAsia" w:ascii="Times New Roman" w:hAnsi="Times New Roman" w:eastAsia="宋体"/>
          <w:sz w:val="21"/>
          <w:u w:val="single"/>
        </w:rPr>
        <w:t>发包人付清工程结算价款。工程实际竣工验收合格后，工程质量保修期满后，质量保证金保函自动失效（质量保证金保函期限与工程质量保修书保修期限一致）；承包人如以现金的方式提供质量保证金，发包人退还质量保证金不计息。</w:t>
      </w:r>
    </w:p>
    <w:p w14:paraId="352507A7">
      <w:pPr>
        <w:adjustRightInd w:val="0"/>
        <w:snapToGrid w:val="0"/>
        <w:spacing w:line="360" w:lineRule="exact"/>
        <w:ind w:firstLine="420" w:firstLineChars="200"/>
        <w:rPr>
          <w:rFonts w:ascii="Times New Roman" w:hAnsi="Times New Roman" w:eastAsia="宋体"/>
          <w:sz w:val="21"/>
          <w:u w:val="single"/>
        </w:rPr>
      </w:pPr>
      <w:r>
        <w:rPr>
          <w:rFonts w:hint="eastAsia" w:ascii="Times New Roman" w:hAnsi="Times New Roman" w:eastAsia="宋体"/>
          <w:sz w:val="21"/>
        </w:rPr>
        <w:t>关于质量保证金的补充约定：</w:t>
      </w:r>
      <w:r>
        <w:rPr>
          <w:rFonts w:hint="eastAsia" w:ascii="Times New Roman" w:hAnsi="Times New Roman" w:eastAsia="宋体"/>
          <w:sz w:val="21"/>
          <w:u w:val="single"/>
        </w:rPr>
        <w:t>发包人退还质量保证金不计息。</w:t>
      </w:r>
    </w:p>
    <w:p w14:paraId="003AAEFF">
      <w:pPr>
        <w:adjustRightInd w:val="0"/>
        <w:snapToGrid w:val="0"/>
        <w:spacing w:line="360" w:lineRule="exact"/>
        <w:ind w:firstLine="420" w:firstLineChars="200"/>
        <w:rPr>
          <w:rFonts w:ascii="Times New Roman" w:hAnsi="Times New Roman" w:eastAsia="宋体"/>
          <w:sz w:val="21"/>
        </w:rPr>
      </w:pPr>
      <w:r>
        <w:rPr>
          <w:rFonts w:hint="eastAsia" w:ascii="Times New Roman" w:hAnsi="Times New Roman" w:eastAsia="宋体"/>
          <w:sz w:val="21"/>
        </w:rPr>
        <w:t>15.3.3 质量保证金的退还</w:t>
      </w:r>
    </w:p>
    <w:p w14:paraId="5C1A7430">
      <w:pPr>
        <w:adjustRightInd w:val="0"/>
        <w:snapToGrid w:val="0"/>
        <w:spacing w:line="360" w:lineRule="exact"/>
        <w:ind w:firstLine="420" w:firstLineChars="200"/>
        <w:rPr>
          <w:rFonts w:ascii="Times New Roman" w:hAnsi="Times New Roman" w:eastAsia="宋体"/>
          <w:sz w:val="21"/>
        </w:rPr>
      </w:pPr>
      <w:r>
        <w:rPr>
          <w:rFonts w:hint="eastAsia" w:ascii="Times New Roman" w:hAnsi="Times New Roman" w:eastAsia="宋体"/>
          <w:sz w:val="21"/>
        </w:rPr>
        <w:t>质量保证金按以下第</w:t>
      </w:r>
      <w:r>
        <w:rPr>
          <w:rFonts w:hint="eastAsia" w:ascii="Times New Roman" w:hAnsi="Times New Roman" w:eastAsia="宋体"/>
          <w:sz w:val="21"/>
          <w:u w:val="single"/>
        </w:rPr>
        <w:t xml:space="preserve">（2） </w:t>
      </w:r>
      <w:r>
        <w:rPr>
          <w:rFonts w:hint="eastAsia" w:ascii="Times New Roman" w:hAnsi="Times New Roman" w:eastAsia="宋体"/>
          <w:sz w:val="21"/>
        </w:rPr>
        <w:t>方式退回：</w:t>
      </w:r>
    </w:p>
    <w:p w14:paraId="73B3D1E0">
      <w:pPr>
        <w:adjustRightInd w:val="0"/>
        <w:snapToGrid w:val="0"/>
        <w:spacing w:line="360" w:lineRule="exact"/>
        <w:ind w:firstLine="420" w:firstLineChars="200"/>
        <w:rPr>
          <w:rFonts w:ascii="Times New Roman" w:hAnsi="Times New Roman" w:eastAsia="宋体"/>
          <w:sz w:val="21"/>
        </w:rPr>
      </w:pPr>
      <w:r>
        <w:rPr>
          <w:rFonts w:hint="eastAsia" w:ascii="Times New Roman" w:hAnsi="Times New Roman" w:eastAsia="宋体"/>
          <w:sz w:val="21"/>
        </w:rPr>
        <w:t>（1）缺陷责任期终止后，发包人退还剩余的质量保证金（是否计息）。</w:t>
      </w:r>
    </w:p>
    <w:p w14:paraId="2B677A2F">
      <w:pPr>
        <w:adjustRightInd w:val="0"/>
        <w:snapToGrid w:val="0"/>
        <w:spacing w:line="360" w:lineRule="exact"/>
        <w:ind w:firstLine="420" w:firstLineChars="200"/>
        <w:rPr>
          <w:rFonts w:ascii="Times New Roman" w:hAnsi="Times New Roman" w:eastAsia="宋体"/>
          <w:sz w:val="21"/>
        </w:rPr>
      </w:pPr>
      <w:r>
        <w:rPr>
          <w:rFonts w:hint="eastAsia" w:ascii="Times New Roman" w:hAnsi="Times New Roman" w:eastAsia="宋体"/>
          <w:sz w:val="21"/>
        </w:rPr>
        <w:t>（2）建筑工程：</w:t>
      </w:r>
      <w:r>
        <w:rPr>
          <w:rFonts w:hint="eastAsia" w:ascii="仿宋_GB2312" w:hAnsi="宋体" w:eastAsia="宋体"/>
          <w:sz w:val="21"/>
          <w:szCs w:val="21"/>
        </w:rPr>
        <w:t>工程实际竣工验收合格后满一年返还</w:t>
      </w:r>
      <w:r>
        <w:rPr>
          <w:rFonts w:hint="eastAsia" w:ascii="仿宋_GB2312" w:hAnsi="Times New Roman" w:eastAsia="宋体"/>
          <w:sz w:val="21"/>
          <w:szCs w:val="21"/>
        </w:rPr>
        <w:t>质量保证金</w:t>
      </w:r>
      <w:r>
        <w:rPr>
          <w:rFonts w:hint="eastAsia" w:ascii="仿宋_GB2312" w:hAnsi="宋体" w:eastAsia="宋体"/>
          <w:sz w:val="21"/>
          <w:szCs w:val="21"/>
        </w:rPr>
        <w:t>的30%，质量缺陷保修期后返还全部预留的质量保证金。</w:t>
      </w:r>
    </w:p>
    <w:p w14:paraId="2D401E16">
      <w:pPr>
        <w:adjustRightInd w:val="0"/>
        <w:snapToGrid w:val="0"/>
        <w:spacing w:line="360" w:lineRule="exact"/>
        <w:ind w:firstLine="420" w:firstLineChars="200"/>
        <w:rPr>
          <w:rFonts w:ascii="Times New Roman" w:hAnsi="Times New Roman" w:eastAsia="宋体"/>
          <w:sz w:val="21"/>
        </w:rPr>
      </w:pPr>
      <w:r>
        <w:rPr>
          <w:rFonts w:hint="eastAsia" w:ascii="Times New Roman" w:hAnsi="Times New Roman" w:eastAsia="宋体"/>
          <w:sz w:val="21"/>
        </w:rPr>
        <w:t>（3）市政工程：工程实际竣工验收合格后满一年可返还全部质量保证金。</w:t>
      </w:r>
    </w:p>
    <w:p w14:paraId="548F0B53">
      <w:pPr>
        <w:adjustRightInd w:val="0"/>
        <w:snapToGrid w:val="0"/>
        <w:spacing w:line="360" w:lineRule="exact"/>
        <w:ind w:firstLine="420" w:firstLineChars="200"/>
        <w:rPr>
          <w:rFonts w:ascii="Times New Roman" w:hAnsi="Times New Roman" w:eastAsia="宋体"/>
          <w:sz w:val="21"/>
        </w:rPr>
      </w:pPr>
      <w:r>
        <w:rPr>
          <w:rFonts w:hint="eastAsia" w:ascii="Times New Roman" w:hAnsi="Times New Roman" w:eastAsia="宋体"/>
          <w:sz w:val="21"/>
        </w:rPr>
        <w:t>（4）其它：</w:t>
      </w:r>
      <w:r>
        <w:rPr>
          <w:rFonts w:hint="eastAsia" w:ascii="Times New Roman" w:hAnsi="Times New Roman" w:eastAsia="宋体"/>
          <w:sz w:val="21"/>
          <w:u w:val="single"/>
        </w:rPr>
        <w:t xml:space="preserve">       </w:t>
      </w:r>
      <w:r>
        <w:rPr>
          <w:rFonts w:hint="eastAsia" w:ascii="宋体" w:hAnsi="宋体" w:eastAsia="宋体"/>
          <w:i/>
          <w:iCs/>
          <w:sz w:val="21"/>
          <w:szCs w:val="21"/>
          <w:u w:val="single"/>
        </w:rPr>
        <w:t xml:space="preserve">/         </w:t>
      </w:r>
      <w:r>
        <w:rPr>
          <w:rFonts w:hint="eastAsia" w:ascii="Times New Roman" w:hAnsi="Times New Roman" w:eastAsia="宋体"/>
          <w:sz w:val="21"/>
        </w:rPr>
        <w:t>。</w:t>
      </w:r>
    </w:p>
    <w:bookmarkEnd w:id="491"/>
    <w:bookmarkEnd w:id="492"/>
    <w:p w14:paraId="39CB9F47">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15.4保修</w:t>
      </w:r>
    </w:p>
    <w:bookmarkEnd w:id="493"/>
    <w:p w14:paraId="3102C776">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15.4.1 保修责任</w:t>
      </w:r>
    </w:p>
    <w:p w14:paraId="5E7F78E3">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工程保修期为：</w:t>
      </w:r>
      <w:r>
        <w:rPr>
          <w:rFonts w:hint="eastAsia" w:ascii="Times New Roman" w:hAnsi="Times New Roman" w:eastAsia="宋体"/>
          <w:sz w:val="21"/>
          <w:u w:val="single"/>
        </w:rPr>
        <w:t>按本合同附件3《工程质量保修书》</w:t>
      </w:r>
      <w:r>
        <w:rPr>
          <w:rFonts w:ascii="Times New Roman" w:hAnsi="Times New Roman" w:eastAsia="宋体"/>
          <w:sz w:val="21"/>
          <w:u w:val="single"/>
        </w:rPr>
        <w:t xml:space="preserve"> </w:t>
      </w:r>
      <w:r>
        <w:rPr>
          <w:rFonts w:ascii="Times New Roman" w:hAnsi="Times New Roman" w:eastAsia="宋体"/>
          <w:sz w:val="21"/>
        </w:rPr>
        <w:t>。</w:t>
      </w:r>
    </w:p>
    <w:p w14:paraId="5A4EA96E">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15.4.3 修复通知</w:t>
      </w:r>
    </w:p>
    <w:p w14:paraId="38448A95">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承包人收到保修通知并到达工程现场的合理时间：</w:t>
      </w:r>
      <w:r>
        <w:rPr>
          <w:rFonts w:hint="eastAsia" w:ascii="Times New Roman" w:hAnsi="Times New Roman" w:eastAsia="宋体"/>
          <w:sz w:val="21"/>
          <w:u w:val="single"/>
        </w:rPr>
        <w:t xml:space="preserve">   按本合同附件3《工程质量保修书》  </w:t>
      </w:r>
      <w:r>
        <w:rPr>
          <w:rFonts w:ascii="Times New Roman" w:hAnsi="Times New Roman" w:eastAsia="宋体"/>
          <w:sz w:val="21"/>
        </w:rPr>
        <w:t>。</w:t>
      </w:r>
    </w:p>
    <w:bookmarkEnd w:id="494"/>
    <w:bookmarkEnd w:id="495"/>
    <w:bookmarkEnd w:id="496"/>
    <w:bookmarkEnd w:id="497"/>
    <w:p w14:paraId="27A0CA8D">
      <w:pPr>
        <w:adjustRightInd w:val="0"/>
        <w:snapToGrid w:val="0"/>
        <w:spacing w:line="360" w:lineRule="exact"/>
        <w:ind w:firstLine="422" w:firstLineChars="200"/>
        <w:rPr>
          <w:rFonts w:ascii="Times New Roman" w:hAnsi="Times New Roman" w:eastAsia="宋体"/>
          <w:b/>
          <w:sz w:val="21"/>
        </w:rPr>
      </w:pPr>
      <w:bookmarkStart w:id="498" w:name="_Toc351203648"/>
      <w:bookmarkStart w:id="499" w:name="_Toc280868717"/>
      <w:bookmarkStart w:id="500" w:name="_Toc280868718"/>
      <w:r>
        <w:rPr>
          <w:rFonts w:ascii="Times New Roman" w:hAnsi="Times New Roman" w:eastAsia="宋体"/>
          <w:b/>
          <w:sz w:val="21"/>
        </w:rPr>
        <w:t>16. 违约</w:t>
      </w:r>
      <w:bookmarkEnd w:id="498"/>
    </w:p>
    <w:p w14:paraId="32C8A544">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16.1 发包人违约</w:t>
      </w:r>
    </w:p>
    <w:p w14:paraId="73EB9255">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16.1.1发包人违约的情形</w:t>
      </w:r>
    </w:p>
    <w:p w14:paraId="0749E56F">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发包人违约的其他情形：</w:t>
      </w:r>
      <w:r>
        <w:rPr>
          <w:rFonts w:hint="eastAsia" w:ascii="Times New Roman" w:hAnsi="Times New Roman" w:eastAsia="宋体"/>
          <w:sz w:val="21"/>
          <w:u w:val="single"/>
        </w:rPr>
        <w:t xml:space="preserve">                      </w:t>
      </w:r>
      <w:r>
        <w:rPr>
          <w:rFonts w:ascii="Times New Roman" w:hAnsi="Times New Roman" w:eastAsia="宋体"/>
          <w:sz w:val="21"/>
        </w:rPr>
        <w:t>。</w:t>
      </w:r>
    </w:p>
    <w:p w14:paraId="1C1AE9CA">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16.1.2 发包人违约的责任</w:t>
      </w:r>
    </w:p>
    <w:p w14:paraId="282F218F">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发包人违约责任的承担方式和计算方法：</w:t>
      </w:r>
    </w:p>
    <w:p w14:paraId="1A356F96">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（1）因发包人原因未能在计划开工日期前7天内下达开工通知的违约责任：</w:t>
      </w:r>
      <w:r>
        <w:rPr>
          <w:rFonts w:hint="eastAsia" w:ascii="Times New Roman" w:hAnsi="Times New Roman" w:eastAsia="宋体"/>
          <w:sz w:val="21"/>
          <w:u w:val="single"/>
        </w:rPr>
        <w:t xml:space="preserve">  开始计算第7天后承包人已进场施工设备租赁费及施工人员窝工费</w:t>
      </w:r>
      <w:r>
        <w:rPr>
          <w:rFonts w:ascii="Times New Roman" w:hAnsi="Times New Roman" w:eastAsia="宋体"/>
          <w:sz w:val="21"/>
        </w:rPr>
        <w:t>。</w:t>
      </w:r>
    </w:p>
    <w:p w14:paraId="1BFBE2FD">
      <w:pPr>
        <w:adjustRightInd w:val="0"/>
        <w:snapToGrid w:val="0"/>
        <w:spacing w:line="360" w:lineRule="exact"/>
        <w:ind w:firstLine="420" w:firstLineChars="200"/>
        <w:rPr>
          <w:rFonts w:ascii="Times New Roman" w:hAnsi="Times New Roman" w:eastAsia="宋体"/>
          <w:sz w:val="21"/>
          <w:u w:val="single"/>
        </w:rPr>
      </w:pPr>
      <w:r>
        <w:rPr>
          <w:rFonts w:hint="eastAsia" w:ascii="Times New Roman" w:hAnsi="Times New Roman" w:eastAsia="宋体"/>
          <w:sz w:val="21"/>
        </w:rPr>
        <w:t>（2）</w:t>
      </w:r>
      <w:r>
        <w:rPr>
          <w:rFonts w:ascii="Times New Roman" w:hAnsi="Times New Roman" w:eastAsia="宋体"/>
          <w:sz w:val="21"/>
        </w:rPr>
        <w:t>因发包人原因未能按合同约定支付合同价款的违约责任：</w:t>
      </w:r>
      <w:r>
        <w:rPr>
          <w:rFonts w:ascii="Times New Roman" w:hAnsi="Times New Roman" w:eastAsia="宋体"/>
          <w:kern w:val="0"/>
          <w:sz w:val="21"/>
          <w:szCs w:val="21"/>
          <w:u w:val="single"/>
        </w:rPr>
        <w:t xml:space="preserve">  </w:t>
      </w:r>
      <w:r>
        <w:rPr>
          <w:rFonts w:hint="eastAsia" w:ascii="Times New Roman" w:hAnsi="Times New Roman" w:eastAsia="宋体"/>
          <w:sz w:val="21"/>
          <w:szCs w:val="21"/>
          <w:u w:val="single"/>
        </w:rPr>
        <w:t xml:space="preserve">      /   </w:t>
      </w:r>
      <w:r>
        <w:rPr>
          <w:rFonts w:ascii="Times New Roman" w:hAnsi="Times New Roman" w:eastAsia="宋体"/>
          <w:sz w:val="21"/>
          <w:szCs w:val="21"/>
          <w:u w:val="single"/>
        </w:rPr>
        <w:t>。</w:t>
      </w:r>
    </w:p>
    <w:p w14:paraId="5687226B">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（3）发包人违反第10.1款</w:t>
      </w:r>
      <w:r>
        <w:rPr>
          <w:rFonts w:hint="eastAsia" w:ascii="Times New Roman" w:hAnsi="Times New Roman" w:eastAsia="宋体"/>
          <w:sz w:val="21"/>
        </w:rPr>
        <w:t>〔</w:t>
      </w:r>
      <w:r>
        <w:rPr>
          <w:rFonts w:ascii="Times New Roman" w:hAnsi="Times New Roman" w:eastAsia="宋体"/>
          <w:sz w:val="21"/>
        </w:rPr>
        <w:t>变更的范围</w:t>
      </w:r>
      <w:r>
        <w:rPr>
          <w:rFonts w:hint="eastAsia" w:ascii="Times New Roman" w:hAnsi="Times New Roman" w:eastAsia="宋体"/>
          <w:sz w:val="21"/>
        </w:rPr>
        <w:t>〕</w:t>
      </w:r>
      <w:r>
        <w:rPr>
          <w:rFonts w:ascii="Times New Roman" w:hAnsi="Times New Roman" w:eastAsia="宋体"/>
          <w:sz w:val="21"/>
        </w:rPr>
        <w:t>第（2）项约定，自行实施被取消的工作或转由他人实施的违约责任：</w:t>
      </w:r>
      <w:r>
        <w:rPr>
          <w:rFonts w:hint="eastAsia" w:ascii="Times New Roman" w:hAnsi="Times New Roman" w:eastAsia="宋体"/>
          <w:sz w:val="21"/>
          <w:u w:val="single"/>
        </w:rPr>
        <w:t xml:space="preserve">          /             </w:t>
      </w:r>
      <w:r>
        <w:rPr>
          <w:rFonts w:ascii="Times New Roman" w:hAnsi="Times New Roman" w:eastAsia="宋体"/>
          <w:sz w:val="21"/>
          <w:u w:val="single"/>
        </w:rPr>
        <w:t xml:space="preserve"> </w:t>
      </w:r>
      <w:r>
        <w:rPr>
          <w:rFonts w:ascii="Times New Roman" w:hAnsi="Times New Roman" w:eastAsia="宋体"/>
          <w:sz w:val="21"/>
        </w:rPr>
        <w:t>。</w:t>
      </w:r>
    </w:p>
    <w:p w14:paraId="1A674D79">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（4）发包人提供的材料、工程设备的规格、数量或质量不符合合同约定，或因发包人原因导致交货日期延误或交货地点变更等情况的违约责任：</w:t>
      </w:r>
      <w:r>
        <w:rPr>
          <w:rFonts w:hint="eastAsia" w:ascii="Times New Roman" w:hAnsi="Times New Roman" w:eastAsia="宋体"/>
          <w:sz w:val="21"/>
          <w:u w:val="single"/>
        </w:rPr>
        <w:t xml:space="preserve">       /                </w:t>
      </w:r>
      <w:r>
        <w:rPr>
          <w:rFonts w:ascii="Times New Roman" w:hAnsi="Times New Roman" w:eastAsia="宋体"/>
          <w:sz w:val="21"/>
          <w:u w:val="single"/>
        </w:rPr>
        <w:t xml:space="preserve">  </w:t>
      </w:r>
      <w:r>
        <w:rPr>
          <w:rFonts w:ascii="Times New Roman" w:hAnsi="Times New Roman" w:eastAsia="宋体"/>
          <w:sz w:val="21"/>
        </w:rPr>
        <w:t>。</w:t>
      </w:r>
    </w:p>
    <w:p w14:paraId="7C9EC8B7">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（5）因发包人违反合同约定造成暂停施工的违约责任：</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ascii="Times New Roman" w:hAnsi="Times New Roman" w:eastAsia="宋体"/>
          <w:sz w:val="21"/>
        </w:rPr>
        <w:t>。</w:t>
      </w:r>
    </w:p>
    <w:p w14:paraId="59904459">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（6）发包人无正当理由没有在约定期限内发出复工指示，导致承包人无法复工的违约责任：</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ascii="Times New Roman" w:hAnsi="Times New Roman" w:eastAsia="宋体"/>
          <w:sz w:val="21"/>
        </w:rPr>
        <w:t>。</w:t>
      </w:r>
    </w:p>
    <w:p w14:paraId="20A8161E">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（7）</w:t>
      </w:r>
      <w:r>
        <w:rPr>
          <w:rFonts w:hint="eastAsia" w:ascii="Times New Roman" w:hAnsi="Times New Roman" w:eastAsia="宋体"/>
          <w:sz w:val="21"/>
        </w:rPr>
        <w:t>其他：</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rPr>
        <w:t>。</w:t>
      </w:r>
    </w:p>
    <w:p w14:paraId="19934F3A">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16.1.3 因发包人违约解除合同</w:t>
      </w:r>
    </w:p>
    <w:p w14:paraId="79B05465">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承包人按16.1.1项</w:t>
      </w:r>
      <w:r>
        <w:rPr>
          <w:rFonts w:hint="eastAsia" w:ascii="Times New Roman" w:hAnsi="Times New Roman" w:eastAsia="宋体"/>
          <w:sz w:val="21"/>
        </w:rPr>
        <w:t>〔</w:t>
      </w:r>
      <w:r>
        <w:rPr>
          <w:rFonts w:ascii="Times New Roman" w:hAnsi="Times New Roman" w:eastAsia="宋体"/>
          <w:sz w:val="21"/>
        </w:rPr>
        <w:t>发包人违约的情形</w:t>
      </w:r>
      <w:r>
        <w:rPr>
          <w:rFonts w:hint="eastAsia" w:ascii="Times New Roman" w:hAnsi="Times New Roman" w:eastAsia="宋体"/>
          <w:sz w:val="21"/>
        </w:rPr>
        <w:t>〕</w:t>
      </w:r>
      <w:r>
        <w:rPr>
          <w:rFonts w:ascii="Times New Roman" w:hAnsi="Times New Roman" w:eastAsia="宋体"/>
          <w:sz w:val="21"/>
        </w:rPr>
        <w:t>约定暂停施工满</w:t>
      </w:r>
      <w:r>
        <w:rPr>
          <w:rFonts w:ascii="Times New Roman" w:hAnsi="Times New Roman" w:eastAsia="宋体"/>
          <w:sz w:val="21"/>
          <w:u w:val="single"/>
        </w:rPr>
        <w:t xml:space="preserve">  </w:t>
      </w:r>
      <w:r>
        <w:rPr>
          <w:rFonts w:hint="eastAsia" w:ascii="Times New Roman" w:hAnsi="Times New Roman" w:eastAsia="宋体"/>
          <w:sz w:val="21"/>
          <w:u w:val="single"/>
        </w:rPr>
        <w:t xml:space="preserve">28 </w:t>
      </w:r>
      <w:r>
        <w:rPr>
          <w:rFonts w:ascii="Times New Roman" w:hAnsi="Times New Roman" w:eastAsia="宋体"/>
          <w:sz w:val="21"/>
          <w:u w:val="single"/>
        </w:rPr>
        <w:t xml:space="preserve"> </w:t>
      </w:r>
      <w:r>
        <w:rPr>
          <w:rFonts w:ascii="Times New Roman" w:hAnsi="Times New Roman" w:eastAsia="宋体"/>
          <w:sz w:val="21"/>
        </w:rPr>
        <w:t>天后发包人仍不纠正其违约行为并致使合同目的不能实现的，承包人有权解除合同。</w:t>
      </w:r>
    </w:p>
    <w:p w14:paraId="6568545A">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16.2 承包人违约</w:t>
      </w:r>
    </w:p>
    <w:p w14:paraId="48A2294C">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16.2.1 承包人违约的情形</w:t>
      </w:r>
    </w:p>
    <w:p w14:paraId="3601D723">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承包人违约的其他情形：</w:t>
      </w:r>
    </w:p>
    <w:p w14:paraId="57BB3D03">
      <w:pPr>
        <w:adjustRightInd w:val="0"/>
        <w:snapToGrid w:val="0"/>
        <w:spacing w:line="360" w:lineRule="exact"/>
        <w:ind w:firstLine="420" w:firstLineChars="200"/>
        <w:rPr>
          <w:rFonts w:ascii="Times New Roman" w:hAnsi="Times New Roman" w:eastAsia="宋体"/>
          <w:sz w:val="21"/>
          <w:u w:val="single"/>
        </w:rPr>
      </w:pPr>
      <w:r>
        <w:rPr>
          <w:rFonts w:hint="eastAsia" w:ascii="Times New Roman" w:hAnsi="Times New Roman" w:eastAsia="宋体"/>
          <w:sz w:val="21"/>
          <w:u w:val="single"/>
        </w:rPr>
        <w:t>1、机械设备、施工项目班子未按投标承诺及时到位；</w:t>
      </w:r>
    </w:p>
    <w:p w14:paraId="3C1968FE">
      <w:pPr>
        <w:adjustRightInd w:val="0"/>
        <w:snapToGrid w:val="0"/>
        <w:spacing w:line="360" w:lineRule="exact"/>
        <w:ind w:firstLine="420" w:firstLineChars="200"/>
        <w:rPr>
          <w:rFonts w:ascii="Times New Roman" w:hAnsi="Times New Roman" w:eastAsia="宋体"/>
          <w:sz w:val="21"/>
          <w:u w:val="single"/>
        </w:rPr>
      </w:pPr>
      <w:r>
        <w:rPr>
          <w:rFonts w:hint="eastAsia" w:ascii="Times New Roman" w:hAnsi="Times New Roman" w:eastAsia="宋体"/>
          <w:sz w:val="21"/>
          <w:u w:val="single"/>
        </w:rPr>
        <w:t>2、本工程在实施过程中，如承包人的施工队伍素质、力量、现场管理班子、现场安全文明施工不符合投标书的承诺，造成现场管理混乱、工程质量和进度达不到投标所承诺的要求；</w:t>
      </w:r>
    </w:p>
    <w:p w14:paraId="710214C9">
      <w:pPr>
        <w:adjustRightInd w:val="0"/>
        <w:snapToGrid w:val="0"/>
        <w:spacing w:line="360" w:lineRule="exact"/>
        <w:ind w:firstLine="420" w:firstLineChars="200"/>
        <w:rPr>
          <w:rFonts w:ascii="Times New Roman" w:hAnsi="Times New Roman" w:eastAsia="宋体"/>
          <w:sz w:val="21"/>
          <w:u w:val="single"/>
        </w:rPr>
      </w:pPr>
      <w:r>
        <w:rPr>
          <w:rFonts w:hint="eastAsia" w:ascii="Times New Roman" w:hAnsi="Times New Roman" w:eastAsia="宋体"/>
          <w:sz w:val="21"/>
          <w:u w:val="single"/>
        </w:rPr>
        <w:t>3、承包人允许其他人挂靠经营、私自转包；</w:t>
      </w:r>
    </w:p>
    <w:p w14:paraId="66B98B4C">
      <w:pPr>
        <w:adjustRightInd w:val="0"/>
        <w:snapToGrid w:val="0"/>
        <w:spacing w:line="360" w:lineRule="exact"/>
        <w:ind w:firstLine="420" w:firstLineChars="200"/>
        <w:rPr>
          <w:rFonts w:ascii="Times New Roman" w:hAnsi="Times New Roman" w:eastAsia="宋体"/>
          <w:sz w:val="21"/>
          <w:u w:val="single"/>
        </w:rPr>
      </w:pPr>
      <w:r>
        <w:rPr>
          <w:rFonts w:hint="eastAsia" w:ascii="Times New Roman" w:hAnsi="Times New Roman" w:eastAsia="宋体"/>
          <w:sz w:val="21"/>
          <w:u w:val="single"/>
        </w:rPr>
        <w:t>4、承包人未达到投标时所承诺的诚信与技术标准。</w:t>
      </w:r>
    </w:p>
    <w:p w14:paraId="6D616717">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16.2.2承包人违约的责任</w:t>
      </w:r>
      <w:r>
        <w:rPr>
          <w:rFonts w:hint="eastAsia" w:ascii="Times New Roman" w:hAnsi="Times New Roman" w:eastAsia="宋体"/>
          <w:sz w:val="21"/>
        </w:rPr>
        <w:t xml:space="preserve"> </w:t>
      </w:r>
    </w:p>
    <w:p w14:paraId="4832486E">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承包人违约责任的承担方式和计算方法：</w:t>
      </w:r>
    </w:p>
    <w:p w14:paraId="6C337099">
      <w:pPr>
        <w:adjustRightInd w:val="0"/>
        <w:snapToGrid w:val="0"/>
        <w:spacing w:line="360" w:lineRule="exact"/>
        <w:ind w:firstLine="420" w:firstLineChars="200"/>
        <w:rPr>
          <w:rFonts w:ascii="Times New Roman" w:hAnsi="Times New Roman" w:eastAsia="宋体"/>
          <w:sz w:val="21"/>
          <w:u w:val="single"/>
        </w:rPr>
      </w:pPr>
      <w:r>
        <w:rPr>
          <w:rFonts w:hint="eastAsia" w:ascii="Times New Roman" w:hAnsi="Times New Roman" w:eastAsia="宋体"/>
          <w:sz w:val="21"/>
          <w:u w:val="single"/>
        </w:rPr>
        <w:t>1、机械设备未按投标承诺到位，每项扣除履约担保金2%；</w:t>
      </w:r>
    </w:p>
    <w:p w14:paraId="510E52A9">
      <w:pPr>
        <w:adjustRightInd w:val="0"/>
        <w:snapToGrid w:val="0"/>
        <w:spacing w:line="360" w:lineRule="exact"/>
        <w:ind w:firstLine="420" w:firstLineChars="200"/>
        <w:rPr>
          <w:rFonts w:ascii="Times New Roman" w:hAnsi="Times New Roman" w:eastAsia="宋体"/>
          <w:sz w:val="21"/>
          <w:u w:val="single"/>
        </w:rPr>
      </w:pPr>
      <w:r>
        <w:rPr>
          <w:rFonts w:hint="eastAsia" w:ascii="Times New Roman" w:hAnsi="Times New Roman" w:eastAsia="宋体"/>
          <w:sz w:val="21"/>
          <w:u w:val="single"/>
        </w:rPr>
        <w:t>2、现场安全文明施工不符合投标书承诺，扣减相应安全文明施工费用；承包人原因造成现场管理混乱、工程质量和进度达不到投标承诺的要求，发包人有权要求承包人调整充实施工力量、更换项目班子，及至解除施工合同，所有履约担保金归发包人，并赔偿发包人损失。</w:t>
      </w:r>
    </w:p>
    <w:p w14:paraId="427AE594">
      <w:pPr>
        <w:adjustRightInd w:val="0"/>
        <w:snapToGrid w:val="0"/>
        <w:spacing w:line="360" w:lineRule="exact"/>
        <w:ind w:firstLine="420" w:firstLineChars="200"/>
        <w:rPr>
          <w:rFonts w:ascii="Times New Roman" w:hAnsi="Times New Roman" w:eastAsia="宋体"/>
          <w:sz w:val="21"/>
          <w:u w:val="single"/>
        </w:rPr>
      </w:pPr>
      <w:r>
        <w:rPr>
          <w:rFonts w:hint="eastAsia" w:ascii="Times New Roman" w:hAnsi="Times New Roman" w:eastAsia="宋体"/>
          <w:sz w:val="21"/>
          <w:u w:val="single"/>
        </w:rPr>
        <w:t>3、发现承包人允许其他人挂靠经营、私自转包，所有履约担保归发包人，同时赔偿发包人损失，并责令退出工地。</w:t>
      </w:r>
    </w:p>
    <w:p w14:paraId="023F20B1">
      <w:pPr>
        <w:adjustRightInd w:val="0"/>
        <w:snapToGrid w:val="0"/>
        <w:spacing w:line="360" w:lineRule="exact"/>
        <w:ind w:firstLine="420" w:firstLineChars="200"/>
        <w:rPr>
          <w:rFonts w:ascii="Times New Roman" w:hAnsi="Times New Roman" w:eastAsia="宋体"/>
          <w:sz w:val="21"/>
          <w:u w:val="single"/>
        </w:rPr>
      </w:pPr>
      <w:r>
        <w:rPr>
          <w:rFonts w:hint="eastAsia" w:ascii="Times New Roman" w:hAnsi="Times New Roman" w:eastAsia="宋体"/>
          <w:sz w:val="21"/>
          <w:u w:val="single"/>
        </w:rPr>
        <w:t>4、未达到投标所承诺的诚信与技术标准，按每一项扣减履约担保金的10%。</w:t>
      </w:r>
    </w:p>
    <w:p w14:paraId="109AF15A">
      <w:pPr>
        <w:adjustRightInd w:val="0"/>
        <w:snapToGrid w:val="0"/>
        <w:spacing w:line="360" w:lineRule="exact"/>
        <w:ind w:firstLine="420" w:firstLineChars="200"/>
        <w:rPr>
          <w:rFonts w:ascii="Times New Roman" w:hAnsi="Times New Roman" w:eastAsia="宋体"/>
          <w:sz w:val="21"/>
          <w:u w:val="single"/>
        </w:rPr>
      </w:pPr>
      <w:r>
        <w:rPr>
          <w:rFonts w:hint="eastAsia" w:ascii="Times New Roman" w:hAnsi="Times New Roman" w:eastAsia="宋体"/>
          <w:sz w:val="21"/>
          <w:u w:val="single"/>
        </w:rPr>
        <w:t>5、工程延误超过了合同工期，延误责任由承包人承担。工期不予顺延，由工期延误引起人工、材料价格上涨由承包人承担，按原合同约定价格结算；价格下降归发包人受益，按下降后价格结算。当施工工期超过合同工期50%以上时，</w:t>
      </w:r>
      <w:r>
        <w:rPr>
          <w:rFonts w:hint="eastAsia" w:ascii="Times New Roman" w:hAnsi="Times New Roman" w:eastAsia="宋体"/>
          <w:sz w:val="21"/>
          <w:szCs w:val="21"/>
          <w:u w:val="single"/>
        </w:rPr>
        <w:t>可解除施工合同，并赔偿发包人损失。</w:t>
      </w:r>
    </w:p>
    <w:p w14:paraId="551BB0AE">
      <w:pPr>
        <w:adjustRightInd w:val="0"/>
        <w:snapToGrid w:val="0"/>
        <w:spacing w:line="360" w:lineRule="exact"/>
        <w:ind w:firstLine="420" w:firstLineChars="200"/>
        <w:rPr>
          <w:rFonts w:ascii="Times New Roman" w:hAnsi="Times New Roman" w:eastAsia="宋体"/>
          <w:sz w:val="21"/>
        </w:rPr>
      </w:pPr>
      <w:r>
        <w:rPr>
          <w:rFonts w:hint="eastAsia" w:ascii="Times New Roman" w:hAnsi="Times New Roman" w:eastAsia="宋体"/>
          <w:sz w:val="21"/>
          <w:u w:val="single"/>
        </w:rPr>
        <w:t>6、承包人无法继续履行、明确表示不履行或实质上已停止履行合同，发包人可通知承包人全部解除合同，所有履约担保归发包人，同时赔偿发包人损失。</w:t>
      </w:r>
      <w:r>
        <w:rPr>
          <w:rFonts w:ascii="Times New Roman" w:hAnsi="Times New Roman" w:eastAsia="宋体"/>
          <w:sz w:val="21"/>
          <w:u w:val="single"/>
        </w:rPr>
        <w:t xml:space="preserve">   </w:t>
      </w:r>
      <w:r>
        <w:rPr>
          <w:rFonts w:ascii="Times New Roman" w:hAnsi="Times New Roman" w:eastAsia="宋体"/>
          <w:sz w:val="21"/>
        </w:rPr>
        <w:t xml:space="preserve"> </w:t>
      </w:r>
    </w:p>
    <w:p w14:paraId="3BABC66F">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16.2.3 因承包人违约解除合同</w:t>
      </w:r>
    </w:p>
    <w:p w14:paraId="653078B4">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关于承包人违约解除合同的特别约定：</w:t>
      </w:r>
      <w:r>
        <w:rPr>
          <w:rFonts w:hint="eastAsia" w:ascii="Times New Roman" w:hAnsi="Times New Roman" w:eastAsia="宋体"/>
          <w:iCs/>
          <w:sz w:val="21"/>
          <w:u w:val="single"/>
        </w:rPr>
        <w:t>双方签署解除协议，现场已完成工程量和已支付工程款（含预付款）按实计算，承包人必须在 30 日历天内清场并将施工场地交还发包人待发包人审定后 30日历天内支付</w:t>
      </w:r>
      <w:r>
        <w:rPr>
          <w:rFonts w:ascii="Times New Roman" w:hAnsi="Times New Roman" w:eastAsia="宋体"/>
          <w:iCs/>
          <w:sz w:val="21"/>
        </w:rPr>
        <w:t>。</w:t>
      </w:r>
    </w:p>
    <w:p w14:paraId="222725F4">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发包人</w:t>
      </w:r>
      <w:r>
        <w:rPr>
          <w:rFonts w:hint="eastAsia" w:ascii="Times New Roman" w:hAnsi="Times New Roman" w:eastAsia="宋体"/>
          <w:sz w:val="21"/>
        </w:rPr>
        <w:t>继续</w:t>
      </w:r>
      <w:r>
        <w:rPr>
          <w:rFonts w:ascii="Times New Roman" w:hAnsi="Times New Roman" w:eastAsia="宋体"/>
          <w:sz w:val="21"/>
        </w:rPr>
        <w:t>使用承包人在施工现场的材料、设备、临时工程、承包人文件和由承包人或以其名义编制的其他文件</w:t>
      </w:r>
      <w:r>
        <w:rPr>
          <w:rFonts w:hint="eastAsia" w:ascii="Times New Roman" w:hAnsi="Times New Roman" w:eastAsia="宋体"/>
          <w:sz w:val="21"/>
        </w:rPr>
        <w:t>的费用承担方式</w:t>
      </w:r>
      <w:r>
        <w:rPr>
          <w:rFonts w:ascii="Times New Roman" w:hAnsi="Times New Roman" w:eastAsia="宋体"/>
          <w:sz w:val="21"/>
        </w:rPr>
        <w:t>：</w:t>
      </w:r>
      <w:r>
        <w:rPr>
          <w:rFonts w:hint="eastAsia" w:ascii="Times New Roman" w:hAnsi="Times New Roman" w:eastAsia="宋体"/>
          <w:sz w:val="21"/>
          <w:u w:val="single"/>
        </w:rPr>
        <w:t>使用施工现场的材料、设备按实结算，使用施工机械、器具按租赁费结算，临时工程折算成费用按完成造价比例计算，无偿使用承包人为本工程施工所编制的相应文件等。</w:t>
      </w:r>
    </w:p>
    <w:p w14:paraId="1C1DA0B9">
      <w:pPr>
        <w:adjustRightInd w:val="0"/>
        <w:snapToGrid w:val="0"/>
        <w:spacing w:line="360" w:lineRule="exact"/>
        <w:ind w:firstLine="420" w:firstLineChars="200"/>
        <w:rPr>
          <w:rFonts w:ascii="Times New Roman" w:hAnsi="Times New Roman" w:eastAsia="宋体"/>
          <w:sz w:val="21"/>
          <w:u w:val="single"/>
        </w:rPr>
      </w:pPr>
      <w:r>
        <w:rPr>
          <w:rFonts w:hint="eastAsia" w:ascii="Times New Roman" w:hAnsi="Times New Roman" w:eastAsia="宋体"/>
          <w:sz w:val="21"/>
        </w:rPr>
        <w:t>16.2.4 因承包人违约解除合同后的处理：</w:t>
      </w:r>
      <w:r>
        <w:rPr>
          <w:rFonts w:hint="eastAsia" w:ascii="Times New Roman" w:hAnsi="Times New Roman" w:eastAsia="宋体"/>
          <w:sz w:val="21"/>
          <w:u w:val="single"/>
        </w:rPr>
        <w:t xml:space="preserve">                       。</w:t>
      </w:r>
    </w:p>
    <w:p w14:paraId="5EDCC34A">
      <w:pPr>
        <w:adjustRightInd w:val="0"/>
        <w:snapToGrid w:val="0"/>
        <w:spacing w:line="360" w:lineRule="exact"/>
        <w:ind w:firstLine="422" w:firstLineChars="200"/>
        <w:rPr>
          <w:rFonts w:ascii="Times New Roman" w:hAnsi="Times New Roman" w:eastAsia="宋体"/>
          <w:b/>
          <w:sz w:val="21"/>
        </w:rPr>
      </w:pPr>
      <w:bookmarkStart w:id="501" w:name="_Toc351203649"/>
      <w:r>
        <w:rPr>
          <w:rFonts w:ascii="Times New Roman" w:hAnsi="Times New Roman" w:eastAsia="宋体"/>
          <w:b/>
          <w:sz w:val="21"/>
        </w:rPr>
        <w:t>17. 不可抗力</w:t>
      </w:r>
      <w:bookmarkEnd w:id="501"/>
      <w:r>
        <w:rPr>
          <w:rFonts w:ascii="Times New Roman" w:hAnsi="Times New Roman" w:eastAsia="宋体"/>
          <w:b/>
          <w:sz w:val="21"/>
        </w:rPr>
        <w:t xml:space="preserve"> </w:t>
      </w:r>
      <w:bookmarkEnd w:id="499"/>
    </w:p>
    <w:p w14:paraId="73966BFF">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17.1 不可抗力的确认</w:t>
      </w:r>
    </w:p>
    <w:p w14:paraId="520FDC0F">
      <w:pPr>
        <w:spacing w:line="360" w:lineRule="exact"/>
        <w:ind w:firstLine="420" w:firstLineChars="200"/>
        <w:rPr>
          <w:rFonts w:ascii="宋体" w:hAnsi="宋体" w:eastAsia="宋体"/>
          <w:iCs/>
          <w:kern w:val="0"/>
          <w:sz w:val="21"/>
          <w:szCs w:val="21"/>
          <w:u w:val="single"/>
        </w:rPr>
      </w:pPr>
      <w:r>
        <w:rPr>
          <w:rFonts w:ascii="Times New Roman" w:hAnsi="Times New Roman" w:eastAsia="宋体"/>
          <w:sz w:val="21"/>
        </w:rPr>
        <w:t>除通用合同条款约定的不可抗力事件之外，视为不可抗力的其他情形：</w:t>
      </w:r>
      <w:r>
        <w:rPr>
          <w:rFonts w:ascii="Times New Roman" w:hAnsi="Times New Roman" w:eastAsia="宋体"/>
          <w:sz w:val="21"/>
          <w:u w:val="single"/>
        </w:rPr>
        <w:t xml:space="preserve">   </w:t>
      </w:r>
      <w:r>
        <w:rPr>
          <w:rFonts w:hint="eastAsia" w:ascii="Times New Roman" w:hAnsi="Times New Roman" w:eastAsia="宋体"/>
          <w:iCs/>
          <w:sz w:val="21"/>
          <w:u w:val="single"/>
        </w:rPr>
        <w:t>10年一遇洪水、暴风雪、干旱，罢工、政府禁令。</w:t>
      </w:r>
      <w:r>
        <w:rPr>
          <w:rFonts w:hint="eastAsia" w:ascii="Times New Roman" w:hAnsi="Times New Roman" w:eastAsia="宋体"/>
          <w:iCs/>
          <w:kern w:val="0"/>
          <w:sz w:val="21"/>
          <w:szCs w:val="21"/>
          <w:u w:val="single"/>
        </w:rPr>
        <w:t>台州气象台发布的正面袭击台州的11级及以上台风、里氏6级及以上地震、经发包人及监理人认定的在工程施工过程中不可避免发生并不能克服的自然灾害和社会性突发事件。</w:t>
      </w:r>
      <w:r>
        <w:rPr>
          <w:rFonts w:hint="eastAsia" w:ascii="宋体" w:hAnsi="宋体" w:eastAsia="宋体"/>
          <w:iCs/>
          <w:kern w:val="0"/>
          <w:sz w:val="21"/>
          <w:szCs w:val="21"/>
          <w:u w:val="single"/>
        </w:rPr>
        <w:t xml:space="preserve"> </w:t>
      </w:r>
      <w:r>
        <w:rPr>
          <w:rFonts w:ascii="宋体" w:hAnsi="宋体" w:eastAsia="宋体"/>
          <w:iCs/>
          <w:kern w:val="0"/>
          <w:sz w:val="21"/>
          <w:szCs w:val="21"/>
          <w:u w:val="single"/>
        </w:rPr>
        <w:t xml:space="preserve">  </w:t>
      </w:r>
    </w:p>
    <w:p w14:paraId="6439904A">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17.4 因不可抗力解除合同</w:t>
      </w:r>
    </w:p>
    <w:p w14:paraId="3CC3DCA0">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合同解除后，发包人应在商定或确定发包人应支付款项后</w:t>
      </w:r>
      <w:r>
        <w:rPr>
          <w:rFonts w:ascii="Times New Roman" w:hAnsi="Times New Roman" w:eastAsia="宋体"/>
          <w:sz w:val="21"/>
          <w:u w:val="single"/>
        </w:rPr>
        <w:t xml:space="preserve"> </w:t>
      </w:r>
      <w:r>
        <w:rPr>
          <w:rFonts w:hint="eastAsia" w:ascii="Times New Roman" w:hAnsi="Times New Roman" w:eastAsia="宋体"/>
          <w:i/>
          <w:sz w:val="21"/>
          <w:u w:val="single"/>
        </w:rPr>
        <w:t>30</w:t>
      </w:r>
      <w:r>
        <w:rPr>
          <w:rFonts w:ascii="Times New Roman" w:hAnsi="Times New Roman" w:eastAsia="宋体"/>
          <w:sz w:val="21"/>
        </w:rPr>
        <w:t>天内完成款项的支付。</w:t>
      </w:r>
    </w:p>
    <w:p w14:paraId="2FE538DB">
      <w:pPr>
        <w:adjustRightInd w:val="0"/>
        <w:snapToGrid w:val="0"/>
        <w:spacing w:line="360" w:lineRule="exact"/>
        <w:ind w:firstLine="422" w:firstLineChars="200"/>
        <w:rPr>
          <w:rFonts w:ascii="Times New Roman" w:hAnsi="Times New Roman" w:eastAsia="宋体"/>
          <w:b/>
          <w:sz w:val="21"/>
        </w:rPr>
      </w:pPr>
      <w:bookmarkStart w:id="502" w:name="_Toc351203650"/>
      <w:r>
        <w:rPr>
          <w:rFonts w:ascii="Times New Roman" w:hAnsi="Times New Roman" w:eastAsia="宋体"/>
          <w:b/>
          <w:sz w:val="21"/>
        </w:rPr>
        <w:t>18. 保险</w:t>
      </w:r>
      <w:bookmarkEnd w:id="502"/>
    </w:p>
    <w:bookmarkEnd w:id="500"/>
    <w:p w14:paraId="78473584">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18.1 工程保险</w:t>
      </w:r>
    </w:p>
    <w:p w14:paraId="0B15FA5C">
      <w:pPr>
        <w:adjustRightInd w:val="0"/>
        <w:snapToGrid w:val="0"/>
        <w:spacing w:line="360" w:lineRule="exact"/>
        <w:ind w:firstLine="420" w:firstLineChars="200"/>
        <w:rPr>
          <w:rFonts w:ascii="Times New Roman" w:hAnsi="Times New Roman" w:eastAsia="宋体"/>
          <w:iCs/>
          <w:sz w:val="21"/>
          <w:u w:val="single"/>
        </w:rPr>
      </w:pPr>
      <w:r>
        <w:rPr>
          <w:rFonts w:ascii="Times New Roman" w:hAnsi="Times New Roman" w:eastAsia="宋体"/>
          <w:sz w:val="21"/>
        </w:rPr>
        <w:t>关于工程保险的特别约定：</w:t>
      </w:r>
      <w:r>
        <w:rPr>
          <w:rFonts w:ascii="Times New Roman" w:hAnsi="Times New Roman" w:eastAsia="宋体"/>
          <w:sz w:val="21"/>
          <w:u w:val="single"/>
        </w:rPr>
        <w:t xml:space="preserve">   </w:t>
      </w:r>
      <w:r>
        <w:rPr>
          <w:rFonts w:hint="eastAsia" w:ascii="宋体" w:hAnsi="宋体"/>
          <w:sz w:val="21"/>
          <w:szCs w:val="21"/>
          <w:u w:val="single"/>
        </w:rPr>
        <w:t>商业保险（包含但不限于工程一切险和第三者责任险）由承包人自行投保，因投保产生的保险费和其他相关费用由承包人承担。如承包人未参保，由此产生的相关后果由承包人承担。</w:t>
      </w:r>
    </w:p>
    <w:p w14:paraId="73A88C90">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18.3 其他保险</w:t>
      </w:r>
    </w:p>
    <w:p w14:paraId="4F789659">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关于其他保险的约定：</w:t>
      </w:r>
      <w:r>
        <w:rPr>
          <w:rFonts w:ascii="Times New Roman" w:hAnsi="Times New Roman" w:eastAsia="宋体"/>
          <w:sz w:val="21"/>
          <w:u w:val="single"/>
        </w:rPr>
        <w:t xml:space="preserve">  </w:t>
      </w:r>
      <w:r>
        <w:rPr>
          <w:rFonts w:hint="eastAsia" w:ascii="宋体" w:hAnsi="宋体"/>
          <w:sz w:val="21"/>
          <w:szCs w:val="21"/>
          <w:u w:val="single"/>
        </w:rPr>
        <w:t>由承包人承包施工现场全部人员的人事意外伤害险，包括但不限于从业人员保障（死亡赔偿金、伤残赔偿金、医疗费用等）、其他相关费用（抢险救援费用、事故鉴定、法律诉讼费用等）</w:t>
      </w:r>
      <w:r>
        <w:rPr>
          <w:rFonts w:ascii="Times New Roman" w:hAnsi="Times New Roman" w:eastAsia="宋体"/>
          <w:iCs/>
          <w:sz w:val="21"/>
          <w:u w:val="single"/>
        </w:rPr>
        <w:t xml:space="preserve"> </w:t>
      </w:r>
      <w:r>
        <w:rPr>
          <w:rFonts w:ascii="Times New Roman" w:hAnsi="Times New Roman" w:eastAsia="宋体"/>
          <w:sz w:val="21"/>
        </w:rPr>
        <w:t>。</w:t>
      </w:r>
    </w:p>
    <w:p w14:paraId="35DC7524">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承包人是否应为其施工设备等办理财产保险：</w:t>
      </w:r>
      <w:r>
        <w:rPr>
          <w:rFonts w:ascii="Times New Roman" w:hAnsi="Times New Roman" w:eastAsia="宋体"/>
          <w:sz w:val="21"/>
          <w:u w:val="single"/>
        </w:rPr>
        <w:t xml:space="preserve">   </w:t>
      </w:r>
      <w:r>
        <w:rPr>
          <w:rFonts w:hint="eastAsia" w:ascii="Times New Roman" w:hAnsi="Times New Roman" w:eastAsia="宋体"/>
          <w:sz w:val="21"/>
          <w:u w:val="single"/>
        </w:rPr>
        <w:t>按通用条款执行</w:t>
      </w:r>
      <w:r>
        <w:rPr>
          <w:rFonts w:ascii="Times New Roman" w:hAnsi="Times New Roman" w:eastAsia="宋体"/>
          <w:sz w:val="21"/>
          <w:u w:val="single"/>
        </w:rPr>
        <w:t xml:space="preserve"> </w:t>
      </w:r>
      <w:r>
        <w:rPr>
          <w:rFonts w:ascii="Times New Roman" w:hAnsi="Times New Roman" w:eastAsia="宋体"/>
          <w:sz w:val="21"/>
        </w:rPr>
        <w:t>。</w:t>
      </w:r>
    </w:p>
    <w:p w14:paraId="31F6E8AC">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18.7 通知义务</w:t>
      </w:r>
    </w:p>
    <w:p w14:paraId="7110B26B">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关于变更保险合同时的通知义务的约定：</w:t>
      </w:r>
      <w:r>
        <w:rPr>
          <w:rFonts w:hint="eastAsia" w:ascii="Times New Roman" w:hAnsi="Times New Roman" w:eastAsia="宋体"/>
          <w:sz w:val="21"/>
          <w:u w:val="single"/>
        </w:rPr>
        <w:t xml:space="preserve">   按通用条款执行</w:t>
      </w:r>
      <w:r>
        <w:rPr>
          <w:rFonts w:ascii="Times New Roman" w:hAnsi="Times New Roman" w:eastAsia="宋体"/>
          <w:sz w:val="21"/>
        </w:rPr>
        <w:t>。</w:t>
      </w:r>
    </w:p>
    <w:p w14:paraId="13DED889">
      <w:pPr>
        <w:adjustRightInd w:val="0"/>
        <w:snapToGrid w:val="0"/>
        <w:spacing w:line="360" w:lineRule="exact"/>
        <w:ind w:firstLine="422" w:firstLineChars="200"/>
        <w:rPr>
          <w:rFonts w:ascii="Times New Roman" w:hAnsi="Times New Roman" w:eastAsia="宋体"/>
          <w:b/>
          <w:sz w:val="21"/>
        </w:rPr>
      </w:pPr>
      <w:bookmarkStart w:id="503" w:name="_Toc351203651"/>
      <w:r>
        <w:rPr>
          <w:rFonts w:ascii="Times New Roman" w:hAnsi="Times New Roman" w:eastAsia="宋体"/>
          <w:b/>
          <w:sz w:val="21"/>
        </w:rPr>
        <w:t>20. 争议解决</w:t>
      </w:r>
      <w:bookmarkEnd w:id="503"/>
    </w:p>
    <w:p w14:paraId="0C638C8E">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20.3 争议评审</w:t>
      </w:r>
    </w:p>
    <w:p w14:paraId="74FD4AF7">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合同当事人是否同意将工程争议提交争议评审小组决</w:t>
      </w:r>
      <w:r>
        <w:rPr>
          <w:rFonts w:hint="eastAsia" w:ascii="Times New Roman" w:hAnsi="Times New Roman" w:eastAsia="宋体"/>
          <w:sz w:val="21"/>
        </w:rPr>
        <w:t>定：</w:t>
      </w:r>
      <w:r>
        <w:rPr>
          <w:rFonts w:hint="eastAsia" w:ascii="Times New Roman" w:hAnsi="Times New Roman" w:eastAsia="宋体"/>
          <w:sz w:val="21"/>
          <w:u w:val="single"/>
        </w:rPr>
        <w:t xml:space="preserve">                   </w:t>
      </w:r>
      <w:r>
        <w:rPr>
          <w:rFonts w:hint="eastAsia" w:ascii="Times New Roman" w:hAnsi="Times New Roman" w:eastAsia="宋体"/>
          <w:sz w:val="21"/>
        </w:rPr>
        <w:t>。</w:t>
      </w:r>
    </w:p>
    <w:p w14:paraId="1084B96F">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20.3.1 争议评审小组的确定</w:t>
      </w:r>
    </w:p>
    <w:p w14:paraId="12956D5B">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争议评审小组成员的确定：</w:t>
      </w:r>
      <w:r>
        <w:rPr>
          <w:rFonts w:hint="eastAsia" w:ascii="Times New Roman" w:hAnsi="Times New Roman" w:eastAsia="宋体"/>
          <w:sz w:val="21"/>
          <w:u w:val="single"/>
        </w:rPr>
        <w:t xml:space="preserve">   </w:t>
      </w:r>
      <w:r>
        <w:rPr>
          <w:rFonts w:hint="eastAsia" w:ascii="Times New Roman" w:hAnsi="Times New Roman" w:eastAsia="宋体"/>
          <w:sz w:val="21"/>
          <w:szCs w:val="21"/>
          <w:u w:val="single"/>
        </w:rPr>
        <w:t>提交争议评审时再选定</w:t>
      </w:r>
      <w:r>
        <w:rPr>
          <w:rFonts w:hint="eastAsia" w:ascii="Times New Roman" w:hAnsi="Times New Roman" w:eastAsia="宋体"/>
          <w:sz w:val="21"/>
          <w:u w:val="single"/>
        </w:rPr>
        <w:t xml:space="preserve">   </w:t>
      </w:r>
      <w:r>
        <w:rPr>
          <w:rFonts w:ascii="Times New Roman" w:hAnsi="Times New Roman" w:eastAsia="宋体"/>
          <w:sz w:val="21"/>
        </w:rPr>
        <w:t>。</w:t>
      </w:r>
    </w:p>
    <w:p w14:paraId="5996E33E">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选定争议评审员的期限：</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ascii="Times New Roman" w:hAnsi="Times New Roman" w:eastAsia="宋体"/>
          <w:sz w:val="21"/>
        </w:rPr>
        <w:t>。</w:t>
      </w:r>
    </w:p>
    <w:p w14:paraId="5ACD8D07">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争议评审小组成员的报酬承担方式：</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ascii="Times New Roman" w:hAnsi="Times New Roman" w:eastAsia="宋体"/>
          <w:sz w:val="21"/>
        </w:rPr>
        <w:t>。</w:t>
      </w:r>
    </w:p>
    <w:p w14:paraId="12F6B601">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其他事项的约定：</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ascii="Times New Roman" w:hAnsi="Times New Roman" w:eastAsia="宋体"/>
          <w:sz w:val="21"/>
        </w:rPr>
        <w:t>。</w:t>
      </w:r>
    </w:p>
    <w:p w14:paraId="317FE01F">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20.3.2 争议评审小组的决定</w:t>
      </w:r>
    </w:p>
    <w:p w14:paraId="4B24D599">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合同当事人关于本项的约定：</w:t>
      </w:r>
      <w:r>
        <w:rPr>
          <w:rFonts w:hint="eastAsia" w:ascii="Times New Roman" w:hAnsi="Times New Roman" w:eastAsia="宋体"/>
          <w:sz w:val="21"/>
          <w:u w:val="single"/>
        </w:rPr>
        <w:t>按通用条款</w:t>
      </w:r>
      <w:r>
        <w:rPr>
          <w:rFonts w:ascii="Times New Roman" w:hAnsi="Times New Roman" w:eastAsia="宋体"/>
          <w:sz w:val="21"/>
        </w:rPr>
        <w:t>。</w:t>
      </w:r>
    </w:p>
    <w:p w14:paraId="7C32BEBC">
      <w:pPr>
        <w:adjustRightInd w:val="0"/>
        <w:snapToGrid w:val="0"/>
        <w:spacing w:line="360" w:lineRule="exact"/>
        <w:ind w:firstLine="420" w:firstLineChars="200"/>
        <w:rPr>
          <w:rFonts w:ascii="Times New Roman" w:hAnsi="Times New Roman" w:eastAsia="宋体"/>
          <w:sz w:val="21"/>
        </w:rPr>
      </w:pPr>
      <w:r>
        <w:rPr>
          <w:rFonts w:hint="eastAsia" w:ascii="Times New Roman" w:hAnsi="Times New Roman" w:eastAsia="宋体"/>
          <w:sz w:val="21"/>
        </w:rPr>
        <w:t>20.3.3 争议评审小组决定的效力</w:t>
      </w:r>
      <w:r>
        <w:rPr>
          <w:rFonts w:hint="eastAsia" w:ascii="Times New Roman" w:hAnsi="Times New Roman" w:eastAsia="宋体"/>
          <w:sz w:val="21"/>
          <w:u w:val="single"/>
        </w:rPr>
        <w:t>：按通用条款执行</w:t>
      </w:r>
      <w:r>
        <w:rPr>
          <w:rFonts w:hint="eastAsia" w:ascii="Times New Roman" w:hAnsi="Times New Roman" w:eastAsia="宋体"/>
          <w:sz w:val="21"/>
        </w:rPr>
        <w:t>。</w:t>
      </w:r>
    </w:p>
    <w:p w14:paraId="40FC9A22">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20.4仲裁或诉讼</w:t>
      </w:r>
    </w:p>
    <w:p w14:paraId="0066A107">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因合同及合同有关事项发生的争议，按下列第</w:t>
      </w:r>
      <w:r>
        <w:rPr>
          <w:rFonts w:ascii="Times New Roman" w:hAnsi="Times New Roman" w:eastAsia="宋体"/>
          <w:sz w:val="21"/>
          <w:u w:val="single"/>
        </w:rPr>
        <w:t xml:space="preserve">  </w:t>
      </w:r>
      <w:r>
        <w:rPr>
          <w:rFonts w:hint="eastAsia" w:ascii="Times New Roman" w:hAnsi="Times New Roman" w:eastAsia="宋体"/>
          <w:i/>
          <w:sz w:val="21"/>
          <w:u w:val="single"/>
        </w:rPr>
        <w:t>（2）</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ascii="Times New Roman" w:hAnsi="Times New Roman" w:eastAsia="宋体"/>
          <w:sz w:val="21"/>
        </w:rPr>
        <w:t>种方式</w:t>
      </w:r>
      <w:r>
        <w:rPr>
          <w:rFonts w:hint="eastAsia" w:ascii="Times New Roman" w:hAnsi="Times New Roman" w:eastAsia="宋体"/>
          <w:sz w:val="21"/>
        </w:rPr>
        <w:t>解</w:t>
      </w:r>
      <w:r>
        <w:rPr>
          <w:rFonts w:ascii="Times New Roman" w:hAnsi="Times New Roman" w:eastAsia="宋体"/>
          <w:sz w:val="21"/>
        </w:rPr>
        <w:t>决：</w:t>
      </w:r>
    </w:p>
    <w:p w14:paraId="262B018B">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（1）向</w:t>
      </w:r>
      <w:r>
        <w:rPr>
          <w:rFonts w:ascii="Times New Roman" w:hAnsi="Times New Roman" w:eastAsia="宋体"/>
          <w:sz w:val="21"/>
          <w:u w:val="single"/>
        </w:rPr>
        <w:t xml:space="preserve">    </w:t>
      </w:r>
      <w:r>
        <w:rPr>
          <w:rFonts w:hint="eastAsia" w:ascii="Times New Roman" w:hAnsi="Times New Roman" w:eastAsia="宋体"/>
          <w:iCs/>
          <w:sz w:val="21"/>
          <w:u w:val="single"/>
        </w:rPr>
        <w:t>台州</w:t>
      </w:r>
      <w:r>
        <w:rPr>
          <w:rFonts w:ascii="Times New Roman" w:hAnsi="Times New Roman" w:eastAsia="宋体"/>
          <w:iCs/>
          <w:sz w:val="21"/>
          <w:u w:val="single"/>
        </w:rPr>
        <w:t xml:space="preserve"> </w:t>
      </w:r>
      <w:r>
        <w:rPr>
          <w:rFonts w:ascii="Times New Roman" w:hAnsi="Times New Roman" w:eastAsia="宋体"/>
          <w:sz w:val="21"/>
          <w:u w:val="single"/>
        </w:rPr>
        <w:t xml:space="preserve">  </w:t>
      </w:r>
      <w:r>
        <w:rPr>
          <w:rFonts w:ascii="Times New Roman" w:hAnsi="Times New Roman" w:eastAsia="宋体"/>
          <w:sz w:val="21"/>
        </w:rPr>
        <w:t>仲裁委员会申请仲裁；</w:t>
      </w:r>
    </w:p>
    <w:p w14:paraId="1A704FF1">
      <w:pPr>
        <w:adjustRightInd w:val="0"/>
        <w:snapToGrid w:val="0"/>
        <w:spacing w:line="360" w:lineRule="exact"/>
        <w:ind w:firstLine="420" w:firstLineChars="200"/>
        <w:rPr>
          <w:rFonts w:ascii="Times New Roman" w:hAnsi="Times New Roman" w:eastAsia="宋体"/>
          <w:sz w:val="21"/>
        </w:rPr>
      </w:pPr>
      <w:r>
        <w:rPr>
          <w:rFonts w:ascii="Times New Roman" w:hAnsi="Times New Roman" w:eastAsia="宋体"/>
          <w:sz w:val="21"/>
        </w:rPr>
        <w:t xml:space="preserve">（2）向 </w:t>
      </w:r>
      <w:r>
        <w:rPr>
          <w:rFonts w:ascii="Times New Roman" w:hAnsi="Times New Roman" w:eastAsia="宋体"/>
          <w:sz w:val="21"/>
          <w:u w:val="single"/>
        </w:rPr>
        <w:t xml:space="preserve"> </w:t>
      </w:r>
      <w:r>
        <w:rPr>
          <w:rFonts w:hint="eastAsia" w:ascii="Times New Roman" w:hAnsi="Times New Roman" w:eastAsia="宋体"/>
          <w:sz w:val="21"/>
          <w:u w:val="single"/>
        </w:rPr>
        <w:t xml:space="preserve">发包人所在地 </w:t>
      </w:r>
      <w:r>
        <w:rPr>
          <w:rFonts w:ascii="Times New Roman" w:hAnsi="Times New Roman" w:eastAsia="宋体"/>
          <w:sz w:val="21"/>
        </w:rPr>
        <w:t>人民法院起诉。</w:t>
      </w:r>
    </w:p>
    <w:p w14:paraId="5859270D">
      <w:pPr>
        <w:spacing w:line="360" w:lineRule="exact"/>
        <w:ind w:firstLine="422" w:firstLineChars="200"/>
        <w:rPr>
          <w:rFonts w:ascii="宋体" w:hAnsi="宋体" w:eastAsia="宋体"/>
          <w:b/>
          <w:sz w:val="21"/>
          <w:szCs w:val="21"/>
        </w:rPr>
      </w:pPr>
      <w:r>
        <w:rPr>
          <w:rFonts w:hint="eastAsia" w:ascii="宋体" w:hAnsi="宋体" w:eastAsia="宋体"/>
          <w:b/>
          <w:sz w:val="21"/>
          <w:szCs w:val="21"/>
        </w:rPr>
        <w:t>21．补充条款</w:t>
      </w:r>
    </w:p>
    <w:p w14:paraId="4600B95E">
      <w:pPr>
        <w:snapToGrid w:val="0"/>
        <w:spacing w:line="360" w:lineRule="auto"/>
        <w:ind w:firstLine="420" w:firstLineChars="200"/>
        <w:rPr>
          <w:rFonts w:ascii="宋体" w:hAnsi="宋体" w:cs="宋体"/>
          <w:sz w:val="21"/>
          <w:szCs w:val="21"/>
          <w:u w:val="single"/>
        </w:rPr>
      </w:pPr>
      <w:r>
        <w:rPr>
          <w:rFonts w:hint="eastAsia" w:ascii="宋体" w:hAnsi="宋体" w:cs="宋体"/>
          <w:sz w:val="21"/>
          <w:szCs w:val="21"/>
          <w:u w:val="single"/>
        </w:rPr>
        <w:t>21.1监理人在处理以下事项时必须经发包人审查同意、书面签认后，方可将确认结果回复予承包人，未经发包人书面签认的答复无效：</w:t>
      </w:r>
    </w:p>
    <w:p w14:paraId="23EA32BA">
      <w:pPr>
        <w:snapToGrid w:val="0"/>
        <w:spacing w:line="360" w:lineRule="auto"/>
        <w:ind w:firstLine="420" w:firstLineChars="200"/>
        <w:rPr>
          <w:rFonts w:ascii="宋体" w:hAnsi="宋体" w:cs="宋体"/>
          <w:sz w:val="21"/>
          <w:szCs w:val="21"/>
        </w:rPr>
      </w:pPr>
      <w:r>
        <w:rPr>
          <w:rFonts w:hint="eastAsia" w:ascii="宋体" w:hAnsi="宋体" w:cs="宋体"/>
          <w:sz w:val="21"/>
          <w:szCs w:val="21"/>
          <w:u w:val="single"/>
        </w:rPr>
        <w:t>（1）工程计量；（2）工程价款（包括工程预付款、进度款、结算款）的确认和支付；（3）工程变更和价格调整；（4）竣工结算；（5）工期确认（包括开工日期、竣工日期、工期延误的确认）；（6）索赔处理。</w:t>
      </w:r>
    </w:p>
    <w:p w14:paraId="10F6C3FC">
      <w:pPr>
        <w:snapToGrid w:val="0"/>
        <w:spacing w:line="360" w:lineRule="auto"/>
        <w:ind w:firstLine="420" w:firstLineChars="200"/>
        <w:rPr>
          <w:rFonts w:ascii="宋体" w:hAnsi="宋体" w:cs="宋体"/>
          <w:sz w:val="21"/>
          <w:szCs w:val="21"/>
        </w:rPr>
      </w:pPr>
      <w:r>
        <w:rPr>
          <w:rFonts w:hint="eastAsia" w:ascii="宋体" w:hAnsi="宋体" w:cs="宋体"/>
          <w:sz w:val="21"/>
          <w:szCs w:val="21"/>
        </w:rPr>
        <w:t>21.2 本工程招标控制价计价依据：</w:t>
      </w:r>
      <w:r>
        <w:rPr>
          <w:rFonts w:hint="eastAsia" w:ascii="宋体" w:hAnsi="宋体" w:cs="宋体"/>
          <w:sz w:val="21"/>
          <w:szCs w:val="21"/>
          <w:u w:val="single"/>
        </w:rPr>
        <w:t>《浙江省建设工程计价规则》(2018版)、《浙江省房屋建筑与装饰工程预算定额》(2018版)、《浙江省通用安装工程预算定额》(2018版)、《浙江省市政工程预算定额》（2018版）、《浙江省园林绿化及仿古建筑工程预算定额》（2018版）《建设工程工程量清单计价规范》及省市造价文件有关规定及发包人提供的工程量清单中说明的工程量计算规则计量。</w:t>
      </w:r>
    </w:p>
    <w:p w14:paraId="31002B98">
      <w:pPr>
        <w:snapToGrid w:val="0"/>
        <w:spacing w:line="360" w:lineRule="auto"/>
        <w:ind w:firstLine="420" w:firstLineChars="200"/>
        <w:rPr>
          <w:rFonts w:ascii="宋体" w:hAnsi="宋体" w:cs="宋体"/>
          <w:sz w:val="21"/>
          <w:szCs w:val="21"/>
          <w:u w:val="single"/>
        </w:rPr>
      </w:pPr>
      <w:r>
        <w:rPr>
          <w:rFonts w:hint="eastAsia" w:ascii="宋体" w:hAnsi="宋体" w:cs="宋体"/>
          <w:sz w:val="21"/>
          <w:szCs w:val="21"/>
          <w:u w:val="single"/>
        </w:rPr>
        <w:t>21.3承包人必须严格按照图纸、规范、技术规程进行施工，否则，针对施工质量、进度、安全等方面，在质量监督站、建工处等主管部门的监督下，监理方可视情形对承包人进行经济处罚，相关费用发包人可直接从工程款中扣除。</w:t>
      </w:r>
    </w:p>
    <w:p w14:paraId="6AE62CDF">
      <w:pPr>
        <w:snapToGrid w:val="0"/>
        <w:spacing w:line="360" w:lineRule="auto"/>
        <w:ind w:firstLine="420" w:firstLineChars="200"/>
        <w:rPr>
          <w:rFonts w:ascii="宋体" w:hAnsi="宋体" w:cs="宋体"/>
          <w:sz w:val="21"/>
          <w:szCs w:val="21"/>
          <w:u w:val="single"/>
        </w:rPr>
      </w:pPr>
      <w:r>
        <w:rPr>
          <w:rFonts w:hint="eastAsia" w:ascii="宋体" w:hAnsi="宋体" w:cs="宋体"/>
          <w:sz w:val="21"/>
          <w:szCs w:val="21"/>
          <w:u w:val="single"/>
        </w:rPr>
        <w:t>21.4建筑工程工资性工程款、工资性工程预付款、工资性工程进度表请相关单位执行仙居县住房和城乡规划建设局和仙居县人力资源和社会保障局的文件《关于在全县建筑工程项目全面实施工资款和其他工程款分账管理制度的通知》。</w:t>
      </w:r>
    </w:p>
    <w:p w14:paraId="07476A50">
      <w:pPr>
        <w:snapToGrid w:val="0"/>
        <w:spacing w:line="360" w:lineRule="auto"/>
        <w:ind w:firstLine="420" w:firstLineChars="200"/>
        <w:rPr>
          <w:rFonts w:ascii="宋体" w:hAnsi="宋体" w:cs="宋体"/>
          <w:sz w:val="21"/>
          <w:szCs w:val="21"/>
          <w:u w:val="single"/>
        </w:rPr>
      </w:pPr>
      <w:r>
        <w:rPr>
          <w:rFonts w:hint="eastAsia" w:ascii="宋体" w:hAnsi="宋体" w:cs="宋体"/>
          <w:sz w:val="21"/>
          <w:szCs w:val="21"/>
          <w:u w:val="single"/>
        </w:rPr>
        <w:t>21.5承包人应按照《关于进一步加强建筑工程使用预拌砂浆管理工作的通知》（仙商务【2020】38号文件）的要求使用预拌砂浆，投标人应将使用预拌砂浆的费用计入本工程投标报价范围。</w:t>
      </w:r>
    </w:p>
    <w:p w14:paraId="24DF58BE">
      <w:pPr>
        <w:spacing w:line="360" w:lineRule="exact"/>
        <w:ind w:firstLine="420" w:firstLineChars="200"/>
        <w:rPr>
          <w:rFonts w:ascii="宋体" w:hAnsi="宋体" w:cs="宋体" w:eastAsiaTheme="minorEastAsia"/>
          <w:b/>
          <w:bCs/>
          <w:sz w:val="21"/>
          <w:szCs w:val="21"/>
          <w:u w:val="single"/>
        </w:rPr>
      </w:pPr>
      <w:r>
        <w:rPr>
          <w:rFonts w:hint="eastAsia" w:ascii="宋体" w:hAnsi="宋体" w:cs="宋体"/>
          <w:b/>
          <w:bCs/>
          <w:sz w:val="21"/>
          <w:szCs w:val="21"/>
          <w:u w:val="single"/>
        </w:rPr>
        <w:t>21.6发包人与承包人应按照《浙江省住房和城乡建设厅关于加强建筑工人实名制管理工作的通知》（浙建发建【2021】66号文件）的要求落实建筑企业实施实名制管理制度。</w:t>
      </w:r>
    </w:p>
    <w:p w14:paraId="11727250">
      <w:pPr>
        <w:pStyle w:val="10"/>
        <w:widowControl/>
        <w:adjustRightInd w:val="0"/>
        <w:snapToGrid w:val="0"/>
        <w:spacing w:line="312" w:lineRule="auto"/>
        <w:ind w:firstLine="420" w:firstLineChars="200"/>
        <w:rPr>
          <w:rFonts w:hAnsi="宋体"/>
          <w:bCs/>
          <w:szCs w:val="21"/>
        </w:rPr>
      </w:pPr>
      <w:r>
        <w:rPr>
          <w:rFonts w:hint="eastAsia" w:hAnsi="宋体"/>
          <w:bCs/>
          <w:szCs w:val="21"/>
        </w:rPr>
        <w:t>21.</w:t>
      </w:r>
      <w:r>
        <w:rPr>
          <w:rFonts w:hint="eastAsia" w:hAnsi="宋体" w:eastAsiaTheme="minorEastAsia"/>
          <w:bCs/>
          <w:szCs w:val="21"/>
        </w:rPr>
        <w:t>7</w:t>
      </w:r>
      <w:r>
        <w:rPr>
          <w:rFonts w:hint="eastAsia" w:hAnsi="宋体"/>
          <w:bCs/>
          <w:szCs w:val="21"/>
        </w:rPr>
        <w:t>本工程总承包服务</w:t>
      </w:r>
      <w:r>
        <w:rPr>
          <w:rFonts w:hint="eastAsia" w:hAnsi="宋体" w:eastAsiaTheme="minorEastAsia"/>
          <w:bCs/>
          <w:color w:val="FF0000"/>
          <w:szCs w:val="21"/>
        </w:rPr>
        <w:t>（如无需总承包单位提供的，则不计取该项费用）</w:t>
      </w:r>
      <w:r>
        <w:rPr>
          <w:rFonts w:hint="eastAsia" w:hAnsi="宋体"/>
          <w:bCs/>
          <w:color w:val="FF0000"/>
          <w:szCs w:val="21"/>
        </w:rPr>
        <w:t xml:space="preserve">： </w:t>
      </w:r>
    </w:p>
    <w:p w14:paraId="6C14B39F">
      <w:pPr>
        <w:snapToGrid w:val="0"/>
        <w:spacing w:line="312" w:lineRule="auto"/>
        <w:ind w:firstLine="420" w:firstLineChars="200"/>
        <w:rPr>
          <w:rFonts w:ascii="宋体" w:hAnsi="宋体"/>
          <w:sz w:val="21"/>
          <w:szCs w:val="21"/>
        </w:rPr>
      </w:pPr>
      <w:r>
        <w:rPr>
          <w:rFonts w:hint="eastAsia" w:ascii="宋体" w:hAnsi="宋体"/>
          <w:sz w:val="21"/>
          <w:szCs w:val="21"/>
        </w:rPr>
        <w:t>21.</w:t>
      </w:r>
      <w:r>
        <w:rPr>
          <w:rFonts w:hint="eastAsia" w:ascii="宋体" w:hAnsi="宋体" w:eastAsiaTheme="minorEastAsia"/>
          <w:sz w:val="21"/>
          <w:szCs w:val="21"/>
        </w:rPr>
        <w:t>7</w:t>
      </w:r>
      <w:r>
        <w:rPr>
          <w:rFonts w:hint="eastAsia" w:ascii="宋体" w:hAnsi="宋体"/>
          <w:sz w:val="21"/>
          <w:szCs w:val="21"/>
        </w:rPr>
        <w:t>.1.总承包服务费计费：</w:t>
      </w:r>
    </w:p>
    <w:p w14:paraId="7E21E0CA">
      <w:pPr>
        <w:snapToGrid w:val="0"/>
        <w:spacing w:line="312" w:lineRule="auto"/>
        <w:ind w:firstLine="420" w:firstLineChars="200"/>
        <w:rPr>
          <w:rFonts w:hAnsi="宋体"/>
          <w:bCs/>
          <w:sz w:val="21"/>
          <w:szCs w:val="21"/>
          <w:u w:val="single"/>
        </w:rPr>
      </w:pPr>
      <w:r>
        <w:rPr>
          <w:rFonts w:hint="eastAsia" w:asciiTheme="minorEastAsia" w:hAnsiTheme="minorEastAsia" w:eastAsiaTheme="minorEastAsia"/>
          <w:color w:val="FF0000"/>
          <w:sz w:val="21"/>
          <w:szCs w:val="21"/>
        </w:rPr>
        <w:t>发包人另行发包的</w:t>
      </w:r>
      <w:r>
        <w:rPr>
          <w:rFonts w:hint="eastAsia" w:ascii="宋体" w:hAnsi="宋体"/>
          <w:color w:val="FF0000"/>
          <w:sz w:val="21"/>
          <w:szCs w:val="21"/>
        </w:rPr>
        <w:t>纳入总承包管理的专业分包工程，</w:t>
      </w:r>
      <w:r>
        <w:rPr>
          <w:rFonts w:hint="eastAsia" w:asciiTheme="minorEastAsia" w:hAnsiTheme="minorEastAsia" w:eastAsiaTheme="minorEastAsia"/>
          <w:color w:val="FF0000"/>
          <w:sz w:val="21"/>
          <w:szCs w:val="21"/>
        </w:rPr>
        <w:t>按结算价的2%计取。</w:t>
      </w:r>
    </w:p>
    <w:p w14:paraId="28AE0871">
      <w:pPr>
        <w:pStyle w:val="10"/>
        <w:widowControl/>
        <w:adjustRightInd w:val="0"/>
        <w:snapToGrid w:val="0"/>
        <w:spacing w:line="312" w:lineRule="auto"/>
        <w:ind w:firstLine="420" w:firstLineChars="200"/>
        <w:rPr>
          <w:rFonts w:hAnsi="宋体"/>
          <w:bCs/>
          <w:szCs w:val="21"/>
        </w:rPr>
      </w:pPr>
      <w:r>
        <w:rPr>
          <w:rFonts w:hint="eastAsia" w:hAnsi="宋体"/>
          <w:bCs/>
          <w:szCs w:val="21"/>
        </w:rPr>
        <w:t>21.</w:t>
      </w:r>
      <w:r>
        <w:rPr>
          <w:rFonts w:hint="eastAsia" w:hAnsi="宋体" w:eastAsiaTheme="minorEastAsia"/>
          <w:bCs/>
          <w:szCs w:val="21"/>
        </w:rPr>
        <w:t>7</w:t>
      </w:r>
      <w:r>
        <w:rPr>
          <w:rFonts w:hint="eastAsia" w:hAnsi="宋体"/>
          <w:bCs/>
          <w:szCs w:val="21"/>
        </w:rPr>
        <w:t>.2总承包服务费内容包括：</w:t>
      </w:r>
    </w:p>
    <w:p w14:paraId="2E0ACE4B">
      <w:pPr>
        <w:pStyle w:val="10"/>
        <w:widowControl/>
        <w:adjustRightInd w:val="0"/>
        <w:snapToGrid w:val="0"/>
        <w:spacing w:line="312" w:lineRule="auto"/>
        <w:ind w:firstLine="420" w:firstLineChars="200"/>
        <w:rPr>
          <w:bCs/>
          <w:szCs w:val="21"/>
        </w:rPr>
      </w:pPr>
      <w:r>
        <w:rPr>
          <w:rFonts w:hint="eastAsia"/>
          <w:bCs/>
          <w:szCs w:val="21"/>
        </w:rPr>
        <w:t>（1）作为总包单位现场配合、交叉施工影响而增加的现场经费；负责对分包单位进行管理，提供其承包范围内符合分包单位施工要求的相关的预埋、预留；</w:t>
      </w:r>
    </w:p>
    <w:p w14:paraId="6041D443">
      <w:pPr>
        <w:pStyle w:val="10"/>
        <w:widowControl/>
        <w:adjustRightInd w:val="0"/>
        <w:snapToGrid w:val="0"/>
        <w:spacing w:line="312" w:lineRule="auto"/>
        <w:ind w:firstLine="420" w:firstLineChars="200"/>
        <w:rPr>
          <w:bCs/>
        </w:rPr>
      </w:pPr>
      <w:r>
        <w:rPr>
          <w:rFonts w:hint="eastAsia"/>
          <w:bCs/>
        </w:rPr>
        <w:t>（2）负责各分包工程的工期、质量安全的管理与协调；</w:t>
      </w:r>
    </w:p>
    <w:p w14:paraId="21E76C49">
      <w:pPr>
        <w:pStyle w:val="10"/>
        <w:widowControl/>
        <w:adjustRightInd w:val="0"/>
        <w:snapToGrid w:val="0"/>
        <w:spacing w:line="312" w:lineRule="auto"/>
        <w:ind w:firstLine="420" w:firstLineChars="200"/>
        <w:rPr>
          <w:bCs/>
        </w:rPr>
      </w:pPr>
      <w:r>
        <w:rPr>
          <w:rFonts w:hint="eastAsia"/>
          <w:bCs/>
        </w:rPr>
        <w:t>（3）负责全套竣工验收资料的收集整理工作,同时负责各分包单位资料收集整理工作；</w:t>
      </w:r>
    </w:p>
    <w:p w14:paraId="36A9834E">
      <w:pPr>
        <w:pStyle w:val="10"/>
        <w:widowControl/>
        <w:adjustRightInd w:val="0"/>
        <w:snapToGrid w:val="0"/>
        <w:spacing w:line="312" w:lineRule="auto"/>
        <w:ind w:firstLine="420" w:firstLineChars="200"/>
        <w:rPr>
          <w:bCs/>
        </w:rPr>
      </w:pPr>
      <w:r>
        <w:rPr>
          <w:rFonts w:hint="eastAsia"/>
          <w:bCs/>
        </w:rPr>
        <w:t>（4）向分包人提供工地内已有的机械设备、储存仓库、辅助设施及临时设施等，临时设施有义务提供分包人管理人员的办公用房及部分值班基本用房需要，并在如装卸、起吊、安排场地等方面提供必要的帮助；负责提供各分包单位建筑垃圾堆放点（在场内），并定时集中清理外运现场垃圾；负责无偿提供各分包方外架、塔吊及垂直运输设备使用；</w:t>
      </w:r>
    </w:p>
    <w:p w14:paraId="2290CF80">
      <w:pPr>
        <w:pStyle w:val="10"/>
        <w:widowControl/>
        <w:adjustRightInd w:val="0"/>
        <w:snapToGrid w:val="0"/>
        <w:spacing w:line="312" w:lineRule="auto"/>
        <w:ind w:firstLine="420" w:firstLineChars="200"/>
        <w:rPr>
          <w:bCs/>
        </w:rPr>
      </w:pPr>
      <w:r>
        <w:rPr>
          <w:rFonts w:hint="eastAsia"/>
          <w:bCs/>
        </w:rPr>
        <w:t>（5）承包人须做好安排，以使其他分包人能与其共同使用现场的通道及场地，并为分包人提供合理的施工作业空间；</w:t>
      </w:r>
    </w:p>
    <w:p w14:paraId="6176D99A">
      <w:pPr>
        <w:pStyle w:val="10"/>
        <w:widowControl/>
        <w:adjustRightInd w:val="0"/>
        <w:snapToGrid w:val="0"/>
        <w:spacing w:line="312" w:lineRule="auto"/>
        <w:ind w:firstLine="420" w:firstLineChars="200"/>
        <w:rPr>
          <w:bCs/>
        </w:rPr>
      </w:pPr>
      <w:r>
        <w:rPr>
          <w:rFonts w:hint="eastAsia"/>
          <w:bCs/>
        </w:rPr>
        <w:t>（6）负责对已完工的分包工程的保护，以防损失，并采取适当的防火、防水、防风、防雨、防盗等措施；</w:t>
      </w:r>
    </w:p>
    <w:p w14:paraId="3CA3DC2B">
      <w:pPr>
        <w:pStyle w:val="10"/>
        <w:widowControl/>
        <w:adjustRightInd w:val="0"/>
        <w:snapToGrid w:val="0"/>
        <w:spacing w:line="312" w:lineRule="auto"/>
        <w:ind w:firstLine="420" w:firstLineChars="200"/>
        <w:rPr>
          <w:bCs/>
        </w:rPr>
      </w:pPr>
      <w:r>
        <w:rPr>
          <w:rFonts w:hint="eastAsia"/>
          <w:bCs/>
        </w:rPr>
        <w:t xml:space="preserve">（7）向分包人准确提供其所需的标高、定位基准等技术资料并对其准确性负责。                                                 </w:t>
      </w:r>
    </w:p>
    <w:p w14:paraId="4F2AFE4C">
      <w:pPr>
        <w:pStyle w:val="10"/>
        <w:widowControl/>
        <w:adjustRightInd w:val="0"/>
        <w:snapToGrid w:val="0"/>
        <w:spacing w:line="312" w:lineRule="auto"/>
        <w:ind w:firstLine="420" w:firstLineChars="200"/>
        <w:rPr>
          <w:bCs/>
        </w:rPr>
      </w:pPr>
      <w:r>
        <w:rPr>
          <w:rFonts w:hint="eastAsia"/>
          <w:bCs/>
        </w:rPr>
        <w:t>（8）在承包人所施工的设计图纸以外，如因分包人专业需要在施工中需对设计进行特殊处理或有因专业需要结构进行处理，总包人对此必须全面进行配合和服务；</w:t>
      </w:r>
    </w:p>
    <w:p w14:paraId="0CBA998B">
      <w:pPr>
        <w:pStyle w:val="10"/>
        <w:widowControl/>
        <w:adjustRightInd w:val="0"/>
        <w:snapToGrid w:val="0"/>
        <w:spacing w:line="312" w:lineRule="auto"/>
        <w:ind w:firstLine="420" w:firstLineChars="200"/>
        <w:rPr>
          <w:bCs/>
        </w:rPr>
      </w:pPr>
      <w:r>
        <w:rPr>
          <w:rFonts w:hint="eastAsia"/>
          <w:bCs/>
        </w:rPr>
        <w:t>（9）为分包单位在每栋楼提供水电接入口、指定现场建筑垃圾堆放点，承包人有权对分包单位的水电费使用情况及建筑垃圾堆放、清理外运进行督促、管理，所需管理费用已含在包干措施费中（水电费由总包方与分包方装表计量或协商解决，协商不成的必须装表计量；建筑垃圾由各分包单位自行负责及时清理外运，费用由分包单位自理。如垃圾无责任单位的，由承包人负责清运并承担相应费用。承包人、分包单位未按照要求及时清理建筑垃圾，发包人有权委托第三方进行清理，第三方相关垃圾清理费用在承包人进度款或结算款中扣除。）； 如水电设施保护不当，造成水电设施损坏的，由承包人承担损失。接口留置应符合发包人的要求。</w:t>
      </w:r>
    </w:p>
    <w:p w14:paraId="6A1CB8D8">
      <w:pPr>
        <w:spacing w:line="360" w:lineRule="exact"/>
        <w:ind w:firstLine="420" w:firstLineChars="200"/>
        <w:rPr>
          <w:rFonts w:asciiTheme="minorEastAsia" w:hAnsiTheme="minorEastAsia" w:eastAsiaTheme="minorEastAsia"/>
          <w:color w:val="FF0000"/>
          <w:sz w:val="21"/>
          <w:u w:val="single"/>
        </w:rPr>
      </w:pPr>
    </w:p>
    <w:p w14:paraId="570ED016">
      <w:pPr>
        <w:adjustRightInd w:val="0"/>
        <w:snapToGrid w:val="0"/>
        <w:spacing w:line="360" w:lineRule="auto"/>
        <w:ind w:firstLine="420" w:firstLineChars="200"/>
        <w:rPr>
          <w:rFonts w:ascii="Times New Roman" w:hAnsi="Times New Roman" w:eastAsia="宋体"/>
          <w:sz w:val="21"/>
        </w:rPr>
      </w:pPr>
      <w:r>
        <w:rPr>
          <w:rFonts w:hint="eastAsia" w:ascii="宋体" w:hAnsi="宋体" w:eastAsia="宋体"/>
          <w:sz w:val="21"/>
          <w:szCs w:val="21"/>
        </w:rPr>
        <w:t xml:space="preserve">                                                                                                                                                                                                                                                                                                                                                                                                                               </w:t>
      </w:r>
    </w:p>
    <w:p w14:paraId="4256EC04">
      <w:pPr>
        <w:adjustRightInd w:val="0"/>
        <w:snapToGrid w:val="0"/>
        <w:spacing w:line="480" w:lineRule="auto"/>
        <w:ind w:firstLine="420" w:firstLineChars="200"/>
        <w:rPr>
          <w:rFonts w:ascii="Times New Roman" w:hAnsi="Times New Roman" w:eastAsia="宋体"/>
          <w:sz w:val="21"/>
        </w:rPr>
      </w:pPr>
      <w:r>
        <w:rPr>
          <w:rFonts w:ascii="Times New Roman" w:hAnsi="Times New Roman" w:eastAsia="宋体"/>
          <w:sz w:val="21"/>
        </w:rPr>
        <w:t>发包人(公章)：</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hint="eastAsia" w:ascii="Times New Roman" w:hAnsi="Times New Roman" w:eastAsia="宋体"/>
          <w:sz w:val="21"/>
        </w:rPr>
        <w:t xml:space="preserve"> </w:t>
      </w:r>
      <w:r>
        <w:rPr>
          <w:rFonts w:ascii="Times New Roman" w:hAnsi="Times New Roman" w:eastAsia="宋体"/>
          <w:sz w:val="21"/>
        </w:rPr>
        <w:t>承包人(公章)：</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p>
    <w:p w14:paraId="25D8036E">
      <w:pPr>
        <w:adjustRightInd w:val="0"/>
        <w:snapToGrid w:val="0"/>
        <w:spacing w:line="480" w:lineRule="auto"/>
        <w:ind w:firstLine="420" w:firstLineChars="200"/>
        <w:rPr>
          <w:rFonts w:ascii="Times New Roman" w:hAnsi="Times New Roman" w:eastAsia="宋体"/>
          <w:sz w:val="21"/>
        </w:rPr>
      </w:pPr>
      <w:r>
        <w:rPr>
          <w:rFonts w:ascii="Times New Roman" w:hAnsi="Times New Roman" w:eastAsia="宋体"/>
          <w:sz w:val="21"/>
        </w:rPr>
        <w:t>地  址：</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hint="eastAsia" w:ascii="Times New Roman" w:hAnsi="Times New Roman" w:eastAsia="宋体"/>
          <w:sz w:val="21"/>
        </w:rPr>
        <w:t xml:space="preserve">  </w:t>
      </w:r>
      <w:r>
        <w:rPr>
          <w:rFonts w:ascii="Times New Roman" w:hAnsi="Times New Roman" w:eastAsia="宋体"/>
          <w:sz w:val="21"/>
        </w:rPr>
        <w:t>地  址：</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p>
    <w:p w14:paraId="00FECBEF">
      <w:pPr>
        <w:adjustRightInd w:val="0"/>
        <w:snapToGrid w:val="0"/>
        <w:spacing w:line="480" w:lineRule="auto"/>
        <w:ind w:firstLine="420" w:firstLineChars="200"/>
        <w:rPr>
          <w:rFonts w:ascii="Times New Roman" w:hAnsi="Times New Roman" w:eastAsia="宋体"/>
          <w:sz w:val="21"/>
        </w:rPr>
      </w:pPr>
      <w:r>
        <w:rPr>
          <w:rFonts w:ascii="Times New Roman" w:hAnsi="Times New Roman" w:eastAsia="宋体"/>
          <w:sz w:val="21"/>
        </w:rPr>
        <w:t>法定代表人(签字)：</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hint="eastAsia" w:ascii="Times New Roman" w:hAnsi="Times New Roman" w:eastAsia="宋体"/>
          <w:sz w:val="21"/>
        </w:rPr>
        <w:t xml:space="preserve">  </w:t>
      </w:r>
      <w:r>
        <w:rPr>
          <w:rFonts w:ascii="Times New Roman" w:hAnsi="Times New Roman" w:eastAsia="宋体"/>
          <w:sz w:val="21"/>
        </w:rPr>
        <w:t>法定代表人(签字)：</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p>
    <w:p w14:paraId="320E65C0">
      <w:pPr>
        <w:adjustRightInd w:val="0"/>
        <w:snapToGrid w:val="0"/>
        <w:spacing w:line="480" w:lineRule="auto"/>
        <w:ind w:firstLine="420" w:firstLineChars="200"/>
        <w:rPr>
          <w:rFonts w:ascii="Times New Roman" w:hAnsi="Times New Roman" w:eastAsia="宋体"/>
          <w:sz w:val="21"/>
        </w:rPr>
      </w:pPr>
      <w:r>
        <w:rPr>
          <w:rFonts w:ascii="Times New Roman" w:hAnsi="Times New Roman" w:eastAsia="宋体"/>
          <w:sz w:val="21"/>
        </w:rPr>
        <w:t>委托代理人(签字)：</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hint="eastAsia" w:ascii="Times New Roman" w:hAnsi="Times New Roman" w:eastAsia="宋体"/>
          <w:sz w:val="21"/>
        </w:rPr>
        <w:t xml:space="preserve">  </w:t>
      </w:r>
      <w:r>
        <w:rPr>
          <w:rFonts w:ascii="Times New Roman" w:hAnsi="Times New Roman" w:eastAsia="宋体"/>
          <w:sz w:val="21"/>
        </w:rPr>
        <w:t>委托代理人(签字)：</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p>
    <w:p w14:paraId="111FAC3F">
      <w:pPr>
        <w:adjustRightInd w:val="0"/>
        <w:snapToGrid w:val="0"/>
        <w:spacing w:line="480" w:lineRule="auto"/>
        <w:ind w:firstLine="420" w:firstLineChars="200"/>
        <w:rPr>
          <w:rFonts w:ascii="Times New Roman" w:hAnsi="Times New Roman" w:eastAsia="宋体"/>
          <w:sz w:val="21"/>
        </w:rPr>
      </w:pPr>
      <w:r>
        <w:rPr>
          <w:rFonts w:ascii="Times New Roman" w:hAnsi="Times New Roman" w:eastAsia="宋体"/>
          <w:sz w:val="21"/>
        </w:rPr>
        <w:t>电  话：</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ascii="Times New Roman" w:hAnsi="Times New Roman" w:eastAsia="宋体"/>
          <w:sz w:val="21"/>
        </w:rPr>
        <w:t xml:space="preserve"> </w:t>
      </w:r>
      <w:r>
        <w:rPr>
          <w:rFonts w:hint="eastAsia" w:ascii="Times New Roman" w:hAnsi="Times New Roman" w:eastAsia="宋体"/>
          <w:sz w:val="21"/>
        </w:rPr>
        <w:t xml:space="preserve"> </w:t>
      </w:r>
      <w:r>
        <w:rPr>
          <w:rFonts w:ascii="Times New Roman" w:hAnsi="Times New Roman" w:eastAsia="宋体"/>
          <w:sz w:val="21"/>
        </w:rPr>
        <w:t>电  话：</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p>
    <w:p w14:paraId="1393CA9C">
      <w:pPr>
        <w:adjustRightInd w:val="0"/>
        <w:snapToGrid w:val="0"/>
        <w:spacing w:line="480" w:lineRule="auto"/>
        <w:ind w:firstLine="420" w:firstLineChars="200"/>
        <w:rPr>
          <w:rFonts w:ascii="Times New Roman" w:hAnsi="Times New Roman" w:eastAsia="宋体"/>
          <w:sz w:val="21"/>
          <w:u w:val="single"/>
        </w:rPr>
      </w:pPr>
      <w:r>
        <w:rPr>
          <w:rFonts w:ascii="Times New Roman" w:hAnsi="Times New Roman" w:eastAsia="宋体"/>
          <w:sz w:val="21"/>
        </w:rPr>
        <w:t>传  真：</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r>
        <w:rPr>
          <w:rFonts w:hint="eastAsia" w:ascii="Times New Roman" w:hAnsi="Times New Roman" w:eastAsia="宋体"/>
          <w:sz w:val="21"/>
        </w:rPr>
        <w:t xml:space="preserve">  </w:t>
      </w:r>
      <w:r>
        <w:rPr>
          <w:rFonts w:ascii="Times New Roman" w:hAnsi="Times New Roman" w:eastAsia="宋体"/>
          <w:sz w:val="21"/>
        </w:rPr>
        <w:t>传  真：</w:t>
      </w:r>
      <w:r>
        <w:rPr>
          <w:rFonts w:ascii="Times New Roman" w:hAnsi="Times New Roman" w:eastAsia="宋体"/>
          <w:sz w:val="21"/>
          <w:u w:val="single"/>
        </w:rPr>
        <w:t xml:space="preserve">                </w:t>
      </w:r>
      <w:r>
        <w:rPr>
          <w:rFonts w:hint="eastAsia" w:ascii="Times New Roman" w:hAnsi="Times New Roman" w:eastAsia="宋体"/>
          <w:sz w:val="21"/>
          <w:u w:val="single"/>
        </w:rPr>
        <w:t xml:space="preserve">              </w:t>
      </w:r>
      <w:r>
        <w:rPr>
          <w:rFonts w:ascii="Times New Roman" w:hAnsi="Times New Roman" w:eastAsia="宋体"/>
          <w:sz w:val="21"/>
          <w:u w:val="single"/>
        </w:rPr>
        <w:t xml:space="preserve"> </w:t>
      </w:r>
    </w:p>
    <w:p w14:paraId="3ACE6AC9">
      <w:pPr>
        <w:adjustRightInd w:val="0"/>
        <w:snapToGrid w:val="0"/>
        <w:spacing w:line="360" w:lineRule="auto"/>
        <w:ind w:firstLine="422" w:firstLineChars="200"/>
        <w:rPr>
          <w:rFonts w:ascii="Times New Roman" w:hAnsi="Times New Roman" w:eastAsia="宋体"/>
          <w:b/>
          <w:sz w:val="21"/>
        </w:rPr>
      </w:pPr>
    </w:p>
    <w:p w14:paraId="51590C98">
      <w:pPr>
        <w:adjustRightInd w:val="0"/>
        <w:snapToGrid w:val="0"/>
        <w:spacing w:line="360" w:lineRule="auto"/>
        <w:ind w:firstLine="422" w:firstLineChars="200"/>
        <w:rPr>
          <w:rFonts w:ascii="Times New Roman" w:hAnsi="Times New Roman" w:eastAsia="宋体"/>
          <w:b/>
          <w:sz w:val="21"/>
        </w:rPr>
      </w:pPr>
    </w:p>
    <w:p w14:paraId="715DEC10">
      <w:pPr>
        <w:adjustRightInd w:val="0"/>
        <w:snapToGrid w:val="0"/>
        <w:spacing w:line="360" w:lineRule="auto"/>
        <w:ind w:firstLine="422" w:firstLineChars="200"/>
        <w:rPr>
          <w:rFonts w:ascii="Times New Roman" w:hAnsi="Times New Roman" w:eastAsia="宋体"/>
          <w:b/>
          <w:sz w:val="21"/>
        </w:rPr>
      </w:pPr>
      <w:r>
        <w:rPr>
          <w:rFonts w:ascii="Times New Roman" w:hAnsi="Times New Roman" w:eastAsia="宋体"/>
          <w:b/>
          <w:sz w:val="21"/>
        </w:rPr>
        <w:t>附件</w:t>
      </w:r>
    </w:p>
    <w:p w14:paraId="044DB501">
      <w:pPr>
        <w:adjustRightInd w:val="0"/>
        <w:snapToGrid w:val="0"/>
        <w:spacing w:line="360" w:lineRule="auto"/>
        <w:ind w:firstLine="420" w:firstLineChars="200"/>
        <w:rPr>
          <w:rFonts w:ascii="Times New Roman" w:hAnsi="Times New Roman" w:eastAsia="宋体"/>
          <w:sz w:val="21"/>
        </w:rPr>
      </w:pPr>
      <w:r>
        <w:rPr>
          <w:rFonts w:hint="eastAsia" w:ascii="Times New Roman" w:hAnsi="Times New Roman" w:eastAsia="宋体"/>
          <w:sz w:val="21"/>
        </w:rPr>
        <w:t>协议书附件：</w:t>
      </w:r>
    </w:p>
    <w:p w14:paraId="74016D07">
      <w:pPr>
        <w:adjustRightInd w:val="0"/>
        <w:snapToGrid w:val="0"/>
        <w:spacing w:line="360" w:lineRule="auto"/>
        <w:ind w:firstLine="420" w:firstLineChars="200"/>
        <w:rPr>
          <w:rFonts w:ascii="Times New Roman" w:hAnsi="Times New Roman" w:eastAsia="宋体"/>
          <w:sz w:val="21"/>
        </w:rPr>
      </w:pPr>
      <w:r>
        <w:rPr>
          <w:rFonts w:ascii="Times New Roman" w:hAnsi="Times New Roman" w:eastAsia="宋体"/>
          <w:sz w:val="21"/>
        </w:rPr>
        <w:t>附件1：承包人承揽工程项目一览表</w:t>
      </w:r>
      <w:r>
        <w:rPr>
          <w:rFonts w:hint="eastAsia" w:ascii="Times New Roman" w:hAnsi="Times New Roman" w:eastAsia="宋体"/>
          <w:sz w:val="21"/>
        </w:rPr>
        <w:t>（略）</w:t>
      </w:r>
    </w:p>
    <w:p w14:paraId="07D8ACE3">
      <w:pPr>
        <w:adjustRightInd w:val="0"/>
        <w:snapToGrid w:val="0"/>
        <w:spacing w:line="360" w:lineRule="auto"/>
        <w:ind w:firstLine="420" w:firstLineChars="200"/>
        <w:rPr>
          <w:rFonts w:ascii="Times New Roman" w:hAnsi="Times New Roman" w:eastAsia="宋体"/>
          <w:sz w:val="21"/>
        </w:rPr>
      </w:pPr>
      <w:r>
        <w:rPr>
          <w:rFonts w:hint="eastAsia" w:ascii="Times New Roman" w:hAnsi="Times New Roman" w:eastAsia="宋体"/>
          <w:sz w:val="21"/>
        </w:rPr>
        <w:t>专用合同条款附件：</w:t>
      </w:r>
    </w:p>
    <w:p w14:paraId="0A1DF8BE">
      <w:pPr>
        <w:adjustRightInd w:val="0"/>
        <w:snapToGrid w:val="0"/>
        <w:spacing w:line="360" w:lineRule="auto"/>
        <w:ind w:firstLine="420" w:firstLineChars="200"/>
        <w:rPr>
          <w:rFonts w:ascii="Times New Roman" w:hAnsi="Times New Roman" w:eastAsia="宋体"/>
          <w:sz w:val="21"/>
        </w:rPr>
      </w:pPr>
      <w:r>
        <w:rPr>
          <w:rFonts w:ascii="Times New Roman" w:hAnsi="Times New Roman" w:eastAsia="宋体"/>
          <w:sz w:val="21"/>
        </w:rPr>
        <w:t>附件2：发包人供应材料设备一览表</w:t>
      </w:r>
      <w:r>
        <w:rPr>
          <w:rFonts w:hint="eastAsia" w:ascii="Times New Roman" w:hAnsi="Times New Roman" w:eastAsia="宋体"/>
          <w:sz w:val="21"/>
        </w:rPr>
        <w:t>（略）</w:t>
      </w:r>
    </w:p>
    <w:p w14:paraId="70F5C95F">
      <w:pPr>
        <w:adjustRightInd w:val="0"/>
        <w:snapToGrid w:val="0"/>
        <w:spacing w:line="360" w:lineRule="auto"/>
        <w:ind w:firstLine="420" w:firstLineChars="200"/>
        <w:rPr>
          <w:rFonts w:ascii="Times New Roman" w:hAnsi="Times New Roman" w:eastAsia="宋体"/>
          <w:sz w:val="21"/>
        </w:rPr>
      </w:pPr>
      <w:r>
        <w:rPr>
          <w:rFonts w:ascii="Times New Roman" w:hAnsi="Times New Roman" w:eastAsia="宋体"/>
          <w:sz w:val="21"/>
        </w:rPr>
        <w:t>附件3：工程质量保修书</w:t>
      </w:r>
    </w:p>
    <w:p w14:paraId="30C5EDD1">
      <w:pPr>
        <w:adjustRightInd w:val="0"/>
        <w:snapToGrid w:val="0"/>
        <w:spacing w:line="360" w:lineRule="auto"/>
        <w:ind w:firstLine="420" w:firstLineChars="200"/>
        <w:rPr>
          <w:rFonts w:ascii="Times New Roman" w:hAnsi="Times New Roman" w:eastAsia="宋体"/>
          <w:sz w:val="21"/>
        </w:rPr>
      </w:pPr>
      <w:r>
        <w:rPr>
          <w:rFonts w:ascii="Times New Roman" w:hAnsi="Times New Roman" w:eastAsia="宋体"/>
          <w:sz w:val="21"/>
        </w:rPr>
        <w:t>附件4：主要建设工程文件目录</w:t>
      </w:r>
      <w:r>
        <w:rPr>
          <w:rFonts w:hint="eastAsia" w:ascii="Times New Roman" w:hAnsi="Times New Roman" w:eastAsia="宋体"/>
          <w:sz w:val="21"/>
        </w:rPr>
        <w:t>（略）</w:t>
      </w:r>
    </w:p>
    <w:p w14:paraId="54D869F3">
      <w:pPr>
        <w:adjustRightInd w:val="0"/>
        <w:snapToGrid w:val="0"/>
        <w:spacing w:line="360" w:lineRule="auto"/>
        <w:ind w:firstLine="420" w:firstLineChars="200"/>
        <w:rPr>
          <w:rFonts w:ascii="Times New Roman" w:hAnsi="Times New Roman" w:eastAsia="宋体"/>
          <w:sz w:val="21"/>
        </w:rPr>
      </w:pPr>
      <w:r>
        <w:rPr>
          <w:rFonts w:ascii="Times New Roman" w:hAnsi="Times New Roman" w:eastAsia="宋体"/>
          <w:sz w:val="21"/>
        </w:rPr>
        <w:t>附件5：承包人用于本工程施工的机械设备表</w:t>
      </w:r>
      <w:r>
        <w:rPr>
          <w:rFonts w:hint="eastAsia" w:ascii="Times New Roman" w:hAnsi="Times New Roman" w:eastAsia="宋体"/>
          <w:sz w:val="21"/>
        </w:rPr>
        <w:t>（略）</w:t>
      </w:r>
    </w:p>
    <w:p w14:paraId="69637958">
      <w:pPr>
        <w:adjustRightInd w:val="0"/>
        <w:snapToGrid w:val="0"/>
        <w:spacing w:line="360" w:lineRule="auto"/>
        <w:ind w:firstLine="420" w:firstLineChars="200"/>
        <w:rPr>
          <w:rFonts w:ascii="Times New Roman" w:hAnsi="Times New Roman" w:eastAsia="宋体"/>
          <w:sz w:val="21"/>
        </w:rPr>
      </w:pPr>
      <w:r>
        <w:rPr>
          <w:rFonts w:ascii="Times New Roman" w:hAnsi="Times New Roman" w:eastAsia="宋体"/>
          <w:sz w:val="21"/>
        </w:rPr>
        <w:t>附件6：承包人主要施工管理人员表</w:t>
      </w:r>
      <w:r>
        <w:rPr>
          <w:rFonts w:hint="eastAsia" w:ascii="Times New Roman" w:hAnsi="Times New Roman" w:eastAsia="宋体"/>
          <w:sz w:val="21"/>
        </w:rPr>
        <w:t>（略）</w:t>
      </w:r>
    </w:p>
    <w:p w14:paraId="5656C969">
      <w:pPr>
        <w:adjustRightInd w:val="0"/>
        <w:snapToGrid w:val="0"/>
        <w:spacing w:line="360" w:lineRule="auto"/>
        <w:ind w:firstLine="420" w:firstLineChars="200"/>
        <w:rPr>
          <w:rFonts w:ascii="Times New Roman" w:hAnsi="Times New Roman" w:eastAsia="宋体"/>
          <w:sz w:val="21"/>
        </w:rPr>
      </w:pPr>
      <w:r>
        <w:rPr>
          <w:rFonts w:ascii="Times New Roman" w:hAnsi="Times New Roman" w:eastAsia="宋体"/>
          <w:sz w:val="21"/>
        </w:rPr>
        <w:t>附件7：分包人主要施工管理人员表</w:t>
      </w:r>
      <w:r>
        <w:rPr>
          <w:rFonts w:hint="eastAsia" w:ascii="Times New Roman" w:hAnsi="Times New Roman" w:eastAsia="宋体"/>
          <w:sz w:val="21"/>
        </w:rPr>
        <w:t>（略）</w:t>
      </w:r>
    </w:p>
    <w:p w14:paraId="34117DF7">
      <w:pPr>
        <w:adjustRightInd w:val="0"/>
        <w:snapToGrid w:val="0"/>
        <w:spacing w:line="360" w:lineRule="auto"/>
        <w:ind w:firstLine="420" w:firstLineChars="200"/>
        <w:rPr>
          <w:rFonts w:ascii="Times New Roman" w:hAnsi="Times New Roman" w:eastAsia="宋体"/>
          <w:sz w:val="21"/>
        </w:rPr>
      </w:pPr>
      <w:r>
        <w:rPr>
          <w:rFonts w:ascii="Times New Roman" w:hAnsi="Times New Roman" w:eastAsia="宋体"/>
          <w:sz w:val="21"/>
        </w:rPr>
        <w:t>附件8：履约担保格式</w:t>
      </w:r>
      <w:r>
        <w:rPr>
          <w:rFonts w:hint="eastAsia" w:ascii="Times New Roman" w:hAnsi="Times New Roman" w:eastAsia="宋体"/>
          <w:sz w:val="21"/>
        </w:rPr>
        <w:t>（略）</w:t>
      </w:r>
    </w:p>
    <w:p w14:paraId="0B096839">
      <w:pPr>
        <w:adjustRightInd w:val="0"/>
        <w:snapToGrid w:val="0"/>
        <w:spacing w:line="360" w:lineRule="auto"/>
        <w:ind w:firstLine="420" w:firstLineChars="200"/>
        <w:rPr>
          <w:rFonts w:ascii="Times New Roman" w:hAnsi="Times New Roman" w:eastAsia="宋体"/>
          <w:sz w:val="21"/>
        </w:rPr>
      </w:pPr>
      <w:r>
        <w:rPr>
          <w:rFonts w:ascii="Times New Roman" w:hAnsi="Times New Roman" w:eastAsia="宋体"/>
          <w:sz w:val="21"/>
        </w:rPr>
        <w:t>附件9：预付款担保格式</w:t>
      </w:r>
      <w:r>
        <w:rPr>
          <w:rFonts w:hint="eastAsia" w:ascii="Times New Roman" w:hAnsi="Times New Roman" w:eastAsia="宋体"/>
          <w:sz w:val="21"/>
        </w:rPr>
        <w:t>（略）</w:t>
      </w:r>
    </w:p>
    <w:p w14:paraId="167C683A">
      <w:pPr>
        <w:adjustRightInd w:val="0"/>
        <w:snapToGrid w:val="0"/>
        <w:spacing w:line="360" w:lineRule="auto"/>
        <w:ind w:firstLine="420" w:firstLineChars="200"/>
        <w:rPr>
          <w:rFonts w:ascii="Times New Roman" w:hAnsi="Times New Roman" w:eastAsia="宋体"/>
          <w:sz w:val="21"/>
        </w:rPr>
      </w:pPr>
      <w:r>
        <w:rPr>
          <w:rFonts w:ascii="Times New Roman" w:hAnsi="Times New Roman" w:eastAsia="宋体"/>
          <w:sz w:val="21"/>
        </w:rPr>
        <w:t>附件10：支付担保格式</w:t>
      </w:r>
      <w:r>
        <w:rPr>
          <w:rFonts w:hint="eastAsia" w:ascii="Times New Roman" w:hAnsi="Times New Roman" w:eastAsia="宋体"/>
          <w:sz w:val="21"/>
        </w:rPr>
        <w:t>（略）</w:t>
      </w:r>
    </w:p>
    <w:p w14:paraId="5F4B44DF">
      <w:pPr>
        <w:adjustRightInd w:val="0"/>
        <w:snapToGrid w:val="0"/>
        <w:spacing w:line="360" w:lineRule="auto"/>
        <w:ind w:firstLine="420" w:firstLineChars="200"/>
        <w:rPr>
          <w:rFonts w:ascii="Times New Roman" w:hAnsi="Times New Roman" w:eastAsia="宋体"/>
          <w:sz w:val="21"/>
        </w:rPr>
      </w:pPr>
      <w:r>
        <w:rPr>
          <w:rFonts w:ascii="Times New Roman" w:hAnsi="Times New Roman" w:eastAsia="宋体"/>
          <w:sz w:val="21"/>
        </w:rPr>
        <w:t>附件11：暂估价一览表</w:t>
      </w:r>
      <w:r>
        <w:rPr>
          <w:rFonts w:hint="eastAsia" w:ascii="Times New Roman" w:hAnsi="Times New Roman" w:eastAsia="宋体"/>
          <w:sz w:val="21"/>
        </w:rPr>
        <w:t>（略）</w:t>
      </w:r>
    </w:p>
    <w:p w14:paraId="2F2D9E8F">
      <w:pPr>
        <w:adjustRightInd w:val="0"/>
        <w:snapToGrid w:val="0"/>
        <w:spacing w:line="360" w:lineRule="auto"/>
        <w:ind w:firstLine="420" w:firstLineChars="200"/>
        <w:rPr>
          <w:rFonts w:ascii="Times New Roman" w:hAnsi="Times New Roman" w:eastAsia="宋体"/>
          <w:sz w:val="21"/>
        </w:rPr>
      </w:pPr>
      <w:r>
        <w:rPr>
          <w:rFonts w:hint="eastAsia" w:ascii="Times New Roman" w:hAnsi="Times New Roman" w:eastAsia="宋体"/>
          <w:sz w:val="21"/>
          <w:szCs w:val="21"/>
        </w:rPr>
        <w:t>附件12：建筑工程农民工工资专用账户资金托管协议</w:t>
      </w:r>
    </w:p>
    <w:p w14:paraId="1392A6C3">
      <w:pPr>
        <w:adjustRightInd w:val="0"/>
        <w:snapToGrid w:val="0"/>
        <w:spacing w:line="360" w:lineRule="auto"/>
        <w:ind w:firstLine="420" w:firstLineChars="200"/>
        <w:rPr>
          <w:rFonts w:ascii="Times New Roman" w:hAnsi="Times New Roman" w:eastAsia="宋体"/>
          <w:sz w:val="21"/>
        </w:rPr>
      </w:pPr>
    </w:p>
    <w:p w14:paraId="5DDC8FA9">
      <w:pPr>
        <w:adjustRightInd w:val="0"/>
        <w:snapToGrid w:val="0"/>
        <w:spacing w:line="360" w:lineRule="auto"/>
        <w:ind w:firstLine="420" w:firstLineChars="200"/>
        <w:rPr>
          <w:rFonts w:ascii="Times New Roman" w:hAnsi="Times New Roman" w:eastAsia="宋体"/>
          <w:sz w:val="21"/>
        </w:rPr>
      </w:pPr>
    </w:p>
    <w:p w14:paraId="3DC64721">
      <w:pPr>
        <w:spacing w:line="360" w:lineRule="exact"/>
        <w:outlineLvl w:val="3"/>
        <w:rPr>
          <w:rFonts w:ascii="Times New Roman" w:hAnsi="Times New Roman" w:eastAsia="黑体"/>
          <w:b/>
          <w:bCs/>
          <w:sz w:val="21"/>
          <w:szCs w:val="21"/>
        </w:rPr>
      </w:pPr>
      <w:r>
        <w:rPr>
          <w:rFonts w:ascii="Times New Roman" w:hAnsi="Times New Roman" w:eastAsia="黑体"/>
          <w:b/>
          <w:bCs/>
          <w:sz w:val="21"/>
          <w:szCs w:val="21"/>
        </w:rPr>
        <w:t>附</w:t>
      </w:r>
      <w:bookmarkStart w:id="504" w:name="_Toc296346727"/>
      <w:bookmarkStart w:id="505" w:name="_Toc296891266"/>
      <w:bookmarkStart w:id="506" w:name="_Toc296944565"/>
      <w:bookmarkStart w:id="507" w:name="_Toc267261693"/>
      <w:bookmarkStart w:id="508" w:name="_Toc296503226"/>
      <w:bookmarkStart w:id="509" w:name="_Toc296347225"/>
      <w:bookmarkStart w:id="510" w:name="_Toc296891054"/>
      <w:r>
        <w:rPr>
          <w:rFonts w:ascii="Times New Roman" w:hAnsi="Times New Roman" w:eastAsia="黑体"/>
          <w:b/>
          <w:bCs/>
          <w:sz w:val="21"/>
          <w:szCs w:val="21"/>
        </w:rPr>
        <w:t>件3：</w:t>
      </w:r>
      <w:bookmarkEnd w:id="504"/>
      <w:bookmarkEnd w:id="505"/>
      <w:bookmarkEnd w:id="506"/>
      <w:bookmarkEnd w:id="507"/>
      <w:bookmarkEnd w:id="508"/>
      <w:bookmarkEnd w:id="509"/>
      <w:bookmarkEnd w:id="510"/>
      <w:r>
        <w:rPr>
          <w:rFonts w:ascii="Times New Roman" w:hAnsi="Times New Roman" w:eastAsia="黑体"/>
          <w:b/>
          <w:bCs/>
          <w:sz w:val="21"/>
          <w:szCs w:val="21"/>
        </w:rPr>
        <w:t xml:space="preserve">    </w:t>
      </w:r>
    </w:p>
    <w:p w14:paraId="2A52F13A">
      <w:pPr>
        <w:spacing w:line="360" w:lineRule="exact"/>
        <w:ind w:firstLine="480" w:firstLineChars="200"/>
        <w:jc w:val="center"/>
        <w:rPr>
          <w:rFonts w:ascii="Times New Roman" w:hAnsi="Times New Roman" w:eastAsia="黑体"/>
          <w:bCs/>
          <w:sz w:val="24"/>
        </w:rPr>
      </w:pPr>
      <w:r>
        <w:rPr>
          <w:rFonts w:hint="eastAsia" w:ascii="Times New Roman" w:hAnsi="Times New Roman" w:eastAsia="黑体"/>
          <w:bCs/>
          <w:sz w:val="24"/>
        </w:rPr>
        <w:t>工程质量保修书</w:t>
      </w:r>
    </w:p>
    <w:p w14:paraId="45B90D2A">
      <w:pPr>
        <w:adjustRightInd w:val="0"/>
        <w:spacing w:line="240" w:lineRule="atLeast"/>
        <w:rPr>
          <w:rFonts w:ascii="宋体" w:hAnsi="宋体" w:eastAsia="宋体"/>
          <w:b/>
          <w:bCs/>
          <w:sz w:val="21"/>
        </w:rPr>
      </w:pPr>
    </w:p>
    <w:p w14:paraId="22122F64">
      <w:pPr>
        <w:adjustRightInd w:val="0"/>
        <w:spacing w:line="240" w:lineRule="atLeast"/>
        <w:rPr>
          <w:rFonts w:ascii="宋体" w:hAnsi="宋体" w:eastAsia="宋体"/>
          <w:sz w:val="21"/>
          <w:u w:val="single"/>
        </w:rPr>
      </w:pPr>
      <w:r>
        <w:rPr>
          <w:rFonts w:hint="eastAsia" w:ascii="宋体" w:hAnsi="宋体" w:eastAsia="宋体"/>
          <w:b/>
          <w:bCs/>
          <w:sz w:val="21"/>
        </w:rPr>
        <w:t>发包人（全称）：</w:t>
      </w:r>
      <w:r>
        <w:rPr>
          <w:rFonts w:hint="eastAsia" w:ascii="宋体" w:hAnsi="宋体" w:eastAsia="宋体"/>
          <w:sz w:val="21"/>
          <w:u w:val="single"/>
        </w:rPr>
        <w:t xml:space="preserve">  </w:t>
      </w:r>
      <w:r>
        <w:rPr>
          <w:rFonts w:hint="eastAsia" w:ascii="宋体" w:hAnsi="宋体" w:eastAsia="宋体"/>
          <w:iCs/>
          <w:sz w:val="21"/>
          <w:szCs w:val="21"/>
          <w:u w:val="single"/>
          <w:lang w:eastAsia="zh-CN"/>
        </w:rPr>
        <w:t>仙居县白塔镇人民政府</w:t>
      </w:r>
      <w:r>
        <w:rPr>
          <w:rFonts w:hint="eastAsia" w:ascii="宋体" w:hAnsi="宋体" w:eastAsia="宋体"/>
          <w:sz w:val="21"/>
          <w:u w:val="single"/>
        </w:rPr>
        <w:t xml:space="preserve">  </w:t>
      </w:r>
    </w:p>
    <w:p w14:paraId="7A9A8DBD">
      <w:pPr>
        <w:adjustRightInd w:val="0"/>
        <w:spacing w:line="360" w:lineRule="exact"/>
        <w:rPr>
          <w:rFonts w:ascii="仿宋_GB2312" w:hAnsi="Times New Roman" w:eastAsia="宋体"/>
          <w:b/>
          <w:sz w:val="21"/>
          <w:szCs w:val="21"/>
          <w:u w:val="single"/>
        </w:rPr>
      </w:pPr>
      <w:r>
        <w:rPr>
          <w:rFonts w:hint="eastAsia" w:ascii="宋体" w:hAnsi="宋体" w:eastAsia="宋体"/>
          <w:b/>
          <w:bCs/>
          <w:sz w:val="21"/>
        </w:rPr>
        <w:t>承包人（全称）：</w:t>
      </w:r>
      <w:r>
        <w:rPr>
          <w:rFonts w:hint="eastAsia" w:ascii="仿宋_GB2312" w:hAnsi="Times New Roman" w:eastAsia="宋体"/>
          <w:b/>
          <w:sz w:val="21"/>
          <w:szCs w:val="21"/>
          <w:u w:val="single"/>
        </w:rPr>
        <w:t xml:space="preserve">                              </w:t>
      </w:r>
    </w:p>
    <w:p w14:paraId="5A85B293">
      <w:pPr>
        <w:spacing w:line="360" w:lineRule="exact"/>
        <w:ind w:firstLine="420" w:firstLineChars="200"/>
        <w:rPr>
          <w:rFonts w:ascii="宋体" w:hAnsi="宋体" w:eastAsia="宋体"/>
          <w:bCs/>
          <w:sz w:val="21"/>
          <w:szCs w:val="21"/>
        </w:rPr>
      </w:pPr>
      <w:r>
        <w:rPr>
          <w:rFonts w:ascii="宋体" w:hAnsi="宋体" w:eastAsia="宋体"/>
          <w:bCs/>
          <w:sz w:val="21"/>
          <w:szCs w:val="21"/>
        </w:rPr>
        <w:t>发包人和承包人根据《中华人民共和国建筑法》和《建设工程质量管理条例》，经协商一致就</w:t>
      </w:r>
      <w:r>
        <w:rPr>
          <w:rFonts w:ascii="宋体" w:hAnsi="宋体" w:eastAsia="宋体"/>
          <w:bCs/>
          <w:sz w:val="21"/>
          <w:szCs w:val="21"/>
          <w:u w:val="single"/>
        </w:rPr>
        <w:t xml:space="preserve">  </w:t>
      </w:r>
      <w:r>
        <w:rPr>
          <w:rFonts w:hint="eastAsia" w:ascii="宋体" w:hAnsi="宋体" w:eastAsia="宋体"/>
          <w:bCs/>
          <w:sz w:val="21"/>
          <w:szCs w:val="21"/>
          <w:u w:val="single"/>
          <w:lang w:eastAsia="zh-CN"/>
        </w:rPr>
        <w:t>白塔镇景园村关金生态停车场建设项目</w:t>
      </w:r>
      <w:r>
        <w:rPr>
          <w:rFonts w:hint="eastAsia" w:ascii="宋体" w:hAnsi="宋体" w:eastAsia="宋体"/>
          <w:bCs/>
          <w:sz w:val="21"/>
          <w:szCs w:val="21"/>
          <w:u w:val="single"/>
        </w:rPr>
        <w:t xml:space="preserve"> </w:t>
      </w:r>
      <w:r>
        <w:rPr>
          <w:rFonts w:ascii="宋体" w:hAnsi="宋体" w:eastAsia="宋体"/>
          <w:bCs/>
          <w:sz w:val="21"/>
          <w:szCs w:val="21"/>
        </w:rPr>
        <w:t>（工程全称）签订工程质量保修书。</w:t>
      </w:r>
    </w:p>
    <w:p w14:paraId="276D6BA0">
      <w:pPr>
        <w:adjustRightInd w:val="0"/>
        <w:spacing w:line="360" w:lineRule="exact"/>
        <w:ind w:firstLine="413" w:firstLineChars="196"/>
        <w:rPr>
          <w:rFonts w:ascii="宋体" w:hAnsi="宋体" w:eastAsia="宋体"/>
          <w:b/>
          <w:sz w:val="21"/>
        </w:rPr>
      </w:pPr>
      <w:r>
        <w:rPr>
          <w:rFonts w:hint="eastAsia" w:ascii="宋体" w:hAnsi="宋体" w:eastAsia="宋体"/>
          <w:b/>
          <w:sz w:val="21"/>
        </w:rPr>
        <w:t>一．工程质量保修范围和内容</w:t>
      </w:r>
    </w:p>
    <w:p w14:paraId="784FBE5E">
      <w:pPr>
        <w:spacing w:line="360" w:lineRule="exact"/>
        <w:ind w:firstLine="420" w:firstLineChars="200"/>
        <w:rPr>
          <w:rFonts w:ascii="宋体" w:hAnsi="宋体" w:eastAsia="宋体"/>
          <w:bCs/>
          <w:sz w:val="21"/>
          <w:szCs w:val="21"/>
        </w:rPr>
      </w:pPr>
      <w:r>
        <w:rPr>
          <w:rFonts w:ascii="宋体" w:hAnsi="宋体" w:eastAsia="宋体"/>
          <w:bCs/>
          <w:sz w:val="21"/>
          <w:szCs w:val="21"/>
        </w:rPr>
        <w:t>承包人在质量保修期内，按照有关法律规定和合同约定，承担工程质量保修责任。</w:t>
      </w:r>
    </w:p>
    <w:p w14:paraId="3E774A2A">
      <w:pPr>
        <w:spacing w:line="360" w:lineRule="exact"/>
        <w:ind w:firstLine="420" w:firstLineChars="200"/>
        <w:rPr>
          <w:rFonts w:ascii="宋体" w:hAnsi="宋体" w:eastAsia="宋体"/>
          <w:bCs/>
          <w:sz w:val="21"/>
          <w:szCs w:val="21"/>
        </w:rPr>
      </w:pPr>
      <w:r>
        <w:rPr>
          <w:rFonts w:ascii="宋体" w:hAnsi="宋体" w:eastAsia="宋体"/>
          <w:bCs/>
          <w:sz w:val="21"/>
          <w:szCs w:val="21"/>
        </w:rPr>
        <w:t>质量保修范围包括地基基础工程、主体结构工程，屋面防水工程、有防水要求的卫生间、房间和外墙面的防渗漏，供热与供冷系统，电气管线、给排水管道、设备安装和装修工程，以及双方约定的其他项目。</w:t>
      </w:r>
    </w:p>
    <w:p w14:paraId="05F59658">
      <w:pPr>
        <w:spacing w:line="360" w:lineRule="exact"/>
        <w:ind w:firstLine="420" w:firstLineChars="200"/>
        <w:rPr>
          <w:rFonts w:ascii="宋体" w:hAnsi="宋体" w:eastAsia="宋体"/>
          <w:sz w:val="21"/>
          <w:szCs w:val="21"/>
          <w:u w:val="single"/>
        </w:rPr>
      </w:pPr>
      <w:r>
        <w:rPr>
          <w:rFonts w:ascii="宋体" w:hAnsi="宋体" w:eastAsia="宋体"/>
          <w:bCs/>
          <w:sz w:val="21"/>
          <w:szCs w:val="21"/>
        </w:rPr>
        <w:t>具体保修的内容，双方约定如下</w:t>
      </w:r>
      <w:r>
        <w:rPr>
          <w:rFonts w:hint="eastAsia" w:ascii="宋体" w:hAnsi="宋体" w:eastAsia="宋体"/>
          <w:bCs/>
          <w:sz w:val="21"/>
        </w:rPr>
        <w:t>：</w:t>
      </w:r>
      <w:r>
        <w:rPr>
          <w:rFonts w:hint="eastAsia" w:ascii="宋体" w:hAnsi="宋体" w:eastAsia="宋体"/>
          <w:sz w:val="21"/>
          <w:u w:val="single"/>
        </w:rPr>
        <w:t>本工程合同范围内的所有工程。</w:t>
      </w:r>
    </w:p>
    <w:p w14:paraId="197225D5">
      <w:pPr>
        <w:spacing w:line="360" w:lineRule="exact"/>
        <w:ind w:firstLine="422" w:firstLineChars="200"/>
        <w:rPr>
          <w:rFonts w:ascii="黑体" w:hAnsi="宋体" w:eastAsia="黑体"/>
          <w:b/>
          <w:sz w:val="21"/>
          <w:szCs w:val="21"/>
        </w:rPr>
      </w:pPr>
      <w:r>
        <w:rPr>
          <w:rFonts w:hint="eastAsia" w:ascii="宋体" w:hAnsi="宋体" w:eastAsia="宋体"/>
          <w:b/>
          <w:sz w:val="21"/>
        </w:rPr>
        <w:t>二．质量保修期</w:t>
      </w:r>
    </w:p>
    <w:p w14:paraId="05253967">
      <w:pPr>
        <w:spacing w:line="360" w:lineRule="exact"/>
        <w:ind w:firstLine="420" w:firstLineChars="200"/>
        <w:rPr>
          <w:rFonts w:ascii="宋体" w:hAnsi="宋体" w:eastAsia="宋体"/>
          <w:bCs/>
          <w:sz w:val="21"/>
          <w:szCs w:val="21"/>
        </w:rPr>
      </w:pPr>
      <w:r>
        <w:rPr>
          <w:rFonts w:ascii="宋体" w:hAnsi="宋体" w:eastAsia="宋体"/>
          <w:bCs/>
          <w:sz w:val="21"/>
          <w:szCs w:val="21"/>
        </w:rPr>
        <w:t>根据《建设工程质量管理条例》及有关规定，工程的质量保修期如下：</w:t>
      </w:r>
    </w:p>
    <w:p w14:paraId="66D2D8A1">
      <w:pPr>
        <w:adjustRightInd w:val="0"/>
        <w:spacing w:line="360" w:lineRule="exact"/>
        <w:ind w:firstLine="462" w:firstLineChars="220"/>
        <w:rPr>
          <w:rFonts w:ascii="宋体" w:hAnsi="宋体" w:eastAsia="宋体"/>
          <w:bCs/>
          <w:sz w:val="21"/>
        </w:rPr>
      </w:pPr>
      <w:r>
        <w:rPr>
          <w:rFonts w:hint="eastAsia" w:ascii="宋体" w:hAnsi="宋体" w:eastAsia="宋体"/>
          <w:bCs/>
          <w:sz w:val="21"/>
        </w:rPr>
        <w:t>1．地基基础工程和主体结构工程为设计文件规定的工程合理使用年限；</w:t>
      </w:r>
    </w:p>
    <w:p w14:paraId="56F34475">
      <w:pPr>
        <w:adjustRightInd w:val="0"/>
        <w:spacing w:line="360" w:lineRule="exact"/>
        <w:ind w:firstLine="462" w:firstLineChars="220"/>
        <w:rPr>
          <w:rFonts w:ascii="宋体" w:hAnsi="宋体" w:eastAsia="宋体"/>
          <w:bCs/>
          <w:sz w:val="21"/>
        </w:rPr>
      </w:pPr>
      <w:r>
        <w:rPr>
          <w:rFonts w:hint="eastAsia" w:ascii="宋体" w:hAnsi="宋体" w:eastAsia="宋体"/>
          <w:bCs/>
          <w:sz w:val="21"/>
        </w:rPr>
        <w:t>2．</w:t>
      </w:r>
      <w:r>
        <w:rPr>
          <w:rFonts w:ascii="宋体" w:hAnsi="宋体" w:eastAsia="宋体"/>
          <w:bCs/>
          <w:sz w:val="21"/>
        </w:rPr>
        <w:t>屋面防水工程、有防水要求的卫生间、房间和外墙面的防渗</w:t>
      </w:r>
      <w:r>
        <w:rPr>
          <w:rFonts w:hint="eastAsia" w:ascii="宋体" w:hAnsi="宋体" w:eastAsia="宋体"/>
          <w:bCs/>
          <w:sz w:val="21"/>
        </w:rPr>
        <w:t>为</w:t>
      </w:r>
      <w:r>
        <w:rPr>
          <w:rFonts w:hint="eastAsia" w:ascii="宋体" w:hAnsi="宋体" w:eastAsia="宋体"/>
          <w:bCs/>
          <w:sz w:val="21"/>
          <w:u w:val="single"/>
        </w:rPr>
        <w:t xml:space="preserve">  5   </w:t>
      </w:r>
      <w:r>
        <w:rPr>
          <w:rFonts w:ascii="宋体" w:hAnsi="宋体" w:eastAsia="宋体"/>
          <w:bCs/>
          <w:sz w:val="21"/>
        </w:rPr>
        <w:t>年；</w:t>
      </w:r>
    </w:p>
    <w:p w14:paraId="2B53FB79">
      <w:pPr>
        <w:adjustRightInd w:val="0"/>
        <w:spacing w:line="360" w:lineRule="exact"/>
        <w:ind w:firstLine="462" w:firstLineChars="220"/>
        <w:rPr>
          <w:rFonts w:ascii="宋体" w:hAnsi="宋体" w:eastAsia="宋体"/>
          <w:bCs/>
          <w:sz w:val="21"/>
        </w:rPr>
      </w:pPr>
      <w:r>
        <w:rPr>
          <w:rFonts w:hint="eastAsia" w:ascii="宋体" w:hAnsi="宋体" w:eastAsia="宋体"/>
          <w:bCs/>
          <w:sz w:val="21"/>
        </w:rPr>
        <w:t>3．</w:t>
      </w:r>
      <w:r>
        <w:rPr>
          <w:rFonts w:ascii="宋体" w:hAnsi="宋体" w:eastAsia="宋体"/>
          <w:bCs/>
          <w:sz w:val="21"/>
        </w:rPr>
        <w:t>装修工程为</w:t>
      </w:r>
      <w:r>
        <w:rPr>
          <w:rFonts w:ascii="宋体" w:hAnsi="宋体" w:eastAsia="宋体"/>
          <w:bCs/>
          <w:sz w:val="21"/>
          <w:u w:val="single"/>
        </w:rPr>
        <w:t xml:space="preserve">   </w:t>
      </w:r>
      <w:r>
        <w:rPr>
          <w:rFonts w:hint="eastAsia" w:ascii="宋体" w:hAnsi="宋体" w:eastAsia="宋体"/>
          <w:bCs/>
          <w:sz w:val="21"/>
          <w:u w:val="single"/>
        </w:rPr>
        <w:t>2</w:t>
      </w:r>
      <w:r>
        <w:rPr>
          <w:rFonts w:ascii="宋体" w:hAnsi="宋体" w:eastAsia="宋体"/>
          <w:bCs/>
          <w:sz w:val="21"/>
          <w:u w:val="single"/>
        </w:rPr>
        <w:t xml:space="preserve">   </w:t>
      </w:r>
      <w:r>
        <w:rPr>
          <w:rFonts w:ascii="宋体" w:hAnsi="宋体" w:eastAsia="宋体"/>
          <w:bCs/>
          <w:sz w:val="21"/>
        </w:rPr>
        <w:t>年；</w:t>
      </w:r>
    </w:p>
    <w:p w14:paraId="2A28776E">
      <w:pPr>
        <w:adjustRightInd w:val="0"/>
        <w:spacing w:line="360" w:lineRule="exact"/>
        <w:ind w:firstLine="462" w:firstLineChars="220"/>
        <w:rPr>
          <w:rFonts w:ascii="宋体" w:hAnsi="宋体" w:eastAsia="宋体"/>
          <w:bCs/>
          <w:sz w:val="21"/>
        </w:rPr>
      </w:pPr>
      <w:r>
        <w:rPr>
          <w:rFonts w:hint="eastAsia" w:ascii="宋体" w:hAnsi="宋体" w:eastAsia="宋体"/>
          <w:bCs/>
          <w:sz w:val="21"/>
        </w:rPr>
        <w:t>4．</w:t>
      </w:r>
      <w:r>
        <w:rPr>
          <w:rFonts w:ascii="宋体" w:hAnsi="宋体" w:eastAsia="宋体"/>
          <w:bCs/>
          <w:sz w:val="21"/>
        </w:rPr>
        <w:t>电气管线、给排水管道、设备安装工程为</w:t>
      </w:r>
      <w:r>
        <w:rPr>
          <w:rFonts w:ascii="宋体" w:hAnsi="宋体" w:eastAsia="宋体"/>
          <w:bCs/>
          <w:sz w:val="21"/>
          <w:u w:val="single"/>
        </w:rPr>
        <w:t xml:space="preserve">   </w:t>
      </w:r>
      <w:r>
        <w:rPr>
          <w:rFonts w:hint="eastAsia" w:ascii="宋体" w:hAnsi="宋体" w:eastAsia="宋体"/>
          <w:bCs/>
          <w:sz w:val="21"/>
          <w:u w:val="single"/>
        </w:rPr>
        <w:t>2</w:t>
      </w:r>
      <w:r>
        <w:rPr>
          <w:rFonts w:ascii="宋体" w:hAnsi="宋体" w:eastAsia="宋体"/>
          <w:bCs/>
          <w:sz w:val="21"/>
          <w:u w:val="single"/>
        </w:rPr>
        <w:t xml:space="preserve">   </w:t>
      </w:r>
      <w:r>
        <w:rPr>
          <w:rFonts w:ascii="宋体" w:hAnsi="宋体" w:eastAsia="宋体"/>
          <w:bCs/>
          <w:sz w:val="21"/>
        </w:rPr>
        <w:t>年；</w:t>
      </w:r>
    </w:p>
    <w:p w14:paraId="135E233F">
      <w:pPr>
        <w:adjustRightInd w:val="0"/>
        <w:spacing w:line="360" w:lineRule="exact"/>
        <w:ind w:firstLine="462" w:firstLineChars="220"/>
        <w:rPr>
          <w:rFonts w:ascii="宋体" w:hAnsi="宋体" w:eastAsia="宋体"/>
          <w:bCs/>
          <w:sz w:val="21"/>
        </w:rPr>
      </w:pPr>
      <w:r>
        <w:rPr>
          <w:rFonts w:hint="eastAsia" w:ascii="宋体" w:hAnsi="宋体" w:eastAsia="宋体"/>
          <w:bCs/>
          <w:sz w:val="21"/>
        </w:rPr>
        <w:t>5．</w:t>
      </w:r>
      <w:r>
        <w:rPr>
          <w:rFonts w:ascii="宋体" w:hAnsi="宋体" w:eastAsia="宋体"/>
          <w:bCs/>
          <w:sz w:val="21"/>
        </w:rPr>
        <w:t>供热与供冷系统为</w:t>
      </w:r>
      <w:r>
        <w:rPr>
          <w:rFonts w:ascii="宋体" w:hAnsi="宋体" w:eastAsia="宋体"/>
          <w:bCs/>
          <w:sz w:val="21"/>
          <w:u w:val="single"/>
        </w:rPr>
        <w:t xml:space="preserve">  </w:t>
      </w:r>
      <w:r>
        <w:rPr>
          <w:rFonts w:hint="eastAsia" w:ascii="宋体" w:hAnsi="宋体" w:eastAsia="宋体"/>
          <w:bCs/>
          <w:sz w:val="21"/>
          <w:u w:val="single"/>
        </w:rPr>
        <w:t>2</w:t>
      </w:r>
      <w:r>
        <w:rPr>
          <w:rFonts w:ascii="宋体" w:hAnsi="宋体" w:eastAsia="宋体"/>
          <w:bCs/>
          <w:sz w:val="21"/>
          <w:u w:val="single"/>
        </w:rPr>
        <w:t xml:space="preserve">   </w:t>
      </w:r>
      <w:r>
        <w:rPr>
          <w:rFonts w:ascii="宋体" w:hAnsi="宋体" w:eastAsia="宋体"/>
          <w:bCs/>
          <w:sz w:val="21"/>
        </w:rPr>
        <w:t>个采暖期、供冷期；</w:t>
      </w:r>
    </w:p>
    <w:p w14:paraId="4F977762">
      <w:pPr>
        <w:adjustRightInd w:val="0"/>
        <w:spacing w:line="360" w:lineRule="exact"/>
        <w:ind w:firstLine="462" w:firstLineChars="220"/>
        <w:rPr>
          <w:rFonts w:ascii="宋体" w:hAnsi="宋体" w:eastAsia="宋体"/>
          <w:bCs/>
          <w:sz w:val="21"/>
        </w:rPr>
      </w:pPr>
      <w:r>
        <w:rPr>
          <w:rFonts w:hint="eastAsia" w:ascii="宋体" w:hAnsi="宋体" w:eastAsia="宋体"/>
          <w:bCs/>
          <w:sz w:val="21"/>
        </w:rPr>
        <w:t>6．</w:t>
      </w:r>
      <w:r>
        <w:rPr>
          <w:rFonts w:ascii="宋体" w:hAnsi="宋体" w:eastAsia="宋体"/>
          <w:bCs/>
          <w:sz w:val="21"/>
        </w:rPr>
        <w:t>住宅小区内的给排水设施、道路等配套工程为</w:t>
      </w:r>
      <w:r>
        <w:rPr>
          <w:rFonts w:ascii="宋体" w:hAnsi="宋体" w:eastAsia="宋体"/>
          <w:bCs/>
          <w:sz w:val="21"/>
          <w:u w:val="single"/>
        </w:rPr>
        <w:t xml:space="preserve">    </w:t>
      </w:r>
      <w:r>
        <w:rPr>
          <w:rFonts w:hint="eastAsia" w:ascii="宋体" w:hAnsi="宋体" w:eastAsia="宋体"/>
          <w:bCs/>
          <w:sz w:val="21"/>
          <w:u w:val="single"/>
        </w:rPr>
        <w:t>2</w:t>
      </w:r>
      <w:r>
        <w:rPr>
          <w:rFonts w:ascii="宋体" w:hAnsi="宋体" w:eastAsia="宋体"/>
          <w:bCs/>
          <w:sz w:val="21"/>
          <w:u w:val="single"/>
        </w:rPr>
        <w:t xml:space="preserve">  </w:t>
      </w:r>
      <w:r>
        <w:rPr>
          <w:rFonts w:ascii="宋体" w:hAnsi="宋体" w:eastAsia="宋体"/>
          <w:bCs/>
          <w:sz w:val="21"/>
        </w:rPr>
        <w:t>年；</w:t>
      </w:r>
    </w:p>
    <w:p w14:paraId="528F3874">
      <w:pPr>
        <w:autoSpaceDE w:val="0"/>
        <w:autoSpaceDN w:val="0"/>
        <w:spacing w:line="360" w:lineRule="exact"/>
        <w:ind w:firstLine="482"/>
        <w:rPr>
          <w:rFonts w:ascii="宋体" w:hAnsi="宋体" w:eastAsia="宋体"/>
          <w:bCs/>
          <w:sz w:val="21"/>
        </w:rPr>
      </w:pPr>
      <w:r>
        <w:rPr>
          <w:rFonts w:hint="eastAsia" w:ascii="宋体" w:hAnsi="宋体" w:eastAsia="宋体"/>
          <w:bCs/>
          <w:sz w:val="21"/>
        </w:rPr>
        <w:t>7、其他项目保修期约定：</w:t>
      </w:r>
      <w:r>
        <w:rPr>
          <w:rFonts w:ascii="Times New Roman" w:hAnsi="Times New Roman" w:eastAsia="宋体"/>
          <w:sz w:val="21"/>
          <w:szCs w:val="21"/>
        </w:rPr>
        <w:t>质量保修期自工程竣工验收合格之日起计算。</w:t>
      </w:r>
    </w:p>
    <w:p w14:paraId="495984D6">
      <w:pPr>
        <w:spacing w:line="360" w:lineRule="auto"/>
        <w:ind w:firstLine="413" w:firstLineChars="196"/>
        <w:rPr>
          <w:rFonts w:ascii="宋体" w:hAnsi="宋体" w:eastAsia="宋体"/>
          <w:b/>
          <w:sz w:val="21"/>
        </w:rPr>
      </w:pPr>
      <w:r>
        <w:rPr>
          <w:rFonts w:hint="eastAsia" w:ascii="宋体" w:hAnsi="宋体" w:eastAsia="宋体"/>
          <w:b/>
          <w:sz w:val="21"/>
        </w:rPr>
        <w:t>三．</w:t>
      </w:r>
      <w:r>
        <w:rPr>
          <w:rFonts w:ascii="宋体" w:hAnsi="宋体" w:eastAsia="宋体"/>
          <w:b/>
          <w:sz w:val="21"/>
        </w:rPr>
        <w:t>缺陷责任期</w:t>
      </w:r>
    </w:p>
    <w:p w14:paraId="5623B41C">
      <w:pPr>
        <w:adjustRightInd w:val="0"/>
        <w:spacing w:line="360" w:lineRule="auto"/>
        <w:ind w:firstLine="420" w:firstLineChars="200"/>
        <w:rPr>
          <w:rFonts w:ascii="宋体" w:hAnsi="宋体" w:eastAsia="宋体"/>
          <w:bCs/>
          <w:sz w:val="21"/>
        </w:rPr>
      </w:pPr>
      <w:r>
        <w:rPr>
          <w:rFonts w:ascii="宋体" w:hAnsi="宋体" w:eastAsia="宋体"/>
          <w:bCs/>
          <w:sz w:val="21"/>
        </w:rPr>
        <w:t>工程缺陷责任期为</w:t>
      </w:r>
      <w:r>
        <w:rPr>
          <w:rFonts w:ascii="宋体" w:hAnsi="宋体" w:eastAsia="宋体"/>
          <w:bCs/>
          <w:sz w:val="21"/>
          <w:u w:val="single"/>
        </w:rPr>
        <w:t xml:space="preserve"> </w:t>
      </w:r>
      <w:r>
        <w:rPr>
          <w:rFonts w:hint="eastAsia" w:ascii="宋体" w:hAnsi="宋体" w:eastAsia="宋体"/>
          <w:bCs/>
          <w:sz w:val="21"/>
          <w:u w:val="single"/>
        </w:rPr>
        <w:t>24</w:t>
      </w:r>
      <w:r>
        <w:rPr>
          <w:rFonts w:ascii="宋体" w:hAnsi="宋体" w:eastAsia="宋体"/>
          <w:bCs/>
          <w:sz w:val="21"/>
        </w:rPr>
        <w:t>个月，缺陷责任期自工程竣工验收合格之日起计算。单位工程先于全部工程进行验收，单位工程缺陷责任期自单位工程验收合格之日起算。</w:t>
      </w:r>
    </w:p>
    <w:p w14:paraId="3888DF9D">
      <w:pPr>
        <w:adjustRightInd w:val="0"/>
        <w:spacing w:line="360" w:lineRule="auto"/>
        <w:ind w:firstLine="422" w:firstLineChars="200"/>
        <w:rPr>
          <w:rFonts w:ascii="宋体" w:hAnsi="宋体" w:eastAsia="宋体"/>
          <w:b/>
          <w:sz w:val="21"/>
        </w:rPr>
      </w:pPr>
      <w:r>
        <w:rPr>
          <w:rFonts w:hint="eastAsia" w:ascii="宋体" w:hAnsi="宋体" w:eastAsia="宋体"/>
          <w:b/>
          <w:sz w:val="21"/>
        </w:rPr>
        <w:t>四．质量</w:t>
      </w:r>
      <w:r>
        <w:rPr>
          <w:rFonts w:ascii="宋体" w:hAnsi="宋体" w:eastAsia="宋体"/>
          <w:b/>
          <w:sz w:val="21"/>
        </w:rPr>
        <w:t>保修责任</w:t>
      </w:r>
    </w:p>
    <w:p w14:paraId="5A48897C">
      <w:pPr>
        <w:adjustRightInd w:val="0"/>
        <w:spacing w:line="360" w:lineRule="auto"/>
        <w:ind w:firstLine="420" w:firstLineChars="200"/>
        <w:rPr>
          <w:rFonts w:ascii="宋体" w:hAnsi="宋体" w:eastAsia="宋体"/>
          <w:bCs/>
          <w:sz w:val="21"/>
        </w:rPr>
      </w:pPr>
      <w:r>
        <w:rPr>
          <w:rFonts w:hint="eastAsia" w:ascii="宋体" w:hAnsi="宋体" w:eastAsia="宋体"/>
          <w:bCs/>
          <w:sz w:val="21"/>
        </w:rPr>
        <w:t>1．</w:t>
      </w:r>
      <w:r>
        <w:rPr>
          <w:rFonts w:ascii="宋体" w:hAnsi="宋体" w:eastAsia="宋体"/>
          <w:bCs/>
          <w:sz w:val="21"/>
        </w:rPr>
        <w:t>属于保修范围、内容的项目，承包人应当在接到保修通知之日起7天内派人保修。承包人不在约定期限内派人保修的，发包人可以委托他人修理。</w:t>
      </w:r>
    </w:p>
    <w:p w14:paraId="53515158">
      <w:pPr>
        <w:adjustRightInd w:val="0"/>
        <w:spacing w:line="360" w:lineRule="auto"/>
        <w:ind w:firstLine="420" w:firstLineChars="200"/>
        <w:rPr>
          <w:rFonts w:ascii="宋体" w:hAnsi="宋体" w:eastAsia="宋体"/>
          <w:bCs/>
          <w:sz w:val="21"/>
        </w:rPr>
      </w:pPr>
      <w:r>
        <w:rPr>
          <w:rFonts w:hint="eastAsia" w:ascii="宋体" w:hAnsi="宋体" w:eastAsia="宋体"/>
          <w:bCs/>
          <w:sz w:val="21"/>
        </w:rPr>
        <w:t>2．</w:t>
      </w:r>
      <w:r>
        <w:rPr>
          <w:rFonts w:ascii="宋体" w:hAnsi="宋体" w:eastAsia="宋体"/>
          <w:bCs/>
          <w:sz w:val="21"/>
        </w:rPr>
        <w:t>发生紧急事故需抢修的，承包人在接到事故通知后，应当立即到达事故现场抢修。</w:t>
      </w:r>
    </w:p>
    <w:p w14:paraId="18DFB41E">
      <w:pPr>
        <w:adjustRightInd w:val="0"/>
        <w:spacing w:line="360" w:lineRule="auto"/>
        <w:ind w:firstLine="420" w:firstLineChars="200"/>
        <w:rPr>
          <w:rFonts w:ascii="宋体" w:hAnsi="宋体" w:eastAsia="宋体"/>
          <w:bCs/>
          <w:sz w:val="21"/>
        </w:rPr>
      </w:pPr>
      <w:r>
        <w:rPr>
          <w:rFonts w:hint="eastAsia" w:ascii="宋体" w:hAnsi="宋体" w:eastAsia="宋体"/>
          <w:bCs/>
          <w:sz w:val="21"/>
        </w:rPr>
        <w:t>3．</w:t>
      </w:r>
      <w:r>
        <w:rPr>
          <w:rFonts w:ascii="宋体" w:hAnsi="宋体" w:eastAsia="宋体"/>
          <w:bCs/>
          <w:sz w:val="21"/>
        </w:rPr>
        <w:t>对于涉及结构安全的质量问题，应当按照《建设工程质量管理条例》的规定，立即向当地建设行政主管部门和有关部门报告，采取安全防范措施，并由原设计人或者具有相应资质等级的设计人提出保修方案，承包人实施保修。</w:t>
      </w:r>
    </w:p>
    <w:p w14:paraId="75E1001F">
      <w:pPr>
        <w:adjustRightInd w:val="0"/>
        <w:spacing w:line="360" w:lineRule="auto"/>
        <w:ind w:firstLine="420" w:firstLineChars="200"/>
        <w:rPr>
          <w:rFonts w:ascii="宋体" w:hAnsi="宋体" w:eastAsia="宋体"/>
          <w:bCs/>
          <w:sz w:val="21"/>
        </w:rPr>
      </w:pPr>
      <w:r>
        <w:rPr>
          <w:rFonts w:hint="eastAsia" w:ascii="宋体" w:hAnsi="宋体" w:eastAsia="宋体"/>
          <w:bCs/>
          <w:sz w:val="21"/>
        </w:rPr>
        <w:t>4．</w:t>
      </w:r>
      <w:r>
        <w:rPr>
          <w:rFonts w:ascii="宋体" w:hAnsi="宋体" w:eastAsia="宋体"/>
          <w:bCs/>
          <w:sz w:val="21"/>
        </w:rPr>
        <w:t>质量保修完成后，由发包人组织验收。</w:t>
      </w:r>
    </w:p>
    <w:p w14:paraId="12F029E3">
      <w:pPr>
        <w:adjustRightInd w:val="0"/>
        <w:spacing w:line="360" w:lineRule="auto"/>
        <w:ind w:firstLine="422" w:firstLineChars="200"/>
        <w:rPr>
          <w:rFonts w:ascii="宋体" w:hAnsi="宋体" w:eastAsia="宋体"/>
          <w:b/>
          <w:sz w:val="21"/>
        </w:rPr>
      </w:pPr>
      <w:r>
        <w:rPr>
          <w:rFonts w:ascii="宋体" w:hAnsi="宋体" w:eastAsia="宋体"/>
          <w:b/>
          <w:sz w:val="21"/>
        </w:rPr>
        <w:t>五、保修费用</w:t>
      </w:r>
    </w:p>
    <w:p w14:paraId="5C292C82">
      <w:pPr>
        <w:adjustRightInd w:val="0"/>
        <w:spacing w:line="360" w:lineRule="auto"/>
        <w:ind w:firstLine="420" w:firstLineChars="200"/>
        <w:rPr>
          <w:rFonts w:ascii="宋体" w:hAnsi="宋体" w:eastAsia="宋体"/>
          <w:bCs/>
          <w:sz w:val="21"/>
        </w:rPr>
      </w:pPr>
      <w:r>
        <w:rPr>
          <w:rFonts w:ascii="宋体" w:hAnsi="宋体" w:eastAsia="宋体"/>
          <w:bCs/>
          <w:sz w:val="21"/>
        </w:rPr>
        <w:t>保修费用由造成质量缺陷的责任方承担。</w:t>
      </w:r>
    </w:p>
    <w:p w14:paraId="4BAC9F4F">
      <w:pPr>
        <w:numPr>
          <w:ilvl w:val="0"/>
          <w:numId w:val="6"/>
        </w:numPr>
        <w:adjustRightInd w:val="0"/>
        <w:spacing w:line="360" w:lineRule="auto"/>
        <w:ind w:firstLine="422" w:firstLineChars="200"/>
        <w:rPr>
          <w:rFonts w:ascii="宋体" w:hAnsi="宋体" w:eastAsia="宋体"/>
          <w:b/>
          <w:sz w:val="21"/>
        </w:rPr>
      </w:pPr>
      <w:r>
        <w:rPr>
          <w:rFonts w:ascii="宋体" w:hAnsi="宋体" w:eastAsia="宋体"/>
          <w:b/>
          <w:sz w:val="21"/>
        </w:rPr>
        <w:t>双方约定的其他工程质量保修事项：</w:t>
      </w:r>
      <w:r>
        <w:rPr>
          <w:rFonts w:hint="eastAsia" w:ascii="宋体" w:hAnsi="宋体" w:eastAsia="宋体"/>
          <w:b/>
          <w:sz w:val="21"/>
        </w:rPr>
        <w:t xml:space="preserve"> </w:t>
      </w:r>
      <w:r>
        <w:rPr>
          <w:rFonts w:hint="eastAsia" w:ascii="宋体" w:hAnsi="宋体" w:eastAsia="宋体"/>
          <w:b/>
          <w:sz w:val="21"/>
          <w:u w:val="single"/>
        </w:rPr>
        <w:t xml:space="preserve">                                  </w:t>
      </w:r>
      <w:r>
        <w:rPr>
          <w:rFonts w:hint="eastAsia" w:ascii="宋体" w:hAnsi="宋体" w:eastAsia="宋体"/>
          <w:sz w:val="21"/>
          <w:u w:val="single"/>
        </w:rPr>
        <w:t xml:space="preserve"> 。</w:t>
      </w:r>
    </w:p>
    <w:p w14:paraId="401B92B4">
      <w:pPr>
        <w:adjustRightInd w:val="0"/>
        <w:spacing w:line="360" w:lineRule="auto"/>
        <w:ind w:firstLine="420" w:firstLineChars="200"/>
        <w:rPr>
          <w:rFonts w:ascii="宋体" w:hAnsi="宋体" w:eastAsia="宋体"/>
          <w:bCs/>
          <w:sz w:val="21"/>
        </w:rPr>
      </w:pPr>
      <w:r>
        <w:rPr>
          <w:rFonts w:ascii="宋体" w:hAnsi="宋体" w:eastAsia="宋体"/>
          <w:bCs/>
          <w:sz w:val="21"/>
        </w:rPr>
        <w:t>工程质量保修书由发包人、承包人在工程竣工验收前共同签署，作为施工合同附件，其有效期限至保修期满。</w:t>
      </w:r>
    </w:p>
    <w:p w14:paraId="69DFAAB4">
      <w:pPr>
        <w:adjustRightInd w:val="0"/>
        <w:spacing w:line="360" w:lineRule="exact"/>
        <w:rPr>
          <w:rFonts w:ascii="宋体" w:hAnsi="宋体" w:eastAsia="宋体"/>
          <w:bCs/>
          <w:sz w:val="21"/>
        </w:rPr>
      </w:pPr>
    </w:p>
    <w:p w14:paraId="5AD70178">
      <w:pPr>
        <w:adjustRightInd w:val="0"/>
        <w:spacing w:line="360" w:lineRule="exact"/>
        <w:rPr>
          <w:rFonts w:ascii="宋体" w:hAnsi="宋体" w:eastAsia="宋体"/>
          <w:bCs/>
          <w:sz w:val="21"/>
        </w:rPr>
      </w:pPr>
    </w:p>
    <w:p w14:paraId="3262182E">
      <w:pPr>
        <w:adjustRightInd w:val="0"/>
        <w:spacing w:line="360" w:lineRule="exact"/>
        <w:rPr>
          <w:rFonts w:ascii="宋体" w:hAnsi="宋体" w:eastAsia="宋体"/>
          <w:bCs/>
          <w:sz w:val="21"/>
        </w:rPr>
      </w:pPr>
    </w:p>
    <w:p w14:paraId="32DFCC46">
      <w:pPr>
        <w:adjustRightInd w:val="0"/>
        <w:spacing w:line="480" w:lineRule="auto"/>
        <w:ind w:firstLine="420" w:firstLineChars="200"/>
        <w:rPr>
          <w:rFonts w:ascii="宋体" w:hAnsi="宋体" w:eastAsia="宋体"/>
          <w:bCs/>
          <w:sz w:val="21"/>
          <w:u w:val="single"/>
        </w:rPr>
      </w:pPr>
      <w:r>
        <w:rPr>
          <w:rFonts w:ascii="宋体" w:hAnsi="宋体" w:eastAsia="宋体"/>
          <w:bCs/>
          <w:sz w:val="21"/>
        </w:rPr>
        <w:t>发包人(公章)：</w:t>
      </w:r>
      <w:r>
        <w:rPr>
          <w:rFonts w:ascii="宋体" w:hAnsi="宋体" w:eastAsia="宋体"/>
          <w:bCs/>
          <w:sz w:val="21"/>
          <w:u w:val="single"/>
        </w:rPr>
        <w:t xml:space="preserve">          </w:t>
      </w:r>
      <w:r>
        <w:rPr>
          <w:rFonts w:hint="eastAsia" w:ascii="宋体" w:hAnsi="宋体" w:eastAsia="宋体"/>
          <w:bCs/>
          <w:sz w:val="21"/>
          <w:u w:val="single"/>
        </w:rPr>
        <w:t xml:space="preserve">         </w:t>
      </w:r>
      <w:r>
        <w:rPr>
          <w:rFonts w:ascii="宋体" w:hAnsi="宋体" w:eastAsia="宋体"/>
          <w:bCs/>
          <w:sz w:val="21"/>
          <w:u w:val="single"/>
        </w:rPr>
        <w:t xml:space="preserve">     </w:t>
      </w:r>
      <w:r>
        <w:rPr>
          <w:rFonts w:ascii="宋体" w:hAnsi="宋体" w:eastAsia="宋体"/>
          <w:bCs/>
          <w:sz w:val="21"/>
        </w:rPr>
        <w:t xml:space="preserve"> </w:t>
      </w:r>
      <w:r>
        <w:rPr>
          <w:rFonts w:hint="eastAsia" w:ascii="宋体" w:hAnsi="宋体" w:eastAsia="宋体"/>
          <w:bCs/>
          <w:sz w:val="21"/>
        </w:rPr>
        <w:t xml:space="preserve">    </w:t>
      </w:r>
      <w:r>
        <w:rPr>
          <w:rFonts w:ascii="宋体" w:hAnsi="宋体" w:eastAsia="宋体"/>
          <w:bCs/>
          <w:sz w:val="21"/>
        </w:rPr>
        <w:t>承包人(公章)：</w:t>
      </w:r>
      <w:r>
        <w:rPr>
          <w:rFonts w:ascii="宋体" w:hAnsi="宋体" w:eastAsia="宋体"/>
          <w:bCs/>
          <w:sz w:val="21"/>
          <w:u w:val="single"/>
        </w:rPr>
        <w:t xml:space="preserve">           </w:t>
      </w:r>
      <w:r>
        <w:rPr>
          <w:rFonts w:hint="eastAsia" w:ascii="宋体" w:hAnsi="宋体" w:eastAsia="宋体"/>
          <w:bCs/>
          <w:sz w:val="21"/>
          <w:u w:val="single"/>
        </w:rPr>
        <w:t xml:space="preserve">            </w:t>
      </w:r>
      <w:r>
        <w:rPr>
          <w:rFonts w:ascii="宋体" w:hAnsi="宋体" w:eastAsia="宋体"/>
          <w:bCs/>
          <w:sz w:val="21"/>
          <w:u w:val="single"/>
        </w:rPr>
        <w:t xml:space="preserve">  </w:t>
      </w:r>
    </w:p>
    <w:p w14:paraId="0D753908">
      <w:pPr>
        <w:adjustRightInd w:val="0"/>
        <w:spacing w:line="480" w:lineRule="auto"/>
        <w:ind w:firstLine="420" w:firstLineChars="200"/>
        <w:rPr>
          <w:rFonts w:ascii="宋体" w:hAnsi="宋体" w:eastAsia="宋体"/>
          <w:bCs/>
          <w:sz w:val="21"/>
          <w:u w:val="single"/>
        </w:rPr>
      </w:pPr>
      <w:r>
        <w:rPr>
          <w:rFonts w:ascii="宋体" w:hAnsi="宋体" w:eastAsia="宋体"/>
          <w:bCs/>
          <w:sz w:val="21"/>
        </w:rPr>
        <w:t>地  址：</w:t>
      </w:r>
      <w:r>
        <w:rPr>
          <w:rFonts w:ascii="宋体" w:hAnsi="宋体" w:eastAsia="宋体"/>
          <w:bCs/>
          <w:sz w:val="21"/>
          <w:u w:val="single"/>
        </w:rPr>
        <w:t xml:space="preserve">             </w:t>
      </w:r>
      <w:r>
        <w:rPr>
          <w:rFonts w:hint="eastAsia" w:ascii="宋体" w:hAnsi="宋体" w:eastAsia="宋体"/>
          <w:bCs/>
          <w:sz w:val="21"/>
          <w:u w:val="single"/>
        </w:rPr>
        <w:t xml:space="preserve">            </w:t>
      </w:r>
      <w:r>
        <w:rPr>
          <w:rFonts w:ascii="宋体" w:hAnsi="宋体" w:eastAsia="宋体"/>
          <w:bCs/>
          <w:sz w:val="21"/>
          <w:u w:val="single"/>
        </w:rPr>
        <w:t xml:space="preserve">   </w:t>
      </w:r>
      <w:r>
        <w:rPr>
          <w:rFonts w:hint="eastAsia" w:ascii="宋体" w:hAnsi="宋体" w:eastAsia="宋体"/>
          <w:bCs/>
          <w:sz w:val="21"/>
          <w:u w:val="single"/>
        </w:rPr>
        <w:t xml:space="preserve">  </w:t>
      </w:r>
      <w:r>
        <w:rPr>
          <w:rFonts w:hint="eastAsia" w:ascii="宋体" w:hAnsi="宋体" w:eastAsia="宋体"/>
          <w:bCs/>
          <w:sz w:val="21"/>
        </w:rPr>
        <w:t xml:space="preserve">     </w:t>
      </w:r>
      <w:r>
        <w:rPr>
          <w:rFonts w:ascii="宋体" w:hAnsi="宋体" w:eastAsia="宋体"/>
          <w:bCs/>
          <w:sz w:val="21"/>
        </w:rPr>
        <w:t>地  址：</w:t>
      </w:r>
      <w:r>
        <w:rPr>
          <w:rFonts w:ascii="宋体" w:hAnsi="宋体" w:eastAsia="宋体"/>
          <w:bCs/>
          <w:sz w:val="21"/>
          <w:u w:val="single"/>
        </w:rPr>
        <w:t xml:space="preserve">    </w:t>
      </w:r>
      <w:r>
        <w:rPr>
          <w:rFonts w:hint="eastAsia" w:ascii="宋体" w:hAnsi="宋体" w:eastAsia="宋体"/>
          <w:bCs/>
          <w:sz w:val="21"/>
          <w:u w:val="single"/>
        </w:rPr>
        <w:t xml:space="preserve">   </w:t>
      </w:r>
      <w:r>
        <w:rPr>
          <w:rFonts w:ascii="宋体" w:hAnsi="宋体" w:eastAsia="宋体"/>
          <w:bCs/>
          <w:sz w:val="21"/>
          <w:u w:val="single"/>
        </w:rPr>
        <w:t xml:space="preserve">         </w:t>
      </w:r>
      <w:r>
        <w:rPr>
          <w:rFonts w:hint="eastAsia" w:ascii="宋体" w:hAnsi="宋体" w:eastAsia="宋体"/>
          <w:bCs/>
          <w:sz w:val="21"/>
          <w:u w:val="single"/>
        </w:rPr>
        <w:t xml:space="preserve">            </w:t>
      </w:r>
      <w:r>
        <w:rPr>
          <w:rFonts w:ascii="宋体" w:hAnsi="宋体" w:eastAsia="宋体"/>
          <w:bCs/>
          <w:sz w:val="21"/>
          <w:u w:val="single"/>
        </w:rPr>
        <w:t xml:space="preserve">   </w:t>
      </w:r>
    </w:p>
    <w:p w14:paraId="66299DB0">
      <w:pPr>
        <w:adjustRightInd w:val="0"/>
        <w:spacing w:line="480" w:lineRule="auto"/>
        <w:ind w:firstLine="420" w:firstLineChars="200"/>
        <w:rPr>
          <w:rFonts w:ascii="宋体" w:hAnsi="宋体" w:eastAsia="宋体"/>
          <w:bCs/>
          <w:sz w:val="21"/>
          <w:u w:val="single"/>
        </w:rPr>
      </w:pPr>
      <w:r>
        <w:rPr>
          <w:rFonts w:ascii="宋体" w:hAnsi="宋体" w:eastAsia="宋体"/>
          <w:bCs/>
          <w:sz w:val="21"/>
        </w:rPr>
        <w:t>法定代表人(签字)：</w:t>
      </w:r>
      <w:r>
        <w:rPr>
          <w:rFonts w:ascii="宋体" w:hAnsi="宋体" w:eastAsia="宋体"/>
          <w:bCs/>
          <w:sz w:val="21"/>
          <w:u w:val="single"/>
        </w:rPr>
        <w:t xml:space="preserve">      </w:t>
      </w:r>
      <w:r>
        <w:rPr>
          <w:rFonts w:hint="eastAsia" w:ascii="宋体" w:hAnsi="宋体" w:eastAsia="宋体"/>
          <w:bCs/>
          <w:sz w:val="21"/>
          <w:u w:val="single"/>
        </w:rPr>
        <w:t xml:space="preserve">         </w:t>
      </w:r>
      <w:r>
        <w:rPr>
          <w:rFonts w:ascii="宋体" w:hAnsi="宋体" w:eastAsia="宋体"/>
          <w:bCs/>
          <w:sz w:val="21"/>
          <w:u w:val="single"/>
        </w:rPr>
        <w:t xml:space="preserve">   </w:t>
      </w:r>
      <w:r>
        <w:rPr>
          <w:rFonts w:hint="eastAsia" w:ascii="宋体" w:hAnsi="宋体" w:eastAsia="宋体"/>
          <w:bCs/>
          <w:sz w:val="21"/>
          <w:u w:val="single"/>
        </w:rPr>
        <w:t xml:space="preserve">  </w:t>
      </w:r>
      <w:r>
        <w:rPr>
          <w:rFonts w:ascii="宋体" w:hAnsi="宋体" w:eastAsia="宋体"/>
          <w:bCs/>
          <w:sz w:val="21"/>
        </w:rPr>
        <w:t xml:space="preserve"> </w:t>
      </w:r>
      <w:r>
        <w:rPr>
          <w:rFonts w:hint="eastAsia" w:ascii="宋体" w:hAnsi="宋体" w:eastAsia="宋体"/>
          <w:bCs/>
          <w:sz w:val="21"/>
        </w:rPr>
        <w:t xml:space="preserve">    </w:t>
      </w:r>
      <w:r>
        <w:rPr>
          <w:rFonts w:ascii="宋体" w:hAnsi="宋体" w:eastAsia="宋体"/>
          <w:bCs/>
          <w:sz w:val="21"/>
        </w:rPr>
        <w:t>法定代表人(签字)：</w:t>
      </w:r>
      <w:r>
        <w:rPr>
          <w:rFonts w:ascii="宋体" w:hAnsi="宋体" w:eastAsia="宋体"/>
          <w:bCs/>
          <w:sz w:val="21"/>
          <w:u w:val="single"/>
        </w:rPr>
        <w:t xml:space="preserve">         </w:t>
      </w:r>
      <w:r>
        <w:rPr>
          <w:rFonts w:hint="eastAsia" w:ascii="宋体" w:hAnsi="宋体" w:eastAsia="宋体"/>
          <w:bCs/>
          <w:sz w:val="21"/>
          <w:u w:val="single"/>
        </w:rPr>
        <w:t xml:space="preserve">            </w:t>
      </w:r>
    </w:p>
    <w:p w14:paraId="7643E265">
      <w:pPr>
        <w:adjustRightInd w:val="0"/>
        <w:spacing w:line="480" w:lineRule="auto"/>
        <w:ind w:firstLine="420" w:firstLineChars="200"/>
        <w:rPr>
          <w:rFonts w:ascii="宋体" w:hAnsi="宋体" w:eastAsia="宋体"/>
          <w:bCs/>
          <w:sz w:val="21"/>
          <w:u w:val="single"/>
        </w:rPr>
      </w:pPr>
      <w:r>
        <w:rPr>
          <w:rFonts w:ascii="宋体" w:hAnsi="宋体" w:eastAsia="宋体"/>
          <w:bCs/>
          <w:sz w:val="21"/>
        </w:rPr>
        <w:t>委托代理人(签字)：</w:t>
      </w:r>
      <w:r>
        <w:rPr>
          <w:rFonts w:ascii="宋体" w:hAnsi="宋体" w:eastAsia="宋体"/>
          <w:bCs/>
          <w:sz w:val="21"/>
          <w:u w:val="single"/>
        </w:rPr>
        <w:t xml:space="preserve">        </w:t>
      </w:r>
      <w:r>
        <w:rPr>
          <w:rFonts w:hint="eastAsia" w:ascii="宋体" w:hAnsi="宋体" w:eastAsia="宋体"/>
          <w:bCs/>
          <w:sz w:val="21"/>
          <w:u w:val="single"/>
        </w:rPr>
        <w:t xml:space="preserve">         </w:t>
      </w:r>
      <w:r>
        <w:rPr>
          <w:rFonts w:ascii="宋体" w:hAnsi="宋体" w:eastAsia="宋体"/>
          <w:bCs/>
          <w:sz w:val="21"/>
          <w:u w:val="single"/>
        </w:rPr>
        <w:t xml:space="preserve"> </w:t>
      </w:r>
      <w:r>
        <w:rPr>
          <w:rFonts w:hint="eastAsia" w:ascii="宋体" w:hAnsi="宋体" w:eastAsia="宋体"/>
          <w:bCs/>
          <w:sz w:val="21"/>
          <w:u w:val="single"/>
        </w:rPr>
        <w:t xml:space="preserve">  </w:t>
      </w:r>
      <w:r>
        <w:rPr>
          <w:rFonts w:ascii="宋体" w:hAnsi="宋体" w:eastAsia="宋体"/>
          <w:bCs/>
          <w:sz w:val="21"/>
        </w:rPr>
        <w:t xml:space="preserve"> </w:t>
      </w:r>
      <w:r>
        <w:rPr>
          <w:rFonts w:hint="eastAsia" w:ascii="宋体" w:hAnsi="宋体" w:eastAsia="宋体"/>
          <w:bCs/>
          <w:sz w:val="21"/>
        </w:rPr>
        <w:t xml:space="preserve">    </w:t>
      </w:r>
      <w:r>
        <w:rPr>
          <w:rFonts w:ascii="宋体" w:hAnsi="宋体" w:eastAsia="宋体"/>
          <w:bCs/>
          <w:sz w:val="21"/>
        </w:rPr>
        <w:t>委托代理人(签字)：</w:t>
      </w:r>
      <w:r>
        <w:rPr>
          <w:rFonts w:ascii="宋体" w:hAnsi="宋体" w:eastAsia="宋体"/>
          <w:bCs/>
          <w:sz w:val="21"/>
          <w:u w:val="single"/>
        </w:rPr>
        <w:t xml:space="preserve">         </w:t>
      </w:r>
      <w:r>
        <w:rPr>
          <w:rFonts w:hint="eastAsia" w:ascii="宋体" w:hAnsi="宋体" w:eastAsia="宋体"/>
          <w:bCs/>
          <w:sz w:val="21"/>
          <w:u w:val="single"/>
        </w:rPr>
        <w:t xml:space="preserve">            </w:t>
      </w:r>
    </w:p>
    <w:p w14:paraId="3F948AE8">
      <w:pPr>
        <w:adjustRightInd w:val="0"/>
        <w:spacing w:line="480" w:lineRule="auto"/>
        <w:ind w:firstLine="420" w:firstLineChars="200"/>
        <w:rPr>
          <w:rFonts w:ascii="宋体" w:hAnsi="宋体" w:eastAsia="宋体"/>
          <w:bCs/>
          <w:sz w:val="21"/>
          <w:u w:val="single"/>
        </w:rPr>
      </w:pPr>
      <w:r>
        <w:rPr>
          <w:rFonts w:ascii="宋体" w:hAnsi="宋体" w:eastAsia="宋体"/>
          <w:bCs/>
          <w:sz w:val="21"/>
        </w:rPr>
        <w:t>电  话：</w:t>
      </w:r>
      <w:r>
        <w:rPr>
          <w:rFonts w:ascii="宋体" w:hAnsi="宋体" w:eastAsia="宋体"/>
          <w:bCs/>
          <w:sz w:val="21"/>
          <w:u w:val="single"/>
        </w:rPr>
        <w:t xml:space="preserve">             </w:t>
      </w:r>
      <w:r>
        <w:rPr>
          <w:rFonts w:hint="eastAsia" w:ascii="宋体" w:hAnsi="宋体" w:eastAsia="宋体"/>
          <w:bCs/>
          <w:sz w:val="21"/>
          <w:u w:val="single"/>
        </w:rPr>
        <w:t xml:space="preserve">            </w:t>
      </w:r>
      <w:r>
        <w:rPr>
          <w:rFonts w:ascii="宋体" w:hAnsi="宋体" w:eastAsia="宋体"/>
          <w:bCs/>
          <w:sz w:val="21"/>
          <w:u w:val="single"/>
        </w:rPr>
        <w:t xml:space="preserve">    </w:t>
      </w:r>
      <w:r>
        <w:rPr>
          <w:rFonts w:hint="eastAsia" w:ascii="宋体" w:hAnsi="宋体" w:eastAsia="宋体"/>
          <w:bCs/>
          <w:sz w:val="21"/>
          <w:u w:val="single"/>
        </w:rPr>
        <w:t xml:space="preserve"> </w:t>
      </w:r>
      <w:r>
        <w:rPr>
          <w:rFonts w:hint="eastAsia" w:ascii="宋体" w:hAnsi="宋体" w:eastAsia="宋体"/>
          <w:bCs/>
          <w:sz w:val="21"/>
        </w:rPr>
        <w:t xml:space="preserve">     </w:t>
      </w:r>
      <w:r>
        <w:rPr>
          <w:rFonts w:ascii="宋体" w:hAnsi="宋体" w:eastAsia="宋体"/>
          <w:bCs/>
          <w:sz w:val="21"/>
        </w:rPr>
        <w:t>电  话：</w:t>
      </w:r>
      <w:r>
        <w:rPr>
          <w:rFonts w:ascii="宋体" w:hAnsi="宋体" w:eastAsia="宋体"/>
          <w:bCs/>
          <w:sz w:val="21"/>
          <w:u w:val="single"/>
        </w:rPr>
        <w:t xml:space="preserve">             </w:t>
      </w:r>
      <w:r>
        <w:rPr>
          <w:rFonts w:hint="eastAsia" w:ascii="宋体" w:hAnsi="宋体" w:eastAsia="宋体"/>
          <w:bCs/>
          <w:sz w:val="21"/>
          <w:u w:val="single"/>
        </w:rPr>
        <w:t xml:space="preserve">    </w:t>
      </w:r>
      <w:r>
        <w:rPr>
          <w:rFonts w:ascii="宋体" w:hAnsi="宋体" w:eastAsia="宋体"/>
          <w:bCs/>
          <w:sz w:val="21"/>
          <w:u w:val="single"/>
        </w:rPr>
        <w:t xml:space="preserve">    </w:t>
      </w:r>
      <w:r>
        <w:rPr>
          <w:rFonts w:hint="eastAsia" w:ascii="宋体" w:hAnsi="宋体" w:eastAsia="宋体"/>
          <w:bCs/>
          <w:sz w:val="21"/>
          <w:u w:val="single"/>
        </w:rPr>
        <w:t xml:space="preserve">          </w:t>
      </w:r>
    </w:p>
    <w:p w14:paraId="006F6419">
      <w:pPr>
        <w:adjustRightInd w:val="0"/>
        <w:spacing w:line="480" w:lineRule="auto"/>
        <w:ind w:firstLine="420" w:firstLineChars="200"/>
        <w:rPr>
          <w:rFonts w:ascii="宋体" w:hAnsi="宋体" w:eastAsia="宋体"/>
          <w:bCs/>
          <w:sz w:val="21"/>
          <w:u w:val="single"/>
        </w:rPr>
      </w:pPr>
      <w:r>
        <w:rPr>
          <w:rFonts w:ascii="宋体" w:hAnsi="宋体" w:eastAsia="宋体"/>
          <w:bCs/>
          <w:sz w:val="21"/>
        </w:rPr>
        <w:t>传  真：</w:t>
      </w:r>
      <w:r>
        <w:rPr>
          <w:rFonts w:ascii="宋体" w:hAnsi="宋体" w:eastAsia="宋体"/>
          <w:bCs/>
          <w:sz w:val="21"/>
          <w:u w:val="single"/>
        </w:rPr>
        <w:t xml:space="preserve">             </w:t>
      </w:r>
      <w:r>
        <w:rPr>
          <w:rFonts w:hint="eastAsia" w:ascii="宋体" w:hAnsi="宋体" w:eastAsia="宋体"/>
          <w:bCs/>
          <w:sz w:val="21"/>
          <w:u w:val="single"/>
        </w:rPr>
        <w:t xml:space="preserve">  </w:t>
      </w:r>
      <w:r>
        <w:rPr>
          <w:rFonts w:ascii="宋体" w:hAnsi="宋体" w:eastAsia="宋体"/>
          <w:bCs/>
          <w:sz w:val="21"/>
          <w:u w:val="single"/>
        </w:rPr>
        <w:t xml:space="preserve">  </w:t>
      </w:r>
      <w:r>
        <w:rPr>
          <w:rFonts w:hint="eastAsia" w:ascii="宋体" w:hAnsi="宋体" w:eastAsia="宋体"/>
          <w:bCs/>
          <w:sz w:val="21"/>
          <w:u w:val="single"/>
        </w:rPr>
        <w:t xml:space="preserve">           </w:t>
      </w:r>
      <w:r>
        <w:rPr>
          <w:rFonts w:ascii="宋体" w:hAnsi="宋体" w:eastAsia="宋体"/>
          <w:bCs/>
          <w:sz w:val="21"/>
          <w:u w:val="single"/>
        </w:rPr>
        <w:t xml:space="preserve">  </w:t>
      </w:r>
      <w:r>
        <w:rPr>
          <w:rFonts w:hint="eastAsia" w:ascii="宋体" w:hAnsi="宋体" w:eastAsia="宋体"/>
          <w:bCs/>
          <w:sz w:val="21"/>
        </w:rPr>
        <w:t xml:space="preserve">     </w:t>
      </w:r>
      <w:r>
        <w:rPr>
          <w:rFonts w:ascii="宋体" w:hAnsi="宋体" w:eastAsia="宋体"/>
          <w:bCs/>
          <w:sz w:val="21"/>
        </w:rPr>
        <w:t>传  真：</w:t>
      </w:r>
      <w:r>
        <w:rPr>
          <w:rFonts w:ascii="宋体" w:hAnsi="宋体" w:eastAsia="宋体"/>
          <w:bCs/>
          <w:sz w:val="21"/>
          <w:u w:val="single"/>
        </w:rPr>
        <w:t xml:space="preserve">          </w:t>
      </w:r>
      <w:r>
        <w:rPr>
          <w:rFonts w:hint="eastAsia" w:ascii="宋体" w:hAnsi="宋体" w:eastAsia="宋体"/>
          <w:bCs/>
          <w:sz w:val="21"/>
          <w:u w:val="single"/>
        </w:rPr>
        <w:t xml:space="preserve">   </w:t>
      </w:r>
      <w:r>
        <w:rPr>
          <w:rFonts w:ascii="宋体" w:hAnsi="宋体" w:eastAsia="宋体"/>
          <w:bCs/>
          <w:sz w:val="21"/>
          <w:u w:val="single"/>
        </w:rPr>
        <w:t xml:space="preserve">   </w:t>
      </w:r>
      <w:r>
        <w:rPr>
          <w:rFonts w:hint="eastAsia" w:ascii="宋体" w:hAnsi="宋体" w:eastAsia="宋体"/>
          <w:bCs/>
          <w:sz w:val="21"/>
          <w:u w:val="single"/>
        </w:rPr>
        <w:t xml:space="preserve">  </w:t>
      </w:r>
      <w:r>
        <w:rPr>
          <w:rFonts w:ascii="宋体" w:hAnsi="宋体" w:eastAsia="宋体"/>
          <w:bCs/>
          <w:sz w:val="21"/>
          <w:u w:val="single"/>
        </w:rPr>
        <w:t xml:space="preserve">   </w:t>
      </w:r>
      <w:r>
        <w:rPr>
          <w:rFonts w:hint="eastAsia" w:ascii="宋体" w:hAnsi="宋体" w:eastAsia="宋体"/>
          <w:bCs/>
          <w:sz w:val="21"/>
          <w:u w:val="single"/>
        </w:rPr>
        <w:t xml:space="preserve">          </w:t>
      </w:r>
    </w:p>
    <w:p w14:paraId="6872C8FD">
      <w:pPr>
        <w:adjustRightInd w:val="0"/>
        <w:spacing w:line="480" w:lineRule="auto"/>
        <w:ind w:firstLine="420" w:firstLineChars="200"/>
        <w:rPr>
          <w:rFonts w:ascii="宋体" w:hAnsi="宋体" w:eastAsia="宋体"/>
          <w:bCs/>
          <w:sz w:val="21"/>
          <w:u w:val="single"/>
        </w:rPr>
      </w:pPr>
      <w:r>
        <w:rPr>
          <w:rFonts w:ascii="宋体" w:hAnsi="宋体" w:eastAsia="宋体"/>
          <w:bCs/>
          <w:sz w:val="21"/>
        </w:rPr>
        <w:t>开户银行：</w:t>
      </w:r>
      <w:r>
        <w:rPr>
          <w:rFonts w:ascii="宋体" w:hAnsi="宋体" w:eastAsia="宋体"/>
          <w:bCs/>
          <w:sz w:val="21"/>
          <w:u w:val="single"/>
        </w:rPr>
        <w:t xml:space="preserve">             </w:t>
      </w:r>
      <w:r>
        <w:rPr>
          <w:rFonts w:hint="eastAsia" w:ascii="宋体" w:hAnsi="宋体" w:eastAsia="宋体"/>
          <w:bCs/>
          <w:sz w:val="21"/>
          <w:u w:val="single"/>
        </w:rPr>
        <w:t xml:space="preserve">            </w:t>
      </w:r>
      <w:r>
        <w:rPr>
          <w:rFonts w:ascii="宋体" w:hAnsi="宋体" w:eastAsia="宋体"/>
          <w:bCs/>
          <w:sz w:val="21"/>
          <w:u w:val="single"/>
        </w:rPr>
        <w:t xml:space="preserve">   </w:t>
      </w:r>
      <w:r>
        <w:rPr>
          <w:rFonts w:ascii="宋体" w:hAnsi="宋体" w:eastAsia="宋体"/>
          <w:bCs/>
          <w:sz w:val="21"/>
        </w:rPr>
        <w:t xml:space="preserve"> </w:t>
      </w:r>
      <w:r>
        <w:rPr>
          <w:rFonts w:hint="eastAsia" w:ascii="宋体" w:hAnsi="宋体" w:eastAsia="宋体"/>
          <w:bCs/>
          <w:sz w:val="21"/>
        </w:rPr>
        <w:t xml:space="preserve">    </w:t>
      </w:r>
      <w:r>
        <w:rPr>
          <w:rFonts w:ascii="宋体" w:hAnsi="宋体" w:eastAsia="宋体"/>
          <w:bCs/>
          <w:sz w:val="21"/>
        </w:rPr>
        <w:t>开户银行：</w:t>
      </w:r>
      <w:r>
        <w:rPr>
          <w:rFonts w:ascii="宋体" w:hAnsi="宋体" w:eastAsia="宋体"/>
          <w:bCs/>
          <w:sz w:val="21"/>
          <w:u w:val="single"/>
        </w:rPr>
        <w:t xml:space="preserve">             </w:t>
      </w:r>
      <w:r>
        <w:rPr>
          <w:rFonts w:hint="eastAsia" w:ascii="宋体" w:hAnsi="宋体" w:eastAsia="宋体"/>
          <w:bCs/>
          <w:sz w:val="21"/>
          <w:u w:val="single"/>
        </w:rPr>
        <w:t xml:space="preserve">  </w:t>
      </w:r>
      <w:r>
        <w:rPr>
          <w:rFonts w:ascii="宋体" w:hAnsi="宋体" w:eastAsia="宋体"/>
          <w:bCs/>
          <w:sz w:val="21"/>
          <w:u w:val="single"/>
        </w:rPr>
        <w:t xml:space="preserve">   </w:t>
      </w:r>
      <w:r>
        <w:rPr>
          <w:rFonts w:hint="eastAsia" w:ascii="宋体" w:hAnsi="宋体" w:eastAsia="宋体"/>
          <w:bCs/>
          <w:sz w:val="21"/>
          <w:u w:val="single"/>
        </w:rPr>
        <w:t xml:space="preserve">           </w:t>
      </w:r>
    </w:p>
    <w:p w14:paraId="7B6FE0D5">
      <w:pPr>
        <w:adjustRightInd w:val="0"/>
        <w:spacing w:line="480" w:lineRule="auto"/>
        <w:ind w:firstLine="420" w:firstLineChars="200"/>
        <w:rPr>
          <w:rFonts w:ascii="宋体" w:hAnsi="宋体" w:eastAsia="宋体"/>
          <w:bCs/>
          <w:sz w:val="21"/>
          <w:u w:val="single"/>
        </w:rPr>
      </w:pPr>
      <w:r>
        <w:rPr>
          <w:rFonts w:ascii="宋体" w:hAnsi="宋体" w:eastAsia="宋体"/>
          <w:bCs/>
          <w:sz w:val="21"/>
        </w:rPr>
        <w:t>账  号：</w:t>
      </w:r>
      <w:r>
        <w:rPr>
          <w:rFonts w:ascii="宋体" w:hAnsi="宋体" w:eastAsia="宋体"/>
          <w:bCs/>
          <w:sz w:val="21"/>
          <w:u w:val="single"/>
        </w:rPr>
        <w:t xml:space="preserve">           </w:t>
      </w:r>
      <w:r>
        <w:rPr>
          <w:rFonts w:hint="eastAsia" w:ascii="宋体" w:hAnsi="宋体" w:eastAsia="宋体"/>
          <w:bCs/>
          <w:sz w:val="21"/>
          <w:u w:val="single"/>
        </w:rPr>
        <w:t xml:space="preserve">  </w:t>
      </w:r>
      <w:r>
        <w:rPr>
          <w:rFonts w:ascii="宋体" w:hAnsi="宋体" w:eastAsia="宋体"/>
          <w:bCs/>
          <w:sz w:val="21"/>
          <w:u w:val="single"/>
        </w:rPr>
        <w:t xml:space="preserve">  </w:t>
      </w:r>
      <w:r>
        <w:rPr>
          <w:rFonts w:hint="eastAsia" w:ascii="宋体" w:hAnsi="宋体" w:eastAsia="宋体"/>
          <w:bCs/>
          <w:sz w:val="21"/>
          <w:u w:val="single"/>
        </w:rPr>
        <w:t xml:space="preserve">            </w:t>
      </w:r>
      <w:r>
        <w:rPr>
          <w:rFonts w:ascii="宋体" w:hAnsi="宋体" w:eastAsia="宋体"/>
          <w:bCs/>
          <w:sz w:val="21"/>
          <w:u w:val="single"/>
        </w:rPr>
        <w:t xml:space="preserve">   </w:t>
      </w:r>
      <w:r>
        <w:rPr>
          <w:rFonts w:hint="eastAsia" w:ascii="宋体" w:hAnsi="宋体" w:eastAsia="宋体"/>
          <w:bCs/>
          <w:sz w:val="21"/>
        </w:rPr>
        <w:t xml:space="preserve">     </w:t>
      </w:r>
      <w:r>
        <w:rPr>
          <w:rFonts w:ascii="宋体" w:hAnsi="宋体" w:eastAsia="宋体"/>
          <w:bCs/>
          <w:sz w:val="21"/>
        </w:rPr>
        <w:t>账</w:t>
      </w:r>
      <w:r>
        <w:rPr>
          <w:rFonts w:hint="eastAsia" w:ascii="宋体" w:hAnsi="宋体" w:eastAsia="宋体"/>
          <w:bCs/>
          <w:sz w:val="21"/>
        </w:rPr>
        <w:t xml:space="preserve"> </w:t>
      </w:r>
      <w:r>
        <w:rPr>
          <w:rFonts w:ascii="宋体" w:hAnsi="宋体" w:eastAsia="宋体"/>
          <w:bCs/>
          <w:sz w:val="21"/>
        </w:rPr>
        <w:t xml:space="preserve"> 号：</w:t>
      </w:r>
      <w:r>
        <w:rPr>
          <w:rFonts w:ascii="宋体" w:hAnsi="宋体" w:eastAsia="宋体"/>
          <w:bCs/>
          <w:sz w:val="21"/>
          <w:u w:val="single"/>
        </w:rPr>
        <w:t xml:space="preserve">            </w:t>
      </w:r>
      <w:r>
        <w:rPr>
          <w:rFonts w:hint="eastAsia" w:ascii="宋体" w:hAnsi="宋体" w:eastAsia="宋体"/>
          <w:bCs/>
          <w:sz w:val="21"/>
          <w:u w:val="single"/>
        </w:rPr>
        <w:t xml:space="preserve">  </w:t>
      </w:r>
      <w:r>
        <w:rPr>
          <w:rFonts w:ascii="宋体" w:hAnsi="宋体" w:eastAsia="宋体"/>
          <w:bCs/>
          <w:sz w:val="21"/>
          <w:u w:val="single"/>
        </w:rPr>
        <w:t xml:space="preserve"> </w:t>
      </w:r>
      <w:r>
        <w:rPr>
          <w:rFonts w:hint="eastAsia" w:ascii="宋体" w:hAnsi="宋体" w:eastAsia="宋体"/>
          <w:bCs/>
          <w:sz w:val="21"/>
          <w:u w:val="single"/>
        </w:rPr>
        <w:t xml:space="preserve">  </w:t>
      </w:r>
      <w:r>
        <w:rPr>
          <w:rFonts w:ascii="宋体" w:hAnsi="宋体" w:eastAsia="宋体"/>
          <w:bCs/>
          <w:sz w:val="21"/>
          <w:u w:val="single"/>
        </w:rPr>
        <w:t xml:space="preserve">   </w:t>
      </w:r>
      <w:r>
        <w:rPr>
          <w:rFonts w:hint="eastAsia" w:ascii="宋体" w:hAnsi="宋体" w:eastAsia="宋体"/>
          <w:bCs/>
          <w:sz w:val="21"/>
          <w:u w:val="single"/>
        </w:rPr>
        <w:t xml:space="preserve">           </w:t>
      </w:r>
    </w:p>
    <w:p w14:paraId="49E98689">
      <w:pPr>
        <w:adjustRightInd w:val="0"/>
        <w:spacing w:line="480" w:lineRule="auto"/>
        <w:ind w:firstLine="420" w:firstLineChars="200"/>
        <w:rPr>
          <w:rFonts w:ascii="宋体" w:hAnsi="宋体" w:eastAsia="宋体"/>
          <w:bCs/>
          <w:sz w:val="21"/>
          <w:u w:val="single"/>
        </w:rPr>
      </w:pPr>
      <w:r>
        <w:rPr>
          <w:rFonts w:ascii="宋体" w:hAnsi="宋体" w:eastAsia="宋体"/>
          <w:bCs/>
          <w:sz w:val="21"/>
        </w:rPr>
        <w:t>邮政编码：</w:t>
      </w:r>
      <w:r>
        <w:rPr>
          <w:rFonts w:ascii="宋体" w:hAnsi="宋体" w:eastAsia="宋体"/>
          <w:bCs/>
          <w:sz w:val="21"/>
          <w:u w:val="single"/>
        </w:rPr>
        <w:t xml:space="preserve">           </w:t>
      </w:r>
      <w:r>
        <w:rPr>
          <w:rFonts w:hint="eastAsia" w:ascii="宋体" w:hAnsi="宋体" w:eastAsia="宋体"/>
          <w:bCs/>
          <w:sz w:val="21"/>
          <w:u w:val="single"/>
        </w:rPr>
        <w:t xml:space="preserve">  </w:t>
      </w:r>
      <w:r>
        <w:rPr>
          <w:rFonts w:ascii="宋体" w:hAnsi="宋体" w:eastAsia="宋体"/>
          <w:bCs/>
          <w:sz w:val="21"/>
          <w:u w:val="single"/>
        </w:rPr>
        <w:t xml:space="preserve">  </w:t>
      </w:r>
      <w:r>
        <w:rPr>
          <w:rFonts w:hint="eastAsia" w:ascii="宋体" w:hAnsi="宋体" w:eastAsia="宋体"/>
          <w:bCs/>
          <w:sz w:val="21"/>
          <w:u w:val="single"/>
        </w:rPr>
        <w:t xml:space="preserve">            </w:t>
      </w:r>
      <w:r>
        <w:rPr>
          <w:rFonts w:ascii="宋体" w:hAnsi="宋体" w:eastAsia="宋体"/>
          <w:bCs/>
          <w:sz w:val="21"/>
          <w:u w:val="single"/>
        </w:rPr>
        <w:t xml:space="preserve"> </w:t>
      </w:r>
      <w:r>
        <w:rPr>
          <w:rFonts w:ascii="宋体" w:hAnsi="宋体" w:eastAsia="宋体"/>
          <w:bCs/>
          <w:sz w:val="21"/>
        </w:rPr>
        <w:t xml:space="preserve"> </w:t>
      </w:r>
      <w:r>
        <w:rPr>
          <w:rFonts w:hint="eastAsia" w:ascii="宋体" w:hAnsi="宋体" w:eastAsia="宋体"/>
          <w:bCs/>
          <w:sz w:val="21"/>
        </w:rPr>
        <w:t xml:space="preserve">    </w:t>
      </w:r>
      <w:r>
        <w:rPr>
          <w:rFonts w:ascii="宋体" w:hAnsi="宋体" w:eastAsia="宋体"/>
          <w:bCs/>
          <w:sz w:val="21"/>
        </w:rPr>
        <w:t>邮政编码：</w:t>
      </w:r>
      <w:r>
        <w:rPr>
          <w:rFonts w:ascii="宋体" w:hAnsi="宋体" w:eastAsia="宋体"/>
          <w:bCs/>
          <w:sz w:val="21"/>
          <w:u w:val="single"/>
        </w:rPr>
        <w:t xml:space="preserve">           </w:t>
      </w:r>
      <w:r>
        <w:rPr>
          <w:rFonts w:hint="eastAsia" w:ascii="宋体" w:hAnsi="宋体" w:eastAsia="宋体"/>
          <w:bCs/>
          <w:sz w:val="21"/>
          <w:u w:val="single"/>
        </w:rPr>
        <w:t xml:space="preserve">  </w:t>
      </w:r>
      <w:r>
        <w:rPr>
          <w:rFonts w:ascii="宋体" w:hAnsi="宋体" w:eastAsia="宋体"/>
          <w:bCs/>
          <w:sz w:val="21"/>
          <w:u w:val="single"/>
        </w:rPr>
        <w:t xml:space="preserve">  </w:t>
      </w:r>
      <w:r>
        <w:rPr>
          <w:rFonts w:hint="eastAsia" w:ascii="宋体" w:hAnsi="宋体" w:eastAsia="宋体"/>
          <w:bCs/>
          <w:sz w:val="21"/>
          <w:u w:val="single"/>
        </w:rPr>
        <w:t xml:space="preserve">  </w:t>
      </w:r>
      <w:r>
        <w:rPr>
          <w:rFonts w:ascii="宋体" w:hAnsi="宋体" w:eastAsia="宋体"/>
          <w:bCs/>
          <w:sz w:val="21"/>
          <w:u w:val="single"/>
        </w:rPr>
        <w:t xml:space="preserve">   </w:t>
      </w:r>
      <w:r>
        <w:rPr>
          <w:rFonts w:hint="eastAsia" w:ascii="宋体" w:hAnsi="宋体" w:eastAsia="宋体"/>
          <w:bCs/>
          <w:sz w:val="21"/>
          <w:u w:val="single"/>
        </w:rPr>
        <w:t xml:space="preserve">         </w:t>
      </w:r>
    </w:p>
    <w:p w14:paraId="168E8669">
      <w:pPr>
        <w:rPr>
          <w:rFonts w:ascii="Times New Roman" w:hAnsi="Times New Roman" w:eastAsia="宋体"/>
          <w:sz w:val="21"/>
        </w:rPr>
      </w:pPr>
    </w:p>
    <w:p w14:paraId="3E8CFE40">
      <w:pPr>
        <w:sectPr>
          <w:footerReference r:id="rId9" w:type="first"/>
          <w:footnotePr>
            <w:numRestart w:val="eachPage"/>
          </w:footnotePr>
          <w:endnotePr>
            <w:numRestart w:val="eachSect"/>
          </w:endnotePr>
          <w:pgSz w:w="11907" w:h="16840"/>
          <w:pgMar w:top="1361" w:right="1588" w:bottom="1361" w:left="1588" w:header="851" w:footer="810" w:gutter="0"/>
          <w:cols w:space="720" w:num="1"/>
          <w:docGrid w:linePitch="435" w:charSpace="-6554"/>
        </w:sectPr>
      </w:pPr>
    </w:p>
    <w:p w14:paraId="020D402B">
      <w:pPr>
        <w:autoSpaceDE w:val="0"/>
        <w:autoSpaceDN w:val="0"/>
        <w:spacing w:line="360" w:lineRule="auto"/>
        <w:ind w:right="420"/>
        <w:rPr>
          <w:rFonts w:ascii="Times New Roman" w:hAnsi="Times New Roman" w:eastAsia="宋体"/>
          <w:b/>
          <w:sz w:val="32"/>
          <w:szCs w:val="32"/>
        </w:rPr>
      </w:pPr>
      <w:r>
        <w:rPr>
          <w:rFonts w:hint="eastAsia" w:ascii="_x000B__x000C_" w:hAnsi="_x000B__x000C_" w:eastAsia="黑体"/>
          <w:b/>
          <w:bCs/>
          <w:sz w:val="21"/>
          <w:szCs w:val="18"/>
        </w:rPr>
        <w:t xml:space="preserve">                      </w:t>
      </w:r>
      <w:r>
        <w:rPr>
          <w:rFonts w:hint="eastAsia" w:ascii="Times New Roman" w:hAnsi="Times New Roman" w:eastAsia="宋体"/>
          <w:b/>
          <w:sz w:val="32"/>
          <w:szCs w:val="32"/>
        </w:rPr>
        <w:t>第四部分  工程建设项目廉政责任书</w:t>
      </w:r>
    </w:p>
    <w:p w14:paraId="58424F16">
      <w:pPr>
        <w:wordWrap w:val="0"/>
        <w:autoSpaceDE w:val="0"/>
        <w:autoSpaceDN w:val="0"/>
        <w:spacing w:line="324" w:lineRule="auto"/>
        <w:ind w:firstLine="482"/>
        <w:rPr>
          <w:rFonts w:ascii="宋体" w:hAnsi="宋体" w:eastAsia="宋体"/>
          <w:sz w:val="21"/>
        </w:rPr>
      </w:pPr>
    </w:p>
    <w:p w14:paraId="3A1CAD15">
      <w:pPr>
        <w:wordWrap w:val="0"/>
        <w:autoSpaceDE w:val="0"/>
        <w:autoSpaceDN w:val="0"/>
        <w:spacing w:line="324" w:lineRule="auto"/>
        <w:ind w:firstLine="482"/>
        <w:rPr>
          <w:rFonts w:hint="eastAsia" w:ascii="宋体" w:hAnsi="宋体" w:eastAsia="宋体"/>
          <w:sz w:val="21"/>
          <w:szCs w:val="21"/>
          <w:u w:val="single"/>
          <w:lang w:eastAsia="zh-CN"/>
        </w:rPr>
      </w:pPr>
      <w:r>
        <w:rPr>
          <w:rFonts w:hint="eastAsia" w:ascii="宋体" w:hAnsi="宋体" w:eastAsia="宋体"/>
          <w:sz w:val="21"/>
        </w:rPr>
        <w:t>工程项目名称：</w:t>
      </w:r>
      <w:r>
        <w:rPr>
          <w:rFonts w:hint="eastAsia" w:ascii="宋体" w:hAnsi="宋体" w:eastAsia="宋体"/>
          <w:sz w:val="21"/>
          <w:szCs w:val="21"/>
          <w:u w:val="single"/>
          <w:lang w:eastAsia="zh-CN"/>
        </w:rPr>
        <w:t>白塔镇景园村关金生态停车场建设项目</w:t>
      </w:r>
    </w:p>
    <w:p w14:paraId="63345E92">
      <w:pPr>
        <w:wordWrap w:val="0"/>
        <w:autoSpaceDE w:val="0"/>
        <w:autoSpaceDN w:val="0"/>
        <w:spacing w:line="324" w:lineRule="auto"/>
        <w:ind w:firstLine="482"/>
        <w:rPr>
          <w:rFonts w:ascii="宋体" w:hAnsi="宋体" w:eastAsia="宋体"/>
          <w:sz w:val="21"/>
        </w:rPr>
      </w:pPr>
      <w:r>
        <w:rPr>
          <w:rFonts w:hint="eastAsia" w:ascii="宋体" w:hAnsi="宋体" w:eastAsia="宋体"/>
          <w:sz w:val="21"/>
        </w:rPr>
        <w:t>工程项目地址：</w:t>
      </w:r>
      <w:r>
        <w:rPr>
          <w:rFonts w:hint="eastAsia" w:ascii="宋体" w:hAnsi="宋体" w:eastAsia="宋体"/>
          <w:sz w:val="21"/>
          <w:u w:val="single"/>
        </w:rPr>
        <w:t xml:space="preserve">仙居县  </w:t>
      </w:r>
    </w:p>
    <w:p w14:paraId="3CA08DDC">
      <w:pPr>
        <w:wordWrap w:val="0"/>
        <w:autoSpaceDE w:val="0"/>
        <w:autoSpaceDN w:val="0"/>
        <w:spacing w:line="324" w:lineRule="auto"/>
        <w:ind w:firstLine="482"/>
        <w:rPr>
          <w:rFonts w:ascii="宋体" w:hAnsi="宋体" w:eastAsia="宋体"/>
          <w:sz w:val="21"/>
        </w:rPr>
      </w:pPr>
      <w:r>
        <w:rPr>
          <w:rFonts w:hint="eastAsia" w:ascii="宋体" w:hAnsi="宋体" w:eastAsia="宋体"/>
          <w:sz w:val="21"/>
        </w:rPr>
        <w:t>建设单位（甲方）：</w:t>
      </w:r>
      <w:r>
        <w:rPr>
          <w:rFonts w:hint="eastAsia" w:ascii="宋体" w:hAnsi="宋体" w:eastAsia="宋体"/>
          <w:sz w:val="21"/>
          <w:u w:val="single"/>
          <w:lang w:eastAsia="zh-CN"/>
        </w:rPr>
        <w:t>仙居县白塔镇人民政府</w:t>
      </w:r>
      <w:r>
        <w:rPr>
          <w:rFonts w:hint="eastAsia" w:ascii="宋体" w:hAnsi="宋体" w:eastAsia="宋体"/>
          <w:sz w:val="21"/>
          <w:u w:val="single"/>
        </w:rPr>
        <w:t xml:space="preserve"> </w:t>
      </w:r>
    </w:p>
    <w:p w14:paraId="69B1F37A">
      <w:pPr>
        <w:wordWrap w:val="0"/>
        <w:autoSpaceDE w:val="0"/>
        <w:autoSpaceDN w:val="0"/>
        <w:spacing w:line="324" w:lineRule="auto"/>
        <w:ind w:firstLine="482"/>
        <w:rPr>
          <w:rFonts w:ascii="宋体" w:hAnsi="宋体" w:eastAsia="宋体"/>
          <w:sz w:val="21"/>
        </w:rPr>
      </w:pPr>
      <w:r>
        <w:rPr>
          <w:rFonts w:hint="eastAsia" w:ascii="宋体" w:hAnsi="宋体" w:eastAsia="宋体"/>
          <w:sz w:val="21"/>
        </w:rPr>
        <w:t>施工单位（乙方）：</w:t>
      </w:r>
      <w:r>
        <w:rPr>
          <w:rFonts w:hint="eastAsia" w:ascii="宋体" w:hAnsi="宋体" w:eastAsia="宋体"/>
          <w:sz w:val="21"/>
          <w:u w:val="single"/>
        </w:rPr>
        <w:t xml:space="preserve">                            </w:t>
      </w:r>
    </w:p>
    <w:p w14:paraId="36E24F47">
      <w:pPr>
        <w:adjustRightInd w:val="0"/>
        <w:spacing w:line="360" w:lineRule="exact"/>
        <w:ind w:firstLine="210" w:firstLineChars="100"/>
        <w:rPr>
          <w:rFonts w:ascii="宋体" w:hAnsi="宋体" w:eastAsia="宋体"/>
          <w:bCs/>
          <w:sz w:val="21"/>
        </w:rPr>
      </w:pPr>
      <w:r>
        <w:rPr>
          <w:rFonts w:hint="eastAsia" w:ascii="宋体" w:hAnsi="宋体" w:eastAsia="宋体"/>
          <w:sz w:val="21"/>
        </w:rPr>
        <w:t>　</w:t>
      </w:r>
      <w:r>
        <w:rPr>
          <w:rFonts w:hint="eastAsia" w:ascii="宋体" w:hAnsi="宋体" w:eastAsia="宋体"/>
          <w:bCs/>
          <w:sz w:val="21"/>
        </w:rPr>
        <w:t>为加强工程建设中的廉政建设，规范工程建设项目承发包双方的各项活动，防止发生各种谋取不正当利益的违法违纪行为，保护国家、集体和当事人的合法权益，根据国家有关工程建设的法律法规和廉政建设责任制规定，特订立本廉政责任书。</w:t>
      </w:r>
    </w:p>
    <w:p w14:paraId="3587CFC8">
      <w:pPr>
        <w:adjustRightInd w:val="0"/>
        <w:spacing w:line="360" w:lineRule="exact"/>
        <w:ind w:firstLine="210" w:firstLineChars="100"/>
        <w:rPr>
          <w:rFonts w:ascii="宋体" w:hAnsi="宋体" w:eastAsia="宋体"/>
          <w:bCs/>
          <w:sz w:val="21"/>
        </w:rPr>
      </w:pPr>
      <w:r>
        <w:rPr>
          <w:rFonts w:hint="eastAsia" w:ascii="宋体" w:hAnsi="宋体" w:eastAsia="宋体"/>
          <w:bCs/>
          <w:sz w:val="21"/>
        </w:rPr>
        <w:t>　第一条 甲乙双方的责任</w:t>
      </w:r>
    </w:p>
    <w:p w14:paraId="478EE845">
      <w:pPr>
        <w:adjustRightInd w:val="0"/>
        <w:spacing w:line="360" w:lineRule="exact"/>
        <w:ind w:firstLine="210" w:firstLineChars="100"/>
        <w:rPr>
          <w:rFonts w:ascii="宋体" w:hAnsi="宋体" w:eastAsia="宋体"/>
          <w:bCs/>
          <w:sz w:val="21"/>
        </w:rPr>
      </w:pPr>
      <w:r>
        <w:rPr>
          <w:rFonts w:hint="eastAsia" w:ascii="宋体" w:hAnsi="宋体" w:eastAsia="宋体"/>
          <w:bCs/>
          <w:sz w:val="21"/>
        </w:rPr>
        <w:t>　　（一）应严格遵守国家关于市场准入、项目招标投标、工程建设、施工安装和市场活动等有关法律、法规，相关政策，以及廉政建设的各项规定。</w:t>
      </w:r>
    </w:p>
    <w:p w14:paraId="6A37CEA8">
      <w:pPr>
        <w:adjustRightInd w:val="0"/>
        <w:spacing w:line="360" w:lineRule="exact"/>
        <w:ind w:firstLine="210" w:firstLineChars="100"/>
        <w:rPr>
          <w:rFonts w:ascii="宋体" w:hAnsi="宋体" w:eastAsia="宋体"/>
          <w:bCs/>
          <w:sz w:val="21"/>
        </w:rPr>
      </w:pPr>
      <w:r>
        <w:rPr>
          <w:rFonts w:hint="eastAsia" w:ascii="宋体" w:hAnsi="宋体" w:eastAsia="宋体"/>
          <w:bCs/>
          <w:sz w:val="21"/>
        </w:rPr>
        <w:t>　　（二）严格执行建设工程项目承发包合同文件，自觉按合同办事。</w:t>
      </w:r>
    </w:p>
    <w:p w14:paraId="0B1C3593">
      <w:pPr>
        <w:adjustRightInd w:val="0"/>
        <w:spacing w:line="360" w:lineRule="exact"/>
        <w:ind w:firstLine="210" w:firstLineChars="100"/>
        <w:rPr>
          <w:rFonts w:ascii="宋体" w:hAnsi="宋体" w:eastAsia="宋体"/>
          <w:bCs/>
          <w:sz w:val="21"/>
        </w:rPr>
      </w:pPr>
      <w:r>
        <w:rPr>
          <w:rFonts w:hint="eastAsia" w:ascii="宋体" w:hAnsi="宋体" w:eastAsia="宋体"/>
          <w:bCs/>
          <w:sz w:val="21"/>
        </w:rPr>
        <w:t>　　（三）业务活动必须坚持公开、公平、公正、诚信、透明的原则（除法律法规另有规定者外），不得为获取不正当的利益，损害国家、集体和对方利益，不得违反工程建设管理、施工安装的规章制度。</w:t>
      </w:r>
    </w:p>
    <w:p w14:paraId="44B93B67">
      <w:pPr>
        <w:adjustRightInd w:val="0"/>
        <w:spacing w:line="360" w:lineRule="exact"/>
        <w:ind w:firstLine="210" w:firstLineChars="100"/>
        <w:rPr>
          <w:rFonts w:ascii="宋体" w:hAnsi="宋体" w:eastAsia="宋体"/>
          <w:bCs/>
          <w:sz w:val="21"/>
        </w:rPr>
      </w:pPr>
      <w:r>
        <w:rPr>
          <w:rFonts w:hint="eastAsia" w:ascii="宋体" w:hAnsi="宋体" w:eastAsia="宋体"/>
          <w:bCs/>
          <w:sz w:val="21"/>
        </w:rPr>
        <w:t>　　（四）发现对方在业务活动中有违规、违纪、违法行为的，应及时提醒对方，情节严重的，应向其上级主管部门或纪检监察、司法等有关机关举报。</w:t>
      </w:r>
    </w:p>
    <w:p w14:paraId="7953C284">
      <w:pPr>
        <w:adjustRightInd w:val="0"/>
        <w:spacing w:line="360" w:lineRule="exact"/>
        <w:ind w:firstLine="210" w:firstLineChars="100"/>
        <w:rPr>
          <w:rFonts w:ascii="宋体" w:hAnsi="宋体" w:eastAsia="宋体"/>
          <w:bCs/>
          <w:sz w:val="21"/>
        </w:rPr>
      </w:pPr>
      <w:r>
        <w:rPr>
          <w:rFonts w:hint="eastAsia" w:ascii="宋体" w:hAnsi="宋体" w:eastAsia="宋体"/>
          <w:bCs/>
          <w:sz w:val="21"/>
        </w:rPr>
        <w:t>　　第二条 甲方的责任</w:t>
      </w:r>
    </w:p>
    <w:p w14:paraId="3E9D82E0">
      <w:pPr>
        <w:adjustRightInd w:val="0"/>
        <w:spacing w:line="360" w:lineRule="exact"/>
        <w:ind w:firstLine="210" w:firstLineChars="100"/>
        <w:rPr>
          <w:rFonts w:ascii="宋体" w:hAnsi="宋体" w:eastAsia="宋体"/>
          <w:bCs/>
          <w:sz w:val="21"/>
        </w:rPr>
      </w:pPr>
      <w:r>
        <w:rPr>
          <w:rFonts w:hint="eastAsia" w:ascii="宋体" w:hAnsi="宋体" w:eastAsia="宋体"/>
          <w:bCs/>
          <w:sz w:val="21"/>
        </w:rPr>
        <w:t>　　甲方的领导和从事该建设工程项目的工作人员，在工程建设的事前、事中、事后应遵守以下规定：</w:t>
      </w:r>
    </w:p>
    <w:p w14:paraId="60013E1D">
      <w:pPr>
        <w:adjustRightInd w:val="0"/>
        <w:spacing w:line="360" w:lineRule="exact"/>
        <w:ind w:firstLine="210" w:firstLineChars="100"/>
        <w:rPr>
          <w:rFonts w:ascii="宋体" w:hAnsi="宋体" w:eastAsia="宋体"/>
          <w:bCs/>
          <w:sz w:val="21"/>
        </w:rPr>
      </w:pPr>
      <w:r>
        <w:rPr>
          <w:rFonts w:hint="eastAsia" w:ascii="宋体" w:hAnsi="宋体" w:eastAsia="宋体"/>
          <w:bCs/>
          <w:sz w:val="21"/>
        </w:rPr>
        <w:t>　　（一）不准向乙方和相关单位索要或接受回扣、礼金、有价证券、贵重物品和好处费、感谢费等。</w:t>
      </w:r>
    </w:p>
    <w:p w14:paraId="579F999A">
      <w:pPr>
        <w:adjustRightInd w:val="0"/>
        <w:spacing w:line="360" w:lineRule="exact"/>
        <w:ind w:firstLine="210" w:firstLineChars="100"/>
        <w:rPr>
          <w:rFonts w:ascii="宋体" w:hAnsi="宋体" w:eastAsia="宋体"/>
          <w:bCs/>
          <w:sz w:val="21"/>
        </w:rPr>
      </w:pPr>
      <w:r>
        <w:rPr>
          <w:rFonts w:hint="eastAsia" w:ascii="宋体" w:hAnsi="宋体" w:eastAsia="宋体"/>
          <w:bCs/>
          <w:sz w:val="21"/>
        </w:rPr>
        <w:t>　　（二）不准在乙方和相关单位报销任何应由甲方或个人支付的费用。</w:t>
      </w:r>
    </w:p>
    <w:p w14:paraId="7A1D2191">
      <w:pPr>
        <w:adjustRightInd w:val="0"/>
        <w:spacing w:line="360" w:lineRule="exact"/>
        <w:ind w:firstLine="210" w:firstLineChars="100"/>
        <w:rPr>
          <w:rFonts w:ascii="宋体" w:hAnsi="宋体" w:eastAsia="宋体"/>
          <w:bCs/>
          <w:sz w:val="21"/>
        </w:rPr>
      </w:pPr>
      <w:r>
        <w:rPr>
          <w:rFonts w:hint="eastAsia" w:ascii="宋体" w:hAnsi="宋体" w:eastAsia="宋体"/>
          <w:bCs/>
          <w:sz w:val="21"/>
        </w:rPr>
        <w:t>　　（三）不准要求、暗示和接受乙方和相关单位为个人装修住房、婚丧嫁娶、配偶子女的工作安排以及出国（境）、旅游等提供方便。</w:t>
      </w:r>
    </w:p>
    <w:p w14:paraId="5188BC04">
      <w:pPr>
        <w:adjustRightInd w:val="0"/>
        <w:spacing w:line="360" w:lineRule="exact"/>
        <w:ind w:firstLine="210" w:firstLineChars="100"/>
        <w:rPr>
          <w:rFonts w:ascii="宋体" w:hAnsi="宋体" w:eastAsia="宋体"/>
          <w:bCs/>
          <w:sz w:val="21"/>
        </w:rPr>
      </w:pPr>
      <w:r>
        <w:rPr>
          <w:rFonts w:hint="eastAsia" w:ascii="宋体" w:hAnsi="宋体" w:eastAsia="宋体"/>
          <w:bCs/>
          <w:sz w:val="21"/>
        </w:rPr>
        <w:t>　　（四）不准参加有可能影响公正执行公务的乙方和相关单位的宴请和健身、娱乐等活动。</w:t>
      </w:r>
    </w:p>
    <w:p w14:paraId="7942F542">
      <w:pPr>
        <w:adjustRightInd w:val="0"/>
        <w:spacing w:line="360" w:lineRule="exact"/>
        <w:ind w:firstLine="210" w:firstLineChars="100"/>
        <w:rPr>
          <w:rFonts w:ascii="宋体" w:hAnsi="宋体" w:eastAsia="宋体"/>
          <w:bCs/>
          <w:sz w:val="21"/>
        </w:rPr>
      </w:pPr>
      <w:r>
        <w:rPr>
          <w:rFonts w:hint="eastAsia" w:ascii="宋体" w:hAnsi="宋体" w:eastAsia="宋体"/>
          <w:bCs/>
          <w:sz w:val="21"/>
        </w:rPr>
        <w:t>　　（五）不准向乙方介绍或为配偶、子女、亲属参与同甲方项目工程施工合同有关的设备、材料、工程分包、劳务等经济活动。不得以任何理由向乙方和相关单位推荐分包单位和要求乙方购买项目工程施工合同规定以外的材料、设备等。</w:t>
      </w:r>
    </w:p>
    <w:p w14:paraId="4F38F18E">
      <w:pPr>
        <w:adjustRightInd w:val="0"/>
        <w:spacing w:line="360" w:lineRule="exact"/>
        <w:ind w:firstLine="210" w:firstLineChars="100"/>
        <w:rPr>
          <w:rFonts w:ascii="宋体" w:hAnsi="宋体" w:eastAsia="宋体"/>
          <w:bCs/>
          <w:sz w:val="21"/>
        </w:rPr>
      </w:pPr>
      <w:r>
        <w:rPr>
          <w:rFonts w:hint="eastAsia" w:ascii="宋体" w:hAnsi="宋体" w:eastAsia="宋体"/>
          <w:bCs/>
          <w:sz w:val="21"/>
        </w:rPr>
        <w:t>　　第三条 乙方的责任</w:t>
      </w:r>
    </w:p>
    <w:p w14:paraId="45B64E36">
      <w:pPr>
        <w:adjustRightInd w:val="0"/>
        <w:spacing w:line="360" w:lineRule="exact"/>
        <w:ind w:firstLine="210" w:firstLineChars="100"/>
        <w:rPr>
          <w:rFonts w:ascii="宋体" w:hAnsi="宋体" w:eastAsia="宋体"/>
          <w:bCs/>
          <w:sz w:val="21"/>
        </w:rPr>
      </w:pPr>
      <w:r>
        <w:rPr>
          <w:rFonts w:hint="eastAsia" w:ascii="宋体" w:hAnsi="宋体" w:eastAsia="宋体"/>
          <w:bCs/>
          <w:sz w:val="21"/>
        </w:rPr>
        <w:t>　　应与甲方保持正常的业务交往，按照有关法律法规和程序开展业务工作，严格执行工程建设的有关方针、政策，尤其是有关建筑施工安装的强制性标准和规范，并遵守以下规定：</w:t>
      </w:r>
    </w:p>
    <w:p w14:paraId="1D9C0D5A">
      <w:pPr>
        <w:adjustRightInd w:val="0"/>
        <w:spacing w:line="360" w:lineRule="exact"/>
        <w:ind w:firstLine="210" w:firstLineChars="100"/>
        <w:rPr>
          <w:rFonts w:ascii="宋体" w:hAnsi="宋体" w:eastAsia="宋体"/>
          <w:bCs/>
          <w:sz w:val="21"/>
        </w:rPr>
      </w:pPr>
      <w:r>
        <w:rPr>
          <w:rFonts w:hint="eastAsia" w:ascii="宋体" w:hAnsi="宋体" w:eastAsia="宋体"/>
          <w:bCs/>
          <w:sz w:val="21"/>
        </w:rPr>
        <w:t>　　（一）不准以任何理由向甲方、相关单位及其工作人员索要、接受或赠送礼金、有价证券、贵重物品和回扣、好处费、感谢费等。</w:t>
      </w:r>
    </w:p>
    <w:p w14:paraId="56560092">
      <w:pPr>
        <w:adjustRightInd w:val="0"/>
        <w:spacing w:line="360" w:lineRule="exact"/>
        <w:ind w:firstLine="210" w:firstLineChars="100"/>
        <w:rPr>
          <w:rFonts w:ascii="宋体" w:hAnsi="宋体" w:eastAsia="宋体"/>
          <w:bCs/>
          <w:sz w:val="21"/>
        </w:rPr>
      </w:pPr>
      <w:r>
        <w:rPr>
          <w:rFonts w:hint="eastAsia" w:ascii="宋体" w:hAnsi="宋体" w:eastAsia="宋体"/>
          <w:bCs/>
          <w:sz w:val="21"/>
        </w:rPr>
        <w:t>　　（二）不准以任何理由为甲方和相关单位报销应由对方或个人支付的费用。</w:t>
      </w:r>
    </w:p>
    <w:p w14:paraId="7094E439">
      <w:pPr>
        <w:adjustRightInd w:val="0"/>
        <w:spacing w:line="360" w:lineRule="exact"/>
        <w:ind w:firstLine="210" w:firstLineChars="100"/>
        <w:rPr>
          <w:rFonts w:ascii="宋体" w:hAnsi="宋体" w:eastAsia="宋体"/>
          <w:bCs/>
          <w:sz w:val="21"/>
        </w:rPr>
      </w:pPr>
      <w:r>
        <w:rPr>
          <w:rFonts w:hint="eastAsia" w:ascii="宋体" w:hAnsi="宋体" w:eastAsia="宋体"/>
          <w:bCs/>
          <w:sz w:val="21"/>
        </w:rPr>
        <w:t>　　（三）不准接受或暗示为甲方、相关单位或个人装修住房、婚丧嫁娶、配偶子女的工作安排以及出国（境）、旅游等提供方便。</w:t>
      </w:r>
    </w:p>
    <w:p w14:paraId="715252EE">
      <w:pPr>
        <w:adjustRightInd w:val="0"/>
        <w:spacing w:line="360" w:lineRule="exact"/>
        <w:ind w:firstLine="210" w:firstLineChars="100"/>
        <w:rPr>
          <w:rFonts w:ascii="宋体" w:hAnsi="宋体" w:eastAsia="宋体"/>
          <w:bCs/>
          <w:sz w:val="21"/>
        </w:rPr>
      </w:pPr>
      <w:r>
        <w:rPr>
          <w:rFonts w:hint="eastAsia" w:ascii="宋体" w:hAnsi="宋体" w:eastAsia="宋体"/>
          <w:bCs/>
          <w:sz w:val="21"/>
        </w:rPr>
        <w:t>　　（四）不准以任何理由为甲方、相关单位或个人组织有可能影响公正执行公务的宴请、健身、娱乐等活动。</w:t>
      </w:r>
    </w:p>
    <w:p w14:paraId="2823DA2C">
      <w:pPr>
        <w:adjustRightInd w:val="0"/>
        <w:spacing w:line="360" w:lineRule="exact"/>
        <w:ind w:firstLine="210" w:firstLineChars="100"/>
        <w:rPr>
          <w:rFonts w:ascii="宋体" w:hAnsi="宋体" w:eastAsia="宋体"/>
          <w:bCs/>
          <w:sz w:val="21"/>
        </w:rPr>
      </w:pPr>
      <w:r>
        <w:rPr>
          <w:rFonts w:hint="eastAsia" w:ascii="宋体" w:hAnsi="宋体" w:eastAsia="宋体"/>
          <w:bCs/>
          <w:sz w:val="21"/>
        </w:rPr>
        <w:t>　　第四条 违约责任</w:t>
      </w:r>
    </w:p>
    <w:p w14:paraId="3D663E01">
      <w:pPr>
        <w:adjustRightInd w:val="0"/>
        <w:spacing w:line="360" w:lineRule="exact"/>
        <w:ind w:firstLine="210" w:firstLineChars="100"/>
        <w:rPr>
          <w:rFonts w:ascii="宋体" w:hAnsi="宋体" w:eastAsia="宋体"/>
          <w:bCs/>
          <w:sz w:val="21"/>
        </w:rPr>
      </w:pPr>
      <w:r>
        <w:rPr>
          <w:rFonts w:hint="eastAsia" w:ascii="宋体" w:hAnsi="宋体" w:eastAsia="宋体"/>
          <w:bCs/>
          <w:sz w:val="21"/>
        </w:rPr>
        <w:t>　　（一）甲方工作人员有违反本责任书第一、二条责任行为的，按照管理权限，依据有关法律法规和规定给予党纪、政纪处分或组织处理；涉嫌犯罪的，移交司法机关追究刑事责任；给乙方单位造成经济损失的，应予以赔偿。</w:t>
      </w:r>
    </w:p>
    <w:p w14:paraId="0C8215A9">
      <w:pPr>
        <w:adjustRightInd w:val="0"/>
        <w:spacing w:line="360" w:lineRule="exact"/>
        <w:ind w:firstLine="210" w:firstLineChars="100"/>
        <w:rPr>
          <w:rFonts w:ascii="宋体" w:hAnsi="宋体" w:eastAsia="宋体"/>
          <w:bCs/>
          <w:sz w:val="21"/>
        </w:rPr>
      </w:pPr>
      <w:r>
        <w:rPr>
          <w:rFonts w:hint="eastAsia" w:ascii="宋体" w:hAnsi="宋体" w:eastAsia="宋体"/>
          <w:bCs/>
          <w:sz w:val="21"/>
        </w:rPr>
        <w:t>　　（二）乙方工作人员有违反本责任书第一、三条责任行为的，按照管理权限，依据有关法律法规和规定给予党纪、政纪处分或组织处理；涉嫌犯罪的，移交司法机关追究刑事责任；给甲方单位造成经济损失的，应予以赔偿。</w:t>
      </w:r>
    </w:p>
    <w:p w14:paraId="05A97C48">
      <w:pPr>
        <w:adjustRightInd w:val="0"/>
        <w:spacing w:line="360" w:lineRule="exact"/>
        <w:ind w:firstLine="210" w:firstLineChars="100"/>
        <w:rPr>
          <w:rFonts w:ascii="宋体" w:hAnsi="宋体" w:eastAsia="宋体"/>
          <w:bCs/>
          <w:sz w:val="21"/>
        </w:rPr>
      </w:pPr>
      <w:r>
        <w:rPr>
          <w:rFonts w:hint="eastAsia" w:ascii="宋体" w:hAnsi="宋体" w:eastAsia="宋体"/>
          <w:bCs/>
          <w:sz w:val="21"/>
        </w:rPr>
        <w:t>　　第五条 本责任书作为工程施工合同的附件，与工程施工合同具有同等法律效力。经双方签署后立即生效。</w:t>
      </w:r>
    </w:p>
    <w:p w14:paraId="50008654">
      <w:pPr>
        <w:adjustRightInd w:val="0"/>
        <w:spacing w:line="360" w:lineRule="exact"/>
        <w:ind w:firstLine="210" w:firstLineChars="100"/>
        <w:rPr>
          <w:rFonts w:ascii="宋体" w:hAnsi="宋体" w:eastAsia="宋体"/>
          <w:bCs/>
          <w:sz w:val="21"/>
        </w:rPr>
      </w:pPr>
      <w:r>
        <w:rPr>
          <w:rFonts w:hint="eastAsia" w:ascii="宋体" w:hAnsi="宋体" w:eastAsia="宋体"/>
          <w:bCs/>
          <w:sz w:val="21"/>
        </w:rPr>
        <w:t>　　第六条 本责任书的有效期为双方签署之日起至该工程项目竣工验收合格时止。</w:t>
      </w:r>
    </w:p>
    <w:p w14:paraId="67411639">
      <w:pPr>
        <w:adjustRightInd w:val="0"/>
        <w:spacing w:line="360" w:lineRule="exact"/>
        <w:ind w:firstLine="210" w:firstLineChars="100"/>
        <w:rPr>
          <w:rFonts w:ascii="宋体" w:hAnsi="宋体" w:eastAsia="宋体"/>
          <w:sz w:val="21"/>
        </w:rPr>
      </w:pPr>
      <w:r>
        <w:rPr>
          <w:rFonts w:hint="eastAsia" w:ascii="宋体" w:hAnsi="宋体" w:eastAsia="宋体"/>
          <w:bCs/>
          <w:sz w:val="21"/>
        </w:rPr>
        <w:t>　　第七条 本责任书一式四份，由甲乙双方各执一份，送交甲乙双方的监督单位各一份。</w:t>
      </w:r>
    </w:p>
    <w:p w14:paraId="14CCD867">
      <w:pPr>
        <w:wordWrap w:val="0"/>
        <w:autoSpaceDE w:val="0"/>
        <w:autoSpaceDN w:val="0"/>
        <w:spacing w:line="324" w:lineRule="auto"/>
        <w:ind w:firstLine="482"/>
        <w:rPr>
          <w:rFonts w:ascii="宋体" w:hAnsi="宋体" w:eastAsia="宋体"/>
          <w:sz w:val="21"/>
        </w:rPr>
      </w:pPr>
    </w:p>
    <w:p w14:paraId="2BC0B7D9">
      <w:pPr>
        <w:wordWrap w:val="0"/>
        <w:autoSpaceDE w:val="0"/>
        <w:autoSpaceDN w:val="0"/>
        <w:spacing w:line="324" w:lineRule="auto"/>
        <w:ind w:firstLine="482"/>
        <w:rPr>
          <w:rFonts w:ascii="宋体" w:hAnsi="宋体" w:eastAsia="宋体"/>
          <w:sz w:val="21"/>
        </w:rPr>
      </w:pPr>
    </w:p>
    <w:p w14:paraId="596FEF05">
      <w:pPr>
        <w:wordWrap w:val="0"/>
        <w:autoSpaceDE w:val="0"/>
        <w:autoSpaceDN w:val="0"/>
        <w:spacing w:line="360" w:lineRule="auto"/>
        <w:ind w:firstLine="482"/>
        <w:rPr>
          <w:rFonts w:ascii="宋体" w:hAnsi="宋体" w:eastAsia="宋体"/>
          <w:sz w:val="21"/>
        </w:rPr>
      </w:pPr>
      <w:r>
        <w:rPr>
          <w:rFonts w:hint="eastAsia" w:ascii="宋体" w:hAnsi="宋体" w:eastAsia="宋体"/>
          <w:sz w:val="21"/>
        </w:rPr>
        <w:t>甲方单位：（盖章）　　　　　　　　                　　　乙方单位：（盖章）</w:t>
      </w:r>
    </w:p>
    <w:p w14:paraId="31051F1F">
      <w:pPr>
        <w:wordWrap w:val="0"/>
        <w:autoSpaceDE w:val="0"/>
        <w:autoSpaceDN w:val="0"/>
        <w:spacing w:line="360" w:lineRule="auto"/>
        <w:ind w:firstLine="482"/>
        <w:rPr>
          <w:rFonts w:ascii="宋体" w:hAnsi="宋体" w:eastAsia="宋体"/>
          <w:sz w:val="21"/>
        </w:rPr>
      </w:pPr>
      <w:r>
        <w:rPr>
          <w:rFonts w:hint="eastAsia" w:ascii="宋体" w:hAnsi="宋体" w:eastAsia="宋体"/>
          <w:sz w:val="21"/>
        </w:rPr>
        <w:t>法定代表人：　　　　　　　　　               　　　　　法定代表人：</w:t>
      </w:r>
    </w:p>
    <w:p w14:paraId="0AC74FBE">
      <w:pPr>
        <w:wordWrap w:val="0"/>
        <w:autoSpaceDE w:val="0"/>
        <w:autoSpaceDN w:val="0"/>
        <w:spacing w:line="360" w:lineRule="auto"/>
        <w:ind w:firstLine="482"/>
        <w:rPr>
          <w:rFonts w:ascii="宋体" w:hAnsi="宋体" w:eastAsia="宋体"/>
          <w:sz w:val="21"/>
        </w:rPr>
      </w:pPr>
      <w:r>
        <w:rPr>
          <w:rFonts w:hint="eastAsia" w:ascii="宋体" w:hAnsi="宋体" w:eastAsia="宋体"/>
          <w:sz w:val="21"/>
        </w:rPr>
        <w:t>地址：　　　　　　　　　　　　　               　　　　地址：</w:t>
      </w:r>
    </w:p>
    <w:p w14:paraId="0C1F5E5F">
      <w:pPr>
        <w:wordWrap w:val="0"/>
        <w:autoSpaceDE w:val="0"/>
        <w:autoSpaceDN w:val="0"/>
        <w:spacing w:line="360" w:lineRule="auto"/>
        <w:ind w:firstLine="482"/>
        <w:rPr>
          <w:rFonts w:ascii="宋体" w:hAnsi="宋体" w:eastAsia="宋体"/>
          <w:sz w:val="21"/>
        </w:rPr>
      </w:pPr>
      <w:r>
        <w:rPr>
          <w:rFonts w:hint="eastAsia" w:ascii="宋体" w:hAnsi="宋体" w:eastAsia="宋体"/>
          <w:sz w:val="21"/>
        </w:rPr>
        <w:t>电话：　　　　　　　　　　　　　　　               　　电话：</w:t>
      </w:r>
    </w:p>
    <w:p w14:paraId="131D8142">
      <w:pPr>
        <w:wordWrap w:val="0"/>
        <w:autoSpaceDE w:val="0"/>
        <w:autoSpaceDN w:val="0"/>
        <w:spacing w:line="360" w:lineRule="auto"/>
        <w:ind w:firstLine="1425" w:firstLineChars="679"/>
        <w:rPr>
          <w:rFonts w:ascii="宋体" w:hAnsi="宋体" w:eastAsia="宋体"/>
          <w:sz w:val="21"/>
        </w:rPr>
      </w:pPr>
      <w:r>
        <w:rPr>
          <w:rFonts w:hint="eastAsia" w:ascii="宋体" w:hAnsi="宋体" w:eastAsia="宋体"/>
          <w:sz w:val="21"/>
        </w:rPr>
        <w:t>年　月　日　　　　　　　　　　　　　               　　年　月　日</w:t>
      </w:r>
    </w:p>
    <w:p w14:paraId="363B8789">
      <w:pPr>
        <w:wordWrap w:val="0"/>
        <w:autoSpaceDE w:val="0"/>
        <w:autoSpaceDN w:val="0"/>
        <w:spacing w:line="360" w:lineRule="auto"/>
        <w:ind w:firstLine="482"/>
        <w:rPr>
          <w:rFonts w:ascii="宋体" w:hAnsi="宋体" w:eastAsia="宋体"/>
          <w:sz w:val="21"/>
        </w:rPr>
      </w:pPr>
      <w:r>
        <w:rPr>
          <w:rFonts w:hint="eastAsia" w:ascii="宋体" w:hAnsi="宋体" w:eastAsia="宋体"/>
          <w:sz w:val="21"/>
        </w:rPr>
        <w:t>甲方监督单位（盖章）　　　　　　　　　               　乙方监督单位（盖章）</w:t>
      </w:r>
    </w:p>
    <w:p w14:paraId="427CFB3F">
      <w:pPr>
        <w:autoSpaceDE w:val="0"/>
        <w:autoSpaceDN w:val="0"/>
        <w:spacing w:line="360" w:lineRule="exact"/>
        <w:ind w:firstLine="1425" w:firstLineChars="679"/>
        <w:rPr>
          <w:rFonts w:ascii="宋体" w:hAnsi="宋体" w:eastAsia="宋体"/>
          <w:sz w:val="21"/>
        </w:rPr>
      </w:pPr>
      <w:r>
        <w:rPr>
          <w:rFonts w:hint="eastAsia" w:ascii="宋体" w:hAnsi="宋体" w:eastAsia="宋体"/>
          <w:sz w:val="21"/>
        </w:rPr>
        <w:t>年　月　日　　　　　　　　　　　　　　               　年　月　日</w:t>
      </w:r>
    </w:p>
    <w:p w14:paraId="3FF54C9F">
      <w:pPr>
        <w:autoSpaceDE w:val="0"/>
        <w:autoSpaceDN w:val="0"/>
        <w:spacing w:line="360" w:lineRule="exact"/>
        <w:ind w:firstLine="482"/>
        <w:jc w:val="right"/>
        <w:rPr>
          <w:rFonts w:ascii="宋体" w:hAnsi="宋体" w:eastAsia="宋体"/>
          <w:sz w:val="21"/>
        </w:rPr>
      </w:pPr>
    </w:p>
    <w:p w14:paraId="32997E01">
      <w:pPr>
        <w:autoSpaceDE w:val="0"/>
        <w:autoSpaceDN w:val="0"/>
        <w:spacing w:line="360" w:lineRule="exact"/>
        <w:ind w:firstLine="482"/>
        <w:jc w:val="right"/>
        <w:rPr>
          <w:rFonts w:ascii="宋体" w:hAnsi="宋体" w:eastAsia="宋体"/>
          <w:sz w:val="21"/>
        </w:rPr>
      </w:pPr>
    </w:p>
    <w:p w14:paraId="7B8A0618">
      <w:pPr>
        <w:autoSpaceDE w:val="0"/>
        <w:autoSpaceDN w:val="0"/>
        <w:spacing w:line="360" w:lineRule="exact"/>
        <w:ind w:firstLine="482"/>
        <w:jc w:val="right"/>
        <w:rPr>
          <w:rFonts w:ascii="宋体" w:hAnsi="宋体" w:eastAsia="宋体"/>
          <w:sz w:val="21"/>
        </w:rPr>
      </w:pPr>
    </w:p>
    <w:p w14:paraId="5CFD1265">
      <w:pPr>
        <w:autoSpaceDE w:val="0"/>
        <w:autoSpaceDN w:val="0"/>
        <w:spacing w:line="360" w:lineRule="exact"/>
        <w:ind w:firstLine="482"/>
        <w:jc w:val="right"/>
        <w:rPr>
          <w:rFonts w:ascii="宋体" w:hAnsi="宋体" w:eastAsia="宋体"/>
          <w:sz w:val="21"/>
        </w:rPr>
      </w:pPr>
    </w:p>
    <w:p w14:paraId="4B786DE7">
      <w:pPr>
        <w:wordWrap w:val="0"/>
        <w:autoSpaceDE w:val="0"/>
        <w:autoSpaceDN w:val="0"/>
        <w:spacing w:line="360" w:lineRule="exact"/>
        <w:ind w:firstLine="482"/>
        <w:jc w:val="right"/>
        <w:rPr>
          <w:rFonts w:ascii="宋体" w:hAnsi="宋体" w:eastAsia="宋体"/>
          <w:sz w:val="21"/>
        </w:rPr>
      </w:pPr>
    </w:p>
    <w:p w14:paraId="20F37066">
      <w:pPr>
        <w:autoSpaceDE w:val="0"/>
        <w:autoSpaceDN w:val="0"/>
        <w:spacing w:line="360" w:lineRule="exact"/>
        <w:ind w:firstLine="482"/>
        <w:jc w:val="right"/>
        <w:rPr>
          <w:rFonts w:ascii="宋体" w:hAnsi="宋体" w:eastAsia="宋体"/>
          <w:sz w:val="21"/>
        </w:rPr>
      </w:pPr>
    </w:p>
    <w:p w14:paraId="738F49BF">
      <w:pPr>
        <w:autoSpaceDE w:val="0"/>
        <w:autoSpaceDN w:val="0"/>
        <w:spacing w:line="360" w:lineRule="exact"/>
        <w:ind w:firstLine="482"/>
        <w:jc w:val="right"/>
        <w:rPr>
          <w:rFonts w:ascii="宋体" w:hAnsi="宋体" w:eastAsia="宋体"/>
          <w:sz w:val="21"/>
        </w:rPr>
      </w:pPr>
    </w:p>
    <w:p w14:paraId="1F627117">
      <w:pPr>
        <w:autoSpaceDE w:val="0"/>
        <w:autoSpaceDN w:val="0"/>
        <w:spacing w:line="360" w:lineRule="exact"/>
        <w:ind w:firstLine="482"/>
        <w:jc w:val="right"/>
        <w:rPr>
          <w:rFonts w:ascii="宋体" w:hAnsi="宋体" w:eastAsia="宋体"/>
          <w:sz w:val="21"/>
        </w:rPr>
      </w:pPr>
    </w:p>
    <w:p w14:paraId="54B0EB07">
      <w:pPr>
        <w:autoSpaceDE w:val="0"/>
        <w:autoSpaceDN w:val="0"/>
        <w:spacing w:line="360" w:lineRule="exact"/>
        <w:ind w:firstLine="482"/>
        <w:jc w:val="right"/>
        <w:rPr>
          <w:rFonts w:ascii="宋体" w:hAnsi="宋体" w:eastAsia="宋体"/>
          <w:sz w:val="21"/>
        </w:rPr>
      </w:pPr>
    </w:p>
    <w:p w14:paraId="503E2E61">
      <w:pPr>
        <w:autoSpaceDE w:val="0"/>
        <w:autoSpaceDN w:val="0"/>
        <w:spacing w:line="360" w:lineRule="exact"/>
        <w:ind w:firstLine="482"/>
        <w:jc w:val="right"/>
        <w:rPr>
          <w:rFonts w:ascii="宋体" w:hAnsi="宋体" w:eastAsia="宋体"/>
          <w:sz w:val="21"/>
        </w:rPr>
      </w:pPr>
    </w:p>
    <w:p w14:paraId="6EF590B8">
      <w:pPr>
        <w:autoSpaceDE w:val="0"/>
        <w:autoSpaceDN w:val="0"/>
        <w:spacing w:line="360" w:lineRule="exact"/>
        <w:ind w:firstLine="482"/>
        <w:jc w:val="right"/>
        <w:rPr>
          <w:rFonts w:ascii="宋体" w:hAnsi="宋体" w:eastAsia="宋体"/>
          <w:sz w:val="21"/>
        </w:rPr>
      </w:pPr>
    </w:p>
    <w:p w14:paraId="73912A41">
      <w:pPr>
        <w:pStyle w:val="19"/>
      </w:pPr>
    </w:p>
    <w:p w14:paraId="4499E077">
      <w:pPr>
        <w:autoSpaceDE w:val="0"/>
        <w:autoSpaceDN w:val="0"/>
        <w:spacing w:line="360" w:lineRule="exact"/>
        <w:ind w:firstLine="482"/>
        <w:jc w:val="right"/>
        <w:rPr>
          <w:rFonts w:ascii="宋体" w:hAnsi="宋体" w:eastAsia="宋体"/>
          <w:sz w:val="21"/>
        </w:rPr>
      </w:pPr>
    </w:p>
    <w:p w14:paraId="0022766C">
      <w:pPr>
        <w:pStyle w:val="8"/>
        <w:ind w:firstLine="210"/>
        <w:rPr>
          <w:rFonts w:ascii="宋体" w:hAnsi="宋体" w:eastAsia="宋体"/>
        </w:rPr>
      </w:pPr>
    </w:p>
    <w:p w14:paraId="50A975A9">
      <w:pPr>
        <w:pStyle w:val="9"/>
      </w:pPr>
    </w:p>
    <w:p w14:paraId="56645A75">
      <w:pPr>
        <w:autoSpaceDE w:val="0"/>
        <w:autoSpaceDN w:val="0"/>
        <w:spacing w:line="360" w:lineRule="auto"/>
        <w:ind w:right="420"/>
        <w:jc w:val="left"/>
        <w:rPr>
          <w:rFonts w:ascii="Times New Roman" w:hAnsi="Times New Roman" w:eastAsia="宋体"/>
          <w:b/>
          <w:sz w:val="21"/>
          <w:szCs w:val="32"/>
        </w:rPr>
      </w:pPr>
    </w:p>
    <w:p w14:paraId="03702A28">
      <w:pPr>
        <w:widowControl/>
        <w:jc w:val="left"/>
        <w:rPr>
          <w:rFonts w:ascii="Times New Roman" w:hAnsi="Times New Roman" w:eastAsia="宋体"/>
          <w:b/>
          <w:sz w:val="21"/>
          <w:szCs w:val="32"/>
        </w:rPr>
      </w:pPr>
      <w:r>
        <w:rPr>
          <w:rFonts w:ascii="Times New Roman" w:hAnsi="Times New Roman" w:eastAsia="宋体"/>
          <w:b/>
          <w:sz w:val="21"/>
          <w:szCs w:val="32"/>
        </w:rPr>
        <w:br w:type="page"/>
      </w:r>
    </w:p>
    <w:p w14:paraId="4184E3F1">
      <w:pPr>
        <w:autoSpaceDE w:val="0"/>
        <w:autoSpaceDN w:val="0"/>
        <w:spacing w:line="360" w:lineRule="auto"/>
        <w:ind w:right="420"/>
        <w:jc w:val="left"/>
        <w:rPr>
          <w:rFonts w:ascii="Times New Roman" w:hAnsi="Times New Roman" w:eastAsia="宋体"/>
          <w:b/>
          <w:sz w:val="21"/>
          <w:szCs w:val="32"/>
        </w:rPr>
      </w:pPr>
      <w:r>
        <w:rPr>
          <w:rFonts w:hint="eastAsia" w:ascii="Times New Roman" w:hAnsi="Times New Roman" w:eastAsia="宋体"/>
          <w:b/>
          <w:sz w:val="21"/>
          <w:szCs w:val="32"/>
        </w:rPr>
        <w:t>附件</w:t>
      </w:r>
      <w:r>
        <w:rPr>
          <w:rFonts w:ascii="Times New Roman" w:hAnsi="Times New Roman" w:eastAsia="宋体"/>
          <w:b/>
          <w:sz w:val="21"/>
          <w:szCs w:val="32"/>
        </w:rPr>
        <w:t>12</w:t>
      </w:r>
      <w:r>
        <w:rPr>
          <w:rFonts w:hint="eastAsia" w:ascii="Times New Roman" w:hAnsi="Times New Roman" w:eastAsia="宋体"/>
          <w:b/>
          <w:sz w:val="21"/>
          <w:szCs w:val="32"/>
        </w:rPr>
        <w:t>：</w:t>
      </w:r>
      <w:r>
        <w:rPr>
          <w:rFonts w:ascii="Times New Roman" w:hAnsi="Times New Roman" w:eastAsia="宋体"/>
          <w:b/>
          <w:sz w:val="21"/>
          <w:szCs w:val="32"/>
        </w:rPr>
        <w:t xml:space="preserve">                 </w:t>
      </w:r>
    </w:p>
    <w:p w14:paraId="526F0689">
      <w:pPr>
        <w:autoSpaceDE w:val="0"/>
        <w:autoSpaceDN w:val="0"/>
        <w:spacing w:line="360" w:lineRule="auto"/>
        <w:ind w:right="420"/>
        <w:jc w:val="center"/>
        <w:rPr>
          <w:rFonts w:ascii="Times New Roman" w:hAnsi="Times New Roman" w:eastAsia="宋体"/>
          <w:b/>
          <w:sz w:val="21"/>
          <w:szCs w:val="32"/>
        </w:rPr>
      </w:pPr>
      <w:r>
        <w:rPr>
          <w:rFonts w:hint="eastAsia" w:ascii="Times New Roman" w:hAnsi="Times New Roman" w:eastAsia="宋体"/>
          <w:b/>
          <w:sz w:val="21"/>
          <w:szCs w:val="32"/>
        </w:rPr>
        <w:t>建筑工程农民工工资专用账户资金托管协议</w:t>
      </w:r>
    </w:p>
    <w:p w14:paraId="263EADBC">
      <w:pPr>
        <w:spacing w:line="400" w:lineRule="exact"/>
        <w:jc w:val="left"/>
        <w:rPr>
          <w:rFonts w:ascii="宋体" w:hAnsi="宋体" w:eastAsia="宋体" w:cs="宋体"/>
          <w:b/>
          <w:bCs/>
          <w:sz w:val="21"/>
          <w:szCs w:val="21"/>
        </w:rPr>
      </w:pPr>
      <w:r>
        <w:rPr>
          <w:rFonts w:hint="eastAsia" w:ascii="宋体" w:hAnsi="宋体" w:eastAsia="宋体" w:cs="宋体"/>
          <w:b/>
          <w:bCs/>
          <w:sz w:val="21"/>
          <w:szCs w:val="21"/>
        </w:rPr>
        <w:t>甲方（建设单位）：</w:t>
      </w:r>
    </w:p>
    <w:p w14:paraId="3584E315">
      <w:pPr>
        <w:spacing w:line="400" w:lineRule="exact"/>
        <w:jc w:val="left"/>
        <w:rPr>
          <w:rFonts w:ascii="宋体" w:hAnsi="宋体" w:eastAsia="宋体" w:cs="宋体"/>
          <w:b/>
          <w:bCs/>
          <w:sz w:val="21"/>
          <w:szCs w:val="21"/>
        </w:rPr>
      </w:pPr>
      <w:r>
        <w:rPr>
          <w:rFonts w:hint="eastAsia" w:ascii="宋体" w:hAnsi="宋体" w:eastAsia="宋体" w:cs="宋体"/>
          <w:b/>
          <w:bCs/>
          <w:sz w:val="21"/>
          <w:szCs w:val="21"/>
        </w:rPr>
        <w:t>乙方（施工单位）：</w:t>
      </w:r>
    </w:p>
    <w:p w14:paraId="0EC6FFDE">
      <w:pPr>
        <w:spacing w:line="400" w:lineRule="exact"/>
        <w:jc w:val="left"/>
        <w:rPr>
          <w:rFonts w:ascii="宋体" w:hAnsi="宋体" w:eastAsia="宋体" w:cs="宋体"/>
          <w:b/>
          <w:bCs/>
          <w:sz w:val="21"/>
          <w:szCs w:val="21"/>
        </w:rPr>
      </w:pPr>
      <w:r>
        <w:rPr>
          <w:rFonts w:hint="eastAsia" w:ascii="宋体" w:hAnsi="宋体" w:eastAsia="宋体" w:cs="宋体"/>
          <w:b/>
          <w:bCs/>
          <w:sz w:val="21"/>
          <w:szCs w:val="21"/>
        </w:rPr>
        <w:t>丙方（银行）：</w:t>
      </w:r>
    </w:p>
    <w:p w14:paraId="254CA905">
      <w:pPr>
        <w:adjustRightInd w:val="0"/>
        <w:spacing w:line="400" w:lineRule="exact"/>
        <w:ind w:firstLine="420" w:firstLineChars="200"/>
        <w:rPr>
          <w:rFonts w:ascii="宋体" w:hAnsi="宋体" w:eastAsia="宋体"/>
          <w:bCs/>
          <w:sz w:val="21"/>
        </w:rPr>
      </w:pPr>
      <w:r>
        <w:rPr>
          <w:rFonts w:hint="eastAsia" w:ascii="宋体" w:hAnsi="宋体" w:eastAsia="宋体"/>
          <w:bCs/>
          <w:sz w:val="21"/>
        </w:rPr>
        <w:t>根据《浙江省企业工资支付管理办法》，为保证建筑工程农民工工资专用账户（以下简称专户）资金专款专用及农民工工资按月支付，甲、乙双方委托丙方为本项目专户资金监管人，为项目专户资金提供管理，并按照本协议约定履行相关信息披露等服务，甲、乙、丙三方经友好协商，达成以下协议，并共同遵守。</w:t>
      </w:r>
    </w:p>
    <w:p w14:paraId="2195AADF">
      <w:pPr>
        <w:adjustRightInd w:val="0"/>
        <w:spacing w:line="400" w:lineRule="exact"/>
        <w:ind w:firstLine="420" w:firstLineChars="200"/>
        <w:jc w:val="center"/>
        <w:rPr>
          <w:rFonts w:ascii="宋体" w:hAnsi="宋体" w:eastAsia="宋体"/>
          <w:bCs/>
          <w:sz w:val="21"/>
        </w:rPr>
      </w:pPr>
      <w:r>
        <w:rPr>
          <w:rFonts w:hint="eastAsia" w:ascii="宋体" w:hAnsi="宋体" w:eastAsia="宋体"/>
          <w:bCs/>
          <w:sz w:val="21"/>
        </w:rPr>
        <w:t>第一章 专户设立及管理</w:t>
      </w:r>
    </w:p>
    <w:p w14:paraId="7A6B0D36">
      <w:pPr>
        <w:adjustRightInd w:val="0"/>
        <w:spacing w:line="400" w:lineRule="exact"/>
        <w:ind w:firstLine="420" w:firstLineChars="200"/>
        <w:rPr>
          <w:rFonts w:ascii="宋体" w:hAnsi="宋体" w:eastAsia="宋体"/>
          <w:bCs/>
          <w:sz w:val="21"/>
        </w:rPr>
      </w:pPr>
      <w:r>
        <w:rPr>
          <w:rFonts w:hint="eastAsia" w:ascii="宋体" w:hAnsi="宋体" w:eastAsia="宋体"/>
          <w:bCs/>
          <w:sz w:val="21"/>
        </w:rPr>
        <w:t>第一条 专户的设立</w:t>
      </w:r>
    </w:p>
    <w:p w14:paraId="2AE9E789">
      <w:pPr>
        <w:adjustRightInd w:val="0"/>
        <w:spacing w:line="400" w:lineRule="exact"/>
        <w:ind w:firstLine="420" w:firstLineChars="200"/>
        <w:rPr>
          <w:rFonts w:ascii="宋体" w:hAnsi="宋体" w:eastAsia="宋体"/>
          <w:bCs/>
          <w:sz w:val="21"/>
        </w:rPr>
      </w:pPr>
      <w:r>
        <w:rPr>
          <w:rFonts w:hint="eastAsia" w:ascii="宋体" w:hAnsi="宋体" w:eastAsia="宋体"/>
          <w:bCs/>
          <w:sz w:val="21"/>
        </w:rPr>
        <w:t>乙方须在丙方处设立××建筑公司××项目农民工工资   专户，用于××项目工程农民工工资的发放，不得擅自动用专户资金。</w:t>
      </w:r>
    </w:p>
    <w:p w14:paraId="1DBB3D69">
      <w:pPr>
        <w:adjustRightInd w:val="0"/>
        <w:spacing w:line="400" w:lineRule="exact"/>
        <w:ind w:firstLine="420" w:firstLineChars="200"/>
        <w:rPr>
          <w:rFonts w:ascii="宋体" w:hAnsi="宋体" w:eastAsia="宋体"/>
          <w:bCs/>
          <w:sz w:val="21"/>
        </w:rPr>
      </w:pPr>
      <w:r>
        <w:rPr>
          <w:rFonts w:hint="eastAsia" w:ascii="宋体" w:hAnsi="宋体" w:eastAsia="宋体"/>
          <w:bCs/>
          <w:sz w:val="21"/>
        </w:rPr>
        <w:t>第二条 专户的管理</w:t>
      </w:r>
    </w:p>
    <w:p w14:paraId="3D591FDC">
      <w:pPr>
        <w:adjustRightInd w:val="0"/>
        <w:spacing w:line="400" w:lineRule="exact"/>
        <w:ind w:firstLine="420" w:firstLineChars="200"/>
        <w:rPr>
          <w:rFonts w:ascii="宋体" w:hAnsi="宋体" w:eastAsia="宋体"/>
          <w:bCs/>
          <w:sz w:val="21"/>
        </w:rPr>
      </w:pPr>
      <w:r>
        <w:rPr>
          <w:rFonts w:hint="eastAsia" w:ascii="宋体" w:hAnsi="宋体" w:eastAsia="宋体"/>
          <w:bCs/>
          <w:sz w:val="21"/>
        </w:rPr>
        <w:t>工程建设期间，丙方负责对专户进行管理。丙方需根据本协议约定的条件办理资金支付。</w:t>
      </w:r>
    </w:p>
    <w:p w14:paraId="0B0C028B">
      <w:pPr>
        <w:adjustRightInd w:val="0"/>
        <w:spacing w:line="400" w:lineRule="exact"/>
        <w:ind w:firstLine="420" w:firstLineChars="200"/>
        <w:jc w:val="center"/>
        <w:rPr>
          <w:rFonts w:ascii="宋体" w:hAnsi="宋体" w:eastAsia="宋体"/>
          <w:bCs/>
          <w:sz w:val="21"/>
        </w:rPr>
      </w:pPr>
      <w:r>
        <w:rPr>
          <w:rFonts w:hint="eastAsia" w:ascii="宋体" w:hAnsi="宋体" w:eastAsia="宋体"/>
          <w:bCs/>
          <w:sz w:val="21"/>
        </w:rPr>
        <w:t>第二章 托管职责、期限</w:t>
      </w:r>
    </w:p>
    <w:p w14:paraId="28CFC4AC">
      <w:pPr>
        <w:adjustRightInd w:val="0"/>
        <w:spacing w:line="400" w:lineRule="exact"/>
        <w:ind w:firstLine="420" w:firstLineChars="200"/>
        <w:rPr>
          <w:rFonts w:ascii="宋体" w:hAnsi="宋体" w:eastAsia="宋体"/>
          <w:bCs/>
          <w:sz w:val="21"/>
        </w:rPr>
      </w:pPr>
      <w:r>
        <w:rPr>
          <w:rFonts w:hint="eastAsia" w:ascii="宋体" w:hAnsi="宋体" w:eastAsia="宋体"/>
          <w:bCs/>
          <w:sz w:val="21"/>
        </w:rPr>
        <w:t>第三条 丙方作为受托银行，应履行以下职责：</w:t>
      </w:r>
    </w:p>
    <w:p w14:paraId="64AE15B8">
      <w:pPr>
        <w:adjustRightInd w:val="0"/>
        <w:spacing w:line="400" w:lineRule="exact"/>
        <w:ind w:firstLine="420" w:firstLineChars="200"/>
        <w:rPr>
          <w:rFonts w:ascii="宋体" w:hAnsi="宋体" w:eastAsia="宋体"/>
          <w:bCs/>
          <w:sz w:val="21"/>
        </w:rPr>
      </w:pPr>
      <w:r>
        <w:rPr>
          <w:rFonts w:hint="eastAsia" w:ascii="宋体" w:hAnsi="宋体" w:eastAsia="宋体"/>
          <w:bCs/>
          <w:sz w:val="21"/>
        </w:rPr>
        <w:t>（一）设立专户，保管托管资金，确保资金安全。</w:t>
      </w:r>
    </w:p>
    <w:p w14:paraId="2D9312B8">
      <w:pPr>
        <w:adjustRightInd w:val="0"/>
        <w:spacing w:line="400" w:lineRule="exact"/>
        <w:ind w:firstLine="420" w:firstLineChars="200"/>
        <w:rPr>
          <w:rFonts w:ascii="宋体" w:hAnsi="宋体" w:eastAsia="宋体"/>
          <w:bCs/>
          <w:sz w:val="21"/>
        </w:rPr>
      </w:pPr>
      <w:r>
        <w:rPr>
          <w:rFonts w:hint="eastAsia" w:ascii="宋体" w:hAnsi="宋体" w:eastAsia="宋体"/>
          <w:bCs/>
          <w:sz w:val="21"/>
        </w:rPr>
        <w:t>（二）专户首笔由甲方划入的工资性工程预付款（额度为工资性工程款的1%），在该工程主体结构封顶验收合格后抵扣一半，剩余部分在工程竣工验收合格备案后从工程款中抵扣。</w:t>
      </w:r>
    </w:p>
    <w:p w14:paraId="4747C694">
      <w:pPr>
        <w:adjustRightInd w:val="0"/>
        <w:spacing w:line="400" w:lineRule="exact"/>
        <w:ind w:firstLine="420" w:firstLineChars="200"/>
        <w:rPr>
          <w:rFonts w:ascii="宋体" w:hAnsi="宋体" w:eastAsia="宋体"/>
          <w:bCs/>
          <w:sz w:val="21"/>
        </w:rPr>
      </w:pPr>
      <w:r>
        <w:rPr>
          <w:rFonts w:hint="eastAsia" w:ascii="宋体" w:hAnsi="宋体" w:eastAsia="宋体"/>
          <w:bCs/>
          <w:sz w:val="21"/>
        </w:rPr>
        <w:t>（三）及时向甲方、乙方披露受托资金的相关信息，每月12日前向甲、乙双方提供受托资金流向信息。</w:t>
      </w:r>
    </w:p>
    <w:p w14:paraId="736A4973">
      <w:pPr>
        <w:adjustRightInd w:val="0"/>
        <w:spacing w:line="400" w:lineRule="exact"/>
        <w:ind w:firstLine="420" w:firstLineChars="200"/>
        <w:rPr>
          <w:rFonts w:ascii="宋体" w:hAnsi="宋体" w:eastAsia="宋体"/>
          <w:bCs/>
          <w:sz w:val="21"/>
        </w:rPr>
      </w:pPr>
      <w:r>
        <w:rPr>
          <w:rFonts w:hint="eastAsia" w:ascii="宋体" w:hAnsi="宋体" w:eastAsia="宋体"/>
          <w:bCs/>
          <w:sz w:val="21"/>
        </w:rPr>
        <w:t>第四条 协议期限</w:t>
      </w:r>
    </w:p>
    <w:p w14:paraId="2DAF610C">
      <w:pPr>
        <w:adjustRightInd w:val="0"/>
        <w:spacing w:line="400" w:lineRule="exact"/>
        <w:ind w:firstLine="420" w:firstLineChars="200"/>
        <w:rPr>
          <w:rFonts w:ascii="宋体" w:hAnsi="宋体" w:eastAsia="宋体"/>
          <w:bCs/>
          <w:sz w:val="21"/>
        </w:rPr>
      </w:pPr>
      <w:r>
        <w:rPr>
          <w:rFonts w:hint="eastAsia" w:ascii="宋体" w:hAnsi="宋体" w:eastAsia="宋体"/>
          <w:bCs/>
          <w:sz w:val="21"/>
        </w:rPr>
        <w:t>丙方对专户内资金履行监督职责的期限自资金划入受托监管账户之日起至收到甲方、乙方开具的并经建设主管部门同意的“关于撤销   工程农民工工资专用账户的函”为止。</w:t>
      </w:r>
    </w:p>
    <w:p w14:paraId="397F4331">
      <w:pPr>
        <w:adjustRightInd w:val="0"/>
        <w:spacing w:line="400" w:lineRule="exact"/>
        <w:ind w:firstLine="420" w:firstLineChars="200"/>
        <w:jc w:val="center"/>
        <w:rPr>
          <w:rFonts w:ascii="宋体" w:hAnsi="宋体" w:eastAsia="宋体"/>
          <w:bCs/>
          <w:sz w:val="21"/>
        </w:rPr>
      </w:pPr>
      <w:r>
        <w:rPr>
          <w:rFonts w:hint="eastAsia" w:ascii="宋体" w:hAnsi="宋体" w:eastAsia="宋体"/>
          <w:bCs/>
          <w:sz w:val="21"/>
        </w:rPr>
        <w:t>第三章 资金托管应提供的资料</w:t>
      </w:r>
    </w:p>
    <w:p w14:paraId="217BECF8">
      <w:pPr>
        <w:adjustRightInd w:val="0"/>
        <w:spacing w:line="400" w:lineRule="exact"/>
        <w:ind w:firstLine="420" w:firstLineChars="200"/>
        <w:rPr>
          <w:rFonts w:ascii="宋体" w:hAnsi="宋体" w:eastAsia="宋体"/>
          <w:bCs/>
          <w:sz w:val="21"/>
        </w:rPr>
      </w:pPr>
      <w:r>
        <w:rPr>
          <w:rFonts w:hint="eastAsia" w:ascii="宋体" w:hAnsi="宋体" w:eastAsia="宋体"/>
          <w:bCs/>
          <w:sz w:val="21"/>
        </w:rPr>
        <w:t>第五条 乙方须向丙方提供《建筑业企业劳务用工劳动合同》和经监理单位、建设单位审核确定的每月农民工工资清单审核表。</w:t>
      </w:r>
    </w:p>
    <w:p w14:paraId="00BA5F9A">
      <w:pPr>
        <w:adjustRightInd w:val="0"/>
        <w:spacing w:line="400" w:lineRule="exact"/>
        <w:ind w:firstLine="420" w:firstLineChars="200"/>
        <w:jc w:val="center"/>
        <w:rPr>
          <w:rFonts w:ascii="宋体" w:hAnsi="宋体" w:eastAsia="宋体"/>
          <w:bCs/>
          <w:sz w:val="21"/>
        </w:rPr>
      </w:pPr>
      <w:r>
        <w:rPr>
          <w:rFonts w:hint="eastAsia" w:ascii="宋体" w:hAnsi="宋体" w:eastAsia="宋体"/>
          <w:bCs/>
          <w:sz w:val="21"/>
        </w:rPr>
        <w:t>第四章 托管资金收付</w:t>
      </w:r>
    </w:p>
    <w:p w14:paraId="4EAFCA29">
      <w:pPr>
        <w:adjustRightInd w:val="0"/>
        <w:spacing w:line="400" w:lineRule="exact"/>
        <w:ind w:firstLine="420" w:firstLineChars="200"/>
        <w:rPr>
          <w:rFonts w:ascii="宋体" w:hAnsi="宋体" w:eastAsia="宋体"/>
          <w:bCs/>
          <w:sz w:val="21"/>
        </w:rPr>
      </w:pPr>
      <w:r>
        <w:rPr>
          <w:rFonts w:hint="eastAsia" w:ascii="宋体" w:hAnsi="宋体" w:eastAsia="宋体"/>
          <w:bCs/>
          <w:sz w:val="21"/>
        </w:rPr>
        <w:t>第六条 受托资金存入</w:t>
      </w:r>
    </w:p>
    <w:p w14:paraId="5DFD1862">
      <w:pPr>
        <w:adjustRightInd w:val="0"/>
        <w:spacing w:line="400" w:lineRule="exact"/>
        <w:ind w:firstLine="420" w:firstLineChars="200"/>
        <w:rPr>
          <w:rFonts w:ascii="宋体" w:hAnsi="宋体" w:eastAsia="宋体"/>
          <w:bCs/>
          <w:sz w:val="21"/>
        </w:rPr>
      </w:pPr>
      <w:r>
        <w:rPr>
          <w:rFonts w:hint="eastAsia" w:ascii="宋体" w:hAnsi="宋体" w:eastAsia="宋体"/>
          <w:bCs/>
          <w:sz w:val="21"/>
        </w:rPr>
        <w:t>根据施工合同约定，甲方每月将工资性工程进度款划入约定的托管账户，丙方确认资金到账后对账户资金履行管理职责。</w:t>
      </w:r>
    </w:p>
    <w:p w14:paraId="1BD16FBC">
      <w:pPr>
        <w:adjustRightInd w:val="0"/>
        <w:spacing w:line="400" w:lineRule="exact"/>
        <w:ind w:firstLine="420" w:firstLineChars="200"/>
        <w:rPr>
          <w:rFonts w:ascii="宋体" w:hAnsi="宋体" w:eastAsia="宋体"/>
          <w:bCs/>
          <w:sz w:val="21"/>
        </w:rPr>
      </w:pPr>
      <w:r>
        <w:rPr>
          <w:rFonts w:hint="eastAsia" w:ascii="宋体" w:hAnsi="宋体" w:eastAsia="宋体"/>
          <w:bCs/>
          <w:sz w:val="21"/>
        </w:rPr>
        <w:t>第七条 受托资金拨付</w:t>
      </w:r>
    </w:p>
    <w:p w14:paraId="3D021EAA">
      <w:pPr>
        <w:adjustRightInd w:val="0"/>
        <w:spacing w:line="400" w:lineRule="exact"/>
        <w:ind w:firstLine="420" w:firstLineChars="200"/>
        <w:rPr>
          <w:rFonts w:ascii="宋体" w:hAnsi="宋体" w:eastAsia="宋体"/>
          <w:bCs/>
          <w:sz w:val="21"/>
        </w:rPr>
      </w:pPr>
      <w:r>
        <w:rPr>
          <w:rFonts w:hint="eastAsia" w:ascii="宋体" w:hAnsi="宋体" w:eastAsia="宋体"/>
          <w:bCs/>
          <w:sz w:val="21"/>
        </w:rPr>
        <w:t>乙方委托丙方代发农民工工资，代发的农民工个人银行卡申请资料由乙方提供，其真实性由乙方负责。每月月底前，乙方负责将监理单位审核并经建设单位确认后的农民工工资清单报丙方，由丙方从专户（在工资性工程进度款拨付累计额度内）直接划拨至农民工个人银行卡上。工资清单的真实性及准确性由乙方负责。</w:t>
      </w:r>
    </w:p>
    <w:p w14:paraId="1F069C54">
      <w:pPr>
        <w:adjustRightInd w:val="0"/>
        <w:spacing w:line="400" w:lineRule="exact"/>
        <w:ind w:firstLine="420" w:firstLineChars="200"/>
        <w:rPr>
          <w:rFonts w:ascii="宋体" w:hAnsi="宋体" w:eastAsia="宋体"/>
          <w:bCs/>
          <w:sz w:val="21"/>
        </w:rPr>
      </w:pPr>
      <w:r>
        <w:rPr>
          <w:rFonts w:hint="eastAsia" w:ascii="宋体" w:hAnsi="宋体" w:eastAsia="宋体"/>
          <w:bCs/>
          <w:sz w:val="21"/>
        </w:rPr>
        <w:t>第八条农民工工资监管</w:t>
      </w:r>
    </w:p>
    <w:p w14:paraId="78AE7485">
      <w:pPr>
        <w:adjustRightInd w:val="0"/>
        <w:spacing w:line="400" w:lineRule="exact"/>
        <w:ind w:firstLine="420" w:firstLineChars="200"/>
        <w:rPr>
          <w:rFonts w:ascii="宋体" w:hAnsi="宋体" w:eastAsia="宋体"/>
          <w:bCs/>
          <w:sz w:val="21"/>
        </w:rPr>
      </w:pPr>
      <w:r>
        <w:rPr>
          <w:rFonts w:hint="eastAsia" w:ascii="宋体" w:hAnsi="宋体" w:eastAsia="宋体"/>
          <w:bCs/>
          <w:sz w:val="21"/>
        </w:rPr>
        <w:t>专户资金不得挪作他用，一旦发生乙方拖欠农民工工资的情况，经工程所在地劳动监察部门核实并出具相关证明，丙方可直接从“农民工工资专用账户”余额（工资性工程预付款）中划拨款项，用于支付所欠农民工工资。同时乙方不超过10个工作日内补足该部分工资款。</w:t>
      </w:r>
    </w:p>
    <w:p w14:paraId="5ED1030B">
      <w:pPr>
        <w:adjustRightInd w:val="0"/>
        <w:spacing w:line="400" w:lineRule="exact"/>
        <w:ind w:firstLine="420" w:firstLineChars="200"/>
        <w:jc w:val="center"/>
        <w:rPr>
          <w:rFonts w:ascii="宋体" w:hAnsi="宋体" w:eastAsia="宋体"/>
          <w:bCs/>
          <w:sz w:val="21"/>
        </w:rPr>
      </w:pPr>
      <w:r>
        <w:rPr>
          <w:rFonts w:hint="eastAsia" w:ascii="宋体" w:hAnsi="宋体" w:eastAsia="宋体"/>
          <w:bCs/>
          <w:sz w:val="21"/>
        </w:rPr>
        <w:t>第五章 协议生效与终止</w:t>
      </w:r>
    </w:p>
    <w:p w14:paraId="5D61BC27">
      <w:pPr>
        <w:adjustRightInd w:val="0"/>
        <w:spacing w:line="400" w:lineRule="exact"/>
        <w:ind w:firstLine="420" w:firstLineChars="200"/>
        <w:rPr>
          <w:rFonts w:ascii="宋体" w:hAnsi="宋体" w:eastAsia="宋体"/>
          <w:bCs/>
          <w:sz w:val="21"/>
        </w:rPr>
      </w:pPr>
      <w:r>
        <w:rPr>
          <w:rFonts w:hint="eastAsia" w:ascii="宋体" w:hAnsi="宋体" w:eastAsia="宋体"/>
          <w:bCs/>
          <w:sz w:val="21"/>
        </w:rPr>
        <w:t>第九条本协议经甲、乙、丙三方法定代表人或其委托人签字并加盖法人公章之日起生效。丙方收到甲方、乙方开具的并经建设主管部门同意的“关于撤销   工程农民工工资专用账户的函”为止，该协议终止。</w:t>
      </w:r>
    </w:p>
    <w:p w14:paraId="43B5A493">
      <w:pPr>
        <w:adjustRightInd w:val="0"/>
        <w:spacing w:line="400" w:lineRule="exact"/>
        <w:ind w:firstLine="420" w:firstLineChars="200"/>
        <w:jc w:val="center"/>
        <w:rPr>
          <w:rFonts w:ascii="宋体" w:hAnsi="宋体" w:eastAsia="宋体"/>
          <w:bCs/>
          <w:sz w:val="21"/>
        </w:rPr>
      </w:pPr>
      <w:r>
        <w:rPr>
          <w:rFonts w:hint="eastAsia" w:ascii="宋体" w:hAnsi="宋体" w:eastAsia="宋体"/>
          <w:bCs/>
          <w:sz w:val="21"/>
        </w:rPr>
        <w:t>第六章 违约责任和免责条件</w:t>
      </w:r>
    </w:p>
    <w:p w14:paraId="6732D68D">
      <w:pPr>
        <w:adjustRightInd w:val="0"/>
        <w:spacing w:line="400" w:lineRule="exact"/>
        <w:ind w:firstLine="420" w:firstLineChars="200"/>
        <w:rPr>
          <w:rFonts w:ascii="宋体" w:hAnsi="宋体" w:eastAsia="宋体"/>
          <w:bCs/>
          <w:sz w:val="21"/>
        </w:rPr>
      </w:pPr>
      <w:r>
        <w:rPr>
          <w:rFonts w:hint="eastAsia" w:ascii="宋体" w:hAnsi="宋体" w:eastAsia="宋体"/>
          <w:bCs/>
          <w:sz w:val="21"/>
        </w:rPr>
        <w:t>第十条 在工程建设过程中，甲方未及时拨付工资性工程款，乙方提供虚假资料挪用、套用资金的，按《浙江省企业工资支付管理办法》等相关规定追究责任。</w:t>
      </w:r>
    </w:p>
    <w:p w14:paraId="4FFF1239">
      <w:pPr>
        <w:adjustRightInd w:val="0"/>
        <w:spacing w:line="400" w:lineRule="exact"/>
        <w:ind w:firstLine="420" w:firstLineChars="200"/>
        <w:rPr>
          <w:rFonts w:ascii="宋体" w:hAnsi="宋体" w:eastAsia="宋体"/>
          <w:bCs/>
          <w:sz w:val="21"/>
        </w:rPr>
      </w:pPr>
      <w:r>
        <w:rPr>
          <w:rFonts w:hint="eastAsia" w:ascii="宋体" w:hAnsi="宋体" w:eastAsia="宋体"/>
          <w:bCs/>
          <w:sz w:val="21"/>
        </w:rPr>
        <w:t>第十一条 丙方未按照合同约定的支付条件办理资金支付而形成的直接损失，丙方应承担赔偿责任。专户出现被国家有权机关冻结、扣划的，丙方不承担责任。</w:t>
      </w:r>
    </w:p>
    <w:p w14:paraId="3C79567B">
      <w:pPr>
        <w:adjustRightInd w:val="0"/>
        <w:spacing w:line="400" w:lineRule="exact"/>
        <w:ind w:firstLine="420" w:firstLineChars="200"/>
        <w:rPr>
          <w:rFonts w:ascii="宋体" w:hAnsi="宋体" w:eastAsia="宋体"/>
          <w:bCs/>
          <w:sz w:val="21"/>
        </w:rPr>
      </w:pPr>
      <w:r>
        <w:rPr>
          <w:rFonts w:hint="eastAsia" w:ascii="宋体" w:hAnsi="宋体" w:eastAsia="宋体"/>
          <w:bCs/>
          <w:sz w:val="21"/>
        </w:rPr>
        <w:t>第十二条 如果本协议任何一方因不可抗力不能履行本协议的，可根据不可抗力的影响，部分或全部免除该方的责任。任何一方遭到不可抗力时，应及时通知其他方，并在合理期限内提供不可抗力影响的证明，采取适当措施防止其他方损失的扩大和保护资金的完整。</w:t>
      </w:r>
    </w:p>
    <w:p w14:paraId="31CC3EAF">
      <w:pPr>
        <w:adjustRightInd w:val="0"/>
        <w:spacing w:line="400" w:lineRule="exact"/>
        <w:ind w:firstLine="420" w:firstLineChars="200"/>
        <w:jc w:val="center"/>
        <w:rPr>
          <w:rFonts w:ascii="宋体" w:hAnsi="宋体" w:eastAsia="宋体"/>
          <w:bCs/>
          <w:sz w:val="21"/>
        </w:rPr>
      </w:pPr>
      <w:r>
        <w:rPr>
          <w:rFonts w:hint="eastAsia" w:ascii="宋体" w:hAnsi="宋体" w:eastAsia="宋体"/>
          <w:bCs/>
          <w:sz w:val="21"/>
        </w:rPr>
        <w:t>第七章 其他</w:t>
      </w:r>
    </w:p>
    <w:p w14:paraId="05E1F5FA">
      <w:pPr>
        <w:adjustRightInd w:val="0"/>
        <w:spacing w:line="400" w:lineRule="exact"/>
        <w:ind w:firstLine="420" w:firstLineChars="200"/>
        <w:rPr>
          <w:rFonts w:ascii="宋体" w:hAnsi="宋体" w:eastAsia="宋体"/>
          <w:bCs/>
          <w:sz w:val="21"/>
        </w:rPr>
      </w:pPr>
      <w:r>
        <w:rPr>
          <w:rFonts w:hint="eastAsia" w:ascii="宋体" w:hAnsi="宋体" w:eastAsia="宋体"/>
          <w:bCs/>
          <w:sz w:val="21"/>
        </w:rPr>
        <w:t>第十三条 除法律、法规规定，以及因本工程专户资金托管业务的需要和三方特别约定外，未经三方同意，协议任何一方不得向外提供涉及甲、乙、丙方商业秘密的资料。</w:t>
      </w:r>
    </w:p>
    <w:p w14:paraId="20707B7A">
      <w:pPr>
        <w:adjustRightInd w:val="0"/>
        <w:spacing w:line="400" w:lineRule="exact"/>
        <w:ind w:firstLine="420" w:firstLineChars="200"/>
        <w:rPr>
          <w:rFonts w:ascii="宋体" w:hAnsi="宋体" w:eastAsia="宋体"/>
          <w:bCs/>
          <w:sz w:val="21"/>
        </w:rPr>
      </w:pPr>
      <w:r>
        <w:rPr>
          <w:rFonts w:hint="eastAsia" w:ascii="宋体" w:hAnsi="宋体" w:eastAsia="宋体"/>
          <w:bCs/>
          <w:sz w:val="21"/>
        </w:rPr>
        <w:t>第十四条 协议的变更。本协议生效后，甲、乙、丙三方中任何一方需要变更协议条款时，应经三方协商一致，并签订补充协议，补充协议与本协议具有同等法律效力。</w:t>
      </w:r>
    </w:p>
    <w:p w14:paraId="3724D3E4">
      <w:pPr>
        <w:adjustRightInd w:val="0"/>
        <w:spacing w:line="400" w:lineRule="exact"/>
        <w:ind w:firstLine="420" w:firstLineChars="200"/>
        <w:rPr>
          <w:rFonts w:ascii="宋体" w:hAnsi="宋体" w:eastAsia="宋体"/>
          <w:bCs/>
          <w:sz w:val="21"/>
        </w:rPr>
      </w:pPr>
      <w:r>
        <w:rPr>
          <w:rFonts w:hint="eastAsia" w:ascii="宋体" w:hAnsi="宋体" w:eastAsia="宋体"/>
          <w:bCs/>
          <w:sz w:val="21"/>
        </w:rPr>
        <w:t>第十五条 本协议一式六份，甲方、乙方、丙方各执贰份，每份具有同等法律效力。</w:t>
      </w:r>
    </w:p>
    <w:p w14:paraId="57181793">
      <w:pPr>
        <w:adjustRightInd w:val="0"/>
        <w:spacing w:line="400" w:lineRule="exact"/>
        <w:ind w:firstLine="420" w:firstLineChars="200"/>
        <w:rPr>
          <w:rFonts w:ascii="宋体" w:hAnsi="宋体" w:eastAsia="宋体"/>
          <w:bCs/>
          <w:sz w:val="21"/>
        </w:rPr>
      </w:pPr>
      <w:r>
        <w:rPr>
          <w:rFonts w:hint="eastAsia" w:ascii="宋体" w:hAnsi="宋体" w:eastAsia="宋体"/>
          <w:bCs/>
          <w:sz w:val="21"/>
        </w:rPr>
        <w:t>甲方（签章）：               法定代表人（签字）：</w:t>
      </w:r>
    </w:p>
    <w:p w14:paraId="0FEFC197">
      <w:pPr>
        <w:adjustRightInd w:val="0"/>
        <w:spacing w:line="400" w:lineRule="exact"/>
        <w:ind w:firstLine="420" w:firstLineChars="200"/>
        <w:rPr>
          <w:rFonts w:ascii="宋体" w:hAnsi="宋体" w:eastAsia="宋体"/>
          <w:bCs/>
          <w:sz w:val="21"/>
        </w:rPr>
      </w:pPr>
      <w:r>
        <w:rPr>
          <w:rFonts w:hint="eastAsia" w:ascii="宋体" w:hAnsi="宋体" w:eastAsia="宋体"/>
          <w:bCs/>
          <w:sz w:val="21"/>
        </w:rPr>
        <w:t>签订日期：   年  月  日</w:t>
      </w:r>
    </w:p>
    <w:p w14:paraId="10BEF096">
      <w:pPr>
        <w:adjustRightInd w:val="0"/>
        <w:spacing w:line="400" w:lineRule="exact"/>
        <w:ind w:firstLine="420" w:firstLineChars="200"/>
        <w:rPr>
          <w:rFonts w:ascii="宋体" w:hAnsi="宋体" w:eastAsia="宋体"/>
          <w:bCs/>
          <w:sz w:val="21"/>
        </w:rPr>
      </w:pPr>
      <w:r>
        <w:rPr>
          <w:rFonts w:hint="eastAsia" w:ascii="宋体" w:hAnsi="宋体" w:eastAsia="宋体"/>
          <w:bCs/>
          <w:sz w:val="21"/>
        </w:rPr>
        <w:t>乙方（签章）：               法定代表人（签字）：</w:t>
      </w:r>
    </w:p>
    <w:p w14:paraId="4A432ACC">
      <w:pPr>
        <w:adjustRightInd w:val="0"/>
        <w:spacing w:line="400" w:lineRule="exact"/>
        <w:ind w:firstLine="420" w:firstLineChars="200"/>
        <w:rPr>
          <w:rFonts w:ascii="宋体" w:hAnsi="宋体" w:eastAsia="宋体"/>
          <w:bCs/>
          <w:sz w:val="21"/>
        </w:rPr>
      </w:pPr>
      <w:r>
        <w:rPr>
          <w:rFonts w:hint="eastAsia" w:ascii="宋体" w:hAnsi="宋体" w:eastAsia="宋体"/>
          <w:bCs/>
          <w:sz w:val="21"/>
        </w:rPr>
        <w:t>签字日期：   年  月  日</w:t>
      </w:r>
    </w:p>
    <w:p w14:paraId="511BE54D">
      <w:pPr>
        <w:adjustRightInd w:val="0"/>
        <w:spacing w:line="400" w:lineRule="exact"/>
        <w:ind w:firstLine="420" w:firstLineChars="200"/>
        <w:rPr>
          <w:rFonts w:ascii="宋体" w:hAnsi="宋体" w:eastAsia="宋体"/>
          <w:bCs/>
          <w:sz w:val="21"/>
        </w:rPr>
      </w:pPr>
      <w:r>
        <w:rPr>
          <w:rFonts w:hint="eastAsia" w:ascii="宋体" w:hAnsi="宋体" w:eastAsia="宋体"/>
          <w:bCs/>
          <w:sz w:val="21"/>
        </w:rPr>
        <w:t>丙方（签章）：               法定代表人（签字）：</w:t>
      </w:r>
    </w:p>
    <w:p w14:paraId="1A0177AC">
      <w:pPr>
        <w:adjustRightInd w:val="0"/>
        <w:spacing w:line="400" w:lineRule="exact"/>
        <w:ind w:firstLine="420" w:firstLineChars="200"/>
        <w:jc w:val="right"/>
        <w:rPr>
          <w:rFonts w:ascii="宋体" w:hAnsi="宋体" w:eastAsia="宋体"/>
          <w:bCs/>
          <w:sz w:val="21"/>
        </w:rPr>
      </w:pPr>
      <w:r>
        <w:rPr>
          <w:rFonts w:hint="eastAsia" w:ascii="宋体" w:hAnsi="宋体" w:eastAsia="宋体"/>
          <w:bCs/>
          <w:sz w:val="21"/>
        </w:rPr>
        <w:t>签字日期：   年  月  日</w:t>
      </w:r>
    </w:p>
    <w:p w14:paraId="03817F48">
      <w:pPr>
        <w:adjustRightInd w:val="0"/>
        <w:spacing w:line="400" w:lineRule="exact"/>
        <w:ind w:firstLine="420" w:firstLineChars="200"/>
        <w:jc w:val="right"/>
        <w:rPr>
          <w:rFonts w:ascii="宋体" w:hAnsi="宋体" w:eastAsia="宋体"/>
          <w:bCs/>
          <w:sz w:val="21"/>
        </w:rPr>
      </w:pPr>
    </w:p>
    <w:p w14:paraId="3980D4A1">
      <w:pPr>
        <w:adjustRightInd w:val="0"/>
        <w:spacing w:line="400" w:lineRule="exact"/>
        <w:ind w:firstLine="420" w:firstLineChars="200"/>
        <w:jc w:val="right"/>
        <w:rPr>
          <w:rFonts w:ascii="宋体" w:hAnsi="宋体" w:eastAsia="宋体"/>
          <w:bCs/>
          <w:sz w:val="21"/>
        </w:rPr>
      </w:pPr>
    </w:p>
    <w:p w14:paraId="76F24037">
      <w:pPr>
        <w:adjustRightInd w:val="0"/>
        <w:spacing w:line="400" w:lineRule="exact"/>
        <w:ind w:firstLine="420" w:firstLineChars="200"/>
        <w:jc w:val="right"/>
        <w:rPr>
          <w:rFonts w:ascii="宋体" w:hAnsi="宋体" w:eastAsia="宋体"/>
          <w:bCs/>
          <w:sz w:val="21"/>
        </w:rPr>
      </w:pPr>
    </w:p>
    <w:p w14:paraId="0EEDB6B4">
      <w:pPr>
        <w:ind w:firstLine="420" w:firstLineChars="200"/>
        <w:rPr>
          <w:rFonts w:ascii="宋体" w:hAnsi="宋体" w:eastAsia="宋体" w:cs="宋体"/>
          <w:b/>
          <w:bCs/>
          <w:sz w:val="30"/>
          <w:szCs w:val="30"/>
        </w:rPr>
      </w:pPr>
      <w:r>
        <w:rPr>
          <w:rFonts w:hint="eastAsia" w:ascii="宋体" w:hAnsi="宋体" w:eastAsia="宋体"/>
          <w:bCs/>
          <w:sz w:val="21"/>
        </w:rPr>
        <w:t>注：在工程项目签订合同前，到我县行政区域内的商业银行设立“农民工工资支付专用账户”（以下简称“专户”），并与建设单位、开户银行签订《建筑工程农民工工资专用账户资金托管协议》。</w:t>
      </w:r>
    </w:p>
    <w:p w14:paraId="7952578D"/>
    <w:p w14:paraId="28E9893C">
      <w:pPr>
        <w:spacing w:line="400" w:lineRule="exact"/>
        <w:ind w:firstLine="2711" w:firstLineChars="900"/>
        <w:rPr>
          <w:rFonts w:ascii="宋体" w:hAnsi="宋体" w:eastAsia="宋体" w:cs="宋体"/>
          <w:b/>
          <w:bCs/>
          <w:sz w:val="30"/>
          <w:szCs w:val="30"/>
        </w:rPr>
      </w:pPr>
      <w:r>
        <w:rPr>
          <w:rFonts w:hint="eastAsia" w:ascii="宋体" w:hAnsi="宋体" w:eastAsia="宋体" w:cs="宋体"/>
          <w:b/>
          <w:bCs/>
          <w:sz w:val="30"/>
          <w:szCs w:val="30"/>
        </w:rPr>
        <w:t>第六部分　谈判响应文件格式</w:t>
      </w:r>
    </w:p>
    <w:bookmarkEnd w:id="42"/>
    <w:bookmarkEnd w:id="43"/>
    <w:p w14:paraId="113F0996">
      <w:pPr>
        <w:pStyle w:val="10"/>
        <w:adjustRightInd w:val="0"/>
        <w:snapToGrid w:val="0"/>
        <w:spacing w:before="120" w:after="120"/>
        <w:rPr>
          <w:rFonts w:hAnsi="宋体" w:eastAsia="宋体" w:cs="宋体"/>
          <w:b/>
          <w:bCs/>
          <w:sz w:val="24"/>
          <w:szCs w:val="24"/>
        </w:rPr>
      </w:pPr>
      <w:bookmarkStart w:id="511" w:name="_Toc240724400"/>
      <w:bookmarkStart w:id="512" w:name="_Toc295986635"/>
      <w:bookmarkStart w:id="513" w:name="_Toc199314545"/>
      <w:bookmarkStart w:id="514" w:name="_Toc194223719"/>
      <w:bookmarkStart w:id="515" w:name="_Toc205087913"/>
      <w:bookmarkStart w:id="516" w:name="_Toc199314553"/>
      <w:bookmarkStart w:id="517" w:name="_Toc205087903"/>
    </w:p>
    <w:p w14:paraId="23E6A7AD">
      <w:pPr>
        <w:pStyle w:val="10"/>
        <w:adjustRightInd w:val="0"/>
        <w:snapToGrid w:val="0"/>
        <w:spacing w:before="120" w:after="120"/>
        <w:rPr>
          <w:rFonts w:hAnsi="宋体" w:eastAsia="宋体" w:cs="宋体"/>
          <w:b/>
          <w:bCs/>
          <w:sz w:val="24"/>
          <w:szCs w:val="24"/>
        </w:rPr>
      </w:pPr>
    </w:p>
    <w:p w14:paraId="7EE5779C">
      <w:pPr>
        <w:pStyle w:val="10"/>
        <w:adjustRightInd w:val="0"/>
        <w:snapToGrid w:val="0"/>
        <w:spacing w:before="120" w:after="120"/>
        <w:rPr>
          <w:rFonts w:hAnsi="宋体" w:eastAsia="宋体" w:cs="宋体"/>
          <w:b/>
          <w:bCs/>
          <w:sz w:val="24"/>
          <w:szCs w:val="24"/>
        </w:rPr>
      </w:pPr>
    </w:p>
    <w:p w14:paraId="756C42B5">
      <w:pPr>
        <w:pStyle w:val="4"/>
        <w:spacing w:beforeLines="100" w:after="0" w:line="360" w:lineRule="auto"/>
        <w:jc w:val="center"/>
        <w:rPr>
          <w:rFonts w:ascii="宋体" w:hAnsi="宋体" w:eastAsia="宋体"/>
          <w:bCs w:val="0"/>
          <w:lang w:val="zh-CN"/>
        </w:rPr>
      </w:pPr>
      <w:bookmarkStart w:id="518" w:name="_Toc528927455"/>
      <w:bookmarkStart w:id="519" w:name="_Toc528578413"/>
      <w:r>
        <w:rPr>
          <w:rFonts w:hint="eastAsia" w:ascii="宋体" w:hAnsi="宋体" w:eastAsia="宋体"/>
          <w:bCs w:val="0"/>
          <w:lang w:val="zh-CN"/>
        </w:rPr>
        <w:t>1、资格证明文件格式</w:t>
      </w:r>
      <w:bookmarkEnd w:id="518"/>
      <w:bookmarkEnd w:id="519"/>
    </w:p>
    <w:p w14:paraId="6C83C881">
      <w:pPr>
        <w:spacing w:before="100" w:beforeAutospacing="1" w:line="360" w:lineRule="auto"/>
        <w:jc w:val="center"/>
        <w:rPr>
          <w:rFonts w:ascii="宋体" w:hAnsi="宋体"/>
          <w:b/>
          <w:bCs/>
          <w:sz w:val="32"/>
          <w:szCs w:val="32"/>
        </w:rPr>
      </w:pPr>
      <w:r>
        <w:rPr>
          <w:rFonts w:hint="eastAsia" w:ascii="宋体" w:hAnsi="宋体"/>
          <w:b/>
          <w:bCs/>
          <w:sz w:val="32"/>
          <w:szCs w:val="32"/>
        </w:rPr>
        <w:t>目  录</w:t>
      </w:r>
    </w:p>
    <w:p w14:paraId="189A53DA">
      <w:pPr>
        <w:pStyle w:val="10"/>
        <w:adjustRightInd w:val="0"/>
        <w:snapToGrid w:val="0"/>
        <w:spacing w:before="120" w:after="120"/>
        <w:ind w:firstLine="1200" w:firstLineChars="500"/>
        <w:rPr>
          <w:rFonts w:hAnsi="宋体" w:eastAsia="宋体" w:cs="宋体"/>
          <w:b/>
          <w:bCs/>
          <w:sz w:val="24"/>
          <w:szCs w:val="24"/>
        </w:rPr>
      </w:pPr>
      <w:r>
        <w:rPr>
          <w:rFonts w:hint="eastAsia" w:hAnsi="宋体"/>
          <w:sz w:val="24"/>
        </w:rPr>
        <w:t xml:space="preserve">（按照“第三部分 </w:t>
      </w:r>
      <w:r>
        <w:rPr>
          <w:rFonts w:hint="eastAsia" w:hAnsi="宋体" w:eastAsia="宋体"/>
          <w:sz w:val="24"/>
        </w:rPr>
        <w:t>谈判</w:t>
      </w:r>
      <w:r>
        <w:rPr>
          <w:rFonts w:hint="eastAsia" w:hAnsi="宋体"/>
          <w:sz w:val="24"/>
        </w:rPr>
        <w:t>须知”有关资格证明文件组成要求编排）</w:t>
      </w:r>
    </w:p>
    <w:p w14:paraId="0670A7CF">
      <w:pPr>
        <w:pStyle w:val="10"/>
        <w:adjustRightInd w:val="0"/>
        <w:snapToGrid w:val="0"/>
        <w:spacing w:before="120" w:after="120"/>
        <w:rPr>
          <w:rFonts w:hAnsi="宋体" w:eastAsia="宋体" w:cs="宋体"/>
          <w:b/>
          <w:bCs/>
          <w:sz w:val="24"/>
          <w:szCs w:val="24"/>
        </w:rPr>
      </w:pPr>
    </w:p>
    <w:p w14:paraId="42DDD676">
      <w:pPr>
        <w:pStyle w:val="10"/>
        <w:adjustRightInd w:val="0"/>
        <w:snapToGrid w:val="0"/>
        <w:spacing w:before="120" w:after="120"/>
        <w:rPr>
          <w:rFonts w:hAnsi="宋体" w:eastAsia="宋体" w:cs="宋体"/>
          <w:b/>
          <w:bCs/>
          <w:sz w:val="24"/>
          <w:szCs w:val="24"/>
        </w:rPr>
      </w:pPr>
    </w:p>
    <w:p w14:paraId="5600BA95">
      <w:pPr>
        <w:pStyle w:val="10"/>
        <w:adjustRightInd w:val="0"/>
        <w:snapToGrid w:val="0"/>
        <w:spacing w:before="120" w:after="120"/>
        <w:rPr>
          <w:rFonts w:hAnsi="宋体" w:eastAsia="宋体" w:cs="宋体"/>
          <w:b/>
          <w:bCs/>
          <w:sz w:val="24"/>
          <w:szCs w:val="24"/>
        </w:rPr>
      </w:pPr>
    </w:p>
    <w:p w14:paraId="230C088F">
      <w:pPr>
        <w:widowControl/>
        <w:jc w:val="left"/>
        <w:rPr>
          <w:rFonts w:ascii="宋体" w:hAnsi="宋体" w:eastAsia="宋体" w:cs="宋体"/>
          <w:b/>
          <w:bCs/>
          <w:sz w:val="24"/>
        </w:rPr>
      </w:pPr>
      <w:r>
        <w:rPr>
          <w:rFonts w:hAnsi="宋体" w:eastAsia="宋体" w:cs="宋体"/>
          <w:b/>
          <w:bCs/>
          <w:sz w:val="24"/>
        </w:rPr>
        <w:br w:type="page"/>
      </w:r>
    </w:p>
    <w:p w14:paraId="13202094">
      <w:pPr>
        <w:pStyle w:val="10"/>
        <w:adjustRightInd w:val="0"/>
        <w:snapToGrid w:val="0"/>
        <w:spacing w:before="120" w:after="120"/>
        <w:rPr>
          <w:rFonts w:hAnsi="宋体" w:eastAsia="宋体" w:cs="宋体"/>
          <w:sz w:val="24"/>
          <w:szCs w:val="24"/>
        </w:rPr>
      </w:pPr>
      <w:r>
        <w:rPr>
          <w:rFonts w:hint="eastAsia" w:hAnsi="宋体" w:eastAsia="宋体" w:cs="宋体"/>
          <w:b/>
          <w:bCs/>
          <w:sz w:val="24"/>
          <w:szCs w:val="24"/>
        </w:rPr>
        <w:t>附件一：</w:t>
      </w:r>
      <w:r>
        <w:rPr>
          <w:rFonts w:hint="eastAsia" w:hAnsi="宋体" w:eastAsia="宋体" w:cs="宋体"/>
          <w:sz w:val="24"/>
          <w:szCs w:val="24"/>
        </w:rPr>
        <w:t xml:space="preserve">                     </w:t>
      </w:r>
    </w:p>
    <w:p w14:paraId="6CB4D63C">
      <w:pPr>
        <w:pStyle w:val="10"/>
        <w:adjustRightInd w:val="0"/>
        <w:snapToGrid w:val="0"/>
        <w:spacing w:before="120" w:after="120"/>
        <w:jc w:val="center"/>
        <w:rPr>
          <w:rFonts w:hAnsi="宋体" w:eastAsia="宋体" w:cs="宋体"/>
          <w:sz w:val="32"/>
          <w:szCs w:val="32"/>
        </w:rPr>
      </w:pPr>
      <w:r>
        <w:rPr>
          <w:rFonts w:hint="eastAsia" w:hAnsi="宋体" w:eastAsia="宋体" w:cs="宋体"/>
          <w:b/>
          <w:bCs/>
          <w:sz w:val="32"/>
          <w:szCs w:val="32"/>
        </w:rPr>
        <w:t>谈判承诺函</w:t>
      </w:r>
    </w:p>
    <w:p w14:paraId="3298EED6">
      <w:pPr>
        <w:adjustRightInd w:val="0"/>
        <w:snapToGrid w:val="0"/>
        <w:spacing w:line="360" w:lineRule="auto"/>
        <w:ind w:firstLine="120" w:firstLineChars="50"/>
        <w:rPr>
          <w:rFonts w:ascii="宋体" w:hAnsi="宋体" w:eastAsia="宋体" w:cs="宋体"/>
          <w:sz w:val="24"/>
        </w:rPr>
      </w:pPr>
      <w:r>
        <w:rPr>
          <w:rFonts w:hint="eastAsia" w:ascii="宋体" w:hAnsi="宋体" w:eastAsia="宋体" w:cs="宋体"/>
          <w:sz w:val="24"/>
          <w:u w:val="single"/>
          <w:lang w:eastAsia="zh-CN"/>
        </w:rPr>
        <w:t>仙居县白塔镇人民政府</w:t>
      </w:r>
      <w:r>
        <w:rPr>
          <w:rFonts w:hint="eastAsia" w:ascii="宋体" w:hAnsi="宋体" w:eastAsia="宋体" w:cs="宋体"/>
          <w:sz w:val="24"/>
        </w:rPr>
        <w:t>：</w:t>
      </w:r>
    </w:p>
    <w:p w14:paraId="435A5C2B">
      <w:pPr>
        <w:pStyle w:val="10"/>
        <w:adjustRightInd w:val="0"/>
        <w:snapToGrid w:val="0"/>
        <w:spacing w:line="360" w:lineRule="auto"/>
        <w:ind w:firstLine="720"/>
        <w:rPr>
          <w:rFonts w:hAnsi="宋体" w:eastAsia="宋体" w:cs="宋体"/>
          <w:sz w:val="24"/>
          <w:szCs w:val="24"/>
        </w:rPr>
      </w:pPr>
      <w:r>
        <w:rPr>
          <w:rFonts w:hint="eastAsia" w:hAnsi="宋体" w:eastAsia="宋体" w:cs="宋体"/>
          <w:sz w:val="24"/>
          <w:szCs w:val="24"/>
        </w:rPr>
        <w:t>__________________________(谈判人全称)授权____________________ (全权代表姓名)____________________(职务、职称)为全权代表，参加贵方组织的______________ (采购编号、采购项目名称) 采购谈判的有关活动，并对此项目进行响应。为此：我方同意在谈判须知前列表规定的谈判日期起遵守本采购承诺函中的承诺且在谈判有效期满之前均具有约束力。</w:t>
      </w:r>
    </w:p>
    <w:p w14:paraId="60ABB62A">
      <w:pPr>
        <w:snapToGrid w:val="0"/>
        <w:spacing w:line="360" w:lineRule="auto"/>
        <w:ind w:firstLine="480" w:firstLineChars="200"/>
        <w:rPr>
          <w:rFonts w:ascii="宋体" w:hAnsi="宋体" w:eastAsia="宋体" w:cs="宋体"/>
          <w:sz w:val="24"/>
        </w:rPr>
      </w:pPr>
      <w:r>
        <w:rPr>
          <w:rFonts w:hint="eastAsia" w:ascii="宋体" w:hAnsi="宋体" w:eastAsia="宋体" w:cs="宋体"/>
          <w:sz w:val="24"/>
        </w:rPr>
        <w:t>1、我方承诺已经具备《中华人民共和国政府采购法》参加政府采购活动的供应商应当具备的条件：</w:t>
      </w:r>
    </w:p>
    <w:p w14:paraId="36C9DE67">
      <w:pPr>
        <w:snapToGrid w:val="0"/>
        <w:spacing w:line="360" w:lineRule="auto"/>
        <w:ind w:firstLine="480" w:firstLineChars="200"/>
        <w:rPr>
          <w:rFonts w:ascii="宋体" w:hAnsi="宋体" w:eastAsia="宋体" w:cs="宋体"/>
          <w:sz w:val="24"/>
        </w:rPr>
      </w:pPr>
      <w:r>
        <w:rPr>
          <w:rFonts w:hint="eastAsia" w:ascii="宋体" w:hAnsi="宋体" w:eastAsia="宋体" w:cs="宋体"/>
          <w:sz w:val="24"/>
        </w:rPr>
        <w:t>（1）具有独立承担民事责任的能力；</w:t>
      </w:r>
    </w:p>
    <w:p w14:paraId="01456390">
      <w:pPr>
        <w:snapToGrid w:val="0"/>
        <w:spacing w:line="360" w:lineRule="auto"/>
        <w:ind w:firstLine="480" w:firstLineChars="200"/>
        <w:rPr>
          <w:rFonts w:ascii="宋体" w:hAnsi="宋体" w:eastAsia="宋体" w:cs="宋体"/>
          <w:sz w:val="24"/>
        </w:rPr>
      </w:pPr>
      <w:r>
        <w:rPr>
          <w:rFonts w:hint="eastAsia" w:ascii="宋体" w:hAnsi="宋体" w:eastAsia="宋体" w:cs="宋体"/>
          <w:sz w:val="24"/>
        </w:rPr>
        <w:t>（2）具有良好的商业信誉和健全的财务会计制度；</w:t>
      </w:r>
    </w:p>
    <w:p w14:paraId="6BD130DA">
      <w:pPr>
        <w:snapToGrid w:val="0"/>
        <w:spacing w:line="360" w:lineRule="auto"/>
        <w:ind w:firstLine="480" w:firstLineChars="200"/>
        <w:rPr>
          <w:rFonts w:ascii="宋体" w:hAnsi="宋体" w:eastAsia="宋体" w:cs="宋体"/>
          <w:sz w:val="24"/>
        </w:rPr>
      </w:pPr>
      <w:r>
        <w:rPr>
          <w:rFonts w:hint="eastAsia" w:ascii="宋体" w:hAnsi="宋体" w:eastAsia="宋体" w:cs="宋体"/>
          <w:sz w:val="24"/>
        </w:rPr>
        <w:t>（3）具有履行合同所必需的设备和专业技术能力；</w:t>
      </w:r>
    </w:p>
    <w:p w14:paraId="7098B3AC">
      <w:pPr>
        <w:snapToGrid w:val="0"/>
        <w:spacing w:line="360" w:lineRule="auto"/>
        <w:ind w:firstLine="480" w:firstLineChars="200"/>
        <w:rPr>
          <w:rFonts w:ascii="宋体" w:hAnsi="宋体" w:eastAsia="宋体" w:cs="宋体"/>
          <w:sz w:val="24"/>
        </w:rPr>
      </w:pPr>
      <w:r>
        <w:rPr>
          <w:rFonts w:hint="eastAsia" w:ascii="宋体" w:hAnsi="宋体" w:eastAsia="宋体" w:cs="宋体"/>
          <w:sz w:val="24"/>
        </w:rPr>
        <w:t>（4）有依法缴纳税收和社会保障资金的良好记录；</w:t>
      </w:r>
    </w:p>
    <w:p w14:paraId="617378BF">
      <w:pPr>
        <w:snapToGrid w:val="0"/>
        <w:spacing w:line="360" w:lineRule="auto"/>
        <w:ind w:firstLine="480" w:firstLineChars="200"/>
        <w:rPr>
          <w:rFonts w:ascii="宋体" w:hAnsi="宋体" w:eastAsia="宋体" w:cs="宋体"/>
          <w:sz w:val="24"/>
        </w:rPr>
      </w:pPr>
      <w:r>
        <w:rPr>
          <w:rFonts w:hint="eastAsia" w:ascii="宋体" w:hAnsi="宋体" w:eastAsia="宋体" w:cs="宋体"/>
          <w:sz w:val="24"/>
        </w:rPr>
        <w:t>（5）参加政府采购活动前三年内，在经营活动中没有重大违法记录；</w:t>
      </w:r>
    </w:p>
    <w:p w14:paraId="76856F72">
      <w:pPr>
        <w:snapToGrid w:val="0"/>
        <w:spacing w:line="360" w:lineRule="auto"/>
        <w:ind w:firstLine="480" w:firstLineChars="200"/>
        <w:rPr>
          <w:rFonts w:ascii="宋体" w:hAnsi="宋体" w:eastAsia="宋体" w:cs="宋体"/>
          <w:sz w:val="24"/>
        </w:rPr>
      </w:pPr>
      <w:r>
        <w:rPr>
          <w:rFonts w:hint="eastAsia" w:ascii="宋体" w:hAnsi="宋体" w:eastAsia="宋体" w:cs="宋体"/>
          <w:sz w:val="24"/>
        </w:rPr>
        <w:t>（6）法律、行政法规规定的其他条件。</w:t>
      </w:r>
    </w:p>
    <w:p w14:paraId="1BDB99F5">
      <w:pPr>
        <w:snapToGrid w:val="0"/>
        <w:spacing w:line="360" w:lineRule="auto"/>
        <w:ind w:firstLine="480" w:firstLineChars="200"/>
        <w:rPr>
          <w:rFonts w:ascii="宋体" w:hAnsi="宋体" w:eastAsia="宋体" w:cs="宋体"/>
          <w:sz w:val="24"/>
        </w:rPr>
      </w:pPr>
      <w:r>
        <w:rPr>
          <w:rFonts w:hint="eastAsia" w:ascii="宋体" w:hAnsi="宋体" w:eastAsia="宋体" w:cs="宋体"/>
          <w:sz w:val="24"/>
        </w:rPr>
        <w:t>2、提供谈判须知规定的全部谈判响应文件，包括：</w:t>
      </w:r>
    </w:p>
    <w:p w14:paraId="4E538C35">
      <w:pPr>
        <w:pStyle w:val="2"/>
        <w:snapToGrid w:val="0"/>
        <w:spacing w:line="360" w:lineRule="auto"/>
        <w:ind w:firstLine="480" w:firstLineChars="200"/>
        <w:rPr>
          <w:rFonts w:eastAsia="宋体"/>
        </w:rPr>
      </w:pPr>
      <w:r>
        <w:rPr>
          <w:rFonts w:hint="eastAsia" w:ascii="宋体" w:hAnsi="宋体" w:eastAsia="宋体" w:cs="宋体"/>
          <w:szCs w:val="24"/>
        </w:rPr>
        <w:t>（1）资格与证明文件；</w:t>
      </w:r>
    </w:p>
    <w:p w14:paraId="55FE8253">
      <w:pPr>
        <w:snapToGrid w:val="0"/>
        <w:spacing w:line="360" w:lineRule="auto"/>
        <w:ind w:firstLine="480" w:firstLineChars="200"/>
        <w:rPr>
          <w:rFonts w:ascii="宋体" w:hAnsi="宋体" w:eastAsia="宋体" w:cs="宋体"/>
          <w:sz w:val="24"/>
        </w:rPr>
      </w:pPr>
      <w:r>
        <w:rPr>
          <w:rFonts w:hint="eastAsia" w:ascii="宋体" w:hAnsi="宋体" w:eastAsia="宋体" w:cs="宋体"/>
          <w:sz w:val="24"/>
        </w:rPr>
        <w:t>（2）商务与技术文件；</w:t>
      </w:r>
    </w:p>
    <w:p w14:paraId="5E691DBB">
      <w:pPr>
        <w:snapToGrid w:val="0"/>
        <w:spacing w:line="360" w:lineRule="auto"/>
        <w:ind w:firstLine="480" w:firstLineChars="200"/>
        <w:rPr>
          <w:rFonts w:ascii="宋体" w:hAnsi="宋体" w:eastAsia="宋体" w:cs="宋体"/>
          <w:sz w:val="24"/>
        </w:rPr>
      </w:pPr>
      <w:r>
        <w:rPr>
          <w:rFonts w:hint="eastAsia" w:ascii="宋体" w:hAnsi="宋体" w:eastAsia="宋体" w:cs="宋体"/>
          <w:sz w:val="24"/>
        </w:rPr>
        <w:t>（3）报价文件；</w:t>
      </w:r>
    </w:p>
    <w:p w14:paraId="3438FB6E">
      <w:pPr>
        <w:snapToGrid w:val="0"/>
        <w:spacing w:line="360" w:lineRule="auto"/>
        <w:ind w:firstLine="480" w:firstLineChars="200"/>
        <w:rPr>
          <w:rFonts w:ascii="宋体" w:hAnsi="宋体" w:eastAsia="宋体" w:cs="宋体"/>
          <w:sz w:val="24"/>
        </w:rPr>
      </w:pPr>
      <w:r>
        <w:rPr>
          <w:rFonts w:hint="eastAsia" w:ascii="宋体" w:hAnsi="宋体" w:eastAsia="宋体" w:cs="宋体"/>
          <w:sz w:val="24"/>
        </w:rPr>
        <w:t>（4）谈判须知前列表要求的谈判人提交的全部文件；</w:t>
      </w:r>
    </w:p>
    <w:p w14:paraId="6D9030A4">
      <w:pPr>
        <w:snapToGrid w:val="0"/>
        <w:spacing w:line="360" w:lineRule="auto"/>
        <w:ind w:firstLine="480" w:firstLineChars="200"/>
        <w:rPr>
          <w:rFonts w:ascii="宋体" w:hAnsi="宋体" w:eastAsia="宋体" w:cs="宋体"/>
          <w:sz w:val="24"/>
        </w:rPr>
      </w:pPr>
      <w:r>
        <w:rPr>
          <w:rFonts w:hint="eastAsia" w:ascii="宋体" w:hAnsi="宋体" w:eastAsia="宋体" w:cs="宋体"/>
          <w:sz w:val="24"/>
        </w:rPr>
        <w:t>3、按竞争性谈判文件要求提供的报价详见谈判报价一览表。</w:t>
      </w:r>
    </w:p>
    <w:p w14:paraId="4EAB15B7">
      <w:pPr>
        <w:snapToGrid w:val="0"/>
        <w:spacing w:line="360" w:lineRule="auto"/>
        <w:ind w:firstLine="480" w:firstLineChars="200"/>
        <w:rPr>
          <w:rFonts w:ascii="宋体" w:hAnsi="宋体" w:eastAsia="宋体" w:cs="宋体"/>
          <w:sz w:val="24"/>
        </w:rPr>
      </w:pPr>
      <w:r>
        <w:rPr>
          <w:rFonts w:hint="eastAsia" w:ascii="宋体" w:hAnsi="宋体" w:eastAsia="宋体" w:cs="宋体"/>
          <w:sz w:val="24"/>
        </w:rPr>
        <w:t>4、保证忠实地执行双方所签订的合同，并承担合同规定的责任和义务。</w:t>
      </w:r>
    </w:p>
    <w:p w14:paraId="4001BA6B">
      <w:pPr>
        <w:snapToGrid w:val="0"/>
        <w:spacing w:line="360" w:lineRule="auto"/>
        <w:ind w:firstLine="480" w:firstLineChars="200"/>
        <w:rPr>
          <w:rFonts w:ascii="宋体" w:hAnsi="宋体" w:eastAsia="宋体" w:cs="宋体"/>
          <w:sz w:val="24"/>
        </w:rPr>
      </w:pPr>
      <w:r>
        <w:rPr>
          <w:rFonts w:hint="eastAsia" w:ascii="宋体" w:hAnsi="宋体" w:eastAsia="宋体" w:cs="宋体"/>
          <w:sz w:val="24"/>
        </w:rPr>
        <w:t>5、保证遵守竞争性谈判文件中的其他有关条款。</w:t>
      </w:r>
    </w:p>
    <w:p w14:paraId="3EA46BD1">
      <w:pPr>
        <w:snapToGrid w:val="0"/>
        <w:spacing w:line="360" w:lineRule="auto"/>
        <w:ind w:firstLine="480" w:firstLineChars="200"/>
        <w:rPr>
          <w:rFonts w:ascii="宋体" w:hAnsi="宋体" w:eastAsia="宋体" w:cs="宋体"/>
          <w:sz w:val="24"/>
        </w:rPr>
      </w:pPr>
      <w:r>
        <w:rPr>
          <w:rFonts w:hint="eastAsia" w:ascii="宋体" w:hAnsi="宋体" w:eastAsia="宋体" w:cs="宋体"/>
          <w:sz w:val="24"/>
        </w:rPr>
        <w:t>6、我方愿意向贵方提供真实完整的任何与该项目有关的数据、情况和技术资料。若贵方需要，我方愿意提供我方作出的一切承诺的证明材料。</w:t>
      </w:r>
    </w:p>
    <w:p w14:paraId="509C4083">
      <w:pPr>
        <w:snapToGrid w:val="0"/>
        <w:spacing w:line="360" w:lineRule="auto"/>
        <w:ind w:firstLine="480" w:firstLineChars="200"/>
        <w:rPr>
          <w:rFonts w:ascii="宋体" w:hAnsi="宋体" w:eastAsia="宋体" w:cs="宋体"/>
          <w:sz w:val="24"/>
        </w:rPr>
      </w:pPr>
      <w:r>
        <w:rPr>
          <w:rFonts w:hint="eastAsia" w:ascii="宋体" w:hAnsi="宋体" w:eastAsia="宋体" w:cs="宋体"/>
          <w:sz w:val="24"/>
        </w:rPr>
        <w:t>7、我方已详细审核全部竞争性谈判文件，包括竞争性谈判的修改文件（如有的话）、参考资料及有关附件，确认无误。</w:t>
      </w:r>
    </w:p>
    <w:p w14:paraId="37DAA12B">
      <w:pPr>
        <w:snapToGrid w:val="0"/>
        <w:spacing w:line="360" w:lineRule="auto"/>
        <w:ind w:firstLine="480" w:firstLineChars="200"/>
        <w:rPr>
          <w:rFonts w:ascii="宋体" w:hAnsi="宋体" w:eastAsia="宋体" w:cs="宋体"/>
          <w:sz w:val="24"/>
        </w:rPr>
      </w:pPr>
      <w:r>
        <w:rPr>
          <w:rFonts w:hint="eastAsia" w:ascii="宋体" w:hAnsi="宋体" w:eastAsia="宋体" w:cs="宋体"/>
          <w:sz w:val="24"/>
        </w:rPr>
        <w:t>8、我方将严格遵守《中华人民共和国政府采购法》第七十七条规定：供应商有下列情形之一的，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14:paraId="5C6CF51D">
      <w:pPr>
        <w:snapToGrid w:val="0"/>
        <w:spacing w:line="360" w:lineRule="auto"/>
        <w:ind w:firstLine="480" w:firstLineChars="200"/>
        <w:rPr>
          <w:rFonts w:ascii="宋体" w:hAnsi="宋体" w:eastAsia="宋体" w:cs="宋体"/>
          <w:sz w:val="24"/>
        </w:rPr>
      </w:pPr>
      <w:r>
        <w:rPr>
          <w:rFonts w:hint="eastAsia" w:ascii="宋体" w:hAnsi="宋体" w:eastAsia="宋体" w:cs="宋体"/>
          <w:sz w:val="24"/>
        </w:rPr>
        <w:t>（一）提供虚假材料谋取中标、成交的；</w:t>
      </w:r>
    </w:p>
    <w:p w14:paraId="1D7B9E0E">
      <w:pPr>
        <w:snapToGrid w:val="0"/>
        <w:spacing w:line="360" w:lineRule="auto"/>
        <w:ind w:firstLine="480" w:firstLineChars="200"/>
        <w:rPr>
          <w:rFonts w:ascii="宋体" w:hAnsi="宋体" w:eastAsia="宋体" w:cs="宋体"/>
          <w:sz w:val="24"/>
        </w:rPr>
      </w:pPr>
      <w:r>
        <w:rPr>
          <w:rFonts w:hint="eastAsia" w:ascii="宋体" w:hAnsi="宋体" w:eastAsia="宋体" w:cs="宋体"/>
          <w:sz w:val="24"/>
        </w:rPr>
        <w:t>（二）采取不正当手段诋毁、排挤其他供应商的；</w:t>
      </w:r>
    </w:p>
    <w:p w14:paraId="3AEE0599">
      <w:pPr>
        <w:snapToGrid w:val="0"/>
        <w:spacing w:line="360" w:lineRule="auto"/>
        <w:ind w:firstLine="480" w:firstLineChars="200"/>
        <w:rPr>
          <w:rFonts w:ascii="宋体" w:hAnsi="宋体" w:eastAsia="宋体" w:cs="宋体"/>
          <w:sz w:val="24"/>
        </w:rPr>
      </w:pPr>
      <w:r>
        <w:rPr>
          <w:rFonts w:hint="eastAsia" w:ascii="宋体" w:hAnsi="宋体" w:eastAsia="宋体" w:cs="宋体"/>
          <w:sz w:val="24"/>
        </w:rPr>
        <w:t>（三）与采购人、其他供应商或者采购代理机构恶意串通的；</w:t>
      </w:r>
    </w:p>
    <w:p w14:paraId="2D8ACED5">
      <w:pPr>
        <w:snapToGrid w:val="0"/>
        <w:spacing w:line="360" w:lineRule="auto"/>
        <w:ind w:firstLine="480" w:firstLineChars="200"/>
        <w:rPr>
          <w:rFonts w:ascii="宋体" w:hAnsi="宋体" w:eastAsia="宋体" w:cs="宋体"/>
          <w:sz w:val="24"/>
        </w:rPr>
      </w:pPr>
      <w:r>
        <w:rPr>
          <w:rFonts w:hint="eastAsia" w:ascii="宋体" w:hAnsi="宋体" w:eastAsia="宋体" w:cs="宋体"/>
          <w:sz w:val="24"/>
        </w:rPr>
        <w:t>（四）向采购人、采购代理机构行贿或者提供其他不正当利益的；</w:t>
      </w:r>
    </w:p>
    <w:p w14:paraId="00B30018">
      <w:pPr>
        <w:snapToGrid w:val="0"/>
        <w:spacing w:line="360" w:lineRule="auto"/>
        <w:ind w:firstLine="480" w:firstLineChars="200"/>
        <w:rPr>
          <w:rFonts w:ascii="宋体" w:hAnsi="宋体" w:eastAsia="宋体" w:cs="宋体"/>
          <w:sz w:val="24"/>
        </w:rPr>
      </w:pPr>
      <w:r>
        <w:rPr>
          <w:rFonts w:hint="eastAsia" w:ascii="宋体" w:hAnsi="宋体" w:eastAsia="宋体" w:cs="宋体"/>
          <w:sz w:val="24"/>
        </w:rPr>
        <w:t>（五）拒绝有关部门监督检查或者提供虚假情况的。</w:t>
      </w:r>
    </w:p>
    <w:p w14:paraId="3315EB93">
      <w:pPr>
        <w:snapToGrid w:val="0"/>
        <w:spacing w:line="360" w:lineRule="auto"/>
        <w:ind w:firstLine="480" w:firstLineChars="200"/>
        <w:rPr>
          <w:rFonts w:ascii="宋体" w:hAnsi="宋体" w:eastAsia="宋体" w:cs="宋体"/>
          <w:sz w:val="24"/>
        </w:rPr>
      </w:pPr>
      <w:r>
        <w:rPr>
          <w:rFonts w:hint="eastAsia" w:ascii="宋体" w:hAnsi="宋体" w:eastAsia="宋体" w:cs="宋体"/>
          <w:sz w:val="24"/>
        </w:rPr>
        <w:t>供应商有前款第（一）至（五）项情形之一的，中标、成交无效。</w:t>
      </w:r>
    </w:p>
    <w:p w14:paraId="48EFED08">
      <w:pPr>
        <w:snapToGrid w:val="0"/>
        <w:spacing w:line="360" w:lineRule="auto"/>
        <w:ind w:firstLine="480" w:firstLineChars="200"/>
        <w:rPr>
          <w:rFonts w:ascii="宋体" w:hAnsi="宋体" w:eastAsia="宋体" w:cs="宋体"/>
          <w:sz w:val="24"/>
        </w:rPr>
      </w:pPr>
      <w:r>
        <w:rPr>
          <w:rFonts w:hint="eastAsia" w:ascii="宋体" w:hAnsi="宋体" w:eastAsia="宋体" w:cs="宋体"/>
          <w:sz w:val="24"/>
        </w:rPr>
        <w:t>9、</w:t>
      </w:r>
      <w:r>
        <w:rPr>
          <w:rFonts w:hint="eastAsia" w:ascii="Arial" w:hAnsi="Arial" w:cs="Arial"/>
          <w:kern w:val="0"/>
          <w:sz w:val="24"/>
        </w:rPr>
        <w:t>我方的谈判响应文件在</w:t>
      </w:r>
      <w:r>
        <w:rPr>
          <w:rFonts w:hint="eastAsia" w:ascii="宋体" w:hAnsi="宋体"/>
          <w:sz w:val="24"/>
        </w:rPr>
        <w:t>递交截止日起</w:t>
      </w:r>
      <w:r>
        <w:rPr>
          <w:rFonts w:ascii="Arial" w:hAnsi="Arial" w:cs="Arial"/>
          <w:kern w:val="0"/>
          <w:sz w:val="24"/>
          <w:u w:val="single"/>
        </w:rPr>
        <w:t xml:space="preserve">    90   </w:t>
      </w:r>
      <w:r>
        <w:rPr>
          <w:rFonts w:hint="eastAsia" w:ascii="Arial" w:hAnsi="Arial" w:cs="Arial"/>
          <w:kern w:val="0"/>
          <w:sz w:val="24"/>
        </w:rPr>
        <w:t>天内有效</w:t>
      </w:r>
      <w:r>
        <w:rPr>
          <w:rFonts w:hint="eastAsia" w:ascii="宋体" w:hAnsi="宋体" w:eastAsia="宋体" w:cs="宋体"/>
          <w:sz w:val="24"/>
        </w:rPr>
        <w:t>。</w:t>
      </w:r>
    </w:p>
    <w:p w14:paraId="162900EE">
      <w:pPr>
        <w:snapToGrid w:val="0"/>
        <w:spacing w:line="360" w:lineRule="auto"/>
        <w:ind w:firstLine="480" w:firstLineChars="200"/>
        <w:rPr>
          <w:rFonts w:ascii="宋体" w:hAnsi="宋体" w:eastAsia="宋体" w:cs="宋体"/>
          <w:sz w:val="24"/>
        </w:rPr>
      </w:pPr>
      <w:r>
        <w:rPr>
          <w:rFonts w:hint="eastAsia" w:ascii="宋体" w:hAnsi="宋体" w:eastAsia="宋体" w:cs="宋体"/>
          <w:sz w:val="24"/>
        </w:rPr>
        <w:t>与本次采购有关的一切往来通讯请寄：</w:t>
      </w:r>
    </w:p>
    <w:p w14:paraId="24028A79">
      <w:pPr>
        <w:pStyle w:val="10"/>
        <w:adjustRightInd w:val="0"/>
        <w:snapToGrid w:val="0"/>
        <w:spacing w:line="360" w:lineRule="auto"/>
        <w:ind w:firstLine="480"/>
        <w:rPr>
          <w:rFonts w:hAnsi="宋体" w:eastAsia="宋体" w:cs="宋体"/>
          <w:sz w:val="24"/>
          <w:szCs w:val="24"/>
        </w:rPr>
      </w:pPr>
      <w:r>
        <w:rPr>
          <w:rFonts w:hint="eastAsia" w:hAnsi="宋体" w:eastAsia="宋体" w:cs="宋体"/>
          <w:sz w:val="24"/>
          <w:szCs w:val="24"/>
        </w:rPr>
        <w:t>地址：__________________     邮编：____________　</w:t>
      </w:r>
    </w:p>
    <w:p w14:paraId="5D21D140">
      <w:pPr>
        <w:pStyle w:val="10"/>
        <w:adjustRightInd w:val="0"/>
        <w:snapToGrid w:val="0"/>
        <w:spacing w:line="360" w:lineRule="auto"/>
        <w:ind w:firstLine="480" w:firstLineChars="200"/>
        <w:rPr>
          <w:rFonts w:hAnsi="宋体" w:eastAsia="宋体" w:cs="宋体"/>
          <w:sz w:val="24"/>
          <w:szCs w:val="24"/>
        </w:rPr>
      </w:pPr>
      <w:r>
        <w:rPr>
          <w:rFonts w:hint="eastAsia" w:hAnsi="宋体" w:eastAsia="宋体" w:cs="宋体"/>
          <w:sz w:val="24"/>
          <w:szCs w:val="24"/>
        </w:rPr>
        <w:t>电话：__________________     传真：____________</w:t>
      </w:r>
    </w:p>
    <w:p w14:paraId="39FED37C">
      <w:pPr>
        <w:pStyle w:val="10"/>
        <w:adjustRightInd w:val="0"/>
        <w:snapToGrid w:val="0"/>
        <w:spacing w:line="360" w:lineRule="auto"/>
        <w:ind w:firstLine="480" w:firstLineChars="200"/>
        <w:rPr>
          <w:rFonts w:hAnsi="宋体" w:eastAsia="宋体" w:cs="宋体"/>
          <w:sz w:val="24"/>
          <w:szCs w:val="24"/>
        </w:rPr>
      </w:pPr>
      <w:r>
        <w:rPr>
          <w:rFonts w:hint="eastAsia" w:hAnsi="宋体" w:eastAsia="宋体" w:cs="宋体"/>
          <w:sz w:val="24"/>
          <w:szCs w:val="24"/>
        </w:rPr>
        <w:t xml:space="preserve"> </w:t>
      </w:r>
    </w:p>
    <w:p w14:paraId="1A378EBC">
      <w:pPr>
        <w:pStyle w:val="10"/>
        <w:adjustRightInd w:val="0"/>
        <w:snapToGrid w:val="0"/>
        <w:spacing w:line="360" w:lineRule="auto"/>
        <w:ind w:firstLine="3360" w:firstLineChars="1200"/>
        <w:rPr>
          <w:rFonts w:hAnsi="宋体" w:eastAsia="宋体" w:cs="宋体"/>
          <w:spacing w:val="20"/>
          <w:sz w:val="24"/>
          <w:szCs w:val="24"/>
        </w:rPr>
      </w:pPr>
      <w:r>
        <w:rPr>
          <w:rFonts w:hint="eastAsia" w:hAnsi="宋体" w:eastAsia="宋体" w:cs="宋体"/>
          <w:spacing w:val="20"/>
          <w:sz w:val="24"/>
          <w:szCs w:val="24"/>
        </w:rPr>
        <w:t>法定代表人(或全权代表)签字或盖章：</w:t>
      </w:r>
    </w:p>
    <w:p w14:paraId="33515CD8">
      <w:pPr>
        <w:pStyle w:val="10"/>
        <w:adjustRightInd w:val="0"/>
        <w:snapToGrid w:val="0"/>
        <w:spacing w:line="360" w:lineRule="auto"/>
        <w:ind w:firstLine="2240" w:firstLineChars="800"/>
        <w:rPr>
          <w:rFonts w:hAnsi="宋体" w:eastAsia="宋体" w:cs="宋体"/>
          <w:spacing w:val="20"/>
          <w:sz w:val="24"/>
          <w:szCs w:val="24"/>
        </w:rPr>
      </w:pPr>
    </w:p>
    <w:p w14:paraId="6D12DF99">
      <w:pPr>
        <w:pStyle w:val="10"/>
        <w:adjustRightInd w:val="0"/>
        <w:snapToGrid w:val="0"/>
        <w:spacing w:line="360" w:lineRule="auto"/>
        <w:ind w:firstLine="5320" w:firstLineChars="1900"/>
        <w:rPr>
          <w:rFonts w:hAnsi="宋体" w:eastAsia="宋体" w:cs="宋体"/>
          <w:spacing w:val="20"/>
          <w:sz w:val="24"/>
          <w:szCs w:val="24"/>
        </w:rPr>
      </w:pPr>
      <w:r>
        <w:rPr>
          <w:rFonts w:hint="eastAsia" w:hAnsi="宋体" w:eastAsia="宋体" w:cs="宋体"/>
          <w:bCs/>
          <w:spacing w:val="20"/>
          <w:sz w:val="24"/>
          <w:szCs w:val="24"/>
        </w:rPr>
        <w:t>谈判人（盖单位章）</w:t>
      </w:r>
      <w:r>
        <w:rPr>
          <w:rFonts w:hint="eastAsia" w:hAnsi="宋体" w:eastAsia="宋体" w:cs="宋体"/>
          <w:spacing w:val="20"/>
          <w:sz w:val="24"/>
          <w:szCs w:val="24"/>
        </w:rPr>
        <w:t>：</w:t>
      </w:r>
    </w:p>
    <w:p w14:paraId="09936CC1">
      <w:pPr>
        <w:pStyle w:val="10"/>
        <w:adjustRightInd w:val="0"/>
        <w:snapToGrid w:val="0"/>
        <w:spacing w:line="360" w:lineRule="auto"/>
        <w:ind w:firstLine="5320" w:firstLineChars="1900"/>
        <w:rPr>
          <w:rFonts w:hAnsi="宋体" w:eastAsia="宋体" w:cs="宋体"/>
          <w:bCs/>
          <w:spacing w:val="20"/>
          <w:sz w:val="24"/>
          <w:szCs w:val="24"/>
        </w:rPr>
      </w:pPr>
    </w:p>
    <w:p w14:paraId="2CDE54E4">
      <w:pPr>
        <w:pStyle w:val="10"/>
        <w:adjustRightInd w:val="0"/>
        <w:snapToGrid w:val="0"/>
        <w:spacing w:line="360" w:lineRule="auto"/>
        <w:ind w:firstLine="6440" w:firstLineChars="2300"/>
        <w:rPr>
          <w:rFonts w:hAnsi="宋体" w:eastAsia="宋体" w:cs="宋体"/>
          <w:spacing w:val="20"/>
          <w:sz w:val="24"/>
          <w:szCs w:val="24"/>
          <w:u w:val="single"/>
        </w:rPr>
      </w:pPr>
      <w:r>
        <w:rPr>
          <w:rFonts w:hint="eastAsia" w:hAnsi="宋体" w:eastAsia="宋体" w:cs="宋体"/>
          <w:spacing w:val="20"/>
          <w:sz w:val="24"/>
          <w:szCs w:val="24"/>
        </w:rPr>
        <w:t>日     期：</w:t>
      </w:r>
    </w:p>
    <w:p w14:paraId="3424561D">
      <w:pPr>
        <w:tabs>
          <w:tab w:val="left" w:pos="3111"/>
        </w:tabs>
        <w:autoSpaceDE w:val="0"/>
        <w:autoSpaceDN w:val="0"/>
        <w:adjustRightInd w:val="0"/>
        <w:rPr>
          <w:rFonts w:ascii="宋体" w:hAnsi="宋体" w:eastAsia="宋体" w:cs="宋体"/>
          <w:kern w:val="0"/>
          <w:sz w:val="24"/>
        </w:rPr>
      </w:pPr>
      <w:r>
        <w:rPr>
          <w:rFonts w:hint="eastAsia" w:ascii="宋体" w:hAnsi="宋体" w:eastAsia="宋体" w:cs="宋体"/>
          <w:kern w:val="0"/>
          <w:sz w:val="24"/>
        </w:rPr>
        <w:tab/>
      </w:r>
    </w:p>
    <w:p w14:paraId="146C633B">
      <w:pPr>
        <w:tabs>
          <w:tab w:val="left" w:pos="3111"/>
        </w:tabs>
        <w:autoSpaceDE w:val="0"/>
        <w:autoSpaceDN w:val="0"/>
        <w:adjustRightInd w:val="0"/>
        <w:rPr>
          <w:rFonts w:ascii="宋体" w:hAnsi="宋体" w:eastAsia="宋体" w:cs="宋体"/>
          <w:kern w:val="0"/>
          <w:sz w:val="24"/>
        </w:rPr>
      </w:pPr>
    </w:p>
    <w:p w14:paraId="6F61C0B3">
      <w:pPr>
        <w:tabs>
          <w:tab w:val="left" w:pos="3111"/>
        </w:tabs>
        <w:autoSpaceDE w:val="0"/>
        <w:autoSpaceDN w:val="0"/>
        <w:adjustRightInd w:val="0"/>
        <w:rPr>
          <w:rFonts w:ascii="宋体" w:hAnsi="宋体" w:eastAsia="宋体" w:cs="宋体"/>
          <w:kern w:val="0"/>
          <w:sz w:val="24"/>
        </w:rPr>
      </w:pPr>
    </w:p>
    <w:p w14:paraId="1FF81434">
      <w:pPr>
        <w:tabs>
          <w:tab w:val="left" w:pos="3111"/>
        </w:tabs>
        <w:autoSpaceDE w:val="0"/>
        <w:autoSpaceDN w:val="0"/>
        <w:adjustRightInd w:val="0"/>
        <w:rPr>
          <w:rFonts w:ascii="宋体" w:hAnsi="宋体" w:eastAsia="宋体" w:cs="宋体"/>
          <w:kern w:val="0"/>
          <w:sz w:val="24"/>
        </w:rPr>
      </w:pPr>
    </w:p>
    <w:p w14:paraId="36EB2ABC">
      <w:pPr>
        <w:tabs>
          <w:tab w:val="left" w:pos="3111"/>
        </w:tabs>
        <w:autoSpaceDE w:val="0"/>
        <w:autoSpaceDN w:val="0"/>
        <w:adjustRightInd w:val="0"/>
        <w:rPr>
          <w:rFonts w:ascii="宋体" w:hAnsi="宋体" w:eastAsia="宋体" w:cs="宋体"/>
          <w:kern w:val="0"/>
          <w:sz w:val="24"/>
        </w:rPr>
      </w:pPr>
    </w:p>
    <w:p w14:paraId="38C535AE">
      <w:pPr>
        <w:tabs>
          <w:tab w:val="left" w:pos="3111"/>
        </w:tabs>
        <w:autoSpaceDE w:val="0"/>
        <w:autoSpaceDN w:val="0"/>
        <w:adjustRightInd w:val="0"/>
        <w:rPr>
          <w:rFonts w:ascii="宋体" w:hAnsi="宋体" w:eastAsia="宋体" w:cs="宋体"/>
          <w:kern w:val="0"/>
          <w:sz w:val="24"/>
        </w:rPr>
      </w:pPr>
    </w:p>
    <w:p w14:paraId="162D90C4">
      <w:pPr>
        <w:tabs>
          <w:tab w:val="left" w:pos="3111"/>
        </w:tabs>
        <w:autoSpaceDE w:val="0"/>
        <w:autoSpaceDN w:val="0"/>
        <w:adjustRightInd w:val="0"/>
        <w:rPr>
          <w:rFonts w:ascii="宋体" w:hAnsi="宋体" w:eastAsia="宋体" w:cs="宋体"/>
          <w:kern w:val="0"/>
          <w:sz w:val="24"/>
        </w:rPr>
      </w:pPr>
    </w:p>
    <w:p w14:paraId="06E6CC20">
      <w:pPr>
        <w:tabs>
          <w:tab w:val="left" w:pos="3111"/>
        </w:tabs>
        <w:autoSpaceDE w:val="0"/>
        <w:autoSpaceDN w:val="0"/>
        <w:adjustRightInd w:val="0"/>
        <w:rPr>
          <w:rFonts w:ascii="宋体" w:hAnsi="宋体" w:eastAsia="宋体" w:cs="宋体"/>
          <w:kern w:val="0"/>
          <w:sz w:val="24"/>
        </w:rPr>
      </w:pPr>
    </w:p>
    <w:p w14:paraId="1823B1C1">
      <w:pPr>
        <w:tabs>
          <w:tab w:val="left" w:pos="3111"/>
        </w:tabs>
        <w:autoSpaceDE w:val="0"/>
        <w:autoSpaceDN w:val="0"/>
        <w:adjustRightInd w:val="0"/>
        <w:rPr>
          <w:rFonts w:ascii="宋体" w:hAnsi="宋体" w:eastAsia="宋体" w:cs="宋体"/>
          <w:kern w:val="0"/>
          <w:sz w:val="24"/>
        </w:rPr>
      </w:pPr>
    </w:p>
    <w:p w14:paraId="1EFF07F1">
      <w:pPr>
        <w:tabs>
          <w:tab w:val="left" w:pos="3111"/>
        </w:tabs>
        <w:autoSpaceDE w:val="0"/>
        <w:autoSpaceDN w:val="0"/>
        <w:adjustRightInd w:val="0"/>
        <w:rPr>
          <w:rFonts w:ascii="宋体" w:hAnsi="宋体" w:eastAsia="宋体" w:cs="宋体"/>
          <w:kern w:val="0"/>
          <w:sz w:val="24"/>
        </w:rPr>
      </w:pPr>
    </w:p>
    <w:p w14:paraId="4FD742EE">
      <w:pPr>
        <w:tabs>
          <w:tab w:val="left" w:pos="3111"/>
        </w:tabs>
        <w:autoSpaceDE w:val="0"/>
        <w:autoSpaceDN w:val="0"/>
        <w:adjustRightInd w:val="0"/>
        <w:rPr>
          <w:rFonts w:ascii="宋体" w:hAnsi="宋体" w:eastAsia="宋体" w:cs="宋体"/>
          <w:kern w:val="0"/>
          <w:sz w:val="24"/>
        </w:rPr>
      </w:pPr>
    </w:p>
    <w:p w14:paraId="0D7175E1">
      <w:pPr>
        <w:tabs>
          <w:tab w:val="left" w:pos="3111"/>
        </w:tabs>
        <w:autoSpaceDE w:val="0"/>
        <w:autoSpaceDN w:val="0"/>
        <w:adjustRightInd w:val="0"/>
        <w:rPr>
          <w:rFonts w:ascii="宋体" w:hAnsi="宋体" w:eastAsia="宋体" w:cs="宋体"/>
          <w:kern w:val="0"/>
          <w:sz w:val="24"/>
        </w:rPr>
      </w:pPr>
    </w:p>
    <w:p w14:paraId="140DCCF3">
      <w:pPr>
        <w:tabs>
          <w:tab w:val="left" w:pos="3111"/>
        </w:tabs>
        <w:autoSpaceDE w:val="0"/>
        <w:autoSpaceDN w:val="0"/>
        <w:adjustRightInd w:val="0"/>
        <w:rPr>
          <w:rFonts w:ascii="宋体" w:hAnsi="宋体" w:eastAsia="宋体" w:cs="宋体"/>
          <w:kern w:val="0"/>
          <w:sz w:val="24"/>
        </w:rPr>
      </w:pPr>
    </w:p>
    <w:p w14:paraId="64BC6BD5">
      <w:pPr>
        <w:tabs>
          <w:tab w:val="left" w:pos="3111"/>
        </w:tabs>
        <w:autoSpaceDE w:val="0"/>
        <w:autoSpaceDN w:val="0"/>
        <w:adjustRightInd w:val="0"/>
        <w:rPr>
          <w:rFonts w:ascii="宋体" w:hAnsi="宋体" w:eastAsia="宋体" w:cs="宋体"/>
          <w:kern w:val="0"/>
          <w:sz w:val="24"/>
        </w:rPr>
      </w:pPr>
    </w:p>
    <w:p w14:paraId="620B9410">
      <w:pPr>
        <w:tabs>
          <w:tab w:val="left" w:pos="3111"/>
        </w:tabs>
        <w:autoSpaceDE w:val="0"/>
        <w:autoSpaceDN w:val="0"/>
        <w:adjustRightInd w:val="0"/>
        <w:rPr>
          <w:rFonts w:ascii="宋体" w:hAnsi="宋体" w:eastAsia="宋体" w:cs="宋体"/>
          <w:kern w:val="0"/>
          <w:sz w:val="24"/>
        </w:rPr>
      </w:pPr>
    </w:p>
    <w:p w14:paraId="479A2E46">
      <w:pPr>
        <w:pStyle w:val="10"/>
        <w:adjustRightInd w:val="0"/>
        <w:snapToGrid w:val="0"/>
        <w:spacing w:before="120" w:after="120"/>
        <w:rPr>
          <w:rFonts w:hAnsi="宋体" w:eastAsia="宋体" w:cs="宋体"/>
          <w:b/>
          <w:bCs/>
          <w:szCs w:val="21"/>
        </w:rPr>
      </w:pPr>
      <w:r>
        <w:rPr>
          <w:rFonts w:hint="eastAsia" w:hAnsi="宋体" w:eastAsia="宋体" w:cs="宋体"/>
          <w:b/>
          <w:bCs/>
          <w:szCs w:val="21"/>
        </w:rPr>
        <w:t>注：未按照本谈判承诺函格式要求填报的谈判承诺函将被视为非实质性响应谈判，从而导致其被拒绝。</w:t>
      </w:r>
    </w:p>
    <w:p w14:paraId="158A841B">
      <w:pPr>
        <w:pStyle w:val="10"/>
        <w:adjustRightInd w:val="0"/>
        <w:snapToGrid w:val="0"/>
        <w:spacing w:before="120" w:after="120"/>
        <w:jc w:val="center"/>
        <w:rPr>
          <w:rFonts w:hAnsi="宋体" w:eastAsia="宋体" w:cs="宋体"/>
          <w:b/>
          <w:bCs/>
          <w:sz w:val="24"/>
          <w:szCs w:val="24"/>
          <w:lang w:val="zh-CN"/>
        </w:rPr>
      </w:pPr>
    </w:p>
    <w:p w14:paraId="5F95B196">
      <w:pPr>
        <w:widowControl/>
        <w:jc w:val="left"/>
        <w:rPr>
          <w:rFonts w:ascii="宋体" w:hAnsi="宋体" w:eastAsia="宋体" w:cs="宋体"/>
          <w:b/>
          <w:bCs/>
          <w:sz w:val="24"/>
        </w:rPr>
      </w:pPr>
      <w:r>
        <w:rPr>
          <w:rFonts w:ascii="宋体" w:hAnsi="宋体" w:eastAsia="宋体" w:cs="宋体"/>
          <w:b/>
          <w:bCs/>
          <w:sz w:val="24"/>
        </w:rPr>
        <w:br w:type="page"/>
      </w:r>
    </w:p>
    <w:p w14:paraId="1C6326AA">
      <w:pPr>
        <w:snapToGrid w:val="0"/>
        <w:spacing w:beforeLines="50" w:after="50"/>
        <w:jc w:val="left"/>
        <w:rPr>
          <w:rFonts w:ascii="宋体" w:hAnsi="宋体" w:eastAsia="宋体" w:cs="宋体"/>
          <w:b/>
          <w:bCs/>
          <w:sz w:val="24"/>
        </w:rPr>
      </w:pPr>
      <w:r>
        <w:rPr>
          <w:rFonts w:hint="eastAsia" w:ascii="宋体" w:hAnsi="宋体" w:eastAsia="宋体" w:cs="宋体"/>
          <w:b/>
          <w:bCs/>
          <w:sz w:val="24"/>
        </w:rPr>
        <w:t xml:space="preserve">附件二：                    </w:t>
      </w:r>
    </w:p>
    <w:p w14:paraId="55792801">
      <w:pPr>
        <w:snapToGrid w:val="0"/>
        <w:spacing w:beforeLines="50" w:after="50"/>
        <w:jc w:val="center"/>
        <w:rPr>
          <w:rFonts w:ascii="宋体" w:hAnsi="宋体" w:eastAsia="宋体" w:cs="宋体"/>
          <w:b/>
          <w:sz w:val="24"/>
        </w:rPr>
      </w:pPr>
      <w:r>
        <w:rPr>
          <w:rFonts w:hint="eastAsia" w:ascii="宋体" w:hAnsi="宋体" w:eastAsia="宋体" w:cs="宋体"/>
          <w:b/>
          <w:sz w:val="24"/>
        </w:rPr>
        <w:t>法定代表人授权委托书</w:t>
      </w:r>
    </w:p>
    <w:p w14:paraId="33254566">
      <w:pPr>
        <w:snapToGrid w:val="0"/>
        <w:spacing w:beforeLines="50" w:after="50"/>
        <w:rPr>
          <w:rFonts w:ascii="宋体" w:hAnsi="宋体" w:eastAsia="宋体" w:cs="宋体"/>
          <w:bCs/>
          <w:sz w:val="24"/>
        </w:rPr>
      </w:pPr>
    </w:p>
    <w:p w14:paraId="4D2AE0EC">
      <w:pPr>
        <w:snapToGrid w:val="0"/>
        <w:spacing w:beforeLines="50" w:after="50"/>
        <w:rPr>
          <w:rFonts w:ascii="宋体" w:hAnsi="宋体" w:eastAsia="宋体" w:cs="宋体"/>
          <w:b/>
          <w:bCs/>
          <w:sz w:val="24"/>
        </w:rPr>
      </w:pPr>
      <w:r>
        <w:rPr>
          <w:rFonts w:hint="eastAsia" w:ascii="宋体" w:hAnsi="宋体" w:eastAsia="宋体" w:cs="宋体"/>
          <w:bCs/>
          <w:sz w:val="24"/>
        </w:rPr>
        <w:t>致：</w:t>
      </w:r>
      <w:r>
        <w:rPr>
          <w:rFonts w:hint="eastAsia" w:hAnsi="宋体" w:eastAsia="宋体" w:cs="宋体"/>
          <w:sz w:val="24"/>
          <w:u w:val="single"/>
          <w:lang w:eastAsia="zh-CN"/>
        </w:rPr>
        <w:t>仙居县白塔镇人民政府</w:t>
      </w:r>
      <w:r>
        <w:rPr>
          <w:rFonts w:hint="eastAsia" w:ascii="宋体" w:hAnsi="宋体" w:eastAsia="宋体" w:cs="宋体"/>
          <w:sz w:val="24"/>
        </w:rPr>
        <w:t>：</w:t>
      </w:r>
    </w:p>
    <w:p w14:paraId="4A56848C">
      <w:pPr>
        <w:wordWrap w:val="0"/>
        <w:spacing w:line="700" w:lineRule="exact"/>
        <w:ind w:firstLine="840" w:firstLineChars="350"/>
        <w:rPr>
          <w:rFonts w:ascii="宋体" w:hAnsi="宋体" w:eastAsia="宋体" w:cs="宋体"/>
          <w:sz w:val="24"/>
        </w:rPr>
      </w:pPr>
      <w:r>
        <w:rPr>
          <w:rFonts w:hint="eastAsia" w:ascii="宋体" w:hAnsi="宋体" w:eastAsia="宋体" w:cs="宋体"/>
          <w:sz w:val="24"/>
          <w:u w:val="single"/>
        </w:rPr>
        <w:t xml:space="preserve">                      </w:t>
      </w:r>
      <w:r>
        <w:rPr>
          <w:rFonts w:hint="eastAsia" w:ascii="宋体" w:hAnsi="宋体" w:eastAsia="宋体" w:cs="宋体"/>
          <w:sz w:val="24"/>
        </w:rPr>
        <w:t>（谈判供应商全称）法定代表人</w:t>
      </w:r>
      <w:r>
        <w:rPr>
          <w:rFonts w:hint="eastAsia" w:ascii="宋体" w:hAnsi="宋体" w:eastAsia="宋体" w:cs="宋体"/>
          <w:sz w:val="24"/>
          <w:u w:val="single"/>
        </w:rPr>
        <w:t xml:space="preserve">            </w:t>
      </w:r>
      <w:r>
        <w:rPr>
          <w:rFonts w:hint="eastAsia" w:ascii="宋体" w:hAnsi="宋体" w:eastAsia="宋体" w:cs="宋体"/>
          <w:sz w:val="24"/>
        </w:rPr>
        <w:t>授权</w:t>
      </w:r>
      <w:r>
        <w:rPr>
          <w:rFonts w:hint="eastAsia" w:ascii="宋体" w:hAnsi="宋体" w:eastAsia="宋体" w:cs="宋体"/>
          <w:sz w:val="24"/>
          <w:u w:val="single"/>
        </w:rPr>
        <w:t xml:space="preserve">                   </w:t>
      </w:r>
      <w:r>
        <w:rPr>
          <w:rFonts w:hint="eastAsia" w:ascii="宋体" w:hAnsi="宋体" w:eastAsia="宋体" w:cs="宋体"/>
          <w:sz w:val="24"/>
        </w:rPr>
        <w:t>（全称代表姓名）为全权代表，参加贵单位组织的</w:t>
      </w:r>
      <w:r>
        <w:rPr>
          <w:rFonts w:hint="eastAsia" w:ascii="宋体" w:hAnsi="宋体" w:eastAsia="宋体" w:cs="宋体"/>
          <w:sz w:val="24"/>
          <w:u w:val="single"/>
          <w:lang w:eastAsia="zh-CN"/>
        </w:rPr>
        <w:t>白塔镇景园村关金生态停车场建设项目</w:t>
      </w:r>
      <w:r>
        <w:rPr>
          <w:rFonts w:hint="eastAsia" w:ascii="宋体" w:hAnsi="宋体" w:eastAsia="宋体" w:cs="宋体"/>
          <w:sz w:val="24"/>
          <w:u w:val="single"/>
        </w:rPr>
        <w:t xml:space="preserve"> </w:t>
      </w:r>
      <w:r>
        <w:rPr>
          <w:rFonts w:hint="eastAsia" w:ascii="宋体" w:hAnsi="宋体" w:eastAsia="宋体" w:cs="宋体"/>
          <w:sz w:val="24"/>
        </w:rPr>
        <w:t>项目编号：</w:t>
      </w:r>
      <w:r>
        <w:rPr>
          <w:rFonts w:hint="eastAsia" w:ascii="宋体" w:hAnsi="宋体" w:eastAsia="宋体" w:cs="宋体"/>
          <w:sz w:val="24"/>
          <w:u w:val="single"/>
        </w:rPr>
        <w:t xml:space="preserve"> </w:t>
      </w:r>
      <w:r>
        <w:rPr>
          <w:rFonts w:hint="eastAsia" w:ascii="宋体" w:hAnsi="宋体" w:eastAsia="宋体" w:cs="宋体"/>
          <w:sz w:val="24"/>
          <w:u w:val="single"/>
          <w:lang w:eastAsia="zh-CN"/>
        </w:rPr>
        <w:t>TYXJ-202501</w:t>
      </w:r>
      <w:r>
        <w:rPr>
          <w:rFonts w:hint="eastAsia" w:ascii="宋体" w:hAnsi="宋体" w:eastAsia="宋体" w:cs="宋体"/>
          <w:sz w:val="24"/>
          <w:u w:val="single"/>
        </w:rPr>
        <w:t xml:space="preserve"> </w:t>
      </w:r>
      <w:r>
        <w:rPr>
          <w:rFonts w:hint="eastAsia" w:ascii="宋体" w:hAnsi="宋体" w:eastAsia="宋体" w:cs="宋体"/>
          <w:sz w:val="24"/>
        </w:rPr>
        <w:t>的谈判活动，全权代表我方处理谈判活动中的一切事务，我均予以承认。</w:t>
      </w:r>
    </w:p>
    <w:p w14:paraId="67DEB70E">
      <w:pPr>
        <w:spacing w:line="360" w:lineRule="auto"/>
        <w:ind w:firstLine="4094" w:firstLineChars="1706"/>
        <w:rPr>
          <w:rFonts w:ascii="宋体" w:hAnsi="宋体" w:eastAsia="宋体" w:cs="宋体"/>
          <w:sz w:val="24"/>
        </w:rPr>
      </w:pPr>
    </w:p>
    <w:p w14:paraId="15252F38">
      <w:pPr>
        <w:spacing w:line="360" w:lineRule="auto"/>
        <w:ind w:firstLine="4094" w:firstLineChars="1706"/>
        <w:rPr>
          <w:rFonts w:ascii="宋体" w:hAnsi="宋体" w:eastAsia="宋体" w:cs="宋体"/>
          <w:sz w:val="24"/>
        </w:rPr>
      </w:pPr>
      <w:r>
        <w:rPr>
          <w:rFonts w:hint="eastAsia" w:ascii="宋体" w:hAnsi="宋体" w:eastAsia="宋体" w:cs="宋体"/>
          <w:sz w:val="24"/>
        </w:rPr>
        <w:t>法定代表人（签字或盖章）：</w:t>
      </w:r>
    </w:p>
    <w:p w14:paraId="674F6CBF">
      <w:pPr>
        <w:spacing w:line="360" w:lineRule="auto"/>
        <w:ind w:firstLine="4094" w:firstLineChars="1706"/>
        <w:rPr>
          <w:rFonts w:ascii="宋体" w:hAnsi="宋体" w:eastAsia="宋体" w:cs="宋体"/>
          <w:sz w:val="24"/>
        </w:rPr>
      </w:pPr>
    </w:p>
    <w:p w14:paraId="292061E9">
      <w:pPr>
        <w:spacing w:line="360" w:lineRule="auto"/>
        <w:ind w:firstLine="4094" w:firstLineChars="1706"/>
        <w:rPr>
          <w:rFonts w:ascii="宋体" w:hAnsi="宋体" w:eastAsia="宋体" w:cs="宋体"/>
          <w:sz w:val="24"/>
        </w:rPr>
      </w:pPr>
      <w:r>
        <w:rPr>
          <w:rFonts w:hint="eastAsia" w:ascii="宋体" w:hAnsi="宋体" w:eastAsia="宋体" w:cs="宋体"/>
          <w:sz w:val="24"/>
        </w:rPr>
        <w:t>谈判供应商全称（盖单位章）：</w:t>
      </w:r>
    </w:p>
    <w:p w14:paraId="04F542E8">
      <w:pPr>
        <w:spacing w:line="360" w:lineRule="auto"/>
        <w:ind w:firstLine="4094" w:firstLineChars="1706"/>
        <w:rPr>
          <w:rFonts w:ascii="宋体" w:hAnsi="宋体" w:eastAsia="宋体" w:cs="宋体"/>
          <w:sz w:val="24"/>
        </w:rPr>
      </w:pPr>
    </w:p>
    <w:p w14:paraId="099AB164">
      <w:pPr>
        <w:spacing w:line="360" w:lineRule="auto"/>
        <w:ind w:firstLine="600" w:firstLineChars="250"/>
        <w:jc w:val="right"/>
        <w:rPr>
          <w:rFonts w:ascii="宋体" w:hAnsi="宋体" w:eastAsia="宋体" w:cs="宋体"/>
          <w:sz w:val="24"/>
        </w:rPr>
      </w:pPr>
      <w:r>
        <w:rPr>
          <w:rFonts w:hint="eastAsia" w:ascii="宋体" w:hAnsi="宋体" w:eastAsia="宋体" w:cs="宋体"/>
          <w:sz w:val="24"/>
        </w:rPr>
        <w:t>日  期：    年   月   日</w:t>
      </w:r>
    </w:p>
    <w:p w14:paraId="0471083B">
      <w:pPr>
        <w:spacing w:line="360" w:lineRule="auto"/>
        <w:ind w:firstLine="600" w:firstLineChars="250"/>
        <w:rPr>
          <w:rFonts w:ascii="宋体" w:hAnsi="宋体" w:eastAsia="宋体" w:cs="宋体"/>
          <w:sz w:val="24"/>
        </w:rPr>
      </w:pPr>
      <w:r>
        <w:rPr>
          <w:rFonts w:hint="eastAsia" w:ascii="宋体" w:hAnsi="宋体" w:eastAsia="宋体" w:cs="宋体"/>
          <w:sz w:val="24"/>
        </w:rPr>
        <w:t xml:space="preserve">附：                                      </w:t>
      </w:r>
    </w:p>
    <w:p w14:paraId="655B00CF">
      <w:pPr>
        <w:spacing w:line="360" w:lineRule="auto"/>
        <w:ind w:firstLine="600" w:firstLineChars="250"/>
        <w:rPr>
          <w:rFonts w:ascii="宋体" w:hAnsi="宋体" w:eastAsia="宋体" w:cs="宋体"/>
          <w:sz w:val="24"/>
        </w:rPr>
      </w:pPr>
      <w:r>
        <w:rPr>
          <w:rFonts w:hint="eastAsia" w:ascii="宋体" w:hAnsi="宋体" w:eastAsia="宋体" w:cs="宋体"/>
          <w:sz w:val="24"/>
        </w:rPr>
        <w:t>授权代表姓名（签字）：                  手机：</w:t>
      </w:r>
    </w:p>
    <w:p w14:paraId="4DE9A454">
      <w:pPr>
        <w:spacing w:line="360" w:lineRule="auto"/>
        <w:ind w:firstLine="600" w:firstLineChars="250"/>
        <w:rPr>
          <w:rFonts w:ascii="宋体" w:hAnsi="宋体" w:eastAsia="宋体" w:cs="宋体"/>
          <w:sz w:val="24"/>
        </w:rPr>
      </w:pPr>
      <w:r>
        <w:rPr>
          <w:rFonts w:hint="eastAsia" w:ascii="宋体" w:hAnsi="宋体" w:eastAsia="宋体" w:cs="宋体"/>
          <w:sz w:val="24"/>
        </w:rPr>
        <w:t>职务：                                  电话：</w:t>
      </w:r>
    </w:p>
    <w:p w14:paraId="38442F68">
      <w:pPr>
        <w:spacing w:line="360" w:lineRule="auto"/>
        <w:ind w:firstLine="600" w:firstLineChars="250"/>
        <w:rPr>
          <w:rFonts w:ascii="宋体" w:hAnsi="宋体" w:eastAsia="宋体" w:cs="宋体"/>
          <w:sz w:val="24"/>
        </w:rPr>
      </w:pPr>
      <w:r>
        <w:rPr>
          <w:rFonts w:hint="eastAsia" w:ascii="宋体" w:hAnsi="宋体" w:eastAsia="宋体" w:cs="宋体"/>
          <w:sz w:val="24"/>
        </w:rPr>
        <w:t>详细通讯地址：                          传真：</w:t>
      </w:r>
    </w:p>
    <w:p w14:paraId="20B604EF">
      <w:pPr>
        <w:spacing w:line="360" w:lineRule="auto"/>
        <w:ind w:firstLine="600" w:firstLineChars="250"/>
        <w:rPr>
          <w:rFonts w:ascii="宋体" w:hAnsi="宋体" w:eastAsia="宋体" w:cs="宋体"/>
          <w:sz w:val="24"/>
        </w:rPr>
      </w:pPr>
      <w:r>
        <w:rPr>
          <w:rFonts w:hint="eastAsia" w:ascii="宋体" w:hAnsi="宋体" w:eastAsia="宋体" w:cs="宋体"/>
          <w:sz w:val="24"/>
        </w:rPr>
        <w:t>邮政编码：</w:t>
      </w:r>
    </w:p>
    <w:tbl>
      <w:tblPr>
        <w:tblStyle w:val="21"/>
        <w:tblW w:w="872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20"/>
      </w:tblGrid>
      <w:tr w14:paraId="1D7204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8" w:hRule="atLeast"/>
        </w:trPr>
        <w:tc>
          <w:tcPr>
            <w:tcW w:w="8720" w:type="dxa"/>
            <w:tcBorders>
              <w:top w:val="single" w:color="auto" w:sz="4" w:space="0"/>
              <w:left w:val="single" w:color="auto" w:sz="4" w:space="0"/>
              <w:bottom w:val="single" w:color="auto" w:sz="4" w:space="0"/>
              <w:right w:val="single" w:color="auto" w:sz="4" w:space="0"/>
            </w:tcBorders>
          </w:tcPr>
          <w:p w14:paraId="6501DE89">
            <w:pPr>
              <w:spacing w:line="360" w:lineRule="auto"/>
              <w:rPr>
                <w:rFonts w:ascii="宋体" w:hAnsi="宋体" w:eastAsia="宋体" w:cs="宋体"/>
                <w:sz w:val="24"/>
              </w:rPr>
            </w:pPr>
            <w:r>
              <w:rPr>
                <w:rFonts w:hint="eastAsia" w:ascii="宋体" w:hAnsi="宋体" w:eastAsia="宋体" w:cs="宋体"/>
                <w:sz w:val="24"/>
              </w:rPr>
              <w:t>法定代表人与授权代表身份证正反复印件粘贴处：</w:t>
            </w:r>
          </w:p>
        </w:tc>
      </w:tr>
    </w:tbl>
    <w:p w14:paraId="3A3312BD">
      <w:pPr>
        <w:pStyle w:val="10"/>
        <w:adjustRightInd w:val="0"/>
        <w:snapToGrid w:val="0"/>
        <w:spacing w:before="156" w:after="156"/>
        <w:rPr>
          <w:rFonts w:hAnsi="宋体" w:eastAsia="宋体" w:cs="宋体"/>
          <w:b/>
          <w:bCs/>
          <w:szCs w:val="21"/>
        </w:rPr>
      </w:pPr>
    </w:p>
    <w:p w14:paraId="0EA2607F">
      <w:pPr>
        <w:widowControl/>
        <w:jc w:val="left"/>
        <w:rPr>
          <w:rFonts w:ascii="宋体" w:hAnsi="宋体" w:eastAsia="宋体" w:cs="宋体"/>
          <w:b/>
          <w:bCs/>
          <w:sz w:val="24"/>
        </w:rPr>
      </w:pPr>
      <w:r>
        <w:rPr>
          <w:rFonts w:ascii="宋体" w:hAnsi="宋体" w:eastAsia="宋体" w:cs="宋体"/>
          <w:b/>
          <w:bCs/>
          <w:sz w:val="24"/>
        </w:rPr>
        <w:br w:type="page"/>
      </w:r>
    </w:p>
    <w:p w14:paraId="1E6DEAA2">
      <w:pPr>
        <w:pStyle w:val="6"/>
        <w:spacing w:line="360" w:lineRule="auto"/>
        <w:ind w:firstLine="0"/>
        <w:jc w:val="left"/>
        <w:rPr>
          <w:rFonts w:ascii="宋体" w:hAnsi="宋体" w:eastAsia="宋体" w:cs="宋体"/>
          <w:b/>
          <w:bCs/>
          <w:sz w:val="24"/>
          <w:szCs w:val="24"/>
        </w:rPr>
      </w:pPr>
      <w:r>
        <w:rPr>
          <w:rFonts w:hint="eastAsia" w:ascii="宋体" w:hAnsi="宋体" w:eastAsia="宋体" w:cs="宋体"/>
          <w:b/>
          <w:bCs/>
          <w:sz w:val="24"/>
          <w:szCs w:val="24"/>
        </w:rPr>
        <w:t>附件三：</w:t>
      </w:r>
    </w:p>
    <w:p w14:paraId="764A66EC">
      <w:pPr>
        <w:pStyle w:val="6"/>
        <w:spacing w:line="360" w:lineRule="auto"/>
        <w:ind w:firstLine="0"/>
        <w:jc w:val="center"/>
        <w:rPr>
          <w:rFonts w:ascii="仿宋_GB2312" w:hAnsi="宋体" w:eastAsia="仿宋_GB2312"/>
          <w:b/>
          <w:sz w:val="32"/>
          <w:szCs w:val="32"/>
        </w:rPr>
      </w:pPr>
      <w:r>
        <w:rPr>
          <w:rFonts w:hint="eastAsia" w:ascii="宋体" w:hAnsi="宋体" w:cs="宋体"/>
          <w:b/>
          <w:sz w:val="24"/>
          <w:szCs w:val="24"/>
        </w:rPr>
        <w:t>具有良好的商业信誉</w:t>
      </w:r>
      <w:r>
        <w:rPr>
          <w:rFonts w:hint="eastAsia" w:cs="宋体" w:asciiTheme="minorEastAsia" w:hAnsiTheme="minorEastAsia" w:eastAsiaTheme="minorEastAsia"/>
          <w:b/>
          <w:sz w:val="24"/>
          <w:szCs w:val="24"/>
        </w:rPr>
        <w:t>、</w:t>
      </w:r>
      <w:r>
        <w:rPr>
          <w:rFonts w:hint="eastAsia" w:ascii="宋体" w:hAnsi="宋体" w:cs="宋体"/>
          <w:b/>
          <w:sz w:val="24"/>
          <w:szCs w:val="24"/>
        </w:rPr>
        <w:t>健全的财务会计制度的承诺函</w:t>
      </w:r>
    </w:p>
    <w:p w14:paraId="7222B648">
      <w:pPr>
        <w:pStyle w:val="10"/>
        <w:spacing w:before="60" w:after="60" w:line="500" w:lineRule="exact"/>
        <w:rPr>
          <w:rFonts w:hAnsi="宋体" w:cs="宋体"/>
          <w:b/>
          <w:bCs/>
          <w:sz w:val="24"/>
          <w:u w:val="single"/>
        </w:rPr>
      </w:pPr>
      <w:r>
        <w:rPr>
          <w:rFonts w:hint="eastAsia" w:hAnsi="宋体" w:eastAsia="宋体" w:cs="宋体"/>
          <w:sz w:val="24"/>
          <w:szCs w:val="24"/>
          <w:u w:val="single"/>
          <w:lang w:eastAsia="zh-CN"/>
        </w:rPr>
        <w:t>仙居县白塔镇人民政府</w:t>
      </w:r>
      <w:r>
        <w:rPr>
          <w:rFonts w:hint="eastAsia" w:hAnsi="宋体" w:cs="宋体"/>
          <w:b/>
          <w:bCs/>
          <w:sz w:val="24"/>
          <w:u w:val="single"/>
        </w:rPr>
        <w:t>：</w:t>
      </w:r>
    </w:p>
    <w:p w14:paraId="4BD98343">
      <w:pPr>
        <w:pStyle w:val="10"/>
        <w:spacing w:before="60" w:after="60" w:line="500" w:lineRule="exact"/>
        <w:ind w:firstLine="480" w:firstLineChars="200"/>
        <w:rPr>
          <w:rFonts w:hAnsi="宋体" w:cs="宋体"/>
          <w:sz w:val="24"/>
        </w:rPr>
      </w:pPr>
      <w:r>
        <w:rPr>
          <w:rFonts w:hint="eastAsia" w:hAnsi="宋体" w:cs="宋体"/>
          <w:sz w:val="24"/>
        </w:rPr>
        <w:t>我方参与的</w:t>
      </w:r>
      <w:r>
        <w:rPr>
          <w:rFonts w:hint="eastAsia" w:hAnsi="宋体" w:eastAsia="宋体" w:cs="宋体"/>
          <w:sz w:val="24"/>
          <w:u w:val="single"/>
          <w:lang w:eastAsia="zh-CN"/>
        </w:rPr>
        <w:t>白塔镇景园村关金生态停车场建设项目</w:t>
      </w:r>
      <w:r>
        <w:rPr>
          <w:rFonts w:hint="eastAsia" w:hAnsi="宋体" w:cs="宋体"/>
          <w:sz w:val="24"/>
          <w:u w:val="single"/>
        </w:rPr>
        <w:t xml:space="preserve">  </w:t>
      </w:r>
      <w:r>
        <w:rPr>
          <w:rFonts w:hint="eastAsia" w:hAnsi="宋体" w:eastAsia="宋体" w:cs="宋体"/>
          <w:sz w:val="24"/>
          <w:u w:val="single"/>
          <w:lang w:eastAsia="zh-CN"/>
        </w:rPr>
        <w:t>TYXJ-202501</w:t>
      </w:r>
      <w:r>
        <w:rPr>
          <w:rFonts w:hint="eastAsia" w:hAnsi="宋体" w:cs="宋体"/>
          <w:sz w:val="24"/>
          <w:u w:val="single"/>
        </w:rPr>
        <w:t xml:space="preserve"> </w:t>
      </w:r>
      <w:r>
        <w:rPr>
          <w:rFonts w:hint="eastAsia" w:hAnsi="宋体" w:cs="宋体"/>
          <w:sz w:val="24"/>
        </w:rPr>
        <w:t xml:space="preserve"> 的谈判活动，现承诺我公司在参加本项目政府采购活动前，没有处于被责令停产、财产被接管、冻结或破产状态，具有足够的流动资金，有能力履行合同；我公司具有良好的商业信誉和健全的财务会计制度。</w:t>
      </w:r>
    </w:p>
    <w:p w14:paraId="70EC2E3F">
      <w:pPr>
        <w:pStyle w:val="10"/>
        <w:spacing w:before="60" w:after="60" w:line="500" w:lineRule="exact"/>
        <w:ind w:firstLine="480" w:firstLineChars="200"/>
        <w:rPr>
          <w:rFonts w:hAnsi="宋体" w:cs="宋体"/>
          <w:sz w:val="24"/>
        </w:rPr>
      </w:pPr>
      <w:r>
        <w:rPr>
          <w:rFonts w:hint="eastAsia" w:hAnsi="宋体" w:cs="宋体"/>
          <w:sz w:val="24"/>
        </w:rPr>
        <w:t>如本公司对以上条款提供虚假承诺，愿承担一切法律责任。</w:t>
      </w:r>
    </w:p>
    <w:p w14:paraId="456B70A9">
      <w:pPr>
        <w:pStyle w:val="10"/>
        <w:spacing w:before="60" w:after="60" w:line="500" w:lineRule="exact"/>
        <w:ind w:firstLine="480" w:firstLineChars="200"/>
        <w:rPr>
          <w:rFonts w:hAnsi="宋体" w:cs="宋体"/>
          <w:sz w:val="24"/>
        </w:rPr>
      </w:pPr>
    </w:p>
    <w:p w14:paraId="354BD434">
      <w:pPr>
        <w:spacing w:line="360" w:lineRule="auto"/>
        <w:ind w:firstLine="230" w:firstLineChars="100"/>
        <w:jc w:val="left"/>
        <w:rPr>
          <w:rFonts w:ascii="宋体" w:hAnsi="宋体" w:cs="宋体"/>
          <w:sz w:val="24"/>
        </w:rPr>
      </w:pPr>
      <w:r>
        <w:rPr>
          <w:rFonts w:hint="eastAsia" w:ascii="宋体" w:hAnsi="宋体" w:cs="宋体"/>
          <w:sz w:val="23"/>
          <w:szCs w:val="23"/>
        </w:rPr>
        <w:t xml:space="preserve">                                      </w:t>
      </w:r>
      <w:r>
        <w:rPr>
          <w:rFonts w:hint="eastAsia" w:ascii="宋体" w:hAnsi="宋体" w:eastAsia="宋体" w:cs="宋体"/>
          <w:sz w:val="24"/>
        </w:rPr>
        <w:t>谈判供应商</w:t>
      </w:r>
      <w:r>
        <w:rPr>
          <w:rFonts w:hint="eastAsia" w:ascii="宋体" w:hAnsi="宋体" w:cs="宋体"/>
          <w:sz w:val="24"/>
        </w:rPr>
        <w:t xml:space="preserve"> (盖单位章) ：</w:t>
      </w:r>
    </w:p>
    <w:p w14:paraId="38E14F61">
      <w:pPr>
        <w:pStyle w:val="10"/>
        <w:adjustRightInd w:val="0"/>
        <w:snapToGrid w:val="0"/>
        <w:spacing w:before="120" w:after="120"/>
        <w:jc w:val="center"/>
        <w:rPr>
          <w:rFonts w:hAnsi="宋体" w:cs="宋体"/>
          <w:sz w:val="24"/>
        </w:rPr>
      </w:pPr>
      <w:r>
        <w:rPr>
          <w:rFonts w:hint="eastAsia" w:hAnsi="宋体" w:cs="宋体"/>
          <w:sz w:val="24"/>
        </w:rPr>
        <w:t xml:space="preserve">                               日　期  ：</w:t>
      </w:r>
    </w:p>
    <w:p w14:paraId="28EF6D5F">
      <w:pPr>
        <w:pStyle w:val="10"/>
        <w:adjustRightInd w:val="0"/>
        <w:snapToGrid w:val="0"/>
        <w:spacing w:before="120" w:after="120"/>
        <w:jc w:val="left"/>
        <w:rPr>
          <w:rFonts w:hAnsi="宋体" w:eastAsia="宋体" w:cs="宋体"/>
          <w:sz w:val="24"/>
          <w:u w:val="single"/>
        </w:rPr>
      </w:pPr>
      <w:r>
        <w:rPr>
          <w:rFonts w:hint="eastAsia" w:hAnsi="宋体" w:eastAsia="宋体" w:cs="宋体"/>
          <w:sz w:val="24"/>
          <w:u w:val="single"/>
        </w:rPr>
        <w:t xml:space="preserve">                                                                           </w:t>
      </w:r>
    </w:p>
    <w:p w14:paraId="220EA48E">
      <w:pPr>
        <w:pStyle w:val="6"/>
        <w:spacing w:line="360" w:lineRule="auto"/>
        <w:ind w:firstLine="0"/>
        <w:jc w:val="left"/>
        <w:rPr>
          <w:rFonts w:ascii="宋体" w:hAnsi="宋体" w:eastAsia="宋体" w:cs="宋体"/>
          <w:b/>
          <w:bCs/>
          <w:sz w:val="24"/>
          <w:szCs w:val="24"/>
        </w:rPr>
      </w:pPr>
      <w:r>
        <w:rPr>
          <w:rFonts w:hint="eastAsia" w:ascii="宋体" w:hAnsi="宋体" w:eastAsia="宋体" w:cs="宋体"/>
          <w:b/>
          <w:bCs/>
          <w:sz w:val="24"/>
          <w:szCs w:val="24"/>
        </w:rPr>
        <w:t>附件四：</w:t>
      </w:r>
    </w:p>
    <w:p w14:paraId="719C6685">
      <w:pPr>
        <w:pStyle w:val="6"/>
        <w:spacing w:line="360" w:lineRule="auto"/>
        <w:ind w:firstLine="0"/>
        <w:jc w:val="center"/>
        <w:rPr>
          <w:rFonts w:ascii="仿宋_GB2312" w:hAnsi="宋体" w:eastAsia="仿宋_GB2312"/>
          <w:b/>
          <w:sz w:val="32"/>
          <w:szCs w:val="32"/>
        </w:rPr>
      </w:pPr>
      <w:r>
        <w:rPr>
          <w:rFonts w:hint="eastAsia" w:ascii="宋体" w:cs="宋体"/>
          <w:b/>
          <w:sz w:val="24"/>
          <w:szCs w:val="24"/>
        </w:rPr>
        <w:t>依法缴纳税收及社会保障资金的承诺函</w:t>
      </w:r>
    </w:p>
    <w:p w14:paraId="07A5CF13">
      <w:pPr>
        <w:pStyle w:val="10"/>
        <w:spacing w:before="60" w:after="60" w:line="500" w:lineRule="exact"/>
        <w:rPr>
          <w:rFonts w:hAnsi="宋体" w:cs="宋体"/>
          <w:b/>
          <w:bCs/>
          <w:sz w:val="24"/>
          <w:u w:val="single"/>
        </w:rPr>
      </w:pPr>
      <w:r>
        <w:rPr>
          <w:rFonts w:hint="eastAsia" w:hAnsi="宋体" w:eastAsia="宋体" w:cs="宋体"/>
          <w:sz w:val="24"/>
          <w:szCs w:val="24"/>
          <w:u w:val="single"/>
          <w:lang w:eastAsia="zh-CN"/>
        </w:rPr>
        <w:t>仙居县白塔镇人民政府</w:t>
      </w:r>
      <w:r>
        <w:rPr>
          <w:rFonts w:hint="eastAsia" w:hAnsi="宋体" w:cs="宋体"/>
          <w:b/>
          <w:bCs/>
          <w:sz w:val="24"/>
          <w:u w:val="single"/>
        </w:rPr>
        <w:t>：</w:t>
      </w:r>
    </w:p>
    <w:p w14:paraId="51ACBA07">
      <w:pPr>
        <w:pStyle w:val="10"/>
        <w:spacing w:before="60" w:after="60" w:line="500" w:lineRule="exact"/>
        <w:ind w:firstLine="480" w:firstLineChars="200"/>
        <w:rPr>
          <w:rFonts w:hAnsi="宋体" w:cs="宋体"/>
          <w:sz w:val="24"/>
        </w:rPr>
      </w:pPr>
      <w:r>
        <w:rPr>
          <w:rFonts w:hint="eastAsia" w:hAnsi="宋体" w:cs="宋体"/>
          <w:sz w:val="24"/>
        </w:rPr>
        <w:t>我方参与的</w:t>
      </w:r>
      <w:r>
        <w:rPr>
          <w:rFonts w:hint="eastAsia" w:hAnsi="宋体" w:eastAsia="宋体" w:cs="宋体"/>
          <w:sz w:val="24"/>
          <w:u w:val="single"/>
          <w:lang w:eastAsia="zh-CN"/>
        </w:rPr>
        <w:t>白塔镇景园村关金生态停车场建设项目</w:t>
      </w:r>
      <w:r>
        <w:rPr>
          <w:rFonts w:hint="eastAsia" w:hAnsi="宋体" w:cs="宋体"/>
          <w:sz w:val="24"/>
          <w:u w:val="single"/>
        </w:rPr>
        <w:t xml:space="preserve">  </w:t>
      </w:r>
      <w:r>
        <w:rPr>
          <w:rFonts w:hint="eastAsia" w:hAnsi="宋体" w:eastAsia="宋体" w:cs="宋体"/>
          <w:sz w:val="24"/>
          <w:u w:val="single"/>
          <w:lang w:eastAsia="zh-CN"/>
        </w:rPr>
        <w:t>TYXJ-202501</w:t>
      </w:r>
      <w:r>
        <w:rPr>
          <w:rFonts w:hint="eastAsia" w:hAnsi="宋体" w:cs="宋体"/>
          <w:sz w:val="24"/>
          <w:u w:val="single"/>
        </w:rPr>
        <w:t xml:space="preserve"> </w:t>
      </w:r>
      <w:r>
        <w:rPr>
          <w:rFonts w:hint="eastAsia" w:hAnsi="宋体" w:cs="宋体"/>
          <w:sz w:val="24"/>
        </w:rPr>
        <w:t xml:space="preserve"> 的谈判活动，现郑重承诺：</w:t>
      </w:r>
    </w:p>
    <w:p w14:paraId="227C4B2B">
      <w:pPr>
        <w:pStyle w:val="10"/>
        <w:spacing w:before="60" w:after="60" w:line="500" w:lineRule="exact"/>
        <w:ind w:firstLine="480" w:firstLineChars="200"/>
        <w:rPr>
          <w:rFonts w:hAnsi="宋体" w:cs="宋体"/>
          <w:sz w:val="24"/>
        </w:rPr>
      </w:pPr>
      <w:r>
        <w:rPr>
          <w:rFonts w:hint="eastAsia" w:hAnsi="宋体" w:cs="宋体"/>
          <w:sz w:val="24"/>
        </w:rPr>
        <w:t>我公司已依法缴纳税收及社会保障资金，符合参与政府采购活动的资格条件，不存在税收缴纳、社会保障等方面的失信记录。</w:t>
      </w:r>
    </w:p>
    <w:p w14:paraId="7AD993D1">
      <w:pPr>
        <w:pStyle w:val="10"/>
        <w:spacing w:before="60" w:after="60" w:line="500" w:lineRule="exact"/>
        <w:ind w:firstLine="480" w:firstLineChars="200"/>
        <w:rPr>
          <w:rFonts w:hAnsi="宋体" w:cs="宋体"/>
          <w:sz w:val="24"/>
        </w:rPr>
      </w:pPr>
      <w:r>
        <w:rPr>
          <w:rFonts w:hint="eastAsia" w:hAnsi="宋体" w:cs="宋体"/>
          <w:sz w:val="24"/>
        </w:rPr>
        <w:t>如本公司对以上条款提供虚假承诺，愿承担一切法律责任。</w:t>
      </w:r>
    </w:p>
    <w:p w14:paraId="500C7691">
      <w:pPr>
        <w:pStyle w:val="10"/>
        <w:spacing w:before="60" w:after="60" w:line="500" w:lineRule="exact"/>
        <w:ind w:firstLine="480" w:firstLineChars="200"/>
        <w:rPr>
          <w:rFonts w:hAnsi="宋体" w:cs="宋体"/>
          <w:sz w:val="24"/>
        </w:rPr>
      </w:pPr>
    </w:p>
    <w:p w14:paraId="1459DC30">
      <w:pPr>
        <w:pStyle w:val="10"/>
        <w:spacing w:before="60" w:after="60" w:line="500" w:lineRule="exact"/>
        <w:ind w:firstLine="480" w:firstLineChars="200"/>
        <w:rPr>
          <w:rFonts w:hAnsi="宋体" w:cs="宋体"/>
          <w:sz w:val="24"/>
        </w:rPr>
      </w:pPr>
    </w:p>
    <w:p w14:paraId="20A1CD6E">
      <w:pPr>
        <w:spacing w:line="360" w:lineRule="auto"/>
        <w:ind w:firstLine="230" w:firstLineChars="100"/>
        <w:jc w:val="left"/>
        <w:rPr>
          <w:rFonts w:ascii="宋体" w:hAnsi="宋体" w:cs="宋体"/>
          <w:sz w:val="24"/>
        </w:rPr>
      </w:pPr>
      <w:r>
        <w:rPr>
          <w:rFonts w:hint="eastAsia" w:ascii="宋体" w:hAnsi="宋体" w:cs="宋体"/>
          <w:sz w:val="23"/>
          <w:szCs w:val="23"/>
        </w:rPr>
        <w:t xml:space="preserve">                                      </w:t>
      </w:r>
      <w:r>
        <w:rPr>
          <w:rFonts w:hint="eastAsia" w:ascii="宋体" w:hAnsi="宋体" w:eastAsia="宋体" w:cs="宋体"/>
          <w:sz w:val="24"/>
        </w:rPr>
        <w:t>谈判供应商</w:t>
      </w:r>
      <w:r>
        <w:rPr>
          <w:rFonts w:hint="eastAsia" w:ascii="宋体" w:hAnsi="宋体" w:cs="宋体"/>
          <w:sz w:val="24"/>
        </w:rPr>
        <w:t xml:space="preserve"> (盖单位章) ：</w:t>
      </w:r>
    </w:p>
    <w:p w14:paraId="7BE6330C">
      <w:pPr>
        <w:pStyle w:val="10"/>
        <w:adjustRightInd w:val="0"/>
        <w:snapToGrid w:val="0"/>
        <w:spacing w:before="120" w:after="120"/>
        <w:jc w:val="center"/>
        <w:rPr>
          <w:rFonts w:hAnsi="宋体" w:cs="宋体"/>
          <w:sz w:val="24"/>
        </w:rPr>
      </w:pPr>
      <w:r>
        <w:rPr>
          <w:rFonts w:hint="eastAsia" w:hAnsi="宋体" w:cs="宋体"/>
          <w:sz w:val="24"/>
        </w:rPr>
        <w:t xml:space="preserve">                               日　期  ：</w:t>
      </w:r>
    </w:p>
    <w:p w14:paraId="50FA88BF">
      <w:pPr>
        <w:widowControl/>
        <w:jc w:val="left"/>
        <w:rPr>
          <w:rFonts w:ascii="宋体" w:hAnsi="宋体" w:eastAsia="宋体" w:cs="宋体"/>
          <w:b/>
          <w:bCs/>
          <w:sz w:val="24"/>
          <w:lang w:val="zh-CN"/>
        </w:rPr>
      </w:pPr>
    </w:p>
    <w:p w14:paraId="6F72360A">
      <w:pPr>
        <w:widowControl/>
        <w:jc w:val="left"/>
        <w:rPr>
          <w:rFonts w:ascii="宋体" w:hAnsi="宋体" w:eastAsia="宋体" w:cs="宋体"/>
          <w:b/>
          <w:bCs/>
          <w:sz w:val="24"/>
          <w:lang w:val="zh-CN"/>
        </w:rPr>
      </w:pPr>
      <w:r>
        <w:rPr>
          <w:rFonts w:hAnsi="宋体" w:eastAsia="宋体" w:cs="宋体"/>
          <w:b/>
          <w:bCs/>
          <w:sz w:val="24"/>
          <w:lang w:val="zh-CN"/>
        </w:rPr>
        <w:br w:type="page"/>
      </w:r>
    </w:p>
    <w:p w14:paraId="2643C2C1">
      <w:pPr>
        <w:pStyle w:val="10"/>
        <w:adjustRightInd w:val="0"/>
        <w:snapToGrid w:val="0"/>
        <w:spacing w:before="120" w:after="120"/>
        <w:rPr>
          <w:rFonts w:hAnsi="宋体" w:eastAsia="宋体" w:cs="宋体"/>
          <w:b/>
          <w:bCs/>
          <w:sz w:val="24"/>
          <w:szCs w:val="24"/>
          <w:lang w:val="zh-CN"/>
        </w:rPr>
      </w:pPr>
      <w:r>
        <w:rPr>
          <w:rFonts w:hint="eastAsia" w:hAnsi="宋体" w:eastAsia="宋体" w:cs="宋体"/>
          <w:b/>
          <w:bCs/>
          <w:sz w:val="24"/>
          <w:szCs w:val="24"/>
          <w:lang w:val="zh-CN"/>
        </w:rPr>
        <w:t>附件</w:t>
      </w:r>
      <w:r>
        <w:rPr>
          <w:rFonts w:hint="eastAsia" w:hAnsi="宋体" w:eastAsia="宋体" w:cs="宋体"/>
          <w:b/>
          <w:bCs/>
          <w:sz w:val="24"/>
          <w:szCs w:val="24"/>
        </w:rPr>
        <w:t>五</w:t>
      </w:r>
      <w:r>
        <w:rPr>
          <w:rFonts w:hint="eastAsia" w:hAnsi="宋体" w:eastAsia="宋体" w:cs="宋体"/>
          <w:b/>
          <w:bCs/>
          <w:sz w:val="24"/>
          <w:szCs w:val="24"/>
          <w:lang w:val="zh-CN"/>
        </w:rPr>
        <w:t>：</w:t>
      </w:r>
    </w:p>
    <w:p w14:paraId="6BA7FEC6">
      <w:pPr>
        <w:pStyle w:val="6"/>
        <w:spacing w:line="360" w:lineRule="auto"/>
        <w:ind w:firstLine="0"/>
        <w:jc w:val="center"/>
        <w:rPr>
          <w:rFonts w:ascii="仿宋_GB2312" w:hAnsi="宋体" w:eastAsia="仿宋_GB2312"/>
          <w:b/>
          <w:sz w:val="32"/>
          <w:szCs w:val="32"/>
        </w:rPr>
      </w:pPr>
      <w:r>
        <w:rPr>
          <w:rFonts w:hint="eastAsia" w:ascii="宋体" w:hAnsi="宋体" w:cs="宋体"/>
          <w:b/>
          <w:sz w:val="24"/>
          <w:szCs w:val="24"/>
        </w:rPr>
        <w:t>具有履行合同所必需设备和专业技术能力的承诺函</w:t>
      </w:r>
    </w:p>
    <w:p w14:paraId="5D8CDE14">
      <w:pPr>
        <w:pStyle w:val="10"/>
        <w:spacing w:before="60" w:after="60" w:line="500" w:lineRule="exact"/>
        <w:rPr>
          <w:rFonts w:hAnsi="宋体" w:cs="宋体"/>
          <w:b/>
          <w:bCs/>
          <w:sz w:val="24"/>
          <w:u w:val="single"/>
        </w:rPr>
      </w:pPr>
      <w:r>
        <w:rPr>
          <w:rFonts w:hint="eastAsia" w:hAnsi="宋体" w:eastAsia="宋体" w:cs="宋体"/>
          <w:sz w:val="24"/>
          <w:szCs w:val="24"/>
          <w:u w:val="single"/>
          <w:lang w:eastAsia="zh-CN"/>
        </w:rPr>
        <w:t>仙居县白塔镇人民政府</w:t>
      </w:r>
      <w:r>
        <w:rPr>
          <w:rFonts w:hint="eastAsia" w:hAnsi="宋体" w:cs="宋体"/>
          <w:b/>
          <w:bCs/>
          <w:sz w:val="24"/>
          <w:u w:val="single"/>
        </w:rPr>
        <w:t>：</w:t>
      </w:r>
    </w:p>
    <w:p w14:paraId="67D0E611">
      <w:pPr>
        <w:pStyle w:val="10"/>
        <w:spacing w:before="60" w:after="60" w:line="500" w:lineRule="exact"/>
        <w:ind w:firstLine="480" w:firstLineChars="200"/>
        <w:rPr>
          <w:rFonts w:hAnsi="宋体" w:cs="宋体"/>
          <w:sz w:val="24"/>
        </w:rPr>
      </w:pPr>
      <w:r>
        <w:rPr>
          <w:rFonts w:hint="eastAsia" w:hAnsi="宋体" w:cs="宋体"/>
          <w:sz w:val="24"/>
        </w:rPr>
        <w:t>我方参与的</w:t>
      </w:r>
      <w:r>
        <w:rPr>
          <w:rFonts w:hint="eastAsia" w:hAnsi="宋体" w:eastAsia="宋体" w:cs="宋体"/>
          <w:sz w:val="24"/>
          <w:u w:val="single"/>
          <w:lang w:eastAsia="zh-CN"/>
        </w:rPr>
        <w:t>白塔镇景园村关金生态停车场建设项目TYXJ-202501</w:t>
      </w:r>
      <w:r>
        <w:rPr>
          <w:rFonts w:hint="eastAsia" w:hAnsi="宋体" w:cs="宋体"/>
          <w:sz w:val="24"/>
          <w:u w:val="single"/>
        </w:rPr>
        <w:t xml:space="preserve"> </w:t>
      </w:r>
      <w:r>
        <w:rPr>
          <w:rFonts w:hint="eastAsia" w:hAnsi="宋体" w:cs="宋体"/>
          <w:sz w:val="24"/>
        </w:rPr>
        <w:t xml:space="preserve"> 的谈判活动，我方郑重承诺</w:t>
      </w:r>
      <w:r>
        <w:rPr>
          <w:rFonts w:hint="eastAsia" w:hAnsi="宋体" w:eastAsia="宋体" w:cs="宋体"/>
          <w:sz w:val="24"/>
        </w:rPr>
        <w:t>：</w:t>
      </w:r>
      <w:r>
        <w:rPr>
          <w:rFonts w:hint="eastAsia" w:hAnsi="宋体" w:cs="宋体"/>
          <w:sz w:val="24"/>
        </w:rPr>
        <w:t>我方承诺具有履行合同所必需设备和专业技术能力。如有虚假，采购组织机构可取消我方任何资格（谈判/中标/签订合同），我方对此无任何异议。</w:t>
      </w:r>
    </w:p>
    <w:p w14:paraId="114C3E10">
      <w:pPr>
        <w:pStyle w:val="10"/>
        <w:spacing w:before="60" w:after="60" w:line="500" w:lineRule="exact"/>
        <w:ind w:firstLine="480" w:firstLineChars="200"/>
        <w:rPr>
          <w:rFonts w:hAnsi="宋体" w:cs="宋体"/>
          <w:sz w:val="24"/>
        </w:rPr>
      </w:pPr>
      <w:r>
        <w:rPr>
          <w:rFonts w:hint="eastAsia" w:hAnsi="宋体" w:cs="宋体"/>
          <w:sz w:val="24"/>
        </w:rPr>
        <w:t>特此承诺！</w:t>
      </w:r>
    </w:p>
    <w:p w14:paraId="30E67382">
      <w:pPr>
        <w:pStyle w:val="10"/>
        <w:spacing w:before="60" w:after="60" w:line="500" w:lineRule="exact"/>
        <w:ind w:firstLine="480" w:firstLineChars="200"/>
        <w:rPr>
          <w:rFonts w:hAnsi="宋体" w:cs="宋体"/>
          <w:sz w:val="24"/>
        </w:rPr>
      </w:pPr>
    </w:p>
    <w:p w14:paraId="56A3AAE8">
      <w:pPr>
        <w:spacing w:line="360" w:lineRule="auto"/>
        <w:ind w:firstLine="230" w:firstLineChars="100"/>
        <w:jc w:val="left"/>
        <w:rPr>
          <w:rFonts w:ascii="宋体" w:hAnsi="宋体" w:cs="宋体"/>
          <w:sz w:val="24"/>
        </w:rPr>
      </w:pPr>
      <w:r>
        <w:rPr>
          <w:rFonts w:hint="eastAsia" w:ascii="宋体" w:hAnsi="宋体" w:cs="宋体"/>
          <w:sz w:val="23"/>
          <w:szCs w:val="23"/>
        </w:rPr>
        <w:t xml:space="preserve">                                      </w:t>
      </w:r>
      <w:r>
        <w:rPr>
          <w:rFonts w:hint="eastAsia" w:ascii="宋体" w:hAnsi="宋体" w:eastAsia="宋体" w:cs="宋体"/>
          <w:sz w:val="24"/>
        </w:rPr>
        <w:t>谈判供应商</w:t>
      </w:r>
      <w:r>
        <w:rPr>
          <w:rFonts w:hint="eastAsia" w:ascii="宋体" w:hAnsi="宋体" w:cs="宋体"/>
          <w:sz w:val="24"/>
        </w:rPr>
        <w:t xml:space="preserve"> (盖单位章) ：</w:t>
      </w:r>
    </w:p>
    <w:p w14:paraId="26DCA6B6">
      <w:pPr>
        <w:pStyle w:val="10"/>
        <w:adjustRightInd w:val="0"/>
        <w:snapToGrid w:val="0"/>
        <w:spacing w:before="120" w:after="120"/>
        <w:jc w:val="center"/>
        <w:rPr>
          <w:rFonts w:hAnsi="宋体" w:cs="宋体"/>
          <w:sz w:val="24"/>
        </w:rPr>
      </w:pPr>
      <w:r>
        <w:rPr>
          <w:rFonts w:hint="eastAsia" w:hAnsi="宋体" w:cs="宋体"/>
          <w:sz w:val="24"/>
        </w:rPr>
        <w:t xml:space="preserve">                               日　期  ：</w:t>
      </w:r>
    </w:p>
    <w:p w14:paraId="476591DF">
      <w:pPr>
        <w:pStyle w:val="10"/>
        <w:adjustRightInd w:val="0"/>
        <w:snapToGrid w:val="0"/>
        <w:spacing w:before="120" w:after="120"/>
        <w:jc w:val="left"/>
        <w:rPr>
          <w:rFonts w:hAnsi="宋体" w:eastAsia="宋体" w:cs="宋体"/>
          <w:sz w:val="24"/>
          <w:u w:val="single"/>
        </w:rPr>
      </w:pPr>
      <w:r>
        <w:rPr>
          <w:rFonts w:hint="eastAsia" w:hAnsi="宋体" w:eastAsia="宋体" w:cs="宋体"/>
          <w:sz w:val="24"/>
          <w:u w:val="single"/>
        </w:rPr>
        <w:t xml:space="preserve">                                                                           </w:t>
      </w:r>
    </w:p>
    <w:p w14:paraId="1BC45215">
      <w:pPr>
        <w:pStyle w:val="10"/>
        <w:adjustRightInd w:val="0"/>
        <w:snapToGrid w:val="0"/>
        <w:spacing w:before="120" w:after="120"/>
        <w:jc w:val="center"/>
        <w:rPr>
          <w:rFonts w:hAnsi="宋体" w:cs="宋体"/>
          <w:sz w:val="24"/>
        </w:rPr>
      </w:pPr>
    </w:p>
    <w:p w14:paraId="0ED06E0F">
      <w:pPr>
        <w:pStyle w:val="10"/>
        <w:adjustRightInd w:val="0"/>
        <w:snapToGrid w:val="0"/>
        <w:spacing w:before="120" w:after="120"/>
        <w:rPr>
          <w:rFonts w:hAnsi="宋体" w:eastAsia="宋体" w:cs="宋体"/>
          <w:b/>
          <w:bCs/>
          <w:sz w:val="24"/>
          <w:szCs w:val="24"/>
          <w:lang w:val="zh-CN"/>
        </w:rPr>
      </w:pPr>
      <w:r>
        <w:rPr>
          <w:rFonts w:hint="eastAsia" w:hAnsi="宋体" w:eastAsia="宋体" w:cs="宋体"/>
          <w:b/>
          <w:bCs/>
          <w:sz w:val="24"/>
          <w:szCs w:val="24"/>
          <w:lang w:val="zh-CN"/>
        </w:rPr>
        <w:t>附件</w:t>
      </w:r>
      <w:r>
        <w:rPr>
          <w:rFonts w:hint="eastAsia" w:hAnsi="宋体" w:eastAsia="宋体" w:cs="宋体"/>
          <w:b/>
          <w:bCs/>
          <w:sz w:val="24"/>
          <w:szCs w:val="24"/>
        </w:rPr>
        <w:t>六</w:t>
      </w:r>
      <w:r>
        <w:rPr>
          <w:rFonts w:hint="eastAsia" w:hAnsi="宋体" w:eastAsia="宋体" w:cs="宋体"/>
          <w:b/>
          <w:bCs/>
          <w:sz w:val="24"/>
          <w:szCs w:val="24"/>
          <w:lang w:val="zh-CN"/>
        </w:rPr>
        <w:t>：</w:t>
      </w:r>
    </w:p>
    <w:p w14:paraId="57B212A5">
      <w:pPr>
        <w:pStyle w:val="10"/>
        <w:adjustRightInd w:val="0"/>
        <w:snapToGrid w:val="0"/>
        <w:spacing w:before="120" w:after="120"/>
        <w:jc w:val="center"/>
        <w:rPr>
          <w:rFonts w:hAnsi="宋体" w:eastAsia="宋体" w:cs="宋体"/>
          <w:b/>
          <w:bCs/>
          <w:sz w:val="24"/>
          <w:szCs w:val="24"/>
        </w:rPr>
      </w:pPr>
      <w:r>
        <w:rPr>
          <w:rFonts w:hint="eastAsia" w:hAnsi="宋体" w:eastAsia="宋体" w:cs="宋体"/>
          <w:b/>
          <w:bCs/>
          <w:sz w:val="24"/>
          <w:szCs w:val="24"/>
          <w:lang w:val="zh-CN"/>
        </w:rPr>
        <w:t>无重大违法记录声明书</w:t>
      </w:r>
    </w:p>
    <w:p w14:paraId="2E1BA1C2">
      <w:pPr>
        <w:spacing w:line="360" w:lineRule="auto"/>
        <w:jc w:val="left"/>
        <w:rPr>
          <w:rFonts w:ascii="宋体" w:hAnsi="宋体" w:eastAsia="宋体" w:cs="宋体"/>
          <w:sz w:val="24"/>
        </w:rPr>
      </w:pPr>
      <w:r>
        <w:rPr>
          <w:rFonts w:hint="eastAsia" w:ascii="宋体" w:hAnsi="宋体" w:eastAsia="宋体" w:cs="宋体"/>
          <w:sz w:val="24"/>
          <w:lang w:eastAsia="zh-CN"/>
        </w:rPr>
        <w:t>仙居县白塔镇人民政府</w:t>
      </w:r>
      <w:r>
        <w:rPr>
          <w:rFonts w:hint="eastAsia" w:ascii="宋体" w:hAnsi="宋体" w:eastAsia="宋体" w:cs="宋体"/>
          <w:sz w:val="24"/>
        </w:rPr>
        <w:t>：</w:t>
      </w:r>
    </w:p>
    <w:p w14:paraId="5FFFA59E">
      <w:pPr>
        <w:spacing w:line="450" w:lineRule="atLeast"/>
        <w:ind w:firstLine="480" w:firstLineChars="200"/>
        <w:jc w:val="left"/>
        <w:rPr>
          <w:rFonts w:ascii="宋体" w:hAnsi="宋体" w:eastAsia="宋体" w:cs="宋体"/>
          <w:sz w:val="24"/>
        </w:rPr>
      </w:pPr>
      <w:r>
        <w:rPr>
          <w:rFonts w:hint="eastAsia" w:ascii="宋体" w:hAnsi="宋体" w:eastAsia="宋体" w:cs="宋体"/>
          <w:sz w:val="24"/>
        </w:rPr>
        <w:t>我方郑重声明：我方参加本项目谈判活动前三年内无重大违法记录（重大违法记录是指供应商因违法经营受到刑事处罚或者责令停产停业、吊销许可证或者执照、较大数额罚款等行政处罚），符合《中华人民共和国政府采购法》、《中华人民共和国政府采购法实施条例》的规定。我方对此声明负全部法律责任。</w:t>
      </w:r>
    </w:p>
    <w:p w14:paraId="37091104">
      <w:pPr>
        <w:spacing w:line="450" w:lineRule="atLeast"/>
        <w:ind w:firstLine="480" w:firstLineChars="200"/>
        <w:jc w:val="left"/>
        <w:rPr>
          <w:rFonts w:ascii="宋体" w:hAnsi="宋体" w:eastAsia="宋体" w:cs="宋体"/>
          <w:sz w:val="24"/>
        </w:rPr>
      </w:pPr>
      <w:r>
        <w:rPr>
          <w:rFonts w:hint="eastAsia" w:ascii="宋体" w:hAnsi="宋体" w:eastAsia="宋体" w:cs="宋体"/>
          <w:sz w:val="24"/>
        </w:rPr>
        <w:t>特此声明。</w:t>
      </w:r>
    </w:p>
    <w:p w14:paraId="3E63B046">
      <w:pPr>
        <w:pStyle w:val="7"/>
      </w:pPr>
    </w:p>
    <w:p w14:paraId="29B2D5B1">
      <w:pPr>
        <w:pStyle w:val="10"/>
        <w:jc w:val="center"/>
        <w:rPr>
          <w:rFonts w:hAnsi="宋体" w:eastAsia="宋体" w:cs="宋体"/>
          <w:sz w:val="24"/>
          <w:szCs w:val="24"/>
        </w:rPr>
      </w:pPr>
    </w:p>
    <w:p w14:paraId="7930C4D4">
      <w:pPr>
        <w:spacing w:line="360" w:lineRule="auto"/>
        <w:jc w:val="left"/>
        <w:rPr>
          <w:rFonts w:ascii="宋体" w:hAnsi="宋体" w:eastAsia="宋体" w:cs="宋体"/>
          <w:sz w:val="24"/>
        </w:rPr>
      </w:pPr>
      <w:r>
        <w:rPr>
          <w:rFonts w:hint="eastAsia" w:ascii="宋体" w:hAnsi="宋体" w:eastAsia="宋体" w:cs="宋体"/>
          <w:sz w:val="24"/>
        </w:rPr>
        <w:t>                                          谈判供应商 (盖单位章)：</w:t>
      </w:r>
    </w:p>
    <w:p w14:paraId="3A964933">
      <w:pPr>
        <w:pStyle w:val="10"/>
        <w:adjustRightInd w:val="0"/>
        <w:snapToGrid w:val="0"/>
        <w:spacing w:before="120" w:after="120" w:line="360" w:lineRule="auto"/>
        <w:rPr>
          <w:rFonts w:hAnsi="宋体" w:eastAsia="宋体" w:cs="宋体"/>
          <w:sz w:val="24"/>
          <w:szCs w:val="24"/>
        </w:rPr>
      </w:pPr>
      <w:r>
        <w:rPr>
          <w:rFonts w:hint="eastAsia" w:hAnsi="宋体" w:eastAsia="宋体" w:cs="宋体"/>
          <w:sz w:val="24"/>
          <w:szCs w:val="24"/>
        </w:rPr>
        <w:t xml:space="preserve">                                                      日　期：</w:t>
      </w:r>
    </w:p>
    <w:p w14:paraId="64F0661A">
      <w:pPr>
        <w:pStyle w:val="10"/>
        <w:spacing w:line="360" w:lineRule="auto"/>
        <w:outlineLvl w:val="1"/>
        <w:rPr>
          <w:rFonts w:hAnsi="宋体" w:eastAsia="宋体" w:cs="宋体"/>
          <w:b/>
          <w:sz w:val="24"/>
          <w:szCs w:val="24"/>
        </w:rPr>
      </w:pPr>
    </w:p>
    <w:p w14:paraId="120F57C8">
      <w:pPr>
        <w:pStyle w:val="11"/>
        <w:ind w:left="9000"/>
        <w:rPr>
          <w:rFonts w:ascii="宋体" w:hAnsi="宋体" w:eastAsia="宋体" w:cs="宋体"/>
          <w:b/>
          <w:sz w:val="21"/>
          <w:szCs w:val="21"/>
        </w:rPr>
      </w:pPr>
    </w:p>
    <w:p w14:paraId="654E2AEB">
      <w:pPr>
        <w:rPr>
          <w:rFonts w:ascii="宋体" w:hAnsi="宋体" w:eastAsia="宋体" w:cs="宋体"/>
          <w:b/>
          <w:sz w:val="21"/>
          <w:szCs w:val="21"/>
        </w:rPr>
      </w:pPr>
    </w:p>
    <w:p w14:paraId="0696D93C">
      <w:pPr>
        <w:widowControl/>
        <w:jc w:val="left"/>
        <w:rPr>
          <w:rFonts w:ascii="宋体" w:hAnsi="宋体" w:eastAsia="宋体" w:cs="宋体"/>
          <w:b/>
          <w:sz w:val="24"/>
        </w:rPr>
      </w:pPr>
      <w:r>
        <w:rPr>
          <w:rFonts w:ascii="宋体" w:hAnsi="宋体" w:eastAsia="宋体" w:cs="宋体"/>
          <w:b/>
          <w:sz w:val="24"/>
        </w:rPr>
        <w:br w:type="page"/>
      </w:r>
    </w:p>
    <w:p w14:paraId="0149E98D">
      <w:pPr>
        <w:spacing w:line="450" w:lineRule="atLeast"/>
        <w:rPr>
          <w:rFonts w:ascii="宋体" w:hAnsi="宋体" w:eastAsia="宋体" w:cs="宋体"/>
          <w:b/>
          <w:sz w:val="24"/>
        </w:rPr>
      </w:pPr>
      <w:r>
        <w:rPr>
          <w:rFonts w:hint="eastAsia" w:ascii="宋体" w:hAnsi="宋体" w:eastAsia="宋体" w:cs="宋体"/>
          <w:b/>
          <w:sz w:val="24"/>
        </w:rPr>
        <w:t>附件七：</w:t>
      </w:r>
    </w:p>
    <w:p w14:paraId="5E75E244">
      <w:pPr>
        <w:widowControl/>
        <w:spacing w:line="360" w:lineRule="auto"/>
        <w:jc w:val="center"/>
        <w:rPr>
          <w:rFonts w:ascii="宋体" w:hAnsi="宋体" w:eastAsia="宋体" w:cs="宋体"/>
          <w:sz w:val="30"/>
          <w:szCs w:val="30"/>
        </w:rPr>
      </w:pPr>
      <w:r>
        <w:rPr>
          <w:rFonts w:hint="eastAsia" w:ascii="宋体" w:hAnsi="宋体" w:eastAsia="宋体" w:cs="宋体"/>
          <w:b/>
          <w:kern w:val="0"/>
          <w:sz w:val="30"/>
          <w:szCs w:val="30"/>
        </w:rPr>
        <w:t>中小企业声明函</w:t>
      </w:r>
    </w:p>
    <w:p w14:paraId="580E9FF0">
      <w:pPr>
        <w:widowControl/>
        <w:spacing w:line="500" w:lineRule="exact"/>
        <w:ind w:firstLine="480" w:firstLineChars="200"/>
        <w:jc w:val="left"/>
        <w:rPr>
          <w:rFonts w:ascii="宋体" w:hAnsi="宋体" w:eastAsia="宋体" w:cs="宋体"/>
          <w:sz w:val="24"/>
        </w:rPr>
      </w:pPr>
      <w:r>
        <w:rPr>
          <w:rFonts w:hint="eastAsia" w:ascii="宋体" w:hAnsi="宋体" w:eastAsia="宋体" w:cs="宋体"/>
          <w:kern w:val="0"/>
          <w:sz w:val="24"/>
        </w:rPr>
        <w:t>本公司（联合体）郑重声明，根据《政府采购促进中小企业发展管理办法》（财库﹝2020﹞46号）的规定，本公司（联合体）参加</w:t>
      </w:r>
      <w:r>
        <w:rPr>
          <w:rFonts w:hint="eastAsia" w:ascii="宋体" w:hAnsi="宋体" w:eastAsia="宋体" w:cs="宋体"/>
          <w:i/>
          <w:kern w:val="0"/>
          <w:sz w:val="24"/>
          <w:u w:val="single"/>
        </w:rPr>
        <w:t xml:space="preserve"> </w:t>
      </w:r>
      <w:r>
        <w:rPr>
          <w:rFonts w:hint="eastAsia" w:ascii="宋体" w:hAnsi="宋体" w:eastAsia="宋体" w:cs="宋体"/>
          <w:i/>
          <w:kern w:val="0"/>
          <w:sz w:val="24"/>
          <w:u w:val="single"/>
          <w:lang w:eastAsia="zh-CN"/>
        </w:rPr>
        <w:t>仙居县白塔镇人民政府</w:t>
      </w:r>
      <w:r>
        <w:rPr>
          <w:rFonts w:hint="eastAsia" w:ascii="宋体" w:hAnsi="宋体" w:eastAsia="宋体" w:cs="宋体"/>
          <w:i/>
          <w:kern w:val="0"/>
          <w:sz w:val="24"/>
          <w:u w:val="single"/>
        </w:rPr>
        <w:t xml:space="preserve">  </w:t>
      </w:r>
      <w:r>
        <w:rPr>
          <w:rFonts w:hint="eastAsia" w:ascii="宋体" w:hAnsi="宋体" w:eastAsia="宋体" w:cs="宋体"/>
          <w:kern w:val="0"/>
          <w:sz w:val="24"/>
        </w:rPr>
        <w:t>的</w:t>
      </w:r>
      <w:r>
        <w:rPr>
          <w:rFonts w:hint="eastAsia" w:ascii="宋体" w:hAnsi="宋体" w:eastAsia="宋体" w:cs="宋体"/>
          <w:kern w:val="0"/>
          <w:sz w:val="24"/>
          <w:u w:val="single"/>
        </w:rPr>
        <w:t xml:space="preserve">  </w:t>
      </w:r>
      <w:r>
        <w:rPr>
          <w:rFonts w:hint="eastAsia" w:ascii="宋体" w:hAnsi="宋体" w:eastAsia="宋体" w:cs="宋体"/>
          <w:kern w:val="0"/>
          <w:sz w:val="24"/>
          <w:u w:val="single"/>
          <w:lang w:eastAsia="zh-CN"/>
        </w:rPr>
        <w:t>白塔镇景园村关金生态停车场建设项目</w:t>
      </w:r>
      <w:r>
        <w:rPr>
          <w:rFonts w:hint="eastAsia" w:ascii="宋体" w:hAnsi="宋体" w:eastAsia="宋体" w:cs="宋体"/>
          <w:i/>
          <w:kern w:val="0"/>
          <w:sz w:val="24"/>
          <w:u w:val="single"/>
        </w:rPr>
        <w:t xml:space="preserve">   </w:t>
      </w:r>
      <w:r>
        <w:rPr>
          <w:rFonts w:hint="eastAsia" w:ascii="宋体" w:hAnsi="宋体" w:eastAsia="宋体" w:cs="宋体"/>
          <w:kern w:val="0"/>
          <w:sz w:val="24"/>
        </w:rPr>
        <w:t>采购活动，工程的施工单位全部为符合政策要求的中小企业（或者：服务全部由符合政策要求的中小企业承接）。相关企业（含联合体中的中小企业、签订分包意向协议的中小企业）的具体情况如下：</w:t>
      </w:r>
    </w:p>
    <w:p w14:paraId="28ADCB98">
      <w:pPr>
        <w:widowControl/>
        <w:spacing w:line="500" w:lineRule="exact"/>
        <w:ind w:firstLine="480" w:firstLineChars="200"/>
        <w:jc w:val="left"/>
        <w:rPr>
          <w:rFonts w:ascii="宋体" w:hAnsi="宋体" w:eastAsia="宋体" w:cs="宋体"/>
          <w:sz w:val="24"/>
        </w:rPr>
      </w:pPr>
      <w:r>
        <w:rPr>
          <w:rFonts w:hint="eastAsia" w:ascii="宋体" w:hAnsi="宋体" w:eastAsia="宋体" w:cs="宋体"/>
          <w:kern w:val="0"/>
          <w:sz w:val="24"/>
        </w:rPr>
        <w:t>1.</w:t>
      </w:r>
      <w:r>
        <w:rPr>
          <w:rFonts w:hint="eastAsia" w:ascii="宋体" w:hAnsi="宋体" w:eastAsia="宋体" w:cs="宋体"/>
          <w:kern w:val="0"/>
          <w:sz w:val="24"/>
          <w:u w:val="single"/>
        </w:rPr>
        <w:t xml:space="preserve"> </w:t>
      </w:r>
      <w:r>
        <w:rPr>
          <w:rFonts w:hint="eastAsia" w:ascii="宋体" w:hAnsi="宋体" w:eastAsia="宋体" w:cs="宋体"/>
          <w:kern w:val="0"/>
          <w:sz w:val="24"/>
          <w:u w:val="single"/>
          <w:lang w:eastAsia="zh-CN"/>
        </w:rPr>
        <w:t>白塔镇景园村关金生态停车场建设项目</w:t>
      </w:r>
      <w:r>
        <w:rPr>
          <w:rFonts w:hint="eastAsia" w:ascii="宋体" w:hAnsi="宋体" w:eastAsia="宋体" w:cs="宋体"/>
          <w:kern w:val="0"/>
          <w:sz w:val="24"/>
        </w:rPr>
        <w:t>，属于</w:t>
      </w:r>
      <w:r>
        <w:rPr>
          <w:rFonts w:hint="eastAsia" w:ascii="宋体" w:hAnsi="宋体" w:eastAsia="宋体" w:cs="宋体"/>
          <w:kern w:val="0"/>
          <w:sz w:val="24"/>
          <w:u w:val="single"/>
        </w:rPr>
        <w:t>建筑业</w:t>
      </w:r>
      <w:r>
        <w:rPr>
          <w:rFonts w:hint="eastAsia" w:ascii="宋体" w:hAnsi="宋体" w:eastAsia="宋体" w:cs="宋体"/>
          <w:kern w:val="0"/>
          <w:sz w:val="24"/>
        </w:rPr>
        <w:t>；承建（承接）企业为</w:t>
      </w:r>
      <w:r>
        <w:rPr>
          <w:rFonts w:hint="eastAsia" w:ascii="宋体" w:hAnsi="宋体" w:eastAsia="宋体" w:cs="宋体"/>
          <w:i/>
          <w:kern w:val="0"/>
          <w:sz w:val="24"/>
          <w:u w:val="single"/>
        </w:rPr>
        <w:t>（企业名称）</w:t>
      </w:r>
      <w:r>
        <w:rPr>
          <w:rFonts w:hint="eastAsia" w:ascii="宋体" w:hAnsi="宋体" w:eastAsia="宋体" w:cs="宋体"/>
          <w:kern w:val="0"/>
          <w:sz w:val="24"/>
        </w:rPr>
        <w:t>，从业人员</w:t>
      </w:r>
      <w:r>
        <w:rPr>
          <w:rFonts w:hint="eastAsia" w:ascii="宋体" w:hAnsi="宋体" w:eastAsia="宋体" w:cs="宋体"/>
          <w:kern w:val="0"/>
          <w:sz w:val="24"/>
          <w:u w:val="single"/>
        </w:rPr>
        <w:t xml:space="preserve">    </w:t>
      </w:r>
      <w:r>
        <w:rPr>
          <w:rFonts w:hint="eastAsia" w:ascii="宋体" w:hAnsi="宋体" w:eastAsia="宋体" w:cs="宋体"/>
          <w:kern w:val="0"/>
          <w:sz w:val="24"/>
        </w:rPr>
        <w:t>人，营业收入为</w:t>
      </w:r>
      <w:r>
        <w:rPr>
          <w:rFonts w:hint="eastAsia" w:ascii="宋体" w:hAnsi="宋体" w:eastAsia="宋体" w:cs="宋体"/>
          <w:kern w:val="0"/>
          <w:sz w:val="24"/>
          <w:u w:val="single"/>
        </w:rPr>
        <w:t xml:space="preserve">    </w:t>
      </w:r>
      <w:r>
        <w:rPr>
          <w:rFonts w:hint="eastAsia" w:ascii="宋体" w:hAnsi="宋体" w:eastAsia="宋体" w:cs="宋体"/>
          <w:kern w:val="0"/>
          <w:sz w:val="24"/>
        </w:rPr>
        <w:t>万元，资产总额为</w:t>
      </w:r>
      <w:r>
        <w:rPr>
          <w:rFonts w:hint="eastAsia" w:ascii="宋体" w:hAnsi="宋体" w:eastAsia="宋体" w:cs="宋体"/>
          <w:kern w:val="0"/>
          <w:sz w:val="24"/>
          <w:u w:val="single"/>
        </w:rPr>
        <w:t xml:space="preserve">    </w:t>
      </w:r>
      <w:r>
        <w:rPr>
          <w:rFonts w:hint="eastAsia" w:ascii="宋体" w:hAnsi="宋体" w:eastAsia="宋体" w:cs="宋体"/>
          <w:kern w:val="0"/>
          <w:sz w:val="24"/>
        </w:rPr>
        <w:t>万元，属于</w:t>
      </w:r>
      <w:r>
        <w:rPr>
          <w:rFonts w:hint="eastAsia" w:ascii="宋体" w:hAnsi="宋体" w:eastAsia="宋体" w:cs="宋体"/>
          <w:i/>
          <w:kern w:val="0"/>
          <w:sz w:val="24"/>
        </w:rPr>
        <w:t>（</w:t>
      </w:r>
      <w:r>
        <w:rPr>
          <w:rFonts w:hint="eastAsia" w:ascii="宋体" w:hAnsi="宋体" w:eastAsia="宋体" w:cs="宋体"/>
          <w:i/>
          <w:kern w:val="0"/>
          <w:sz w:val="24"/>
          <w:u w:val="single"/>
        </w:rPr>
        <w:t>中型企业、小型企业、微型企业）</w:t>
      </w:r>
      <w:r>
        <w:rPr>
          <w:rFonts w:hint="eastAsia" w:ascii="宋体" w:hAnsi="宋体" w:eastAsia="宋体" w:cs="宋体"/>
          <w:kern w:val="0"/>
          <w:sz w:val="24"/>
        </w:rPr>
        <w:t xml:space="preserve">； </w:t>
      </w:r>
    </w:p>
    <w:p w14:paraId="7CD81099">
      <w:pPr>
        <w:widowControl/>
        <w:spacing w:line="500" w:lineRule="exact"/>
        <w:ind w:firstLine="480" w:firstLineChars="200"/>
        <w:jc w:val="left"/>
        <w:rPr>
          <w:rFonts w:ascii="宋体" w:hAnsi="宋体" w:eastAsia="宋体" w:cs="宋体"/>
          <w:sz w:val="24"/>
        </w:rPr>
      </w:pPr>
      <w:r>
        <w:rPr>
          <w:rFonts w:hint="eastAsia" w:ascii="宋体" w:hAnsi="宋体" w:eastAsia="宋体" w:cs="宋体"/>
          <w:kern w:val="0"/>
          <w:sz w:val="24"/>
        </w:rPr>
        <w:t xml:space="preserve">2. </w:t>
      </w:r>
      <w:r>
        <w:rPr>
          <w:rFonts w:hint="eastAsia" w:ascii="宋体" w:hAnsi="宋体" w:eastAsia="宋体" w:cs="宋体"/>
          <w:kern w:val="0"/>
          <w:sz w:val="24"/>
          <w:u w:val="single"/>
        </w:rPr>
        <w:t xml:space="preserve"> </w:t>
      </w:r>
      <w:r>
        <w:rPr>
          <w:rFonts w:hint="eastAsia" w:ascii="宋体" w:hAnsi="宋体" w:eastAsia="宋体" w:cs="宋体"/>
          <w:i/>
          <w:kern w:val="0"/>
          <w:sz w:val="24"/>
          <w:u w:val="single"/>
        </w:rPr>
        <w:t xml:space="preserve">（标的名称） </w:t>
      </w:r>
      <w:r>
        <w:rPr>
          <w:rFonts w:hint="eastAsia" w:ascii="宋体" w:hAnsi="宋体" w:eastAsia="宋体" w:cs="宋体"/>
          <w:kern w:val="0"/>
          <w:sz w:val="24"/>
        </w:rPr>
        <w:t>，属于</w:t>
      </w:r>
      <w:r>
        <w:rPr>
          <w:rFonts w:hint="eastAsia" w:ascii="宋体" w:hAnsi="宋体" w:eastAsia="宋体" w:cs="宋体"/>
          <w:i/>
          <w:kern w:val="0"/>
          <w:sz w:val="24"/>
          <w:u w:val="single"/>
        </w:rPr>
        <w:t>（采购文件中明确的所属行业）</w:t>
      </w:r>
      <w:r>
        <w:rPr>
          <w:rFonts w:hint="eastAsia" w:ascii="宋体" w:hAnsi="宋体" w:eastAsia="宋体" w:cs="宋体"/>
          <w:kern w:val="0"/>
          <w:sz w:val="24"/>
        </w:rPr>
        <w:t>；承建（承接）企业为</w:t>
      </w:r>
      <w:r>
        <w:rPr>
          <w:rFonts w:hint="eastAsia" w:ascii="宋体" w:hAnsi="宋体" w:eastAsia="宋体" w:cs="宋体"/>
          <w:i/>
          <w:kern w:val="0"/>
          <w:sz w:val="24"/>
          <w:u w:val="single"/>
        </w:rPr>
        <w:t xml:space="preserve">（企业名称） </w:t>
      </w:r>
      <w:r>
        <w:rPr>
          <w:rFonts w:hint="eastAsia" w:ascii="宋体" w:hAnsi="宋体" w:eastAsia="宋体" w:cs="宋体"/>
          <w:kern w:val="0"/>
          <w:sz w:val="24"/>
        </w:rPr>
        <w:t>，从业人员</w:t>
      </w:r>
      <w:r>
        <w:rPr>
          <w:rFonts w:hint="eastAsia" w:ascii="宋体" w:hAnsi="宋体" w:eastAsia="宋体" w:cs="宋体"/>
          <w:kern w:val="0"/>
          <w:sz w:val="24"/>
          <w:u w:val="single"/>
        </w:rPr>
        <w:t xml:space="preserve">    </w:t>
      </w:r>
      <w:r>
        <w:rPr>
          <w:rFonts w:hint="eastAsia" w:ascii="宋体" w:hAnsi="宋体" w:eastAsia="宋体" w:cs="宋体"/>
          <w:kern w:val="0"/>
          <w:sz w:val="24"/>
        </w:rPr>
        <w:t>人，营业收入为</w:t>
      </w:r>
      <w:r>
        <w:rPr>
          <w:rFonts w:hint="eastAsia" w:ascii="宋体" w:hAnsi="宋体" w:eastAsia="宋体" w:cs="宋体"/>
          <w:kern w:val="0"/>
          <w:sz w:val="24"/>
          <w:u w:val="single"/>
        </w:rPr>
        <w:t xml:space="preserve">    </w:t>
      </w:r>
      <w:r>
        <w:rPr>
          <w:rFonts w:hint="eastAsia" w:ascii="宋体" w:hAnsi="宋体" w:eastAsia="宋体" w:cs="宋体"/>
          <w:kern w:val="0"/>
          <w:sz w:val="24"/>
        </w:rPr>
        <w:t>万元，资产总额为</w:t>
      </w:r>
      <w:r>
        <w:rPr>
          <w:rFonts w:hint="eastAsia" w:ascii="宋体" w:hAnsi="宋体" w:eastAsia="宋体" w:cs="宋体"/>
          <w:kern w:val="0"/>
          <w:sz w:val="24"/>
          <w:u w:val="single"/>
        </w:rPr>
        <w:t xml:space="preserve">    </w:t>
      </w:r>
      <w:r>
        <w:rPr>
          <w:rFonts w:hint="eastAsia" w:ascii="宋体" w:hAnsi="宋体" w:eastAsia="宋体" w:cs="宋体"/>
          <w:kern w:val="0"/>
          <w:sz w:val="24"/>
        </w:rPr>
        <w:t>万元，属于</w:t>
      </w:r>
      <w:r>
        <w:rPr>
          <w:rFonts w:hint="eastAsia" w:ascii="宋体" w:hAnsi="宋体" w:eastAsia="宋体" w:cs="宋体"/>
          <w:i/>
          <w:kern w:val="0"/>
          <w:sz w:val="24"/>
        </w:rPr>
        <w:t>（</w:t>
      </w:r>
      <w:r>
        <w:rPr>
          <w:rFonts w:hint="eastAsia" w:ascii="宋体" w:hAnsi="宋体" w:eastAsia="宋体" w:cs="宋体"/>
          <w:i/>
          <w:kern w:val="0"/>
          <w:sz w:val="24"/>
          <w:u w:val="single"/>
        </w:rPr>
        <w:t>中型企业、小型企业、微型企业）</w:t>
      </w:r>
      <w:r>
        <w:rPr>
          <w:rFonts w:hint="eastAsia" w:ascii="宋体" w:hAnsi="宋体" w:eastAsia="宋体" w:cs="宋体"/>
          <w:kern w:val="0"/>
          <w:sz w:val="24"/>
        </w:rPr>
        <w:t xml:space="preserve">； </w:t>
      </w:r>
    </w:p>
    <w:p w14:paraId="34073CB0">
      <w:pPr>
        <w:widowControl/>
        <w:spacing w:line="500" w:lineRule="exact"/>
        <w:ind w:firstLine="480" w:firstLineChars="200"/>
        <w:jc w:val="left"/>
        <w:rPr>
          <w:rFonts w:ascii="宋体" w:hAnsi="宋体" w:eastAsia="宋体" w:cs="宋体"/>
          <w:sz w:val="24"/>
        </w:rPr>
      </w:pPr>
      <w:r>
        <w:rPr>
          <w:rFonts w:hint="eastAsia" w:ascii="宋体" w:hAnsi="宋体" w:eastAsia="宋体" w:cs="宋体"/>
          <w:kern w:val="0"/>
          <w:sz w:val="24"/>
        </w:rPr>
        <w:t>……</w:t>
      </w:r>
    </w:p>
    <w:p w14:paraId="66A986F1">
      <w:pPr>
        <w:widowControl/>
        <w:spacing w:line="500" w:lineRule="exact"/>
        <w:ind w:firstLine="480" w:firstLineChars="200"/>
        <w:jc w:val="left"/>
        <w:rPr>
          <w:rFonts w:ascii="宋体" w:hAnsi="宋体" w:eastAsia="宋体" w:cs="宋体"/>
          <w:sz w:val="24"/>
        </w:rPr>
      </w:pPr>
      <w:r>
        <w:rPr>
          <w:rFonts w:hint="eastAsia" w:ascii="宋体" w:hAnsi="宋体" w:eastAsia="宋体" w:cs="宋体"/>
          <w:kern w:val="0"/>
          <w:sz w:val="24"/>
        </w:rPr>
        <w:t>以上企业，不属于大企业的分支机构，不存在控股股东为大企业的情形，也不存在与大企业的负责人为同一人的情形。</w:t>
      </w:r>
    </w:p>
    <w:p w14:paraId="09B62648">
      <w:pPr>
        <w:widowControl/>
        <w:spacing w:line="500" w:lineRule="exact"/>
        <w:ind w:firstLine="480" w:firstLineChars="200"/>
        <w:jc w:val="left"/>
        <w:rPr>
          <w:rFonts w:ascii="宋体" w:hAnsi="宋体" w:eastAsia="宋体" w:cs="宋体"/>
          <w:sz w:val="24"/>
        </w:rPr>
      </w:pPr>
      <w:r>
        <w:rPr>
          <w:rFonts w:hint="eastAsia" w:ascii="宋体" w:hAnsi="宋体" w:eastAsia="宋体" w:cs="宋体"/>
          <w:kern w:val="0"/>
          <w:sz w:val="24"/>
        </w:rPr>
        <w:t xml:space="preserve">本企业对上述声明内容的真实性负责。如有虚假，将依法承担相应责任。 </w:t>
      </w:r>
    </w:p>
    <w:p w14:paraId="7542BB59">
      <w:pPr>
        <w:widowControl/>
        <w:spacing w:line="500" w:lineRule="exact"/>
        <w:jc w:val="center"/>
        <w:rPr>
          <w:rFonts w:ascii="宋体" w:hAnsi="宋体" w:eastAsia="宋体" w:cs="宋体"/>
          <w:kern w:val="0"/>
          <w:sz w:val="24"/>
        </w:rPr>
      </w:pPr>
    </w:p>
    <w:p w14:paraId="4D4457E2">
      <w:pPr>
        <w:widowControl/>
        <w:spacing w:line="500" w:lineRule="exact"/>
        <w:jc w:val="center"/>
        <w:rPr>
          <w:rFonts w:ascii="宋体" w:hAnsi="宋体" w:eastAsia="宋体" w:cs="宋体"/>
          <w:sz w:val="24"/>
        </w:rPr>
      </w:pPr>
      <w:r>
        <w:rPr>
          <w:rFonts w:hint="eastAsia" w:ascii="宋体" w:hAnsi="宋体" w:eastAsia="宋体" w:cs="宋体"/>
          <w:kern w:val="0"/>
          <w:sz w:val="24"/>
        </w:rPr>
        <w:t>谈判供应商（盖章）：</w:t>
      </w:r>
    </w:p>
    <w:p w14:paraId="1430337E">
      <w:pPr>
        <w:widowControl/>
        <w:spacing w:line="500" w:lineRule="exact"/>
        <w:jc w:val="center"/>
        <w:rPr>
          <w:rFonts w:ascii="宋体" w:hAnsi="宋体" w:eastAsia="宋体" w:cs="宋体"/>
          <w:sz w:val="24"/>
        </w:rPr>
      </w:pPr>
      <w:r>
        <w:rPr>
          <w:rFonts w:hint="eastAsia" w:ascii="宋体" w:hAnsi="宋体" w:eastAsia="宋体" w:cs="宋体"/>
          <w:kern w:val="0"/>
          <w:sz w:val="24"/>
        </w:rPr>
        <w:t xml:space="preserve">          日 期：</w:t>
      </w:r>
    </w:p>
    <w:p w14:paraId="1CE7A1F2">
      <w:pPr>
        <w:pStyle w:val="36"/>
        <w:spacing w:line="360" w:lineRule="auto"/>
        <w:jc w:val="left"/>
        <w:rPr>
          <w:rFonts w:ascii="宋体" w:hAnsi="宋体" w:cs="宋体"/>
          <w:b/>
          <w:szCs w:val="21"/>
        </w:rPr>
      </w:pPr>
    </w:p>
    <w:p w14:paraId="1C14776A">
      <w:pPr>
        <w:widowControl/>
        <w:jc w:val="left"/>
        <w:rPr>
          <w:rFonts w:ascii="宋体" w:hAnsi="宋体" w:eastAsia="宋体" w:cs="宋体"/>
          <w:kern w:val="0"/>
          <w:sz w:val="21"/>
          <w:szCs w:val="21"/>
        </w:rPr>
      </w:pPr>
    </w:p>
    <w:p w14:paraId="5EABF526">
      <w:pPr>
        <w:widowControl/>
        <w:jc w:val="left"/>
        <w:rPr>
          <w:rFonts w:ascii="宋体" w:hAnsi="宋体" w:eastAsia="宋体" w:cs="宋体"/>
          <w:kern w:val="0"/>
          <w:sz w:val="21"/>
          <w:szCs w:val="21"/>
        </w:rPr>
      </w:pPr>
    </w:p>
    <w:p w14:paraId="6096FF55">
      <w:pPr>
        <w:widowControl/>
        <w:spacing w:line="400" w:lineRule="exact"/>
        <w:jc w:val="left"/>
        <w:rPr>
          <w:rFonts w:ascii="宋体" w:hAnsi="宋体" w:eastAsia="宋体" w:cs="宋体"/>
          <w:kern w:val="0"/>
          <w:sz w:val="21"/>
        </w:rPr>
      </w:pPr>
      <w:r>
        <w:rPr>
          <w:rFonts w:hint="eastAsia" w:ascii="宋体" w:hAnsi="宋体" w:eastAsia="宋体" w:cs="宋体"/>
          <w:kern w:val="0"/>
          <w:sz w:val="21"/>
          <w:szCs w:val="21"/>
        </w:rPr>
        <w:t>注：</w:t>
      </w:r>
      <w:r>
        <w:rPr>
          <w:rFonts w:hint="eastAsia" w:ascii="宋体" w:hAnsi="宋体" w:eastAsia="宋体" w:cs="宋体"/>
          <w:kern w:val="0"/>
          <w:sz w:val="21"/>
        </w:rPr>
        <w:t>1.从业人员、营业收入、资产总额填报上一年度数据，无上一年度数据的新成立企业可不填报。</w:t>
      </w:r>
    </w:p>
    <w:p w14:paraId="419DD14A">
      <w:pPr>
        <w:widowControl/>
        <w:spacing w:line="400" w:lineRule="exact"/>
        <w:ind w:firstLine="420" w:firstLineChars="200"/>
        <w:jc w:val="left"/>
        <w:rPr>
          <w:rFonts w:ascii="宋体" w:hAnsi="宋体" w:eastAsia="宋体" w:cs="宋体"/>
          <w:kern w:val="0"/>
          <w:sz w:val="21"/>
        </w:rPr>
      </w:pPr>
      <w:r>
        <w:rPr>
          <w:rFonts w:hint="eastAsia" w:ascii="宋体" w:hAnsi="宋体" w:eastAsia="宋体" w:cs="宋体"/>
          <w:kern w:val="0"/>
          <w:sz w:val="21"/>
        </w:rPr>
        <w:t>2.标的物所属建筑业。</w:t>
      </w:r>
    </w:p>
    <w:p w14:paraId="6F30E657">
      <w:pPr>
        <w:widowControl/>
        <w:spacing w:line="400" w:lineRule="exact"/>
        <w:ind w:firstLine="420" w:firstLineChars="200"/>
        <w:jc w:val="left"/>
        <w:rPr>
          <w:sz w:val="32"/>
          <w:szCs w:val="32"/>
        </w:rPr>
      </w:pPr>
      <w:r>
        <w:rPr>
          <w:rFonts w:hint="eastAsia" w:ascii="宋体" w:hAnsi="宋体" w:eastAsia="宋体" w:cs="宋体"/>
          <w:kern w:val="0"/>
          <w:sz w:val="21"/>
        </w:rPr>
        <w:t>3.中型企业、小型企业、微型企业请根据《关于印发中小企业划型标准规定的通知》工信部联企业〔2011〕300号文件标准填写</w:t>
      </w:r>
      <w:r>
        <w:rPr>
          <w:rFonts w:hint="eastAsia" w:ascii="宋体" w:hAnsi="宋体"/>
          <w:kern w:val="0"/>
          <w:sz w:val="21"/>
        </w:rPr>
        <w:t>。</w:t>
      </w:r>
    </w:p>
    <w:p w14:paraId="0152B73E">
      <w:pPr>
        <w:jc w:val="left"/>
        <w:rPr>
          <w:rFonts w:ascii="宋体" w:hAnsi="宋体" w:eastAsia="宋体" w:cs="宋体"/>
          <w:b/>
          <w:bCs/>
          <w:sz w:val="24"/>
        </w:rPr>
      </w:pPr>
    </w:p>
    <w:p w14:paraId="26F7E863">
      <w:pPr>
        <w:jc w:val="center"/>
        <w:rPr>
          <w:rFonts w:ascii="宋体" w:hAnsi="宋体" w:eastAsia="宋体" w:cs="宋体"/>
          <w:b/>
          <w:bCs/>
          <w:sz w:val="24"/>
        </w:rPr>
      </w:pPr>
    </w:p>
    <w:p w14:paraId="5453FE71">
      <w:pPr>
        <w:jc w:val="center"/>
        <w:rPr>
          <w:rFonts w:ascii="宋体" w:hAnsi="宋体" w:eastAsia="宋体" w:cs="宋体"/>
          <w:b/>
          <w:bCs/>
          <w:sz w:val="24"/>
        </w:rPr>
      </w:pPr>
    </w:p>
    <w:p w14:paraId="4248CFCA">
      <w:pPr>
        <w:jc w:val="center"/>
        <w:rPr>
          <w:rFonts w:ascii="宋体" w:hAnsi="宋体" w:eastAsia="宋体" w:cs="宋体"/>
          <w:b/>
          <w:bCs/>
          <w:sz w:val="24"/>
        </w:rPr>
      </w:pPr>
    </w:p>
    <w:p w14:paraId="64757ADD">
      <w:pPr>
        <w:pStyle w:val="8"/>
        <w:ind w:firstLine="210"/>
      </w:pPr>
    </w:p>
    <w:p w14:paraId="604E3BD7">
      <w:pPr>
        <w:jc w:val="center"/>
        <w:rPr>
          <w:rFonts w:ascii="宋体" w:hAnsi="宋体" w:eastAsia="宋体" w:cs="宋体"/>
          <w:b/>
          <w:bCs/>
          <w:sz w:val="24"/>
        </w:rPr>
      </w:pPr>
      <w:r>
        <w:rPr>
          <w:rFonts w:hint="eastAsia" w:ascii="宋体" w:hAnsi="宋体" w:eastAsia="宋体" w:cs="宋体"/>
          <w:b/>
          <w:bCs/>
          <w:sz w:val="24"/>
        </w:rPr>
        <w:t>残疾人福利性单位声明函</w:t>
      </w:r>
    </w:p>
    <w:p w14:paraId="68796324">
      <w:pPr>
        <w:spacing w:line="588" w:lineRule="exact"/>
        <w:ind w:firstLine="480" w:firstLineChars="200"/>
        <w:rPr>
          <w:rFonts w:ascii="宋体" w:hAnsi="宋体" w:cs="宋体"/>
          <w:spacing w:val="6"/>
          <w:sz w:val="24"/>
        </w:rPr>
      </w:pPr>
      <w:r>
        <w:rPr>
          <w:rFonts w:hint="eastAsia" w:ascii="宋体" w:hAnsi="宋体" w:eastAsia="宋体" w:cs="宋体"/>
          <w:sz w:val="24"/>
        </w:rPr>
        <w:t>本</w:t>
      </w:r>
      <w:r>
        <w:rPr>
          <w:rFonts w:hint="eastAsia" w:ascii="宋体" w:hAnsi="宋体" w:cs="宋体"/>
          <w:spacing w:val="6"/>
          <w:sz w:val="24"/>
        </w:rPr>
        <w:t>单位郑重声明，根据《财政部 民政部 中国残疾人联合会关于促进残疾人就业政府采购政策的通知》（财库〔2017〕 141号）的规定，本单位为符合条件的残疾人福利性单位，且本单位参加</w:t>
      </w:r>
      <w:r>
        <w:rPr>
          <w:rFonts w:hint="eastAsia" w:ascii="宋体" w:hAnsi="宋体" w:cs="宋体"/>
          <w:spacing w:val="6"/>
          <w:sz w:val="24"/>
          <w:u w:val="single"/>
        </w:rPr>
        <w:t xml:space="preserve"> </w:t>
      </w:r>
      <w:r>
        <w:rPr>
          <w:rFonts w:hint="eastAsia" w:ascii="宋体" w:hAnsi="宋体" w:eastAsia="宋体" w:cs="宋体"/>
          <w:spacing w:val="6"/>
          <w:sz w:val="24"/>
          <w:u w:val="single"/>
          <w:lang w:eastAsia="zh-CN"/>
        </w:rPr>
        <w:t>仙居县白塔镇人民政府</w:t>
      </w:r>
      <w:r>
        <w:rPr>
          <w:rFonts w:hint="eastAsia" w:ascii="宋体" w:hAnsi="宋体" w:cs="宋体"/>
          <w:spacing w:val="6"/>
          <w:sz w:val="24"/>
          <w:u w:val="single"/>
        </w:rPr>
        <w:t xml:space="preserve"> </w:t>
      </w:r>
      <w:r>
        <w:rPr>
          <w:rFonts w:hint="eastAsia" w:ascii="宋体" w:hAnsi="宋体" w:cs="宋体"/>
          <w:spacing w:val="6"/>
          <w:sz w:val="24"/>
        </w:rPr>
        <w:t>单位的</w:t>
      </w:r>
      <w:r>
        <w:rPr>
          <w:rFonts w:hint="eastAsia" w:ascii="宋体" w:hAnsi="宋体" w:eastAsia="宋体" w:cs="宋体"/>
          <w:kern w:val="0"/>
          <w:sz w:val="24"/>
          <w:u w:val="single"/>
          <w:lang w:eastAsia="zh-CN"/>
        </w:rPr>
        <w:t>白塔镇景园村关金生态停车场建设项目</w:t>
      </w:r>
      <w:r>
        <w:rPr>
          <w:rFonts w:hint="eastAsia" w:ascii="宋体" w:hAnsi="宋体" w:cs="宋体"/>
          <w:spacing w:val="6"/>
          <w:sz w:val="24"/>
        </w:rPr>
        <w:t>采购活动提供本单位制造的货物（由本单位承担工程/提供服务），或者提供其他残疾人福利性单位制造的货物（不包括使用非残疾人福利性单位注册商标的货物）。</w:t>
      </w:r>
    </w:p>
    <w:p w14:paraId="5BFEE6B7">
      <w:pPr>
        <w:spacing w:line="360" w:lineRule="auto"/>
        <w:ind w:firstLine="378" w:firstLineChars="150"/>
        <w:rPr>
          <w:rFonts w:ascii="宋体" w:hAnsi="宋体" w:eastAsia="宋体" w:cs="宋体"/>
          <w:sz w:val="24"/>
        </w:rPr>
      </w:pPr>
      <w:r>
        <w:rPr>
          <w:rFonts w:hint="eastAsia" w:ascii="宋体" w:hAnsi="宋体" w:cs="宋体"/>
          <w:spacing w:val="6"/>
          <w:sz w:val="24"/>
        </w:rPr>
        <w:t>本单位对上述声明的真实性负责。如有虚假，将依法承担相应责任</w:t>
      </w:r>
      <w:r>
        <w:rPr>
          <w:rFonts w:hint="eastAsia" w:ascii="宋体" w:hAnsi="宋体" w:eastAsia="宋体" w:cs="宋体"/>
          <w:sz w:val="24"/>
        </w:rPr>
        <w:t>。</w:t>
      </w:r>
    </w:p>
    <w:p w14:paraId="2F55423E">
      <w:pPr>
        <w:spacing w:line="360" w:lineRule="auto"/>
        <w:ind w:firstLine="360" w:firstLineChars="150"/>
        <w:rPr>
          <w:rFonts w:ascii="宋体" w:hAnsi="宋体" w:eastAsia="宋体" w:cs="宋体"/>
          <w:sz w:val="24"/>
        </w:rPr>
      </w:pPr>
      <w:r>
        <w:rPr>
          <w:rFonts w:hint="eastAsia" w:ascii="宋体" w:hAnsi="宋体" w:eastAsia="宋体" w:cs="宋体"/>
          <w:sz w:val="24"/>
        </w:rPr>
        <w:t xml:space="preserve">                                 </w:t>
      </w:r>
    </w:p>
    <w:p w14:paraId="648AD8B9">
      <w:pPr>
        <w:spacing w:line="360" w:lineRule="auto"/>
        <w:ind w:right="480" w:firstLine="4080" w:firstLineChars="1700"/>
        <w:rPr>
          <w:rFonts w:ascii="宋体" w:hAnsi="宋体" w:eastAsia="宋体" w:cs="宋体"/>
          <w:sz w:val="24"/>
        </w:rPr>
      </w:pPr>
      <w:r>
        <w:rPr>
          <w:rFonts w:hint="eastAsia" w:ascii="宋体" w:hAnsi="宋体" w:eastAsia="宋体" w:cs="宋体"/>
          <w:sz w:val="24"/>
        </w:rPr>
        <w:t>谈判供应商（盖单位章）：</w:t>
      </w:r>
    </w:p>
    <w:p w14:paraId="4AB16E49">
      <w:pPr>
        <w:spacing w:line="360" w:lineRule="auto"/>
        <w:ind w:firstLine="5760" w:firstLineChars="2400"/>
        <w:rPr>
          <w:rFonts w:ascii="宋体" w:hAnsi="宋体" w:eastAsia="宋体" w:cs="宋体"/>
          <w:sz w:val="24"/>
        </w:rPr>
      </w:pPr>
      <w:r>
        <w:rPr>
          <w:rFonts w:hint="eastAsia" w:ascii="宋体" w:hAnsi="宋体" w:eastAsia="宋体" w:cs="宋体"/>
          <w:sz w:val="24"/>
        </w:rPr>
        <w:t>日期∶</w:t>
      </w:r>
    </w:p>
    <w:p w14:paraId="6980A508">
      <w:pPr>
        <w:pStyle w:val="18"/>
        <w:widowControl w:val="0"/>
        <w:spacing w:before="0" w:beforeAutospacing="0" w:after="0" w:afterAutospacing="0" w:line="360" w:lineRule="auto"/>
        <w:ind w:right="360" w:firstLine="6000" w:firstLineChars="2500"/>
        <w:jc w:val="both"/>
        <w:rPr>
          <w:rFonts w:hint="default" w:eastAsia="宋体" w:cs="宋体"/>
          <w:kern w:val="2"/>
        </w:rPr>
      </w:pPr>
    </w:p>
    <w:p w14:paraId="057D9264">
      <w:pPr>
        <w:pStyle w:val="37"/>
        <w:spacing w:after="120" w:line="360" w:lineRule="auto"/>
        <w:rPr>
          <w:rFonts w:ascii="宋体" w:hAnsi="宋体" w:eastAsia="宋体" w:cs="宋体"/>
          <w:b/>
          <w:sz w:val="24"/>
        </w:rPr>
      </w:pPr>
      <w:r>
        <w:rPr>
          <w:rFonts w:hint="eastAsia" w:ascii="宋体" w:hAnsi="宋体"/>
          <w:sz w:val="24"/>
        </w:rPr>
        <w:t>－－－－－－－－－－－－－－－－－－－－－－－－－－－－－－－－－－－－</w:t>
      </w:r>
    </w:p>
    <w:p w14:paraId="4890D804">
      <w:pPr>
        <w:pStyle w:val="10"/>
        <w:spacing w:line="360" w:lineRule="auto"/>
        <w:outlineLvl w:val="1"/>
        <w:rPr>
          <w:rFonts w:hAnsi="宋体" w:eastAsia="宋体" w:cs="宋体"/>
          <w:b/>
          <w:sz w:val="24"/>
          <w:szCs w:val="24"/>
        </w:rPr>
      </w:pPr>
    </w:p>
    <w:p w14:paraId="517DCF23">
      <w:pPr>
        <w:pStyle w:val="10"/>
        <w:spacing w:line="360" w:lineRule="auto"/>
        <w:outlineLvl w:val="1"/>
        <w:rPr>
          <w:rFonts w:hAnsi="宋体" w:eastAsia="宋体" w:cs="宋体"/>
          <w:b/>
          <w:sz w:val="24"/>
          <w:szCs w:val="24"/>
        </w:rPr>
      </w:pPr>
    </w:p>
    <w:p w14:paraId="2ED7BE08">
      <w:pPr>
        <w:jc w:val="center"/>
        <w:rPr>
          <w:rFonts w:ascii="宋体" w:hAnsi="宋体" w:eastAsia="宋体" w:cs="宋体"/>
          <w:b/>
          <w:bCs/>
          <w:sz w:val="24"/>
          <w:lang w:val="en-GB"/>
        </w:rPr>
      </w:pPr>
      <w:r>
        <w:rPr>
          <w:rFonts w:hint="eastAsia" w:ascii="宋体" w:hAnsi="宋体" w:eastAsia="宋体" w:cs="宋体"/>
          <w:b/>
          <w:bCs/>
          <w:sz w:val="24"/>
          <w:lang w:val="en-GB"/>
        </w:rPr>
        <w:t>监狱企业</w:t>
      </w:r>
    </w:p>
    <w:p w14:paraId="1FCB2647">
      <w:pPr>
        <w:pStyle w:val="10"/>
        <w:spacing w:line="360" w:lineRule="auto"/>
        <w:outlineLvl w:val="1"/>
        <w:rPr>
          <w:rFonts w:hAnsi="宋体" w:eastAsia="宋体" w:cs="宋体"/>
          <w:b/>
          <w:szCs w:val="21"/>
        </w:rPr>
      </w:pPr>
      <w:r>
        <w:rPr>
          <w:rFonts w:hint="eastAsia" w:hAnsi="宋体" w:cs="宋体"/>
          <w:spacing w:val="6"/>
          <w:sz w:val="24"/>
          <w:lang w:val="zh-CN"/>
        </w:rPr>
        <w:t>监狱企业参加政府采购活动时，应当提供由省级以上监狱管理局、戒毒管理局（含新疆生产建设兵团）出具的属于监狱企业的证明文件，</w:t>
      </w:r>
      <w:r>
        <w:rPr>
          <w:rFonts w:hint="eastAsia" w:hAnsi="宋体" w:cs="宋体"/>
          <w:b/>
          <w:bCs/>
          <w:spacing w:val="6"/>
          <w:sz w:val="24"/>
          <w:u w:val="single"/>
          <w:lang w:val="zh-CN"/>
        </w:rPr>
        <w:t>视同小型、微型企业，享受小微企业政府采购优惠政策。</w:t>
      </w:r>
    </w:p>
    <w:p w14:paraId="322D6C77">
      <w:pPr>
        <w:pStyle w:val="11"/>
        <w:ind w:left="9000"/>
      </w:pPr>
    </w:p>
    <w:p w14:paraId="54E0227E"/>
    <w:p w14:paraId="672D7782">
      <w:pPr>
        <w:widowControl/>
        <w:jc w:val="left"/>
        <w:rPr>
          <w:rFonts w:ascii="宋体" w:hAnsi="宋体" w:eastAsia="宋体"/>
          <w:b/>
          <w:sz w:val="32"/>
          <w:szCs w:val="32"/>
        </w:rPr>
      </w:pPr>
      <w:r>
        <w:rPr>
          <w:rFonts w:ascii="宋体" w:hAnsi="宋体" w:eastAsia="宋体"/>
          <w:bCs/>
        </w:rPr>
        <w:br w:type="page"/>
      </w:r>
    </w:p>
    <w:p w14:paraId="34E1BE48">
      <w:pPr>
        <w:pStyle w:val="4"/>
        <w:spacing w:beforeLines="100" w:after="0" w:line="360" w:lineRule="auto"/>
        <w:ind w:left="720" w:leftChars="200" w:firstLine="2249" w:firstLineChars="700"/>
        <w:rPr>
          <w:rFonts w:ascii="宋体" w:hAnsi="宋体" w:eastAsia="宋体"/>
          <w:bCs w:val="0"/>
          <w:lang w:val="zh-CN"/>
        </w:rPr>
      </w:pPr>
      <w:r>
        <w:rPr>
          <w:rFonts w:hint="eastAsia" w:ascii="宋体" w:hAnsi="宋体" w:eastAsia="宋体"/>
          <w:bCs w:val="0"/>
        </w:rPr>
        <w:t>2、</w:t>
      </w:r>
      <w:r>
        <w:rPr>
          <w:rFonts w:hint="eastAsia" w:ascii="宋体" w:hAnsi="宋体" w:eastAsia="宋体"/>
          <w:bCs w:val="0"/>
          <w:lang w:val="zh-CN"/>
        </w:rPr>
        <w:t>商务与技术文件格式</w:t>
      </w:r>
    </w:p>
    <w:p w14:paraId="2B054648">
      <w:pPr>
        <w:spacing w:before="100" w:beforeAutospacing="1" w:line="360" w:lineRule="auto"/>
        <w:jc w:val="center"/>
        <w:rPr>
          <w:rFonts w:ascii="宋体" w:hAnsi="宋体"/>
          <w:b/>
          <w:bCs/>
          <w:sz w:val="32"/>
          <w:szCs w:val="32"/>
        </w:rPr>
      </w:pPr>
      <w:r>
        <w:rPr>
          <w:rFonts w:hint="eastAsia" w:ascii="宋体" w:hAnsi="宋体"/>
          <w:b/>
          <w:bCs/>
          <w:sz w:val="32"/>
          <w:szCs w:val="32"/>
        </w:rPr>
        <w:t>目  录</w:t>
      </w:r>
    </w:p>
    <w:p w14:paraId="0319F02F">
      <w:pPr>
        <w:pStyle w:val="6"/>
        <w:spacing w:line="360" w:lineRule="auto"/>
        <w:ind w:firstLine="960" w:firstLineChars="400"/>
        <w:jc w:val="left"/>
        <w:rPr>
          <w:rFonts w:ascii="宋体" w:hAnsi="宋体" w:eastAsia="宋体" w:cs="宋体"/>
          <w:b/>
          <w:bCs/>
          <w:sz w:val="24"/>
          <w:szCs w:val="24"/>
        </w:rPr>
      </w:pPr>
      <w:r>
        <w:rPr>
          <w:rFonts w:hint="eastAsia" w:ascii="宋体" w:hAnsi="宋体"/>
          <w:sz w:val="24"/>
        </w:rPr>
        <w:t xml:space="preserve">（按照“第三部分 </w:t>
      </w:r>
      <w:r>
        <w:rPr>
          <w:rFonts w:hint="eastAsia" w:ascii="宋体" w:hAnsi="宋体" w:eastAsia="宋体"/>
          <w:sz w:val="24"/>
        </w:rPr>
        <w:t>谈判</w:t>
      </w:r>
      <w:r>
        <w:rPr>
          <w:rFonts w:hint="eastAsia" w:ascii="宋体" w:hAnsi="宋体"/>
          <w:sz w:val="24"/>
        </w:rPr>
        <w:t>须知”有关</w:t>
      </w:r>
      <w:r>
        <w:rPr>
          <w:rFonts w:hint="eastAsia" w:ascii="宋体" w:hAnsi="宋体"/>
          <w:sz w:val="24"/>
          <w:lang w:val="zh-CN"/>
        </w:rPr>
        <w:t>商务与技术文件组成</w:t>
      </w:r>
      <w:r>
        <w:rPr>
          <w:rFonts w:hint="eastAsia" w:ascii="宋体" w:hAnsi="宋体"/>
          <w:sz w:val="24"/>
        </w:rPr>
        <w:t>要求编排）</w:t>
      </w:r>
    </w:p>
    <w:p w14:paraId="30AB8ED3">
      <w:pPr>
        <w:spacing w:line="360" w:lineRule="auto"/>
        <w:ind w:firstLine="5760" w:firstLineChars="2400"/>
        <w:jc w:val="left"/>
        <w:rPr>
          <w:rFonts w:ascii="宋体" w:hAnsi="宋体" w:cs="宋体"/>
          <w:sz w:val="24"/>
        </w:rPr>
      </w:pPr>
    </w:p>
    <w:p w14:paraId="03112372">
      <w:pPr>
        <w:pStyle w:val="10"/>
        <w:adjustRightInd w:val="0"/>
        <w:snapToGrid w:val="0"/>
        <w:spacing w:before="120" w:after="120"/>
        <w:rPr>
          <w:rFonts w:hAnsi="宋体" w:eastAsia="宋体" w:cs="宋体"/>
          <w:b/>
          <w:bCs/>
          <w:sz w:val="24"/>
          <w:szCs w:val="24"/>
        </w:rPr>
      </w:pPr>
    </w:p>
    <w:p w14:paraId="21A0CEAB">
      <w:pPr>
        <w:pStyle w:val="10"/>
        <w:adjustRightInd w:val="0"/>
        <w:snapToGrid w:val="0"/>
        <w:spacing w:before="120" w:after="120"/>
        <w:jc w:val="center"/>
        <w:rPr>
          <w:rFonts w:hAnsi="宋体" w:eastAsia="宋体" w:cs="宋体"/>
          <w:b/>
          <w:bCs/>
          <w:sz w:val="24"/>
          <w:szCs w:val="24"/>
        </w:rPr>
      </w:pPr>
    </w:p>
    <w:p w14:paraId="5CBE3BA9">
      <w:pPr>
        <w:pStyle w:val="10"/>
        <w:adjustRightInd w:val="0"/>
        <w:snapToGrid w:val="0"/>
        <w:spacing w:before="120" w:after="120"/>
        <w:jc w:val="center"/>
        <w:rPr>
          <w:rFonts w:hAnsi="宋体" w:eastAsia="宋体" w:cs="宋体"/>
          <w:b/>
          <w:bCs/>
          <w:sz w:val="24"/>
          <w:szCs w:val="24"/>
        </w:rPr>
      </w:pPr>
    </w:p>
    <w:p w14:paraId="0D9AD135">
      <w:pPr>
        <w:widowControl/>
        <w:jc w:val="left"/>
        <w:rPr>
          <w:rFonts w:ascii="宋体" w:hAnsi="宋体" w:eastAsia="宋体" w:cs="宋体"/>
          <w:b/>
          <w:bCs/>
          <w:kern w:val="0"/>
          <w:sz w:val="24"/>
        </w:rPr>
      </w:pPr>
      <w:r>
        <w:rPr>
          <w:rFonts w:eastAsia="宋体"/>
          <w:b/>
          <w:bCs/>
        </w:rPr>
        <w:br w:type="page"/>
      </w:r>
    </w:p>
    <w:p w14:paraId="50278A6E">
      <w:pPr>
        <w:pStyle w:val="49"/>
        <w:spacing w:before="0" w:beforeAutospacing="0" w:after="0" w:afterAutospacing="0" w:line="360" w:lineRule="auto"/>
        <w:rPr>
          <w:rFonts w:eastAsia="宋体"/>
          <w:b/>
          <w:bCs/>
        </w:rPr>
      </w:pPr>
      <w:r>
        <w:rPr>
          <w:rFonts w:hint="eastAsia" w:eastAsia="宋体"/>
          <w:b/>
          <w:bCs/>
        </w:rPr>
        <w:t>附件八：</w:t>
      </w:r>
    </w:p>
    <w:p w14:paraId="3E42B12C">
      <w:pPr>
        <w:pStyle w:val="10"/>
        <w:adjustRightInd w:val="0"/>
        <w:snapToGrid w:val="0"/>
        <w:spacing w:line="360" w:lineRule="auto"/>
        <w:jc w:val="center"/>
        <w:rPr>
          <w:rFonts w:hint="eastAsia" w:hAnsi="宋体" w:eastAsia="宋体"/>
          <w:b/>
          <w:sz w:val="32"/>
          <w:szCs w:val="32"/>
          <w:lang w:eastAsia="zh-CN"/>
        </w:rPr>
      </w:pPr>
      <w:r>
        <w:rPr>
          <w:rFonts w:hint="eastAsia" w:hAnsi="宋体" w:eastAsia="宋体"/>
          <w:b/>
          <w:sz w:val="32"/>
          <w:szCs w:val="32"/>
          <w:lang w:eastAsia="zh-CN"/>
        </w:rPr>
        <w:t>白塔镇景园村关金生态停车场建设项目</w:t>
      </w:r>
    </w:p>
    <w:p w14:paraId="416C0C09">
      <w:pPr>
        <w:pStyle w:val="49"/>
        <w:spacing w:before="0" w:beforeAutospacing="0" w:after="0" w:afterAutospacing="0" w:line="360" w:lineRule="auto"/>
        <w:jc w:val="center"/>
        <w:rPr>
          <w:b/>
          <w:bCs/>
          <w:spacing w:val="21"/>
          <w:sz w:val="32"/>
          <w:szCs w:val="32"/>
        </w:rPr>
      </w:pPr>
      <w:r>
        <w:rPr>
          <w:rFonts w:hint="eastAsia"/>
          <w:b/>
          <w:sz w:val="32"/>
          <w:szCs w:val="32"/>
        </w:rPr>
        <w:t>供应商</w:t>
      </w:r>
      <w:r>
        <w:rPr>
          <w:rFonts w:hint="eastAsia"/>
          <w:b/>
          <w:bCs/>
          <w:spacing w:val="21"/>
          <w:sz w:val="32"/>
          <w:szCs w:val="32"/>
        </w:rPr>
        <w:t>基本情况表</w:t>
      </w:r>
    </w:p>
    <w:p w14:paraId="20AAF3BA">
      <w:pPr>
        <w:pStyle w:val="49"/>
        <w:spacing w:before="0" w:beforeAutospacing="0" w:after="0" w:afterAutospacing="0" w:line="360" w:lineRule="auto"/>
        <w:jc w:val="center"/>
        <w:rPr>
          <w:rFonts w:eastAsia="宋体"/>
        </w:rPr>
      </w:pPr>
    </w:p>
    <w:p w14:paraId="66124F43">
      <w:pPr>
        <w:pStyle w:val="49"/>
        <w:spacing w:before="0" w:beforeAutospacing="0" w:after="0" w:afterAutospacing="0" w:line="360" w:lineRule="auto"/>
        <w:jc w:val="center"/>
        <w:rPr>
          <w:rFonts w:eastAsia="宋体"/>
        </w:rPr>
      </w:pPr>
    </w:p>
    <w:p w14:paraId="08948CAF">
      <w:pPr>
        <w:pStyle w:val="49"/>
        <w:spacing w:before="0" w:beforeAutospacing="0" w:after="0" w:afterAutospacing="0" w:line="360" w:lineRule="auto"/>
        <w:jc w:val="center"/>
        <w:rPr>
          <w:rFonts w:eastAsia="宋体"/>
        </w:rPr>
      </w:pPr>
    </w:p>
    <w:p w14:paraId="5888D4A7">
      <w:pPr>
        <w:pStyle w:val="49"/>
        <w:spacing w:before="0" w:beforeAutospacing="0" w:after="0" w:afterAutospacing="0" w:line="360" w:lineRule="auto"/>
        <w:jc w:val="center"/>
      </w:pPr>
      <w:r>
        <w:rPr>
          <w:rFonts w:hint="eastAsia" w:eastAsia="宋体"/>
        </w:rPr>
        <w:t>供应商情况介绍（人员与技术力量、企业规模、经营业绩等，格式自拟）</w:t>
      </w:r>
    </w:p>
    <w:p w14:paraId="4107AF57">
      <w:pPr>
        <w:widowControl/>
        <w:ind w:right="-154"/>
        <w:rPr>
          <w:b/>
          <w:sz w:val="24"/>
        </w:rPr>
      </w:pPr>
    </w:p>
    <w:p w14:paraId="55049C33">
      <w:pPr>
        <w:pStyle w:val="10"/>
        <w:jc w:val="center"/>
        <w:rPr>
          <w:rFonts w:hAnsi="宋体" w:eastAsia="宋体" w:cs="宋体"/>
          <w:sz w:val="24"/>
          <w:szCs w:val="24"/>
        </w:rPr>
      </w:pPr>
    </w:p>
    <w:p w14:paraId="0F9FA53C">
      <w:pPr>
        <w:pStyle w:val="11"/>
        <w:ind w:left="9000"/>
        <w:rPr>
          <w:rFonts w:eastAsiaTheme="minorEastAsia"/>
        </w:rPr>
      </w:pPr>
    </w:p>
    <w:p w14:paraId="7C74987D">
      <w:pPr>
        <w:rPr>
          <w:rFonts w:eastAsiaTheme="minorEastAsia"/>
        </w:rPr>
      </w:pPr>
    </w:p>
    <w:p w14:paraId="634D6AEA">
      <w:pPr>
        <w:rPr>
          <w:rFonts w:eastAsiaTheme="minorEastAsia"/>
        </w:rPr>
      </w:pPr>
    </w:p>
    <w:p w14:paraId="180EF251">
      <w:pPr>
        <w:spacing w:line="360" w:lineRule="auto"/>
        <w:jc w:val="left"/>
        <w:rPr>
          <w:rFonts w:ascii="宋体" w:hAnsi="宋体" w:eastAsia="宋体" w:cs="宋体"/>
          <w:sz w:val="24"/>
        </w:rPr>
      </w:pPr>
      <w:r>
        <w:rPr>
          <w:rFonts w:hint="eastAsia" w:ascii="宋体" w:hAnsi="宋体" w:eastAsia="宋体" w:cs="宋体"/>
          <w:sz w:val="24"/>
        </w:rPr>
        <w:t>                                          谈判供应商 (盖单位章)：</w:t>
      </w:r>
    </w:p>
    <w:p w14:paraId="533AEE18">
      <w:pPr>
        <w:pStyle w:val="10"/>
        <w:adjustRightInd w:val="0"/>
        <w:snapToGrid w:val="0"/>
        <w:spacing w:before="120" w:after="120" w:line="360" w:lineRule="auto"/>
        <w:rPr>
          <w:rFonts w:hAnsi="宋体" w:eastAsia="宋体" w:cs="宋体"/>
          <w:sz w:val="24"/>
          <w:szCs w:val="24"/>
        </w:rPr>
      </w:pPr>
      <w:r>
        <w:rPr>
          <w:rFonts w:hint="eastAsia" w:hAnsi="宋体" w:eastAsia="宋体" w:cs="宋体"/>
          <w:sz w:val="24"/>
          <w:szCs w:val="24"/>
        </w:rPr>
        <w:t xml:space="preserve">                                                      日　期：</w:t>
      </w:r>
    </w:p>
    <w:p w14:paraId="1800B410">
      <w:pPr>
        <w:pStyle w:val="10"/>
        <w:adjustRightInd w:val="0"/>
        <w:snapToGrid w:val="0"/>
        <w:spacing w:before="120" w:after="120" w:line="360" w:lineRule="auto"/>
        <w:rPr>
          <w:rFonts w:hAnsi="宋体" w:eastAsia="宋体" w:cs="宋体"/>
          <w:sz w:val="24"/>
          <w:szCs w:val="24"/>
        </w:rPr>
      </w:pPr>
    </w:p>
    <w:p w14:paraId="20A4D009">
      <w:pPr>
        <w:widowControl/>
        <w:jc w:val="left"/>
        <w:rPr>
          <w:rFonts w:ascii="宋体" w:hAnsi="宋体" w:eastAsia="宋体" w:cs="宋体"/>
          <w:b/>
          <w:bCs/>
          <w:sz w:val="24"/>
        </w:rPr>
      </w:pPr>
      <w:r>
        <w:rPr>
          <w:rFonts w:hAnsi="宋体" w:eastAsia="宋体" w:cs="宋体"/>
          <w:b/>
          <w:bCs/>
          <w:sz w:val="24"/>
        </w:rPr>
        <w:br w:type="page"/>
      </w:r>
    </w:p>
    <w:p w14:paraId="55881E52">
      <w:pPr>
        <w:pStyle w:val="10"/>
        <w:adjustRightInd w:val="0"/>
        <w:snapToGrid w:val="0"/>
        <w:spacing w:before="156" w:after="156"/>
        <w:rPr>
          <w:rFonts w:hAnsi="宋体" w:cs="宋体"/>
          <w:b/>
          <w:sz w:val="24"/>
          <w:szCs w:val="24"/>
        </w:rPr>
      </w:pPr>
      <w:r>
        <w:rPr>
          <w:rFonts w:hint="eastAsia" w:hAnsi="宋体" w:eastAsia="宋体" w:cs="宋体"/>
          <w:b/>
          <w:bCs/>
          <w:sz w:val="24"/>
          <w:szCs w:val="24"/>
        </w:rPr>
        <w:t>附件九：</w:t>
      </w:r>
      <w:r>
        <w:rPr>
          <w:rFonts w:hint="eastAsia" w:hAnsi="宋体" w:eastAsia="宋体" w:cs="宋体"/>
          <w:sz w:val="24"/>
          <w:szCs w:val="24"/>
        </w:rPr>
        <w:t xml:space="preserve">       </w:t>
      </w:r>
      <w:r>
        <w:rPr>
          <w:rFonts w:hint="eastAsia" w:hAnsi="宋体" w:eastAsia="宋体" w:cs="宋体"/>
          <w:b/>
          <w:bCs/>
          <w:sz w:val="24"/>
          <w:szCs w:val="24"/>
        </w:rPr>
        <w:t xml:space="preserve">              </w:t>
      </w:r>
    </w:p>
    <w:p w14:paraId="48390D36">
      <w:pPr>
        <w:pStyle w:val="10"/>
        <w:adjustRightInd w:val="0"/>
        <w:snapToGrid w:val="0"/>
        <w:spacing w:line="360" w:lineRule="auto"/>
        <w:jc w:val="center"/>
        <w:rPr>
          <w:rFonts w:hint="eastAsia" w:hAnsi="宋体" w:eastAsia="宋体"/>
          <w:b/>
          <w:sz w:val="32"/>
          <w:szCs w:val="32"/>
          <w:lang w:eastAsia="zh-CN"/>
        </w:rPr>
      </w:pPr>
      <w:r>
        <w:rPr>
          <w:rFonts w:hint="eastAsia" w:hAnsi="宋体" w:eastAsia="宋体"/>
          <w:b/>
          <w:sz w:val="32"/>
          <w:szCs w:val="32"/>
          <w:lang w:eastAsia="zh-CN"/>
        </w:rPr>
        <w:t>白塔镇景园村关金生态停车场建设项目</w:t>
      </w:r>
    </w:p>
    <w:p w14:paraId="66F03FEE">
      <w:pPr>
        <w:pStyle w:val="3"/>
        <w:spacing w:before="0" w:after="0" w:line="360" w:lineRule="auto"/>
        <w:jc w:val="center"/>
        <w:rPr>
          <w:rFonts w:ascii="宋体" w:hAnsi="宋体" w:cs="宋体"/>
          <w:sz w:val="32"/>
          <w:szCs w:val="32"/>
        </w:rPr>
      </w:pPr>
      <w:bookmarkStart w:id="520" w:name="_Toc528578415"/>
      <w:bookmarkStart w:id="521" w:name="_Toc528927457"/>
      <w:r>
        <w:rPr>
          <w:rFonts w:hint="eastAsia" w:ascii="宋体" w:hAnsi="宋体" w:eastAsia="宋体" w:cs="宋体"/>
          <w:sz w:val="32"/>
          <w:szCs w:val="32"/>
        </w:rPr>
        <w:t>商务响应承诺函</w:t>
      </w:r>
    </w:p>
    <w:p w14:paraId="55B1920B">
      <w:pPr>
        <w:pStyle w:val="10"/>
        <w:spacing w:before="60" w:after="60" w:line="500" w:lineRule="exact"/>
        <w:rPr>
          <w:rFonts w:hAnsi="宋体" w:cs="宋体"/>
          <w:szCs w:val="21"/>
          <w:u w:val="single"/>
        </w:rPr>
      </w:pPr>
      <w:r>
        <w:rPr>
          <w:rFonts w:hint="eastAsia" w:hAnsi="宋体" w:eastAsia="宋体" w:cs="宋体"/>
          <w:szCs w:val="21"/>
          <w:u w:val="single"/>
          <w:lang w:eastAsia="zh-CN"/>
        </w:rPr>
        <w:t>仙居县白塔镇人民政府</w:t>
      </w:r>
      <w:r>
        <w:rPr>
          <w:rFonts w:hint="eastAsia" w:hAnsi="宋体" w:cs="宋体"/>
          <w:szCs w:val="21"/>
          <w:u w:val="single"/>
        </w:rPr>
        <w:t>、</w:t>
      </w:r>
      <w:r>
        <w:rPr>
          <w:rFonts w:hint="eastAsia" w:hAnsi="宋体" w:eastAsia="宋体" w:cs="宋体"/>
          <w:szCs w:val="21"/>
          <w:u w:val="single"/>
          <w:lang w:eastAsia="zh-CN"/>
        </w:rPr>
        <w:t>泰宇建筑工程技术咨询有限公司</w:t>
      </w:r>
      <w:r>
        <w:rPr>
          <w:rFonts w:hint="eastAsia" w:hAnsi="宋体" w:cs="宋体"/>
          <w:szCs w:val="21"/>
          <w:u w:val="single"/>
        </w:rPr>
        <w:t>：</w:t>
      </w:r>
    </w:p>
    <w:p w14:paraId="175EBD0E">
      <w:pPr>
        <w:pStyle w:val="10"/>
        <w:spacing w:before="60" w:after="60" w:line="500" w:lineRule="exact"/>
        <w:ind w:firstLine="420" w:firstLineChars="200"/>
        <w:rPr>
          <w:rFonts w:hAnsi="宋体" w:eastAsia="宋体" w:cs="宋体"/>
          <w:szCs w:val="21"/>
        </w:rPr>
      </w:pPr>
      <w:r>
        <w:rPr>
          <w:rFonts w:hint="eastAsia" w:hAnsi="宋体" w:cs="宋体"/>
          <w:szCs w:val="21"/>
        </w:rPr>
        <w:t>我方参与的</w:t>
      </w:r>
      <w:r>
        <w:rPr>
          <w:rFonts w:hint="eastAsia" w:hAnsi="宋体" w:cs="宋体"/>
          <w:szCs w:val="21"/>
          <w:u w:val="single"/>
        </w:rPr>
        <w:t xml:space="preserve"> </w:t>
      </w:r>
      <w:r>
        <w:rPr>
          <w:rFonts w:hint="eastAsia" w:hAnsi="宋体" w:eastAsia="宋体" w:cs="宋体"/>
          <w:szCs w:val="21"/>
          <w:u w:val="single"/>
        </w:rPr>
        <w:t>（</w:t>
      </w:r>
      <w:r>
        <w:rPr>
          <w:rFonts w:hint="eastAsia" w:hAnsi="宋体" w:cs="宋体"/>
          <w:szCs w:val="21"/>
          <w:u w:val="single"/>
        </w:rPr>
        <w:t xml:space="preserve">项目名称）（项目编号） </w:t>
      </w:r>
      <w:r>
        <w:rPr>
          <w:rFonts w:hint="eastAsia" w:hAnsi="宋体" w:cs="宋体"/>
          <w:szCs w:val="21"/>
        </w:rPr>
        <w:t xml:space="preserve"> 的谈判活动，我方郑重承诺，我方承诺</w:t>
      </w:r>
      <w:r>
        <w:rPr>
          <w:rFonts w:hint="eastAsia" w:hAnsi="宋体" w:eastAsia="宋体" w:cs="宋体"/>
          <w:szCs w:val="21"/>
        </w:rPr>
        <w:t>对</w:t>
      </w:r>
      <w:r>
        <w:rPr>
          <w:rFonts w:hint="eastAsia" w:hAnsi="宋体" w:cs="宋体"/>
          <w:szCs w:val="21"/>
        </w:rPr>
        <w:t>谈判</w:t>
      </w:r>
      <w:r>
        <w:rPr>
          <w:rFonts w:hint="eastAsia" w:hAnsi="宋体" w:eastAsia="宋体" w:cs="宋体"/>
          <w:szCs w:val="21"/>
        </w:rPr>
        <w:t>文件中的商务要求完全响应。</w:t>
      </w:r>
    </w:p>
    <w:p w14:paraId="399497DA">
      <w:pPr>
        <w:pStyle w:val="10"/>
        <w:spacing w:before="60" w:after="60" w:line="500" w:lineRule="exact"/>
        <w:ind w:firstLine="420" w:firstLineChars="200"/>
        <w:rPr>
          <w:rFonts w:hAnsi="宋体" w:eastAsia="仿宋_GB2312" w:cs="宋体"/>
          <w:szCs w:val="21"/>
        </w:rPr>
      </w:pPr>
      <w:r>
        <w:rPr>
          <w:rFonts w:hint="eastAsia" w:hAnsi="宋体" w:cs="宋体"/>
          <w:szCs w:val="21"/>
        </w:rPr>
        <w:t>如本公司对以上条款提供虚假承诺，愿承担一切法律责任。</w:t>
      </w:r>
    </w:p>
    <w:p w14:paraId="3842F4F5">
      <w:pPr>
        <w:pStyle w:val="10"/>
        <w:spacing w:before="60" w:after="60" w:line="500" w:lineRule="exact"/>
        <w:ind w:firstLine="480" w:firstLineChars="200"/>
        <w:rPr>
          <w:rFonts w:hAnsi="宋体" w:eastAsia="宋体" w:cs="宋体"/>
          <w:sz w:val="24"/>
          <w:szCs w:val="24"/>
        </w:rPr>
      </w:pPr>
    </w:p>
    <w:p w14:paraId="462B8953">
      <w:pPr>
        <w:widowControl/>
        <w:adjustRightInd w:val="0"/>
        <w:rPr>
          <w:rFonts w:hAnsi="Times New Roman" w:eastAsia="宋体"/>
          <w:b/>
          <w:kern w:val="0"/>
          <w:sz w:val="24"/>
        </w:rPr>
      </w:pPr>
    </w:p>
    <w:p w14:paraId="38C638BA">
      <w:pPr>
        <w:pStyle w:val="20"/>
        <w:ind w:left="720" w:firstLine="482"/>
        <w:rPr>
          <w:b/>
          <w:sz w:val="24"/>
        </w:rPr>
      </w:pPr>
    </w:p>
    <w:p w14:paraId="561C1DB4">
      <w:pPr>
        <w:widowControl/>
        <w:ind w:right="1393" w:firstLine="1102" w:firstLineChars="499"/>
        <w:rPr>
          <w:rFonts w:ascii="宋体" w:hAnsi="宋体" w:eastAsia="宋体" w:cs="宋体"/>
          <w:b/>
          <w:sz w:val="22"/>
          <w:szCs w:val="22"/>
        </w:rPr>
      </w:pPr>
    </w:p>
    <w:p w14:paraId="70C5BC48">
      <w:pPr>
        <w:widowControl/>
        <w:ind w:right="1393" w:firstLine="3070" w:firstLineChars="1390"/>
        <w:rPr>
          <w:rFonts w:ascii="宋体" w:eastAsiaTheme="minorEastAsia"/>
          <w:b/>
          <w:sz w:val="22"/>
          <w:szCs w:val="22"/>
          <w:lang w:val="zh-CN"/>
        </w:rPr>
      </w:pPr>
      <w:r>
        <w:rPr>
          <w:rFonts w:hint="eastAsia" w:ascii="宋体" w:hAnsi="宋体" w:eastAsia="宋体" w:cs="宋体"/>
          <w:b/>
          <w:sz w:val="22"/>
          <w:szCs w:val="22"/>
        </w:rPr>
        <w:t>谈判供应商全称</w:t>
      </w:r>
      <w:r>
        <w:rPr>
          <w:rFonts w:hint="eastAsia" w:ascii="宋体" w:hAnsi="宋体" w:eastAsia="宋体" w:cs="宋体"/>
          <w:b/>
          <w:sz w:val="22"/>
          <w:szCs w:val="22"/>
          <w:lang w:val="zh-CN"/>
        </w:rPr>
        <w:t>（盖单位章）：</w:t>
      </w:r>
      <w:r>
        <w:rPr>
          <w:rFonts w:hint="eastAsia" w:ascii="宋体"/>
          <w:b/>
          <w:sz w:val="22"/>
          <w:szCs w:val="22"/>
          <w:lang w:val="zh-CN"/>
        </w:rPr>
        <w:t xml:space="preserve">       </w:t>
      </w:r>
    </w:p>
    <w:p w14:paraId="144ABCE0">
      <w:pPr>
        <w:widowControl/>
        <w:ind w:right="730" w:firstLine="883" w:firstLineChars="400"/>
        <w:rPr>
          <w:rFonts w:ascii="宋体" w:hAnsi="宋体" w:eastAsia="宋体" w:cs="宋体"/>
          <w:b/>
          <w:sz w:val="22"/>
          <w:szCs w:val="22"/>
          <w:lang w:val="zh-CN"/>
        </w:rPr>
      </w:pPr>
    </w:p>
    <w:p w14:paraId="6D731C9B">
      <w:pPr>
        <w:widowControl/>
        <w:ind w:right="730" w:firstLine="1758" w:firstLineChars="796"/>
        <w:rPr>
          <w:kern w:val="0"/>
          <w:sz w:val="22"/>
          <w:szCs w:val="22"/>
        </w:rPr>
      </w:pPr>
      <w:r>
        <w:rPr>
          <w:rFonts w:hint="eastAsia" w:ascii="宋体" w:hAnsi="宋体" w:eastAsia="宋体" w:cs="宋体"/>
          <w:b/>
          <w:sz w:val="22"/>
          <w:szCs w:val="22"/>
          <w:lang w:val="zh-CN"/>
        </w:rPr>
        <w:t>法定代表人</w:t>
      </w:r>
      <w:r>
        <w:rPr>
          <w:rFonts w:hint="eastAsia" w:ascii="宋体"/>
          <w:b/>
          <w:sz w:val="22"/>
          <w:szCs w:val="22"/>
          <w:lang w:val="zh-CN"/>
        </w:rPr>
        <w:t>(</w:t>
      </w:r>
      <w:r>
        <w:rPr>
          <w:rFonts w:hint="eastAsia" w:ascii="宋体" w:hAnsi="宋体" w:eastAsia="宋体" w:cs="宋体"/>
          <w:b/>
          <w:sz w:val="22"/>
          <w:szCs w:val="22"/>
          <w:lang w:val="zh-CN"/>
        </w:rPr>
        <w:t>签字或盖章</w:t>
      </w:r>
      <w:r>
        <w:rPr>
          <w:rFonts w:hint="eastAsia" w:ascii="宋体"/>
          <w:b/>
          <w:sz w:val="22"/>
          <w:szCs w:val="22"/>
          <w:lang w:val="zh-CN"/>
        </w:rPr>
        <w:t>)</w:t>
      </w:r>
      <w:r>
        <w:rPr>
          <w:rFonts w:hint="eastAsia" w:ascii="宋体" w:hAnsi="宋体" w:eastAsia="宋体" w:cs="宋体"/>
          <w:b/>
          <w:sz w:val="22"/>
          <w:szCs w:val="22"/>
          <w:lang w:val="zh-CN"/>
        </w:rPr>
        <w:t>或委托代理人</w:t>
      </w:r>
      <w:r>
        <w:rPr>
          <w:rFonts w:hint="eastAsia" w:ascii="宋体"/>
          <w:b/>
          <w:sz w:val="22"/>
          <w:szCs w:val="22"/>
          <w:lang w:val="zh-CN"/>
        </w:rPr>
        <w:t>(</w:t>
      </w:r>
      <w:r>
        <w:rPr>
          <w:rFonts w:hint="eastAsia" w:ascii="宋体" w:hAnsi="宋体" w:eastAsia="宋体" w:cs="宋体"/>
          <w:b/>
          <w:sz w:val="22"/>
          <w:szCs w:val="22"/>
          <w:lang w:val="zh-CN"/>
        </w:rPr>
        <w:t>签字</w:t>
      </w:r>
      <w:r>
        <w:rPr>
          <w:rFonts w:hint="eastAsia" w:ascii="宋体"/>
          <w:b/>
          <w:sz w:val="22"/>
          <w:szCs w:val="22"/>
          <w:lang w:val="zh-CN"/>
        </w:rPr>
        <w:t>)</w:t>
      </w:r>
      <w:r>
        <w:rPr>
          <w:rFonts w:hint="eastAsia" w:ascii="宋体" w:hAnsi="宋体" w:eastAsia="宋体" w:cs="宋体"/>
          <w:b/>
          <w:sz w:val="22"/>
          <w:szCs w:val="22"/>
          <w:lang w:val="zh-CN"/>
        </w:rPr>
        <w:t>：</w:t>
      </w:r>
      <w:r>
        <w:rPr>
          <w:rFonts w:hint="eastAsia" w:ascii="宋体"/>
          <w:b/>
          <w:sz w:val="22"/>
          <w:szCs w:val="22"/>
          <w:lang w:val="zh-CN"/>
        </w:rPr>
        <w:t xml:space="preserve">  </w:t>
      </w:r>
    </w:p>
    <w:p w14:paraId="67652106">
      <w:pPr>
        <w:pStyle w:val="10"/>
        <w:spacing w:line="360" w:lineRule="auto"/>
        <w:jc w:val="right"/>
        <w:rPr>
          <w:rFonts w:eastAsiaTheme="minorEastAsia"/>
          <w:sz w:val="22"/>
          <w:szCs w:val="22"/>
        </w:rPr>
      </w:pPr>
      <w:r>
        <w:rPr>
          <w:rFonts w:hint="eastAsia"/>
          <w:sz w:val="22"/>
          <w:szCs w:val="22"/>
        </w:rPr>
        <w:t xml:space="preserve"> </w:t>
      </w:r>
    </w:p>
    <w:p w14:paraId="64CBE2FB">
      <w:pPr>
        <w:pStyle w:val="10"/>
        <w:spacing w:line="360" w:lineRule="auto"/>
        <w:jc w:val="right"/>
        <w:rPr>
          <w:rFonts w:eastAsiaTheme="minorEastAsia"/>
          <w:sz w:val="22"/>
          <w:szCs w:val="22"/>
        </w:rPr>
      </w:pPr>
    </w:p>
    <w:p w14:paraId="4DA65617">
      <w:pPr>
        <w:pStyle w:val="10"/>
        <w:spacing w:line="360" w:lineRule="auto"/>
        <w:jc w:val="right"/>
        <w:rPr>
          <w:sz w:val="20"/>
          <w:szCs w:val="22"/>
        </w:rPr>
      </w:pPr>
      <w:r>
        <w:rPr>
          <w:rFonts w:hint="eastAsia" w:hAnsi="宋体" w:eastAsia="宋体" w:cs="宋体"/>
          <w:sz w:val="22"/>
          <w:szCs w:val="22"/>
        </w:rPr>
        <w:t>日期：</w:t>
      </w:r>
      <w:r>
        <w:rPr>
          <w:rFonts w:hint="eastAsia"/>
          <w:sz w:val="22"/>
          <w:szCs w:val="22"/>
        </w:rPr>
        <w:t xml:space="preserve">    </w:t>
      </w:r>
      <w:r>
        <w:rPr>
          <w:rFonts w:hint="eastAsia" w:hAnsi="宋体" w:eastAsia="宋体" w:cs="宋体"/>
          <w:sz w:val="22"/>
          <w:szCs w:val="22"/>
        </w:rPr>
        <w:t>年</w:t>
      </w:r>
      <w:r>
        <w:rPr>
          <w:rFonts w:hint="eastAsia"/>
          <w:sz w:val="22"/>
          <w:szCs w:val="22"/>
        </w:rPr>
        <w:t xml:space="preserve">   </w:t>
      </w:r>
      <w:r>
        <w:rPr>
          <w:rFonts w:hint="eastAsia" w:hAnsi="宋体" w:eastAsia="宋体" w:cs="宋体"/>
          <w:sz w:val="22"/>
          <w:szCs w:val="22"/>
        </w:rPr>
        <w:t>月</w:t>
      </w:r>
      <w:r>
        <w:rPr>
          <w:rFonts w:hint="eastAsia"/>
          <w:sz w:val="22"/>
          <w:szCs w:val="22"/>
        </w:rPr>
        <w:t xml:space="preserve">  </w:t>
      </w:r>
      <w:r>
        <w:rPr>
          <w:rFonts w:hint="eastAsia" w:hAnsi="宋体" w:eastAsia="宋体" w:cs="宋体"/>
          <w:sz w:val="22"/>
          <w:szCs w:val="22"/>
        </w:rPr>
        <w:t>日</w:t>
      </w:r>
    </w:p>
    <w:p w14:paraId="2E2D508B">
      <w:pPr>
        <w:widowControl/>
        <w:jc w:val="left"/>
        <w:rPr>
          <w:rFonts w:ascii="宋体" w:hAnsi="宋体" w:eastAsia="宋体" w:cs="宋体"/>
          <w:b/>
          <w:bCs/>
          <w:sz w:val="24"/>
        </w:rPr>
      </w:pPr>
    </w:p>
    <w:p w14:paraId="110801D7">
      <w:pPr>
        <w:widowControl/>
        <w:jc w:val="left"/>
        <w:rPr>
          <w:rFonts w:ascii="宋体" w:hAnsi="宋体" w:eastAsia="宋体" w:cs="宋体"/>
          <w:b/>
          <w:bCs/>
          <w:sz w:val="24"/>
        </w:rPr>
      </w:pPr>
      <w:r>
        <w:rPr>
          <w:rFonts w:ascii="宋体" w:hAnsi="宋体" w:cs="宋体"/>
          <w:b/>
          <w:bCs/>
          <w:sz w:val="24"/>
        </w:rPr>
        <w:br w:type="page"/>
      </w:r>
    </w:p>
    <w:p w14:paraId="27A88499">
      <w:pPr>
        <w:pStyle w:val="36"/>
        <w:spacing w:line="360" w:lineRule="auto"/>
        <w:jc w:val="left"/>
        <w:rPr>
          <w:rFonts w:hAnsi="宋体" w:cs="宋体"/>
          <w:b/>
          <w:bCs/>
          <w:sz w:val="24"/>
        </w:rPr>
      </w:pPr>
      <w:r>
        <w:rPr>
          <w:rFonts w:hint="eastAsia" w:ascii="宋体" w:hAnsi="宋体" w:cs="宋体"/>
          <w:b/>
          <w:bCs/>
          <w:sz w:val="24"/>
        </w:rPr>
        <w:t>附件</w:t>
      </w:r>
      <w:r>
        <w:rPr>
          <w:rFonts w:hint="eastAsia" w:hAnsi="宋体" w:cs="宋体"/>
          <w:b/>
          <w:bCs/>
          <w:sz w:val="24"/>
        </w:rPr>
        <w:t>十：</w:t>
      </w:r>
    </w:p>
    <w:p w14:paraId="5DEF6B8C">
      <w:pPr>
        <w:pStyle w:val="10"/>
        <w:adjustRightInd w:val="0"/>
        <w:snapToGrid w:val="0"/>
        <w:spacing w:line="360" w:lineRule="auto"/>
        <w:jc w:val="center"/>
        <w:rPr>
          <w:rFonts w:hAnsi="宋体" w:eastAsia="宋体"/>
          <w:b/>
          <w:sz w:val="24"/>
          <w:szCs w:val="24"/>
        </w:rPr>
      </w:pPr>
    </w:p>
    <w:p w14:paraId="77E3BFC2">
      <w:pPr>
        <w:pStyle w:val="10"/>
        <w:adjustRightInd w:val="0"/>
        <w:snapToGrid w:val="0"/>
        <w:spacing w:line="360" w:lineRule="auto"/>
        <w:jc w:val="center"/>
        <w:rPr>
          <w:rFonts w:hint="eastAsia" w:hAnsi="宋体" w:eastAsia="宋体"/>
          <w:b/>
          <w:sz w:val="24"/>
          <w:szCs w:val="24"/>
          <w:lang w:eastAsia="zh-CN"/>
        </w:rPr>
      </w:pPr>
      <w:r>
        <w:rPr>
          <w:rFonts w:hint="eastAsia" w:hAnsi="宋体" w:eastAsia="宋体"/>
          <w:b/>
          <w:sz w:val="24"/>
          <w:szCs w:val="24"/>
          <w:lang w:eastAsia="zh-CN"/>
        </w:rPr>
        <w:t>白塔镇景园村关金生态停车场建设项目</w:t>
      </w:r>
    </w:p>
    <w:p w14:paraId="4C940B27">
      <w:pPr>
        <w:spacing w:line="360" w:lineRule="auto"/>
        <w:jc w:val="center"/>
        <w:rPr>
          <w:rFonts w:ascii="黑体" w:eastAsia="黑体"/>
          <w:b/>
          <w:szCs w:val="36"/>
        </w:rPr>
      </w:pPr>
      <w:r>
        <w:rPr>
          <w:rFonts w:hint="eastAsia" w:ascii="黑体" w:eastAsia="黑体"/>
          <w:b/>
          <w:szCs w:val="36"/>
        </w:rPr>
        <w:t>项目负责人简历表</w:t>
      </w:r>
    </w:p>
    <w:tbl>
      <w:tblPr>
        <w:tblStyle w:val="21"/>
        <w:tblW w:w="9318" w:type="dxa"/>
        <w:jc w:val="center"/>
        <w:tblLayout w:type="fixed"/>
        <w:tblCellMar>
          <w:top w:w="0" w:type="dxa"/>
          <w:left w:w="108" w:type="dxa"/>
          <w:bottom w:w="0" w:type="dxa"/>
          <w:right w:w="108" w:type="dxa"/>
        </w:tblCellMar>
      </w:tblPr>
      <w:tblGrid>
        <w:gridCol w:w="1089"/>
        <w:gridCol w:w="875"/>
        <w:gridCol w:w="664"/>
        <w:gridCol w:w="894"/>
        <w:gridCol w:w="1089"/>
        <w:gridCol w:w="1116"/>
        <w:gridCol w:w="933"/>
        <w:gridCol w:w="972"/>
        <w:gridCol w:w="1686"/>
      </w:tblGrid>
      <w:tr w14:paraId="11C8AB92">
        <w:tblPrEx>
          <w:tblCellMar>
            <w:top w:w="0" w:type="dxa"/>
            <w:left w:w="108" w:type="dxa"/>
            <w:bottom w:w="0" w:type="dxa"/>
            <w:right w:w="108" w:type="dxa"/>
          </w:tblCellMar>
        </w:tblPrEx>
        <w:trPr>
          <w:trHeight w:val="475" w:hRule="atLeast"/>
          <w:jc w:val="center"/>
        </w:trPr>
        <w:tc>
          <w:tcPr>
            <w:tcW w:w="10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562AD0">
            <w:pPr>
              <w:widowControl/>
              <w:jc w:val="center"/>
              <w:rPr>
                <w:rFonts w:ascii="宋体" w:hAnsi="宋体" w:eastAsia="宋体" w:cs="宋体"/>
                <w:kern w:val="0"/>
                <w:sz w:val="21"/>
                <w:szCs w:val="21"/>
              </w:rPr>
            </w:pPr>
            <w:r>
              <w:rPr>
                <w:rFonts w:hint="eastAsia" w:ascii="宋体" w:hAnsi="宋体" w:eastAsia="宋体" w:cs="宋体"/>
                <w:kern w:val="0"/>
                <w:sz w:val="21"/>
                <w:szCs w:val="21"/>
              </w:rPr>
              <w:t>姓名</w:t>
            </w:r>
          </w:p>
        </w:tc>
        <w:tc>
          <w:tcPr>
            <w:tcW w:w="1539" w:type="dxa"/>
            <w:gridSpan w:val="2"/>
            <w:tcBorders>
              <w:top w:val="single" w:color="000000" w:sz="4" w:space="0"/>
              <w:left w:val="nil"/>
              <w:bottom w:val="single" w:color="000000" w:sz="4" w:space="0"/>
              <w:right w:val="single" w:color="000000" w:sz="4" w:space="0"/>
            </w:tcBorders>
            <w:shd w:val="clear" w:color="auto" w:fill="auto"/>
            <w:vAlign w:val="center"/>
          </w:tcPr>
          <w:p w14:paraId="671C9770">
            <w:pPr>
              <w:widowControl/>
              <w:jc w:val="center"/>
              <w:rPr>
                <w:rFonts w:ascii="宋体" w:hAnsi="宋体" w:eastAsia="宋体" w:cs="宋体"/>
                <w:kern w:val="0"/>
                <w:sz w:val="21"/>
                <w:szCs w:val="21"/>
              </w:rPr>
            </w:pPr>
            <w:r>
              <w:rPr>
                <w:rFonts w:hint="eastAsia" w:ascii="宋体" w:hAnsi="宋体" w:eastAsia="宋体" w:cs="宋体"/>
                <w:kern w:val="0"/>
                <w:sz w:val="21"/>
                <w:szCs w:val="21"/>
              </w:rPr>
              <w:t>　</w:t>
            </w:r>
          </w:p>
        </w:tc>
        <w:tc>
          <w:tcPr>
            <w:tcW w:w="894" w:type="dxa"/>
            <w:tcBorders>
              <w:top w:val="single" w:color="000000" w:sz="4" w:space="0"/>
              <w:left w:val="nil"/>
              <w:bottom w:val="single" w:color="000000" w:sz="4" w:space="0"/>
              <w:right w:val="single" w:color="000000" w:sz="4" w:space="0"/>
            </w:tcBorders>
            <w:shd w:val="clear" w:color="auto" w:fill="auto"/>
            <w:vAlign w:val="center"/>
          </w:tcPr>
          <w:p w14:paraId="183D6E29">
            <w:pPr>
              <w:widowControl/>
              <w:jc w:val="center"/>
              <w:rPr>
                <w:rFonts w:ascii="宋体" w:hAnsi="宋体" w:eastAsia="宋体" w:cs="宋体"/>
                <w:kern w:val="0"/>
                <w:sz w:val="21"/>
                <w:szCs w:val="21"/>
              </w:rPr>
            </w:pPr>
            <w:r>
              <w:rPr>
                <w:rFonts w:hint="eastAsia" w:ascii="宋体" w:hAnsi="宋体" w:eastAsia="宋体" w:cs="宋体"/>
                <w:kern w:val="0"/>
                <w:sz w:val="21"/>
                <w:szCs w:val="21"/>
              </w:rPr>
              <w:t>性别</w:t>
            </w:r>
          </w:p>
        </w:tc>
        <w:tc>
          <w:tcPr>
            <w:tcW w:w="1089" w:type="dxa"/>
            <w:tcBorders>
              <w:top w:val="single" w:color="000000" w:sz="4" w:space="0"/>
              <w:left w:val="nil"/>
              <w:bottom w:val="single" w:color="000000" w:sz="4" w:space="0"/>
              <w:right w:val="single" w:color="000000" w:sz="4" w:space="0"/>
            </w:tcBorders>
            <w:shd w:val="clear" w:color="auto" w:fill="auto"/>
            <w:vAlign w:val="center"/>
          </w:tcPr>
          <w:p w14:paraId="4A6B13EA">
            <w:pPr>
              <w:widowControl/>
              <w:jc w:val="center"/>
              <w:rPr>
                <w:rFonts w:ascii="宋体" w:hAnsi="宋体" w:eastAsia="宋体" w:cs="宋体"/>
                <w:kern w:val="0"/>
                <w:sz w:val="21"/>
                <w:szCs w:val="21"/>
              </w:rPr>
            </w:pPr>
            <w:r>
              <w:rPr>
                <w:rFonts w:hint="eastAsia" w:ascii="宋体" w:hAnsi="宋体" w:eastAsia="宋体" w:cs="宋体"/>
                <w:kern w:val="0"/>
                <w:sz w:val="21"/>
                <w:szCs w:val="21"/>
              </w:rPr>
              <w:t>　</w:t>
            </w:r>
          </w:p>
        </w:tc>
        <w:tc>
          <w:tcPr>
            <w:tcW w:w="1116" w:type="dxa"/>
            <w:tcBorders>
              <w:top w:val="single" w:color="000000" w:sz="4" w:space="0"/>
              <w:left w:val="nil"/>
              <w:bottom w:val="single" w:color="000000" w:sz="4" w:space="0"/>
              <w:right w:val="single" w:color="000000" w:sz="4" w:space="0"/>
            </w:tcBorders>
            <w:shd w:val="clear" w:color="auto" w:fill="auto"/>
            <w:vAlign w:val="center"/>
          </w:tcPr>
          <w:p w14:paraId="12170457">
            <w:pPr>
              <w:widowControl/>
              <w:jc w:val="center"/>
              <w:rPr>
                <w:rFonts w:ascii="宋体" w:hAnsi="宋体" w:eastAsia="宋体" w:cs="宋体"/>
                <w:kern w:val="0"/>
                <w:sz w:val="21"/>
                <w:szCs w:val="21"/>
              </w:rPr>
            </w:pPr>
            <w:r>
              <w:rPr>
                <w:rFonts w:hint="eastAsia" w:ascii="宋体" w:hAnsi="宋体" w:eastAsia="宋体" w:cs="宋体"/>
                <w:kern w:val="0"/>
                <w:sz w:val="21"/>
                <w:szCs w:val="21"/>
              </w:rPr>
              <w:t>年龄</w:t>
            </w:r>
          </w:p>
        </w:tc>
        <w:tc>
          <w:tcPr>
            <w:tcW w:w="933" w:type="dxa"/>
            <w:tcBorders>
              <w:top w:val="single" w:color="000000" w:sz="4" w:space="0"/>
              <w:left w:val="nil"/>
              <w:bottom w:val="single" w:color="000000" w:sz="4" w:space="0"/>
              <w:right w:val="single" w:color="000000" w:sz="4" w:space="0"/>
            </w:tcBorders>
            <w:shd w:val="clear" w:color="auto" w:fill="auto"/>
            <w:vAlign w:val="center"/>
          </w:tcPr>
          <w:p w14:paraId="584F037E">
            <w:pPr>
              <w:widowControl/>
              <w:jc w:val="center"/>
              <w:rPr>
                <w:rFonts w:ascii="宋体" w:hAnsi="宋体" w:eastAsia="宋体" w:cs="宋体"/>
                <w:kern w:val="0"/>
                <w:sz w:val="21"/>
                <w:szCs w:val="21"/>
              </w:rPr>
            </w:pPr>
            <w:r>
              <w:rPr>
                <w:rFonts w:hint="eastAsia" w:ascii="宋体" w:hAnsi="宋体" w:eastAsia="宋体" w:cs="宋体"/>
                <w:kern w:val="0"/>
                <w:sz w:val="21"/>
                <w:szCs w:val="21"/>
              </w:rPr>
              <w:t>　</w:t>
            </w:r>
          </w:p>
        </w:tc>
        <w:tc>
          <w:tcPr>
            <w:tcW w:w="972" w:type="dxa"/>
            <w:tcBorders>
              <w:top w:val="single" w:color="000000" w:sz="4" w:space="0"/>
              <w:left w:val="nil"/>
              <w:bottom w:val="single" w:color="000000" w:sz="4" w:space="0"/>
              <w:right w:val="single" w:color="000000" w:sz="4" w:space="0"/>
            </w:tcBorders>
            <w:shd w:val="clear" w:color="auto" w:fill="auto"/>
            <w:vAlign w:val="center"/>
          </w:tcPr>
          <w:p w14:paraId="58B62840">
            <w:pPr>
              <w:widowControl/>
              <w:jc w:val="center"/>
              <w:rPr>
                <w:rFonts w:ascii="宋体" w:hAnsi="宋体" w:eastAsia="宋体" w:cs="宋体"/>
                <w:kern w:val="0"/>
                <w:sz w:val="21"/>
                <w:szCs w:val="21"/>
              </w:rPr>
            </w:pPr>
            <w:r>
              <w:rPr>
                <w:rFonts w:hint="eastAsia" w:ascii="宋体" w:hAnsi="宋体" w:eastAsia="宋体" w:cs="宋体"/>
                <w:kern w:val="0"/>
                <w:sz w:val="21"/>
                <w:szCs w:val="21"/>
              </w:rPr>
              <w:t>专业</w:t>
            </w:r>
          </w:p>
        </w:tc>
        <w:tc>
          <w:tcPr>
            <w:tcW w:w="1686" w:type="dxa"/>
            <w:tcBorders>
              <w:top w:val="single" w:color="000000" w:sz="4" w:space="0"/>
              <w:left w:val="nil"/>
              <w:bottom w:val="single" w:color="000000" w:sz="4" w:space="0"/>
              <w:right w:val="single" w:color="000000" w:sz="4" w:space="0"/>
            </w:tcBorders>
            <w:shd w:val="clear" w:color="auto" w:fill="auto"/>
            <w:vAlign w:val="center"/>
          </w:tcPr>
          <w:p w14:paraId="17C35123">
            <w:pPr>
              <w:widowControl/>
              <w:jc w:val="center"/>
              <w:rPr>
                <w:rFonts w:ascii="宋体" w:hAnsi="宋体" w:eastAsia="宋体" w:cs="宋体"/>
                <w:kern w:val="0"/>
                <w:sz w:val="21"/>
                <w:szCs w:val="21"/>
              </w:rPr>
            </w:pPr>
            <w:r>
              <w:rPr>
                <w:rFonts w:hint="eastAsia" w:ascii="宋体" w:hAnsi="宋体" w:eastAsia="宋体" w:cs="宋体"/>
                <w:kern w:val="0"/>
                <w:sz w:val="21"/>
                <w:szCs w:val="21"/>
              </w:rPr>
              <w:t>　</w:t>
            </w:r>
          </w:p>
        </w:tc>
      </w:tr>
      <w:tr w14:paraId="06D3A519">
        <w:tblPrEx>
          <w:tblCellMar>
            <w:top w:w="0" w:type="dxa"/>
            <w:left w:w="108" w:type="dxa"/>
            <w:bottom w:w="0" w:type="dxa"/>
            <w:right w:w="108" w:type="dxa"/>
          </w:tblCellMar>
        </w:tblPrEx>
        <w:trPr>
          <w:trHeight w:val="489" w:hRule="atLeast"/>
          <w:jc w:val="center"/>
        </w:trPr>
        <w:tc>
          <w:tcPr>
            <w:tcW w:w="196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C3095A5">
            <w:pPr>
              <w:widowControl/>
              <w:jc w:val="center"/>
              <w:rPr>
                <w:rFonts w:ascii="宋体" w:hAnsi="宋体" w:eastAsia="宋体" w:cs="宋体"/>
                <w:kern w:val="0"/>
                <w:sz w:val="21"/>
                <w:szCs w:val="21"/>
              </w:rPr>
            </w:pPr>
            <w:r>
              <w:rPr>
                <w:rFonts w:hint="eastAsia" w:ascii="宋体" w:hAnsi="宋体" w:eastAsia="宋体" w:cs="宋体"/>
                <w:kern w:val="0"/>
                <w:sz w:val="21"/>
                <w:szCs w:val="21"/>
              </w:rPr>
              <w:t>资质等级</w:t>
            </w:r>
          </w:p>
        </w:tc>
        <w:tc>
          <w:tcPr>
            <w:tcW w:w="1558" w:type="dxa"/>
            <w:gridSpan w:val="2"/>
            <w:tcBorders>
              <w:top w:val="single" w:color="000000" w:sz="4" w:space="0"/>
              <w:left w:val="nil"/>
              <w:bottom w:val="single" w:color="000000" w:sz="4" w:space="0"/>
              <w:right w:val="single" w:color="000000" w:sz="4" w:space="0"/>
            </w:tcBorders>
            <w:shd w:val="clear" w:color="auto" w:fill="auto"/>
            <w:vAlign w:val="center"/>
          </w:tcPr>
          <w:p w14:paraId="4CACF057">
            <w:pPr>
              <w:widowControl/>
              <w:jc w:val="center"/>
              <w:rPr>
                <w:rFonts w:ascii="宋体" w:hAnsi="宋体" w:eastAsia="宋体" w:cs="宋体"/>
                <w:kern w:val="0"/>
                <w:sz w:val="21"/>
                <w:szCs w:val="21"/>
              </w:rPr>
            </w:pPr>
            <w:r>
              <w:rPr>
                <w:rFonts w:hint="eastAsia" w:ascii="宋体" w:hAnsi="宋体" w:eastAsia="宋体" w:cs="宋体"/>
                <w:kern w:val="0"/>
                <w:sz w:val="21"/>
                <w:szCs w:val="21"/>
              </w:rPr>
              <w:t>　</w:t>
            </w:r>
          </w:p>
        </w:tc>
        <w:tc>
          <w:tcPr>
            <w:tcW w:w="1089" w:type="dxa"/>
            <w:tcBorders>
              <w:top w:val="nil"/>
              <w:left w:val="nil"/>
              <w:bottom w:val="single" w:color="000000" w:sz="4" w:space="0"/>
              <w:right w:val="single" w:color="000000" w:sz="4" w:space="0"/>
            </w:tcBorders>
            <w:shd w:val="clear" w:color="auto" w:fill="auto"/>
            <w:vAlign w:val="center"/>
          </w:tcPr>
          <w:p w14:paraId="7CAA1AD6">
            <w:pPr>
              <w:widowControl/>
              <w:jc w:val="center"/>
              <w:rPr>
                <w:rFonts w:ascii="宋体" w:hAnsi="宋体" w:eastAsia="宋体" w:cs="宋体"/>
                <w:kern w:val="0"/>
                <w:sz w:val="21"/>
                <w:szCs w:val="21"/>
              </w:rPr>
            </w:pPr>
            <w:r>
              <w:rPr>
                <w:rFonts w:hint="eastAsia" w:ascii="宋体" w:hAnsi="宋体" w:eastAsia="宋体" w:cs="宋体"/>
                <w:kern w:val="0"/>
                <w:sz w:val="21"/>
                <w:szCs w:val="21"/>
              </w:rPr>
              <w:t>职称</w:t>
            </w:r>
          </w:p>
        </w:tc>
        <w:tc>
          <w:tcPr>
            <w:tcW w:w="2049" w:type="dxa"/>
            <w:gridSpan w:val="2"/>
            <w:tcBorders>
              <w:top w:val="single" w:color="000000" w:sz="4" w:space="0"/>
              <w:left w:val="nil"/>
              <w:bottom w:val="single" w:color="000000" w:sz="4" w:space="0"/>
              <w:right w:val="single" w:color="000000" w:sz="4" w:space="0"/>
            </w:tcBorders>
            <w:shd w:val="clear" w:color="auto" w:fill="auto"/>
            <w:vAlign w:val="center"/>
          </w:tcPr>
          <w:p w14:paraId="0B66B8F1">
            <w:pPr>
              <w:widowControl/>
              <w:jc w:val="center"/>
              <w:rPr>
                <w:rFonts w:ascii="宋体" w:hAnsi="宋体" w:eastAsia="宋体" w:cs="宋体"/>
                <w:kern w:val="0"/>
                <w:sz w:val="21"/>
                <w:szCs w:val="21"/>
              </w:rPr>
            </w:pPr>
            <w:r>
              <w:rPr>
                <w:rFonts w:hint="eastAsia" w:ascii="宋体" w:hAnsi="宋体" w:eastAsia="宋体" w:cs="宋体"/>
                <w:kern w:val="0"/>
                <w:sz w:val="21"/>
                <w:szCs w:val="21"/>
              </w:rPr>
              <w:t>　</w:t>
            </w:r>
          </w:p>
        </w:tc>
        <w:tc>
          <w:tcPr>
            <w:tcW w:w="972" w:type="dxa"/>
            <w:tcBorders>
              <w:top w:val="nil"/>
              <w:left w:val="nil"/>
              <w:bottom w:val="single" w:color="000000" w:sz="4" w:space="0"/>
              <w:right w:val="single" w:color="000000" w:sz="4" w:space="0"/>
            </w:tcBorders>
            <w:shd w:val="clear" w:color="auto" w:fill="auto"/>
            <w:vAlign w:val="center"/>
          </w:tcPr>
          <w:p w14:paraId="4895CB9A">
            <w:pPr>
              <w:widowControl/>
              <w:jc w:val="center"/>
              <w:rPr>
                <w:rFonts w:ascii="宋体" w:hAnsi="宋体" w:eastAsia="宋体" w:cs="宋体"/>
                <w:kern w:val="0"/>
                <w:sz w:val="21"/>
                <w:szCs w:val="21"/>
              </w:rPr>
            </w:pPr>
            <w:r>
              <w:rPr>
                <w:rFonts w:hint="eastAsia" w:ascii="宋体" w:hAnsi="宋体" w:eastAsia="宋体" w:cs="宋体"/>
                <w:kern w:val="0"/>
                <w:sz w:val="21"/>
                <w:szCs w:val="21"/>
              </w:rPr>
              <w:t>学历</w:t>
            </w:r>
          </w:p>
        </w:tc>
        <w:tc>
          <w:tcPr>
            <w:tcW w:w="1686" w:type="dxa"/>
            <w:tcBorders>
              <w:top w:val="nil"/>
              <w:left w:val="nil"/>
              <w:bottom w:val="single" w:color="000000" w:sz="4" w:space="0"/>
              <w:right w:val="single" w:color="000000" w:sz="4" w:space="0"/>
            </w:tcBorders>
            <w:shd w:val="clear" w:color="auto" w:fill="auto"/>
            <w:vAlign w:val="center"/>
          </w:tcPr>
          <w:p w14:paraId="6E58E63A">
            <w:pPr>
              <w:widowControl/>
              <w:jc w:val="center"/>
              <w:rPr>
                <w:rFonts w:ascii="宋体" w:hAnsi="宋体" w:eastAsia="宋体" w:cs="宋体"/>
                <w:kern w:val="0"/>
                <w:sz w:val="21"/>
                <w:szCs w:val="21"/>
              </w:rPr>
            </w:pPr>
            <w:r>
              <w:rPr>
                <w:rFonts w:hint="eastAsia" w:ascii="宋体" w:hAnsi="宋体" w:eastAsia="宋体" w:cs="宋体"/>
                <w:kern w:val="0"/>
                <w:sz w:val="21"/>
                <w:szCs w:val="21"/>
              </w:rPr>
              <w:t>　</w:t>
            </w:r>
          </w:p>
        </w:tc>
      </w:tr>
      <w:tr w14:paraId="0E347A16">
        <w:tblPrEx>
          <w:tblCellMar>
            <w:top w:w="0" w:type="dxa"/>
            <w:left w:w="108" w:type="dxa"/>
            <w:bottom w:w="0" w:type="dxa"/>
            <w:right w:w="108" w:type="dxa"/>
          </w:tblCellMar>
        </w:tblPrEx>
        <w:trPr>
          <w:trHeight w:val="500" w:hRule="atLeast"/>
          <w:jc w:val="center"/>
        </w:trPr>
        <w:tc>
          <w:tcPr>
            <w:tcW w:w="2628"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17CABE82">
            <w:pPr>
              <w:widowControl/>
              <w:jc w:val="center"/>
              <w:rPr>
                <w:rFonts w:ascii="宋体" w:hAnsi="宋体" w:eastAsia="宋体" w:cs="宋体"/>
                <w:kern w:val="0"/>
                <w:sz w:val="21"/>
                <w:szCs w:val="21"/>
              </w:rPr>
            </w:pPr>
            <w:r>
              <w:rPr>
                <w:rFonts w:hint="eastAsia" w:ascii="宋体" w:hAnsi="宋体" w:eastAsia="宋体" w:cs="宋体"/>
                <w:kern w:val="0"/>
                <w:sz w:val="21"/>
                <w:szCs w:val="21"/>
              </w:rPr>
              <w:t>参加工作时间</w:t>
            </w:r>
          </w:p>
        </w:tc>
        <w:tc>
          <w:tcPr>
            <w:tcW w:w="1983" w:type="dxa"/>
            <w:gridSpan w:val="2"/>
            <w:tcBorders>
              <w:top w:val="single" w:color="000000" w:sz="4" w:space="0"/>
              <w:left w:val="nil"/>
              <w:bottom w:val="single" w:color="000000" w:sz="4" w:space="0"/>
              <w:right w:val="single" w:color="000000" w:sz="4" w:space="0"/>
            </w:tcBorders>
            <w:shd w:val="clear" w:color="auto" w:fill="auto"/>
            <w:vAlign w:val="center"/>
          </w:tcPr>
          <w:p w14:paraId="1B9C697D">
            <w:pPr>
              <w:widowControl/>
              <w:jc w:val="left"/>
              <w:rPr>
                <w:rFonts w:ascii="宋体" w:hAnsi="宋体" w:eastAsia="宋体" w:cs="宋体"/>
                <w:kern w:val="0"/>
                <w:sz w:val="21"/>
                <w:szCs w:val="21"/>
              </w:rPr>
            </w:pPr>
            <w:r>
              <w:rPr>
                <w:rFonts w:hint="eastAsia" w:ascii="宋体" w:hAnsi="宋体" w:eastAsia="宋体" w:cs="宋体"/>
                <w:kern w:val="0"/>
                <w:sz w:val="21"/>
                <w:szCs w:val="21"/>
              </w:rPr>
              <w:t>　</w:t>
            </w:r>
          </w:p>
        </w:tc>
        <w:tc>
          <w:tcPr>
            <w:tcW w:w="3021" w:type="dxa"/>
            <w:gridSpan w:val="3"/>
            <w:tcBorders>
              <w:top w:val="single" w:color="000000" w:sz="4" w:space="0"/>
              <w:left w:val="nil"/>
              <w:bottom w:val="single" w:color="000000" w:sz="4" w:space="0"/>
              <w:right w:val="single" w:color="000000" w:sz="4" w:space="0"/>
            </w:tcBorders>
            <w:shd w:val="clear" w:color="auto" w:fill="auto"/>
            <w:vAlign w:val="center"/>
          </w:tcPr>
          <w:p w14:paraId="589C4240">
            <w:pPr>
              <w:widowControl/>
              <w:jc w:val="center"/>
              <w:rPr>
                <w:rFonts w:ascii="宋体" w:hAnsi="宋体" w:eastAsia="宋体" w:cs="宋体"/>
                <w:kern w:val="0"/>
                <w:sz w:val="21"/>
                <w:szCs w:val="21"/>
              </w:rPr>
            </w:pPr>
            <w:r>
              <w:rPr>
                <w:rFonts w:hint="eastAsia" w:ascii="宋体" w:hAnsi="宋体" w:eastAsia="宋体" w:cs="宋体"/>
                <w:kern w:val="0"/>
                <w:sz w:val="21"/>
                <w:szCs w:val="21"/>
              </w:rPr>
              <w:t>从事项目负责人年限</w:t>
            </w:r>
          </w:p>
        </w:tc>
        <w:tc>
          <w:tcPr>
            <w:tcW w:w="1686" w:type="dxa"/>
            <w:tcBorders>
              <w:top w:val="nil"/>
              <w:left w:val="nil"/>
              <w:bottom w:val="single" w:color="000000" w:sz="4" w:space="0"/>
              <w:right w:val="single" w:color="000000" w:sz="4" w:space="0"/>
            </w:tcBorders>
            <w:shd w:val="clear" w:color="auto" w:fill="auto"/>
            <w:vAlign w:val="center"/>
          </w:tcPr>
          <w:p w14:paraId="2CBFF161">
            <w:pPr>
              <w:widowControl/>
              <w:jc w:val="left"/>
              <w:rPr>
                <w:rFonts w:ascii="宋体" w:hAnsi="宋体" w:eastAsia="宋体" w:cs="宋体"/>
                <w:kern w:val="0"/>
                <w:sz w:val="21"/>
                <w:szCs w:val="21"/>
              </w:rPr>
            </w:pPr>
            <w:r>
              <w:rPr>
                <w:rFonts w:hint="eastAsia" w:ascii="宋体" w:hAnsi="宋体" w:eastAsia="宋体" w:cs="宋体"/>
                <w:kern w:val="0"/>
                <w:sz w:val="21"/>
                <w:szCs w:val="21"/>
              </w:rPr>
              <w:t>　</w:t>
            </w:r>
          </w:p>
        </w:tc>
      </w:tr>
      <w:tr w14:paraId="7F3284C9">
        <w:tblPrEx>
          <w:tblCellMar>
            <w:top w:w="0" w:type="dxa"/>
            <w:left w:w="108" w:type="dxa"/>
            <w:bottom w:w="0" w:type="dxa"/>
            <w:right w:w="108" w:type="dxa"/>
          </w:tblCellMar>
        </w:tblPrEx>
        <w:trPr>
          <w:trHeight w:val="513" w:hRule="atLeast"/>
          <w:jc w:val="center"/>
        </w:trPr>
        <w:tc>
          <w:tcPr>
            <w:tcW w:w="196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01E7A78">
            <w:pPr>
              <w:widowControl/>
              <w:jc w:val="center"/>
              <w:rPr>
                <w:rFonts w:ascii="宋体" w:hAnsi="宋体" w:eastAsia="宋体" w:cs="宋体"/>
                <w:kern w:val="0"/>
                <w:sz w:val="21"/>
                <w:szCs w:val="21"/>
              </w:rPr>
            </w:pPr>
            <w:r>
              <w:rPr>
                <w:rFonts w:hint="eastAsia" w:ascii="宋体" w:hAnsi="宋体" w:eastAsia="宋体" w:cs="宋体"/>
                <w:kern w:val="0"/>
                <w:sz w:val="21"/>
                <w:szCs w:val="21"/>
              </w:rPr>
              <w:t>证书号</w:t>
            </w:r>
          </w:p>
        </w:tc>
        <w:tc>
          <w:tcPr>
            <w:tcW w:w="2647" w:type="dxa"/>
            <w:gridSpan w:val="3"/>
            <w:tcBorders>
              <w:top w:val="single" w:color="000000" w:sz="4" w:space="0"/>
              <w:left w:val="nil"/>
              <w:bottom w:val="single" w:color="000000" w:sz="4" w:space="0"/>
              <w:right w:val="single" w:color="000000" w:sz="4" w:space="0"/>
            </w:tcBorders>
            <w:shd w:val="clear" w:color="auto" w:fill="auto"/>
            <w:vAlign w:val="center"/>
          </w:tcPr>
          <w:p w14:paraId="76A025BE">
            <w:pPr>
              <w:widowControl/>
              <w:jc w:val="center"/>
              <w:rPr>
                <w:rFonts w:ascii="宋体" w:hAnsi="宋体" w:eastAsia="宋体" w:cs="宋体"/>
                <w:kern w:val="0"/>
                <w:sz w:val="21"/>
                <w:szCs w:val="21"/>
              </w:rPr>
            </w:pPr>
            <w:r>
              <w:rPr>
                <w:rFonts w:hint="eastAsia" w:ascii="宋体" w:hAnsi="宋体" w:eastAsia="宋体" w:cs="宋体"/>
                <w:kern w:val="0"/>
                <w:sz w:val="21"/>
                <w:szCs w:val="21"/>
              </w:rPr>
              <w:t>　</w:t>
            </w:r>
          </w:p>
        </w:tc>
        <w:tc>
          <w:tcPr>
            <w:tcW w:w="1116" w:type="dxa"/>
            <w:tcBorders>
              <w:top w:val="nil"/>
              <w:left w:val="nil"/>
              <w:bottom w:val="single" w:color="000000" w:sz="4" w:space="0"/>
              <w:right w:val="single" w:color="000000" w:sz="4" w:space="0"/>
            </w:tcBorders>
            <w:shd w:val="clear" w:color="auto" w:fill="auto"/>
            <w:vAlign w:val="center"/>
          </w:tcPr>
          <w:p w14:paraId="37B78EC7">
            <w:pPr>
              <w:widowControl/>
              <w:jc w:val="center"/>
              <w:rPr>
                <w:rFonts w:ascii="宋体" w:hAnsi="宋体" w:eastAsia="宋体" w:cs="宋体"/>
                <w:kern w:val="0"/>
                <w:sz w:val="21"/>
                <w:szCs w:val="21"/>
              </w:rPr>
            </w:pPr>
            <w:r>
              <w:rPr>
                <w:rFonts w:hint="eastAsia" w:ascii="宋体" w:hAnsi="宋体" w:eastAsia="宋体" w:cs="宋体"/>
                <w:kern w:val="0"/>
                <w:sz w:val="21"/>
                <w:szCs w:val="21"/>
              </w:rPr>
              <w:t>身份证</w:t>
            </w:r>
          </w:p>
        </w:tc>
        <w:tc>
          <w:tcPr>
            <w:tcW w:w="3591" w:type="dxa"/>
            <w:gridSpan w:val="3"/>
            <w:tcBorders>
              <w:top w:val="single" w:color="000000" w:sz="4" w:space="0"/>
              <w:left w:val="nil"/>
              <w:bottom w:val="single" w:color="000000" w:sz="4" w:space="0"/>
              <w:right w:val="single" w:color="000000" w:sz="4" w:space="0"/>
            </w:tcBorders>
            <w:shd w:val="clear" w:color="auto" w:fill="auto"/>
            <w:vAlign w:val="center"/>
          </w:tcPr>
          <w:p w14:paraId="2A4B5822">
            <w:pPr>
              <w:widowControl/>
              <w:jc w:val="center"/>
              <w:rPr>
                <w:rFonts w:ascii="宋体" w:hAnsi="宋体" w:eastAsia="宋体" w:cs="宋体"/>
                <w:kern w:val="0"/>
                <w:sz w:val="21"/>
                <w:szCs w:val="21"/>
              </w:rPr>
            </w:pPr>
            <w:r>
              <w:rPr>
                <w:rFonts w:hint="eastAsia" w:ascii="宋体" w:hAnsi="宋体" w:eastAsia="宋体" w:cs="宋体"/>
                <w:kern w:val="0"/>
                <w:sz w:val="21"/>
                <w:szCs w:val="21"/>
              </w:rPr>
              <w:t>　</w:t>
            </w:r>
          </w:p>
        </w:tc>
      </w:tr>
      <w:tr w14:paraId="2C44DCD6">
        <w:tblPrEx>
          <w:tblCellMar>
            <w:top w:w="0" w:type="dxa"/>
            <w:left w:w="108" w:type="dxa"/>
            <w:bottom w:w="0" w:type="dxa"/>
            <w:right w:w="108" w:type="dxa"/>
          </w:tblCellMar>
        </w:tblPrEx>
        <w:trPr>
          <w:trHeight w:val="5603" w:hRule="atLeast"/>
          <w:jc w:val="center"/>
        </w:trPr>
        <w:tc>
          <w:tcPr>
            <w:tcW w:w="1089" w:type="dxa"/>
            <w:tcBorders>
              <w:top w:val="nil"/>
              <w:left w:val="single" w:color="000000" w:sz="4" w:space="0"/>
              <w:bottom w:val="single" w:color="000000" w:sz="4" w:space="0"/>
              <w:right w:val="single" w:color="000000" w:sz="4" w:space="0"/>
            </w:tcBorders>
            <w:shd w:val="clear" w:color="auto" w:fill="auto"/>
            <w:vAlign w:val="center"/>
          </w:tcPr>
          <w:p w14:paraId="0B44D72C">
            <w:pPr>
              <w:widowControl/>
              <w:jc w:val="center"/>
              <w:rPr>
                <w:rFonts w:ascii="宋体" w:hAnsi="宋体" w:eastAsia="宋体" w:cs="宋体"/>
                <w:kern w:val="0"/>
                <w:sz w:val="21"/>
                <w:szCs w:val="21"/>
              </w:rPr>
            </w:pPr>
            <w:r>
              <w:rPr>
                <w:rFonts w:hint="eastAsia" w:ascii="宋体" w:hAnsi="宋体" w:eastAsia="宋体" w:cs="宋体"/>
                <w:kern w:val="0"/>
                <w:sz w:val="21"/>
                <w:szCs w:val="21"/>
              </w:rPr>
              <w:t>简</w:t>
            </w:r>
          </w:p>
          <w:p w14:paraId="39D87688">
            <w:pPr>
              <w:widowControl/>
              <w:jc w:val="center"/>
              <w:rPr>
                <w:rFonts w:ascii="宋体" w:hAnsi="宋体" w:eastAsia="宋体" w:cs="宋体"/>
                <w:kern w:val="0"/>
                <w:sz w:val="21"/>
                <w:szCs w:val="21"/>
              </w:rPr>
            </w:pPr>
          </w:p>
          <w:p w14:paraId="557CA96A">
            <w:pPr>
              <w:widowControl/>
              <w:jc w:val="center"/>
              <w:rPr>
                <w:rFonts w:ascii="宋体" w:hAnsi="宋体" w:eastAsia="宋体" w:cs="宋体"/>
                <w:kern w:val="0"/>
                <w:sz w:val="21"/>
                <w:szCs w:val="21"/>
              </w:rPr>
            </w:pPr>
          </w:p>
          <w:p w14:paraId="0A5250C9">
            <w:pPr>
              <w:widowControl/>
              <w:jc w:val="center"/>
              <w:rPr>
                <w:rFonts w:ascii="宋体" w:hAnsi="宋体" w:eastAsia="宋体" w:cs="宋体"/>
                <w:kern w:val="0"/>
                <w:sz w:val="21"/>
                <w:szCs w:val="21"/>
              </w:rPr>
            </w:pPr>
          </w:p>
          <w:p w14:paraId="79DCCCDC">
            <w:pPr>
              <w:widowControl/>
              <w:jc w:val="center"/>
              <w:rPr>
                <w:rFonts w:ascii="宋体" w:hAnsi="宋体" w:eastAsia="宋体" w:cs="宋体"/>
                <w:kern w:val="0"/>
                <w:sz w:val="21"/>
                <w:szCs w:val="21"/>
              </w:rPr>
            </w:pPr>
          </w:p>
          <w:p w14:paraId="7964A21A">
            <w:pPr>
              <w:widowControl/>
              <w:jc w:val="center"/>
              <w:rPr>
                <w:rFonts w:ascii="宋体" w:hAnsi="宋体" w:eastAsia="宋体" w:cs="宋体"/>
                <w:kern w:val="0"/>
                <w:sz w:val="21"/>
                <w:szCs w:val="21"/>
              </w:rPr>
            </w:pPr>
          </w:p>
          <w:p w14:paraId="69F0880E">
            <w:pPr>
              <w:widowControl/>
              <w:jc w:val="center"/>
              <w:rPr>
                <w:rFonts w:ascii="宋体" w:hAnsi="宋体" w:eastAsia="宋体" w:cs="宋体"/>
                <w:kern w:val="0"/>
                <w:sz w:val="21"/>
                <w:szCs w:val="21"/>
              </w:rPr>
            </w:pPr>
            <w:r>
              <w:rPr>
                <w:rFonts w:hint="eastAsia" w:ascii="宋体" w:hAnsi="宋体" w:eastAsia="宋体" w:cs="宋体"/>
                <w:kern w:val="0"/>
                <w:sz w:val="21"/>
                <w:szCs w:val="21"/>
              </w:rPr>
              <w:t>历</w:t>
            </w:r>
          </w:p>
        </w:tc>
        <w:tc>
          <w:tcPr>
            <w:tcW w:w="8229" w:type="dxa"/>
            <w:gridSpan w:val="8"/>
            <w:tcBorders>
              <w:top w:val="single" w:color="000000" w:sz="4" w:space="0"/>
              <w:left w:val="single" w:color="000000" w:sz="4" w:space="0"/>
              <w:bottom w:val="single" w:color="000000" w:sz="4" w:space="0"/>
              <w:right w:val="single" w:color="000000" w:sz="4" w:space="0"/>
            </w:tcBorders>
            <w:shd w:val="clear" w:color="auto" w:fill="auto"/>
          </w:tcPr>
          <w:p w14:paraId="664BC421">
            <w:pPr>
              <w:widowControl/>
              <w:jc w:val="left"/>
              <w:rPr>
                <w:rFonts w:ascii="宋体" w:hAnsi="宋体" w:eastAsia="宋体" w:cs="宋体"/>
                <w:kern w:val="0"/>
                <w:sz w:val="21"/>
                <w:szCs w:val="21"/>
              </w:rPr>
            </w:pPr>
          </w:p>
        </w:tc>
      </w:tr>
    </w:tbl>
    <w:p w14:paraId="4E34D735">
      <w:pPr>
        <w:spacing w:line="360" w:lineRule="auto"/>
        <w:jc w:val="left"/>
      </w:pPr>
      <w:r>
        <w:rPr>
          <w:rFonts w:hint="eastAsia" w:ascii="宋体" w:hAnsi="宋体" w:eastAsia="宋体" w:cs="宋体"/>
          <w:sz w:val="24"/>
        </w:rPr>
        <w:t xml:space="preserve"> </w:t>
      </w:r>
      <w:r>
        <w:rPr>
          <w:rFonts w:hint="eastAsia" w:ascii="宋体" w:hAnsi="宋体" w:eastAsia="宋体" w:cs="宋体"/>
          <w:b/>
          <w:bCs/>
          <w:sz w:val="21"/>
          <w:szCs w:val="21"/>
        </w:rPr>
        <w:t>注：</w:t>
      </w:r>
      <w:r>
        <w:rPr>
          <w:rFonts w:hint="eastAsia" w:ascii="宋体" w:hAnsi="宋体" w:cs="宋体"/>
          <w:sz w:val="21"/>
          <w:szCs w:val="21"/>
        </w:rPr>
        <w:t>1.供应商可根据自身情况调整表格。</w:t>
      </w:r>
    </w:p>
    <w:p w14:paraId="17633DDC">
      <w:pPr>
        <w:pStyle w:val="32"/>
        <w:rPr>
          <w:lang w:val="en-US"/>
        </w:rPr>
      </w:pPr>
    </w:p>
    <w:p w14:paraId="45ACC5FA">
      <w:pPr>
        <w:spacing w:line="360" w:lineRule="auto"/>
        <w:jc w:val="center"/>
        <w:rPr>
          <w:rFonts w:ascii="宋体" w:hAnsi="宋体" w:eastAsia="宋体" w:cs="宋体"/>
          <w:sz w:val="24"/>
        </w:rPr>
      </w:pPr>
      <w:r>
        <w:rPr>
          <w:rFonts w:hint="eastAsia" w:ascii="宋体" w:hAnsi="宋体" w:eastAsia="宋体" w:cs="宋体"/>
          <w:sz w:val="24"/>
        </w:rPr>
        <w:t xml:space="preserve">                                    谈判供应商 (盖单位章)：</w:t>
      </w:r>
    </w:p>
    <w:p w14:paraId="419F4EDC">
      <w:pPr>
        <w:pStyle w:val="10"/>
        <w:adjustRightInd w:val="0"/>
        <w:snapToGrid w:val="0"/>
        <w:spacing w:before="120" w:after="120" w:line="360" w:lineRule="auto"/>
        <w:rPr>
          <w:rFonts w:hAnsi="宋体" w:eastAsia="宋体" w:cs="宋体"/>
          <w:sz w:val="24"/>
          <w:szCs w:val="24"/>
        </w:rPr>
      </w:pPr>
      <w:r>
        <w:rPr>
          <w:rFonts w:hint="eastAsia" w:hAnsi="宋体" w:eastAsia="宋体" w:cs="宋体"/>
          <w:sz w:val="24"/>
          <w:szCs w:val="24"/>
        </w:rPr>
        <w:t xml:space="preserve">                                                      日　期：</w:t>
      </w:r>
    </w:p>
    <w:p w14:paraId="7A46AA8B">
      <w:pPr>
        <w:pStyle w:val="36"/>
        <w:spacing w:line="360" w:lineRule="auto"/>
        <w:jc w:val="left"/>
        <w:rPr>
          <w:rFonts w:ascii="宋体" w:hAnsi="宋体" w:cs="宋体"/>
          <w:b/>
          <w:bCs/>
          <w:sz w:val="24"/>
        </w:rPr>
      </w:pPr>
    </w:p>
    <w:p w14:paraId="47744506">
      <w:pPr>
        <w:widowControl/>
        <w:jc w:val="left"/>
        <w:rPr>
          <w:rFonts w:ascii="宋体" w:hAnsi="宋体" w:eastAsia="宋体" w:cs="宋体"/>
          <w:b/>
          <w:bCs/>
          <w:sz w:val="24"/>
        </w:rPr>
      </w:pPr>
      <w:r>
        <w:rPr>
          <w:rFonts w:ascii="宋体" w:hAnsi="宋体" w:cs="宋体"/>
          <w:b/>
          <w:bCs/>
          <w:sz w:val="24"/>
        </w:rPr>
        <w:br w:type="page"/>
      </w:r>
    </w:p>
    <w:p w14:paraId="2ECF8C77">
      <w:pPr>
        <w:pStyle w:val="36"/>
        <w:spacing w:line="360" w:lineRule="auto"/>
        <w:jc w:val="left"/>
        <w:rPr>
          <w:rFonts w:hAnsi="宋体" w:cs="宋体"/>
          <w:b/>
          <w:bCs/>
          <w:sz w:val="24"/>
        </w:rPr>
      </w:pPr>
      <w:r>
        <w:rPr>
          <w:rFonts w:hint="eastAsia" w:ascii="宋体" w:hAnsi="宋体" w:cs="宋体"/>
          <w:b/>
          <w:bCs/>
          <w:sz w:val="24"/>
        </w:rPr>
        <w:t>附件</w:t>
      </w:r>
      <w:r>
        <w:rPr>
          <w:rFonts w:hint="eastAsia" w:hAnsi="宋体" w:cs="宋体"/>
          <w:b/>
          <w:bCs/>
          <w:sz w:val="24"/>
        </w:rPr>
        <w:t>十一：</w:t>
      </w:r>
    </w:p>
    <w:p w14:paraId="22390F5D">
      <w:pPr>
        <w:pStyle w:val="10"/>
        <w:adjustRightInd w:val="0"/>
        <w:snapToGrid w:val="0"/>
        <w:spacing w:line="360" w:lineRule="auto"/>
        <w:jc w:val="center"/>
        <w:rPr>
          <w:rFonts w:hAnsi="宋体" w:eastAsia="宋体"/>
          <w:b/>
          <w:sz w:val="24"/>
          <w:szCs w:val="24"/>
        </w:rPr>
      </w:pPr>
    </w:p>
    <w:p w14:paraId="33AB18E2">
      <w:pPr>
        <w:pStyle w:val="10"/>
        <w:adjustRightInd w:val="0"/>
        <w:snapToGrid w:val="0"/>
        <w:spacing w:line="360" w:lineRule="auto"/>
        <w:jc w:val="center"/>
        <w:rPr>
          <w:rFonts w:hint="eastAsia" w:hAnsi="宋体" w:eastAsia="宋体"/>
          <w:b/>
          <w:sz w:val="24"/>
          <w:szCs w:val="24"/>
          <w:lang w:eastAsia="zh-CN"/>
        </w:rPr>
      </w:pPr>
      <w:r>
        <w:rPr>
          <w:rFonts w:hint="eastAsia" w:hAnsi="宋体" w:eastAsia="宋体"/>
          <w:b/>
          <w:sz w:val="24"/>
          <w:szCs w:val="24"/>
          <w:lang w:eastAsia="zh-CN"/>
        </w:rPr>
        <w:t>白塔镇景园村关金生态停车场建设项目</w:t>
      </w:r>
    </w:p>
    <w:p w14:paraId="43220574">
      <w:pPr>
        <w:spacing w:line="360" w:lineRule="auto"/>
        <w:jc w:val="center"/>
        <w:rPr>
          <w:rFonts w:ascii="黑体" w:eastAsia="黑体"/>
          <w:b/>
          <w:szCs w:val="36"/>
        </w:rPr>
      </w:pPr>
      <w:r>
        <w:rPr>
          <w:rFonts w:hint="eastAsia" w:ascii="黑体" w:eastAsia="黑体"/>
          <w:b/>
          <w:szCs w:val="36"/>
        </w:rPr>
        <w:t>技术负责人简历表</w:t>
      </w:r>
    </w:p>
    <w:tbl>
      <w:tblPr>
        <w:tblStyle w:val="21"/>
        <w:tblW w:w="9354" w:type="dxa"/>
        <w:jc w:val="center"/>
        <w:tblLayout w:type="fixed"/>
        <w:tblCellMar>
          <w:top w:w="0" w:type="dxa"/>
          <w:left w:w="108" w:type="dxa"/>
          <w:bottom w:w="0" w:type="dxa"/>
          <w:right w:w="108" w:type="dxa"/>
        </w:tblCellMar>
      </w:tblPr>
      <w:tblGrid>
        <w:gridCol w:w="1140"/>
        <w:gridCol w:w="1380"/>
        <w:gridCol w:w="920"/>
        <w:gridCol w:w="1140"/>
        <w:gridCol w:w="820"/>
        <w:gridCol w:w="980"/>
        <w:gridCol w:w="1020"/>
        <w:gridCol w:w="1954"/>
      </w:tblGrid>
      <w:tr w14:paraId="3EF394E6">
        <w:tblPrEx>
          <w:tblCellMar>
            <w:top w:w="0" w:type="dxa"/>
            <w:left w:w="108" w:type="dxa"/>
            <w:bottom w:w="0" w:type="dxa"/>
            <w:right w:w="108" w:type="dxa"/>
          </w:tblCellMar>
        </w:tblPrEx>
        <w:trPr>
          <w:trHeight w:val="525" w:hRule="atLeast"/>
          <w:jc w:val="center"/>
        </w:trPr>
        <w:tc>
          <w:tcPr>
            <w:tcW w:w="1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A17500">
            <w:pPr>
              <w:widowControl/>
              <w:jc w:val="center"/>
              <w:rPr>
                <w:rFonts w:ascii="宋体" w:hAnsi="宋体" w:eastAsia="宋体" w:cs="宋体"/>
                <w:kern w:val="0"/>
                <w:sz w:val="21"/>
                <w:szCs w:val="21"/>
              </w:rPr>
            </w:pPr>
            <w:r>
              <w:rPr>
                <w:rFonts w:hint="eastAsia" w:ascii="宋体" w:hAnsi="宋体" w:eastAsia="宋体" w:cs="宋体"/>
                <w:kern w:val="0"/>
                <w:sz w:val="21"/>
                <w:szCs w:val="21"/>
              </w:rPr>
              <w:t>姓名</w:t>
            </w:r>
          </w:p>
        </w:tc>
        <w:tc>
          <w:tcPr>
            <w:tcW w:w="1380" w:type="dxa"/>
            <w:tcBorders>
              <w:top w:val="single" w:color="000000" w:sz="4" w:space="0"/>
              <w:left w:val="nil"/>
              <w:bottom w:val="single" w:color="000000" w:sz="4" w:space="0"/>
              <w:right w:val="single" w:color="000000" w:sz="4" w:space="0"/>
            </w:tcBorders>
            <w:shd w:val="clear" w:color="auto" w:fill="auto"/>
            <w:vAlign w:val="center"/>
          </w:tcPr>
          <w:p w14:paraId="1CF30CA1">
            <w:pPr>
              <w:widowControl/>
              <w:jc w:val="center"/>
              <w:rPr>
                <w:rFonts w:ascii="宋体" w:hAnsi="宋体" w:eastAsia="宋体" w:cs="宋体"/>
                <w:kern w:val="0"/>
                <w:sz w:val="21"/>
                <w:szCs w:val="21"/>
              </w:rPr>
            </w:pPr>
            <w:r>
              <w:rPr>
                <w:rFonts w:hint="eastAsia" w:ascii="宋体" w:hAnsi="宋体" w:eastAsia="宋体" w:cs="宋体"/>
                <w:kern w:val="0"/>
                <w:sz w:val="21"/>
                <w:szCs w:val="21"/>
              </w:rPr>
              <w:t>　</w:t>
            </w:r>
          </w:p>
        </w:tc>
        <w:tc>
          <w:tcPr>
            <w:tcW w:w="920" w:type="dxa"/>
            <w:tcBorders>
              <w:top w:val="single" w:color="000000" w:sz="4" w:space="0"/>
              <w:left w:val="nil"/>
              <w:bottom w:val="single" w:color="000000" w:sz="4" w:space="0"/>
              <w:right w:val="single" w:color="000000" w:sz="4" w:space="0"/>
            </w:tcBorders>
            <w:shd w:val="clear" w:color="auto" w:fill="auto"/>
            <w:vAlign w:val="center"/>
          </w:tcPr>
          <w:p w14:paraId="13CADE63">
            <w:pPr>
              <w:widowControl/>
              <w:jc w:val="center"/>
              <w:rPr>
                <w:rFonts w:ascii="宋体" w:hAnsi="宋体" w:eastAsia="宋体" w:cs="宋体"/>
                <w:kern w:val="0"/>
                <w:sz w:val="21"/>
                <w:szCs w:val="21"/>
              </w:rPr>
            </w:pPr>
            <w:r>
              <w:rPr>
                <w:rFonts w:hint="eastAsia" w:ascii="宋体" w:hAnsi="宋体" w:eastAsia="宋体" w:cs="宋体"/>
                <w:kern w:val="0"/>
                <w:sz w:val="21"/>
                <w:szCs w:val="21"/>
              </w:rPr>
              <w:t>性别</w:t>
            </w:r>
          </w:p>
        </w:tc>
        <w:tc>
          <w:tcPr>
            <w:tcW w:w="1140" w:type="dxa"/>
            <w:tcBorders>
              <w:top w:val="single" w:color="000000" w:sz="4" w:space="0"/>
              <w:left w:val="nil"/>
              <w:bottom w:val="single" w:color="000000" w:sz="4" w:space="0"/>
              <w:right w:val="single" w:color="000000" w:sz="4" w:space="0"/>
            </w:tcBorders>
            <w:shd w:val="clear" w:color="auto" w:fill="auto"/>
            <w:vAlign w:val="center"/>
          </w:tcPr>
          <w:p w14:paraId="3C22C457">
            <w:pPr>
              <w:widowControl/>
              <w:jc w:val="center"/>
              <w:rPr>
                <w:rFonts w:ascii="宋体" w:hAnsi="宋体" w:eastAsia="宋体" w:cs="宋体"/>
                <w:kern w:val="0"/>
                <w:sz w:val="21"/>
                <w:szCs w:val="21"/>
              </w:rPr>
            </w:pPr>
            <w:r>
              <w:rPr>
                <w:rFonts w:hint="eastAsia" w:ascii="宋体" w:hAnsi="宋体" w:eastAsia="宋体" w:cs="宋体"/>
                <w:kern w:val="0"/>
                <w:sz w:val="21"/>
                <w:szCs w:val="21"/>
              </w:rPr>
              <w:t>　</w:t>
            </w:r>
          </w:p>
        </w:tc>
        <w:tc>
          <w:tcPr>
            <w:tcW w:w="820" w:type="dxa"/>
            <w:tcBorders>
              <w:top w:val="single" w:color="000000" w:sz="4" w:space="0"/>
              <w:left w:val="nil"/>
              <w:bottom w:val="single" w:color="000000" w:sz="4" w:space="0"/>
              <w:right w:val="single" w:color="000000" w:sz="4" w:space="0"/>
            </w:tcBorders>
            <w:shd w:val="clear" w:color="auto" w:fill="auto"/>
            <w:vAlign w:val="center"/>
          </w:tcPr>
          <w:p w14:paraId="390C20F8">
            <w:pPr>
              <w:widowControl/>
              <w:jc w:val="center"/>
              <w:rPr>
                <w:rFonts w:ascii="宋体" w:hAnsi="宋体" w:eastAsia="宋体" w:cs="宋体"/>
                <w:kern w:val="0"/>
                <w:sz w:val="21"/>
                <w:szCs w:val="21"/>
              </w:rPr>
            </w:pPr>
            <w:r>
              <w:rPr>
                <w:rFonts w:hint="eastAsia" w:ascii="宋体" w:hAnsi="宋体" w:eastAsia="宋体" w:cs="宋体"/>
                <w:kern w:val="0"/>
                <w:sz w:val="21"/>
                <w:szCs w:val="21"/>
              </w:rPr>
              <w:t>年龄</w:t>
            </w:r>
          </w:p>
        </w:tc>
        <w:tc>
          <w:tcPr>
            <w:tcW w:w="980" w:type="dxa"/>
            <w:tcBorders>
              <w:top w:val="single" w:color="000000" w:sz="4" w:space="0"/>
              <w:left w:val="nil"/>
              <w:bottom w:val="single" w:color="000000" w:sz="4" w:space="0"/>
              <w:right w:val="single" w:color="000000" w:sz="4" w:space="0"/>
            </w:tcBorders>
            <w:shd w:val="clear" w:color="auto" w:fill="auto"/>
            <w:vAlign w:val="center"/>
          </w:tcPr>
          <w:p w14:paraId="58644903">
            <w:pPr>
              <w:widowControl/>
              <w:jc w:val="center"/>
              <w:rPr>
                <w:rFonts w:ascii="宋体" w:hAnsi="宋体" w:eastAsia="宋体" w:cs="宋体"/>
                <w:kern w:val="0"/>
                <w:sz w:val="21"/>
                <w:szCs w:val="21"/>
              </w:rPr>
            </w:pPr>
            <w:r>
              <w:rPr>
                <w:rFonts w:hint="eastAsia" w:ascii="宋体" w:hAnsi="宋体" w:eastAsia="宋体" w:cs="宋体"/>
                <w:kern w:val="0"/>
                <w:sz w:val="21"/>
                <w:szCs w:val="21"/>
              </w:rPr>
              <w:t>　</w:t>
            </w:r>
          </w:p>
        </w:tc>
        <w:tc>
          <w:tcPr>
            <w:tcW w:w="1020" w:type="dxa"/>
            <w:tcBorders>
              <w:top w:val="single" w:color="000000" w:sz="4" w:space="0"/>
              <w:left w:val="nil"/>
              <w:bottom w:val="single" w:color="000000" w:sz="4" w:space="0"/>
              <w:right w:val="single" w:color="000000" w:sz="4" w:space="0"/>
            </w:tcBorders>
            <w:shd w:val="clear" w:color="auto" w:fill="auto"/>
            <w:vAlign w:val="center"/>
          </w:tcPr>
          <w:p w14:paraId="37E9FE85">
            <w:pPr>
              <w:widowControl/>
              <w:jc w:val="center"/>
              <w:rPr>
                <w:rFonts w:ascii="宋体" w:hAnsi="宋体" w:eastAsia="宋体" w:cs="宋体"/>
                <w:kern w:val="0"/>
                <w:sz w:val="21"/>
                <w:szCs w:val="21"/>
              </w:rPr>
            </w:pPr>
            <w:r>
              <w:rPr>
                <w:rFonts w:hint="eastAsia" w:ascii="宋体" w:hAnsi="宋体" w:eastAsia="宋体" w:cs="宋体"/>
                <w:kern w:val="0"/>
                <w:sz w:val="21"/>
                <w:szCs w:val="21"/>
              </w:rPr>
              <w:t>专业</w:t>
            </w:r>
          </w:p>
        </w:tc>
        <w:tc>
          <w:tcPr>
            <w:tcW w:w="1954" w:type="dxa"/>
            <w:tcBorders>
              <w:top w:val="single" w:color="000000" w:sz="4" w:space="0"/>
              <w:left w:val="nil"/>
              <w:bottom w:val="single" w:color="000000" w:sz="4" w:space="0"/>
              <w:right w:val="single" w:color="000000" w:sz="4" w:space="0"/>
            </w:tcBorders>
            <w:shd w:val="clear" w:color="auto" w:fill="auto"/>
            <w:vAlign w:val="center"/>
          </w:tcPr>
          <w:p w14:paraId="275E4911">
            <w:pPr>
              <w:widowControl/>
              <w:jc w:val="center"/>
              <w:rPr>
                <w:rFonts w:ascii="宋体" w:hAnsi="宋体" w:eastAsia="宋体" w:cs="宋体"/>
                <w:kern w:val="0"/>
                <w:sz w:val="21"/>
                <w:szCs w:val="21"/>
              </w:rPr>
            </w:pPr>
            <w:r>
              <w:rPr>
                <w:rFonts w:hint="eastAsia" w:ascii="宋体" w:hAnsi="宋体" w:eastAsia="宋体" w:cs="宋体"/>
                <w:kern w:val="0"/>
                <w:sz w:val="21"/>
                <w:szCs w:val="21"/>
              </w:rPr>
              <w:t>　</w:t>
            </w:r>
          </w:p>
        </w:tc>
      </w:tr>
      <w:tr w14:paraId="34AF96F4">
        <w:tblPrEx>
          <w:tblCellMar>
            <w:top w:w="0" w:type="dxa"/>
            <w:left w:w="108" w:type="dxa"/>
            <w:bottom w:w="0" w:type="dxa"/>
            <w:right w:w="108" w:type="dxa"/>
          </w:tblCellMar>
        </w:tblPrEx>
        <w:trPr>
          <w:trHeight w:val="540" w:hRule="atLeast"/>
          <w:jc w:val="center"/>
        </w:trPr>
        <w:tc>
          <w:tcPr>
            <w:tcW w:w="1140" w:type="dxa"/>
            <w:tcBorders>
              <w:top w:val="nil"/>
              <w:left w:val="single" w:color="000000" w:sz="4" w:space="0"/>
              <w:bottom w:val="single" w:color="000000" w:sz="4" w:space="0"/>
              <w:right w:val="single" w:color="000000" w:sz="4" w:space="0"/>
            </w:tcBorders>
            <w:shd w:val="clear" w:color="auto" w:fill="auto"/>
            <w:vAlign w:val="center"/>
          </w:tcPr>
          <w:p w14:paraId="70552EE0">
            <w:pPr>
              <w:widowControl/>
              <w:jc w:val="center"/>
              <w:rPr>
                <w:rFonts w:ascii="宋体" w:hAnsi="宋体" w:eastAsia="宋体" w:cs="宋体"/>
                <w:kern w:val="0"/>
                <w:sz w:val="21"/>
                <w:szCs w:val="21"/>
              </w:rPr>
            </w:pPr>
            <w:r>
              <w:rPr>
                <w:rFonts w:hint="eastAsia" w:ascii="宋体" w:hAnsi="宋体" w:eastAsia="宋体" w:cs="宋体"/>
                <w:kern w:val="0"/>
                <w:sz w:val="21"/>
                <w:szCs w:val="21"/>
              </w:rPr>
              <w:t>职称</w:t>
            </w:r>
          </w:p>
        </w:tc>
        <w:tc>
          <w:tcPr>
            <w:tcW w:w="1380" w:type="dxa"/>
            <w:tcBorders>
              <w:top w:val="single" w:color="000000" w:sz="4" w:space="0"/>
              <w:left w:val="nil"/>
              <w:bottom w:val="single" w:color="000000" w:sz="4" w:space="0"/>
              <w:right w:val="single" w:color="000000" w:sz="4" w:space="0"/>
            </w:tcBorders>
            <w:shd w:val="clear" w:color="auto" w:fill="auto"/>
            <w:vAlign w:val="center"/>
          </w:tcPr>
          <w:p w14:paraId="5DABED53">
            <w:pPr>
              <w:widowControl/>
              <w:jc w:val="center"/>
              <w:rPr>
                <w:rFonts w:ascii="宋体" w:hAnsi="宋体" w:eastAsia="宋体" w:cs="宋体"/>
                <w:kern w:val="0"/>
                <w:sz w:val="21"/>
                <w:szCs w:val="21"/>
              </w:rPr>
            </w:pPr>
            <w:r>
              <w:rPr>
                <w:rFonts w:hint="eastAsia" w:ascii="宋体" w:hAnsi="宋体" w:eastAsia="宋体" w:cs="宋体"/>
                <w:kern w:val="0"/>
                <w:sz w:val="21"/>
                <w:szCs w:val="21"/>
              </w:rPr>
              <w:t>　</w:t>
            </w:r>
          </w:p>
        </w:tc>
        <w:tc>
          <w:tcPr>
            <w:tcW w:w="2060" w:type="dxa"/>
            <w:gridSpan w:val="2"/>
            <w:tcBorders>
              <w:top w:val="single" w:color="000000" w:sz="4" w:space="0"/>
              <w:left w:val="nil"/>
              <w:bottom w:val="single" w:color="000000" w:sz="4" w:space="0"/>
              <w:right w:val="single" w:color="000000" w:sz="4" w:space="0"/>
            </w:tcBorders>
            <w:shd w:val="clear" w:color="auto" w:fill="auto"/>
            <w:vAlign w:val="center"/>
          </w:tcPr>
          <w:p w14:paraId="288FC4C2">
            <w:pPr>
              <w:widowControl/>
              <w:jc w:val="center"/>
              <w:rPr>
                <w:rFonts w:ascii="宋体" w:hAnsi="宋体" w:eastAsia="宋体" w:cs="宋体"/>
                <w:kern w:val="0"/>
                <w:sz w:val="21"/>
                <w:szCs w:val="21"/>
              </w:rPr>
            </w:pPr>
            <w:r>
              <w:rPr>
                <w:rFonts w:hint="eastAsia" w:ascii="宋体" w:hAnsi="宋体" w:eastAsia="宋体" w:cs="宋体"/>
                <w:kern w:val="0"/>
                <w:sz w:val="21"/>
                <w:szCs w:val="21"/>
              </w:rPr>
              <w:t>毕业院校</w:t>
            </w:r>
          </w:p>
        </w:tc>
        <w:tc>
          <w:tcPr>
            <w:tcW w:w="1800" w:type="dxa"/>
            <w:gridSpan w:val="2"/>
            <w:tcBorders>
              <w:top w:val="single" w:color="000000" w:sz="4" w:space="0"/>
              <w:left w:val="nil"/>
              <w:bottom w:val="single" w:color="000000" w:sz="4" w:space="0"/>
              <w:right w:val="single" w:color="000000" w:sz="4" w:space="0"/>
            </w:tcBorders>
            <w:shd w:val="clear" w:color="auto" w:fill="auto"/>
            <w:vAlign w:val="center"/>
          </w:tcPr>
          <w:p w14:paraId="11381B28">
            <w:pPr>
              <w:widowControl/>
              <w:jc w:val="center"/>
              <w:rPr>
                <w:rFonts w:ascii="宋体" w:hAnsi="宋体" w:eastAsia="宋体" w:cs="宋体"/>
                <w:kern w:val="0"/>
                <w:sz w:val="21"/>
                <w:szCs w:val="21"/>
              </w:rPr>
            </w:pPr>
            <w:r>
              <w:rPr>
                <w:rFonts w:hint="eastAsia" w:ascii="宋体" w:hAnsi="宋体" w:eastAsia="宋体" w:cs="宋体"/>
                <w:kern w:val="0"/>
                <w:sz w:val="21"/>
                <w:szCs w:val="21"/>
              </w:rPr>
              <w:t>　</w:t>
            </w:r>
          </w:p>
        </w:tc>
        <w:tc>
          <w:tcPr>
            <w:tcW w:w="1020" w:type="dxa"/>
            <w:tcBorders>
              <w:top w:val="nil"/>
              <w:left w:val="nil"/>
              <w:bottom w:val="single" w:color="000000" w:sz="4" w:space="0"/>
              <w:right w:val="single" w:color="000000" w:sz="4" w:space="0"/>
            </w:tcBorders>
            <w:shd w:val="clear" w:color="auto" w:fill="auto"/>
            <w:vAlign w:val="center"/>
          </w:tcPr>
          <w:p w14:paraId="3A99842D">
            <w:pPr>
              <w:widowControl/>
              <w:jc w:val="center"/>
              <w:rPr>
                <w:rFonts w:ascii="宋体" w:hAnsi="宋体" w:eastAsia="宋体" w:cs="宋体"/>
                <w:kern w:val="0"/>
                <w:sz w:val="21"/>
                <w:szCs w:val="21"/>
              </w:rPr>
            </w:pPr>
            <w:r>
              <w:rPr>
                <w:rFonts w:hint="eastAsia" w:ascii="宋体" w:hAnsi="宋体" w:eastAsia="宋体" w:cs="宋体"/>
                <w:kern w:val="0"/>
                <w:sz w:val="21"/>
                <w:szCs w:val="21"/>
              </w:rPr>
              <w:t>学历</w:t>
            </w:r>
          </w:p>
        </w:tc>
        <w:tc>
          <w:tcPr>
            <w:tcW w:w="1954" w:type="dxa"/>
            <w:tcBorders>
              <w:top w:val="nil"/>
              <w:left w:val="nil"/>
              <w:bottom w:val="single" w:color="000000" w:sz="4" w:space="0"/>
              <w:right w:val="single" w:color="000000" w:sz="4" w:space="0"/>
            </w:tcBorders>
            <w:shd w:val="clear" w:color="auto" w:fill="auto"/>
            <w:vAlign w:val="center"/>
          </w:tcPr>
          <w:p w14:paraId="72A78B3F">
            <w:pPr>
              <w:widowControl/>
              <w:jc w:val="center"/>
              <w:rPr>
                <w:rFonts w:ascii="宋体" w:hAnsi="宋体" w:eastAsia="宋体" w:cs="宋体"/>
                <w:kern w:val="0"/>
                <w:sz w:val="21"/>
                <w:szCs w:val="21"/>
              </w:rPr>
            </w:pPr>
            <w:r>
              <w:rPr>
                <w:rFonts w:hint="eastAsia" w:ascii="宋体" w:hAnsi="宋体" w:eastAsia="宋体" w:cs="宋体"/>
                <w:kern w:val="0"/>
                <w:sz w:val="21"/>
                <w:szCs w:val="21"/>
              </w:rPr>
              <w:t>　</w:t>
            </w:r>
          </w:p>
        </w:tc>
      </w:tr>
      <w:tr w14:paraId="53D89865">
        <w:tblPrEx>
          <w:tblCellMar>
            <w:top w:w="0" w:type="dxa"/>
            <w:left w:w="108" w:type="dxa"/>
            <w:bottom w:w="0" w:type="dxa"/>
            <w:right w:w="108" w:type="dxa"/>
          </w:tblCellMar>
        </w:tblPrEx>
        <w:trPr>
          <w:trHeight w:val="567" w:hRule="atLeast"/>
          <w:jc w:val="center"/>
        </w:trPr>
        <w:tc>
          <w:tcPr>
            <w:tcW w:w="252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44A76FB">
            <w:pPr>
              <w:widowControl/>
              <w:jc w:val="center"/>
              <w:rPr>
                <w:rFonts w:ascii="宋体" w:hAnsi="宋体" w:eastAsia="宋体" w:cs="宋体"/>
                <w:kern w:val="0"/>
                <w:sz w:val="21"/>
                <w:szCs w:val="21"/>
              </w:rPr>
            </w:pPr>
            <w:r>
              <w:rPr>
                <w:rFonts w:hint="eastAsia" w:ascii="宋体" w:hAnsi="宋体" w:eastAsia="宋体" w:cs="宋体"/>
                <w:kern w:val="0"/>
                <w:sz w:val="21"/>
                <w:szCs w:val="21"/>
              </w:rPr>
              <w:t>参加工作时间</w:t>
            </w:r>
          </w:p>
        </w:tc>
        <w:tc>
          <w:tcPr>
            <w:tcW w:w="2060" w:type="dxa"/>
            <w:gridSpan w:val="2"/>
            <w:tcBorders>
              <w:top w:val="single" w:color="000000" w:sz="4" w:space="0"/>
              <w:left w:val="nil"/>
              <w:bottom w:val="single" w:color="000000" w:sz="4" w:space="0"/>
              <w:right w:val="single" w:color="000000" w:sz="4" w:space="0"/>
            </w:tcBorders>
            <w:shd w:val="clear" w:color="auto" w:fill="auto"/>
            <w:vAlign w:val="center"/>
          </w:tcPr>
          <w:p w14:paraId="3D58A391">
            <w:pPr>
              <w:widowControl/>
              <w:jc w:val="center"/>
              <w:rPr>
                <w:rFonts w:ascii="宋体" w:hAnsi="宋体" w:eastAsia="宋体" w:cs="宋体"/>
                <w:kern w:val="0"/>
                <w:sz w:val="21"/>
                <w:szCs w:val="21"/>
              </w:rPr>
            </w:pPr>
            <w:r>
              <w:rPr>
                <w:rFonts w:hint="eastAsia" w:ascii="宋体" w:hAnsi="宋体" w:eastAsia="宋体" w:cs="宋体"/>
                <w:kern w:val="0"/>
                <w:sz w:val="21"/>
                <w:szCs w:val="21"/>
              </w:rPr>
              <w:t>　</w:t>
            </w:r>
          </w:p>
        </w:tc>
        <w:tc>
          <w:tcPr>
            <w:tcW w:w="2820" w:type="dxa"/>
            <w:gridSpan w:val="3"/>
            <w:tcBorders>
              <w:top w:val="single" w:color="000000" w:sz="4" w:space="0"/>
              <w:left w:val="nil"/>
              <w:bottom w:val="single" w:color="000000" w:sz="4" w:space="0"/>
              <w:right w:val="single" w:color="000000" w:sz="4" w:space="0"/>
            </w:tcBorders>
            <w:shd w:val="clear" w:color="auto" w:fill="auto"/>
            <w:vAlign w:val="center"/>
          </w:tcPr>
          <w:p w14:paraId="71A54A90">
            <w:pPr>
              <w:widowControl/>
              <w:jc w:val="center"/>
              <w:rPr>
                <w:rFonts w:ascii="宋体" w:hAnsi="宋体" w:eastAsia="宋体" w:cs="宋体"/>
                <w:kern w:val="0"/>
                <w:sz w:val="21"/>
                <w:szCs w:val="21"/>
              </w:rPr>
            </w:pPr>
            <w:r>
              <w:rPr>
                <w:rFonts w:hint="eastAsia" w:ascii="宋体" w:hAnsi="宋体" w:eastAsia="宋体" w:cs="宋体"/>
                <w:kern w:val="0"/>
                <w:sz w:val="21"/>
                <w:szCs w:val="21"/>
              </w:rPr>
              <w:t>从事技术负责人年限</w:t>
            </w:r>
          </w:p>
        </w:tc>
        <w:tc>
          <w:tcPr>
            <w:tcW w:w="1954" w:type="dxa"/>
            <w:tcBorders>
              <w:top w:val="nil"/>
              <w:left w:val="nil"/>
              <w:bottom w:val="single" w:color="000000" w:sz="4" w:space="0"/>
              <w:right w:val="single" w:color="000000" w:sz="4" w:space="0"/>
            </w:tcBorders>
            <w:shd w:val="clear" w:color="auto" w:fill="auto"/>
            <w:vAlign w:val="center"/>
          </w:tcPr>
          <w:p w14:paraId="1EAA31DE">
            <w:pPr>
              <w:widowControl/>
              <w:jc w:val="center"/>
              <w:rPr>
                <w:rFonts w:ascii="宋体" w:hAnsi="宋体" w:eastAsia="宋体" w:cs="宋体"/>
                <w:kern w:val="0"/>
                <w:sz w:val="21"/>
                <w:szCs w:val="21"/>
              </w:rPr>
            </w:pPr>
            <w:r>
              <w:rPr>
                <w:rFonts w:hint="eastAsia" w:ascii="宋体" w:hAnsi="宋体" w:eastAsia="宋体" w:cs="宋体"/>
                <w:kern w:val="0"/>
                <w:sz w:val="21"/>
                <w:szCs w:val="21"/>
              </w:rPr>
              <w:t>　</w:t>
            </w:r>
          </w:p>
        </w:tc>
      </w:tr>
      <w:tr w14:paraId="4B36EB3E">
        <w:tblPrEx>
          <w:tblCellMar>
            <w:top w:w="0" w:type="dxa"/>
            <w:left w:w="108" w:type="dxa"/>
            <w:bottom w:w="0" w:type="dxa"/>
            <w:right w:w="108" w:type="dxa"/>
          </w:tblCellMar>
        </w:tblPrEx>
        <w:trPr>
          <w:trHeight w:val="7935" w:hRule="atLeast"/>
          <w:jc w:val="center"/>
        </w:trPr>
        <w:tc>
          <w:tcPr>
            <w:tcW w:w="1140" w:type="dxa"/>
            <w:tcBorders>
              <w:top w:val="nil"/>
              <w:left w:val="single" w:color="000000" w:sz="4" w:space="0"/>
              <w:bottom w:val="single" w:color="auto" w:sz="4" w:space="0"/>
              <w:right w:val="single" w:color="000000" w:sz="4" w:space="0"/>
            </w:tcBorders>
            <w:shd w:val="clear" w:color="auto" w:fill="auto"/>
            <w:vAlign w:val="center"/>
          </w:tcPr>
          <w:p w14:paraId="28FFF655">
            <w:pPr>
              <w:widowControl/>
              <w:jc w:val="center"/>
              <w:rPr>
                <w:rFonts w:ascii="宋体" w:hAnsi="宋体" w:eastAsia="宋体" w:cs="宋体"/>
                <w:kern w:val="0"/>
                <w:sz w:val="21"/>
                <w:szCs w:val="21"/>
              </w:rPr>
            </w:pPr>
            <w:r>
              <w:rPr>
                <w:rFonts w:hint="eastAsia" w:ascii="宋体" w:hAnsi="宋体" w:eastAsia="宋体" w:cs="宋体"/>
                <w:kern w:val="0"/>
                <w:sz w:val="21"/>
                <w:szCs w:val="21"/>
              </w:rPr>
              <w:t>简</w:t>
            </w:r>
          </w:p>
          <w:p w14:paraId="6026B9EB">
            <w:pPr>
              <w:widowControl/>
              <w:jc w:val="center"/>
              <w:rPr>
                <w:rFonts w:ascii="宋体" w:hAnsi="宋体" w:eastAsia="宋体" w:cs="宋体"/>
                <w:kern w:val="0"/>
                <w:sz w:val="21"/>
                <w:szCs w:val="21"/>
              </w:rPr>
            </w:pPr>
          </w:p>
          <w:p w14:paraId="03922F55">
            <w:pPr>
              <w:widowControl/>
              <w:jc w:val="center"/>
              <w:rPr>
                <w:rFonts w:ascii="宋体" w:hAnsi="宋体" w:eastAsia="宋体" w:cs="宋体"/>
                <w:kern w:val="0"/>
                <w:sz w:val="21"/>
                <w:szCs w:val="21"/>
              </w:rPr>
            </w:pPr>
          </w:p>
          <w:p w14:paraId="38A68543">
            <w:pPr>
              <w:widowControl/>
              <w:jc w:val="center"/>
              <w:rPr>
                <w:rFonts w:ascii="宋体" w:hAnsi="宋体" w:eastAsia="宋体" w:cs="宋体"/>
                <w:kern w:val="0"/>
                <w:sz w:val="21"/>
                <w:szCs w:val="21"/>
              </w:rPr>
            </w:pPr>
          </w:p>
          <w:p w14:paraId="27CE0A43">
            <w:pPr>
              <w:widowControl/>
              <w:jc w:val="center"/>
              <w:rPr>
                <w:rFonts w:ascii="宋体" w:hAnsi="宋体" w:eastAsia="宋体" w:cs="宋体"/>
                <w:kern w:val="0"/>
                <w:sz w:val="21"/>
                <w:szCs w:val="21"/>
              </w:rPr>
            </w:pPr>
          </w:p>
          <w:p w14:paraId="251A2962">
            <w:pPr>
              <w:widowControl/>
              <w:jc w:val="center"/>
              <w:rPr>
                <w:rFonts w:ascii="宋体" w:hAnsi="宋体" w:eastAsia="宋体" w:cs="宋体"/>
                <w:kern w:val="0"/>
                <w:sz w:val="21"/>
                <w:szCs w:val="21"/>
              </w:rPr>
            </w:pPr>
          </w:p>
          <w:p w14:paraId="08079EDB">
            <w:pPr>
              <w:widowControl/>
              <w:jc w:val="center"/>
              <w:rPr>
                <w:rFonts w:ascii="宋体" w:hAnsi="宋体" w:eastAsia="宋体" w:cs="宋体"/>
                <w:kern w:val="0"/>
                <w:sz w:val="21"/>
                <w:szCs w:val="21"/>
              </w:rPr>
            </w:pPr>
            <w:r>
              <w:rPr>
                <w:rFonts w:hint="eastAsia" w:ascii="宋体" w:hAnsi="宋体" w:eastAsia="宋体" w:cs="宋体"/>
                <w:kern w:val="0"/>
                <w:sz w:val="21"/>
                <w:szCs w:val="21"/>
              </w:rPr>
              <w:t>历</w:t>
            </w:r>
          </w:p>
        </w:tc>
        <w:tc>
          <w:tcPr>
            <w:tcW w:w="8214" w:type="dxa"/>
            <w:gridSpan w:val="7"/>
            <w:tcBorders>
              <w:top w:val="single" w:color="000000" w:sz="4" w:space="0"/>
              <w:left w:val="nil"/>
              <w:bottom w:val="single" w:color="auto" w:sz="4" w:space="0"/>
              <w:right w:val="single" w:color="000000" w:sz="4" w:space="0"/>
            </w:tcBorders>
            <w:shd w:val="clear" w:color="auto" w:fill="auto"/>
          </w:tcPr>
          <w:p w14:paraId="5D4FDDC9">
            <w:pPr>
              <w:widowControl/>
              <w:jc w:val="left"/>
              <w:rPr>
                <w:rFonts w:ascii="宋体" w:hAnsi="宋体" w:eastAsia="宋体" w:cs="宋体"/>
                <w:kern w:val="0"/>
                <w:sz w:val="21"/>
                <w:szCs w:val="21"/>
              </w:rPr>
            </w:pPr>
            <w:r>
              <w:rPr>
                <w:rFonts w:hint="eastAsia" w:ascii="宋体" w:hAnsi="宋体" w:eastAsia="宋体" w:cs="宋体"/>
                <w:kern w:val="0"/>
                <w:sz w:val="21"/>
                <w:szCs w:val="21"/>
              </w:rPr>
              <w:t>　</w:t>
            </w:r>
          </w:p>
        </w:tc>
      </w:tr>
    </w:tbl>
    <w:p w14:paraId="0A02788A">
      <w:pPr>
        <w:spacing w:line="360" w:lineRule="auto"/>
        <w:jc w:val="left"/>
        <w:rPr>
          <w:rFonts w:ascii="宋体" w:hAnsi="宋体" w:eastAsia="宋体" w:cs="宋体"/>
          <w:sz w:val="24"/>
        </w:rPr>
      </w:pPr>
      <w:r>
        <w:rPr>
          <w:rFonts w:hint="eastAsia" w:ascii="宋体" w:hAnsi="宋体" w:eastAsia="宋体" w:cs="宋体"/>
          <w:sz w:val="24"/>
        </w:rPr>
        <w:t xml:space="preserve">      </w:t>
      </w:r>
    </w:p>
    <w:p w14:paraId="7DC32A82">
      <w:pPr>
        <w:spacing w:line="360" w:lineRule="auto"/>
        <w:jc w:val="center"/>
        <w:rPr>
          <w:rFonts w:ascii="宋体" w:hAnsi="宋体" w:eastAsia="宋体" w:cs="宋体"/>
          <w:sz w:val="24"/>
        </w:rPr>
      </w:pPr>
      <w:r>
        <w:rPr>
          <w:rFonts w:hint="eastAsia" w:ascii="宋体" w:hAnsi="宋体" w:eastAsia="宋体" w:cs="宋体"/>
          <w:sz w:val="24"/>
        </w:rPr>
        <w:t xml:space="preserve">                                    谈判供应商 (盖单位章)：</w:t>
      </w:r>
    </w:p>
    <w:p w14:paraId="42CE3C74">
      <w:pPr>
        <w:pStyle w:val="10"/>
        <w:adjustRightInd w:val="0"/>
        <w:snapToGrid w:val="0"/>
        <w:spacing w:before="120" w:after="120" w:line="360" w:lineRule="auto"/>
        <w:rPr>
          <w:rFonts w:hAnsi="宋体" w:cs="宋体"/>
          <w:b/>
          <w:bCs/>
          <w:sz w:val="24"/>
        </w:rPr>
      </w:pPr>
      <w:r>
        <w:rPr>
          <w:rFonts w:hint="eastAsia" w:hAnsi="宋体" w:eastAsia="宋体" w:cs="宋体"/>
          <w:sz w:val="24"/>
          <w:szCs w:val="24"/>
        </w:rPr>
        <w:t xml:space="preserve">                                                      日　期：</w:t>
      </w:r>
    </w:p>
    <w:p w14:paraId="7EFDF053">
      <w:pPr>
        <w:widowControl/>
        <w:jc w:val="left"/>
        <w:rPr>
          <w:rFonts w:ascii="宋体" w:hAnsi="宋体" w:eastAsia="宋体" w:cs="宋体"/>
          <w:b/>
          <w:bCs/>
          <w:sz w:val="24"/>
        </w:rPr>
      </w:pPr>
      <w:r>
        <w:rPr>
          <w:rFonts w:ascii="宋体" w:hAnsi="宋体" w:eastAsia="宋体" w:cs="宋体"/>
          <w:b/>
          <w:bCs/>
          <w:sz w:val="24"/>
        </w:rPr>
        <w:br w:type="page"/>
      </w:r>
    </w:p>
    <w:p w14:paraId="44CB9F23">
      <w:pPr>
        <w:widowControl/>
        <w:jc w:val="left"/>
        <w:rPr>
          <w:rFonts w:hAnsi="宋体" w:cs="宋体"/>
          <w:b/>
          <w:bCs/>
          <w:sz w:val="24"/>
        </w:rPr>
      </w:pPr>
      <w:r>
        <w:rPr>
          <w:rFonts w:hint="eastAsia" w:ascii="宋体" w:hAnsi="宋体" w:eastAsia="宋体" w:cs="宋体"/>
          <w:b/>
          <w:bCs/>
          <w:sz w:val="24"/>
        </w:rPr>
        <w:t>附件十二：</w:t>
      </w:r>
    </w:p>
    <w:p w14:paraId="04E4CD5F">
      <w:pPr>
        <w:pStyle w:val="10"/>
        <w:adjustRightInd w:val="0"/>
        <w:snapToGrid w:val="0"/>
        <w:spacing w:line="360" w:lineRule="auto"/>
        <w:jc w:val="center"/>
        <w:rPr>
          <w:rFonts w:hAnsi="宋体" w:eastAsia="宋体"/>
          <w:b/>
          <w:sz w:val="32"/>
          <w:szCs w:val="32"/>
        </w:rPr>
      </w:pPr>
    </w:p>
    <w:p w14:paraId="4EF846FD">
      <w:pPr>
        <w:pStyle w:val="10"/>
        <w:adjustRightInd w:val="0"/>
        <w:snapToGrid w:val="0"/>
        <w:spacing w:line="360" w:lineRule="auto"/>
        <w:jc w:val="center"/>
        <w:rPr>
          <w:rFonts w:hint="eastAsia" w:eastAsia="宋体"/>
          <w:b/>
          <w:sz w:val="24"/>
          <w:szCs w:val="24"/>
          <w:lang w:eastAsia="zh-CN"/>
        </w:rPr>
      </w:pPr>
      <w:r>
        <w:rPr>
          <w:rFonts w:hint="eastAsia" w:hAnsi="宋体" w:eastAsia="宋体"/>
          <w:b/>
          <w:sz w:val="24"/>
          <w:szCs w:val="24"/>
          <w:lang w:eastAsia="zh-CN"/>
        </w:rPr>
        <w:t>白塔镇景园村关金生态停车场建设项目</w:t>
      </w:r>
    </w:p>
    <w:p w14:paraId="64786335">
      <w:pPr>
        <w:adjustRightInd w:val="0"/>
        <w:snapToGrid w:val="0"/>
        <w:jc w:val="center"/>
        <w:rPr>
          <w:b/>
          <w:sz w:val="32"/>
          <w:szCs w:val="32"/>
        </w:rPr>
      </w:pPr>
      <w:r>
        <w:rPr>
          <w:rFonts w:hint="eastAsia"/>
          <w:b/>
          <w:sz w:val="32"/>
          <w:szCs w:val="32"/>
        </w:rPr>
        <w:t>安全生产任职资格承诺书</w:t>
      </w:r>
    </w:p>
    <w:p w14:paraId="2996C885">
      <w:pPr>
        <w:adjustRightInd w:val="0"/>
        <w:snapToGrid w:val="0"/>
        <w:jc w:val="center"/>
        <w:rPr>
          <w:rFonts w:ascii="宋体" w:hAnsi="宋体"/>
          <w:b/>
          <w:sz w:val="32"/>
          <w:szCs w:val="32"/>
        </w:rPr>
      </w:pPr>
    </w:p>
    <w:p w14:paraId="58782FC8">
      <w:pPr>
        <w:spacing w:line="360" w:lineRule="auto"/>
        <w:rPr>
          <w:rFonts w:ascii="宋体" w:hAnsi="宋体"/>
          <w:sz w:val="28"/>
          <w:szCs w:val="28"/>
        </w:rPr>
      </w:pPr>
      <w:r>
        <w:rPr>
          <w:rFonts w:hint="eastAsia" w:ascii="宋体" w:hAnsi="宋体"/>
          <w:sz w:val="28"/>
          <w:szCs w:val="28"/>
        </w:rPr>
        <w:t>本人以企业法定代表人的身份郑重承诺：</w:t>
      </w:r>
    </w:p>
    <w:p w14:paraId="13B854DC">
      <w:pPr>
        <w:pStyle w:val="10"/>
        <w:adjustRightInd w:val="0"/>
        <w:snapToGrid w:val="0"/>
        <w:spacing w:line="360" w:lineRule="auto"/>
        <w:ind w:firstLine="560" w:firstLineChars="200"/>
        <w:rPr>
          <w:rFonts w:hAnsi="宋体"/>
          <w:sz w:val="24"/>
        </w:rPr>
      </w:pPr>
      <w:r>
        <w:rPr>
          <w:rFonts w:hint="eastAsia" w:hAnsi="宋体"/>
          <w:sz w:val="28"/>
          <w:szCs w:val="28"/>
        </w:rPr>
        <w:t>本公司安全生产条件及相关管理人员（包括A类人员、拟派的项目负责人和施工现场专职安全生产管理人员）安全生产任职资格符合相关规定。</w:t>
      </w:r>
    </w:p>
    <w:p w14:paraId="700745F4">
      <w:pPr>
        <w:spacing w:line="360" w:lineRule="auto"/>
        <w:jc w:val="left"/>
        <w:rPr>
          <w:rFonts w:ascii="宋体" w:hAnsi="宋体" w:eastAsia="宋体" w:cs="宋体"/>
          <w:sz w:val="24"/>
        </w:rPr>
      </w:pPr>
      <w:r>
        <w:rPr>
          <w:rFonts w:hint="eastAsia" w:ascii="宋体" w:hAnsi="宋体" w:eastAsia="宋体" w:cs="宋体"/>
          <w:sz w:val="24"/>
        </w:rPr>
        <w:t xml:space="preserve">      </w:t>
      </w:r>
    </w:p>
    <w:p w14:paraId="19EDB109">
      <w:pPr>
        <w:pStyle w:val="32"/>
        <w:rPr>
          <w:lang w:val="en-US"/>
        </w:rPr>
      </w:pPr>
    </w:p>
    <w:p w14:paraId="1C73E726">
      <w:pPr>
        <w:spacing w:line="360" w:lineRule="auto"/>
        <w:jc w:val="center"/>
        <w:rPr>
          <w:rFonts w:ascii="宋体" w:hAnsi="宋体" w:eastAsia="宋体" w:cs="宋体"/>
          <w:sz w:val="24"/>
        </w:rPr>
      </w:pPr>
      <w:r>
        <w:rPr>
          <w:rFonts w:hint="eastAsia" w:ascii="宋体" w:hAnsi="宋体" w:eastAsia="宋体" w:cs="宋体"/>
          <w:sz w:val="24"/>
        </w:rPr>
        <w:t xml:space="preserve">                                    谈判供应商 (盖单位章)：</w:t>
      </w:r>
    </w:p>
    <w:p w14:paraId="7400C7B4">
      <w:pPr>
        <w:pStyle w:val="10"/>
        <w:adjustRightInd w:val="0"/>
        <w:snapToGrid w:val="0"/>
        <w:spacing w:before="120" w:after="120" w:line="360" w:lineRule="auto"/>
        <w:rPr>
          <w:rFonts w:hAnsi="宋体" w:eastAsia="宋体" w:cs="宋体"/>
          <w:sz w:val="24"/>
          <w:szCs w:val="24"/>
        </w:rPr>
      </w:pPr>
      <w:r>
        <w:rPr>
          <w:rFonts w:hint="eastAsia" w:hAnsi="宋体" w:eastAsia="宋体" w:cs="宋体"/>
          <w:sz w:val="24"/>
          <w:szCs w:val="24"/>
        </w:rPr>
        <w:t xml:space="preserve">                                                      日　期：</w:t>
      </w:r>
    </w:p>
    <w:p w14:paraId="488C8EE5">
      <w:pPr>
        <w:pStyle w:val="36"/>
        <w:spacing w:line="360" w:lineRule="auto"/>
        <w:jc w:val="left"/>
        <w:rPr>
          <w:rFonts w:ascii="宋体" w:hAnsi="宋体" w:cs="宋体"/>
          <w:b/>
          <w:bCs/>
          <w:sz w:val="24"/>
        </w:rPr>
      </w:pPr>
    </w:p>
    <w:p w14:paraId="25CC92D5">
      <w:pPr>
        <w:pStyle w:val="36"/>
        <w:spacing w:line="360" w:lineRule="auto"/>
        <w:jc w:val="left"/>
        <w:rPr>
          <w:rFonts w:ascii="宋体" w:hAnsi="宋体" w:cs="宋体"/>
          <w:b/>
          <w:bCs/>
          <w:sz w:val="24"/>
        </w:rPr>
      </w:pPr>
    </w:p>
    <w:p w14:paraId="75A7B0A5">
      <w:pPr>
        <w:widowControl/>
        <w:jc w:val="left"/>
        <w:rPr>
          <w:rFonts w:ascii="宋体" w:hAnsi="宋体" w:eastAsia="宋体" w:cs="宋体"/>
          <w:b/>
          <w:bCs/>
          <w:sz w:val="24"/>
        </w:rPr>
      </w:pPr>
      <w:r>
        <w:rPr>
          <w:rFonts w:ascii="宋体" w:hAnsi="宋体" w:cs="宋体"/>
          <w:b/>
          <w:bCs/>
          <w:sz w:val="24"/>
        </w:rPr>
        <w:br w:type="page"/>
      </w:r>
    </w:p>
    <w:p w14:paraId="5BF09BF0">
      <w:pPr>
        <w:pStyle w:val="36"/>
        <w:spacing w:line="360" w:lineRule="auto"/>
        <w:jc w:val="left"/>
        <w:rPr>
          <w:rFonts w:hAnsi="宋体" w:cs="宋体"/>
          <w:b/>
          <w:bCs/>
          <w:sz w:val="24"/>
        </w:rPr>
      </w:pPr>
      <w:r>
        <w:rPr>
          <w:rFonts w:hint="eastAsia" w:ascii="宋体" w:hAnsi="宋体" w:cs="宋体"/>
          <w:b/>
          <w:bCs/>
          <w:sz w:val="24"/>
        </w:rPr>
        <w:t>附件</w:t>
      </w:r>
      <w:r>
        <w:rPr>
          <w:rFonts w:hint="eastAsia" w:hAnsi="宋体" w:cs="宋体"/>
          <w:b/>
          <w:bCs/>
          <w:sz w:val="24"/>
        </w:rPr>
        <w:t>十三：</w:t>
      </w:r>
    </w:p>
    <w:p w14:paraId="28F15C3F">
      <w:pPr>
        <w:pStyle w:val="10"/>
        <w:adjustRightInd w:val="0"/>
        <w:snapToGrid w:val="0"/>
        <w:spacing w:line="360" w:lineRule="auto"/>
        <w:jc w:val="center"/>
        <w:rPr>
          <w:rFonts w:hAnsi="宋体" w:eastAsia="宋体"/>
          <w:b/>
          <w:sz w:val="24"/>
          <w:szCs w:val="24"/>
        </w:rPr>
      </w:pPr>
    </w:p>
    <w:p w14:paraId="14C85092">
      <w:pPr>
        <w:pStyle w:val="10"/>
        <w:adjustRightInd w:val="0"/>
        <w:snapToGrid w:val="0"/>
        <w:spacing w:line="360" w:lineRule="auto"/>
        <w:jc w:val="center"/>
        <w:rPr>
          <w:rFonts w:hint="eastAsia" w:hAnsi="宋体" w:eastAsia="宋体"/>
          <w:b/>
          <w:sz w:val="24"/>
          <w:szCs w:val="24"/>
          <w:lang w:eastAsia="zh-CN"/>
        </w:rPr>
      </w:pPr>
      <w:r>
        <w:rPr>
          <w:rFonts w:hint="eastAsia" w:hAnsi="宋体" w:eastAsia="宋体"/>
          <w:b/>
          <w:sz w:val="24"/>
          <w:szCs w:val="24"/>
          <w:lang w:eastAsia="zh-CN"/>
        </w:rPr>
        <w:t>白塔镇景园村关金生态停车场建设项目</w:t>
      </w:r>
    </w:p>
    <w:p w14:paraId="1E28AD3E">
      <w:pPr>
        <w:pStyle w:val="10"/>
        <w:adjustRightInd w:val="0"/>
        <w:snapToGrid w:val="0"/>
        <w:spacing w:line="360" w:lineRule="auto"/>
        <w:jc w:val="center"/>
        <w:rPr>
          <w:rFonts w:hAnsi="宋体"/>
          <w:b/>
          <w:sz w:val="32"/>
          <w:szCs w:val="32"/>
        </w:rPr>
      </w:pPr>
      <w:r>
        <w:rPr>
          <w:rFonts w:hint="eastAsia" w:hAnsi="宋体"/>
          <w:b/>
          <w:sz w:val="32"/>
          <w:szCs w:val="32"/>
        </w:rPr>
        <w:t>主要施工机械设备表</w:t>
      </w:r>
    </w:p>
    <w:tbl>
      <w:tblPr>
        <w:tblStyle w:val="21"/>
        <w:tblW w:w="8820" w:type="dxa"/>
        <w:jc w:val="center"/>
        <w:tblLayout w:type="fixed"/>
        <w:tblCellMar>
          <w:top w:w="0" w:type="dxa"/>
          <w:left w:w="108" w:type="dxa"/>
          <w:bottom w:w="0" w:type="dxa"/>
          <w:right w:w="108" w:type="dxa"/>
        </w:tblCellMar>
      </w:tblPr>
      <w:tblGrid>
        <w:gridCol w:w="828"/>
        <w:gridCol w:w="1644"/>
        <w:gridCol w:w="1474"/>
        <w:gridCol w:w="1060"/>
        <w:gridCol w:w="1420"/>
        <w:gridCol w:w="1474"/>
        <w:gridCol w:w="920"/>
      </w:tblGrid>
      <w:tr w14:paraId="41555CD3">
        <w:tblPrEx>
          <w:tblCellMar>
            <w:top w:w="0" w:type="dxa"/>
            <w:left w:w="108" w:type="dxa"/>
            <w:bottom w:w="0" w:type="dxa"/>
            <w:right w:w="108" w:type="dxa"/>
          </w:tblCellMar>
        </w:tblPrEx>
        <w:trPr>
          <w:trHeight w:val="642" w:hRule="atLeast"/>
          <w:jc w:val="center"/>
        </w:trPr>
        <w:tc>
          <w:tcPr>
            <w:tcW w:w="8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15F607">
            <w:pPr>
              <w:widowControl/>
              <w:jc w:val="center"/>
              <w:rPr>
                <w:rFonts w:ascii="宋体" w:hAnsi="宋体" w:cs="宋体"/>
                <w:kern w:val="0"/>
                <w:sz w:val="24"/>
              </w:rPr>
            </w:pPr>
            <w:r>
              <w:rPr>
                <w:rFonts w:hint="eastAsia" w:ascii="宋体" w:hAnsi="宋体" w:cs="宋体"/>
                <w:kern w:val="0"/>
                <w:sz w:val="24"/>
              </w:rPr>
              <w:t>序号</w:t>
            </w:r>
          </w:p>
        </w:tc>
        <w:tc>
          <w:tcPr>
            <w:tcW w:w="1644" w:type="dxa"/>
            <w:tcBorders>
              <w:top w:val="single" w:color="000000" w:sz="4" w:space="0"/>
              <w:left w:val="nil"/>
              <w:bottom w:val="single" w:color="000000" w:sz="4" w:space="0"/>
              <w:right w:val="single" w:color="000000" w:sz="4" w:space="0"/>
            </w:tcBorders>
            <w:shd w:val="clear" w:color="auto" w:fill="auto"/>
            <w:vAlign w:val="center"/>
          </w:tcPr>
          <w:p w14:paraId="43B83422">
            <w:pPr>
              <w:widowControl/>
              <w:jc w:val="center"/>
              <w:rPr>
                <w:rFonts w:ascii="宋体" w:hAnsi="宋体" w:cs="宋体"/>
                <w:kern w:val="0"/>
                <w:sz w:val="24"/>
              </w:rPr>
            </w:pPr>
            <w:r>
              <w:rPr>
                <w:rFonts w:hint="eastAsia" w:ascii="宋体" w:hAnsi="宋体" w:cs="宋体"/>
                <w:kern w:val="0"/>
                <w:sz w:val="24"/>
              </w:rPr>
              <w:t>设备名称</w:t>
            </w:r>
          </w:p>
        </w:tc>
        <w:tc>
          <w:tcPr>
            <w:tcW w:w="1474" w:type="dxa"/>
            <w:tcBorders>
              <w:top w:val="single" w:color="000000" w:sz="4" w:space="0"/>
              <w:left w:val="nil"/>
              <w:bottom w:val="single" w:color="000000" w:sz="4" w:space="0"/>
              <w:right w:val="single" w:color="000000" w:sz="4" w:space="0"/>
            </w:tcBorders>
            <w:shd w:val="clear" w:color="auto" w:fill="auto"/>
            <w:vAlign w:val="center"/>
          </w:tcPr>
          <w:p w14:paraId="6146800A">
            <w:pPr>
              <w:widowControl/>
              <w:jc w:val="center"/>
              <w:rPr>
                <w:rFonts w:ascii="宋体" w:hAnsi="宋体" w:cs="宋体"/>
                <w:kern w:val="0"/>
                <w:sz w:val="24"/>
              </w:rPr>
            </w:pPr>
            <w:r>
              <w:rPr>
                <w:rFonts w:hint="eastAsia" w:ascii="宋体" w:hAnsi="宋体" w:cs="宋体"/>
                <w:kern w:val="0"/>
                <w:sz w:val="24"/>
              </w:rPr>
              <w:t>规格型号</w:t>
            </w:r>
          </w:p>
        </w:tc>
        <w:tc>
          <w:tcPr>
            <w:tcW w:w="1060" w:type="dxa"/>
            <w:tcBorders>
              <w:top w:val="single" w:color="000000" w:sz="4" w:space="0"/>
              <w:left w:val="nil"/>
              <w:bottom w:val="single" w:color="000000" w:sz="4" w:space="0"/>
              <w:right w:val="single" w:color="000000" w:sz="4" w:space="0"/>
            </w:tcBorders>
            <w:shd w:val="clear" w:color="auto" w:fill="auto"/>
            <w:vAlign w:val="center"/>
          </w:tcPr>
          <w:p w14:paraId="53F9298D">
            <w:pPr>
              <w:widowControl/>
              <w:jc w:val="center"/>
              <w:rPr>
                <w:rFonts w:ascii="宋体" w:hAnsi="宋体" w:cs="宋体"/>
                <w:kern w:val="0"/>
                <w:sz w:val="24"/>
              </w:rPr>
            </w:pPr>
            <w:r>
              <w:rPr>
                <w:rFonts w:hint="eastAsia" w:ascii="宋体" w:hAnsi="宋体" w:cs="宋体"/>
                <w:kern w:val="0"/>
                <w:sz w:val="24"/>
              </w:rPr>
              <w:t>数量</w:t>
            </w:r>
          </w:p>
        </w:tc>
        <w:tc>
          <w:tcPr>
            <w:tcW w:w="1420" w:type="dxa"/>
            <w:tcBorders>
              <w:top w:val="single" w:color="000000" w:sz="4" w:space="0"/>
              <w:left w:val="nil"/>
              <w:bottom w:val="single" w:color="000000" w:sz="4" w:space="0"/>
              <w:right w:val="single" w:color="000000" w:sz="4" w:space="0"/>
            </w:tcBorders>
            <w:shd w:val="clear" w:color="auto" w:fill="auto"/>
            <w:vAlign w:val="center"/>
          </w:tcPr>
          <w:p w14:paraId="6B470648">
            <w:pPr>
              <w:widowControl/>
              <w:jc w:val="center"/>
              <w:rPr>
                <w:rFonts w:ascii="宋体" w:hAnsi="宋体" w:cs="宋体"/>
                <w:kern w:val="0"/>
                <w:sz w:val="24"/>
              </w:rPr>
            </w:pPr>
            <w:r>
              <w:rPr>
                <w:rFonts w:hint="eastAsia" w:ascii="宋体" w:hAnsi="宋体" w:cs="宋体"/>
                <w:kern w:val="0"/>
                <w:sz w:val="24"/>
              </w:rPr>
              <w:t>设备能力</w:t>
            </w:r>
          </w:p>
        </w:tc>
        <w:tc>
          <w:tcPr>
            <w:tcW w:w="1474" w:type="dxa"/>
            <w:tcBorders>
              <w:top w:val="single" w:color="000000" w:sz="4" w:space="0"/>
              <w:left w:val="nil"/>
              <w:bottom w:val="single" w:color="000000" w:sz="4" w:space="0"/>
              <w:right w:val="single" w:color="000000" w:sz="4" w:space="0"/>
            </w:tcBorders>
            <w:shd w:val="clear" w:color="auto" w:fill="auto"/>
            <w:vAlign w:val="center"/>
          </w:tcPr>
          <w:p w14:paraId="2638007D">
            <w:pPr>
              <w:widowControl/>
              <w:jc w:val="center"/>
              <w:rPr>
                <w:rFonts w:ascii="宋体" w:hAnsi="宋体" w:cs="宋体"/>
                <w:kern w:val="0"/>
                <w:sz w:val="24"/>
              </w:rPr>
            </w:pPr>
            <w:r>
              <w:rPr>
                <w:rFonts w:hint="eastAsia" w:ascii="宋体" w:hAnsi="宋体" w:cs="宋体"/>
                <w:kern w:val="0"/>
                <w:sz w:val="24"/>
              </w:rPr>
              <w:t>进场时间</w:t>
            </w:r>
          </w:p>
        </w:tc>
        <w:tc>
          <w:tcPr>
            <w:tcW w:w="920" w:type="dxa"/>
            <w:tcBorders>
              <w:top w:val="single" w:color="000000" w:sz="4" w:space="0"/>
              <w:left w:val="nil"/>
              <w:bottom w:val="single" w:color="000000" w:sz="4" w:space="0"/>
              <w:right w:val="single" w:color="000000" w:sz="4" w:space="0"/>
            </w:tcBorders>
            <w:shd w:val="clear" w:color="auto" w:fill="auto"/>
            <w:vAlign w:val="center"/>
          </w:tcPr>
          <w:p w14:paraId="38D078DB">
            <w:pPr>
              <w:widowControl/>
              <w:jc w:val="center"/>
              <w:rPr>
                <w:rFonts w:ascii="宋体" w:hAnsi="宋体" w:cs="宋体"/>
                <w:kern w:val="0"/>
                <w:sz w:val="24"/>
              </w:rPr>
            </w:pPr>
            <w:r>
              <w:rPr>
                <w:rFonts w:hint="eastAsia" w:ascii="宋体" w:hAnsi="宋体" w:cs="宋体"/>
                <w:kern w:val="0"/>
                <w:sz w:val="24"/>
              </w:rPr>
              <w:t>备注</w:t>
            </w:r>
          </w:p>
        </w:tc>
      </w:tr>
      <w:tr w14:paraId="0C155135">
        <w:tblPrEx>
          <w:tblCellMar>
            <w:top w:w="0" w:type="dxa"/>
            <w:left w:w="108" w:type="dxa"/>
            <w:bottom w:w="0" w:type="dxa"/>
            <w:right w:w="108" w:type="dxa"/>
          </w:tblCellMar>
        </w:tblPrEx>
        <w:trPr>
          <w:trHeight w:val="642" w:hRule="atLeast"/>
          <w:jc w:val="center"/>
        </w:trPr>
        <w:tc>
          <w:tcPr>
            <w:tcW w:w="8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DDF2D7">
            <w:pPr>
              <w:widowControl/>
              <w:jc w:val="center"/>
              <w:rPr>
                <w:rFonts w:ascii="宋体" w:hAnsi="宋体" w:cs="宋体"/>
                <w:kern w:val="0"/>
                <w:sz w:val="24"/>
              </w:rPr>
            </w:pPr>
          </w:p>
        </w:tc>
        <w:tc>
          <w:tcPr>
            <w:tcW w:w="1644" w:type="dxa"/>
            <w:tcBorders>
              <w:top w:val="single" w:color="000000" w:sz="4" w:space="0"/>
              <w:left w:val="nil"/>
              <w:bottom w:val="single" w:color="000000" w:sz="4" w:space="0"/>
              <w:right w:val="single" w:color="000000" w:sz="4" w:space="0"/>
            </w:tcBorders>
            <w:shd w:val="clear" w:color="auto" w:fill="auto"/>
            <w:vAlign w:val="center"/>
          </w:tcPr>
          <w:p w14:paraId="19F6B062">
            <w:pPr>
              <w:widowControl/>
              <w:jc w:val="center"/>
              <w:rPr>
                <w:rFonts w:ascii="宋体" w:hAnsi="宋体" w:cs="宋体"/>
                <w:kern w:val="0"/>
                <w:sz w:val="24"/>
              </w:rPr>
            </w:pPr>
          </w:p>
        </w:tc>
        <w:tc>
          <w:tcPr>
            <w:tcW w:w="1474" w:type="dxa"/>
            <w:tcBorders>
              <w:top w:val="single" w:color="000000" w:sz="4" w:space="0"/>
              <w:left w:val="nil"/>
              <w:bottom w:val="single" w:color="000000" w:sz="4" w:space="0"/>
              <w:right w:val="single" w:color="000000" w:sz="4" w:space="0"/>
            </w:tcBorders>
            <w:shd w:val="clear" w:color="auto" w:fill="auto"/>
            <w:vAlign w:val="center"/>
          </w:tcPr>
          <w:p w14:paraId="7D79B680">
            <w:pPr>
              <w:widowControl/>
              <w:jc w:val="center"/>
              <w:rPr>
                <w:rFonts w:ascii="宋体" w:hAnsi="宋体" w:cs="宋体"/>
                <w:kern w:val="0"/>
                <w:sz w:val="24"/>
              </w:rPr>
            </w:pPr>
          </w:p>
        </w:tc>
        <w:tc>
          <w:tcPr>
            <w:tcW w:w="1060" w:type="dxa"/>
            <w:tcBorders>
              <w:top w:val="single" w:color="000000" w:sz="4" w:space="0"/>
              <w:left w:val="nil"/>
              <w:bottom w:val="single" w:color="000000" w:sz="4" w:space="0"/>
              <w:right w:val="single" w:color="000000" w:sz="4" w:space="0"/>
            </w:tcBorders>
            <w:shd w:val="clear" w:color="auto" w:fill="auto"/>
            <w:vAlign w:val="center"/>
          </w:tcPr>
          <w:p w14:paraId="3B1BFADA">
            <w:pPr>
              <w:widowControl/>
              <w:jc w:val="center"/>
              <w:rPr>
                <w:rFonts w:ascii="宋体" w:hAnsi="宋体" w:cs="宋体"/>
                <w:kern w:val="0"/>
                <w:sz w:val="24"/>
              </w:rPr>
            </w:pPr>
          </w:p>
        </w:tc>
        <w:tc>
          <w:tcPr>
            <w:tcW w:w="1420" w:type="dxa"/>
            <w:tcBorders>
              <w:top w:val="single" w:color="000000" w:sz="4" w:space="0"/>
              <w:left w:val="nil"/>
              <w:bottom w:val="single" w:color="000000" w:sz="4" w:space="0"/>
              <w:right w:val="single" w:color="000000" w:sz="4" w:space="0"/>
            </w:tcBorders>
            <w:shd w:val="clear" w:color="auto" w:fill="auto"/>
            <w:vAlign w:val="center"/>
          </w:tcPr>
          <w:p w14:paraId="7A9E078D">
            <w:pPr>
              <w:widowControl/>
              <w:jc w:val="center"/>
              <w:rPr>
                <w:rFonts w:ascii="宋体" w:hAnsi="宋体" w:cs="宋体"/>
                <w:kern w:val="0"/>
                <w:sz w:val="24"/>
              </w:rPr>
            </w:pPr>
          </w:p>
        </w:tc>
        <w:tc>
          <w:tcPr>
            <w:tcW w:w="1474" w:type="dxa"/>
            <w:tcBorders>
              <w:top w:val="single" w:color="000000" w:sz="4" w:space="0"/>
              <w:left w:val="nil"/>
              <w:bottom w:val="single" w:color="000000" w:sz="4" w:space="0"/>
              <w:right w:val="single" w:color="000000" w:sz="4" w:space="0"/>
            </w:tcBorders>
            <w:shd w:val="clear" w:color="auto" w:fill="auto"/>
            <w:vAlign w:val="center"/>
          </w:tcPr>
          <w:p w14:paraId="430DE6C8">
            <w:pPr>
              <w:widowControl/>
              <w:jc w:val="center"/>
              <w:rPr>
                <w:rFonts w:ascii="宋体" w:hAnsi="宋体" w:cs="宋体"/>
                <w:kern w:val="0"/>
                <w:sz w:val="24"/>
              </w:rPr>
            </w:pPr>
          </w:p>
        </w:tc>
        <w:tc>
          <w:tcPr>
            <w:tcW w:w="920" w:type="dxa"/>
            <w:tcBorders>
              <w:top w:val="single" w:color="000000" w:sz="4" w:space="0"/>
              <w:left w:val="nil"/>
              <w:bottom w:val="single" w:color="000000" w:sz="4" w:space="0"/>
              <w:right w:val="single" w:color="000000" w:sz="4" w:space="0"/>
            </w:tcBorders>
            <w:shd w:val="clear" w:color="auto" w:fill="auto"/>
            <w:vAlign w:val="center"/>
          </w:tcPr>
          <w:p w14:paraId="78BDFF3E">
            <w:pPr>
              <w:widowControl/>
              <w:jc w:val="center"/>
              <w:rPr>
                <w:rFonts w:ascii="宋体" w:hAnsi="宋体" w:cs="宋体"/>
                <w:kern w:val="0"/>
                <w:sz w:val="24"/>
              </w:rPr>
            </w:pPr>
          </w:p>
        </w:tc>
      </w:tr>
      <w:tr w14:paraId="427B84B4">
        <w:tblPrEx>
          <w:tblCellMar>
            <w:top w:w="0" w:type="dxa"/>
            <w:left w:w="108" w:type="dxa"/>
            <w:bottom w:w="0" w:type="dxa"/>
            <w:right w:w="108" w:type="dxa"/>
          </w:tblCellMar>
        </w:tblPrEx>
        <w:trPr>
          <w:trHeight w:val="642" w:hRule="atLeast"/>
          <w:jc w:val="center"/>
        </w:trPr>
        <w:tc>
          <w:tcPr>
            <w:tcW w:w="8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63BE06">
            <w:pPr>
              <w:widowControl/>
              <w:jc w:val="center"/>
              <w:rPr>
                <w:rFonts w:ascii="宋体" w:hAnsi="宋体" w:cs="宋体"/>
                <w:kern w:val="0"/>
                <w:sz w:val="24"/>
              </w:rPr>
            </w:pPr>
          </w:p>
        </w:tc>
        <w:tc>
          <w:tcPr>
            <w:tcW w:w="1644" w:type="dxa"/>
            <w:tcBorders>
              <w:top w:val="single" w:color="000000" w:sz="4" w:space="0"/>
              <w:left w:val="nil"/>
              <w:bottom w:val="single" w:color="000000" w:sz="4" w:space="0"/>
              <w:right w:val="single" w:color="000000" w:sz="4" w:space="0"/>
            </w:tcBorders>
            <w:shd w:val="clear" w:color="auto" w:fill="auto"/>
            <w:vAlign w:val="center"/>
          </w:tcPr>
          <w:p w14:paraId="5C29F748">
            <w:pPr>
              <w:widowControl/>
              <w:jc w:val="center"/>
              <w:rPr>
                <w:rFonts w:ascii="宋体" w:hAnsi="宋体" w:cs="宋体"/>
                <w:kern w:val="0"/>
                <w:sz w:val="24"/>
              </w:rPr>
            </w:pPr>
          </w:p>
        </w:tc>
        <w:tc>
          <w:tcPr>
            <w:tcW w:w="1474" w:type="dxa"/>
            <w:tcBorders>
              <w:top w:val="single" w:color="000000" w:sz="4" w:space="0"/>
              <w:left w:val="nil"/>
              <w:bottom w:val="single" w:color="000000" w:sz="4" w:space="0"/>
              <w:right w:val="single" w:color="000000" w:sz="4" w:space="0"/>
            </w:tcBorders>
            <w:shd w:val="clear" w:color="auto" w:fill="auto"/>
            <w:vAlign w:val="center"/>
          </w:tcPr>
          <w:p w14:paraId="55D47F50">
            <w:pPr>
              <w:widowControl/>
              <w:jc w:val="center"/>
              <w:rPr>
                <w:rFonts w:ascii="宋体" w:hAnsi="宋体" w:cs="宋体"/>
                <w:kern w:val="0"/>
                <w:sz w:val="24"/>
              </w:rPr>
            </w:pPr>
          </w:p>
        </w:tc>
        <w:tc>
          <w:tcPr>
            <w:tcW w:w="1060" w:type="dxa"/>
            <w:tcBorders>
              <w:top w:val="single" w:color="000000" w:sz="4" w:space="0"/>
              <w:left w:val="nil"/>
              <w:bottom w:val="single" w:color="000000" w:sz="4" w:space="0"/>
              <w:right w:val="single" w:color="000000" w:sz="4" w:space="0"/>
            </w:tcBorders>
            <w:shd w:val="clear" w:color="auto" w:fill="auto"/>
            <w:vAlign w:val="center"/>
          </w:tcPr>
          <w:p w14:paraId="035CCC9E">
            <w:pPr>
              <w:widowControl/>
              <w:jc w:val="center"/>
              <w:rPr>
                <w:rFonts w:ascii="宋体" w:hAnsi="宋体" w:cs="宋体"/>
                <w:kern w:val="0"/>
                <w:sz w:val="24"/>
              </w:rPr>
            </w:pPr>
          </w:p>
        </w:tc>
        <w:tc>
          <w:tcPr>
            <w:tcW w:w="1420" w:type="dxa"/>
            <w:tcBorders>
              <w:top w:val="single" w:color="000000" w:sz="4" w:space="0"/>
              <w:left w:val="nil"/>
              <w:bottom w:val="single" w:color="000000" w:sz="4" w:space="0"/>
              <w:right w:val="single" w:color="000000" w:sz="4" w:space="0"/>
            </w:tcBorders>
            <w:shd w:val="clear" w:color="auto" w:fill="auto"/>
            <w:vAlign w:val="center"/>
          </w:tcPr>
          <w:p w14:paraId="652ED471">
            <w:pPr>
              <w:widowControl/>
              <w:jc w:val="center"/>
              <w:rPr>
                <w:rFonts w:ascii="宋体" w:hAnsi="宋体" w:cs="宋体"/>
                <w:kern w:val="0"/>
                <w:sz w:val="24"/>
              </w:rPr>
            </w:pPr>
          </w:p>
        </w:tc>
        <w:tc>
          <w:tcPr>
            <w:tcW w:w="1474" w:type="dxa"/>
            <w:tcBorders>
              <w:top w:val="single" w:color="000000" w:sz="4" w:space="0"/>
              <w:left w:val="nil"/>
              <w:bottom w:val="single" w:color="000000" w:sz="4" w:space="0"/>
              <w:right w:val="single" w:color="000000" w:sz="4" w:space="0"/>
            </w:tcBorders>
            <w:shd w:val="clear" w:color="auto" w:fill="auto"/>
            <w:vAlign w:val="center"/>
          </w:tcPr>
          <w:p w14:paraId="7D9B495F">
            <w:pPr>
              <w:widowControl/>
              <w:jc w:val="center"/>
              <w:rPr>
                <w:rFonts w:ascii="宋体" w:hAnsi="宋体" w:cs="宋体"/>
                <w:kern w:val="0"/>
                <w:sz w:val="24"/>
              </w:rPr>
            </w:pPr>
          </w:p>
        </w:tc>
        <w:tc>
          <w:tcPr>
            <w:tcW w:w="920" w:type="dxa"/>
            <w:tcBorders>
              <w:top w:val="single" w:color="000000" w:sz="4" w:space="0"/>
              <w:left w:val="nil"/>
              <w:bottom w:val="single" w:color="000000" w:sz="4" w:space="0"/>
              <w:right w:val="single" w:color="000000" w:sz="4" w:space="0"/>
            </w:tcBorders>
            <w:shd w:val="clear" w:color="auto" w:fill="auto"/>
            <w:vAlign w:val="center"/>
          </w:tcPr>
          <w:p w14:paraId="05C7BC66">
            <w:pPr>
              <w:widowControl/>
              <w:jc w:val="center"/>
              <w:rPr>
                <w:rFonts w:ascii="宋体" w:hAnsi="宋体" w:cs="宋体"/>
                <w:kern w:val="0"/>
                <w:sz w:val="24"/>
              </w:rPr>
            </w:pPr>
          </w:p>
        </w:tc>
      </w:tr>
      <w:tr w14:paraId="1975E984">
        <w:tblPrEx>
          <w:tblCellMar>
            <w:top w:w="0" w:type="dxa"/>
            <w:left w:w="108" w:type="dxa"/>
            <w:bottom w:w="0" w:type="dxa"/>
            <w:right w:w="108" w:type="dxa"/>
          </w:tblCellMar>
        </w:tblPrEx>
        <w:trPr>
          <w:trHeight w:val="642" w:hRule="atLeast"/>
          <w:jc w:val="center"/>
        </w:trPr>
        <w:tc>
          <w:tcPr>
            <w:tcW w:w="8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0BA49D">
            <w:pPr>
              <w:widowControl/>
              <w:jc w:val="center"/>
              <w:rPr>
                <w:rFonts w:ascii="宋体" w:hAnsi="宋体" w:cs="宋体"/>
                <w:kern w:val="0"/>
                <w:sz w:val="24"/>
              </w:rPr>
            </w:pPr>
          </w:p>
        </w:tc>
        <w:tc>
          <w:tcPr>
            <w:tcW w:w="1644" w:type="dxa"/>
            <w:tcBorders>
              <w:top w:val="single" w:color="000000" w:sz="4" w:space="0"/>
              <w:left w:val="nil"/>
              <w:bottom w:val="single" w:color="000000" w:sz="4" w:space="0"/>
              <w:right w:val="single" w:color="000000" w:sz="4" w:space="0"/>
            </w:tcBorders>
            <w:shd w:val="clear" w:color="auto" w:fill="auto"/>
            <w:vAlign w:val="center"/>
          </w:tcPr>
          <w:p w14:paraId="78056108">
            <w:pPr>
              <w:widowControl/>
              <w:jc w:val="center"/>
              <w:rPr>
                <w:rFonts w:ascii="宋体" w:hAnsi="宋体" w:cs="宋体"/>
                <w:kern w:val="0"/>
                <w:sz w:val="24"/>
              </w:rPr>
            </w:pPr>
          </w:p>
        </w:tc>
        <w:tc>
          <w:tcPr>
            <w:tcW w:w="1474" w:type="dxa"/>
            <w:tcBorders>
              <w:top w:val="single" w:color="000000" w:sz="4" w:space="0"/>
              <w:left w:val="nil"/>
              <w:bottom w:val="single" w:color="000000" w:sz="4" w:space="0"/>
              <w:right w:val="single" w:color="000000" w:sz="4" w:space="0"/>
            </w:tcBorders>
            <w:shd w:val="clear" w:color="auto" w:fill="auto"/>
            <w:vAlign w:val="center"/>
          </w:tcPr>
          <w:p w14:paraId="3B8BAE25">
            <w:pPr>
              <w:widowControl/>
              <w:jc w:val="center"/>
              <w:rPr>
                <w:rFonts w:ascii="宋体" w:hAnsi="宋体" w:cs="宋体"/>
                <w:kern w:val="0"/>
                <w:sz w:val="24"/>
              </w:rPr>
            </w:pPr>
          </w:p>
        </w:tc>
        <w:tc>
          <w:tcPr>
            <w:tcW w:w="1060" w:type="dxa"/>
            <w:tcBorders>
              <w:top w:val="single" w:color="000000" w:sz="4" w:space="0"/>
              <w:left w:val="nil"/>
              <w:bottom w:val="single" w:color="000000" w:sz="4" w:space="0"/>
              <w:right w:val="single" w:color="000000" w:sz="4" w:space="0"/>
            </w:tcBorders>
            <w:shd w:val="clear" w:color="auto" w:fill="auto"/>
            <w:vAlign w:val="center"/>
          </w:tcPr>
          <w:p w14:paraId="66EEFDE1">
            <w:pPr>
              <w:widowControl/>
              <w:jc w:val="center"/>
              <w:rPr>
                <w:rFonts w:ascii="宋体" w:hAnsi="宋体" w:cs="宋体"/>
                <w:kern w:val="0"/>
                <w:sz w:val="24"/>
              </w:rPr>
            </w:pPr>
          </w:p>
        </w:tc>
        <w:tc>
          <w:tcPr>
            <w:tcW w:w="1420" w:type="dxa"/>
            <w:tcBorders>
              <w:top w:val="single" w:color="000000" w:sz="4" w:space="0"/>
              <w:left w:val="nil"/>
              <w:bottom w:val="single" w:color="000000" w:sz="4" w:space="0"/>
              <w:right w:val="single" w:color="000000" w:sz="4" w:space="0"/>
            </w:tcBorders>
            <w:shd w:val="clear" w:color="auto" w:fill="auto"/>
            <w:vAlign w:val="center"/>
          </w:tcPr>
          <w:p w14:paraId="48DCF9AD">
            <w:pPr>
              <w:widowControl/>
              <w:jc w:val="center"/>
              <w:rPr>
                <w:rFonts w:ascii="宋体" w:hAnsi="宋体" w:cs="宋体"/>
                <w:kern w:val="0"/>
                <w:sz w:val="24"/>
              </w:rPr>
            </w:pPr>
          </w:p>
        </w:tc>
        <w:tc>
          <w:tcPr>
            <w:tcW w:w="1474" w:type="dxa"/>
            <w:tcBorders>
              <w:top w:val="single" w:color="000000" w:sz="4" w:space="0"/>
              <w:left w:val="nil"/>
              <w:bottom w:val="single" w:color="000000" w:sz="4" w:space="0"/>
              <w:right w:val="single" w:color="000000" w:sz="4" w:space="0"/>
            </w:tcBorders>
            <w:shd w:val="clear" w:color="auto" w:fill="auto"/>
            <w:vAlign w:val="center"/>
          </w:tcPr>
          <w:p w14:paraId="45052966">
            <w:pPr>
              <w:widowControl/>
              <w:jc w:val="center"/>
              <w:rPr>
                <w:rFonts w:ascii="宋体" w:hAnsi="宋体" w:cs="宋体"/>
                <w:kern w:val="0"/>
                <w:sz w:val="24"/>
              </w:rPr>
            </w:pPr>
          </w:p>
        </w:tc>
        <w:tc>
          <w:tcPr>
            <w:tcW w:w="920" w:type="dxa"/>
            <w:tcBorders>
              <w:top w:val="single" w:color="000000" w:sz="4" w:space="0"/>
              <w:left w:val="nil"/>
              <w:bottom w:val="single" w:color="000000" w:sz="4" w:space="0"/>
              <w:right w:val="single" w:color="000000" w:sz="4" w:space="0"/>
            </w:tcBorders>
            <w:shd w:val="clear" w:color="auto" w:fill="auto"/>
            <w:vAlign w:val="center"/>
          </w:tcPr>
          <w:p w14:paraId="32D85A29">
            <w:pPr>
              <w:widowControl/>
              <w:jc w:val="center"/>
              <w:rPr>
                <w:rFonts w:ascii="宋体" w:hAnsi="宋体" w:cs="宋体"/>
                <w:kern w:val="0"/>
                <w:sz w:val="24"/>
              </w:rPr>
            </w:pPr>
          </w:p>
        </w:tc>
      </w:tr>
      <w:tr w14:paraId="003443AB">
        <w:tblPrEx>
          <w:tblCellMar>
            <w:top w:w="0" w:type="dxa"/>
            <w:left w:w="108" w:type="dxa"/>
            <w:bottom w:w="0" w:type="dxa"/>
            <w:right w:w="108" w:type="dxa"/>
          </w:tblCellMar>
        </w:tblPrEx>
        <w:trPr>
          <w:trHeight w:val="642" w:hRule="atLeast"/>
          <w:jc w:val="center"/>
        </w:trPr>
        <w:tc>
          <w:tcPr>
            <w:tcW w:w="8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BD5BF8">
            <w:pPr>
              <w:widowControl/>
              <w:jc w:val="center"/>
              <w:rPr>
                <w:rFonts w:ascii="宋体" w:hAnsi="宋体" w:cs="宋体"/>
                <w:kern w:val="0"/>
                <w:sz w:val="24"/>
              </w:rPr>
            </w:pPr>
          </w:p>
        </w:tc>
        <w:tc>
          <w:tcPr>
            <w:tcW w:w="1644" w:type="dxa"/>
            <w:tcBorders>
              <w:top w:val="single" w:color="000000" w:sz="4" w:space="0"/>
              <w:left w:val="nil"/>
              <w:bottom w:val="single" w:color="000000" w:sz="4" w:space="0"/>
              <w:right w:val="single" w:color="000000" w:sz="4" w:space="0"/>
            </w:tcBorders>
            <w:shd w:val="clear" w:color="auto" w:fill="auto"/>
            <w:vAlign w:val="center"/>
          </w:tcPr>
          <w:p w14:paraId="3D10BEC1">
            <w:pPr>
              <w:widowControl/>
              <w:jc w:val="center"/>
              <w:rPr>
                <w:rFonts w:ascii="宋体" w:hAnsi="宋体" w:cs="宋体"/>
                <w:kern w:val="0"/>
                <w:sz w:val="24"/>
              </w:rPr>
            </w:pPr>
          </w:p>
        </w:tc>
        <w:tc>
          <w:tcPr>
            <w:tcW w:w="1474" w:type="dxa"/>
            <w:tcBorders>
              <w:top w:val="single" w:color="000000" w:sz="4" w:space="0"/>
              <w:left w:val="nil"/>
              <w:bottom w:val="single" w:color="000000" w:sz="4" w:space="0"/>
              <w:right w:val="single" w:color="000000" w:sz="4" w:space="0"/>
            </w:tcBorders>
            <w:shd w:val="clear" w:color="auto" w:fill="auto"/>
            <w:vAlign w:val="center"/>
          </w:tcPr>
          <w:p w14:paraId="18B44774">
            <w:pPr>
              <w:widowControl/>
              <w:jc w:val="center"/>
              <w:rPr>
                <w:rFonts w:ascii="宋体" w:hAnsi="宋体" w:cs="宋体"/>
                <w:kern w:val="0"/>
                <w:sz w:val="24"/>
              </w:rPr>
            </w:pPr>
          </w:p>
        </w:tc>
        <w:tc>
          <w:tcPr>
            <w:tcW w:w="1060" w:type="dxa"/>
            <w:tcBorders>
              <w:top w:val="single" w:color="000000" w:sz="4" w:space="0"/>
              <w:left w:val="nil"/>
              <w:bottom w:val="single" w:color="000000" w:sz="4" w:space="0"/>
              <w:right w:val="single" w:color="000000" w:sz="4" w:space="0"/>
            </w:tcBorders>
            <w:shd w:val="clear" w:color="auto" w:fill="auto"/>
            <w:vAlign w:val="center"/>
          </w:tcPr>
          <w:p w14:paraId="259D4371">
            <w:pPr>
              <w:widowControl/>
              <w:jc w:val="center"/>
              <w:rPr>
                <w:rFonts w:ascii="宋体" w:hAnsi="宋体" w:cs="宋体"/>
                <w:kern w:val="0"/>
                <w:sz w:val="24"/>
              </w:rPr>
            </w:pPr>
          </w:p>
        </w:tc>
        <w:tc>
          <w:tcPr>
            <w:tcW w:w="1420" w:type="dxa"/>
            <w:tcBorders>
              <w:top w:val="single" w:color="000000" w:sz="4" w:space="0"/>
              <w:left w:val="nil"/>
              <w:bottom w:val="single" w:color="000000" w:sz="4" w:space="0"/>
              <w:right w:val="single" w:color="000000" w:sz="4" w:space="0"/>
            </w:tcBorders>
            <w:shd w:val="clear" w:color="auto" w:fill="auto"/>
            <w:vAlign w:val="center"/>
          </w:tcPr>
          <w:p w14:paraId="01CA3E82">
            <w:pPr>
              <w:widowControl/>
              <w:jc w:val="center"/>
              <w:rPr>
                <w:rFonts w:ascii="宋体" w:hAnsi="宋体" w:cs="宋体"/>
                <w:kern w:val="0"/>
                <w:sz w:val="24"/>
              </w:rPr>
            </w:pPr>
          </w:p>
        </w:tc>
        <w:tc>
          <w:tcPr>
            <w:tcW w:w="1474" w:type="dxa"/>
            <w:tcBorders>
              <w:top w:val="single" w:color="000000" w:sz="4" w:space="0"/>
              <w:left w:val="nil"/>
              <w:bottom w:val="single" w:color="000000" w:sz="4" w:space="0"/>
              <w:right w:val="single" w:color="000000" w:sz="4" w:space="0"/>
            </w:tcBorders>
            <w:shd w:val="clear" w:color="auto" w:fill="auto"/>
            <w:vAlign w:val="center"/>
          </w:tcPr>
          <w:p w14:paraId="613FE95C">
            <w:pPr>
              <w:widowControl/>
              <w:jc w:val="center"/>
              <w:rPr>
                <w:rFonts w:ascii="宋体" w:hAnsi="宋体" w:cs="宋体"/>
                <w:kern w:val="0"/>
                <w:sz w:val="24"/>
              </w:rPr>
            </w:pPr>
          </w:p>
        </w:tc>
        <w:tc>
          <w:tcPr>
            <w:tcW w:w="920" w:type="dxa"/>
            <w:tcBorders>
              <w:top w:val="single" w:color="000000" w:sz="4" w:space="0"/>
              <w:left w:val="nil"/>
              <w:bottom w:val="single" w:color="000000" w:sz="4" w:space="0"/>
              <w:right w:val="single" w:color="000000" w:sz="4" w:space="0"/>
            </w:tcBorders>
            <w:shd w:val="clear" w:color="auto" w:fill="auto"/>
            <w:vAlign w:val="center"/>
          </w:tcPr>
          <w:p w14:paraId="05562879">
            <w:pPr>
              <w:widowControl/>
              <w:jc w:val="center"/>
              <w:rPr>
                <w:rFonts w:ascii="宋体" w:hAnsi="宋体" w:cs="宋体"/>
                <w:kern w:val="0"/>
                <w:sz w:val="24"/>
              </w:rPr>
            </w:pPr>
          </w:p>
        </w:tc>
      </w:tr>
      <w:tr w14:paraId="38A97028">
        <w:tblPrEx>
          <w:tblCellMar>
            <w:top w:w="0" w:type="dxa"/>
            <w:left w:w="108" w:type="dxa"/>
            <w:bottom w:w="0" w:type="dxa"/>
            <w:right w:w="108" w:type="dxa"/>
          </w:tblCellMar>
        </w:tblPrEx>
        <w:trPr>
          <w:trHeight w:val="642" w:hRule="atLeast"/>
          <w:jc w:val="center"/>
        </w:trPr>
        <w:tc>
          <w:tcPr>
            <w:tcW w:w="8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31D6FE">
            <w:pPr>
              <w:widowControl/>
              <w:jc w:val="center"/>
              <w:rPr>
                <w:rFonts w:ascii="宋体" w:hAnsi="宋体" w:cs="宋体"/>
                <w:kern w:val="0"/>
                <w:sz w:val="24"/>
              </w:rPr>
            </w:pPr>
          </w:p>
        </w:tc>
        <w:tc>
          <w:tcPr>
            <w:tcW w:w="1644" w:type="dxa"/>
            <w:tcBorders>
              <w:top w:val="single" w:color="000000" w:sz="4" w:space="0"/>
              <w:left w:val="nil"/>
              <w:bottom w:val="single" w:color="000000" w:sz="4" w:space="0"/>
              <w:right w:val="single" w:color="000000" w:sz="4" w:space="0"/>
            </w:tcBorders>
            <w:shd w:val="clear" w:color="auto" w:fill="auto"/>
            <w:vAlign w:val="center"/>
          </w:tcPr>
          <w:p w14:paraId="57384B4B">
            <w:pPr>
              <w:widowControl/>
              <w:jc w:val="center"/>
              <w:rPr>
                <w:rFonts w:ascii="宋体" w:hAnsi="宋体" w:cs="宋体"/>
                <w:kern w:val="0"/>
                <w:sz w:val="24"/>
              </w:rPr>
            </w:pPr>
          </w:p>
        </w:tc>
        <w:tc>
          <w:tcPr>
            <w:tcW w:w="1474" w:type="dxa"/>
            <w:tcBorders>
              <w:top w:val="single" w:color="000000" w:sz="4" w:space="0"/>
              <w:left w:val="nil"/>
              <w:bottom w:val="single" w:color="000000" w:sz="4" w:space="0"/>
              <w:right w:val="single" w:color="000000" w:sz="4" w:space="0"/>
            </w:tcBorders>
            <w:shd w:val="clear" w:color="auto" w:fill="auto"/>
            <w:vAlign w:val="center"/>
          </w:tcPr>
          <w:p w14:paraId="0BAA68A2">
            <w:pPr>
              <w:widowControl/>
              <w:jc w:val="center"/>
              <w:rPr>
                <w:rFonts w:ascii="宋体" w:hAnsi="宋体" w:cs="宋体"/>
                <w:kern w:val="0"/>
                <w:sz w:val="24"/>
              </w:rPr>
            </w:pPr>
          </w:p>
        </w:tc>
        <w:tc>
          <w:tcPr>
            <w:tcW w:w="1060" w:type="dxa"/>
            <w:tcBorders>
              <w:top w:val="single" w:color="000000" w:sz="4" w:space="0"/>
              <w:left w:val="nil"/>
              <w:bottom w:val="single" w:color="000000" w:sz="4" w:space="0"/>
              <w:right w:val="single" w:color="000000" w:sz="4" w:space="0"/>
            </w:tcBorders>
            <w:shd w:val="clear" w:color="auto" w:fill="auto"/>
            <w:vAlign w:val="center"/>
          </w:tcPr>
          <w:p w14:paraId="0FBDA896">
            <w:pPr>
              <w:widowControl/>
              <w:jc w:val="center"/>
              <w:rPr>
                <w:rFonts w:ascii="宋体" w:hAnsi="宋体" w:cs="宋体"/>
                <w:kern w:val="0"/>
                <w:sz w:val="24"/>
              </w:rPr>
            </w:pPr>
          </w:p>
        </w:tc>
        <w:tc>
          <w:tcPr>
            <w:tcW w:w="1420" w:type="dxa"/>
            <w:tcBorders>
              <w:top w:val="single" w:color="000000" w:sz="4" w:space="0"/>
              <w:left w:val="nil"/>
              <w:bottom w:val="single" w:color="000000" w:sz="4" w:space="0"/>
              <w:right w:val="single" w:color="000000" w:sz="4" w:space="0"/>
            </w:tcBorders>
            <w:shd w:val="clear" w:color="auto" w:fill="auto"/>
            <w:vAlign w:val="center"/>
          </w:tcPr>
          <w:p w14:paraId="09A6C650">
            <w:pPr>
              <w:widowControl/>
              <w:jc w:val="center"/>
              <w:rPr>
                <w:rFonts w:ascii="宋体" w:hAnsi="宋体" w:cs="宋体"/>
                <w:kern w:val="0"/>
                <w:sz w:val="24"/>
              </w:rPr>
            </w:pPr>
          </w:p>
        </w:tc>
        <w:tc>
          <w:tcPr>
            <w:tcW w:w="1474" w:type="dxa"/>
            <w:tcBorders>
              <w:top w:val="single" w:color="000000" w:sz="4" w:space="0"/>
              <w:left w:val="nil"/>
              <w:bottom w:val="single" w:color="000000" w:sz="4" w:space="0"/>
              <w:right w:val="single" w:color="000000" w:sz="4" w:space="0"/>
            </w:tcBorders>
            <w:shd w:val="clear" w:color="auto" w:fill="auto"/>
            <w:vAlign w:val="center"/>
          </w:tcPr>
          <w:p w14:paraId="50BECB9F">
            <w:pPr>
              <w:widowControl/>
              <w:jc w:val="center"/>
              <w:rPr>
                <w:rFonts w:ascii="宋体" w:hAnsi="宋体" w:cs="宋体"/>
                <w:kern w:val="0"/>
                <w:sz w:val="24"/>
              </w:rPr>
            </w:pPr>
          </w:p>
        </w:tc>
        <w:tc>
          <w:tcPr>
            <w:tcW w:w="920" w:type="dxa"/>
            <w:tcBorders>
              <w:top w:val="single" w:color="000000" w:sz="4" w:space="0"/>
              <w:left w:val="nil"/>
              <w:bottom w:val="single" w:color="000000" w:sz="4" w:space="0"/>
              <w:right w:val="single" w:color="000000" w:sz="4" w:space="0"/>
            </w:tcBorders>
            <w:shd w:val="clear" w:color="auto" w:fill="auto"/>
            <w:vAlign w:val="center"/>
          </w:tcPr>
          <w:p w14:paraId="765E3880">
            <w:pPr>
              <w:widowControl/>
              <w:jc w:val="center"/>
              <w:rPr>
                <w:rFonts w:ascii="宋体" w:hAnsi="宋体" w:cs="宋体"/>
                <w:kern w:val="0"/>
                <w:sz w:val="24"/>
              </w:rPr>
            </w:pPr>
          </w:p>
        </w:tc>
      </w:tr>
      <w:tr w14:paraId="585E779C">
        <w:tblPrEx>
          <w:tblCellMar>
            <w:top w:w="0" w:type="dxa"/>
            <w:left w:w="108" w:type="dxa"/>
            <w:bottom w:w="0" w:type="dxa"/>
            <w:right w:w="108" w:type="dxa"/>
          </w:tblCellMar>
        </w:tblPrEx>
        <w:trPr>
          <w:trHeight w:val="642" w:hRule="atLeast"/>
          <w:jc w:val="center"/>
        </w:trPr>
        <w:tc>
          <w:tcPr>
            <w:tcW w:w="8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E35766">
            <w:pPr>
              <w:widowControl/>
              <w:jc w:val="center"/>
              <w:rPr>
                <w:rFonts w:ascii="宋体" w:hAnsi="宋体" w:cs="宋体"/>
                <w:kern w:val="0"/>
                <w:sz w:val="24"/>
              </w:rPr>
            </w:pPr>
          </w:p>
        </w:tc>
        <w:tc>
          <w:tcPr>
            <w:tcW w:w="1644" w:type="dxa"/>
            <w:tcBorders>
              <w:top w:val="single" w:color="000000" w:sz="4" w:space="0"/>
              <w:left w:val="nil"/>
              <w:bottom w:val="single" w:color="000000" w:sz="4" w:space="0"/>
              <w:right w:val="single" w:color="000000" w:sz="4" w:space="0"/>
            </w:tcBorders>
            <w:shd w:val="clear" w:color="auto" w:fill="auto"/>
            <w:vAlign w:val="center"/>
          </w:tcPr>
          <w:p w14:paraId="4160C652">
            <w:pPr>
              <w:widowControl/>
              <w:jc w:val="center"/>
              <w:rPr>
                <w:rFonts w:ascii="宋体" w:hAnsi="宋体" w:cs="宋体"/>
                <w:kern w:val="0"/>
                <w:sz w:val="24"/>
              </w:rPr>
            </w:pPr>
          </w:p>
        </w:tc>
        <w:tc>
          <w:tcPr>
            <w:tcW w:w="1474" w:type="dxa"/>
            <w:tcBorders>
              <w:top w:val="single" w:color="000000" w:sz="4" w:space="0"/>
              <w:left w:val="nil"/>
              <w:bottom w:val="single" w:color="000000" w:sz="4" w:space="0"/>
              <w:right w:val="single" w:color="000000" w:sz="4" w:space="0"/>
            </w:tcBorders>
            <w:shd w:val="clear" w:color="auto" w:fill="auto"/>
            <w:vAlign w:val="center"/>
          </w:tcPr>
          <w:p w14:paraId="647550E4">
            <w:pPr>
              <w:widowControl/>
              <w:jc w:val="center"/>
              <w:rPr>
                <w:rFonts w:ascii="宋体" w:hAnsi="宋体" w:cs="宋体"/>
                <w:kern w:val="0"/>
                <w:sz w:val="24"/>
              </w:rPr>
            </w:pPr>
          </w:p>
        </w:tc>
        <w:tc>
          <w:tcPr>
            <w:tcW w:w="1060" w:type="dxa"/>
            <w:tcBorders>
              <w:top w:val="single" w:color="000000" w:sz="4" w:space="0"/>
              <w:left w:val="nil"/>
              <w:bottom w:val="single" w:color="000000" w:sz="4" w:space="0"/>
              <w:right w:val="single" w:color="000000" w:sz="4" w:space="0"/>
            </w:tcBorders>
            <w:shd w:val="clear" w:color="auto" w:fill="auto"/>
            <w:vAlign w:val="center"/>
          </w:tcPr>
          <w:p w14:paraId="6BE4A14A">
            <w:pPr>
              <w:widowControl/>
              <w:jc w:val="center"/>
              <w:rPr>
                <w:rFonts w:ascii="宋体" w:hAnsi="宋体" w:cs="宋体"/>
                <w:kern w:val="0"/>
                <w:sz w:val="24"/>
              </w:rPr>
            </w:pPr>
          </w:p>
        </w:tc>
        <w:tc>
          <w:tcPr>
            <w:tcW w:w="1420" w:type="dxa"/>
            <w:tcBorders>
              <w:top w:val="single" w:color="000000" w:sz="4" w:space="0"/>
              <w:left w:val="nil"/>
              <w:bottom w:val="single" w:color="000000" w:sz="4" w:space="0"/>
              <w:right w:val="single" w:color="000000" w:sz="4" w:space="0"/>
            </w:tcBorders>
            <w:shd w:val="clear" w:color="auto" w:fill="auto"/>
            <w:vAlign w:val="center"/>
          </w:tcPr>
          <w:p w14:paraId="2B313083">
            <w:pPr>
              <w:widowControl/>
              <w:jc w:val="center"/>
              <w:rPr>
                <w:rFonts w:ascii="宋体" w:hAnsi="宋体" w:cs="宋体"/>
                <w:kern w:val="0"/>
                <w:sz w:val="24"/>
              </w:rPr>
            </w:pPr>
          </w:p>
        </w:tc>
        <w:tc>
          <w:tcPr>
            <w:tcW w:w="1474" w:type="dxa"/>
            <w:tcBorders>
              <w:top w:val="single" w:color="000000" w:sz="4" w:space="0"/>
              <w:left w:val="nil"/>
              <w:bottom w:val="single" w:color="000000" w:sz="4" w:space="0"/>
              <w:right w:val="single" w:color="000000" w:sz="4" w:space="0"/>
            </w:tcBorders>
            <w:shd w:val="clear" w:color="auto" w:fill="auto"/>
            <w:vAlign w:val="center"/>
          </w:tcPr>
          <w:p w14:paraId="291AE151">
            <w:pPr>
              <w:widowControl/>
              <w:jc w:val="center"/>
              <w:rPr>
                <w:rFonts w:ascii="宋体" w:hAnsi="宋体" w:cs="宋体"/>
                <w:kern w:val="0"/>
                <w:sz w:val="24"/>
              </w:rPr>
            </w:pPr>
          </w:p>
        </w:tc>
        <w:tc>
          <w:tcPr>
            <w:tcW w:w="920" w:type="dxa"/>
            <w:tcBorders>
              <w:top w:val="single" w:color="000000" w:sz="4" w:space="0"/>
              <w:left w:val="nil"/>
              <w:bottom w:val="single" w:color="000000" w:sz="4" w:space="0"/>
              <w:right w:val="single" w:color="000000" w:sz="4" w:space="0"/>
            </w:tcBorders>
            <w:shd w:val="clear" w:color="auto" w:fill="auto"/>
            <w:vAlign w:val="center"/>
          </w:tcPr>
          <w:p w14:paraId="0BCC35A4">
            <w:pPr>
              <w:widowControl/>
              <w:jc w:val="center"/>
              <w:rPr>
                <w:rFonts w:ascii="宋体" w:hAnsi="宋体" w:cs="宋体"/>
                <w:kern w:val="0"/>
                <w:sz w:val="24"/>
              </w:rPr>
            </w:pPr>
          </w:p>
        </w:tc>
      </w:tr>
      <w:tr w14:paraId="00BCF065">
        <w:tblPrEx>
          <w:tblCellMar>
            <w:top w:w="0" w:type="dxa"/>
            <w:left w:w="108" w:type="dxa"/>
            <w:bottom w:w="0" w:type="dxa"/>
            <w:right w:w="108" w:type="dxa"/>
          </w:tblCellMar>
        </w:tblPrEx>
        <w:trPr>
          <w:trHeight w:val="642" w:hRule="atLeast"/>
          <w:jc w:val="center"/>
        </w:trPr>
        <w:tc>
          <w:tcPr>
            <w:tcW w:w="8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4A6877">
            <w:pPr>
              <w:widowControl/>
              <w:jc w:val="center"/>
              <w:rPr>
                <w:rFonts w:ascii="宋体" w:hAnsi="宋体" w:cs="宋体"/>
                <w:kern w:val="0"/>
                <w:sz w:val="24"/>
              </w:rPr>
            </w:pPr>
          </w:p>
        </w:tc>
        <w:tc>
          <w:tcPr>
            <w:tcW w:w="1644" w:type="dxa"/>
            <w:tcBorders>
              <w:top w:val="single" w:color="000000" w:sz="4" w:space="0"/>
              <w:left w:val="nil"/>
              <w:bottom w:val="single" w:color="000000" w:sz="4" w:space="0"/>
              <w:right w:val="single" w:color="000000" w:sz="4" w:space="0"/>
            </w:tcBorders>
            <w:shd w:val="clear" w:color="auto" w:fill="auto"/>
            <w:vAlign w:val="center"/>
          </w:tcPr>
          <w:p w14:paraId="5D515CE9">
            <w:pPr>
              <w:widowControl/>
              <w:jc w:val="center"/>
              <w:rPr>
                <w:rFonts w:ascii="宋体" w:hAnsi="宋体" w:cs="宋体"/>
                <w:kern w:val="0"/>
                <w:sz w:val="24"/>
              </w:rPr>
            </w:pPr>
          </w:p>
        </w:tc>
        <w:tc>
          <w:tcPr>
            <w:tcW w:w="1474" w:type="dxa"/>
            <w:tcBorders>
              <w:top w:val="single" w:color="000000" w:sz="4" w:space="0"/>
              <w:left w:val="nil"/>
              <w:bottom w:val="single" w:color="000000" w:sz="4" w:space="0"/>
              <w:right w:val="single" w:color="000000" w:sz="4" w:space="0"/>
            </w:tcBorders>
            <w:shd w:val="clear" w:color="auto" w:fill="auto"/>
            <w:vAlign w:val="center"/>
          </w:tcPr>
          <w:p w14:paraId="57680B36">
            <w:pPr>
              <w:widowControl/>
              <w:jc w:val="center"/>
              <w:rPr>
                <w:rFonts w:ascii="宋体" w:hAnsi="宋体" w:cs="宋体"/>
                <w:kern w:val="0"/>
                <w:sz w:val="24"/>
              </w:rPr>
            </w:pPr>
          </w:p>
        </w:tc>
        <w:tc>
          <w:tcPr>
            <w:tcW w:w="1060" w:type="dxa"/>
            <w:tcBorders>
              <w:top w:val="single" w:color="000000" w:sz="4" w:space="0"/>
              <w:left w:val="nil"/>
              <w:bottom w:val="single" w:color="000000" w:sz="4" w:space="0"/>
              <w:right w:val="single" w:color="000000" w:sz="4" w:space="0"/>
            </w:tcBorders>
            <w:shd w:val="clear" w:color="auto" w:fill="auto"/>
            <w:vAlign w:val="center"/>
          </w:tcPr>
          <w:p w14:paraId="2FFF3C00">
            <w:pPr>
              <w:widowControl/>
              <w:jc w:val="center"/>
              <w:rPr>
                <w:rFonts w:ascii="宋体" w:hAnsi="宋体" w:cs="宋体"/>
                <w:kern w:val="0"/>
                <w:sz w:val="24"/>
              </w:rPr>
            </w:pPr>
          </w:p>
        </w:tc>
        <w:tc>
          <w:tcPr>
            <w:tcW w:w="1420" w:type="dxa"/>
            <w:tcBorders>
              <w:top w:val="single" w:color="000000" w:sz="4" w:space="0"/>
              <w:left w:val="nil"/>
              <w:bottom w:val="single" w:color="000000" w:sz="4" w:space="0"/>
              <w:right w:val="single" w:color="000000" w:sz="4" w:space="0"/>
            </w:tcBorders>
            <w:shd w:val="clear" w:color="auto" w:fill="auto"/>
            <w:vAlign w:val="center"/>
          </w:tcPr>
          <w:p w14:paraId="293BF73F">
            <w:pPr>
              <w:widowControl/>
              <w:jc w:val="center"/>
              <w:rPr>
                <w:rFonts w:ascii="宋体" w:hAnsi="宋体" w:cs="宋体"/>
                <w:kern w:val="0"/>
                <w:sz w:val="24"/>
              </w:rPr>
            </w:pPr>
          </w:p>
        </w:tc>
        <w:tc>
          <w:tcPr>
            <w:tcW w:w="1474" w:type="dxa"/>
            <w:tcBorders>
              <w:top w:val="single" w:color="000000" w:sz="4" w:space="0"/>
              <w:left w:val="nil"/>
              <w:bottom w:val="single" w:color="000000" w:sz="4" w:space="0"/>
              <w:right w:val="single" w:color="000000" w:sz="4" w:space="0"/>
            </w:tcBorders>
            <w:shd w:val="clear" w:color="auto" w:fill="auto"/>
            <w:vAlign w:val="center"/>
          </w:tcPr>
          <w:p w14:paraId="013D7F60">
            <w:pPr>
              <w:widowControl/>
              <w:jc w:val="center"/>
              <w:rPr>
                <w:rFonts w:ascii="宋体" w:hAnsi="宋体" w:cs="宋体"/>
                <w:kern w:val="0"/>
                <w:sz w:val="24"/>
              </w:rPr>
            </w:pPr>
          </w:p>
        </w:tc>
        <w:tc>
          <w:tcPr>
            <w:tcW w:w="920" w:type="dxa"/>
            <w:tcBorders>
              <w:top w:val="single" w:color="000000" w:sz="4" w:space="0"/>
              <w:left w:val="nil"/>
              <w:bottom w:val="single" w:color="000000" w:sz="4" w:space="0"/>
              <w:right w:val="single" w:color="000000" w:sz="4" w:space="0"/>
            </w:tcBorders>
            <w:shd w:val="clear" w:color="auto" w:fill="auto"/>
            <w:vAlign w:val="center"/>
          </w:tcPr>
          <w:p w14:paraId="3FA9A640">
            <w:pPr>
              <w:widowControl/>
              <w:jc w:val="center"/>
              <w:rPr>
                <w:rFonts w:ascii="宋体" w:hAnsi="宋体" w:cs="宋体"/>
                <w:kern w:val="0"/>
                <w:sz w:val="24"/>
              </w:rPr>
            </w:pPr>
          </w:p>
        </w:tc>
      </w:tr>
      <w:tr w14:paraId="626FD2C5">
        <w:tblPrEx>
          <w:tblCellMar>
            <w:top w:w="0" w:type="dxa"/>
            <w:left w:w="108" w:type="dxa"/>
            <w:bottom w:w="0" w:type="dxa"/>
            <w:right w:w="108" w:type="dxa"/>
          </w:tblCellMar>
        </w:tblPrEx>
        <w:trPr>
          <w:trHeight w:val="642" w:hRule="atLeast"/>
          <w:jc w:val="center"/>
        </w:trPr>
        <w:tc>
          <w:tcPr>
            <w:tcW w:w="8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F018A9">
            <w:pPr>
              <w:widowControl/>
              <w:jc w:val="center"/>
              <w:rPr>
                <w:rFonts w:ascii="宋体" w:hAnsi="宋体" w:cs="宋体"/>
                <w:kern w:val="0"/>
                <w:sz w:val="24"/>
              </w:rPr>
            </w:pPr>
          </w:p>
        </w:tc>
        <w:tc>
          <w:tcPr>
            <w:tcW w:w="1644" w:type="dxa"/>
            <w:tcBorders>
              <w:top w:val="single" w:color="000000" w:sz="4" w:space="0"/>
              <w:left w:val="nil"/>
              <w:bottom w:val="single" w:color="000000" w:sz="4" w:space="0"/>
              <w:right w:val="single" w:color="000000" w:sz="4" w:space="0"/>
            </w:tcBorders>
            <w:shd w:val="clear" w:color="auto" w:fill="auto"/>
            <w:vAlign w:val="center"/>
          </w:tcPr>
          <w:p w14:paraId="169D241C">
            <w:pPr>
              <w:widowControl/>
              <w:jc w:val="center"/>
              <w:rPr>
                <w:rFonts w:ascii="宋体" w:hAnsi="宋体" w:cs="宋体"/>
                <w:kern w:val="0"/>
                <w:sz w:val="24"/>
              </w:rPr>
            </w:pPr>
          </w:p>
        </w:tc>
        <w:tc>
          <w:tcPr>
            <w:tcW w:w="1474" w:type="dxa"/>
            <w:tcBorders>
              <w:top w:val="single" w:color="000000" w:sz="4" w:space="0"/>
              <w:left w:val="nil"/>
              <w:bottom w:val="single" w:color="000000" w:sz="4" w:space="0"/>
              <w:right w:val="single" w:color="000000" w:sz="4" w:space="0"/>
            </w:tcBorders>
            <w:shd w:val="clear" w:color="auto" w:fill="auto"/>
            <w:vAlign w:val="center"/>
          </w:tcPr>
          <w:p w14:paraId="6DD7EE2B">
            <w:pPr>
              <w:widowControl/>
              <w:jc w:val="center"/>
              <w:rPr>
                <w:rFonts w:ascii="宋体" w:hAnsi="宋体" w:cs="宋体"/>
                <w:kern w:val="0"/>
                <w:sz w:val="24"/>
              </w:rPr>
            </w:pPr>
          </w:p>
        </w:tc>
        <w:tc>
          <w:tcPr>
            <w:tcW w:w="1060" w:type="dxa"/>
            <w:tcBorders>
              <w:top w:val="single" w:color="000000" w:sz="4" w:space="0"/>
              <w:left w:val="nil"/>
              <w:bottom w:val="single" w:color="000000" w:sz="4" w:space="0"/>
              <w:right w:val="single" w:color="000000" w:sz="4" w:space="0"/>
            </w:tcBorders>
            <w:shd w:val="clear" w:color="auto" w:fill="auto"/>
            <w:vAlign w:val="center"/>
          </w:tcPr>
          <w:p w14:paraId="2DB32A7B">
            <w:pPr>
              <w:widowControl/>
              <w:jc w:val="center"/>
              <w:rPr>
                <w:rFonts w:ascii="宋体" w:hAnsi="宋体" w:cs="宋体"/>
                <w:kern w:val="0"/>
                <w:sz w:val="24"/>
              </w:rPr>
            </w:pPr>
          </w:p>
        </w:tc>
        <w:tc>
          <w:tcPr>
            <w:tcW w:w="1420" w:type="dxa"/>
            <w:tcBorders>
              <w:top w:val="single" w:color="000000" w:sz="4" w:space="0"/>
              <w:left w:val="nil"/>
              <w:bottom w:val="single" w:color="000000" w:sz="4" w:space="0"/>
              <w:right w:val="single" w:color="000000" w:sz="4" w:space="0"/>
            </w:tcBorders>
            <w:shd w:val="clear" w:color="auto" w:fill="auto"/>
            <w:vAlign w:val="center"/>
          </w:tcPr>
          <w:p w14:paraId="7F0BC4C7">
            <w:pPr>
              <w:widowControl/>
              <w:jc w:val="center"/>
              <w:rPr>
                <w:rFonts w:ascii="宋体" w:hAnsi="宋体" w:cs="宋体"/>
                <w:kern w:val="0"/>
                <w:sz w:val="24"/>
              </w:rPr>
            </w:pPr>
          </w:p>
        </w:tc>
        <w:tc>
          <w:tcPr>
            <w:tcW w:w="1474" w:type="dxa"/>
            <w:tcBorders>
              <w:top w:val="single" w:color="000000" w:sz="4" w:space="0"/>
              <w:left w:val="nil"/>
              <w:bottom w:val="single" w:color="000000" w:sz="4" w:space="0"/>
              <w:right w:val="single" w:color="000000" w:sz="4" w:space="0"/>
            </w:tcBorders>
            <w:shd w:val="clear" w:color="auto" w:fill="auto"/>
            <w:vAlign w:val="center"/>
          </w:tcPr>
          <w:p w14:paraId="2A00BC97">
            <w:pPr>
              <w:widowControl/>
              <w:jc w:val="center"/>
              <w:rPr>
                <w:rFonts w:ascii="宋体" w:hAnsi="宋体" w:cs="宋体"/>
                <w:kern w:val="0"/>
                <w:sz w:val="24"/>
              </w:rPr>
            </w:pPr>
          </w:p>
        </w:tc>
        <w:tc>
          <w:tcPr>
            <w:tcW w:w="920" w:type="dxa"/>
            <w:tcBorders>
              <w:top w:val="single" w:color="000000" w:sz="4" w:space="0"/>
              <w:left w:val="nil"/>
              <w:bottom w:val="single" w:color="000000" w:sz="4" w:space="0"/>
              <w:right w:val="single" w:color="000000" w:sz="4" w:space="0"/>
            </w:tcBorders>
            <w:shd w:val="clear" w:color="auto" w:fill="auto"/>
            <w:vAlign w:val="center"/>
          </w:tcPr>
          <w:p w14:paraId="6A1EFE62">
            <w:pPr>
              <w:widowControl/>
              <w:jc w:val="center"/>
              <w:rPr>
                <w:rFonts w:ascii="宋体" w:hAnsi="宋体" w:cs="宋体"/>
                <w:kern w:val="0"/>
                <w:sz w:val="24"/>
              </w:rPr>
            </w:pPr>
          </w:p>
        </w:tc>
      </w:tr>
      <w:tr w14:paraId="46BBCE6D">
        <w:tblPrEx>
          <w:tblCellMar>
            <w:top w:w="0" w:type="dxa"/>
            <w:left w:w="108" w:type="dxa"/>
            <w:bottom w:w="0" w:type="dxa"/>
            <w:right w:w="108" w:type="dxa"/>
          </w:tblCellMar>
        </w:tblPrEx>
        <w:trPr>
          <w:trHeight w:val="642" w:hRule="atLeast"/>
          <w:jc w:val="center"/>
        </w:trPr>
        <w:tc>
          <w:tcPr>
            <w:tcW w:w="8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680799">
            <w:pPr>
              <w:widowControl/>
              <w:jc w:val="center"/>
              <w:rPr>
                <w:rFonts w:ascii="宋体" w:hAnsi="宋体" w:cs="宋体"/>
                <w:kern w:val="0"/>
                <w:sz w:val="24"/>
              </w:rPr>
            </w:pPr>
          </w:p>
        </w:tc>
        <w:tc>
          <w:tcPr>
            <w:tcW w:w="1644" w:type="dxa"/>
            <w:tcBorders>
              <w:top w:val="single" w:color="000000" w:sz="4" w:space="0"/>
              <w:left w:val="nil"/>
              <w:bottom w:val="single" w:color="000000" w:sz="4" w:space="0"/>
              <w:right w:val="single" w:color="000000" w:sz="4" w:space="0"/>
            </w:tcBorders>
            <w:shd w:val="clear" w:color="auto" w:fill="auto"/>
            <w:vAlign w:val="center"/>
          </w:tcPr>
          <w:p w14:paraId="297E5B6C">
            <w:pPr>
              <w:widowControl/>
              <w:jc w:val="center"/>
              <w:rPr>
                <w:rFonts w:ascii="宋体" w:hAnsi="宋体" w:cs="宋体"/>
                <w:kern w:val="0"/>
                <w:sz w:val="24"/>
              </w:rPr>
            </w:pPr>
          </w:p>
        </w:tc>
        <w:tc>
          <w:tcPr>
            <w:tcW w:w="1474" w:type="dxa"/>
            <w:tcBorders>
              <w:top w:val="single" w:color="000000" w:sz="4" w:space="0"/>
              <w:left w:val="nil"/>
              <w:bottom w:val="single" w:color="000000" w:sz="4" w:space="0"/>
              <w:right w:val="single" w:color="000000" w:sz="4" w:space="0"/>
            </w:tcBorders>
            <w:shd w:val="clear" w:color="auto" w:fill="auto"/>
            <w:vAlign w:val="center"/>
          </w:tcPr>
          <w:p w14:paraId="5BD2D214">
            <w:pPr>
              <w:widowControl/>
              <w:jc w:val="center"/>
              <w:rPr>
                <w:rFonts w:ascii="宋体" w:hAnsi="宋体" w:cs="宋体"/>
                <w:kern w:val="0"/>
                <w:sz w:val="24"/>
              </w:rPr>
            </w:pPr>
          </w:p>
        </w:tc>
        <w:tc>
          <w:tcPr>
            <w:tcW w:w="1060" w:type="dxa"/>
            <w:tcBorders>
              <w:top w:val="single" w:color="000000" w:sz="4" w:space="0"/>
              <w:left w:val="nil"/>
              <w:bottom w:val="single" w:color="000000" w:sz="4" w:space="0"/>
              <w:right w:val="single" w:color="000000" w:sz="4" w:space="0"/>
            </w:tcBorders>
            <w:shd w:val="clear" w:color="auto" w:fill="auto"/>
            <w:vAlign w:val="center"/>
          </w:tcPr>
          <w:p w14:paraId="4924BA32">
            <w:pPr>
              <w:widowControl/>
              <w:jc w:val="center"/>
              <w:rPr>
                <w:rFonts w:ascii="宋体" w:hAnsi="宋体" w:cs="宋体"/>
                <w:kern w:val="0"/>
                <w:sz w:val="24"/>
              </w:rPr>
            </w:pPr>
          </w:p>
        </w:tc>
        <w:tc>
          <w:tcPr>
            <w:tcW w:w="1420" w:type="dxa"/>
            <w:tcBorders>
              <w:top w:val="single" w:color="000000" w:sz="4" w:space="0"/>
              <w:left w:val="nil"/>
              <w:bottom w:val="single" w:color="000000" w:sz="4" w:space="0"/>
              <w:right w:val="single" w:color="000000" w:sz="4" w:space="0"/>
            </w:tcBorders>
            <w:shd w:val="clear" w:color="auto" w:fill="auto"/>
            <w:vAlign w:val="center"/>
          </w:tcPr>
          <w:p w14:paraId="19836EF2">
            <w:pPr>
              <w:widowControl/>
              <w:jc w:val="center"/>
              <w:rPr>
                <w:rFonts w:ascii="宋体" w:hAnsi="宋体" w:cs="宋体"/>
                <w:kern w:val="0"/>
                <w:sz w:val="24"/>
              </w:rPr>
            </w:pPr>
          </w:p>
        </w:tc>
        <w:tc>
          <w:tcPr>
            <w:tcW w:w="1474" w:type="dxa"/>
            <w:tcBorders>
              <w:top w:val="single" w:color="000000" w:sz="4" w:space="0"/>
              <w:left w:val="nil"/>
              <w:bottom w:val="single" w:color="000000" w:sz="4" w:space="0"/>
              <w:right w:val="single" w:color="000000" w:sz="4" w:space="0"/>
            </w:tcBorders>
            <w:shd w:val="clear" w:color="auto" w:fill="auto"/>
            <w:vAlign w:val="center"/>
          </w:tcPr>
          <w:p w14:paraId="53A31106">
            <w:pPr>
              <w:widowControl/>
              <w:jc w:val="center"/>
              <w:rPr>
                <w:rFonts w:ascii="宋体" w:hAnsi="宋体" w:cs="宋体"/>
                <w:kern w:val="0"/>
                <w:sz w:val="24"/>
              </w:rPr>
            </w:pPr>
          </w:p>
        </w:tc>
        <w:tc>
          <w:tcPr>
            <w:tcW w:w="920" w:type="dxa"/>
            <w:tcBorders>
              <w:top w:val="single" w:color="000000" w:sz="4" w:space="0"/>
              <w:left w:val="nil"/>
              <w:bottom w:val="single" w:color="000000" w:sz="4" w:space="0"/>
              <w:right w:val="single" w:color="000000" w:sz="4" w:space="0"/>
            </w:tcBorders>
            <w:shd w:val="clear" w:color="auto" w:fill="auto"/>
            <w:vAlign w:val="center"/>
          </w:tcPr>
          <w:p w14:paraId="0D44665D">
            <w:pPr>
              <w:widowControl/>
              <w:jc w:val="center"/>
              <w:rPr>
                <w:rFonts w:ascii="宋体" w:hAnsi="宋体" w:cs="宋体"/>
                <w:kern w:val="0"/>
                <w:sz w:val="24"/>
              </w:rPr>
            </w:pPr>
          </w:p>
        </w:tc>
      </w:tr>
      <w:tr w14:paraId="2820DF28">
        <w:tblPrEx>
          <w:tblCellMar>
            <w:top w:w="0" w:type="dxa"/>
            <w:left w:w="108" w:type="dxa"/>
            <w:bottom w:w="0" w:type="dxa"/>
            <w:right w:w="108" w:type="dxa"/>
          </w:tblCellMar>
        </w:tblPrEx>
        <w:trPr>
          <w:trHeight w:val="642" w:hRule="atLeast"/>
          <w:jc w:val="center"/>
        </w:trPr>
        <w:tc>
          <w:tcPr>
            <w:tcW w:w="8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1C0AC8">
            <w:pPr>
              <w:widowControl/>
              <w:jc w:val="center"/>
              <w:rPr>
                <w:rFonts w:ascii="宋体" w:hAnsi="宋体" w:cs="宋体"/>
                <w:kern w:val="0"/>
                <w:sz w:val="24"/>
              </w:rPr>
            </w:pPr>
          </w:p>
        </w:tc>
        <w:tc>
          <w:tcPr>
            <w:tcW w:w="1644" w:type="dxa"/>
            <w:tcBorders>
              <w:top w:val="single" w:color="000000" w:sz="4" w:space="0"/>
              <w:left w:val="nil"/>
              <w:bottom w:val="single" w:color="000000" w:sz="4" w:space="0"/>
              <w:right w:val="single" w:color="000000" w:sz="4" w:space="0"/>
            </w:tcBorders>
            <w:shd w:val="clear" w:color="auto" w:fill="auto"/>
            <w:vAlign w:val="center"/>
          </w:tcPr>
          <w:p w14:paraId="2D116D09">
            <w:pPr>
              <w:widowControl/>
              <w:jc w:val="center"/>
              <w:rPr>
                <w:rFonts w:ascii="宋体" w:hAnsi="宋体" w:cs="宋体"/>
                <w:kern w:val="0"/>
                <w:sz w:val="24"/>
              </w:rPr>
            </w:pPr>
          </w:p>
        </w:tc>
        <w:tc>
          <w:tcPr>
            <w:tcW w:w="1474" w:type="dxa"/>
            <w:tcBorders>
              <w:top w:val="single" w:color="000000" w:sz="4" w:space="0"/>
              <w:left w:val="nil"/>
              <w:bottom w:val="single" w:color="000000" w:sz="4" w:space="0"/>
              <w:right w:val="single" w:color="000000" w:sz="4" w:space="0"/>
            </w:tcBorders>
            <w:shd w:val="clear" w:color="auto" w:fill="auto"/>
            <w:vAlign w:val="center"/>
          </w:tcPr>
          <w:p w14:paraId="6DEC609C">
            <w:pPr>
              <w:widowControl/>
              <w:jc w:val="center"/>
              <w:rPr>
                <w:rFonts w:ascii="宋体" w:hAnsi="宋体" w:cs="宋体"/>
                <w:kern w:val="0"/>
                <w:sz w:val="24"/>
              </w:rPr>
            </w:pPr>
          </w:p>
        </w:tc>
        <w:tc>
          <w:tcPr>
            <w:tcW w:w="1060" w:type="dxa"/>
            <w:tcBorders>
              <w:top w:val="single" w:color="000000" w:sz="4" w:space="0"/>
              <w:left w:val="nil"/>
              <w:bottom w:val="single" w:color="000000" w:sz="4" w:space="0"/>
              <w:right w:val="single" w:color="000000" w:sz="4" w:space="0"/>
            </w:tcBorders>
            <w:shd w:val="clear" w:color="auto" w:fill="auto"/>
            <w:vAlign w:val="center"/>
          </w:tcPr>
          <w:p w14:paraId="09721E37">
            <w:pPr>
              <w:widowControl/>
              <w:jc w:val="center"/>
              <w:rPr>
                <w:rFonts w:ascii="宋体" w:hAnsi="宋体" w:cs="宋体"/>
                <w:kern w:val="0"/>
                <w:sz w:val="24"/>
              </w:rPr>
            </w:pPr>
          </w:p>
        </w:tc>
        <w:tc>
          <w:tcPr>
            <w:tcW w:w="1420" w:type="dxa"/>
            <w:tcBorders>
              <w:top w:val="single" w:color="000000" w:sz="4" w:space="0"/>
              <w:left w:val="nil"/>
              <w:bottom w:val="single" w:color="000000" w:sz="4" w:space="0"/>
              <w:right w:val="single" w:color="000000" w:sz="4" w:space="0"/>
            </w:tcBorders>
            <w:shd w:val="clear" w:color="auto" w:fill="auto"/>
            <w:vAlign w:val="center"/>
          </w:tcPr>
          <w:p w14:paraId="6CCDB019">
            <w:pPr>
              <w:widowControl/>
              <w:jc w:val="center"/>
              <w:rPr>
                <w:rFonts w:ascii="宋体" w:hAnsi="宋体" w:cs="宋体"/>
                <w:kern w:val="0"/>
                <w:sz w:val="24"/>
              </w:rPr>
            </w:pPr>
          </w:p>
        </w:tc>
        <w:tc>
          <w:tcPr>
            <w:tcW w:w="1474" w:type="dxa"/>
            <w:tcBorders>
              <w:top w:val="single" w:color="000000" w:sz="4" w:space="0"/>
              <w:left w:val="nil"/>
              <w:bottom w:val="single" w:color="000000" w:sz="4" w:space="0"/>
              <w:right w:val="single" w:color="000000" w:sz="4" w:space="0"/>
            </w:tcBorders>
            <w:shd w:val="clear" w:color="auto" w:fill="auto"/>
            <w:vAlign w:val="center"/>
          </w:tcPr>
          <w:p w14:paraId="024C26FB">
            <w:pPr>
              <w:widowControl/>
              <w:jc w:val="center"/>
              <w:rPr>
                <w:rFonts w:ascii="宋体" w:hAnsi="宋体" w:cs="宋体"/>
                <w:kern w:val="0"/>
                <w:sz w:val="24"/>
              </w:rPr>
            </w:pPr>
          </w:p>
        </w:tc>
        <w:tc>
          <w:tcPr>
            <w:tcW w:w="920" w:type="dxa"/>
            <w:tcBorders>
              <w:top w:val="single" w:color="000000" w:sz="4" w:space="0"/>
              <w:left w:val="nil"/>
              <w:bottom w:val="single" w:color="000000" w:sz="4" w:space="0"/>
              <w:right w:val="single" w:color="000000" w:sz="4" w:space="0"/>
            </w:tcBorders>
            <w:shd w:val="clear" w:color="auto" w:fill="auto"/>
            <w:vAlign w:val="center"/>
          </w:tcPr>
          <w:p w14:paraId="774803D6">
            <w:pPr>
              <w:widowControl/>
              <w:jc w:val="center"/>
              <w:rPr>
                <w:rFonts w:ascii="宋体" w:hAnsi="宋体" w:cs="宋体"/>
                <w:kern w:val="0"/>
                <w:sz w:val="24"/>
              </w:rPr>
            </w:pPr>
          </w:p>
        </w:tc>
      </w:tr>
      <w:tr w14:paraId="02FB4075">
        <w:tblPrEx>
          <w:tblCellMar>
            <w:top w:w="0" w:type="dxa"/>
            <w:left w:w="108" w:type="dxa"/>
            <w:bottom w:w="0" w:type="dxa"/>
            <w:right w:w="108" w:type="dxa"/>
          </w:tblCellMar>
        </w:tblPrEx>
        <w:trPr>
          <w:trHeight w:val="642" w:hRule="atLeast"/>
          <w:jc w:val="center"/>
        </w:trPr>
        <w:tc>
          <w:tcPr>
            <w:tcW w:w="8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DA8B01">
            <w:pPr>
              <w:widowControl/>
              <w:jc w:val="center"/>
              <w:rPr>
                <w:rFonts w:ascii="宋体" w:hAnsi="宋体" w:cs="宋体"/>
                <w:kern w:val="0"/>
                <w:sz w:val="24"/>
              </w:rPr>
            </w:pPr>
          </w:p>
        </w:tc>
        <w:tc>
          <w:tcPr>
            <w:tcW w:w="1644" w:type="dxa"/>
            <w:tcBorders>
              <w:top w:val="single" w:color="000000" w:sz="4" w:space="0"/>
              <w:left w:val="nil"/>
              <w:bottom w:val="single" w:color="000000" w:sz="4" w:space="0"/>
              <w:right w:val="single" w:color="000000" w:sz="4" w:space="0"/>
            </w:tcBorders>
            <w:shd w:val="clear" w:color="auto" w:fill="auto"/>
            <w:vAlign w:val="center"/>
          </w:tcPr>
          <w:p w14:paraId="1717DC67">
            <w:pPr>
              <w:widowControl/>
              <w:jc w:val="center"/>
              <w:rPr>
                <w:rFonts w:ascii="宋体" w:hAnsi="宋体" w:cs="宋体"/>
                <w:kern w:val="0"/>
                <w:sz w:val="24"/>
              </w:rPr>
            </w:pPr>
          </w:p>
        </w:tc>
        <w:tc>
          <w:tcPr>
            <w:tcW w:w="1474" w:type="dxa"/>
            <w:tcBorders>
              <w:top w:val="single" w:color="000000" w:sz="4" w:space="0"/>
              <w:left w:val="nil"/>
              <w:bottom w:val="single" w:color="000000" w:sz="4" w:space="0"/>
              <w:right w:val="single" w:color="000000" w:sz="4" w:space="0"/>
            </w:tcBorders>
            <w:shd w:val="clear" w:color="auto" w:fill="auto"/>
            <w:vAlign w:val="center"/>
          </w:tcPr>
          <w:p w14:paraId="7CCB0AC5">
            <w:pPr>
              <w:widowControl/>
              <w:jc w:val="center"/>
              <w:rPr>
                <w:rFonts w:ascii="宋体" w:hAnsi="宋体" w:cs="宋体"/>
                <w:kern w:val="0"/>
                <w:sz w:val="24"/>
              </w:rPr>
            </w:pPr>
          </w:p>
        </w:tc>
        <w:tc>
          <w:tcPr>
            <w:tcW w:w="1060" w:type="dxa"/>
            <w:tcBorders>
              <w:top w:val="single" w:color="000000" w:sz="4" w:space="0"/>
              <w:left w:val="nil"/>
              <w:bottom w:val="single" w:color="000000" w:sz="4" w:space="0"/>
              <w:right w:val="single" w:color="000000" w:sz="4" w:space="0"/>
            </w:tcBorders>
            <w:shd w:val="clear" w:color="auto" w:fill="auto"/>
            <w:vAlign w:val="center"/>
          </w:tcPr>
          <w:p w14:paraId="7256A723">
            <w:pPr>
              <w:widowControl/>
              <w:jc w:val="center"/>
              <w:rPr>
                <w:rFonts w:ascii="宋体" w:hAnsi="宋体" w:cs="宋体"/>
                <w:kern w:val="0"/>
                <w:sz w:val="24"/>
              </w:rPr>
            </w:pPr>
          </w:p>
        </w:tc>
        <w:tc>
          <w:tcPr>
            <w:tcW w:w="1420" w:type="dxa"/>
            <w:tcBorders>
              <w:top w:val="single" w:color="000000" w:sz="4" w:space="0"/>
              <w:left w:val="nil"/>
              <w:bottom w:val="single" w:color="000000" w:sz="4" w:space="0"/>
              <w:right w:val="single" w:color="000000" w:sz="4" w:space="0"/>
            </w:tcBorders>
            <w:shd w:val="clear" w:color="auto" w:fill="auto"/>
            <w:vAlign w:val="center"/>
          </w:tcPr>
          <w:p w14:paraId="01C2595F">
            <w:pPr>
              <w:widowControl/>
              <w:jc w:val="center"/>
              <w:rPr>
                <w:rFonts w:ascii="宋体" w:hAnsi="宋体" w:cs="宋体"/>
                <w:kern w:val="0"/>
                <w:sz w:val="24"/>
              </w:rPr>
            </w:pPr>
          </w:p>
        </w:tc>
        <w:tc>
          <w:tcPr>
            <w:tcW w:w="1474" w:type="dxa"/>
            <w:tcBorders>
              <w:top w:val="single" w:color="000000" w:sz="4" w:space="0"/>
              <w:left w:val="nil"/>
              <w:bottom w:val="single" w:color="000000" w:sz="4" w:space="0"/>
              <w:right w:val="single" w:color="000000" w:sz="4" w:space="0"/>
            </w:tcBorders>
            <w:shd w:val="clear" w:color="auto" w:fill="auto"/>
            <w:vAlign w:val="center"/>
          </w:tcPr>
          <w:p w14:paraId="4971A8E3">
            <w:pPr>
              <w:widowControl/>
              <w:jc w:val="center"/>
              <w:rPr>
                <w:rFonts w:ascii="宋体" w:hAnsi="宋体" w:cs="宋体"/>
                <w:kern w:val="0"/>
                <w:sz w:val="24"/>
              </w:rPr>
            </w:pPr>
          </w:p>
        </w:tc>
        <w:tc>
          <w:tcPr>
            <w:tcW w:w="920" w:type="dxa"/>
            <w:tcBorders>
              <w:top w:val="single" w:color="000000" w:sz="4" w:space="0"/>
              <w:left w:val="nil"/>
              <w:bottom w:val="single" w:color="000000" w:sz="4" w:space="0"/>
              <w:right w:val="single" w:color="000000" w:sz="4" w:space="0"/>
            </w:tcBorders>
            <w:shd w:val="clear" w:color="auto" w:fill="auto"/>
            <w:vAlign w:val="center"/>
          </w:tcPr>
          <w:p w14:paraId="1B9CD500">
            <w:pPr>
              <w:widowControl/>
              <w:jc w:val="center"/>
              <w:rPr>
                <w:rFonts w:ascii="宋体" w:hAnsi="宋体" w:cs="宋体"/>
                <w:kern w:val="0"/>
                <w:sz w:val="24"/>
              </w:rPr>
            </w:pPr>
          </w:p>
        </w:tc>
      </w:tr>
      <w:tr w14:paraId="346B1C40">
        <w:tblPrEx>
          <w:tblCellMar>
            <w:top w:w="0" w:type="dxa"/>
            <w:left w:w="108" w:type="dxa"/>
            <w:bottom w:w="0" w:type="dxa"/>
            <w:right w:w="108" w:type="dxa"/>
          </w:tblCellMar>
        </w:tblPrEx>
        <w:trPr>
          <w:trHeight w:val="642" w:hRule="atLeast"/>
          <w:jc w:val="center"/>
        </w:trPr>
        <w:tc>
          <w:tcPr>
            <w:tcW w:w="8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84D164">
            <w:pPr>
              <w:widowControl/>
              <w:jc w:val="center"/>
              <w:rPr>
                <w:rFonts w:ascii="宋体" w:hAnsi="宋体" w:cs="宋体"/>
                <w:kern w:val="0"/>
                <w:sz w:val="24"/>
              </w:rPr>
            </w:pPr>
          </w:p>
        </w:tc>
        <w:tc>
          <w:tcPr>
            <w:tcW w:w="1644" w:type="dxa"/>
            <w:tcBorders>
              <w:top w:val="single" w:color="000000" w:sz="4" w:space="0"/>
              <w:left w:val="nil"/>
              <w:bottom w:val="single" w:color="000000" w:sz="4" w:space="0"/>
              <w:right w:val="single" w:color="000000" w:sz="4" w:space="0"/>
            </w:tcBorders>
            <w:shd w:val="clear" w:color="auto" w:fill="auto"/>
            <w:vAlign w:val="center"/>
          </w:tcPr>
          <w:p w14:paraId="37EF59F5">
            <w:pPr>
              <w:widowControl/>
              <w:jc w:val="center"/>
              <w:rPr>
                <w:rFonts w:ascii="宋体" w:hAnsi="宋体" w:cs="宋体"/>
                <w:kern w:val="0"/>
                <w:sz w:val="24"/>
              </w:rPr>
            </w:pPr>
          </w:p>
        </w:tc>
        <w:tc>
          <w:tcPr>
            <w:tcW w:w="1474" w:type="dxa"/>
            <w:tcBorders>
              <w:top w:val="single" w:color="000000" w:sz="4" w:space="0"/>
              <w:left w:val="nil"/>
              <w:bottom w:val="single" w:color="000000" w:sz="4" w:space="0"/>
              <w:right w:val="single" w:color="000000" w:sz="4" w:space="0"/>
            </w:tcBorders>
            <w:shd w:val="clear" w:color="auto" w:fill="auto"/>
            <w:vAlign w:val="center"/>
          </w:tcPr>
          <w:p w14:paraId="6C8F45C2">
            <w:pPr>
              <w:widowControl/>
              <w:jc w:val="center"/>
              <w:rPr>
                <w:rFonts w:ascii="宋体" w:hAnsi="宋体" w:cs="宋体"/>
                <w:kern w:val="0"/>
                <w:sz w:val="24"/>
              </w:rPr>
            </w:pPr>
          </w:p>
        </w:tc>
        <w:tc>
          <w:tcPr>
            <w:tcW w:w="1060" w:type="dxa"/>
            <w:tcBorders>
              <w:top w:val="single" w:color="000000" w:sz="4" w:space="0"/>
              <w:left w:val="nil"/>
              <w:bottom w:val="single" w:color="000000" w:sz="4" w:space="0"/>
              <w:right w:val="single" w:color="000000" w:sz="4" w:space="0"/>
            </w:tcBorders>
            <w:shd w:val="clear" w:color="auto" w:fill="auto"/>
            <w:vAlign w:val="center"/>
          </w:tcPr>
          <w:p w14:paraId="1427E22C">
            <w:pPr>
              <w:widowControl/>
              <w:jc w:val="center"/>
              <w:rPr>
                <w:rFonts w:ascii="宋体" w:hAnsi="宋体" w:cs="宋体"/>
                <w:kern w:val="0"/>
                <w:sz w:val="24"/>
              </w:rPr>
            </w:pPr>
          </w:p>
        </w:tc>
        <w:tc>
          <w:tcPr>
            <w:tcW w:w="1420" w:type="dxa"/>
            <w:tcBorders>
              <w:top w:val="single" w:color="000000" w:sz="4" w:space="0"/>
              <w:left w:val="nil"/>
              <w:bottom w:val="single" w:color="000000" w:sz="4" w:space="0"/>
              <w:right w:val="single" w:color="000000" w:sz="4" w:space="0"/>
            </w:tcBorders>
            <w:shd w:val="clear" w:color="auto" w:fill="auto"/>
            <w:vAlign w:val="center"/>
          </w:tcPr>
          <w:p w14:paraId="70FDDEF6">
            <w:pPr>
              <w:widowControl/>
              <w:jc w:val="center"/>
              <w:rPr>
                <w:rFonts w:ascii="宋体" w:hAnsi="宋体" w:cs="宋体"/>
                <w:kern w:val="0"/>
                <w:sz w:val="24"/>
              </w:rPr>
            </w:pPr>
          </w:p>
        </w:tc>
        <w:tc>
          <w:tcPr>
            <w:tcW w:w="1474" w:type="dxa"/>
            <w:tcBorders>
              <w:top w:val="single" w:color="000000" w:sz="4" w:space="0"/>
              <w:left w:val="nil"/>
              <w:bottom w:val="single" w:color="000000" w:sz="4" w:space="0"/>
              <w:right w:val="single" w:color="000000" w:sz="4" w:space="0"/>
            </w:tcBorders>
            <w:shd w:val="clear" w:color="auto" w:fill="auto"/>
            <w:vAlign w:val="center"/>
          </w:tcPr>
          <w:p w14:paraId="36846853">
            <w:pPr>
              <w:widowControl/>
              <w:jc w:val="center"/>
              <w:rPr>
                <w:rFonts w:ascii="宋体" w:hAnsi="宋体" w:cs="宋体"/>
                <w:kern w:val="0"/>
                <w:sz w:val="24"/>
              </w:rPr>
            </w:pPr>
          </w:p>
        </w:tc>
        <w:tc>
          <w:tcPr>
            <w:tcW w:w="920" w:type="dxa"/>
            <w:tcBorders>
              <w:top w:val="single" w:color="000000" w:sz="4" w:space="0"/>
              <w:left w:val="nil"/>
              <w:bottom w:val="single" w:color="000000" w:sz="4" w:space="0"/>
              <w:right w:val="single" w:color="000000" w:sz="4" w:space="0"/>
            </w:tcBorders>
            <w:shd w:val="clear" w:color="auto" w:fill="auto"/>
            <w:vAlign w:val="center"/>
          </w:tcPr>
          <w:p w14:paraId="481D399E">
            <w:pPr>
              <w:widowControl/>
              <w:jc w:val="center"/>
              <w:rPr>
                <w:rFonts w:ascii="宋体" w:hAnsi="宋体" w:cs="宋体"/>
                <w:kern w:val="0"/>
                <w:sz w:val="24"/>
              </w:rPr>
            </w:pPr>
          </w:p>
        </w:tc>
      </w:tr>
      <w:tr w14:paraId="236E7274">
        <w:tblPrEx>
          <w:tblCellMar>
            <w:top w:w="0" w:type="dxa"/>
            <w:left w:w="108" w:type="dxa"/>
            <w:bottom w:w="0" w:type="dxa"/>
            <w:right w:w="108" w:type="dxa"/>
          </w:tblCellMar>
        </w:tblPrEx>
        <w:trPr>
          <w:trHeight w:val="642" w:hRule="atLeast"/>
          <w:jc w:val="center"/>
        </w:trPr>
        <w:tc>
          <w:tcPr>
            <w:tcW w:w="8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E3CD08">
            <w:pPr>
              <w:widowControl/>
              <w:jc w:val="center"/>
              <w:rPr>
                <w:rFonts w:ascii="宋体" w:hAnsi="宋体" w:cs="宋体"/>
                <w:kern w:val="0"/>
                <w:sz w:val="24"/>
              </w:rPr>
            </w:pPr>
          </w:p>
        </w:tc>
        <w:tc>
          <w:tcPr>
            <w:tcW w:w="1644" w:type="dxa"/>
            <w:tcBorders>
              <w:top w:val="single" w:color="000000" w:sz="4" w:space="0"/>
              <w:left w:val="nil"/>
              <w:bottom w:val="single" w:color="000000" w:sz="4" w:space="0"/>
              <w:right w:val="single" w:color="000000" w:sz="4" w:space="0"/>
            </w:tcBorders>
            <w:shd w:val="clear" w:color="auto" w:fill="auto"/>
            <w:vAlign w:val="center"/>
          </w:tcPr>
          <w:p w14:paraId="54D742E8">
            <w:pPr>
              <w:widowControl/>
              <w:jc w:val="center"/>
              <w:rPr>
                <w:rFonts w:ascii="宋体" w:hAnsi="宋体" w:cs="宋体"/>
                <w:kern w:val="0"/>
                <w:sz w:val="24"/>
              </w:rPr>
            </w:pPr>
          </w:p>
        </w:tc>
        <w:tc>
          <w:tcPr>
            <w:tcW w:w="1474" w:type="dxa"/>
            <w:tcBorders>
              <w:top w:val="single" w:color="000000" w:sz="4" w:space="0"/>
              <w:left w:val="nil"/>
              <w:bottom w:val="single" w:color="000000" w:sz="4" w:space="0"/>
              <w:right w:val="single" w:color="000000" w:sz="4" w:space="0"/>
            </w:tcBorders>
            <w:shd w:val="clear" w:color="auto" w:fill="auto"/>
            <w:vAlign w:val="center"/>
          </w:tcPr>
          <w:p w14:paraId="51450F67">
            <w:pPr>
              <w:widowControl/>
              <w:jc w:val="center"/>
              <w:rPr>
                <w:rFonts w:ascii="宋体" w:hAnsi="宋体" w:cs="宋体"/>
                <w:kern w:val="0"/>
                <w:sz w:val="24"/>
              </w:rPr>
            </w:pPr>
          </w:p>
        </w:tc>
        <w:tc>
          <w:tcPr>
            <w:tcW w:w="1060" w:type="dxa"/>
            <w:tcBorders>
              <w:top w:val="single" w:color="000000" w:sz="4" w:space="0"/>
              <w:left w:val="nil"/>
              <w:bottom w:val="single" w:color="000000" w:sz="4" w:space="0"/>
              <w:right w:val="single" w:color="000000" w:sz="4" w:space="0"/>
            </w:tcBorders>
            <w:shd w:val="clear" w:color="auto" w:fill="auto"/>
            <w:vAlign w:val="center"/>
          </w:tcPr>
          <w:p w14:paraId="05C76719">
            <w:pPr>
              <w:widowControl/>
              <w:jc w:val="center"/>
              <w:rPr>
                <w:rFonts w:ascii="宋体" w:hAnsi="宋体" w:cs="宋体"/>
                <w:kern w:val="0"/>
                <w:sz w:val="24"/>
              </w:rPr>
            </w:pPr>
          </w:p>
        </w:tc>
        <w:tc>
          <w:tcPr>
            <w:tcW w:w="1420" w:type="dxa"/>
            <w:tcBorders>
              <w:top w:val="single" w:color="000000" w:sz="4" w:space="0"/>
              <w:left w:val="nil"/>
              <w:bottom w:val="single" w:color="000000" w:sz="4" w:space="0"/>
              <w:right w:val="single" w:color="000000" w:sz="4" w:space="0"/>
            </w:tcBorders>
            <w:shd w:val="clear" w:color="auto" w:fill="auto"/>
            <w:vAlign w:val="center"/>
          </w:tcPr>
          <w:p w14:paraId="0B1B73B8">
            <w:pPr>
              <w:widowControl/>
              <w:jc w:val="center"/>
              <w:rPr>
                <w:rFonts w:ascii="宋体" w:hAnsi="宋体" w:cs="宋体"/>
                <w:kern w:val="0"/>
                <w:sz w:val="24"/>
              </w:rPr>
            </w:pPr>
          </w:p>
        </w:tc>
        <w:tc>
          <w:tcPr>
            <w:tcW w:w="1474" w:type="dxa"/>
            <w:tcBorders>
              <w:top w:val="single" w:color="000000" w:sz="4" w:space="0"/>
              <w:left w:val="nil"/>
              <w:bottom w:val="single" w:color="000000" w:sz="4" w:space="0"/>
              <w:right w:val="single" w:color="000000" w:sz="4" w:space="0"/>
            </w:tcBorders>
            <w:shd w:val="clear" w:color="auto" w:fill="auto"/>
            <w:vAlign w:val="center"/>
          </w:tcPr>
          <w:p w14:paraId="67142A78">
            <w:pPr>
              <w:widowControl/>
              <w:jc w:val="center"/>
              <w:rPr>
                <w:rFonts w:ascii="宋体" w:hAnsi="宋体" w:cs="宋体"/>
                <w:kern w:val="0"/>
                <w:sz w:val="24"/>
              </w:rPr>
            </w:pPr>
          </w:p>
        </w:tc>
        <w:tc>
          <w:tcPr>
            <w:tcW w:w="920" w:type="dxa"/>
            <w:tcBorders>
              <w:top w:val="single" w:color="000000" w:sz="4" w:space="0"/>
              <w:left w:val="nil"/>
              <w:bottom w:val="single" w:color="000000" w:sz="4" w:space="0"/>
              <w:right w:val="single" w:color="000000" w:sz="4" w:space="0"/>
            </w:tcBorders>
            <w:shd w:val="clear" w:color="auto" w:fill="auto"/>
            <w:vAlign w:val="center"/>
          </w:tcPr>
          <w:p w14:paraId="42303562">
            <w:pPr>
              <w:widowControl/>
              <w:jc w:val="center"/>
              <w:rPr>
                <w:rFonts w:ascii="宋体" w:hAnsi="宋体" w:cs="宋体"/>
                <w:kern w:val="0"/>
                <w:sz w:val="24"/>
              </w:rPr>
            </w:pPr>
          </w:p>
        </w:tc>
      </w:tr>
    </w:tbl>
    <w:p w14:paraId="5F0EB72C">
      <w:pPr>
        <w:spacing w:line="360" w:lineRule="auto"/>
        <w:jc w:val="left"/>
        <w:rPr>
          <w:rFonts w:ascii="宋体" w:hAnsi="宋体" w:eastAsia="宋体" w:cs="宋体"/>
          <w:sz w:val="24"/>
        </w:rPr>
      </w:pPr>
      <w:r>
        <w:rPr>
          <w:rFonts w:hint="eastAsia" w:ascii="宋体" w:hAnsi="宋体" w:eastAsia="宋体" w:cs="宋体"/>
          <w:sz w:val="24"/>
        </w:rPr>
        <w:t xml:space="preserve">     </w:t>
      </w:r>
    </w:p>
    <w:p w14:paraId="21B8B4E0">
      <w:pPr>
        <w:pStyle w:val="32"/>
        <w:rPr>
          <w:lang w:val="en-US"/>
        </w:rPr>
      </w:pPr>
    </w:p>
    <w:p w14:paraId="172C88C9">
      <w:pPr>
        <w:spacing w:line="360" w:lineRule="auto"/>
        <w:jc w:val="center"/>
        <w:rPr>
          <w:rFonts w:ascii="宋体" w:hAnsi="宋体" w:eastAsia="宋体" w:cs="宋体"/>
          <w:sz w:val="24"/>
        </w:rPr>
      </w:pPr>
      <w:r>
        <w:rPr>
          <w:rFonts w:hint="eastAsia" w:ascii="宋体" w:hAnsi="宋体" w:eastAsia="宋体" w:cs="宋体"/>
          <w:sz w:val="24"/>
        </w:rPr>
        <w:t xml:space="preserve">                                    谈判供应商 (盖单位章)：</w:t>
      </w:r>
    </w:p>
    <w:p w14:paraId="17CFE6DB">
      <w:pPr>
        <w:pStyle w:val="10"/>
        <w:adjustRightInd w:val="0"/>
        <w:snapToGrid w:val="0"/>
        <w:spacing w:before="120" w:after="120" w:line="360" w:lineRule="auto"/>
        <w:rPr>
          <w:rFonts w:hAnsi="宋体" w:eastAsia="宋体" w:cs="宋体"/>
          <w:sz w:val="24"/>
          <w:szCs w:val="24"/>
        </w:rPr>
      </w:pPr>
      <w:r>
        <w:rPr>
          <w:rFonts w:hint="eastAsia" w:hAnsi="宋体" w:eastAsia="宋体" w:cs="宋体"/>
          <w:sz w:val="24"/>
          <w:szCs w:val="24"/>
        </w:rPr>
        <w:t xml:space="preserve">                                                      日　期：</w:t>
      </w:r>
    </w:p>
    <w:p w14:paraId="433795A3">
      <w:pPr>
        <w:pStyle w:val="36"/>
        <w:spacing w:line="360" w:lineRule="auto"/>
        <w:jc w:val="left"/>
        <w:rPr>
          <w:rFonts w:ascii="宋体" w:hAnsi="宋体" w:cs="宋体"/>
          <w:b/>
          <w:bCs/>
          <w:sz w:val="24"/>
        </w:rPr>
      </w:pPr>
    </w:p>
    <w:p w14:paraId="0F35F7F1">
      <w:pPr>
        <w:pStyle w:val="36"/>
        <w:spacing w:line="360" w:lineRule="auto"/>
        <w:jc w:val="left"/>
        <w:rPr>
          <w:rFonts w:ascii="宋体" w:hAnsi="宋体" w:cs="宋体"/>
          <w:b/>
          <w:bCs/>
          <w:sz w:val="24"/>
        </w:rPr>
      </w:pPr>
    </w:p>
    <w:p w14:paraId="23073C53">
      <w:pPr>
        <w:pStyle w:val="4"/>
        <w:spacing w:beforeLines="100" w:after="0" w:line="360" w:lineRule="auto"/>
        <w:jc w:val="center"/>
        <w:rPr>
          <w:rFonts w:ascii="宋体" w:hAnsi="宋体" w:eastAsia="宋体"/>
          <w:bCs w:val="0"/>
          <w:lang w:val="zh-CN"/>
        </w:rPr>
      </w:pPr>
      <w:r>
        <w:rPr>
          <w:rFonts w:hint="eastAsia" w:ascii="宋体" w:hAnsi="宋体" w:eastAsia="宋体"/>
          <w:bCs w:val="0"/>
          <w:lang w:val="zh-CN"/>
        </w:rPr>
        <w:t>3、报价文件格式</w:t>
      </w:r>
      <w:bookmarkEnd w:id="520"/>
      <w:bookmarkEnd w:id="521"/>
    </w:p>
    <w:p w14:paraId="1735B5DB">
      <w:pPr>
        <w:spacing w:before="100" w:beforeAutospacing="1" w:line="360" w:lineRule="auto"/>
        <w:jc w:val="center"/>
        <w:rPr>
          <w:rFonts w:ascii="宋体" w:hAnsi="宋体"/>
          <w:b/>
          <w:bCs/>
          <w:sz w:val="28"/>
          <w:szCs w:val="28"/>
        </w:rPr>
      </w:pPr>
      <w:r>
        <w:rPr>
          <w:rFonts w:hint="eastAsia" w:ascii="宋体" w:hAnsi="宋体"/>
          <w:b/>
          <w:bCs/>
          <w:sz w:val="28"/>
          <w:szCs w:val="28"/>
        </w:rPr>
        <w:t>目   录</w:t>
      </w:r>
    </w:p>
    <w:p w14:paraId="07D41A90">
      <w:pPr>
        <w:spacing w:line="480" w:lineRule="auto"/>
        <w:jc w:val="center"/>
        <w:rPr>
          <w:rFonts w:ascii="宋体" w:hAnsi="宋体" w:cs="宋体"/>
          <w:sz w:val="24"/>
        </w:rPr>
      </w:pPr>
      <w:r>
        <w:rPr>
          <w:rFonts w:hint="eastAsia" w:ascii="宋体" w:hAnsi="宋体" w:cs="宋体"/>
          <w:sz w:val="24"/>
        </w:rPr>
        <w:t xml:space="preserve">（供应商可参考采购文件“第三部分 </w:t>
      </w:r>
      <w:r>
        <w:rPr>
          <w:rFonts w:hint="eastAsia" w:ascii="宋体" w:hAnsi="宋体" w:eastAsia="宋体" w:cs="宋体"/>
          <w:sz w:val="24"/>
        </w:rPr>
        <w:t>谈判</w:t>
      </w:r>
      <w:r>
        <w:rPr>
          <w:rFonts w:hint="eastAsia" w:ascii="宋体" w:hAnsi="宋体" w:cs="宋体"/>
          <w:sz w:val="24"/>
        </w:rPr>
        <w:t>须知”报价文件组成要求编排）</w:t>
      </w:r>
    </w:p>
    <w:p w14:paraId="213AE0EB">
      <w:pPr>
        <w:snapToGrid w:val="0"/>
        <w:spacing w:before="50" w:after="50"/>
        <w:jc w:val="center"/>
        <w:rPr>
          <w:rFonts w:ascii="宋体" w:hAnsi="宋体" w:eastAsia="宋体" w:cs="宋体"/>
          <w:b/>
          <w:sz w:val="24"/>
        </w:rPr>
      </w:pPr>
    </w:p>
    <w:p w14:paraId="5DF6BE95">
      <w:pPr>
        <w:pStyle w:val="8"/>
        <w:ind w:firstLine="241"/>
        <w:rPr>
          <w:rFonts w:ascii="宋体" w:hAnsi="宋体" w:eastAsia="宋体" w:cs="宋体"/>
          <w:b/>
          <w:sz w:val="24"/>
          <w:szCs w:val="24"/>
        </w:rPr>
      </w:pPr>
    </w:p>
    <w:p w14:paraId="5F81FA5B">
      <w:pPr>
        <w:pStyle w:val="8"/>
        <w:ind w:firstLine="241"/>
        <w:rPr>
          <w:rFonts w:ascii="宋体" w:hAnsi="宋体" w:eastAsia="宋体" w:cs="宋体"/>
          <w:b/>
          <w:sz w:val="24"/>
          <w:szCs w:val="24"/>
        </w:rPr>
      </w:pPr>
    </w:p>
    <w:p w14:paraId="31731CE2">
      <w:pPr>
        <w:pStyle w:val="8"/>
        <w:ind w:firstLine="241"/>
        <w:rPr>
          <w:rFonts w:ascii="宋体" w:hAnsi="宋体" w:eastAsia="宋体" w:cs="宋体"/>
          <w:b/>
          <w:sz w:val="24"/>
          <w:szCs w:val="24"/>
        </w:rPr>
      </w:pPr>
    </w:p>
    <w:p w14:paraId="2A737A98">
      <w:pPr>
        <w:widowControl/>
        <w:jc w:val="left"/>
        <w:rPr>
          <w:rFonts w:ascii="宋体" w:hAnsi="宋体" w:eastAsia="宋体" w:cs="宋体"/>
          <w:b/>
          <w:sz w:val="24"/>
        </w:rPr>
      </w:pPr>
      <w:r>
        <w:rPr>
          <w:rFonts w:ascii="宋体" w:hAnsi="宋体" w:eastAsia="宋体" w:cs="宋体"/>
          <w:b/>
          <w:sz w:val="24"/>
        </w:rPr>
        <w:br w:type="page"/>
      </w:r>
    </w:p>
    <w:p w14:paraId="256BCDE1">
      <w:pPr>
        <w:rPr>
          <w:rFonts w:ascii="宋体" w:hAnsi="宋体" w:eastAsia="宋体" w:cs="宋体"/>
          <w:b/>
          <w:sz w:val="24"/>
          <w:lang w:val="zh-CN"/>
        </w:rPr>
      </w:pPr>
      <w:r>
        <w:rPr>
          <w:rFonts w:hint="eastAsia" w:ascii="宋体" w:hAnsi="宋体" w:eastAsia="宋体" w:cs="宋体"/>
          <w:b/>
          <w:sz w:val="24"/>
        </w:rPr>
        <w:t>附件十四：</w:t>
      </w:r>
    </w:p>
    <w:p w14:paraId="5786A35C">
      <w:pPr>
        <w:snapToGrid w:val="0"/>
        <w:spacing w:before="50" w:after="50"/>
        <w:jc w:val="center"/>
        <w:rPr>
          <w:rFonts w:ascii="宋体" w:hAnsi="宋体" w:eastAsia="宋体" w:cs="宋体"/>
          <w:b/>
          <w:sz w:val="24"/>
        </w:rPr>
      </w:pPr>
    </w:p>
    <w:p w14:paraId="042C9647">
      <w:pPr>
        <w:snapToGrid w:val="0"/>
        <w:spacing w:before="50" w:after="50"/>
        <w:jc w:val="center"/>
        <w:rPr>
          <w:rFonts w:ascii="宋体" w:hAnsi="宋体" w:eastAsia="宋体" w:cs="宋体"/>
          <w:b/>
          <w:sz w:val="24"/>
        </w:rPr>
      </w:pPr>
      <w:r>
        <w:rPr>
          <w:rFonts w:hint="eastAsia" w:ascii="宋体" w:hAnsi="宋体" w:eastAsia="宋体" w:cs="宋体"/>
          <w:b/>
          <w:sz w:val="24"/>
        </w:rPr>
        <w:t>谈判报价一览表</w:t>
      </w:r>
      <w:r>
        <w:rPr>
          <w:rFonts w:hint="eastAsia" w:ascii="宋体" w:hAnsi="宋体" w:eastAsia="宋体" w:cs="宋体"/>
          <w:b/>
          <w:bCs/>
          <w:sz w:val="24"/>
        </w:rPr>
        <w:t>（首次报价）</w:t>
      </w:r>
    </w:p>
    <w:p w14:paraId="7235A030">
      <w:pPr>
        <w:snapToGrid w:val="0"/>
        <w:spacing w:before="50" w:after="50" w:line="360" w:lineRule="auto"/>
        <w:ind w:right="-1058" w:rightChars="-294"/>
        <w:jc w:val="left"/>
        <w:rPr>
          <w:rFonts w:ascii="宋体" w:hAnsi="宋体" w:eastAsia="宋体" w:cs="宋体"/>
          <w:sz w:val="24"/>
        </w:rPr>
      </w:pPr>
    </w:p>
    <w:p w14:paraId="72613C55">
      <w:pPr>
        <w:snapToGrid w:val="0"/>
        <w:spacing w:before="50" w:after="50" w:line="360" w:lineRule="auto"/>
        <w:ind w:right="-1058" w:rightChars="-294"/>
        <w:jc w:val="left"/>
        <w:rPr>
          <w:rFonts w:hint="eastAsia" w:ascii="宋体" w:hAnsi="宋体" w:eastAsia="宋体" w:cs="宋体"/>
          <w:sz w:val="24"/>
          <w:lang w:eastAsia="zh-CN"/>
        </w:rPr>
      </w:pPr>
      <w:r>
        <w:rPr>
          <w:rFonts w:hint="eastAsia" w:ascii="宋体" w:hAnsi="宋体" w:eastAsia="宋体" w:cs="宋体"/>
          <w:sz w:val="24"/>
        </w:rPr>
        <w:t>项目编号：</w:t>
      </w:r>
      <w:r>
        <w:rPr>
          <w:rFonts w:hint="eastAsia" w:ascii="宋体" w:hAnsi="宋体" w:eastAsia="宋体" w:cs="宋体"/>
          <w:sz w:val="24"/>
          <w:lang w:eastAsia="zh-CN"/>
        </w:rPr>
        <w:t>TYXJ-202501</w:t>
      </w:r>
    </w:p>
    <w:p w14:paraId="6952E24E">
      <w:pPr>
        <w:snapToGrid w:val="0"/>
        <w:spacing w:before="50" w:after="50" w:line="360" w:lineRule="auto"/>
        <w:ind w:right="-1058" w:rightChars="-294"/>
        <w:jc w:val="left"/>
        <w:rPr>
          <w:rFonts w:hint="eastAsia" w:ascii="宋体" w:hAnsi="宋体" w:eastAsia="宋体" w:cs="宋体"/>
          <w:sz w:val="24"/>
          <w:lang w:eastAsia="zh-CN"/>
        </w:rPr>
      </w:pPr>
      <w:r>
        <w:rPr>
          <w:rFonts w:hint="eastAsia" w:ascii="宋体" w:hAnsi="宋体" w:eastAsia="宋体" w:cs="宋体"/>
          <w:sz w:val="24"/>
        </w:rPr>
        <w:t>项目名称：</w:t>
      </w:r>
      <w:r>
        <w:rPr>
          <w:rFonts w:hint="eastAsia" w:ascii="宋体" w:hAnsi="宋体" w:eastAsia="宋体" w:cs="宋体"/>
          <w:sz w:val="24"/>
          <w:lang w:eastAsia="zh-CN"/>
        </w:rPr>
        <w:t>白塔镇景园村关金生态停车场建设项目</w:t>
      </w:r>
    </w:p>
    <w:tbl>
      <w:tblPr>
        <w:tblStyle w:val="21"/>
        <w:tblW w:w="927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2883"/>
        <w:gridCol w:w="1443"/>
        <w:gridCol w:w="4953"/>
      </w:tblGrid>
      <w:tr w14:paraId="0F795E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523" w:hRule="atLeast"/>
          <w:jc w:val="center"/>
        </w:trPr>
        <w:tc>
          <w:tcPr>
            <w:tcW w:w="2883" w:type="dxa"/>
            <w:vMerge w:val="restart"/>
            <w:vAlign w:val="center"/>
          </w:tcPr>
          <w:p w14:paraId="4A3A2547">
            <w:pPr>
              <w:autoSpaceDE w:val="0"/>
              <w:autoSpaceDN w:val="0"/>
              <w:spacing w:line="450" w:lineRule="exact"/>
              <w:jc w:val="center"/>
              <w:textAlignment w:val="bottom"/>
              <w:rPr>
                <w:rFonts w:ascii="宋体" w:hAnsi="宋体"/>
                <w:sz w:val="24"/>
              </w:rPr>
            </w:pPr>
            <w:r>
              <w:rPr>
                <w:rFonts w:hint="eastAsia" w:ascii="宋体" w:hAnsi="宋体" w:eastAsia="宋体"/>
                <w:sz w:val="24"/>
              </w:rPr>
              <w:t>谈判</w:t>
            </w:r>
            <w:r>
              <w:rPr>
                <w:rFonts w:hint="eastAsia" w:ascii="宋体" w:hAnsi="宋体"/>
                <w:sz w:val="24"/>
              </w:rPr>
              <w:t>总报价(元)</w:t>
            </w:r>
          </w:p>
        </w:tc>
        <w:tc>
          <w:tcPr>
            <w:tcW w:w="1443" w:type="dxa"/>
            <w:vAlign w:val="center"/>
          </w:tcPr>
          <w:p w14:paraId="71B03A0D">
            <w:pPr>
              <w:autoSpaceDE w:val="0"/>
              <w:autoSpaceDN w:val="0"/>
              <w:spacing w:line="450" w:lineRule="exact"/>
              <w:jc w:val="center"/>
              <w:textAlignment w:val="bottom"/>
              <w:rPr>
                <w:rFonts w:ascii="宋体" w:hAnsi="宋体"/>
                <w:sz w:val="24"/>
              </w:rPr>
            </w:pPr>
            <w:r>
              <w:rPr>
                <w:rFonts w:hint="eastAsia" w:ascii="宋体" w:hAnsi="宋体"/>
                <w:sz w:val="24"/>
              </w:rPr>
              <w:t>大写</w:t>
            </w:r>
          </w:p>
        </w:tc>
        <w:tc>
          <w:tcPr>
            <w:tcW w:w="4953" w:type="dxa"/>
            <w:vAlign w:val="center"/>
          </w:tcPr>
          <w:p w14:paraId="01E3A263">
            <w:pPr>
              <w:autoSpaceDE w:val="0"/>
              <w:autoSpaceDN w:val="0"/>
              <w:spacing w:line="450" w:lineRule="exact"/>
              <w:ind w:firstLine="240" w:firstLineChars="100"/>
              <w:textAlignment w:val="bottom"/>
              <w:rPr>
                <w:rFonts w:ascii="宋体" w:hAnsi="宋体" w:eastAsia="宋体"/>
                <w:sz w:val="24"/>
              </w:rPr>
            </w:pPr>
            <w:r>
              <w:rPr>
                <w:rFonts w:hint="eastAsia" w:ascii="宋体" w:hAnsi="宋体"/>
                <w:sz w:val="24"/>
              </w:rPr>
              <w:t>人民币：</w:t>
            </w:r>
            <w:r>
              <w:rPr>
                <w:rFonts w:hint="eastAsia" w:ascii="宋体" w:hAnsi="宋体"/>
                <w:sz w:val="24"/>
                <w:u w:val="single"/>
              </w:rPr>
              <w:t xml:space="preserve">                   </w:t>
            </w:r>
          </w:p>
        </w:tc>
      </w:tr>
      <w:tr w14:paraId="482BF5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604" w:hRule="atLeast"/>
          <w:jc w:val="center"/>
        </w:trPr>
        <w:tc>
          <w:tcPr>
            <w:tcW w:w="2883" w:type="dxa"/>
            <w:vMerge w:val="continue"/>
            <w:vAlign w:val="center"/>
          </w:tcPr>
          <w:p w14:paraId="3EA90323">
            <w:pPr>
              <w:rPr>
                <w:rFonts w:ascii="宋体" w:hAnsi="宋体"/>
                <w:sz w:val="24"/>
              </w:rPr>
            </w:pPr>
          </w:p>
        </w:tc>
        <w:tc>
          <w:tcPr>
            <w:tcW w:w="1443" w:type="dxa"/>
            <w:vAlign w:val="center"/>
          </w:tcPr>
          <w:p w14:paraId="6F10A1AC">
            <w:pPr>
              <w:autoSpaceDE w:val="0"/>
              <w:autoSpaceDN w:val="0"/>
              <w:spacing w:line="450" w:lineRule="exact"/>
              <w:jc w:val="center"/>
              <w:textAlignment w:val="bottom"/>
              <w:rPr>
                <w:rFonts w:ascii="宋体" w:hAnsi="宋体"/>
                <w:sz w:val="24"/>
              </w:rPr>
            </w:pPr>
            <w:r>
              <w:rPr>
                <w:rFonts w:hint="eastAsia" w:ascii="宋体" w:hAnsi="宋体"/>
                <w:sz w:val="24"/>
              </w:rPr>
              <w:t>小写</w:t>
            </w:r>
          </w:p>
        </w:tc>
        <w:tc>
          <w:tcPr>
            <w:tcW w:w="4953" w:type="dxa"/>
            <w:vAlign w:val="center"/>
          </w:tcPr>
          <w:p w14:paraId="5F0EF94A">
            <w:pPr>
              <w:autoSpaceDE w:val="0"/>
              <w:autoSpaceDN w:val="0"/>
              <w:spacing w:line="450" w:lineRule="exact"/>
              <w:ind w:firstLine="240" w:firstLineChars="100"/>
              <w:textAlignment w:val="bottom"/>
              <w:rPr>
                <w:rFonts w:ascii="宋体" w:hAnsi="宋体" w:eastAsia="宋体"/>
                <w:sz w:val="24"/>
              </w:rPr>
            </w:pPr>
            <w:r>
              <w:rPr>
                <w:rFonts w:hint="eastAsia" w:ascii="宋体" w:hAnsi="宋体"/>
                <w:sz w:val="24"/>
              </w:rPr>
              <w:t>¥：</w:t>
            </w:r>
            <w:r>
              <w:rPr>
                <w:rFonts w:hint="eastAsia" w:ascii="宋体" w:hAnsi="宋体"/>
                <w:sz w:val="24"/>
                <w:u w:val="single"/>
              </w:rPr>
              <w:t xml:space="preserve">                        </w:t>
            </w:r>
          </w:p>
        </w:tc>
      </w:tr>
    </w:tbl>
    <w:p w14:paraId="6E11A17F">
      <w:pPr>
        <w:snapToGrid w:val="0"/>
        <w:spacing w:before="50" w:after="50" w:line="360" w:lineRule="auto"/>
        <w:jc w:val="left"/>
        <w:rPr>
          <w:rFonts w:ascii="宋体" w:hAnsi="宋体" w:eastAsia="宋体" w:cs="宋体"/>
          <w:sz w:val="21"/>
          <w:szCs w:val="21"/>
        </w:rPr>
      </w:pPr>
      <w:r>
        <w:rPr>
          <w:rFonts w:hint="eastAsia" w:ascii="宋体" w:hAnsi="宋体" w:eastAsia="宋体" w:cs="宋体"/>
          <w:b/>
          <w:sz w:val="21"/>
          <w:szCs w:val="21"/>
        </w:rPr>
        <w:t xml:space="preserve">注: </w:t>
      </w:r>
      <w:r>
        <w:rPr>
          <w:rFonts w:hint="eastAsia" w:ascii="宋体" w:hAnsi="宋体" w:eastAsia="宋体" w:cs="宋体"/>
          <w:sz w:val="21"/>
          <w:szCs w:val="21"/>
        </w:rPr>
        <w:t>1、谈判总报价包括包括项目实施所需的人工费、材料费、机械费、设备的进退场费用、二次搬运费、冬雨季施工增加费、行车、行人干扰增加费、检测费、保险费、管理费、利润及各种规费、税费、安全文明施工费、采购代理服务费等完成合同所需的一切本身和不可或缺的所有工作开支、政策性文件规定及合同包含的所有风险等各项全部费用，并承担一切风险责任。</w:t>
      </w:r>
    </w:p>
    <w:p w14:paraId="1F58CDF2">
      <w:pPr>
        <w:snapToGrid w:val="0"/>
        <w:spacing w:before="50" w:after="50" w:line="360" w:lineRule="auto"/>
        <w:ind w:firstLine="420" w:firstLineChars="200"/>
        <w:jc w:val="left"/>
        <w:rPr>
          <w:rFonts w:ascii="宋体" w:hAnsi="宋体" w:eastAsia="宋体" w:cs="宋体"/>
          <w:sz w:val="21"/>
          <w:szCs w:val="21"/>
        </w:rPr>
      </w:pPr>
      <w:r>
        <w:rPr>
          <w:rFonts w:hint="eastAsia" w:ascii="宋体" w:hAnsi="宋体" w:eastAsia="宋体" w:cs="宋体"/>
          <w:sz w:val="21"/>
          <w:szCs w:val="21"/>
        </w:rPr>
        <w:t>2、报价一经涂改，应在涂改处加盖单位公章，或者由法定代表人或全权代表签字或盖章，否则其谈判无效。</w:t>
      </w:r>
    </w:p>
    <w:p w14:paraId="6C07FF9F">
      <w:pPr>
        <w:snapToGrid w:val="0"/>
        <w:spacing w:before="50" w:after="50" w:line="360" w:lineRule="auto"/>
        <w:ind w:firstLine="420" w:firstLineChars="200"/>
        <w:jc w:val="left"/>
        <w:rPr>
          <w:rFonts w:ascii="宋体" w:hAnsi="宋体" w:eastAsia="宋体" w:cs="宋体"/>
          <w:sz w:val="21"/>
          <w:szCs w:val="21"/>
        </w:rPr>
      </w:pPr>
      <w:r>
        <w:rPr>
          <w:rFonts w:hint="eastAsia" w:ascii="宋体" w:hAnsi="宋体" w:eastAsia="宋体" w:cs="宋体"/>
          <w:sz w:val="21"/>
          <w:szCs w:val="21"/>
        </w:rPr>
        <w:t>3、总报价以元为单位保留整数，小数点后第一位四舍五入。</w:t>
      </w:r>
    </w:p>
    <w:p w14:paraId="529CB667">
      <w:pPr>
        <w:snapToGrid w:val="0"/>
        <w:spacing w:before="50" w:after="50"/>
        <w:ind w:right="-1400" w:rightChars="-389"/>
        <w:rPr>
          <w:rFonts w:ascii="宋体" w:hAnsi="宋体" w:eastAsia="宋体" w:cs="宋体"/>
          <w:sz w:val="24"/>
        </w:rPr>
      </w:pPr>
    </w:p>
    <w:p w14:paraId="2AD842CD">
      <w:pPr>
        <w:snapToGrid w:val="0"/>
        <w:spacing w:before="50" w:after="50"/>
        <w:ind w:left="-111" w:leftChars="-72" w:right="-1400" w:rightChars="-389" w:hanging="148" w:hangingChars="62"/>
        <w:rPr>
          <w:rFonts w:ascii="宋体" w:hAnsi="宋体" w:eastAsia="宋体" w:cs="宋体"/>
          <w:sz w:val="24"/>
        </w:rPr>
      </w:pPr>
    </w:p>
    <w:p w14:paraId="14A17F05">
      <w:pPr>
        <w:snapToGrid w:val="0"/>
        <w:spacing w:before="50" w:after="50"/>
        <w:ind w:right="-1400" w:rightChars="-389"/>
        <w:rPr>
          <w:rFonts w:ascii="宋体" w:hAnsi="宋体" w:eastAsia="宋体" w:cs="宋体"/>
          <w:sz w:val="24"/>
        </w:rPr>
      </w:pPr>
    </w:p>
    <w:p w14:paraId="2A6FD0EA">
      <w:pPr>
        <w:pStyle w:val="10"/>
        <w:jc w:val="center"/>
        <w:rPr>
          <w:rFonts w:hAnsi="宋体" w:eastAsia="宋体" w:cs="宋体"/>
          <w:sz w:val="24"/>
          <w:szCs w:val="24"/>
        </w:rPr>
      </w:pPr>
    </w:p>
    <w:p w14:paraId="33BD7385">
      <w:pPr>
        <w:spacing w:line="360" w:lineRule="auto"/>
        <w:jc w:val="left"/>
        <w:rPr>
          <w:rFonts w:ascii="宋体" w:hAnsi="宋体" w:eastAsia="宋体" w:cs="宋体"/>
          <w:sz w:val="24"/>
        </w:rPr>
      </w:pPr>
      <w:r>
        <w:rPr>
          <w:rFonts w:hint="eastAsia" w:ascii="宋体" w:hAnsi="宋体" w:eastAsia="宋体" w:cs="宋体"/>
          <w:sz w:val="24"/>
        </w:rPr>
        <w:t>                                          谈判供应商 (盖单位章)：</w:t>
      </w:r>
    </w:p>
    <w:p w14:paraId="2C509AC8">
      <w:pPr>
        <w:pStyle w:val="10"/>
        <w:adjustRightInd w:val="0"/>
        <w:snapToGrid w:val="0"/>
        <w:spacing w:before="120" w:after="120" w:line="360" w:lineRule="auto"/>
        <w:rPr>
          <w:rFonts w:hAnsi="宋体" w:eastAsia="宋体" w:cs="宋体"/>
          <w:sz w:val="24"/>
          <w:szCs w:val="24"/>
        </w:rPr>
      </w:pPr>
      <w:r>
        <w:rPr>
          <w:rFonts w:hint="eastAsia" w:hAnsi="宋体" w:eastAsia="宋体" w:cs="宋体"/>
          <w:sz w:val="24"/>
          <w:szCs w:val="24"/>
        </w:rPr>
        <w:t xml:space="preserve">                                                      日　期：</w:t>
      </w:r>
    </w:p>
    <w:p w14:paraId="349E740B">
      <w:pPr>
        <w:snapToGrid w:val="0"/>
        <w:spacing w:before="50" w:after="50"/>
        <w:jc w:val="center"/>
        <w:rPr>
          <w:rFonts w:ascii="宋体" w:hAnsi="宋体"/>
          <w:sz w:val="24"/>
        </w:rPr>
      </w:pPr>
    </w:p>
    <w:p w14:paraId="672A98ED">
      <w:pPr>
        <w:snapToGrid w:val="0"/>
        <w:spacing w:beforeLines="50"/>
        <w:rPr>
          <w:rFonts w:ascii="宋体" w:hAnsi="宋体" w:eastAsia="宋体" w:cs="宋体"/>
          <w:sz w:val="21"/>
          <w:szCs w:val="21"/>
        </w:rPr>
      </w:pPr>
    </w:p>
    <w:p w14:paraId="3103526B">
      <w:pPr>
        <w:snapToGrid w:val="0"/>
        <w:spacing w:before="50" w:after="50"/>
        <w:rPr>
          <w:rFonts w:ascii="宋体" w:hAnsi="宋体" w:eastAsia="宋体" w:cs="宋体"/>
          <w:b/>
          <w:sz w:val="21"/>
          <w:szCs w:val="21"/>
        </w:rPr>
      </w:pPr>
    </w:p>
    <w:p w14:paraId="05FA6320">
      <w:pPr>
        <w:pStyle w:val="8"/>
        <w:ind w:firstLine="211"/>
        <w:rPr>
          <w:rFonts w:ascii="宋体" w:hAnsi="宋体" w:eastAsia="宋体" w:cs="宋体"/>
          <w:b/>
          <w:szCs w:val="21"/>
        </w:rPr>
      </w:pPr>
    </w:p>
    <w:p w14:paraId="4E92B9E7">
      <w:pPr>
        <w:pStyle w:val="9"/>
        <w:rPr>
          <w:rFonts w:ascii="宋体" w:hAnsi="宋体" w:eastAsia="宋体" w:cs="宋体"/>
          <w:b/>
          <w:sz w:val="21"/>
          <w:szCs w:val="21"/>
        </w:rPr>
      </w:pPr>
    </w:p>
    <w:p w14:paraId="3EC1F99B">
      <w:pPr>
        <w:widowControl/>
        <w:jc w:val="left"/>
        <w:rPr>
          <w:rFonts w:ascii="宋体" w:hAnsi="宋体" w:eastAsia="宋体" w:cs="宋体"/>
          <w:b/>
          <w:sz w:val="24"/>
        </w:rPr>
      </w:pPr>
      <w:r>
        <w:rPr>
          <w:rFonts w:ascii="宋体" w:hAnsi="宋体" w:eastAsia="宋体" w:cs="宋体"/>
          <w:b/>
          <w:sz w:val="24"/>
        </w:rPr>
        <w:br w:type="page"/>
      </w:r>
    </w:p>
    <w:p w14:paraId="474FC725">
      <w:pPr>
        <w:spacing w:line="360" w:lineRule="auto"/>
        <w:rPr>
          <w:rFonts w:ascii="宋体" w:hAnsi="宋体" w:eastAsia="宋体" w:cs="宋体"/>
          <w:b/>
          <w:sz w:val="24"/>
        </w:rPr>
      </w:pPr>
      <w:r>
        <w:rPr>
          <w:rFonts w:hint="eastAsia" w:ascii="宋体" w:hAnsi="宋体" w:eastAsia="宋体" w:cs="宋体"/>
          <w:b/>
          <w:sz w:val="24"/>
        </w:rPr>
        <w:t>附件十四附录：</w:t>
      </w:r>
    </w:p>
    <w:p w14:paraId="3784D052">
      <w:pPr>
        <w:spacing w:line="360" w:lineRule="auto"/>
        <w:jc w:val="center"/>
        <w:rPr>
          <w:rFonts w:ascii="宋体" w:hAnsi="宋体" w:cs="仿宋_GB2312"/>
          <w:b/>
          <w:bCs/>
          <w:kern w:val="0"/>
          <w:sz w:val="30"/>
          <w:szCs w:val="30"/>
          <w:lang w:val="zh-CN"/>
        </w:rPr>
      </w:pPr>
      <w:r>
        <w:rPr>
          <w:rFonts w:hint="eastAsia" w:ascii="宋体" w:hAnsi="宋体"/>
          <w:b/>
          <w:sz w:val="30"/>
          <w:szCs w:val="30"/>
          <w:lang w:val="zh-CN"/>
        </w:rPr>
        <w:t>工程量清单</w:t>
      </w:r>
      <w:r>
        <w:rPr>
          <w:rFonts w:hint="eastAsia" w:ascii="宋体" w:hAnsi="宋体" w:eastAsia="宋体"/>
          <w:b/>
          <w:sz w:val="32"/>
          <w:szCs w:val="32"/>
        </w:rPr>
        <w:t>（见附件）</w:t>
      </w:r>
    </w:p>
    <w:p w14:paraId="5E32B41A">
      <w:pPr>
        <w:spacing w:line="360" w:lineRule="auto"/>
        <w:ind w:left="-2" w:hanging="2"/>
        <w:jc w:val="center"/>
        <w:rPr>
          <w:rFonts w:hAnsi="宋体"/>
          <w:sz w:val="24"/>
        </w:rPr>
      </w:pPr>
    </w:p>
    <w:p w14:paraId="1EA332E9">
      <w:pPr>
        <w:spacing w:line="450" w:lineRule="atLeast"/>
        <w:jc w:val="center"/>
        <w:rPr>
          <w:rFonts w:ascii="宋体" w:hAnsi="宋体" w:eastAsia="宋体" w:cs="宋体"/>
          <w:b/>
          <w:sz w:val="28"/>
          <w:szCs w:val="28"/>
        </w:rPr>
      </w:pPr>
      <w:r>
        <w:rPr>
          <w:rFonts w:hint="eastAsia" w:ascii="宋体" w:hAnsi="宋体" w:eastAsia="宋体" w:cs="宋体"/>
          <w:b/>
          <w:sz w:val="28"/>
          <w:szCs w:val="28"/>
        </w:rPr>
        <w:t xml:space="preserve">已标价工程量清单报价表格式 </w:t>
      </w:r>
    </w:p>
    <w:p w14:paraId="5DD8A404"/>
    <w:p w14:paraId="35B9CF65">
      <w:pPr>
        <w:spacing w:line="450" w:lineRule="atLeast"/>
        <w:jc w:val="center"/>
        <w:rPr>
          <w:rFonts w:ascii="宋体" w:hAnsi="宋体" w:eastAsia="宋体"/>
          <w:kern w:val="0"/>
          <w:sz w:val="21"/>
        </w:rPr>
      </w:pPr>
      <w:r>
        <w:rPr>
          <w:rFonts w:hint="eastAsia" w:ascii="宋体" w:hAnsi="宋体"/>
          <w:b/>
          <w:sz w:val="24"/>
          <w:szCs w:val="20"/>
        </w:rPr>
        <w:t>格式详见公告附件</w:t>
      </w:r>
    </w:p>
    <w:p w14:paraId="0FF6D628"/>
    <w:p w14:paraId="74A901BA">
      <w:pPr>
        <w:pStyle w:val="28"/>
        <w:ind w:firstLine="422" w:firstLineChars="200"/>
        <w:rPr>
          <w:rFonts w:hint="default"/>
        </w:rPr>
        <w:sectPr>
          <w:headerReference r:id="rId10" w:type="default"/>
          <w:footerReference r:id="rId11" w:type="default"/>
          <w:pgSz w:w="11906" w:h="16838"/>
          <w:pgMar w:top="1247" w:right="1247" w:bottom="1247" w:left="1247" w:header="851" w:footer="992" w:gutter="0"/>
          <w:cols w:space="425" w:num="1"/>
          <w:docGrid w:type="lines" w:linePitch="312" w:charSpace="0"/>
        </w:sectPr>
      </w:pPr>
      <w:r>
        <w:rPr>
          <w:rFonts w:cs="宋体"/>
          <w:b/>
          <w:color w:val="auto"/>
          <w:sz w:val="21"/>
          <w:szCs w:val="21"/>
        </w:rPr>
        <w:t>中标供应商成交后需提供最终报价明细表的EXCEL（或套价软件版）文件及纸质报价明细表</w:t>
      </w:r>
      <w:r>
        <w:rPr>
          <w:rFonts w:cs="宋体"/>
          <w:b/>
          <w:color w:val="auto"/>
          <w:sz w:val="21"/>
          <w:szCs w:val="21"/>
          <w:lang w:val="zh-CN"/>
        </w:rPr>
        <w:t>。</w:t>
      </w:r>
    </w:p>
    <w:p w14:paraId="11F42B25">
      <w:pPr>
        <w:rPr>
          <w:rFonts w:ascii="宋体" w:hAnsi="宋体" w:eastAsia="宋体" w:cs="宋体"/>
          <w:b/>
          <w:sz w:val="24"/>
          <w:lang w:val="zh-CN"/>
        </w:rPr>
      </w:pPr>
      <w:r>
        <w:rPr>
          <w:rFonts w:hint="eastAsia" w:ascii="宋体" w:hAnsi="宋体" w:eastAsia="宋体" w:cs="宋体"/>
          <w:b/>
          <w:sz w:val="24"/>
        </w:rPr>
        <w:t>附件十五：</w:t>
      </w:r>
    </w:p>
    <w:p w14:paraId="3DE066C1">
      <w:pPr>
        <w:snapToGrid w:val="0"/>
        <w:spacing w:before="50" w:after="50"/>
        <w:jc w:val="center"/>
        <w:rPr>
          <w:rFonts w:ascii="宋体" w:hAnsi="宋体" w:eastAsia="宋体" w:cs="宋体"/>
          <w:b/>
          <w:sz w:val="24"/>
        </w:rPr>
      </w:pPr>
    </w:p>
    <w:p w14:paraId="6E218F5B">
      <w:pPr>
        <w:snapToGrid w:val="0"/>
        <w:spacing w:before="50" w:after="50"/>
        <w:jc w:val="center"/>
        <w:rPr>
          <w:rFonts w:ascii="宋体" w:hAnsi="宋体" w:eastAsia="宋体" w:cs="宋体"/>
          <w:b/>
          <w:sz w:val="24"/>
        </w:rPr>
      </w:pPr>
      <w:r>
        <w:rPr>
          <w:rFonts w:hint="eastAsia" w:ascii="宋体" w:hAnsi="宋体" w:eastAsia="宋体" w:cs="宋体"/>
          <w:b/>
          <w:sz w:val="24"/>
        </w:rPr>
        <w:t>谈判报价一览表</w:t>
      </w:r>
      <w:r>
        <w:rPr>
          <w:rFonts w:hint="eastAsia" w:ascii="宋体" w:hAnsi="宋体" w:eastAsia="宋体" w:cs="宋体"/>
          <w:b/>
          <w:bCs/>
          <w:sz w:val="24"/>
        </w:rPr>
        <w:t>（最终报价）</w:t>
      </w:r>
    </w:p>
    <w:p w14:paraId="67F68FED">
      <w:pPr>
        <w:snapToGrid w:val="0"/>
        <w:spacing w:before="50" w:after="50" w:line="360" w:lineRule="auto"/>
        <w:ind w:right="-1058" w:rightChars="-294"/>
        <w:jc w:val="left"/>
        <w:rPr>
          <w:rFonts w:ascii="宋体" w:hAnsi="宋体" w:eastAsia="宋体" w:cs="宋体"/>
          <w:sz w:val="24"/>
        </w:rPr>
      </w:pPr>
    </w:p>
    <w:p w14:paraId="5E74AC24">
      <w:pPr>
        <w:snapToGrid w:val="0"/>
        <w:spacing w:before="50" w:after="50" w:line="360" w:lineRule="auto"/>
        <w:ind w:right="-1058" w:rightChars="-294"/>
        <w:jc w:val="left"/>
        <w:rPr>
          <w:rFonts w:hint="eastAsia" w:ascii="宋体" w:hAnsi="宋体" w:eastAsia="宋体" w:cs="宋体"/>
          <w:sz w:val="24"/>
          <w:lang w:eastAsia="zh-CN"/>
        </w:rPr>
      </w:pPr>
      <w:r>
        <w:rPr>
          <w:rFonts w:hint="eastAsia" w:ascii="宋体" w:hAnsi="宋体" w:eastAsia="宋体" w:cs="宋体"/>
          <w:sz w:val="24"/>
        </w:rPr>
        <w:t>项目编号：</w:t>
      </w:r>
      <w:r>
        <w:rPr>
          <w:rFonts w:hint="eastAsia" w:ascii="宋体" w:hAnsi="宋体" w:eastAsia="宋体" w:cs="宋体"/>
          <w:sz w:val="24"/>
          <w:lang w:eastAsia="zh-CN"/>
        </w:rPr>
        <w:t>TYXJ-202501</w:t>
      </w:r>
    </w:p>
    <w:p w14:paraId="32A8FE1D">
      <w:pPr>
        <w:snapToGrid w:val="0"/>
        <w:spacing w:before="50" w:after="50" w:line="360" w:lineRule="auto"/>
        <w:ind w:right="-1058" w:rightChars="-294"/>
        <w:jc w:val="left"/>
        <w:rPr>
          <w:rFonts w:hint="eastAsia" w:ascii="宋体" w:hAnsi="宋体" w:eastAsia="宋体" w:cs="宋体"/>
          <w:sz w:val="24"/>
          <w:lang w:eastAsia="zh-CN"/>
        </w:rPr>
      </w:pPr>
      <w:r>
        <w:rPr>
          <w:rFonts w:hint="eastAsia" w:ascii="宋体" w:hAnsi="宋体" w:eastAsia="宋体" w:cs="宋体"/>
          <w:sz w:val="24"/>
        </w:rPr>
        <w:t>项目名称：</w:t>
      </w:r>
      <w:r>
        <w:rPr>
          <w:rFonts w:hint="eastAsia" w:ascii="宋体" w:hAnsi="宋体" w:eastAsia="宋体" w:cs="宋体"/>
          <w:sz w:val="24"/>
          <w:lang w:eastAsia="zh-CN"/>
        </w:rPr>
        <w:t>白塔镇景园村关金生态停车场建设项目</w:t>
      </w:r>
    </w:p>
    <w:tbl>
      <w:tblPr>
        <w:tblStyle w:val="21"/>
        <w:tblW w:w="927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2883"/>
        <w:gridCol w:w="1443"/>
        <w:gridCol w:w="4953"/>
      </w:tblGrid>
      <w:tr w14:paraId="7F7DCA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523" w:hRule="atLeast"/>
          <w:jc w:val="center"/>
        </w:trPr>
        <w:tc>
          <w:tcPr>
            <w:tcW w:w="2883" w:type="dxa"/>
            <w:vMerge w:val="restart"/>
            <w:vAlign w:val="center"/>
          </w:tcPr>
          <w:p w14:paraId="5AFA81FD">
            <w:pPr>
              <w:autoSpaceDE w:val="0"/>
              <w:autoSpaceDN w:val="0"/>
              <w:spacing w:line="450" w:lineRule="exact"/>
              <w:jc w:val="center"/>
              <w:textAlignment w:val="bottom"/>
              <w:rPr>
                <w:rFonts w:ascii="宋体" w:hAnsi="宋体"/>
                <w:sz w:val="24"/>
              </w:rPr>
            </w:pPr>
            <w:r>
              <w:rPr>
                <w:rFonts w:hint="eastAsia" w:ascii="宋体" w:hAnsi="宋体" w:eastAsia="宋体"/>
                <w:sz w:val="24"/>
              </w:rPr>
              <w:t>谈判</w:t>
            </w:r>
            <w:r>
              <w:rPr>
                <w:rFonts w:hint="eastAsia" w:ascii="宋体" w:hAnsi="宋体"/>
                <w:sz w:val="24"/>
              </w:rPr>
              <w:t>总报价(元)</w:t>
            </w:r>
          </w:p>
        </w:tc>
        <w:tc>
          <w:tcPr>
            <w:tcW w:w="1443" w:type="dxa"/>
            <w:vAlign w:val="center"/>
          </w:tcPr>
          <w:p w14:paraId="4849AFC9">
            <w:pPr>
              <w:autoSpaceDE w:val="0"/>
              <w:autoSpaceDN w:val="0"/>
              <w:spacing w:line="450" w:lineRule="exact"/>
              <w:jc w:val="center"/>
              <w:textAlignment w:val="bottom"/>
              <w:rPr>
                <w:rFonts w:ascii="宋体" w:hAnsi="宋体"/>
                <w:sz w:val="24"/>
              </w:rPr>
            </w:pPr>
            <w:r>
              <w:rPr>
                <w:rFonts w:hint="eastAsia" w:ascii="宋体" w:hAnsi="宋体"/>
                <w:sz w:val="24"/>
              </w:rPr>
              <w:t>大写</w:t>
            </w:r>
          </w:p>
        </w:tc>
        <w:tc>
          <w:tcPr>
            <w:tcW w:w="4953" w:type="dxa"/>
            <w:vAlign w:val="center"/>
          </w:tcPr>
          <w:p w14:paraId="5D0323F2">
            <w:pPr>
              <w:autoSpaceDE w:val="0"/>
              <w:autoSpaceDN w:val="0"/>
              <w:spacing w:line="450" w:lineRule="exact"/>
              <w:ind w:firstLine="240" w:firstLineChars="100"/>
              <w:textAlignment w:val="bottom"/>
              <w:rPr>
                <w:rFonts w:ascii="宋体" w:hAnsi="宋体" w:eastAsia="宋体"/>
                <w:sz w:val="24"/>
              </w:rPr>
            </w:pPr>
            <w:r>
              <w:rPr>
                <w:rFonts w:hint="eastAsia" w:ascii="宋体" w:hAnsi="宋体"/>
                <w:sz w:val="24"/>
              </w:rPr>
              <w:t>人民币：</w:t>
            </w:r>
            <w:r>
              <w:rPr>
                <w:rFonts w:hint="eastAsia" w:ascii="宋体" w:hAnsi="宋体"/>
                <w:sz w:val="24"/>
                <w:u w:val="single"/>
              </w:rPr>
              <w:t xml:space="preserve">                   </w:t>
            </w:r>
          </w:p>
        </w:tc>
      </w:tr>
      <w:tr w14:paraId="3C34A2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604" w:hRule="atLeast"/>
          <w:jc w:val="center"/>
        </w:trPr>
        <w:tc>
          <w:tcPr>
            <w:tcW w:w="2883" w:type="dxa"/>
            <w:vMerge w:val="continue"/>
            <w:vAlign w:val="center"/>
          </w:tcPr>
          <w:p w14:paraId="557C7A2E">
            <w:pPr>
              <w:rPr>
                <w:rFonts w:ascii="宋体" w:hAnsi="宋体"/>
                <w:sz w:val="24"/>
              </w:rPr>
            </w:pPr>
          </w:p>
        </w:tc>
        <w:tc>
          <w:tcPr>
            <w:tcW w:w="1443" w:type="dxa"/>
            <w:vAlign w:val="center"/>
          </w:tcPr>
          <w:p w14:paraId="6DE5187D">
            <w:pPr>
              <w:autoSpaceDE w:val="0"/>
              <w:autoSpaceDN w:val="0"/>
              <w:spacing w:line="450" w:lineRule="exact"/>
              <w:jc w:val="center"/>
              <w:textAlignment w:val="bottom"/>
              <w:rPr>
                <w:rFonts w:ascii="宋体" w:hAnsi="宋体"/>
                <w:sz w:val="24"/>
              </w:rPr>
            </w:pPr>
            <w:r>
              <w:rPr>
                <w:rFonts w:hint="eastAsia" w:ascii="宋体" w:hAnsi="宋体"/>
                <w:sz w:val="24"/>
              </w:rPr>
              <w:t>小写</w:t>
            </w:r>
          </w:p>
        </w:tc>
        <w:tc>
          <w:tcPr>
            <w:tcW w:w="4953" w:type="dxa"/>
            <w:vAlign w:val="center"/>
          </w:tcPr>
          <w:p w14:paraId="53B20E5C">
            <w:pPr>
              <w:autoSpaceDE w:val="0"/>
              <w:autoSpaceDN w:val="0"/>
              <w:spacing w:line="450" w:lineRule="exact"/>
              <w:ind w:firstLine="240" w:firstLineChars="100"/>
              <w:textAlignment w:val="bottom"/>
              <w:rPr>
                <w:rFonts w:ascii="宋体" w:hAnsi="宋体" w:eastAsia="宋体"/>
                <w:sz w:val="24"/>
              </w:rPr>
            </w:pPr>
            <w:r>
              <w:rPr>
                <w:rFonts w:hint="eastAsia" w:ascii="宋体" w:hAnsi="宋体"/>
                <w:sz w:val="24"/>
              </w:rPr>
              <w:t>¥：</w:t>
            </w:r>
            <w:r>
              <w:rPr>
                <w:rFonts w:hint="eastAsia" w:ascii="宋体" w:hAnsi="宋体"/>
                <w:sz w:val="24"/>
                <w:u w:val="single"/>
              </w:rPr>
              <w:t xml:space="preserve">                        </w:t>
            </w:r>
          </w:p>
        </w:tc>
      </w:tr>
    </w:tbl>
    <w:p w14:paraId="2ABB7981">
      <w:pPr>
        <w:snapToGrid w:val="0"/>
        <w:spacing w:before="50" w:after="50" w:line="360" w:lineRule="auto"/>
        <w:jc w:val="left"/>
        <w:rPr>
          <w:rFonts w:ascii="宋体" w:hAnsi="宋体" w:eastAsia="宋体" w:cs="宋体"/>
          <w:sz w:val="21"/>
          <w:szCs w:val="21"/>
        </w:rPr>
      </w:pPr>
      <w:r>
        <w:rPr>
          <w:rFonts w:hint="eastAsia" w:ascii="宋体" w:hAnsi="宋体" w:eastAsia="宋体" w:cs="宋体"/>
          <w:b/>
          <w:sz w:val="24"/>
        </w:rPr>
        <w:t>注:</w:t>
      </w:r>
      <w:r>
        <w:rPr>
          <w:rFonts w:hint="eastAsia" w:ascii="宋体" w:hAnsi="宋体" w:eastAsia="宋体" w:cs="宋体"/>
          <w:b/>
          <w:sz w:val="21"/>
          <w:szCs w:val="21"/>
        </w:rPr>
        <w:t xml:space="preserve"> </w:t>
      </w:r>
      <w:r>
        <w:rPr>
          <w:rFonts w:hint="eastAsia" w:ascii="宋体" w:hAnsi="宋体" w:eastAsia="宋体" w:cs="宋体"/>
          <w:sz w:val="21"/>
          <w:szCs w:val="21"/>
        </w:rPr>
        <w:t>1、谈判总报价包括包括项目实施所需的人工费、材料费、机械费、设备的进退场费用、二次搬运费、冬雨季施工增加费、行车、行人干扰增加费、检测费、保险费、管理费、利润及各种规费、税费、安全文明施工费、采购代理服务费等完成合同所需的一切本身和不可或缺的所有工作开支、政策性文件规定及合同包含的所有风险等各项全部费用，并承担一切风险责任。</w:t>
      </w:r>
    </w:p>
    <w:p w14:paraId="2284BC73">
      <w:pPr>
        <w:snapToGrid w:val="0"/>
        <w:spacing w:before="50" w:after="50" w:line="360" w:lineRule="auto"/>
        <w:ind w:firstLine="420" w:firstLineChars="200"/>
        <w:jc w:val="left"/>
        <w:rPr>
          <w:rFonts w:ascii="宋体" w:hAnsi="宋体" w:eastAsia="宋体" w:cs="宋体"/>
          <w:sz w:val="21"/>
          <w:szCs w:val="21"/>
        </w:rPr>
      </w:pPr>
      <w:r>
        <w:rPr>
          <w:rFonts w:hint="eastAsia" w:ascii="宋体" w:hAnsi="宋体" w:eastAsia="宋体" w:cs="宋体"/>
          <w:sz w:val="21"/>
          <w:szCs w:val="21"/>
        </w:rPr>
        <w:t>2、报价一经涂改，应在涂改处加盖单位公章，或者由法定代表人或全权代表签字或盖章，否则其谈判无效。</w:t>
      </w:r>
    </w:p>
    <w:p w14:paraId="29DF7BFB">
      <w:pPr>
        <w:snapToGrid w:val="0"/>
        <w:spacing w:before="50" w:after="50" w:line="360" w:lineRule="auto"/>
        <w:ind w:firstLine="420" w:firstLineChars="200"/>
        <w:jc w:val="left"/>
        <w:rPr>
          <w:rFonts w:ascii="宋体" w:hAnsi="宋体" w:eastAsia="宋体" w:cs="宋体"/>
          <w:sz w:val="21"/>
          <w:szCs w:val="21"/>
        </w:rPr>
      </w:pPr>
      <w:r>
        <w:rPr>
          <w:rFonts w:hint="eastAsia" w:ascii="宋体" w:hAnsi="宋体" w:eastAsia="宋体" w:cs="宋体"/>
          <w:sz w:val="21"/>
          <w:szCs w:val="21"/>
        </w:rPr>
        <w:t>3、总报价以元为单位保留整数，小数点后第一位四舍五入。</w:t>
      </w:r>
    </w:p>
    <w:p w14:paraId="58A7E2C1">
      <w:pPr>
        <w:snapToGrid w:val="0"/>
        <w:spacing w:before="50" w:after="50"/>
        <w:ind w:right="-1400" w:rightChars="-389"/>
        <w:rPr>
          <w:rFonts w:ascii="宋体" w:hAnsi="宋体" w:eastAsia="宋体" w:cs="宋体"/>
          <w:sz w:val="24"/>
        </w:rPr>
      </w:pPr>
    </w:p>
    <w:p w14:paraId="16B4375F">
      <w:pPr>
        <w:snapToGrid w:val="0"/>
        <w:spacing w:before="50" w:after="50"/>
        <w:ind w:left="-111" w:leftChars="-72" w:right="-1400" w:rightChars="-389" w:hanging="148" w:hangingChars="62"/>
        <w:rPr>
          <w:rFonts w:ascii="宋体" w:hAnsi="宋体" w:eastAsia="宋体" w:cs="宋体"/>
          <w:sz w:val="24"/>
        </w:rPr>
      </w:pPr>
    </w:p>
    <w:p w14:paraId="64DCF75E">
      <w:pPr>
        <w:pStyle w:val="10"/>
        <w:jc w:val="center"/>
        <w:rPr>
          <w:rFonts w:hAnsi="宋体" w:eastAsia="宋体" w:cs="宋体"/>
          <w:sz w:val="24"/>
          <w:szCs w:val="24"/>
        </w:rPr>
      </w:pPr>
    </w:p>
    <w:p w14:paraId="0FF22D38">
      <w:pPr>
        <w:spacing w:line="360" w:lineRule="auto"/>
        <w:jc w:val="left"/>
        <w:rPr>
          <w:rFonts w:ascii="宋体" w:hAnsi="宋体" w:eastAsia="宋体" w:cs="宋体"/>
          <w:sz w:val="24"/>
        </w:rPr>
      </w:pPr>
      <w:r>
        <w:rPr>
          <w:rFonts w:hint="eastAsia" w:ascii="宋体" w:hAnsi="宋体" w:eastAsia="宋体" w:cs="宋体"/>
          <w:sz w:val="24"/>
        </w:rPr>
        <w:t>                                          谈判供应商 (盖单位章)：</w:t>
      </w:r>
    </w:p>
    <w:p w14:paraId="4B4D839F">
      <w:pPr>
        <w:pStyle w:val="10"/>
        <w:adjustRightInd w:val="0"/>
        <w:snapToGrid w:val="0"/>
        <w:spacing w:before="120" w:after="120" w:line="360" w:lineRule="auto"/>
        <w:rPr>
          <w:rFonts w:hAnsi="宋体" w:eastAsia="宋体" w:cs="宋体"/>
          <w:sz w:val="24"/>
          <w:szCs w:val="24"/>
        </w:rPr>
      </w:pPr>
      <w:r>
        <w:rPr>
          <w:rFonts w:hint="eastAsia" w:hAnsi="宋体" w:eastAsia="宋体" w:cs="宋体"/>
          <w:sz w:val="24"/>
          <w:szCs w:val="24"/>
        </w:rPr>
        <w:t xml:space="preserve">                                                      日　期：</w:t>
      </w:r>
    </w:p>
    <w:p w14:paraId="1950424E">
      <w:pPr>
        <w:pStyle w:val="6"/>
        <w:ind w:firstLine="0"/>
        <w:jc w:val="left"/>
        <w:rPr>
          <w:rFonts w:ascii="宋体" w:hAnsi="宋体" w:eastAsia="宋体" w:cs="宋体"/>
          <w:b/>
          <w:sz w:val="24"/>
          <w:szCs w:val="24"/>
        </w:rPr>
      </w:pPr>
    </w:p>
    <w:p w14:paraId="3C915FAA">
      <w:pPr>
        <w:pStyle w:val="6"/>
        <w:ind w:firstLine="0"/>
        <w:jc w:val="left"/>
        <w:rPr>
          <w:rFonts w:ascii="宋体" w:hAnsi="宋体" w:eastAsia="宋体" w:cs="宋体"/>
          <w:b/>
          <w:sz w:val="24"/>
          <w:szCs w:val="24"/>
        </w:rPr>
      </w:pPr>
    </w:p>
    <w:p w14:paraId="7325DF12">
      <w:pPr>
        <w:pStyle w:val="6"/>
        <w:ind w:firstLine="0"/>
        <w:jc w:val="left"/>
        <w:rPr>
          <w:rFonts w:ascii="宋体" w:hAnsi="宋体" w:eastAsia="宋体" w:cs="宋体"/>
          <w:b/>
          <w:sz w:val="24"/>
          <w:szCs w:val="24"/>
        </w:rPr>
      </w:pPr>
      <w:r>
        <w:rPr>
          <w:rFonts w:hint="eastAsia" w:ascii="宋体" w:hAnsi="宋体" w:eastAsia="宋体" w:cs="宋体"/>
          <w:b/>
          <w:sz w:val="24"/>
          <w:szCs w:val="24"/>
        </w:rPr>
        <w:t>注：本表在最终报价时提供。</w:t>
      </w:r>
    </w:p>
    <w:p w14:paraId="7D76C097">
      <w:pPr>
        <w:widowControl/>
        <w:jc w:val="left"/>
        <w:rPr>
          <w:rFonts w:ascii="宋体" w:hAnsi="宋体" w:eastAsia="宋体" w:cs="宋体"/>
          <w:b/>
          <w:sz w:val="24"/>
        </w:rPr>
      </w:pPr>
      <w:r>
        <w:rPr>
          <w:rFonts w:ascii="宋体" w:hAnsi="宋体" w:eastAsia="宋体" w:cs="宋体"/>
          <w:b/>
          <w:sz w:val="24"/>
        </w:rPr>
        <w:br w:type="page"/>
      </w:r>
    </w:p>
    <w:p w14:paraId="6B78C796">
      <w:pPr>
        <w:spacing w:line="360" w:lineRule="auto"/>
        <w:rPr>
          <w:rFonts w:ascii="宋体" w:hAnsi="宋体" w:eastAsia="宋体" w:cs="宋体"/>
          <w:b/>
          <w:sz w:val="24"/>
        </w:rPr>
      </w:pPr>
      <w:r>
        <w:rPr>
          <w:rFonts w:hint="eastAsia" w:ascii="宋体" w:hAnsi="宋体" w:eastAsia="宋体" w:cs="宋体"/>
          <w:b/>
          <w:sz w:val="24"/>
        </w:rPr>
        <w:t>附件十五附录：</w:t>
      </w:r>
    </w:p>
    <w:p w14:paraId="6F1DA910">
      <w:pPr>
        <w:spacing w:line="360" w:lineRule="auto"/>
        <w:jc w:val="center"/>
        <w:rPr>
          <w:rFonts w:ascii="宋体" w:hAnsi="宋体" w:cs="仿宋_GB2312"/>
          <w:b/>
          <w:bCs/>
          <w:kern w:val="0"/>
          <w:sz w:val="30"/>
          <w:szCs w:val="30"/>
          <w:lang w:val="zh-CN"/>
        </w:rPr>
      </w:pPr>
      <w:r>
        <w:rPr>
          <w:rFonts w:hint="eastAsia" w:ascii="宋体" w:hAnsi="宋体"/>
          <w:b/>
          <w:sz w:val="30"/>
          <w:szCs w:val="30"/>
          <w:lang w:val="zh-CN"/>
        </w:rPr>
        <w:t>工程量清单</w:t>
      </w:r>
      <w:r>
        <w:rPr>
          <w:rFonts w:hint="eastAsia" w:ascii="宋体" w:hAnsi="宋体" w:eastAsia="宋体"/>
          <w:b/>
          <w:sz w:val="32"/>
          <w:szCs w:val="32"/>
        </w:rPr>
        <w:t>（见附件）</w:t>
      </w:r>
    </w:p>
    <w:p w14:paraId="79E3266F">
      <w:pPr>
        <w:spacing w:line="360" w:lineRule="auto"/>
        <w:ind w:left="-2" w:hanging="2"/>
        <w:jc w:val="center"/>
        <w:rPr>
          <w:rFonts w:hAnsi="宋体"/>
          <w:sz w:val="24"/>
        </w:rPr>
      </w:pPr>
    </w:p>
    <w:p w14:paraId="206F7D95">
      <w:pPr>
        <w:spacing w:line="450" w:lineRule="atLeast"/>
        <w:jc w:val="center"/>
        <w:rPr>
          <w:rFonts w:ascii="宋体" w:hAnsi="宋体" w:eastAsia="宋体" w:cs="宋体"/>
          <w:b/>
          <w:sz w:val="28"/>
          <w:szCs w:val="28"/>
        </w:rPr>
      </w:pPr>
      <w:r>
        <w:rPr>
          <w:rFonts w:hint="eastAsia" w:ascii="宋体" w:hAnsi="宋体" w:eastAsia="宋体" w:cs="宋体"/>
          <w:b/>
          <w:sz w:val="28"/>
          <w:szCs w:val="28"/>
        </w:rPr>
        <w:t xml:space="preserve">已标价工程量清单报价表格式 </w:t>
      </w:r>
    </w:p>
    <w:p w14:paraId="771DD591"/>
    <w:p w14:paraId="6A6568D2">
      <w:pPr>
        <w:spacing w:line="450" w:lineRule="atLeast"/>
        <w:jc w:val="center"/>
        <w:rPr>
          <w:rFonts w:ascii="宋体" w:hAnsi="宋体" w:eastAsia="宋体"/>
          <w:kern w:val="0"/>
          <w:sz w:val="21"/>
        </w:rPr>
      </w:pPr>
      <w:r>
        <w:rPr>
          <w:rFonts w:hint="eastAsia" w:ascii="宋体" w:hAnsi="宋体"/>
          <w:b/>
          <w:sz w:val="24"/>
          <w:szCs w:val="20"/>
        </w:rPr>
        <w:t>格式详见公告附件</w:t>
      </w:r>
    </w:p>
    <w:p w14:paraId="0A2C6E96"/>
    <w:p w14:paraId="20FA3D3D">
      <w:pPr>
        <w:pStyle w:val="6"/>
        <w:ind w:firstLine="0"/>
        <w:jc w:val="left"/>
        <w:rPr>
          <w:rFonts w:cs="宋体" w:eastAsiaTheme="minorEastAsia"/>
          <w:b/>
          <w:szCs w:val="21"/>
          <w:lang w:val="zh-CN"/>
        </w:rPr>
      </w:pPr>
      <w:r>
        <w:rPr>
          <w:rFonts w:cs="宋体"/>
          <w:b/>
          <w:szCs w:val="21"/>
        </w:rPr>
        <w:t>中标供应商成交后需提供最终报价明细表的EXCEL（或套价软件版）文件及纸质报价明细表</w:t>
      </w:r>
      <w:r>
        <w:rPr>
          <w:rFonts w:cs="宋体"/>
          <w:b/>
          <w:szCs w:val="21"/>
          <w:lang w:val="zh-CN"/>
        </w:rPr>
        <w:t>。</w:t>
      </w:r>
    </w:p>
    <w:p w14:paraId="769765E2">
      <w:pPr>
        <w:pStyle w:val="6"/>
        <w:ind w:firstLine="0"/>
        <w:jc w:val="left"/>
        <w:rPr>
          <w:rFonts w:cs="宋体" w:eastAsiaTheme="minorEastAsia"/>
          <w:b/>
          <w:szCs w:val="21"/>
          <w:lang w:val="zh-CN"/>
        </w:rPr>
      </w:pPr>
    </w:p>
    <w:p w14:paraId="62B3B42B">
      <w:pPr>
        <w:pStyle w:val="6"/>
        <w:ind w:firstLine="0"/>
        <w:jc w:val="left"/>
        <w:rPr>
          <w:rFonts w:cs="宋体" w:eastAsiaTheme="minorEastAsia"/>
          <w:b/>
          <w:szCs w:val="21"/>
          <w:lang w:val="zh-CN"/>
        </w:rPr>
      </w:pPr>
    </w:p>
    <w:p w14:paraId="67A07191">
      <w:pPr>
        <w:pStyle w:val="6"/>
        <w:ind w:firstLine="0"/>
        <w:jc w:val="left"/>
        <w:rPr>
          <w:rFonts w:cs="宋体" w:eastAsiaTheme="minorEastAsia"/>
          <w:b/>
          <w:szCs w:val="21"/>
          <w:lang w:val="zh-CN"/>
        </w:rPr>
      </w:pPr>
    </w:p>
    <w:p w14:paraId="0E4EB339">
      <w:pPr>
        <w:pStyle w:val="6"/>
        <w:ind w:firstLine="0"/>
        <w:jc w:val="left"/>
        <w:rPr>
          <w:rFonts w:cs="宋体" w:eastAsiaTheme="minorEastAsia"/>
          <w:b/>
          <w:szCs w:val="21"/>
          <w:lang w:val="zh-CN"/>
        </w:rPr>
      </w:pPr>
    </w:p>
    <w:p w14:paraId="21BC87DF">
      <w:pPr>
        <w:pStyle w:val="6"/>
        <w:ind w:firstLine="0"/>
        <w:jc w:val="left"/>
        <w:rPr>
          <w:rFonts w:cs="宋体" w:eastAsiaTheme="minorEastAsia"/>
          <w:b/>
          <w:szCs w:val="21"/>
          <w:lang w:val="zh-CN"/>
        </w:rPr>
      </w:pPr>
    </w:p>
    <w:p w14:paraId="1A28B160">
      <w:pPr>
        <w:pStyle w:val="6"/>
        <w:ind w:firstLine="0"/>
        <w:jc w:val="left"/>
        <w:rPr>
          <w:rFonts w:cs="宋体" w:eastAsiaTheme="minorEastAsia"/>
          <w:b/>
          <w:szCs w:val="21"/>
          <w:lang w:val="zh-CN"/>
        </w:rPr>
      </w:pPr>
    </w:p>
    <w:p w14:paraId="78DEB632">
      <w:pPr>
        <w:pStyle w:val="6"/>
        <w:ind w:firstLine="0"/>
        <w:jc w:val="left"/>
        <w:rPr>
          <w:rFonts w:cs="宋体" w:eastAsiaTheme="minorEastAsia"/>
          <w:b/>
          <w:szCs w:val="21"/>
          <w:lang w:val="zh-CN"/>
        </w:rPr>
      </w:pPr>
    </w:p>
    <w:p w14:paraId="27D55C45">
      <w:pPr>
        <w:pStyle w:val="6"/>
        <w:ind w:firstLine="0"/>
        <w:jc w:val="left"/>
        <w:rPr>
          <w:rFonts w:ascii="宋体" w:hAnsi="宋体" w:cs="宋体" w:eastAsiaTheme="minorEastAsia"/>
          <w:b/>
          <w:sz w:val="24"/>
        </w:rPr>
      </w:pPr>
      <w:r>
        <w:rPr>
          <w:rFonts w:hint="eastAsia" w:ascii="宋体" w:hAnsi="宋体" w:eastAsia="宋体" w:cs="宋体"/>
          <w:b/>
          <w:sz w:val="24"/>
          <w:szCs w:val="24"/>
        </w:rPr>
        <w:t>注：本表在最终报价时提供。</w:t>
      </w:r>
    </w:p>
    <w:p w14:paraId="5B2462D6">
      <w:pPr>
        <w:widowControl/>
        <w:jc w:val="left"/>
        <w:rPr>
          <w:rFonts w:ascii="宋体" w:hAnsi="宋体" w:eastAsia="宋体" w:cs="宋体"/>
          <w:b/>
          <w:sz w:val="24"/>
        </w:rPr>
      </w:pPr>
      <w:r>
        <w:rPr>
          <w:rFonts w:ascii="宋体" w:hAnsi="宋体" w:eastAsia="宋体" w:cs="宋体"/>
          <w:b/>
          <w:sz w:val="24"/>
        </w:rPr>
        <w:br w:type="page"/>
      </w:r>
    </w:p>
    <w:p w14:paraId="7BA09021">
      <w:pPr>
        <w:rPr>
          <w:rFonts w:ascii="宋体" w:hAnsi="宋体" w:eastAsia="宋体" w:cs="宋体"/>
          <w:b/>
          <w:sz w:val="24"/>
        </w:rPr>
      </w:pPr>
      <w:r>
        <w:rPr>
          <w:rFonts w:hint="eastAsia" w:ascii="宋体" w:hAnsi="宋体" w:eastAsia="宋体" w:cs="宋体"/>
          <w:b/>
          <w:sz w:val="24"/>
        </w:rPr>
        <w:t>附件十六：</w:t>
      </w:r>
    </w:p>
    <w:p w14:paraId="71358EE5">
      <w:pPr>
        <w:pStyle w:val="38"/>
        <w:widowControl w:val="0"/>
        <w:snapToGrid w:val="0"/>
        <w:spacing w:line="500" w:lineRule="exact"/>
        <w:jc w:val="center"/>
        <w:rPr>
          <w:rFonts w:hAnsi="宋体" w:cs="宋体"/>
          <w:szCs w:val="21"/>
        </w:rPr>
      </w:pPr>
      <w:r>
        <w:rPr>
          <w:rFonts w:hint="eastAsia" w:hAnsi="宋体" w:cs="宋体"/>
          <w:b/>
          <w:bCs/>
          <w:szCs w:val="21"/>
        </w:rPr>
        <w:t>政府采购活动现</w:t>
      </w:r>
      <w:r>
        <w:rPr>
          <w:rFonts w:hint="eastAsia" w:hAnsi="宋体" w:cs="宋体"/>
          <w:b/>
          <w:szCs w:val="21"/>
        </w:rPr>
        <w:t>场确认声明书（被授权人）</w:t>
      </w:r>
    </w:p>
    <w:p w14:paraId="259E0DED">
      <w:pPr>
        <w:pStyle w:val="38"/>
        <w:widowControl w:val="0"/>
        <w:snapToGrid w:val="0"/>
        <w:spacing w:line="500" w:lineRule="exact"/>
        <w:jc w:val="both"/>
        <w:rPr>
          <w:rFonts w:hAnsi="宋体" w:cs="宋体"/>
          <w:b/>
          <w:szCs w:val="21"/>
        </w:rPr>
      </w:pPr>
      <w:r>
        <w:rPr>
          <w:rFonts w:hint="eastAsia" w:hAnsi="宋体" w:cs="宋体"/>
          <w:kern w:val="0"/>
          <w:szCs w:val="21"/>
          <w:u w:val="single"/>
        </w:rPr>
        <w:t xml:space="preserve"> </w:t>
      </w:r>
      <w:r>
        <w:rPr>
          <w:rFonts w:hint="eastAsia" w:hAnsi="宋体" w:cs="宋体"/>
          <w:kern w:val="0"/>
          <w:szCs w:val="21"/>
          <w:u w:val="single"/>
          <w:lang w:eastAsia="zh-CN"/>
        </w:rPr>
        <w:t>泰宇建筑工程技术咨询有限公司</w:t>
      </w:r>
      <w:r>
        <w:rPr>
          <w:rFonts w:hint="eastAsia" w:hAnsi="宋体" w:cs="宋体"/>
          <w:kern w:val="0"/>
          <w:szCs w:val="21"/>
          <w:u w:val="single"/>
        </w:rPr>
        <w:t xml:space="preserve">   </w:t>
      </w:r>
      <w:r>
        <w:rPr>
          <w:rFonts w:hint="eastAsia" w:hAnsi="宋体" w:cs="宋体"/>
          <w:kern w:val="0"/>
          <w:szCs w:val="21"/>
        </w:rPr>
        <w:t>（采购组织机构名称）：</w:t>
      </w:r>
    </w:p>
    <w:p w14:paraId="0324EEB6">
      <w:pPr>
        <w:pStyle w:val="38"/>
        <w:widowControl w:val="0"/>
        <w:snapToGrid w:val="0"/>
        <w:spacing w:line="500" w:lineRule="exact"/>
        <w:ind w:firstLine="444" w:firstLineChars="200"/>
        <w:jc w:val="both"/>
        <w:rPr>
          <w:rFonts w:hAnsi="宋体" w:cs="宋体"/>
          <w:spacing w:val="6"/>
          <w:szCs w:val="21"/>
        </w:rPr>
      </w:pPr>
      <w:r>
        <w:rPr>
          <w:rFonts w:hint="eastAsia" w:hAnsi="宋体" w:cs="宋体"/>
          <w:spacing w:val="6"/>
          <w:szCs w:val="21"/>
        </w:rPr>
        <w:t>本人经由</w:t>
      </w:r>
      <w:r>
        <w:rPr>
          <w:rFonts w:hint="eastAsia" w:hAnsi="宋体" w:cs="宋体"/>
          <w:spacing w:val="6"/>
          <w:szCs w:val="21"/>
          <w:u w:val="single"/>
        </w:rPr>
        <w:t xml:space="preserve"> </w:t>
      </w:r>
      <w:r>
        <w:rPr>
          <w:rFonts w:hint="eastAsia" w:hAnsi="宋体" w:cs="宋体"/>
          <w:kern w:val="0"/>
          <w:szCs w:val="21"/>
          <w:u w:val="single"/>
        </w:rPr>
        <w:t xml:space="preserve">                </w:t>
      </w:r>
      <w:r>
        <w:rPr>
          <w:rFonts w:hint="eastAsia" w:hAnsi="宋体" w:cs="宋体"/>
          <w:spacing w:val="6"/>
          <w:szCs w:val="21"/>
          <w:u w:val="single"/>
        </w:rPr>
        <w:t>（单位）</w:t>
      </w:r>
      <w:r>
        <w:rPr>
          <w:rFonts w:hint="eastAsia" w:hAnsi="宋体" w:cs="宋体"/>
          <w:spacing w:val="6"/>
          <w:szCs w:val="21"/>
        </w:rPr>
        <w:t>负责人</w:t>
      </w:r>
      <w:r>
        <w:rPr>
          <w:rFonts w:hint="eastAsia" w:hAnsi="宋体" w:cs="宋体"/>
          <w:spacing w:val="6"/>
          <w:szCs w:val="21"/>
          <w:u w:val="single"/>
        </w:rPr>
        <w:t xml:space="preserve">       （姓名）</w:t>
      </w:r>
      <w:r>
        <w:rPr>
          <w:rFonts w:hint="eastAsia" w:hAnsi="宋体" w:cs="宋体"/>
          <w:spacing w:val="6"/>
          <w:szCs w:val="21"/>
        </w:rPr>
        <w:t>合法授权参加</w:t>
      </w:r>
      <w:r>
        <w:rPr>
          <w:rFonts w:hint="eastAsia" w:hAnsi="宋体" w:cs="宋体"/>
          <w:spacing w:val="6"/>
          <w:szCs w:val="21"/>
          <w:u w:val="single"/>
          <w:lang w:eastAsia="zh-CN"/>
        </w:rPr>
        <w:t>白塔镇景园村关金生态停车场建设项目</w:t>
      </w:r>
      <w:r>
        <w:rPr>
          <w:rFonts w:hint="eastAsia" w:hAnsi="宋体" w:cs="宋体"/>
          <w:spacing w:val="6"/>
          <w:szCs w:val="21"/>
        </w:rPr>
        <w:t>（编号：</w:t>
      </w:r>
      <w:r>
        <w:rPr>
          <w:rFonts w:hint="eastAsia" w:hAnsi="宋体" w:cs="宋体"/>
          <w:spacing w:val="6"/>
          <w:szCs w:val="21"/>
          <w:u w:val="single"/>
          <w:lang w:eastAsia="zh-CN"/>
        </w:rPr>
        <w:t>TYXJ-202501</w:t>
      </w:r>
      <w:r>
        <w:rPr>
          <w:rFonts w:hint="eastAsia" w:hAnsi="宋体" w:cs="宋体"/>
          <w:spacing w:val="6"/>
          <w:szCs w:val="21"/>
        </w:rPr>
        <w:t xml:space="preserve">）政府采购活动，经与本单位法人代表（负责人）联系确认，现就有关公平竞争事项郑重声明如下： </w:t>
      </w:r>
    </w:p>
    <w:p w14:paraId="1FE6D7FC">
      <w:pPr>
        <w:pStyle w:val="39"/>
        <w:widowControl/>
        <w:snapToGrid w:val="0"/>
        <w:spacing w:line="500" w:lineRule="exact"/>
        <w:ind w:firstLine="210" w:firstLineChars="100"/>
        <w:rPr>
          <w:rFonts w:ascii="宋体" w:hAnsi="宋体" w:cs="宋体"/>
          <w:kern w:val="0"/>
          <w:szCs w:val="21"/>
        </w:rPr>
      </w:pPr>
      <w:r>
        <w:rPr>
          <w:rFonts w:hint="eastAsia" w:ascii="宋体" w:hAnsi="宋体" w:cs="宋体"/>
          <w:kern w:val="0"/>
          <w:szCs w:val="21"/>
        </w:rPr>
        <w:t>一、本单位与采购人之间 □不存在利害关系 □存在下列利害关系</w:t>
      </w:r>
      <w:r>
        <w:rPr>
          <w:rFonts w:hint="eastAsia" w:ascii="宋体" w:hAnsi="宋体" w:cs="宋体"/>
          <w:kern w:val="0"/>
          <w:szCs w:val="21"/>
          <w:u w:val="single"/>
        </w:rPr>
        <w:t xml:space="preserve">           </w:t>
      </w:r>
      <w:r>
        <w:rPr>
          <w:rFonts w:hint="eastAsia" w:ascii="宋体" w:hAnsi="宋体" w:cs="宋体"/>
          <w:kern w:val="0"/>
          <w:szCs w:val="21"/>
        </w:rPr>
        <w:t>：</w:t>
      </w:r>
    </w:p>
    <w:p w14:paraId="251358EA">
      <w:pPr>
        <w:pStyle w:val="39"/>
        <w:widowControl/>
        <w:snapToGrid w:val="0"/>
        <w:spacing w:line="500" w:lineRule="exact"/>
        <w:rPr>
          <w:rFonts w:ascii="宋体" w:hAnsi="宋体" w:cs="宋体"/>
          <w:kern w:val="0"/>
          <w:szCs w:val="21"/>
        </w:rPr>
      </w:pPr>
      <w:r>
        <w:rPr>
          <w:rFonts w:hint="eastAsia" w:ascii="宋体" w:hAnsi="宋体" w:cs="宋体"/>
          <w:kern w:val="0"/>
          <w:szCs w:val="21"/>
        </w:rPr>
        <w:t xml:space="preserve">  A.投资关系    B.行政隶属关系    C.业务指导关系</w:t>
      </w:r>
    </w:p>
    <w:p w14:paraId="002536EB">
      <w:pPr>
        <w:pStyle w:val="39"/>
        <w:widowControl/>
        <w:snapToGrid w:val="0"/>
        <w:spacing w:line="500" w:lineRule="exact"/>
        <w:rPr>
          <w:rFonts w:ascii="宋体" w:hAnsi="宋体" w:cs="宋体"/>
          <w:kern w:val="0"/>
          <w:szCs w:val="21"/>
        </w:rPr>
      </w:pPr>
      <w:r>
        <w:rPr>
          <w:rFonts w:hint="eastAsia" w:ascii="宋体" w:hAnsi="宋体" w:cs="宋体"/>
          <w:kern w:val="0"/>
          <w:szCs w:val="21"/>
        </w:rPr>
        <w:t xml:space="preserve">  D.其他可能</w:t>
      </w:r>
      <w:r>
        <w:rPr>
          <w:rFonts w:hint="eastAsia" w:ascii="宋体" w:hAnsi="宋体" w:cs="宋体"/>
          <w:szCs w:val="21"/>
        </w:rPr>
        <w:t>影响采购公正的</w:t>
      </w:r>
      <w:r>
        <w:rPr>
          <w:rFonts w:hint="eastAsia" w:ascii="宋体" w:hAnsi="宋体" w:cs="宋体"/>
          <w:kern w:val="0"/>
          <w:szCs w:val="21"/>
        </w:rPr>
        <w:t>利害关系</w:t>
      </w:r>
      <w:r>
        <w:rPr>
          <w:rFonts w:hint="eastAsia" w:ascii="宋体" w:hAnsi="宋体" w:cs="宋体"/>
          <w:kern w:val="0"/>
          <w:szCs w:val="21"/>
          <w:u w:val="single"/>
        </w:rPr>
        <w:t xml:space="preserve">（如有，请如实说明）                 </w:t>
      </w:r>
      <w:r>
        <w:rPr>
          <w:rFonts w:hint="eastAsia" w:ascii="宋体" w:hAnsi="宋体" w:cs="宋体"/>
          <w:kern w:val="0"/>
          <w:szCs w:val="21"/>
        </w:rPr>
        <w:t>。</w:t>
      </w:r>
    </w:p>
    <w:p w14:paraId="1BE2ACEE">
      <w:pPr>
        <w:pStyle w:val="39"/>
        <w:widowControl/>
        <w:snapToGrid w:val="0"/>
        <w:spacing w:line="500" w:lineRule="exact"/>
        <w:rPr>
          <w:rFonts w:ascii="宋体" w:hAnsi="宋体" w:cs="宋体"/>
          <w:kern w:val="0"/>
          <w:szCs w:val="21"/>
        </w:rPr>
      </w:pPr>
      <w:r>
        <w:rPr>
          <w:rFonts w:hint="eastAsia" w:ascii="宋体" w:hAnsi="宋体" w:cs="宋体"/>
          <w:spacing w:val="6"/>
          <w:szCs w:val="21"/>
        </w:rPr>
        <w:t xml:space="preserve">  二、</w:t>
      </w:r>
      <w:r>
        <w:rPr>
          <w:rFonts w:hint="eastAsia" w:ascii="宋体" w:hAnsi="宋体" w:cs="宋体"/>
          <w:kern w:val="0"/>
          <w:szCs w:val="21"/>
        </w:rPr>
        <w:t>现已清楚知道参加本项目采购活动的其他所有供应商名称，本单位 □与其他所有供应商之间均不存在利害关系 □与</w:t>
      </w:r>
      <w:r>
        <w:rPr>
          <w:rFonts w:hint="eastAsia" w:ascii="宋体" w:hAnsi="宋体" w:cs="宋体"/>
          <w:kern w:val="0"/>
          <w:szCs w:val="21"/>
          <w:u w:val="single"/>
        </w:rPr>
        <w:t xml:space="preserve">           （供应商名称）</w:t>
      </w:r>
      <w:r>
        <w:rPr>
          <w:rFonts w:hint="eastAsia" w:ascii="宋体" w:hAnsi="宋体" w:cs="宋体"/>
          <w:kern w:val="0"/>
          <w:szCs w:val="21"/>
        </w:rPr>
        <w:t>之间存在下列利害关系</w:t>
      </w:r>
      <w:r>
        <w:rPr>
          <w:rFonts w:hint="eastAsia" w:ascii="宋体" w:hAnsi="宋体" w:cs="宋体"/>
          <w:kern w:val="0"/>
          <w:szCs w:val="21"/>
          <w:u w:val="single"/>
        </w:rPr>
        <w:t xml:space="preserve">          </w:t>
      </w:r>
      <w:r>
        <w:rPr>
          <w:rFonts w:hint="eastAsia" w:ascii="宋体" w:hAnsi="宋体" w:cs="宋体"/>
          <w:kern w:val="0"/>
          <w:szCs w:val="21"/>
        </w:rPr>
        <w:t>：</w:t>
      </w:r>
    </w:p>
    <w:p w14:paraId="16E25929">
      <w:pPr>
        <w:pStyle w:val="38"/>
        <w:widowControl w:val="0"/>
        <w:snapToGrid w:val="0"/>
        <w:spacing w:line="500" w:lineRule="exact"/>
        <w:jc w:val="both"/>
        <w:rPr>
          <w:rFonts w:hAnsi="宋体" w:cs="宋体"/>
          <w:kern w:val="0"/>
          <w:szCs w:val="21"/>
        </w:rPr>
      </w:pPr>
      <w:r>
        <w:rPr>
          <w:rFonts w:hint="eastAsia" w:hAnsi="宋体" w:cs="宋体"/>
          <w:kern w:val="0"/>
          <w:szCs w:val="21"/>
        </w:rPr>
        <w:t xml:space="preserve">  A.法定代表人或负责人或实际控制人是同一人</w:t>
      </w:r>
    </w:p>
    <w:p w14:paraId="7E087539">
      <w:pPr>
        <w:pStyle w:val="38"/>
        <w:widowControl w:val="0"/>
        <w:snapToGrid w:val="0"/>
        <w:spacing w:line="500" w:lineRule="exact"/>
        <w:jc w:val="both"/>
        <w:rPr>
          <w:rFonts w:hAnsi="宋体" w:cs="宋体"/>
          <w:spacing w:val="6"/>
          <w:szCs w:val="21"/>
        </w:rPr>
      </w:pPr>
      <w:r>
        <w:rPr>
          <w:rFonts w:hint="eastAsia" w:hAnsi="宋体" w:cs="宋体"/>
          <w:kern w:val="0"/>
          <w:szCs w:val="21"/>
        </w:rPr>
        <w:t xml:space="preserve">  B.法定代表人或负责人或实际控制人是夫妻关系</w:t>
      </w:r>
    </w:p>
    <w:p w14:paraId="04E48E52">
      <w:pPr>
        <w:pStyle w:val="38"/>
        <w:widowControl w:val="0"/>
        <w:snapToGrid w:val="0"/>
        <w:spacing w:line="500" w:lineRule="exact"/>
        <w:jc w:val="both"/>
        <w:rPr>
          <w:rFonts w:hAnsi="宋体" w:cs="宋体"/>
          <w:spacing w:val="6"/>
          <w:szCs w:val="21"/>
        </w:rPr>
      </w:pPr>
      <w:r>
        <w:rPr>
          <w:rFonts w:hint="eastAsia" w:hAnsi="宋体" w:cs="宋体"/>
          <w:kern w:val="0"/>
          <w:szCs w:val="21"/>
        </w:rPr>
        <w:t xml:space="preserve">  C.法定代表人或负责人或实际控制人是直系血亲关系</w:t>
      </w:r>
    </w:p>
    <w:p w14:paraId="2436E00F">
      <w:pPr>
        <w:pStyle w:val="38"/>
        <w:widowControl w:val="0"/>
        <w:snapToGrid w:val="0"/>
        <w:spacing w:line="500" w:lineRule="exact"/>
        <w:jc w:val="both"/>
        <w:rPr>
          <w:rFonts w:hAnsi="宋体" w:cs="宋体"/>
          <w:spacing w:val="6"/>
          <w:szCs w:val="21"/>
        </w:rPr>
      </w:pPr>
      <w:r>
        <w:rPr>
          <w:rFonts w:hint="eastAsia" w:hAnsi="宋体" w:cs="宋体"/>
          <w:kern w:val="0"/>
          <w:szCs w:val="21"/>
        </w:rPr>
        <w:t xml:space="preserve">  D.法定代表人或负责人或实际控制人存在三代以内旁系血亲关系</w:t>
      </w:r>
    </w:p>
    <w:p w14:paraId="1F45F5CE">
      <w:pPr>
        <w:pStyle w:val="38"/>
        <w:widowControl w:val="0"/>
        <w:snapToGrid w:val="0"/>
        <w:spacing w:line="500" w:lineRule="exact"/>
        <w:jc w:val="both"/>
        <w:rPr>
          <w:rFonts w:hAnsi="宋体" w:cs="宋体"/>
          <w:kern w:val="0"/>
          <w:szCs w:val="21"/>
        </w:rPr>
      </w:pPr>
      <w:r>
        <w:rPr>
          <w:rFonts w:hint="eastAsia" w:hAnsi="宋体" w:cs="宋体"/>
          <w:kern w:val="0"/>
          <w:szCs w:val="21"/>
        </w:rPr>
        <w:t xml:space="preserve">  E.法定代表人或负责人或实际控制人存在近姻亲关系</w:t>
      </w:r>
    </w:p>
    <w:p w14:paraId="4436981B">
      <w:pPr>
        <w:pStyle w:val="38"/>
        <w:widowControl w:val="0"/>
        <w:snapToGrid w:val="0"/>
        <w:spacing w:line="500" w:lineRule="exact"/>
        <w:jc w:val="both"/>
        <w:rPr>
          <w:rFonts w:hAnsi="宋体" w:cs="宋体"/>
          <w:kern w:val="0"/>
          <w:szCs w:val="21"/>
        </w:rPr>
      </w:pPr>
      <w:r>
        <w:rPr>
          <w:rFonts w:hint="eastAsia" w:hAnsi="宋体" w:cs="宋体"/>
          <w:kern w:val="0"/>
          <w:szCs w:val="21"/>
        </w:rPr>
        <w:t xml:space="preserve">  F.法定代表人或负责人或实际控制人存在股份控制或实际控制关系</w:t>
      </w:r>
    </w:p>
    <w:p w14:paraId="3993337F">
      <w:pPr>
        <w:pStyle w:val="38"/>
        <w:widowControl w:val="0"/>
        <w:snapToGrid w:val="0"/>
        <w:spacing w:line="500" w:lineRule="exact"/>
        <w:jc w:val="both"/>
        <w:outlineLvl w:val="0"/>
        <w:rPr>
          <w:rFonts w:hAnsi="宋体" w:cs="宋体"/>
          <w:kern w:val="0"/>
          <w:szCs w:val="21"/>
        </w:rPr>
      </w:pPr>
      <w:r>
        <w:rPr>
          <w:rFonts w:hint="eastAsia" w:hAnsi="宋体" w:cs="宋体"/>
          <w:kern w:val="0"/>
          <w:szCs w:val="21"/>
        </w:rPr>
        <w:t xml:space="preserve">  G.存在共同直接或间接投资设立子公司、联营企业和合营企业情况</w:t>
      </w:r>
    </w:p>
    <w:p w14:paraId="56517F14">
      <w:pPr>
        <w:pStyle w:val="38"/>
        <w:widowControl w:val="0"/>
        <w:snapToGrid w:val="0"/>
        <w:spacing w:line="500" w:lineRule="exact"/>
        <w:jc w:val="both"/>
        <w:rPr>
          <w:rFonts w:hAnsi="宋体" w:cs="宋体"/>
          <w:szCs w:val="21"/>
        </w:rPr>
      </w:pPr>
      <w:r>
        <w:rPr>
          <w:rFonts w:hint="eastAsia" w:hAnsi="宋体" w:cs="宋体"/>
          <w:kern w:val="0"/>
          <w:szCs w:val="21"/>
        </w:rPr>
        <w:t xml:space="preserve">  H.存在分级代理或代销关系、同一生产制造商关系、</w:t>
      </w:r>
      <w:r>
        <w:rPr>
          <w:rFonts w:hint="eastAsia" w:hAnsi="宋体" w:cs="宋体"/>
          <w:szCs w:val="21"/>
        </w:rPr>
        <w:t>管理关系、重要业务（占主营业务收入50%以上）或重要财务往来关系（如融资）等其他实质性控制关系</w:t>
      </w:r>
    </w:p>
    <w:p w14:paraId="0DE40D55">
      <w:pPr>
        <w:pStyle w:val="38"/>
        <w:widowControl w:val="0"/>
        <w:snapToGrid w:val="0"/>
        <w:spacing w:line="500" w:lineRule="exact"/>
        <w:jc w:val="both"/>
        <w:rPr>
          <w:rFonts w:hAnsi="宋体" w:cs="宋体"/>
          <w:spacing w:val="6"/>
          <w:szCs w:val="21"/>
        </w:rPr>
      </w:pPr>
      <w:r>
        <w:rPr>
          <w:rFonts w:hint="eastAsia" w:hAnsi="宋体" w:cs="宋体"/>
          <w:szCs w:val="21"/>
        </w:rPr>
        <w:t xml:space="preserve">  I</w:t>
      </w:r>
      <w:r>
        <w:rPr>
          <w:rFonts w:hint="eastAsia" w:hAnsi="宋体" w:cs="宋体"/>
          <w:kern w:val="0"/>
          <w:szCs w:val="21"/>
        </w:rPr>
        <w:t>.</w:t>
      </w:r>
      <w:r>
        <w:rPr>
          <w:rFonts w:hint="eastAsia" w:hAnsi="宋体" w:cs="宋体"/>
          <w:szCs w:val="21"/>
        </w:rPr>
        <w:t>其他利害关系情况</w:t>
      </w:r>
      <w:r>
        <w:rPr>
          <w:rFonts w:hint="eastAsia" w:hAnsi="宋体" w:cs="宋体"/>
          <w:szCs w:val="21"/>
          <w:u w:val="single"/>
        </w:rPr>
        <w:t xml:space="preserve">                              </w:t>
      </w:r>
      <w:r>
        <w:rPr>
          <w:rFonts w:hint="eastAsia" w:hAnsi="宋体" w:cs="宋体"/>
          <w:kern w:val="0"/>
          <w:szCs w:val="21"/>
        </w:rPr>
        <w:t>。</w:t>
      </w:r>
    </w:p>
    <w:p w14:paraId="41707395">
      <w:pPr>
        <w:pStyle w:val="39"/>
        <w:widowControl/>
        <w:snapToGrid w:val="0"/>
        <w:spacing w:line="500" w:lineRule="exact"/>
        <w:ind w:firstLine="210" w:firstLineChars="100"/>
        <w:rPr>
          <w:rFonts w:ascii="宋体" w:hAnsi="宋体" w:cs="宋体"/>
          <w:kern w:val="0"/>
          <w:szCs w:val="21"/>
        </w:rPr>
      </w:pPr>
      <w:r>
        <w:rPr>
          <w:rFonts w:hint="eastAsia" w:ascii="宋体" w:hAnsi="宋体" w:cs="宋体"/>
          <w:szCs w:val="21"/>
        </w:rPr>
        <w:t>三、现已清楚知道并</w:t>
      </w:r>
      <w:r>
        <w:rPr>
          <w:rFonts w:hint="eastAsia" w:ascii="宋体" w:hAnsi="宋体" w:cs="宋体"/>
          <w:kern w:val="0"/>
          <w:szCs w:val="21"/>
        </w:rPr>
        <w:t>严格遵守政府采购法律法规和现场纪律。</w:t>
      </w:r>
    </w:p>
    <w:p w14:paraId="5D92912E">
      <w:pPr>
        <w:pStyle w:val="39"/>
        <w:widowControl/>
        <w:snapToGrid w:val="0"/>
        <w:spacing w:line="500" w:lineRule="exact"/>
        <w:ind w:firstLine="210" w:firstLineChars="100"/>
        <w:rPr>
          <w:rFonts w:ascii="宋体" w:hAnsi="宋体" w:cs="宋体"/>
          <w:kern w:val="0"/>
          <w:szCs w:val="21"/>
        </w:rPr>
      </w:pPr>
      <w:r>
        <w:rPr>
          <w:rFonts w:hint="eastAsia" w:ascii="宋体" w:hAnsi="宋体" w:cs="宋体"/>
          <w:kern w:val="0"/>
          <w:szCs w:val="21"/>
        </w:rPr>
        <w:t>四、</w:t>
      </w:r>
      <w:r>
        <w:rPr>
          <w:rFonts w:hint="eastAsia" w:ascii="宋体" w:hAnsi="宋体" w:cs="宋体"/>
          <w:kern w:val="0"/>
          <w:szCs w:val="21"/>
          <w:u w:val="single"/>
        </w:rPr>
        <w:t xml:space="preserve">我发现                    </w:t>
      </w:r>
      <w:r>
        <w:rPr>
          <w:rFonts w:hint="eastAsia" w:ascii="宋体" w:hAnsi="宋体" w:cs="宋体"/>
          <w:kern w:val="0"/>
          <w:szCs w:val="21"/>
        </w:rPr>
        <w:t>供应商之间存在或可能存在上述第二条第</w:t>
      </w:r>
      <w:r>
        <w:rPr>
          <w:rFonts w:hint="eastAsia" w:ascii="宋体" w:hAnsi="宋体" w:cs="宋体"/>
          <w:kern w:val="0"/>
          <w:szCs w:val="21"/>
          <w:u w:val="single"/>
        </w:rPr>
        <w:t xml:space="preserve">        </w:t>
      </w:r>
      <w:r>
        <w:rPr>
          <w:rFonts w:hint="eastAsia" w:ascii="宋体" w:hAnsi="宋体" w:cs="宋体"/>
          <w:kern w:val="0"/>
          <w:szCs w:val="21"/>
        </w:rPr>
        <w:t>项利害关系。</w:t>
      </w:r>
    </w:p>
    <w:p w14:paraId="083749F4">
      <w:pPr>
        <w:pStyle w:val="38"/>
        <w:widowControl w:val="0"/>
        <w:snapToGrid w:val="0"/>
        <w:spacing w:line="500" w:lineRule="exact"/>
        <w:jc w:val="both"/>
        <w:rPr>
          <w:rFonts w:hAnsi="宋体" w:cs="宋体"/>
          <w:szCs w:val="21"/>
        </w:rPr>
      </w:pPr>
      <w:r>
        <w:rPr>
          <w:rFonts w:hint="eastAsia" w:hAnsi="宋体" w:cs="宋体"/>
          <w:szCs w:val="21"/>
        </w:rPr>
        <w:t xml:space="preserve">                                        供应商代表签名：</w:t>
      </w:r>
    </w:p>
    <w:p w14:paraId="1A434828">
      <w:pPr>
        <w:spacing w:afterLines="100" w:line="600" w:lineRule="exact"/>
        <w:jc w:val="center"/>
        <w:rPr>
          <w:rFonts w:hAnsi="宋体" w:cs="宋体"/>
          <w:b/>
          <w:bCs/>
          <w:szCs w:val="21"/>
        </w:rPr>
      </w:pPr>
      <w:r>
        <w:rPr>
          <w:rFonts w:hint="eastAsia" w:ascii="宋体" w:hAnsi="宋体" w:eastAsia="宋体" w:cs="宋体"/>
          <w:sz w:val="21"/>
          <w:szCs w:val="21"/>
        </w:rPr>
        <w:t xml:space="preserve">                                     2025年   月   日</w:t>
      </w:r>
    </w:p>
    <w:p w14:paraId="40649AD0">
      <w:pPr>
        <w:widowControl/>
        <w:jc w:val="left"/>
        <w:rPr>
          <w:rFonts w:ascii="宋体" w:hAnsi="宋体" w:eastAsia="宋体" w:cs="宋体"/>
          <w:b/>
          <w:bCs/>
          <w:sz w:val="21"/>
          <w:szCs w:val="21"/>
        </w:rPr>
      </w:pPr>
      <w:r>
        <w:rPr>
          <w:rFonts w:hAnsi="宋体" w:cs="宋体"/>
          <w:b/>
          <w:bCs/>
          <w:szCs w:val="21"/>
        </w:rPr>
        <w:br w:type="page"/>
      </w:r>
    </w:p>
    <w:p w14:paraId="1F22EC98">
      <w:pPr>
        <w:pStyle w:val="38"/>
        <w:widowControl w:val="0"/>
        <w:snapToGrid w:val="0"/>
        <w:spacing w:line="500" w:lineRule="exact"/>
        <w:jc w:val="center"/>
        <w:rPr>
          <w:rFonts w:hAnsi="宋体" w:cs="宋体"/>
          <w:szCs w:val="21"/>
        </w:rPr>
      </w:pPr>
      <w:r>
        <w:rPr>
          <w:rFonts w:hint="eastAsia" w:hAnsi="宋体" w:cs="宋体"/>
          <w:b/>
          <w:bCs/>
          <w:szCs w:val="21"/>
        </w:rPr>
        <w:t>政府采购活动现</w:t>
      </w:r>
      <w:r>
        <w:rPr>
          <w:rFonts w:hint="eastAsia" w:hAnsi="宋体" w:cs="宋体"/>
          <w:b/>
          <w:szCs w:val="21"/>
        </w:rPr>
        <w:t>场确认声明书（法人）</w:t>
      </w:r>
    </w:p>
    <w:p w14:paraId="5FAC957D">
      <w:pPr>
        <w:pStyle w:val="38"/>
        <w:widowControl w:val="0"/>
        <w:snapToGrid w:val="0"/>
        <w:spacing w:line="500" w:lineRule="exact"/>
        <w:jc w:val="both"/>
        <w:rPr>
          <w:rFonts w:hAnsi="宋体" w:cs="宋体"/>
          <w:b/>
          <w:szCs w:val="21"/>
        </w:rPr>
      </w:pPr>
      <w:r>
        <w:rPr>
          <w:rFonts w:hint="eastAsia" w:hAnsi="宋体" w:cs="宋体"/>
          <w:kern w:val="0"/>
          <w:szCs w:val="21"/>
          <w:u w:val="single"/>
        </w:rPr>
        <w:t xml:space="preserve"> </w:t>
      </w:r>
      <w:r>
        <w:rPr>
          <w:rFonts w:hint="eastAsia" w:hAnsi="宋体" w:cs="宋体"/>
          <w:kern w:val="0"/>
          <w:szCs w:val="21"/>
          <w:u w:val="single"/>
          <w:lang w:eastAsia="zh-CN"/>
        </w:rPr>
        <w:t>泰宇建筑工程技术咨询有限公司</w:t>
      </w:r>
      <w:r>
        <w:rPr>
          <w:rFonts w:hint="eastAsia" w:hAnsi="宋体" w:cs="宋体"/>
          <w:kern w:val="0"/>
          <w:szCs w:val="21"/>
          <w:u w:val="single"/>
        </w:rPr>
        <w:t xml:space="preserve">   </w:t>
      </w:r>
      <w:r>
        <w:rPr>
          <w:rFonts w:hint="eastAsia" w:hAnsi="宋体" w:cs="宋体"/>
          <w:kern w:val="0"/>
          <w:szCs w:val="21"/>
        </w:rPr>
        <w:t>（采购组织机构名称）：</w:t>
      </w:r>
    </w:p>
    <w:p w14:paraId="406D7146">
      <w:pPr>
        <w:pStyle w:val="38"/>
        <w:widowControl w:val="0"/>
        <w:snapToGrid w:val="0"/>
        <w:spacing w:line="500" w:lineRule="exact"/>
        <w:ind w:firstLine="444" w:firstLineChars="200"/>
        <w:jc w:val="both"/>
        <w:rPr>
          <w:rFonts w:hAnsi="宋体" w:cs="宋体"/>
          <w:spacing w:val="6"/>
          <w:szCs w:val="21"/>
        </w:rPr>
      </w:pPr>
      <w:r>
        <w:rPr>
          <w:rFonts w:hint="eastAsia" w:hAnsi="宋体" w:cs="宋体"/>
          <w:spacing w:val="6"/>
          <w:szCs w:val="21"/>
        </w:rPr>
        <w:t>本人为</w:t>
      </w:r>
      <w:r>
        <w:rPr>
          <w:rFonts w:hint="eastAsia" w:hAnsi="宋体" w:cs="宋体"/>
          <w:spacing w:val="6"/>
          <w:szCs w:val="21"/>
          <w:u w:val="single"/>
        </w:rPr>
        <w:t xml:space="preserve"> </w:t>
      </w:r>
      <w:r>
        <w:rPr>
          <w:rFonts w:hint="eastAsia" w:hAnsi="宋体" w:cs="宋体"/>
          <w:kern w:val="0"/>
          <w:szCs w:val="21"/>
          <w:u w:val="single"/>
        </w:rPr>
        <w:t xml:space="preserve">                           </w:t>
      </w:r>
      <w:r>
        <w:rPr>
          <w:rFonts w:hint="eastAsia" w:hAnsi="宋体" w:cs="宋体"/>
          <w:spacing w:val="6"/>
          <w:szCs w:val="21"/>
          <w:u w:val="single"/>
        </w:rPr>
        <w:t>（单位）</w:t>
      </w:r>
      <w:r>
        <w:rPr>
          <w:rFonts w:hint="eastAsia" w:hAnsi="宋体" w:cs="宋体"/>
          <w:spacing w:val="6"/>
          <w:szCs w:val="21"/>
        </w:rPr>
        <w:t>负责人参加</w:t>
      </w:r>
      <w:r>
        <w:rPr>
          <w:rFonts w:hint="eastAsia" w:hAnsi="宋体" w:cs="宋体"/>
          <w:spacing w:val="6"/>
          <w:szCs w:val="21"/>
          <w:u w:val="single"/>
          <w:lang w:eastAsia="zh-CN"/>
        </w:rPr>
        <w:t>白塔镇景园村关金生态停车场建设项目</w:t>
      </w:r>
      <w:r>
        <w:rPr>
          <w:rFonts w:hint="eastAsia" w:hAnsi="宋体" w:cs="宋体"/>
          <w:spacing w:val="6"/>
          <w:szCs w:val="21"/>
        </w:rPr>
        <w:t>（编号：</w:t>
      </w:r>
      <w:r>
        <w:rPr>
          <w:rFonts w:hint="eastAsia" w:hAnsi="宋体" w:cs="宋体"/>
          <w:spacing w:val="6"/>
          <w:szCs w:val="21"/>
          <w:u w:val="single"/>
          <w:lang w:eastAsia="zh-CN"/>
        </w:rPr>
        <w:t>TYXJ-202501</w:t>
      </w:r>
      <w:r>
        <w:rPr>
          <w:rFonts w:hint="eastAsia" w:hAnsi="宋体" w:cs="宋体"/>
          <w:spacing w:val="6"/>
          <w:szCs w:val="21"/>
        </w:rPr>
        <w:t xml:space="preserve">）政府采购活动，现就有关公平竞争事项郑重声明如下： </w:t>
      </w:r>
    </w:p>
    <w:p w14:paraId="7537550D">
      <w:pPr>
        <w:pStyle w:val="39"/>
        <w:widowControl/>
        <w:snapToGrid w:val="0"/>
        <w:spacing w:line="500" w:lineRule="exact"/>
        <w:ind w:firstLine="210" w:firstLineChars="100"/>
        <w:rPr>
          <w:rFonts w:ascii="宋体" w:hAnsi="宋体" w:cs="宋体"/>
          <w:kern w:val="0"/>
          <w:szCs w:val="21"/>
        </w:rPr>
      </w:pPr>
      <w:r>
        <w:rPr>
          <w:rFonts w:hint="eastAsia" w:ascii="宋体" w:hAnsi="宋体" w:cs="宋体"/>
          <w:kern w:val="0"/>
          <w:szCs w:val="21"/>
        </w:rPr>
        <w:t>一、本单位与采购人之间 □不存在利害关系 □存在下列利害关系</w:t>
      </w:r>
      <w:r>
        <w:rPr>
          <w:rFonts w:hint="eastAsia" w:ascii="宋体" w:hAnsi="宋体" w:cs="宋体"/>
          <w:kern w:val="0"/>
          <w:szCs w:val="21"/>
          <w:u w:val="single"/>
        </w:rPr>
        <w:t xml:space="preserve">           </w:t>
      </w:r>
      <w:r>
        <w:rPr>
          <w:rFonts w:hint="eastAsia" w:ascii="宋体" w:hAnsi="宋体" w:cs="宋体"/>
          <w:kern w:val="0"/>
          <w:szCs w:val="21"/>
        </w:rPr>
        <w:t>：</w:t>
      </w:r>
    </w:p>
    <w:p w14:paraId="3E1AE194">
      <w:pPr>
        <w:pStyle w:val="39"/>
        <w:widowControl/>
        <w:snapToGrid w:val="0"/>
        <w:spacing w:line="500" w:lineRule="exact"/>
        <w:rPr>
          <w:rFonts w:ascii="宋体" w:hAnsi="宋体" w:cs="宋体"/>
          <w:kern w:val="0"/>
          <w:szCs w:val="21"/>
        </w:rPr>
      </w:pPr>
      <w:r>
        <w:rPr>
          <w:rFonts w:hint="eastAsia" w:ascii="宋体" w:hAnsi="宋体" w:cs="宋体"/>
          <w:kern w:val="0"/>
          <w:szCs w:val="21"/>
        </w:rPr>
        <w:t xml:space="preserve">  A.投资关系    B.行政隶属关系    C.业务指导关系</w:t>
      </w:r>
    </w:p>
    <w:p w14:paraId="0F9ACA0D">
      <w:pPr>
        <w:pStyle w:val="39"/>
        <w:widowControl/>
        <w:snapToGrid w:val="0"/>
        <w:spacing w:line="500" w:lineRule="exact"/>
        <w:rPr>
          <w:rFonts w:ascii="宋体" w:hAnsi="宋体" w:cs="宋体"/>
          <w:kern w:val="0"/>
          <w:szCs w:val="21"/>
        </w:rPr>
      </w:pPr>
      <w:r>
        <w:rPr>
          <w:rFonts w:hint="eastAsia" w:ascii="宋体" w:hAnsi="宋体" w:cs="宋体"/>
          <w:kern w:val="0"/>
          <w:szCs w:val="21"/>
        </w:rPr>
        <w:t xml:space="preserve">  D.其他可能</w:t>
      </w:r>
      <w:r>
        <w:rPr>
          <w:rFonts w:hint="eastAsia" w:ascii="宋体" w:hAnsi="宋体" w:cs="宋体"/>
          <w:szCs w:val="21"/>
        </w:rPr>
        <w:t>影响采购公正的</w:t>
      </w:r>
      <w:r>
        <w:rPr>
          <w:rFonts w:hint="eastAsia" w:ascii="宋体" w:hAnsi="宋体" w:cs="宋体"/>
          <w:kern w:val="0"/>
          <w:szCs w:val="21"/>
        </w:rPr>
        <w:t>利害关系</w:t>
      </w:r>
      <w:r>
        <w:rPr>
          <w:rFonts w:hint="eastAsia" w:ascii="宋体" w:hAnsi="宋体" w:cs="宋体"/>
          <w:kern w:val="0"/>
          <w:szCs w:val="21"/>
          <w:u w:val="single"/>
        </w:rPr>
        <w:t xml:space="preserve">（如有，请如实说明）                 </w:t>
      </w:r>
      <w:r>
        <w:rPr>
          <w:rFonts w:hint="eastAsia" w:ascii="宋体" w:hAnsi="宋体" w:cs="宋体"/>
          <w:kern w:val="0"/>
          <w:szCs w:val="21"/>
        </w:rPr>
        <w:t>。</w:t>
      </w:r>
    </w:p>
    <w:p w14:paraId="744A9CBB">
      <w:pPr>
        <w:pStyle w:val="39"/>
        <w:widowControl/>
        <w:snapToGrid w:val="0"/>
        <w:spacing w:line="500" w:lineRule="exact"/>
        <w:rPr>
          <w:rFonts w:ascii="宋体" w:hAnsi="宋体" w:cs="宋体"/>
          <w:kern w:val="0"/>
          <w:szCs w:val="21"/>
        </w:rPr>
      </w:pPr>
      <w:r>
        <w:rPr>
          <w:rFonts w:hint="eastAsia" w:ascii="宋体" w:hAnsi="宋体" w:cs="宋体"/>
          <w:spacing w:val="6"/>
          <w:szCs w:val="21"/>
        </w:rPr>
        <w:t xml:space="preserve">  二、</w:t>
      </w:r>
      <w:r>
        <w:rPr>
          <w:rFonts w:hint="eastAsia" w:ascii="宋体" w:hAnsi="宋体" w:cs="宋体"/>
          <w:kern w:val="0"/>
          <w:szCs w:val="21"/>
        </w:rPr>
        <w:t>现已清楚知道参加本项目采购活动的其他所有供应商名称，本单位 □与其他所有供应商之间均不存在利害关系 □与</w:t>
      </w:r>
      <w:r>
        <w:rPr>
          <w:rFonts w:hint="eastAsia" w:ascii="宋体" w:hAnsi="宋体" w:cs="宋体"/>
          <w:kern w:val="0"/>
          <w:szCs w:val="21"/>
          <w:u w:val="single"/>
        </w:rPr>
        <w:t xml:space="preserve">           （供应商名称）</w:t>
      </w:r>
      <w:r>
        <w:rPr>
          <w:rFonts w:hint="eastAsia" w:ascii="宋体" w:hAnsi="宋体" w:cs="宋体"/>
          <w:kern w:val="0"/>
          <w:szCs w:val="21"/>
        </w:rPr>
        <w:t>之间存在下列利害关系</w:t>
      </w:r>
      <w:r>
        <w:rPr>
          <w:rFonts w:hint="eastAsia" w:ascii="宋体" w:hAnsi="宋体" w:cs="宋体"/>
          <w:kern w:val="0"/>
          <w:szCs w:val="21"/>
          <w:u w:val="single"/>
        </w:rPr>
        <w:t xml:space="preserve">          </w:t>
      </w:r>
      <w:r>
        <w:rPr>
          <w:rFonts w:hint="eastAsia" w:ascii="宋体" w:hAnsi="宋体" w:cs="宋体"/>
          <w:kern w:val="0"/>
          <w:szCs w:val="21"/>
        </w:rPr>
        <w:t>：</w:t>
      </w:r>
    </w:p>
    <w:p w14:paraId="7DE50859">
      <w:pPr>
        <w:pStyle w:val="38"/>
        <w:widowControl w:val="0"/>
        <w:snapToGrid w:val="0"/>
        <w:spacing w:line="500" w:lineRule="exact"/>
        <w:jc w:val="both"/>
        <w:rPr>
          <w:rFonts w:hAnsi="宋体" w:cs="宋体"/>
          <w:kern w:val="0"/>
          <w:szCs w:val="21"/>
        </w:rPr>
      </w:pPr>
      <w:r>
        <w:rPr>
          <w:rFonts w:hint="eastAsia" w:hAnsi="宋体" w:cs="宋体"/>
          <w:kern w:val="0"/>
          <w:szCs w:val="21"/>
        </w:rPr>
        <w:t xml:space="preserve">  A.法定代表人或负责人或实际控制人是同一人</w:t>
      </w:r>
    </w:p>
    <w:p w14:paraId="6801C586">
      <w:pPr>
        <w:pStyle w:val="38"/>
        <w:widowControl w:val="0"/>
        <w:snapToGrid w:val="0"/>
        <w:spacing w:line="500" w:lineRule="exact"/>
        <w:jc w:val="both"/>
        <w:rPr>
          <w:rFonts w:hAnsi="宋体" w:cs="宋体"/>
          <w:spacing w:val="6"/>
          <w:szCs w:val="21"/>
        </w:rPr>
      </w:pPr>
      <w:r>
        <w:rPr>
          <w:rFonts w:hint="eastAsia" w:hAnsi="宋体" w:cs="宋体"/>
          <w:kern w:val="0"/>
          <w:szCs w:val="21"/>
        </w:rPr>
        <w:t xml:space="preserve">  B.法定代表人或负责人或实际控制人是夫妻关系</w:t>
      </w:r>
    </w:p>
    <w:p w14:paraId="58C88644">
      <w:pPr>
        <w:pStyle w:val="38"/>
        <w:widowControl w:val="0"/>
        <w:snapToGrid w:val="0"/>
        <w:spacing w:line="500" w:lineRule="exact"/>
        <w:jc w:val="both"/>
        <w:rPr>
          <w:rFonts w:hAnsi="宋体" w:cs="宋体"/>
          <w:spacing w:val="6"/>
          <w:szCs w:val="21"/>
        </w:rPr>
      </w:pPr>
      <w:r>
        <w:rPr>
          <w:rFonts w:hint="eastAsia" w:hAnsi="宋体" w:cs="宋体"/>
          <w:kern w:val="0"/>
          <w:szCs w:val="21"/>
        </w:rPr>
        <w:t xml:space="preserve">  C.法定代表人或负责人或实际控制人是直系血亲关系</w:t>
      </w:r>
    </w:p>
    <w:p w14:paraId="19EB5BF5">
      <w:pPr>
        <w:pStyle w:val="38"/>
        <w:widowControl w:val="0"/>
        <w:snapToGrid w:val="0"/>
        <w:spacing w:line="500" w:lineRule="exact"/>
        <w:jc w:val="both"/>
        <w:rPr>
          <w:rFonts w:hAnsi="宋体" w:cs="宋体"/>
          <w:spacing w:val="6"/>
          <w:szCs w:val="21"/>
        </w:rPr>
      </w:pPr>
      <w:r>
        <w:rPr>
          <w:rFonts w:hint="eastAsia" w:hAnsi="宋体" w:cs="宋体"/>
          <w:kern w:val="0"/>
          <w:szCs w:val="21"/>
        </w:rPr>
        <w:t xml:space="preserve">  D.法定代表人或负责人或实际控制人存在三代以内旁系血亲关系</w:t>
      </w:r>
    </w:p>
    <w:p w14:paraId="01863A44">
      <w:pPr>
        <w:pStyle w:val="38"/>
        <w:widowControl w:val="0"/>
        <w:snapToGrid w:val="0"/>
        <w:spacing w:line="500" w:lineRule="exact"/>
        <w:jc w:val="both"/>
        <w:rPr>
          <w:rFonts w:hAnsi="宋体" w:cs="宋体"/>
          <w:kern w:val="0"/>
          <w:szCs w:val="21"/>
        </w:rPr>
      </w:pPr>
      <w:r>
        <w:rPr>
          <w:rFonts w:hint="eastAsia" w:hAnsi="宋体" w:cs="宋体"/>
          <w:kern w:val="0"/>
          <w:szCs w:val="21"/>
        </w:rPr>
        <w:t xml:space="preserve">  E.法定代表人或负责人或实际控制人存在近姻亲关系</w:t>
      </w:r>
    </w:p>
    <w:p w14:paraId="146D5375">
      <w:pPr>
        <w:pStyle w:val="38"/>
        <w:widowControl w:val="0"/>
        <w:snapToGrid w:val="0"/>
        <w:spacing w:line="500" w:lineRule="exact"/>
        <w:jc w:val="both"/>
        <w:rPr>
          <w:rFonts w:hAnsi="宋体" w:cs="宋体"/>
          <w:kern w:val="0"/>
          <w:szCs w:val="21"/>
        </w:rPr>
      </w:pPr>
      <w:r>
        <w:rPr>
          <w:rFonts w:hint="eastAsia" w:hAnsi="宋体" w:cs="宋体"/>
          <w:kern w:val="0"/>
          <w:szCs w:val="21"/>
        </w:rPr>
        <w:t xml:space="preserve">  F.法定代表人或负责人或实际控制人存在股份控制或实际控制关系</w:t>
      </w:r>
    </w:p>
    <w:p w14:paraId="3FE8CFF9">
      <w:pPr>
        <w:pStyle w:val="38"/>
        <w:widowControl w:val="0"/>
        <w:snapToGrid w:val="0"/>
        <w:spacing w:line="500" w:lineRule="exact"/>
        <w:jc w:val="both"/>
        <w:outlineLvl w:val="0"/>
        <w:rPr>
          <w:rFonts w:hAnsi="宋体" w:cs="宋体"/>
          <w:kern w:val="0"/>
          <w:szCs w:val="21"/>
        </w:rPr>
      </w:pPr>
      <w:r>
        <w:rPr>
          <w:rFonts w:hint="eastAsia" w:hAnsi="宋体" w:cs="宋体"/>
          <w:kern w:val="0"/>
          <w:szCs w:val="21"/>
        </w:rPr>
        <w:t xml:space="preserve">  G.存在共同直接或间接投资设立子公司、联营企业和合营企业情况</w:t>
      </w:r>
    </w:p>
    <w:p w14:paraId="22589320">
      <w:pPr>
        <w:pStyle w:val="38"/>
        <w:widowControl w:val="0"/>
        <w:snapToGrid w:val="0"/>
        <w:spacing w:line="500" w:lineRule="exact"/>
        <w:jc w:val="both"/>
        <w:rPr>
          <w:rFonts w:hAnsi="宋体" w:cs="宋体"/>
          <w:szCs w:val="21"/>
        </w:rPr>
      </w:pPr>
      <w:r>
        <w:rPr>
          <w:rFonts w:hint="eastAsia" w:hAnsi="宋体" w:cs="宋体"/>
          <w:kern w:val="0"/>
          <w:szCs w:val="21"/>
        </w:rPr>
        <w:t xml:space="preserve">  H.存在分级代理或代销关系、同一生产制造商关系、</w:t>
      </w:r>
      <w:r>
        <w:rPr>
          <w:rFonts w:hint="eastAsia" w:hAnsi="宋体" w:cs="宋体"/>
          <w:szCs w:val="21"/>
        </w:rPr>
        <w:t>管理关系、重要业务（占主营业务收入50%以上）或重要财务往来关系（如融资）等其他实质性控制关系</w:t>
      </w:r>
    </w:p>
    <w:p w14:paraId="0A301860">
      <w:pPr>
        <w:pStyle w:val="38"/>
        <w:widowControl w:val="0"/>
        <w:snapToGrid w:val="0"/>
        <w:spacing w:line="500" w:lineRule="exact"/>
        <w:jc w:val="both"/>
        <w:rPr>
          <w:rFonts w:hAnsi="宋体" w:cs="宋体"/>
          <w:spacing w:val="6"/>
          <w:szCs w:val="21"/>
        </w:rPr>
      </w:pPr>
      <w:r>
        <w:rPr>
          <w:rFonts w:hint="eastAsia" w:hAnsi="宋体" w:cs="宋体"/>
          <w:szCs w:val="21"/>
        </w:rPr>
        <w:t xml:space="preserve">  I</w:t>
      </w:r>
      <w:r>
        <w:rPr>
          <w:rFonts w:hint="eastAsia" w:hAnsi="宋体" w:cs="宋体"/>
          <w:kern w:val="0"/>
          <w:szCs w:val="21"/>
        </w:rPr>
        <w:t>.</w:t>
      </w:r>
      <w:r>
        <w:rPr>
          <w:rFonts w:hint="eastAsia" w:hAnsi="宋体" w:cs="宋体"/>
          <w:szCs w:val="21"/>
        </w:rPr>
        <w:t>其他利害关系情况</w:t>
      </w:r>
      <w:r>
        <w:rPr>
          <w:rFonts w:hint="eastAsia" w:hAnsi="宋体" w:cs="宋体"/>
          <w:szCs w:val="21"/>
          <w:u w:val="single"/>
        </w:rPr>
        <w:t xml:space="preserve">                              </w:t>
      </w:r>
      <w:r>
        <w:rPr>
          <w:rFonts w:hint="eastAsia" w:hAnsi="宋体" w:cs="宋体"/>
          <w:kern w:val="0"/>
          <w:szCs w:val="21"/>
        </w:rPr>
        <w:t>。</w:t>
      </w:r>
    </w:p>
    <w:p w14:paraId="14275D9B">
      <w:pPr>
        <w:pStyle w:val="39"/>
        <w:widowControl/>
        <w:snapToGrid w:val="0"/>
        <w:spacing w:line="500" w:lineRule="exact"/>
        <w:ind w:firstLine="210" w:firstLineChars="100"/>
        <w:rPr>
          <w:rFonts w:ascii="宋体" w:hAnsi="宋体" w:cs="宋体"/>
          <w:kern w:val="0"/>
          <w:szCs w:val="21"/>
        </w:rPr>
      </w:pPr>
      <w:r>
        <w:rPr>
          <w:rFonts w:hint="eastAsia" w:ascii="宋体" w:hAnsi="宋体" w:cs="宋体"/>
          <w:szCs w:val="21"/>
        </w:rPr>
        <w:t>三、现已清楚知道并</w:t>
      </w:r>
      <w:r>
        <w:rPr>
          <w:rFonts w:hint="eastAsia" w:ascii="宋体" w:hAnsi="宋体" w:cs="宋体"/>
          <w:kern w:val="0"/>
          <w:szCs w:val="21"/>
        </w:rPr>
        <w:t>严格遵守政府采购法律法规和现场纪律。</w:t>
      </w:r>
    </w:p>
    <w:p w14:paraId="2D9B7490">
      <w:pPr>
        <w:pStyle w:val="39"/>
        <w:widowControl/>
        <w:snapToGrid w:val="0"/>
        <w:spacing w:line="500" w:lineRule="exact"/>
        <w:ind w:firstLine="210" w:firstLineChars="100"/>
        <w:rPr>
          <w:rFonts w:ascii="宋体" w:hAnsi="宋体" w:cs="宋体"/>
          <w:kern w:val="0"/>
          <w:szCs w:val="21"/>
        </w:rPr>
      </w:pPr>
      <w:r>
        <w:rPr>
          <w:rFonts w:hint="eastAsia" w:ascii="宋体" w:hAnsi="宋体" w:cs="宋体"/>
          <w:kern w:val="0"/>
          <w:szCs w:val="21"/>
        </w:rPr>
        <w:t>四、</w:t>
      </w:r>
      <w:r>
        <w:rPr>
          <w:rFonts w:hint="eastAsia" w:ascii="宋体" w:hAnsi="宋体" w:cs="宋体"/>
          <w:kern w:val="0"/>
          <w:szCs w:val="21"/>
          <w:u w:val="single"/>
        </w:rPr>
        <w:t xml:space="preserve">我发现                    </w:t>
      </w:r>
      <w:r>
        <w:rPr>
          <w:rFonts w:hint="eastAsia" w:ascii="宋体" w:hAnsi="宋体" w:cs="宋体"/>
          <w:kern w:val="0"/>
          <w:szCs w:val="21"/>
        </w:rPr>
        <w:t>供应商之间存在或可能存在上述第二条第</w:t>
      </w:r>
      <w:r>
        <w:rPr>
          <w:rFonts w:hint="eastAsia" w:ascii="宋体" w:hAnsi="宋体" w:cs="宋体"/>
          <w:kern w:val="0"/>
          <w:szCs w:val="21"/>
          <w:u w:val="single"/>
        </w:rPr>
        <w:t xml:space="preserve">        </w:t>
      </w:r>
      <w:r>
        <w:rPr>
          <w:rFonts w:hint="eastAsia" w:ascii="宋体" w:hAnsi="宋体" w:cs="宋体"/>
          <w:kern w:val="0"/>
          <w:szCs w:val="21"/>
        </w:rPr>
        <w:t>项利害关系。</w:t>
      </w:r>
    </w:p>
    <w:p w14:paraId="6D539573">
      <w:pPr>
        <w:pStyle w:val="38"/>
        <w:widowControl w:val="0"/>
        <w:snapToGrid w:val="0"/>
        <w:spacing w:line="500" w:lineRule="exact"/>
        <w:jc w:val="both"/>
        <w:rPr>
          <w:rFonts w:hAnsi="宋体" w:cs="宋体"/>
          <w:szCs w:val="21"/>
        </w:rPr>
      </w:pPr>
      <w:r>
        <w:rPr>
          <w:rFonts w:hint="eastAsia" w:hAnsi="宋体" w:cs="宋体"/>
          <w:szCs w:val="21"/>
        </w:rPr>
        <w:t xml:space="preserve">                                        供应商代表签名：</w:t>
      </w:r>
    </w:p>
    <w:p w14:paraId="2486277E">
      <w:pPr>
        <w:spacing w:afterLines="100" w:line="600" w:lineRule="exact"/>
        <w:jc w:val="center"/>
        <w:rPr>
          <w:rFonts w:ascii="宋体" w:hAnsi="宋体" w:eastAsia="宋体" w:cs="宋体"/>
          <w:sz w:val="21"/>
          <w:szCs w:val="21"/>
        </w:rPr>
      </w:pPr>
      <w:r>
        <w:rPr>
          <w:rFonts w:hint="eastAsia" w:ascii="宋体" w:hAnsi="宋体" w:eastAsia="宋体" w:cs="宋体"/>
          <w:sz w:val="21"/>
          <w:szCs w:val="21"/>
        </w:rPr>
        <w:t xml:space="preserve">                                     2025年   月   日</w:t>
      </w:r>
    </w:p>
    <w:p w14:paraId="6A39B846">
      <w:pPr>
        <w:pStyle w:val="7"/>
        <w:snapToGrid w:val="0"/>
        <w:spacing w:after="0"/>
        <w:rPr>
          <w:rFonts w:ascii="宋体" w:hAnsi="宋体" w:cs="宋体"/>
          <w:b/>
          <w:bCs/>
          <w:sz w:val="20"/>
          <w:szCs w:val="20"/>
        </w:rPr>
      </w:pPr>
      <w:r>
        <w:rPr>
          <w:rFonts w:hint="eastAsia" w:ascii="宋体" w:hAnsi="宋体" w:eastAsia="宋体" w:cs="宋体"/>
          <w:b/>
          <w:sz w:val="24"/>
          <w:szCs w:val="24"/>
        </w:rPr>
        <w:t>注：</w:t>
      </w:r>
      <w:r>
        <w:rPr>
          <w:rFonts w:hint="eastAsia" w:ascii="宋体" w:hAnsi="宋体" w:cs="宋体"/>
          <w:b/>
          <w:bCs/>
          <w:sz w:val="20"/>
          <w:szCs w:val="20"/>
        </w:rPr>
        <w:t>1、本声明书非响应文件的组成内容，无须在响应文件中提供。</w:t>
      </w:r>
    </w:p>
    <w:p w14:paraId="01870C48">
      <w:pPr>
        <w:pStyle w:val="6"/>
        <w:ind w:firstLine="0"/>
        <w:jc w:val="left"/>
        <w:rPr>
          <w:rFonts w:ascii="宋体" w:hAnsi="宋体" w:eastAsia="宋体" w:cs="宋体"/>
          <w:b/>
          <w:sz w:val="24"/>
          <w:szCs w:val="24"/>
        </w:rPr>
      </w:pPr>
      <w:r>
        <w:rPr>
          <w:rFonts w:hint="eastAsia" w:ascii="宋体" w:hAnsi="宋体" w:cs="宋体"/>
          <w:b/>
          <w:bCs/>
          <w:sz w:val="20"/>
        </w:rPr>
        <w:t>2、各供应商需提前打印本表，待标书件解密结束后，签署完毕后上传至钉钉直播群或发送至</w:t>
      </w:r>
      <w:r>
        <w:rPr>
          <w:rFonts w:hint="eastAsia" w:ascii="宋体" w:hAnsi="宋体" w:eastAsia="宋体" w:cs="宋体"/>
          <w:b/>
          <w:bCs/>
          <w:sz w:val="20"/>
          <w:lang w:eastAsia="zh-CN"/>
        </w:rPr>
        <w:t>501431643@qq.com</w:t>
      </w:r>
      <w:r>
        <w:rPr>
          <w:rFonts w:hint="eastAsia" w:ascii="宋体" w:hAnsi="宋体" w:cs="宋体"/>
          <w:b/>
          <w:bCs/>
          <w:sz w:val="20"/>
        </w:rPr>
        <w:t>邮箱，如未发送，造成的后果由供应商自行承担。</w:t>
      </w:r>
      <w:bookmarkEnd w:id="511"/>
      <w:bookmarkEnd w:id="512"/>
      <w:bookmarkEnd w:id="513"/>
      <w:bookmarkEnd w:id="514"/>
      <w:bookmarkEnd w:id="515"/>
      <w:bookmarkEnd w:id="516"/>
      <w:bookmarkEnd w:id="517"/>
    </w:p>
    <w:sectPr>
      <w:headerReference r:id="rId12" w:type="default"/>
      <w:footerReference r:id="rId13" w:type="default"/>
      <w:pgSz w:w="11906" w:h="16838"/>
      <w:pgMar w:top="1440" w:right="1440" w:bottom="1440" w:left="1440" w:header="851" w:footer="992"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swiss"/>
    <w:pitch w:val="default"/>
    <w:sig w:usb0="E0002AFF" w:usb1="C0007841" w:usb2="00000009" w:usb3="00000000" w:csb0="400001FF" w:csb1="FFFF0000"/>
  </w:font>
  <w:font w:name="宋体">
    <w:panose1 w:val="02010600030101010101"/>
    <w:charset w:val="52"/>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Verdana">
    <w:panose1 w:val="020B0604030504040204"/>
    <w:charset w:val="00"/>
    <w:family w:val="swiss"/>
    <w:pitch w:val="default"/>
    <w:sig w:usb0="A10006FF" w:usb1="4000205B" w:usb2="00000010" w:usb3="00000000" w:csb0="2000019F"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华文行楷">
    <w:panose1 w:val="02010800040101010101"/>
    <w:charset w:val="86"/>
    <w:family w:val="auto"/>
    <w:pitch w:val="default"/>
    <w:sig w:usb0="00000001" w:usb1="080F0000" w:usb2="00000000" w:usb3="00000000" w:csb0="00040000" w:csb1="00000000"/>
  </w:font>
  <w:font w:name="微软雅黑">
    <w:panose1 w:val="020B0503020204020204"/>
    <w:charset w:val="86"/>
    <w:family w:val="swiss"/>
    <w:pitch w:val="default"/>
    <w:sig w:usb0="80000287" w:usb1="280F3C52" w:usb2="00000016" w:usb3="00000000" w:csb0="0004001F" w:csb1="00000000"/>
  </w:font>
  <w:font w:name="_x000B__x000C_">
    <w:altName w:val="Times New Roman"/>
    <w:panose1 w:val="00000000000000000000"/>
    <w:charset w:val="01"/>
    <w:family w:val="roman"/>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9A393C">
    <w:pPr>
      <w:pStyle w:val="12"/>
      <w:jc w:val="center"/>
    </w:pPr>
    <w:r>
      <w:fldChar w:fldCharType="begin"/>
    </w:r>
    <w:r>
      <w:rPr>
        <w:rStyle w:val="25"/>
      </w:rPr>
      <w:instrText xml:space="preserve"> PAGE </w:instrText>
    </w:r>
    <w:r>
      <w:fldChar w:fldCharType="separate"/>
    </w:r>
    <w:r>
      <w:rPr>
        <w:rStyle w:val="25"/>
      </w:rPr>
      <w:t>11</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0A4494">
    <w:pPr>
      <w:pStyle w:val="12"/>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7D167A">
    <w:pPr>
      <w:pStyle w:val="12"/>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F02684">
    <w:pPr>
      <w:framePr w:wrap="around" w:vAnchor="text" w:hAnchor="page" w:x="5897" w:y="97"/>
      <w:snapToGrid w:val="0"/>
      <w:jc w:val="left"/>
      <w:rPr>
        <w:rFonts w:ascii="Times New Roman" w:hAnsi="Times New Roman" w:eastAsia="仿宋_GB2312"/>
        <w:sz w:val="18"/>
        <w:szCs w:val="20"/>
      </w:rPr>
    </w:pPr>
    <w:r>
      <w:rPr>
        <w:rFonts w:ascii="Times New Roman" w:hAnsi="Times New Roman" w:eastAsia="仿宋_GB2312"/>
        <w:sz w:val="18"/>
        <w:szCs w:val="20"/>
      </w:rPr>
      <w:fldChar w:fldCharType="begin"/>
    </w:r>
    <w:r>
      <w:rPr>
        <w:rFonts w:ascii="Times New Roman" w:hAnsi="Times New Roman" w:eastAsia="宋体"/>
        <w:sz w:val="18"/>
        <w:szCs w:val="20"/>
        <w:vertAlign w:val="superscript"/>
      </w:rPr>
      <w:instrText xml:space="preserve">PAGE  </w:instrText>
    </w:r>
    <w:r>
      <w:rPr>
        <w:rFonts w:ascii="Times New Roman" w:hAnsi="Times New Roman" w:eastAsia="仿宋_GB2312"/>
        <w:sz w:val="18"/>
        <w:szCs w:val="20"/>
      </w:rPr>
      <w:fldChar w:fldCharType="separate"/>
    </w:r>
    <w:r>
      <w:rPr>
        <w:rFonts w:ascii="Times New Roman" w:hAnsi="Times New Roman" w:eastAsia="宋体"/>
        <w:sz w:val="18"/>
        <w:szCs w:val="20"/>
        <w:vertAlign w:val="superscript"/>
      </w:rPr>
      <w:t>70</w:t>
    </w:r>
    <w:r>
      <w:rPr>
        <w:rFonts w:ascii="Times New Roman" w:hAnsi="Times New Roman" w:eastAsia="仿宋_GB2312"/>
        <w:sz w:val="18"/>
        <w:szCs w:val="20"/>
      </w:rPr>
      <w:fldChar w:fldCharType="end"/>
    </w:r>
  </w:p>
  <w:p w14:paraId="00D241A3">
    <w:pPr>
      <w:snapToGrid w:val="0"/>
      <w:ind w:right="360"/>
      <w:jc w:val="left"/>
      <w:rPr>
        <w:rFonts w:ascii="Times New Roman" w:hAnsi="Times New Roman" w:eastAsia="仿宋_GB2312"/>
        <w:sz w:val="18"/>
        <w:szCs w:val="20"/>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0AFB12">
    <w:pPr>
      <w:pStyle w:val="12"/>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1D8C007F">
                          <w:pPr>
                            <w:pStyle w:val="12"/>
                          </w:pPr>
                          <w:r>
                            <w:fldChar w:fldCharType="begin"/>
                          </w:r>
                          <w:r>
                            <w:instrText xml:space="preserve"> PAGE  \* MERGEFORMAT </w:instrText>
                          </w:r>
                          <w:r>
                            <w:fldChar w:fldCharType="separate"/>
                          </w:r>
                          <w:r>
                            <w:t>60</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NIka7DICAABjBAAADgAAAAAAAAABACAAAAAfAQAAZHJzL2Uyb0RvYy54bWxQSwUG&#10;AAAAAAYABgBZAQAAwwUAAAAA&#10;">
              <v:fill on="f" focussize="0,0"/>
              <v:stroke on="f" weight="0.5pt"/>
              <v:imagedata o:title=""/>
              <o:lock v:ext="edit" aspectratio="f"/>
              <v:textbox inset="0mm,0mm,0mm,0mm" style="mso-fit-shape-to-text:t;">
                <w:txbxContent>
                  <w:p w14:paraId="1D8C007F">
                    <w:pPr>
                      <w:pStyle w:val="12"/>
                    </w:pPr>
                    <w:r>
                      <w:fldChar w:fldCharType="begin"/>
                    </w:r>
                    <w:r>
                      <w:instrText xml:space="preserve"> PAGE  \* MERGEFORMAT </w:instrText>
                    </w:r>
                    <w:r>
                      <w:fldChar w:fldCharType="separate"/>
                    </w:r>
                    <w:r>
                      <w:t>60</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2B2E87">
    <w:pPr>
      <w:pStyle w:val="12"/>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42DE9F83">
                          <w:pPr>
                            <w:pStyle w:val="12"/>
                          </w:pPr>
                          <w:r>
                            <w:fldChar w:fldCharType="begin"/>
                          </w:r>
                          <w:r>
                            <w:instrText xml:space="preserve"> PAGE  \* MERGEFORMAT </w:instrText>
                          </w:r>
                          <w:r>
                            <w:fldChar w:fldCharType="separate"/>
                          </w:r>
                          <w:r>
                            <w:t>76</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B4HF0wAgAAYw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QxQHSzMMBESn3p0Qrtvh34&#10;7E1xBk1n+jnxlm9qlLJlPjwwh8FA+Xg64R5LKQ1SmsGipDLuy7/OYzz6BS8lDQYtpxrvihL5XqOP&#10;AAyj4UZjPxr6qO4MJhe9QS2diQsuyNEsnVGf8Z5WMQdcTHNkymkYzbvQDzveIxerVReEybMsbPXO&#10;8ggd5fF2dQyQs1M5itIrge7EDWav69PwTuJw/7nvoh7/Dcv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s0lY7tAAAAAFAQAADwAAAAAAAAABACAAAAAiAAAAZHJzL2Rvd25yZXYueG1sUEsBAhQAFAAA&#10;AAgAh07iQFB4HF0wAgAAYwQAAA4AAAAAAAAAAQAgAAAAHwEAAGRycy9lMm9Eb2MueG1sUEsFBgAA&#10;AAAGAAYAWQEAAMEFAAAAAA==&#10;">
              <v:fill on="f" focussize="0,0"/>
              <v:stroke on="f" weight="0.5pt"/>
              <v:imagedata o:title=""/>
              <o:lock v:ext="edit" aspectratio="f"/>
              <v:textbox inset="0mm,0mm,0mm,0mm" style="mso-fit-shape-to-text:t;">
                <w:txbxContent>
                  <w:p w14:paraId="42DE9F83">
                    <w:pPr>
                      <w:pStyle w:val="12"/>
                    </w:pPr>
                    <w:r>
                      <w:fldChar w:fldCharType="begin"/>
                    </w:r>
                    <w:r>
                      <w:instrText xml:space="preserve"> PAGE  \* MERGEFORMAT </w:instrText>
                    </w:r>
                    <w:r>
                      <w:fldChar w:fldCharType="separate"/>
                    </w:r>
                    <w:r>
                      <w:t>76</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7BC8FF">
    <w:pPr>
      <w:pStyle w:val="13"/>
      <w:ind w:right="360"/>
      <w:jc w:val="left"/>
      <w:rPr>
        <w:rFonts w:ascii="宋体" w:hAnsi="宋体"/>
      </w:rPr>
    </w:pPr>
    <w:r>
      <w:rPr>
        <w:rFonts w:hint="eastAsia" w:ascii="宋体" w:hAnsi="宋体"/>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0C4731">
    <w:pPr>
      <w:pStyle w:val="13"/>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C63641">
    <w:pPr>
      <w:pStyle w:val="13"/>
      <w:pBdr>
        <w:bottom w:val="none" w:color="auto" w:sz="0" w:space="0"/>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64C6A6">
    <w:pPr>
      <w:spacing w:line="20" w:lineRule="atLeast"/>
      <w:rPr>
        <w:b/>
        <w:color w:val="808080"/>
        <w:sz w:val="10"/>
        <w:u w:val="single"/>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FB235D">
    <w:pPr>
      <w:spacing w:line="20" w:lineRule="atLeast"/>
      <w:rPr>
        <w:b/>
        <w:color w:val="808080"/>
        <w:sz w:val="10"/>
        <w:u w:val="single"/>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569491F"/>
    <w:multiLevelType w:val="multilevel"/>
    <w:tmpl w:val="E569491F"/>
    <w:lvl w:ilvl="0" w:tentative="0">
      <w:start w:val="1"/>
      <w:numFmt w:val="chineseCountingThousand"/>
      <w:lvlText w:val="%1、"/>
      <w:lvlJc w:val="left"/>
      <w:pPr>
        <w:tabs>
          <w:tab w:val="left" w:pos="0"/>
        </w:tabs>
        <w:ind w:left="420" w:hanging="420"/>
      </w:pPr>
    </w:lvl>
    <w:lvl w:ilvl="1" w:tentative="0">
      <w:start w:val="1"/>
      <w:numFmt w:val="lowerLetter"/>
      <w:lvlText w:val="%2)"/>
      <w:lvlJc w:val="left"/>
      <w:pPr>
        <w:tabs>
          <w:tab w:val="left" w:pos="0"/>
        </w:tabs>
        <w:ind w:left="840" w:hanging="420"/>
      </w:pPr>
    </w:lvl>
    <w:lvl w:ilvl="2" w:tentative="0">
      <w:start w:val="1"/>
      <w:numFmt w:val="lowerRoman"/>
      <w:lvlText w:val="%3."/>
      <w:lvlJc w:val="right"/>
      <w:pPr>
        <w:tabs>
          <w:tab w:val="left" w:pos="0"/>
        </w:tabs>
        <w:ind w:left="1260" w:hanging="420"/>
      </w:pPr>
    </w:lvl>
    <w:lvl w:ilvl="3" w:tentative="0">
      <w:start w:val="1"/>
      <w:numFmt w:val="decimal"/>
      <w:lvlText w:val="%4."/>
      <w:lvlJc w:val="left"/>
      <w:pPr>
        <w:tabs>
          <w:tab w:val="left" w:pos="0"/>
        </w:tabs>
        <w:ind w:left="1680" w:hanging="420"/>
      </w:pPr>
    </w:lvl>
    <w:lvl w:ilvl="4" w:tentative="0">
      <w:start w:val="1"/>
      <w:numFmt w:val="lowerLetter"/>
      <w:lvlText w:val="%5)"/>
      <w:lvlJc w:val="left"/>
      <w:pPr>
        <w:tabs>
          <w:tab w:val="left" w:pos="0"/>
        </w:tabs>
        <w:ind w:left="2100" w:hanging="420"/>
      </w:pPr>
    </w:lvl>
    <w:lvl w:ilvl="5" w:tentative="0">
      <w:start w:val="1"/>
      <w:numFmt w:val="lowerRoman"/>
      <w:lvlText w:val="%6."/>
      <w:lvlJc w:val="right"/>
      <w:pPr>
        <w:tabs>
          <w:tab w:val="left" w:pos="0"/>
        </w:tabs>
        <w:ind w:left="2520" w:hanging="420"/>
      </w:pPr>
    </w:lvl>
    <w:lvl w:ilvl="6" w:tentative="0">
      <w:start w:val="1"/>
      <w:numFmt w:val="decimal"/>
      <w:lvlText w:val="%7."/>
      <w:lvlJc w:val="left"/>
      <w:pPr>
        <w:tabs>
          <w:tab w:val="left" w:pos="0"/>
        </w:tabs>
        <w:ind w:left="2940" w:hanging="420"/>
      </w:pPr>
    </w:lvl>
    <w:lvl w:ilvl="7" w:tentative="0">
      <w:start w:val="1"/>
      <w:numFmt w:val="lowerLetter"/>
      <w:lvlText w:val="%8)"/>
      <w:lvlJc w:val="left"/>
      <w:pPr>
        <w:tabs>
          <w:tab w:val="left" w:pos="0"/>
        </w:tabs>
        <w:ind w:left="3360" w:hanging="420"/>
      </w:pPr>
    </w:lvl>
    <w:lvl w:ilvl="8" w:tentative="0">
      <w:start w:val="1"/>
      <w:numFmt w:val="lowerRoman"/>
      <w:lvlText w:val="%9."/>
      <w:lvlJc w:val="right"/>
      <w:pPr>
        <w:tabs>
          <w:tab w:val="left" w:pos="0"/>
        </w:tabs>
        <w:ind w:left="3780" w:hanging="420"/>
      </w:pPr>
    </w:lvl>
  </w:abstractNum>
  <w:abstractNum w:abstractNumId="1">
    <w:nsid w:val="0E0C1C19"/>
    <w:multiLevelType w:val="multilevel"/>
    <w:tmpl w:val="0E0C1C19"/>
    <w:lvl w:ilvl="0" w:tentative="0">
      <w:start w:val="1"/>
      <w:numFmt w:val="lowerLetter"/>
      <w:suff w:val="nothing"/>
      <w:lvlText w:val="%1、"/>
      <w:lvlJc w:val="left"/>
      <w:pPr>
        <w:ind w:left="0" w:firstLine="0"/>
      </w:pPr>
      <w:rPr>
        <w:rFonts w:ascii="Times New Roman" w:hAnsi="Times New Roman" w:eastAsia="仿宋_GB2312" w:cs="Times New Roman"/>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2">
    <w:nsid w:val="1B627CB7"/>
    <w:multiLevelType w:val="singleLevel"/>
    <w:tmpl w:val="1B627CB7"/>
    <w:lvl w:ilvl="0" w:tentative="0">
      <w:start w:val="2"/>
      <w:numFmt w:val="decimal"/>
      <w:suff w:val="nothing"/>
      <w:lvlText w:val="%1、"/>
      <w:lvlJc w:val="left"/>
    </w:lvl>
  </w:abstractNum>
  <w:abstractNum w:abstractNumId="3">
    <w:nsid w:val="5785A662"/>
    <w:multiLevelType w:val="singleLevel"/>
    <w:tmpl w:val="5785A662"/>
    <w:lvl w:ilvl="0" w:tentative="0">
      <w:start w:val="2"/>
      <w:numFmt w:val="decimal"/>
      <w:suff w:val="nothing"/>
      <w:lvlText w:val="%1."/>
      <w:lvlJc w:val="left"/>
    </w:lvl>
  </w:abstractNum>
  <w:abstractNum w:abstractNumId="4">
    <w:nsid w:val="591A6E74"/>
    <w:multiLevelType w:val="singleLevel"/>
    <w:tmpl w:val="591A6E74"/>
    <w:lvl w:ilvl="0" w:tentative="0">
      <w:start w:val="6"/>
      <w:numFmt w:val="chineseCounting"/>
      <w:suff w:val="nothing"/>
      <w:lvlText w:val="%1、"/>
      <w:lvlJc w:val="left"/>
    </w:lvl>
  </w:abstractNum>
  <w:abstractNum w:abstractNumId="5">
    <w:nsid w:val="713AF83E"/>
    <w:multiLevelType w:val="singleLevel"/>
    <w:tmpl w:val="713AF83E"/>
    <w:lvl w:ilvl="0" w:tentative="0">
      <w:start w:val="5"/>
      <w:numFmt w:val="chineseCounting"/>
      <w:suff w:val="space"/>
      <w:lvlText w:val="第%1部分"/>
      <w:lvlJc w:val="left"/>
      <w:rPr>
        <w:rFonts w:hint="eastAsia"/>
      </w:rPr>
    </w:lvl>
  </w:abstractNum>
  <w:num w:numId="1">
    <w:abstractNumId w:val="0"/>
    <w:lvlOverride w:ilvl="0">
      <w:lvl w:ilvl="0" w:tentative="1">
        <w:start w:val="1"/>
        <w:numFmt w:val="chineseCountingThousand"/>
        <w:suff w:val="space"/>
        <w:lvlText w:val="%1、"/>
        <w:lvlJc w:val="left"/>
        <w:pPr>
          <w:ind w:left="420" w:hanging="420"/>
        </w:pPr>
      </w:lvl>
    </w:lvlOverride>
    <w:lvlOverride w:ilvl="1">
      <w:lvl w:ilvl="1" w:tentative="1">
        <w:start w:val="1"/>
        <w:numFmt w:val="lowerLetter"/>
        <w:lvlRestart w:val="0"/>
        <w:lvlText w:val="%2)"/>
        <w:lvlJc w:val="left"/>
        <w:pPr>
          <w:ind w:left="840" w:hanging="420"/>
        </w:pPr>
      </w:lvl>
    </w:lvlOverride>
    <w:lvlOverride w:ilvl="2">
      <w:lvl w:ilvl="2" w:tentative="1">
        <w:start w:val="1"/>
        <w:numFmt w:val="lowerRoman"/>
        <w:lvlRestart w:val="0"/>
        <w:lvlText w:val="%3."/>
        <w:lvlJc w:val="right"/>
        <w:pPr>
          <w:ind w:left="1260" w:hanging="420"/>
        </w:pPr>
      </w:lvl>
    </w:lvlOverride>
    <w:lvlOverride w:ilvl="3">
      <w:lvl w:ilvl="3" w:tentative="1">
        <w:start w:val="1"/>
        <w:numFmt w:val="decimal"/>
        <w:lvlRestart w:val="0"/>
        <w:lvlText w:val="%4."/>
        <w:lvlJc w:val="left"/>
        <w:pPr>
          <w:ind w:left="1680" w:hanging="420"/>
        </w:pPr>
      </w:lvl>
    </w:lvlOverride>
    <w:lvlOverride w:ilvl="4">
      <w:lvl w:ilvl="4" w:tentative="1">
        <w:start w:val="1"/>
        <w:numFmt w:val="lowerLetter"/>
        <w:lvlRestart w:val="0"/>
        <w:lvlText w:val="%5)"/>
        <w:lvlJc w:val="left"/>
        <w:pPr>
          <w:ind w:left="2100" w:hanging="420"/>
        </w:pPr>
      </w:lvl>
    </w:lvlOverride>
    <w:lvlOverride w:ilvl="5">
      <w:lvl w:ilvl="5" w:tentative="1">
        <w:start w:val="1"/>
        <w:numFmt w:val="lowerRoman"/>
        <w:lvlRestart w:val="0"/>
        <w:lvlText w:val="%6."/>
        <w:lvlJc w:val="right"/>
        <w:pPr>
          <w:ind w:left="2520" w:hanging="420"/>
        </w:pPr>
      </w:lvl>
    </w:lvlOverride>
    <w:lvlOverride w:ilvl="6">
      <w:lvl w:ilvl="6" w:tentative="1">
        <w:start w:val="1"/>
        <w:numFmt w:val="decimal"/>
        <w:lvlRestart w:val="0"/>
        <w:lvlText w:val="%7."/>
        <w:lvlJc w:val="left"/>
        <w:pPr>
          <w:ind w:left="2940" w:hanging="420"/>
        </w:pPr>
      </w:lvl>
    </w:lvlOverride>
    <w:lvlOverride w:ilvl="7">
      <w:lvl w:ilvl="7" w:tentative="1">
        <w:start w:val="1"/>
        <w:numFmt w:val="lowerLetter"/>
        <w:lvlRestart w:val="0"/>
        <w:lvlText w:val="%8)"/>
        <w:lvlJc w:val="left"/>
        <w:pPr>
          <w:ind w:left="3360" w:hanging="420"/>
        </w:pPr>
      </w:lvl>
    </w:lvlOverride>
    <w:lvlOverride w:ilvl="8">
      <w:lvl w:ilvl="8" w:tentative="1">
        <w:start w:val="1"/>
        <w:numFmt w:val="lowerRoman"/>
        <w:lvlRestart w:val="0"/>
        <w:lvlText w:val="%9."/>
        <w:lvlJc w:val="right"/>
        <w:pPr>
          <w:ind w:left="3780" w:hanging="420"/>
        </w:pPr>
      </w:lvl>
    </w:lvlOverride>
  </w:num>
  <w:num w:numId="2">
    <w:abstractNumId w:val="2"/>
  </w:num>
  <w:num w:numId="3">
    <w:abstractNumId w:val="5"/>
  </w:num>
  <w:num w:numId="4">
    <w:abstractNumId w:val="3"/>
  </w:num>
  <w:num w:numId="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hideSpellingErrors/>
  <w:documentProtection w:enforcement="0"/>
  <w:defaultTabStop w:val="420"/>
  <w:drawingGridVerticalSpacing w:val="156"/>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Y5M2IwNDY5N2VhNzJkMjBmZjA2N2ZiMDkxODA4NTUifQ=="/>
  </w:docVars>
  <w:rsids>
    <w:rsidRoot w:val="642377E2"/>
    <w:rsid w:val="00001A20"/>
    <w:rsid w:val="00024928"/>
    <w:rsid w:val="00035DDD"/>
    <w:rsid w:val="000B36FD"/>
    <w:rsid w:val="000B3F90"/>
    <w:rsid w:val="000E786B"/>
    <w:rsid w:val="000F02BE"/>
    <w:rsid w:val="000F5BE4"/>
    <w:rsid w:val="0014045F"/>
    <w:rsid w:val="001A6135"/>
    <w:rsid w:val="001D1008"/>
    <w:rsid w:val="001F76C6"/>
    <w:rsid w:val="00262BA0"/>
    <w:rsid w:val="002C2A9F"/>
    <w:rsid w:val="002D1544"/>
    <w:rsid w:val="00301817"/>
    <w:rsid w:val="00324C4C"/>
    <w:rsid w:val="0033029B"/>
    <w:rsid w:val="003532DF"/>
    <w:rsid w:val="003658BC"/>
    <w:rsid w:val="003833DA"/>
    <w:rsid w:val="003953DB"/>
    <w:rsid w:val="003A7B67"/>
    <w:rsid w:val="003B2B6C"/>
    <w:rsid w:val="003B5346"/>
    <w:rsid w:val="003C1D58"/>
    <w:rsid w:val="003C76DB"/>
    <w:rsid w:val="003E3AFA"/>
    <w:rsid w:val="003F5C20"/>
    <w:rsid w:val="004347A6"/>
    <w:rsid w:val="004462DB"/>
    <w:rsid w:val="0044780A"/>
    <w:rsid w:val="00463FF2"/>
    <w:rsid w:val="004A3B19"/>
    <w:rsid w:val="004C1603"/>
    <w:rsid w:val="004D19FD"/>
    <w:rsid w:val="004F63F8"/>
    <w:rsid w:val="00504020"/>
    <w:rsid w:val="00573254"/>
    <w:rsid w:val="00591701"/>
    <w:rsid w:val="005C0986"/>
    <w:rsid w:val="005E0BC1"/>
    <w:rsid w:val="005F1B87"/>
    <w:rsid w:val="00600DDA"/>
    <w:rsid w:val="00633FD6"/>
    <w:rsid w:val="0063416D"/>
    <w:rsid w:val="00645F90"/>
    <w:rsid w:val="00646885"/>
    <w:rsid w:val="00654E26"/>
    <w:rsid w:val="00683186"/>
    <w:rsid w:val="0069129E"/>
    <w:rsid w:val="006D36EC"/>
    <w:rsid w:val="006D4E32"/>
    <w:rsid w:val="006E0FF3"/>
    <w:rsid w:val="006E3D87"/>
    <w:rsid w:val="00714A72"/>
    <w:rsid w:val="0074219A"/>
    <w:rsid w:val="00751BF7"/>
    <w:rsid w:val="00770EE4"/>
    <w:rsid w:val="007A348C"/>
    <w:rsid w:val="007C0EFA"/>
    <w:rsid w:val="007F45A4"/>
    <w:rsid w:val="007F6FCB"/>
    <w:rsid w:val="00807160"/>
    <w:rsid w:val="008113DE"/>
    <w:rsid w:val="00832E6D"/>
    <w:rsid w:val="00853995"/>
    <w:rsid w:val="008D5201"/>
    <w:rsid w:val="009018FE"/>
    <w:rsid w:val="00933856"/>
    <w:rsid w:val="009352B0"/>
    <w:rsid w:val="0097025D"/>
    <w:rsid w:val="00977CFE"/>
    <w:rsid w:val="009833E0"/>
    <w:rsid w:val="00983E8F"/>
    <w:rsid w:val="009A227B"/>
    <w:rsid w:val="009F276E"/>
    <w:rsid w:val="00A237AC"/>
    <w:rsid w:val="00A82F5F"/>
    <w:rsid w:val="00AD1B7A"/>
    <w:rsid w:val="00AE059D"/>
    <w:rsid w:val="00AF5749"/>
    <w:rsid w:val="00B14082"/>
    <w:rsid w:val="00B8229D"/>
    <w:rsid w:val="00B82404"/>
    <w:rsid w:val="00BB096B"/>
    <w:rsid w:val="00BB1D76"/>
    <w:rsid w:val="00BC25AD"/>
    <w:rsid w:val="00BC3DDE"/>
    <w:rsid w:val="00BD6BF6"/>
    <w:rsid w:val="00BE4202"/>
    <w:rsid w:val="00BF3B83"/>
    <w:rsid w:val="00C13C97"/>
    <w:rsid w:val="00C305FF"/>
    <w:rsid w:val="00C4572A"/>
    <w:rsid w:val="00C91BD9"/>
    <w:rsid w:val="00C9517E"/>
    <w:rsid w:val="00C97A19"/>
    <w:rsid w:val="00CB7E82"/>
    <w:rsid w:val="00CC2FEA"/>
    <w:rsid w:val="00CE3E23"/>
    <w:rsid w:val="00CE5CA5"/>
    <w:rsid w:val="00D12032"/>
    <w:rsid w:val="00D15CFD"/>
    <w:rsid w:val="00D16F0E"/>
    <w:rsid w:val="00D236BB"/>
    <w:rsid w:val="00D34A06"/>
    <w:rsid w:val="00D51C3A"/>
    <w:rsid w:val="00D81486"/>
    <w:rsid w:val="00D85474"/>
    <w:rsid w:val="00D95E2B"/>
    <w:rsid w:val="00DA0652"/>
    <w:rsid w:val="00DA4931"/>
    <w:rsid w:val="00DD08EE"/>
    <w:rsid w:val="00DE12DC"/>
    <w:rsid w:val="00DE4626"/>
    <w:rsid w:val="00E32E66"/>
    <w:rsid w:val="00E36A09"/>
    <w:rsid w:val="00E40609"/>
    <w:rsid w:val="00E65A77"/>
    <w:rsid w:val="00E852C3"/>
    <w:rsid w:val="00ED2939"/>
    <w:rsid w:val="00F0410F"/>
    <w:rsid w:val="00F12519"/>
    <w:rsid w:val="00F2581F"/>
    <w:rsid w:val="00F447F9"/>
    <w:rsid w:val="00F566A1"/>
    <w:rsid w:val="00F61D4D"/>
    <w:rsid w:val="00FB30BB"/>
    <w:rsid w:val="00FC4F8C"/>
    <w:rsid w:val="016F16C8"/>
    <w:rsid w:val="02071C2B"/>
    <w:rsid w:val="026C78C3"/>
    <w:rsid w:val="028131F1"/>
    <w:rsid w:val="02AD6872"/>
    <w:rsid w:val="02C66050"/>
    <w:rsid w:val="02DC0A91"/>
    <w:rsid w:val="031429FE"/>
    <w:rsid w:val="033863A0"/>
    <w:rsid w:val="03A24C5B"/>
    <w:rsid w:val="03B455AB"/>
    <w:rsid w:val="03C271F0"/>
    <w:rsid w:val="040B1F13"/>
    <w:rsid w:val="05582C69"/>
    <w:rsid w:val="05623DD1"/>
    <w:rsid w:val="06047D48"/>
    <w:rsid w:val="060E7ABD"/>
    <w:rsid w:val="068A2049"/>
    <w:rsid w:val="06971982"/>
    <w:rsid w:val="06995067"/>
    <w:rsid w:val="06DF2A7A"/>
    <w:rsid w:val="071428B8"/>
    <w:rsid w:val="07183E9D"/>
    <w:rsid w:val="075533E0"/>
    <w:rsid w:val="077969CE"/>
    <w:rsid w:val="078F3476"/>
    <w:rsid w:val="07977FCC"/>
    <w:rsid w:val="07AD1777"/>
    <w:rsid w:val="07B45E98"/>
    <w:rsid w:val="07B640C2"/>
    <w:rsid w:val="07BB0BAD"/>
    <w:rsid w:val="08187B16"/>
    <w:rsid w:val="082804FE"/>
    <w:rsid w:val="084859B2"/>
    <w:rsid w:val="087D1CE6"/>
    <w:rsid w:val="08DB2EDC"/>
    <w:rsid w:val="08E21F8A"/>
    <w:rsid w:val="09772C97"/>
    <w:rsid w:val="09D55A7F"/>
    <w:rsid w:val="0A1854F5"/>
    <w:rsid w:val="0A466F47"/>
    <w:rsid w:val="0AA77971"/>
    <w:rsid w:val="0B304245"/>
    <w:rsid w:val="0B314C72"/>
    <w:rsid w:val="0B583635"/>
    <w:rsid w:val="0BEA6ACB"/>
    <w:rsid w:val="0C3179D4"/>
    <w:rsid w:val="0C3211A9"/>
    <w:rsid w:val="0C953AD3"/>
    <w:rsid w:val="0CD9409B"/>
    <w:rsid w:val="0CED2839"/>
    <w:rsid w:val="0DA91A55"/>
    <w:rsid w:val="0DCB097E"/>
    <w:rsid w:val="0E10548C"/>
    <w:rsid w:val="0E144CE9"/>
    <w:rsid w:val="0E30663C"/>
    <w:rsid w:val="0E6064F1"/>
    <w:rsid w:val="0F637961"/>
    <w:rsid w:val="0F88614D"/>
    <w:rsid w:val="0FA36F62"/>
    <w:rsid w:val="0FBB4141"/>
    <w:rsid w:val="0FCE087C"/>
    <w:rsid w:val="0FFB5583"/>
    <w:rsid w:val="102915DE"/>
    <w:rsid w:val="10477ABF"/>
    <w:rsid w:val="105070ED"/>
    <w:rsid w:val="1053650B"/>
    <w:rsid w:val="108C25DA"/>
    <w:rsid w:val="10977638"/>
    <w:rsid w:val="10B93D86"/>
    <w:rsid w:val="10F5614A"/>
    <w:rsid w:val="112C49E3"/>
    <w:rsid w:val="11631C06"/>
    <w:rsid w:val="11B472CC"/>
    <w:rsid w:val="121E7205"/>
    <w:rsid w:val="12374074"/>
    <w:rsid w:val="126134A6"/>
    <w:rsid w:val="12781351"/>
    <w:rsid w:val="12857545"/>
    <w:rsid w:val="128E563A"/>
    <w:rsid w:val="129C07AB"/>
    <w:rsid w:val="12C3708F"/>
    <w:rsid w:val="12C51DEE"/>
    <w:rsid w:val="12D23E0C"/>
    <w:rsid w:val="12E960F3"/>
    <w:rsid w:val="12ED54A1"/>
    <w:rsid w:val="134347E7"/>
    <w:rsid w:val="142E4A09"/>
    <w:rsid w:val="143E77CB"/>
    <w:rsid w:val="14426380"/>
    <w:rsid w:val="14B570C1"/>
    <w:rsid w:val="15132009"/>
    <w:rsid w:val="153B588B"/>
    <w:rsid w:val="155B65CD"/>
    <w:rsid w:val="155D611D"/>
    <w:rsid w:val="1560521B"/>
    <w:rsid w:val="157F491F"/>
    <w:rsid w:val="15843C7A"/>
    <w:rsid w:val="15D053D1"/>
    <w:rsid w:val="163B4A6C"/>
    <w:rsid w:val="167D4BD0"/>
    <w:rsid w:val="16C04CC9"/>
    <w:rsid w:val="17111018"/>
    <w:rsid w:val="171E62AC"/>
    <w:rsid w:val="17F20186"/>
    <w:rsid w:val="1829667C"/>
    <w:rsid w:val="186C4935"/>
    <w:rsid w:val="186F26A4"/>
    <w:rsid w:val="18805297"/>
    <w:rsid w:val="189919D2"/>
    <w:rsid w:val="18E81A16"/>
    <w:rsid w:val="18EF1BE4"/>
    <w:rsid w:val="1909465C"/>
    <w:rsid w:val="191B7DCB"/>
    <w:rsid w:val="197A00DC"/>
    <w:rsid w:val="19E2271F"/>
    <w:rsid w:val="19F83891"/>
    <w:rsid w:val="1A42056D"/>
    <w:rsid w:val="1A6E5BA4"/>
    <w:rsid w:val="1AD270EE"/>
    <w:rsid w:val="1ADB4120"/>
    <w:rsid w:val="1B686B37"/>
    <w:rsid w:val="1BBE758F"/>
    <w:rsid w:val="1BF714F9"/>
    <w:rsid w:val="1C6173AE"/>
    <w:rsid w:val="1C7315D5"/>
    <w:rsid w:val="1CAD1273"/>
    <w:rsid w:val="1CD36676"/>
    <w:rsid w:val="1D1F7313"/>
    <w:rsid w:val="1D3A4B1B"/>
    <w:rsid w:val="1D5D7B40"/>
    <w:rsid w:val="1D795090"/>
    <w:rsid w:val="1D850ACF"/>
    <w:rsid w:val="1D9E5BAD"/>
    <w:rsid w:val="1DCF4F38"/>
    <w:rsid w:val="1E2E76AC"/>
    <w:rsid w:val="1E5C3622"/>
    <w:rsid w:val="1E640129"/>
    <w:rsid w:val="1ECC40A2"/>
    <w:rsid w:val="1EE21743"/>
    <w:rsid w:val="1F4832AD"/>
    <w:rsid w:val="1F6C5F0D"/>
    <w:rsid w:val="1FC27B05"/>
    <w:rsid w:val="20362382"/>
    <w:rsid w:val="206028F2"/>
    <w:rsid w:val="20C5269E"/>
    <w:rsid w:val="210C69BC"/>
    <w:rsid w:val="21B53A4C"/>
    <w:rsid w:val="21F72B93"/>
    <w:rsid w:val="21FB2242"/>
    <w:rsid w:val="22005DB9"/>
    <w:rsid w:val="221E20B2"/>
    <w:rsid w:val="226D2712"/>
    <w:rsid w:val="22A12D23"/>
    <w:rsid w:val="22D55F1B"/>
    <w:rsid w:val="22EB2836"/>
    <w:rsid w:val="22F0340C"/>
    <w:rsid w:val="230A3C6C"/>
    <w:rsid w:val="23141B5D"/>
    <w:rsid w:val="232A7164"/>
    <w:rsid w:val="23734F33"/>
    <w:rsid w:val="23902DE3"/>
    <w:rsid w:val="23AE3647"/>
    <w:rsid w:val="23D3705C"/>
    <w:rsid w:val="23DC63D9"/>
    <w:rsid w:val="24081FC7"/>
    <w:rsid w:val="24175405"/>
    <w:rsid w:val="24421E6E"/>
    <w:rsid w:val="24672932"/>
    <w:rsid w:val="24FC0A30"/>
    <w:rsid w:val="25827690"/>
    <w:rsid w:val="25A92613"/>
    <w:rsid w:val="25B17E1B"/>
    <w:rsid w:val="25C73652"/>
    <w:rsid w:val="266137C9"/>
    <w:rsid w:val="26672A31"/>
    <w:rsid w:val="269A355F"/>
    <w:rsid w:val="27275B29"/>
    <w:rsid w:val="2774085F"/>
    <w:rsid w:val="279A319E"/>
    <w:rsid w:val="28A20720"/>
    <w:rsid w:val="29113500"/>
    <w:rsid w:val="29146E8D"/>
    <w:rsid w:val="293A48C5"/>
    <w:rsid w:val="29A23F11"/>
    <w:rsid w:val="2A0F1A4F"/>
    <w:rsid w:val="2A501B80"/>
    <w:rsid w:val="2AF50A2D"/>
    <w:rsid w:val="2B323CBA"/>
    <w:rsid w:val="2B8C4BDD"/>
    <w:rsid w:val="2B9351F9"/>
    <w:rsid w:val="2B937D0B"/>
    <w:rsid w:val="2BA65491"/>
    <w:rsid w:val="2BF71A83"/>
    <w:rsid w:val="2BFA37BE"/>
    <w:rsid w:val="2C027583"/>
    <w:rsid w:val="2C2E1623"/>
    <w:rsid w:val="2C6C6972"/>
    <w:rsid w:val="2CB4112A"/>
    <w:rsid w:val="2CCE466A"/>
    <w:rsid w:val="2CEB20FD"/>
    <w:rsid w:val="2D335ADF"/>
    <w:rsid w:val="2D3D2BC7"/>
    <w:rsid w:val="2D3F5886"/>
    <w:rsid w:val="2D4A79C9"/>
    <w:rsid w:val="2D8F64C4"/>
    <w:rsid w:val="2DC90512"/>
    <w:rsid w:val="2DD6581B"/>
    <w:rsid w:val="2DED3EDA"/>
    <w:rsid w:val="2DF37177"/>
    <w:rsid w:val="2DFF266D"/>
    <w:rsid w:val="2E2B4928"/>
    <w:rsid w:val="2E4C207C"/>
    <w:rsid w:val="2E8A2069"/>
    <w:rsid w:val="2F3E447D"/>
    <w:rsid w:val="2F7506BC"/>
    <w:rsid w:val="2F956567"/>
    <w:rsid w:val="2FBC0CDA"/>
    <w:rsid w:val="2FF879CE"/>
    <w:rsid w:val="301E2C69"/>
    <w:rsid w:val="30236BEF"/>
    <w:rsid w:val="30477949"/>
    <w:rsid w:val="30487446"/>
    <w:rsid w:val="30907E79"/>
    <w:rsid w:val="30DA5182"/>
    <w:rsid w:val="30E57DD4"/>
    <w:rsid w:val="30FA7B2D"/>
    <w:rsid w:val="31BF62AD"/>
    <w:rsid w:val="32395815"/>
    <w:rsid w:val="32423A12"/>
    <w:rsid w:val="32621761"/>
    <w:rsid w:val="32621A8C"/>
    <w:rsid w:val="32A36C20"/>
    <w:rsid w:val="32E679B1"/>
    <w:rsid w:val="32FE79F0"/>
    <w:rsid w:val="336566C1"/>
    <w:rsid w:val="33701E71"/>
    <w:rsid w:val="337964C9"/>
    <w:rsid w:val="338B7ECF"/>
    <w:rsid w:val="346D514A"/>
    <w:rsid w:val="34C14C6E"/>
    <w:rsid w:val="350E350F"/>
    <w:rsid w:val="355B678D"/>
    <w:rsid w:val="356F43F6"/>
    <w:rsid w:val="3570218A"/>
    <w:rsid w:val="35CB5A30"/>
    <w:rsid w:val="35D14CB1"/>
    <w:rsid w:val="35F231E1"/>
    <w:rsid w:val="35FC76A9"/>
    <w:rsid w:val="362D7AA7"/>
    <w:rsid w:val="363E4317"/>
    <w:rsid w:val="36470DEE"/>
    <w:rsid w:val="36507CD2"/>
    <w:rsid w:val="369029E5"/>
    <w:rsid w:val="36C427A7"/>
    <w:rsid w:val="36ED2ED0"/>
    <w:rsid w:val="37031BBD"/>
    <w:rsid w:val="37206E2E"/>
    <w:rsid w:val="37644E4B"/>
    <w:rsid w:val="37860AFD"/>
    <w:rsid w:val="37BD4193"/>
    <w:rsid w:val="3813788B"/>
    <w:rsid w:val="38B749FE"/>
    <w:rsid w:val="38C27E2C"/>
    <w:rsid w:val="39033E4D"/>
    <w:rsid w:val="398805DD"/>
    <w:rsid w:val="39A9504D"/>
    <w:rsid w:val="39D91E8E"/>
    <w:rsid w:val="39ED0A25"/>
    <w:rsid w:val="3A514648"/>
    <w:rsid w:val="3A6157E4"/>
    <w:rsid w:val="3A950C3D"/>
    <w:rsid w:val="3ADF3E50"/>
    <w:rsid w:val="3B0A39A5"/>
    <w:rsid w:val="3C475CC7"/>
    <w:rsid w:val="3CAB050D"/>
    <w:rsid w:val="3D214682"/>
    <w:rsid w:val="3D6C782D"/>
    <w:rsid w:val="3D85096E"/>
    <w:rsid w:val="3D8652CE"/>
    <w:rsid w:val="3DC2102F"/>
    <w:rsid w:val="3DD11929"/>
    <w:rsid w:val="3DD82ECA"/>
    <w:rsid w:val="3E095C4B"/>
    <w:rsid w:val="3E2F6489"/>
    <w:rsid w:val="3E310426"/>
    <w:rsid w:val="3E364904"/>
    <w:rsid w:val="3E5B7B4A"/>
    <w:rsid w:val="3E5C2CC3"/>
    <w:rsid w:val="3E79182A"/>
    <w:rsid w:val="3E990DEE"/>
    <w:rsid w:val="3ED864C2"/>
    <w:rsid w:val="3F1A1620"/>
    <w:rsid w:val="3F6B653E"/>
    <w:rsid w:val="3F870464"/>
    <w:rsid w:val="406A55EA"/>
    <w:rsid w:val="406F26C7"/>
    <w:rsid w:val="41211D67"/>
    <w:rsid w:val="41A00A5C"/>
    <w:rsid w:val="42A749E1"/>
    <w:rsid w:val="42A75BC2"/>
    <w:rsid w:val="42ED6C92"/>
    <w:rsid w:val="431E58F2"/>
    <w:rsid w:val="43931DB3"/>
    <w:rsid w:val="43D3376A"/>
    <w:rsid w:val="444514A8"/>
    <w:rsid w:val="446E6091"/>
    <w:rsid w:val="448137DD"/>
    <w:rsid w:val="44AF10FE"/>
    <w:rsid w:val="44D53400"/>
    <w:rsid w:val="44ED3F8B"/>
    <w:rsid w:val="451E6441"/>
    <w:rsid w:val="452559CE"/>
    <w:rsid w:val="463D6208"/>
    <w:rsid w:val="46C3483E"/>
    <w:rsid w:val="46C548DF"/>
    <w:rsid w:val="4701140B"/>
    <w:rsid w:val="48010421"/>
    <w:rsid w:val="481D4AC2"/>
    <w:rsid w:val="48384DE9"/>
    <w:rsid w:val="484C66C1"/>
    <w:rsid w:val="48615E0C"/>
    <w:rsid w:val="487C2CE0"/>
    <w:rsid w:val="499566FD"/>
    <w:rsid w:val="4998726E"/>
    <w:rsid w:val="49A0448B"/>
    <w:rsid w:val="49C569FD"/>
    <w:rsid w:val="49DE62F1"/>
    <w:rsid w:val="4A694FFA"/>
    <w:rsid w:val="4A7B00C8"/>
    <w:rsid w:val="4A912B81"/>
    <w:rsid w:val="4A9D2533"/>
    <w:rsid w:val="4AA545DD"/>
    <w:rsid w:val="4AF61082"/>
    <w:rsid w:val="4B367C3D"/>
    <w:rsid w:val="4B4022F9"/>
    <w:rsid w:val="4B6D246C"/>
    <w:rsid w:val="4B9F6E4A"/>
    <w:rsid w:val="4BC47BF2"/>
    <w:rsid w:val="4BE732B3"/>
    <w:rsid w:val="4C0B41F9"/>
    <w:rsid w:val="4CAC2C25"/>
    <w:rsid w:val="4CD21630"/>
    <w:rsid w:val="4CF26537"/>
    <w:rsid w:val="4D097BF9"/>
    <w:rsid w:val="4D5375C4"/>
    <w:rsid w:val="4D5452A9"/>
    <w:rsid w:val="4D946F71"/>
    <w:rsid w:val="4DE53485"/>
    <w:rsid w:val="4DEE715F"/>
    <w:rsid w:val="4E4F3462"/>
    <w:rsid w:val="4E7C6CA3"/>
    <w:rsid w:val="4EC51B01"/>
    <w:rsid w:val="4EEA33CC"/>
    <w:rsid w:val="4F050018"/>
    <w:rsid w:val="4FCD52AD"/>
    <w:rsid w:val="4FE33A39"/>
    <w:rsid w:val="506D7517"/>
    <w:rsid w:val="50C51101"/>
    <w:rsid w:val="50C87F97"/>
    <w:rsid w:val="50F33A6E"/>
    <w:rsid w:val="50FC4368"/>
    <w:rsid w:val="5155776B"/>
    <w:rsid w:val="515D79AA"/>
    <w:rsid w:val="51702B31"/>
    <w:rsid w:val="51A42DE9"/>
    <w:rsid w:val="520938AB"/>
    <w:rsid w:val="52A7260C"/>
    <w:rsid w:val="52B05594"/>
    <w:rsid w:val="52B16766"/>
    <w:rsid w:val="52C45850"/>
    <w:rsid w:val="52DF6278"/>
    <w:rsid w:val="530461A1"/>
    <w:rsid w:val="530879CB"/>
    <w:rsid w:val="53105C90"/>
    <w:rsid w:val="5332097D"/>
    <w:rsid w:val="534A64DF"/>
    <w:rsid w:val="535551EB"/>
    <w:rsid w:val="535D6361"/>
    <w:rsid w:val="53884282"/>
    <w:rsid w:val="539D280D"/>
    <w:rsid w:val="53A01ABB"/>
    <w:rsid w:val="53E41FBB"/>
    <w:rsid w:val="53FF2A29"/>
    <w:rsid w:val="541E5434"/>
    <w:rsid w:val="542C7E19"/>
    <w:rsid w:val="54333C6A"/>
    <w:rsid w:val="54556FA0"/>
    <w:rsid w:val="545761FE"/>
    <w:rsid w:val="54662220"/>
    <w:rsid w:val="549410EB"/>
    <w:rsid w:val="55296647"/>
    <w:rsid w:val="554E39C2"/>
    <w:rsid w:val="55850194"/>
    <w:rsid w:val="55B95A56"/>
    <w:rsid w:val="55CF029D"/>
    <w:rsid w:val="55D54B09"/>
    <w:rsid w:val="55D837D0"/>
    <w:rsid w:val="55DB5BB3"/>
    <w:rsid w:val="55E45C21"/>
    <w:rsid w:val="55E70EFA"/>
    <w:rsid w:val="56050D2B"/>
    <w:rsid w:val="5639439B"/>
    <w:rsid w:val="56707BDA"/>
    <w:rsid w:val="567517B9"/>
    <w:rsid w:val="567A42C8"/>
    <w:rsid w:val="567C2F49"/>
    <w:rsid w:val="56965119"/>
    <w:rsid w:val="56A468D4"/>
    <w:rsid w:val="56F546FF"/>
    <w:rsid w:val="57370B4C"/>
    <w:rsid w:val="57384F39"/>
    <w:rsid w:val="573F058F"/>
    <w:rsid w:val="574E0EDE"/>
    <w:rsid w:val="57594251"/>
    <w:rsid w:val="57B50FAE"/>
    <w:rsid w:val="58153F2E"/>
    <w:rsid w:val="58906DDD"/>
    <w:rsid w:val="59177AF9"/>
    <w:rsid w:val="592067F9"/>
    <w:rsid w:val="592F6065"/>
    <w:rsid w:val="594C6689"/>
    <w:rsid w:val="598553C1"/>
    <w:rsid w:val="59C04EC1"/>
    <w:rsid w:val="59C152A7"/>
    <w:rsid w:val="5A057B46"/>
    <w:rsid w:val="5A2E18E9"/>
    <w:rsid w:val="5AE61630"/>
    <w:rsid w:val="5AF3365C"/>
    <w:rsid w:val="5B3C4A8B"/>
    <w:rsid w:val="5B467A26"/>
    <w:rsid w:val="5B7D2D1C"/>
    <w:rsid w:val="5BF237E3"/>
    <w:rsid w:val="5C70005B"/>
    <w:rsid w:val="5CC62510"/>
    <w:rsid w:val="5CCA3139"/>
    <w:rsid w:val="5D0C0B9F"/>
    <w:rsid w:val="5D37564D"/>
    <w:rsid w:val="5D851711"/>
    <w:rsid w:val="5D8A59DA"/>
    <w:rsid w:val="5DDA2782"/>
    <w:rsid w:val="5E2D333F"/>
    <w:rsid w:val="5F317755"/>
    <w:rsid w:val="5F85011F"/>
    <w:rsid w:val="5FAE29A0"/>
    <w:rsid w:val="5FB77E24"/>
    <w:rsid w:val="5FCF5A7E"/>
    <w:rsid w:val="603A49DC"/>
    <w:rsid w:val="603C6310"/>
    <w:rsid w:val="60A85411"/>
    <w:rsid w:val="60D263B9"/>
    <w:rsid w:val="611B743D"/>
    <w:rsid w:val="616008D1"/>
    <w:rsid w:val="61AE3840"/>
    <w:rsid w:val="61DC2CDD"/>
    <w:rsid w:val="61E74920"/>
    <w:rsid w:val="61F91281"/>
    <w:rsid w:val="620533DF"/>
    <w:rsid w:val="62163EB5"/>
    <w:rsid w:val="62DA4C8B"/>
    <w:rsid w:val="62FF1660"/>
    <w:rsid w:val="63132977"/>
    <w:rsid w:val="63222DD7"/>
    <w:rsid w:val="6363228E"/>
    <w:rsid w:val="63704C84"/>
    <w:rsid w:val="63C445FA"/>
    <w:rsid w:val="63D00B3E"/>
    <w:rsid w:val="64122C42"/>
    <w:rsid w:val="64136A12"/>
    <w:rsid w:val="642377E2"/>
    <w:rsid w:val="649522CA"/>
    <w:rsid w:val="64B7219E"/>
    <w:rsid w:val="64BA0CE3"/>
    <w:rsid w:val="64E02A3E"/>
    <w:rsid w:val="650B6CC8"/>
    <w:rsid w:val="653309E6"/>
    <w:rsid w:val="654434B0"/>
    <w:rsid w:val="655368EF"/>
    <w:rsid w:val="655A58A0"/>
    <w:rsid w:val="65BC26E6"/>
    <w:rsid w:val="65CB16A7"/>
    <w:rsid w:val="65DE3B6B"/>
    <w:rsid w:val="65E01AD1"/>
    <w:rsid w:val="66023D88"/>
    <w:rsid w:val="661B18C9"/>
    <w:rsid w:val="664943C6"/>
    <w:rsid w:val="669A18E5"/>
    <w:rsid w:val="66A541BE"/>
    <w:rsid w:val="66A80028"/>
    <w:rsid w:val="66FE7BC0"/>
    <w:rsid w:val="6731630F"/>
    <w:rsid w:val="676D11B1"/>
    <w:rsid w:val="67C50D1D"/>
    <w:rsid w:val="68031B72"/>
    <w:rsid w:val="68256BCC"/>
    <w:rsid w:val="683C1A5E"/>
    <w:rsid w:val="68A45ECF"/>
    <w:rsid w:val="68C23CD6"/>
    <w:rsid w:val="68CA2ACE"/>
    <w:rsid w:val="68E81AFB"/>
    <w:rsid w:val="68F65BB5"/>
    <w:rsid w:val="69014FA3"/>
    <w:rsid w:val="695C22B9"/>
    <w:rsid w:val="69653B4D"/>
    <w:rsid w:val="697C3FD8"/>
    <w:rsid w:val="69A4485A"/>
    <w:rsid w:val="69AB1673"/>
    <w:rsid w:val="69B93D71"/>
    <w:rsid w:val="69E506BD"/>
    <w:rsid w:val="69E974C0"/>
    <w:rsid w:val="69F43372"/>
    <w:rsid w:val="6A357067"/>
    <w:rsid w:val="6A8F0DD4"/>
    <w:rsid w:val="6B156779"/>
    <w:rsid w:val="6B2C2DF9"/>
    <w:rsid w:val="6B601BD5"/>
    <w:rsid w:val="6B6E41E6"/>
    <w:rsid w:val="6C7E16FA"/>
    <w:rsid w:val="6C874EBB"/>
    <w:rsid w:val="6CBF6AE8"/>
    <w:rsid w:val="6CDC5218"/>
    <w:rsid w:val="6CEF7F24"/>
    <w:rsid w:val="6D0A1917"/>
    <w:rsid w:val="6D662280"/>
    <w:rsid w:val="6DE1040D"/>
    <w:rsid w:val="6E6B74F4"/>
    <w:rsid w:val="6E8F33A9"/>
    <w:rsid w:val="6F181C4A"/>
    <w:rsid w:val="6F1E7738"/>
    <w:rsid w:val="6F2E6EF0"/>
    <w:rsid w:val="6FDC47F9"/>
    <w:rsid w:val="70232FC8"/>
    <w:rsid w:val="70506D0C"/>
    <w:rsid w:val="706D4863"/>
    <w:rsid w:val="707658B8"/>
    <w:rsid w:val="70B568C5"/>
    <w:rsid w:val="70C5318A"/>
    <w:rsid w:val="71315AD4"/>
    <w:rsid w:val="722F5B9F"/>
    <w:rsid w:val="7233350F"/>
    <w:rsid w:val="729B1083"/>
    <w:rsid w:val="72A36844"/>
    <w:rsid w:val="72B23830"/>
    <w:rsid w:val="72BF1536"/>
    <w:rsid w:val="72CC79D6"/>
    <w:rsid w:val="72D40FDB"/>
    <w:rsid w:val="72EC2D09"/>
    <w:rsid w:val="73134B97"/>
    <w:rsid w:val="732D6CD9"/>
    <w:rsid w:val="73487D32"/>
    <w:rsid w:val="73571A32"/>
    <w:rsid w:val="7368497B"/>
    <w:rsid w:val="737205A7"/>
    <w:rsid w:val="73C71E1D"/>
    <w:rsid w:val="73CC4BBB"/>
    <w:rsid w:val="73E61E94"/>
    <w:rsid w:val="74233D2E"/>
    <w:rsid w:val="74317CAA"/>
    <w:rsid w:val="743C5116"/>
    <w:rsid w:val="745F3A61"/>
    <w:rsid w:val="749145BF"/>
    <w:rsid w:val="74C0715A"/>
    <w:rsid w:val="75A538D4"/>
    <w:rsid w:val="75E26770"/>
    <w:rsid w:val="763353B9"/>
    <w:rsid w:val="767F6B7D"/>
    <w:rsid w:val="76B65A57"/>
    <w:rsid w:val="76B77563"/>
    <w:rsid w:val="76F912A7"/>
    <w:rsid w:val="771C10D4"/>
    <w:rsid w:val="77234719"/>
    <w:rsid w:val="772D3947"/>
    <w:rsid w:val="775D2307"/>
    <w:rsid w:val="77B1559E"/>
    <w:rsid w:val="77E96525"/>
    <w:rsid w:val="7809279D"/>
    <w:rsid w:val="781C7DA2"/>
    <w:rsid w:val="7850492E"/>
    <w:rsid w:val="78775304"/>
    <w:rsid w:val="78775B1E"/>
    <w:rsid w:val="789C1003"/>
    <w:rsid w:val="78A37D93"/>
    <w:rsid w:val="78FB00B0"/>
    <w:rsid w:val="7A743484"/>
    <w:rsid w:val="7B3E4142"/>
    <w:rsid w:val="7B4B6395"/>
    <w:rsid w:val="7B5F107E"/>
    <w:rsid w:val="7B6011D0"/>
    <w:rsid w:val="7B8F0184"/>
    <w:rsid w:val="7BD424D8"/>
    <w:rsid w:val="7BF1179A"/>
    <w:rsid w:val="7C0864CD"/>
    <w:rsid w:val="7C0D61E0"/>
    <w:rsid w:val="7C5257E9"/>
    <w:rsid w:val="7C7121B6"/>
    <w:rsid w:val="7C96214E"/>
    <w:rsid w:val="7CA00A65"/>
    <w:rsid w:val="7D344E0E"/>
    <w:rsid w:val="7D646D8F"/>
    <w:rsid w:val="7D6A5E1D"/>
    <w:rsid w:val="7D9220F6"/>
    <w:rsid w:val="7DD6561D"/>
    <w:rsid w:val="7DE57668"/>
    <w:rsid w:val="7E336B1B"/>
    <w:rsid w:val="7E5D524F"/>
    <w:rsid w:val="7E8D47BD"/>
    <w:rsid w:val="7ECF0FDF"/>
    <w:rsid w:val="7ED9519E"/>
    <w:rsid w:val="7EFE687B"/>
    <w:rsid w:val="7F343CF7"/>
    <w:rsid w:val="7F5B15F2"/>
    <w:rsid w:val="7F68218B"/>
    <w:rsid w:val="7FA42159"/>
    <w:rsid w:val="7FB206EE"/>
    <w:rsid w:val="7FD2342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unhideWhenUsed="0" w:uiPriority="0" w:semiHidden="0" w:name="toc 3"/>
    <w:lsdException w:qFormat="1"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Calibri" w:cs="Times New Roman"/>
      <w:kern w:val="2"/>
      <w:sz w:val="36"/>
      <w:szCs w:val="24"/>
      <w:lang w:val="en-US" w:eastAsia="zh-CN" w:bidi="ar-SA"/>
    </w:rPr>
  </w:style>
  <w:style w:type="paragraph" w:styleId="3">
    <w:name w:val="heading 1"/>
    <w:basedOn w:val="1"/>
    <w:next w:val="1"/>
    <w:qFormat/>
    <w:uiPriority w:val="0"/>
    <w:pPr>
      <w:keepNext/>
      <w:keepLines/>
      <w:spacing w:before="340" w:after="330" w:line="576" w:lineRule="auto"/>
      <w:outlineLvl w:val="0"/>
    </w:pPr>
    <w:rPr>
      <w:b/>
      <w:bCs/>
      <w:kern w:val="44"/>
      <w:sz w:val="44"/>
      <w:szCs w:val="44"/>
    </w:rPr>
  </w:style>
  <w:style w:type="paragraph" w:styleId="4">
    <w:name w:val="heading 2"/>
    <w:basedOn w:val="1"/>
    <w:next w:val="1"/>
    <w:qFormat/>
    <w:uiPriority w:val="0"/>
    <w:pPr>
      <w:keepNext/>
      <w:keepLines/>
      <w:spacing w:before="260" w:after="260" w:line="413" w:lineRule="auto"/>
      <w:outlineLvl w:val="1"/>
    </w:pPr>
    <w:rPr>
      <w:rFonts w:ascii="Arial" w:hAnsi="Arial" w:eastAsia="黑体"/>
      <w:b/>
      <w:bCs/>
      <w:sz w:val="32"/>
      <w:szCs w:val="32"/>
    </w:rPr>
  </w:style>
  <w:style w:type="paragraph" w:styleId="5">
    <w:name w:val="heading 3"/>
    <w:basedOn w:val="1"/>
    <w:next w:val="1"/>
    <w:semiHidden/>
    <w:unhideWhenUsed/>
    <w:qFormat/>
    <w:uiPriority w:val="0"/>
    <w:pPr>
      <w:keepNext/>
      <w:keepLines/>
      <w:spacing w:before="260" w:after="260" w:line="416" w:lineRule="auto"/>
      <w:outlineLvl w:val="2"/>
    </w:pPr>
    <w:rPr>
      <w:b/>
      <w:bCs/>
      <w:sz w:val="32"/>
      <w:szCs w:val="32"/>
    </w:rPr>
  </w:style>
  <w:style w:type="character" w:default="1" w:styleId="23">
    <w:name w:val="Default Paragraph Font"/>
    <w:semiHidden/>
    <w:unhideWhenUsed/>
    <w:qFormat/>
    <w:uiPriority w:val="1"/>
  </w:style>
  <w:style w:type="table" w:default="1" w:styleId="21">
    <w:name w:val="Normal Table"/>
    <w:semiHidden/>
    <w:unhideWhenUsed/>
    <w:qFormat/>
    <w:uiPriority w:val="99"/>
    <w:tblPr>
      <w:tblCellMar>
        <w:top w:w="0" w:type="dxa"/>
        <w:left w:w="108" w:type="dxa"/>
        <w:bottom w:w="0" w:type="dxa"/>
        <w:right w:w="108" w:type="dxa"/>
      </w:tblCellMar>
    </w:tblPr>
  </w:style>
  <w:style w:type="paragraph" w:styleId="2">
    <w:name w:val="Body Text Indent"/>
    <w:basedOn w:val="1"/>
    <w:next w:val="1"/>
    <w:qFormat/>
    <w:uiPriority w:val="0"/>
    <w:pPr>
      <w:adjustRightInd w:val="0"/>
      <w:spacing w:line="500" w:lineRule="atLeast"/>
      <w:ind w:firstLine="210"/>
      <w:textAlignment w:val="baseline"/>
    </w:pPr>
    <w:rPr>
      <w:rFonts w:ascii="仿宋_GB2312" w:eastAsia="仿宋_GB2312"/>
      <w:kern w:val="0"/>
      <w:sz w:val="24"/>
      <w:szCs w:val="20"/>
    </w:rPr>
  </w:style>
  <w:style w:type="paragraph" w:styleId="6">
    <w:name w:val="Normal Indent"/>
    <w:basedOn w:val="1"/>
    <w:qFormat/>
    <w:uiPriority w:val="0"/>
    <w:pPr>
      <w:ind w:firstLine="420"/>
    </w:pPr>
    <w:rPr>
      <w:sz w:val="21"/>
      <w:szCs w:val="20"/>
    </w:rPr>
  </w:style>
  <w:style w:type="paragraph" w:styleId="7">
    <w:name w:val="Body Text"/>
    <w:basedOn w:val="1"/>
    <w:next w:val="8"/>
    <w:qFormat/>
    <w:uiPriority w:val="0"/>
    <w:pPr>
      <w:spacing w:after="120"/>
    </w:pPr>
    <w:rPr>
      <w:sz w:val="21"/>
      <w:szCs w:val="22"/>
    </w:rPr>
  </w:style>
  <w:style w:type="paragraph" w:styleId="8">
    <w:name w:val="Body Text First Indent"/>
    <w:basedOn w:val="7"/>
    <w:next w:val="9"/>
    <w:qFormat/>
    <w:uiPriority w:val="0"/>
    <w:pPr>
      <w:ind w:firstLine="420" w:firstLineChars="100"/>
    </w:pPr>
  </w:style>
  <w:style w:type="paragraph" w:styleId="9">
    <w:name w:val="toc 6"/>
    <w:basedOn w:val="1"/>
    <w:next w:val="1"/>
    <w:qFormat/>
    <w:uiPriority w:val="0"/>
    <w:pPr>
      <w:ind w:left="2100"/>
    </w:pPr>
    <w:rPr>
      <w:rFonts w:ascii="Times New Roman" w:hAnsi="Times New Roman"/>
      <w:szCs w:val="20"/>
    </w:rPr>
  </w:style>
  <w:style w:type="paragraph" w:styleId="10">
    <w:name w:val="Plain Text"/>
    <w:basedOn w:val="1"/>
    <w:next w:val="11"/>
    <w:link w:val="52"/>
    <w:qFormat/>
    <w:uiPriority w:val="0"/>
    <w:rPr>
      <w:rFonts w:ascii="宋体" w:hAnsi="Courier New"/>
      <w:sz w:val="21"/>
      <w:szCs w:val="20"/>
    </w:rPr>
  </w:style>
  <w:style w:type="paragraph" w:styleId="11">
    <w:name w:val="Date"/>
    <w:basedOn w:val="1"/>
    <w:next w:val="1"/>
    <w:qFormat/>
    <w:uiPriority w:val="0"/>
    <w:pPr>
      <w:ind w:left="100" w:leftChars="2500"/>
    </w:pPr>
  </w:style>
  <w:style w:type="paragraph" w:styleId="12">
    <w:name w:val="footer"/>
    <w:basedOn w:val="1"/>
    <w:qFormat/>
    <w:uiPriority w:val="0"/>
    <w:pPr>
      <w:tabs>
        <w:tab w:val="center" w:pos="4153"/>
        <w:tab w:val="right" w:pos="8306"/>
      </w:tabs>
      <w:snapToGrid w:val="0"/>
      <w:jc w:val="left"/>
    </w:pPr>
    <w:rPr>
      <w:sz w:val="18"/>
      <w:szCs w:val="18"/>
    </w:rPr>
  </w:style>
  <w:style w:type="paragraph" w:styleId="13">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4">
    <w:name w:val="toc 1"/>
    <w:basedOn w:val="1"/>
    <w:next w:val="1"/>
    <w:qFormat/>
    <w:uiPriority w:val="0"/>
    <w:pPr>
      <w:tabs>
        <w:tab w:val="right" w:leader="dot" w:pos="9628"/>
      </w:tabs>
      <w:jc w:val="center"/>
    </w:pPr>
    <w:rPr>
      <w:b/>
      <w:sz w:val="52"/>
      <w:szCs w:val="52"/>
    </w:rPr>
  </w:style>
  <w:style w:type="paragraph" w:styleId="15">
    <w:name w:val="toc 4"/>
    <w:basedOn w:val="1"/>
    <w:next w:val="1"/>
    <w:qFormat/>
    <w:uiPriority w:val="0"/>
    <w:pPr>
      <w:ind w:left="630"/>
      <w:jc w:val="left"/>
    </w:pPr>
    <w:rPr>
      <w:sz w:val="18"/>
      <w:szCs w:val="18"/>
    </w:rPr>
  </w:style>
  <w:style w:type="paragraph" w:styleId="16">
    <w:name w:val="Body Text Indent 3"/>
    <w:basedOn w:val="1"/>
    <w:qFormat/>
    <w:uiPriority w:val="0"/>
    <w:pPr>
      <w:spacing w:after="120"/>
      <w:ind w:left="420" w:leftChars="200"/>
    </w:pPr>
    <w:rPr>
      <w:sz w:val="16"/>
      <w:szCs w:val="16"/>
    </w:rPr>
  </w:style>
  <w:style w:type="paragraph" w:styleId="17">
    <w:name w:val="toc 2"/>
    <w:basedOn w:val="1"/>
    <w:next w:val="1"/>
    <w:qFormat/>
    <w:uiPriority w:val="0"/>
    <w:pPr>
      <w:ind w:left="420" w:leftChars="200"/>
    </w:pPr>
    <w:rPr>
      <w:rFonts w:ascii="Times New Roman" w:hAnsi="Times New Roman" w:eastAsia="宋体"/>
    </w:rPr>
  </w:style>
  <w:style w:type="paragraph" w:styleId="18">
    <w:name w:val="Normal (Web)"/>
    <w:basedOn w:val="1"/>
    <w:next w:val="17"/>
    <w:qFormat/>
    <w:uiPriority w:val="0"/>
    <w:pPr>
      <w:widowControl/>
      <w:spacing w:before="100" w:beforeAutospacing="1" w:after="100" w:afterAutospacing="1"/>
      <w:jc w:val="left"/>
    </w:pPr>
    <w:rPr>
      <w:rFonts w:hint="eastAsia" w:ascii="宋体" w:hAnsi="宋体"/>
      <w:kern w:val="0"/>
      <w:sz w:val="24"/>
    </w:rPr>
  </w:style>
  <w:style w:type="paragraph" w:styleId="19">
    <w:name w:val="Title"/>
    <w:basedOn w:val="1"/>
    <w:next w:val="1"/>
    <w:qFormat/>
    <w:uiPriority w:val="0"/>
    <w:pPr>
      <w:widowControl/>
      <w:overflowPunct w:val="0"/>
      <w:autoSpaceDE w:val="0"/>
      <w:autoSpaceDN w:val="0"/>
      <w:adjustRightInd w:val="0"/>
      <w:jc w:val="center"/>
      <w:textAlignment w:val="baseline"/>
    </w:pPr>
    <w:rPr>
      <w:b/>
      <w:kern w:val="0"/>
      <w:sz w:val="24"/>
      <w:szCs w:val="20"/>
      <w:lang w:val="en-GB"/>
    </w:rPr>
  </w:style>
  <w:style w:type="paragraph" w:styleId="20">
    <w:name w:val="Body Text First Indent 2"/>
    <w:basedOn w:val="2"/>
    <w:qFormat/>
    <w:uiPriority w:val="0"/>
    <w:pPr>
      <w:autoSpaceDE w:val="0"/>
      <w:autoSpaceDN w:val="0"/>
      <w:spacing w:after="120"/>
      <w:ind w:left="420" w:leftChars="200" w:firstLine="420" w:firstLineChars="200"/>
      <w:jc w:val="left"/>
    </w:pPr>
    <w:rPr>
      <w:rFonts w:ascii="宋体"/>
      <w:sz w:val="34"/>
    </w:rPr>
  </w:style>
  <w:style w:type="table" w:styleId="22">
    <w:name w:val="Table Grid"/>
    <w:basedOn w:val="21"/>
    <w:unhideWhenUsed/>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4">
    <w:name w:val="Strong"/>
    <w:basedOn w:val="23"/>
    <w:qFormat/>
    <w:uiPriority w:val="0"/>
  </w:style>
  <w:style w:type="character" w:styleId="25">
    <w:name w:val="page number"/>
    <w:basedOn w:val="23"/>
    <w:qFormat/>
    <w:uiPriority w:val="0"/>
  </w:style>
  <w:style w:type="character" w:styleId="26">
    <w:name w:val="Hyperlink"/>
    <w:basedOn w:val="23"/>
    <w:qFormat/>
    <w:uiPriority w:val="0"/>
    <w:rPr>
      <w:color w:val="0000FF"/>
      <w:u w:val="single"/>
    </w:rPr>
  </w:style>
  <w:style w:type="character" w:styleId="27">
    <w:name w:val="annotation reference"/>
    <w:semiHidden/>
    <w:qFormat/>
    <w:uiPriority w:val="0"/>
    <w:rPr>
      <w:sz w:val="21"/>
      <w:szCs w:val="21"/>
    </w:rPr>
  </w:style>
  <w:style w:type="paragraph" w:customStyle="1" w:styleId="28">
    <w:name w:val="Default"/>
    <w:next w:val="29"/>
    <w:unhideWhenUsed/>
    <w:qFormat/>
    <w:uiPriority w:val="99"/>
    <w:pPr>
      <w:widowControl w:val="0"/>
      <w:autoSpaceDE w:val="0"/>
      <w:autoSpaceDN w:val="0"/>
      <w:adjustRightInd w:val="0"/>
    </w:pPr>
    <w:rPr>
      <w:rFonts w:hint="eastAsia" w:ascii="宋体" w:hAnsi="宋体" w:eastAsia="宋体" w:cs="Times New Roman"/>
      <w:color w:val="000000"/>
      <w:sz w:val="24"/>
      <w:lang w:val="en-US" w:eastAsia="zh-CN" w:bidi="ar-SA"/>
    </w:rPr>
  </w:style>
  <w:style w:type="paragraph" w:customStyle="1" w:styleId="29">
    <w:name w:val="目录 71"/>
    <w:next w:val="1"/>
    <w:qFormat/>
    <w:uiPriority w:val="0"/>
    <w:pPr>
      <w:wordWrap w:val="0"/>
      <w:ind w:left="2550"/>
      <w:jc w:val="both"/>
    </w:pPr>
    <w:rPr>
      <w:rFonts w:ascii="Calibri" w:hAnsi="Calibri" w:eastAsia="宋体" w:cs="Times New Roman"/>
      <w:sz w:val="21"/>
      <w:lang w:val="en-US" w:eastAsia="zh-CN" w:bidi="ar-SA"/>
    </w:rPr>
  </w:style>
  <w:style w:type="paragraph" w:customStyle="1" w:styleId="30">
    <w:name w:val="表格文字"/>
    <w:basedOn w:val="1"/>
    <w:next w:val="7"/>
    <w:qFormat/>
    <w:uiPriority w:val="0"/>
    <w:pPr>
      <w:spacing w:before="25" w:after="25"/>
      <w:jc w:val="left"/>
    </w:pPr>
    <w:rPr>
      <w:bCs/>
      <w:spacing w:val="10"/>
      <w:kern w:val="0"/>
      <w:sz w:val="24"/>
      <w:szCs w:val="20"/>
    </w:rPr>
  </w:style>
  <w:style w:type="paragraph" w:customStyle="1" w:styleId="31">
    <w:name w:val="Char"/>
    <w:basedOn w:val="1"/>
    <w:qFormat/>
    <w:uiPriority w:val="0"/>
    <w:pPr>
      <w:widowControl/>
      <w:spacing w:after="160" w:line="240" w:lineRule="exact"/>
      <w:jc w:val="left"/>
    </w:pPr>
    <w:rPr>
      <w:rFonts w:ascii="Verdana" w:hAnsi="Verdana" w:eastAsia="楷体_GB2312"/>
      <w:b/>
      <w:i/>
      <w:iCs/>
      <w:color w:val="000000"/>
      <w:kern w:val="0"/>
      <w:sz w:val="20"/>
      <w:szCs w:val="20"/>
      <w:lang w:eastAsia="en-US"/>
    </w:rPr>
  </w:style>
  <w:style w:type="paragraph" w:customStyle="1" w:styleId="32">
    <w:name w:val="首行缩进"/>
    <w:basedOn w:val="1"/>
    <w:qFormat/>
    <w:uiPriority w:val="0"/>
    <w:rPr>
      <w:lang w:val="zh-CN"/>
    </w:rPr>
  </w:style>
  <w:style w:type="paragraph" w:customStyle="1" w:styleId="33">
    <w:name w:val="正文1"/>
    <w:basedOn w:val="1"/>
    <w:qFormat/>
    <w:uiPriority w:val="0"/>
    <w:pPr>
      <w:spacing w:line="360" w:lineRule="auto"/>
      <w:ind w:firstLine="200" w:firstLineChars="200"/>
      <w:jc w:val="left"/>
    </w:pPr>
    <w:rPr>
      <w:rFonts w:ascii="宋体" w:hAnsi="宋体"/>
      <w:color w:val="000000"/>
      <w:kern w:val="0"/>
      <w:sz w:val="24"/>
      <w:szCs w:val="20"/>
    </w:rPr>
  </w:style>
  <w:style w:type="paragraph" w:customStyle="1" w:styleId="34">
    <w:name w:val="列出段落1"/>
    <w:basedOn w:val="1"/>
    <w:qFormat/>
    <w:uiPriority w:val="0"/>
    <w:pPr>
      <w:ind w:firstLine="420" w:firstLineChars="200"/>
    </w:pPr>
    <w:rPr>
      <w:sz w:val="21"/>
      <w:szCs w:val="22"/>
    </w:rPr>
  </w:style>
  <w:style w:type="paragraph" w:customStyle="1" w:styleId="35">
    <w:name w:val="表格内容"/>
    <w:basedOn w:val="1"/>
    <w:qFormat/>
    <w:uiPriority w:val="2"/>
    <w:pPr>
      <w:widowControl/>
      <w:jc w:val="center"/>
    </w:pPr>
    <w:rPr>
      <w:kern w:val="0"/>
      <w:sz w:val="24"/>
      <w:szCs w:val="28"/>
    </w:rPr>
  </w:style>
  <w:style w:type="paragraph" w:customStyle="1" w:styleId="36">
    <w:name w:val="正文_4"/>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7">
    <w:name w:val="正文_6"/>
    <w:qFormat/>
    <w:uiPriority w:val="0"/>
    <w:pPr>
      <w:widowControl w:val="0"/>
      <w:jc w:val="both"/>
    </w:pPr>
    <w:rPr>
      <w:rFonts w:ascii="Calibri" w:hAnsi="Calibri" w:eastAsia="Calibri" w:cs="Times New Roman"/>
      <w:kern w:val="2"/>
      <w:sz w:val="21"/>
      <w:szCs w:val="24"/>
      <w:lang w:val="en-US" w:eastAsia="zh-CN" w:bidi="ar-SA"/>
    </w:rPr>
  </w:style>
  <w:style w:type="paragraph" w:customStyle="1" w:styleId="38">
    <w:name w:val="Plain Text1"/>
    <w:basedOn w:val="39"/>
    <w:qFormat/>
    <w:uiPriority w:val="99"/>
    <w:pPr>
      <w:widowControl/>
      <w:jc w:val="left"/>
    </w:pPr>
    <w:rPr>
      <w:rFonts w:ascii="宋体" w:hAnsi="Courier New"/>
    </w:rPr>
  </w:style>
  <w:style w:type="paragraph" w:customStyle="1" w:styleId="39">
    <w:name w:val="Normal1"/>
    <w:qFormat/>
    <w:uiPriority w:val="99"/>
    <w:pPr>
      <w:widowControl w:val="0"/>
      <w:jc w:val="both"/>
    </w:pPr>
    <w:rPr>
      <w:rFonts w:ascii="Calibri" w:hAnsi="Calibri" w:eastAsia="宋体" w:cs="Times New Roman"/>
      <w:kern w:val="2"/>
      <w:sz w:val="21"/>
      <w:szCs w:val="22"/>
      <w:lang w:val="en-US" w:eastAsia="zh-CN" w:bidi="ar-SA"/>
    </w:rPr>
  </w:style>
  <w:style w:type="paragraph" w:customStyle="1" w:styleId="40">
    <w:name w:val="reader-word-layer reader-word-s3-4"/>
    <w:basedOn w:val="1"/>
    <w:qFormat/>
    <w:uiPriority w:val="0"/>
    <w:pPr>
      <w:widowControl/>
      <w:spacing w:before="100" w:beforeAutospacing="1" w:after="100" w:afterAutospacing="1"/>
      <w:jc w:val="left"/>
    </w:pPr>
    <w:rPr>
      <w:rFonts w:ascii="宋体" w:hAnsi="宋体" w:cs="宋体"/>
      <w:kern w:val="0"/>
      <w:sz w:val="24"/>
    </w:rPr>
  </w:style>
  <w:style w:type="character" w:customStyle="1" w:styleId="41">
    <w:name w:val="font51"/>
    <w:basedOn w:val="23"/>
    <w:qFormat/>
    <w:uiPriority w:val="0"/>
    <w:rPr>
      <w:rFonts w:hint="eastAsia" w:ascii="宋体" w:hAnsi="宋体" w:eastAsia="宋体" w:cs="宋体"/>
      <w:color w:val="000000"/>
      <w:sz w:val="18"/>
      <w:szCs w:val="18"/>
      <w:u w:val="none"/>
    </w:rPr>
  </w:style>
  <w:style w:type="paragraph" w:customStyle="1" w:styleId="42">
    <w:name w:val="内文正文"/>
    <w:basedOn w:val="10"/>
    <w:qFormat/>
    <w:uiPriority w:val="99"/>
    <w:pPr>
      <w:adjustRightInd w:val="0"/>
      <w:snapToGrid w:val="0"/>
      <w:spacing w:line="400" w:lineRule="exact"/>
      <w:ind w:firstLine="200" w:firstLineChars="200"/>
    </w:pPr>
    <w:rPr>
      <w:rFonts w:ascii="Arial" w:hAnsi="Arial"/>
      <w:color w:val="000000"/>
      <w:szCs w:val="21"/>
    </w:rPr>
  </w:style>
  <w:style w:type="paragraph" w:styleId="43">
    <w:name w:val="List Paragraph"/>
    <w:basedOn w:val="1"/>
    <w:qFormat/>
    <w:uiPriority w:val="34"/>
    <w:pPr>
      <w:ind w:firstLine="420" w:firstLineChars="200"/>
    </w:pPr>
    <w:rPr>
      <w:szCs w:val="22"/>
    </w:rPr>
  </w:style>
  <w:style w:type="character" w:customStyle="1" w:styleId="44">
    <w:name w:val="NormalCharacter"/>
    <w:qFormat/>
    <w:uiPriority w:val="0"/>
  </w:style>
  <w:style w:type="character" w:customStyle="1" w:styleId="45">
    <w:name w:val="font01"/>
    <w:qFormat/>
    <w:uiPriority w:val="0"/>
    <w:rPr>
      <w:rFonts w:hint="eastAsia" w:ascii="宋体" w:hAnsi="宋体" w:eastAsia="宋体" w:cs="宋体"/>
      <w:color w:val="000000"/>
      <w:sz w:val="22"/>
      <w:szCs w:val="22"/>
      <w:u w:val="none"/>
    </w:rPr>
  </w:style>
  <w:style w:type="paragraph" w:customStyle="1" w:styleId="46">
    <w:name w:val="正文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47">
    <w:name w:val="列表段落1"/>
    <w:basedOn w:val="1"/>
    <w:qFormat/>
    <w:uiPriority w:val="0"/>
    <w:pPr>
      <w:ind w:firstLine="420" w:firstLineChars="200"/>
    </w:pPr>
    <w:rPr>
      <w:rFonts w:ascii="Times New Roman" w:hAnsi="Times New Roman"/>
    </w:rPr>
  </w:style>
  <w:style w:type="paragraph" w:customStyle="1" w:styleId="48">
    <w:name w:val="样式 标题 3 + (中文) 黑体 小四 非加粗 段前: 7.8 磅 段后: 0 磅 行距: 固定值 20 磅"/>
    <w:basedOn w:val="5"/>
    <w:qFormat/>
    <w:uiPriority w:val="0"/>
    <w:pPr>
      <w:spacing w:before="0" w:after="0" w:line="400" w:lineRule="exact"/>
    </w:pPr>
    <w:rPr>
      <w:rFonts w:eastAsia="黑体" w:cs="宋体"/>
      <w:b w:val="0"/>
      <w:bCs w:val="0"/>
      <w:sz w:val="24"/>
      <w:szCs w:val="20"/>
    </w:rPr>
  </w:style>
  <w:style w:type="paragraph" w:customStyle="1" w:styleId="49">
    <w:name w:val="reader-word-layer"/>
    <w:basedOn w:val="1"/>
    <w:qFormat/>
    <w:uiPriority w:val="0"/>
    <w:pPr>
      <w:widowControl/>
      <w:spacing w:before="100" w:beforeAutospacing="1" w:after="100" w:afterAutospacing="1"/>
      <w:jc w:val="left"/>
    </w:pPr>
    <w:rPr>
      <w:rFonts w:ascii="宋体" w:hAnsi="宋体" w:cs="宋体"/>
      <w:kern w:val="0"/>
      <w:sz w:val="24"/>
    </w:rPr>
  </w:style>
  <w:style w:type="paragraph" w:customStyle="1" w:styleId="50">
    <w:name w:val="样式 样式1 + 首行缩进:  2 字符"/>
    <w:basedOn w:val="1"/>
    <w:qFormat/>
    <w:uiPriority w:val="0"/>
    <w:pPr>
      <w:spacing w:line="360" w:lineRule="exact"/>
      <w:ind w:firstLine="420" w:firstLineChars="200"/>
    </w:pPr>
    <w:rPr>
      <w:rFonts w:ascii="Arial" w:hAnsi="Arial" w:cs="宋体"/>
      <w:szCs w:val="20"/>
    </w:rPr>
  </w:style>
  <w:style w:type="paragraph" w:customStyle="1" w:styleId="51">
    <w:name w:val="_Style 3"/>
    <w:qFormat/>
    <w:uiPriority w:val="99"/>
    <w:pPr>
      <w:widowControl w:val="0"/>
      <w:jc w:val="both"/>
    </w:pPr>
    <w:rPr>
      <w:rFonts w:ascii="Calibri" w:hAnsi="Calibri" w:eastAsia="宋体" w:cs="Times New Roman"/>
      <w:kern w:val="2"/>
      <w:sz w:val="21"/>
      <w:szCs w:val="22"/>
      <w:lang w:val="en-US" w:eastAsia="zh-CN" w:bidi="ar-SA"/>
    </w:rPr>
  </w:style>
  <w:style w:type="character" w:customStyle="1" w:styleId="52">
    <w:name w:val="纯文本 Char"/>
    <w:basedOn w:val="23"/>
    <w:link w:val="10"/>
    <w:qFormat/>
    <w:locked/>
    <w:uiPriority w:val="0"/>
    <w:rPr>
      <w:rFonts w:ascii="宋体" w:hAnsi="Courier New" w:eastAsia="Calibri"/>
      <w:kern w:val="2"/>
      <w:sz w:val="21"/>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theme" Target="theme/theme1.xml"/><Relationship Id="rId13" Type="http://schemas.openxmlformats.org/officeDocument/2006/relationships/footer" Target="foot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77</Pages>
  <Words>9616</Words>
  <Characters>10568</Characters>
  <Lines>455</Lines>
  <Paragraphs>128</Paragraphs>
  <TotalTime>2</TotalTime>
  <ScaleCrop>false</ScaleCrop>
  <LinksUpToDate>false</LinksUpToDate>
  <CharactersWithSpaces>10755</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2020-08-10T07:26:00Z</dcterms:created>
  <dc:creator>Administrator</dc:creator>
  <cp:lastModifiedBy>Administrator</cp:lastModifiedBy>
  <cp:lastPrinted>2025-02-27T03:53:00Z</cp:lastPrinted>
  <dcterms:modified xsi:type="dcterms:W3CDTF">2025-02-27T08:15:12Z</dcterms:modified>
  <cp:revision>89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B49A440C351B416693FB706C3FB41AA5_13</vt:lpwstr>
  </property>
  <property fmtid="{D5CDD505-2E9C-101B-9397-08002B2CF9AE}" pid="4" name="KSOTemplateDocerSaveRecord">
    <vt:lpwstr>eyJoZGlkIjoiZDA0MDBjMDNkMzFjZTNiNDRjYzcxNjkyMGQ2NDEzZjgiLCJ1c2VySWQiOiI0MDc4NTM4MDQifQ==</vt:lpwstr>
  </property>
</Properties>
</file>