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055E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1"/>
          <w:szCs w:val="21"/>
          <w:lang w:eastAsia="zh-CN"/>
        </w:rPr>
      </w:pPr>
    </w:p>
    <w:p w14:paraId="110D4EED">
      <w:pPr>
        <w:bidi w:val="0"/>
        <w:jc w:val="center"/>
        <w:rPr>
          <w:rFonts w:hint="eastAsia" w:ascii="宋体" w:hAnsi="宋体" w:eastAsia="宋体" w:cs="宋体"/>
          <w:b/>
          <w:bCs/>
          <w:sz w:val="48"/>
          <w:szCs w:val="36"/>
          <w:lang w:eastAsia="zh-CN"/>
        </w:rPr>
      </w:pPr>
      <w:r>
        <w:rPr>
          <w:rFonts w:hint="eastAsia" w:ascii="宋体" w:hAnsi="宋体" w:eastAsia="宋体" w:cs="宋体"/>
          <w:b/>
          <w:bCs/>
          <w:sz w:val="48"/>
          <w:szCs w:val="36"/>
          <w:lang w:eastAsia="zh-CN"/>
        </w:rPr>
        <w:t>浦江县2024年水文设施标准化</w:t>
      </w:r>
    </w:p>
    <w:p w14:paraId="6A2CA861">
      <w:pPr>
        <w:bidi w:val="0"/>
        <w:jc w:val="center"/>
        <w:rPr>
          <w:rFonts w:hint="eastAsia" w:ascii="宋体" w:hAnsi="宋体" w:eastAsia="宋体" w:cs="宋体"/>
          <w:b/>
          <w:bCs/>
          <w:sz w:val="48"/>
          <w:szCs w:val="36"/>
          <w:lang w:eastAsia="zh-CN"/>
        </w:rPr>
      </w:pPr>
      <w:r>
        <w:rPr>
          <w:rFonts w:hint="eastAsia" w:ascii="宋体" w:hAnsi="宋体" w:eastAsia="宋体" w:cs="宋体"/>
          <w:b/>
          <w:bCs/>
          <w:sz w:val="48"/>
          <w:szCs w:val="36"/>
          <w:lang w:eastAsia="zh-CN"/>
        </w:rPr>
        <w:t>管理项目</w:t>
      </w:r>
    </w:p>
    <w:p w14:paraId="2CCF8360">
      <w:pPr>
        <w:bidi w:val="0"/>
        <w:rPr>
          <w:rFonts w:hint="eastAsia" w:ascii="宋体" w:hAnsi="宋体" w:eastAsia="宋体" w:cs="宋体"/>
          <w:b/>
          <w:bCs/>
          <w:sz w:val="40"/>
          <w:szCs w:val="28"/>
          <w:lang w:eastAsia="zh-CN"/>
        </w:rPr>
      </w:pPr>
    </w:p>
    <w:p w14:paraId="3D2615B9">
      <w:pPr>
        <w:bidi w:val="0"/>
        <w:rPr>
          <w:rFonts w:hint="eastAsia" w:ascii="宋体" w:hAnsi="宋体" w:eastAsia="宋体" w:cs="宋体"/>
          <w:b/>
          <w:bCs/>
          <w:sz w:val="40"/>
          <w:szCs w:val="28"/>
          <w:lang w:eastAsia="zh-CN"/>
        </w:rPr>
      </w:pPr>
    </w:p>
    <w:p w14:paraId="368208E2">
      <w:pPr>
        <w:bidi w:val="0"/>
        <w:rPr>
          <w:rFonts w:hint="eastAsia" w:ascii="宋体" w:hAnsi="宋体" w:eastAsia="宋体" w:cs="宋体"/>
          <w:b/>
          <w:bCs/>
          <w:sz w:val="40"/>
          <w:szCs w:val="28"/>
          <w:lang w:eastAsia="zh-CN"/>
        </w:rPr>
      </w:pPr>
    </w:p>
    <w:p w14:paraId="145446C3">
      <w:pPr>
        <w:bidi w:val="0"/>
        <w:rPr>
          <w:rFonts w:hint="eastAsia" w:ascii="宋体" w:hAnsi="宋体" w:eastAsia="宋体" w:cs="宋体"/>
          <w:b/>
          <w:bCs/>
          <w:sz w:val="40"/>
          <w:szCs w:val="28"/>
          <w:lang w:eastAsia="zh-CN"/>
        </w:rPr>
      </w:pPr>
    </w:p>
    <w:p w14:paraId="3CCEE25A">
      <w:pPr>
        <w:bidi w:val="0"/>
        <w:rPr>
          <w:rFonts w:hint="eastAsia" w:ascii="宋体" w:hAnsi="宋体" w:eastAsia="宋体" w:cs="宋体"/>
          <w:b/>
          <w:bCs/>
          <w:sz w:val="36"/>
          <w:szCs w:val="24"/>
          <w:lang w:eastAsia="zh-CN"/>
        </w:rPr>
      </w:pPr>
    </w:p>
    <w:p w14:paraId="5D69B308">
      <w:pPr>
        <w:bidi w:val="0"/>
        <w:jc w:val="center"/>
        <w:rPr>
          <w:rFonts w:hint="eastAsia" w:ascii="宋体" w:hAnsi="宋体" w:eastAsia="宋体" w:cs="宋体"/>
          <w:b/>
          <w:bCs/>
          <w:sz w:val="36"/>
          <w:szCs w:val="24"/>
        </w:rPr>
      </w:pPr>
      <w:r>
        <w:rPr>
          <w:rFonts w:hint="eastAsia" w:ascii="宋体" w:hAnsi="宋体" w:eastAsia="宋体" w:cs="宋体"/>
          <w:b/>
          <w:bCs/>
          <w:sz w:val="36"/>
          <w:szCs w:val="24"/>
          <w:lang w:eastAsia="zh-CN"/>
        </w:rPr>
        <w:t>竞争性磋商文件</w:t>
      </w:r>
    </w:p>
    <w:p w14:paraId="74ABBBEF">
      <w:pPr>
        <w:bidi w:val="0"/>
        <w:jc w:val="center"/>
        <w:rPr>
          <w:rFonts w:hint="eastAsia" w:ascii="宋体" w:hAnsi="宋体" w:eastAsia="宋体" w:cs="宋体"/>
          <w:b/>
          <w:bCs/>
          <w:sz w:val="36"/>
          <w:szCs w:val="24"/>
          <w:lang w:eastAsia="zh-CN"/>
        </w:rPr>
      </w:pPr>
      <w:r>
        <w:rPr>
          <w:rFonts w:hint="eastAsia" w:ascii="宋体" w:hAnsi="宋体" w:eastAsia="宋体" w:cs="宋体"/>
          <w:b/>
          <w:bCs/>
          <w:sz w:val="36"/>
          <w:szCs w:val="24"/>
        </w:rPr>
        <w:t>（电子</w:t>
      </w:r>
      <w:r>
        <w:rPr>
          <w:rFonts w:hint="eastAsia" w:ascii="宋体" w:hAnsi="宋体" w:eastAsia="宋体" w:cs="宋体"/>
          <w:b/>
          <w:bCs/>
          <w:sz w:val="36"/>
          <w:szCs w:val="24"/>
          <w:lang w:val="en-US" w:eastAsia="zh-CN"/>
        </w:rPr>
        <w:t>交易</w:t>
      </w:r>
      <w:r>
        <w:rPr>
          <w:rFonts w:hint="eastAsia" w:ascii="宋体" w:hAnsi="宋体" w:eastAsia="宋体" w:cs="宋体"/>
          <w:b/>
          <w:bCs/>
          <w:sz w:val="36"/>
          <w:szCs w:val="24"/>
        </w:rPr>
        <w:t>）</w:t>
      </w:r>
    </w:p>
    <w:p w14:paraId="1C9C2353">
      <w:pPr>
        <w:bidi w:val="0"/>
        <w:jc w:val="center"/>
        <w:rPr>
          <w:rFonts w:hint="eastAsia" w:ascii="宋体" w:hAnsi="宋体" w:eastAsia="宋体" w:cs="宋体"/>
          <w:b/>
          <w:bCs/>
          <w:sz w:val="36"/>
          <w:szCs w:val="24"/>
          <w:lang w:eastAsia="zh-CN"/>
        </w:rPr>
      </w:pPr>
      <w:r>
        <w:rPr>
          <w:rFonts w:hint="eastAsia" w:ascii="宋体" w:hAnsi="宋体" w:eastAsia="宋体" w:cs="宋体"/>
          <w:b/>
          <w:bCs/>
          <w:sz w:val="36"/>
          <w:szCs w:val="24"/>
          <w:lang w:val="en-US" w:eastAsia="zh-CN"/>
        </w:rPr>
        <w:t>项目</w:t>
      </w:r>
      <w:r>
        <w:rPr>
          <w:rFonts w:hint="eastAsia" w:ascii="宋体" w:hAnsi="宋体" w:eastAsia="宋体" w:cs="宋体"/>
          <w:b/>
          <w:bCs/>
          <w:sz w:val="36"/>
          <w:szCs w:val="24"/>
        </w:rPr>
        <w:t>编号：</w:t>
      </w:r>
      <w:r>
        <w:rPr>
          <w:rFonts w:hint="eastAsia" w:ascii="宋体" w:hAnsi="宋体" w:eastAsia="宋体" w:cs="宋体"/>
          <w:b/>
          <w:bCs/>
          <w:sz w:val="36"/>
          <w:szCs w:val="24"/>
          <w:lang w:val="en-US" w:eastAsia="zh-CN"/>
        </w:rPr>
        <w:t>TYZXCG2024005</w:t>
      </w:r>
    </w:p>
    <w:p w14:paraId="7BCAA790">
      <w:pPr>
        <w:bidi w:val="0"/>
        <w:rPr>
          <w:rFonts w:hint="eastAsia" w:ascii="宋体" w:hAnsi="宋体" w:eastAsia="宋体" w:cs="宋体"/>
          <w:b/>
          <w:bCs/>
          <w:sz w:val="40"/>
          <w:szCs w:val="28"/>
        </w:rPr>
      </w:pPr>
    </w:p>
    <w:p w14:paraId="0148332B">
      <w:pPr>
        <w:bidi w:val="0"/>
        <w:rPr>
          <w:rFonts w:hint="eastAsia" w:ascii="宋体" w:hAnsi="宋体" w:eastAsia="宋体" w:cs="宋体"/>
          <w:b/>
          <w:bCs/>
          <w:sz w:val="40"/>
          <w:szCs w:val="28"/>
        </w:rPr>
      </w:pPr>
    </w:p>
    <w:p w14:paraId="7C55EA51">
      <w:pPr>
        <w:bidi w:val="0"/>
        <w:rPr>
          <w:rFonts w:hint="eastAsia" w:ascii="宋体" w:hAnsi="宋体" w:eastAsia="宋体" w:cs="宋体"/>
          <w:b/>
          <w:bCs/>
          <w:sz w:val="40"/>
          <w:szCs w:val="28"/>
        </w:rPr>
      </w:pPr>
    </w:p>
    <w:p w14:paraId="45CF00C0">
      <w:pPr>
        <w:bidi w:val="0"/>
        <w:rPr>
          <w:rFonts w:hint="eastAsia" w:ascii="宋体" w:hAnsi="宋体" w:eastAsia="宋体" w:cs="宋体"/>
          <w:b/>
          <w:bCs/>
          <w:sz w:val="40"/>
          <w:szCs w:val="28"/>
        </w:rPr>
      </w:pPr>
    </w:p>
    <w:p w14:paraId="59C9295A">
      <w:pPr>
        <w:bidi w:val="0"/>
        <w:rPr>
          <w:rFonts w:hint="eastAsia" w:ascii="宋体" w:hAnsi="宋体" w:eastAsia="宋体" w:cs="宋体"/>
          <w:b/>
          <w:bCs/>
          <w:sz w:val="40"/>
          <w:szCs w:val="28"/>
        </w:rPr>
      </w:pPr>
    </w:p>
    <w:p w14:paraId="616C04FD">
      <w:pPr>
        <w:bidi w:val="0"/>
        <w:rPr>
          <w:rFonts w:hint="eastAsia" w:ascii="宋体" w:hAnsi="宋体" w:eastAsia="宋体" w:cs="宋体"/>
          <w:b/>
          <w:bCs/>
          <w:sz w:val="40"/>
          <w:szCs w:val="28"/>
        </w:rPr>
      </w:pPr>
    </w:p>
    <w:tbl>
      <w:tblPr>
        <w:tblStyle w:val="24"/>
        <w:tblW w:w="9269"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884"/>
      </w:tblGrid>
      <w:tr w14:paraId="6A166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14:paraId="3BA482DE">
            <w:pPr>
              <w:bidi w:val="0"/>
              <w:rPr>
                <w:rFonts w:hint="eastAsia" w:ascii="宋体" w:hAnsi="宋体" w:eastAsia="宋体" w:cs="宋体"/>
                <w:b/>
                <w:bCs/>
                <w:sz w:val="32"/>
                <w:szCs w:val="22"/>
                <w:lang w:eastAsia="zh-CN"/>
              </w:rPr>
            </w:pPr>
            <w:r>
              <w:rPr>
                <w:rFonts w:hint="eastAsia" w:ascii="宋体" w:hAnsi="宋体" w:eastAsia="宋体" w:cs="宋体"/>
                <w:b/>
                <w:bCs/>
                <w:sz w:val="32"/>
                <w:szCs w:val="22"/>
                <w:lang w:val="zh-CN" w:eastAsia="zh-CN"/>
              </w:rPr>
              <w:t>采</w:t>
            </w:r>
            <w:r>
              <w:rPr>
                <w:rFonts w:hint="eastAsia" w:ascii="宋体" w:hAnsi="宋体" w:eastAsia="宋体" w:cs="宋体"/>
                <w:b/>
                <w:bCs/>
                <w:sz w:val="32"/>
                <w:szCs w:val="22"/>
                <w:lang w:val="en-US" w:eastAsia="zh-CN"/>
              </w:rPr>
              <w:t xml:space="preserve">   </w:t>
            </w:r>
            <w:r>
              <w:rPr>
                <w:rFonts w:hint="eastAsia" w:ascii="宋体" w:hAnsi="宋体" w:eastAsia="宋体" w:cs="宋体"/>
                <w:b/>
                <w:bCs/>
                <w:sz w:val="32"/>
                <w:szCs w:val="22"/>
                <w:lang w:val="zh-CN" w:eastAsia="zh-CN"/>
              </w:rPr>
              <w:t>购</w:t>
            </w:r>
            <w:r>
              <w:rPr>
                <w:rFonts w:hint="eastAsia" w:ascii="宋体" w:hAnsi="宋体" w:eastAsia="宋体" w:cs="宋体"/>
                <w:b/>
                <w:bCs/>
                <w:sz w:val="32"/>
                <w:szCs w:val="22"/>
                <w:lang w:val="en-US" w:eastAsia="zh-CN"/>
              </w:rPr>
              <w:t xml:space="preserve">   </w:t>
            </w:r>
            <w:r>
              <w:rPr>
                <w:rFonts w:hint="eastAsia" w:ascii="宋体" w:hAnsi="宋体" w:eastAsia="宋体" w:cs="宋体"/>
                <w:b/>
                <w:bCs/>
                <w:sz w:val="32"/>
                <w:szCs w:val="22"/>
                <w:lang w:val="zh-CN" w:eastAsia="zh-CN"/>
              </w:rPr>
              <w:t>人：</w:t>
            </w:r>
          </w:p>
        </w:tc>
        <w:tc>
          <w:tcPr>
            <w:tcW w:w="6884" w:type="dxa"/>
            <w:noWrap w:val="0"/>
            <w:vAlign w:val="top"/>
          </w:tcPr>
          <w:p w14:paraId="3CC1C900">
            <w:pPr>
              <w:bidi w:val="0"/>
              <w:rPr>
                <w:rFonts w:hint="eastAsia" w:ascii="宋体" w:hAnsi="宋体" w:eastAsia="宋体" w:cs="宋体"/>
                <w:b/>
                <w:bCs/>
                <w:sz w:val="32"/>
                <w:szCs w:val="22"/>
              </w:rPr>
            </w:pPr>
            <w:r>
              <w:rPr>
                <w:rFonts w:hint="eastAsia" w:ascii="宋体" w:hAnsi="宋体" w:eastAsia="宋体" w:cs="宋体"/>
                <w:b/>
                <w:bCs/>
                <w:sz w:val="32"/>
                <w:szCs w:val="22"/>
                <w:lang w:val="zh-CN"/>
              </w:rPr>
              <w:t>浦江县水文管理中心</w:t>
            </w:r>
          </w:p>
        </w:tc>
      </w:tr>
      <w:tr w14:paraId="6F00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noWrap w:val="0"/>
            <w:vAlign w:val="top"/>
          </w:tcPr>
          <w:p w14:paraId="78826719">
            <w:pPr>
              <w:bidi w:val="0"/>
              <w:rPr>
                <w:rFonts w:hint="eastAsia" w:ascii="宋体" w:hAnsi="宋体" w:eastAsia="宋体" w:cs="宋体"/>
                <w:b/>
                <w:bCs/>
                <w:sz w:val="32"/>
                <w:szCs w:val="22"/>
                <w:lang w:eastAsia="zh-CN"/>
              </w:rPr>
            </w:pPr>
            <w:r>
              <w:rPr>
                <w:rFonts w:hint="eastAsia" w:ascii="宋体" w:hAnsi="宋体" w:eastAsia="宋体" w:cs="宋体"/>
                <w:b/>
                <w:bCs/>
                <w:sz w:val="32"/>
                <w:szCs w:val="22"/>
                <w:lang w:val="zh-CN" w:eastAsia="zh-CN"/>
              </w:rPr>
              <w:t>采购代理机构：</w:t>
            </w:r>
          </w:p>
        </w:tc>
        <w:tc>
          <w:tcPr>
            <w:tcW w:w="6884" w:type="dxa"/>
            <w:noWrap w:val="0"/>
            <w:vAlign w:val="top"/>
          </w:tcPr>
          <w:p w14:paraId="0435125A">
            <w:pPr>
              <w:bidi w:val="0"/>
              <w:rPr>
                <w:rFonts w:hint="eastAsia" w:ascii="宋体" w:hAnsi="宋体" w:eastAsia="宋体" w:cs="宋体"/>
                <w:b/>
                <w:bCs/>
                <w:sz w:val="32"/>
                <w:szCs w:val="22"/>
              </w:rPr>
            </w:pPr>
            <w:r>
              <w:rPr>
                <w:rFonts w:hint="eastAsia" w:ascii="宋体" w:hAnsi="宋体" w:eastAsia="宋体" w:cs="宋体"/>
                <w:b/>
                <w:bCs/>
                <w:sz w:val="32"/>
                <w:szCs w:val="22"/>
                <w:lang w:val="zh-CN"/>
              </w:rPr>
              <w:t>泰宇建筑工程技术咨询有限公司</w:t>
            </w:r>
          </w:p>
        </w:tc>
      </w:tr>
      <w:tr w14:paraId="6823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69" w:type="dxa"/>
            <w:gridSpan w:val="2"/>
            <w:noWrap w:val="0"/>
            <w:vAlign w:val="top"/>
          </w:tcPr>
          <w:p w14:paraId="0C8C49B9">
            <w:pPr>
              <w:bidi w:val="0"/>
              <w:jc w:val="center"/>
              <w:rPr>
                <w:rFonts w:hint="eastAsia" w:ascii="宋体" w:hAnsi="宋体" w:eastAsia="宋体" w:cs="宋体"/>
                <w:b/>
                <w:bCs/>
                <w:sz w:val="32"/>
                <w:szCs w:val="22"/>
              </w:rPr>
            </w:pPr>
            <w:r>
              <w:rPr>
                <w:rFonts w:hint="eastAsia" w:ascii="宋体" w:hAnsi="宋体" w:eastAsia="宋体" w:cs="宋体"/>
                <w:b/>
                <w:bCs/>
                <w:sz w:val="32"/>
                <w:szCs w:val="22"/>
                <w:lang w:val="en-US" w:eastAsia="zh-CN"/>
              </w:rPr>
              <w:t>2024年9月</w:t>
            </w:r>
          </w:p>
        </w:tc>
      </w:tr>
    </w:tbl>
    <w:p w14:paraId="4443E3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sectPr>
          <w:headerReference r:id="rId5" w:type="default"/>
          <w:footerReference r:id="rId6" w:type="default"/>
          <w:pgSz w:w="11906" w:h="16838"/>
          <w:pgMar w:top="1701" w:right="1106" w:bottom="1277" w:left="1501" w:header="1077" w:footer="1077" w:gutter="0"/>
          <w:pgNumType w:fmt="decimal" w:start="1"/>
          <w:cols w:space="720" w:num="1"/>
          <w:docGrid w:type="lines" w:linePitch="312" w:charSpace="0"/>
        </w:sectPr>
      </w:pPr>
    </w:p>
    <w:sdt>
      <w:sdtPr>
        <w:rPr>
          <w:rFonts w:hint="eastAsia" w:ascii="宋体" w:hAnsi="宋体" w:eastAsia="宋体" w:cs="宋体"/>
          <w:b/>
          <w:bCs/>
          <w:kern w:val="2"/>
          <w:sz w:val="28"/>
          <w:szCs w:val="28"/>
          <w:lang w:val="en-US" w:eastAsia="zh-CN" w:bidi="ar-SA"/>
        </w:rPr>
        <w:id w:val="147459940"/>
        <w15:color w:val="DBDBDB"/>
        <w:docPartObj>
          <w:docPartGallery w:val="Table of Contents"/>
          <w:docPartUnique/>
        </w:docPartObj>
      </w:sdtPr>
      <w:sdtEndPr>
        <w:rPr>
          <w:rFonts w:hint="eastAsia" w:ascii="宋体" w:hAnsi="宋体" w:eastAsia="宋体" w:cs="宋体"/>
          <w:b/>
          <w:bCs/>
          <w:kern w:val="2"/>
          <w:sz w:val="24"/>
          <w:szCs w:val="21"/>
          <w:lang w:val="en-US" w:eastAsia="zh-CN" w:bidi="ar-SA"/>
        </w:rPr>
      </w:sdtEndPr>
      <w:sdtContent>
        <w:p w14:paraId="7587E20C">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14:paraId="5E7A702B">
          <w:pPr>
            <w:pStyle w:val="13"/>
            <w:tabs>
              <w:tab w:val="right" w:leader="dot" w:pos="9299"/>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TOC \o "1-2" \h \u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_Toc25156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第一部分 竞争性磋商公告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_Toc25156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5C3CCCC4">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_Toc26832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 xml:space="preserve">一、项目基本情况  </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_Toc26832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CBF2F86">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_Toc30280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二</w:t>
          </w:r>
          <w:r>
            <w:rPr>
              <w:rFonts w:hint="eastAsia" w:ascii="宋体" w:hAnsi="宋体" w:eastAsia="宋体" w:cs="宋体"/>
              <w:sz w:val="21"/>
              <w:szCs w:val="21"/>
            </w:rPr>
            <w:t>、申请人的资格要求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_Toc30280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618C8383">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_Toc21179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三、获取（下载）采购文件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_Toc21179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7F07AAF2">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_Toc13887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四、响应文件提交（上传）</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_Toc13887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35690173">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_Toc19142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五、响应文件开启</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_Toc19142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10FB8D83">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_Toc4838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六、采购意向公开链接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_Toc4838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02A1CB9B">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_Toc8348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七、公告期限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_Toc8348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3ED3BFF3">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_Toc8111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八、</w:t>
          </w:r>
          <w:r>
            <w:rPr>
              <w:rFonts w:hint="eastAsia" w:ascii="宋体" w:hAnsi="宋体" w:eastAsia="宋体" w:cs="宋体"/>
              <w:sz w:val="21"/>
              <w:szCs w:val="21"/>
            </w:rPr>
            <w:t>其他补充事宜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_Toc8111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32B19C54">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_Toc23176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九、凡对本次招标提出询问、质疑、投诉，请按以下方式联系</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_Toc23176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98FC134">
          <w:pPr>
            <w:pStyle w:val="13"/>
            <w:tabs>
              <w:tab w:val="right" w:leader="dot" w:pos="9299"/>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_Toc12211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 xml:space="preserve">第二部分 </w:t>
          </w:r>
          <w:r>
            <w:rPr>
              <w:rFonts w:hint="eastAsia" w:ascii="宋体" w:hAnsi="宋体" w:eastAsia="宋体" w:cs="宋体"/>
              <w:sz w:val="21"/>
              <w:szCs w:val="21"/>
              <w:lang w:val="en-US" w:eastAsia="zh-CN"/>
            </w:rPr>
            <w:t>竞争性磋商流程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_Toc12211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DD2D23D">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_Toc21819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征集供应商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_Toc21819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2429B6A0">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_Toc4859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响应文件开启与信用信息查询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_Toc4859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35C9330E">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_Toc13928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rPr>
            <w:t>磋商与评审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_Toc13928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D15693F">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_Toc16135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rPr>
            <w:t>成交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_Toc16135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93A3BF7">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_Toc29092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w:t>
          </w:r>
          <w:r>
            <w:rPr>
              <w:rFonts w:hint="eastAsia" w:ascii="宋体" w:hAnsi="宋体" w:eastAsia="宋体" w:cs="宋体"/>
              <w:sz w:val="21"/>
              <w:szCs w:val="21"/>
            </w:rPr>
            <w:t>合同及履约验收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_Toc29092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94A90E9">
          <w:pPr>
            <w:pStyle w:val="13"/>
            <w:tabs>
              <w:tab w:val="right" w:leader="dot" w:pos="9299"/>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_Toc17616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第</w:t>
          </w:r>
          <w:r>
            <w:rPr>
              <w:rFonts w:hint="eastAsia" w:ascii="宋体" w:hAnsi="宋体" w:eastAsia="宋体" w:cs="宋体"/>
              <w:sz w:val="21"/>
              <w:szCs w:val="21"/>
              <w:lang w:val="en-US" w:eastAsia="zh-CN"/>
            </w:rPr>
            <w:t>三</w:t>
          </w:r>
          <w:r>
            <w:rPr>
              <w:rFonts w:hint="eastAsia" w:ascii="宋体" w:hAnsi="宋体" w:eastAsia="宋体" w:cs="宋体"/>
              <w:sz w:val="21"/>
              <w:szCs w:val="21"/>
            </w:rPr>
            <w:t xml:space="preserve">部分 </w:t>
          </w:r>
          <w:r>
            <w:rPr>
              <w:rFonts w:hint="eastAsia" w:ascii="宋体" w:hAnsi="宋体" w:eastAsia="宋体" w:cs="宋体"/>
              <w:sz w:val="21"/>
              <w:szCs w:val="21"/>
              <w:lang w:val="en-US" w:eastAsia="zh-CN"/>
            </w:rPr>
            <w:t>磋商供应商须知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_Toc17616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7FFF7AE">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_Toc22768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_Toc22768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5C3B6232">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_Toc18325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一、总  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_Toc18325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16605357">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_Toc16076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二</w:t>
          </w:r>
          <w:r>
            <w:rPr>
              <w:rFonts w:hint="eastAsia" w:ascii="宋体" w:hAnsi="宋体" w:eastAsia="宋体" w:cs="宋体"/>
              <w:sz w:val="21"/>
              <w:szCs w:val="21"/>
            </w:rPr>
            <w:t>、磋商文件构成、修改、解释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_Toc16076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516D752F">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_Toc804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三、响应文件的编制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_Toc804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00268F94">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_Toc7635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四、响应文件的提交和备份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_Toc7635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548D2E11">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_Toc9618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五、开启响应文件、资格审查与信用信息查询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_Toc9618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95D5A26">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_Toc6690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六、提交最后报价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_Toc6690 \h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62C2F8DF">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_Toc8053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七、评审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_Toc8053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72B930C0">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_Toc4898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八、成交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_Toc4898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3A2FBE4">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_Toc26394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九、合同授予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_Toc26394 \h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35DCCA4E">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_Toc28776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十、电子交易活动的中止</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_Toc28776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6F464D33">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_Toc20050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十一、验收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_Toc20050 \h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DA47806">
          <w:pPr>
            <w:pStyle w:val="13"/>
            <w:tabs>
              <w:tab w:val="right" w:leader="dot" w:pos="9299"/>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_Toc27331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第四部分 采购需求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_Toc27331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256E169F">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_Toc18383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一、项目概况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_Toc18383 \h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7A05D562">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_Toc23233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二、维护服务内容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_Toc23233 \h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2457157D">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_Toc8221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三、维护服务要求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_Toc8221 \h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2F6A7CC7">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_Toc8224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四、设施维护管理考核方案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_Toc8224 \h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0644391C">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_Toc4035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五、运行维护内容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_Toc4035 \h </w:instrText>
          </w:r>
          <w:r>
            <w:rPr>
              <w:rFonts w:hint="eastAsia" w:ascii="宋体" w:hAnsi="宋体" w:eastAsia="宋体" w:cs="宋体"/>
              <w:sz w:val="21"/>
              <w:szCs w:val="21"/>
            </w:rPr>
            <w:fldChar w:fldCharType="separate"/>
          </w:r>
          <w:r>
            <w:rPr>
              <w:rFonts w:hint="eastAsia" w:ascii="宋体" w:hAnsi="宋体" w:eastAsia="宋体" w:cs="宋体"/>
              <w:sz w:val="21"/>
              <w:szCs w:val="21"/>
            </w:rPr>
            <w:t>44</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11C3BB89">
          <w:pPr>
            <w:pStyle w:val="13"/>
            <w:tabs>
              <w:tab w:val="right" w:leader="dot" w:pos="9299"/>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_Toc4619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第五部分 评审方法及标准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_Toc4619 \h </w:instrText>
          </w:r>
          <w:r>
            <w:rPr>
              <w:rFonts w:hint="eastAsia" w:ascii="宋体" w:hAnsi="宋体" w:eastAsia="宋体" w:cs="宋体"/>
              <w:sz w:val="21"/>
              <w:szCs w:val="21"/>
            </w:rPr>
            <w:fldChar w:fldCharType="separate"/>
          </w:r>
          <w:r>
            <w:rPr>
              <w:rFonts w:hint="eastAsia" w:ascii="宋体" w:hAnsi="宋体" w:eastAsia="宋体" w:cs="宋体"/>
              <w:sz w:val="21"/>
              <w:szCs w:val="21"/>
            </w:rPr>
            <w:t>46</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1DDFBA29">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_Toc30479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一、评审方法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_Toc30479 \h </w:instrText>
          </w:r>
          <w:r>
            <w:rPr>
              <w:rFonts w:hint="eastAsia" w:ascii="宋体" w:hAnsi="宋体" w:eastAsia="宋体" w:cs="宋体"/>
              <w:sz w:val="21"/>
              <w:szCs w:val="21"/>
            </w:rPr>
            <w:fldChar w:fldCharType="separate"/>
          </w:r>
          <w:r>
            <w:rPr>
              <w:rFonts w:hint="eastAsia"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3FF90EAF">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_Toc9756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二、评标标准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_Toc9756 \h </w:instrText>
          </w:r>
          <w:r>
            <w:rPr>
              <w:rFonts w:hint="eastAsia" w:ascii="宋体" w:hAnsi="宋体" w:eastAsia="宋体" w:cs="宋体"/>
              <w:sz w:val="21"/>
              <w:szCs w:val="21"/>
            </w:rPr>
            <w:fldChar w:fldCharType="separate"/>
          </w:r>
          <w:r>
            <w:rPr>
              <w:rFonts w:hint="eastAsia"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09CA805B">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_Toc22936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三、磋商小组的组成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_Toc22936 \h </w:instrText>
          </w:r>
          <w:r>
            <w:rPr>
              <w:rFonts w:hint="eastAsia" w:ascii="宋体" w:hAnsi="宋体" w:eastAsia="宋体" w:cs="宋体"/>
              <w:sz w:val="21"/>
              <w:szCs w:val="21"/>
            </w:rPr>
            <w:fldChar w:fldCharType="separate"/>
          </w:r>
          <w:r>
            <w:rPr>
              <w:rFonts w:hint="eastAsia"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2D8D846D">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_Toc11374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四、磋商小组的职责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_Toc11374 \h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590A3F1D">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_Toc7804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五、评审程序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_Toc7804 \h </w:instrText>
          </w:r>
          <w:r>
            <w:rPr>
              <w:rFonts w:hint="eastAsia" w:ascii="宋体" w:hAnsi="宋体" w:eastAsia="宋体" w:cs="宋体"/>
              <w:sz w:val="21"/>
              <w:szCs w:val="21"/>
            </w:rPr>
            <w:fldChar w:fldCharType="separate"/>
          </w:r>
          <w:r>
            <w:rPr>
              <w:rFonts w:hint="eastAsia" w:ascii="宋体" w:hAnsi="宋体" w:eastAsia="宋体" w:cs="宋体"/>
              <w:sz w:val="21"/>
              <w:szCs w:val="21"/>
            </w:rPr>
            <w:t>50</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7B0D85B2">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_Toc12619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六、评标中的其他事项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_Toc12619 \h </w:instrText>
          </w:r>
          <w:r>
            <w:rPr>
              <w:rFonts w:hint="eastAsia" w:ascii="宋体" w:hAnsi="宋体" w:eastAsia="宋体" w:cs="宋体"/>
              <w:sz w:val="21"/>
              <w:szCs w:val="21"/>
            </w:rPr>
            <w:fldChar w:fldCharType="separate"/>
          </w:r>
          <w:r>
            <w:rPr>
              <w:rFonts w:hint="eastAsia" w:ascii="宋体" w:hAnsi="宋体" w:eastAsia="宋体" w:cs="宋体"/>
              <w:sz w:val="21"/>
              <w:szCs w:val="21"/>
            </w:rPr>
            <w:t>50</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787C9E4">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_Toc997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rPr>
            <w:t>七、评审过程的保密与录像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_Toc997 \h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40DAE5D6">
          <w:pPr>
            <w:pStyle w:val="18"/>
            <w:tabs>
              <w:tab w:val="right" w:leader="dot" w:pos="9299"/>
              <w:tab w:val="clear" w:pos="9403"/>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_Toc22837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八、评审纪律和要求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_Toc22837 \h </w:instrText>
          </w:r>
          <w:r>
            <w:rPr>
              <w:rFonts w:hint="eastAsia" w:ascii="宋体" w:hAnsi="宋体" w:eastAsia="宋体" w:cs="宋体"/>
              <w:sz w:val="21"/>
              <w:szCs w:val="21"/>
            </w:rPr>
            <w:fldChar w:fldCharType="separate"/>
          </w:r>
          <w:r>
            <w:rPr>
              <w:rFonts w:hint="eastAsia" w:ascii="宋体" w:hAnsi="宋体" w:eastAsia="宋体" w:cs="宋体"/>
              <w:sz w:val="21"/>
              <w:szCs w:val="21"/>
            </w:rPr>
            <w:t>52</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762BF77F">
          <w:pPr>
            <w:pStyle w:val="13"/>
            <w:tabs>
              <w:tab w:val="right" w:leader="dot" w:pos="9299"/>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_Toc26457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 xml:space="preserve">第六部分 </w:t>
          </w:r>
          <w:r>
            <w:rPr>
              <w:rFonts w:hint="eastAsia" w:ascii="宋体" w:hAnsi="宋体" w:eastAsia="宋体" w:cs="宋体"/>
              <w:sz w:val="21"/>
              <w:szCs w:val="21"/>
            </w:rPr>
            <w:t>拟签订的合同文本</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_Toc26457 \h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394BA175">
          <w:pPr>
            <w:pStyle w:val="13"/>
            <w:tabs>
              <w:tab w:val="right" w:leader="dot" w:pos="9299"/>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_Toc29282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第七部分 应提交的有关格式范例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_Toc29282 \h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246194AC">
          <w:pPr>
            <w:pStyle w:val="13"/>
            <w:tabs>
              <w:tab w:val="right" w:leader="dot" w:pos="9299"/>
            </w:tabs>
            <w:rPr>
              <w:rFonts w:hint="eastAsia" w:ascii="宋体" w:hAnsi="宋体" w:eastAsia="宋体" w:cs="宋体"/>
              <w:sz w:val="21"/>
              <w:szCs w:val="21"/>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_Toc20956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第八部分 最后报价格式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_Toc20956 \h </w:instrText>
          </w:r>
          <w:r>
            <w:rPr>
              <w:rFonts w:hint="eastAsia" w:ascii="宋体" w:hAnsi="宋体" w:eastAsia="宋体" w:cs="宋体"/>
              <w:sz w:val="21"/>
              <w:szCs w:val="21"/>
            </w:rPr>
            <w:fldChar w:fldCharType="separate"/>
          </w:r>
          <w:r>
            <w:rPr>
              <w:rFonts w:hint="eastAsia" w:ascii="宋体" w:hAnsi="宋体" w:eastAsia="宋体" w:cs="宋体"/>
              <w:sz w:val="21"/>
              <w:szCs w:val="21"/>
            </w:rPr>
            <w:t>81</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7DB4D1EA">
          <w:pPr>
            <w:pStyle w:val="13"/>
            <w:tabs>
              <w:tab w:val="right" w:leader="dot" w:pos="9299"/>
            </w:tabs>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\l _Toc3805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val="en-US" w:eastAsia="zh-CN"/>
            </w:rPr>
            <w:t>第九部分 其他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_Toc3805 \h </w:instrText>
          </w:r>
          <w:r>
            <w:rPr>
              <w:rFonts w:hint="eastAsia" w:ascii="宋体" w:hAnsi="宋体" w:eastAsia="宋体" w:cs="宋体"/>
              <w:sz w:val="21"/>
              <w:szCs w:val="21"/>
            </w:rPr>
            <w:fldChar w:fldCharType="separate"/>
          </w:r>
          <w:r>
            <w:rPr>
              <w:rFonts w:hint="eastAsia" w:ascii="宋体" w:hAnsi="宋体" w:eastAsia="宋体" w:cs="宋体"/>
              <w:sz w:val="21"/>
              <w:szCs w:val="21"/>
            </w:rPr>
            <w:t>82</w:t>
          </w:r>
          <w:r>
            <w:rPr>
              <w:rFonts w:hint="eastAsia" w:ascii="宋体" w:hAnsi="宋体" w:eastAsia="宋体" w:cs="宋体"/>
              <w:sz w:val="21"/>
              <w:szCs w:val="21"/>
            </w:rPr>
            <w:fldChar w:fldCharType="end"/>
          </w:r>
          <w:r>
            <w:rPr>
              <w:rFonts w:hint="eastAsia" w:ascii="宋体" w:hAnsi="宋体" w:eastAsia="宋体" w:cs="宋体"/>
              <w:sz w:val="21"/>
              <w:szCs w:val="21"/>
              <w:lang w:eastAsia="zh-CN"/>
            </w:rPr>
            <w:fldChar w:fldCharType="end"/>
          </w:r>
        </w:p>
        <w:p w14:paraId="2F8FAE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kern w:val="2"/>
              <w:sz w:val="24"/>
              <w:szCs w:val="21"/>
              <w:lang w:val="en-US" w:eastAsia="zh-CN" w:bidi="ar-SA"/>
            </w:rPr>
          </w:pPr>
          <w:r>
            <w:rPr>
              <w:rFonts w:hint="eastAsia" w:ascii="宋体" w:hAnsi="宋体" w:eastAsia="宋体" w:cs="宋体"/>
              <w:szCs w:val="21"/>
              <w:lang w:eastAsia="zh-CN"/>
            </w:rPr>
            <w:fldChar w:fldCharType="end"/>
          </w:r>
        </w:p>
      </w:sdtContent>
    </w:sdt>
    <w:p w14:paraId="7B8E9016">
      <w:pPr>
        <w:pStyle w:val="10"/>
        <w:rPr>
          <w:rFonts w:hint="eastAsia"/>
          <w:lang w:eastAsia="zh-CN"/>
        </w:rPr>
      </w:pPr>
    </w:p>
    <w:p w14:paraId="53A875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B6147C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76676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DA816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2AAF4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D25B55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3BB07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63FBB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B19BCDA">
      <w:pPr>
        <w:pStyle w:val="3"/>
        <w:bidi w:val="0"/>
        <w:rPr>
          <w:rFonts w:hint="eastAsia"/>
        </w:rPr>
        <w:sectPr>
          <w:footerReference r:id="rId7" w:type="default"/>
          <w:pgSz w:w="11906" w:h="16838"/>
          <w:pgMar w:top="1701" w:right="1106" w:bottom="1277" w:left="1501" w:header="1077" w:footer="1077" w:gutter="0"/>
          <w:pgNumType w:fmt="decimal" w:start="1"/>
          <w:cols w:space="720" w:num="1"/>
          <w:docGrid w:type="lines" w:linePitch="312" w:charSpace="0"/>
        </w:sectPr>
      </w:pPr>
    </w:p>
    <w:p w14:paraId="0A50DF3C">
      <w:pPr>
        <w:pStyle w:val="3"/>
        <w:bidi w:val="0"/>
        <w:rPr>
          <w:rFonts w:hint="eastAsia"/>
        </w:rPr>
      </w:pPr>
      <w:bookmarkStart w:id="0" w:name="_Toc25156"/>
      <w:r>
        <w:rPr>
          <w:rFonts w:hint="eastAsia"/>
        </w:rPr>
        <w:t>第一部分 竞争性磋商公告</w:t>
      </w:r>
      <w:bookmarkEnd w:id="0"/>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1"/>
      </w:tblGrid>
      <w:tr w14:paraId="769F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180B025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14:paraId="3BAE2E9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浦江县2024年水文设施标准化管理项目</w:t>
            </w:r>
            <w:r>
              <w:rPr>
                <w:rFonts w:hint="eastAsia" w:ascii="宋体" w:hAnsi="宋体" w:eastAsia="宋体" w:cs="宋体"/>
                <w:sz w:val="21"/>
                <w:szCs w:val="21"/>
              </w:rPr>
              <w:t>)招标项目的潜在</w:t>
            </w:r>
            <w:r>
              <w:rPr>
                <w:rFonts w:hint="eastAsia" w:ascii="宋体" w:hAnsi="宋体" w:eastAsia="宋体" w:cs="宋体"/>
                <w:sz w:val="21"/>
                <w:szCs w:val="21"/>
                <w:lang w:val="en-US" w:eastAsia="zh-CN"/>
              </w:rPr>
              <w:t>供应商</w:t>
            </w:r>
            <w:r>
              <w:rPr>
                <w:rFonts w:hint="eastAsia" w:ascii="宋体" w:hAnsi="宋体" w:eastAsia="宋体" w:cs="宋体"/>
                <w:sz w:val="21"/>
                <w:szCs w:val="21"/>
              </w:rPr>
              <w:t>应在浙江政府采购网（https://zfcg.czt.zj.gov.cn/）获取（下载）招标文件，并于</w:t>
            </w:r>
            <w:r>
              <w:rPr>
                <w:rFonts w:hint="eastAsia" w:ascii="宋体" w:hAnsi="宋体" w:eastAsia="宋体" w:cs="宋体"/>
                <w:sz w:val="21"/>
                <w:szCs w:val="21"/>
                <w:lang w:eastAsia="zh-CN"/>
              </w:rPr>
              <w:t>2024年</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日</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时</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r>
              <w:rPr>
                <w:rFonts w:hint="eastAsia" w:ascii="宋体" w:hAnsi="宋体" w:eastAsia="宋体" w:cs="宋体"/>
                <w:sz w:val="21"/>
                <w:szCs w:val="21"/>
              </w:rPr>
              <w:t>（北京时间）前递交（上传）</w:t>
            </w:r>
            <w:r>
              <w:rPr>
                <w:rFonts w:hint="eastAsia" w:ascii="宋体" w:hAnsi="宋体" w:eastAsia="宋体" w:cs="宋体"/>
                <w:sz w:val="21"/>
                <w:szCs w:val="21"/>
                <w:lang w:val="en-US" w:eastAsia="zh-CN"/>
              </w:rPr>
              <w:t>响应</w:t>
            </w:r>
            <w:r>
              <w:rPr>
                <w:rFonts w:hint="eastAsia" w:ascii="宋体" w:hAnsi="宋体" w:eastAsia="宋体" w:cs="宋体"/>
                <w:sz w:val="21"/>
                <w:szCs w:val="21"/>
              </w:rPr>
              <w:t>文件。</w:t>
            </w:r>
          </w:p>
        </w:tc>
      </w:tr>
    </w:tbl>
    <w:p w14:paraId="075308D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宋体" w:hAnsi="宋体" w:eastAsia="宋体" w:cs="宋体"/>
          <w:sz w:val="21"/>
          <w:szCs w:val="21"/>
        </w:rPr>
      </w:pPr>
      <w:bookmarkStart w:id="1" w:name="_Toc26832"/>
      <w:r>
        <w:rPr>
          <w:rStyle w:val="27"/>
          <w:rFonts w:hint="eastAsia"/>
        </w:rPr>
        <w:t xml:space="preserve">一、项目基本情况  </w:t>
      </w:r>
      <w:bookmarkEnd w:id="1"/>
      <w:r>
        <w:rPr>
          <w:rFonts w:hint="eastAsia" w:ascii="宋体" w:hAnsi="宋体" w:eastAsia="宋体" w:cs="宋体"/>
          <w:sz w:val="21"/>
          <w:szCs w:val="21"/>
        </w:rPr>
        <w:t xml:space="preserve">                                          </w:t>
      </w:r>
    </w:p>
    <w:p w14:paraId="2EDBBF1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lang w:eastAsia="zh-CN"/>
        </w:rPr>
        <w:t>TYZXCG2024005</w:t>
      </w:r>
    </w:p>
    <w:p w14:paraId="2A02965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项目名称：</w:t>
      </w:r>
      <w:r>
        <w:rPr>
          <w:rFonts w:hint="eastAsia" w:ascii="宋体" w:hAnsi="宋体" w:eastAsia="宋体" w:cs="宋体"/>
          <w:sz w:val="21"/>
          <w:szCs w:val="21"/>
          <w:lang w:eastAsia="zh-CN"/>
        </w:rPr>
        <w:t>浦江县2024年水文设施标准化管理项目</w:t>
      </w:r>
    </w:p>
    <w:p w14:paraId="3688B21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预算金额（元）：</w:t>
      </w:r>
      <w:r>
        <w:rPr>
          <w:rFonts w:hint="eastAsia" w:ascii="宋体" w:hAnsi="宋体" w:eastAsia="宋体" w:cs="宋体"/>
          <w:sz w:val="21"/>
          <w:szCs w:val="21"/>
          <w:lang w:eastAsia="zh-CN"/>
        </w:rPr>
        <w:t>600000</w:t>
      </w:r>
    </w:p>
    <w:p w14:paraId="07F253E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最高限价（元）：</w:t>
      </w:r>
      <w:r>
        <w:rPr>
          <w:rFonts w:hint="eastAsia" w:ascii="宋体" w:hAnsi="宋体" w:eastAsia="宋体" w:cs="宋体"/>
          <w:sz w:val="21"/>
          <w:szCs w:val="21"/>
          <w:lang w:eastAsia="zh-CN"/>
        </w:rPr>
        <w:t>600000</w:t>
      </w:r>
    </w:p>
    <w:p w14:paraId="6C3794B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采购需求：</w:t>
      </w:r>
    </w:p>
    <w:p w14:paraId="5AC3991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数量：1       </w:t>
      </w:r>
    </w:p>
    <w:p w14:paraId="490C05E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预算金额（元）：</w:t>
      </w:r>
      <w:r>
        <w:rPr>
          <w:rFonts w:hint="eastAsia" w:ascii="宋体" w:hAnsi="宋体" w:eastAsia="宋体" w:cs="宋体"/>
          <w:sz w:val="21"/>
          <w:szCs w:val="21"/>
          <w:lang w:eastAsia="zh-CN"/>
        </w:rPr>
        <w:t>600000</w:t>
      </w:r>
    </w:p>
    <w:p w14:paraId="5390DD2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单位：项</w:t>
      </w:r>
    </w:p>
    <w:p w14:paraId="2B92503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简要规格描述：</w:t>
      </w:r>
      <w:r>
        <w:rPr>
          <w:rFonts w:hint="eastAsia" w:ascii="宋体" w:hAnsi="宋体" w:eastAsia="宋体" w:cs="宋体"/>
          <w:sz w:val="21"/>
          <w:szCs w:val="21"/>
          <w:lang w:val="en-US" w:eastAsia="zh-CN"/>
        </w:rPr>
        <w:t>水文设施标准化管理</w:t>
      </w:r>
      <w:bookmarkStart w:id="106" w:name="_GoBack"/>
      <w:bookmarkEnd w:id="106"/>
    </w:p>
    <w:p w14:paraId="255A06F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p w14:paraId="3B7BE10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合同履约期限：一年</w:t>
      </w:r>
    </w:p>
    <w:p w14:paraId="20B1D19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本项目接受联合体投标：</w:t>
      </w:r>
      <w:r>
        <w:rPr>
          <w:rFonts w:hint="eastAsia" w:ascii="宋体" w:hAnsi="宋体" w:eastAsia="宋体" w:cs="宋体"/>
          <w:color w:val="auto"/>
          <w:sz w:val="21"/>
          <w:szCs w:val="21"/>
        </w:rPr>
        <w:sym w:font="Wingdings" w:char="00FE"/>
      </w:r>
      <w:r>
        <w:rPr>
          <w:rFonts w:hint="eastAsia" w:ascii="宋体" w:hAnsi="宋体" w:eastAsia="宋体" w:cs="宋体"/>
          <w:color w:val="auto"/>
          <w:sz w:val="21"/>
          <w:szCs w:val="21"/>
          <w:lang w:val="en-US" w:eastAsia="zh-CN"/>
        </w:rPr>
        <w:t>是，□否。</w:t>
      </w:r>
    </w:p>
    <w:p w14:paraId="1F6B9FE9">
      <w:pPr>
        <w:pStyle w:val="4"/>
        <w:pageBreakBefore w:val="0"/>
        <w:widowControl w:val="0"/>
        <w:numPr>
          <w:ilvl w:val="1"/>
          <w:numId w:val="0"/>
        </w:numPr>
        <w:kinsoku/>
        <w:wordWrap/>
        <w:overflowPunct/>
        <w:topLinePunct w:val="0"/>
        <w:autoSpaceDE/>
        <w:autoSpaceDN/>
        <w:bidi w:val="0"/>
        <w:adjustRightInd/>
        <w:snapToGrid/>
        <w:spacing w:line="420" w:lineRule="exact"/>
        <w:ind w:leftChars="0"/>
        <w:textAlignment w:val="auto"/>
        <w:rPr>
          <w:rFonts w:hint="eastAsia"/>
          <w:color w:val="auto"/>
        </w:rPr>
      </w:pPr>
      <w:bookmarkStart w:id="2" w:name="_Toc30280"/>
      <w:r>
        <w:rPr>
          <w:rFonts w:hint="eastAsia"/>
          <w:color w:val="auto"/>
          <w:lang w:val="en-US" w:eastAsia="zh-CN"/>
        </w:rPr>
        <w:t>二</w:t>
      </w:r>
      <w:r>
        <w:rPr>
          <w:rFonts w:hint="eastAsia"/>
          <w:color w:val="auto"/>
        </w:rPr>
        <w:t>、申请人的资格要求</w:t>
      </w:r>
      <w:bookmarkEnd w:id="2"/>
    </w:p>
    <w:p w14:paraId="4E928FD0">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1.满足《中华人民共和国政府采购法》第二十二条规定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未被“信用中国”（www.creditchina.gov.cn)、中国政府采购网（www.ccgp.gov.cn）列入失信被执行人、</w:t>
      </w:r>
      <w:r>
        <w:rPr>
          <w:rFonts w:hint="eastAsia" w:ascii="宋体" w:hAnsi="宋体" w:eastAsia="宋体" w:cs="宋体"/>
          <w:color w:val="auto"/>
          <w:sz w:val="21"/>
          <w:szCs w:val="21"/>
          <w:lang w:eastAsia="zh-CN"/>
        </w:rPr>
        <w:t>重大税收违法失信主体</w:t>
      </w:r>
      <w:r>
        <w:rPr>
          <w:rFonts w:hint="eastAsia" w:ascii="宋体" w:hAnsi="宋体" w:eastAsia="宋体" w:cs="宋体"/>
          <w:color w:val="auto"/>
          <w:sz w:val="21"/>
          <w:szCs w:val="21"/>
        </w:rPr>
        <w:t>、政府采购严重违法失信行为记录名单</w:t>
      </w:r>
      <w:r>
        <w:rPr>
          <w:rFonts w:hint="eastAsia" w:ascii="宋体" w:hAnsi="宋体" w:eastAsia="宋体" w:cs="宋体"/>
          <w:color w:val="auto"/>
          <w:sz w:val="21"/>
          <w:szCs w:val="21"/>
          <w:lang w:eastAsia="zh-CN"/>
        </w:rPr>
        <w:t>；</w:t>
      </w:r>
    </w:p>
    <w:p w14:paraId="62930CA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2.落实政府采购政策需满足的资格要求：本项目专门面向中小企业采购，服务全部由符合政策要求的中小企业承接</w:t>
      </w:r>
      <w:r>
        <w:rPr>
          <w:rFonts w:hint="eastAsia" w:ascii="宋体" w:hAnsi="宋体" w:eastAsia="宋体" w:cs="宋体"/>
          <w:color w:val="auto"/>
          <w:sz w:val="21"/>
          <w:szCs w:val="21"/>
          <w:lang w:eastAsia="zh-CN"/>
        </w:rPr>
        <w:t>；</w:t>
      </w:r>
    </w:p>
    <w:p w14:paraId="67D4C1D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3.本项目的特定资格要求：</w:t>
      </w:r>
      <w:r>
        <w:rPr>
          <w:rFonts w:hint="eastAsia" w:ascii="宋体" w:hAnsi="宋体" w:eastAsia="宋体" w:cs="宋体"/>
          <w:sz w:val="21"/>
          <w:szCs w:val="21"/>
          <w:lang w:val="en-US" w:eastAsia="zh-CN"/>
        </w:rPr>
        <w:t>/</w:t>
      </w:r>
    </w:p>
    <w:p w14:paraId="0B8E192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4.单位负责人为同一人或者存在直接控股、管理关系的不同供应商，不得参加同一合同项下的政府采购活动</w:t>
      </w:r>
      <w:r>
        <w:rPr>
          <w:rFonts w:hint="eastAsia" w:ascii="宋体" w:hAnsi="宋体" w:eastAsia="宋体" w:cs="宋体"/>
          <w:sz w:val="21"/>
          <w:szCs w:val="21"/>
          <w:lang w:eastAsia="zh-CN"/>
        </w:rPr>
        <w:t>；</w:t>
      </w:r>
      <w:r>
        <w:rPr>
          <w:rFonts w:hint="eastAsia" w:ascii="宋体" w:hAnsi="宋体" w:eastAsia="宋体" w:cs="宋体"/>
          <w:sz w:val="21"/>
          <w:szCs w:val="21"/>
        </w:rPr>
        <w:t>为采购项目提供整体设计、规范编制或者项目管理、监理、检测等服务后不得再参加该采购项目的其他采购活动。</w:t>
      </w:r>
    </w:p>
    <w:p w14:paraId="314D384D">
      <w:pPr>
        <w:pStyle w:val="4"/>
        <w:pageBreakBefore w:val="0"/>
        <w:widowControl w:val="0"/>
        <w:numPr>
          <w:ilvl w:val="1"/>
          <w:numId w:val="0"/>
        </w:numPr>
        <w:kinsoku/>
        <w:wordWrap/>
        <w:overflowPunct/>
        <w:topLinePunct w:val="0"/>
        <w:autoSpaceDE/>
        <w:autoSpaceDN/>
        <w:bidi w:val="0"/>
        <w:adjustRightInd/>
        <w:snapToGrid/>
        <w:spacing w:line="420" w:lineRule="exact"/>
        <w:ind w:leftChars="0"/>
        <w:textAlignment w:val="auto"/>
        <w:rPr>
          <w:rFonts w:hint="eastAsia"/>
        </w:rPr>
      </w:pPr>
      <w:bookmarkStart w:id="3" w:name="_Toc21179"/>
      <w:r>
        <w:rPr>
          <w:rFonts w:hint="eastAsia"/>
        </w:rPr>
        <w:t>三、获取（下载）采购文件</w:t>
      </w:r>
      <w:bookmarkEnd w:id="3"/>
      <w:r>
        <w:rPr>
          <w:rFonts w:hint="eastAsia"/>
        </w:rPr>
        <w:t xml:space="preserve"> </w:t>
      </w:r>
    </w:p>
    <w:p w14:paraId="26BD1CB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lang w:val="en-US" w:eastAsia="zh-CN"/>
        </w:rPr>
        <w:t>/</w:t>
      </w:r>
      <w:r>
        <w:rPr>
          <w:rFonts w:hint="eastAsia" w:ascii="宋体" w:hAnsi="宋体" w:eastAsia="宋体" w:cs="宋体"/>
          <w:sz w:val="21"/>
          <w:szCs w:val="21"/>
        </w:rPr>
        <w:t>至</w:t>
      </w:r>
      <w:r>
        <w:rPr>
          <w:rFonts w:hint="eastAsia" w:ascii="宋体" w:hAnsi="宋体" w:eastAsia="宋体" w:cs="宋体"/>
          <w:sz w:val="21"/>
          <w:szCs w:val="21"/>
          <w:lang w:eastAsia="zh-CN"/>
        </w:rPr>
        <w:t>2024年</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日</w:t>
      </w:r>
      <w:r>
        <w:rPr>
          <w:rFonts w:hint="eastAsia" w:ascii="宋体" w:hAnsi="宋体" w:eastAsia="宋体" w:cs="宋体"/>
          <w:sz w:val="21"/>
          <w:szCs w:val="21"/>
        </w:rPr>
        <w:t>，每天上午00:00至12:00 ，下午12:00至23:59（北京时间，线上获取法定节假日均可，线下获取文件法定节假日除外）</w:t>
      </w:r>
    </w:p>
    <w:p w14:paraId="38AC4D8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地点（网址）：浙江政府采购网（https://zfcg.czt.zj.gov.cn/</w:t>
      </w:r>
      <w:r>
        <w:rPr>
          <w:rFonts w:hint="eastAsia" w:ascii="宋体" w:hAnsi="宋体" w:eastAsia="宋体" w:cs="宋体"/>
          <w:sz w:val="21"/>
          <w:szCs w:val="21"/>
          <w:lang w:eastAsia="zh-CN"/>
        </w:rPr>
        <w:t>）</w:t>
      </w:r>
    </w:p>
    <w:p w14:paraId="6A03AE2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方式：供应商登录政采云平台https://www.zcygov.cn/在线申请获取采购文件（进入“项目采购”应用，在获取采购文件菜单中选择项目，申请获取采购文件）</w:t>
      </w:r>
    </w:p>
    <w:p w14:paraId="3224F6B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售价（元）：0 </w:t>
      </w:r>
      <w:r>
        <w:rPr>
          <w:rFonts w:hint="eastAsia" w:ascii="宋体" w:hAnsi="宋体" w:eastAsia="宋体" w:cs="宋体"/>
          <w:sz w:val="21"/>
          <w:szCs w:val="21"/>
        </w:rPr>
        <w:tab/>
      </w:r>
    </w:p>
    <w:p w14:paraId="43761C29">
      <w:pPr>
        <w:pStyle w:val="4"/>
        <w:pageBreakBefore w:val="0"/>
        <w:widowControl w:val="0"/>
        <w:numPr>
          <w:ilvl w:val="1"/>
          <w:numId w:val="0"/>
        </w:numPr>
        <w:kinsoku/>
        <w:wordWrap/>
        <w:overflowPunct/>
        <w:topLinePunct w:val="0"/>
        <w:autoSpaceDE/>
        <w:autoSpaceDN/>
        <w:bidi w:val="0"/>
        <w:adjustRightInd/>
        <w:snapToGrid/>
        <w:spacing w:line="420" w:lineRule="exact"/>
        <w:ind w:leftChars="0"/>
        <w:textAlignment w:val="auto"/>
        <w:rPr>
          <w:rFonts w:hint="eastAsia"/>
        </w:rPr>
      </w:pPr>
      <w:bookmarkStart w:id="4" w:name="_Toc13887"/>
      <w:r>
        <w:rPr>
          <w:rFonts w:hint="eastAsia"/>
        </w:rPr>
        <w:t>四、响应文件提交（上传）</w:t>
      </w:r>
      <w:bookmarkEnd w:id="4"/>
    </w:p>
    <w:p w14:paraId="6C67D89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截止时间：</w:t>
      </w:r>
      <w:r>
        <w:rPr>
          <w:rFonts w:hint="eastAsia" w:ascii="宋体" w:hAnsi="宋体" w:eastAsia="宋体" w:cs="宋体"/>
          <w:sz w:val="21"/>
          <w:szCs w:val="21"/>
          <w:lang w:eastAsia="zh-CN"/>
        </w:rPr>
        <w:t>2024年</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日</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时</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r>
        <w:rPr>
          <w:rFonts w:hint="eastAsia" w:ascii="宋体" w:hAnsi="宋体" w:eastAsia="宋体" w:cs="宋体"/>
          <w:sz w:val="21"/>
          <w:szCs w:val="21"/>
        </w:rPr>
        <w:t>（北京时间）</w:t>
      </w:r>
    </w:p>
    <w:p w14:paraId="7DD387F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投标地点（网址）：在政府采购云平台http://login.zcygov.cn/login上自行加密上传电子</w:t>
      </w:r>
      <w:r>
        <w:rPr>
          <w:rFonts w:hint="eastAsia" w:ascii="宋体" w:hAnsi="宋体" w:eastAsia="宋体" w:cs="宋体"/>
          <w:sz w:val="21"/>
          <w:szCs w:val="21"/>
          <w:lang w:eastAsia="zh-CN"/>
        </w:rPr>
        <w:t>响应文件</w:t>
      </w:r>
      <w:r>
        <w:rPr>
          <w:rFonts w:hint="eastAsia" w:ascii="宋体" w:hAnsi="宋体" w:eastAsia="宋体" w:cs="宋体"/>
          <w:sz w:val="21"/>
          <w:szCs w:val="21"/>
        </w:rPr>
        <w:t>，逾期上传或未按要求上传的</w:t>
      </w:r>
      <w:r>
        <w:rPr>
          <w:rFonts w:hint="eastAsia" w:ascii="宋体" w:hAnsi="宋体" w:eastAsia="宋体" w:cs="宋体"/>
          <w:sz w:val="21"/>
          <w:szCs w:val="21"/>
          <w:lang w:eastAsia="zh-CN"/>
        </w:rPr>
        <w:t>响应文件</w:t>
      </w:r>
      <w:r>
        <w:rPr>
          <w:rFonts w:hint="eastAsia" w:ascii="宋体" w:hAnsi="宋体" w:eastAsia="宋体" w:cs="宋体"/>
          <w:sz w:val="21"/>
          <w:szCs w:val="21"/>
        </w:rPr>
        <w:t>将予以拒收</w:t>
      </w:r>
    </w:p>
    <w:p w14:paraId="48C1E4CC">
      <w:pPr>
        <w:pStyle w:val="4"/>
        <w:pageBreakBefore w:val="0"/>
        <w:widowControl w:val="0"/>
        <w:numPr>
          <w:ilvl w:val="1"/>
          <w:numId w:val="0"/>
        </w:numPr>
        <w:kinsoku/>
        <w:wordWrap/>
        <w:overflowPunct/>
        <w:topLinePunct w:val="0"/>
        <w:autoSpaceDE/>
        <w:autoSpaceDN/>
        <w:bidi w:val="0"/>
        <w:adjustRightInd/>
        <w:snapToGrid/>
        <w:spacing w:line="420" w:lineRule="exact"/>
        <w:ind w:leftChars="0"/>
        <w:textAlignment w:val="auto"/>
        <w:rPr>
          <w:rFonts w:hint="eastAsia"/>
        </w:rPr>
      </w:pPr>
      <w:bookmarkStart w:id="5" w:name="_Toc19142"/>
      <w:r>
        <w:rPr>
          <w:rFonts w:hint="eastAsia"/>
        </w:rPr>
        <w:t>五、响应文件开启</w:t>
      </w:r>
      <w:bookmarkEnd w:id="5"/>
    </w:p>
    <w:p w14:paraId="73AE187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开标时间：</w:t>
      </w:r>
      <w:r>
        <w:rPr>
          <w:rFonts w:hint="eastAsia" w:ascii="宋体" w:hAnsi="宋体" w:eastAsia="宋体" w:cs="宋体"/>
          <w:sz w:val="21"/>
          <w:szCs w:val="21"/>
          <w:lang w:eastAsia="zh-CN"/>
        </w:rPr>
        <w:t>2024年</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日</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时</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r>
        <w:rPr>
          <w:rFonts w:hint="eastAsia" w:ascii="宋体" w:hAnsi="宋体" w:eastAsia="宋体" w:cs="宋体"/>
          <w:sz w:val="21"/>
          <w:szCs w:val="21"/>
        </w:rPr>
        <w:t>（北京时间）</w:t>
      </w:r>
    </w:p>
    <w:p w14:paraId="38D4495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开标地点（网址）：浙江省金华市浦江县人民东路83号</w:t>
      </w:r>
    </w:p>
    <w:p w14:paraId="00858AD4">
      <w:pPr>
        <w:pStyle w:val="4"/>
        <w:pageBreakBefore w:val="0"/>
        <w:widowControl w:val="0"/>
        <w:numPr>
          <w:ilvl w:val="1"/>
          <w:numId w:val="0"/>
        </w:numPr>
        <w:kinsoku/>
        <w:wordWrap/>
        <w:overflowPunct/>
        <w:topLinePunct w:val="0"/>
        <w:autoSpaceDE/>
        <w:autoSpaceDN/>
        <w:bidi w:val="0"/>
        <w:adjustRightInd/>
        <w:snapToGrid/>
        <w:spacing w:line="420" w:lineRule="exact"/>
        <w:ind w:leftChars="0"/>
        <w:textAlignment w:val="auto"/>
        <w:rPr>
          <w:rFonts w:hint="eastAsia"/>
          <w:lang w:val="en-US" w:eastAsia="zh-CN"/>
        </w:rPr>
      </w:pPr>
      <w:bookmarkStart w:id="6" w:name="_Toc4838"/>
      <w:r>
        <w:rPr>
          <w:rFonts w:hint="eastAsia"/>
          <w:lang w:val="en-US" w:eastAsia="zh-CN"/>
        </w:rPr>
        <w:t>六、采购意向公开链接</w:t>
      </w:r>
      <w:bookmarkEnd w:id="6"/>
    </w:p>
    <w:p w14:paraId="21FD63E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"https://zfcg.czt.zj.gov.cn/site/detail?parentId=600007&amp;articleId=bLr4JHg5mCMRoY5PDCQmCQ%3D%3D"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lang w:val="en-US" w:eastAsia="zh-CN"/>
        </w:rPr>
        <w:t>https://zfcg.czt.zj.gov.cn/site/detail?parentId=600007&amp;articleId=bLr4JHg5mCMRoY5PDCQmCQ%3D%3D</w:t>
      </w:r>
      <w:r>
        <w:rPr>
          <w:rFonts w:hint="eastAsia" w:ascii="宋体" w:hAnsi="宋体" w:eastAsia="宋体" w:cs="宋体"/>
          <w:sz w:val="21"/>
          <w:szCs w:val="21"/>
          <w:lang w:val="en-US" w:eastAsia="zh-CN"/>
        </w:rPr>
        <w:fldChar w:fldCharType="end"/>
      </w:r>
    </w:p>
    <w:p w14:paraId="1FA1E651">
      <w:pPr>
        <w:pStyle w:val="4"/>
        <w:pageBreakBefore w:val="0"/>
        <w:widowControl w:val="0"/>
        <w:numPr>
          <w:ilvl w:val="1"/>
          <w:numId w:val="0"/>
        </w:numPr>
        <w:kinsoku/>
        <w:wordWrap/>
        <w:overflowPunct/>
        <w:topLinePunct w:val="0"/>
        <w:autoSpaceDE/>
        <w:autoSpaceDN/>
        <w:bidi w:val="0"/>
        <w:adjustRightInd/>
        <w:snapToGrid/>
        <w:spacing w:line="420" w:lineRule="exact"/>
        <w:ind w:leftChars="0"/>
        <w:textAlignment w:val="auto"/>
        <w:rPr>
          <w:rFonts w:hint="eastAsia"/>
          <w:lang w:val="en-US" w:eastAsia="zh-CN"/>
        </w:rPr>
      </w:pPr>
      <w:bookmarkStart w:id="7" w:name="_Toc8348"/>
      <w:r>
        <w:rPr>
          <w:rFonts w:hint="eastAsia"/>
          <w:lang w:val="en-US" w:eastAsia="zh-CN"/>
        </w:rPr>
        <w:t>七、公告期限</w:t>
      </w:r>
      <w:bookmarkEnd w:id="7"/>
    </w:p>
    <w:p w14:paraId="72B5B9C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自本公告发布之日起3个工作日。</w:t>
      </w:r>
    </w:p>
    <w:p w14:paraId="611DB30C">
      <w:pPr>
        <w:pStyle w:val="4"/>
        <w:pageBreakBefore w:val="0"/>
        <w:widowControl w:val="0"/>
        <w:numPr>
          <w:ilvl w:val="1"/>
          <w:numId w:val="0"/>
        </w:numPr>
        <w:kinsoku/>
        <w:wordWrap/>
        <w:overflowPunct/>
        <w:topLinePunct w:val="0"/>
        <w:autoSpaceDE/>
        <w:autoSpaceDN/>
        <w:bidi w:val="0"/>
        <w:adjustRightInd/>
        <w:snapToGrid/>
        <w:spacing w:line="420" w:lineRule="exact"/>
        <w:ind w:leftChars="0"/>
        <w:textAlignment w:val="auto"/>
        <w:rPr>
          <w:rFonts w:hint="eastAsia"/>
        </w:rPr>
      </w:pPr>
      <w:bookmarkStart w:id="8" w:name="_Toc8111"/>
      <w:r>
        <w:rPr>
          <w:rFonts w:hint="eastAsia"/>
          <w:lang w:val="en-US" w:eastAsia="zh-CN"/>
        </w:rPr>
        <w:t>八、</w:t>
      </w:r>
      <w:r>
        <w:rPr>
          <w:rFonts w:hint="eastAsia"/>
        </w:rPr>
        <w:t>其他补充事宜</w:t>
      </w:r>
      <w:bookmarkEnd w:id="8"/>
    </w:p>
    <w:p w14:paraId="529773E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C6D024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EDAE7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D8D10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bookmarkStart w:id="9" w:name="_Toc29319"/>
      <w:bookmarkStart w:id="10" w:name="_Toc30593"/>
      <w:r>
        <w:rPr>
          <w:rFonts w:hint="eastAsia" w:ascii="宋体" w:hAnsi="宋体" w:eastAsia="宋体" w:cs="宋体"/>
          <w:sz w:val="21"/>
          <w:szCs w:val="21"/>
        </w:rPr>
        <w:t>4.其他事项：</w:t>
      </w:r>
      <w:bookmarkEnd w:id="9"/>
      <w:bookmarkEnd w:id="10"/>
    </w:p>
    <w:p w14:paraId="32E92E7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（一）本项目通过浙江政府采购网政府采购云平台在线开标，供应商无需到开标现场，但须准时在线参加，直至评审结束。</w:t>
      </w:r>
    </w:p>
    <w:p w14:paraId="4FE993B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（二）落实政府采购优惠政策：对符合财政扶持政策的中小企业（小型、微型）、监狱企业、残疾人福利性单位给予价格优惠扶持</w:t>
      </w:r>
      <w:r>
        <w:rPr>
          <w:rFonts w:hint="eastAsia" w:ascii="宋体" w:hAnsi="宋体" w:eastAsia="宋体" w:cs="宋体"/>
          <w:sz w:val="21"/>
          <w:szCs w:val="21"/>
          <w:lang w:eastAsia="zh-CN"/>
        </w:rPr>
        <w:t>；</w:t>
      </w:r>
      <w:r>
        <w:rPr>
          <w:rFonts w:hint="eastAsia" w:ascii="宋体" w:hAnsi="宋体" w:eastAsia="宋体" w:cs="宋体"/>
          <w:sz w:val="21"/>
          <w:szCs w:val="21"/>
        </w:rPr>
        <w:t>优先执行节能产品政府强制采购和优先采购政策</w:t>
      </w:r>
      <w:r>
        <w:rPr>
          <w:rFonts w:hint="eastAsia" w:ascii="宋体" w:hAnsi="宋体" w:eastAsia="宋体" w:cs="宋体"/>
          <w:sz w:val="21"/>
          <w:szCs w:val="21"/>
          <w:lang w:eastAsia="zh-CN"/>
        </w:rPr>
        <w:t>；</w:t>
      </w:r>
      <w:r>
        <w:rPr>
          <w:rFonts w:hint="eastAsia" w:ascii="宋体" w:hAnsi="宋体" w:eastAsia="宋体" w:cs="宋体"/>
          <w:sz w:val="21"/>
          <w:szCs w:val="21"/>
        </w:rPr>
        <w:t>优先执行环境标志产品政府优先采购政策。</w:t>
      </w:r>
    </w:p>
    <w:p w14:paraId="049D386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8564E8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（四）电子招投标的说明：1.电子招投标：本项目以数据电文形式，依托“政府采购云平台（www.zcygov.cn）”进行招投标活动，不接受纸质投标文件</w:t>
      </w:r>
      <w:r>
        <w:rPr>
          <w:rFonts w:hint="eastAsia" w:ascii="宋体" w:hAnsi="宋体" w:eastAsia="宋体" w:cs="宋体"/>
          <w:sz w:val="21"/>
          <w:szCs w:val="21"/>
          <w:lang w:eastAsia="zh-CN"/>
        </w:rPr>
        <w:t>；</w:t>
      </w:r>
      <w:r>
        <w:rPr>
          <w:rFonts w:hint="eastAsia" w:ascii="宋体" w:hAnsi="宋体" w:eastAsia="宋体" w:cs="宋体"/>
          <w:sz w:val="21"/>
          <w:szCs w:val="21"/>
        </w:rPr>
        <w:t>2.投标准备：注册账号--点击“商家入驻”，进行政府采购供应商资料填写</w:t>
      </w:r>
      <w:r>
        <w:rPr>
          <w:rFonts w:hint="eastAsia" w:ascii="宋体" w:hAnsi="宋体" w:eastAsia="宋体" w:cs="宋体"/>
          <w:sz w:val="21"/>
          <w:szCs w:val="21"/>
          <w:lang w:eastAsia="zh-CN"/>
        </w:rPr>
        <w:t>；</w:t>
      </w:r>
      <w:r>
        <w:rPr>
          <w:rFonts w:hint="eastAsia" w:ascii="宋体" w:hAnsi="宋体" w:eastAsia="宋体" w:cs="宋体"/>
          <w:sz w:val="21"/>
          <w:szCs w:val="21"/>
        </w:rPr>
        <w:t>申领CA数字证书---申领流程详见“浙江政府采购网-下载专区-电子交易客户端-CA驱动和申领流程”</w:t>
      </w:r>
      <w:r>
        <w:rPr>
          <w:rFonts w:hint="eastAsia" w:ascii="宋体" w:hAnsi="宋体" w:eastAsia="宋体" w:cs="宋体"/>
          <w:sz w:val="21"/>
          <w:szCs w:val="21"/>
          <w:lang w:eastAsia="zh-CN"/>
        </w:rPr>
        <w:t>；</w:t>
      </w:r>
      <w:r>
        <w:rPr>
          <w:rFonts w:hint="eastAsia" w:ascii="宋体" w:hAnsi="宋体" w:eastAsia="宋体" w:cs="宋体"/>
          <w:sz w:val="21"/>
          <w:szCs w:val="21"/>
        </w:rPr>
        <w:t>安装“政采云电子交易客户端”----前往“浙江政府采购网-下载专区-电子交易客户端”进行下载并安装</w:t>
      </w:r>
      <w:r>
        <w:rPr>
          <w:rFonts w:hint="eastAsia" w:ascii="宋体" w:hAnsi="宋体" w:eastAsia="宋体" w:cs="宋体"/>
          <w:sz w:val="21"/>
          <w:szCs w:val="21"/>
          <w:lang w:eastAsia="zh-CN"/>
        </w:rPr>
        <w:t>；</w:t>
      </w:r>
      <w:r>
        <w:rPr>
          <w:rFonts w:hint="eastAsia" w:ascii="宋体" w:hAnsi="宋体" w:eastAsia="宋体" w:cs="宋体"/>
          <w:sz w:val="21"/>
          <w:szCs w:val="21"/>
        </w:rPr>
        <w:t>3.招标文件的获取：使用账号登录或者使用CA登录政采云平台</w:t>
      </w:r>
      <w:r>
        <w:rPr>
          <w:rFonts w:hint="eastAsia" w:ascii="宋体" w:hAnsi="宋体" w:eastAsia="宋体" w:cs="宋体"/>
          <w:sz w:val="21"/>
          <w:szCs w:val="21"/>
          <w:lang w:eastAsia="zh-CN"/>
        </w:rPr>
        <w:t>；</w:t>
      </w:r>
      <w:r>
        <w:rPr>
          <w:rFonts w:hint="eastAsia" w:ascii="宋体" w:hAnsi="宋体" w:eastAsia="宋体" w:cs="宋体"/>
          <w:sz w:val="21"/>
          <w:szCs w:val="21"/>
        </w:rPr>
        <w:t>进入“项目采购”应用，在获取采购文件菜单中选择项目，获取招标文件</w:t>
      </w:r>
      <w:r>
        <w:rPr>
          <w:rFonts w:hint="eastAsia" w:ascii="宋体" w:hAnsi="宋体" w:eastAsia="宋体" w:cs="宋体"/>
          <w:sz w:val="21"/>
          <w:szCs w:val="21"/>
          <w:lang w:eastAsia="zh-CN"/>
        </w:rPr>
        <w:t>；</w:t>
      </w:r>
      <w:r>
        <w:rPr>
          <w:rFonts w:hint="eastAsia" w:ascii="宋体" w:hAnsi="宋体" w:eastAsia="宋体" w:cs="宋体"/>
          <w:sz w:val="21"/>
          <w:szCs w:val="21"/>
        </w:rPr>
        <w:t>4.投标文件的制作：在“政采云电子交易客户端”中完成“填写基本信息”、“导入投标文件”、“标书关联”、“标书检查”、“电子签章”、“生成电子标书”等操作</w:t>
      </w:r>
      <w:r>
        <w:rPr>
          <w:rFonts w:hint="eastAsia" w:ascii="宋体" w:hAnsi="宋体" w:eastAsia="宋体" w:cs="宋体"/>
          <w:sz w:val="21"/>
          <w:szCs w:val="21"/>
          <w:lang w:eastAsia="zh-CN"/>
        </w:rPr>
        <w:t>；</w:t>
      </w:r>
      <w:r>
        <w:rPr>
          <w:rFonts w:hint="eastAsia" w:ascii="宋体" w:hAnsi="宋体" w:eastAsia="宋体" w:cs="宋体"/>
          <w:sz w:val="21"/>
          <w:szCs w:val="21"/>
        </w:rPr>
        <w:t>5.采购人、采购代理机构将依托政采云平台完成本项目的电子交易活动，平台不接受未按上述方式获取招标文件的供应商进行投标活动</w:t>
      </w:r>
      <w:r>
        <w:rPr>
          <w:rFonts w:hint="eastAsia" w:ascii="宋体" w:hAnsi="宋体" w:eastAsia="宋体" w:cs="宋体"/>
          <w:sz w:val="21"/>
          <w:szCs w:val="21"/>
          <w:lang w:eastAsia="zh-CN"/>
        </w:rPr>
        <w:t>；</w:t>
      </w:r>
      <w:r>
        <w:rPr>
          <w:rFonts w:hint="eastAsia" w:ascii="宋体" w:hAnsi="宋体" w:eastAsia="宋体" w:cs="宋体"/>
          <w:sz w:val="21"/>
          <w:szCs w:val="21"/>
        </w:rPr>
        <w:t>6.对未按上述方式获取招标文件的供应商对该文件提出的质疑，采购人或采购代理机构将不予处理</w:t>
      </w:r>
      <w:r>
        <w:rPr>
          <w:rFonts w:hint="eastAsia" w:ascii="宋体" w:hAnsi="宋体" w:eastAsia="宋体" w:cs="宋体"/>
          <w:sz w:val="21"/>
          <w:szCs w:val="21"/>
          <w:lang w:eastAsia="zh-CN"/>
        </w:rPr>
        <w:t>；</w:t>
      </w:r>
      <w:r>
        <w:rPr>
          <w:rFonts w:hint="eastAsia" w:ascii="宋体" w:hAnsi="宋体" w:eastAsia="宋体" w:cs="宋体"/>
          <w:sz w:val="21"/>
          <w:szCs w:val="21"/>
        </w:rPr>
        <w:t>7.不提供招标文件纸质版</w:t>
      </w:r>
      <w:r>
        <w:rPr>
          <w:rFonts w:hint="eastAsia" w:ascii="宋体" w:hAnsi="宋体" w:eastAsia="宋体" w:cs="宋体"/>
          <w:sz w:val="21"/>
          <w:szCs w:val="21"/>
          <w:lang w:eastAsia="zh-CN"/>
        </w:rPr>
        <w:t>；</w:t>
      </w:r>
      <w:r>
        <w:rPr>
          <w:rFonts w:hint="eastAsia" w:ascii="宋体" w:hAnsi="宋体" w:eastAsia="宋体" w:cs="宋体"/>
          <w:sz w:val="21"/>
          <w:szCs w:val="21"/>
        </w:rPr>
        <w:t>8.投标文件的传输递交：投标人在投标截止时间前将加密的投标文件上传至政府采购云平台，还可以在投标截止时间前递交备份投标文件1份。备份投标文件的制作递交详见招标文件前附表</w:t>
      </w:r>
      <w:r>
        <w:rPr>
          <w:rFonts w:hint="eastAsia" w:ascii="宋体" w:hAnsi="宋体" w:eastAsia="宋体" w:cs="宋体"/>
          <w:sz w:val="21"/>
          <w:szCs w:val="21"/>
          <w:lang w:eastAsia="zh-CN"/>
        </w:rPr>
        <w:t>；</w:t>
      </w:r>
      <w:r>
        <w:rPr>
          <w:rFonts w:hint="eastAsia" w:ascii="宋体" w:hAnsi="宋体" w:eastAsia="宋体" w:cs="宋体"/>
          <w:sz w:val="21"/>
          <w:szCs w:val="21"/>
        </w:rPr>
        <w:t>9.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r>
        <w:rPr>
          <w:rFonts w:hint="eastAsia" w:ascii="宋体" w:hAnsi="宋体" w:eastAsia="宋体" w:cs="宋体"/>
          <w:sz w:val="21"/>
          <w:szCs w:val="21"/>
          <w:lang w:eastAsia="zh-CN"/>
        </w:rPr>
        <w:t>；</w:t>
      </w:r>
      <w:r>
        <w:rPr>
          <w:rFonts w:hint="eastAsia" w:ascii="宋体" w:hAnsi="宋体" w:eastAsia="宋体" w:cs="宋体"/>
          <w:sz w:val="21"/>
          <w:szCs w:val="21"/>
        </w:rPr>
        <w:t>10.具体操作指南：详见政采云平台“服务中心-帮助文档-项目采购-操作流程-电子招投标-政府采购项目电子交易管理操作指南-供应商”。</w:t>
      </w:r>
    </w:p>
    <w:p w14:paraId="2FF09DB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若对项目采购电子交易系统操作有疑问，可登录政采云（https://www.zcygov.cn/），点击右侧咨询小采，获取采小蜜智能服务管家帮助，或拨打政采云服务热线95763获取热线服务帮助。</w:t>
      </w:r>
    </w:p>
    <w:p w14:paraId="6F125A8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CA问题联系电话（人工）：汇信CA 400-888-4636</w:t>
      </w:r>
      <w:r>
        <w:rPr>
          <w:rFonts w:hint="eastAsia" w:ascii="宋体" w:hAnsi="宋体" w:eastAsia="宋体" w:cs="宋体"/>
          <w:sz w:val="21"/>
          <w:szCs w:val="21"/>
          <w:lang w:eastAsia="zh-CN"/>
        </w:rPr>
        <w:t>；</w:t>
      </w:r>
      <w:r>
        <w:rPr>
          <w:rFonts w:hint="eastAsia" w:ascii="宋体" w:hAnsi="宋体" w:eastAsia="宋体" w:cs="宋体"/>
          <w:sz w:val="21"/>
          <w:szCs w:val="21"/>
        </w:rPr>
        <w:t>天谷CA 400-087-8198。</w:t>
      </w:r>
    </w:p>
    <w:p w14:paraId="23CF827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政府采购金融服务提示：为扩大政府采购金融服务面，除政采云网上金融服务合作银行外，金华市范围增加线下合作银行两家，具体信息如下：</w:t>
      </w:r>
    </w:p>
    <w:p w14:paraId="4735423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金华银行文创支行      联系人：姜峰</w:t>
      </w:r>
      <w:r>
        <w:rPr>
          <w:rFonts w:hint="eastAsia" w:ascii="宋体" w:hAnsi="宋体" w:eastAsia="宋体" w:cs="宋体"/>
          <w:sz w:val="21"/>
          <w:szCs w:val="21"/>
          <w:lang w:eastAsia="zh-CN"/>
        </w:rPr>
        <w:t>；</w:t>
      </w:r>
      <w:r>
        <w:rPr>
          <w:rFonts w:hint="eastAsia" w:ascii="宋体" w:hAnsi="宋体" w:eastAsia="宋体" w:cs="宋体"/>
          <w:sz w:val="21"/>
          <w:szCs w:val="21"/>
        </w:rPr>
        <w:t>联系电话：13905792828、0579-82479020</w:t>
      </w:r>
    </w:p>
    <w:p w14:paraId="0841B09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浙商银行金华浦江支行  联系人：严艳萍</w:t>
      </w:r>
      <w:r>
        <w:rPr>
          <w:rFonts w:hint="eastAsia" w:ascii="宋体" w:hAnsi="宋体" w:eastAsia="宋体" w:cs="宋体"/>
          <w:sz w:val="21"/>
          <w:szCs w:val="21"/>
          <w:lang w:eastAsia="zh-CN"/>
        </w:rPr>
        <w:t>；</w:t>
      </w:r>
      <w:r>
        <w:rPr>
          <w:rFonts w:hint="eastAsia" w:ascii="宋体" w:hAnsi="宋体" w:eastAsia="宋体" w:cs="宋体"/>
          <w:sz w:val="21"/>
          <w:szCs w:val="21"/>
        </w:rPr>
        <w:t>联系电话：13566950560、0579-88088337</w:t>
      </w:r>
    </w:p>
    <w:p w14:paraId="5075E048">
      <w:pPr>
        <w:pStyle w:val="4"/>
        <w:pageBreakBefore w:val="0"/>
        <w:widowControl w:val="0"/>
        <w:numPr>
          <w:ilvl w:val="1"/>
          <w:numId w:val="0"/>
        </w:numPr>
        <w:kinsoku/>
        <w:wordWrap/>
        <w:overflowPunct/>
        <w:topLinePunct w:val="0"/>
        <w:autoSpaceDE/>
        <w:autoSpaceDN/>
        <w:bidi w:val="0"/>
        <w:adjustRightInd/>
        <w:snapToGrid/>
        <w:spacing w:line="420" w:lineRule="exact"/>
        <w:ind w:leftChars="0"/>
        <w:textAlignment w:val="auto"/>
        <w:rPr>
          <w:rFonts w:hint="eastAsia"/>
          <w:lang w:val="en-US" w:eastAsia="zh-CN"/>
        </w:rPr>
      </w:pPr>
      <w:bookmarkStart w:id="11" w:name="_Toc21274"/>
      <w:bookmarkStart w:id="12" w:name="_Toc24244"/>
      <w:bookmarkStart w:id="13" w:name="_Toc23176"/>
      <w:bookmarkStart w:id="14" w:name="_Toc24782"/>
      <w:bookmarkStart w:id="15" w:name="_Toc22742"/>
      <w:r>
        <w:rPr>
          <w:rFonts w:hint="eastAsia"/>
          <w:lang w:val="en-US" w:eastAsia="zh-CN"/>
        </w:rPr>
        <w:t>九、凡对本次招标提出询问、质疑、投诉，请按以下方式联系</w:t>
      </w:r>
      <w:bookmarkEnd w:id="11"/>
      <w:bookmarkEnd w:id="12"/>
      <w:bookmarkEnd w:id="13"/>
      <w:bookmarkEnd w:id="14"/>
      <w:bookmarkEnd w:id="15"/>
    </w:p>
    <w:p w14:paraId="23C65C9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bookmarkStart w:id="16" w:name="_Toc10152"/>
      <w:bookmarkStart w:id="17" w:name="_Toc3282"/>
      <w:r>
        <w:rPr>
          <w:rFonts w:hint="eastAsia" w:ascii="宋体" w:hAnsi="宋体" w:eastAsia="宋体" w:cs="宋体"/>
          <w:sz w:val="21"/>
          <w:szCs w:val="21"/>
        </w:rPr>
        <w:t>1.采购人信息</w:t>
      </w:r>
      <w:bookmarkEnd w:id="16"/>
      <w:bookmarkEnd w:id="17"/>
    </w:p>
    <w:p w14:paraId="4C0A967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名称：</w:t>
      </w:r>
      <w:r>
        <w:rPr>
          <w:rFonts w:hint="eastAsia" w:ascii="宋体" w:hAnsi="宋体" w:eastAsia="宋体" w:cs="宋体"/>
          <w:sz w:val="21"/>
          <w:szCs w:val="21"/>
          <w:lang w:eastAsia="zh-CN"/>
        </w:rPr>
        <w:t>浦江县水文管理中心</w:t>
      </w:r>
    </w:p>
    <w:p w14:paraId="70FA34F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浦江县仙华路298号</w:t>
      </w:r>
    </w:p>
    <w:p w14:paraId="455F511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传真：/           </w:t>
      </w:r>
    </w:p>
    <w:p w14:paraId="19886E7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项目联系人（询问）：</w:t>
      </w:r>
      <w:r>
        <w:rPr>
          <w:rFonts w:hint="eastAsia" w:ascii="宋体" w:hAnsi="宋体" w:eastAsia="宋体" w:cs="宋体"/>
          <w:sz w:val="21"/>
          <w:szCs w:val="21"/>
          <w:lang w:val="en-US" w:eastAsia="zh-CN"/>
        </w:rPr>
        <w:t>陈先生</w:t>
      </w:r>
    </w:p>
    <w:p w14:paraId="4A34F8E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项目联系方式（询问）：</w:t>
      </w:r>
      <w:r>
        <w:rPr>
          <w:rFonts w:hint="eastAsia" w:ascii="宋体" w:hAnsi="宋体" w:eastAsia="宋体" w:cs="宋体"/>
          <w:sz w:val="21"/>
          <w:szCs w:val="21"/>
          <w:lang w:val="en-US" w:eastAsia="zh-CN"/>
        </w:rPr>
        <w:t>18757985073</w:t>
      </w:r>
    </w:p>
    <w:p w14:paraId="2F047A8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质疑联系人：</w:t>
      </w:r>
      <w:r>
        <w:rPr>
          <w:rFonts w:hint="eastAsia" w:ascii="宋体" w:hAnsi="宋体" w:eastAsia="宋体" w:cs="宋体"/>
          <w:sz w:val="21"/>
          <w:szCs w:val="21"/>
          <w:lang w:eastAsia="zh-CN"/>
        </w:rPr>
        <w:t>张先生</w:t>
      </w:r>
    </w:p>
    <w:p w14:paraId="32E1D31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质疑联系方式：</w:t>
      </w:r>
      <w:r>
        <w:rPr>
          <w:rFonts w:hint="eastAsia" w:ascii="宋体" w:hAnsi="宋体" w:eastAsia="宋体" w:cs="宋体"/>
          <w:sz w:val="21"/>
          <w:szCs w:val="21"/>
          <w:lang w:val="en-US" w:eastAsia="zh-CN"/>
        </w:rPr>
        <w:t>0579-84209612</w:t>
      </w:r>
    </w:p>
    <w:p w14:paraId="60624EE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bookmarkStart w:id="18" w:name="_Toc10474"/>
      <w:bookmarkStart w:id="19" w:name="_Toc27090"/>
    </w:p>
    <w:p w14:paraId="7A070F0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2.采购代理机构信息</w:t>
      </w:r>
      <w:bookmarkEnd w:id="18"/>
      <w:bookmarkEnd w:id="19"/>
    </w:p>
    <w:p w14:paraId="1D8D85C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名称：</w:t>
      </w:r>
      <w:r>
        <w:rPr>
          <w:rFonts w:hint="eastAsia" w:ascii="宋体" w:hAnsi="宋体" w:eastAsia="宋体" w:cs="宋体"/>
          <w:sz w:val="21"/>
          <w:szCs w:val="21"/>
          <w:lang w:eastAsia="zh-CN"/>
        </w:rPr>
        <w:t>泰宇建筑工程技术咨询有限公司</w:t>
      </w:r>
      <w:r>
        <w:rPr>
          <w:rFonts w:hint="eastAsia" w:ascii="宋体" w:hAnsi="宋体" w:eastAsia="宋体" w:cs="宋体"/>
          <w:sz w:val="21"/>
          <w:szCs w:val="21"/>
        </w:rPr>
        <w:t xml:space="preserve">          </w:t>
      </w:r>
    </w:p>
    <w:p w14:paraId="5AC6460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地址：</w:t>
      </w:r>
      <w:r>
        <w:rPr>
          <w:rFonts w:hint="eastAsia" w:ascii="宋体" w:hAnsi="宋体" w:eastAsia="宋体" w:cs="宋体"/>
          <w:sz w:val="21"/>
          <w:szCs w:val="21"/>
          <w:lang w:eastAsia="zh-CN"/>
        </w:rPr>
        <w:t>浦江县亚太大道609号二楼</w:t>
      </w:r>
    </w:p>
    <w:p w14:paraId="50A4AB7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项目联系人（询问）：</w:t>
      </w:r>
      <w:r>
        <w:rPr>
          <w:rFonts w:hint="eastAsia" w:ascii="宋体" w:hAnsi="宋体" w:eastAsia="宋体" w:cs="宋体"/>
          <w:sz w:val="21"/>
          <w:szCs w:val="21"/>
          <w:lang w:val="en-US" w:eastAsia="zh-CN"/>
        </w:rPr>
        <w:t>张女士</w:t>
      </w:r>
    </w:p>
    <w:p w14:paraId="67FA528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项目联系方式（询问）：</w:t>
      </w:r>
      <w:r>
        <w:rPr>
          <w:rFonts w:hint="eastAsia" w:ascii="宋体" w:hAnsi="宋体" w:eastAsia="宋体" w:cs="宋体"/>
          <w:sz w:val="21"/>
          <w:szCs w:val="21"/>
          <w:lang w:val="en-US" w:eastAsia="zh-CN"/>
        </w:rPr>
        <w:t xml:space="preserve">13735791878 </w:t>
      </w:r>
    </w:p>
    <w:p w14:paraId="467DA3E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质疑联系人：</w:t>
      </w:r>
      <w:r>
        <w:rPr>
          <w:rFonts w:hint="eastAsia" w:ascii="宋体" w:hAnsi="宋体" w:eastAsia="宋体" w:cs="宋体"/>
          <w:sz w:val="21"/>
          <w:szCs w:val="21"/>
          <w:lang w:eastAsia="zh-CN"/>
        </w:rPr>
        <w:t>张</w:t>
      </w:r>
      <w:r>
        <w:rPr>
          <w:rFonts w:hint="eastAsia" w:ascii="宋体" w:hAnsi="宋体" w:eastAsia="宋体" w:cs="宋体"/>
          <w:sz w:val="21"/>
          <w:szCs w:val="21"/>
          <w:lang w:val="en-US" w:eastAsia="zh-CN"/>
        </w:rPr>
        <w:t>先生</w:t>
      </w:r>
    </w:p>
    <w:p w14:paraId="2209DD7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质疑联系方式：</w:t>
      </w:r>
      <w:r>
        <w:rPr>
          <w:rFonts w:hint="eastAsia" w:ascii="宋体" w:hAnsi="宋体" w:eastAsia="宋体" w:cs="宋体"/>
          <w:sz w:val="21"/>
          <w:szCs w:val="21"/>
          <w:lang w:eastAsia="zh-CN"/>
        </w:rPr>
        <w:t>0579-88198208</w:t>
      </w:r>
    </w:p>
    <w:p w14:paraId="2EFFDFF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bookmarkStart w:id="20" w:name="_Toc16950"/>
      <w:bookmarkStart w:id="21" w:name="_Toc9767"/>
    </w:p>
    <w:p w14:paraId="10942D64">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3.同级政府采购监督管理部门</w:t>
      </w:r>
      <w:bookmarkEnd w:id="20"/>
      <w:bookmarkEnd w:id="21"/>
    </w:p>
    <w:p w14:paraId="5F8E1C6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名称：浦江县财政局政府采购监管科 </w:t>
      </w:r>
    </w:p>
    <w:p w14:paraId="74D076A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 址：浦江县人民东路83号</w:t>
      </w:r>
    </w:p>
    <w:p w14:paraId="40466FF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传 真：0579-84107222</w:t>
      </w:r>
    </w:p>
    <w:p w14:paraId="52DF4725">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金</w:t>
      </w:r>
      <w:r>
        <w:rPr>
          <w:rFonts w:hint="eastAsia" w:ascii="宋体" w:hAnsi="宋体" w:eastAsia="宋体" w:cs="宋体"/>
          <w:sz w:val="21"/>
          <w:szCs w:val="21"/>
        </w:rPr>
        <w:t>先生</w:t>
      </w:r>
    </w:p>
    <w:p w14:paraId="47B94F9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监督投诉电话：0579-8412301</w:t>
      </w:r>
      <w:r>
        <w:rPr>
          <w:rFonts w:hint="eastAsia" w:ascii="宋体" w:hAnsi="宋体" w:eastAsia="宋体" w:cs="宋体"/>
          <w:sz w:val="21"/>
          <w:szCs w:val="21"/>
          <w:lang w:val="en-US" w:eastAsia="zh-CN"/>
        </w:rPr>
        <w:t>1</w:t>
      </w:r>
    </w:p>
    <w:p w14:paraId="655247A5">
      <w:pPr>
        <w:pStyle w:val="3"/>
        <w:bidi w:val="0"/>
        <w:rPr>
          <w:rFonts w:hint="eastAsia"/>
        </w:rPr>
      </w:pPr>
      <w:bookmarkStart w:id="22" w:name="_Toc12211"/>
      <w:r>
        <w:rPr>
          <w:rFonts w:hint="eastAsia"/>
        </w:rPr>
        <w:t xml:space="preserve">第二部分 </w:t>
      </w:r>
      <w:r>
        <w:rPr>
          <w:rFonts w:hint="eastAsia"/>
          <w:lang w:val="en-US" w:eastAsia="zh-CN"/>
        </w:rPr>
        <w:t>竞争性磋商流程</w:t>
      </w:r>
      <w:bookmarkEnd w:id="22"/>
    </w:p>
    <w:p w14:paraId="0B69652E">
      <w:pPr>
        <w:pStyle w:val="4"/>
        <w:numPr>
          <w:ilvl w:val="1"/>
          <w:numId w:val="0"/>
        </w:numPr>
        <w:bidi w:val="0"/>
        <w:ind w:leftChars="0"/>
        <w:rPr>
          <w:rFonts w:hint="eastAsia"/>
        </w:rPr>
      </w:pPr>
      <w:bookmarkStart w:id="23" w:name="_Toc21819"/>
      <w:bookmarkStart w:id="24" w:name="_Toc22107"/>
      <w:r>
        <w:rPr>
          <w:rFonts w:hint="eastAsia"/>
          <w:lang w:val="en-US" w:eastAsia="zh-CN"/>
        </w:rPr>
        <w:t>一</w:t>
      </w:r>
      <w:r>
        <w:rPr>
          <w:rFonts w:hint="eastAsia"/>
          <w:lang w:eastAsia="zh-CN"/>
        </w:rPr>
        <w:t>、</w:t>
      </w:r>
      <w:r>
        <w:rPr>
          <w:rFonts w:hint="eastAsia"/>
        </w:rPr>
        <w:t>征集供应商</w:t>
      </w:r>
      <w:bookmarkEnd w:id="23"/>
    </w:p>
    <w:p w14:paraId="5AB6820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 邀请供应商。</w:t>
      </w:r>
    </w:p>
    <w:p w14:paraId="7D5FE4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采用公告方式邀请供应商的，由采购人、采购代理机构在省级以上人民政府财政部门指定的政府采购信息发布媒体上发布磋商公告，邀请符合相应资格条件的供应商参与竞争性磋商采购活动。</w:t>
      </w:r>
    </w:p>
    <w:p w14:paraId="1A267D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 供应商获取磋商文件。</w:t>
      </w:r>
    </w:p>
    <w:p w14:paraId="50D0BE9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 组织现场考察或召开答疑会（如果有）。</w:t>
      </w:r>
    </w:p>
    <w:p w14:paraId="7879F3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 发布更正（延期）公告，澄清或修改磋商文件（如果有）。</w:t>
      </w:r>
    </w:p>
    <w:p w14:paraId="18E0B8A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 供应商按磋商文件要求编制响应文件。</w:t>
      </w:r>
    </w:p>
    <w:p w14:paraId="63A439F5">
      <w:pPr>
        <w:pStyle w:val="4"/>
        <w:numPr>
          <w:ilvl w:val="1"/>
          <w:numId w:val="0"/>
        </w:numPr>
        <w:bidi w:val="0"/>
        <w:ind w:leftChars="0"/>
        <w:rPr>
          <w:rFonts w:hint="eastAsia"/>
        </w:rPr>
      </w:pPr>
      <w:bookmarkStart w:id="25" w:name="_Toc4859"/>
      <w:r>
        <w:rPr>
          <w:rFonts w:hint="eastAsia"/>
          <w:lang w:val="en-US" w:eastAsia="zh-CN"/>
        </w:rPr>
        <w:t>二</w:t>
      </w:r>
      <w:r>
        <w:rPr>
          <w:rFonts w:hint="eastAsia"/>
          <w:lang w:eastAsia="zh-CN"/>
        </w:rPr>
        <w:t>、</w:t>
      </w:r>
      <w:r>
        <w:rPr>
          <w:rFonts w:hint="eastAsia"/>
        </w:rPr>
        <w:t>响应文件开启与信用信息查询</w:t>
      </w:r>
      <w:bookmarkEnd w:id="25"/>
    </w:p>
    <w:p w14:paraId="0601AB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 供应商依据“提交响应文件的截止时间与地点”通过政采云平台在线提交响应文件。供应商在提交响应文件的截止时间前，可以补充、修改或撤回响应文件。</w:t>
      </w:r>
    </w:p>
    <w:p w14:paraId="4B82F5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 采购代理机构将通过“信用中国”网站(www.creditchina.gov.cn)和中国政府采购网(www.ccgp.gov.cn)渠道查询供应商响应截止时间当日的信用记录。</w:t>
      </w:r>
    </w:p>
    <w:p w14:paraId="4110FBCC">
      <w:pPr>
        <w:pStyle w:val="4"/>
        <w:numPr>
          <w:ilvl w:val="1"/>
          <w:numId w:val="0"/>
        </w:numPr>
        <w:bidi w:val="0"/>
        <w:ind w:leftChars="0"/>
        <w:rPr>
          <w:rFonts w:hint="eastAsia"/>
        </w:rPr>
      </w:pPr>
      <w:bookmarkStart w:id="26" w:name="_Toc13928"/>
      <w:r>
        <w:rPr>
          <w:rFonts w:hint="eastAsia"/>
          <w:lang w:val="en-US" w:eastAsia="zh-CN"/>
        </w:rPr>
        <w:t>三</w:t>
      </w:r>
      <w:r>
        <w:rPr>
          <w:rFonts w:hint="eastAsia"/>
          <w:lang w:eastAsia="zh-CN"/>
        </w:rPr>
        <w:t>、</w:t>
      </w:r>
      <w:r>
        <w:rPr>
          <w:rFonts w:hint="eastAsia"/>
        </w:rPr>
        <w:t>磋商与评审</w:t>
      </w:r>
      <w:bookmarkEnd w:id="26"/>
    </w:p>
    <w:p w14:paraId="2509888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 磋商小组签到。</w:t>
      </w:r>
    </w:p>
    <w:p w14:paraId="2F1EA10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 采购代理机构宣布有关纪律以及磋商、评审工作程序。</w:t>
      </w:r>
    </w:p>
    <w:p w14:paraId="081EC1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3.3 磋商小组审查确认磋商文件。磋商文件内容违反国家有关强制性规定的，磋商小组应当停止评审并向采购代理机构说明情况。</w:t>
      </w:r>
    </w:p>
    <w:p w14:paraId="6D02BE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3.4 采购人或采购代理机构对供应商的资格进行审查。</w:t>
      </w:r>
    </w:p>
    <w:p w14:paraId="078553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3.5 磋商小组审查响应文件。</w:t>
      </w:r>
    </w:p>
    <w:p w14:paraId="038EA36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3.6 对于未实质性响应磋商文件的响应文件由磋商小组认定响应无效，并告知该供应商。</w:t>
      </w:r>
    </w:p>
    <w:p w14:paraId="367539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3.7 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5DA17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3.8 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7D27BD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磋商形式：</w:t>
      </w:r>
    </w:p>
    <w:p w14:paraId="12E74D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远程在线视频磋商：磋商时由采购代理机构利用政采云平台发起磋商邀请，供应商通过政采云“在线评审室”进行远程视频磋商。供应商使用CA数字证书</w:t>
      </w:r>
      <w:r>
        <w:rPr>
          <w:rFonts w:hint="eastAsia" w:ascii="宋体" w:hAnsi="宋体" w:eastAsia="宋体" w:cs="宋体"/>
          <w:sz w:val="21"/>
          <w:szCs w:val="21"/>
          <w:lang w:eastAsia="zh-CN"/>
        </w:rPr>
        <w:t>登录</w:t>
      </w:r>
      <w:r>
        <w:rPr>
          <w:rFonts w:hint="eastAsia" w:ascii="宋体" w:hAnsi="宋体" w:eastAsia="宋体" w:cs="宋体"/>
          <w:sz w:val="21"/>
          <w:szCs w:val="21"/>
        </w:rPr>
        <w:t>政采云平台——收到视频评审邀请——点击“视频评审”进入“视频评审系统”——开始远程磋商活动</w:t>
      </w:r>
      <w:r>
        <w:rPr>
          <w:rFonts w:hint="eastAsia" w:ascii="宋体" w:hAnsi="宋体" w:eastAsia="宋体" w:cs="宋体"/>
          <w:sz w:val="21"/>
          <w:szCs w:val="21"/>
          <w:lang w:eastAsia="zh-CN"/>
        </w:rPr>
        <w:t>；</w:t>
      </w:r>
    </w:p>
    <w:p w14:paraId="01B25E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r>
        <w:rPr>
          <w:rFonts w:hint="eastAsia" w:ascii="宋体" w:hAnsi="宋体" w:eastAsia="宋体" w:cs="宋体"/>
          <w:sz w:val="21"/>
          <w:szCs w:val="21"/>
          <w:lang w:eastAsia="zh-CN"/>
        </w:rPr>
        <w:t>；</w:t>
      </w:r>
    </w:p>
    <w:p w14:paraId="2FD551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评审现场磋商：对于要求到采购代理机构现场进行磋商的供应商，需在采购代理机构指定会议室开展磋商活动，磋商小组在现场集中与单一供应商分别进行磋商。</w:t>
      </w:r>
    </w:p>
    <w:p w14:paraId="4AA7BA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3.9 经磋商确定磋商文件的变动情况。对磋商文件作出的实质性变动是磋商文件的有效组成部分，磋商小组应当及时通过政采云平台通知所有参加磋商的供应商。</w:t>
      </w:r>
    </w:p>
    <w:p w14:paraId="7D9F7FB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3.10 供应商应当按照磋商文件的变动情况及磋商小组的要求通过电子交易平台重新提交响应文件（或补充文件）和最后报价，并由其法定代表人或授权代表签字或加盖公章。已提交响应文件的供应商，在提交最后报价之前，可以根据磋商情况退出磋商。如供应商未按磋商小组的要求在规定的时间内提交最后报价的，视为退出磋商。</w:t>
      </w:r>
    </w:p>
    <w:p w14:paraId="6C3C31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3.11 磋商小组按照下列方式确定提交最后报价的供应商，有特殊规定的从其规定：</w:t>
      </w:r>
    </w:p>
    <w:p w14:paraId="328D77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磋商文件能够详细列明采购标的的技术、服务要求的，磋商结束后，磋商小组应当要求所有实质性响应的供应商在规定时间内在电子交易平台提交最后报价，提交最后报价的供应商不得少于3家。</w:t>
      </w:r>
    </w:p>
    <w:p w14:paraId="4081FA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2EC76B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3.12 确定进入最后报价的供应商在规定时间内提交最后报价。</w:t>
      </w:r>
    </w:p>
    <w:p w14:paraId="11DAEB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w:t>
      </w:r>
      <w:r>
        <w:rPr>
          <w:rFonts w:hint="eastAsia" w:ascii="宋体" w:hAnsi="宋体" w:eastAsia="宋体" w:cs="宋体"/>
          <w:sz w:val="21"/>
          <w:szCs w:val="21"/>
          <w:lang w:val="en-US" w:eastAsia="zh-CN"/>
        </w:rPr>
        <w:t>3</w:t>
      </w:r>
      <w:r>
        <w:rPr>
          <w:rFonts w:hint="eastAsia" w:ascii="宋体" w:hAnsi="宋体" w:eastAsia="宋体" w:cs="宋体"/>
          <w:sz w:val="21"/>
          <w:szCs w:val="21"/>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56D3F0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w:t>
      </w:r>
      <w:r>
        <w:rPr>
          <w:rFonts w:hint="eastAsia" w:ascii="宋体" w:hAnsi="宋体" w:eastAsia="宋体" w:cs="宋体"/>
          <w:sz w:val="21"/>
          <w:szCs w:val="21"/>
          <w:lang w:val="en-US" w:eastAsia="zh-CN"/>
        </w:rPr>
        <w:t>4</w:t>
      </w:r>
      <w:r>
        <w:rPr>
          <w:rFonts w:hint="eastAsia" w:ascii="宋体" w:hAnsi="宋体" w:eastAsia="宋体" w:cs="宋体"/>
          <w:sz w:val="21"/>
          <w:szCs w:val="21"/>
        </w:rPr>
        <w:t>磋商小组应当根据综合评分情况，按照评审得分由高到低顺序推荐3名以上成交候选供应商，并编写评审报告。</w:t>
      </w:r>
    </w:p>
    <w:p w14:paraId="1453A2D5">
      <w:pPr>
        <w:pStyle w:val="4"/>
        <w:numPr>
          <w:ilvl w:val="1"/>
          <w:numId w:val="0"/>
        </w:numPr>
        <w:bidi w:val="0"/>
        <w:ind w:leftChars="0"/>
        <w:rPr>
          <w:rFonts w:hint="eastAsia"/>
        </w:rPr>
      </w:pPr>
      <w:bookmarkStart w:id="27" w:name="_Toc16135"/>
      <w:r>
        <w:rPr>
          <w:rFonts w:hint="eastAsia"/>
          <w:lang w:val="en-US" w:eastAsia="zh-CN"/>
        </w:rPr>
        <w:t>四</w:t>
      </w:r>
      <w:r>
        <w:rPr>
          <w:rFonts w:hint="eastAsia"/>
          <w:lang w:eastAsia="zh-CN"/>
        </w:rPr>
        <w:t>、</w:t>
      </w:r>
      <w:r>
        <w:rPr>
          <w:rFonts w:hint="eastAsia"/>
        </w:rPr>
        <w:t>成交</w:t>
      </w:r>
      <w:bookmarkEnd w:id="27"/>
    </w:p>
    <w:p w14:paraId="2ACDF1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 采购代理机构应当在评审结束后2个工作日内，将评审报告送采购人确认。</w:t>
      </w:r>
    </w:p>
    <w:p w14:paraId="5BE9DF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 采购人应当在收到评审报告后5个工作日内，从评审报告提出的成交候选供应商中，按照排序由高到低的原则确定成交供应商，采购人也可以书面授权磋商小组直接确定成交供应商。</w:t>
      </w:r>
    </w:p>
    <w:p w14:paraId="0780BA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 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58EF9510">
      <w:pPr>
        <w:pStyle w:val="4"/>
        <w:numPr>
          <w:ilvl w:val="1"/>
          <w:numId w:val="0"/>
        </w:numPr>
        <w:bidi w:val="0"/>
        <w:ind w:leftChars="0"/>
        <w:rPr>
          <w:rFonts w:hint="eastAsia"/>
        </w:rPr>
      </w:pPr>
      <w:bookmarkStart w:id="28" w:name="_Toc29092"/>
      <w:r>
        <w:rPr>
          <w:rFonts w:hint="eastAsia"/>
          <w:lang w:val="en-US" w:eastAsia="zh-CN"/>
        </w:rPr>
        <w:t>五</w:t>
      </w:r>
      <w:r>
        <w:rPr>
          <w:rFonts w:hint="eastAsia"/>
          <w:lang w:eastAsia="zh-CN"/>
        </w:rPr>
        <w:t>、</w:t>
      </w:r>
      <w:r>
        <w:rPr>
          <w:rFonts w:hint="eastAsia"/>
        </w:rPr>
        <w:t>合同及履约验收</w:t>
      </w:r>
      <w:bookmarkEnd w:id="28"/>
    </w:p>
    <w:p w14:paraId="1ECDD8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 采购人与成交供应商应当在成交通知书发出之日起</w:t>
      </w:r>
      <w:r>
        <w:rPr>
          <w:rFonts w:hint="eastAsia" w:ascii="宋体" w:hAnsi="宋体" w:eastAsia="宋体" w:cs="宋体"/>
          <w:sz w:val="21"/>
          <w:szCs w:val="21"/>
          <w:lang w:val="en-US" w:eastAsia="zh-CN"/>
        </w:rPr>
        <w:t>20</w:t>
      </w:r>
      <w:r>
        <w:rPr>
          <w:rFonts w:hint="eastAsia" w:ascii="宋体" w:hAnsi="宋体" w:eastAsia="宋体" w:cs="宋体"/>
          <w:sz w:val="21"/>
          <w:szCs w:val="21"/>
        </w:rPr>
        <w:t>日内签订政府采购合同。</w:t>
      </w:r>
    </w:p>
    <w:p w14:paraId="56E590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 成交供应商缴纳履约保证金（拟签订的合同文本要求成交供应商提交履约保证金的，供应商应当以支票、汇票、本票或者金融机构、担保机构出具的保函等非现金形式提交。履约保证金的数额不得超过政府采购合同金额的</w:t>
      </w:r>
      <w:r>
        <w:rPr>
          <w:rFonts w:hint="eastAsia" w:ascii="宋体" w:hAnsi="宋体" w:eastAsia="宋体" w:cs="宋体"/>
          <w:sz w:val="21"/>
          <w:szCs w:val="21"/>
          <w:lang w:val="en-US" w:eastAsia="zh-CN"/>
        </w:rPr>
        <w:t>1</w:t>
      </w:r>
      <w:r>
        <w:rPr>
          <w:rFonts w:hint="eastAsia" w:ascii="宋体" w:hAnsi="宋体" w:eastAsia="宋体" w:cs="宋体"/>
          <w:sz w:val="21"/>
          <w:szCs w:val="21"/>
        </w:rPr>
        <w:t>%。采购人不得拒收履约保函）。</w:t>
      </w:r>
    </w:p>
    <w:p w14:paraId="13483B0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5.3 合同履约。</w:t>
      </w:r>
    </w:p>
    <w:p w14:paraId="2E8439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5.4 采购人组织验收。</w:t>
      </w:r>
    </w:p>
    <w:p w14:paraId="1DB9CF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172E8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F4FAE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5AED9B95">
      <w:pPr>
        <w:pStyle w:val="3"/>
        <w:bidi w:val="0"/>
        <w:rPr>
          <w:rFonts w:hint="eastAsia"/>
          <w:lang w:val="en-US" w:eastAsia="zh-CN"/>
        </w:rPr>
      </w:pPr>
      <w:bookmarkStart w:id="29" w:name="_Toc17616"/>
      <w:r>
        <w:rPr>
          <w:rFonts w:hint="eastAsia"/>
        </w:rPr>
        <w:t>第</w:t>
      </w:r>
      <w:r>
        <w:rPr>
          <w:rFonts w:hint="eastAsia"/>
          <w:lang w:val="en-US" w:eastAsia="zh-CN"/>
        </w:rPr>
        <w:t>三</w:t>
      </w:r>
      <w:r>
        <w:rPr>
          <w:rFonts w:hint="eastAsia"/>
        </w:rPr>
        <w:t xml:space="preserve">部分 </w:t>
      </w:r>
      <w:bookmarkEnd w:id="24"/>
      <w:r>
        <w:rPr>
          <w:rFonts w:hint="eastAsia"/>
          <w:lang w:val="en-US" w:eastAsia="zh-CN"/>
        </w:rPr>
        <w:t>磋商供应商须知</w:t>
      </w:r>
      <w:bookmarkEnd w:id="29"/>
    </w:p>
    <w:p w14:paraId="3AE917E0">
      <w:pPr>
        <w:pStyle w:val="4"/>
        <w:numPr>
          <w:ilvl w:val="1"/>
          <w:numId w:val="0"/>
        </w:numPr>
        <w:bidi w:val="0"/>
        <w:ind w:leftChars="0"/>
        <w:rPr>
          <w:rFonts w:hint="eastAsia"/>
        </w:rPr>
      </w:pPr>
      <w:bookmarkStart w:id="30" w:name="_Toc22768"/>
      <w:bookmarkStart w:id="31" w:name="_Toc12650"/>
      <w:r>
        <w:rPr>
          <w:rFonts w:hint="eastAsia"/>
        </w:rPr>
        <w:t>前附表</w:t>
      </w:r>
      <w:bookmarkEnd w:id="30"/>
      <w:bookmarkEnd w:id="31"/>
    </w:p>
    <w:tbl>
      <w:tblPr>
        <w:tblStyle w:val="24"/>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2C849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898" w:type="dxa"/>
            <w:tcBorders>
              <w:tl2br w:val="nil"/>
              <w:tr2bl w:val="nil"/>
            </w:tcBorders>
            <w:noWrap w:val="0"/>
            <w:vAlign w:val="top"/>
          </w:tcPr>
          <w:p w14:paraId="47ED193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条款号</w:t>
            </w:r>
          </w:p>
        </w:tc>
        <w:tc>
          <w:tcPr>
            <w:tcW w:w="1231" w:type="dxa"/>
            <w:tcBorders>
              <w:tl2br w:val="nil"/>
              <w:tr2bl w:val="nil"/>
            </w:tcBorders>
            <w:noWrap w:val="0"/>
            <w:vAlign w:val="top"/>
          </w:tcPr>
          <w:p w14:paraId="1C0FCB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sz w:val="21"/>
                <w:szCs w:val="21"/>
                <w:lang w:val="zh-TW" w:eastAsia="zh-CN"/>
              </w:rPr>
            </w:pPr>
            <w:r>
              <w:rPr>
                <w:rFonts w:hint="eastAsia" w:ascii="宋体" w:hAnsi="宋体" w:eastAsia="宋体" w:cs="宋体"/>
                <w:b/>
                <w:bCs/>
                <w:sz w:val="21"/>
                <w:szCs w:val="21"/>
                <w:lang w:val="zh-TW" w:eastAsia="zh-CN"/>
              </w:rPr>
              <w:t>条款</w:t>
            </w:r>
          </w:p>
        </w:tc>
        <w:tc>
          <w:tcPr>
            <w:tcW w:w="6764" w:type="dxa"/>
            <w:tcBorders>
              <w:tl2br w:val="nil"/>
              <w:tr2bl w:val="nil"/>
            </w:tcBorders>
            <w:noWrap w:val="0"/>
            <w:vAlign w:val="top"/>
          </w:tcPr>
          <w:p w14:paraId="62104C6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sz w:val="21"/>
                <w:szCs w:val="21"/>
                <w:lang w:val="zh-TW" w:eastAsia="zh-CN"/>
              </w:rPr>
            </w:pPr>
            <w:r>
              <w:rPr>
                <w:rFonts w:hint="eastAsia" w:ascii="宋体" w:hAnsi="宋体" w:eastAsia="宋体" w:cs="宋体"/>
                <w:b/>
                <w:bCs/>
                <w:sz w:val="21"/>
                <w:szCs w:val="21"/>
                <w:lang w:val="zh-TW" w:eastAsia="zh-CN"/>
              </w:rPr>
              <w:t>条款内容</w:t>
            </w:r>
          </w:p>
        </w:tc>
      </w:tr>
      <w:tr w14:paraId="22970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64D0B7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31" w:type="dxa"/>
            <w:tcBorders>
              <w:tl2br w:val="nil"/>
              <w:tr2bl w:val="nil"/>
            </w:tcBorders>
            <w:noWrap w:val="0"/>
            <w:vAlign w:val="center"/>
          </w:tcPr>
          <w:p w14:paraId="554411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TW" w:eastAsia="zh-CN"/>
              </w:rPr>
              <w:t>项目名称</w:t>
            </w:r>
          </w:p>
        </w:tc>
        <w:tc>
          <w:tcPr>
            <w:tcW w:w="6764" w:type="dxa"/>
            <w:tcBorders>
              <w:tl2br w:val="nil"/>
              <w:tr2bl w:val="nil"/>
            </w:tcBorders>
            <w:noWrap w:val="0"/>
            <w:vAlign w:val="center"/>
          </w:tcPr>
          <w:p w14:paraId="089224E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en-US" w:eastAsia="zh-CN"/>
              </w:rPr>
              <w:t>浦江县2024年水文设施标准化管理项目</w:t>
            </w:r>
          </w:p>
        </w:tc>
      </w:tr>
      <w:tr w14:paraId="314EB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CCE64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31" w:type="dxa"/>
            <w:tcBorders>
              <w:tl2br w:val="nil"/>
              <w:tr2bl w:val="nil"/>
            </w:tcBorders>
            <w:noWrap w:val="0"/>
            <w:vAlign w:val="center"/>
          </w:tcPr>
          <w:p w14:paraId="4F0D17B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TW" w:eastAsia="zh-CN"/>
              </w:rPr>
              <w:t>项目编号</w:t>
            </w:r>
          </w:p>
        </w:tc>
        <w:tc>
          <w:tcPr>
            <w:tcW w:w="6764" w:type="dxa"/>
            <w:tcBorders>
              <w:tl2br w:val="nil"/>
              <w:tr2bl w:val="nil"/>
            </w:tcBorders>
            <w:noWrap w:val="0"/>
            <w:vAlign w:val="center"/>
          </w:tcPr>
          <w:p w14:paraId="7DF5A04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TYZXCG2024005</w:t>
            </w:r>
          </w:p>
        </w:tc>
      </w:tr>
      <w:tr w14:paraId="03875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58222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31" w:type="dxa"/>
            <w:tcBorders>
              <w:tl2br w:val="nil"/>
              <w:tr2bl w:val="nil"/>
            </w:tcBorders>
            <w:noWrap w:val="0"/>
            <w:vAlign w:val="center"/>
          </w:tcPr>
          <w:p w14:paraId="11343E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采购方式</w:t>
            </w:r>
          </w:p>
        </w:tc>
        <w:tc>
          <w:tcPr>
            <w:tcW w:w="6764" w:type="dxa"/>
            <w:tcBorders>
              <w:tl2br w:val="nil"/>
              <w:tr2bl w:val="nil"/>
            </w:tcBorders>
            <w:noWrap w:val="0"/>
            <w:vAlign w:val="center"/>
          </w:tcPr>
          <w:p w14:paraId="5FFFD70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竞争性磋商（电子交易）</w:t>
            </w:r>
          </w:p>
        </w:tc>
      </w:tr>
      <w:tr w14:paraId="032B9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81BC50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31" w:type="dxa"/>
            <w:tcBorders>
              <w:tl2br w:val="nil"/>
              <w:tr2bl w:val="nil"/>
            </w:tcBorders>
            <w:noWrap w:val="0"/>
            <w:vAlign w:val="center"/>
          </w:tcPr>
          <w:p w14:paraId="486870D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TW" w:eastAsia="zh-CN"/>
              </w:rPr>
              <w:t>项目概况</w:t>
            </w:r>
          </w:p>
        </w:tc>
        <w:tc>
          <w:tcPr>
            <w:tcW w:w="6764" w:type="dxa"/>
            <w:tcBorders>
              <w:tl2br w:val="nil"/>
              <w:tr2bl w:val="nil"/>
            </w:tcBorders>
            <w:noWrap w:val="0"/>
            <w:vAlign w:val="center"/>
          </w:tcPr>
          <w:p w14:paraId="40D1A14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采购内容：</w:t>
            </w:r>
            <w:r>
              <w:rPr>
                <w:rFonts w:hint="eastAsia" w:ascii="宋体" w:hAnsi="宋体" w:eastAsia="宋体" w:cs="宋体"/>
                <w:sz w:val="21"/>
                <w:szCs w:val="21"/>
                <w:lang w:val="zh-TW" w:eastAsia="zh-CN"/>
              </w:rPr>
              <w:t>详见“第</w:t>
            </w:r>
            <w:r>
              <w:rPr>
                <w:rFonts w:hint="eastAsia" w:ascii="宋体" w:hAnsi="宋体" w:eastAsia="宋体" w:cs="宋体"/>
                <w:sz w:val="21"/>
                <w:szCs w:val="21"/>
                <w:lang w:val="en-US" w:eastAsia="zh-CN"/>
              </w:rPr>
              <w:t>四</w:t>
            </w:r>
            <w:r>
              <w:rPr>
                <w:rFonts w:hint="eastAsia" w:ascii="宋体" w:hAnsi="宋体" w:eastAsia="宋体" w:cs="宋体"/>
                <w:sz w:val="21"/>
                <w:szCs w:val="21"/>
                <w:lang w:val="zh-TW" w:eastAsia="zh-CN"/>
              </w:rPr>
              <w:t>部分 采购需求”。</w:t>
            </w:r>
          </w:p>
          <w:p w14:paraId="7DBC115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TW" w:eastAsia="zh-CN"/>
              </w:rPr>
              <w:t>项目实施地点：</w:t>
            </w:r>
            <w:r>
              <w:rPr>
                <w:rFonts w:hint="eastAsia" w:ascii="宋体" w:hAnsi="宋体" w:eastAsia="宋体" w:cs="宋体"/>
                <w:sz w:val="21"/>
                <w:szCs w:val="21"/>
                <w:lang w:val="en-US" w:eastAsia="zh-CN"/>
              </w:rPr>
              <w:t>金华市浦江县</w:t>
            </w:r>
            <w:r>
              <w:rPr>
                <w:rFonts w:hint="eastAsia" w:ascii="宋体" w:hAnsi="宋体" w:eastAsia="宋体" w:cs="宋体"/>
                <w:sz w:val="21"/>
                <w:szCs w:val="21"/>
                <w:lang w:val="zh-TW" w:eastAsia="zh-CN"/>
              </w:rPr>
              <w:t>。</w:t>
            </w:r>
          </w:p>
        </w:tc>
      </w:tr>
      <w:tr w14:paraId="24198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noWrap w:val="0"/>
            <w:vAlign w:val="center"/>
          </w:tcPr>
          <w:p w14:paraId="6C450FD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31" w:type="dxa"/>
            <w:tcBorders>
              <w:tl2br w:val="nil"/>
              <w:tr2bl w:val="nil"/>
            </w:tcBorders>
            <w:noWrap w:val="0"/>
            <w:vAlign w:val="center"/>
          </w:tcPr>
          <w:p w14:paraId="2CCFCB2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TW" w:eastAsia="zh-CN"/>
              </w:rPr>
              <w:t>采购</w:t>
            </w:r>
            <w:r>
              <w:rPr>
                <w:rFonts w:hint="eastAsia" w:ascii="宋体" w:hAnsi="宋体" w:eastAsia="宋体" w:cs="宋体"/>
                <w:sz w:val="21"/>
                <w:szCs w:val="21"/>
                <w:lang w:val="en-US" w:eastAsia="zh-CN"/>
              </w:rPr>
              <w:t>预算</w:t>
            </w:r>
          </w:p>
        </w:tc>
        <w:tc>
          <w:tcPr>
            <w:tcW w:w="6764" w:type="dxa"/>
            <w:tcBorders>
              <w:tl2br w:val="nil"/>
              <w:tr2bl w:val="nil"/>
            </w:tcBorders>
            <w:noWrap w:val="0"/>
            <w:vAlign w:val="center"/>
          </w:tcPr>
          <w:p w14:paraId="18FE09E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CN"/>
              </w:rPr>
              <w:t>采购预算：</w:t>
            </w:r>
            <w:r>
              <w:rPr>
                <w:rFonts w:hint="eastAsia" w:ascii="宋体" w:hAnsi="宋体" w:eastAsia="宋体" w:cs="宋体"/>
                <w:sz w:val="21"/>
                <w:szCs w:val="21"/>
                <w:lang w:val="en-US" w:eastAsia="zh-CN"/>
              </w:rPr>
              <w:t>600000元，</w:t>
            </w:r>
            <w:r>
              <w:rPr>
                <w:rFonts w:hint="eastAsia" w:ascii="宋体" w:hAnsi="宋体" w:eastAsia="宋体" w:cs="宋体"/>
                <w:sz w:val="21"/>
                <w:szCs w:val="21"/>
                <w:lang w:val="zh-TW" w:eastAsia="zh-CN"/>
              </w:rPr>
              <w:t>最高限价：</w:t>
            </w:r>
            <w:r>
              <w:rPr>
                <w:rFonts w:hint="eastAsia" w:ascii="宋体" w:hAnsi="宋体" w:eastAsia="宋体" w:cs="宋体"/>
                <w:sz w:val="21"/>
                <w:szCs w:val="21"/>
                <w:lang w:val="en-US" w:eastAsia="zh-CN"/>
              </w:rPr>
              <w:t>600000元。</w:t>
            </w:r>
          </w:p>
        </w:tc>
      </w:tr>
      <w:tr w14:paraId="22CAE5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98" w:type="dxa"/>
            <w:tcBorders>
              <w:tl2br w:val="nil"/>
              <w:tr2bl w:val="nil"/>
            </w:tcBorders>
            <w:noWrap w:val="0"/>
            <w:vAlign w:val="center"/>
          </w:tcPr>
          <w:p w14:paraId="103A14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31" w:type="dxa"/>
            <w:tcBorders>
              <w:tl2br w:val="nil"/>
              <w:tr2bl w:val="nil"/>
            </w:tcBorders>
            <w:noWrap w:val="0"/>
            <w:vAlign w:val="center"/>
          </w:tcPr>
          <w:p w14:paraId="6BD21D5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采购邀请方式</w:t>
            </w:r>
          </w:p>
        </w:tc>
        <w:tc>
          <w:tcPr>
            <w:tcW w:w="6764" w:type="dxa"/>
            <w:tcBorders>
              <w:tl2br w:val="nil"/>
              <w:tr2bl w:val="nil"/>
            </w:tcBorders>
            <w:noWrap w:val="0"/>
            <w:vAlign w:val="center"/>
          </w:tcPr>
          <w:p w14:paraId="430A09A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发布公告邀请</w:t>
            </w:r>
            <w:r>
              <w:rPr>
                <w:rFonts w:hint="eastAsia" w:ascii="宋体" w:hAnsi="宋体" w:eastAsia="宋体" w:cs="宋体"/>
                <w:sz w:val="21"/>
                <w:szCs w:val="21"/>
              </w:rPr>
              <w:t>。</w:t>
            </w:r>
          </w:p>
        </w:tc>
      </w:tr>
      <w:tr w14:paraId="19A6BD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2A03F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31" w:type="dxa"/>
            <w:tcBorders>
              <w:tl2br w:val="nil"/>
              <w:tr2bl w:val="nil"/>
            </w:tcBorders>
            <w:noWrap w:val="0"/>
            <w:vAlign w:val="center"/>
          </w:tcPr>
          <w:p w14:paraId="74C293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w:t>
            </w:r>
          </w:p>
        </w:tc>
        <w:tc>
          <w:tcPr>
            <w:tcW w:w="6764" w:type="dxa"/>
            <w:tcBorders>
              <w:tl2br w:val="nil"/>
              <w:tr2bl w:val="nil"/>
            </w:tcBorders>
            <w:noWrap w:val="0"/>
            <w:vAlign w:val="center"/>
          </w:tcPr>
          <w:p w14:paraId="2E3C499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名称：浦江县水文管理中心</w:t>
            </w:r>
          </w:p>
          <w:p w14:paraId="413F189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地址：浦江县仙华街道仙华路298号</w:t>
            </w:r>
          </w:p>
          <w:p w14:paraId="6C3D603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项目联系人（询问）：陈先生</w:t>
            </w:r>
          </w:p>
          <w:p w14:paraId="7192ED5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项目联系方式（询问）：</w:t>
            </w:r>
            <w:r>
              <w:rPr>
                <w:rFonts w:hint="eastAsia" w:ascii="宋体" w:hAnsi="宋体" w:eastAsia="宋体" w:cs="宋体"/>
                <w:sz w:val="21"/>
                <w:szCs w:val="21"/>
                <w:lang w:eastAsia="zh-CN"/>
              </w:rPr>
              <w:t>18757985073</w:t>
            </w:r>
            <w:r>
              <w:rPr>
                <w:rFonts w:hint="eastAsia" w:ascii="宋体" w:hAnsi="宋体" w:eastAsia="宋体" w:cs="宋体"/>
                <w:sz w:val="21"/>
                <w:szCs w:val="21"/>
                <w:lang w:val="en-US" w:eastAsia="zh-CN"/>
              </w:rPr>
              <w:t xml:space="preserve">  </w:t>
            </w:r>
          </w:p>
        </w:tc>
      </w:tr>
      <w:tr w14:paraId="5BDAD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C75862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231" w:type="dxa"/>
            <w:tcBorders>
              <w:tl2br w:val="nil"/>
              <w:tr2bl w:val="nil"/>
            </w:tcBorders>
            <w:noWrap w:val="0"/>
            <w:vAlign w:val="center"/>
          </w:tcPr>
          <w:p w14:paraId="1CAC07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采购代理机构</w:t>
            </w:r>
          </w:p>
        </w:tc>
        <w:tc>
          <w:tcPr>
            <w:tcW w:w="6764" w:type="dxa"/>
            <w:tcBorders>
              <w:tl2br w:val="nil"/>
              <w:tr2bl w:val="nil"/>
            </w:tcBorders>
            <w:noWrap w:val="0"/>
            <w:vAlign w:val="center"/>
          </w:tcPr>
          <w:p w14:paraId="161EB70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名称：泰宇建筑工程技术咨询有限公司</w:t>
            </w:r>
          </w:p>
          <w:p w14:paraId="70A9004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地址：浦江县亚太大道609号二楼</w:t>
            </w:r>
          </w:p>
          <w:p w14:paraId="184CA3A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项目联系人（询问）：张女士</w:t>
            </w:r>
          </w:p>
          <w:p w14:paraId="5CCA23F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TW"/>
              </w:rPr>
            </w:pPr>
            <w:r>
              <w:rPr>
                <w:rFonts w:hint="eastAsia" w:ascii="宋体" w:hAnsi="宋体" w:eastAsia="宋体" w:cs="宋体"/>
                <w:color w:val="auto"/>
                <w:sz w:val="21"/>
                <w:szCs w:val="21"/>
                <w:highlight w:val="none"/>
                <w:lang w:val="en-US" w:eastAsia="zh-CN"/>
              </w:rPr>
              <w:t>项目联系方式（询问）：13735791878</w:t>
            </w:r>
          </w:p>
        </w:tc>
      </w:tr>
      <w:tr w14:paraId="7D119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201A20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231" w:type="dxa"/>
            <w:tcBorders>
              <w:tl2br w:val="nil"/>
              <w:tr2bl w:val="nil"/>
            </w:tcBorders>
            <w:noWrap w:val="0"/>
            <w:vAlign w:val="center"/>
          </w:tcPr>
          <w:p w14:paraId="4435D7F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电子交易平台</w:t>
            </w:r>
          </w:p>
        </w:tc>
        <w:tc>
          <w:tcPr>
            <w:tcW w:w="6764" w:type="dxa"/>
            <w:tcBorders>
              <w:tl2br w:val="nil"/>
              <w:tr2bl w:val="nil"/>
            </w:tcBorders>
            <w:noWrap w:val="0"/>
            <w:vAlign w:val="center"/>
          </w:tcPr>
          <w:p w14:paraId="373E8DE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浙江政府采购网政府采购云平台（政采云平台）（www.zcygov.cn）。</w:t>
            </w:r>
          </w:p>
        </w:tc>
      </w:tr>
      <w:tr w14:paraId="00586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A6402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231" w:type="dxa"/>
            <w:tcBorders>
              <w:tl2br w:val="nil"/>
              <w:tr2bl w:val="nil"/>
            </w:tcBorders>
            <w:noWrap w:val="0"/>
            <w:vAlign w:val="center"/>
          </w:tcPr>
          <w:p w14:paraId="36F1287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资格</w:t>
            </w:r>
            <w:r>
              <w:rPr>
                <w:rFonts w:hint="eastAsia" w:ascii="宋体" w:hAnsi="宋体" w:eastAsia="宋体" w:cs="宋体"/>
                <w:sz w:val="21"/>
                <w:szCs w:val="21"/>
                <w:lang w:val="en-US" w:eastAsia="zh-CN"/>
              </w:rPr>
              <w:t>条件</w:t>
            </w:r>
          </w:p>
        </w:tc>
        <w:tc>
          <w:tcPr>
            <w:tcW w:w="6764" w:type="dxa"/>
            <w:tcBorders>
              <w:tl2br w:val="nil"/>
              <w:tr2bl w:val="nil"/>
            </w:tcBorders>
            <w:noWrap w:val="0"/>
            <w:vAlign w:val="center"/>
          </w:tcPr>
          <w:p w14:paraId="5C5A62D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1</w:t>
            </w:r>
            <w:r>
              <w:rPr>
                <w:rFonts w:hint="eastAsia" w:ascii="宋体" w:hAnsi="宋体" w:eastAsia="宋体" w:cs="宋体"/>
                <w:sz w:val="21"/>
                <w:szCs w:val="21"/>
                <w:lang w:val="en-US" w:eastAsia="zh-CN"/>
              </w:rPr>
              <w:t>.</w:t>
            </w:r>
            <w:r>
              <w:rPr>
                <w:rFonts w:hint="eastAsia" w:ascii="宋体" w:hAnsi="宋体" w:eastAsia="宋体" w:cs="宋体"/>
                <w:sz w:val="21"/>
                <w:szCs w:val="21"/>
                <w:lang w:val="zh-TW" w:eastAsia="zh-TW"/>
              </w:rPr>
              <w:t>满足《中华人民共和国政府采购法》第二十二条规定</w:t>
            </w:r>
            <w:r>
              <w:rPr>
                <w:rFonts w:hint="eastAsia" w:ascii="宋体" w:hAnsi="宋体" w:eastAsia="宋体" w:cs="宋体"/>
                <w:sz w:val="21"/>
                <w:szCs w:val="21"/>
                <w:lang w:val="zh-TW" w:eastAsia="zh-CN"/>
              </w:rPr>
              <w:t>；</w:t>
            </w:r>
            <w:r>
              <w:rPr>
                <w:rFonts w:hint="eastAsia" w:ascii="宋体" w:hAnsi="宋体" w:eastAsia="宋体" w:cs="宋体"/>
                <w:sz w:val="21"/>
                <w:szCs w:val="21"/>
                <w:lang w:val="zh-TW" w:eastAsia="zh-TW"/>
              </w:rPr>
              <w:t>未被“信用中国”（www.creditchina.gov.cn)、中国政府采购网（www.ccgp.gov.cn）列入失信被执行人、</w:t>
            </w:r>
            <w:r>
              <w:rPr>
                <w:rFonts w:hint="eastAsia" w:ascii="宋体" w:hAnsi="宋体" w:eastAsia="宋体" w:cs="宋体"/>
                <w:sz w:val="21"/>
                <w:szCs w:val="21"/>
                <w:lang w:val="zh-TW" w:eastAsia="zh-CN"/>
              </w:rPr>
              <w:t>重大税收违法失信主体</w:t>
            </w:r>
            <w:r>
              <w:rPr>
                <w:rFonts w:hint="eastAsia" w:ascii="宋体" w:hAnsi="宋体" w:eastAsia="宋体" w:cs="宋体"/>
                <w:sz w:val="21"/>
                <w:szCs w:val="21"/>
                <w:lang w:val="zh-TW" w:eastAsia="zh-TW"/>
              </w:rPr>
              <w:t>、政府采购严重违法失信行为记录名单。</w:t>
            </w:r>
          </w:p>
          <w:p w14:paraId="04ADB83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2</w:t>
            </w:r>
            <w:r>
              <w:rPr>
                <w:rFonts w:hint="eastAsia" w:ascii="宋体" w:hAnsi="宋体" w:eastAsia="宋体" w:cs="宋体"/>
                <w:sz w:val="21"/>
                <w:szCs w:val="21"/>
                <w:lang w:val="en-US" w:eastAsia="zh-CN"/>
              </w:rPr>
              <w:t>.</w:t>
            </w:r>
            <w:r>
              <w:rPr>
                <w:rFonts w:hint="eastAsia" w:ascii="宋体" w:hAnsi="宋体" w:eastAsia="宋体" w:cs="宋体"/>
                <w:sz w:val="21"/>
                <w:szCs w:val="21"/>
                <w:lang w:val="zh-TW" w:eastAsia="zh-TW"/>
              </w:rPr>
              <w:t>落实政府采购政策需满足的资格要求：</w:t>
            </w:r>
            <w:r>
              <w:rPr>
                <w:rFonts w:hint="eastAsia" w:ascii="宋体" w:hAnsi="宋体" w:eastAsia="宋体" w:cs="宋体"/>
                <w:sz w:val="21"/>
                <w:szCs w:val="21"/>
              </w:rPr>
              <w:t>本项目专门面向中小企业采购，服务全部由符合政策要求的中小企业承接</w:t>
            </w:r>
            <w:r>
              <w:rPr>
                <w:rFonts w:hint="eastAsia" w:ascii="宋体" w:hAnsi="宋体" w:eastAsia="宋体" w:cs="宋体"/>
                <w:sz w:val="21"/>
                <w:szCs w:val="21"/>
                <w:lang w:val="en-US" w:eastAsia="zh-CN"/>
              </w:rPr>
              <w:t>。</w:t>
            </w:r>
          </w:p>
          <w:p w14:paraId="4B2A0D3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TW" w:eastAsia="zh-TW"/>
              </w:rPr>
              <w:t>3</w:t>
            </w:r>
            <w:r>
              <w:rPr>
                <w:rFonts w:hint="eastAsia" w:ascii="宋体" w:hAnsi="宋体" w:eastAsia="宋体" w:cs="宋体"/>
                <w:sz w:val="21"/>
                <w:szCs w:val="21"/>
                <w:lang w:val="en-US" w:eastAsia="zh-CN"/>
              </w:rPr>
              <w:t>.</w:t>
            </w:r>
            <w:r>
              <w:rPr>
                <w:rFonts w:hint="eastAsia" w:ascii="宋体" w:hAnsi="宋体" w:eastAsia="宋体" w:cs="宋体"/>
                <w:sz w:val="21"/>
                <w:szCs w:val="21"/>
                <w:lang w:val="zh-TW" w:eastAsia="zh-TW"/>
              </w:rPr>
              <w:t>本项目的特定资格要求：</w:t>
            </w:r>
            <w:r>
              <w:rPr>
                <w:rFonts w:hint="eastAsia" w:ascii="宋体" w:hAnsi="宋体" w:eastAsia="宋体" w:cs="宋体"/>
                <w:sz w:val="21"/>
                <w:szCs w:val="21"/>
                <w:lang w:val="en-US" w:eastAsia="zh-CN"/>
              </w:rPr>
              <w:t>/</w:t>
            </w:r>
          </w:p>
          <w:p w14:paraId="661B61C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0410B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资格审查资料：相关证件等</w:t>
            </w:r>
            <w:r>
              <w:rPr>
                <w:rFonts w:hint="eastAsia" w:ascii="宋体" w:hAnsi="宋体" w:eastAsia="宋体" w:cs="宋体"/>
                <w:sz w:val="21"/>
                <w:szCs w:val="21"/>
                <w:lang w:eastAsia="zh-CN"/>
              </w:rPr>
              <w:t>扫描</w:t>
            </w:r>
            <w:r>
              <w:rPr>
                <w:rFonts w:hint="eastAsia" w:ascii="宋体" w:hAnsi="宋体" w:eastAsia="宋体" w:cs="宋体"/>
                <w:sz w:val="21"/>
                <w:szCs w:val="21"/>
              </w:rPr>
              <w:t>件或扫描件，投标声明书（格式附后），资格承诺函（格式附后）。</w:t>
            </w:r>
          </w:p>
          <w:p w14:paraId="7F9FD95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注：如联合体参加投标的，另须提供联合体协议书，并联合体各方均须提供相关证件等</w:t>
            </w:r>
            <w:r>
              <w:rPr>
                <w:rFonts w:hint="eastAsia" w:ascii="宋体" w:hAnsi="宋体" w:eastAsia="宋体" w:cs="宋体"/>
                <w:sz w:val="21"/>
                <w:szCs w:val="21"/>
                <w:lang w:eastAsia="zh-CN"/>
              </w:rPr>
              <w:t>扫描</w:t>
            </w:r>
            <w:r>
              <w:rPr>
                <w:rFonts w:hint="eastAsia" w:ascii="宋体" w:hAnsi="宋体" w:eastAsia="宋体" w:cs="宋体"/>
                <w:sz w:val="21"/>
                <w:szCs w:val="21"/>
              </w:rPr>
              <w:t>件或扫描件，投标声明书（格式附后），资格承诺函（格式附后）。</w:t>
            </w:r>
          </w:p>
        </w:tc>
      </w:tr>
      <w:tr w14:paraId="39EDF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290E48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231" w:type="dxa"/>
            <w:tcBorders>
              <w:tl2br w:val="nil"/>
              <w:tr2bl w:val="nil"/>
            </w:tcBorders>
            <w:noWrap w:val="0"/>
            <w:vAlign w:val="center"/>
          </w:tcPr>
          <w:p w14:paraId="4484FBB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联合体</w:t>
            </w:r>
          </w:p>
        </w:tc>
        <w:tc>
          <w:tcPr>
            <w:tcW w:w="6764" w:type="dxa"/>
            <w:tcBorders>
              <w:tl2br w:val="nil"/>
              <w:tr2bl w:val="nil"/>
            </w:tcBorders>
            <w:noWrap w:val="0"/>
            <w:vAlign w:val="center"/>
          </w:tcPr>
          <w:p w14:paraId="75372EE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本项目不接受联合体投标。</w:t>
            </w:r>
          </w:p>
          <w:p w14:paraId="5DBE061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FE"/>
            </w:r>
            <w:r>
              <w:rPr>
                <w:rFonts w:hint="eastAsia" w:ascii="宋体" w:hAnsi="宋体" w:eastAsia="宋体" w:cs="宋体"/>
                <w:sz w:val="21"/>
                <w:szCs w:val="21"/>
                <w:lang w:val="en-US" w:eastAsia="zh-CN"/>
              </w:rPr>
              <w:t>本项目接受联合体投标。</w:t>
            </w:r>
          </w:p>
          <w:p w14:paraId="65D8F82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6976792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如投标人组成联合体中标的，在项目实施中，采购人将直接向联合体牵头人支付项目预付款、项目进度款和项目结算款等。联合体各方请自行协议各方的权利、义务。</w:t>
            </w:r>
          </w:p>
        </w:tc>
      </w:tr>
      <w:tr w14:paraId="35B47E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8B123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231" w:type="dxa"/>
            <w:tcBorders>
              <w:tl2br w:val="nil"/>
              <w:tr2bl w:val="nil"/>
            </w:tcBorders>
            <w:noWrap w:val="0"/>
            <w:vAlign w:val="center"/>
          </w:tcPr>
          <w:p w14:paraId="5C5B484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磋商文件获取</w:t>
            </w:r>
          </w:p>
        </w:tc>
        <w:tc>
          <w:tcPr>
            <w:tcW w:w="6764" w:type="dxa"/>
            <w:tcBorders>
              <w:tl2br w:val="nil"/>
              <w:tr2bl w:val="nil"/>
            </w:tcBorders>
            <w:noWrap w:val="0"/>
            <w:vAlign w:val="center"/>
          </w:tcPr>
          <w:p w14:paraId="28502BB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获取方式：政采云平台（www.zcygov.cn）用户登录-项目采购-获取采购文件-申请完成-下载文件；</w:t>
            </w:r>
          </w:p>
          <w:p w14:paraId="3B03176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获取状态：政采云平台（www.zcygov.cn）用户登录-项目采购-获取采购文件-已申请-状态。</w:t>
            </w:r>
          </w:p>
        </w:tc>
      </w:tr>
      <w:tr w14:paraId="7868B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2BF3E4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231" w:type="dxa"/>
            <w:tcBorders>
              <w:tl2br w:val="nil"/>
              <w:tr2bl w:val="nil"/>
            </w:tcBorders>
            <w:noWrap w:val="0"/>
            <w:vAlign w:val="center"/>
          </w:tcPr>
          <w:p w14:paraId="038C411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答疑会或</w:t>
            </w:r>
            <w:r>
              <w:rPr>
                <w:rFonts w:hint="eastAsia" w:ascii="宋体" w:hAnsi="宋体" w:eastAsia="宋体" w:cs="宋体"/>
                <w:sz w:val="21"/>
                <w:szCs w:val="21"/>
                <w:lang w:val="zh-TW" w:eastAsia="zh-CN"/>
              </w:rPr>
              <w:t>现场踏勘</w:t>
            </w:r>
          </w:p>
        </w:tc>
        <w:tc>
          <w:tcPr>
            <w:tcW w:w="6764" w:type="dxa"/>
            <w:tcBorders>
              <w:tl2br w:val="nil"/>
              <w:tr2bl w:val="nil"/>
            </w:tcBorders>
            <w:noWrap w:val="0"/>
            <w:vAlign w:val="center"/>
          </w:tcPr>
          <w:p w14:paraId="4B0C9BC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FE"/>
            </w:r>
            <w:r>
              <w:rPr>
                <w:rFonts w:hint="eastAsia" w:ascii="宋体" w:hAnsi="宋体" w:eastAsia="宋体" w:cs="宋体"/>
                <w:sz w:val="21"/>
                <w:szCs w:val="21"/>
                <w:lang w:val="en-US" w:eastAsia="zh-CN"/>
              </w:rPr>
              <w:t>不组织。</w:t>
            </w:r>
          </w:p>
          <w:p w14:paraId="74C1C00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组织，时间为：/年/月/日至/年/月/日（上午/至下午/），联系人：/，联系方式：/。</w:t>
            </w:r>
          </w:p>
        </w:tc>
      </w:tr>
      <w:tr w14:paraId="596004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2C3B3D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231" w:type="dxa"/>
            <w:tcBorders>
              <w:tl2br w:val="nil"/>
              <w:tr2bl w:val="nil"/>
            </w:tcBorders>
            <w:noWrap w:val="0"/>
            <w:vAlign w:val="center"/>
          </w:tcPr>
          <w:p w14:paraId="598BDFD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报价要求</w:t>
            </w:r>
          </w:p>
        </w:tc>
        <w:tc>
          <w:tcPr>
            <w:tcW w:w="6764" w:type="dxa"/>
            <w:tcBorders>
              <w:tl2br w:val="nil"/>
              <w:tr2bl w:val="nil"/>
            </w:tcBorders>
            <w:noWrap w:val="0"/>
            <w:vAlign w:val="center"/>
          </w:tcPr>
          <w:p w14:paraId="6E93506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有关本项目实施所需的所有费用（含税费）均计入报价。</w:t>
            </w:r>
          </w:p>
          <w:p w14:paraId="0DA9DC6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《最后报价一览表》是报价的唯一载体。响应文件中价格全部采用人民币报价。磋商文件未列明，而供应商认为必需的费用也需列入最后报价。</w:t>
            </w:r>
          </w:p>
          <w:p w14:paraId="1AB91C8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最后报价出现下列情形的，响应无效：</w:t>
            </w:r>
          </w:p>
          <w:p w14:paraId="037C1A6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▲出现不是唯一的、有选择性最后报价的；</w:t>
            </w:r>
          </w:p>
          <w:p w14:paraId="4C8F255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▲最后报价高于本项目采购预算的；</w:t>
            </w:r>
          </w:p>
          <w:p w14:paraId="231CB02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▲最后报价明显低于其他供应商的最后报价，有可能影响产品质量或者不能诚信履约，且未能按要求提供书面说明或者提交相关说明材料，不能说明其报价合理性的；</w:t>
            </w:r>
          </w:p>
          <w:p w14:paraId="4167112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▲《最后报价一览表》填写不完整或字迹不能辨认或有漏项的；</w:t>
            </w:r>
          </w:p>
          <w:p w14:paraId="252493D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▲供应商对根据修正原则修正后的报价不确认的。</w:t>
            </w:r>
          </w:p>
        </w:tc>
      </w:tr>
      <w:tr w14:paraId="6B702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BB873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231" w:type="dxa"/>
            <w:tcBorders>
              <w:tl2br w:val="nil"/>
              <w:tr2bl w:val="nil"/>
            </w:tcBorders>
            <w:noWrap w:val="0"/>
            <w:vAlign w:val="center"/>
          </w:tcPr>
          <w:p w14:paraId="2A2FB5A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服务期</w:t>
            </w:r>
          </w:p>
        </w:tc>
        <w:tc>
          <w:tcPr>
            <w:tcW w:w="6764" w:type="dxa"/>
            <w:tcBorders>
              <w:tl2br w:val="nil"/>
              <w:tr2bl w:val="nil"/>
            </w:tcBorders>
            <w:noWrap w:val="0"/>
            <w:vAlign w:val="center"/>
          </w:tcPr>
          <w:p w14:paraId="20D6C22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w:t>
            </w:r>
          </w:p>
        </w:tc>
      </w:tr>
      <w:tr w14:paraId="14D5D7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8" w:type="dxa"/>
            <w:tcBorders>
              <w:tl2br w:val="nil"/>
              <w:tr2bl w:val="nil"/>
            </w:tcBorders>
            <w:noWrap w:val="0"/>
            <w:vAlign w:val="center"/>
          </w:tcPr>
          <w:p w14:paraId="4B3E25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231" w:type="dxa"/>
            <w:tcBorders>
              <w:tl2br w:val="nil"/>
              <w:tr2bl w:val="nil"/>
            </w:tcBorders>
            <w:noWrap w:val="0"/>
            <w:vAlign w:val="center"/>
          </w:tcPr>
          <w:p w14:paraId="1CAAFC4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6764" w:type="dxa"/>
            <w:tcBorders>
              <w:tl2br w:val="nil"/>
              <w:tr2bl w:val="nil"/>
            </w:tcBorders>
            <w:noWrap w:val="0"/>
            <w:vAlign w:val="center"/>
          </w:tcPr>
          <w:p w14:paraId="62A96E1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生效及具备实施条件后7个工作日内，采购人向中标人支付合同总价的70%作为预付款（中标人需出具同金额预付款保函。如中标人明确表示无需预付款或者主动要求降低预付款比例的，采购人可不支付或减少预付款支付比例），合同履行完毕支付至合同额的90%，经县水文管理中心组织考核合格后支付合同总额的100%。</w:t>
            </w:r>
          </w:p>
        </w:tc>
      </w:tr>
      <w:tr w14:paraId="06662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320B47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231" w:type="dxa"/>
            <w:tcBorders>
              <w:tl2br w:val="nil"/>
              <w:tr2bl w:val="nil"/>
            </w:tcBorders>
            <w:noWrap w:val="0"/>
            <w:vAlign w:val="center"/>
          </w:tcPr>
          <w:p w14:paraId="2A9514C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磋商有效期</w:t>
            </w:r>
          </w:p>
        </w:tc>
        <w:tc>
          <w:tcPr>
            <w:tcW w:w="6764" w:type="dxa"/>
            <w:tcBorders>
              <w:tl2br w:val="nil"/>
              <w:tr2bl w:val="nil"/>
            </w:tcBorders>
            <w:noWrap w:val="0"/>
            <w:vAlign w:val="center"/>
          </w:tcPr>
          <w:p w14:paraId="2052A88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自响应截止日起90天内有效。</w:t>
            </w:r>
          </w:p>
        </w:tc>
      </w:tr>
      <w:tr w14:paraId="24F3B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CFF3A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231" w:type="dxa"/>
            <w:tcBorders>
              <w:tl2br w:val="nil"/>
              <w:tr2bl w:val="nil"/>
            </w:tcBorders>
            <w:noWrap w:val="0"/>
            <w:vAlign w:val="center"/>
          </w:tcPr>
          <w:p w14:paraId="7A0BFA7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TW" w:eastAsia="zh-CN"/>
              </w:rPr>
              <w:t>分包</w:t>
            </w:r>
          </w:p>
        </w:tc>
        <w:tc>
          <w:tcPr>
            <w:tcW w:w="6764" w:type="dxa"/>
            <w:tcBorders>
              <w:tl2br w:val="nil"/>
              <w:tr2bl w:val="nil"/>
            </w:tcBorders>
            <w:noWrap w:val="0"/>
            <w:vAlign w:val="center"/>
          </w:tcPr>
          <w:p w14:paraId="46FAE91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A同意将非主体、非关键性的工作分包，须有相应资质和能力，并事前须得到采购人同意。</w:t>
            </w:r>
          </w:p>
          <w:p w14:paraId="15E87F5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FE"/>
            </w:r>
            <w:r>
              <w:rPr>
                <w:rFonts w:hint="eastAsia" w:ascii="宋体" w:hAnsi="宋体" w:eastAsia="宋体" w:cs="宋体"/>
                <w:sz w:val="21"/>
                <w:szCs w:val="21"/>
                <w:lang w:val="en-US" w:eastAsia="zh-CN"/>
              </w:rPr>
              <w:t>B不同意分包。</w:t>
            </w:r>
          </w:p>
        </w:tc>
      </w:tr>
      <w:tr w14:paraId="49D60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65948A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231" w:type="dxa"/>
            <w:vMerge w:val="restart"/>
            <w:tcBorders>
              <w:tl2br w:val="nil"/>
              <w:tr2bl w:val="nil"/>
            </w:tcBorders>
            <w:noWrap w:val="0"/>
            <w:vAlign w:val="center"/>
          </w:tcPr>
          <w:p w14:paraId="05034C1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响应文件的递交</w:t>
            </w:r>
          </w:p>
        </w:tc>
        <w:tc>
          <w:tcPr>
            <w:tcW w:w="6764" w:type="dxa"/>
            <w:tcBorders>
              <w:tl2br w:val="nil"/>
              <w:tr2bl w:val="nil"/>
            </w:tcBorders>
            <w:noWrap w:val="0"/>
            <w:vAlign w:val="center"/>
          </w:tcPr>
          <w:p w14:paraId="5472248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响应文件递交的截止时间：</w:t>
            </w:r>
            <w:r>
              <w:rPr>
                <w:rFonts w:hint="eastAsia" w:ascii="宋体" w:hAnsi="宋体" w:eastAsia="宋体" w:cs="宋体"/>
                <w:sz w:val="21"/>
                <w:szCs w:val="21"/>
                <w:lang w:eastAsia="zh-CN"/>
              </w:rPr>
              <w:t>2024年</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日</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时</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（北京时间）。</w:t>
            </w:r>
          </w:p>
          <w:p w14:paraId="5B9519B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递交方式：响应截止时间前成功上传至电子交易平台。</w:t>
            </w:r>
          </w:p>
        </w:tc>
      </w:tr>
      <w:tr w14:paraId="183AB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2625D7E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p>
        </w:tc>
        <w:tc>
          <w:tcPr>
            <w:tcW w:w="1231" w:type="dxa"/>
            <w:vMerge w:val="continue"/>
            <w:tcBorders>
              <w:tl2br w:val="nil"/>
              <w:tr2bl w:val="nil"/>
            </w:tcBorders>
            <w:noWrap w:val="0"/>
            <w:vAlign w:val="center"/>
          </w:tcPr>
          <w:p w14:paraId="76F7657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p>
        </w:tc>
        <w:tc>
          <w:tcPr>
            <w:tcW w:w="6764" w:type="dxa"/>
            <w:tcBorders>
              <w:tl2br w:val="nil"/>
              <w:tr2bl w:val="nil"/>
            </w:tcBorders>
            <w:noWrap w:val="0"/>
            <w:vAlign w:val="center"/>
          </w:tcPr>
          <w:p w14:paraId="27F850E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电子备份响应文件的递交：供应商如需要递交备份响应文件（后缀格式为.bfbs）的，请将u盘或DVD光盘形式的备份响应文件密封包装后以邮寄形式递交。</w:t>
            </w:r>
          </w:p>
          <w:p w14:paraId="7CC47B1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邮寄地址：浦江县亚太大道609号二楼，张女士收，联系方式：13735791878，邮编：322200，逾期送达、未按指定地点送达或未密封将予以拒收。</w:t>
            </w:r>
          </w:p>
          <w:p w14:paraId="123159A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截止签收时间：同响应文件递交的截止时间。</w:t>
            </w:r>
          </w:p>
          <w:p w14:paraId="21422BA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备份响应文件的密封：外包装须注明项目名称、项目编号、响应截止时间，内层包封加盖投标人公章。(联合体投标的，包装物封面需注明联合体投标，并注明联合体成员各方的名称和联合协议中约定的牵头人的名称)</w:t>
            </w:r>
          </w:p>
          <w:p w14:paraId="5FBEB83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未按要求密封和标志的电子备份响应文件，被遗漏、误拆是供应商的责任。</w:t>
            </w:r>
          </w:p>
        </w:tc>
      </w:tr>
      <w:tr w14:paraId="6D202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4104F3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231" w:type="dxa"/>
            <w:tcBorders>
              <w:tl2br w:val="nil"/>
              <w:tr2bl w:val="nil"/>
            </w:tcBorders>
            <w:noWrap w:val="0"/>
            <w:vAlign w:val="center"/>
          </w:tcPr>
          <w:p w14:paraId="58EB19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首次响应文件开启</w:t>
            </w:r>
          </w:p>
        </w:tc>
        <w:tc>
          <w:tcPr>
            <w:tcW w:w="6764" w:type="dxa"/>
            <w:tcBorders>
              <w:tl2br w:val="nil"/>
              <w:tr2bl w:val="nil"/>
            </w:tcBorders>
            <w:noWrap w:val="0"/>
            <w:vAlign w:val="center"/>
          </w:tcPr>
          <w:p w14:paraId="062D8AB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时间：</w:t>
            </w:r>
            <w:r>
              <w:rPr>
                <w:rFonts w:hint="eastAsia" w:ascii="宋体" w:hAnsi="宋体" w:eastAsia="宋体" w:cs="宋体"/>
                <w:sz w:val="21"/>
                <w:szCs w:val="21"/>
                <w:lang w:eastAsia="zh-CN"/>
              </w:rPr>
              <w:t>2024年</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月</w:t>
            </w:r>
            <w:r>
              <w:rPr>
                <w:rFonts w:hint="eastAsia" w:ascii="宋体" w:hAnsi="宋体" w:eastAsia="宋体" w:cs="宋体"/>
                <w:sz w:val="21"/>
                <w:szCs w:val="21"/>
                <w:lang w:val="en-US" w:eastAsia="zh-CN"/>
              </w:rPr>
              <w:t>23</w:t>
            </w:r>
            <w:r>
              <w:rPr>
                <w:rFonts w:hint="eastAsia" w:ascii="宋体" w:hAnsi="宋体" w:eastAsia="宋体" w:cs="宋体"/>
                <w:sz w:val="21"/>
                <w:szCs w:val="21"/>
                <w:lang w:eastAsia="zh-CN"/>
              </w:rPr>
              <w:t>日</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时</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（北京时间）。</w:t>
            </w:r>
          </w:p>
          <w:p w14:paraId="56667D8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地点：</w:t>
            </w:r>
            <w:r>
              <w:rPr>
                <w:rFonts w:hint="eastAsia" w:ascii="宋体" w:hAnsi="宋体" w:eastAsia="宋体" w:cs="宋体"/>
                <w:sz w:val="21"/>
                <w:szCs w:val="21"/>
                <w:lang w:val="en-US" w:eastAsia="zh-CN"/>
              </w:rPr>
              <w:t>政采云平台（www.zcygov.cn）。</w:t>
            </w:r>
          </w:p>
        </w:tc>
      </w:tr>
      <w:tr w14:paraId="17F6C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1D5BD2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1231" w:type="dxa"/>
            <w:tcBorders>
              <w:tl2br w:val="nil"/>
              <w:tr2bl w:val="nil"/>
            </w:tcBorders>
            <w:noWrap w:val="0"/>
            <w:vAlign w:val="center"/>
          </w:tcPr>
          <w:p w14:paraId="438DD9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解密时间</w:t>
            </w:r>
          </w:p>
        </w:tc>
        <w:tc>
          <w:tcPr>
            <w:tcW w:w="6764" w:type="dxa"/>
            <w:tcBorders>
              <w:tl2br w:val="nil"/>
              <w:tr2bl w:val="nil"/>
            </w:tcBorders>
            <w:noWrap w:val="0"/>
            <w:vAlign w:val="center"/>
          </w:tcPr>
          <w:p w14:paraId="694DDF4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响应文件解密时间为首次响应文件开启后30分钟。（以电子交易平台设定时间为准）</w:t>
            </w:r>
          </w:p>
        </w:tc>
      </w:tr>
      <w:tr w14:paraId="1A186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07AA59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1231" w:type="dxa"/>
            <w:tcBorders>
              <w:tl2br w:val="nil"/>
              <w:tr2bl w:val="nil"/>
            </w:tcBorders>
            <w:noWrap w:val="0"/>
            <w:vAlign w:val="center"/>
          </w:tcPr>
          <w:p w14:paraId="06360DD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解密失败的异常处理</w:t>
            </w:r>
          </w:p>
        </w:tc>
        <w:tc>
          <w:tcPr>
            <w:tcW w:w="6764" w:type="dxa"/>
            <w:tcBorders>
              <w:tl2br w:val="nil"/>
              <w:tr2bl w:val="nil"/>
            </w:tcBorders>
            <w:noWrap w:val="0"/>
            <w:vAlign w:val="center"/>
          </w:tcPr>
          <w:p w14:paraId="4159D83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政府采购云平台”上传提交的响应文件无法按时解密，供应商提供了电子备份响应文件的，以备份响应文件作为依据，否则视为响应文件撤回。响应文件已按时解密的，备份响应文件自动失效。供应商仅提交备份响应文件，没有在电子交易平台传输递交响应文件的，响应无效。</w:t>
            </w:r>
          </w:p>
          <w:p w14:paraId="6EBFA50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响应文件未按时解密且未提供备份响应文件的，视为响应文件撤回，后果由供应商自行承担。</w:t>
            </w:r>
          </w:p>
        </w:tc>
      </w:tr>
      <w:tr w14:paraId="4EA23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2A13E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1231" w:type="dxa"/>
            <w:tcBorders>
              <w:tl2br w:val="nil"/>
              <w:tr2bl w:val="nil"/>
            </w:tcBorders>
            <w:noWrap w:val="0"/>
            <w:vAlign w:val="center"/>
          </w:tcPr>
          <w:p w14:paraId="5B2091D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活动现场确认声明</w:t>
            </w:r>
          </w:p>
        </w:tc>
        <w:tc>
          <w:tcPr>
            <w:tcW w:w="6764" w:type="dxa"/>
            <w:tcBorders>
              <w:tl2br w:val="nil"/>
              <w:tr2bl w:val="nil"/>
            </w:tcBorders>
            <w:noWrap w:val="0"/>
            <w:vAlign w:val="center"/>
          </w:tcPr>
          <w:p w14:paraId="0D239FB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名单公布后30分钟内，供应商通过邮件形式发送经授权代表签署的《政府采购活动现场确认声明书》（格式见附件），扫描件发至代理机构经办人邮箱：314670712@qq.com，联系人：张女士，电话：13735791878。未按规定发送的，视为无异议，后果由投标人承担。</w:t>
            </w:r>
          </w:p>
        </w:tc>
      </w:tr>
      <w:tr w14:paraId="2C770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3A5EBC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1231" w:type="dxa"/>
            <w:tcBorders>
              <w:tl2br w:val="nil"/>
              <w:tr2bl w:val="nil"/>
            </w:tcBorders>
            <w:noWrap w:val="0"/>
            <w:vAlign w:val="center"/>
          </w:tcPr>
          <w:p w14:paraId="3DDD11B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信用记录查询</w:t>
            </w:r>
          </w:p>
        </w:tc>
        <w:tc>
          <w:tcPr>
            <w:tcW w:w="6764" w:type="dxa"/>
            <w:tcBorders>
              <w:tl2br w:val="nil"/>
              <w:tr2bl w:val="nil"/>
            </w:tcBorders>
            <w:noWrap w:val="0"/>
            <w:vAlign w:val="center"/>
          </w:tcPr>
          <w:p w14:paraId="54B15FD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信用记录查询：</w:t>
            </w:r>
          </w:p>
          <w:p w14:paraId="27EF8E1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根据《关于在政府采购活动中查询及使用信用记录有关问题的通知》财库[2016]125号文件的规定执行：</w:t>
            </w:r>
          </w:p>
          <w:p w14:paraId="44B4139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查询渠道：信用中国（www.creditchina.gov.cn）、中国政府采购网（www.ccgp.gov.cn）；</w:t>
            </w:r>
          </w:p>
          <w:p w14:paraId="71C65C6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截止时点：提交响应文件截止时间前3年内；</w:t>
            </w:r>
          </w:p>
          <w:p w14:paraId="212E728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查询记录和证据的留存：信用信息查询记录和证据以网页截图等方式留存。</w:t>
            </w:r>
          </w:p>
          <w:p w14:paraId="5F249B5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使用规则：被列入失信被执行人、重大税收违法失信主体、政府采购严重违法失信行为记录名单及其他不符合《中华人民共和国政府采购法》第二十二条规定条件的，其投标将被拒绝。</w:t>
            </w:r>
          </w:p>
          <w:p w14:paraId="06C3DAA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01BAB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41DB303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1231" w:type="dxa"/>
            <w:tcBorders>
              <w:tl2br w:val="nil"/>
              <w:tr2bl w:val="nil"/>
            </w:tcBorders>
            <w:noWrap w:val="0"/>
            <w:vAlign w:val="center"/>
          </w:tcPr>
          <w:p w14:paraId="61F29A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TW" w:eastAsia="zh-CN"/>
              </w:rPr>
              <w:t>履约保证金</w:t>
            </w:r>
          </w:p>
        </w:tc>
        <w:tc>
          <w:tcPr>
            <w:tcW w:w="6764" w:type="dxa"/>
            <w:tcBorders>
              <w:tl2br w:val="nil"/>
              <w:tr2bl w:val="nil"/>
            </w:tcBorders>
            <w:noWrap w:val="0"/>
            <w:vAlign w:val="center"/>
          </w:tcPr>
          <w:p w14:paraId="107D6AB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不要求。</w:t>
            </w:r>
          </w:p>
          <w:p w14:paraId="01B6518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FE"/>
            </w:r>
            <w:r>
              <w:rPr>
                <w:rFonts w:hint="eastAsia" w:ascii="宋体" w:hAnsi="宋体" w:eastAsia="宋体" w:cs="宋体"/>
                <w:sz w:val="21"/>
                <w:szCs w:val="21"/>
                <w:lang w:val="en-US" w:eastAsia="zh-CN"/>
              </w:rPr>
              <w:t>要求。履约保证金的数额为政府采购合同金额的1% 。</w:t>
            </w:r>
          </w:p>
          <w:p w14:paraId="61AD351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履约保证金缴纳的形式：供应商应当以支票或汇票或本票或者金融机构、担保机构出具的保函等非现金形式提交。</w:t>
            </w:r>
          </w:p>
          <w:p w14:paraId="3D29512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￭履约保证金形式为支票或汇票或本票（账户另行通知）的，履约保证金待验收通过后视履约情况到采购人处办理履约保证金的退还手续。</w:t>
            </w:r>
          </w:p>
          <w:p w14:paraId="07ADC93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约保证金形式为银行保函或者保险公司保证保险，履约保证金保函应在合同履行期限内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280BD8A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履约保证金退还时间：项目验收合格并经采购人认可后无息退还。</w:t>
            </w:r>
          </w:p>
          <w:p w14:paraId="0EFFC6A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3405F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5084E7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TW"/>
              </w:rPr>
            </w:pPr>
            <w:r>
              <w:rPr>
                <w:rFonts w:hint="eastAsia" w:ascii="宋体" w:hAnsi="宋体" w:eastAsia="宋体" w:cs="宋体"/>
                <w:sz w:val="21"/>
                <w:szCs w:val="21"/>
                <w:lang w:val="en-US" w:eastAsia="zh-CN"/>
              </w:rPr>
              <w:t>26</w:t>
            </w:r>
          </w:p>
        </w:tc>
        <w:tc>
          <w:tcPr>
            <w:tcW w:w="1231" w:type="dxa"/>
            <w:tcBorders>
              <w:tl2br w:val="nil"/>
              <w:tr2bl w:val="nil"/>
            </w:tcBorders>
            <w:noWrap w:val="0"/>
            <w:vAlign w:val="center"/>
          </w:tcPr>
          <w:p w14:paraId="34EEF97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质疑</w:t>
            </w:r>
          </w:p>
        </w:tc>
        <w:tc>
          <w:tcPr>
            <w:tcW w:w="6764" w:type="dxa"/>
            <w:tcBorders>
              <w:tl2br w:val="nil"/>
              <w:tr2bl w:val="nil"/>
            </w:tcBorders>
            <w:noWrap w:val="0"/>
            <w:vAlign w:val="center"/>
          </w:tcPr>
          <w:p w14:paraId="1A31EFB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质疑：</w:t>
            </w:r>
            <w:r>
              <w:rPr>
                <w:rFonts w:hint="eastAsia" w:ascii="宋体" w:hAnsi="宋体" w:eastAsia="宋体" w:cs="宋体"/>
                <w:sz w:val="21"/>
                <w:szCs w:val="21"/>
                <w:lang w:val="zh-TW" w:eastAsia="zh-CN"/>
              </w:rPr>
              <w:t>供应商</w:t>
            </w:r>
            <w:r>
              <w:rPr>
                <w:rFonts w:hint="eastAsia" w:ascii="宋体" w:hAnsi="宋体" w:eastAsia="宋体" w:cs="宋体"/>
                <w:sz w:val="21"/>
                <w:szCs w:val="21"/>
                <w:lang w:val="zh-TW" w:eastAsia="zh-TW"/>
              </w:rPr>
              <w:t>在法定质疑期内应当一次性提出针对同一采购程序环节的质疑。</w:t>
            </w:r>
            <w:r>
              <w:rPr>
                <w:rFonts w:hint="eastAsia" w:ascii="宋体" w:hAnsi="宋体" w:eastAsia="宋体" w:cs="宋体"/>
                <w:sz w:val="21"/>
                <w:szCs w:val="21"/>
              </w:rPr>
              <w:t xml:space="preserve"> </w:t>
            </w:r>
          </w:p>
          <w:p w14:paraId="10658FC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TW" w:eastAsia="zh-TW"/>
              </w:rPr>
              <w:t>接收质疑函的方式：</w:t>
            </w:r>
            <w:r>
              <w:rPr>
                <w:rFonts w:hint="eastAsia" w:ascii="宋体" w:hAnsi="宋体" w:eastAsia="宋体" w:cs="宋体"/>
                <w:sz w:val="21"/>
                <w:szCs w:val="21"/>
                <w:lang w:val="en-US" w:eastAsia="zh-CN"/>
              </w:rPr>
              <w:t>①纸质</w:t>
            </w:r>
            <w:r>
              <w:rPr>
                <w:rFonts w:hint="eastAsia" w:ascii="宋体" w:hAnsi="宋体" w:eastAsia="宋体" w:cs="宋体"/>
                <w:sz w:val="21"/>
                <w:szCs w:val="21"/>
                <w:lang w:val="zh-TW" w:eastAsia="zh-TW"/>
              </w:rPr>
              <w:t>形式</w:t>
            </w:r>
            <w:r>
              <w:rPr>
                <w:rFonts w:hint="eastAsia" w:ascii="宋体" w:hAnsi="宋体" w:eastAsia="宋体" w:cs="宋体"/>
                <w:sz w:val="21"/>
                <w:szCs w:val="21"/>
                <w:lang w:val="zh-TW" w:eastAsia="zh-CN"/>
              </w:rPr>
              <w:t>，</w:t>
            </w:r>
            <w:r>
              <w:rPr>
                <w:rFonts w:hint="eastAsia" w:ascii="宋体" w:hAnsi="宋体" w:eastAsia="宋体" w:cs="宋体"/>
                <w:sz w:val="21"/>
                <w:szCs w:val="21"/>
                <w:lang w:val="en-US" w:eastAsia="zh-CN"/>
              </w:rPr>
              <w:t>以快递方式送达</w:t>
            </w:r>
            <w:r>
              <w:rPr>
                <w:rFonts w:hint="eastAsia" w:ascii="宋体" w:hAnsi="宋体" w:eastAsia="宋体" w:cs="宋体"/>
                <w:sz w:val="21"/>
                <w:szCs w:val="21"/>
                <w:lang w:val="zh-TW" w:eastAsia="zh-TW"/>
              </w:rPr>
              <w:t>。联系人：</w:t>
            </w:r>
            <w:r>
              <w:rPr>
                <w:rFonts w:hint="eastAsia" w:ascii="宋体" w:hAnsi="宋体" w:eastAsia="宋体" w:cs="宋体"/>
                <w:sz w:val="21"/>
                <w:szCs w:val="21"/>
                <w:lang w:val="zh-TW" w:eastAsia="zh-CN"/>
              </w:rPr>
              <w:t>张</w:t>
            </w:r>
            <w:r>
              <w:rPr>
                <w:rFonts w:hint="eastAsia" w:ascii="宋体" w:hAnsi="宋体" w:eastAsia="宋体" w:cs="宋体"/>
                <w:sz w:val="21"/>
                <w:szCs w:val="21"/>
                <w:lang w:val="en-US" w:eastAsia="zh-CN"/>
              </w:rPr>
              <w:t>先生</w:t>
            </w:r>
            <w:r>
              <w:rPr>
                <w:rFonts w:hint="eastAsia" w:ascii="宋体" w:hAnsi="宋体" w:eastAsia="宋体" w:cs="宋体"/>
                <w:sz w:val="21"/>
                <w:szCs w:val="21"/>
                <w:lang w:val="zh-TW" w:eastAsia="zh-TW"/>
              </w:rPr>
              <w:t>，联系电话：</w:t>
            </w:r>
            <w:r>
              <w:rPr>
                <w:rFonts w:hint="eastAsia" w:ascii="宋体" w:hAnsi="宋体" w:eastAsia="宋体" w:cs="宋体"/>
                <w:sz w:val="21"/>
                <w:szCs w:val="21"/>
                <w:lang w:val="zh-TW" w:eastAsia="zh-CN"/>
              </w:rPr>
              <w:t>0579-88198208</w:t>
            </w:r>
            <w:r>
              <w:rPr>
                <w:rFonts w:hint="eastAsia" w:ascii="宋体" w:hAnsi="宋体" w:eastAsia="宋体" w:cs="宋体"/>
                <w:sz w:val="21"/>
                <w:szCs w:val="21"/>
                <w:lang w:val="zh-TW" w:eastAsia="zh-TW"/>
              </w:rPr>
              <w:t>，地址：</w:t>
            </w:r>
            <w:r>
              <w:rPr>
                <w:rFonts w:hint="eastAsia" w:ascii="宋体" w:hAnsi="宋体" w:eastAsia="宋体" w:cs="宋体"/>
                <w:sz w:val="21"/>
                <w:szCs w:val="21"/>
                <w:lang w:val="zh-TW" w:eastAsia="zh-CN"/>
              </w:rPr>
              <w:t>浦江县亚太大道609号二楼。</w:t>
            </w:r>
            <w:r>
              <w:rPr>
                <w:rFonts w:hint="eastAsia" w:ascii="宋体" w:hAnsi="宋体" w:eastAsia="宋体" w:cs="宋体"/>
                <w:sz w:val="21"/>
                <w:szCs w:val="21"/>
                <w:lang w:val="en-US" w:eastAsia="zh-CN"/>
              </w:rPr>
              <w:t>同时请将质疑函的word格式文件发送至邮箱：</w:t>
            </w:r>
            <w:r>
              <w:rPr>
                <w:rFonts w:hint="eastAsia" w:ascii="宋体" w:hAnsi="宋体" w:eastAsia="宋体" w:cs="宋体"/>
                <w:sz w:val="21"/>
                <w:szCs w:val="21"/>
                <w:lang w:val="zh-TW" w:eastAsia="zh-CN"/>
              </w:rPr>
              <w:t>314670712@qq.com</w:t>
            </w:r>
            <w:r>
              <w:rPr>
                <w:rFonts w:hint="eastAsia" w:ascii="宋体" w:hAnsi="宋体" w:eastAsia="宋体" w:cs="宋体"/>
                <w:sz w:val="21"/>
                <w:szCs w:val="21"/>
                <w:lang w:val="zh-TW" w:eastAsia="zh-TW"/>
              </w:rPr>
              <w:t>。</w:t>
            </w:r>
            <w:r>
              <w:rPr>
                <w:rFonts w:hint="eastAsia" w:ascii="宋体" w:hAnsi="宋体" w:eastAsia="宋体" w:cs="宋体"/>
                <w:sz w:val="21"/>
                <w:szCs w:val="21"/>
                <w:lang w:val="en-US" w:eastAsia="zh-CN"/>
              </w:rPr>
              <w:t>②在线质疑菜单路径：应用中心-项目采购-询问质疑投诉-质疑列表，具体操作详见“政府采购项目电子交易管理操作指南-供应商” （https://service.zcygov.cn/#/knowledges/CW1EtGwBFdiHxlNd6I3m/6IMVAG0BFdiHxlNdQ8Na）</w:t>
            </w:r>
          </w:p>
        </w:tc>
      </w:tr>
      <w:tr w14:paraId="2EA56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98" w:type="dxa"/>
            <w:tcBorders>
              <w:tl2br w:val="nil"/>
              <w:tr2bl w:val="nil"/>
            </w:tcBorders>
            <w:noWrap w:val="0"/>
            <w:vAlign w:val="center"/>
          </w:tcPr>
          <w:p w14:paraId="7485166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1231" w:type="dxa"/>
            <w:tcBorders>
              <w:tl2br w:val="nil"/>
              <w:tr2bl w:val="nil"/>
            </w:tcBorders>
            <w:noWrap w:val="0"/>
            <w:vAlign w:val="center"/>
          </w:tcPr>
          <w:p w14:paraId="488F02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节约能源保护环境</w:t>
            </w:r>
          </w:p>
        </w:tc>
        <w:tc>
          <w:tcPr>
            <w:tcW w:w="6764" w:type="dxa"/>
            <w:tcBorders>
              <w:tl2br w:val="nil"/>
              <w:tr2bl w:val="nil"/>
            </w:tcBorders>
            <w:noWrap w:val="0"/>
            <w:vAlign w:val="center"/>
          </w:tcPr>
          <w:p w14:paraId="340EBF4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sym w:font="Wingdings" w:char="00FE"/>
            </w:r>
            <w:r>
              <w:rPr>
                <w:rFonts w:hint="eastAsia" w:ascii="宋体" w:hAnsi="宋体" w:eastAsia="宋体" w:cs="宋体"/>
                <w:color w:val="auto"/>
                <w:sz w:val="21"/>
                <w:szCs w:val="21"/>
              </w:rPr>
              <w:t>本项目为服务项目，不适用节能环保政策。</w:t>
            </w:r>
          </w:p>
          <w:p w14:paraId="334CCFF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sym w:font="Wingdings" w:char="00A8"/>
            </w:r>
            <w:r>
              <w:rPr>
                <w:rFonts w:hint="eastAsia" w:ascii="宋体" w:hAnsi="宋体" w:eastAsia="宋体" w:cs="宋体"/>
                <w:sz w:val="21"/>
                <w:szCs w:val="21"/>
              </w:rPr>
              <w:t>根据</w:t>
            </w:r>
            <w:r>
              <w:rPr>
                <w:rFonts w:hint="eastAsia" w:ascii="宋体" w:hAnsi="宋体" w:eastAsia="宋体" w:cs="宋体"/>
                <w:sz w:val="21"/>
                <w:szCs w:val="21"/>
                <w:lang w:eastAsia="zh-CN"/>
              </w:rPr>
              <w:t>《</w:t>
            </w:r>
            <w:r>
              <w:rPr>
                <w:rFonts w:hint="eastAsia" w:ascii="宋体" w:hAnsi="宋体" w:eastAsia="宋体" w:cs="宋体"/>
                <w:sz w:val="21"/>
                <w:szCs w:val="21"/>
              </w:rPr>
              <w:t>关于调整优化节能产品、环境标志产品政府采购执行机制的通知</w:t>
            </w:r>
            <w:r>
              <w:rPr>
                <w:rFonts w:hint="eastAsia" w:ascii="宋体" w:hAnsi="宋体" w:eastAsia="宋体" w:cs="宋体"/>
                <w:sz w:val="21"/>
                <w:szCs w:val="21"/>
                <w:lang w:eastAsia="zh-CN"/>
              </w:rPr>
              <w:t>》（</w:t>
            </w:r>
            <w:r>
              <w:rPr>
                <w:rFonts w:hint="eastAsia" w:ascii="宋体" w:hAnsi="宋体" w:eastAsia="宋体" w:cs="宋体"/>
                <w:sz w:val="21"/>
                <w:szCs w:val="21"/>
              </w:rPr>
              <w:t>财库〔2019〕9号</w:t>
            </w:r>
            <w:r>
              <w:rPr>
                <w:rFonts w:hint="eastAsia" w:ascii="宋体" w:hAnsi="宋体" w:eastAsia="宋体" w:cs="宋体"/>
                <w:sz w:val="21"/>
                <w:szCs w:val="21"/>
                <w:lang w:eastAsia="zh-CN"/>
              </w:rPr>
              <w:t>）文件的规定，</w:t>
            </w:r>
            <w:r>
              <w:rPr>
                <w:rFonts w:hint="eastAsia" w:ascii="宋体" w:hAnsi="宋体" w:eastAsia="宋体" w:cs="宋体"/>
                <w:sz w:val="21"/>
                <w:szCs w:val="21"/>
              </w:rPr>
              <w:t>本项目如需采购节能产品、环境标志产品品目清单</w:t>
            </w:r>
            <w:r>
              <w:rPr>
                <w:rFonts w:hint="eastAsia" w:ascii="宋体" w:hAnsi="宋体" w:eastAsia="宋体" w:cs="宋体"/>
                <w:sz w:val="21"/>
                <w:szCs w:val="21"/>
                <w:lang w:eastAsia="zh-CN"/>
              </w:rPr>
              <w:t>内的产品的</w:t>
            </w:r>
            <w:r>
              <w:rPr>
                <w:rFonts w:hint="eastAsia" w:ascii="宋体" w:hAnsi="宋体" w:eastAsia="宋体" w:cs="宋体"/>
                <w:sz w:val="21"/>
                <w:szCs w:val="21"/>
              </w:rPr>
              <w:t>，</w:t>
            </w:r>
            <w:r>
              <w:rPr>
                <w:rFonts w:hint="eastAsia" w:ascii="宋体" w:hAnsi="宋体" w:eastAsia="宋体" w:cs="宋体"/>
                <w:sz w:val="21"/>
                <w:szCs w:val="21"/>
                <w:lang w:eastAsia="zh-CN"/>
              </w:rPr>
              <w:t>供应商</w:t>
            </w:r>
            <w:r>
              <w:rPr>
                <w:rFonts w:hint="eastAsia" w:ascii="宋体" w:hAnsi="宋体" w:eastAsia="宋体" w:cs="宋体"/>
                <w:sz w:val="21"/>
                <w:szCs w:val="21"/>
              </w:rPr>
              <w:t>所投的相应产品</w:t>
            </w:r>
            <w:r>
              <w:rPr>
                <w:rFonts w:hint="eastAsia" w:ascii="宋体" w:hAnsi="宋体" w:eastAsia="宋体" w:cs="宋体"/>
                <w:sz w:val="21"/>
                <w:szCs w:val="21"/>
                <w:lang w:eastAsia="zh-CN"/>
              </w:rPr>
              <w:t>须提供经</w:t>
            </w:r>
            <w:r>
              <w:rPr>
                <w:rFonts w:hint="eastAsia" w:ascii="宋体" w:hAnsi="宋体" w:eastAsia="宋体" w:cs="宋体"/>
                <w:sz w:val="21"/>
                <w:szCs w:val="21"/>
              </w:rPr>
              <w:t>国家确定的认证机构出具的、处于有效期之内的节能产品、环境标志产品认证证书，</w:t>
            </w:r>
            <w:r>
              <w:rPr>
                <w:rFonts w:hint="eastAsia" w:ascii="宋体" w:hAnsi="宋体" w:eastAsia="宋体" w:cs="宋体"/>
                <w:sz w:val="21"/>
                <w:szCs w:val="21"/>
                <w:lang w:eastAsia="zh-CN"/>
              </w:rPr>
              <w:t>采购人</w:t>
            </w:r>
            <w:r>
              <w:rPr>
                <w:rFonts w:hint="eastAsia" w:ascii="宋体" w:hAnsi="宋体" w:eastAsia="宋体" w:cs="宋体"/>
                <w:sz w:val="21"/>
                <w:szCs w:val="21"/>
              </w:rPr>
              <w:t>对获得证书的产品实施政府优先采购或强制采购。</w:t>
            </w:r>
          </w:p>
          <w:p w14:paraId="639618A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提供中国政府采购网（www.ccgp.gov.cn）网页查询打印材料等说明材料。</w:t>
            </w:r>
          </w:p>
          <w:p w14:paraId="0493231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en-US" w:eastAsia="zh-CN"/>
              </w:rPr>
              <w:t>注：属于强制采购品目清单中的产品如未获得证书，其响应将被拒绝。</w:t>
            </w:r>
          </w:p>
        </w:tc>
      </w:tr>
      <w:tr w14:paraId="33FB8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898" w:type="dxa"/>
            <w:tcBorders>
              <w:tl2br w:val="nil"/>
              <w:tr2bl w:val="nil"/>
            </w:tcBorders>
            <w:noWrap w:val="0"/>
            <w:vAlign w:val="center"/>
          </w:tcPr>
          <w:p w14:paraId="69B5C34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1231" w:type="dxa"/>
            <w:tcBorders>
              <w:tl2br w:val="nil"/>
              <w:tr2bl w:val="nil"/>
            </w:tcBorders>
            <w:noWrap w:val="0"/>
            <w:vAlign w:val="center"/>
          </w:tcPr>
          <w:p w14:paraId="058DFA2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采购标的对应的中小企业划分标准所属行业</w:t>
            </w:r>
          </w:p>
        </w:tc>
        <w:tc>
          <w:tcPr>
            <w:tcW w:w="6764" w:type="dxa"/>
            <w:tcBorders>
              <w:tl2br w:val="nil"/>
              <w:tr2bl w:val="nil"/>
            </w:tcBorders>
            <w:noWrap w:val="0"/>
            <w:vAlign w:val="center"/>
          </w:tcPr>
          <w:p w14:paraId="36FE5AE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根据《政府采购促进中小企业发展管理办法》财库〔2020〕46号文件的规定，本项目属于预留份额专门面向中小企业采购的项目。根据《关于印发中小企业划型标准规定的通知》（工信部联企业〔2011〕300 号）规定，本项目采购标的对应的中小企业划分标准所属行业为</w:t>
            </w:r>
            <w:r>
              <w:rPr>
                <w:rFonts w:hint="eastAsia" w:ascii="宋体" w:hAnsi="宋体" w:eastAsia="宋体" w:cs="宋体"/>
                <w:b/>
                <w:bCs/>
                <w:sz w:val="21"/>
                <w:szCs w:val="21"/>
                <w:u w:val="single"/>
                <w:lang w:eastAsia="zh-CN"/>
              </w:rPr>
              <w:t>（十六）其他未列明行业</w:t>
            </w:r>
            <w:r>
              <w:rPr>
                <w:rFonts w:hint="eastAsia" w:ascii="宋体" w:hAnsi="宋体" w:eastAsia="宋体" w:cs="宋体"/>
                <w:sz w:val="21"/>
                <w:szCs w:val="21"/>
                <w:lang w:eastAsia="zh-CN"/>
              </w:rPr>
              <w:t>。</w:t>
            </w:r>
          </w:p>
          <w:p w14:paraId="5FF9789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2.残疾人福利性单位、监狱企业视同小型、微型企业，享受预留份额。</w:t>
            </w:r>
          </w:p>
        </w:tc>
      </w:tr>
      <w:tr w14:paraId="30282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772766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1231" w:type="dxa"/>
            <w:tcBorders>
              <w:tl2br w:val="nil"/>
              <w:tr2bl w:val="nil"/>
            </w:tcBorders>
            <w:noWrap w:val="0"/>
            <w:vAlign w:val="center"/>
          </w:tcPr>
          <w:p w14:paraId="2E095DC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中小企业扶持政策</w:t>
            </w:r>
          </w:p>
        </w:tc>
        <w:tc>
          <w:tcPr>
            <w:tcW w:w="6764" w:type="dxa"/>
            <w:tcBorders>
              <w:tl2br w:val="nil"/>
              <w:tr2bl w:val="nil"/>
            </w:tcBorders>
            <w:noWrap w:val="0"/>
            <w:vAlign w:val="center"/>
          </w:tcPr>
          <w:p w14:paraId="370CFF3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本项目专门面向中小企业，不再进行价格政策扶持。</w:t>
            </w:r>
          </w:p>
          <w:p w14:paraId="68D4715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本项目非专门面向中小企业，价格扣除：</w:t>
            </w:r>
          </w:p>
          <w:p w14:paraId="4DED50D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1.投标人按照《关于印发中小企业划型标准规定的通知》（工信部联企业〔2011〕300号）的所属行业规定为小型、微型企业【注：按规定提供《中小企业声明函》】。</w:t>
            </w:r>
          </w:p>
          <w:p w14:paraId="50D1425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根据《政府采购促进中小企业发展管理办法》（财库[2020]46号文件）的规定，对小型、微型企业提供本企业制造的货物、承担的工程或者服务，或者小型、微型、中型企业提供其他小微企业制造的货物的，其价格给予</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扣除，用扣除后的价格参与评审</w:t>
            </w:r>
            <w:r>
              <w:rPr>
                <w:rFonts w:hint="eastAsia" w:ascii="宋体" w:hAnsi="宋体" w:eastAsia="宋体" w:cs="宋体"/>
                <w:sz w:val="21"/>
                <w:szCs w:val="21"/>
                <w:lang w:eastAsia="zh-CN"/>
              </w:rPr>
              <w:t>；</w:t>
            </w:r>
            <w:r>
              <w:rPr>
                <w:rFonts w:hint="eastAsia" w:ascii="宋体" w:hAnsi="宋体" w:eastAsia="宋体" w:cs="宋体"/>
                <w:sz w:val="21"/>
                <w:szCs w:val="21"/>
              </w:rPr>
              <w:t>并在投标文件中提供《中小企业声明函》。</w:t>
            </w:r>
          </w:p>
          <w:p w14:paraId="2DDBE57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3.根据《关于促进残疾人就业政府采购政策的通知》（财库〔2017〕141号）的相关规定，在政府采购活动中，残疾人福利性单位视同小型、微型企业，享受预留份额、评审中价格扣除等促进中小企业发展的政府采购政策，其价格给予</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扣除，用扣除后的价格参与评审。属于享受政府采购支持政策的残疾人福利性单位，应满足财库[2017]141号文件第一条的规定，并在投标文件中提供《残疾人福利性单位声明函》</w:t>
            </w:r>
            <w:r>
              <w:rPr>
                <w:rFonts w:hint="eastAsia" w:ascii="宋体" w:hAnsi="宋体" w:eastAsia="宋体" w:cs="宋体"/>
                <w:sz w:val="21"/>
                <w:szCs w:val="21"/>
                <w:lang w:eastAsia="zh-CN"/>
              </w:rPr>
              <w:t>；</w:t>
            </w:r>
          </w:p>
          <w:p w14:paraId="4B135B9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根据《关于政府采购支持监狱企业发展有关问题的通知》（财库[2014]68号）的相关规定，在政府采购活动中，监狱企业视同小型、微型企业，享受预留份额、评审中价格扣除等政府采购促进中小企业发展的政府采购政策，其价格给予</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扣除，用扣除后的价格参与评审，并在投标文件中提供由省级以上监狱管理局、戒毒管理局（含新疆生产建设兵团）出具的属于监狱企业的说明文件。</w:t>
            </w:r>
          </w:p>
          <w:p w14:paraId="6A3B496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注：①残疾人福利性单位、监狱企业视同小型、微型企业，享受预留份额、评审中价格扣除等促进中小企业发展的政府采购政策，享受同样的价格扣除。</w:t>
            </w:r>
          </w:p>
          <w:p w14:paraId="62B6714F">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②残疾人福利性单位、监狱企业属于小型、微型企业的，不重复享受价格扣除优惠。</w:t>
            </w:r>
          </w:p>
          <w:p w14:paraId="36811A7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扣除，用扣除后的价格参与评审。组成联合体或者接受分包的小微企业与联合体内其他企业、分包企业之间存在直接控股、管理关系的，不享受价格扣除优惠政策。</w:t>
            </w:r>
          </w:p>
          <w:p w14:paraId="0C15E3D0">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④联合体各方均为小型、微型企业的，联合体视同为小型、微型企业。</w:t>
            </w:r>
          </w:p>
          <w:p w14:paraId="61DCA7D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⑤未提供以上材料的，均不给予价格扣除。</w:t>
            </w:r>
          </w:p>
        </w:tc>
      </w:tr>
      <w:tr w14:paraId="27544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DD63C1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1231" w:type="dxa"/>
            <w:tcBorders>
              <w:tl2br w:val="nil"/>
              <w:tr2bl w:val="nil"/>
            </w:tcBorders>
            <w:noWrap w:val="0"/>
            <w:vAlign w:val="center"/>
          </w:tcPr>
          <w:p w14:paraId="0F92F01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采购代理服务费</w:t>
            </w:r>
          </w:p>
        </w:tc>
        <w:tc>
          <w:tcPr>
            <w:tcW w:w="6764" w:type="dxa"/>
            <w:tcBorders>
              <w:tl2br w:val="nil"/>
              <w:tr2bl w:val="nil"/>
            </w:tcBorders>
            <w:noWrap w:val="0"/>
            <w:vAlign w:val="center"/>
          </w:tcPr>
          <w:p w14:paraId="7A6436E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收取标准：本项目招标代理服务费按9000元计取[以项目预算金额为基数，参照（计价格[2002]1980号）文件计算]，费用由中标人承担。投标供应商报价时须综合考虑，由中标人在收到中标通知书的同时支付给采购代理机构。</w:t>
            </w:r>
          </w:p>
          <w:p w14:paraId="39FBB88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银行账户名称：泰宇建筑工程技术咨询有限公司浦江分公司</w:t>
            </w:r>
          </w:p>
          <w:p w14:paraId="0EE45B5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开户银行：中国工商银行股份有限公司浦江支行</w:t>
            </w:r>
          </w:p>
          <w:p w14:paraId="0FCC5B7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en-US" w:eastAsia="zh-CN"/>
              </w:rPr>
              <w:t>银行账号：1208070019200384023</w:t>
            </w:r>
          </w:p>
        </w:tc>
      </w:tr>
      <w:tr w14:paraId="60AEF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1397674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c>
          <w:tcPr>
            <w:tcW w:w="1231" w:type="dxa"/>
            <w:tcBorders>
              <w:tl2br w:val="nil"/>
              <w:tr2bl w:val="nil"/>
            </w:tcBorders>
            <w:noWrap w:val="0"/>
            <w:vAlign w:val="center"/>
          </w:tcPr>
          <w:p w14:paraId="27EF164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项目属性与核心产品</w:t>
            </w:r>
          </w:p>
        </w:tc>
        <w:tc>
          <w:tcPr>
            <w:tcW w:w="6764" w:type="dxa"/>
            <w:tcBorders>
              <w:tl2br w:val="nil"/>
              <w:tr2bl w:val="nil"/>
            </w:tcBorders>
            <w:noWrap w:val="0"/>
            <w:vAlign w:val="center"/>
          </w:tcPr>
          <w:p w14:paraId="7AD8068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sym w:font="Wingdings" w:char="00A8"/>
            </w:r>
            <w:r>
              <w:rPr>
                <w:rFonts w:hint="eastAsia" w:ascii="宋体" w:hAnsi="宋体" w:eastAsia="宋体" w:cs="宋体"/>
                <w:sz w:val="21"/>
                <w:szCs w:val="21"/>
              </w:rPr>
              <w:t>A货物类</w:t>
            </w:r>
            <w:r>
              <w:rPr>
                <w:rFonts w:hint="eastAsia" w:ascii="宋体" w:hAnsi="宋体" w:eastAsia="宋体" w:cs="宋体"/>
                <w:sz w:val="21"/>
                <w:szCs w:val="21"/>
                <w:lang w:eastAsia="zh-CN"/>
              </w:rPr>
              <w:t>，</w:t>
            </w:r>
            <w:r>
              <w:rPr>
                <w:rFonts w:hint="eastAsia" w:ascii="宋体" w:hAnsi="宋体" w:eastAsia="宋体" w:cs="宋体"/>
                <w:sz w:val="21"/>
                <w:szCs w:val="21"/>
              </w:rPr>
              <w:t>核心产品为：</w:t>
            </w:r>
            <w:r>
              <w:rPr>
                <w:rFonts w:hint="eastAsia" w:ascii="宋体" w:hAnsi="宋体" w:eastAsia="宋体" w:cs="宋体"/>
                <w:sz w:val="21"/>
                <w:szCs w:val="21"/>
                <w:u w:val="single"/>
                <w:lang w:val="en-US" w:eastAsia="zh-CN"/>
              </w:rPr>
              <w:t xml:space="preserve">  /  </w:t>
            </w:r>
          </w:p>
          <w:p w14:paraId="66361F0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sym w:font="Wingdings" w:char="00FE"/>
            </w:r>
            <w:r>
              <w:rPr>
                <w:rFonts w:hint="eastAsia" w:ascii="宋体" w:hAnsi="宋体" w:eastAsia="宋体" w:cs="宋体"/>
                <w:sz w:val="21"/>
                <w:szCs w:val="21"/>
              </w:rPr>
              <w:t>B服务类。</w:t>
            </w:r>
          </w:p>
        </w:tc>
      </w:tr>
      <w:tr w14:paraId="3240C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noWrap w:val="0"/>
            <w:vAlign w:val="center"/>
          </w:tcPr>
          <w:p w14:paraId="66553E5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1231" w:type="dxa"/>
            <w:tcBorders>
              <w:tl2br w:val="nil"/>
              <w:tr2bl w:val="nil"/>
            </w:tcBorders>
            <w:noWrap w:val="0"/>
            <w:vAlign w:val="center"/>
          </w:tcPr>
          <w:p w14:paraId="6E2EED6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磋商过程中可能实质性变动的内容</w:t>
            </w:r>
          </w:p>
        </w:tc>
        <w:tc>
          <w:tcPr>
            <w:tcW w:w="6764" w:type="dxa"/>
            <w:tcBorders>
              <w:tl2br w:val="nil"/>
              <w:tr2bl w:val="nil"/>
            </w:tcBorders>
            <w:noWrap w:val="0"/>
            <w:vAlign w:val="center"/>
          </w:tcPr>
          <w:p w14:paraId="79F36A5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详见</w:t>
            </w:r>
            <w:r>
              <w:rPr>
                <w:rFonts w:hint="eastAsia" w:ascii="宋体" w:hAnsi="宋体" w:eastAsia="宋体" w:cs="宋体"/>
                <w:sz w:val="21"/>
                <w:szCs w:val="21"/>
                <w:lang w:val="en-US" w:eastAsia="zh-CN"/>
              </w:rPr>
              <w:t>磋商文件“</w:t>
            </w:r>
            <w:r>
              <w:rPr>
                <w:rFonts w:hint="eastAsia" w:ascii="宋体" w:hAnsi="宋体" w:eastAsia="宋体" w:cs="宋体"/>
                <w:sz w:val="21"/>
                <w:szCs w:val="21"/>
                <w:lang w:val="zh-TW" w:eastAsia="zh-TW"/>
              </w:rPr>
              <w:t>第</w:t>
            </w:r>
            <w:r>
              <w:rPr>
                <w:rFonts w:hint="eastAsia" w:ascii="宋体" w:hAnsi="宋体" w:eastAsia="宋体" w:cs="宋体"/>
                <w:sz w:val="21"/>
                <w:szCs w:val="21"/>
                <w:lang w:val="en-US" w:eastAsia="zh-CN"/>
              </w:rPr>
              <w:t>四</w:t>
            </w:r>
            <w:r>
              <w:rPr>
                <w:rFonts w:hint="eastAsia" w:ascii="宋体" w:hAnsi="宋体" w:eastAsia="宋体" w:cs="宋体"/>
                <w:sz w:val="21"/>
                <w:szCs w:val="21"/>
                <w:lang w:val="zh-TW" w:eastAsia="zh-TW"/>
              </w:rPr>
              <w:t>部分</w:t>
            </w:r>
            <w:r>
              <w:rPr>
                <w:rFonts w:hint="eastAsia" w:ascii="宋体" w:hAnsi="宋体" w:eastAsia="宋体" w:cs="宋体"/>
                <w:sz w:val="21"/>
                <w:szCs w:val="21"/>
                <w:lang w:val="en-US" w:eastAsia="zh-CN"/>
              </w:rPr>
              <w:t xml:space="preserve"> 采购需求”、“第六部分 拟签订的合同文本”等内容</w:t>
            </w:r>
            <w:r>
              <w:rPr>
                <w:rFonts w:hint="eastAsia" w:ascii="宋体" w:hAnsi="宋体" w:eastAsia="宋体" w:cs="宋体"/>
                <w:sz w:val="21"/>
                <w:szCs w:val="21"/>
                <w:lang w:val="zh-TW" w:eastAsia="zh-TW"/>
              </w:rPr>
              <w:t>。</w:t>
            </w:r>
          </w:p>
        </w:tc>
      </w:tr>
      <w:tr w14:paraId="06FA5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2E53FE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p>
        </w:tc>
        <w:tc>
          <w:tcPr>
            <w:tcW w:w="1231" w:type="dxa"/>
            <w:tcBorders>
              <w:tl2br w:val="nil"/>
              <w:tr2bl w:val="nil"/>
            </w:tcBorders>
            <w:noWrap w:val="0"/>
            <w:vAlign w:val="center"/>
          </w:tcPr>
          <w:p w14:paraId="2B5DD9D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演示</w:t>
            </w:r>
          </w:p>
        </w:tc>
        <w:tc>
          <w:tcPr>
            <w:tcW w:w="6764" w:type="dxa"/>
            <w:tcBorders>
              <w:tl2br w:val="nil"/>
              <w:tr2bl w:val="nil"/>
            </w:tcBorders>
            <w:noWrap w:val="0"/>
            <w:vAlign w:val="center"/>
          </w:tcPr>
          <w:p w14:paraId="34D3525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FE"/>
            </w:r>
            <w:r>
              <w:rPr>
                <w:rFonts w:hint="eastAsia" w:ascii="宋体" w:hAnsi="宋体" w:eastAsia="宋体" w:cs="宋体"/>
                <w:sz w:val="21"/>
                <w:szCs w:val="21"/>
                <w:lang w:val="en-US" w:eastAsia="zh-CN"/>
              </w:rPr>
              <w:t>不要求；</w:t>
            </w:r>
          </w:p>
          <w:p w14:paraId="2A65D66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本项目要求进行演示，具体要求：每个供应商演示时间不超过15分钟，并解答评审小组的提问，解答提问时间另计。演示顺序： 按照投标文件解密时间的先后排序进行演示 。</w:t>
            </w:r>
          </w:p>
          <w:p w14:paraId="5B25AEB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注：请各投标人提前调试好摄像头和麦克风设备，确保远程在线视频演示顺利进行。</w:t>
            </w:r>
          </w:p>
        </w:tc>
      </w:tr>
      <w:tr w14:paraId="7647E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0A581D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p>
        </w:tc>
        <w:tc>
          <w:tcPr>
            <w:tcW w:w="1231" w:type="dxa"/>
            <w:tcBorders>
              <w:tl2br w:val="nil"/>
              <w:tr2bl w:val="nil"/>
            </w:tcBorders>
            <w:noWrap w:val="0"/>
            <w:vAlign w:val="center"/>
          </w:tcPr>
          <w:p w14:paraId="697C21C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方案讲解</w:t>
            </w:r>
          </w:p>
        </w:tc>
        <w:tc>
          <w:tcPr>
            <w:tcW w:w="6764" w:type="dxa"/>
            <w:tcBorders>
              <w:tl2br w:val="nil"/>
              <w:tr2bl w:val="nil"/>
            </w:tcBorders>
            <w:noWrap w:val="0"/>
            <w:vAlign w:val="center"/>
          </w:tcPr>
          <w:p w14:paraId="4754337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FE"/>
            </w:r>
            <w:r>
              <w:rPr>
                <w:rFonts w:hint="eastAsia" w:ascii="宋体" w:hAnsi="宋体" w:eastAsia="宋体" w:cs="宋体"/>
                <w:sz w:val="21"/>
                <w:szCs w:val="21"/>
                <w:lang w:val="en-US" w:eastAsia="zh-CN"/>
              </w:rPr>
              <w:t>不要求；</w:t>
            </w:r>
          </w:p>
          <w:p w14:paraId="738BE918">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本项目要求进行方案讲解，每个供应商时间不超过 / 分钟，并解答磋商小组的提问，解答提问时间另计。讲解顺序： / 。</w:t>
            </w:r>
          </w:p>
        </w:tc>
      </w:tr>
      <w:tr w14:paraId="137D4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continue"/>
            <w:tcBorders>
              <w:tl2br w:val="nil"/>
              <w:tr2bl w:val="nil"/>
            </w:tcBorders>
            <w:noWrap w:val="0"/>
            <w:vAlign w:val="center"/>
          </w:tcPr>
          <w:p w14:paraId="4C6D992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TW"/>
              </w:rPr>
            </w:pPr>
          </w:p>
        </w:tc>
        <w:tc>
          <w:tcPr>
            <w:tcW w:w="1231" w:type="dxa"/>
            <w:tcBorders>
              <w:tl2br w:val="nil"/>
              <w:tr2bl w:val="nil"/>
            </w:tcBorders>
            <w:noWrap w:val="0"/>
            <w:vAlign w:val="center"/>
          </w:tcPr>
          <w:p w14:paraId="569E30D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样品</w:t>
            </w:r>
          </w:p>
        </w:tc>
        <w:tc>
          <w:tcPr>
            <w:tcW w:w="6764" w:type="dxa"/>
            <w:tcBorders>
              <w:tl2br w:val="nil"/>
              <w:tr2bl w:val="nil"/>
            </w:tcBorders>
            <w:noWrap w:val="0"/>
            <w:vAlign w:val="center"/>
          </w:tcPr>
          <w:p w14:paraId="2DDC048E">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FE"/>
            </w:r>
            <w:r>
              <w:rPr>
                <w:rFonts w:hint="eastAsia" w:ascii="宋体" w:hAnsi="宋体" w:eastAsia="宋体" w:cs="宋体"/>
                <w:sz w:val="21"/>
                <w:szCs w:val="21"/>
                <w:lang w:val="en-US" w:eastAsia="zh-CN"/>
              </w:rPr>
              <w:t>不提供。</w:t>
            </w:r>
          </w:p>
          <w:p w14:paraId="2A02A045">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提供，按磋商文件第五部分 评审方法及标准。</w:t>
            </w:r>
          </w:p>
        </w:tc>
      </w:tr>
      <w:tr w14:paraId="09073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67EDBB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c>
          <w:tcPr>
            <w:tcW w:w="1231" w:type="dxa"/>
            <w:tcBorders>
              <w:tl2br w:val="nil"/>
              <w:tr2bl w:val="nil"/>
            </w:tcBorders>
            <w:noWrap w:val="0"/>
            <w:vAlign w:val="center"/>
          </w:tcPr>
          <w:p w14:paraId="2C424C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en-US" w:eastAsia="zh-CN"/>
              </w:rPr>
              <w:t>纸质投标文件</w:t>
            </w:r>
          </w:p>
        </w:tc>
        <w:tc>
          <w:tcPr>
            <w:tcW w:w="6764" w:type="dxa"/>
            <w:tcBorders>
              <w:tl2br w:val="nil"/>
              <w:tr2bl w:val="nil"/>
            </w:tcBorders>
            <w:noWrap w:val="0"/>
            <w:vAlign w:val="center"/>
          </w:tcPr>
          <w:p w14:paraId="38FBEC12">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成交人在签订合同前另行提供纸质投标文件一正二副。</w:t>
            </w:r>
          </w:p>
        </w:tc>
      </w:tr>
      <w:tr w14:paraId="7BF2E3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noWrap w:val="0"/>
            <w:vAlign w:val="center"/>
          </w:tcPr>
          <w:p w14:paraId="5991B89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1231" w:type="dxa"/>
            <w:tcBorders>
              <w:tl2br w:val="nil"/>
              <w:tr2bl w:val="nil"/>
            </w:tcBorders>
            <w:noWrap w:val="0"/>
            <w:vAlign w:val="center"/>
          </w:tcPr>
          <w:p w14:paraId="40B69F1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TW" w:eastAsia="zh-CN"/>
              </w:rPr>
            </w:pPr>
            <w:r>
              <w:rPr>
                <w:rFonts w:hint="eastAsia" w:ascii="宋体" w:hAnsi="宋体" w:eastAsia="宋体" w:cs="宋体"/>
                <w:sz w:val="21"/>
                <w:szCs w:val="21"/>
                <w:lang w:val="zh-TW" w:eastAsia="zh-CN"/>
              </w:rPr>
              <w:t>其他</w:t>
            </w:r>
          </w:p>
        </w:tc>
        <w:tc>
          <w:tcPr>
            <w:tcW w:w="6764" w:type="dxa"/>
            <w:tcBorders>
              <w:tl2br w:val="nil"/>
              <w:tr2bl w:val="nil"/>
            </w:tcBorders>
            <w:noWrap w:val="0"/>
            <w:vAlign w:val="center"/>
          </w:tcPr>
          <w:p w14:paraId="2D4CB6C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本招标文件规定如有与法律法规冲突的，以法律法规为准。</w:t>
            </w:r>
          </w:p>
          <w:p w14:paraId="6AA2D10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解释：本招标文件的解释权属于招标采购单位。</w:t>
            </w:r>
          </w:p>
        </w:tc>
      </w:tr>
    </w:tbl>
    <w:p w14:paraId="525A14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注：下文如有与本附表不一致处以本表为准。</w:t>
      </w:r>
    </w:p>
    <w:p w14:paraId="082CCDC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7D8925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8E983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BC9AF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D1015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2536D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F05EC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sz w:val="21"/>
          <w:szCs w:val="21"/>
        </w:rPr>
      </w:pPr>
    </w:p>
    <w:p w14:paraId="08343B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sz w:val="21"/>
          <w:szCs w:val="21"/>
        </w:rPr>
      </w:pPr>
    </w:p>
    <w:p w14:paraId="22F6C3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sz w:val="21"/>
          <w:szCs w:val="21"/>
        </w:rPr>
      </w:pPr>
    </w:p>
    <w:p w14:paraId="0BBD63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sz w:val="21"/>
          <w:szCs w:val="21"/>
        </w:rPr>
      </w:pPr>
    </w:p>
    <w:p w14:paraId="2C148C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sz w:val="21"/>
          <w:szCs w:val="21"/>
        </w:rPr>
      </w:pPr>
    </w:p>
    <w:p w14:paraId="21C8BB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sz w:val="21"/>
          <w:szCs w:val="21"/>
        </w:rPr>
      </w:pPr>
    </w:p>
    <w:p w14:paraId="2A17CD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sz w:val="21"/>
          <w:szCs w:val="21"/>
        </w:rPr>
      </w:pPr>
    </w:p>
    <w:p w14:paraId="266A02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sz w:val="21"/>
          <w:szCs w:val="21"/>
        </w:rPr>
      </w:pPr>
    </w:p>
    <w:p w14:paraId="42E2CA03">
      <w:pPr>
        <w:pStyle w:val="4"/>
        <w:numPr>
          <w:ilvl w:val="1"/>
          <w:numId w:val="0"/>
        </w:numPr>
        <w:bidi w:val="0"/>
        <w:ind w:leftChars="0"/>
        <w:rPr>
          <w:rFonts w:hint="eastAsia"/>
        </w:rPr>
      </w:pPr>
      <w:bookmarkStart w:id="32" w:name="_Toc18325"/>
      <w:r>
        <w:rPr>
          <w:rFonts w:hint="eastAsia"/>
        </w:rPr>
        <w:t>一、总  则</w:t>
      </w:r>
      <w:bookmarkEnd w:id="32"/>
    </w:p>
    <w:p w14:paraId="566744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次磋商工作是按照《中华人民共和国政府采购法》《中华人民共和国政府采购法实施条例》《政府采购竞争性磋商采购方式管理暂行办法》等有关法律、法规、规章、文件的规定组织和实施。采购活动现场组织按照《浙江省政府采购活动现场组织管理办法》浙财采监〔2015〕13号文件和《浙江省政府采购项目电子交易管理暂行办法》浙财采监〔2019〕10号文件执行。</w:t>
      </w:r>
    </w:p>
    <w:p w14:paraId="253814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1．适用范围</w:t>
      </w:r>
    </w:p>
    <w:p w14:paraId="28F02D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本磋商文件适用于该项目的邀请、响应、开启响应文件、信用信息查询、资格性审查、评审、成交、合同、验收等行为（法律、法规另有规定的，从其规定）。</w:t>
      </w:r>
    </w:p>
    <w:p w14:paraId="7F5BC36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2．定义</w:t>
      </w:r>
    </w:p>
    <w:p w14:paraId="141D89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 “采购人”：详见前附表。</w:t>
      </w:r>
    </w:p>
    <w:p w14:paraId="7CB2A3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 “采购代理机构”：详见前附表。</w:t>
      </w:r>
    </w:p>
    <w:p w14:paraId="5E1602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 “供应商”系指响应磋商、参加本次竞争的法人、其他组织或自然人。</w:t>
      </w:r>
    </w:p>
    <w:p w14:paraId="7E3017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“负责人”系指法人企业的法定负责人，或其他组织为法律、行政法规规定代表单位行使职权的主要负责人，或自然人本人。</w:t>
      </w:r>
    </w:p>
    <w:p w14:paraId="52F93A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“成交人”系指经评审确定的成交供应商。</w:t>
      </w:r>
    </w:p>
    <w:p w14:paraId="3C14A3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2.6 </w:t>
      </w:r>
      <w:r>
        <w:rPr>
          <w:rFonts w:hint="eastAsia" w:ascii="宋体" w:hAnsi="宋体" w:eastAsia="宋体" w:cs="宋体"/>
          <w:sz w:val="21"/>
          <w:szCs w:val="21"/>
        </w:rPr>
        <w:t>“货物”系指供应商按磋商文件或合同要求，须向采购人提供的一切材料、设备、机械、仪器、备件、配件、工具、手册及其他技术资料和文字材料。</w:t>
      </w:r>
    </w:p>
    <w:p w14:paraId="180B1E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 “服务”系指供应商按磋商文件或合同要求须承担的相关服务及义务。</w:t>
      </w:r>
    </w:p>
    <w:p w14:paraId="32412E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8 “响应文件”系指供应商提交的投标文件。供应商提交最后报价后，最后报价是供应商响应文件的有效组成部分。</w:t>
      </w:r>
    </w:p>
    <w:p w14:paraId="01D360E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2.9 </w:t>
      </w:r>
      <w:r>
        <w:rPr>
          <w:rFonts w:hint="eastAsia" w:ascii="宋体" w:hAnsi="宋体" w:eastAsia="宋体" w:cs="宋体"/>
          <w:sz w:val="21"/>
          <w:szCs w:val="21"/>
        </w:rPr>
        <w:t>“书面形式”是合同书、信件、电报、电传、传真等可以有形地表现所载内容的形式。以电子数据交换、电子邮件等方式能够有形地表现所载内容，并可以随时调取查用的数据电文，视为书面形式。</w:t>
      </w:r>
    </w:p>
    <w:p w14:paraId="3DD660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 “电子交易活动”是指以数据电文形式，依托政府采购项目电子交易平台（简称电子交易平台，详见前附表）进行的政府采购交易活动。</w:t>
      </w:r>
    </w:p>
    <w:p w14:paraId="1DAD9A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2.11 “电子签名”系指数据电文中以电子形式所含、所附用于识别签名人身份并表明签名人认可其中内容的数据；“公章”系指单位法定名称章。因特殊原因需要使用冠以法定名称的业务专用章的，响应时须提供《业务专用章使用说明函》（详见附后格式）。</w:t>
      </w:r>
    </w:p>
    <w:p w14:paraId="4BCEC1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2.12 “▲” 系指实质性要求条款，“★”系产品采购项目中重要技术参数，“</w:t>
      </w:r>
      <w:r>
        <w:rPr>
          <w:rFonts w:hint="eastAsia" w:ascii="宋体" w:hAnsi="宋体" w:eastAsia="宋体" w:cs="宋体"/>
          <w:sz w:val="21"/>
          <w:szCs w:val="21"/>
        </w:rPr>
        <w:t></w:t>
      </w:r>
      <w:r>
        <w:rPr>
          <w:rFonts w:hint="eastAsia" w:ascii="宋体" w:hAnsi="宋体" w:eastAsia="宋体" w:cs="宋体"/>
          <w:sz w:val="21"/>
          <w:szCs w:val="21"/>
          <w:lang w:val="en-US" w:eastAsia="zh-CN"/>
        </w:rPr>
        <w:t>” 系指适用本项目的要求，“☐” 系指不适用本项目的要求。</w:t>
      </w:r>
    </w:p>
    <w:p w14:paraId="5076FD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3.采购项目需要落实的政府采购政策</w:t>
      </w:r>
    </w:p>
    <w:p w14:paraId="6213ADC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48C482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 支持绿色发展</w:t>
      </w:r>
    </w:p>
    <w:p w14:paraId="5951A8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7CBEE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3.3支持中小企业发展</w:t>
      </w:r>
    </w:p>
    <w:p w14:paraId="5E9E62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D8BAF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符合中小企业划分标准的个体工商户，在政府采购活动中视同中小企业。</w:t>
      </w:r>
    </w:p>
    <w:p w14:paraId="17F82C4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3.3.2在政府采购活动中，供应商提供的货物、工程或者服务符合下列情形的，享受中小企业扶持政策：</w:t>
      </w:r>
    </w:p>
    <w:p w14:paraId="0132AF6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3.3.2.1在货物采购项目中，货物由中小企业制造，即货物由中小企业生产且使用该中小企业商号或者注册商标；</w:t>
      </w:r>
    </w:p>
    <w:p w14:paraId="3B04AB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3.3.2.2在工程采购项目中，工程由中小企业承建，即工程施工单位为中小企业；</w:t>
      </w:r>
    </w:p>
    <w:p w14:paraId="0BC917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3.3.2.3在服务采购项目中，服务由中小企业承接，即提供服务的人员为中小企业依照《中华人民共和国劳动合同法》订立劳动合同的从业人员。</w:t>
      </w:r>
    </w:p>
    <w:p w14:paraId="162966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在货物采购项目中，供应商提供的货物既有中小企业制造货物，也有大型企业制造货物的，不享受中小企业扶持政策。</w:t>
      </w:r>
    </w:p>
    <w:p w14:paraId="240AE2A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以联合体形式参加政府采购活动，联合体各方均为中小企业的，联合体视同中小企业。其中，联合体各方均为小微企业的，联合体视同小微企业。</w:t>
      </w:r>
    </w:p>
    <w:p w14:paraId="4CC949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33415E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3.3.4符合《关于促进残疾人就业政府采购政策的通知》（财库〔2017〕141号）规定的条件并提供《残疾人福利性单位声明函》（附件1）的残疾人福利性单位视同小型、微型企业；</w:t>
      </w:r>
    </w:p>
    <w:p w14:paraId="77F3F1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2D6E80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33FDF7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3.3.7中小企业享受扶持政策获得政府采购合同的，小微企业不得将合同分包给大中型企业，中型企业不得将合同分包给大型企业。</w:t>
      </w:r>
    </w:p>
    <w:p w14:paraId="2CB15B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3.4支持创新发展</w:t>
      </w:r>
    </w:p>
    <w:p w14:paraId="7B6E0F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3.4.1 采购人优先采购被认定为首台套产品和“制造精品”的自主创新产品。</w:t>
      </w:r>
    </w:p>
    <w:p w14:paraId="38DCCA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52561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https://zfcg.czt.zj.gov.cn/)的中小企业信用融资栏目了解相关信息。 供应商可以通过浙江政府采购网(https://zfcg. czt.zj. gov.cn/)首页的“浙江政采贷”模块进入申请，还可以通过政府采购云平台(www.zcygov.cn)首页的“金融服务”模块进入申请。</w:t>
      </w:r>
    </w:p>
    <w:p w14:paraId="35A928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询问、质疑、投诉</w:t>
      </w:r>
    </w:p>
    <w:p w14:paraId="3FAFE8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供应商询问</w:t>
      </w:r>
    </w:p>
    <w:p w14:paraId="05FC753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2A259C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供应商质疑</w:t>
      </w:r>
    </w:p>
    <w:p w14:paraId="12CE12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提出质疑的供应商应当是参与所质疑项目采购活动的供应商。潜在供应商已依法获取其可质疑的磋商文件的，可以对该文件提出质疑。（供应商可以在政采云系统里在线提起质疑，路径为：政采云-项目采购-询问质疑投诉-质疑列表）</w:t>
      </w:r>
    </w:p>
    <w:p w14:paraId="433E1B0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认为磋商文件、采购过程和采购结果使自己的权益受到损害的，可以在知道或者应知其权益受到损害之日起七个工作日内，以书面形式向采购人或者采购代理机构提出质疑，否则，采购人或者采购代理机构不予受理：</w:t>
      </w:r>
    </w:p>
    <w:p w14:paraId="1AC189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4.2.2.1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对磋商文件提出质疑的，质疑期限为供应商获得磋商文件之日或者磋商公告期限届满之日起计算。</w:t>
      </w:r>
    </w:p>
    <w:p w14:paraId="41C777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4.2.2.2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对采购过程提出质疑的，质疑期限为各采购程序环节结束之日起计算。对同一采购程序环节的质疑，供应商须一次性提出。</w:t>
      </w:r>
    </w:p>
    <w:p w14:paraId="45D7B4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4.2.2.3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对采购结果提出质疑的，质疑期限自采购结果公告期限届满之日起计算。</w:t>
      </w:r>
    </w:p>
    <w:p w14:paraId="63118AB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供应商提出质疑应当提交质疑函和必要的</w:t>
      </w:r>
      <w:r>
        <w:rPr>
          <w:rFonts w:hint="eastAsia" w:ascii="宋体" w:hAnsi="宋体" w:eastAsia="宋体" w:cs="宋体"/>
          <w:sz w:val="21"/>
          <w:szCs w:val="21"/>
          <w:lang w:eastAsia="zh-CN"/>
        </w:rPr>
        <w:t>说明</w:t>
      </w:r>
      <w:r>
        <w:rPr>
          <w:rFonts w:hint="eastAsia" w:ascii="宋体" w:hAnsi="宋体" w:eastAsia="宋体" w:cs="宋体"/>
          <w:sz w:val="21"/>
          <w:szCs w:val="21"/>
        </w:rPr>
        <w:t>材料。质疑函应当包括下列内容：</w:t>
      </w:r>
    </w:p>
    <w:p w14:paraId="5F7D0B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4.2.3.1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供应商的姓名或者名称、地址、邮编、联系人及联系电话</w:t>
      </w:r>
      <w:r>
        <w:rPr>
          <w:rFonts w:hint="eastAsia" w:ascii="宋体" w:hAnsi="宋体" w:eastAsia="宋体" w:cs="宋体"/>
          <w:sz w:val="21"/>
          <w:szCs w:val="21"/>
          <w:lang w:eastAsia="zh-CN"/>
        </w:rPr>
        <w:t>；</w:t>
      </w:r>
    </w:p>
    <w:p w14:paraId="3A79C7D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4.2.3.2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质疑项目的名称、编号</w:t>
      </w:r>
      <w:r>
        <w:rPr>
          <w:rFonts w:hint="eastAsia" w:ascii="宋体" w:hAnsi="宋体" w:eastAsia="宋体" w:cs="宋体"/>
          <w:sz w:val="21"/>
          <w:szCs w:val="21"/>
          <w:lang w:eastAsia="zh-CN"/>
        </w:rPr>
        <w:t>；</w:t>
      </w:r>
    </w:p>
    <w:p w14:paraId="0224E4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4.2.3.3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具体、明确的质疑事项和与质疑事项相关的请求</w:t>
      </w:r>
      <w:r>
        <w:rPr>
          <w:rFonts w:hint="eastAsia" w:ascii="宋体" w:hAnsi="宋体" w:eastAsia="宋体" w:cs="宋体"/>
          <w:sz w:val="21"/>
          <w:szCs w:val="21"/>
          <w:lang w:eastAsia="zh-CN"/>
        </w:rPr>
        <w:t>；</w:t>
      </w:r>
    </w:p>
    <w:p w14:paraId="194115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4.2.3.4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事实依据</w:t>
      </w:r>
      <w:r>
        <w:rPr>
          <w:rFonts w:hint="eastAsia" w:ascii="宋体" w:hAnsi="宋体" w:eastAsia="宋体" w:cs="宋体"/>
          <w:sz w:val="21"/>
          <w:szCs w:val="21"/>
          <w:lang w:eastAsia="zh-CN"/>
        </w:rPr>
        <w:t>；</w:t>
      </w:r>
    </w:p>
    <w:p w14:paraId="747BBF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4.2.3.5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必要的法律依据</w:t>
      </w:r>
      <w:r>
        <w:rPr>
          <w:rFonts w:hint="eastAsia" w:ascii="宋体" w:hAnsi="宋体" w:eastAsia="宋体" w:cs="宋体"/>
          <w:sz w:val="21"/>
          <w:szCs w:val="21"/>
          <w:lang w:eastAsia="zh-CN"/>
        </w:rPr>
        <w:t>；</w:t>
      </w:r>
    </w:p>
    <w:p w14:paraId="0D21FF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4.2.3.6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提出质疑的日期。</w:t>
      </w:r>
    </w:p>
    <w:p w14:paraId="267BB8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供应商提交的质疑函需一式三份。供应商为自然人的，应当由本人签字</w:t>
      </w:r>
      <w:r>
        <w:rPr>
          <w:rFonts w:hint="eastAsia" w:ascii="宋体" w:hAnsi="宋体" w:eastAsia="宋体" w:cs="宋体"/>
          <w:sz w:val="21"/>
          <w:szCs w:val="21"/>
          <w:lang w:eastAsia="zh-CN"/>
        </w:rPr>
        <w:t>；</w:t>
      </w:r>
      <w:r>
        <w:rPr>
          <w:rFonts w:hint="eastAsia" w:ascii="宋体" w:hAnsi="宋体" w:eastAsia="宋体" w:cs="宋体"/>
          <w:sz w:val="21"/>
          <w:szCs w:val="21"/>
        </w:rPr>
        <w:t>供应商为法人或者其他组织的，应当由法定代表人、主要负责人，或者其授权代表签字或者盖章，并加盖公章。</w:t>
      </w:r>
    </w:p>
    <w:p w14:paraId="6944F6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质疑函范本及制作说明</w:t>
      </w:r>
      <w:r>
        <w:rPr>
          <w:rFonts w:hint="eastAsia" w:ascii="宋体" w:hAnsi="宋体" w:eastAsia="宋体" w:cs="宋体"/>
          <w:sz w:val="21"/>
          <w:szCs w:val="21"/>
          <w:lang w:eastAsia="zh-CN"/>
        </w:rPr>
        <w:t>详见附后格式</w:t>
      </w:r>
      <w:r>
        <w:rPr>
          <w:rFonts w:hint="eastAsia" w:ascii="宋体" w:hAnsi="宋体" w:eastAsia="宋体" w:cs="宋体"/>
          <w:sz w:val="21"/>
          <w:szCs w:val="21"/>
        </w:rPr>
        <w:t>。</w:t>
      </w:r>
    </w:p>
    <w:p w14:paraId="0D32BA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4.2.4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eastAsia="宋体" w:cs="宋体"/>
          <w:sz w:val="21"/>
          <w:szCs w:val="21"/>
          <w:lang w:val="en-US" w:eastAsia="zh-CN"/>
        </w:rPr>
        <w:t>《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03BB3B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询问或者质疑事项可能影响采购结果的，采购人应当暂停签订合同，已经签订合同的，应当中止履行合同。</w:t>
      </w:r>
    </w:p>
    <w:p w14:paraId="095C46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供应商投诉</w:t>
      </w:r>
    </w:p>
    <w:p w14:paraId="28486E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质疑供应商对采购人、采购代理机构的答复不满意或者采购人、采购代理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14:paraId="03C1DE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供应商投诉的事项不得超出已质疑事项的范围，基于质疑答复内容提出的投诉事项除外。</w:t>
      </w:r>
    </w:p>
    <w:p w14:paraId="7F8724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供应商投诉应当有明确的请求和必要的</w:t>
      </w:r>
      <w:r>
        <w:rPr>
          <w:rFonts w:hint="eastAsia" w:ascii="宋体" w:hAnsi="宋体" w:eastAsia="宋体" w:cs="宋体"/>
          <w:sz w:val="21"/>
          <w:szCs w:val="21"/>
          <w:lang w:eastAsia="zh-CN"/>
        </w:rPr>
        <w:t>说明</w:t>
      </w:r>
      <w:r>
        <w:rPr>
          <w:rFonts w:hint="eastAsia" w:ascii="宋体" w:hAnsi="宋体" w:eastAsia="宋体" w:cs="宋体"/>
          <w:sz w:val="21"/>
          <w:szCs w:val="21"/>
        </w:rPr>
        <w:t>材料。</w:t>
      </w:r>
    </w:p>
    <w:p w14:paraId="6D287C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4.3.4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以联合体形式参加政府采购活动的，其投诉应当由组成联合体的所有供应商共同提出。</w:t>
      </w:r>
    </w:p>
    <w:p w14:paraId="56EA414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投诉书范本及制作说明</w:t>
      </w:r>
      <w:r>
        <w:rPr>
          <w:rFonts w:hint="eastAsia" w:ascii="宋体" w:hAnsi="宋体" w:eastAsia="宋体" w:cs="宋体"/>
          <w:sz w:val="21"/>
          <w:szCs w:val="21"/>
          <w:lang w:eastAsia="zh-CN"/>
        </w:rPr>
        <w:t>详见附后格式</w:t>
      </w:r>
      <w:r>
        <w:rPr>
          <w:rFonts w:hint="eastAsia" w:ascii="宋体" w:hAnsi="宋体" w:eastAsia="宋体" w:cs="宋体"/>
          <w:sz w:val="21"/>
          <w:szCs w:val="21"/>
        </w:rPr>
        <w:t>。</w:t>
      </w:r>
    </w:p>
    <w:p w14:paraId="47289611">
      <w:pPr>
        <w:pStyle w:val="4"/>
        <w:numPr>
          <w:ilvl w:val="1"/>
          <w:numId w:val="0"/>
        </w:numPr>
        <w:bidi w:val="0"/>
        <w:ind w:leftChars="0"/>
        <w:rPr>
          <w:rFonts w:hint="eastAsia"/>
        </w:rPr>
      </w:pPr>
      <w:bookmarkStart w:id="33" w:name="_Toc16076"/>
      <w:r>
        <w:rPr>
          <w:rFonts w:hint="eastAsia"/>
          <w:lang w:val="en-US" w:eastAsia="zh-CN"/>
        </w:rPr>
        <w:t>二</w:t>
      </w:r>
      <w:r>
        <w:rPr>
          <w:rFonts w:hint="eastAsia"/>
        </w:rPr>
        <w:t>、磋商文件构成、修改、解释</w:t>
      </w:r>
      <w:bookmarkEnd w:id="33"/>
    </w:p>
    <w:p w14:paraId="41D2A1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5.磋商文件的构成</w:t>
      </w:r>
    </w:p>
    <w:p w14:paraId="0BB36E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磋商文件包括下列文件及附件</w:t>
      </w:r>
    </w:p>
    <w:p w14:paraId="7FBCBB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竞争性磋商公告</w:t>
      </w:r>
    </w:p>
    <w:p w14:paraId="20C394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磋商供应商须知</w:t>
      </w:r>
    </w:p>
    <w:p w14:paraId="7E5144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采购需求</w:t>
      </w:r>
    </w:p>
    <w:p w14:paraId="08D1468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评审方法及标准</w:t>
      </w:r>
    </w:p>
    <w:p w14:paraId="09EF52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拟签订的合同文本</w:t>
      </w:r>
    </w:p>
    <w:p w14:paraId="57FE05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5.1.</w:t>
      </w:r>
      <w:r>
        <w:rPr>
          <w:rFonts w:hint="eastAsia" w:ascii="宋体" w:hAnsi="宋体" w:eastAsia="宋体" w:cs="宋体"/>
          <w:sz w:val="21"/>
          <w:szCs w:val="21"/>
          <w:lang w:val="en-US" w:eastAsia="zh-CN"/>
        </w:rPr>
        <w:t xml:space="preserve">6 </w:t>
      </w:r>
      <w:r>
        <w:rPr>
          <w:rFonts w:hint="eastAsia" w:ascii="宋体" w:hAnsi="宋体" w:eastAsia="宋体" w:cs="宋体"/>
          <w:sz w:val="21"/>
          <w:szCs w:val="21"/>
        </w:rPr>
        <w:t>应提交的有关格式范例</w:t>
      </w:r>
    </w:p>
    <w:p w14:paraId="37F569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5.2.与本项目有关的澄清或者修改的内容为磋商文件的组成部分。</w:t>
      </w:r>
    </w:p>
    <w:p w14:paraId="2F65C6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6.磋商文件的澄清、修改</w:t>
      </w:r>
    </w:p>
    <w:p w14:paraId="1A7CF85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6.1.已获取磋商文件的潜在供应商，若有问题需要澄清，应于提交首次响应文件截止时间前，以书面形式向采购代理机构提出。</w:t>
      </w:r>
    </w:p>
    <w:p w14:paraId="312674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101516B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澄清或者修改的内容可能影响响应文件编制的，采购人、采购代理机构应当在提交首次响应文件截止时间至少5日前，通知所有获取磋商文件的供应商</w:t>
      </w:r>
      <w:r>
        <w:rPr>
          <w:rFonts w:hint="eastAsia" w:ascii="宋体" w:hAnsi="宋体" w:eastAsia="宋体" w:cs="宋体"/>
          <w:sz w:val="21"/>
          <w:szCs w:val="21"/>
          <w:lang w:eastAsia="zh-CN"/>
        </w:rPr>
        <w:t>；</w:t>
      </w:r>
      <w:r>
        <w:rPr>
          <w:rFonts w:hint="eastAsia" w:ascii="宋体" w:hAnsi="宋体" w:eastAsia="宋体" w:cs="宋体"/>
          <w:sz w:val="21"/>
          <w:szCs w:val="21"/>
        </w:rPr>
        <w:t>不足5日的，采购人、采购代理机构应当顺延提交首次响应文件截止时间。</w:t>
      </w:r>
    </w:p>
    <w:p w14:paraId="7224B02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▲响应文件未按磋商文件的澄清、修改的内容编制，又不符合实质性要求的，响应无效。</w:t>
      </w:r>
    </w:p>
    <w:p w14:paraId="02B180B1">
      <w:pPr>
        <w:pStyle w:val="4"/>
        <w:numPr>
          <w:ilvl w:val="1"/>
          <w:numId w:val="0"/>
        </w:numPr>
        <w:bidi w:val="0"/>
        <w:ind w:leftChars="0"/>
        <w:rPr>
          <w:rFonts w:hint="eastAsia"/>
          <w:lang w:val="en-US" w:eastAsia="zh-CN"/>
        </w:rPr>
      </w:pPr>
      <w:bookmarkStart w:id="34" w:name="_Toc804"/>
      <w:r>
        <w:rPr>
          <w:rFonts w:hint="eastAsia"/>
          <w:lang w:val="en-US" w:eastAsia="zh-CN"/>
        </w:rPr>
        <w:t>三、响应文件的编制</w:t>
      </w:r>
      <w:bookmarkEnd w:id="34"/>
    </w:p>
    <w:p w14:paraId="63ECAB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7.磋商文件的获取</w:t>
      </w:r>
    </w:p>
    <w:p w14:paraId="035195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详见竞争性磋商公告中获取磋商文件的时间期限、地点、方式及磋商文件售价。</w:t>
      </w:r>
    </w:p>
    <w:p w14:paraId="73F9F61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8.磋商前答疑会或现场考察</w:t>
      </w:r>
    </w:p>
    <w:p w14:paraId="083FF48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详见前附表。</w:t>
      </w:r>
    </w:p>
    <w:p w14:paraId="33A1E7C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9.磋商保证金</w:t>
      </w:r>
    </w:p>
    <w:p w14:paraId="708D7D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本项目不需缴纳磋商保证金。</w:t>
      </w:r>
    </w:p>
    <w:p w14:paraId="560F1C8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10.响应文件的语言</w:t>
      </w:r>
    </w:p>
    <w:p w14:paraId="21046B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响应文件及供应商与采购有关的来往通知、函件和文件均应使用中文。</w:t>
      </w:r>
    </w:p>
    <w:p w14:paraId="2B70FA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11.响应文件的组成</w:t>
      </w:r>
    </w:p>
    <w:p w14:paraId="787751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响应文件应当包括以下主要内容：</w:t>
      </w:r>
    </w:p>
    <w:p w14:paraId="3506DA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11.1资格文件：</w:t>
      </w:r>
    </w:p>
    <w:p w14:paraId="4DE8E1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eastAsia="宋体" w:cs="宋体"/>
          <w:sz w:val="21"/>
          <w:szCs w:val="21"/>
          <w:lang w:eastAsia="zh-CN"/>
        </w:rPr>
        <w:t>技术商务</w:t>
      </w:r>
      <w:r>
        <w:rPr>
          <w:rFonts w:hint="eastAsia" w:ascii="宋体" w:hAnsi="宋体" w:eastAsia="宋体" w:cs="宋体"/>
          <w:sz w:val="21"/>
          <w:szCs w:val="21"/>
        </w:rPr>
        <w:t>文件：</w:t>
      </w:r>
    </w:p>
    <w:p w14:paraId="73F6EF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11.3报价文件： </w:t>
      </w:r>
    </w:p>
    <w:p w14:paraId="13D48CF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11.3.1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初始报价一览表</w:t>
      </w:r>
    </w:p>
    <w:p w14:paraId="09830E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11.3.2 最后报价一览表</w:t>
      </w:r>
    </w:p>
    <w:p w14:paraId="137782D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响应文件含有采购人不能接受的附加条件的，磋商无效</w:t>
      </w:r>
      <w:r>
        <w:rPr>
          <w:rFonts w:hint="eastAsia" w:ascii="宋体" w:hAnsi="宋体" w:eastAsia="宋体" w:cs="宋体"/>
          <w:sz w:val="21"/>
          <w:szCs w:val="21"/>
          <w:lang w:eastAsia="zh-CN"/>
        </w:rPr>
        <w:t>；</w:t>
      </w:r>
    </w:p>
    <w:p w14:paraId="0102A2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供应商提供虚假材料响应的，磋商无效。</w:t>
      </w:r>
    </w:p>
    <w:p w14:paraId="2D271A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12.响应文件的编制</w:t>
      </w:r>
    </w:p>
    <w:p w14:paraId="4D393F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响应文件分为资格文件、</w:t>
      </w:r>
      <w:r>
        <w:rPr>
          <w:rFonts w:hint="eastAsia" w:ascii="宋体" w:hAnsi="宋体" w:eastAsia="宋体" w:cs="宋体"/>
          <w:sz w:val="21"/>
          <w:szCs w:val="21"/>
          <w:lang w:eastAsia="zh-CN"/>
        </w:rPr>
        <w:t>技术商务</w:t>
      </w:r>
      <w:r>
        <w:rPr>
          <w:rFonts w:hint="eastAsia" w:ascii="宋体" w:hAnsi="宋体" w:eastAsia="宋体" w:cs="宋体"/>
          <w:sz w:val="21"/>
          <w:szCs w:val="21"/>
        </w:rPr>
        <w:t>文件、报价文件三部分。各供应商在编制响应文件时请按照磋商文件</w:t>
      </w:r>
      <w:r>
        <w:rPr>
          <w:rFonts w:hint="eastAsia" w:ascii="宋体" w:hAnsi="宋体" w:eastAsia="宋体" w:cs="宋体"/>
          <w:sz w:val="21"/>
          <w:szCs w:val="21"/>
          <w:lang w:eastAsia="zh-CN"/>
        </w:rPr>
        <w:t>“</w:t>
      </w:r>
      <w:r>
        <w:rPr>
          <w:rFonts w:hint="eastAsia" w:ascii="宋体" w:hAnsi="宋体" w:eastAsia="宋体" w:cs="宋体"/>
          <w:sz w:val="21"/>
          <w:szCs w:val="21"/>
        </w:rPr>
        <w:t>第</w:t>
      </w:r>
      <w:r>
        <w:rPr>
          <w:rFonts w:hint="eastAsia" w:ascii="宋体" w:hAnsi="宋体" w:eastAsia="宋体" w:cs="宋体"/>
          <w:sz w:val="21"/>
          <w:szCs w:val="21"/>
          <w:lang w:val="en-US" w:eastAsia="zh-CN"/>
        </w:rPr>
        <w:t>七</w:t>
      </w:r>
      <w:r>
        <w:rPr>
          <w:rFonts w:hint="eastAsia" w:ascii="宋体" w:hAnsi="宋体" w:eastAsia="宋体" w:cs="宋体"/>
          <w:sz w:val="21"/>
          <w:szCs w:val="21"/>
        </w:rPr>
        <w:t>部分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应提交的有关格式范例</w:t>
      </w:r>
      <w:r>
        <w:rPr>
          <w:rFonts w:hint="eastAsia" w:ascii="宋体" w:hAnsi="宋体" w:eastAsia="宋体" w:cs="宋体"/>
          <w:sz w:val="21"/>
          <w:szCs w:val="21"/>
          <w:lang w:eastAsia="zh-CN"/>
        </w:rPr>
        <w:t>”</w:t>
      </w:r>
      <w:r>
        <w:rPr>
          <w:rFonts w:hint="eastAsia" w:ascii="宋体" w:hAnsi="宋体" w:eastAsia="宋体" w:cs="宋体"/>
          <w:sz w:val="21"/>
          <w:szCs w:val="21"/>
        </w:rPr>
        <w:t>，混乱的编排导致响应文件被误读或磋商小组查找不到有效文件是供应商的风险。</w:t>
      </w:r>
    </w:p>
    <w:p w14:paraId="02A7D08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供应商进行电子交易应安装客户端软件—“政采云电子交易客户端”，并按照磋商文件和电子交易平台的要求编制并加密响应文件。供应商未按规定加密的响应文件，电子交易平台将拒收并提示。</w:t>
      </w:r>
    </w:p>
    <w:p w14:paraId="5CDEC9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12.3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使用“政采云电子交易客户端”需要提前申领CA数字证书，申领流程请自行前往“浙江政府采购网-下载专区-电子交易客户端-CA驱动和申领流程”进行查阅。</w:t>
      </w:r>
    </w:p>
    <w:p w14:paraId="340072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val="en-US" w:eastAsia="zh-CN"/>
        </w:rPr>
        <w:t>.</w:t>
      </w:r>
      <w:r>
        <w:rPr>
          <w:rFonts w:hint="eastAsia" w:ascii="宋体" w:hAnsi="宋体" w:eastAsia="宋体" w:cs="宋体"/>
          <w:sz w:val="21"/>
          <w:szCs w:val="21"/>
        </w:rPr>
        <w:t>响应文件的签署、盖章</w:t>
      </w:r>
    </w:p>
    <w:p w14:paraId="1DBAF89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响应文件按照磋商文件“第</w:t>
      </w:r>
      <w:r>
        <w:rPr>
          <w:rFonts w:hint="eastAsia" w:ascii="宋体" w:hAnsi="宋体" w:eastAsia="宋体" w:cs="宋体"/>
          <w:sz w:val="21"/>
          <w:szCs w:val="21"/>
          <w:lang w:val="en-US" w:eastAsia="zh-CN"/>
        </w:rPr>
        <w:t>七</w:t>
      </w:r>
      <w:r>
        <w:rPr>
          <w:rFonts w:hint="eastAsia" w:ascii="宋体" w:hAnsi="宋体" w:eastAsia="宋体" w:cs="宋体"/>
          <w:sz w:val="21"/>
          <w:szCs w:val="21"/>
        </w:rPr>
        <w:t>部分 应提交的有关格式范例”要求进行签署、盖章。</w:t>
      </w:r>
    </w:p>
    <w:p w14:paraId="305085B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▲供应商的响应文件未按照磋商文件要求签署、盖章的，其磋商无效。</w:t>
      </w:r>
    </w:p>
    <w:p w14:paraId="79E85E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为确保网上操作合法、有效和安全，供应商应当在响应截止时间前完成在“政府采购云平台”的身份认证，确保在电子交易过程中能够对相关数据电文进行加密和使用电子签名。</w:t>
      </w:r>
    </w:p>
    <w:p w14:paraId="120E024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磋商文件对响应文件签署、盖章的要求适用于电子签名。</w:t>
      </w:r>
    </w:p>
    <w:p w14:paraId="5D96D98F">
      <w:pPr>
        <w:pStyle w:val="4"/>
        <w:numPr>
          <w:ilvl w:val="1"/>
          <w:numId w:val="0"/>
        </w:numPr>
        <w:bidi w:val="0"/>
        <w:ind w:leftChars="0"/>
        <w:rPr>
          <w:rFonts w:hint="eastAsia"/>
          <w:lang w:val="en-US" w:eastAsia="zh-CN"/>
        </w:rPr>
      </w:pPr>
      <w:bookmarkStart w:id="35" w:name="_Toc7635"/>
      <w:r>
        <w:rPr>
          <w:rFonts w:hint="eastAsia"/>
          <w:lang w:val="en-US" w:eastAsia="zh-CN"/>
        </w:rPr>
        <w:t>四、响应文件的提交和备份</w:t>
      </w:r>
      <w:bookmarkEnd w:id="35"/>
    </w:p>
    <w:p w14:paraId="71BF999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14.响应文件的提交、补充、修改、撤回</w:t>
      </w:r>
    </w:p>
    <w:p w14:paraId="03BFAF9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6B7CD2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在提交“最后报价一览表”后，供应商不能退出磋商。</w:t>
      </w:r>
    </w:p>
    <w:p w14:paraId="084BA1B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电子交易平台收到响应文件，将妥善保存并即时向供应商发出确认回执通知。在响应截止时间前，除供应商补充、修改或者撤回响应文件外，任何单位和个人不得解密或提取响应文件。</w:t>
      </w:r>
    </w:p>
    <w:p w14:paraId="61E379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采购人、采购代理机构可以视情况延长响应文件提交的截止时间。在上述情况下，采购代理机构与供应商以前在响应截止期方面的全部权利、责任和义务，将适用于延长至新的响应截止期。</w:t>
      </w:r>
    </w:p>
    <w:p w14:paraId="60EFD7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15.备份响应文件</w:t>
      </w:r>
    </w:p>
    <w:p w14:paraId="6C9B5B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供应商在电子交易平台传输提交响应文件后，还可以在响应截止时间前直接提交或者以邮政快递方式递交备份响应文件1份，但采购人、采购代理机构不强制或变相强制供应商提交备份响应文件。</w:t>
      </w:r>
    </w:p>
    <w:p w14:paraId="4A6AE7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不符合上述制作、存储、密封规定的备份响应文件将被视为无效或者被拒绝接收。</w:t>
      </w:r>
    </w:p>
    <w:p w14:paraId="4B930A9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直接提交备份响应文件的，供应商应于响应截止时间前在磋商公告中载明的开启响应文件的地点将备份响应文件提交给采购代理机构，采购代理机构将拒绝接受逾期送达的备份响应文件。</w:t>
      </w:r>
    </w:p>
    <w:p w14:paraId="0C35D2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以快递方式递交备份响应文件的，供应商应先将备份响应文件按要求密封和标记，再进行快递包装后邮寄。备份响应文件须在提交响应文件截止时间之前送达磋商文件</w:t>
      </w:r>
      <w:r>
        <w:rPr>
          <w:rFonts w:hint="eastAsia" w:ascii="宋体" w:hAnsi="宋体" w:eastAsia="宋体" w:cs="宋体"/>
          <w:sz w:val="21"/>
          <w:szCs w:val="21"/>
          <w:lang w:eastAsia="zh-CN"/>
        </w:rPr>
        <w:t>“</w:t>
      </w:r>
      <w:r>
        <w:rPr>
          <w:rFonts w:hint="eastAsia" w:ascii="宋体" w:hAnsi="宋体" w:eastAsia="宋体" w:cs="宋体"/>
          <w:sz w:val="21"/>
          <w:szCs w:val="21"/>
        </w:rPr>
        <w:t>第</w:t>
      </w:r>
      <w:r>
        <w:rPr>
          <w:rFonts w:hint="eastAsia" w:ascii="宋体" w:hAnsi="宋体" w:eastAsia="宋体" w:cs="宋体"/>
          <w:sz w:val="21"/>
          <w:szCs w:val="21"/>
          <w:lang w:val="en-US" w:eastAsia="zh-CN"/>
        </w:rPr>
        <w:t>三</w:t>
      </w:r>
      <w:r>
        <w:rPr>
          <w:rFonts w:hint="eastAsia" w:ascii="宋体" w:hAnsi="宋体" w:eastAsia="宋体" w:cs="宋体"/>
          <w:sz w:val="21"/>
          <w:szCs w:val="21"/>
        </w:rPr>
        <w:t>部分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磋商供应商须知</w:t>
      </w:r>
      <w:r>
        <w:rPr>
          <w:rFonts w:hint="eastAsia" w:ascii="宋体" w:hAnsi="宋体" w:eastAsia="宋体" w:cs="宋体"/>
          <w:sz w:val="21"/>
          <w:szCs w:val="21"/>
          <w:lang w:eastAsia="zh-CN"/>
        </w:rPr>
        <w:t>”</w:t>
      </w:r>
      <w:r>
        <w:rPr>
          <w:rFonts w:hint="eastAsia" w:ascii="宋体" w:hAnsi="宋体" w:eastAsia="宋体" w:cs="宋体"/>
          <w:sz w:val="21"/>
          <w:szCs w:val="21"/>
        </w:rPr>
        <w:t>前附表规定的备份响应文件送达地点</w:t>
      </w:r>
      <w:r>
        <w:rPr>
          <w:rFonts w:hint="eastAsia" w:ascii="宋体" w:hAnsi="宋体" w:eastAsia="宋体" w:cs="宋体"/>
          <w:sz w:val="21"/>
          <w:szCs w:val="21"/>
          <w:lang w:eastAsia="zh-CN"/>
        </w:rPr>
        <w:t>；</w:t>
      </w:r>
      <w:r>
        <w:rPr>
          <w:rFonts w:hint="eastAsia" w:ascii="宋体" w:hAnsi="宋体" w:eastAsia="宋体" w:cs="宋体"/>
          <w:sz w:val="21"/>
          <w:szCs w:val="21"/>
        </w:rPr>
        <w:t>送达时间以签收人签收时间为准。采购代理机构将拒绝接受逾期送达的备份响应文件。邮寄过程中，电子备份响应文件发生泄露、遗失、损坏或延期送达等情况的，由供应商自行负责。</w:t>
      </w:r>
    </w:p>
    <w:p w14:paraId="6E7E79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供应商仅提交备份响应文件，没有在电子交易平台传输提交响应文件的，响应无效。</w:t>
      </w:r>
    </w:p>
    <w:p w14:paraId="7BD535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16.响应文件的无效处理</w:t>
      </w:r>
    </w:p>
    <w:p w14:paraId="5B0F76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有磋商文件</w:t>
      </w:r>
      <w:r>
        <w:rPr>
          <w:rFonts w:hint="eastAsia" w:ascii="宋体" w:hAnsi="宋体" w:eastAsia="宋体" w:cs="宋体"/>
          <w:sz w:val="21"/>
          <w:szCs w:val="21"/>
          <w:lang w:eastAsia="zh-CN"/>
        </w:rPr>
        <w:t>“</w:t>
      </w:r>
      <w:r>
        <w:rPr>
          <w:rFonts w:hint="eastAsia" w:ascii="宋体" w:hAnsi="宋体" w:eastAsia="宋体" w:cs="宋体"/>
          <w:sz w:val="21"/>
          <w:szCs w:val="21"/>
        </w:rPr>
        <w:t>第</w:t>
      </w:r>
      <w:r>
        <w:rPr>
          <w:rFonts w:hint="eastAsia" w:ascii="宋体" w:hAnsi="宋体" w:eastAsia="宋体" w:cs="宋体"/>
          <w:sz w:val="21"/>
          <w:szCs w:val="21"/>
          <w:lang w:val="en-US" w:eastAsia="zh-CN"/>
        </w:rPr>
        <w:t>五</w:t>
      </w:r>
      <w:r>
        <w:rPr>
          <w:rFonts w:hint="eastAsia" w:ascii="宋体" w:hAnsi="宋体" w:eastAsia="宋体" w:cs="宋体"/>
          <w:sz w:val="21"/>
          <w:szCs w:val="21"/>
        </w:rPr>
        <w:t>部分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评审方法及标准</w:t>
      </w:r>
      <w:r>
        <w:rPr>
          <w:rFonts w:hint="eastAsia" w:ascii="宋体" w:hAnsi="宋体" w:eastAsia="宋体" w:cs="宋体"/>
          <w:sz w:val="21"/>
          <w:szCs w:val="21"/>
          <w:lang w:eastAsia="zh-CN"/>
        </w:rPr>
        <w:t>”</w:t>
      </w:r>
      <w:r>
        <w:rPr>
          <w:rFonts w:hint="eastAsia" w:ascii="宋体" w:hAnsi="宋体" w:eastAsia="宋体" w:cs="宋体"/>
          <w:sz w:val="21"/>
          <w:szCs w:val="21"/>
        </w:rPr>
        <w:t>第6.3项规定的情形之一的，响应无效。</w:t>
      </w:r>
    </w:p>
    <w:p w14:paraId="1645BA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17.响应有效期</w:t>
      </w:r>
    </w:p>
    <w:p w14:paraId="552EAB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响应有效期为从提交响应文件的截止之日起90天。</w:t>
      </w:r>
    </w:p>
    <w:p w14:paraId="0BEA87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▲供应商的响应文件中承诺的响应有效期少于磋商文件中载明的响应有效期的，响应无效。</w:t>
      </w:r>
    </w:p>
    <w:p w14:paraId="6201B0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响应文件合格投递后，自响应截止日期起，在响应有效期内有效。</w:t>
      </w:r>
    </w:p>
    <w:p w14:paraId="37CCA8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75BAF810">
      <w:pPr>
        <w:pStyle w:val="4"/>
        <w:numPr>
          <w:ilvl w:val="1"/>
          <w:numId w:val="0"/>
        </w:numPr>
        <w:bidi w:val="0"/>
        <w:ind w:leftChars="0"/>
        <w:rPr>
          <w:rFonts w:hint="eastAsia"/>
          <w:lang w:val="en-US" w:eastAsia="zh-CN"/>
        </w:rPr>
      </w:pPr>
      <w:bookmarkStart w:id="36" w:name="_Toc9618"/>
      <w:r>
        <w:rPr>
          <w:rFonts w:hint="eastAsia"/>
          <w:lang w:val="en-US" w:eastAsia="zh-CN"/>
        </w:rPr>
        <w:t>五、开启响应文件、资格审查与信用信息查询</w:t>
      </w:r>
      <w:bookmarkEnd w:id="36"/>
    </w:p>
    <w:p w14:paraId="3301D5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18.开启响应文件</w:t>
      </w:r>
    </w:p>
    <w:p w14:paraId="7E8B75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采购代理机构按照磋商文件规定的时间通过电子交易平台组织响应文件开启，所有供应商均应当准时在线参加。供应商数量不符合规定的，不得开启响应文件。</w:t>
      </w:r>
    </w:p>
    <w:p w14:paraId="6BA19E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开启响应文件时，电子交易平台按开启响应文件时间自动提取所有响应文件。采购代理机构依托电子交易平台发起开始解密指令，供应商按照平台提示和磋商文件的规定在半小时内完成在线解密。</w:t>
      </w:r>
    </w:p>
    <w:p w14:paraId="3F3E20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响应文件未在规定时间内成功解密的供应商，如提交了备份响应文件的，以备份响应文件作为依据，否则视为响应文件撤回。响应文件解密成功的供应商，其备份响应文件自动失效。</w:t>
      </w:r>
    </w:p>
    <w:p w14:paraId="24078E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19.资格审查</w:t>
      </w:r>
    </w:p>
    <w:p w14:paraId="2391BC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响应截止后，采购人或采购代理机构将依法对供应商的资格进行审查。</w:t>
      </w:r>
    </w:p>
    <w:p w14:paraId="37CF8C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采购人或采购代理机构依据法律法规和磋商文件的规定，对供应商的基本资格条件、特定资格条件进行审查。</w:t>
      </w:r>
    </w:p>
    <w:p w14:paraId="1A125E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供应商未按照磋商文件要求提供与基本资格条件、特定资格条件相应的有效资格</w:t>
      </w:r>
      <w:r>
        <w:rPr>
          <w:rFonts w:hint="eastAsia" w:ascii="宋体" w:hAnsi="宋体" w:eastAsia="宋体" w:cs="宋体"/>
          <w:sz w:val="21"/>
          <w:szCs w:val="21"/>
          <w:lang w:eastAsia="zh-CN"/>
        </w:rPr>
        <w:t>说明</w:t>
      </w:r>
      <w:r>
        <w:rPr>
          <w:rFonts w:hint="eastAsia" w:ascii="宋体" w:hAnsi="宋体" w:eastAsia="宋体" w:cs="宋体"/>
          <w:sz w:val="21"/>
          <w:szCs w:val="21"/>
        </w:rPr>
        <w:t>材料的，视为供应商不具备磋商文件中规定的资格要求，其响应无效。</w:t>
      </w:r>
    </w:p>
    <w:p w14:paraId="35A614E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对未通过资格审查的供应商，采购人或采购代理机构告知其未通过的原因。</w:t>
      </w:r>
    </w:p>
    <w:p w14:paraId="400A38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合格供应商不足3家的，不再磋商。</w:t>
      </w:r>
    </w:p>
    <w:p w14:paraId="17A7A1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20.信用信息查询</w:t>
      </w:r>
    </w:p>
    <w:p w14:paraId="1CBB9D6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 信用信息查询渠道及截止时间：根据《关于在政府采购活动中查询及使用信用记录有关问题的通知》财库[2016]125号文件的规定执行：查询渠道：信用中国（www.creditchina.gov.cn）、中国政府采购网（www.ccgp.gov.cn）；提交响应文件截止时间前3年内。</w:t>
      </w:r>
    </w:p>
    <w:p w14:paraId="3727E5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 信用信息查询记录和证据留存的具体方式：信用信息查询记录和证据以网页截图等方式留存。</w:t>
      </w:r>
    </w:p>
    <w:p w14:paraId="673F2A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20.3 信用信息的使用规则：被列入失信被执行人、重大税收违法失信主体、政府采购严重违法失信行为记录名单及其他不符合《中华人民共和国政府采购法》第二十二条规定条件的，其投标将被拒绝。</w:t>
      </w:r>
    </w:p>
    <w:p w14:paraId="1D82F9A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24FBC9CE">
      <w:pPr>
        <w:pStyle w:val="4"/>
        <w:numPr>
          <w:ilvl w:val="1"/>
          <w:numId w:val="0"/>
        </w:numPr>
        <w:bidi w:val="0"/>
        <w:ind w:leftChars="0"/>
        <w:rPr>
          <w:rFonts w:hint="eastAsia"/>
          <w:lang w:val="en-US" w:eastAsia="zh-CN"/>
        </w:rPr>
      </w:pPr>
      <w:bookmarkStart w:id="37" w:name="_Toc6690"/>
      <w:r>
        <w:rPr>
          <w:rFonts w:hint="eastAsia"/>
          <w:lang w:val="en-US" w:eastAsia="zh-CN"/>
        </w:rPr>
        <w:t>六、提交最后报价</w:t>
      </w:r>
      <w:bookmarkEnd w:id="37"/>
    </w:p>
    <w:p w14:paraId="2C53A2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21.提交最后报价</w:t>
      </w:r>
    </w:p>
    <w:p w14:paraId="587CC7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供应商应在规定时间内提交最后报价一览表。</w:t>
      </w:r>
    </w:p>
    <w:p w14:paraId="41BC07BA">
      <w:pPr>
        <w:pStyle w:val="4"/>
        <w:numPr>
          <w:ilvl w:val="1"/>
          <w:numId w:val="0"/>
        </w:numPr>
        <w:bidi w:val="0"/>
        <w:ind w:leftChars="0"/>
        <w:rPr>
          <w:rFonts w:hint="eastAsia"/>
          <w:lang w:val="en-US" w:eastAsia="zh-CN"/>
        </w:rPr>
      </w:pPr>
      <w:bookmarkStart w:id="38" w:name="_Toc8053"/>
      <w:r>
        <w:rPr>
          <w:rFonts w:hint="eastAsia"/>
          <w:lang w:val="en-US" w:eastAsia="zh-CN"/>
        </w:rPr>
        <w:t>七、评审</w:t>
      </w:r>
      <w:bookmarkEnd w:id="38"/>
    </w:p>
    <w:p w14:paraId="528F43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22.评审</w:t>
      </w:r>
    </w:p>
    <w:p w14:paraId="56807A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小组将根据磋商文件和有关规定，履行评标工作职责，并按照评标方法及评分标准，全面衡量各供应商对磋商文件的响应情况。对实质上响应磋商文件的供应商，按照评审因素的量化指标排出推荐成交的供应商的先后顺序，并按顺序提出授标建议。详见磋商文件“第</w:t>
      </w:r>
      <w:r>
        <w:rPr>
          <w:rFonts w:hint="eastAsia" w:ascii="宋体" w:hAnsi="宋体" w:eastAsia="宋体" w:cs="宋体"/>
          <w:sz w:val="21"/>
          <w:szCs w:val="21"/>
          <w:lang w:val="en-US" w:eastAsia="zh-CN"/>
        </w:rPr>
        <w:t>五</w:t>
      </w:r>
      <w:r>
        <w:rPr>
          <w:rFonts w:hint="eastAsia" w:ascii="宋体" w:hAnsi="宋体" w:eastAsia="宋体" w:cs="宋体"/>
          <w:sz w:val="21"/>
          <w:szCs w:val="21"/>
        </w:rPr>
        <w:t>部分 评审方法及标准”。</w:t>
      </w:r>
    </w:p>
    <w:p w14:paraId="7C7ACE60">
      <w:pPr>
        <w:pStyle w:val="4"/>
        <w:numPr>
          <w:ilvl w:val="1"/>
          <w:numId w:val="0"/>
        </w:numPr>
        <w:bidi w:val="0"/>
        <w:ind w:leftChars="0"/>
        <w:rPr>
          <w:rFonts w:hint="eastAsia"/>
          <w:lang w:val="en-US" w:eastAsia="zh-CN"/>
        </w:rPr>
      </w:pPr>
      <w:bookmarkStart w:id="39" w:name="_Toc4898"/>
      <w:r>
        <w:rPr>
          <w:rFonts w:hint="eastAsia"/>
          <w:lang w:val="en-US" w:eastAsia="zh-CN"/>
        </w:rPr>
        <w:t>八、成交</w:t>
      </w:r>
      <w:bookmarkEnd w:id="39"/>
    </w:p>
    <w:p w14:paraId="3DC7976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23.推荐成交候选供应商</w:t>
      </w:r>
    </w:p>
    <w:p w14:paraId="70F7DE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5B34B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24.确定成交供应商</w:t>
      </w:r>
    </w:p>
    <w:p w14:paraId="43BD90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代理机构将在评审结束后2个工作日内将评审报告送采购人确认。采购人应当在收到评审报告后5个工作日内，通过电子交易平台，从评审报告提出的成交候选供应商中，按照排序由高到低的原则确定成交供应商</w:t>
      </w:r>
      <w:r>
        <w:rPr>
          <w:rFonts w:hint="eastAsia" w:ascii="宋体" w:hAnsi="宋体" w:eastAsia="宋体" w:cs="宋体"/>
          <w:sz w:val="21"/>
          <w:szCs w:val="21"/>
          <w:lang w:eastAsia="zh-CN"/>
        </w:rPr>
        <w:t>；</w:t>
      </w:r>
      <w:r>
        <w:rPr>
          <w:rFonts w:hint="eastAsia" w:ascii="宋体" w:hAnsi="宋体" w:eastAsia="宋体" w:cs="宋体"/>
          <w:sz w:val="21"/>
          <w:szCs w:val="21"/>
        </w:rPr>
        <w:t>也可以书面授权磋商小组直接确定成交供应商。采购人逾期未确定成交供应商且不提出异议的，视为确定评审报告提出的排序第一的供应商为成交供应商。</w:t>
      </w:r>
    </w:p>
    <w:p w14:paraId="17DEBE7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25.成交通知及成交结果公告</w:t>
      </w:r>
    </w:p>
    <w:p w14:paraId="6A4597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代理机构将在自成交人确定之日起2个工作日内，在省级以上财政部门指定的政府采购信息发布媒体上公告成交结果。成交结果公告内容包括采购人及其委托的采购代理机构的名称、地址、联系方式，项目名称和项目编号，成交人名称、地址和成交金额，主要成交标的的名称、规格型号、数量、单价、服务要求，成交公告期限以及评审专家名单、评分汇总及明细等。</w:t>
      </w:r>
    </w:p>
    <w:p w14:paraId="0E8FDD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25.2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公告期限为1个工作日。</w:t>
      </w:r>
    </w:p>
    <w:p w14:paraId="2ADB684D">
      <w:pPr>
        <w:pStyle w:val="4"/>
        <w:numPr>
          <w:ilvl w:val="1"/>
          <w:numId w:val="0"/>
        </w:numPr>
        <w:bidi w:val="0"/>
        <w:ind w:leftChars="0"/>
        <w:rPr>
          <w:rFonts w:hint="eastAsia"/>
          <w:lang w:val="en-US" w:eastAsia="zh-CN"/>
        </w:rPr>
      </w:pPr>
      <w:bookmarkStart w:id="40" w:name="_Toc26394"/>
      <w:r>
        <w:rPr>
          <w:rFonts w:hint="eastAsia"/>
          <w:lang w:val="en-US" w:eastAsia="zh-CN"/>
        </w:rPr>
        <w:t>九、合同授予</w:t>
      </w:r>
      <w:bookmarkEnd w:id="40"/>
    </w:p>
    <w:p w14:paraId="02525C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26.合同授予</w:t>
      </w:r>
    </w:p>
    <w:p w14:paraId="50E01E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合同主要条款详见</w:t>
      </w:r>
      <w:r>
        <w:rPr>
          <w:rFonts w:hint="eastAsia" w:ascii="宋体" w:hAnsi="宋体" w:eastAsia="宋体" w:cs="宋体"/>
          <w:sz w:val="21"/>
          <w:szCs w:val="21"/>
          <w:lang w:eastAsia="zh-CN"/>
        </w:rPr>
        <w:t>“</w:t>
      </w:r>
      <w:r>
        <w:rPr>
          <w:rFonts w:hint="eastAsia" w:ascii="宋体" w:hAnsi="宋体" w:eastAsia="宋体" w:cs="宋体"/>
          <w:sz w:val="21"/>
          <w:szCs w:val="21"/>
        </w:rPr>
        <w:t>第</w:t>
      </w:r>
      <w:r>
        <w:rPr>
          <w:rFonts w:hint="eastAsia" w:ascii="宋体" w:hAnsi="宋体" w:eastAsia="宋体" w:cs="宋体"/>
          <w:sz w:val="21"/>
          <w:szCs w:val="21"/>
          <w:lang w:val="en-US" w:eastAsia="zh-CN"/>
        </w:rPr>
        <w:t>六</w:t>
      </w:r>
      <w:r>
        <w:rPr>
          <w:rFonts w:hint="eastAsia" w:ascii="宋体" w:hAnsi="宋体" w:eastAsia="宋体" w:cs="宋体"/>
          <w:sz w:val="21"/>
          <w:szCs w:val="21"/>
        </w:rPr>
        <w:t>部分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拟签订的合同文本</w:t>
      </w:r>
      <w:r>
        <w:rPr>
          <w:rFonts w:hint="eastAsia" w:ascii="宋体" w:hAnsi="宋体" w:eastAsia="宋体" w:cs="宋体"/>
          <w:sz w:val="21"/>
          <w:szCs w:val="21"/>
          <w:lang w:eastAsia="zh-CN"/>
        </w:rPr>
        <w:t>”</w:t>
      </w:r>
      <w:r>
        <w:rPr>
          <w:rFonts w:hint="eastAsia" w:ascii="宋体" w:hAnsi="宋体" w:eastAsia="宋体" w:cs="宋体"/>
          <w:sz w:val="21"/>
          <w:szCs w:val="21"/>
        </w:rPr>
        <w:t>。</w:t>
      </w:r>
    </w:p>
    <w:p w14:paraId="74B1D0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27.合同的签订</w:t>
      </w:r>
    </w:p>
    <w:p w14:paraId="57B24C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采购人与成交供应商应当在成交通知书发出之日起</w:t>
      </w:r>
      <w:r>
        <w:rPr>
          <w:rFonts w:hint="eastAsia" w:ascii="宋体" w:hAnsi="宋体" w:eastAsia="宋体" w:cs="宋体"/>
          <w:sz w:val="21"/>
          <w:szCs w:val="21"/>
          <w:lang w:val="en-US" w:eastAsia="zh-CN"/>
        </w:rPr>
        <w:t>20</w:t>
      </w:r>
      <w:r>
        <w:rPr>
          <w:rFonts w:hint="eastAsia" w:ascii="宋体" w:hAnsi="宋体" w:eastAsia="宋体" w:cs="宋体"/>
          <w:sz w:val="21"/>
          <w:szCs w:val="21"/>
        </w:rPr>
        <w:t>日内，按照磋商文件确定的事项签订政府采购合同，并在合同签订之日起2个工作日内依法发布合同公告。</w:t>
      </w:r>
    </w:p>
    <w:p w14:paraId="2B8405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27.2.成交供应商按规定的日期、时间、地点，由法定代表人或其授权代表与采购人代表签订合同。如成交供应商为联合体的，由联合体成员各方法定代表人或其授权代表与采购人代表</w:t>
      </w:r>
      <w:r>
        <w:rPr>
          <w:rFonts w:hint="eastAsia" w:ascii="宋体" w:hAnsi="宋体" w:eastAsia="宋体" w:cs="宋体"/>
          <w:sz w:val="21"/>
          <w:szCs w:val="21"/>
          <w:lang w:val="en-US" w:eastAsia="zh-CN"/>
        </w:rPr>
        <w:t>共同</w:t>
      </w:r>
      <w:r>
        <w:rPr>
          <w:rFonts w:hint="eastAsia" w:ascii="宋体" w:hAnsi="宋体" w:eastAsia="宋体" w:cs="宋体"/>
          <w:sz w:val="21"/>
          <w:szCs w:val="21"/>
        </w:rPr>
        <w:t>签订合同。</w:t>
      </w:r>
    </w:p>
    <w:p w14:paraId="6950A8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如签订合同并生效后，供应商无故拒绝或延期，除按照合同条款处理外，列入不良行为记录一次，并给予通报。</w:t>
      </w:r>
    </w:p>
    <w:p w14:paraId="126A2F6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280FB3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w:t>
      </w:r>
      <w:r>
        <w:rPr>
          <w:rFonts w:hint="eastAsia" w:ascii="宋体" w:hAnsi="宋体" w:eastAsia="宋体" w:cs="宋体"/>
          <w:sz w:val="21"/>
          <w:szCs w:val="21"/>
          <w:lang w:val="en-US" w:eastAsia="zh-CN"/>
        </w:rPr>
        <w:t xml:space="preserve">5 </w:t>
      </w:r>
      <w:r>
        <w:rPr>
          <w:rFonts w:hint="eastAsia" w:ascii="宋体" w:hAnsi="宋体" w:eastAsia="宋体" w:cs="宋体"/>
          <w:sz w:val="21"/>
          <w:szCs w:val="21"/>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A50E8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27.6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采购合同由采购人与成交供应商根据磋商文件、响应文件等内容签订，</w:t>
      </w:r>
      <w:r>
        <w:rPr>
          <w:rFonts w:hint="eastAsia" w:ascii="宋体" w:hAnsi="宋体" w:eastAsia="宋体" w:cs="宋体"/>
          <w:sz w:val="21"/>
          <w:szCs w:val="21"/>
          <w:lang w:val="en-US" w:eastAsia="zh-CN"/>
        </w:rPr>
        <w:t>报政府采购监督部门</w:t>
      </w:r>
      <w:r>
        <w:rPr>
          <w:rFonts w:hint="eastAsia" w:ascii="宋体" w:hAnsi="宋体" w:eastAsia="宋体" w:cs="宋体"/>
          <w:sz w:val="21"/>
          <w:szCs w:val="21"/>
        </w:rPr>
        <w:t>备案。</w:t>
      </w:r>
    </w:p>
    <w:p w14:paraId="250F81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28.履约保证金</w:t>
      </w:r>
    </w:p>
    <w:p w14:paraId="427135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拟签订的合同文本要求成交供应商提交履约保证金的，供应商应当以支票、汇票、本票或者金融机构、担保机构出具的保函等非现金形式提交。履约保证金的数额不得超过政府采购合同金额的</w:t>
      </w:r>
      <w:r>
        <w:rPr>
          <w:rFonts w:hint="eastAsia" w:ascii="宋体" w:hAnsi="宋体" w:eastAsia="宋体" w:cs="宋体"/>
          <w:sz w:val="21"/>
          <w:szCs w:val="21"/>
          <w:lang w:val="en-US" w:eastAsia="zh-CN"/>
        </w:rPr>
        <w:t>1</w:t>
      </w:r>
      <w:r>
        <w:rPr>
          <w:rFonts w:hint="eastAsia" w:ascii="宋体" w:hAnsi="宋体" w:eastAsia="宋体" w:cs="宋体"/>
          <w:sz w:val="21"/>
          <w:szCs w:val="21"/>
        </w:rPr>
        <w:t>%。鼓励和支持供应商以银行、保险公司出具的保函形式提供履约保证金。采购人不得拒收履约保函。</w:t>
      </w:r>
    </w:p>
    <w:p w14:paraId="1E4FEC1F">
      <w:pPr>
        <w:pStyle w:val="4"/>
        <w:numPr>
          <w:ilvl w:val="1"/>
          <w:numId w:val="0"/>
        </w:numPr>
        <w:bidi w:val="0"/>
        <w:ind w:leftChars="0"/>
        <w:rPr>
          <w:rFonts w:hint="eastAsia"/>
          <w:lang w:val="en-US" w:eastAsia="zh-CN"/>
        </w:rPr>
      </w:pPr>
      <w:bookmarkStart w:id="41" w:name="_Toc28776"/>
      <w:r>
        <w:rPr>
          <w:rFonts w:hint="eastAsia"/>
          <w:lang w:val="en-US" w:eastAsia="zh-CN"/>
        </w:rPr>
        <w:t>十、电子交易活动的中止</w:t>
      </w:r>
      <w:bookmarkEnd w:id="41"/>
    </w:p>
    <w:p w14:paraId="700D94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29.电子交易活动的中止。</w:t>
      </w:r>
    </w:p>
    <w:p w14:paraId="5CFC51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采购过程中出现以下情形，导致电子交易平台无法正常运行，或者无法保证电子交易的公平、公正和安全时，采购代理机构可中止电子交易活动：</w:t>
      </w:r>
    </w:p>
    <w:p w14:paraId="06EAAB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29.1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电子交易平台发生故障而无法登录访问的</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258A4E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29.2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电子交易平台应用或数据库出现错误，不能进行正常操作的</w:t>
      </w:r>
      <w:r>
        <w:rPr>
          <w:rFonts w:hint="eastAsia" w:ascii="宋体" w:hAnsi="宋体" w:eastAsia="宋体" w:cs="宋体"/>
          <w:sz w:val="21"/>
          <w:szCs w:val="21"/>
          <w:lang w:eastAsia="zh-CN"/>
        </w:rPr>
        <w:t>；</w:t>
      </w:r>
    </w:p>
    <w:p w14:paraId="023632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29.3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电子交易平台发现严重安全漏洞，有潜在泄密危险的</w:t>
      </w:r>
      <w:r>
        <w:rPr>
          <w:rFonts w:hint="eastAsia" w:ascii="宋体" w:hAnsi="宋体" w:eastAsia="宋体" w:cs="宋体"/>
          <w:sz w:val="21"/>
          <w:szCs w:val="21"/>
          <w:lang w:eastAsia="zh-CN"/>
        </w:rPr>
        <w:t>；</w:t>
      </w:r>
    </w:p>
    <w:p w14:paraId="07F0A7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29.4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病毒发作导致不能进行正常操作的</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496F1B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29.5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其他无法保证电子交易的公平、公正和安全的情况。</w:t>
      </w:r>
    </w:p>
    <w:p w14:paraId="4B9D9C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30.出现以上情形，不影响采购公平、公正性的，采购组织机构可以待上述情形消除后继续组织电子交易活动，也可以决定某些环节以纸质形式进行</w:t>
      </w:r>
      <w:r>
        <w:rPr>
          <w:rFonts w:hint="eastAsia" w:ascii="宋体" w:hAnsi="宋体" w:eastAsia="宋体" w:cs="宋体"/>
          <w:sz w:val="21"/>
          <w:szCs w:val="21"/>
          <w:lang w:eastAsia="zh-CN"/>
        </w:rPr>
        <w:t>；</w:t>
      </w:r>
      <w:r>
        <w:rPr>
          <w:rFonts w:hint="eastAsia" w:ascii="宋体" w:hAnsi="宋体" w:eastAsia="宋体" w:cs="宋体"/>
          <w:sz w:val="21"/>
          <w:szCs w:val="21"/>
        </w:rPr>
        <w:t>影响或可能影响采购公平、公正性的，应当重新采购。</w:t>
      </w:r>
    </w:p>
    <w:p w14:paraId="71A4276A">
      <w:pPr>
        <w:pStyle w:val="4"/>
        <w:numPr>
          <w:ilvl w:val="1"/>
          <w:numId w:val="0"/>
        </w:numPr>
        <w:bidi w:val="0"/>
        <w:ind w:leftChars="0"/>
        <w:rPr>
          <w:rFonts w:hint="eastAsia"/>
          <w:lang w:val="en-US" w:eastAsia="zh-CN"/>
        </w:rPr>
      </w:pPr>
      <w:bookmarkStart w:id="42" w:name="_Toc20050"/>
      <w:r>
        <w:rPr>
          <w:rFonts w:hint="eastAsia"/>
          <w:lang w:val="en-US" w:eastAsia="zh-CN"/>
        </w:rPr>
        <w:t>十一、验收</w:t>
      </w:r>
      <w:bookmarkEnd w:id="42"/>
    </w:p>
    <w:p w14:paraId="4991078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31.验收</w:t>
      </w:r>
    </w:p>
    <w:p w14:paraId="24FFDA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161408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31.2采购人可以邀请参加本项目的其他供应商或者第三方机构参与验收。参与验收的供应商或者第三方机构的意见作为验收书的参考资料一并存档。</w:t>
      </w:r>
    </w:p>
    <w:p w14:paraId="5A2975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84C7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31.4采购人原则上应当在履约验收之日起2个工作日内，将履约验收结果在浙江政府采购网上公告。</w:t>
      </w:r>
    </w:p>
    <w:p w14:paraId="5248E8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31.5验收合格的项目，采购人将根据采购合同的约定及时向供应商支付采购资金、退还履约保证金。</w:t>
      </w:r>
    </w:p>
    <w:p w14:paraId="0ABCD5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43" w:name="_Toc27331"/>
    </w:p>
    <w:p w14:paraId="45A138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7E5FD9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4BA559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6128B1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14220A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64AA45B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522EA7D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39D49F3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358CFB8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087F9A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338D3D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0B489F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2FCFDB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12F79F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10F998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32FB7B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492AAB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283F0B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3CAD321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7F2BF09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5F2AA218">
      <w:pPr>
        <w:pStyle w:val="3"/>
        <w:bidi w:val="0"/>
        <w:rPr>
          <w:rFonts w:hint="eastAsia"/>
          <w:lang w:val="en-US" w:eastAsia="zh-CN"/>
        </w:rPr>
      </w:pPr>
      <w:r>
        <w:rPr>
          <w:rFonts w:hint="eastAsia"/>
          <w:lang w:val="en-US" w:eastAsia="zh-CN"/>
        </w:rPr>
        <w:t>第四部分 采购需求</w:t>
      </w:r>
      <w:bookmarkEnd w:id="43"/>
    </w:p>
    <w:p w14:paraId="4951F7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（▲条款为实质性响应条款，必须满足，否则作无效标处理）</w:t>
      </w:r>
    </w:p>
    <w:p w14:paraId="2705FE8E">
      <w:pPr>
        <w:pStyle w:val="4"/>
        <w:numPr>
          <w:ilvl w:val="1"/>
          <w:numId w:val="0"/>
        </w:numPr>
        <w:bidi w:val="0"/>
        <w:ind w:leftChars="0"/>
        <w:rPr>
          <w:rFonts w:hint="eastAsia"/>
          <w:lang w:val="en-US" w:eastAsia="zh-CN"/>
        </w:rPr>
      </w:pPr>
      <w:bookmarkStart w:id="44" w:name="_Toc18383"/>
      <w:bookmarkStart w:id="45" w:name="_Toc481739401"/>
      <w:r>
        <w:rPr>
          <w:rFonts w:hint="eastAsia"/>
          <w:lang w:val="en-US" w:eastAsia="zh-CN"/>
        </w:rPr>
        <w:t>一、项目概况</w:t>
      </w:r>
      <w:bookmarkEnd w:id="44"/>
    </w:p>
    <w:p w14:paraId="600A12EA">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bookmarkStart w:id="46" w:name="_Toc31365"/>
      <w:r>
        <w:rPr>
          <w:rFonts w:hint="eastAsia" w:ascii="宋体" w:hAnsi="宋体" w:eastAsia="宋体" w:cs="宋体"/>
          <w:b/>
          <w:bCs/>
          <w:sz w:val="21"/>
          <w:szCs w:val="21"/>
          <w:lang w:val="en-US" w:eastAsia="zh-CN"/>
        </w:rPr>
        <w:t>1.项目背景</w:t>
      </w:r>
      <w:bookmarkEnd w:id="46"/>
    </w:p>
    <w:p w14:paraId="165518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为加强浦江县国家基本站、水雨情监测站运行维护和水文代办员的管理，结合我县实际情况，针对我县水雨情遥测监测站设备运行维护服务，制定本实施方案。</w:t>
      </w:r>
    </w:p>
    <w:p w14:paraId="0621D89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2.基本情况</w:t>
      </w:r>
    </w:p>
    <w:p w14:paraId="28073EC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2024年全县共涉及101个水雨情遥测监测站运行维护需委托管理，101个水雨情遥测监测站中，国家基本水文测站12处，其中水文站1处，水位站2处，雨量站9处，其余89处为专用站。101处遥测站共计124套遥测终端设备，共有雨量设备95套、雷达水位设备21套、浮子水位设备15套、压力水位设备53套、流量设备6套。</w:t>
      </w:r>
    </w:p>
    <w:p w14:paraId="1730B45E">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浦江县水雨情遥测监测站清单</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476"/>
        <w:gridCol w:w="2631"/>
        <w:gridCol w:w="1476"/>
        <w:gridCol w:w="1896"/>
      </w:tblGrid>
      <w:tr w14:paraId="093D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D54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06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7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遥测终端ID号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56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水文测站编码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79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测站类型</w:t>
            </w:r>
          </w:p>
        </w:tc>
      </w:tr>
      <w:tr w14:paraId="5E67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191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7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檀溪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0F3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10067/10068/10069/14268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DD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70116290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7C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基本站（水文站）</w:t>
            </w:r>
          </w:p>
        </w:tc>
      </w:tr>
      <w:tr w14:paraId="458E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90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73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白马水文站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96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7498/14263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93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70117120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E8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基本站（</w:t>
            </w:r>
            <w:r>
              <w:rPr>
                <w:rFonts w:hint="eastAsia" w:ascii="宋体" w:hAnsi="宋体" w:eastAsia="宋体" w:cs="宋体"/>
                <w:sz w:val="21"/>
                <w:szCs w:val="21"/>
                <w:lang w:val="en-US" w:eastAsia="zh-CN"/>
              </w:rPr>
              <w:t>水位站</w:t>
            </w:r>
            <w:r>
              <w:rPr>
                <w:rFonts w:hint="eastAsia" w:ascii="宋体" w:hAnsi="宋体" w:eastAsia="宋体" w:cs="宋体"/>
                <w:color w:val="auto"/>
                <w:sz w:val="21"/>
                <w:szCs w:val="21"/>
                <w:lang w:val="en-US" w:eastAsia="zh-CN"/>
              </w:rPr>
              <w:t>）</w:t>
            </w:r>
          </w:p>
        </w:tc>
      </w:tr>
      <w:tr w14:paraId="6AFB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150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1C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浦江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E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1293/6508/10070/30101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78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70116900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1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基本站（</w:t>
            </w:r>
            <w:r>
              <w:rPr>
                <w:rFonts w:hint="eastAsia" w:ascii="宋体" w:hAnsi="宋体" w:eastAsia="宋体" w:cs="宋体"/>
                <w:sz w:val="21"/>
                <w:szCs w:val="21"/>
                <w:lang w:val="en-US" w:eastAsia="zh-CN"/>
              </w:rPr>
              <w:t>水位站</w:t>
            </w:r>
            <w:r>
              <w:rPr>
                <w:rFonts w:hint="eastAsia" w:ascii="宋体" w:hAnsi="宋体" w:eastAsia="宋体" w:cs="宋体"/>
                <w:color w:val="auto"/>
                <w:sz w:val="21"/>
                <w:szCs w:val="21"/>
                <w:lang w:val="en-US" w:eastAsia="zh-CN"/>
              </w:rPr>
              <w:t>）</w:t>
            </w:r>
          </w:p>
        </w:tc>
      </w:tr>
      <w:tr w14:paraId="289C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A6B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B4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海母口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56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2124/6516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73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70150960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12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基本站（雨量站）</w:t>
            </w:r>
          </w:p>
        </w:tc>
      </w:tr>
      <w:tr w14:paraId="601D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F47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76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杭口坪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44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2123/6506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7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70150920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2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基本站（雨量站）</w:t>
            </w:r>
          </w:p>
        </w:tc>
      </w:tr>
      <w:tr w14:paraId="0109B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3A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3F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下宅溪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22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2122/6512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EE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87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基本站（雨量站）</w:t>
            </w:r>
          </w:p>
        </w:tc>
      </w:tr>
      <w:tr w14:paraId="698A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2C0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58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黄宅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60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2888/10071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57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37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基本站（雨量站）</w:t>
            </w:r>
          </w:p>
        </w:tc>
      </w:tr>
      <w:tr w14:paraId="0127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87B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6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袅溪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08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2121/6511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28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70152120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19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基本站（雨量站）</w:t>
            </w:r>
          </w:p>
        </w:tc>
      </w:tr>
      <w:tr w14:paraId="2602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5A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040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通济桥水库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7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2120/6510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A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27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基本站（雨量站）</w:t>
            </w:r>
          </w:p>
        </w:tc>
      </w:tr>
      <w:tr w14:paraId="2692E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849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4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朱桥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93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2127/6513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F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2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基本站（雨量站）</w:t>
            </w:r>
          </w:p>
        </w:tc>
      </w:tr>
      <w:tr w14:paraId="6663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79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89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寺前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22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2125/6504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C6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70151060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E9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基本站（雨量站）</w:t>
            </w:r>
          </w:p>
        </w:tc>
      </w:tr>
      <w:tr w14:paraId="6400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B5C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7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大岭脚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E2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2126/6503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93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7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基本站（雨量站）</w:t>
            </w:r>
          </w:p>
        </w:tc>
      </w:tr>
      <w:tr w14:paraId="1187B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968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CD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浦江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6C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67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70165280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1C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55AD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05B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56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安华水库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FC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1289/14280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56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70117140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C2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166E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12A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F0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官龙水库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D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4D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A3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F89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DD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A8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里傅水库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79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0C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A8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9AB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DB6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6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深山水库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E8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77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BE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48C1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C6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7F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陈竹坞水库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6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40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62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171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7F3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C2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郭村源水库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0D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B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4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592E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3E8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C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茶壶里水库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1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FF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70116710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90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814B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27C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9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大岩岭水库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CD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83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2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398B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52F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A1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丰收水库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14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A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4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67B3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CD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5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杭口坪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9D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20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13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00E8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750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67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湖塔水库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96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83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7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4C08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84E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B9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里存水库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3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19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EC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024A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FD6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AA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派顶水库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81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85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19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4B7F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244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A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山桠水库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81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5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E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4282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0B8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3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外胡水库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1E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7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70116705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77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0B1D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390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E3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陈宅凹水库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63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0F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48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550C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6D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AB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长凹水库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77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F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00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474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EEA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0FE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和平水库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F85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3593/14272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DC3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529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5DA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D96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495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黄宅桥东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2A5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F554">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C38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DECD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7B8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6AF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黄宅钟村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D0A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F42A">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0E8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6F05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CD0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D5D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老鼠洞口水库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23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4936">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66E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014B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C38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F20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青草坞水库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1CF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42A6">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5DF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721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8C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6D2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岳塘水库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B6F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8D99">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A4C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03595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7FE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023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白石源水库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DE9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32D3">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4ED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0742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94F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EF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大坞里水库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6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9C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99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94D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EC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2E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横山水库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78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B8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C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5855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F6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74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丽水源水库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7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CE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EB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4DB5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A3B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C6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寺后塘水库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3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73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DC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507F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20C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C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塘下畈水库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2A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2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C3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5ADD8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17E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18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沉湖塘水库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9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FC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06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63D2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D9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CF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翠湖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70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29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E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197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076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1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大坪地水库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DA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32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2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AD3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27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A5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枫坞里水库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26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5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2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D3A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2E4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5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后印水库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2C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A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92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6B87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1EB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E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金师岭水库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9B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58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89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689B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1D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5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金竹坑水库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8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13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2C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435F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93B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0B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里坞水库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B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8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12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0A80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BFC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EC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蒲池塘水库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1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20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A5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1E9D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ECE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E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石洋塘水库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45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B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2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2C5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532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1E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周西坞水库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C3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4C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4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1FDA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190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F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大箬溪水库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A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A4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D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9F4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F2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A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地宅弄水库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B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1D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55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4509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5CD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C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东岭脚水库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E7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D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F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5B9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BFA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0A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塘坞坑水库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2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3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5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3DC2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27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1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通济桥水库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E7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3610/30098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C9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A7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DB4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570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3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小箬溪水库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A1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E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E1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2ADF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9DA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5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金鸡水库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EB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81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B2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108C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4E8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2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老坞水库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0B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F6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24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3BCD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9CB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F3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檀溪立前畈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0E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5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7A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34D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BC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16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象鼻头水库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4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91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70116716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B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2A9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F9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20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金坑岭水库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CF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3295/30100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7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A8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F65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152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0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笠帽塘水库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59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31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46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1B94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72A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D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梅石4号水库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DA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B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89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02FAC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E9E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77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梅坞水库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74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4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C1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3FCA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9E1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FC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仙华水库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9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3294/30103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B6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70152140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B7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1DB7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7B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DC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朝阳水库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E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0B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8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183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4F8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8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曲折源水库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F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0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BA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1BF0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A98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1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东风水库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B3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02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5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39969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F51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E0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黄岭水库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35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1A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EE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9CA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BFD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76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深清源水库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37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54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4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39D8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F22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19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车坞水库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C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53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70118864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E7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5C1A1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13D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B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青山水库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A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50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9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9F3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121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87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樟片坞水库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CC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A2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BE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10A0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3743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9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郑家坞村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EA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1C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E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0A5D5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E7A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8C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后虎塘水库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B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91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79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5F03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81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B2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金山水库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89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5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6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1152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CDE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C7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七树岭水库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C2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75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0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440C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A7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B3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石姆岭水库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A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20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70118265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D6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58C9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79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2E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三亩水库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A8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B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81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F39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8F4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B3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跃进水库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6C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49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70116714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4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806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2CF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34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石斛桥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BF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58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66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05F0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0A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6D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96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39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6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473A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42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D2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大梓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3D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EE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00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1AD5E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EC9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1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上河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18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9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5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16DE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B8A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4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虞宅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C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DF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C3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532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C7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C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岩头镇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B7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D1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B8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2BD4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A76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1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郑宅镇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7B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50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75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4500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3F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1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上塘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A4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BA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7012GH01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D3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6533A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19F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29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方家村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7B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30038912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7B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7011GH9F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1C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043ED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90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C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清溪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9E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6514/6515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D9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70150971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0B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396C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58B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D9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林坞口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A7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2A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4F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FBC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47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56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金坑岭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28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CC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7011F150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9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41A4C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9D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04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芳地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4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D4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B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66E3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C57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B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朱宅源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50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0D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70150940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41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DB4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7CC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56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金坑岭库下站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6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30033629/30033630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C0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7010GH01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0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68F78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4E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19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湃桥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D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30036174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4D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6A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600F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B1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42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月牙湖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B5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30036173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D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7011GH80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2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r w14:paraId="7A5E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A84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145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通济桥库下站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7B3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30036631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251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1F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专用站</w:t>
            </w:r>
          </w:p>
        </w:tc>
      </w:tr>
    </w:tbl>
    <w:p w14:paraId="72C9C09F">
      <w:pPr>
        <w:pStyle w:val="4"/>
        <w:numPr>
          <w:ilvl w:val="1"/>
          <w:numId w:val="0"/>
        </w:numPr>
        <w:bidi w:val="0"/>
        <w:ind w:leftChars="0"/>
        <w:rPr>
          <w:rFonts w:hint="eastAsia"/>
          <w:lang w:val="en-US" w:eastAsia="zh-CN"/>
        </w:rPr>
      </w:pPr>
      <w:bookmarkStart w:id="47" w:name="_Toc23233"/>
      <w:bookmarkStart w:id="48" w:name="_Toc13795"/>
      <w:r>
        <w:rPr>
          <w:rFonts w:hint="eastAsia"/>
          <w:lang w:val="en-US" w:eastAsia="zh-CN"/>
        </w:rPr>
        <w:t>二、维护服务内容</w:t>
      </w:r>
      <w:bookmarkEnd w:id="47"/>
    </w:p>
    <w:p w14:paraId="3F7D8D7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1.汛前准备工作</w:t>
      </w:r>
    </w:p>
    <w:p w14:paraId="643A52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按照规范要求，结合实际每年完成以下汛前准备工作：</w:t>
      </w:r>
    </w:p>
    <w:p w14:paraId="38796A6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1.1做好安全生产相关工作；</w:t>
      </w:r>
    </w:p>
    <w:p w14:paraId="5BF4B8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1.2大断面、水尺零高、校核水准点的校测；</w:t>
      </w:r>
    </w:p>
    <w:p w14:paraId="1A9C0DA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1.3水位、流量、降水量等水文监测设施设备检查维护，并做好台账；</w:t>
      </w:r>
    </w:p>
    <w:p w14:paraId="65956E8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1.4各种测量仪器的鉴定校准；</w:t>
      </w:r>
    </w:p>
    <w:p w14:paraId="3B74371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1.5其他需要完成的工作；</w:t>
      </w:r>
    </w:p>
    <w:p w14:paraId="01CB55C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2.日常运行管理</w:t>
      </w:r>
    </w:p>
    <w:p w14:paraId="3F3DEB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按照相关规范及文件要求，做好所辖水文测站测报业务和水文监测设施设备的运行维护，测站任务开展情况和成果资料，应及时录入“浙江省江河湖库水雨情监测在线分析服务平台”各相应模块。</w:t>
      </w:r>
    </w:p>
    <w:p w14:paraId="184848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水文测报和运行维护主要依据规范如下（当有关观测标准和规范有更改时，以最新更改为准）：</w:t>
      </w:r>
    </w:p>
    <w:p w14:paraId="5D2C71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降水量观测规范 SL 21-2015</w:t>
      </w:r>
    </w:p>
    <w:p w14:paraId="3F19CF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水面蒸发观测规范 SL 630-2013</w:t>
      </w:r>
    </w:p>
    <w:p w14:paraId="535E79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水位观测标准 GB/T 50138-2010</w:t>
      </w:r>
    </w:p>
    <w:p w14:paraId="5313558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河流悬移质泥沙测验规范 GB/T 50159-2015</w:t>
      </w:r>
    </w:p>
    <w:p w14:paraId="537AF2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河流流量测验规范 GB 50179-2015</w:t>
      </w:r>
    </w:p>
    <w:p w14:paraId="3A46C30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水文缆道测验规范 SL 443-2009</w:t>
      </w:r>
    </w:p>
    <w:p w14:paraId="42CE29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声学多普勒流量测验规范 T/CHES 61-2021</w:t>
      </w:r>
    </w:p>
    <w:p w14:paraId="0CE2A2D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水文测量规范 SL 58-2014</w:t>
      </w:r>
    </w:p>
    <w:p w14:paraId="648CA3E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水文调查规范 SL 196-2015</w:t>
      </w:r>
    </w:p>
    <w:p w14:paraId="7B38511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水文巡测规范 SL 195-2015</w:t>
      </w:r>
    </w:p>
    <w:p w14:paraId="3839CF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地下水监测规范 SL 183-2005</w:t>
      </w:r>
    </w:p>
    <w:p w14:paraId="396EBB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水文资料整编规范 SL 247-2020</w:t>
      </w:r>
    </w:p>
    <w:p w14:paraId="2F502C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水文情报预报规范 GB/T 22482-2008</w:t>
      </w:r>
    </w:p>
    <w:p w14:paraId="7B67D8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水文测站运行管理规范 DB33/T 2084-2017</w:t>
      </w:r>
    </w:p>
    <w:p w14:paraId="727F56F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3.测验任务</w:t>
      </w:r>
    </w:p>
    <w:p w14:paraId="4E1801F1">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檀溪水文站测验任务</w:t>
      </w:r>
    </w:p>
    <w:tbl>
      <w:tblPr>
        <w:tblStyle w:val="64"/>
        <w:tblW w:w="9289"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529"/>
        <w:gridCol w:w="1040"/>
        <w:gridCol w:w="4851"/>
        <w:gridCol w:w="1869"/>
      </w:tblGrid>
      <w:tr w14:paraId="21715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45" w:hRule="atLeast"/>
          <w:tblHeader/>
        </w:trPr>
        <w:tc>
          <w:tcPr>
            <w:tcW w:w="1529" w:type="dxa"/>
            <w:vAlign w:val="center"/>
          </w:tcPr>
          <w:p w14:paraId="5707246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测验项目</w:t>
            </w:r>
          </w:p>
        </w:tc>
        <w:tc>
          <w:tcPr>
            <w:tcW w:w="1040" w:type="dxa"/>
            <w:vAlign w:val="center"/>
          </w:tcPr>
          <w:p w14:paraId="615C7C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观测项目</w:t>
            </w:r>
          </w:p>
        </w:tc>
        <w:tc>
          <w:tcPr>
            <w:tcW w:w="4851" w:type="dxa"/>
            <w:vAlign w:val="center"/>
          </w:tcPr>
          <w:p w14:paraId="2EFA57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任务要求</w:t>
            </w:r>
          </w:p>
        </w:tc>
        <w:tc>
          <w:tcPr>
            <w:tcW w:w="1869" w:type="dxa"/>
            <w:vAlign w:val="center"/>
          </w:tcPr>
          <w:p w14:paraId="2886C52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73FCD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76" w:hRule="atLeast"/>
        </w:trPr>
        <w:tc>
          <w:tcPr>
            <w:tcW w:w="1529" w:type="dxa"/>
            <w:vAlign w:val="center"/>
          </w:tcPr>
          <w:p w14:paraId="6369092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水尺零高测量</w:t>
            </w:r>
          </w:p>
        </w:tc>
        <w:tc>
          <w:tcPr>
            <w:tcW w:w="1040" w:type="dxa"/>
            <w:vAlign w:val="center"/>
          </w:tcPr>
          <w:p w14:paraId="20EA374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851" w:type="dxa"/>
            <w:vAlign w:val="center"/>
          </w:tcPr>
          <w:p w14:paraId="53064D1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每年汛前汛后各测量一次，受大洪水或人类活动影响时及时校测。</w:t>
            </w:r>
          </w:p>
        </w:tc>
        <w:tc>
          <w:tcPr>
            <w:tcW w:w="1869" w:type="dxa"/>
            <w:vAlign w:val="center"/>
          </w:tcPr>
          <w:p w14:paraId="570580C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165BE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805" w:hRule="atLeast"/>
        </w:trPr>
        <w:tc>
          <w:tcPr>
            <w:tcW w:w="1529" w:type="dxa"/>
            <w:vAlign w:val="center"/>
          </w:tcPr>
          <w:p w14:paraId="1A9CEF0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p w14:paraId="7AC24CF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大断面测量</w:t>
            </w:r>
          </w:p>
        </w:tc>
        <w:tc>
          <w:tcPr>
            <w:tcW w:w="1040" w:type="dxa"/>
            <w:vAlign w:val="center"/>
          </w:tcPr>
          <w:p w14:paraId="2CAE0D0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p w14:paraId="658E3C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851" w:type="dxa"/>
            <w:vAlign w:val="center"/>
          </w:tcPr>
          <w:p w14:paraId="13F0736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汛前汛后对大断面进行施测，受大洪水或人类活动影响时及时校测，当年实测大断面应有一次测至历年最高洪水位以上0.5-1.0m，漫滩较远的应测至最高洪水位边界，有堤防的测至堤防背河侧地面上。</w:t>
            </w:r>
          </w:p>
        </w:tc>
        <w:tc>
          <w:tcPr>
            <w:tcW w:w="1869" w:type="dxa"/>
            <w:vAlign w:val="center"/>
          </w:tcPr>
          <w:p w14:paraId="3802EE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3F6F1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162" w:hRule="atLeast"/>
        </w:trPr>
        <w:tc>
          <w:tcPr>
            <w:tcW w:w="1529" w:type="dxa"/>
            <w:vAlign w:val="center"/>
          </w:tcPr>
          <w:p w14:paraId="7B81D1B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水准点校测</w:t>
            </w:r>
          </w:p>
          <w:p w14:paraId="0BC665D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测量</w:t>
            </w:r>
          </w:p>
        </w:tc>
        <w:tc>
          <w:tcPr>
            <w:tcW w:w="1040" w:type="dxa"/>
            <w:vAlign w:val="center"/>
          </w:tcPr>
          <w:p w14:paraId="2C7BA98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851" w:type="dxa"/>
            <w:vAlign w:val="center"/>
          </w:tcPr>
          <w:p w14:paraId="4185D2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每年对校核水准点进行1次校核，公历逢0逢5年份对基本水准点进行校核。发生变动时应及时校测。</w:t>
            </w:r>
          </w:p>
        </w:tc>
        <w:tc>
          <w:tcPr>
            <w:tcW w:w="1869" w:type="dxa"/>
            <w:vAlign w:val="center"/>
          </w:tcPr>
          <w:p w14:paraId="38AD983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30589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45" w:hRule="atLeast"/>
        </w:trPr>
        <w:tc>
          <w:tcPr>
            <w:tcW w:w="1529" w:type="dxa"/>
            <w:vAlign w:val="center"/>
          </w:tcPr>
          <w:p w14:paraId="3B41297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降水量</w:t>
            </w:r>
          </w:p>
        </w:tc>
        <w:tc>
          <w:tcPr>
            <w:tcW w:w="1040" w:type="dxa"/>
            <w:vAlign w:val="center"/>
          </w:tcPr>
          <w:p w14:paraId="392C45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851" w:type="dxa"/>
            <w:vAlign w:val="center"/>
          </w:tcPr>
          <w:p w14:paraId="0F7A4B0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全年</w:t>
            </w:r>
            <w:r>
              <w:rPr>
                <w:rFonts w:hint="eastAsia" w:ascii="宋体" w:hAnsi="宋体" w:eastAsia="宋体" w:cs="宋体"/>
                <w:sz w:val="21"/>
                <w:szCs w:val="21"/>
                <w:lang w:eastAsia="zh-CN"/>
              </w:rPr>
              <w:t>人工、</w:t>
            </w:r>
            <w:r>
              <w:rPr>
                <w:rFonts w:hint="eastAsia" w:ascii="宋体" w:hAnsi="宋体" w:eastAsia="宋体" w:cs="宋体"/>
                <w:sz w:val="21"/>
                <w:szCs w:val="21"/>
              </w:rPr>
              <w:t>遥测，定期维护，确保资料准确、完整。</w:t>
            </w:r>
          </w:p>
        </w:tc>
        <w:tc>
          <w:tcPr>
            <w:tcW w:w="1869" w:type="dxa"/>
            <w:vAlign w:val="center"/>
          </w:tcPr>
          <w:p w14:paraId="6768C40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19AF6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76" w:hRule="atLeast"/>
        </w:trPr>
        <w:tc>
          <w:tcPr>
            <w:tcW w:w="1529" w:type="dxa"/>
            <w:vAlign w:val="center"/>
          </w:tcPr>
          <w:p w14:paraId="6A8331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w:t>
            </w:r>
          </w:p>
        </w:tc>
        <w:tc>
          <w:tcPr>
            <w:tcW w:w="1040" w:type="dxa"/>
            <w:vAlign w:val="center"/>
          </w:tcPr>
          <w:p w14:paraId="4065949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851" w:type="dxa"/>
            <w:vAlign w:val="center"/>
          </w:tcPr>
          <w:p w14:paraId="458F44A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全年遥测，每日8时人工校测，确保遥测系统运行正常。</w:t>
            </w:r>
          </w:p>
        </w:tc>
        <w:tc>
          <w:tcPr>
            <w:tcW w:w="1869" w:type="dxa"/>
            <w:vAlign w:val="center"/>
          </w:tcPr>
          <w:p w14:paraId="3226125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1268A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736" w:hRule="atLeast"/>
        </w:trPr>
        <w:tc>
          <w:tcPr>
            <w:tcW w:w="1529" w:type="dxa"/>
            <w:vAlign w:val="center"/>
          </w:tcPr>
          <w:p w14:paraId="4D3179C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流量</w:t>
            </w:r>
          </w:p>
        </w:tc>
        <w:tc>
          <w:tcPr>
            <w:tcW w:w="1040" w:type="dxa"/>
            <w:vAlign w:val="center"/>
          </w:tcPr>
          <w:p w14:paraId="0D2627C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851" w:type="dxa"/>
            <w:vAlign w:val="center"/>
          </w:tcPr>
          <w:p w14:paraId="4D8F636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eastAsia="zh-CN"/>
              </w:rPr>
              <w:t>较大洪水期间，流量测次不少于5 次（暴涨暴落山区性小河流不少于3次），涨水、落水及峰顶附近至少 1 次；平水期两次测流间隔时间不超过15天，测次及分布满足全年定线推流要求。</w:t>
            </w:r>
          </w:p>
        </w:tc>
        <w:tc>
          <w:tcPr>
            <w:tcW w:w="1869" w:type="dxa"/>
            <w:vAlign w:val="center"/>
          </w:tcPr>
          <w:p w14:paraId="06B872C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bl>
    <w:p w14:paraId="5584D91C">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rPr>
          <w:rFonts w:hint="eastAsia"/>
        </w:rPr>
      </w:pPr>
      <w:bookmarkStart w:id="49" w:name="_Toc6759"/>
      <w:r>
        <w:rPr>
          <w:rFonts w:hint="eastAsia" w:ascii="宋体" w:hAnsi="宋体" w:eastAsia="宋体" w:cs="宋体"/>
          <w:b/>
          <w:bCs/>
          <w:sz w:val="21"/>
          <w:szCs w:val="21"/>
          <w:lang w:val="en-US" w:eastAsia="zh-CN"/>
        </w:rPr>
        <w:t>浦江</w:t>
      </w:r>
      <w:r>
        <w:rPr>
          <w:rFonts w:hint="eastAsia" w:ascii="宋体" w:hAnsi="宋体" w:eastAsia="宋体" w:cs="宋体"/>
          <w:b/>
          <w:bCs/>
          <w:sz w:val="21"/>
          <w:szCs w:val="21"/>
          <w:lang w:val="en-US"/>
        </w:rPr>
        <w:t>水位站测验任务</w:t>
      </w:r>
    </w:p>
    <w:tbl>
      <w:tblPr>
        <w:tblStyle w:val="64"/>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2095"/>
        <w:gridCol w:w="1316"/>
        <w:gridCol w:w="4789"/>
        <w:gridCol w:w="1133"/>
      </w:tblGrid>
      <w:tr w14:paraId="573FE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40" w:hRule="atLeast"/>
          <w:jc w:val="center"/>
        </w:trPr>
        <w:tc>
          <w:tcPr>
            <w:tcW w:w="2095" w:type="dxa"/>
            <w:vAlign w:val="center"/>
          </w:tcPr>
          <w:p w14:paraId="7343D58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测验项目</w:t>
            </w:r>
          </w:p>
        </w:tc>
        <w:tc>
          <w:tcPr>
            <w:tcW w:w="1316" w:type="dxa"/>
            <w:vAlign w:val="center"/>
          </w:tcPr>
          <w:p w14:paraId="48BC318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观测项目</w:t>
            </w:r>
          </w:p>
        </w:tc>
        <w:tc>
          <w:tcPr>
            <w:tcW w:w="4789" w:type="dxa"/>
            <w:vAlign w:val="center"/>
          </w:tcPr>
          <w:p w14:paraId="69DCD0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任务要求</w:t>
            </w:r>
          </w:p>
        </w:tc>
        <w:tc>
          <w:tcPr>
            <w:tcW w:w="1133" w:type="dxa"/>
            <w:vAlign w:val="center"/>
          </w:tcPr>
          <w:p w14:paraId="42C9514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4621E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23" w:hRule="atLeast"/>
          <w:jc w:val="center"/>
        </w:trPr>
        <w:tc>
          <w:tcPr>
            <w:tcW w:w="2095" w:type="dxa"/>
            <w:vAlign w:val="center"/>
          </w:tcPr>
          <w:p w14:paraId="350757B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水尺零高测量</w:t>
            </w:r>
          </w:p>
        </w:tc>
        <w:tc>
          <w:tcPr>
            <w:tcW w:w="1316" w:type="dxa"/>
            <w:vAlign w:val="center"/>
          </w:tcPr>
          <w:p w14:paraId="474E058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789" w:type="dxa"/>
            <w:vAlign w:val="center"/>
          </w:tcPr>
          <w:p w14:paraId="1E40F1D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每年汛前汛后各测量一次，受大洪水或人类活动影响时及时校测。</w:t>
            </w:r>
          </w:p>
        </w:tc>
        <w:tc>
          <w:tcPr>
            <w:tcW w:w="1133" w:type="dxa"/>
            <w:vAlign w:val="center"/>
          </w:tcPr>
          <w:p w14:paraId="0388926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680BA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25" w:hRule="atLeast"/>
          <w:jc w:val="center"/>
        </w:trPr>
        <w:tc>
          <w:tcPr>
            <w:tcW w:w="2095" w:type="dxa"/>
            <w:vAlign w:val="center"/>
          </w:tcPr>
          <w:p w14:paraId="6536B68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水准点校测</w:t>
            </w:r>
          </w:p>
          <w:p w14:paraId="787DDD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测量</w:t>
            </w:r>
          </w:p>
        </w:tc>
        <w:tc>
          <w:tcPr>
            <w:tcW w:w="1316" w:type="dxa"/>
            <w:vAlign w:val="center"/>
          </w:tcPr>
          <w:p w14:paraId="06147B7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789" w:type="dxa"/>
            <w:vAlign w:val="center"/>
          </w:tcPr>
          <w:p w14:paraId="195F0A3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每年对校核水准点进行1次校核，公历逢0逢5年份对基本水准点进行校核。发生变动时应及时校测。</w:t>
            </w:r>
          </w:p>
        </w:tc>
        <w:tc>
          <w:tcPr>
            <w:tcW w:w="1133" w:type="dxa"/>
            <w:vAlign w:val="center"/>
          </w:tcPr>
          <w:p w14:paraId="41E1EBF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67FEE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572" w:hRule="atLeast"/>
          <w:jc w:val="center"/>
        </w:trPr>
        <w:tc>
          <w:tcPr>
            <w:tcW w:w="2095" w:type="dxa"/>
            <w:vAlign w:val="center"/>
          </w:tcPr>
          <w:p w14:paraId="18669CA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降水量</w:t>
            </w:r>
          </w:p>
        </w:tc>
        <w:tc>
          <w:tcPr>
            <w:tcW w:w="1316" w:type="dxa"/>
            <w:vAlign w:val="center"/>
          </w:tcPr>
          <w:p w14:paraId="483BF98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789" w:type="dxa"/>
            <w:vAlign w:val="center"/>
          </w:tcPr>
          <w:p w14:paraId="0EE9980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全年遥测，定期维护，确保资料准确、完整。</w:t>
            </w:r>
          </w:p>
        </w:tc>
        <w:tc>
          <w:tcPr>
            <w:tcW w:w="1133" w:type="dxa"/>
            <w:vAlign w:val="center"/>
          </w:tcPr>
          <w:p w14:paraId="54E06C1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2B4E6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70" w:hRule="atLeast"/>
          <w:jc w:val="center"/>
        </w:trPr>
        <w:tc>
          <w:tcPr>
            <w:tcW w:w="2095" w:type="dxa"/>
            <w:vAlign w:val="center"/>
          </w:tcPr>
          <w:p w14:paraId="020BA1C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蒸发量</w:t>
            </w:r>
          </w:p>
        </w:tc>
        <w:tc>
          <w:tcPr>
            <w:tcW w:w="1316" w:type="dxa"/>
            <w:vAlign w:val="center"/>
          </w:tcPr>
          <w:p w14:paraId="5AD01DF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789" w:type="dxa"/>
            <w:vAlign w:val="center"/>
          </w:tcPr>
          <w:p w14:paraId="3D32BB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全年人工，每日8时观测。预计降暴雨时，暴雨前加测蒸发量。</w:t>
            </w:r>
          </w:p>
        </w:tc>
        <w:tc>
          <w:tcPr>
            <w:tcW w:w="1133" w:type="dxa"/>
            <w:vAlign w:val="center"/>
          </w:tcPr>
          <w:p w14:paraId="1A70FC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7CBC5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31" w:hRule="atLeast"/>
          <w:jc w:val="center"/>
        </w:trPr>
        <w:tc>
          <w:tcPr>
            <w:tcW w:w="2095" w:type="dxa"/>
            <w:vAlign w:val="center"/>
          </w:tcPr>
          <w:p w14:paraId="089533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w:t>
            </w:r>
          </w:p>
        </w:tc>
        <w:tc>
          <w:tcPr>
            <w:tcW w:w="1316" w:type="dxa"/>
            <w:vAlign w:val="center"/>
          </w:tcPr>
          <w:p w14:paraId="0667C4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789" w:type="dxa"/>
            <w:vAlign w:val="center"/>
          </w:tcPr>
          <w:p w14:paraId="6D18568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全年遥测，每日8时人工校测，确保遥测系统运行正常。</w:t>
            </w:r>
          </w:p>
        </w:tc>
        <w:tc>
          <w:tcPr>
            <w:tcW w:w="1133" w:type="dxa"/>
            <w:vAlign w:val="center"/>
          </w:tcPr>
          <w:p w14:paraId="79A7263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bl>
    <w:p w14:paraId="015F608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004D5F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袅溪、黄宅、通济桥、下宅溪、杭口坪、海母口、寺前、朱桥、大岭脚雨量站测验任务</w:t>
      </w:r>
    </w:p>
    <w:tbl>
      <w:tblPr>
        <w:tblStyle w:val="64"/>
        <w:tblW w:w="9421"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1591"/>
        <w:gridCol w:w="1322"/>
        <w:gridCol w:w="4452"/>
        <w:gridCol w:w="2056"/>
      </w:tblGrid>
      <w:tr w14:paraId="26F9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31" w:hRule="atLeast"/>
        </w:trPr>
        <w:tc>
          <w:tcPr>
            <w:tcW w:w="1591" w:type="dxa"/>
            <w:vAlign w:val="center"/>
          </w:tcPr>
          <w:p w14:paraId="007670F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测验项目</w:t>
            </w:r>
          </w:p>
        </w:tc>
        <w:tc>
          <w:tcPr>
            <w:tcW w:w="1322" w:type="dxa"/>
            <w:vAlign w:val="center"/>
          </w:tcPr>
          <w:p w14:paraId="581F57C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观测项目</w:t>
            </w:r>
          </w:p>
        </w:tc>
        <w:tc>
          <w:tcPr>
            <w:tcW w:w="4452" w:type="dxa"/>
            <w:vAlign w:val="center"/>
          </w:tcPr>
          <w:p w14:paraId="7E26D4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任务要求</w:t>
            </w:r>
          </w:p>
        </w:tc>
        <w:tc>
          <w:tcPr>
            <w:tcW w:w="2056" w:type="dxa"/>
            <w:vAlign w:val="center"/>
          </w:tcPr>
          <w:p w14:paraId="448219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314B1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39" w:hRule="atLeast"/>
        </w:trPr>
        <w:tc>
          <w:tcPr>
            <w:tcW w:w="1591" w:type="dxa"/>
            <w:vAlign w:val="center"/>
          </w:tcPr>
          <w:p w14:paraId="4E9C5C3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降水量</w:t>
            </w:r>
          </w:p>
        </w:tc>
        <w:tc>
          <w:tcPr>
            <w:tcW w:w="1322" w:type="dxa"/>
            <w:vAlign w:val="center"/>
          </w:tcPr>
          <w:p w14:paraId="20222D4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452" w:type="dxa"/>
            <w:vAlign w:val="center"/>
          </w:tcPr>
          <w:p w14:paraId="436C5A7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全年遥测，定期维护，确保资料准确、完整。</w:t>
            </w:r>
          </w:p>
        </w:tc>
        <w:tc>
          <w:tcPr>
            <w:tcW w:w="2056" w:type="dxa"/>
            <w:vAlign w:val="center"/>
          </w:tcPr>
          <w:p w14:paraId="0EF287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bl>
    <w:p w14:paraId="50EE9E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浦江地下水位站测验任务</w:t>
      </w:r>
    </w:p>
    <w:tbl>
      <w:tblPr>
        <w:tblStyle w:val="64"/>
        <w:tblW w:w="93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2201"/>
        <w:gridCol w:w="1172"/>
        <w:gridCol w:w="4933"/>
        <w:gridCol w:w="1088"/>
      </w:tblGrid>
      <w:tr w14:paraId="0F761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40" w:hRule="atLeast"/>
          <w:jc w:val="center"/>
        </w:trPr>
        <w:tc>
          <w:tcPr>
            <w:tcW w:w="2201" w:type="dxa"/>
            <w:vAlign w:val="center"/>
          </w:tcPr>
          <w:p w14:paraId="5399F12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测验项目</w:t>
            </w:r>
          </w:p>
        </w:tc>
        <w:tc>
          <w:tcPr>
            <w:tcW w:w="1172" w:type="dxa"/>
            <w:vAlign w:val="center"/>
          </w:tcPr>
          <w:p w14:paraId="5D65F2F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观测项目</w:t>
            </w:r>
          </w:p>
        </w:tc>
        <w:tc>
          <w:tcPr>
            <w:tcW w:w="4933" w:type="dxa"/>
            <w:vAlign w:val="center"/>
          </w:tcPr>
          <w:p w14:paraId="6DE88B2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任务要求</w:t>
            </w:r>
          </w:p>
        </w:tc>
        <w:tc>
          <w:tcPr>
            <w:tcW w:w="1088" w:type="dxa"/>
            <w:vAlign w:val="center"/>
          </w:tcPr>
          <w:p w14:paraId="449927A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7601C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25" w:hRule="atLeast"/>
          <w:jc w:val="center"/>
        </w:trPr>
        <w:tc>
          <w:tcPr>
            <w:tcW w:w="2201" w:type="dxa"/>
            <w:vAlign w:val="center"/>
          </w:tcPr>
          <w:p w14:paraId="16C801F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水准点校测</w:t>
            </w:r>
          </w:p>
          <w:p w14:paraId="6B9850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测量</w:t>
            </w:r>
          </w:p>
        </w:tc>
        <w:tc>
          <w:tcPr>
            <w:tcW w:w="1172" w:type="dxa"/>
            <w:vAlign w:val="center"/>
          </w:tcPr>
          <w:p w14:paraId="3D5C355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933" w:type="dxa"/>
            <w:vAlign w:val="center"/>
          </w:tcPr>
          <w:p w14:paraId="3CA049A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每年对校核水准点进行1次校核，公历逢0逢5年份对基本水准点进行校核。发生变动时应及时校测。</w:t>
            </w:r>
          </w:p>
        </w:tc>
        <w:tc>
          <w:tcPr>
            <w:tcW w:w="1088" w:type="dxa"/>
            <w:vAlign w:val="center"/>
          </w:tcPr>
          <w:p w14:paraId="6802FC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51194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31" w:hRule="atLeast"/>
          <w:jc w:val="center"/>
        </w:trPr>
        <w:tc>
          <w:tcPr>
            <w:tcW w:w="2201" w:type="dxa"/>
            <w:vAlign w:val="center"/>
          </w:tcPr>
          <w:p w14:paraId="21F61F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w:t>
            </w:r>
          </w:p>
        </w:tc>
        <w:tc>
          <w:tcPr>
            <w:tcW w:w="1172" w:type="dxa"/>
            <w:vAlign w:val="center"/>
          </w:tcPr>
          <w:p w14:paraId="16135FC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4933" w:type="dxa"/>
            <w:vAlign w:val="center"/>
          </w:tcPr>
          <w:p w14:paraId="1BDF662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全年遥测，确保遥测系统运行正常。</w:t>
            </w:r>
          </w:p>
        </w:tc>
        <w:tc>
          <w:tcPr>
            <w:tcW w:w="1088" w:type="dxa"/>
            <w:vAlign w:val="center"/>
          </w:tcPr>
          <w:p w14:paraId="01F7D9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bl>
    <w:p w14:paraId="686753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4.水文情报预报任务</w:t>
      </w:r>
      <w:bookmarkEnd w:id="49"/>
    </w:p>
    <w:p w14:paraId="4A01DB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根据各年度省、市防汛防旱指挥部办公室下达的水情报汛任务通知执行，报汛以“自动采集为主、人工报汛为辅”、“洪水期按需加报”的原则执行。</w:t>
      </w:r>
      <w:bookmarkStart w:id="50" w:name="_Toc3419"/>
      <w:bookmarkStart w:id="51" w:name="_Toc7598"/>
      <w:bookmarkStart w:id="52" w:name="_Toc15735"/>
      <w:bookmarkStart w:id="53" w:name="_Toc4925"/>
      <w:bookmarkStart w:id="54" w:name="_Toc7216"/>
      <w:bookmarkStart w:id="55" w:name="_Toc11617"/>
      <w:bookmarkStart w:id="56" w:name="_Toc7147"/>
    </w:p>
    <w:p w14:paraId="1394CC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val="en-US" w:eastAsia="zh-CN"/>
        </w:rPr>
      </w:pPr>
      <w:bookmarkStart w:id="57" w:name="_Toc3194"/>
      <w:bookmarkStart w:id="58" w:name="_Toc27105"/>
      <w:bookmarkStart w:id="59" w:name="_Toc25700"/>
      <w:bookmarkStart w:id="60" w:name="_Toc26871"/>
      <w:r>
        <w:rPr>
          <w:rFonts w:hint="eastAsia" w:ascii="宋体" w:hAnsi="宋体" w:eastAsia="宋体" w:cs="宋体"/>
          <w:b/>
          <w:bCs/>
          <w:sz w:val="21"/>
          <w:szCs w:val="21"/>
          <w:lang w:val="en-US" w:eastAsia="zh-CN"/>
        </w:rPr>
        <w:t>5.资料</w:t>
      </w:r>
      <w:bookmarkEnd w:id="50"/>
      <w:bookmarkEnd w:id="51"/>
      <w:bookmarkEnd w:id="52"/>
      <w:bookmarkEnd w:id="53"/>
      <w:bookmarkEnd w:id="54"/>
      <w:bookmarkEnd w:id="55"/>
      <w:bookmarkEnd w:id="56"/>
      <w:r>
        <w:rPr>
          <w:rFonts w:hint="eastAsia" w:ascii="宋体" w:hAnsi="宋体" w:eastAsia="宋体" w:cs="宋体"/>
          <w:b/>
          <w:bCs/>
          <w:sz w:val="21"/>
          <w:szCs w:val="21"/>
          <w:lang w:val="en-US" w:eastAsia="zh-CN"/>
        </w:rPr>
        <w:t>整编任务</w:t>
      </w:r>
      <w:bookmarkEnd w:id="57"/>
      <w:bookmarkEnd w:id="58"/>
      <w:bookmarkEnd w:id="59"/>
      <w:bookmarkEnd w:id="60"/>
    </w:p>
    <w:p w14:paraId="2212646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根据要求，递送整编资料如下：</w:t>
      </w:r>
    </w:p>
    <w:p w14:paraId="274BE1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bookmarkStart w:id="61" w:name="_Toc3433"/>
      <w:r>
        <w:rPr>
          <w:rFonts w:hint="eastAsia" w:ascii="宋体" w:hAnsi="宋体" w:eastAsia="宋体" w:cs="宋体"/>
          <w:b/>
          <w:bCs/>
          <w:sz w:val="21"/>
          <w:szCs w:val="21"/>
          <w:lang w:val="en-US" w:eastAsia="zh-CN"/>
        </w:rPr>
        <w:t>檀溪水文站每年递送资料及整编成果一览表</w:t>
      </w:r>
      <w:bookmarkEnd w:id="61"/>
    </w:p>
    <w:tbl>
      <w:tblPr>
        <w:tblStyle w:val="64"/>
        <w:tblW w:w="506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28" w:type="dxa"/>
          <w:bottom w:w="0" w:type="dxa"/>
          <w:right w:w="28" w:type="dxa"/>
        </w:tblCellMar>
      </w:tblPr>
      <w:tblGrid>
        <w:gridCol w:w="415"/>
        <w:gridCol w:w="1302"/>
        <w:gridCol w:w="1409"/>
        <w:gridCol w:w="1450"/>
        <w:gridCol w:w="1380"/>
        <w:gridCol w:w="1223"/>
        <w:gridCol w:w="1100"/>
        <w:gridCol w:w="1194"/>
      </w:tblGrid>
      <w:tr w14:paraId="0E5AD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94" w:hRule="atLeast"/>
        </w:trPr>
        <w:tc>
          <w:tcPr>
            <w:tcW w:w="219" w:type="pct"/>
            <w:vMerge w:val="restart"/>
            <w:vAlign w:val="center"/>
          </w:tcPr>
          <w:p w14:paraId="10EA69F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降水量</w:t>
            </w:r>
          </w:p>
        </w:tc>
        <w:tc>
          <w:tcPr>
            <w:tcW w:w="687" w:type="pct"/>
            <w:vAlign w:val="center"/>
          </w:tcPr>
          <w:p w14:paraId="60E53BB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降水量观测</w:t>
            </w:r>
          </w:p>
          <w:p w14:paraId="682270F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记载簿</w:t>
            </w:r>
          </w:p>
        </w:tc>
        <w:tc>
          <w:tcPr>
            <w:tcW w:w="743" w:type="pct"/>
            <w:vAlign w:val="center"/>
          </w:tcPr>
          <w:p w14:paraId="5295A6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雨量遥测</w:t>
            </w:r>
          </w:p>
          <w:p w14:paraId="07FDB2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数据</w:t>
            </w:r>
          </w:p>
        </w:tc>
        <w:tc>
          <w:tcPr>
            <w:tcW w:w="765" w:type="pct"/>
            <w:vAlign w:val="center"/>
          </w:tcPr>
          <w:p w14:paraId="1C07EAA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雨量仪器维护记录</w:t>
            </w:r>
          </w:p>
        </w:tc>
        <w:tc>
          <w:tcPr>
            <w:tcW w:w="728" w:type="pct"/>
            <w:vAlign w:val="center"/>
          </w:tcPr>
          <w:p w14:paraId="082A46E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逐日降</w:t>
            </w:r>
          </w:p>
          <w:p w14:paraId="0DD2C50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水量表</w:t>
            </w:r>
          </w:p>
        </w:tc>
        <w:tc>
          <w:tcPr>
            <w:tcW w:w="645" w:type="pct"/>
            <w:vAlign w:val="center"/>
          </w:tcPr>
          <w:p w14:paraId="483CF4D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降水量摘录表</w:t>
            </w:r>
          </w:p>
        </w:tc>
        <w:tc>
          <w:tcPr>
            <w:tcW w:w="580" w:type="pct"/>
            <w:vAlign w:val="center"/>
          </w:tcPr>
          <w:p w14:paraId="3E645D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各时段最大降水量表</w:t>
            </w:r>
            <w:r>
              <w:rPr>
                <w:rFonts w:hint="eastAsia" w:ascii="宋体" w:hAnsi="宋体" w:eastAsia="宋体" w:cs="宋体"/>
                <w:sz w:val="21"/>
                <w:szCs w:val="21"/>
                <w:lang w:val="en-US"/>
              </w:rPr>
              <w:t>(</w:t>
            </w:r>
            <w:r>
              <w:rPr>
                <w:rFonts w:hint="eastAsia" w:ascii="宋体" w:hAnsi="宋体" w:eastAsia="宋体" w:cs="宋体"/>
                <w:sz w:val="21"/>
                <w:szCs w:val="21"/>
              </w:rPr>
              <w:t>1</w:t>
            </w:r>
            <w:r>
              <w:rPr>
                <w:rFonts w:hint="eastAsia" w:ascii="宋体" w:hAnsi="宋体" w:eastAsia="宋体" w:cs="宋体"/>
                <w:sz w:val="21"/>
                <w:szCs w:val="21"/>
                <w:lang w:val="en-US"/>
              </w:rPr>
              <w:t>)</w:t>
            </w:r>
          </w:p>
        </w:tc>
        <w:tc>
          <w:tcPr>
            <w:tcW w:w="630" w:type="pct"/>
            <w:vAlign w:val="center"/>
          </w:tcPr>
          <w:p w14:paraId="6206F0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各时段最大降水量表</w:t>
            </w:r>
            <w:r>
              <w:rPr>
                <w:rFonts w:hint="eastAsia" w:ascii="宋体" w:hAnsi="宋体" w:eastAsia="宋体" w:cs="宋体"/>
                <w:sz w:val="21"/>
                <w:szCs w:val="21"/>
                <w:lang w:val="en-US"/>
              </w:rPr>
              <w:t>(2)</w:t>
            </w:r>
          </w:p>
        </w:tc>
      </w:tr>
      <w:tr w14:paraId="22566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4" w:hRule="atLeast"/>
        </w:trPr>
        <w:tc>
          <w:tcPr>
            <w:tcW w:w="219" w:type="pct"/>
            <w:vMerge w:val="continue"/>
            <w:textDirection w:val="tbRlV"/>
            <w:vAlign w:val="center"/>
          </w:tcPr>
          <w:p w14:paraId="796658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vAlign w:val="center"/>
          </w:tcPr>
          <w:p w14:paraId="03246A8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43" w:type="pct"/>
            <w:vAlign w:val="center"/>
          </w:tcPr>
          <w:p w14:paraId="27244CA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65" w:type="pct"/>
            <w:vAlign w:val="center"/>
          </w:tcPr>
          <w:p w14:paraId="45216F4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28" w:type="pct"/>
            <w:vAlign w:val="center"/>
          </w:tcPr>
          <w:p w14:paraId="275A533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645" w:type="pct"/>
            <w:vAlign w:val="center"/>
          </w:tcPr>
          <w:p w14:paraId="47BC10C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80" w:type="pct"/>
            <w:vAlign w:val="center"/>
          </w:tcPr>
          <w:p w14:paraId="31D365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630" w:type="pct"/>
            <w:vAlign w:val="center"/>
          </w:tcPr>
          <w:p w14:paraId="46EE13D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51837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20" w:hRule="atLeast"/>
        </w:trPr>
        <w:tc>
          <w:tcPr>
            <w:tcW w:w="219" w:type="pct"/>
            <w:vMerge w:val="restart"/>
            <w:vAlign w:val="center"/>
          </w:tcPr>
          <w:p w14:paraId="1BF072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w:t>
            </w:r>
          </w:p>
        </w:tc>
        <w:tc>
          <w:tcPr>
            <w:tcW w:w="687" w:type="pct"/>
            <w:vAlign w:val="center"/>
          </w:tcPr>
          <w:p w14:paraId="3725C6A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水位</w:t>
            </w:r>
            <w:r>
              <w:rPr>
                <w:rFonts w:hint="eastAsia" w:ascii="宋体" w:hAnsi="宋体" w:eastAsia="宋体" w:cs="宋体"/>
                <w:sz w:val="21"/>
                <w:szCs w:val="21"/>
                <w:lang w:eastAsia="zh-CN"/>
              </w:rPr>
              <w:t>、水温</w:t>
            </w:r>
          </w:p>
          <w:p w14:paraId="3B6AC6B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观测记载簿</w:t>
            </w:r>
          </w:p>
        </w:tc>
        <w:tc>
          <w:tcPr>
            <w:tcW w:w="743" w:type="pct"/>
            <w:vAlign w:val="center"/>
          </w:tcPr>
          <w:p w14:paraId="5E5E4D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水位遥测数据</w:t>
            </w:r>
          </w:p>
        </w:tc>
        <w:tc>
          <w:tcPr>
            <w:tcW w:w="765" w:type="pct"/>
            <w:vAlign w:val="center"/>
          </w:tcPr>
          <w:p w14:paraId="22D86B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水尺零高测量记载表</w:t>
            </w:r>
          </w:p>
        </w:tc>
        <w:tc>
          <w:tcPr>
            <w:tcW w:w="728" w:type="pct"/>
            <w:vAlign w:val="center"/>
          </w:tcPr>
          <w:p w14:paraId="7A5C6CB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水准点测量记载表</w:t>
            </w:r>
          </w:p>
        </w:tc>
        <w:tc>
          <w:tcPr>
            <w:tcW w:w="645" w:type="pct"/>
            <w:vAlign w:val="center"/>
          </w:tcPr>
          <w:p w14:paraId="128F510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水位资料整编说明表</w:t>
            </w:r>
          </w:p>
        </w:tc>
        <w:tc>
          <w:tcPr>
            <w:tcW w:w="580" w:type="pct"/>
            <w:vAlign w:val="center"/>
          </w:tcPr>
          <w:p w14:paraId="21DCE08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水位过程线</w:t>
            </w:r>
          </w:p>
        </w:tc>
        <w:tc>
          <w:tcPr>
            <w:tcW w:w="630" w:type="pct"/>
            <w:vAlign w:val="center"/>
          </w:tcPr>
          <w:p w14:paraId="6DB809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逐日平均</w:t>
            </w:r>
          </w:p>
          <w:p w14:paraId="5289B30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水位表</w:t>
            </w:r>
          </w:p>
        </w:tc>
      </w:tr>
      <w:tr w14:paraId="3176D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716" w:hRule="atLeast"/>
        </w:trPr>
        <w:tc>
          <w:tcPr>
            <w:tcW w:w="219" w:type="pct"/>
            <w:vMerge w:val="continue"/>
            <w:vAlign w:val="center"/>
          </w:tcPr>
          <w:p w14:paraId="73E34E4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vAlign w:val="center"/>
          </w:tcPr>
          <w:p w14:paraId="4E2F72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43" w:type="pct"/>
            <w:vAlign w:val="center"/>
          </w:tcPr>
          <w:p w14:paraId="70A5395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65" w:type="pct"/>
            <w:vAlign w:val="center"/>
          </w:tcPr>
          <w:p w14:paraId="2A347C5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28" w:type="pct"/>
            <w:vAlign w:val="center"/>
          </w:tcPr>
          <w:p w14:paraId="549BEB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645" w:type="pct"/>
            <w:vAlign w:val="center"/>
          </w:tcPr>
          <w:p w14:paraId="7DD09A5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80" w:type="pct"/>
            <w:vAlign w:val="center"/>
          </w:tcPr>
          <w:p w14:paraId="48274AB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630" w:type="pct"/>
            <w:vAlign w:val="center"/>
          </w:tcPr>
          <w:p w14:paraId="46B85C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0CF9B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716" w:hRule="atLeast"/>
        </w:trPr>
        <w:tc>
          <w:tcPr>
            <w:tcW w:w="219" w:type="pct"/>
            <w:vMerge w:val="continue"/>
            <w:vAlign w:val="center"/>
          </w:tcPr>
          <w:p w14:paraId="1B64DD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vAlign w:val="center"/>
          </w:tcPr>
          <w:p w14:paraId="787EB3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洪水水位要素摘录表表</w:t>
            </w:r>
          </w:p>
        </w:tc>
        <w:tc>
          <w:tcPr>
            <w:tcW w:w="743" w:type="pct"/>
            <w:vAlign w:val="center"/>
          </w:tcPr>
          <w:p w14:paraId="2CD1B19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65" w:type="pct"/>
            <w:vAlign w:val="center"/>
          </w:tcPr>
          <w:p w14:paraId="07ACF7C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28" w:type="pct"/>
            <w:vAlign w:val="center"/>
          </w:tcPr>
          <w:p w14:paraId="658DCB1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45" w:type="pct"/>
            <w:vAlign w:val="center"/>
          </w:tcPr>
          <w:p w14:paraId="7E5B7B6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80" w:type="pct"/>
            <w:vAlign w:val="center"/>
          </w:tcPr>
          <w:p w14:paraId="5348C87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30" w:type="pct"/>
            <w:vAlign w:val="center"/>
          </w:tcPr>
          <w:p w14:paraId="2EEB74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1E9F4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716" w:hRule="atLeast"/>
        </w:trPr>
        <w:tc>
          <w:tcPr>
            <w:tcW w:w="219" w:type="pct"/>
            <w:vMerge w:val="continue"/>
            <w:vAlign w:val="center"/>
          </w:tcPr>
          <w:p w14:paraId="6210D0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vAlign w:val="center"/>
          </w:tcPr>
          <w:p w14:paraId="483A899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43" w:type="pct"/>
            <w:vAlign w:val="center"/>
          </w:tcPr>
          <w:p w14:paraId="3E40108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65" w:type="pct"/>
            <w:vAlign w:val="center"/>
          </w:tcPr>
          <w:p w14:paraId="5F85DF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28" w:type="pct"/>
            <w:vAlign w:val="center"/>
          </w:tcPr>
          <w:p w14:paraId="48E6B39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45" w:type="pct"/>
            <w:vAlign w:val="center"/>
          </w:tcPr>
          <w:p w14:paraId="2D55D3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80" w:type="pct"/>
            <w:vAlign w:val="center"/>
          </w:tcPr>
          <w:p w14:paraId="4D59DA4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30" w:type="pct"/>
            <w:vAlign w:val="center"/>
          </w:tcPr>
          <w:p w14:paraId="18E2B58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5259D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63" w:hRule="atLeast"/>
        </w:trPr>
        <w:tc>
          <w:tcPr>
            <w:tcW w:w="219" w:type="pct"/>
            <w:vMerge w:val="restart"/>
            <w:vAlign w:val="center"/>
          </w:tcPr>
          <w:p w14:paraId="66D58AD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流量</w:t>
            </w:r>
          </w:p>
        </w:tc>
        <w:tc>
          <w:tcPr>
            <w:tcW w:w="687" w:type="pct"/>
            <w:vAlign w:val="center"/>
          </w:tcPr>
          <w:p w14:paraId="02D8664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流量测验</w:t>
            </w:r>
          </w:p>
          <w:p w14:paraId="5FA8D7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记载簿</w:t>
            </w:r>
          </w:p>
        </w:tc>
        <w:tc>
          <w:tcPr>
            <w:tcW w:w="743" w:type="pct"/>
            <w:vAlign w:val="center"/>
          </w:tcPr>
          <w:p w14:paraId="7EC1F92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大断面测量记载表</w:t>
            </w:r>
          </w:p>
        </w:tc>
        <w:tc>
          <w:tcPr>
            <w:tcW w:w="765" w:type="pct"/>
            <w:vAlign w:val="center"/>
          </w:tcPr>
          <w:p w14:paraId="1708AB1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流量资料整编说明表</w:t>
            </w:r>
          </w:p>
        </w:tc>
        <w:tc>
          <w:tcPr>
            <w:tcW w:w="728" w:type="pct"/>
            <w:vAlign w:val="center"/>
          </w:tcPr>
          <w:p w14:paraId="1DDA36D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实测流量</w:t>
            </w:r>
          </w:p>
          <w:p w14:paraId="37651C2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成果表</w:t>
            </w:r>
          </w:p>
        </w:tc>
        <w:tc>
          <w:tcPr>
            <w:tcW w:w="645" w:type="pct"/>
            <w:vAlign w:val="center"/>
          </w:tcPr>
          <w:p w14:paraId="5B5E08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实测大断面成果表</w:t>
            </w:r>
          </w:p>
        </w:tc>
        <w:tc>
          <w:tcPr>
            <w:tcW w:w="580" w:type="pct"/>
            <w:vAlign w:val="center"/>
          </w:tcPr>
          <w:p w14:paraId="443EBD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推流节点</w:t>
            </w:r>
          </w:p>
          <w:p w14:paraId="596F15C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数据</w:t>
            </w:r>
          </w:p>
        </w:tc>
        <w:tc>
          <w:tcPr>
            <w:tcW w:w="630" w:type="pct"/>
            <w:vAlign w:val="center"/>
          </w:tcPr>
          <w:p w14:paraId="43B7B6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水位流量</w:t>
            </w:r>
          </w:p>
          <w:p w14:paraId="4D6F21F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关系曲线</w:t>
            </w:r>
          </w:p>
        </w:tc>
      </w:tr>
      <w:tr w14:paraId="004BE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86" w:hRule="atLeast"/>
        </w:trPr>
        <w:tc>
          <w:tcPr>
            <w:tcW w:w="219" w:type="pct"/>
            <w:vMerge w:val="continue"/>
            <w:vAlign w:val="center"/>
          </w:tcPr>
          <w:p w14:paraId="623100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vAlign w:val="center"/>
          </w:tcPr>
          <w:p w14:paraId="68999B1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43" w:type="pct"/>
            <w:vAlign w:val="center"/>
          </w:tcPr>
          <w:p w14:paraId="4DC429F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65" w:type="pct"/>
            <w:vAlign w:val="center"/>
          </w:tcPr>
          <w:p w14:paraId="364AF0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28" w:type="pct"/>
            <w:vAlign w:val="center"/>
          </w:tcPr>
          <w:p w14:paraId="0BE4E97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645" w:type="pct"/>
            <w:vAlign w:val="center"/>
          </w:tcPr>
          <w:p w14:paraId="1E82C64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80" w:type="pct"/>
            <w:vAlign w:val="center"/>
          </w:tcPr>
          <w:p w14:paraId="16A99D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630" w:type="pct"/>
            <w:vAlign w:val="center"/>
          </w:tcPr>
          <w:p w14:paraId="059BB70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32407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02" w:hRule="atLeast"/>
        </w:trPr>
        <w:tc>
          <w:tcPr>
            <w:tcW w:w="219" w:type="pct"/>
            <w:vMerge w:val="continue"/>
            <w:vAlign w:val="center"/>
          </w:tcPr>
          <w:p w14:paraId="2EB671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vAlign w:val="center"/>
          </w:tcPr>
          <w:p w14:paraId="2093859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流量率定图表</w:t>
            </w:r>
          </w:p>
        </w:tc>
        <w:tc>
          <w:tcPr>
            <w:tcW w:w="743" w:type="pct"/>
            <w:vAlign w:val="center"/>
          </w:tcPr>
          <w:p w14:paraId="78B246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三种检验表</w:t>
            </w:r>
          </w:p>
        </w:tc>
        <w:tc>
          <w:tcPr>
            <w:tcW w:w="765" w:type="pct"/>
            <w:vAlign w:val="center"/>
          </w:tcPr>
          <w:p w14:paraId="58310E1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流量过程</w:t>
            </w:r>
          </w:p>
          <w:p w14:paraId="1BBDCF3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线图</w:t>
            </w:r>
          </w:p>
        </w:tc>
        <w:tc>
          <w:tcPr>
            <w:tcW w:w="728" w:type="pct"/>
            <w:vAlign w:val="center"/>
          </w:tcPr>
          <w:p w14:paraId="2CB8F75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逐日平均</w:t>
            </w:r>
          </w:p>
          <w:p w14:paraId="02DA38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流量表</w:t>
            </w:r>
          </w:p>
        </w:tc>
        <w:tc>
          <w:tcPr>
            <w:tcW w:w="645" w:type="pct"/>
            <w:vAlign w:val="center"/>
          </w:tcPr>
          <w:p w14:paraId="52CCA4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洪水水文</w:t>
            </w:r>
          </w:p>
          <w:p w14:paraId="74C3156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要素摘录表</w:t>
            </w:r>
          </w:p>
        </w:tc>
        <w:tc>
          <w:tcPr>
            <w:tcW w:w="580" w:type="pct"/>
            <w:vAlign w:val="center"/>
          </w:tcPr>
          <w:p w14:paraId="2DADC5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30" w:type="pct"/>
            <w:vAlign w:val="center"/>
          </w:tcPr>
          <w:p w14:paraId="70F19B7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3783B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770" w:hRule="atLeast"/>
        </w:trPr>
        <w:tc>
          <w:tcPr>
            <w:tcW w:w="219" w:type="pct"/>
            <w:vMerge w:val="continue"/>
            <w:vAlign w:val="center"/>
          </w:tcPr>
          <w:p w14:paraId="4ACC351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vAlign w:val="center"/>
          </w:tcPr>
          <w:p w14:paraId="70FD80C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43" w:type="pct"/>
            <w:vAlign w:val="center"/>
          </w:tcPr>
          <w:p w14:paraId="7581668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65" w:type="pct"/>
            <w:vAlign w:val="center"/>
          </w:tcPr>
          <w:p w14:paraId="01B1C72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28" w:type="pct"/>
            <w:vAlign w:val="center"/>
          </w:tcPr>
          <w:p w14:paraId="54679A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645" w:type="pct"/>
            <w:vAlign w:val="center"/>
          </w:tcPr>
          <w:p w14:paraId="1C7893A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80" w:type="pct"/>
            <w:vAlign w:val="center"/>
          </w:tcPr>
          <w:p w14:paraId="1D142A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30" w:type="pct"/>
            <w:vAlign w:val="center"/>
          </w:tcPr>
          <w:p w14:paraId="76580B3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64E1E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149" w:hRule="atLeast"/>
        </w:trPr>
        <w:tc>
          <w:tcPr>
            <w:tcW w:w="219" w:type="pct"/>
            <w:vMerge w:val="restart"/>
            <w:vAlign w:val="center"/>
          </w:tcPr>
          <w:p w14:paraId="2003CA2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考证资料</w:t>
            </w:r>
          </w:p>
        </w:tc>
        <w:tc>
          <w:tcPr>
            <w:tcW w:w="687" w:type="pct"/>
            <w:vAlign w:val="center"/>
          </w:tcPr>
          <w:p w14:paraId="4C9555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测站说明表</w:t>
            </w:r>
          </w:p>
          <w:p w14:paraId="3FC7611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（逢0或5年份）</w:t>
            </w:r>
          </w:p>
        </w:tc>
        <w:tc>
          <w:tcPr>
            <w:tcW w:w="743" w:type="pct"/>
            <w:vAlign w:val="center"/>
          </w:tcPr>
          <w:p w14:paraId="5BE30D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测验河段平面图(逢0、5年份)</w:t>
            </w:r>
          </w:p>
        </w:tc>
        <w:tc>
          <w:tcPr>
            <w:tcW w:w="765" w:type="pct"/>
            <w:vAlign w:val="center"/>
          </w:tcPr>
          <w:p w14:paraId="2F8042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陆上水面蒸发</w:t>
            </w:r>
          </w:p>
          <w:p w14:paraId="7752C45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说明表及位置</w:t>
            </w:r>
          </w:p>
          <w:p w14:paraId="60E49B1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图(逢0、5年份)</w:t>
            </w:r>
          </w:p>
        </w:tc>
        <w:tc>
          <w:tcPr>
            <w:tcW w:w="728" w:type="pct"/>
            <w:vAlign w:val="center"/>
          </w:tcPr>
          <w:p w14:paraId="313B86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站以上（区间）水利工程基本情况表</w:t>
            </w:r>
          </w:p>
        </w:tc>
        <w:tc>
          <w:tcPr>
            <w:tcW w:w="645" w:type="pct"/>
            <w:vAlign w:val="center"/>
          </w:tcPr>
          <w:p w14:paraId="4E247B6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站以上（区间）水利工程分布图</w:t>
            </w:r>
          </w:p>
        </w:tc>
        <w:tc>
          <w:tcPr>
            <w:tcW w:w="580" w:type="pct"/>
            <w:vAlign w:val="center"/>
          </w:tcPr>
          <w:p w14:paraId="1D02BDB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30" w:type="pct"/>
            <w:vAlign w:val="center"/>
          </w:tcPr>
          <w:p w14:paraId="3D59B10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09283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61" w:hRule="atLeast"/>
        </w:trPr>
        <w:tc>
          <w:tcPr>
            <w:tcW w:w="219" w:type="pct"/>
            <w:vMerge w:val="continue"/>
            <w:textDirection w:val="tbRlV"/>
          </w:tcPr>
          <w:p w14:paraId="6F9B7C6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vAlign w:val="center"/>
          </w:tcPr>
          <w:p w14:paraId="569AC87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43" w:type="pct"/>
            <w:vAlign w:val="center"/>
          </w:tcPr>
          <w:p w14:paraId="145F08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65" w:type="pct"/>
            <w:vAlign w:val="center"/>
          </w:tcPr>
          <w:p w14:paraId="6D7526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28" w:type="pct"/>
            <w:vAlign w:val="center"/>
          </w:tcPr>
          <w:p w14:paraId="62FA00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645" w:type="pct"/>
            <w:vAlign w:val="center"/>
          </w:tcPr>
          <w:p w14:paraId="06B5366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80" w:type="pct"/>
            <w:vAlign w:val="center"/>
          </w:tcPr>
          <w:p w14:paraId="314CD3E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30" w:type="pct"/>
            <w:vAlign w:val="center"/>
          </w:tcPr>
          <w:p w14:paraId="6601075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bl>
    <w:p w14:paraId="4F12EF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浦江水位站每年递送资料及整编成果一览表</w:t>
      </w:r>
    </w:p>
    <w:tbl>
      <w:tblPr>
        <w:tblStyle w:val="64"/>
        <w:tblW w:w="506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42"/>
        <w:gridCol w:w="1303"/>
        <w:gridCol w:w="1409"/>
        <w:gridCol w:w="1451"/>
        <w:gridCol w:w="1380"/>
        <w:gridCol w:w="1221"/>
        <w:gridCol w:w="1098"/>
        <w:gridCol w:w="1071"/>
      </w:tblGrid>
      <w:tr w14:paraId="431D2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94" w:hRule="atLeast"/>
        </w:trPr>
        <w:tc>
          <w:tcPr>
            <w:tcW w:w="286" w:type="pct"/>
            <w:vMerge w:val="restart"/>
            <w:noWrap w:val="0"/>
            <w:vAlign w:val="center"/>
          </w:tcPr>
          <w:p w14:paraId="7B5E132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降水量</w:t>
            </w:r>
          </w:p>
        </w:tc>
        <w:tc>
          <w:tcPr>
            <w:tcW w:w="687" w:type="pct"/>
            <w:noWrap w:val="0"/>
            <w:vAlign w:val="center"/>
          </w:tcPr>
          <w:p w14:paraId="4C0B8E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降水量观测</w:t>
            </w:r>
          </w:p>
          <w:p w14:paraId="09461C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记载簿</w:t>
            </w:r>
          </w:p>
        </w:tc>
        <w:tc>
          <w:tcPr>
            <w:tcW w:w="743" w:type="pct"/>
            <w:noWrap w:val="0"/>
            <w:vAlign w:val="center"/>
          </w:tcPr>
          <w:p w14:paraId="2369DC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雨量遥测</w:t>
            </w:r>
          </w:p>
          <w:p w14:paraId="2050F5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数据</w:t>
            </w:r>
          </w:p>
        </w:tc>
        <w:tc>
          <w:tcPr>
            <w:tcW w:w="765" w:type="pct"/>
            <w:noWrap w:val="0"/>
            <w:vAlign w:val="center"/>
          </w:tcPr>
          <w:p w14:paraId="71F9AA8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雨量仪器维护记录</w:t>
            </w:r>
          </w:p>
        </w:tc>
        <w:tc>
          <w:tcPr>
            <w:tcW w:w="728" w:type="pct"/>
            <w:noWrap w:val="0"/>
            <w:vAlign w:val="center"/>
          </w:tcPr>
          <w:p w14:paraId="78FA335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逐日降</w:t>
            </w:r>
          </w:p>
          <w:p w14:paraId="2B6002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水量表</w:t>
            </w:r>
          </w:p>
        </w:tc>
        <w:tc>
          <w:tcPr>
            <w:tcW w:w="644" w:type="pct"/>
            <w:noWrap w:val="0"/>
            <w:vAlign w:val="center"/>
          </w:tcPr>
          <w:p w14:paraId="43F61DF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降水量摘录表</w:t>
            </w:r>
          </w:p>
        </w:tc>
        <w:tc>
          <w:tcPr>
            <w:tcW w:w="579" w:type="pct"/>
            <w:noWrap w:val="0"/>
            <w:vAlign w:val="center"/>
          </w:tcPr>
          <w:p w14:paraId="2C9BEF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各时段最大降水量表</w:t>
            </w:r>
            <w:r>
              <w:rPr>
                <w:rFonts w:hint="eastAsia" w:ascii="宋体" w:hAnsi="宋体" w:eastAsia="宋体" w:cs="宋体"/>
                <w:sz w:val="21"/>
                <w:szCs w:val="21"/>
                <w:lang w:val="en-US"/>
              </w:rPr>
              <w:t>(</w:t>
            </w:r>
            <w:r>
              <w:rPr>
                <w:rFonts w:hint="eastAsia" w:ascii="宋体" w:hAnsi="宋体" w:eastAsia="宋体" w:cs="宋体"/>
                <w:sz w:val="21"/>
                <w:szCs w:val="21"/>
              </w:rPr>
              <w:t>1</w:t>
            </w:r>
            <w:r>
              <w:rPr>
                <w:rFonts w:hint="eastAsia" w:ascii="宋体" w:hAnsi="宋体" w:eastAsia="宋体" w:cs="宋体"/>
                <w:sz w:val="21"/>
                <w:szCs w:val="21"/>
                <w:lang w:val="en-US"/>
              </w:rPr>
              <w:t>)</w:t>
            </w:r>
          </w:p>
        </w:tc>
        <w:tc>
          <w:tcPr>
            <w:tcW w:w="565" w:type="pct"/>
            <w:noWrap w:val="0"/>
            <w:vAlign w:val="center"/>
          </w:tcPr>
          <w:p w14:paraId="57C1C6D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各时段最大降水量表</w:t>
            </w:r>
            <w:r>
              <w:rPr>
                <w:rFonts w:hint="eastAsia" w:ascii="宋体" w:hAnsi="宋体" w:eastAsia="宋体" w:cs="宋体"/>
                <w:sz w:val="21"/>
                <w:szCs w:val="21"/>
                <w:lang w:val="en-US"/>
              </w:rPr>
              <w:t>(2)</w:t>
            </w:r>
          </w:p>
        </w:tc>
      </w:tr>
      <w:tr w14:paraId="1ED2D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54" w:hRule="atLeast"/>
        </w:trPr>
        <w:tc>
          <w:tcPr>
            <w:tcW w:w="286" w:type="pct"/>
            <w:vMerge w:val="continue"/>
            <w:noWrap w:val="0"/>
            <w:textDirection w:val="tbRlV"/>
            <w:vAlign w:val="center"/>
          </w:tcPr>
          <w:p w14:paraId="3B0993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noWrap w:val="0"/>
            <w:vAlign w:val="center"/>
          </w:tcPr>
          <w:p w14:paraId="6846C79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43" w:type="pct"/>
            <w:noWrap w:val="0"/>
            <w:vAlign w:val="center"/>
          </w:tcPr>
          <w:p w14:paraId="4725347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65" w:type="pct"/>
            <w:noWrap w:val="0"/>
            <w:vAlign w:val="center"/>
          </w:tcPr>
          <w:p w14:paraId="5424FD8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28" w:type="pct"/>
            <w:noWrap w:val="0"/>
            <w:vAlign w:val="center"/>
          </w:tcPr>
          <w:p w14:paraId="27D069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644" w:type="pct"/>
            <w:noWrap w:val="0"/>
            <w:vAlign w:val="center"/>
          </w:tcPr>
          <w:p w14:paraId="44DA31D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79" w:type="pct"/>
            <w:noWrap w:val="0"/>
            <w:vAlign w:val="center"/>
          </w:tcPr>
          <w:p w14:paraId="0B6E7C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65" w:type="pct"/>
            <w:noWrap w:val="0"/>
            <w:vAlign w:val="center"/>
          </w:tcPr>
          <w:p w14:paraId="016C257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00164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20" w:hRule="atLeast"/>
        </w:trPr>
        <w:tc>
          <w:tcPr>
            <w:tcW w:w="286" w:type="pct"/>
            <w:vMerge w:val="restart"/>
            <w:noWrap w:val="0"/>
            <w:vAlign w:val="center"/>
          </w:tcPr>
          <w:p w14:paraId="4859551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w:t>
            </w:r>
          </w:p>
        </w:tc>
        <w:tc>
          <w:tcPr>
            <w:tcW w:w="687" w:type="pct"/>
            <w:noWrap w:val="0"/>
            <w:vAlign w:val="center"/>
          </w:tcPr>
          <w:p w14:paraId="4FC3E4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水位</w:t>
            </w:r>
            <w:r>
              <w:rPr>
                <w:rFonts w:hint="eastAsia" w:ascii="宋体" w:hAnsi="宋体" w:eastAsia="宋体" w:cs="宋体"/>
                <w:sz w:val="21"/>
                <w:szCs w:val="21"/>
                <w:lang w:eastAsia="zh-CN"/>
              </w:rPr>
              <w:t>、水温</w:t>
            </w:r>
          </w:p>
          <w:p w14:paraId="223B579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观测记载簿</w:t>
            </w:r>
          </w:p>
        </w:tc>
        <w:tc>
          <w:tcPr>
            <w:tcW w:w="743" w:type="pct"/>
            <w:noWrap w:val="0"/>
            <w:vAlign w:val="center"/>
          </w:tcPr>
          <w:p w14:paraId="225A52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水位遥测数据</w:t>
            </w:r>
          </w:p>
        </w:tc>
        <w:tc>
          <w:tcPr>
            <w:tcW w:w="765" w:type="pct"/>
            <w:noWrap w:val="0"/>
            <w:vAlign w:val="center"/>
          </w:tcPr>
          <w:p w14:paraId="27BC6E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水尺零高测量记载表</w:t>
            </w:r>
          </w:p>
        </w:tc>
        <w:tc>
          <w:tcPr>
            <w:tcW w:w="728" w:type="pct"/>
            <w:noWrap w:val="0"/>
            <w:vAlign w:val="center"/>
          </w:tcPr>
          <w:p w14:paraId="01F5740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水准点测量记载表</w:t>
            </w:r>
          </w:p>
        </w:tc>
        <w:tc>
          <w:tcPr>
            <w:tcW w:w="644" w:type="pct"/>
            <w:noWrap w:val="0"/>
            <w:vAlign w:val="center"/>
          </w:tcPr>
          <w:p w14:paraId="679B31C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水位资料整编说明表</w:t>
            </w:r>
          </w:p>
        </w:tc>
        <w:tc>
          <w:tcPr>
            <w:tcW w:w="579" w:type="pct"/>
            <w:noWrap w:val="0"/>
            <w:vAlign w:val="center"/>
          </w:tcPr>
          <w:p w14:paraId="714A65C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水位过程线</w:t>
            </w:r>
          </w:p>
        </w:tc>
        <w:tc>
          <w:tcPr>
            <w:tcW w:w="565" w:type="pct"/>
            <w:noWrap w:val="0"/>
            <w:vAlign w:val="center"/>
          </w:tcPr>
          <w:p w14:paraId="7CD981D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逐日平均</w:t>
            </w:r>
          </w:p>
          <w:p w14:paraId="33F8E7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水位表</w:t>
            </w:r>
          </w:p>
        </w:tc>
      </w:tr>
      <w:tr w14:paraId="24147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6" w:hRule="atLeast"/>
        </w:trPr>
        <w:tc>
          <w:tcPr>
            <w:tcW w:w="286" w:type="pct"/>
            <w:vMerge w:val="continue"/>
            <w:noWrap w:val="0"/>
            <w:vAlign w:val="center"/>
          </w:tcPr>
          <w:p w14:paraId="08853A0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noWrap w:val="0"/>
            <w:vAlign w:val="center"/>
          </w:tcPr>
          <w:p w14:paraId="008B2F0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43" w:type="pct"/>
            <w:noWrap w:val="0"/>
            <w:vAlign w:val="center"/>
          </w:tcPr>
          <w:p w14:paraId="23943A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65" w:type="pct"/>
            <w:noWrap w:val="0"/>
            <w:vAlign w:val="center"/>
          </w:tcPr>
          <w:p w14:paraId="7BDB9DB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28" w:type="pct"/>
            <w:noWrap w:val="0"/>
            <w:vAlign w:val="center"/>
          </w:tcPr>
          <w:p w14:paraId="0179C07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644" w:type="pct"/>
            <w:noWrap w:val="0"/>
            <w:vAlign w:val="center"/>
          </w:tcPr>
          <w:p w14:paraId="7E306BB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79" w:type="pct"/>
            <w:noWrap w:val="0"/>
            <w:vAlign w:val="center"/>
          </w:tcPr>
          <w:p w14:paraId="22217DB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65" w:type="pct"/>
            <w:noWrap w:val="0"/>
            <w:vAlign w:val="center"/>
          </w:tcPr>
          <w:p w14:paraId="528360F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46805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6" w:hRule="atLeast"/>
        </w:trPr>
        <w:tc>
          <w:tcPr>
            <w:tcW w:w="286" w:type="pct"/>
            <w:vMerge w:val="continue"/>
            <w:noWrap w:val="0"/>
            <w:vAlign w:val="center"/>
          </w:tcPr>
          <w:p w14:paraId="7323191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noWrap w:val="0"/>
            <w:vAlign w:val="center"/>
          </w:tcPr>
          <w:p w14:paraId="035814D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洪水水位要素摘录表</w:t>
            </w:r>
          </w:p>
        </w:tc>
        <w:tc>
          <w:tcPr>
            <w:tcW w:w="743" w:type="pct"/>
            <w:noWrap w:val="0"/>
            <w:vAlign w:val="center"/>
          </w:tcPr>
          <w:p w14:paraId="3AEC93C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65" w:type="pct"/>
            <w:noWrap w:val="0"/>
            <w:vAlign w:val="center"/>
          </w:tcPr>
          <w:p w14:paraId="40D7DD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28" w:type="pct"/>
            <w:noWrap w:val="0"/>
            <w:vAlign w:val="center"/>
          </w:tcPr>
          <w:p w14:paraId="2AED5E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44" w:type="pct"/>
            <w:noWrap w:val="0"/>
            <w:vAlign w:val="center"/>
          </w:tcPr>
          <w:p w14:paraId="2E1AC0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79" w:type="pct"/>
            <w:noWrap w:val="0"/>
            <w:vAlign w:val="center"/>
          </w:tcPr>
          <w:p w14:paraId="060D665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65" w:type="pct"/>
            <w:noWrap w:val="0"/>
            <w:vAlign w:val="center"/>
          </w:tcPr>
          <w:p w14:paraId="54A46E1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6CEEC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6" w:hRule="atLeast"/>
        </w:trPr>
        <w:tc>
          <w:tcPr>
            <w:tcW w:w="286" w:type="pct"/>
            <w:vMerge w:val="continue"/>
            <w:noWrap w:val="0"/>
            <w:vAlign w:val="center"/>
          </w:tcPr>
          <w:p w14:paraId="7B762FB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noWrap w:val="0"/>
            <w:vAlign w:val="center"/>
          </w:tcPr>
          <w:p w14:paraId="281C2BA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43" w:type="pct"/>
            <w:noWrap w:val="0"/>
            <w:vAlign w:val="center"/>
          </w:tcPr>
          <w:p w14:paraId="495317B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65" w:type="pct"/>
            <w:noWrap w:val="0"/>
            <w:vAlign w:val="center"/>
          </w:tcPr>
          <w:p w14:paraId="2229C95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28" w:type="pct"/>
            <w:noWrap w:val="0"/>
            <w:vAlign w:val="center"/>
          </w:tcPr>
          <w:p w14:paraId="1034B0A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44" w:type="pct"/>
            <w:noWrap w:val="0"/>
            <w:vAlign w:val="center"/>
          </w:tcPr>
          <w:p w14:paraId="5762FD9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79" w:type="pct"/>
            <w:noWrap w:val="0"/>
            <w:vAlign w:val="center"/>
          </w:tcPr>
          <w:p w14:paraId="00AD2E1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65" w:type="pct"/>
            <w:noWrap w:val="0"/>
            <w:vAlign w:val="center"/>
          </w:tcPr>
          <w:p w14:paraId="2D8EC1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2B8DF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5" w:hRule="atLeast"/>
        </w:trPr>
        <w:tc>
          <w:tcPr>
            <w:tcW w:w="286" w:type="pct"/>
            <w:vMerge w:val="restart"/>
            <w:noWrap w:val="0"/>
            <w:vAlign w:val="center"/>
          </w:tcPr>
          <w:p w14:paraId="11A46EE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蒸发量</w:t>
            </w:r>
          </w:p>
        </w:tc>
        <w:tc>
          <w:tcPr>
            <w:tcW w:w="687" w:type="pct"/>
            <w:noWrap w:val="0"/>
            <w:vAlign w:val="center"/>
          </w:tcPr>
          <w:p w14:paraId="5DA4CF5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水面蒸发</w:t>
            </w:r>
            <w:r>
              <w:rPr>
                <w:rFonts w:hint="eastAsia" w:ascii="宋体" w:hAnsi="宋体" w:eastAsia="宋体" w:cs="宋体"/>
                <w:sz w:val="21"/>
                <w:szCs w:val="21"/>
                <w:lang w:eastAsia="zh-CN"/>
              </w:rPr>
              <w:t>量</w:t>
            </w:r>
            <w:r>
              <w:rPr>
                <w:rFonts w:hint="eastAsia" w:ascii="宋体" w:hAnsi="宋体" w:eastAsia="宋体" w:cs="宋体"/>
                <w:sz w:val="21"/>
                <w:szCs w:val="21"/>
              </w:rPr>
              <w:t>观测记载簿</w:t>
            </w:r>
          </w:p>
        </w:tc>
        <w:tc>
          <w:tcPr>
            <w:tcW w:w="743" w:type="pct"/>
            <w:noWrap w:val="0"/>
            <w:vAlign w:val="center"/>
          </w:tcPr>
          <w:p w14:paraId="7D0CB04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逐日水面蒸发量表</w:t>
            </w:r>
          </w:p>
        </w:tc>
        <w:tc>
          <w:tcPr>
            <w:tcW w:w="765" w:type="pct"/>
            <w:noWrap w:val="0"/>
            <w:vAlign w:val="center"/>
          </w:tcPr>
          <w:p w14:paraId="397AD42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28" w:type="pct"/>
            <w:noWrap w:val="0"/>
            <w:vAlign w:val="center"/>
          </w:tcPr>
          <w:p w14:paraId="71697BC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44" w:type="pct"/>
            <w:noWrap w:val="0"/>
            <w:vAlign w:val="center"/>
          </w:tcPr>
          <w:p w14:paraId="52EEC3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79" w:type="pct"/>
            <w:noWrap w:val="0"/>
            <w:vAlign w:val="center"/>
          </w:tcPr>
          <w:p w14:paraId="7398D75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65" w:type="pct"/>
            <w:noWrap w:val="0"/>
            <w:vAlign w:val="center"/>
          </w:tcPr>
          <w:p w14:paraId="1F90C75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7BA7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5" w:hRule="atLeast"/>
        </w:trPr>
        <w:tc>
          <w:tcPr>
            <w:tcW w:w="286" w:type="pct"/>
            <w:vMerge w:val="continue"/>
            <w:noWrap w:val="0"/>
            <w:vAlign w:val="center"/>
          </w:tcPr>
          <w:p w14:paraId="1F64040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noWrap w:val="0"/>
            <w:vAlign w:val="center"/>
          </w:tcPr>
          <w:p w14:paraId="236A45D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43" w:type="pct"/>
            <w:noWrap w:val="0"/>
            <w:vAlign w:val="center"/>
          </w:tcPr>
          <w:p w14:paraId="6561095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65" w:type="pct"/>
            <w:noWrap w:val="0"/>
            <w:vAlign w:val="center"/>
          </w:tcPr>
          <w:p w14:paraId="747D4BD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728" w:type="pct"/>
            <w:noWrap w:val="0"/>
            <w:vAlign w:val="center"/>
          </w:tcPr>
          <w:p w14:paraId="2D54DE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44" w:type="pct"/>
            <w:noWrap w:val="0"/>
            <w:vAlign w:val="center"/>
          </w:tcPr>
          <w:p w14:paraId="17A9BF0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79" w:type="pct"/>
            <w:noWrap w:val="0"/>
            <w:vAlign w:val="center"/>
          </w:tcPr>
          <w:p w14:paraId="5D9C08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65" w:type="pct"/>
            <w:noWrap w:val="0"/>
            <w:vAlign w:val="center"/>
          </w:tcPr>
          <w:p w14:paraId="692022F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0497C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49" w:hRule="atLeast"/>
        </w:trPr>
        <w:tc>
          <w:tcPr>
            <w:tcW w:w="286" w:type="pct"/>
            <w:vMerge w:val="restart"/>
            <w:noWrap w:val="0"/>
            <w:vAlign w:val="center"/>
          </w:tcPr>
          <w:p w14:paraId="3EB9B7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考证资料</w:t>
            </w:r>
          </w:p>
        </w:tc>
        <w:tc>
          <w:tcPr>
            <w:tcW w:w="687" w:type="pct"/>
            <w:noWrap w:val="0"/>
            <w:vAlign w:val="center"/>
          </w:tcPr>
          <w:p w14:paraId="19538AF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测站说明表</w:t>
            </w:r>
          </w:p>
          <w:p w14:paraId="040CC0F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（逢0或5年份）</w:t>
            </w:r>
          </w:p>
        </w:tc>
        <w:tc>
          <w:tcPr>
            <w:tcW w:w="743" w:type="pct"/>
            <w:noWrap w:val="0"/>
            <w:vAlign w:val="center"/>
          </w:tcPr>
          <w:p w14:paraId="5F6D821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测验河段平面图(逢0或5年份)</w:t>
            </w:r>
          </w:p>
        </w:tc>
        <w:tc>
          <w:tcPr>
            <w:tcW w:w="765" w:type="pct"/>
            <w:noWrap w:val="0"/>
            <w:vAlign w:val="center"/>
          </w:tcPr>
          <w:p w14:paraId="63876BF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陆上水面蒸发</w:t>
            </w:r>
          </w:p>
          <w:p w14:paraId="2AC96B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说明表及平面</w:t>
            </w:r>
          </w:p>
          <w:p w14:paraId="29C1B2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图(逢0或5年份)</w:t>
            </w:r>
          </w:p>
        </w:tc>
        <w:tc>
          <w:tcPr>
            <w:tcW w:w="728" w:type="pct"/>
            <w:noWrap w:val="0"/>
            <w:vAlign w:val="center"/>
          </w:tcPr>
          <w:p w14:paraId="57984D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站以上（区间）水利工程基本情况表</w:t>
            </w:r>
          </w:p>
        </w:tc>
        <w:tc>
          <w:tcPr>
            <w:tcW w:w="644" w:type="pct"/>
            <w:noWrap w:val="0"/>
            <w:vAlign w:val="center"/>
          </w:tcPr>
          <w:p w14:paraId="2C81263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站以上（区间）水利工程分布图</w:t>
            </w:r>
          </w:p>
        </w:tc>
        <w:tc>
          <w:tcPr>
            <w:tcW w:w="579" w:type="pct"/>
            <w:noWrap w:val="0"/>
            <w:vAlign w:val="center"/>
          </w:tcPr>
          <w:p w14:paraId="648BC8A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65" w:type="pct"/>
            <w:noWrap w:val="0"/>
            <w:vAlign w:val="center"/>
          </w:tcPr>
          <w:p w14:paraId="0EEC70C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r w14:paraId="41119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1" w:hRule="atLeast"/>
        </w:trPr>
        <w:tc>
          <w:tcPr>
            <w:tcW w:w="286" w:type="pct"/>
            <w:vMerge w:val="continue"/>
            <w:noWrap w:val="0"/>
            <w:textDirection w:val="tbRlV"/>
            <w:vAlign w:val="top"/>
          </w:tcPr>
          <w:p w14:paraId="1F8B907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687" w:type="pct"/>
            <w:noWrap w:val="0"/>
            <w:vAlign w:val="center"/>
          </w:tcPr>
          <w:p w14:paraId="48145D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43" w:type="pct"/>
            <w:noWrap w:val="0"/>
            <w:vAlign w:val="center"/>
          </w:tcPr>
          <w:p w14:paraId="5CAE70A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65" w:type="pct"/>
            <w:noWrap w:val="0"/>
            <w:vAlign w:val="center"/>
          </w:tcPr>
          <w:p w14:paraId="05F124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28" w:type="pct"/>
            <w:noWrap w:val="0"/>
            <w:vAlign w:val="center"/>
          </w:tcPr>
          <w:p w14:paraId="2C2C285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644" w:type="pct"/>
            <w:noWrap w:val="0"/>
            <w:vAlign w:val="center"/>
          </w:tcPr>
          <w:p w14:paraId="34F5259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579" w:type="pct"/>
            <w:noWrap w:val="0"/>
            <w:vAlign w:val="center"/>
          </w:tcPr>
          <w:p w14:paraId="52CB598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565" w:type="pct"/>
            <w:noWrap w:val="0"/>
            <w:vAlign w:val="center"/>
          </w:tcPr>
          <w:p w14:paraId="2740B4B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r>
    </w:tbl>
    <w:p w14:paraId="77A2FE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21"/>
          <w:szCs w:val="21"/>
          <w:lang w:val="en-US"/>
        </w:rPr>
      </w:pPr>
      <w:bookmarkStart w:id="62" w:name="_Toc7711"/>
      <w:r>
        <w:rPr>
          <w:rFonts w:hint="eastAsia" w:ascii="宋体" w:hAnsi="宋体" w:eastAsia="宋体" w:cs="宋体"/>
          <w:b/>
          <w:bCs/>
          <w:sz w:val="21"/>
          <w:szCs w:val="21"/>
          <w:lang w:val="en-US" w:eastAsia="zh-CN"/>
        </w:rPr>
        <w:t>袅溪、黄宅、通济桥、下宅溪、杭口坪、海母口、寺前、朱桥、大岭脚雨量站</w:t>
      </w:r>
      <w:r>
        <w:rPr>
          <w:rFonts w:hint="eastAsia" w:ascii="宋体" w:hAnsi="宋体" w:eastAsia="宋体" w:cs="宋体"/>
          <w:b/>
          <w:bCs/>
          <w:sz w:val="21"/>
          <w:szCs w:val="21"/>
          <w:lang w:val="en-US"/>
        </w:rPr>
        <w:t>每年递送资料及整编成果一览表</w:t>
      </w:r>
      <w:bookmarkEnd w:id="62"/>
    </w:p>
    <w:tbl>
      <w:tblPr>
        <w:tblStyle w:val="64"/>
        <w:tblW w:w="9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1559"/>
        <w:gridCol w:w="1130"/>
        <w:gridCol w:w="1310"/>
        <w:gridCol w:w="1231"/>
        <w:gridCol w:w="1053"/>
        <w:gridCol w:w="975"/>
        <w:gridCol w:w="1417"/>
      </w:tblGrid>
      <w:tr w14:paraId="1710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653" w:type="dxa"/>
            <w:vMerge w:val="restart"/>
            <w:vAlign w:val="center"/>
          </w:tcPr>
          <w:p w14:paraId="7ABCD1E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降水量</w:t>
            </w:r>
          </w:p>
        </w:tc>
        <w:tc>
          <w:tcPr>
            <w:tcW w:w="1559" w:type="dxa"/>
            <w:vAlign w:val="center"/>
          </w:tcPr>
          <w:p w14:paraId="62935C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降水量观测</w:t>
            </w:r>
          </w:p>
          <w:p w14:paraId="2E2B2D7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记载簿</w:t>
            </w:r>
          </w:p>
        </w:tc>
        <w:tc>
          <w:tcPr>
            <w:tcW w:w="1130" w:type="dxa"/>
            <w:vAlign w:val="center"/>
          </w:tcPr>
          <w:p w14:paraId="11A9274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雨量遥测</w:t>
            </w:r>
          </w:p>
          <w:p w14:paraId="1FD2152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数据</w:t>
            </w:r>
          </w:p>
        </w:tc>
        <w:tc>
          <w:tcPr>
            <w:tcW w:w="1310" w:type="dxa"/>
            <w:vAlign w:val="center"/>
          </w:tcPr>
          <w:p w14:paraId="28A48A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雨量仪器维护记录</w:t>
            </w:r>
          </w:p>
        </w:tc>
        <w:tc>
          <w:tcPr>
            <w:tcW w:w="1231" w:type="dxa"/>
            <w:vAlign w:val="center"/>
          </w:tcPr>
          <w:p w14:paraId="25DAB3B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逐日降</w:t>
            </w:r>
          </w:p>
          <w:p w14:paraId="1279982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水量表</w:t>
            </w:r>
          </w:p>
        </w:tc>
        <w:tc>
          <w:tcPr>
            <w:tcW w:w="1053" w:type="dxa"/>
            <w:vAlign w:val="center"/>
          </w:tcPr>
          <w:p w14:paraId="25D9483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降水量摘录表</w:t>
            </w:r>
          </w:p>
        </w:tc>
        <w:tc>
          <w:tcPr>
            <w:tcW w:w="975" w:type="dxa"/>
            <w:vAlign w:val="center"/>
          </w:tcPr>
          <w:p w14:paraId="71BBE5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各时段最大降水量表</w:t>
            </w:r>
            <w:r>
              <w:rPr>
                <w:rFonts w:hint="eastAsia" w:ascii="宋体" w:hAnsi="宋体" w:eastAsia="宋体" w:cs="宋体"/>
                <w:sz w:val="21"/>
                <w:szCs w:val="21"/>
                <w:lang w:val="en-US"/>
              </w:rPr>
              <w:t>(</w:t>
            </w:r>
            <w:r>
              <w:rPr>
                <w:rFonts w:hint="eastAsia" w:ascii="宋体" w:hAnsi="宋体" w:eastAsia="宋体" w:cs="宋体"/>
                <w:sz w:val="21"/>
                <w:szCs w:val="21"/>
              </w:rPr>
              <w:t>1</w:t>
            </w:r>
            <w:r>
              <w:rPr>
                <w:rFonts w:hint="eastAsia" w:ascii="宋体" w:hAnsi="宋体" w:eastAsia="宋体" w:cs="宋体"/>
                <w:sz w:val="21"/>
                <w:szCs w:val="21"/>
                <w:lang w:val="en-US"/>
              </w:rPr>
              <w:t>)</w:t>
            </w:r>
          </w:p>
        </w:tc>
        <w:tc>
          <w:tcPr>
            <w:tcW w:w="1417" w:type="dxa"/>
            <w:vAlign w:val="center"/>
          </w:tcPr>
          <w:p w14:paraId="77AC2D8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各时段最大降水量表</w:t>
            </w:r>
            <w:r>
              <w:rPr>
                <w:rFonts w:hint="eastAsia" w:ascii="宋体" w:hAnsi="宋体" w:eastAsia="宋体" w:cs="宋体"/>
                <w:sz w:val="21"/>
                <w:szCs w:val="21"/>
                <w:lang w:val="en-US"/>
              </w:rPr>
              <w:t>(2)</w:t>
            </w:r>
          </w:p>
        </w:tc>
      </w:tr>
      <w:tr w14:paraId="6219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653" w:type="dxa"/>
            <w:vMerge w:val="continue"/>
            <w:vAlign w:val="center"/>
          </w:tcPr>
          <w:p w14:paraId="5C7206E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1559" w:type="dxa"/>
            <w:vAlign w:val="center"/>
          </w:tcPr>
          <w:p w14:paraId="696A28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1130" w:type="dxa"/>
            <w:vAlign w:val="center"/>
          </w:tcPr>
          <w:p w14:paraId="6EEECF2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310" w:type="dxa"/>
            <w:vAlign w:val="center"/>
          </w:tcPr>
          <w:p w14:paraId="2D4F2CE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231" w:type="dxa"/>
            <w:vAlign w:val="center"/>
          </w:tcPr>
          <w:p w14:paraId="4E2C24B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53" w:type="dxa"/>
            <w:vAlign w:val="center"/>
          </w:tcPr>
          <w:p w14:paraId="5B3E662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975" w:type="dxa"/>
            <w:vAlign w:val="center"/>
          </w:tcPr>
          <w:p w14:paraId="4F75F1E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417" w:type="dxa"/>
            <w:vAlign w:val="center"/>
          </w:tcPr>
          <w:p w14:paraId="0CBD0AC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72B1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653" w:type="dxa"/>
            <w:vMerge w:val="restart"/>
            <w:noWrap w:val="0"/>
            <w:vAlign w:val="center"/>
          </w:tcPr>
          <w:p w14:paraId="19E436F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考证资料</w:t>
            </w:r>
          </w:p>
        </w:tc>
        <w:tc>
          <w:tcPr>
            <w:tcW w:w="1559" w:type="dxa"/>
            <w:noWrap w:val="0"/>
            <w:vAlign w:val="center"/>
          </w:tcPr>
          <w:p w14:paraId="6EEC003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测站说明表</w:t>
            </w:r>
          </w:p>
          <w:p w14:paraId="0DA647C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（逢0或5年份）</w:t>
            </w:r>
          </w:p>
        </w:tc>
        <w:tc>
          <w:tcPr>
            <w:tcW w:w="1130" w:type="dxa"/>
            <w:noWrap w:val="0"/>
            <w:vAlign w:val="center"/>
          </w:tcPr>
          <w:p w14:paraId="5925932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310" w:type="dxa"/>
            <w:noWrap w:val="0"/>
            <w:vAlign w:val="center"/>
          </w:tcPr>
          <w:p w14:paraId="44D22F9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231" w:type="dxa"/>
            <w:noWrap w:val="0"/>
            <w:vAlign w:val="center"/>
          </w:tcPr>
          <w:p w14:paraId="1696583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053" w:type="dxa"/>
            <w:noWrap w:val="0"/>
            <w:vAlign w:val="center"/>
          </w:tcPr>
          <w:p w14:paraId="01C36F2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975" w:type="dxa"/>
            <w:noWrap w:val="0"/>
            <w:vAlign w:val="center"/>
          </w:tcPr>
          <w:p w14:paraId="3066B24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417" w:type="dxa"/>
            <w:noWrap w:val="0"/>
            <w:vAlign w:val="center"/>
          </w:tcPr>
          <w:p w14:paraId="7EFFD0F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r>
      <w:tr w14:paraId="7B5D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653" w:type="dxa"/>
            <w:vMerge w:val="continue"/>
            <w:noWrap w:val="0"/>
            <w:vAlign w:val="center"/>
          </w:tcPr>
          <w:p w14:paraId="49C0AAE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559" w:type="dxa"/>
            <w:noWrap w:val="0"/>
            <w:vAlign w:val="center"/>
          </w:tcPr>
          <w:p w14:paraId="5F80E1E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w:t>
            </w:r>
          </w:p>
        </w:tc>
        <w:tc>
          <w:tcPr>
            <w:tcW w:w="1130" w:type="dxa"/>
            <w:noWrap w:val="0"/>
            <w:vAlign w:val="center"/>
          </w:tcPr>
          <w:p w14:paraId="75B11BD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310" w:type="dxa"/>
            <w:noWrap w:val="0"/>
            <w:vAlign w:val="center"/>
          </w:tcPr>
          <w:p w14:paraId="330F163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231" w:type="dxa"/>
            <w:noWrap w:val="0"/>
            <w:vAlign w:val="center"/>
          </w:tcPr>
          <w:p w14:paraId="58EBE56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053" w:type="dxa"/>
            <w:noWrap w:val="0"/>
            <w:vAlign w:val="center"/>
          </w:tcPr>
          <w:p w14:paraId="7D0DB9D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975" w:type="dxa"/>
            <w:noWrap w:val="0"/>
            <w:vAlign w:val="center"/>
          </w:tcPr>
          <w:p w14:paraId="5FE2408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417" w:type="dxa"/>
            <w:noWrap w:val="0"/>
            <w:vAlign w:val="center"/>
          </w:tcPr>
          <w:p w14:paraId="2C082D2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r>
    </w:tbl>
    <w:p w14:paraId="048EFC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浦江地下水位站每年递送资料及整编成果一览表</w:t>
      </w:r>
    </w:p>
    <w:tbl>
      <w:tblPr>
        <w:tblStyle w:val="64"/>
        <w:tblW w:w="9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54"/>
        <w:gridCol w:w="1479"/>
        <w:gridCol w:w="1339"/>
        <w:gridCol w:w="1393"/>
        <w:gridCol w:w="1339"/>
        <w:gridCol w:w="1597"/>
        <w:gridCol w:w="1553"/>
      </w:tblGrid>
      <w:tr w14:paraId="5F7D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849" w:hRule="atLeast"/>
        </w:trPr>
        <w:tc>
          <w:tcPr>
            <w:tcW w:w="654" w:type="dxa"/>
            <w:vMerge w:val="restart"/>
            <w:tcBorders>
              <w:top w:val="single" w:color="auto" w:sz="4" w:space="0"/>
              <w:left w:val="single" w:color="auto" w:sz="4" w:space="0"/>
              <w:right w:val="single" w:color="auto" w:sz="4" w:space="0"/>
            </w:tcBorders>
            <w:noWrap w:val="0"/>
            <w:vAlign w:val="center"/>
          </w:tcPr>
          <w:p w14:paraId="6D51D2E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地下</w:t>
            </w:r>
            <w:r>
              <w:rPr>
                <w:rFonts w:hint="eastAsia" w:ascii="宋体" w:hAnsi="宋体" w:eastAsia="宋体" w:cs="宋体"/>
                <w:sz w:val="21"/>
                <w:szCs w:val="21"/>
              </w:rPr>
              <w:t>水位</w:t>
            </w:r>
          </w:p>
        </w:tc>
        <w:tc>
          <w:tcPr>
            <w:tcW w:w="1479" w:type="dxa"/>
            <w:tcBorders>
              <w:left w:val="single" w:color="auto" w:sz="4" w:space="0"/>
            </w:tcBorders>
            <w:noWrap w:val="0"/>
            <w:vAlign w:val="center"/>
          </w:tcPr>
          <w:p w14:paraId="5186F41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地下水水位逐日监测成果表</w:t>
            </w:r>
          </w:p>
        </w:tc>
        <w:tc>
          <w:tcPr>
            <w:tcW w:w="1339" w:type="dxa"/>
            <w:noWrap w:val="0"/>
            <w:vAlign w:val="center"/>
          </w:tcPr>
          <w:p w14:paraId="06C2CAE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地下水水位年特征值统计表</w:t>
            </w:r>
          </w:p>
        </w:tc>
        <w:tc>
          <w:tcPr>
            <w:tcW w:w="1393" w:type="dxa"/>
            <w:noWrap w:val="0"/>
            <w:vAlign w:val="center"/>
          </w:tcPr>
          <w:p w14:paraId="4E9A146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地下水埋深逐日监测成果表</w:t>
            </w:r>
          </w:p>
        </w:tc>
        <w:tc>
          <w:tcPr>
            <w:tcW w:w="1339" w:type="dxa"/>
            <w:noWrap w:val="0"/>
            <w:vAlign w:val="center"/>
          </w:tcPr>
          <w:p w14:paraId="72F140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地下水埋深年特征值统计表</w:t>
            </w:r>
          </w:p>
        </w:tc>
        <w:tc>
          <w:tcPr>
            <w:tcW w:w="1597" w:type="dxa"/>
            <w:noWrap w:val="0"/>
            <w:vAlign w:val="center"/>
          </w:tcPr>
          <w:p w14:paraId="79172B9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地下水监测站考证成果一览表</w:t>
            </w:r>
          </w:p>
        </w:tc>
        <w:tc>
          <w:tcPr>
            <w:tcW w:w="1553" w:type="dxa"/>
            <w:noWrap w:val="0"/>
            <w:vAlign w:val="center"/>
          </w:tcPr>
          <w:p w14:paraId="6EB18A8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水准点测量</w:t>
            </w:r>
          </w:p>
          <w:p w14:paraId="754D070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记载本</w:t>
            </w:r>
          </w:p>
        </w:tc>
      </w:tr>
      <w:tr w14:paraId="38386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06" w:hRule="atLeast"/>
        </w:trPr>
        <w:tc>
          <w:tcPr>
            <w:tcW w:w="654" w:type="dxa"/>
            <w:vMerge w:val="continue"/>
            <w:tcBorders>
              <w:left w:val="single" w:color="auto" w:sz="4" w:space="0"/>
              <w:right w:val="single" w:color="auto" w:sz="4" w:space="0"/>
            </w:tcBorders>
            <w:noWrap w:val="0"/>
            <w:vAlign w:val="center"/>
          </w:tcPr>
          <w:p w14:paraId="4C2C57C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1479" w:type="dxa"/>
            <w:tcBorders>
              <w:left w:val="single" w:color="auto" w:sz="4" w:space="0"/>
            </w:tcBorders>
            <w:noWrap w:val="0"/>
            <w:vAlign w:val="center"/>
          </w:tcPr>
          <w:p w14:paraId="2101E56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339" w:type="dxa"/>
            <w:noWrap w:val="0"/>
            <w:vAlign w:val="center"/>
          </w:tcPr>
          <w:p w14:paraId="560BB09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393" w:type="dxa"/>
            <w:noWrap w:val="0"/>
            <w:vAlign w:val="center"/>
          </w:tcPr>
          <w:p w14:paraId="0063C2D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339" w:type="dxa"/>
            <w:noWrap w:val="0"/>
            <w:vAlign w:val="center"/>
          </w:tcPr>
          <w:p w14:paraId="7F59DE0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597" w:type="dxa"/>
            <w:noWrap w:val="0"/>
            <w:vAlign w:val="center"/>
          </w:tcPr>
          <w:p w14:paraId="1C9B51A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553" w:type="dxa"/>
            <w:noWrap w:val="0"/>
            <w:vAlign w:val="center"/>
          </w:tcPr>
          <w:p w14:paraId="7C17370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3FD69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06" w:hRule="atLeast"/>
        </w:trPr>
        <w:tc>
          <w:tcPr>
            <w:tcW w:w="654" w:type="dxa"/>
            <w:vMerge w:val="restart"/>
            <w:tcBorders>
              <w:left w:val="single" w:color="auto" w:sz="4" w:space="0"/>
              <w:right w:val="single" w:color="auto" w:sz="4" w:space="0"/>
            </w:tcBorders>
            <w:noWrap w:val="0"/>
            <w:vAlign w:val="center"/>
          </w:tcPr>
          <w:p w14:paraId="24D835D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考证资料</w:t>
            </w:r>
          </w:p>
        </w:tc>
        <w:tc>
          <w:tcPr>
            <w:tcW w:w="1479" w:type="dxa"/>
            <w:tcBorders>
              <w:left w:val="single" w:color="auto" w:sz="4" w:space="0"/>
            </w:tcBorders>
            <w:noWrap w:val="0"/>
            <w:vAlign w:val="center"/>
          </w:tcPr>
          <w:p w14:paraId="3EFBAF4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测站说明表</w:t>
            </w:r>
          </w:p>
          <w:p w14:paraId="586A6B0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（逢0或5年份）</w:t>
            </w:r>
          </w:p>
        </w:tc>
        <w:tc>
          <w:tcPr>
            <w:tcW w:w="1339" w:type="dxa"/>
            <w:noWrap w:val="0"/>
            <w:vAlign w:val="center"/>
          </w:tcPr>
          <w:p w14:paraId="04C09C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测验河段平面图(逢0或5年份)</w:t>
            </w:r>
          </w:p>
        </w:tc>
        <w:tc>
          <w:tcPr>
            <w:tcW w:w="1393" w:type="dxa"/>
            <w:noWrap w:val="0"/>
            <w:vAlign w:val="center"/>
          </w:tcPr>
          <w:p w14:paraId="3EB259B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陆上水面蒸发</w:t>
            </w:r>
          </w:p>
          <w:p w14:paraId="3E6CB4D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说明表及平面</w:t>
            </w:r>
          </w:p>
          <w:p w14:paraId="2FF3A7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图(逢0或5年份)</w:t>
            </w:r>
          </w:p>
        </w:tc>
        <w:tc>
          <w:tcPr>
            <w:tcW w:w="1339" w:type="dxa"/>
            <w:noWrap w:val="0"/>
            <w:vAlign w:val="center"/>
          </w:tcPr>
          <w:p w14:paraId="3EAA4FE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站以上（区间）水利工程基本情况表</w:t>
            </w:r>
          </w:p>
        </w:tc>
        <w:tc>
          <w:tcPr>
            <w:tcW w:w="1597" w:type="dxa"/>
            <w:noWrap w:val="0"/>
            <w:vAlign w:val="center"/>
          </w:tcPr>
          <w:p w14:paraId="5D51670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站以上（区间）水利工程分布图</w:t>
            </w:r>
          </w:p>
        </w:tc>
        <w:tc>
          <w:tcPr>
            <w:tcW w:w="1553" w:type="dxa"/>
            <w:noWrap w:val="0"/>
            <w:vAlign w:val="center"/>
          </w:tcPr>
          <w:p w14:paraId="74CADCA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r>
      <w:tr w14:paraId="2FC62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506" w:hRule="atLeast"/>
        </w:trPr>
        <w:tc>
          <w:tcPr>
            <w:tcW w:w="654" w:type="dxa"/>
            <w:vMerge w:val="continue"/>
            <w:tcBorders>
              <w:left w:val="single" w:color="auto" w:sz="4" w:space="0"/>
              <w:right w:val="single" w:color="auto" w:sz="4" w:space="0"/>
            </w:tcBorders>
            <w:noWrap w:val="0"/>
            <w:vAlign w:val="center"/>
          </w:tcPr>
          <w:p w14:paraId="36139B5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rPr>
            </w:pPr>
          </w:p>
        </w:tc>
        <w:tc>
          <w:tcPr>
            <w:tcW w:w="1479" w:type="dxa"/>
            <w:tcBorders>
              <w:left w:val="single" w:color="auto" w:sz="4" w:space="0"/>
            </w:tcBorders>
            <w:noWrap w:val="0"/>
            <w:vAlign w:val="center"/>
          </w:tcPr>
          <w:p w14:paraId="31D160B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w:t>
            </w:r>
          </w:p>
        </w:tc>
        <w:tc>
          <w:tcPr>
            <w:tcW w:w="1339" w:type="dxa"/>
            <w:noWrap w:val="0"/>
            <w:vAlign w:val="center"/>
          </w:tcPr>
          <w:p w14:paraId="0EDD640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393" w:type="dxa"/>
            <w:noWrap w:val="0"/>
            <w:vAlign w:val="center"/>
          </w:tcPr>
          <w:p w14:paraId="11777B6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339" w:type="dxa"/>
            <w:noWrap w:val="0"/>
            <w:vAlign w:val="center"/>
          </w:tcPr>
          <w:p w14:paraId="6006AE5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597" w:type="dxa"/>
            <w:noWrap w:val="0"/>
            <w:vAlign w:val="center"/>
          </w:tcPr>
          <w:p w14:paraId="5D4437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c>
          <w:tcPr>
            <w:tcW w:w="1553" w:type="dxa"/>
            <w:noWrap w:val="0"/>
            <w:vAlign w:val="center"/>
          </w:tcPr>
          <w:p w14:paraId="1173697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1"/>
                <w:szCs w:val="21"/>
                <w:lang w:val="zh-CN" w:eastAsia="zh-CN"/>
              </w:rPr>
            </w:pPr>
          </w:p>
        </w:tc>
      </w:tr>
    </w:tbl>
    <w:p w14:paraId="0947C0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6.其他任务</w:t>
      </w:r>
    </w:p>
    <w:p w14:paraId="374618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承担其余专用站全年维修养护工作及相关设备的修复工作。</w:t>
      </w:r>
    </w:p>
    <w:p w14:paraId="53F6FBC2">
      <w:pPr>
        <w:pStyle w:val="4"/>
        <w:numPr>
          <w:ilvl w:val="1"/>
          <w:numId w:val="0"/>
        </w:numPr>
        <w:bidi w:val="0"/>
        <w:ind w:leftChars="0"/>
        <w:rPr>
          <w:rFonts w:hint="eastAsia"/>
          <w:lang w:val="en-US" w:eastAsia="zh-CN"/>
        </w:rPr>
      </w:pPr>
      <w:bookmarkStart w:id="63" w:name="_Toc8221"/>
      <w:r>
        <w:rPr>
          <w:rFonts w:hint="eastAsia"/>
          <w:lang w:val="en-US" w:eastAsia="zh-CN"/>
        </w:rPr>
        <w:t>三、维护服务要求</w:t>
      </w:r>
      <w:bookmarkEnd w:id="63"/>
    </w:p>
    <w:p w14:paraId="42334DAD">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1.国家基本雨量站代办员管理要求</w:t>
      </w:r>
      <w:bookmarkEnd w:id="48"/>
    </w:p>
    <w:p w14:paraId="3DF8E5F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bookmarkStart w:id="64" w:name="_Toc8468"/>
      <w:r>
        <w:rPr>
          <w:rFonts w:hint="eastAsia" w:ascii="宋体" w:hAnsi="宋体" w:eastAsia="宋体" w:cs="宋体"/>
          <w:b/>
          <w:bCs/>
          <w:sz w:val="21"/>
          <w:szCs w:val="21"/>
          <w:lang w:val="en-US" w:eastAsia="zh-CN"/>
        </w:rPr>
        <w:t>1.1代办员观测任务及要求</w:t>
      </w:r>
      <w:bookmarkEnd w:id="64"/>
    </w:p>
    <w:p w14:paraId="22EF1C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1.1.1檀溪水文站、浦江水位站每日按1段制人工观测监测要素即8时观测一次（规定有报汛任务的站汛期应按报汛要求观测）。</w:t>
      </w:r>
    </w:p>
    <w:p w14:paraId="7506BD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1.1.2其他基本雨量站，如遇极端天气或设备故障导致无法遥测数据时，采用人工观测，并及时记载。</w:t>
      </w:r>
    </w:p>
    <w:p w14:paraId="28E6FF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1.1.3按时观测，妥善保管，做到不早测、迟测、漏测。</w:t>
      </w:r>
    </w:p>
    <w:p w14:paraId="13D69D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1.1.4严禁伪造观测资料，每发现一次，扣除当月代办费，造成严重后果的追究相应法律责任。</w:t>
      </w:r>
    </w:p>
    <w:p w14:paraId="79A5ABD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1.1.5做好安全生产管理工作，杜绝安全生产责任事故发生。</w:t>
      </w:r>
    </w:p>
    <w:p w14:paraId="390FFA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bookmarkStart w:id="65" w:name="_Toc4931"/>
      <w:r>
        <w:rPr>
          <w:rFonts w:hint="eastAsia" w:ascii="宋体" w:hAnsi="宋体" w:eastAsia="宋体" w:cs="宋体"/>
          <w:b/>
          <w:bCs/>
          <w:sz w:val="21"/>
          <w:szCs w:val="21"/>
          <w:lang w:val="en-US" w:eastAsia="zh-CN"/>
        </w:rPr>
        <w:t>2.代办费用标准</w:t>
      </w:r>
      <w:bookmarkEnd w:id="65"/>
    </w:p>
    <w:p w14:paraId="17D591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2.1基本雨量站代办员费用每月不低于人民币400元，檀溪水文站、浦江水位站代办员每月不低于人民币1000元，白马水文站代办员每月不低于800元。（注：通济桥雨量站、杭口坪雨量站取消代办员）</w:t>
      </w:r>
    </w:p>
    <w:p w14:paraId="1D56AB0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bookmarkStart w:id="66" w:name="_Toc350"/>
      <w:r>
        <w:rPr>
          <w:rFonts w:hint="eastAsia" w:ascii="宋体" w:hAnsi="宋体" w:eastAsia="宋体" w:cs="宋体"/>
          <w:b/>
          <w:bCs/>
          <w:sz w:val="21"/>
          <w:szCs w:val="21"/>
          <w:lang w:val="en-US" w:eastAsia="zh-CN"/>
        </w:rPr>
        <w:t>3.其它要求</w:t>
      </w:r>
      <w:bookmarkEnd w:id="66"/>
    </w:p>
    <w:p w14:paraId="1B762F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3.1优先聘请原代办员，未经浦江县水文管理中心同意，服务方不得擅自更换雨量站代办员。</w:t>
      </w:r>
      <w:bookmarkStart w:id="67" w:name="_Toc21704"/>
    </w:p>
    <w:p w14:paraId="13CA4AA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4.设备运行维护要求</w:t>
      </w:r>
      <w:bookmarkStart w:id="68" w:name="_Toc481739402"/>
    </w:p>
    <w:p w14:paraId="6F49E30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各类型站点检查维护要求</w:t>
      </w:r>
    </w:p>
    <w:p w14:paraId="305269C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4.1</w:t>
      </w:r>
      <w:r>
        <w:rPr>
          <w:rFonts w:hint="eastAsia" w:ascii="宋体" w:hAnsi="宋体" w:eastAsia="宋体" w:cs="宋体"/>
          <w:b/>
          <w:bCs/>
          <w:sz w:val="21"/>
          <w:szCs w:val="21"/>
        </w:rPr>
        <w:t>雨量站</w:t>
      </w:r>
    </w:p>
    <w:p w14:paraId="7DC5CD5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sz w:val="21"/>
          <w:szCs w:val="21"/>
        </w:rPr>
        <w:t>1.基础设施设备：每年汛前应对观测场地全面维护，汛期加强巡查，强风暴雨过后及时检查</w:t>
      </w:r>
      <w:r>
        <w:rPr>
          <w:rFonts w:hint="eastAsia" w:ascii="宋体" w:hAnsi="宋体" w:eastAsia="宋体" w:cs="宋体"/>
          <w:sz w:val="21"/>
          <w:szCs w:val="21"/>
          <w:lang w:eastAsia="zh-CN"/>
        </w:rPr>
        <w:t>；</w:t>
      </w:r>
      <w:r>
        <w:rPr>
          <w:rFonts w:hint="eastAsia" w:ascii="宋体" w:hAnsi="宋体" w:eastAsia="宋体" w:cs="宋体"/>
          <w:sz w:val="21"/>
          <w:szCs w:val="21"/>
        </w:rPr>
        <w:t>应保持观测场地面平整，及时处理场地积水、积雪和杂草，及时清除周边遮挡物</w:t>
      </w:r>
      <w:r>
        <w:rPr>
          <w:rFonts w:hint="eastAsia" w:ascii="宋体" w:hAnsi="宋体" w:eastAsia="宋体" w:cs="宋体"/>
          <w:sz w:val="21"/>
          <w:szCs w:val="21"/>
          <w:lang w:eastAsia="zh-CN"/>
        </w:rPr>
        <w:t>；</w:t>
      </w:r>
      <w:r>
        <w:rPr>
          <w:rFonts w:hint="eastAsia" w:ascii="宋体" w:hAnsi="宋体" w:eastAsia="宋体" w:cs="宋体"/>
          <w:sz w:val="21"/>
          <w:szCs w:val="21"/>
        </w:rPr>
        <w:t>发现围栏损毁、基础松动等情况时，应及时维修或更换</w:t>
      </w:r>
      <w:r>
        <w:rPr>
          <w:rFonts w:hint="eastAsia" w:ascii="宋体" w:hAnsi="宋体" w:eastAsia="宋体" w:cs="宋体"/>
          <w:sz w:val="21"/>
          <w:szCs w:val="21"/>
          <w:lang w:eastAsia="zh-CN"/>
        </w:rPr>
        <w:t>；</w:t>
      </w:r>
      <w:r>
        <w:rPr>
          <w:rFonts w:hint="eastAsia" w:ascii="宋体" w:hAnsi="宋体" w:eastAsia="宋体" w:cs="宋体"/>
          <w:sz w:val="21"/>
          <w:szCs w:val="21"/>
        </w:rPr>
        <w:t>观测场内草地春秋季应</w:t>
      </w:r>
      <w:r>
        <w:rPr>
          <w:rFonts w:hint="eastAsia" w:ascii="宋体" w:hAnsi="宋体" w:eastAsia="宋体" w:cs="宋体"/>
          <w:sz w:val="21"/>
          <w:szCs w:val="21"/>
          <w:lang w:val="en-US" w:eastAsia="zh-CN"/>
        </w:rPr>
        <w:t>4</w:t>
      </w:r>
      <w:r>
        <w:rPr>
          <w:rFonts w:hint="eastAsia" w:ascii="宋体" w:hAnsi="宋体" w:eastAsia="宋体" w:cs="宋体"/>
          <w:sz w:val="21"/>
          <w:szCs w:val="21"/>
        </w:rPr>
        <w:t>周修剪一次，夏季应2周修剪一次。</w:t>
      </w:r>
    </w:p>
    <w:p w14:paraId="625E87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sz w:val="21"/>
          <w:szCs w:val="21"/>
        </w:rPr>
        <w:t>2.设备运行维护：基本站（驻守站）</w:t>
      </w:r>
      <w:r>
        <w:rPr>
          <w:rFonts w:hint="eastAsia" w:ascii="宋体" w:hAnsi="宋体" w:eastAsia="宋体" w:cs="宋体"/>
          <w:sz w:val="21"/>
          <w:szCs w:val="21"/>
          <w:lang w:eastAsia="zh-CN"/>
        </w:rPr>
        <w:t>每周</w:t>
      </w:r>
      <w:r>
        <w:rPr>
          <w:rFonts w:hint="eastAsia" w:ascii="宋体" w:hAnsi="宋体" w:eastAsia="宋体" w:cs="宋体"/>
          <w:sz w:val="21"/>
          <w:szCs w:val="21"/>
        </w:rPr>
        <w:t>进行日常检查和操作</w:t>
      </w:r>
      <w:r>
        <w:rPr>
          <w:rFonts w:hint="eastAsia" w:ascii="宋体" w:hAnsi="宋体" w:eastAsia="宋体" w:cs="宋体"/>
          <w:sz w:val="21"/>
          <w:szCs w:val="21"/>
          <w:lang w:eastAsia="zh-CN"/>
        </w:rPr>
        <w:t>；</w:t>
      </w:r>
      <w:r>
        <w:rPr>
          <w:rFonts w:hint="eastAsia" w:ascii="宋体" w:hAnsi="宋体" w:eastAsia="宋体" w:cs="宋体"/>
          <w:sz w:val="21"/>
          <w:szCs w:val="21"/>
        </w:rPr>
        <w:t>清除承雨器内杂物，保持仪器清洁、水平</w:t>
      </w:r>
      <w:r>
        <w:rPr>
          <w:rFonts w:hint="eastAsia" w:ascii="宋体" w:hAnsi="宋体" w:eastAsia="宋体" w:cs="宋体"/>
          <w:sz w:val="21"/>
          <w:szCs w:val="21"/>
          <w:lang w:eastAsia="zh-CN"/>
        </w:rPr>
        <w:t>；</w:t>
      </w:r>
      <w:r>
        <w:rPr>
          <w:rFonts w:hint="eastAsia" w:ascii="宋体" w:hAnsi="宋体" w:eastAsia="宋体" w:cs="宋体"/>
          <w:sz w:val="21"/>
          <w:szCs w:val="21"/>
        </w:rPr>
        <w:t>暴雨期间应适当增加巡查次数</w:t>
      </w:r>
      <w:r>
        <w:rPr>
          <w:rFonts w:hint="eastAsia" w:ascii="宋体" w:hAnsi="宋体" w:eastAsia="宋体" w:cs="宋体"/>
          <w:sz w:val="21"/>
          <w:szCs w:val="21"/>
          <w:lang w:eastAsia="zh-CN"/>
        </w:rPr>
        <w:t>；</w:t>
      </w:r>
      <w:r>
        <w:rPr>
          <w:rFonts w:hint="eastAsia" w:ascii="宋体" w:hAnsi="宋体" w:eastAsia="宋体" w:cs="宋体"/>
          <w:sz w:val="21"/>
          <w:szCs w:val="21"/>
        </w:rPr>
        <w:t>检查标识标牌、雨量计、太阳能板等</w:t>
      </w:r>
      <w:r>
        <w:rPr>
          <w:rFonts w:hint="eastAsia" w:ascii="宋体" w:hAnsi="宋体" w:eastAsia="宋体" w:cs="宋体"/>
          <w:sz w:val="21"/>
          <w:szCs w:val="21"/>
          <w:lang w:eastAsia="zh-CN"/>
        </w:rPr>
        <w:t>；</w:t>
      </w:r>
      <w:r>
        <w:rPr>
          <w:rFonts w:hint="eastAsia" w:ascii="宋体" w:hAnsi="宋体" w:eastAsia="宋体" w:cs="宋体"/>
          <w:sz w:val="21"/>
          <w:szCs w:val="21"/>
        </w:rPr>
        <w:t>每月对观测仪器应进行1次全面检查维护</w:t>
      </w:r>
      <w:r>
        <w:rPr>
          <w:rFonts w:hint="eastAsia" w:ascii="宋体" w:hAnsi="宋体" w:eastAsia="宋体" w:cs="宋体"/>
          <w:sz w:val="21"/>
          <w:szCs w:val="21"/>
          <w:lang w:eastAsia="zh-CN"/>
        </w:rPr>
        <w:t>；</w:t>
      </w:r>
      <w:r>
        <w:rPr>
          <w:rFonts w:hint="eastAsia" w:ascii="宋体" w:hAnsi="宋体" w:eastAsia="宋体" w:cs="宋体"/>
          <w:sz w:val="21"/>
          <w:szCs w:val="21"/>
        </w:rPr>
        <w:t>每年汛前、汛后和发现仪器异常时需进行注水试验。基本站（无人值守站）每季度检查维护1次，特大暴雨过后，增加检查维护次数。在检查时如发现主、副设备之间或与周边邻站雨量偏差较大时，应及时查明原因并处理。专用（水库）站点每年检查维护不应少于2次（汛前、汛后），遇特大暴雨过后，增加检查维护次数。每年汛前应开展注水试验。平时需经常对主副设备或与周边邻站降水量进行对比，如偏差明显较大时，应及时查明原因并处理。</w:t>
      </w:r>
    </w:p>
    <w:p w14:paraId="256D496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sz w:val="21"/>
          <w:szCs w:val="21"/>
        </w:rPr>
        <w:t>3.运行检查内容：检查维护前，应先断开终端机电源和数据连接线。周边环境检查：检查观测场围栏、标识标牌牢固清晰，草皮高度、周边树木及障碍物影响状况，雨量计、太阳能板等外观是否正常。仪器外观检查：雨量器（计）外观应光滑整洁，无凹陷、毛刺、裂缝，人工雨量器筒身无渗漏。各部件应牢固光洁，并有较强的防锈、防蚀性能，标牌清晰牢固。承雨器内径和水平检查：用游标卡尺进行五个方向的口内径测量，是否符合规范要求</w:t>
      </w:r>
      <w:r>
        <w:rPr>
          <w:rFonts w:hint="eastAsia" w:ascii="宋体" w:hAnsi="宋体" w:eastAsia="宋体" w:cs="宋体"/>
          <w:sz w:val="21"/>
          <w:szCs w:val="21"/>
          <w:lang w:eastAsia="zh-CN"/>
        </w:rPr>
        <w:t>；</w:t>
      </w:r>
      <w:r>
        <w:rPr>
          <w:rFonts w:hint="eastAsia" w:ascii="宋体" w:hAnsi="宋体" w:eastAsia="宋体" w:cs="宋体"/>
          <w:sz w:val="21"/>
          <w:szCs w:val="21"/>
        </w:rPr>
        <w:t>用水平尺检查十字方向承雨器口是否水平</w:t>
      </w:r>
      <w:r>
        <w:rPr>
          <w:rFonts w:hint="eastAsia" w:ascii="宋体" w:hAnsi="宋体" w:eastAsia="宋体" w:cs="宋体"/>
          <w:sz w:val="21"/>
          <w:szCs w:val="21"/>
          <w:lang w:eastAsia="zh-CN"/>
        </w:rPr>
        <w:t>；</w:t>
      </w:r>
      <w:r>
        <w:rPr>
          <w:rFonts w:hint="eastAsia" w:ascii="宋体" w:hAnsi="宋体" w:eastAsia="宋体" w:cs="宋体"/>
          <w:sz w:val="21"/>
          <w:szCs w:val="21"/>
        </w:rPr>
        <w:t>检查承雨器口缘是否呈内直外斜的刃口状，内壁光滑，刃口角度为40º～45°。各部件检查清洗：检查防虫网、漏嘴、漏斗、翻斗、集水罐及筒身内部各部件是否清洁，是否有破损、松动，仪器内外应清洁，过水部件汇流畅通无堵塞。如有污垢，要用洗涤剂对其清洗，然后用清水冲洗，洗翻斗和漏斗时，内壁用干净的脱脂毛笔进行刷洗，禁止用手或毛巾等刮擦触摸内壁。安装时注意干簧管与磁钢的间隙（小于4.0mm），用手感测一下翻斗轴向窜动量（约0.1mm～0.2mm）。平台水平及翻斗灵敏度检查：松开制动螺栓调至平台圆气泡居中、检查翻斗翻转是否灵活，是否有阻滞感。6.注水试验：采用注入法或自身排水量法进行试验。注水试验前应注入5～10mm的清水湿润过水部件，并检查翻斗运转是否灵活，所量取的总水量应大于注入量。</w:t>
      </w:r>
    </w:p>
    <w:p w14:paraId="7FF1D1C8">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4.2.</w:t>
      </w:r>
      <w:r>
        <w:rPr>
          <w:rFonts w:hint="eastAsia" w:ascii="宋体" w:hAnsi="宋体" w:eastAsia="宋体" w:cs="宋体"/>
          <w:b/>
          <w:bCs/>
          <w:sz w:val="21"/>
          <w:szCs w:val="21"/>
        </w:rPr>
        <w:t>蒸发站</w:t>
      </w:r>
    </w:p>
    <w:p w14:paraId="5ECBA1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4.2.1</w:t>
      </w:r>
      <w:r>
        <w:rPr>
          <w:rFonts w:hint="eastAsia" w:ascii="宋体" w:hAnsi="宋体" w:eastAsia="宋体" w:cs="宋体"/>
          <w:sz w:val="21"/>
          <w:szCs w:val="21"/>
        </w:rPr>
        <w:t>应定期派技术人员到现场对仪器设备检查</w:t>
      </w:r>
    </w:p>
    <w:p w14:paraId="36E569A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4.2.2</w:t>
      </w:r>
      <w:r>
        <w:rPr>
          <w:rFonts w:hint="eastAsia" w:ascii="宋体" w:hAnsi="宋体" w:eastAsia="宋体" w:cs="宋体"/>
          <w:sz w:val="21"/>
          <w:szCs w:val="21"/>
        </w:rPr>
        <w:t>每年至少一次对传感器、数据采集器等进行现场检查、校验，对避雷系统接地电阻进行复测。</w:t>
      </w:r>
    </w:p>
    <w:p w14:paraId="064E18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4.2.3</w:t>
      </w:r>
      <w:r>
        <w:rPr>
          <w:rFonts w:hint="eastAsia" w:ascii="宋体" w:hAnsi="宋体" w:eastAsia="宋体" w:cs="宋体"/>
          <w:sz w:val="21"/>
          <w:szCs w:val="21"/>
        </w:rPr>
        <w:t>定期检查、维护的情况应记入运维日志中。</w:t>
      </w:r>
    </w:p>
    <w:p w14:paraId="5D61F3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4.2.4</w:t>
      </w:r>
      <w:r>
        <w:rPr>
          <w:rFonts w:hint="eastAsia" w:ascii="宋体" w:hAnsi="宋体" w:eastAsia="宋体" w:cs="宋体"/>
          <w:sz w:val="21"/>
          <w:szCs w:val="21"/>
        </w:rPr>
        <w:t>冬季结冰期较长的地区停止观测，应将蒸发器内的水汲净，以免冻坏</w:t>
      </w:r>
      <w:r>
        <w:rPr>
          <w:rFonts w:hint="eastAsia" w:ascii="宋体" w:hAnsi="宋体" w:eastAsia="宋体" w:cs="宋体"/>
          <w:sz w:val="21"/>
          <w:szCs w:val="21"/>
          <w:lang w:eastAsia="zh-CN"/>
        </w:rPr>
        <w:t>；</w:t>
      </w:r>
      <w:r>
        <w:rPr>
          <w:rFonts w:hint="eastAsia" w:ascii="宋体" w:hAnsi="宋体" w:eastAsia="宋体" w:cs="宋体"/>
          <w:sz w:val="21"/>
          <w:szCs w:val="21"/>
        </w:rPr>
        <w:t>整个结冰期应改用20cm蒸发器观测冰面蒸发。</w:t>
      </w:r>
    </w:p>
    <w:p w14:paraId="093C05DB">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4.3</w:t>
      </w:r>
      <w:r>
        <w:rPr>
          <w:rFonts w:hint="eastAsia" w:ascii="宋体" w:hAnsi="宋体" w:eastAsia="宋体" w:cs="宋体"/>
          <w:b/>
          <w:bCs/>
          <w:sz w:val="21"/>
          <w:szCs w:val="21"/>
        </w:rPr>
        <w:t>水位站</w:t>
      </w:r>
    </w:p>
    <w:p w14:paraId="54D495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4.3.1</w:t>
      </w:r>
      <w:r>
        <w:rPr>
          <w:rFonts w:hint="eastAsia" w:ascii="宋体" w:hAnsi="宋体" w:eastAsia="宋体" w:cs="宋体"/>
          <w:sz w:val="21"/>
          <w:szCs w:val="21"/>
        </w:rPr>
        <w:t>常规检查维护做到如下要求</w:t>
      </w:r>
    </w:p>
    <w:p w14:paraId="525EF0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监测环境是否满足规范要求，检查有无影响水位监测的障碍物</w:t>
      </w:r>
      <w:r>
        <w:rPr>
          <w:rFonts w:hint="eastAsia" w:ascii="宋体" w:hAnsi="宋体" w:eastAsia="宋体" w:cs="宋体"/>
          <w:sz w:val="21"/>
          <w:szCs w:val="21"/>
          <w:lang w:eastAsia="zh-CN"/>
        </w:rPr>
        <w:t>；</w:t>
      </w:r>
      <w:r>
        <w:rPr>
          <w:rFonts w:hint="eastAsia" w:ascii="宋体" w:hAnsi="宋体" w:eastAsia="宋体" w:cs="宋体"/>
          <w:sz w:val="21"/>
          <w:szCs w:val="21"/>
        </w:rPr>
        <w:t>水尺安装是否牢固，水尺是否完好、尺面刻度是否清晰</w:t>
      </w:r>
      <w:r>
        <w:rPr>
          <w:rFonts w:hint="eastAsia" w:ascii="宋体" w:hAnsi="宋体" w:eastAsia="宋体" w:cs="宋体"/>
          <w:sz w:val="21"/>
          <w:szCs w:val="21"/>
          <w:lang w:eastAsia="zh-CN"/>
        </w:rPr>
        <w:t>；</w:t>
      </w:r>
      <w:r>
        <w:rPr>
          <w:rFonts w:hint="eastAsia" w:ascii="宋体" w:hAnsi="宋体" w:eastAsia="宋体" w:cs="宋体"/>
          <w:sz w:val="21"/>
          <w:szCs w:val="21"/>
        </w:rPr>
        <w:t>水位监测平台是否稳固，各类标识标牌是否完整、清晰</w:t>
      </w:r>
      <w:r>
        <w:rPr>
          <w:rFonts w:hint="eastAsia" w:ascii="宋体" w:hAnsi="宋体" w:eastAsia="宋体" w:cs="宋体"/>
          <w:sz w:val="21"/>
          <w:szCs w:val="21"/>
          <w:lang w:eastAsia="zh-CN"/>
        </w:rPr>
        <w:t>；</w:t>
      </w:r>
      <w:r>
        <w:rPr>
          <w:rFonts w:hint="eastAsia" w:ascii="宋体" w:hAnsi="宋体" w:eastAsia="宋体" w:cs="宋体"/>
          <w:sz w:val="21"/>
          <w:szCs w:val="21"/>
        </w:rPr>
        <w:t>水位自动监测设备运行是否正常，与人工观测水位是否一致。</w:t>
      </w:r>
    </w:p>
    <w:p w14:paraId="5DCB0FA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4.3.2</w:t>
      </w:r>
      <w:r>
        <w:rPr>
          <w:rFonts w:hint="eastAsia" w:ascii="宋体" w:hAnsi="宋体" w:eastAsia="宋体" w:cs="宋体"/>
          <w:sz w:val="21"/>
          <w:szCs w:val="21"/>
        </w:rPr>
        <w:t>定期检查维护做到如下要求</w:t>
      </w:r>
    </w:p>
    <w:p w14:paraId="219DF1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检查水准点、水尺、观测平台是否稳固可靠</w:t>
      </w:r>
      <w:r>
        <w:rPr>
          <w:rFonts w:hint="eastAsia" w:ascii="宋体" w:hAnsi="宋体" w:eastAsia="宋体" w:cs="宋体"/>
          <w:sz w:val="21"/>
          <w:szCs w:val="21"/>
          <w:lang w:eastAsia="zh-CN"/>
        </w:rPr>
        <w:t>；</w:t>
      </w:r>
      <w:r>
        <w:rPr>
          <w:rFonts w:hint="eastAsia" w:ascii="宋体" w:hAnsi="宋体" w:eastAsia="宋体" w:cs="宋体"/>
          <w:sz w:val="21"/>
          <w:szCs w:val="21"/>
        </w:rPr>
        <w:t>开展水准点和水尺零点高程校测</w:t>
      </w:r>
      <w:r>
        <w:rPr>
          <w:rFonts w:hint="eastAsia" w:ascii="宋体" w:hAnsi="宋体" w:eastAsia="宋体" w:cs="宋体"/>
          <w:sz w:val="21"/>
          <w:szCs w:val="21"/>
          <w:lang w:eastAsia="zh-CN"/>
        </w:rPr>
        <w:t>；</w:t>
      </w:r>
      <w:r>
        <w:rPr>
          <w:rFonts w:hint="eastAsia" w:ascii="宋体" w:hAnsi="宋体" w:eastAsia="宋体" w:cs="宋体"/>
          <w:sz w:val="21"/>
          <w:szCs w:val="21"/>
        </w:rPr>
        <w:t>进行水位台测井、沉沙池、进水管清淤</w:t>
      </w:r>
      <w:r>
        <w:rPr>
          <w:rFonts w:hint="eastAsia" w:ascii="宋体" w:hAnsi="宋体" w:eastAsia="宋体" w:cs="宋体"/>
          <w:sz w:val="21"/>
          <w:szCs w:val="21"/>
          <w:lang w:eastAsia="zh-CN"/>
        </w:rPr>
        <w:t>；</w:t>
      </w:r>
      <w:r>
        <w:rPr>
          <w:rFonts w:hint="eastAsia" w:ascii="宋体" w:hAnsi="宋体" w:eastAsia="宋体" w:cs="宋体"/>
          <w:sz w:val="21"/>
          <w:szCs w:val="21"/>
        </w:rPr>
        <w:t>对水位监测平台的门、窗、柱、支架进行除锈油漆维护</w:t>
      </w:r>
      <w:r>
        <w:rPr>
          <w:rFonts w:hint="eastAsia" w:ascii="宋体" w:hAnsi="宋体" w:eastAsia="宋体" w:cs="宋体"/>
          <w:sz w:val="21"/>
          <w:szCs w:val="21"/>
          <w:lang w:eastAsia="zh-CN"/>
        </w:rPr>
        <w:t>；</w:t>
      </w:r>
      <w:r>
        <w:rPr>
          <w:rFonts w:hint="eastAsia" w:ascii="宋体" w:hAnsi="宋体" w:eastAsia="宋体" w:cs="宋体"/>
          <w:sz w:val="21"/>
          <w:szCs w:val="21"/>
        </w:rPr>
        <w:t>自动监测设备运行是否良好，太阳能电源、电池是否正常</w:t>
      </w:r>
      <w:r>
        <w:rPr>
          <w:rFonts w:hint="eastAsia" w:ascii="宋体" w:hAnsi="宋体" w:eastAsia="宋体" w:cs="宋体"/>
          <w:sz w:val="21"/>
          <w:szCs w:val="21"/>
          <w:lang w:eastAsia="zh-CN"/>
        </w:rPr>
        <w:t>；</w:t>
      </w:r>
      <w:r>
        <w:rPr>
          <w:rFonts w:hint="eastAsia" w:ascii="宋体" w:hAnsi="宋体" w:eastAsia="宋体" w:cs="宋体"/>
          <w:sz w:val="21"/>
          <w:szCs w:val="21"/>
        </w:rPr>
        <w:t>按照标准化管理要求开展标识标牌、公告牌、警示牌检查维护。</w:t>
      </w:r>
    </w:p>
    <w:p w14:paraId="1C7323C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4.3.3</w:t>
      </w:r>
      <w:r>
        <w:rPr>
          <w:rFonts w:hint="eastAsia" w:ascii="宋体" w:hAnsi="宋体" w:eastAsia="宋体" w:cs="宋体"/>
          <w:sz w:val="21"/>
          <w:szCs w:val="21"/>
        </w:rPr>
        <w:t>特别检查维护做到如下要求：</w:t>
      </w:r>
    </w:p>
    <w:p w14:paraId="4DE7EC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检查水位监测设施设备运行是否正常</w:t>
      </w:r>
      <w:r>
        <w:rPr>
          <w:rFonts w:hint="eastAsia" w:ascii="宋体" w:hAnsi="宋体" w:eastAsia="宋体" w:cs="宋体"/>
          <w:sz w:val="21"/>
          <w:szCs w:val="21"/>
          <w:lang w:eastAsia="zh-CN"/>
        </w:rPr>
        <w:t>；</w:t>
      </w:r>
      <w:r>
        <w:rPr>
          <w:rFonts w:hint="eastAsia" w:ascii="宋体" w:hAnsi="宋体" w:eastAsia="宋体" w:cs="宋体"/>
          <w:sz w:val="21"/>
          <w:szCs w:val="21"/>
        </w:rPr>
        <w:t>水位自动监测设备运行是否正常，与人工观测水位是否一致。</w:t>
      </w:r>
    </w:p>
    <w:p w14:paraId="72A2DB2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4.3.4</w:t>
      </w:r>
      <w:r>
        <w:rPr>
          <w:rFonts w:hint="eastAsia" w:ascii="宋体" w:hAnsi="宋体" w:eastAsia="宋体" w:cs="宋体"/>
          <w:sz w:val="21"/>
          <w:szCs w:val="21"/>
        </w:rPr>
        <w:t>不同水位设施具体要求如下</w:t>
      </w:r>
    </w:p>
    <w:p w14:paraId="2B7B3C0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（1）人工观测设施（水尺）</w:t>
      </w:r>
    </w:p>
    <w:p w14:paraId="7DFD0C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①</w:t>
      </w:r>
      <w:r>
        <w:rPr>
          <w:rFonts w:hint="eastAsia" w:ascii="宋体" w:hAnsi="宋体" w:eastAsia="宋体" w:cs="宋体"/>
          <w:sz w:val="21"/>
          <w:szCs w:val="21"/>
        </w:rPr>
        <w:t>人工水尺应按照SL58《水文测量规范》定期开展水尺零点高程校测。</w:t>
      </w:r>
    </w:p>
    <w:p w14:paraId="52EBFD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②</w:t>
      </w:r>
      <w:r>
        <w:rPr>
          <w:rFonts w:hint="eastAsia" w:ascii="宋体" w:hAnsi="宋体" w:eastAsia="宋体" w:cs="宋体"/>
          <w:sz w:val="21"/>
          <w:szCs w:val="21"/>
        </w:rPr>
        <w:t>保持水尺表面清晰，洪水后要及时清理水尺断面及水尺桩上的杂草、杂物。</w:t>
      </w:r>
    </w:p>
    <w:p w14:paraId="621682B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③</w:t>
      </w:r>
      <w:r>
        <w:rPr>
          <w:rFonts w:hint="eastAsia" w:ascii="宋体" w:hAnsi="宋体" w:eastAsia="宋体" w:cs="宋体"/>
          <w:sz w:val="21"/>
          <w:szCs w:val="21"/>
        </w:rPr>
        <w:t>定期检查水尺靠桩稳固情况，发现水尺靠桩有变动时，应及时加固处理，并进行水尺零点高程校测。</w:t>
      </w:r>
    </w:p>
    <w:p w14:paraId="4A3EF02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4 \* GB3 \* MERGEFORMAT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rPr>
        <w:t>④</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采用直立式水尺观测水位，当水位在两支水尺交替时，应同时读取上下两支水尺读数，校核两支水尺水位是否一致。</w:t>
      </w:r>
    </w:p>
    <w:p w14:paraId="06E23C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）水位监测平台</w:t>
      </w:r>
    </w:p>
    <w:p w14:paraId="57977C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①</w:t>
      </w:r>
      <w:r>
        <w:rPr>
          <w:rFonts w:hint="eastAsia" w:ascii="宋体" w:hAnsi="宋体" w:eastAsia="宋体" w:cs="宋体"/>
          <w:sz w:val="21"/>
          <w:szCs w:val="21"/>
        </w:rPr>
        <w:t>检查水位监测平台基础、支柱有无松动，支架是否牢固，压力式水位计导管固定是否牢固，防腐油漆是否剥落。</w:t>
      </w:r>
    </w:p>
    <w:p w14:paraId="50DC601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②</w:t>
      </w:r>
      <w:r>
        <w:rPr>
          <w:rFonts w:hint="eastAsia" w:ascii="宋体" w:hAnsi="宋体" w:eastAsia="宋体" w:cs="宋体"/>
          <w:sz w:val="21"/>
          <w:szCs w:val="21"/>
        </w:rPr>
        <w:t>检查水位台运行情况，水位涨落时查看水尺观测水位与自动监测水位是否一致。</w:t>
      </w:r>
    </w:p>
    <w:p w14:paraId="612CFD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③</w:t>
      </w:r>
      <w:r>
        <w:rPr>
          <w:rFonts w:hint="eastAsia" w:ascii="宋体" w:hAnsi="宋体" w:eastAsia="宋体" w:cs="宋体"/>
          <w:sz w:val="21"/>
          <w:szCs w:val="21"/>
        </w:rPr>
        <w:t>每年定期开展水位台测井、沉沙井和进水管清淤，较大洪水后及时清淤，保证水位台进水管口与测井间水流畅通无阻。</w:t>
      </w:r>
    </w:p>
    <w:p w14:paraId="3F40229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）浮子式水位计</w:t>
      </w:r>
    </w:p>
    <w:p w14:paraId="318C3B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①</w:t>
      </w:r>
      <w:r>
        <w:rPr>
          <w:rFonts w:hint="eastAsia" w:ascii="宋体" w:hAnsi="宋体" w:eastAsia="宋体" w:cs="宋体"/>
          <w:sz w:val="21"/>
          <w:szCs w:val="21"/>
        </w:rPr>
        <w:t>采用浮子式水位计观测水位时，应注意测站水位变化幅度，选用合适量程的水位计记录水位。</w:t>
      </w:r>
    </w:p>
    <w:p w14:paraId="3DD75D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②</w:t>
      </w:r>
      <w:r>
        <w:rPr>
          <w:rFonts w:hint="eastAsia" w:ascii="宋体" w:hAnsi="宋体" w:eastAsia="宋体" w:cs="宋体"/>
          <w:sz w:val="21"/>
          <w:szCs w:val="21"/>
        </w:rPr>
        <w:t>检查水尺读数、浮子水位计读数以及终端机(RTU)读数是否一致，发现偏差时应查明原因，并进行校正。</w:t>
      </w:r>
    </w:p>
    <w:p w14:paraId="61A4F5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③</w:t>
      </w:r>
      <w:r>
        <w:rPr>
          <w:rFonts w:hint="eastAsia" w:ascii="宋体" w:hAnsi="宋体" w:eastAsia="宋体" w:cs="宋体"/>
          <w:sz w:val="21"/>
          <w:szCs w:val="21"/>
        </w:rPr>
        <w:t>每年检查一次浮子水位计浮子、平衡锤以及感应索是否牢固，转动是否灵敏。</w:t>
      </w:r>
    </w:p>
    <w:p w14:paraId="629AB9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）压力式水位计</w:t>
      </w:r>
    </w:p>
    <w:p w14:paraId="1C26DB5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①</w:t>
      </w:r>
      <w:r>
        <w:rPr>
          <w:rFonts w:hint="eastAsia" w:ascii="宋体" w:hAnsi="宋体" w:eastAsia="宋体" w:cs="宋体"/>
          <w:sz w:val="21"/>
          <w:szCs w:val="21"/>
        </w:rPr>
        <w:t>保持压力式水位计探头清洁，每季度检查、清洗1次压力水位计探头，如水体水质较差时应增加清洗频次。</w:t>
      </w:r>
    </w:p>
    <w:p w14:paraId="6C810D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②</w:t>
      </w:r>
      <w:r>
        <w:rPr>
          <w:rFonts w:hint="eastAsia" w:ascii="宋体" w:hAnsi="宋体" w:eastAsia="宋体" w:cs="宋体"/>
          <w:sz w:val="21"/>
          <w:szCs w:val="21"/>
        </w:rPr>
        <w:t>根据不同厂家的压力式水位计，按照使用说明书进行清洗。</w:t>
      </w:r>
    </w:p>
    <w:p w14:paraId="65BBB9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③</w:t>
      </w:r>
      <w:r>
        <w:rPr>
          <w:rFonts w:hint="eastAsia" w:ascii="宋体" w:hAnsi="宋体" w:eastAsia="宋体" w:cs="宋体"/>
          <w:sz w:val="21"/>
          <w:szCs w:val="21"/>
        </w:rPr>
        <w:t>压力式水位计在投入使用时，或在清洗后重新安装时，因安装深度会有一定的变动，应再次与人工水尺水位进行校正，计算校正参数，以确保水位数据的正确性。</w:t>
      </w:r>
    </w:p>
    <w:p w14:paraId="40F451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）雷达水位计</w:t>
      </w:r>
    </w:p>
    <w:p w14:paraId="26D0B5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①</w:t>
      </w:r>
      <w:r>
        <w:rPr>
          <w:rFonts w:hint="eastAsia" w:ascii="宋体" w:hAnsi="宋体" w:eastAsia="宋体" w:cs="宋体"/>
          <w:sz w:val="21"/>
          <w:szCs w:val="21"/>
        </w:rPr>
        <w:t>雷达水位计应保持水位计信号辐射区清洁，宜每年维护保养 1次。</w:t>
      </w:r>
    </w:p>
    <w:p w14:paraId="47585C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②</w:t>
      </w:r>
      <w:r>
        <w:rPr>
          <w:rFonts w:hint="eastAsia" w:ascii="宋体" w:hAnsi="宋体" w:eastAsia="宋体" w:cs="宋体"/>
          <w:sz w:val="21"/>
          <w:szCs w:val="21"/>
        </w:rPr>
        <w:t>正式投入运行前，应与人工水尺水位进行校正，计算转换参数，确保水位数据的正确性。</w:t>
      </w:r>
    </w:p>
    <w:p w14:paraId="2223DA0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③</w:t>
      </w:r>
      <w:r>
        <w:rPr>
          <w:rFonts w:hint="eastAsia" w:ascii="宋体" w:hAnsi="宋体" w:eastAsia="宋体" w:cs="宋体"/>
          <w:sz w:val="21"/>
          <w:szCs w:val="21"/>
        </w:rPr>
        <w:t>每次卸下维护重新安装后，应再次按同样方法校正。</w:t>
      </w:r>
    </w:p>
    <w:p w14:paraId="7DC62B3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4.4</w:t>
      </w:r>
      <w:r>
        <w:rPr>
          <w:rFonts w:hint="eastAsia" w:ascii="宋体" w:hAnsi="宋体" w:eastAsia="宋体" w:cs="宋体"/>
          <w:b/>
          <w:bCs/>
          <w:sz w:val="21"/>
          <w:szCs w:val="21"/>
        </w:rPr>
        <w:t>流量站</w:t>
      </w:r>
    </w:p>
    <w:p w14:paraId="2C6354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不同类型的流量站点维护要求如下：</w:t>
      </w:r>
    </w:p>
    <w:p w14:paraId="0F94E3BD">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4.4.1</w:t>
      </w:r>
      <w:r>
        <w:rPr>
          <w:rFonts w:hint="eastAsia" w:ascii="宋体" w:hAnsi="宋体" w:eastAsia="宋体" w:cs="宋体"/>
          <w:b/>
          <w:bCs/>
          <w:sz w:val="21"/>
          <w:szCs w:val="21"/>
        </w:rPr>
        <w:t>水文缆道养护与转子式流速仪测验</w:t>
      </w:r>
    </w:p>
    <w:p w14:paraId="6D24858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①</w:t>
      </w:r>
      <w:r>
        <w:rPr>
          <w:rFonts w:hint="eastAsia" w:ascii="宋体" w:hAnsi="宋体" w:eastAsia="宋体" w:cs="宋体"/>
          <w:sz w:val="21"/>
          <w:szCs w:val="21"/>
          <w:lang w:val="en-US" w:eastAsia="zh-CN"/>
        </w:rPr>
        <w:t>主索、主索与锚碇接头部分应每年除锈涂油1次。</w:t>
      </w:r>
    </w:p>
    <w:p w14:paraId="2E5201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②</w:t>
      </w:r>
      <w:r>
        <w:rPr>
          <w:rFonts w:hint="eastAsia" w:ascii="宋体" w:hAnsi="宋体" w:eastAsia="宋体" w:cs="宋体"/>
          <w:sz w:val="21"/>
          <w:szCs w:val="21"/>
          <w:lang w:val="en-US" w:eastAsia="zh-CN"/>
        </w:rPr>
        <w:t>工作索除锈涂油每年应不少于2次，经常入水部分应适当增加次数，其他钢丝每年不应少于1次。发现锈蚀严重、断丝断股或直径变化较重的应更换新索。</w:t>
      </w:r>
    </w:p>
    <w:p w14:paraId="7C5D6D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③</w:t>
      </w:r>
      <w:r>
        <w:rPr>
          <w:rFonts w:hint="eastAsia" w:ascii="宋体" w:hAnsi="宋体" w:eastAsia="宋体" w:cs="宋体"/>
          <w:sz w:val="21"/>
          <w:szCs w:val="21"/>
          <w:lang w:val="en-US" w:eastAsia="zh-CN"/>
        </w:rPr>
        <w:t>应定期检查塔架（柱）基础有无沉陷，塔架（柱）有无位移变化，连接螺栓是否有松动，混凝土基础有无裂缝等。</w:t>
      </w:r>
    </w:p>
    <w:p w14:paraId="60FF66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4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④</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应定期检查钢丝绳是否跳槽、擦边磨损，滑轮运转是否正常，钢丝绳夹头是否松动。</w:t>
      </w:r>
    </w:p>
    <w:p w14:paraId="498D20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5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⑤</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水文绞车应每年汛前、汛后各检查1次，发现不正常情况，应立刻停车检修。</w:t>
      </w:r>
    </w:p>
    <w:p w14:paraId="4B8FDB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6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⑥</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绞车减速箱应加油方可启动，每年检查应不少于2次，换油1次。</w:t>
      </w:r>
    </w:p>
    <w:p w14:paraId="3844C9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7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⑦</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每年汛前应对防雷装置及设施进行检测；对垂度和起点距进行比测。</w:t>
      </w:r>
    </w:p>
    <w:p w14:paraId="5DF26C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8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⑧</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在每次使用流速仪之前，应检查仪器有无污损、变形、仪器旋转是否灵活及接触丝与信号是否正常等情况。</w:t>
      </w:r>
    </w:p>
    <w:p w14:paraId="27DC69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9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⑨</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当流速仪实际使用时间50～80h时应及时送检。</w:t>
      </w:r>
    </w:p>
    <w:p w14:paraId="3CA628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10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⑩</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流速仪在每次使用后，应立即拆洗干净，并加润滑油，装入箱内，转子部分应悬空搁置。</w:t>
      </w:r>
    </w:p>
    <w:p w14:paraId="2C5AB85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4.4.2</w:t>
      </w:r>
      <w:r>
        <w:rPr>
          <w:rFonts w:hint="eastAsia" w:ascii="宋体" w:hAnsi="宋体" w:eastAsia="宋体" w:cs="宋体"/>
          <w:b/>
          <w:bCs/>
          <w:sz w:val="21"/>
          <w:szCs w:val="21"/>
        </w:rPr>
        <w:t>声学多普勒流速剖面仪</w:t>
      </w:r>
    </w:p>
    <w:p w14:paraId="743D23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①</w:t>
      </w:r>
      <w:r>
        <w:rPr>
          <w:rFonts w:hint="eastAsia" w:ascii="宋体" w:hAnsi="宋体" w:eastAsia="宋体" w:cs="宋体"/>
          <w:sz w:val="21"/>
          <w:szCs w:val="21"/>
        </w:rPr>
        <w:t>对长期固定安装在水下应用的声学多普勒流速剖面仪，每年至少进行两次全面检查养护。对安装在水质较差的河流和水生贝类、藻类较多的，应增加检查维护频次。</w:t>
      </w:r>
    </w:p>
    <w:p w14:paraId="45B81D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②</w:t>
      </w:r>
      <w:r>
        <w:rPr>
          <w:rFonts w:hint="eastAsia" w:ascii="宋体" w:hAnsi="宋体" w:eastAsia="宋体" w:cs="宋体"/>
          <w:sz w:val="21"/>
          <w:szCs w:val="21"/>
        </w:rPr>
        <w:t>定期清除水下仪器上的附着物，检查安装位置的正确性和牢固程度</w:t>
      </w:r>
      <w:r>
        <w:rPr>
          <w:rFonts w:hint="eastAsia" w:ascii="宋体" w:hAnsi="宋体" w:eastAsia="宋体" w:cs="宋体"/>
          <w:sz w:val="21"/>
          <w:szCs w:val="21"/>
          <w:lang w:eastAsia="zh-CN"/>
        </w:rPr>
        <w:t>；</w:t>
      </w:r>
      <w:r>
        <w:rPr>
          <w:rFonts w:hint="eastAsia" w:ascii="宋体" w:hAnsi="宋体" w:eastAsia="宋体" w:cs="宋体"/>
          <w:sz w:val="21"/>
          <w:szCs w:val="21"/>
        </w:rPr>
        <w:t>检查连接各类连接线和防护状态是否正常。</w:t>
      </w:r>
    </w:p>
    <w:p w14:paraId="719F26E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③</w:t>
      </w:r>
      <w:r>
        <w:rPr>
          <w:rFonts w:hint="eastAsia" w:ascii="宋体" w:hAnsi="宋体" w:eastAsia="宋体" w:cs="宋体"/>
          <w:sz w:val="21"/>
          <w:szCs w:val="21"/>
        </w:rPr>
        <w:t>声学多普勒流速剖面仪每次使用后，应立即按仪器说明规定的方法，用清水冲洗仪器的换能器，供电系统按规定作好保养。</w:t>
      </w:r>
    </w:p>
    <w:p w14:paraId="50019E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4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④</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仪器的电缆线放在专用箱中且保持自然状态，不应有扭曲变形。</w:t>
      </w:r>
    </w:p>
    <w:p w14:paraId="665DB0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5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⑤</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仪器设备应放在通风干燥处，并应远离有腐蚀性的物质，仪器和设备上不应堆放重物。</w:t>
      </w:r>
    </w:p>
    <w:p w14:paraId="7BB3EA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6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⑥</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仪器所有零件工具应随用随放原处，仪器说明书和档案表应存档。</w:t>
      </w:r>
    </w:p>
    <w:p w14:paraId="10816B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7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⑦</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野外作业时，应避免传感器长时间暴晒。</w:t>
      </w:r>
    </w:p>
    <w:p w14:paraId="76441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8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⑧</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rPr>
        <w:t>对供电系统应经常检查电压、电流，及时更换电池，使电池电压保持上正常使用范围。</w:t>
      </w:r>
    </w:p>
    <w:p w14:paraId="4BAE10E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4.4.3</w:t>
      </w:r>
      <w:r>
        <w:rPr>
          <w:rFonts w:hint="eastAsia" w:ascii="宋体" w:hAnsi="宋体" w:eastAsia="宋体" w:cs="宋体"/>
          <w:b/>
          <w:bCs/>
          <w:sz w:val="21"/>
          <w:szCs w:val="21"/>
        </w:rPr>
        <w:t>电波（雷达）流速仪</w:t>
      </w:r>
    </w:p>
    <w:p w14:paraId="39651D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①</w:t>
      </w:r>
      <w:r>
        <w:rPr>
          <w:rFonts w:hint="eastAsia" w:ascii="宋体" w:hAnsi="宋体" w:eastAsia="宋体" w:cs="宋体"/>
          <w:sz w:val="21"/>
          <w:szCs w:val="21"/>
        </w:rPr>
        <w:t>对长期安装在野外的电波（雷达）流速仪，每年至少进行两次全面检查养护。保持设备的外观整洁，检查箱体、立杆等固定部件是否有锈蚀、滑轮磨损等情况，检查安装角度是否发生变化，以及障碍物的清理等。</w:t>
      </w:r>
    </w:p>
    <w:p w14:paraId="609330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②</w:t>
      </w:r>
      <w:r>
        <w:rPr>
          <w:rFonts w:hint="eastAsia" w:ascii="宋体" w:hAnsi="宋体" w:eastAsia="宋体" w:cs="宋体"/>
          <w:sz w:val="21"/>
          <w:szCs w:val="21"/>
        </w:rPr>
        <w:t>检查过河索垂度、起点距是否发生变化。</w:t>
      </w:r>
    </w:p>
    <w:p w14:paraId="1C64224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③</w:t>
      </w:r>
      <w:r>
        <w:rPr>
          <w:rFonts w:hint="eastAsia" w:ascii="宋体" w:hAnsi="宋体" w:eastAsia="宋体" w:cs="宋体"/>
          <w:sz w:val="21"/>
          <w:szCs w:val="21"/>
        </w:rPr>
        <w:t>对供电系统应经常检查电压、电流，及时更换电池，使电池电压保持正常使用范围。检查测验数据是否正常，有无缺失。</w:t>
      </w:r>
    </w:p>
    <w:p w14:paraId="66E3A8A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4.4.4</w:t>
      </w:r>
      <w:r>
        <w:rPr>
          <w:rFonts w:hint="eastAsia" w:ascii="宋体" w:hAnsi="宋体" w:eastAsia="宋体" w:cs="宋体"/>
          <w:b/>
          <w:bCs/>
          <w:sz w:val="21"/>
          <w:szCs w:val="21"/>
        </w:rPr>
        <w:t>超声波时差法流速仪</w:t>
      </w:r>
    </w:p>
    <w:p w14:paraId="4E1E0A7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①</w:t>
      </w:r>
      <w:r>
        <w:rPr>
          <w:rFonts w:hint="eastAsia" w:ascii="宋体" w:hAnsi="宋体" w:eastAsia="宋体" w:cs="宋体"/>
          <w:sz w:val="21"/>
          <w:szCs w:val="21"/>
        </w:rPr>
        <w:t>对长期固定安装在水下应用的声学时差法流速仪，每年至少进行两次全面检查养护。</w:t>
      </w:r>
    </w:p>
    <w:p w14:paraId="2C46EB8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②</w:t>
      </w:r>
      <w:r>
        <w:rPr>
          <w:rFonts w:hint="eastAsia" w:ascii="宋体" w:hAnsi="宋体" w:eastAsia="宋体" w:cs="宋体"/>
          <w:sz w:val="21"/>
          <w:szCs w:val="21"/>
        </w:rPr>
        <w:t>检查换能器的安装是否固定、朝向是否发生变化，检查表面是否有附着物。</w:t>
      </w:r>
    </w:p>
    <w:p w14:paraId="0EB3531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default" w:ascii="宋体" w:hAnsi="宋体" w:eastAsia="宋体" w:cs="宋体"/>
          <w:sz w:val="21"/>
          <w:szCs w:val="21"/>
          <w:lang w:val="en-US" w:eastAsia="zh-CN"/>
        </w:rPr>
        <w:t>③</w:t>
      </w:r>
      <w:r>
        <w:rPr>
          <w:rFonts w:hint="eastAsia" w:ascii="宋体" w:hAnsi="宋体" w:eastAsia="宋体" w:cs="宋体"/>
          <w:sz w:val="21"/>
          <w:szCs w:val="21"/>
        </w:rPr>
        <w:t>每年汛前应对设备软件进行检测。</w:t>
      </w:r>
    </w:p>
    <w:bookmarkEnd w:id="68"/>
    <w:p w14:paraId="217C4CF7">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bookmarkStart w:id="69" w:name="_Toc481739403"/>
      <w:r>
        <w:rPr>
          <w:rFonts w:hint="eastAsia" w:ascii="宋体" w:hAnsi="宋体" w:eastAsia="宋体" w:cs="宋体"/>
          <w:b/>
          <w:bCs/>
          <w:sz w:val="21"/>
          <w:szCs w:val="21"/>
          <w:lang w:val="en-US" w:eastAsia="zh-CN"/>
        </w:rPr>
        <w:t>4.4.5故障修复时间要求</w:t>
      </w:r>
      <w:bookmarkEnd w:id="69"/>
    </w:p>
    <w:p w14:paraId="39473A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要求故障遥测站除土建损坏或不可抗力原因无法及时修复外，在故障发现后：</w:t>
      </w:r>
    </w:p>
    <w:p w14:paraId="749EFD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①</w:t>
      </w:r>
      <w:r>
        <w:rPr>
          <w:rFonts w:hint="eastAsia" w:ascii="宋体" w:hAnsi="宋体" w:eastAsia="宋体" w:cs="宋体"/>
          <w:sz w:val="21"/>
          <w:szCs w:val="21"/>
          <w:lang w:val="zh-CN" w:eastAsia="zh-CN"/>
        </w:rPr>
        <w:t>汛期。</w:t>
      </w:r>
      <w:r>
        <w:rPr>
          <w:rFonts w:hint="eastAsia" w:ascii="宋体" w:hAnsi="宋体" w:eastAsia="宋体" w:cs="宋体"/>
          <w:sz w:val="21"/>
          <w:szCs w:val="21"/>
          <w:lang w:val="en-US" w:eastAsia="zh-CN"/>
        </w:rPr>
        <w:t>国家基本</w:t>
      </w:r>
      <w:r>
        <w:rPr>
          <w:rFonts w:hint="eastAsia" w:ascii="宋体" w:hAnsi="宋体" w:eastAsia="宋体" w:cs="宋体"/>
          <w:sz w:val="21"/>
          <w:szCs w:val="21"/>
          <w:lang w:val="zh-CN" w:eastAsia="zh-CN"/>
        </w:rPr>
        <w:t>站点在发现问题后12小时内排除故障；</w:t>
      </w:r>
      <w:r>
        <w:rPr>
          <w:rFonts w:hint="eastAsia" w:ascii="宋体" w:hAnsi="宋体" w:eastAsia="宋体" w:cs="宋体"/>
          <w:sz w:val="21"/>
          <w:szCs w:val="21"/>
          <w:lang w:val="en-US" w:eastAsia="zh-CN"/>
        </w:rPr>
        <w:t>非国家基本</w:t>
      </w:r>
      <w:r>
        <w:rPr>
          <w:rFonts w:hint="eastAsia" w:ascii="宋体" w:hAnsi="宋体" w:eastAsia="宋体" w:cs="宋体"/>
          <w:sz w:val="21"/>
          <w:szCs w:val="21"/>
          <w:lang w:val="zh-CN" w:eastAsia="zh-CN"/>
        </w:rPr>
        <w:t>站点24小时内到场维修；并做好维修记录。</w:t>
      </w:r>
    </w:p>
    <w:p w14:paraId="3200419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②</w:t>
      </w:r>
      <w:r>
        <w:rPr>
          <w:rFonts w:hint="eastAsia" w:ascii="宋体" w:hAnsi="宋体" w:eastAsia="宋体" w:cs="宋体"/>
          <w:sz w:val="21"/>
          <w:szCs w:val="21"/>
          <w:lang w:val="zh-CN" w:eastAsia="zh-CN"/>
        </w:rPr>
        <w:t>非汛期。</w:t>
      </w:r>
      <w:r>
        <w:rPr>
          <w:rFonts w:hint="eastAsia" w:ascii="宋体" w:hAnsi="宋体" w:eastAsia="宋体" w:cs="宋体"/>
          <w:sz w:val="21"/>
          <w:szCs w:val="21"/>
          <w:lang w:val="en-US" w:eastAsia="zh-CN"/>
        </w:rPr>
        <w:t>国家基本</w:t>
      </w:r>
      <w:r>
        <w:rPr>
          <w:rFonts w:hint="eastAsia" w:ascii="宋体" w:hAnsi="宋体" w:eastAsia="宋体" w:cs="宋体"/>
          <w:sz w:val="21"/>
          <w:szCs w:val="21"/>
          <w:lang w:val="zh-CN" w:eastAsia="zh-CN"/>
        </w:rPr>
        <w:t>站点要求24小时内到场维修；</w:t>
      </w:r>
      <w:r>
        <w:rPr>
          <w:rFonts w:hint="eastAsia" w:ascii="宋体" w:hAnsi="宋体" w:eastAsia="宋体" w:cs="宋体"/>
          <w:sz w:val="21"/>
          <w:szCs w:val="21"/>
          <w:lang w:val="en-US" w:eastAsia="zh-CN"/>
        </w:rPr>
        <w:t>非国家基本</w:t>
      </w:r>
      <w:r>
        <w:rPr>
          <w:rFonts w:hint="eastAsia" w:ascii="宋体" w:hAnsi="宋体" w:eastAsia="宋体" w:cs="宋体"/>
          <w:sz w:val="21"/>
          <w:szCs w:val="21"/>
          <w:lang w:val="zh-CN" w:eastAsia="zh-CN"/>
        </w:rPr>
        <w:t>站点要求48小时内到场维修，并做好维修记录。</w:t>
      </w:r>
    </w:p>
    <w:p w14:paraId="3FFA21C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③</w:t>
      </w:r>
      <w:r>
        <w:rPr>
          <w:rFonts w:hint="eastAsia" w:ascii="宋体" w:hAnsi="宋体" w:eastAsia="宋体" w:cs="宋体"/>
          <w:sz w:val="21"/>
          <w:szCs w:val="21"/>
          <w:lang w:val="zh-CN" w:eastAsia="zh-CN"/>
        </w:rPr>
        <w:t>特殊时期。遇台风、局地性强降雨等应急时期，监测站发现故障，必须及时到场维修。</w:t>
      </w:r>
    </w:p>
    <w:p w14:paraId="745FE0D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bookmarkStart w:id="70" w:name="_Toc481739404"/>
      <w:r>
        <w:rPr>
          <w:rFonts w:hint="eastAsia" w:ascii="宋体" w:hAnsi="宋体" w:eastAsia="宋体" w:cs="宋体"/>
          <w:b/>
          <w:bCs/>
          <w:sz w:val="21"/>
          <w:szCs w:val="21"/>
          <w:lang w:val="en-US" w:eastAsia="zh-CN"/>
        </w:rPr>
        <w:t>4.4.6设备、设施、耗材要求</w:t>
      </w:r>
      <w:bookmarkEnd w:id="70"/>
    </w:p>
    <w:p w14:paraId="3DCEAAA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①</w:t>
      </w:r>
      <w:r>
        <w:rPr>
          <w:rFonts w:hint="eastAsia" w:ascii="宋体" w:hAnsi="宋体" w:eastAsia="宋体" w:cs="宋体"/>
          <w:sz w:val="21"/>
          <w:szCs w:val="21"/>
          <w:lang w:val="zh-CN" w:eastAsia="zh-CN"/>
        </w:rPr>
        <w:t>各遥测监测站的手机卡通信费由</w:t>
      </w:r>
      <w:r>
        <w:rPr>
          <w:rFonts w:hint="eastAsia" w:ascii="宋体" w:hAnsi="宋体" w:eastAsia="宋体" w:cs="宋体"/>
          <w:sz w:val="21"/>
          <w:szCs w:val="21"/>
          <w:lang w:val="en-US" w:eastAsia="zh-CN"/>
        </w:rPr>
        <w:t>服务单位</w:t>
      </w:r>
      <w:r>
        <w:rPr>
          <w:rFonts w:hint="eastAsia" w:ascii="宋体" w:hAnsi="宋体" w:eastAsia="宋体" w:cs="宋体"/>
          <w:sz w:val="21"/>
          <w:szCs w:val="21"/>
          <w:lang w:val="zh-CN" w:eastAsia="zh-CN"/>
        </w:rPr>
        <w:t>负责。</w:t>
      </w:r>
    </w:p>
    <w:p w14:paraId="59641F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②</w:t>
      </w:r>
      <w:r>
        <w:rPr>
          <w:rFonts w:hint="eastAsia" w:ascii="宋体" w:hAnsi="宋体" w:eastAsia="宋体" w:cs="宋体"/>
          <w:sz w:val="21"/>
          <w:szCs w:val="21"/>
          <w:lang w:val="zh-CN" w:eastAsia="zh-CN"/>
        </w:rPr>
        <w:t>测站的遥测终端、</w:t>
      </w:r>
      <w:r>
        <w:rPr>
          <w:rFonts w:hint="eastAsia" w:ascii="宋体" w:hAnsi="宋体" w:eastAsia="宋体" w:cs="宋体"/>
          <w:sz w:val="21"/>
          <w:szCs w:val="21"/>
          <w:lang w:val="en-US" w:eastAsia="zh-CN"/>
        </w:rPr>
        <w:t>水位传感器</w:t>
      </w:r>
      <w:r>
        <w:rPr>
          <w:rFonts w:hint="eastAsia" w:ascii="宋体" w:hAnsi="宋体" w:eastAsia="宋体" w:cs="宋体"/>
          <w:sz w:val="21"/>
          <w:szCs w:val="21"/>
          <w:lang w:val="zh-CN" w:eastAsia="zh-CN"/>
        </w:rPr>
        <w:t>、雨量计及检测场地围栏、集雨台等主要设备设施的故障、损坏由</w:t>
      </w:r>
      <w:r>
        <w:rPr>
          <w:rFonts w:hint="eastAsia" w:ascii="宋体" w:hAnsi="宋体" w:eastAsia="宋体" w:cs="宋体"/>
          <w:sz w:val="21"/>
          <w:szCs w:val="21"/>
          <w:lang w:val="en-US" w:eastAsia="zh-CN"/>
        </w:rPr>
        <w:t>水文管理中心</w:t>
      </w:r>
      <w:r>
        <w:rPr>
          <w:rFonts w:hint="eastAsia" w:ascii="宋体" w:hAnsi="宋体" w:eastAsia="宋体" w:cs="宋体"/>
          <w:sz w:val="21"/>
          <w:szCs w:val="21"/>
          <w:lang w:val="zh-CN" w:eastAsia="zh-CN"/>
        </w:rPr>
        <w:t>负责</w:t>
      </w:r>
      <w:r>
        <w:rPr>
          <w:rFonts w:hint="eastAsia" w:ascii="宋体" w:hAnsi="宋体" w:eastAsia="宋体" w:cs="宋体"/>
          <w:sz w:val="21"/>
          <w:szCs w:val="21"/>
          <w:highlight w:val="none"/>
          <w:lang w:val="zh-CN" w:eastAsia="zh-CN"/>
        </w:rPr>
        <w:t>。服务方至少需储备压力式探头5套、精度压力式液位计采样运维仪1套、充电控制器1套、遥测终端5套、蓄电池10组等常用设备备用件。</w:t>
      </w:r>
    </w:p>
    <w:p w14:paraId="086DF6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③</w:t>
      </w:r>
      <w:r>
        <w:rPr>
          <w:rFonts w:hint="eastAsia" w:ascii="宋体" w:hAnsi="宋体" w:eastAsia="宋体" w:cs="宋体"/>
          <w:sz w:val="21"/>
          <w:szCs w:val="21"/>
          <w:lang w:val="zh-CN" w:eastAsia="zh-CN"/>
        </w:rPr>
        <w:t>主要用于设备运行的电瓶、干簧管、雨量翻斗、接水器皿、连接线、接线接头等易损件由服务方提供。</w:t>
      </w:r>
    </w:p>
    <w:p w14:paraId="047A16B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4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④</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国家基本雨量站场地维护工作包括草皮修剪、清除杂草维护工作。</w:t>
      </w:r>
    </w:p>
    <w:p w14:paraId="6712EB06">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bookmarkStart w:id="71" w:name="_Toc481739405"/>
      <w:r>
        <w:rPr>
          <w:rFonts w:hint="eastAsia" w:ascii="宋体" w:hAnsi="宋体" w:eastAsia="宋体" w:cs="宋体"/>
          <w:b/>
          <w:bCs/>
          <w:sz w:val="21"/>
          <w:szCs w:val="21"/>
          <w:lang w:val="en-US" w:eastAsia="zh-CN"/>
        </w:rPr>
        <w:t>4.4.7服务工具、交通工具及服务安全要求</w:t>
      </w:r>
      <w:bookmarkEnd w:id="71"/>
    </w:p>
    <w:p w14:paraId="1E9049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①</w:t>
      </w:r>
      <w:r>
        <w:rPr>
          <w:rFonts w:hint="eastAsia" w:ascii="宋体" w:hAnsi="宋体" w:eastAsia="宋体" w:cs="宋体"/>
          <w:sz w:val="21"/>
          <w:szCs w:val="21"/>
          <w:lang w:val="zh-CN" w:eastAsia="zh-CN"/>
        </w:rPr>
        <w:t>服务方配备服务所需的常用维护维修常用工具（如：水准仪、万用表、中号一字和十字罗批等。）</w:t>
      </w:r>
    </w:p>
    <w:p w14:paraId="3A7A27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②</w:t>
      </w:r>
      <w:r>
        <w:rPr>
          <w:rFonts w:hint="eastAsia" w:ascii="宋体" w:hAnsi="宋体" w:eastAsia="宋体" w:cs="宋体"/>
          <w:sz w:val="21"/>
          <w:szCs w:val="21"/>
          <w:lang w:val="zh-CN" w:eastAsia="zh-CN"/>
        </w:rPr>
        <w:t>服务方在提供服务过程中自备车辆，并负责维护过程中的车辆及人身的安全，水文管理中心不承担因意外事故而产生的任何法律责任和相关的费用。</w:t>
      </w:r>
    </w:p>
    <w:p w14:paraId="3B8CCBA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③</w:t>
      </w:r>
      <w:r>
        <w:rPr>
          <w:rFonts w:hint="eastAsia" w:ascii="宋体" w:hAnsi="宋体" w:eastAsia="宋体" w:cs="宋体"/>
          <w:sz w:val="21"/>
          <w:szCs w:val="21"/>
          <w:lang w:val="zh-CN" w:eastAsia="zh-CN"/>
        </w:rPr>
        <w:t>服务方必须按照国家有关劳动安全的规定为维护人员配备安全作业防护用品，确保安全生产。</w:t>
      </w:r>
    </w:p>
    <w:p w14:paraId="4FA8BB84">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bookmarkStart w:id="72" w:name="_Toc481739406"/>
      <w:r>
        <w:rPr>
          <w:rFonts w:hint="eastAsia" w:ascii="宋体" w:hAnsi="宋体" w:eastAsia="宋体" w:cs="宋体"/>
          <w:b/>
          <w:bCs/>
          <w:sz w:val="21"/>
          <w:szCs w:val="21"/>
          <w:lang w:val="en-US" w:eastAsia="zh-CN"/>
        </w:rPr>
        <w:t>4.4.8水雨情遥测设施维护人员要求</w:t>
      </w:r>
      <w:bookmarkEnd w:id="72"/>
    </w:p>
    <w:p w14:paraId="7D6EE8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为确保安全维护服务公司在每次外出维护期间，需确保至少两人参与维护。另外，为使水雨情遥测站点维护及时、抢修快速、维修专业，服务单位需配备1名男性技术人员常年驻浦江运行维护。</w:t>
      </w:r>
    </w:p>
    <w:p w14:paraId="5DF8F17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en-US" w:eastAsia="zh-CN"/>
        </w:rPr>
      </w:pPr>
      <w:bookmarkStart w:id="73" w:name="_Toc481739407"/>
      <w:r>
        <w:rPr>
          <w:rFonts w:hint="eastAsia" w:ascii="宋体" w:hAnsi="宋体" w:eastAsia="宋体" w:cs="宋体"/>
          <w:b/>
          <w:bCs/>
          <w:sz w:val="21"/>
          <w:szCs w:val="21"/>
          <w:lang w:val="en-US" w:eastAsia="zh-CN"/>
        </w:rPr>
        <w:t>4.4.9驻点人员基本要求</w:t>
      </w:r>
      <w:bookmarkEnd w:id="73"/>
    </w:p>
    <w:p w14:paraId="7F3ECE0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①</w:t>
      </w:r>
      <w:r>
        <w:rPr>
          <w:rFonts w:hint="eastAsia" w:ascii="宋体" w:hAnsi="宋体" w:eastAsia="宋体" w:cs="宋体"/>
          <w:sz w:val="21"/>
          <w:szCs w:val="21"/>
          <w:lang w:val="zh-CN" w:eastAsia="zh-CN"/>
        </w:rPr>
        <w:t>具有中华人民共和国国籍，热爱祖国，拥护中国共产党的领导和党的路线、方针、政策，热爱社会主义。</w:t>
      </w:r>
    </w:p>
    <w:p w14:paraId="511D0D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②</w:t>
      </w:r>
      <w:r>
        <w:rPr>
          <w:rFonts w:hint="eastAsia" w:ascii="宋体" w:hAnsi="宋体" w:eastAsia="宋体" w:cs="宋体"/>
          <w:sz w:val="21"/>
          <w:szCs w:val="21"/>
          <w:lang w:val="zh-CN" w:eastAsia="zh-CN"/>
        </w:rPr>
        <w:t>遵纪守法，品行端正，具有良好的职业道德和为人民服务的精神。</w:t>
      </w:r>
    </w:p>
    <w:p w14:paraId="1EC65E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③</w:t>
      </w:r>
      <w:r>
        <w:rPr>
          <w:rFonts w:hint="eastAsia" w:ascii="宋体" w:hAnsi="宋体" w:eastAsia="宋体" w:cs="宋体"/>
          <w:sz w:val="21"/>
          <w:szCs w:val="21"/>
          <w:lang w:val="zh-CN" w:eastAsia="zh-CN"/>
        </w:rPr>
        <w:t>身体健康，具备履行岗位职责的身体条件。</w:t>
      </w:r>
    </w:p>
    <w:p w14:paraId="0075CB5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4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④</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zh-CN" w:eastAsia="zh-CN"/>
        </w:rPr>
        <w:t>无不良嗜好，能够吃苦耐劳，服从工作安排。</w:t>
      </w:r>
    </w:p>
    <w:p w14:paraId="0164D5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 5 \* GB3 \* MERGEFORMAT </w:instrText>
      </w:r>
      <w:r>
        <w:rPr>
          <w:rFonts w:hint="eastAsia" w:ascii="宋体" w:hAnsi="宋体" w:eastAsia="宋体" w:cs="宋体"/>
          <w:sz w:val="21"/>
          <w:szCs w:val="21"/>
          <w:lang w:val="en-US" w:eastAsia="zh-CN"/>
        </w:rPr>
        <w:fldChar w:fldCharType="separate"/>
      </w:r>
      <w:r>
        <w:rPr>
          <w:rFonts w:hint="default" w:ascii="宋体" w:hAnsi="宋体" w:eastAsia="宋体" w:cs="宋体"/>
          <w:sz w:val="21"/>
          <w:szCs w:val="21"/>
          <w:lang w:val="en-US" w:eastAsia="zh-CN"/>
        </w:rPr>
        <w:t>⑤</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zh-CN" w:eastAsia="zh-CN"/>
        </w:rPr>
        <w:t>能够熟练操作计算机。</w:t>
      </w:r>
    </w:p>
    <w:p w14:paraId="48E241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有下列情形之一者不得从事本项工作：</w:t>
      </w:r>
    </w:p>
    <w:p w14:paraId="151F15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①</w:t>
      </w:r>
      <w:r>
        <w:rPr>
          <w:rFonts w:hint="eastAsia" w:ascii="宋体" w:hAnsi="宋体" w:eastAsia="宋体" w:cs="宋体"/>
          <w:sz w:val="21"/>
          <w:szCs w:val="21"/>
          <w:lang w:val="zh-CN" w:eastAsia="zh-CN"/>
        </w:rPr>
        <w:t>受过党纪、行政处分尚未解除处分的。</w:t>
      </w:r>
    </w:p>
    <w:p w14:paraId="11F4A3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②</w:t>
      </w:r>
      <w:r>
        <w:rPr>
          <w:rFonts w:hint="eastAsia" w:ascii="宋体" w:hAnsi="宋体" w:eastAsia="宋体" w:cs="宋体"/>
          <w:sz w:val="21"/>
          <w:szCs w:val="21"/>
          <w:lang w:val="zh-CN" w:eastAsia="zh-CN"/>
        </w:rPr>
        <w:t>受刑事处分并在服刑期间的。</w:t>
      </w:r>
    </w:p>
    <w:p w14:paraId="0CF11F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③</w:t>
      </w:r>
      <w:r>
        <w:rPr>
          <w:rFonts w:hint="eastAsia" w:ascii="宋体" w:hAnsi="宋体" w:eastAsia="宋体" w:cs="宋体"/>
          <w:sz w:val="21"/>
          <w:szCs w:val="21"/>
          <w:lang w:val="zh-CN" w:eastAsia="zh-CN"/>
        </w:rPr>
        <w:t>有违法违纪嫌疑正在接受审查的。</w:t>
      </w:r>
    </w:p>
    <w:p w14:paraId="40B2A8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bookmarkStart w:id="74" w:name="_Toc481739408"/>
      <w:r>
        <w:rPr>
          <w:rFonts w:hint="eastAsia" w:ascii="宋体" w:hAnsi="宋体" w:eastAsia="宋体" w:cs="宋体"/>
          <w:sz w:val="21"/>
          <w:szCs w:val="21"/>
          <w:lang w:val="en-US" w:eastAsia="zh-CN"/>
        </w:rPr>
        <w:t>驻点人员工作时间</w:t>
      </w:r>
      <w:bookmarkEnd w:id="74"/>
    </w:p>
    <w:p w14:paraId="3D49B7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①</w:t>
      </w:r>
      <w:r>
        <w:rPr>
          <w:rFonts w:hint="eastAsia" w:ascii="宋体" w:hAnsi="宋体" w:eastAsia="宋体" w:cs="宋体"/>
          <w:sz w:val="21"/>
          <w:szCs w:val="21"/>
          <w:lang w:val="zh-CN" w:eastAsia="zh-CN"/>
        </w:rPr>
        <w:t>自县</w:t>
      </w:r>
      <w:r>
        <w:rPr>
          <w:rFonts w:hint="eastAsia" w:ascii="宋体" w:hAnsi="宋体" w:eastAsia="宋体" w:cs="宋体"/>
          <w:sz w:val="21"/>
          <w:szCs w:val="21"/>
          <w:lang w:val="en-US" w:eastAsia="zh-CN"/>
        </w:rPr>
        <w:t>水文管理中心</w:t>
      </w:r>
      <w:r>
        <w:rPr>
          <w:rFonts w:hint="eastAsia" w:ascii="宋体" w:hAnsi="宋体" w:eastAsia="宋体" w:cs="宋体"/>
          <w:sz w:val="21"/>
          <w:szCs w:val="21"/>
          <w:lang w:val="zh-CN" w:eastAsia="zh-CN"/>
        </w:rPr>
        <w:t>与维护服务公司签订合同之日起至合同协议期满自行终止。</w:t>
      </w:r>
    </w:p>
    <w:p w14:paraId="2C72C4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bookmarkStart w:id="75" w:name="_Toc481739410"/>
      <w:r>
        <w:rPr>
          <w:rFonts w:hint="default" w:ascii="宋体" w:hAnsi="宋体" w:eastAsia="宋体" w:cs="宋体"/>
          <w:sz w:val="21"/>
          <w:szCs w:val="21"/>
          <w:lang w:val="en-US" w:eastAsia="zh-CN"/>
        </w:rPr>
        <w:t>②</w:t>
      </w:r>
      <w:r>
        <w:rPr>
          <w:rFonts w:hint="eastAsia" w:ascii="宋体" w:hAnsi="宋体" w:eastAsia="宋体" w:cs="宋体"/>
          <w:sz w:val="21"/>
          <w:szCs w:val="21"/>
          <w:lang w:val="en-US" w:eastAsia="zh-CN"/>
        </w:rPr>
        <w:t>驻点人员劳动报酬及保险</w:t>
      </w:r>
      <w:bookmarkEnd w:id="75"/>
    </w:p>
    <w:p w14:paraId="117E21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default" w:ascii="宋体" w:hAnsi="宋体" w:eastAsia="宋体" w:cs="宋体"/>
          <w:sz w:val="21"/>
          <w:szCs w:val="21"/>
          <w:lang w:val="en-US" w:eastAsia="zh-CN"/>
        </w:rPr>
        <w:t>③</w:t>
      </w:r>
      <w:r>
        <w:rPr>
          <w:rFonts w:hint="eastAsia" w:ascii="宋体" w:hAnsi="宋体" w:eastAsia="宋体" w:cs="宋体"/>
          <w:sz w:val="21"/>
          <w:szCs w:val="21"/>
          <w:lang w:val="zh-CN" w:eastAsia="zh-CN"/>
        </w:rPr>
        <w:t>驻点工作人员费用由维护服务单位按月发放到位，总工资包括用人基本工资及各类社会保险。</w:t>
      </w:r>
    </w:p>
    <w:p w14:paraId="61D7646C">
      <w:pPr>
        <w:pStyle w:val="4"/>
        <w:numPr>
          <w:ilvl w:val="1"/>
          <w:numId w:val="0"/>
        </w:numPr>
        <w:bidi w:val="0"/>
        <w:ind w:leftChars="0"/>
        <w:rPr>
          <w:rFonts w:hint="eastAsia"/>
          <w:lang w:val="en-US" w:eastAsia="zh-CN"/>
        </w:rPr>
      </w:pPr>
      <w:bookmarkStart w:id="76" w:name="_Toc8224"/>
      <w:r>
        <w:rPr>
          <w:rFonts w:hint="eastAsia"/>
          <w:lang w:val="en-US" w:eastAsia="zh-CN"/>
        </w:rPr>
        <w:t>四</w:t>
      </w:r>
      <w:bookmarkStart w:id="77" w:name="_Toc481739414"/>
      <w:r>
        <w:rPr>
          <w:rFonts w:hint="eastAsia"/>
          <w:lang w:val="en-US" w:eastAsia="zh-CN"/>
        </w:rPr>
        <w:t>、设施维护管理考核方案</w:t>
      </w:r>
      <w:bookmarkEnd w:id="76"/>
      <w:bookmarkEnd w:id="77"/>
    </w:p>
    <w:p w14:paraId="25917621">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zh-CN" w:eastAsia="zh-CN"/>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val="zh-CN" w:eastAsia="zh-CN"/>
        </w:rPr>
        <w:t>考核对象</w:t>
      </w:r>
    </w:p>
    <w:p w14:paraId="3F7262B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考核对象为</w:t>
      </w:r>
      <w:r>
        <w:rPr>
          <w:rFonts w:hint="eastAsia" w:ascii="宋体" w:hAnsi="宋体" w:eastAsia="宋体" w:cs="宋体"/>
          <w:sz w:val="21"/>
          <w:szCs w:val="21"/>
          <w:lang w:val="en-US" w:eastAsia="zh-CN"/>
        </w:rPr>
        <w:t>浦江</w:t>
      </w:r>
      <w:r>
        <w:rPr>
          <w:rFonts w:hint="eastAsia" w:ascii="宋体" w:hAnsi="宋体" w:eastAsia="宋体" w:cs="宋体"/>
          <w:sz w:val="21"/>
          <w:szCs w:val="21"/>
          <w:lang w:val="zh-CN" w:eastAsia="zh-CN"/>
        </w:rPr>
        <w:t>县水雨情遥测维护服务单位。</w:t>
      </w:r>
    </w:p>
    <w:p w14:paraId="026D1F2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zh-CN" w:eastAsia="zh-CN"/>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val="zh-CN" w:eastAsia="zh-CN"/>
        </w:rPr>
        <w:t>考核内容</w:t>
      </w:r>
    </w:p>
    <w:p w14:paraId="438829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检查服务情况；设备出现故障的时间响应及解决修复是否符合</w:t>
      </w:r>
      <w:r>
        <w:rPr>
          <w:rFonts w:hint="eastAsia" w:ascii="宋体" w:hAnsi="宋体" w:eastAsia="宋体" w:cs="宋体"/>
          <w:sz w:val="21"/>
          <w:szCs w:val="21"/>
          <w:lang w:val="en-US" w:eastAsia="zh-CN"/>
        </w:rPr>
        <w:t>水文管理中心</w:t>
      </w:r>
      <w:r>
        <w:rPr>
          <w:rFonts w:hint="eastAsia" w:ascii="宋体" w:hAnsi="宋体" w:eastAsia="宋体" w:cs="宋体"/>
          <w:sz w:val="21"/>
          <w:szCs w:val="21"/>
          <w:lang w:val="zh-CN" w:eastAsia="zh-CN"/>
        </w:rPr>
        <w:t>的时间要求；每天的水情遥测系统维护及技术服务情况；维护记录及系统运行日志记录情况；服务质量、维护台帐，零配件及消耗品的领用情况等。</w:t>
      </w:r>
    </w:p>
    <w:p w14:paraId="343BFE5F">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sz w:val="21"/>
          <w:szCs w:val="21"/>
          <w:lang w:val="zh-CN" w:eastAsia="zh-CN"/>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val="zh-CN" w:eastAsia="zh-CN"/>
        </w:rPr>
        <w:t>考核办法</w:t>
      </w:r>
    </w:p>
    <w:p w14:paraId="492DC8A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sz w:val="21"/>
          <w:szCs w:val="21"/>
          <w:lang w:val="en-US" w:eastAsia="zh-CN"/>
        </w:rPr>
        <w:t>考</w:t>
      </w:r>
      <w:r>
        <w:rPr>
          <w:rFonts w:hint="eastAsia" w:ascii="宋体" w:hAnsi="宋体" w:eastAsia="宋体" w:cs="宋体"/>
          <w:sz w:val="21"/>
          <w:szCs w:val="21"/>
          <w:lang w:val="zh-CN" w:eastAsia="zh-CN"/>
        </w:rPr>
        <w:t>核标准实行百分制，县</w:t>
      </w:r>
      <w:r>
        <w:rPr>
          <w:rFonts w:hint="eastAsia" w:ascii="宋体" w:hAnsi="宋体" w:eastAsia="宋体" w:cs="宋体"/>
          <w:sz w:val="21"/>
          <w:szCs w:val="21"/>
          <w:lang w:val="en-US" w:eastAsia="zh-CN"/>
        </w:rPr>
        <w:t>水文管理中心</w:t>
      </w:r>
      <w:r>
        <w:rPr>
          <w:rFonts w:hint="eastAsia" w:ascii="宋体" w:hAnsi="宋体" w:eastAsia="宋体" w:cs="宋体"/>
          <w:sz w:val="21"/>
          <w:szCs w:val="21"/>
          <w:lang w:val="zh-CN" w:eastAsia="zh-CN"/>
        </w:rPr>
        <w:t>根据水雨情遥测维护服务单位综合得分确定三个等级。优秀：90-100分（含90分）；合格：80-90分（含80分，不含</w:t>
      </w:r>
      <w:r>
        <w:rPr>
          <w:rFonts w:hint="eastAsia" w:ascii="宋体" w:hAnsi="宋体" w:eastAsia="宋体" w:cs="宋体"/>
          <w:color w:val="auto"/>
          <w:sz w:val="21"/>
          <w:szCs w:val="21"/>
          <w:lang w:val="zh-CN" w:eastAsia="zh-CN"/>
        </w:rPr>
        <w:t>90分）；不合格：80分以下（不含80分）。</w:t>
      </w:r>
    </w:p>
    <w:p w14:paraId="5C304B0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水文管理中心</w:t>
      </w:r>
      <w:r>
        <w:rPr>
          <w:rFonts w:hint="eastAsia" w:ascii="宋体" w:hAnsi="宋体" w:eastAsia="宋体" w:cs="宋体"/>
          <w:color w:val="auto"/>
          <w:sz w:val="21"/>
          <w:szCs w:val="21"/>
          <w:lang w:val="zh-CN" w:eastAsia="zh-CN"/>
        </w:rPr>
        <w:t>组织年终考核。考核合格以上等级不扣除服务费；考核不合格等级扣除</w:t>
      </w:r>
      <w:r>
        <w:rPr>
          <w:rFonts w:hint="eastAsia" w:ascii="宋体" w:hAnsi="宋体" w:eastAsia="宋体" w:cs="宋体"/>
          <w:color w:val="auto"/>
          <w:sz w:val="21"/>
          <w:szCs w:val="21"/>
          <w:lang w:val="en-US" w:eastAsia="zh-CN"/>
        </w:rPr>
        <w:t>10%合同款</w:t>
      </w:r>
      <w:r>
        <w:rPr>
          <w:rFonts w:hint="eastAsia" w:ascii="宋体" w:hAnsi="宋体" w:eastAsia="宋体" w:cs="宋体"/>
          <w:color w:val="auto"/>
          <w:sz w:val="21"/>
          <w:szCs w:val="21"/>
          <w:lang w:val="zh-CN" w:eastAsia="zh-CN"/>
        </w:rPr>
        <w:t>。</w:t>
      </w:r>
    </w:p>
    <w:p w14:paraId="2BBF254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4.考核</w:t>
      </w:r>
      <w:r>
        <w:rPr>
          <w:rFonts w:hint="eastAsia" w:ascii="宋体" w:hAnsi="宋体" w:eastAsia="宋体" w:cs="宋体"/>
          <w:b/>
          <w:bCs/>
          <w:color w:val="auto"/>
          <w:sz w:val="21"/>
          <w:szCs w:val="21"/>
          <w:lang w:val="zh-CN" w:eastAsia="zh-CN"/>
        </w:rPr>
        <w:t>评分细则</w:t>
      </w:r>
    </w:p>
    <w:p w14:paraId="63DF1E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水雨情遥测站管理维护考核计分细则</w:t>
      </w:r>
    </w:p>
    <w:tbl>
      <w:tblPr>
        <w:tblStyle w:val="23"/>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699"/>
        <w:gridCol w:w="902"/>
        <w:gridCol w:w="3163"/>
        <w:gridCol w:w="628"/>
        <w:gridCol w:w="611"/>
      </w:tblGrid>
      <w:tr w14:paraId="5463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89" w:type="dxa"/>
            <w:noWrap w:val="0"/>
            <w:vAlign w:val="center"/>
          </w:tcPr>
          <w:p w14:paraId="25160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考核</w:t>
            </w:r>
          </w:p>
          <w:p w14:paraId="5DA945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w:t>
            </w:r>
          </w:p>
        </w:tc>
        <w:tc>
          <w:tcPr>
            <w:tcW w:w="2699" w:type="dxa"/>
            <w:noWrap w:val="0"/>
            <w:vAlign w:val="center"/>
          </w:tcPr>
          <w:p w14:paraId="375709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考核内容和要求</w:t>
            </w:r>
          </w:p>
        </w:tc>
        <w:tc>
          <w:tcPr>
            <w:tcW w:w="902" w:type="dxa"/>
            <w:noWrap w:val="0"/>
            <w:vAlign w:val="center"/>
          </w:tcPr>
          <w:p w14:paraId="089732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3163" w:type="dxa"/>
            <w:noWrap w:val="0"/>
            <w:vAlign w:val="center"/>
          </w:tcPr>
          <w:p w14:paraId="21DA2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c>
          <w:tcPr>
            <w:tcW w:w="628" w:type="dxa"/>
            <w:noWrap w:val="0"/>
            <w:vAlign w:val="center"/>
          </w:tcPr>
          <w:p w14:paraId="6A0D6E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考核扣分</w:t>
            </w:r>
          </w:p>
        </w:tc>
        <w:tc>
          <w:tcPr>
            <w:tcW w:w="611" w:type="dxa"/>
            <w:noWrap w:val="0"/>
            <w:vAlign w:val="center"/>
          </w:tcPr>
          <w:p w14:paraId="01C4B0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考</w:t>
            </w:r>
          </w:p>
          <w:p w14:paraId="31CC0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核</w:t>
            </w:r>
          </w:p>
          <w:p w14:paraId="1F6DD1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得</w:t>
            </w:r>
          </w:p>
          <w:p w14:paraId="5FA71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w:t>
            </w:r>
          </w:p>
        </w:tc>
      </w:tr>
      <w:tr w14:paraId="47FB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189" w:type="dxa"/>
            <w:vMerge w:val="restart"/>
            <w:noWrap w:val="0"/>
            <w:vAlign w:val="center"/>
          </w:tcPr>
          <w:p w14:paraId="00233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组织</w:t>
            </w:r>
          </w:p>
          <w:p w14:paraId="5D99C1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管理</w:t>
            </w:r>
          </w:p>
          <w:p w14:paraId="3A8E4D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2699" w:type="dxa"/>
            <w:noWrap w:val="0"/>
            <w:vAlign w:val="center"/>
          </w:tcPr>
          <w:p w14:paraId="518153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1.管理责任：明确管理责任人。</w:t>
            </w:r>
          </w:p>
        </w:tc>
        <w:tc>
          <w:tcPr>
            <w:tcW w:w="902" w:type="dxa"/>
            <w:noWrap w:val="0"/>
            <w:vAlign w:val="center"/>
          </w:tcPr>
          <w:p w14:paraId="3E0C76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3163" w:type="dxa"/>
            <w:noWrap w:val="0"/>
            <w:vAlign w:val="center"/>
          </w:tcPr>
          <w:p w14:paraId="42132C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管理职责未落实到人扣1分。职责不清扣0.5分。</w:t>
            </w:r>
          </w:p>
        </w:tc>
        <w:tc>
          <w:tcPr>
            <w:tcW w:w="628" w:type="dxa"/>
            <w:noWrap w:val="0"/>
            <w:vAlign w:val="center"/>
          </w:tcPr>
          <w:p w14:paraId="7FC453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7C334A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6B8D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189" w:type="dxa"/>
            <w:vMerge w:val="continue"/>
            <w:noWrap w:val="0"/>
            <w:vAlign w:val="center"/>
          </w:tcPr>
          <w:p w14:paraId="2AA8D4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2699" w:type="dxa"/>
            <w:noWrap w:val="0"/>
            <w:vAlign w:val="center"/>
          </w:tcPr>
          <w:p w14:paraId="6EF8A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2.管理制度：汛前编制遥测系统运行维护工作计划、安全生产管理制度及维护工作预案。</w:t>
            </w:r>
          </w:p>
        </w:tc>
        <w:tc>
          <w:tcPr>
            <w:tcW w:w="902" w:type="dxa"/>
            <w:noWrap w:val="0"/>
            <w:vAlign w:val="center"/>
          </w:tcPr>
          <w:p w14:paraId="2DB16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6分</w:t>
            </w:r>
          </w:p>
        </w:tc>
        <w:tc>
          <w:tcPr>
            <w:tcW w:w="3163" w:type="dxa"/>
            <w:noWrap w:val="0"/>
            <w:vAlign w:val="center"/>
          </w:tcPr>
          <w:p w14:paraId="20E56E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无计划扣2分、无预案扣2分、无安全生产管理制度扣2分</w:t>
            </w:r>
            <w:r>
              <w:rPr>
                <w:rFonts w:hint="eastAsia" w:ascii="宋体" w:hAnsi="宋体" w:eastAsia="宋体" w:cs="宋体"/>
                <w:sz w:val="21"/>
                <w:szCs w:val="21"/>
                <w:lang w:eastAsia="zh-CN"/>
              </w:rPr>
              <w:t>；</w:t>
            </w:r>
            <w:r>
              <w:rPr>
                <w:rFonts w:hint="eastAsia" w:ascii="宋体" w:hAnsi="宋体" w:eastAsia="宋体" w:cs="宋体"/>
                <w:sz w:val="21"/>
                <w:szCs w:val="21"/>
              </w:rPr>
              <w:t>计划、预案、生产制度执行性操作性差酌情扣0.5分-1分。</w:t>
            </w:r>
          </w:p>
        </w:tc>
        <w:tc>
          <w:tcPr>
            <w:tcW w:w="628" w:type="dxa"/>
            <w:noWrap w:val="0"/>
            <w:vAlign w:val="center"/>
          </w:tcPr>
          <w:p w14:paraId="3E997C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67C56E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5DCD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89" w:type="dxa"/>
            <w:vMerge w:val="continue"/>
            <w:noWrap w:val="0"/>
            <w:vAlign w:val="center"/>
          </w:tcPr>
          <w:p w14:paraId="7F7FE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2699" w:type="dxa"/>
            <w:noWrap w:val="0"/>
            <w:vAlign w:val="center"/>
          </w:tcPr>
          <w:p w14:paraId="62B18F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3.及时支付员工薪酬：按月及时支付本项目员工薪酬</w:t>
            </w:r>
          </w:p>
        </w:tc>
        <w:tc>
          <w:tcPr>
            <w:tcW w:w="902" w:type="dxa"/>
            <w:noWrap w:val="0"/>
            <w:vAlign w:val="center"/>
          </w:tcPr>
          <w:p w14:paraId="2B56F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1分</w:t>
            </w:r>
          </w:p>
        </w:tc>
        <w:tc>
          <w:tcPr>
            <w:tcW w:w="3163" w:type="dxa"/>
            <w:noWrap w:val="0"/>
            <w:vAlign w:val="center"/>
          </w:tcPr>
          <w:p w14:paraId="0089DB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每发生劳动仲裁投诉事项一次扣1分。</w:t>
            </w:r>
          </w:p>
        </w:tc>
        <w:tc>
          <w:tcPr>
            <w:tcW w:w="628" w:type="dxa"/>
            <w:noWrap w:val="0"/>
            <w:vAlign w:val="center"/>
          </w:tcPr>
          <w:p w14:paraId="337C4E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2F49EC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62CF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89" w:type="dxa"/>
            <w:vMerge w:val="continue"/>
            <w:noWrap w:val="0"/>
            <w:vAlign w:val="center"/>
          </w:tcPr>
          <w:p w14:paraId="7F80B0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2699" w:type="dxa"/>
            <w:noWrap w:val="0"/>
            <w:vAlign w:val="center"/>
          </w:tcPr>
          <w:p w14:paraId="6B8BB2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4.驻点人员考核：驻点人员必须按照</w:t>
            </w:r>
            <w:r>
              <w:rPr>
                <w:rFonts w:hint="eastAsia" w:ascii="宋体" w:hAnsi="宋体" w:eastAsia="宋体" w:cs="宋体"/>
                <w:sz w:val="21"/>
                <w:szCs w:val="21"/>
                <w:lang w:eastAsia="zh-CN"/>
              </w:rPr>
              <w:t>要求做好驻点工作</w:t>
            </w:r>
          </w:p>
        </w:tc>
        <w:tc>
          <w:tcPr>
            <w:tcW w:w="902" w:type="dxa"/>
            <w:noWrap w:val="0"/>
            <w:vAlign w:val="center"/>
          </w:tcPr>
          <w:p w14:paraId="4D723B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3163" w:type="dxa"/>
            <w:noWrap w:val="0"/>
            <w:vAlign w:val="center"/>
          </w:tcPr>
          <w:p w14:paraId="00CB38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严重违反工作纪律，不服从工作安排扣</w:t>
            </w:r>
            <w:r>
              <w:rPr>
                <w:rFonts w:hint="eastAsia" w:ascii="宋体" w:hAnsi="宋体" w:eastAsia="宋体" w:cs="宋体"/>
                <w:color w:val="FF0000"/>
                <w:sz w:val="21"/>
                <w:szCs w:val="21"/>
                <w:lang w:val="en-US" w:eastAsia="zh-CN"/>
              </w:rPr>
              <w:t>3</w:t>
            </w:r>
            <w:r>
              <w:rPr>
                <w:rFonts w:hint="eastAsia" w:ascii="宋体" w:hAnsi="宋体" w:eastAsia="宋体" w:cs="宋体"/>
                <w:sz w:val="21"/>
                <w:szCs w:val="21"/>
              </w:rPr>
              <w:t>分。</w:t>
            </w:r>
          </w:p>
        </w:tc>
        <w:tc>
          <w:tcPr>
            <w:tcW w:w="628" w:type="dxa"/>
            <w:noWrap w:val="0"/>
            <w:vAlign w:val="center"/>
          </w:tcPr>
          <w:p w14:paraId="37E21B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72C65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4D2E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89" w:type="dxa"/>
            <w:vMerge w:val="restart"/>
            <w:noWrap w:val="0"/>
            <w:vAlign w:val="center"/>
          </w:tcPr>
          <w:p w14:paraId="2F5243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遥测</w:t>
            </w:r>
          </w:p>
          <w:p w14:paraId="115967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维护</w:t>
            </w:r>
          </w:p>
          <w:p w14:paraId="6BDE6D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（40分）</w:t>
            </w:r>
          </w:p>
        </w:tc>
        <w:tc>
          <w:tcPr>
            <w:tcW w:w="2699" w:type="dxa"/>
            <w:noWrap w:val="0"/>
            <w:vAlign w:val="center"/>
          </w:tcPr>
          <w:p w14:paraId="78735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1.日常巡查：每日检查</w:t>
            </w:r>
            <w:r>
              <w:rPr>
                <w:rFonts w:hint="eastAsia" w:ascii="宋体" w:hAnsi="宋体" w:eastAsia="宋体" w:cs="宋体"/>
                <w:sz w:val="21"/>
                <w:szCs w:val="21"/>
                <w:lang w:val="en-US" w:eastAsia="zh-CN"/>
              </w:rPr>
              <w:t>语</w:t>
            </w:r>
            <w:r>
              <w:rPr>
                <w:rFonts w:hint="eastAsia" w:ascii="宋体" w:hAnsi="宋体" w:eastAsia="宋体" w:cs="宋体"/>
                <w:sz w:val="21"/>
                <w:szCs w:val="21"/>
              </w:rPr>
              <w:t>润遥测系统中心站的运行状况，发现故障和异常情况及时汇报县水文</w:t>
            </w:r>
            <w:r>
              <w:rPr>
                <w:rFonts w:hint="eastAsia" w:ascii="宋体" w:hAnsi="宋体" w:eastAsia="宋体" w:cs="宋体"/>
                <w:sz w:val="21"/>
                <w:szCs w:val="21"/>
                <w:lang w:eastAsia="zh-CN"/>
              </w:rPr>
              <w:t>管理</w:t>
            </w:r>
            <w:r>
              <w:rPr>
                <w:rFonts w:hint="eastAsia" w:ascii="宋体" w:hAnsi="宋体" w:eastAsia="宋体" w:cs="宋体"/>
                <w:sz w:val="21"/>
                <w:szCs w:val="21"/>
                <w:lang w:val="en-US" w:eastAsia="zh-CN"/>
              </w:rPr>
              <w:t>中心</w:t>
            </w:r>
            <w:r>
              <w:rPr>
                <w:rFonts w:hint="eastAsia" w:ascii="宋体" w:hAnsi="宋体" w:eastAsia="宋体" w:cs="宋体"/>
                <w:sz w:val="21"/>
                <w:szCs w:val="21"/>
              </w:rPr>
              <w:t>并通知维护单位管理人员处理。</w:t>
            </w:r>
          </w:p>
        </w:tc>
        <w:tc>
          <w:tcPr>
            <w:tcW w:w="902" w:type="dxa"/>
            <w:noWrap w:val="0"/>
            <w:vAlign w:val="center"/>
          </w:tcPr>
          <w:p w14:paraId="717D5E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3163" w:type="dxa"/>
            <w:noWrap w:val="0"/>
            <w:vAlign w:val="center"/>
          </w:tcPr>
          <w:p w14:paraId="7776D4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发现故障未及时记录、通知每次扣0.5分。</w:t>
            </w:r>
          </w:p>
        </w:tc>
        <w:tc>
          <w:tcPr>
            <w:tcW w:w="628" w:type="dxa"/>
            <w:noWrap w:val="0"/>
            <w:vAlign w:val="center"/>
          </w:tcPr>
          <w:p w14:paraId="019271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3712A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64CE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89" w:type="dxa"/>
            <w:vMerge w:val="continue"/>
            <w:noWrap w:val="0"/>
            <w:vAlign w:val="center"/>
          </w:tcPr>
          <w:p w14:paraId="61A6FC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2699" w:type="dxa"/>
            <w:noWrap w:val="0"/>
            <w:vAlign w:val="center"/>
          </w:tcPr>
          <w:p w14:paraId="14B3A9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2.外业抢修反馈：外业故障抢修完毕须及时向</w:t>
            </w:r>
            <w:r>
              <w:rPr>
                <w:rFonts w:hint="eastAsia" w:ascii="宋体" w:hAnsi="宋体" w:eastAsia="宋体" w:cs="宋体"/>
                <w:sz w:val="21"/>
                <w:szCs w:val="21"/>
                <w:lang w:eastAsia="zh-CN"/>
              </w:rPr>
              <w:t>水文管理中心</w:t>
            </w:r>
            <w:r>
              <w:rPr>
                <w:rFonts w:hint="eastAsia" w:ascii="宋体" w:hAnsi="宋体" w:eastAsia="宋体" w:cs="宋体"/>
                <w:sz w:val="21"/>
                <w:szCs w:val="21"/>
              </w:rPr>
              <w:t>人员反馈。</w:t>
            </w:r>
          </w:p>
        </w:tc>
        <w:tc>
          <w:tcPr>
            <w:tcW w:w="902" w:type="dxa"/>
            <w:noWrap w:val="0"/>
            <w:vAlign w:val="center"/>
          </w:tcPr>
          <w:p w14:paraId="3CCCC5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3163" w:type="dxa"/>
            <w:noWrap w:val="0"/>
            <w:vAlign w:val="center"/>
          </w:tcPr>
          <w:p w14:paraId="075170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每发现一次当天未反馈扣0.1分。</w:t>
            </w:r>
          </w:p>
        </w:tc>
        <w:tc>
          <w:tcPr>
            <w:tcW w:w="628" w:type="dxa"/>
            <w:noWrap w:val="0"/>
            <w:vAlign w:val="center"/>
          </w:tcPr>
          <w:p w14:paraId="23FB6D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4C1824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5FAD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9" w:type="dxa"/>
            <w:vMerge w:val="continue"/>
            <w:noWrap w:val="0"/>
            <w:vAlign w:val="center"/>
          </w:tcPr>
          <w:p w14:paraId="5DD2B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2699" w:type="dxa"/>
            <w:noWrap w:val="0"/>
            <w:vAlign w:val="center"/>
          </w:tcPr>
          <w:p w14:paraId="2D0809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3.遥测站日常维护：每个遥测站汛前、汛</w:t>
            </w:r>
            <w:r>
              <w:rPr>
                <w:rFonts w:hint="eastAsia" w:ascii="宋体" w:hAnsi="宋体" w:eastAsia="宋体" w:cs="宋体"/>
                <w:sz w:val="21"/>
                <w:szCs w:val="21"/>
                <w:lang w:val="en-US" w:eastAsia="zh-CN"/>
              </w:rPr>
              <w:t>后</w:t>
            </w:r>
            <w:r>
              <w:rPr>
                <w:rFonts w:hint="eastAsia" w:ascii="宋体" w:hAnsi="宋体" w:eastAsia="宋体" w:cs="宋体"/>
                <w:sz w:val="21"/>
                <w:szCs w:val="21"/>
              </w:rPr>
              <w:t>各</w:t>
            </w:r>
            <w:r>
              <w:rPr>
                <w:rFonts w:hint="eastAsia" w:ascii="宋体" w:hAnsi="宋体" w:eastAsia="宋体" w:cs="宋体"/>
                <w:sz w:val="21"/>
                <w:szCs w:val="21"/>
                <w:lang w:val="en-US" w:eastAsia="zh-CN"/>
              </w:rPr>
              <w:t>检查</w:t>
            </w:r>
            <w:r>
              <w:rPr>
                <w:rFonts w:hint="eastAsia" w:ascii="宋体" w:hAnsi="宋体" w:eastAsia="宋体" w:cs="宋体"/>
                <w:sz w:val="21"/>
                <w:szCs w:val="21"/>
              </w:rPr>
              <w:t>维护一次</w:t>
            </w:r>
          </w:p>
        </w:tc>
        <w:tc>
          <w:tcPr>
            <w:tcW w:w="902" w:type="dxa"/>
            <w:noWrap w:val="0"/>
            <w:vAlign w:val="center"/>
          </w:tcPr>
          <w:p w14:paraId="7A96C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25分</w:t>
            </w:r>
          </w:p>
        </w:tc>
        <w:tc>
          <w:tcPr>
            <w:tcW w:w="3163" w:type="dxa"/>
            <w:noWrap w:val="0"/>
            <w:vAlign w:val="center"/>
          </w:tcPr>
          <w:p w14:paraId="48CCF6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每缺一站扣5分</w:t>
            </w:r>
            <w:r>
              <w:rPr>
                <w:rFonts w:hint="eastAsia" w:ascii="宋体" w:hAnsi="宋体" w:eastAsia="宋体" w:cs="宋体"/>
                <w:sz w:val="21"/>
                <w:szCs w:val="21"/>
                <w:lang w:eastAsia="zh-CN"/>
              </w:rPr>
              <w:t>；</w:t>
            </w:r>
            <w:r>
              <w:rPr>
                <w:rFonts w:hint="eastAsia" w:ascii="宋体" w:hAnsi="宋体" w:eastAsia="宋体" w:cs="宋体"/>
                <w:sz w:val="21"/>
                <w:szCs w:val="21"/>
              </w:rPr>
              <w:t>及时记载维护记录，维护记录每缺一站扣2分，发现记录不及时、内容不完整每站酌情扣0.1-0.2分。</w:t>
            </w:r>
          </w:p>
        </w:tc>
        <w:tc>
          <w:tcPr>
            <w:tcW w:w="628" w:type="dxa"/>
            <w:noWrap w:val="0"/>
            <w:vAlign w:val="center"/>
          </w:tcPr>
          <w:p w14:paraId="239959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4ACF2E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3B0A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89" w:type="dxa"/>
            <w:vMerge w:val="continue"/>
            <w:noWrap w:val="0"/>
            <w:vAlign w:val="center"/>
          </w:tcPr>
          <w:p w14:paraId="29D49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2699" w:type="dxa"/>
            <w:noWrap w:val="0"/>
            <w:vAlign w:val="center"/>
          </w:tcPr>
          <w:p w14:paraId="63B151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4.雨量站维护：国家基本雨量站每3个月维护一次</w:t>
            </w:r>
          </w:p>
        </w:tc>
        <w:tc>
          <w:tcPr>
            <w:tcW w:w="902" w:type="dxa"/>
            <w:noWrap w:val="0"/>
            <w:vAlign w:val="center"/>
          </w:tcPr>
          <w:p w14:paraId="667DD0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3163" w:type="dxa"/>
            <w:noWrap w:val="0"/>
            <w:vAlign w:val="center"/>
          </w:tcPr>
          <w:p w14:paraId="5F4398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每缺一次扣5分，记录内容不完整每站酌情扣0.1-0.5分。</w:t>
            </w:r>
          </w:p>
        </w:tc>
        <w:tc>
          <w:tcPr>
            <w:tcW w:w="628" w:type="dxa"/>
            <w:noWrap w:val="0"/>
            <w:vAlign w:val="center"/>
          </w:tcPr>
          <w:p w14:paraId="494C9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16D775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471D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9" w:type="dxa"/>
            <w:noWrap w:val="0"/>
            <w:vAlign w:val="center"/>
          </w:tcPr>
          <w:p w14:paraId="276EEE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资料台账（10分）</w:t>
            </w:r>
          </w:p>
        </w:tc>
        <w:tc>
          <w:tcPr>
            <w:tcW w:w="2699" w:type="dxa"/>
            <w:noWrap w:val="0"/>
            <w:vAlign w:val="center"/>
          </w:tcPr>
          <w:p w14:paraId="1B937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提交工作总结及考核台账</w:t>
            </w:r>
          </w:p>
        </w:tc>
        <w:tc>
          <w:tcPr>
            <w:tcW w:w="902" w:type="dxa"/>
            <w:noWrap w:val="0"/>
            <w:vAlign w:val="center"/>
          </w:tcPr>
          <w:p w14:paraId="3EBA9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3163" w:type="dxa"/>
            <w:noWrap w:val="0"/>
            <w:vAlign w:val="center"/>
          </w:tcPr>
          <w:p w14:paraId="02C0A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不提交年度系统维护工作总结扣5分，不提交考核台账资料扣5分</w:t>
            </w:r>
          </w:p>
        </w:tc>
        <w:tc>
          <w:tcPr>
            <w:tcW w:w="628" w:type="dxa"/>
            <w:noWrap w:val="0"/>
            <w:vAlign w:val="center"/>
          </w:tcPr>
          <w:p w14:paraId="181172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5806D5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06DA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1189" w:type="dxa"/>
            <w:noWrap w:val="0"/>
            <w:vAlign w:val="center"/>
          </w:tcPr>
          <w:p w14:paraId="53FD4D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县水文</w:t>
            </w:r>
            <w:r>
              <w:rPr>
                <w:rFonts w:hint="eastAsia" w:ascii="宋体" w:hAnsi="宋体" w:eastAsia="宋体" w:cs="宋体"/>
                <w:sz w:val="21"/>
                <w:szCs w:val="21"/>
                <w:lang w:eastAsia="zh-CN"/>
              </w:rPr>
              <w:t>管理</w:t>
            </w:r>
            <w:r>
              <w:rPr>
                <w:rFonts w:hint="eastAsia" w:ascii="宋体" w:hAnsi="宋体" w:eastAsia="宋体" w:cs="宋体"/>
                <w:sz w:val="21"/>
                <w:szCs w:val="21"/>
                <w:lang w:val="en-US" w:eastAsia="zh-CN"/>
              </w:rPr>
              <w:t>中心</w:t>
            </w:r>
            <w:r>
              <w:rPr>
                <w:rFonts w:hint="eastAsia" w:ascii="宋体" w:hAnsi="宋体" w:eastAsia="宋体" w:cs="宋体"/>
                <w:sz w:val="21"/>
                <w:szCs w:val="21"/>
              </w:rPr>
              <w:t>抽查</w:t>
            </w:r>
          </w:p>
          <w:p w14:paraId="794ED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2699" w:type="dxa"/>
            <w:noWrap w:val="0"/>
            <w:vAlign w:val="center"/>
          </w:tcPr>
          <w:p w14:paraId="617871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汛前、汛中检查涉及的问题整改：县水文</w:t>
            </w:r>
            <w:r>
              <w:rPr>
                <w:rFonts w:hint="eastAsia" w:ascii="宋体" w:hAnsi="宋体" w:eastAsia="宋体" w:cs="宋体"/>
                <w:sz w:val="21"/>
                <w:szCs w:val="21"/>
                <w:lang w:eastAsia="zh-CN"/>
              </w:rPr>
              <w:t>管理</w:t>
            </w:r>
            <w:r>
              <w:rPr>
                <w:rFonts w:hint="eastAsia" w:ascii="宋体" w:hAnsi="宋体" w:eastAsia="宋体" w:cs="宋体"/>
                <w:sz w:val="21"/>
                <w:szCs w:val="21"/>
                <w:lang w:val="en-US" w:eastAsia="zh-CN"/>
              </w:rPr>
              <w:t>中心</w:t>
            </w:r>
            <w:r>
              <w:rPr>
                <w:rFonts w:hint="eastAsia" w:ascii="宋体" w:hAnsi="宋体" w:eastAsia="宋体" w:cs="宋体"/>
                <w:sz w:val="21"/>
                <w:szCs w:val="21"/>
              </w:rPr>
              <w:t>发出汛前、汛中检查中所涉及运行维护检修问题须在规定时限内整改。</w:t>
            </w:r>
          </w:p>
        </w:tc>
        <w:tc>
          <w:tcPr>
            <w:tcW w:w="902" w:type="dxa"/>
            <w:noWrap w:val="0"/>
            <w:vAlign w:val="center"/>
          </w:tcPr>
          <w:p w14:paraId="76D3D2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3163" w:type="dxa"/>
            <w:noWrap w:val="0"/>
            <w:vAlign w:val="center"/>
          </w:tcPr>
          <w:p w14:paraId="52D32A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未按时完成整改每次扣2分，整改不到位酌情扣0.5-2分。</w:t>
            </w:r>
          </w:p>
        </w:tc>
        <w:tc>
          <w:tcPr>
            <w:tcW w:w="628" w:type="dxa"/>
            <w:noWrap w:val="0"/>
            <w:vAlign w:val="center"/>
          </w:tcPr>
          <w:p w14:paraId="455305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4B35D1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6066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1189" w:type="dxa"/>
            <w:noWrap w:val="0"/>
            <w:vAlign w:val="center"/>
          </w:tcPr>
          <w:p w14:paraId="01D892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遥测</w:t>
            </w:r>
          </w:p>
          <w:p w14:paraId="3F11E6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故障</w:t>
            </w:r>
          </w:p>
          <w:p w14:paraId="0ABF0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维修</w:t>
            </w:r>
          </w:p>
          <w:p w14:paraId="7E68DF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（30分）</w:t>
            </w:r>
          </w:p>
        </w:tc>
        <w:tc>
          <w:tcPr>
            <w:tcW w:w="2699" w:type="dxa"/>
            <w:noWrap w:val="0"/>
            <w:vAlign w:val="center"/>
          </w:tcPr>
          <w:p w14:paraId="275CE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汛期：基本站在发现问题后</w:t>
            </w:r>
            <w:r>
              <w:rPr>
                <w:rFonts w:hint="eastAsia" w:ascii="宋体" w:hAnsi="宋体" w:eastAsia="宋体" w:cs="宋体"/>
                <w:sz w:val="21"/>
                <w:szCs w:val="21"/>
                <w:lang w:val="en-US" w:eastAsia="zh-CN"/>
              </w:rPr>
              <w:t>12</w:t>
            </w:r>
            <w:r>
              <w:rPr>
                <w:rFonts w:hint="eastAsia" w:ascii="宋体" w:hAnsi="宋体" w:eastAsia="宋体" w:cs="宋体"/>
                <w:sz w:val="21"/>
                <w:szCs w:val="21"/>
                <w:lang w:val="zh-CN"/>
              </w:rPr>
              <w:t>小时内排除故障；专用站24小时内排除故障</w:t>
            </w:r>
          </w:p>
          <w:p w14:paraId="59EB90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非汛期：基本站在发现问题后</w:t>
            </w:r>
            <w:r>
              <w:rPr>
                <w:rFonts w:hint="eastAsia" w:ascii="宋体" w:hAnsi="宋体" w:eastAsia="宋体" w:cs="宋体"/>
                <w:sz w:val="21"/>
                <w:szCs w:val="21"/>
                <w:lang w:val="en-US" w:eastAsia="zh-CN"/>
              </w:rPr>
              <w:t>24</w:t>
            </w:r>
            <w:r>
              <w:rPr>
                <w:rFonts w:hint="eastAsia" w:ascii="宋体" w:hAnsi="宋体" w:eastAsia="宋体" w:cs="宋体"/>
                <w:sz w:val="21"/>
                <w:szCs w:val="21"/>
                <w:lang w:val="zh-CN"/>
              </w:rPr>
              <w:t>小时内排除故障；专用站</w:t>
            </w:r>
            <w:r>
              <w:rPr>
                <w:rFonts w:hint="eastAsia" w:ascii="宋体" w:hAnsi="宋体" w:eastAsia="宋体" w:cs="宋体"/>
                <w:sz w:val="21"/>
                <w:szCs w:val="21"/>
              </w:rPr>
              <w:t>48</w:t>
            </w:r>
            <w:r>
              <w:rPr>
                <w:rFonts w:hint="eastAsia" w:ascii="宋体" w:hAnsi="宋体" w:eastAsia="宋体" w:cs="宋体"/>
                <w:sz w:val="21"/>
                <w:szCs w:val="21"/>
                <w:lang w:val="zh-CN"/>
              </w:rPr>
              <w:t>小时内排除故障</w:t>
            </w:r>
          </w:p>
          <w:p w14:paraId="26D42E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特殊时期：遇台风、局地性强降雨等应急时期，监测站发现故障，必须及时到场维修。</w:t>
            </w:r>
          </w:p>
          <w:p w14:paraId="4EFC82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备注：不可抗拒因素</w:t>
            </w:r>
            <w:r>
              <w:rPr>
                <w:rFonts w:hint="eastAsia" w:ascii="宋体" w:hAnsi="宋体" w:eastAsia="宋体" w:cs="宋体"/>
                <w:sz w:val="21"/>
                <w:szCs w:val="21"/>
                <w:lang w:val="en-US" w:eastAsia="zh-CN"/>
              </w:rPr>
              <w:t>或特殊原因</w:t>
            </w:r>
            <w:r>
              <w:rPr>
                <w:rFonts w:hint="eastAsia" w:ascii="宋体" w:hAnsi="宋体" w:eastAsia="宋体" w:cs="宋体"/>
                <w:sz w:val="21"/>
                <w:szCs w:val="21"/>
              </w:rPr>
              <w:t>导致无法及时修复的经报</w:t>
            </w:r>
            <w:r>
              <w:rPr>
                <w:rFonts w:hint="eastAsia" w:ascii="宋体" w:hAnsi="宋体" w:eastAsia="宋体" w:cs="宋体"/>
                <w:sz w:val="21"/>
                <w:szCs w:val="21"/>
                <w:lang w:val="en-US" w:eastAsia="zh-CN"/>
              </w:rPr>
              <w:t>浦江县</w:t>
            </w:r>
            <w:r>
              <w:rPr>
                <w:rFonts w:hint="eastAsia" w:ascii="宋体" w:hAnsi="宋体" w:eastAsia="宋体" w:cs="宋体"/>
                <w:sz w:val="21"/>
                <w:szCs w:val="21"/>
              </w:rPr>
              <w:t>水文</w:t>
            </w:r>
            <w:r>
              <w:rPr>
                <w:rFonts w:hint="eastAsia" w:ascii="宋体" w:hAnsi="宋体" w:eastAsia="宋体" w:cs="宋体"/>
                <w:sz w:val="21"/>
                <w:szCs w:val="21"/>
                <w:lang w:val="en-US" w:eastAsia="zh-CN"/>
              </w:rPr>
              <w:t>管理中心</w:t>
            </w:r>
            <w:r>
              <w:rPr>
                <w:rFonts w:hint="eastAsia" w:ascii="宋体" w:hAnsi="宋体" w:eastAsia="宋体" w:cs="宋体"/>
                <w:sz w:val="21"/>
                <w:szCs w:val="21"/>
              </w:rPr>
              <w:t>审核后不计为故障。</w:t>
            </w:r>
          </w:p>
        </w:tc>
        <w:tc>
          <w:tcPr>
            <w:tcW w:w="902" w:type="dxa"/>
            <w:noWrap w:val="0"/>
            <w:vAlign w:val="center"/>
          </w:tcPr>
          <w:p w14:paraId="2F79FE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30分</w:t>
            </w:r>
          </w:p>
        </w:tc>
        <w:tc>
          <w:tcPr>
            <w:tcW w:w="3163" w:type="dxa"/>
            <w:noWrap w:val="0"/>
            <w:vAlign w:val="center"/>
          </w:tcPr>
          <w:p w14:paraId="5B5BC2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单站故障超出规定时间内未排除故障的，为1次故障</w:t>
            </w:r>
            <w:r>
              <w:rPr>
                <w:rFonts w:hint="eastAsia" w:ascii="宋体" w:hAnsi="宋体" w:eastAsia="宋体" w:cs="宋体"/>
                <w:sz w:val="21"/>
                <w:szCs w:val="21"/>
                <w:lang w:eastAsia="zh-CN"/>
              </w:rPr>
              <w:t>；</w:t>
            </w:r>
            <w:r>
              <w:rPr>
                <w:rFonts w:hint="eastAsia" w:ascii="宋体" w:hAnsi="宋体" w:eastAsia="宋体" w:cs="宋体"/>
                <w:sz w:val="21"/>
                <w:szCs w:val="21"/>
              </w:rPr>
              <w:t>每超1次规定时间内仍未排除故障的，故障次数累加1次。</w:t>
            </w:r>
          </w:p>
          <w:p w14:paraId="5A4792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半年（年）平均故障率在</w:t>
            </w:r>
            <w:r>
              <w:rPr>
                <w:rFonts w:hint="eastAsia" w:ascii="宋体" w:hAnsi="宋体" w:eastAsia="宋体" w:cs="宋体"/>
                <w:sz w:val="21"/>
                <w:szCs w:val="21"/>
                <w:lang w:val="en-US" w:eastAsia="zh-CN"/>
              </w:rPr>
              <w:t>2</w:t>
            </w:r>
            <w:r>
              <w:rPr>
                <w:rFonts w:hint="eastAsia" w:ascii="宋体" w:hAnsi="宋体" w:eastAsia="宋体" w:cs="宋体"/>
                <w:sz w:val="21"/>
                <w:szCs w:val="21"/>
              </w:rPr>
              <w:t>%以内的不扣分，故障率为</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%的扣10分，故障率为</w:t>
            </w:r>
            <w:r>
              <w:rPr>
                <w:rFonts w:hint="eastAsia" w:ascii="宋体" w:hAnsi="宋体" w:eastAsia="宋体" w:cs="宋体"/>
                <w:sz w:val="21"/>
                <w:szCs w:val="21"/>
                <w:lang w:val="en-US" w:eastAsia="zh-CN"/>
              </w:rPr>
              <w:t>3</w:t>
            </w:r>
            <w:r>
              <w:rPr>
                <w:rFonts w:hint="eastAsia" w:ascii="宋体" w:hAnsi="宋体" w:eastAsia="宋体" w:cs="宋体"/>
                <w:sz w:val="21"/>
                <w:szCs w:val="21"/>
              </w:rPr>
              <w:t>%以上的扣20分，每增加故障率0.1%扣2分。</w:t>
            </w:r>
          </w:p>
          <w:p w14:paraId="0729C3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备注：半年（年）平均故障率=故障次数/总</w:t>
            </w:r>
            <w:r>
              <w:rPr>
                <w:rFonts w:hint="eastAsia" w:ascii="宋体" w:hAnsi="宋体" w:eastAsia="宋体" w:cs="宋体"/>
                <w:sz w:val="21"/>
                <w:szCs w:val="21"/>
                <w:lang w:val="en-US" w:eastAsia="zh-CN"/>
              </w:rPr>
              <w:t>终端</w:t>
            </w:r>
            <w:r>
              <w:rPr>
                <w:rFonts w:hint="eastAsia" w:ascii="宋体" w:hAnsi="宋体" w:eastAsia="宋体" w:cs="宋体"/>
                <w:sz w:val="21"/>
                <w:szCs w:val="21"/>
              </w:rPr>
              <w:t>数/6（12）</w:t>
            </w:r>
          </w:p>
        </w:tc>
        <w:tc>
          <w:tcPr>
            <w:tcW w:w="628" w:type="dxa"/>
            <w:noWrap w:val="0"/>
            <w:vAlign w:val="center"/>
          </w:tcPr>
          <w:p w14:paraId="1A71C1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3FD0D2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3C66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888" w:type="dxa"/>
            <w:gridSpan w:val="2"/>
            <w:noWrap w:val="0"/>
            <w:vAlign w:val="center"/>
          </w:tcPr>
          <w:p w14:paraId="1D2B52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合计</w:t>
            </w:r>
          </w:p>
        </w:tc>
        <w:tc>
          <w:tcPr>
            <w:tcW w:w="902" w:type="dxa"/>
            <w:noWrap w:val="0"/>
            <w:vAlign w:val="center"/>
          </w:tcPr>
          <w:p w14:paraId="3C45F2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100分</w:t>
            </w:r>
          </w:p>
        </w:tc>
        <w:tc>
          <w:tcPr>
            <w:tcW w:w="3163" w:type="dxa"/>
            <w:noWrap w:val="0"/>
            <w:vAlign w:val="center"/>
          </w:tcPr>
          <w:p w14:paraId="488F97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28" w:type="dxa"/>
            <w:noWrap w:val="0"/>
            <w:vAlign w:val="center"/>
          </w:tcPr>
          <w:p w14:paraId="7EC7F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c>
          <w:tcPr>
            <w:tcW w:w="611" w:type="dxa"/>
            <w:noWrap w:val="0"/>
            <w:vAlign w:val="center"/>
          </w:tcPr>
          <w:p w14:paraId="4F0DE8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r w14:paraId="7D58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3888" w:type="dxa"/>
            <w:gridSpan w:val="2"/>
            <w:noWrap w:val="0"/>
            <w:vAlign w:val="center"/>
          </w:tcPr>
          <w:p w14:paraId="0E722C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水文管理中心</w:t>
            </w:r>
            <w:r>
              <w:rPr>
                <w:rFonts w:hint="eastAsia" w:ascii="宋体" w:hAnsi="宋体" w:eastAsia="宋体" w:cs="宋体"/>
                <w:sz w:val="21"/>
                <w:szCs w:val="21"/>
              </w:rPr>
              <w:t>意见</w:t>
            </w:r>
          </w:p>
        </w:tc>
        <w:tc>
          <w:tcPr>
            <w:tcW w:w="5304" w:type="dxa"/>
            <w:gridSpan w:val="4"/>
            <w:noWrap w:val="0"/>
            <w:vAlign w:val="center"/>
          </w:tcPr>
          <w:p w14:paraId="47931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sz w:val="21"/>
                <w:szCs w:val="21"/>
              </w:rPr>
            </w:pPr>
          </w:p>
        </w:tc>
      </w:tr>
    </w:tbl>
    <w:p w14:paraId="0119EF0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考核日期    年   月   日</w:t>
      </w:r>
    </w:p>
    <w:p w14:paraId="7E6C8B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bookmarkEnd w:id="67"/>
    <w:p w14:paraId="101798B1">
      <w:pPr>
        <w:pStyle w:val="4"/>
        <w:numPr>
          <w:ilvl w:val="1"/>
          <w:numId w:val="0"/>
        </w:numPr>
        <w:bidi w:val="0"/>
        <w:ind w:leftChars="0"/>
        <w:rPr>
          <w:rFonts w:hint="eastAsia"/>
          <w:lang w:val="en-US" w:eastAsia="zh-CN"/>
        </w:rPr>
      </w:pPr>
      <w:bookmarkStart w:id="78" w:name="_Toc32330"/>
      <w:bookmarkStart w:id="79" w:name="_Toc4035"/>
      <w:r>
        <w:rPr>
          <w:rFonts w:hint="eastAsia"/>
          <w:lang w:val="en-US" w:eastAsia="zh-CN"/>
        </w:rPr>
        <w:t>五、</w:t>
      </w:r>
      <w:bookmarkEnd w:id="78"/>
      <w:r>
        <w:rPr>
          <w:rFonts w:hint="eastAsia"/>
          <w:lang w:val="en-US" w:eastAsia="zh-CN"/>
        </w:rPr>
        <w:t>运行维护内容</w:t>
      </w:r>
      <w:bookmarkEnd w:id="79"/>
    </w:p>
    <w:bookmarkEnd w:id="45"/>
    <w:tbl>
      <w:tblPr>
        <w:tblStyle w:val="23"/>
        <w:tblW w:w="926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3"/>
        <w:gridCol w:w="3456"/>
        <w:gridCol w:w="1565"/>
        <w:gridCol w:w="3600"/>
      </w:tblGrid>
      <w:tr w14:paraId="4A69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B6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序号</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4D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类别</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7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数量</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5D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w:t>
            </w:r>
          </w:p>
        </w:tc>
      </w:tr>
      <w:tr w14:paraId="3400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72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84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遥测终端维护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1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124套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E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包含檀溪、白马、浦江电费</w:t>
            </w:r>
          </w:p>
        </w:tc>
      </w:tr>
      <w:tr w14:paraId="1FBE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20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B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基本站站容站貌维护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EE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11座</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DC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p>
        </w:tc>
      </w:tr>
      <w:tr w14:paraId="3BD8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0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E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北斗通讯设备</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27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33套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0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p>
        </w:tc>
      </w:tr>
      <w:tr w14:paraId="6A1F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D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4B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檀溪水文站流量测验</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F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1项</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3F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p>
        </w:tc>
      </w:tr>
      <w:tr w14:paraId="7A6F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1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FB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水文资料整编</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E7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D0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p>
        </w:tc>
      </w:tr>
      <w:tr w14:paraId="2F30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C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3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FB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大断面、水尺、校核水准点测量</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66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10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檀溪、浦江</w:t>
            </w:r>
          </w:p>
        </w:tc>
      </w:tr>
      <w:tr w14:paraId="4D23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D31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合计</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DD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9D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eastAsia" w:ascii="宋体" w:hAnsi="宋体" w:eastAsia="宋体" w:cs="宋体"/>
                <w:color w:val="auto"/>
                <w:sz w:val="21"/>
                <w:szCs w:val="21"/>
              </w:rPr>
            </w:pPr>
          </w:p>
        </w:tc>
      </w:tr>
    </w:tbl>
    <w:p w14:paraId="734E256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备品备件参数要求：</w:t>
      </w:r>
    </w:p>
    <w:p w14:paraId="1E7EA240">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精度压力式液位计采样运维仪</w:t>
      </w:r>
    </w:p>
    <w:p w14:paraId="443D56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1）具有调零漂功能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校正压力式水位传感器0水位时的基准电流值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（提供具有CMA认证的省级及以上检测机构出具完整的检测报告，且报告中有对应的指标参数）</w:t>
      </w:r>
    </w:p>
    <w:p w14:paraId="0956010E">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具有模拟采样功能</w:t>
      </w:r>
      <w:r>
        <w:rPr>
          <w:rFonts w:hint="eastAsia" w:ascii="宋体" w:hAnsi="宋体" w:eastAsia="宋体" w:cs="宋体"/>
          <w:color w:val="auto"/>
          <w:sz w:val="21"/>
          <w:szCs w:val="21"/>
          <w:highlight w:val="none"/>
          <w:lang w:eastAsia="zh-CN"/>
        </w:rPr>
        <w:t>；</w:t>
      </w:r>
    </w:p>
    <w:p w14:paraId="1DC8BBBE">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★3）具有数字采样功能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（提供具有CMA认证的省级及以上检测机构出具完整的检测报告，且报告中有对应的指标参数）</w:t>
      </w:r>
    </w:p>
    <w:p w14:paraId="770C7D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4）具有485输出功能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（提供具有CMA认证的省级及以上检测机构出具完整的检测报告，且报告中有对应的指标参数）</w:t>
      </w:r>
    </w:p>
    <w:p w14:paraId="5DB24A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5）常温精度：最小分辨率0.00001mA。</w:t>
      </w:r>
    </w:p>
    <w:p w14:paraId="22970CC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sz w:val="21"/>
          <w:szCs w:val="21"/>
          <w:highlight w:val="none"/>
        </w:rPr>
      </w:pPr>
      <w:bookmarkStart w:id="80" w:name="_Toc127889984"/>
      <w:bookmarkStart w:id="81" w:name="_Toc173418301"/>
      <w:r>
        <w:rPr>
          <w:rFonts w:hint="eastAsia" w:ascii="宋体" w:hAnsi="宋体" w:eastAsia="宋体" w:cs="宋体"/>
          <w:b/>
          <w:bCs/>
          <w:color w:val="auto"/>
          <w:sz w:val="21"/>
          <w:szCs w:val="21"/>
          <w:highlight w:val="none"/>
        </w:rPr>
        <w:t>智能感控终端（含软件）</w:t>
      </w:r>
      <w:bookmarkEnd w:id="80"/>
      <w:bookmarkEnd w:id="81"/>
    </w:p>
    <w:p w14:paraId="61557D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bookmarkStart w:id="82" w:name="_Toc173418308"/>
      <w:r>
        <w:rPr>
          <w:rFonts w:hint="eastAsia" w:ascii="宋体" w:hAnsi="宋体" w:eastAsia="宋体" w:cs="宋体"/>
          <w:color w:val="auto"/>
          <w:sz w:val="21"/>
          <w:szCs w:val="21"/>
          <w:highlight w:val="none"/>
        </w:rPr>
        <w:t>1）远程通讯功能：支持GPRS、以太网等两种方式的远程通讯功能；</w:t>
      </w:r>
    </w:p>
    <w:p w14:paraId="4A23FE9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2）数据采集接口：6 路模拟量输入接口，4 路数字量输入接口，2路 RS485 通讯接口 ；</w:t>
      </w:r>
    </w:p>
    <w:p w14:paraId="1AAAC0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3）硬件平台：具有32位高性能嵌入式MCU；</w:t>
      </w:r>
    </w:p>
    <w:p w14:paraId="25AABA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4）存储容量：带有集；成16Mb以上的外部Flash，断网自动补发、断电数据保护</w:t>
      </w:r>
    </w:p>
    <w:p w14:paraId="04874A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5）工作电源：支持DC12V直流电源，可太阳能板供电或开关电源供电 ；</w:t>
      </w:r>
    </w:p>
    <w:p w14:paraId="7856EA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6）电源输出：支持2路DC12V/0.5A电源输出，可为各种传感器、变送器提供直流电源；</w:t>
      </w:r>
    </w:p>
    <w:p w14:paraId="1E0CC2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7）安装方式：支持电气标准DIN35导轨安装或采用4个M4螺丝安装固定；</w:t>
      </w:r>
    </w:p>
    <w:p w14:paraId="572F6B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8）防雷：要求能够实现电源防雷；</w:t>
      </w:r>
    </w:p>
    <w:p w14:paraId="66C6EC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9）静态值守功耗：采用贴片式多层电路板设计，具有功耗低，自报式工作模式的静态值守电流≤2mA；</w:t>
      </w:r>
    </w:p>
    <w:p w14:paraId="37A28B4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★10）抗高温能力：具有在75℃以上的高温下，设备持续正常工作6个小时以上；（提供具有CMA认证的省级及以上检测机构出具完整的检测报告，且报告中有对应的指标参数）</w:t>
      </w:r>
    </w:p>
    <w:p w14:paraId="5394817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11）环境湿度：10%－90%，无结露；</w:t>
      </w:r>
    </w:p>
    <w:p w14:paraId="137029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12）支持在相应物联网平台远程抓拍功能；</w:t>
      </w:r>
    </w:p>
    <w:p w14:paraId="1896A6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13）支持实时采集各类传感器数据，可用于水雨情自动遥测、水环境监测等各种应用场景；</w:t>
      </w:r>
    </w:p>
    <w:p w14:paraId="1A8587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14）可通过对应的物联网平台或手机终端仿真图形化界面进行对应接口的远程配置，实现开启或者关闭静态值守模式；</w:t>
      </w:r>
    </w:p>
    <w:p w14:paraId="4A1F2B1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15）可通过对应的物联网平台或手机终端对外界的模拟量、数字量、RS485传感器设备进行远程配置验证，实现远程控制、逻辑保护的配置功能，并能正常输出开关量信号。</w:t>
      </w:r>
    </w:p>
    <w:p w14:paraId="5492473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压力式水位传感器</w:t>
      </w:r>
      <w:bookmarkEnd w:id="82"/>
    </w:p>
    <w:p w14:paraId="2D7A23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1）传感器类型：压力式</w:t>
      </w:r>
    </w:p>
    <w:p w14:paraId="7AEC5E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2）量程：量程0-50米之内（根据每个水库实际情况选定）</w:t>
      </w:r>
    </w:p>
    <w:p w14:paraId="374859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3）电缆长度：根据每个水库实际情况选定</w:t>
      </w:r>
    </w:p>
    <w:p w14:paraId="567D084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4）精度：0.2%FS</w:t>
      </w:r>
    </w:p>
    <w:p w14:paraId="24546D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5）供电电源：12VDC</w:t>
      </w:r>
    </w:p>
    <w:p w14:paraId="415F829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6）输出信号：4-20mA二线制或RS485信号</w:t>
      </w:r>
    </w:p>
    <w:p w14:paraId="6DE738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7）主体防护等级：≥IP68</w:t>
      </w:r>
    </w:p>
    <w:p w14:paraId="28E625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8）膜片要求：不锈钢316L</w:t>
      </w:r>
    </w:p>
    <w:p w14:paraId="571716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9）电缆要求：φ7.5mm聚乙烯防水专用电缆</w:t>
      </w:r>
    </w:p>
    <w:p w14:paraId="1CEDB95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充电控制器</w:t>
      </w:r>
    </w:p>
    <w:p w14:paraId="2990F706">
      <w:pPr>
        <w:keepNext w:val="0"/>
        <w:keepLines w:val="0"/>
        <w:pageBreakBefore w:val="0"/>
        <w:widowControl w:val="0"/>
        <w:numPr>
          <w:ilvl w:val="0"/>
          <w:numId w:val="5"/>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通讯接口：具有1路及以上数字量输入接口，1路及以上数字量输出接口，2路及以上RS485通讯接口；</w:t>
      </w:r>
    </w:p>
    <w:p w14:paraId="1F51A18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充电功能：在充电电压＞电池电压时，实现对电池的充电功能；</w:t>
      </w:r>
    </w:p>
    <w:p w14:paraId="5F6718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充电保护功能：在电池电压≥充保护电压时，系统自动停止充电；（提供具有CMA认证的省级及以上检测机构出具的检测报告，且报告中有对应的指标参数，如无报告或报告中没有对应参数）</w:t>
      </w:r>
    </w:p>
    <w:p w14:paraId="2EB761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在电池电流≥充保护电流时，系统会自动减小充电电流；</w:t>
      </w:r>
    </w:p>
    <w:p w14:paraId="5D3FFF2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电池欠电保护功能：在电池电压≤欠电电压时，系统自动停止电池负载供电；（提供具有CMA认证的省级及以上检测机构出具的检测报告，且报告中有对应的指标参数，如无报告或报告中没有对应参数）</w:t>
      </w:r>
    </w:p>
    <w:p w14:paraId="2B08FA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在电池电压≥负载执行电压，系统自动开启电池负载供电；</w:t>
      </w:r>
    </w:p>
    <w:p w14:paraId="3EF569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指示灯：具有充电指示、负载指示、欠压指示、低压指示功能；</w:t>
      </w:r>
    </w:p>
    <w:p w14:paraId="656F360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读取功能：可通过Modbus RTU协议读取：负载电压、负载电流、负载功率、负载电能。（提供具有CMA认证的省级及以上检测机构出具的检测报告，且报告中有对应的指标参数，如无报告或报告中没有对应参数）</w:t>
      </w:r>
    </w:p>
    <w:p w14:paraId="69E9AA86">
      <w:pPr>
        <w:pStyle w:val="3"/>
        <w:bidi w:val="0"/>
        <w:rPr>
          <w:rFonts w:hint="eastAsia"/>
          <w:lang w:val="en-US" w:eastAsia="zh-CN"/>
        </w:rPr>
      </w:pPr>
      <w:bookmarkStart w:id="83" w:name="_Toc4619"/>
      <w:r>
        <w:rPr>
          <w:rFonts w:hint="eastAsia"/>
          <w:lang w:val="en-US" w:eastAsia="zh-CN"/>
        </w:rPr>
        <w:t>第五部分 评审方法及标准</w:t>
      </w:r>
      <w:bookmarkEnd w:id="83"/>
    </w:p>
    <w:p w14:paraId="560B08EA">
      <w:pPr>
        <w:numPr>
          <w:ilvl w:val="0"/>
          <w:numId w:val="0"/>
        </w:numPr>
        <w:jc w:val="center"/>
        <w:rPr>
          <w:rFonts w:hint="eastAsia" w:ascii="宋体" w:hAnsi="宋体" w:eastAsia="宋体" w:cs="宋体"/>
          <w:color w:val="auto"/>
          <w:sz w:val="21"/>
          <w:szCs w:val="21"/>
          <w:highlight w:val="none"/>
          <w:lang w:eastAsia="zh-CN"/>
        </w:rPr>
      </w:pPr>
      <w:r>
        <w:rPr>
          <w:rFonts w:hint="eastAsia"/>
          <w:color w:val="auto"/>
          <w:highlight w:val="none"/>
          <w:lang w:val="en-US" w:eastAsia="zh-CN"/>
        </w:rPr>
        <w:t xml:space="preserve"> </w:t>
      </w:r>
      <w:r>
        <w:rPr>
          <w:rFonts w:hint="eastAsia" w:ascii="宋体" w:hAnsi="宋体" w:eastAsia="宋体" w:cs="宋体"/>
          <w:color w:val="auto"/>
          <w:sz w:val="21"/>
          <w:szCs w:val="21"/>
          <w:highlight w:val="none"/>
          <w:lang w:eastAsia="zh-CN"/>
        </w:rPr>
        <w:t>评标办法前附表</w:t>
      </w:r>
    </w:p>
    <w:tbl>
      <w:tblPr>
        <w:tblStyle w:val="24"/>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82"/>
        <w:gridCol w:w="6657"/>
        <w:gridCol w:w="1000"/>
        <w:gridCol w:w="943"/>
      </w:tblGrid>
      <w:tr w14:paraId="59A7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248" w:type="dxa"/>
            <w:gridSpan w:val="5"/>
            <w:tcBorders>
              <w:tl2br w:val="nil"/>
              <w:tr2bl w:val="nil"/>
            </w:tcBorders>
            <w:shd w:val="clear" w:color="auto" w:fill="D7D7D7"/>
            <w:noWrap w:val="0"/>
            <w:vAlign w:val="center"/>
          </w:tcPr>
          <w:p w14:paraId="605C882D">
            <w:pPr>
              <w:keepNext w:val="0"/>
              <w:keepLines w:val="0"/>
              <w:pageBreakBefore w:val="0"/>
              <w:widowControl w:val="0"/>
              <w:numPr>
                <w:ilvl w:val="1"/>
                <w:numId w:val="0"/>
              </w:numPr>
              <w:kinsoku/>
              <w:wordWrap/>
              <w:overflowPunct/>
              <w:topLinePunct w:val="0"/>
              <w:bidi w:val="0"/>
              <w:adjustRightInd/>
              <w:snapToGrid/>
              <w:spacing w:line="440" w:lineRule="exact"/>
              <w:jc w:val="center"/>
              <w:textAlignment w:val="auto"/>
              <w:outlineLvl w:val="9"/>
              <w:rPr>
                <w:rFonts w:hint="eastAsia" w:ascii="宋体" w:hAnsi="宋体" w:eastAsia="宋体" w:cs="宋体"/>
                <w:b/>
                <w:bCs/>
                <w:color w:val="auto"/>
                <w:w w:val="100"/>
                <w:sz w:val="21"/>
                <w:szCs w:val="21"/>
                <w:highlight w:val="none"/>
                <w:lang w:val="en-US" w:eastAsia="zh-CN"/>
              </w:rPr>
            </w:pPr>
            <w:r>
              <w:rPr>
                <w:rFonts w:hint="eastAsia" w:ascii="宋体" w:hAnsi="宋体" w:eastAsia="宋体" w:cs="宋体"/>
                <w:b/>
                <w:bCs/>
                <w:color w:val="auto"/>
                <w:w w:val="100"/>
                <w:sz w:val="21"/>
                <w:szCs w:val="21"/>
                <w:highlight w:val="none"/>
                <w:lang w:val="en-US" w:eastAsia="zh-CN"/>
              </w:rPr>
              <w:t>技术商务分</w:t>
            </w:r>
          </w:p>
        </w:tc>
      </w:tr>
      <w:tr w14:paraId="6D10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66" w:type="dxa"/>
            <w:tcBorders>
              <w:tl2br w:val="nil"/>
              <w:tr2bl w:val="nil"/>
            </w:tcBorders>
            <w:shd w:val="clear" w:color="auto" w:fill="D7D7D7"/>
            <w:noWrap w:val="0"/>
            <w:vAlign w:val="center"/>
          </w:tcPr>
          <w:p w14:paraId="1DB40772">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序号</w:t>
            </w:r>
          </w:p>
        </w:tc>
        <w:tc>
          <w:tcPr>
            <w:tcW w:w="1082" w:type="dxa"/>
            <w:tcBorders>
              <w:tl2br w:val="nil"/>
              <w:tr2bl w:val="nil"/>
            </w:tcBorders>
            <w:shd w:val="clear" w:color="auto" w:fill="D7D7D7"/>
            <w:noWrap w:val="0"/>
            <w:vAlign w:val="center"/>
          </w:tcPr>
          <w:p w14:paraId="4198EDF4">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58963BB8">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内容</w:t>
            </w:r>
          </w:p>
        </w:tc>
        <w:tc>
          <w:tcPr>
            <w:tcW w:w="6657" w:type="dxa"/>
            <w:tcBorders>
              <w:tl2br w:val="nil"/>
              <w:tr2bl w:val="nil"/>
            </w:tcBorders>
            <w:shd w:val="clear" w:color="auto" w:fill="D7D7D7"/>
            <w:noWrap w:val="0"/>
            <w:vAlign w:val="center"/>
          </w:tcPr>
          <w:p w14:paraId="5EC70942">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评分标准及内容</w:t>
            </w:r>
          </w:p>
        </w:tc>
        <w:tc>
          <w:tcPr>
            <w:tcW w:w="1000" w:type="dxa"/>
            <w:tcBorders>
              <w:tl2br w:val="nil"/>
              <w:tr2bl w:val="nil"/>
            </w:tcBorders>
            <w:shd w:val="clear" w:color="auto" w:fill="D7D7D7"/>
            <w:noWrap w:val="0"/>
            <w:vAlign w:val="center"/>
          </w:tcPr>
          <w:p w14:paraId="24B65DB7">
            <w:pPr>
              <w:keepNext w:val="0"/>
              <w:keepLines w:val="0"/>
              <w:pageBreakBefore w:val="0"/>
              <w:widowControl w:val="0"/>
              <w:numPr>
                <w:ilvl w:val="1"/>
                <w:numId w:val="0"/>
              </w:numPr>
              <w:kinsoku/>
              <w:wordWrap/>
              <w:overflowPunct/>
              <w:topLinePunct w:val="0"/>
              <w:bidi w:val="0"/>
              <w:adjustRightInd/>
              <w:snapToGrid/>
              <w:spacing w:line="44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分值</w:t>
            </w:r>
            <w:r>
              <w:rPr>
                <w:rFonts w:hint="eastAsia" w:ascii="宋体" w:hAnsi="宋体" w:eastAsia="宋体" w:cs="宋体"/>
                <w:color w:val="auto"/>
                <w:sz w:val="21"/>
                <w:szCs w:val="21"/>
                <w:highlight w:val="none"/>
                <w:lang w:val="en-US" w:eastAsia="zh-CN"/>
              </w:rPr>
              <w:t>(分）</w:t>
            </w:r>
          </w:p>
        </w:tc>
        <w:tc>
          <w:tcPr>
            <w:tcW w:w="943" w:type="dxa"/>
            <w:tcBorders>
              <w:tl2br w:val="nil"/>
              <w:tr2bl w:val="nil"/>
            </w:tcBorders>
            <w:shd w:val="clear" w:color="auto" w:fill="D7D7D7"/>
            <w:noWrap w:val="0"/>
            <w:vAlign w:val="center"/>
          </w:tcPr>
          <w:p w14:paraId="61281DD3">
            <w:pPr>
              <w:keepNext w:val="0"/>
              <w:keepLines w:val="0"/>
              <w:pageBreakBefore w:val="0"/>
              <w:widowControl w:val="0"/>
              <w:numPr>
                <w:ilvl w:val="1"/>
                <w:numId w:val="0"/>
              </w:numPr>
              <w:kinsoku/>
              <w:wordWrap/>
              <w:overflowPunct/>
              <w:topLinePunct w:val="0"/>
              <w:bidi w:val="0"/>
              <w:adjustRightInd/>
              <w:snapToGrid/>
              <w:spacing w:line="44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0D33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6" w:type="dxa"/>
            <w:tcBorders>
              <w:tl2br w:val="nil"/>
              <w:tr2bl w:val="nil"/>
            </w:tcBorders>
            <w:noWrap w:val="0"/>
            <w:vAlign w:val="center"/>
          </w:tcPr>
          <w:p w14:paraId="190AF320">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82" w:type="dxa"/>
            <w:tcBorders>
              <w:tl2br w:val="nil"/>
              <w:tr2bl w:val="nil"/>
            </w:tcBorders>
            <w:shd w:val="clear" w:color="auto" w:fill="auto"/>
            <w:noWrap w:val="0"/>
            <w:vAlign w:val="center"/>
          </w:tcPr>
          <w:p w14:paraId="62B3650C">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重难点</w:t>
            </w:r>
          </w:p>
          <w:p w14:paraId="2A9DF374">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分析</w:t>
            </w:r>
          </w:p>
        </w:tc>
        <w:tc>
          <w:tcPr>
            <w:tcW w:w="6657" w:type="dxa"/>
            <w:tcBorders>
              <w:tl2br w:val="nil"/>
              <w:tr2bl w:val="nil"/>
            </w:tcBorders>
            <w:shd w:val="clear" w:color="auto" w:fill="auto"/>
            <w:noWrap w:val="0"/>
            <w:vAlign w:val="center"/>
          </w:tcPr>
          <w:p w14:paraId="0D1B2313">
            <w:pPr>
              <w:widowControl/>
              <w:ind w:left="0" w:leftChars="0" w:firstLine="0" w:firstLine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投标人针对本项目的重点、难点分析的准确性、全面性等综合评分（0-4分）</w:t>
            </w:r>
          </w:p>
        </w:tc>
        <w:tc>
          <w:tcPr>
            <w:tcW w:w="1000" w:type="dxa"/>
            <w:tcBorders>
              <w:tl2br w:val="nil"/>
              <w:tr2bl w:val="nil"/>
            </w:tcBorders>
            <w:noWrap w:val="0"/>
            <w:vAlign w:val="center"/>
          </w:tcPr>
          <w:p w14:paraId="2E350CA2">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943" w:type="dxa"/>
            <w:vMerge w:val="restart"/>
            <w:tcBorders>
              <w:tl2br w:val="nil"/>
              <w:tr2bl w:val="nil"/>
            </w:tcBorders>
            <w:noWrap w:val="0"/>
            <w:vAlign w:val="center"/>
          </w:tcPr>
          <w:p w14:paraId="743D638E">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B2E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66" w:type="dxa"/>
            <w:vMerge w:val="restart"/>
            <w:tcBorders>
              <w:tl2br w:val="nil"/>
              <w:tr2bl w:val="nil"/>
            </w:tcBorders>
            <w:noWrap w:val="0"/>
            <w:vAlign w:val="center"/>
          </w:tcPr>
          <w:p w14:paraId="7780191F">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82" w:type="dxa"/>
            <w:vMerge w:val="restart"/>
            <w:tcBorders>
              <w:tl2br w:val="nil"/>
              <w:tr2bl w:val="nil"/>
            </w:tcBorders>
            <w:shd w:val="clear" w:color="auto" w:fill="auto"/>
            <w:noWrap w:val="0"/>
            <w:vAlign w:val="center"/>
          </w:tcPr>
          <w:p w14:paraId="1640C7BC">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现况调研</w:t>
            </w:r>
          </w:p>
        </w:tc>
        <w:tc>
          <w:tcPr>
            <w:tcW w:w="6657" w:type="dxa"/>
            <w:tcBorders>
              <w:tl2br w:val="nil"/>
              <w:tr2bl w:val="nil"/>
            </w:tcBorders>
            <w:shd w:val="clear" w:color="auto" w:fill="auto"/>
            <w:noWrap w:val="0"/>
            <w:vAlign w:val="center"/>
          </w:tcPr>
          <w:p w14:paraId="7DF68EC9">
            <w:pPr>
              <w:widowControl/>
              <w:numPr>
                <w:ilvl w:val="0"/>
                <w:numId w:val="0"/>
              </w:numPr>
              <w:ind w:left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根据投标人对专用站调查情况（提供现场调研照片等相关材料）的完整性、准确性，设备运行检查的详细性</w:t>
            </w:r>
            <w:r>
              <w:rPr>
                <w:rFonts w:hint="eastAsia" w:ascii="宋体" w:hAnsi="宋体" w:eastAsia="宋体" w:cs="宋体"/>
                <w:i w:val="0"/>
                <w:iCs w:val="0"/>
                <w:color w:val="auto"/>
                <w:kern w:val="2"/>
                <w:sz w:val="21"/>
                <w:szCs w:val="21"/>
                <w:highlight w:val="none"/>
                <w:u w:val="none"/>
                <w:lang w:val="zh-CN" w:eastAsia="zh-CN" w:bidi="ar-SA"/>
              </w:rPr>
              <w:t>进行</w:t>
            </w:r>
            <w:r>
              <w:rPr>
                <w:rFonts w:hint="eastAsia" w:ascii="宋体" w:hAnsi="宋体" w:eastAsia="宋体" w:cs="宋体"/>
                <w:i w:val="0"/>
                <w:iCs w:val="0"/>
                <w:color w:val="auto"/>
                <w:kern w:val="2"/>
                <w:sz w:val="21"/>
                <w:szCs w:val="21"/>
                <w:highlight w:val="none"/>
                <w:u w:val="none"/>
                <w:lang w:val="en-US" w:eastAsia="zh-CN" w:bidi="ar-SA"/>
              </w:rPr>
              <w:t>综合评分（0-5分）</w:t>
            </w:r>
          </w:p>
        </w:tc>
        <w:tc>
          <w:tcPr>
            <w:tcW w:w="1000" w:type="dxa"/>
            <w:tcBorders>
              <w:tl2br w:val="nil"/>
              <w:tr2bl w:val="nil"/>
            </w:tcBorders>
            <w:shd w:val="clear" w:color="auto" w:fill="auto"/>
            <w:noWrap w:val="0"/>
            <w:vAlign w:val="center"/>
          </w:tcPr>
          <w:p w14:paraId="7F93445F">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4F642240">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7A92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66" w:type="dxa"/>
            <w:vMerge w:val="continue"/>
            <w:tcBorders>
              <w:tl2br w:val="nil"/>
              <w:tr2bl w:val="nil"/>
            </w:tcBorders>
            <w:noWrap w:val="0"/>
            <w:vAlign w:val="center"/>
          </w:tcPr>
          <w:p w14:paraId="756E5A4A">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082" w:type="dxa"/>
            <w:vMerge w:val="continue"/>
            <w:tcBorders>
              <w:tl2br w:val="nil"/>
              <w:tr2bl w:val="nil"/>
            </w:tcBorders>
            <w:shd w:val="clear" w:color="auto" w:fill="auto"/>
            <w:noWrap w:val="0"/>
            <w:vAlign w:val="center"/>
          </w:tcPr>
          <w:p w14:paraId="37430D29">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i w:val="0"/>
                <w:iCs w:val="0"/>
                <w:color w:val="000000"/>
                <w:kern w:val="2"/>
                <w:sz w:val="21"/>
                <w:szCs w:val="21"/>
                <w:highlight w:val="none"/>
                <w:u w:val="none"/>
                <w:lang w:val="en-US" w:eastAsia="zh-CN" w:bidi="ar-SA"/>
              </w:rPr>
            </w:pPr>
          </w:p>
        </w:tc>
        <w:tc>
          <w:tcPr>
            <w:tcW w:w="6657" w:type="dxa"/>
            <w:tcBorders>
              <w:tl2br w:val="nil"/>
              <w:tr2bl w:val="nil"/>
            </w:tcBorders>
            <w:shd w:val="clear" w:color="auto" w:fill="auto"/>
            <w:noWrap w:val="0"/>
            <w:vAlign w:val="center"/>
          </w:tcPr>
          <w:p w14:paraId="4BA98184">
            <w:pPr>
              <w:widowControl/>
              <w:numPr>
                <w:ilvl w:val="0"/>
                <w:numId w:val="0"/>
              </w:numPr>
              <w:ind w:leftChars="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根据投标人对</w:t>
            </w:r>
            <w:r>
              <w:rPr>
                <w:rFonts w:hint="eastAsia" w:ascii="宋体" w:hAnsi="宋体" w:eastAsia="宋体" w:cs="宋体"/>
                <w:color w:val="auto"/>
                <w:kern w:val="0"/>
                <w:sz w:val="21"/>
                <w:szCs w:val="21"/>
                <w:highlight w:val="none"/>
                <w:lang w:val="en-US" w:eastAsia="zh-CN" w:bidi="ar"/>
              </w:rPr>
              <w:t>水位站、雨量站</w:t>
            </w:r>
            <w:r>
              <w:rPr>
                <w:rFonts w:hint="eastAsia" w:ascii="宋体" w:hAnsi="宋体" w:eastAsia="宋体" w:cs="宋体"/>
                <w:i w:val="0"/>
                <w:iCs w:val="0"/>
                <w:color w:val="auto"/>
                <w:kern w:val="2"/>
                <w:sz w:val="21"/>
                <w:szCs w:val="21"/>
                <w:highlight w:val="none"/>
                <w:u w:val="none"/>
                <w:lang w:val="en-US" w:eastAsia="zh-CN" w:bidi="ar-SA"/>
              </w:rPr>
              <w:t>调查情况（提供现场调研照片等相关材料）的完整性、准确性，设备运行检查的详细性</w:t>
            </w:r>
            <w:r>
              <w:rPr>
                <w:rFonts w:hint="eastAsia" w:ascii="宋体" w:hAnsi="宋体" w:eastAsia="宋体" w:cs="宋体"/>
                <w:i w:val="0"/>
                <w:iCs w:val="0"/>
                <w:color w:val="auto"/>
                <w:kern w:val="2"/>
                <w:sz w:val="21"/>
                <w:szCs w:val="21"/>
                <w:highlight w:val="none"/>
                <w:u w:val="none"/>
                <w:lang w:val="zh-CN" w:eastAsia="zh-CN" w:bidi="ar-SA"/>
              </w:rPr>
              <w:t>进行</w:t>
            </w:r>
            <w:r>
              <w:rPr>
                <w:rFonts w:hint="eastAsia" w:ascii="宋体" w:hAnsi="宋体" w:eastAsia="宋体" w:cs="宋体"/>
                <w:i w:val="0"/>
                <w:iCs w:val="0"/>
                <w:color w:val="auto"/>
                <w:kern w:val="2"/>
                <w:sz w:val="21"/>
                <w:szCs w:val="21"/>
                <w:highlight w:val="none"/>
                <w:u w:val="none"/>
                <w:lang w:val="en-US" w:eastAsia="zh-CN" w:bidi="ar-SA"/>
              </w:rPr>
              <w:t>综合评分（0-5分）</w:t>
            </w:r>
          </w:p>
        </w:tc>
        <w:tc>
          <w:tcPr>
            <w:tcW w:w="1000" w:type="dxa"/>
            <w:tcBorders>
              <w:tl2br w:val="nil"/>
              <w:tr2bl w:val="nil"/>
            </w:tcBorders>
            <w:shd w:val="clear" w:color="auto" w:fill="auto"/>
            <w:noWrap w:val="0"/>
            <w:vAlign w:val="center"/>
          </w:tcPr>
          <w:p w14:paraId="437A9F13">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7F25A113">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419F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66" w:type="dxa"/>
            <w:vMerge w:val="continue"/>
            <w:tcBorders>
              <w:tl2br w:val="nil"/>
              <w:tr2bl w:val="nil"/>
            </w:tcBorders>
            <w:noWrap w:val="0"/>
            <w:vAlign w:val="center"/>
          </w:tcPr>
          <w:p w14:paraId="628A5C7A">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1082" w:type="dxa"/>
            <w:vMerge w:val="continue"/>
            <w:tcBorders>
              <w:tl2br w:val="nil"/>
              <w:tr2bl w:val="nil"/>
            </w:tcBorders>
            <w:shd w:val="clear" w:color="auto" w:fill="auto"/>
            <w:noWrap w:val="0"/>
            <w:vAlign w:val="center"/>
          </w:tcPr>
          <w:p w14:paraId="4CBE2BC0">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i w:val="0"/>
                <w:iCs w:val="0"/>
                <w:color w:val="000000"/>
                <w:kern w:val="2"/>
                <w:sz w:val="21"/>
                <w:szCs w:val="21"/>
                <w:highlight w:val="none"/>
                <w:u w:val="none"/>
                <w:lang w:val="en-US" w:eastAsia="zh-CN" w:bidi="ar-SA"/>
              </w:rPr>
            </w:pPr>
          </w:p>
        </w:tc>
        <w:tc>
          <w:tcPr>
            <w:tcW w:w="6657" w:type="dxa"/>
            <w:tcBorders>
              <w:tl2br w:val="nil"/>
              <w:tr2bl w:val="nil"/>
            </w:tcBorders>
            <w:shd w:val="clear" w:color="auto" w:fill="auto"/>
            <w:noWrap w:val="0"/>
            <w:vAlign w:val="center"/>
          </w:tcPr>
          <w:p w14:paraId="7901A479">
            <w:pPr>
              <w:pStyle w:val="20"/>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根据投标人对</w:t>
            </w:r>
            <w:r>
              <w:rPr>
                <w:rFonts w:hint="eastAsia" w:ascii="宋体" w:hAnsi="宋体" w:eastAsia="宋体" w:cs="宋体"/>
                <w:color w:val="auto"/>
                <w:kern w:val="0"/>
                <w:sz w:val="21"/>
                <w:szCs w:val="21"/>
                <w:highlight w:val="none"/>
                <w:lang w:val="en-US" w:eastAsia="zh-CN" w:bidi="ar"/>
              </w:rPr>
              <w:t>水文站</w:t>
            </w:r>
            <w:r>
              <w:rPr>
                <w:rFonts w:hint="eastAsia" w:ascii="宋体" w:hAnsi="宋体" w:eastAsia="宋体" w:cs="宋体"/>
                <w:i w:val="0"/>
                <w:iCs w:val="0"/>
                <w:color w:val="auto"/>
                <w:kern w:val="2"/>
                <w:sz w:val="21"/>
                <w:szCs w:val="21"/>
                <w:highlight w:val="none"/>
                <w:u w:val="none"/>
                <w:lang w:val="en-US" w:eastAsia="zh-CN" w:bidi="ar-SA"/>
              </w:rPr>
              <w:t>调查情况（提供现场调研照片等相关材料）的完整性、准确性，设备运行检查的详细性</w:t>
            </w:r>
            <w:r>
              <w:rPr>
                <w:rFonts w:hint="eastAsia" w:ascii="宋体" w:hAnsi="宋体" w:eastAsia="宋体" w:cs="宋体"/>
                <w:i w:val="0"/>
                <w:iCs w:val="0"/>
                <w:color w:val="auto"/>
                <w:kern w:val="2"/>
                <w:sz w:val="21"/>
                <w:szCs w:val="21"/>
                <w:highlight w:val="none"/>
                <w:u w:val="none"/>
                <w:lang w:val="zh-CN" w:eastAsia="zh-CN" w:bidi="ar-SA"/>
              </w:rPr>
              <w:t>进行</w:t>
            </w:r>
            <w:r>
              <w:rPr>
                <w:rFonts w:hint="eastAsia" w:ascii="宋体" w:hAnsi="宋体" w:eastAsia="宋体" w:cs="宋体"/>
                <w:i w:val="0"/>
                <w:iCs w:val="0"/>
                <w:color w:val="auto"/>
                <w:kern w:val="2"/>
                <w:sz w:val="21"/>
                <w:szCs w:val="21"/>
                <w:highlight w:val="none"/>
                <w:u w:val="none"/>
                <w:lang w:val="en-US" w:eastAsia="zh-CN" w:bidi="ar-SA"/>
              </w:rPr>
              <w:t>综合评分（0-</w:t>
            </w:r>
            <w:r>
              <w:rPr>
                <w:rFonts w:hint="eastAsia" w:ascii="宋体" w:hAnsi="宋体" w:cs="宋体"/>
                <w:i w:val="0"/>
                <w:iCs w:val="0"/>
                <w:color w:val="auto"/>
                <w:kern w:val="2"/>
                <w:sz w:val="21"/>
                <w:szCs w:val="21"/>
                <w:highlight w:val="none"/>
                <w:u w:val="none"/>
                <w:lang w:val="en-US" w:eastAsia="zh-CN" w:bidi="ar-SA"/>
              </w:rPr>
              <w:t>5</w:t>
            </w:r>
            <w:r>
              <w:rPr>
                <w:rFonts w:hint="eastAsia" w:ascii="宋体" w:hAnsi="宋体" w:eastAsia="宋体" w:cs="宋体"/>
                <w:i w:val="0"/>
                <w:iCs w:val="0"/>
                <w:color w:val="auto"/>
                <w:kern w:val="2"/>
                <w:sz w:val="21"/>
                <w:szCs w:val="21"/>
                <w:highlight w:val="none"/>
                <w:u w:val="none"/>
                <w:lang w:val="en-US" w:eastAsia="zh-CN" w:bidi="ar-SA"/>
              </w:rPr>
              <w:t>分）</w:t>
            </w:r>
          </w:p>
        </w:tc>
        <w:tc>
          <w:tcPr>
            <w:tcW w:w="1000" w:type="dxa"/>
            <w:tcBorders>
              <w:tl2br w:val="nil"/>
              <w:tr2bl w:val="nil"/>
            </w:tcBorders>
            <w:shd w:val="clear" w:color="auto" w:fill="auto"/>
            <w:noWrap w:val="0"/>
            <w:vAlign w:val="center"/>
          </w:tcPr>
          <w:p w14:paraId="37C0B25E">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602EE22C">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5361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Merge w:val="restart"/>
            <w:tcBorders>
              <w:tl2br w:val="nil"/>
              <w:tr2bl w:val="nil"/>
            </w:tcBorders>
            <w:noWrap w:val="0"/>
            <w:vAlign w:val="center"/>
          </w:tcPr>
          <w:p w14:paraId="6C8AE2F0">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82" w:type="dxa"/>
            <w:vMerge w:val="restart"/>
            <w:tcBorders>
              <w:tl2br w:val="nil"/>
              <w:tr2bl w:val="nil"/>
            </w:tcBorders>
            <w:noWrap w:val="0"/>
            <w:vAlign w:val="center"/>
          </w:tcPr>
          <w:p w14:paraId="3539A999">
            <w:pPr>
              <w:pStyle w:val="20"/>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lang w:bidi="ar"/>
              </w:rPr>
              <w:t>实施方案</w:t>
            </w:r>
          </w:p>
        </w:tc>
        <w:tc>
          <w:tcPr>
            <w:tcW w:w="6657" w:type="dxa"/>
            <w:tcBorders>
              <w:tl2br w:val="nil"/>
              <w:tr2bl w:val="nil"/>
            </w:tcBorders>
            <w:noWrap w:val="0"/>
            <w:vAlign w:val="center"/>
          </w:tcPr>
          <w:p w14:paraId="36BAB66D">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0"/>
                <w:sz w:val="21"/>
                <w:szCs w:val="21"/>
                <w:highlight w:val="none"/>
                <w:lang w:val="en-US" w:eastAsia="zh-CN" w:bidi="ar"/>
              </w:rPr>
              <w:t>根据投标人对89处专用站维护方案的完整性、专业性、合理性等</w:t>
            </w:r>
            <w:r>
              <w:rPr>
                <w:rFonts w:hint="eastAsia" w:ascii="宋体" w:hAnsi="宋体" w:eastAsia="宋体" w:cs="宋体"/>
                <w:i w:val="0"/>
                <w:iCs w:val="0"/>
                <w:color w:val="auto"/>
                <w:kern w:val="2"/>
                <w:sz w:val="21"/>
                <w:szCs w:val="21"/>
                <w:highlight w:val="none"/>
                <w:u w:val="none"/>
                <w:lang w:val="zh-CN" w:eastAsia="zh-CN" w:bidi="ar-SA"/>
              </w:rPr>
              <w:t>进行</w:t>
            </w:r>
            <w:r>
              <w:rPr>
                <w:rFonts w:hint="eastAsia" w:ascii="宋体" w:hAnsi="宋体" w:eastAsia="宋体" w:cs="宋体"/>
                <w:i w:val="0"/>
                <w:iCs w:val="0"/>
                <w:color w:val="auto"/>
                <w:kern w:val="2"/>
                <w:sz w:val="21"/>
                <w:szCs w:val="21"/>
                <w:highlight w:val="none"/>
                <w:u w:val="none"/>
                <w:lang w:val="en-US" w:eastAsia="zh-CN" w:bidi="ar-SA"/>
              </w:rPr>
              <w:t>综合评分（0-5分）</w:t>
            </w:r>
          </w:p>
        </w:tc>
        <w:tc>
          <w:tcPr>
            <w:tcW w:w="1000" w:type="dxa"/>
            <w:tcBorders>
              <w:tl2br w:val="nil"/>
              <w:tr2bl w:val="nil"/>
            </w:tcBorders>
            <w:noWrap w:val="0"/>
            <w:vAlign w:val="center"/>
          </w:tcPr>
          <w:p w14:paraId="6E141B73">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7E534E16">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6476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Merge w:val="continue"/>
            <w:tcBorders>
              <w:tl2br w:val="nil"/>
              <w:tr2bl w:val="nil"/>
            </w:tcBorders>
            <w:noWrap w:val="0"/>
            <w:vAlign w:val="center"/>
          </w:tcPr>
          <w:p w14:paraId="5E74FE3C">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w w:val="100"/>
                <w:sz w:val="21"/>
                <w:szCs w:val="21"/>
                <w:highlight w:val="none"/>
                <w:lang w:val="en-US" w:eastAsia="zh-CN"/>
              </w:rPr>
            </w:pPr>
          </w:p>
        </w:tc>
        <w:tc>
          <w:tcPr>
            <w:tcW w:w="1082" w:type="dxa"/>
            <w:vMerge w:val="continue"/>
            <w:tcBorders>
              <w:tl2br w:val="nil"/>
              <w:tr2bl w:val="nil"/>
            </w:tcBorders>
            <w:noWrap w:val="0"/>
            <w:vAlign w:val="center"/>
          </w:tcPr>
          <w:p w14:paraId="20D90242">
            <w:pPr>
              <w:pStyle w:val="20"/>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6657" w:type="dxa"/>
            <w:tcBorders>
              <w:tl2br w:val="nil"/>
              <w:tr2bl w:val="nil"/>
            </w:tcBorders>
            <w:noWrap w:val="0"/>
            <w:vAlign w:val="center"/>
          </w:tcPr>
          <w:p w14:paraId="70C75005">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根据投标人对2处水位站、9处雨量站维护方案的完整性、专业性、合理性等</w:t>
            </w:r>
            <w:r>
              <w:rPr>
                <w:rFonts w:hint="eastAsia" w:ascii="宋体" w:hAnsi="宋体" w:eastAsia="宋体" w:cs="宋体"/>
                <w:i w:val="0"/>
                <w:iCs w:val="0"/>
                <w:color w:val="auto"/>
                <w:kern w:val="2"/>
                <w:sz w:val="21"/>
                <w:szCs w:val="21"/>
                <w:highlight w:val="none"/>
                <w:u w:val="none"/>
                <w:lang w:val="zh-CN" w:eastAsia="zh-CN" w:bidi="ar-SA"/>
              </w:rPr>
              <w:t>进行</w:t>
            </w:r>
            <w:r>
              <w:rPr>
                <w:rFonts w:hint="eastAsia" w:ascii="宋体" w:hAnsi="宋体" w:eastAsia="宋体" w:cs="宋体"/>
                <w:i w:val="0"/>
                <w:iCs w:val="0"/>
                <w:color w:val="auto"/>
                <w:kern w:val="2"/>
                <w:sz w:val="21"/>
                <w:szCs w:val="21"/>
                <w:highlight w:val="none"/>
                <w:u w:val="none"/>
                <w:lang w:val="en-US" w:eastAsia="zh-CN" w:bidi="ar-SA"/>
              </w:rPr>
              <w:t>综合评分（0-5分）</w:t>
            </w:r>
          </w:p>
        </w:tc>
        <w:tc>
          <w:tcPr>
            <w:tcW w:w="1000" w:type="dxa"/>
            <w:tcBorders>
              <w:tl2br w:val="nil"/>
              <w:tr2bl w:val="nil"/>
            </w:tcBorders>
            <w:noWrap w:val="0"/>
            <w:vAlign w:val="center"/>
          </w:tcPr>
          <w:p w14:paraId="21376CD8">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6E296F4A">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17D6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Merge w:val="continue"/>
            <w:tcBorders>
              <w:tl2br w:val="nil"/>
              <w:tr2bl w:val="nil"/>
            </w:tcBorders>
            <w:noWrap w:val="0"/>
            <w:vAlign w:val="center"/>
          </w:tcPr>
          <w:p w14:paraId="13E0C57F">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w w:val="100"/>
                <w:sz w:val="21"/>
                <w:szCs w:val="21"/>
                <w:highlight w:val="none"/>
                <w:lang w:val="en-US" w:eastAsia="zh-CN"/>
              </w:rPr>
            </w:pPr>
          </w:p>
        </w:tc>
        <w:tc>
          <w:tcPr>
            <w:tcW w:w="1082" w:type="dxa"/>
            <w:vMerge w:val="continue"/>
            <w:tcBorders>
              <w:tl2br w:val="nil"/>
              <w:tr2bl w:val="nil"/>
            </w:tcBorders>
            <w:noWrap w:val="0"/>
            <w:vAlign w:val="center"/>
          </w:tcPr>
          <w:p w14:paraId="29D2F950">
            <w:pPr>
              <w:pStyle w:val="20"/>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p>
        </w:tc>
        <w:tc>
          <w:tcPr>
            <w:tcW w:w="6657" w:type="dxa"/>
            <w:tcBorders>
              <w:tl2br w:val="nil"/>
              <w:tr2bl w:val="nil"/>
            </w:tcBorders>
            <w:noWrap w:val="0"/>
            <w:vAlign w:val="center"/>
          </w:tcPr>
          <w:p w14:paraId="4B73EF10">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根据投标人对1处水文站维护方案的完整性、专业性、合理性等</w:t>
            </w:r>
            <w:r>
              <w:rPr>
                <w:rFonts w:hint="eastAsia" w:ascii="宋体" w:hAnsi="宋体" w:eastAsia="宋体" w:cs="宋体"/>
                <w:i w:val="0"/>
                <w:iCs w:val="0"/>
                <w:color w:val="auto"/>
                <w:kern w:val="2"/>
                <w:sz w:val="21"/>
                <w:szCs w:val="21"/>
                <w:highlight w:val="none"/>
                <w:u w:val="none"/>
                <w:lang w:val="zh-CN" w:eastAsia="zh-CN" w:bidi="ar-SA"/>
              </w:rPr>
              <w:t>进行</w:t>
            </w:r>
            <w:r>
              <w:rPr>
                <w:rFonts w:hint="eastAsia" w:ascii="宋体" w:hAnsi="宋体" w:eastAsia="宋体" w:cs="宋体"/>
                <w:i w:val="0"/>
                <w:iCs w:val="0"/>
                <w:color w:val="auto"/>
                <w:kern w:val="2"/>
                <w:sz w:val="21"/>
                <w:szCs w:val="21"/>
                <w:highlight w:val="none"/>
                <w:u w:val="none"/>
                <w:lang w:val="en-US" w:eastAsia="zh-CN" w:bidi="ar-SA"/>
              </w:rPr>
              <w:t>综合评分（0-5分）</w:t>
            </w:r>
          </w:p>
        </w:tc>
        <w:tc>
          <w:tcPr>
            <w:tcW w:w="1000" w:type="dxa"/>
            <w:tcBorders>
              <w:tl2br w:val="nil"/>
              <w:tr2bl w:val="nil"/>
            </w:tcBorders>
            <w:noWrap w:val="0"/>
            <w:vAlign w:val="center"/>
          </w:tcPr>
          <w:p w14:paraId="703B9087">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7FB1833C">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0F8B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66" w:type="dxa"/>
            <w:tcBorders>
              <w:tl2br w:val="nil"/>
              <w:tr2bl w:val="nil"/>
            </w:tcBorders>
            <w:noWrap w:val="0"/>
            <w:vAlign w:val="center"/>
          </w:tcPr>
          <w:p w14:paraId="6B0415FE">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4</w:t>
            </w:r>
          </w:p>
        </w:tc>
        <w:tc>
          <w:tcPr>
            <w:tcW w:w="1082" w:type="dxa"/>
            <w:tcBorders>
              <w:tl2br w:val="nil"/>
              <w:tr2bl w:val="nil"/>
            </w:tcBorders>
            <w:noWrap w:val="0"/>
            <w:vAlign w:val="center"/>
          </w:tcPr>
          <w:p w14:paraId="3C9C49FE">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lang w:val="en-US" w:eastAsia="zh-CN" w:bidi="ar"/>
              </w:rPr>
              <w:t>应急</w:t>
            </w:r>
            <w:r>
              <w:rPr>
                <w:rFonts w:hint="eastAsia" w:ascii="宋体" w:hAnsi="宋体" w:eastAsia="宋体" w:cs="宋体"/>
                <w:color w:val="auto"/>
                <w:kern w:val="0"/>
                <w:sz w:val="21"/>
                <w:szCs w:val="21"/>
                <w:lang w:eastAsia="zh-CN" w:bidi="ar"/>
              </w:rPr>
              <w:t>方案</w:t>
            </w:r>
          </w:p>
        </w:tc>
        <w:tc>
          <w:tcPr>
            <w:tcW w:w="6657" w:type="dxa"/>
            <w:tcBorders>
              <w:tl2br w:val="nil"/>
              <w:tr2bl w:val="nil"/>
            </w:tcBorders>
            <w:noWrap w:val="0"/>
            <w:vAlign w:val="center"/>
          </w:tcPr>
          <w:p w14:paraId="16BDE075">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根据投标人</w:t>
            </w:r>
            <w:r>
              <w:rPr>
                <w:rFonts w:hint="eastAsia" w:ascii="宋体" w:hAnsi="宋体" w:eastAsia="宋体" w:cs="宋体"/>
                <w:color w:val="auto"/>
                <w:sz w:val="21"/>
                <w:szCs w:val="21"/>
                <w:highlight w:val="none"/>
              </w:rPr>
              <w:t>制定</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应急维护方案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完善性、针对性</w:t>
            </w:r>
            <w:r>
              <w:rPr>
                <w:rFonts w:hint="eastAsia" w:ascii="宋体" w:hAnsi="宋体" w:eastAsia="宋体" w:cs="宋体"/>
                <w:color w:val="auto"/>
                <w:kern w:val="0"/>
                <w:sz w:val="21"/>
                <w:szCs w:val="21"/>
                <w:highlight w:val="none"/>
                <w:lang w:val="en-US" w:eastAsia="zh-CN" w:bidi="ar"/>
              </w:rPr>
              <w:t>进行综合</w:t>
            </w:r>
            <w:r>
              <w:rPr>
                <w:rFonts w:hint="eastAsia" w:ascii="宋体" w:hAnsi="宋体" w:eastAsia="宋体" w:cs="宋体"/>
                <w:color w:val="auto"/>
                <w:sz w:val="21"/>
                <w:szCs w:val="21"/>
                <w:highlight w:val="none"/>
                <w:lang w:eastAsia="zh-CN"/>
              </w:rPr>
              <w:t>评</w:t>
            </w:r>
            <w:r>
              <w:rPr>
                <w:rFonts w:hint="eastAsia" w:ascii="宋体" w:hAnsi="宋体" w:eastAsia="宋体" w:cs="宋体"/>
                <w:color w:val="auto"/>
                <w:sz w:val="21"/>
                <w:szCs w:val="21"/>
                <w:highlight w:val="none"/>
              </w:rPr>
              <w:t>分</w:t>
            </w:r>
            <w:r>
              <w:rPr>
                <w:rFonts w:hint="eastAsia" w:ascii="宋体" w:hAnsi="宋体" w:eastAsia="宋体" w:cs="宋体"/>
                <w:i w:val="0"/>
                <w:iCs w:val="0"/>
                <w:color w:val="auto"/>
                <w:kern w:val="2"/>
                <w:sz w:val="21"/>
                <w:szCs w:val="21"/>
                <w:highlight w:val="none"/>
                <w:u w:val="none"/>
                <w:lang w:val="en-US" w:eastAsia="zh-CN" w:bidi="ar-SA"/>
              </w:rPr>
              <w:t>（0-5分）</w:t>
            </w:r>
          </w:p>
        </w:tc>
        <w:tc>
          <w:tcPr>
            <w:tcW w:w="1000" w:type="dxa"/>
            <w:tcBorders>
              <w:tl2br w:val="nil"/>
              <w:tr2bl w:val="nil"/>
            </w:tcBorders>
            <w:noWrap w:val="0"/>
            <w:vAlign w:val="center"/>
          </w:tcPr>
          <w:p w14:paraId="0CE49C98">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6DC4FDFF">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42AA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66" w:type="dxa"/>
            <w:vMerge w:val="restart"/>
            <w:tcBorders>
              <w:tl2br w:val="nil"/>
              <w:tr2bl w:val="nil"/>
            </w:tcBorders>
            <w:noWrap w:val="0"/>
            <w:vAlign w:val="center"/>
          </w:tcPr>
          <w:p w14:paraId="1A231D5D">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5</w:t>
            </w:r>
          </w:p>
        </w:tc>
        <w:tc>
          <w:tcPr>
            <w:tcW w:w="1082" w:type="dxa"/>
            <w:vMerge w:val="restart"/>
            <w:tcBorders>
              <w:tl2br w:val="nil"/>
              <w:tr2bl w:val="nil"/>
            </w:tcBorders>
            <w:noWrap w:val="0"/>
            <w:vAlign w:val="center"/>
          </w:tcPr>
          <w:p w14:paraId="47FEE542">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措施及人员管理</w:t>
            </w:r>
          </w:p>
        </w:tc>
        <w:tc>
          <w:tcPr>
            <w:tcW w:w="6657" w:type="dxa"/>
            <w:tcBorders>
              <w:tl2br w:val="nil"/>
              <w:tr2bl w:val="nil"/>
            </w:tcBorders>
            <w:noWrap w:val="0"/>
            <w:vAlign w:val="center"/>
          </w:tcPr>
          <w:p w14:paraId="2160DC39">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管理制度：根据投标人针对本项目制定的内部管理制度的完善性、针对性情况进行综合</w:t>
            </w:r>
            <w:r>
              <w:rPr>
                <w:rFonts w:hint="eastAsia" w:ascii="宋体" w:hAnsi="宋体" w:eastAsia="宋体" w:cs="宋体"/>
                <w:color w:val="auto"/>
                <w:sz w:val="21"/>
                <w:szCs w:val="21"/>
                <w:highlight w:val="none"/>
                <w:lang w:eastAsia="zh-CN"/>
              </w:rPr>
              <w:t>评</w:t>
            </w:r>
            <w:r>
              <w:rPr>
                <w:rFonts w:hint="eastAsia" w:ascii="宋体" w:hAnsi="宋体" w:eastAsia="宋体" w:cs="宋体"/>
                <w:color w:val="auto"/>
                <w:sz w:val="21"/>
                <w:szCs w:val="21"/>
                <w:highlight w:val="none"/>
              </w:rPr>
              <w:t>分</w:t>
            </w:r>
            <w:r>
              <w:rPr>
                <w:rFonts w:hint="eastAsia" w:ascii="宋体" w:hAnsi="宋体" w:eastAsia="宋体" w:cs="宋体"/>
                <w:i w:val="0"/>
                <w:iCs w:val="0"/>
                <w:color w:val="auto"/>
                <w:kern w:val="2"/>
                <w:sz w:val="21"/>
                <w:szCs w:val="21"/>
                <w:highlight w:val="none"/>
                <w:u w:val="none"/>
                <w:lang w:val="en-US" w:eastAsia="zh-CN" w:bidi="ar-SA"/>
              </w:rPr>
              <w:t>（0-5分）</w:t>
            </w:r>
          </w:p>
        </w:tc>
        <w:tc>
          <w:tcPr>
            <w:tcW w:w="1000" w:type="dxa"/>
            <w:tcBorders>
              <w:tl2br w:val="nil"/>
              <w:tr2bl w:val="nil"/>
            </w:tcBorders>
            <w:noWrap w:val="0"/>
            <w:vAlign w:val="center"/>
          </w:tcPr>
          <w:p w14:paraId="2ABE6D20">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7449B5F5">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6C60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6" w:type="dxa"/>
            <w:vMerge w:val="continue"/>
            <w:tcBorders>
              <w:tl2br w:val="nil"/>
              <w:tr2bl w:val="nil"/>
            </w:tcBorders>
            <w:noWrap w:val="0"/>
            <w:vAlign w:val="center"/>
          </w:tcPr>
          <w:p w14:paraId="25739469">
            <w:pPr>
              <w:keepNext w:val="0"/>
              <w:keepLines w:val="0"/>
              <w:pageBreakBefore w:val="0"/>
              <w:widowControl w:val="0"/>
              <w:numPr>
                <w:ilvl w:val="1"/>
                <w:numId w:val="0"/>
              </w:numPr>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w w:val="100"/>
                <w:sz w:val="21"/>
                <w:szCs w:val="21"/>
                <w:highlight w:val="none"/>
                <w:lang w:val="en-US" w:eastAsia="zh-CN"/>
              </w:rPr>
            </w:pPr>
          </w:p>
        </w:tc>
        <w:tc>
          <w:tcPr>
            <w:tcW w:w="1082" w:type="dxa"/>
            <w:vMerge w:val="continue"/>
            <w:tcBorders>
              <w:tl2br w:val="nil"/>
              <w:tr2bl w:val="nil"/>
            </w:tcBorders>
            <w:noWrap w:val="0"/>
            <w:vAlign w:val="center"/>
          </w:tcPr>
          <w:p w14:paraId="5477D63D">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6657" w:type="dxa"/>
            <w:tcBorders>
              <w:tl2br w:val="nil"/>
              <w:tr2bl w:val="nil"/>
            </w:tcBorders>
            <w:noWrap w:val="0"/>
            <w:vAlign w:val="center"/>
          </w:tcPr>
          <w:p w14:paraId="03066D84">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质量保障：针对本项目制定的质量保证体系是否完善，项目质量保障措施是否具体、合理可行等进行综合评分（0-5分）</w:t>
            </w:r>
          </w:p>
        </w:tc>
        <w:tc>
          <w:tcPr>
            <w:tcW w:w="1000" w:type="dxa"/>
            <w:tcBorders>
              <w:tl2br w:val="nil"/>
              <w:tr2bl w:val="nil"/>
            </w:tcBorders>
            <w:noWrap w:val="0"/>
            <w:vAlign w:val="center"/>
          </w:tcPr>
          <w:p w14:paraId="47E1BCDC">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3548C71F">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2739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566" w:type="dxa"/>
            <w:vMerge w:val="continue"/>
            <w:tcBorders>
              <w:tl2br w:val="nil"/>
              <w:tr2bl w:val="nil"/>
            </w:tcBorders>
            <w:noWrap w:val="0"/>
            <w:vAlign w:val="center"/>
          </w:tcPr>
          <w:p w14:paraId="3C5A5EA3">
            <w:pPr>
              <w:keepNext w:val="0"/>
              <w:keepLines w:val="0"/>
              <w:pageBreakBefore w:val="0"/>
              <w:widowControl w:val="0"/>
              <w:numPr>
                <w:ilvl w:val="1"/>
                <w:numId w:val="0"/>
              </w:numPr>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w w:val="100"/>
                <w:sz w:val="21"/>
                <w:szCs w:val="21"/>
                <w:highlight w:val="none"/>
                <w:lang w:val="en-US" w:eastAsia="zh-CN"/>
              </w:rPr>
            </w:pPr>
          </w:p>
        </w:tc>
        <w:tc>
          <w:tcPr>
            <w:tcW w:w="1082" w:type="dxa"/>
            <w:vMerge w:val="continue"/>
            <w:tcBorders>
              <w:tl2br w:val="nil"/>
              <w:tr2bl w:val="nil"/>
            </w:tcBorders>
            <w:noWrap w:val="0"/>
            <w:vAlign w:val="center"/>
          </w:tcPr>
          <w:p w14:paraId="54154C80">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6657" w:type="dxa"/>
            <w:tcBorders>
              <w:tl2br w:val="nil"/>
              <w:tr2bl w:val="nil"/>
            </w:tcBorders>
            <w:noWrap w:val="0"/>
            <w:vAlign w:val="center"/>
          </w:tcPr>
          <w:p w14:paraId="4C19912D">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安全保障：针对本项目制定的安全作业措施是否具体、合理可行，进行综合评分（0-5分）</w:t>
            </w:r>
          </w:p>
        </w:tc>
        <w:tc>
          <w:tcPr>
            <w:tcW w:w="1000" w:type="dxa"/>
            <w:tcBorders>
              <w:tl2br w:val="nil"/>
              <w:tr2bl w:val="nil"/>
            </w:tcBorders>
            <w:noWrap w:val="0"/>
            <w:vAlign w:val="center"/>
          </w:tcPr>
          <w:p w14:paraId="4DEECD51">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1AC149EF">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521F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66" w:type="dxa"/>
            <w:vMerge w:val="continue"/>
            <w:tcBorders>
              <w:tl2br w:val="nil"/>
              <w:tr2bl w:val="nil"/>
            </w:tcBorders>
            <w:noWrap w:val="0"/>
            <w:vAlign w:val="center"/>
          </w:tcPr>
          <w:p w14:paraId="321F03B8">
            <w:pPr>
              <w:keepNext w:val="0"/>
              <w:keepLines w:val="0"/>
              <w:pageBreakBefore w:val="0"/>
              <w:widowControl w:val="0"/>
              <w:numPr>
                <w:ilvl w:val="1"/>
                <w:numId w:val="0"/>
              </w:numPr>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w w:val="100"/>
                <w:sz w:val="21"/>
                <w:szCs w:val="21"/>
                <w:highlight w:val="none"/>
                <w:lang w:val="en-US" w:eastAsia="zh-CN"/>
              </w:rPr>
            </w:pPr>
          </w:p>
        </w:tc>
        <w:tc>
          <w:tcPr>
            <w:tcW w:w="1082" w:type="dxa"/>
            <w:vMerge w:val="continue"/>
            <w:tcBorders>
              <w:tl2br w:val="nil"/>
              <w:tr2bl w:val="nil"/>
            </w:tcBorders>
            <w:noWrap w:val="0"/>
            <w:vAlign w:val="center"/>
          </w:tcPr>
          <w:p w14:paraId="046FA4EF">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c>
          <w:tcPr>
            <w:tcW w:w="6657" w:type="dxa"/>
            <w:tcBorders>
              <w:tl2br w:val="nil"/>
              <w:tr2bl w:val="nil"/>
            </w:tcBorders>
            <w:noWrap w:val="0"/>
            <w:vAlign w:val="center"/>
          </w:tcPr>
          <w:p w14:paraId="3000E2AA">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人员培训：根据投标人制定的对本项目运维人员培训方案的完整性、针对性进行综合评分（0-2分）</w:t>
            </w:r>
            <w:r>
              <w:rPr>
                <w:rFonts w:hint="eastAsia" w:ascii="宋体" w:hAnsi="宋体" w:eastAsia="宋体" w:cs="宋体"/>
                <w:color w:val="auto"/>
                <w:sz w:val="21"/>
                <w:szCs w:val="21"/>
                <w:highlight w:val="none"/>
                <w:lang w:val="en-US" w:eastAsia="zh-CN"/>
              </w:rPr>
              <w:tab/>
            </w:r>
          </w:p>
        </w:tc>
        <w:tc>
          <w:tcPr>
            <w:tcW w:w="1000" w:type="dxa"/>
            <w:tcBorders>
              <w:tl2br w:val="nil"/>
              <w:tr2bl w:val="nil"/>
            </w:tcBorders>
            <w:noWrap w:val="0"/>
            <w:vAlign w:val="center"/>
          </w:tcPr>
          <w:p w14:paraId="60F49077">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43" w:type="dxa"/>
            <w:vMerge w:val="continue"/>
            <w:tcBorders>
              <w:tl2br w:val="nil"/>
              <w:tr2bl w:val="nil"/>
            </w:tcBorders>
            <w:noWrap w:val="0"/>
            <w:vAlign w:val="center"/>
          </w:tcPr>
          <w:p w14:paraId="619ACBBE">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1A5C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66" w:type="dxa"/>
            <w:tcBorders>
              <w:tl2br w:val="nil"/>
              <w:tr2bl w:val="nil"/>
            </w:tcBorders>
            <w:noWrap w:val="0"/>
            <w:vAlign w:val="center"/>
          </w:tcPr>
          <w:p w14:paraId="72C364DD">
            <w:pPr>
              <w:keepNext w:val="0"/>
              <w:keepLines w:val="0"/>
              <w:pageBreakBefore w:val="0"/>
              <w:widowControl w:val="0"/>
              <w:numPr>
                <w:ilvl w:val="1"/>
                <w:numId w:val="0"/>
              </w:numPr>
              <w:kinsoku/>
              <w:wordWrap/>
              <w:overflowPunct/>
              <w:topLinePunct w:val="0"/>
              <w:autoSpaceDE/>
              <w:autoSpaceDN/>
              <w:bidi w:val="0"/>
              <w:adjustRightInd/>
              <w:snapToGrid/>
              <w:spacing w:line="420" w:lineRule="exact"/>
              <w:ind w:left="0" w:leftChars="0"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w w:val="100"/>
                <w:sz w:val="21"/>
                <w:szCs w:val="21"/>
                <w:highlight w:val="none"/>
                <w:lang w:val="en-US" w:eastAsia="zh-CN"/>
              </w:rPr>
              <w:t>6</w:t>
            </w:r>
          </w:p>
        </w:tc>
        <w:tc>
          <w:tcPr>
            <w:tcW w:w="1082" w:type="dxa"/>
            <w:tcBorders>
              <w:tl2br w:val="nil"/>
              <w:tr2bl w:val="nil"/>
            </w:tcBorders>
            <w:noWrap w:val="0"/>
            <w:vAlign w:val="center"/>
          </w:tcPr>
          <w:p w14:paraId="708FC85F">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6657" w:type="dxa"/>
            <w:tcBorders>
              <w:tl2br w:val="nil"/>
              <w:tr2bl w:val="nil"/>
            </w:tcBorders>
            <w:shd w:val="clear" w:color="auto" w:fill="auto"/>
            <w:noWrap w:val="0"/>
            <w:vAlign w:val="center"/>
          </w:tcPr>
          <w:p w14:paraId="0D473296">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根据投标人是否具有较强的本地化服务能力，是否拥有较强技术支持机构及较强的专业技术服务队伍，是否具有提供快速服务响应的能力等内容进行评审（0-5分）。</w:t>
            </w:r>
          </w:p>
        </w:tc>
        <w:tc>
          <w:tcPr>
            <w:tcW w:w="1000" w:type="dxa"/>
            <w:tcBorders>
              <w:tl2br w:val="nil"/>
              <w:tr2bl w:val="nil"/>
            </w:tcBorders>
            <w:noWrap w:val="0"/>
            <w:vAlign w:val="center"/>
          </w:tcPr>
          <w:p w14:paraId="57FDCB86">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31FBC26C">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1093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6" w:type="dxa"/>
            <w:tcBorders>
              <w:tl2br w:val="nil"/>
              <w:tr2bl w:val="nil"/>
            </w:tcBorders>
            <w:noWrap w:val="0"/>
            <w:vAlign w:val="center"/>
          </w:tcPr>
          <w:p w14:paraId="4BD67495">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082" w:type="dxa"/>
            <w:tcBorders>
              <w:tl2br w:val="nil"/>
              <w:tr2bl w:val="nil"/>
            </w:tcBorders>
            <w:noWrap w:val="0"/>
            <w:vAlign w:val="center"/>
          </w:tcPr>
          <w:p w14:paraId="27A7BD3F">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类似业绩</w:t>
            </w:r>
          </w:p>
        </w:tc>
        <w:tc>
          <w:tcPr>
            <w:tcW w:w="6657" w:type="dxa"/>
            <w:tcBorders>
              <w:tl2br w:val="nil"/>
              <w:tr2bl w:val="nil"/>
            </w:tcBorders>
            <w:noWrap w:val="0"/>
            <w:vAlign w:val="center"/>
          </w:tcPr>
          <w:p w14:paraId="75524BD7">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投标人自2019年1月1日以来完成过（以合同签订时间为准）类似项目业绩，每个合同得1分，最多得1分。</w:t>
            </w:r>
          </w:p>
          <w:p w14:paraId="767A16C7">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（提供合同复印件，未提供或提供内容不符合要求的不得分）。</w:t>
            </w:r>
          </w:p>
        </w:tc>
        <w:tc>
          <w:tcPr>
            <w:tcW w:w="1000" w:type="dxa"/>
            <w:tcBorders>
              <w:tl2br w:val="nil"/>
              <w:tr2bl w:val="nil"/>
            </w:tcBorders>
            <w:noWrap w:val="0"/>
            <w:vAlign w:val="center"/>
          </w:tcPr>
          <w:p w14:paraId="57E033E6">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943" w:type="dxa"/>
            <w:vMerge w:val="restart"/>
            <w:tcBorders>
              <w:tl2br w:val="nil"/>
              <w:tr2bl w:val="nil"/>
            </w:tcBorders>
            <w:noWrap w:val="0"/>
            <w:vAlign w:val="center"/>
          </w:tcPr>
          <w:p w14:paraId="364C09FF">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30AF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6" w:type="dxa"/>
            <w:tcBorders>
              <w:tl2br w:val="nil"/>
              <w:tr2bl w:val="nil"/>
            </w:tcBorders>
            <w:noWrap w:val="0"/>
            <w:vAlign w:val="center"/>
          </w:tcPr>
          <w:p w14:paraId="3C7E4D10">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8</w:t>
            </w:r>
          </w:p>
        </w:tc>
        <w:tc>
          <w:tcPr>
            <w:tcW w:w="1082" w:type="dxa"/>
            <w:tcBorders>
              <w:tl2br w:val="nil"/>
              <w:tr2bl w:val="nil"/>
            </w:tcBorders>
            <w:noWrap w:val="0"/>
            <w:vAlign w:val="center"/>
          </w:tcPr>
          <w:p w14:paraId="276C19BB">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lang w:val="en-US" w:eastAsia="zh-CN"/>
              </w:rPr>
              <w:t>项目负责人</w:t>
            </w:r>
          </w:p>
        </w:tc>
        <w:tc>
          <w:tcPr>
            <w:tcW w:w="6657" w:type="dxa"/>
            <w:tcBorders>
              <w:tl2br w:val="nil"/>
              <w:tr2bl w:val="nil"/>
            </w:tcBorders>
            <w:noWrap w:val="0"/>
            <w:vAlign w:val="center"/>
          </w:tcPr>
          <w:p w14:paraId="287E0F46">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w:t>
            </w:r>
            <w:r>
              <w:rPr>
                <w:rFonts w:hint="eastAsia" w:ascii="宋体" w:hAnsi="宋体" w:eastAsia="宋体" w:cs="宋体"/>
                <w:color w:val="auto"/>
                <w:sz w:val="21"/>
                <w:szCs w:val="21"/>
                <w:highlight w:val="none"/>
                <w:lang w:val="zh-CN" w:eastAsia="zh-CN"/>
              </w:rPr>
              <w:t>水利类</w:t>
            </w:r>
            <w:r>
              <w:rPr>
                <w:rFonts w:hint="eastAsia" w:ascii="宋体" w:hAnsi="宋体" w:eastAsia="宋体" w:cs="宋体"/>
                <w:color w:val="auto"/>
                <w:sz w:val="21"/>
                <w:szCs w:val="21"/>
                <w:highlight w:val="none"/>
                <w:lang w:val="en-US" w:eastAsia="zh-CN"/>
              </w:rPr>
              <w:t>高级及以上工程师职称的得2分，中级的得1分（0-2分）；</w:t>
            </w:r>
          </w:p>
          <w:p w14:paraId="5A989B2D">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人社部和工信部共同颁发的高级资格证书（信息系统项目管理师、系统分析师（原系统分析员）、系统架构设计师任一资格证书）得2分，具有人社部和工信部共同颁发的中级资格证书（信息技术支持工程师、网格工程师、信息系统管理工程师、</w:t>
            </w:r>
            <w:r>
              <w:rPr>
                <w:rFonts w:hint="eastAsia" w:ascii="宋体" w:hAnsi="宋体" w:eastAsia="宋体" w:cs="宋体"/>
                <w:color w:val="auto"/>
                <w:sz w:val="21"/>
                <w:szCs w:val="21"/>
                <w:highlight w:val="none"/>
                <w:lang w:val="zh-CN"/>
              </w:rPr>
              <w:t>嵌入式系统设计师</w:t>
            </w:r>
            <w:r>
              <w:rPr>
                <w:rFonts w:hint="eastAsia" w:ascii="宋体" w:hAnsi="宋体" w:eastAsia="宋体" w:cs="宋体"/>
                <w:color w:val="auto"/>
                <w:sz w:val="21"/>
                <w:szCs w:val="21"/>
                <w:highlight w:val="none"/>
                <w:lang w:val="en-US" w:eastAsia="zh-CN"/>
              </w:rPr>
              <w:t>任一资格证书）的得1分，本项最高2分（0-2分）；</w:t>
            </w:r>
          </w:p>
          <w:p w14:paraId="7A7B0488">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3.具有机械、自动化类（如仪器仪表、</w:t>
            </w:r>
            <w:r>
              <w:rPr>
                <w:rFonts w:hint="eastAsia" w:ascii="宋体" w:hAnsi="宋体" w:eastAsia="宋体" w:cs="宋体"/>
                <w:color w:val="auto"/>
                <w:sz w:val="21"/>
                <w:szCs w:val="21"/>
                <w:highlight w:val="none"/>
                <w:lang w:val="zh-CN" w:eastAsia="zh-CN"/>
              </w:rPr>
              <w:t>机械电子、</w:t>
            </w:r>
            <w:r>
              <w:rPr>
                <w:rFonts w:hint="eastAsia" w:ascii="宋体" w:hAnsi="宋体" w:eastAsia="宋体" w:cs="宋体"/>
                <w:color w:val="auto"/>
                <w:sz w:val="21"/>
                <w:szCs w:val="21"/>
                <w:highlight w:val="none"/>
                <w:lang w:val="en-US" w:eastAsia="zh-CN"/>
              </w:rPr>
              <w:t>自动化控制专业）</w:t>
            </w:r>
            <w:r>
              <w:rPr>
                <w:rFonts w:hint="eastAsia" w:ascii="宋体" w:hAnsi="宋体" w:eastAsia="宋体" w:cs="宋体"/>
                <w:color w:val="auto"/>
                <w:sz w:val="21"/>
                <w:szCs w:val="21"/>
                <w:highlight w:val="none"/>
                <w:lang w:val="zh-CN" w:eastAsia="zh-CN"/>
              </w:rPr>
              <w:t>中级以上工程师职称的得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w:t>
            </w:r>
            <w:r>
              <w:rPr>
                <w:rFonts w:hint="eastAsia" w:ascii="宋体" w:hAnsi="宋体" w:eastAsia="宋体" w:cs="宋体"/>
                <w:color w:val="auto"/>
                <w:sz w:val="21"/>
                <w:szCs w:val="21"/>
                <w:highlight w:val="none"/>
                <w:lang w:val="en-US" w:eastAsia="zh-CN"/>
              </w:rPr>
              <w:t>。</w:t>
            </w:r>
          </w:p>
          <w:p w14:paraId="31C43EC9">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注：须</w:t>
            </w:r>
            <w:r>
              <w:rPr>
                <w:rFonts w:hint="eastAsia" w:ascii="宋体" w:hAnsi="宋体" w:eastAsia="宋体" w:cs="宋体"/>
                <w:color w:val="auto"/>
                <w:sz w:val="21"/>
                <w:szCs w:val="21"/>
                <w:highlight w:val="none"/>
                <w:lang w:val="zh-CN" w:eastAsia="zh-CN"/>
              </w:rPr>
              <w:t>提供证书扫描件和</w:t>
            </w:r>
            <w:r>
              <w:rPr>
                <w:rFonts w:hint="eastAsia" w:ascii="宋体" w:hAnsi="宋体" w:eastAsia="宋体" w:cs="宋体"/>
                <w:color w:val="auto"/>
                <w:sz w:val="21"/>
                <w:szCs w:val="21"/>
                <w:highlight w:val="none"/>
                <w:lang w:val="en-US" w:eastAsia="zh-CN"/>
              </w:rPr>
              <w:t>人员在本单位近3个月的社保缴纳证明扫描件</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未提供或提供不齐全的</w:t>
            </w:r>
            <w:r>
              <w:rPr>
                <w:rFonts w:hint="eastAsia" w:ascii="宋体" w:hAnsi="宋体" w:eastAsia="宋体" w:cs="宋体"/>
                <w:color w:val="auto"/>
                <w:sz w:val="21"/>
                <w:szCs w:val="21"/>
                <w:highlight w:val="none"/>
                <w:lang w:val="zh-CN" w:eastAsia="zh-CN"/>
              </w:rPr>
              <w:t>不得分</w:t>
            </w:r>
          </w:p>
        </w:tc>
        <w:tc>
          <w:tcPr>
            <w:tcW w:w="1000" w:type="dxa"/>
            <w:tcBorders>
              <w:tl2br w:val="nil"/>
              <w:tr2bl w:val="nil"/>
            </w:tcBorders>
            <w:noWrap w:val="0"/>
            <w:vAlign w:val="center"/>
          </w:tcPr>
          <w:p w14:paraId="2723AF5D">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943" w:type="dxa"/>
            <w:vMerge w:val="continue"/>
            <w:tcBorders>
              <w:tl2br w:val="nil"/>
              <w:tr2bl w:val="nil"/>
            </w:tcBorders>
            <w:noWrap w:val="0"/>
            <w:vAlign w:val="center"/>
          </w:tcPr>
          <w:p w14:paraId="0B05F74F">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53BD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6" w:type="dxa"/>
            <w:tcBorders>
              <w:tl2br w:val="nil"/>
              <w:tr2bl w:val="nil"/>
            </w:tcBorders>
            <w:noWrap w:val="0"/>
            <w:vAlign w:val="center"/>
          </w:tcPr>
          <w:p w14:paraId="7F040514">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082" w:type="dxa"/>
            <w:tcBorders>
              <w:tl2br w:val="nil"/>
              <w:tr2bl w:val="nil"/>
            </w:tcBorders>
            <w:noWrap w:val="0"/>
            <w:vAlign w:val="center"/>
          </w:tcPr>
          <w:p w14:paraId="34B1BCFB">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其他成员</w:t>
            </w:r>
          </w:p>
        </w:tc>
        <w:tc>
          <w:tcPr>
            <w:tcW w:w="6657" w:type="dxa"/>
            <w:tcBorders>
              <w:tl2br w:val="nil"/>
              <w:tr2bl w:val="nil"/>
            </w:tcBorders>
            <w:noWrap w:val="0"/>
            <w:vAlign w:val="center"/>
          </w:tcPr>
          <w:p w14:paraId="6F61EEDA">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项目组成员（除项目负责人</w:t>
            </w:r>
            <w:r>
              <w:rPr>
                <w:rFonts w:hint="eastAsia" w:ascii="宋体" w:hAnsi="宋体" w:eastAsia="宋体" w:cs="宋体"/>
                <w:color w:val="auto"/>
                <w:sz w:val="21"/>
                <w:szCs w:val="21"/>
                <w:highlight w:val="none"/>
                <w:lang w:val="en-US" w:eastAsia="zh-CN"/>
              </w:rPr>
              <w:t>外</w:t>
            </w:r>
            <w:r>
              <w:rPr>
                <w:rFonts w:hint="eastAsia" w:ascii="宋体" w:hAnsi="宋体" w:eastAsia="宋体" w:cs="宋体"/>
                <w:color w:val="auto"/>
                <w:sz w:val="21"/>
                <w:szCs w:val="21"/>
                <w:highlight w:val="none"/>
                <w:lang w:val="zh-CN"/>
              </w:rPr>
              <w:t>）：</w:t>
            </w:r>
          </w:p>
          <w:p w14:paraId="581C4A1B">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w:t>
            </w:r>
            <w:r>
              <w:rPr>
                <w:rFonts w:hint="eastAsia" w:ascii="宋体" w:hAnsi="宋体" w:eastAsia="宋体" w:cs="宋体"/>
                <w:b/>
                <w:bCs/>
                <w:color w:val="auto"/>
                <w:sz w:val="21"/>
                <w:szCs w:val="21"/>
                <w:highlight w:val="none"/>
                <w:lang w:val="en-US" w:eastAsia="zh-CN"/>
              </w:rPr>
              <w:t>机械、自动化类</w:t>
            </w:r>
            <w:r>
              <w:rPr>
                <w:rFonts w:hint="eastAsia" w:ascii="宋体" w:hAnsi="宋体" w:eastAsia="宋体" w:cs="宋体"/>
                <w:color w:val="auto"/>
                <w:sz w:val="21"/>
                <w:szCs w:val="21"/>
                <w:highlight w:val="none"/>
                <w:lang w:val="en-US" w:eastAsia="zh-CN"/>
              </w:rPr>
              <w:t>（如仪器仪表、</w:t>
            </w:r>
            <w:r>
              <w:rPr>
                <w:rFonts w:hint="eastAsia" w:ascii="宋体" w:hAnsi="宋体" w:eastAsia="宋体" w:cs="宋体"/>
                <w:color w:val="auto"/>
                <w:sz w:val="21"/>
                <w:szCs w:val="21"/>
                <w:highlight w:val="none"/>
                <w:lang w:val="zh-CN"/>
              </w:rPr>
              <w:t>机械电子、</w:t>
            </w:r>
            <w:r>
              <w:rPr>
                <w:rFonts w:hint="eastAsia" w:ascii="宋体" w:hAnsi="宋体" w:eastAsia="宋体" w:cs="宋体"/>
                <w:color w:val="auto"/>
                <w:sz w:val="21"/>
                <w:szCs w:val="21"/>
                <w:highlight w:val="none"/>
                <w:lang w:val="en-US" w:eastAsia="zh-CN"/>
              </w:rPr>
              <w:t>自动化控制</w:t>
            </w:r>
            <w:r>
              <w:rPr>
                <w:rFonts w:hint="eastAsia" w:ascii="宋体" w:hAnsi="宋体" w:eastAsia="宋体" w:cs="宋体"/>
                <w:b w:val="0"/>
                <w:bCs w:val="0"/>
                <w:color w:val="auto"/>
                <w:sz w:val="21"/>
                <w:szCs w:val="21"/>
                <w:highlight w:val="none"/>
                <w:lang w:val="en-US" w:eastAsia="zh-CN"/>
              </w:rPr>
              <w:t>专业</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初级及以上</w:t>
            </w:r>
            <w:r>
              <w:rPr>
                <w:rFonts w:hint="eastAsia" w:ascii="宋体" w:hAnsi="宋体" w:eastAsia="宋体" w:cs="宋体"/>
                <w:color w:val="auto"/>
                <w:sz w:val="21"/>
                <w:szCs w:val="21"/>
                <w:highlight w:val="none"/>
                <w:lang w:val="zh-CN" w:eastAsia="zh-CN"/>
              </w:rPr>
              <w:t>职称</w:t>
            </w:r>
            <w:r>
              <w:rPr>
                <w:rFonts w:hint="eastAsia" w:ascii="宋体" w:hAnsi="宋体" w:eastAsia="宋体" w:cs="宋体"/>
                <w:color w:val="auto"/>
                <w:sz w:val="21"/>
                <w:szCs w:val="21"/>
                <w:highlight w:val="none"/>
                <w:lang w:val="en-US" w:eastAsia="zh-CN"/>
              </w:rPr>
              <w:t>的每有一个专业得1分，最高2分；</w:t>
            </w:r>
          </w:p>
          <w:p w14:paraId="10F8EAAB">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w:t>
            </w:r>
            <w:r>
              <w:rPr>
                <w:rFonts w:hint="eastAsia" w:ascii="宋体" w:hAnsi="宋体" w:eastAsia="宋体" w:cs="宋体"/>
                <w:b/>
                <w:bCs/>
                <w:color w:val="auto"/>
                <w:sz w:val="21"/>
                <w:szCs w:val="21"/>
                <w:highlight w:val="none"/>
                <w:lang w:val="en-US" w:eastAsia="zh-CN"/>
              </w:rPr>
              <w:t>计算机电子通信类</w:t>
            </w:r>
            <w:r>
              <w:rPr>
                <w:rFonts w:hint="eastAsia" w:ascii="宋体" w:hAnsi="宋体" w:eastAsia="宋体" w:cs="宋体"/>
                <w:color w:val="auto"/>
                <w:sz w:val="21"/>
                <w:szCs w:val="21"/>
                <w:highlight w:val="none"/>
                <w:lang w:val="en-US" w:eastAsia="zh-CN"/>
              </w:rPr>
              <w:t>（如计算机、电子仪表、</w:t>
            </w:r>
            <w:r>
              <w:rPr>
                <w:rFonts w:hint="eastAsia" w:ascii="宋体" w:hAnsi="宋体" w:eastAsia="宋体" w:cs="宋体"/>
                <w:color w:val="auto"/>
                <w:sz w:val="21"/>
                <w:szCs w:val="21"/>
                <w:highlight w:val="none"/>
                <w:lang w:val="zh-CN"/>
              </w:rPr>
              <w:t>电子仪器与电子测量</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物联网专业</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初级及以上</w:t>
            </w:r>
            <w:r>
              <w:rPr>
                <w:rFonts w:hint="eastAsia" w:ascii="宋体" w:hAnsi="宋体" w:eastAsia="宋体" w:cs="宋体"/>
                <w:color w:val="auto"/>
                <w:sz w:val="21"/>
                <w:szCs w:val="21"/>
                <w:highlight w:val="none"/>
                <w:lang w:val="zh-CN" w:eastAsia="zh-CN"/>
              </w:rPr>
              <w:t>职称</w:t>
            </w:r>
            <w:r>
              <w:rPr>
                <w:rFonts w:hint="eastAsia" w:ascii="宋体" w:hAnsi="宋体" w:eastAsia="宋体" w:cs="宋体"/>
                <w:color w:val="auto"/>
                <w:sz w:val="21"/>
                <w:szCs w:val="21"/>
                <w:highlight w:val="none"/>
                <w:lang w:val="en-US" w:eastAsia="zh-CN"/>
              </w:rPr>
              <w:t>的，每有一个专业得1分，最高1分；</w:t>
            </w:r>
          </w:p>
          <w:p w14:paraId="1A4635A7">
            <w:pPr>
              <w:pStyle w:val="2"/>
              <w:rPr>
                <w:rFonts w:hint="default"/>
                <w:color w:val="auto"/>
                <w:highlight w:val="none"/>
                <w:lang w:val="en-US" w:eastAsia="zh-CN"/>
              </w:rPr>
            </w:pPr>
            <w:r>
              <w:rPr>
                <w:rFonts w:hint="eastAsia"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具有</w:t>
            </w:r>
            <w:r>
              <w:rPr>
                <w:rFonts w:hint="eastAsia" w:ascii="宋体" w:hAnsi="宋体" w:eastAsia="宋体" w:cs="宋体"/>
                <w:b/>
                <w:bCs/>
                <w:color w:val="auto"/>
                <w:sz w:val="21"/>
                <w:szCs w:val="21"/>
                <w:highlight w:val="none"/>
                <w:lang w:val="en-US" w:eastAsia="zh-CN"/>
              </w:rPr>
              <w:t>建工类</w:t>
            </w:r>
            <w:r>
              <w:rPr>
                <w:rFonts w:hint="eastAsia" w:ascii="宋体" w:hAnsi="宋体" w:eastAsia="宋体" w:cs="宋体"/>
                <w:color w:val="auto"/>
                <w:sz w:val="21"/>
                <w:szCs w:val="21"/>
                <w:highlight w:val="none"/>
                <w:lang w:val="en-US" w:eastAsia="zh-CN"/>
              </w:rPr>
              <w:t>（水利水电工程</w:t>
            </w:r>
            <w:r>
              <w:rPr>
                <w:rFonts w:hint="eastAsia" w:ascii="宋体" w:hAnsi="宋体" w:eastAsia="宋体" w:cs="宋体"/>
                <w:b w:val="0"/>
                <w:bCs w:val="0"/>
                <w:color w:val="auto"/>
                <w:sz w:val="21"/>
                <w:szCs w:val="21"/>
                <w:highlight w:val="none"/>
                <w:lang w:val="en-US" w:eastAsia="zh-CN"/>
              </w:rPr>
              <w:t>专业</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初级及以上</w:t>
            </w:r>
            <w:r>
              <w:rPr>
                <w:rFonts w:hint="eastAsia" w:ascii="宋体" w:hAnsi="宋体" w:eastAsia="宋体" w:cs="宋体"/>
                <w:color w:val="auto"/>
                <w:sz w:val="21"/>
                <w:szCs w:val="21"/>
                <w:highlight w:val="none"/>
                <w:lang w:val="zh-CN" w:eastAsia="zh-CN"/>
              </w:rPr>
              <w:t>职称</w:t>
            </w:r>
            <w:r>
              <w:rPr>
                <w:rFonts w:hint="eastAsia" w:ascii="宋体" w:hAnsi="宋体" w:eastAsia="宋体" w:cs="宋体"/>
                <w:color w:val="auto"/>
                <w:sz w:val="21"/>
                <w:szCs w:val="21"/>
                <w:highlight w:val="none"/>
                <w:lang w:val="en-US" w:eastAsia="zh-CN"/>
              </w:rPr>
              <w:t>的</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每有一个得1分，最高1分</w:t>
            </w:r>
            <w:r>
              <w:rPr>
                <w:rFonts w:hint="eastAsia" w:hAnsi="宋体" w:eastAsia="宋体" w:cs="宋体"/>
                <w:color w:val="auto"/>
                <w:sz w:val="21"/>
                <w:szCs w:val="21"/>
                <w:highlight w:val="none"/>
                <w:lang w:val="en-US" w:eastAsia="zh-CN"/>
              </w:rPr>
              <w:t>；</w:t>
            </w:r>
          </w:p>
          <w:p w14:paraId="10756B5D">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
                <w:bCs/>
                <w:color w:val="auto"/>
                <w:sz w:val="21"/>
                <w:szCs w:val="21"/>
                <w:highlight w:val="none"/>
                <w:lang w:val="en-US" w:eastAsia="zh-CN"/>
              </w:rPr>
              <w:t>具有人社部和工信部共同颁发的计算机技术与软件专业技术资格</w:t>
            </w:r>
            <w:r>
              <w:rPr>
                <w:rFonts w:hint="eastAsia" w:ascii="宋体" w:hAnsi="宋体" w:eastAsia="宋体" w:cs="宋体"/>
                <w:color w:val="auto"/>
                <w:sz w:val="21"/>
                <w:szCs w:val="21"/>
                <w:highlight w:val="none"/>
                <w:lang w:val="en-US" w:eastAsia="zh-CN"/>
              </w:rPr>
              <w:t>（信息系统项目管理师、系统分析师（原系统分析员）、系统架构设计师任</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信息技术支持工程师、网格工程师、信息系统管理工程</w:t>
            </w:r>
            <w:r>
              <w:rPr>
                <w:rFonts w:hint="eastAsia"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rPr>
              <w:t>嵌入式系统设计师</w:t>
            </w:r>
            <w:r>
              <w:rPr>
                <w:rFonts w:hint="eastAsia" w:ascii="宋体" w:hAnsi="宋体" w:eastAsia="宋体" w:cs="宋体"/>
                <w:color w:val="auto"/>
                <w:sz w:val="21"/>
                <w:szCs w:val="21"/>
                <w:highlight w:val="none"/>
                <w:lang w:val="en-US" w:eastAsia="zh-CN"/>
              </w:rPr>
              <w:t>）</w:t>
            </w:r>
            <w:r>
              <w:rPr>
                <w:rFonts w:hint="eastAsia" w:hAnsi="宋体" w:eastAsia="宋体" w:cs="宋体"/>
                <w:color w:val="auto"/>
                <w:sz w:val="21"/>
                <w:szCs w:val="21"/>
                <w:highlight w:val="none"/>
                <w:lang w:val="en-US" w:eastAsia="zh-CN"/>
              </w:rPr>
              <w:t>证书的</w:t>
            </w:r>
            <w:r>
              <w:rPr>
                <w:rFonts w:hint="eastAsia" w:ascii="宋体" w:hAnsi="宋体" w:eastAsia="宋体" w:cs="宋体"/>
                <w:color w:val="auto"/>
                <w:sz w:val="21"/>
                <w:szCs w:val="21"/>
                <w:highlight w:val="none"/>
                <w:lang w:val="en-US" w:eastAsia="zh-CN"/>
              </w:rPr>
              <w:t>，每有一个专业得1分，最高得1分。</w:t>
            </w:r>
          </w:p>
          <w:p w14:paraId="125ECBBA">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default" w:eastAsia="宋体"/>
                <w:color w:val="auto"/>
                <w:highlight w:val="none"/>
                <w:lang w:val="en-US" w:eastAsia="zh-CN"/>
              </w:rPr>
            </w:pPr>
            <w:r>
              <w:rPr>
                <w:rFonts w:hint="eastAsia" w:ascii="宋体" w:hAnsi="宋体" w:eastAsia="宋体" w:cs="宋体"/>
                <w:color w:val="auto"/>
                <w:sz w:val="21"/>
                <w:szCs w:val="21"/>
                <w:highlight w:val="none"/>
                <w:lang w:val="zh-CN"/>
              </w:rPr>
              <w:t>注：</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lang w:val="zh-CN" w:eastAsia="zh-CN"/>
              </w:rPr>
              <w:t>提供证书扫描件，</w:t>
            </w:r>
            <w:r>
              <w:rPr>
                <w:rFonts w:hint="eastAsia" w:ascii="宋体" w:hAnsi="宋体" w:eastAsia="宋体" w:cs="宋体"/>
                <w:color w:val="auto"/>
                <w:sz w:val="21"/>
                <w:szCs w:val="21"/>
                <w:highlight w:val="none"/>
                <w:lang w:val="zh-CN"/>
              </w:rPr>
              <w:t>同一人员含有多项证书的，不重复计分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未提供的</w:t>
            </w:r>
            <w:r>
              <w:rPr>
                <w:rFonts w:hint="eastAsia" w:ascii="宋体" w:hAnsi="宋体" w:eastAsia="宋体" w:cs="宋体"/>
                <w:color w:val="auto"/>
                <w:sz w:val="21"/>
                <w:szCs w:val="21"/>
                <w:highlight w:val="none"/>
                <w:lang w:val="zh-CN" w:eastAsia="zh-CN"/>
              </w:rPr>
              <w:t>不得分</w:t>
            </w:r>
          </w:p>
        </w:tc>
        <w:tc>
          <w:tcPr>
            <w:tcW w:w="1000" w:type="dxa"/>
            <w:tcBorders>
              <w:tl2br w:val="nil"/>
              <w:tr2bl w:val="nil"/>
            </w:tcBorders>
            <w:noWrap w:val="0"/>
            <w:vAlign w:val="center"/>
          </w:tcPr>
          <w:p w14:paraId="6948AB9C">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943" w:type="dxa"/>
            <w:vMerge w:val="continue"/>
            <w:tcBorders>
              <w:tl2br w:val="nil"/>
              <w:tr2bl w:val="nil"/>
            </w:tcBorders>
            <w:noWrap w:val="0"/>
            <w:vAlign w:val="center"/>
          </w:tcPr>
          <w:p w14:paraId="689D8622">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1236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6" w:type="dxa"/>
            <w:tcBorders>
              <w:tl2br w:val="nil"/>
              <w:tr2bl w:val="nil"/>
            </w:tcBorders>
            <w:noWrap w:val="0"/>
            <w:vAlign w:val="center"/>
          </w:tcPr>
          <w:p w14:paraId="493FC729">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82" w:type="dxa"/>
            <w:tcBorders>
              <w:tl2br w:val="nil"/>
              <w:tr2bl w:val="nil"/>
            </w:tcBorders>
            <w:noWrap w:val="0"/>
            <w:vAlign w:val="center"/>
          </w:tcPr>
          <w:p w14:paraId="452A1280">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备品备件设备技术参数保障</w:t>
            </w:r>
          </w:p>
        </w:tc>
        <w:tc>
          <w:tcPr>
            <w:tcW w:w="6657" w:type="dxa"/>
            <w:tcBorders>
              <w:tl2br w:val="nil"/>
              <w:tr2bl w:val="nil"/>
            </w:tcBorders>
            <w:noWrap w:val="0"/>
            <w:vAlign w:val="center"/>
          </w:tcPr>
          <w:p w14:paraId="70071F98">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1.带</w:t>
            </w:r>
            <w:r>
              <w:rPr>
                <w:rFonts w:hint="eastAsia" w:ascii="宋体" w:hAnsi="宋体" w:eastAsia="宋体" w:cs="宋体"/>
                <w:color w:val="auto"/>
                <w:kern w:val="2"/>
                <w:sz w:val="21"/>
                <w:szCs w:val="21"/>
                <w:highlight w:val="none"/>
                <w:lang w:val="en-US" w:eastAsia="zh-CN" w:bidi="ar-SA"/>
              </w:rPr>
              <w:t>“★”项的为重要参数（合计7项），</w:t>
            </w:r>
            <w:r>
              <w:rPr>
                <w:rFonts w:hint="eastAsia" w:ascii="宋体" w:hAnsi="宋体" w:eastAsia="宋体" w:cs="宋体"/>
                <w:color w:val="auto"/>
                <w:sz w:val="21"/>
                <w:szCs w:val="21"/>
                <w:highlight w:val="none"/>
                <w:lang w:val="en-US" w:eastAsia="zh-CN"/>
              </w:rPr>
              <w:t>要求提供</w:t>
            </w:r>
            <w:r>
              <w:rPr>
                <w:rFonts w:hint="eastAsia" w:ascii="宋体" w:hAnsi="宋体" w:eastAsia="宋体" w:cs="宋体"/>
                <w:color w:val="auto"/>
                <w:sz w:val="21"/>
                <w:szCs w:val="21"/>
                <w:highlight w:val="none"/>
              </w:rPr>
              <w:t>CMA认证检测报告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参数不满足或未提供检测报告的视为负偏离</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val="zh-CN"/>
              </w:rPr>
              <w:t>每负偏离一项扣</w:t>
            </w:r>
            <w:r>
              <w:rPr>
                <w:rFonts w:hint="eastAsia" w:ascii="宋体" w:hAnsi="宋体" w:eastAsia="宋体" w:cs="宋体"/>
                <w:color w:val="auto"/>
                <w:sz w:val="21"/>
                <w:szCs w:val="21"/>
                <w:highlight w:val="none"/>
                <w:lang w:val="en-US" w:eastAsia="zh-CN"/>
              </w:rPr>
              <w:t>1分，扣完为止（0-7分）</w:t>
            </w:r>
            <w:r>
              <w:rPr>
                <w:rFonts w:hint="eastAsia" w:ascii="宋体" w:hAnsi="宋体" w:eastAsia="宋体" w:cs="宋体"/>
                <w:color w:val="auto"/>
                <w:sz w:val="21"/>
                <w:szCs w:val="21"/>
                <w:highlight w:val="none"/>
                <w:lang w:val="zh-CN"/>
              </w:rPr>
              <w:t>。</w:t>
            </w:r>
          </w:p>
          <w:p w14:paraId="102BAC3A">
            <w:pPr>
              <w:pStyle w:val="2"/>
              <w:rPr>
                <w:rFonts w:hint="eastAsia"/>
                <w:color w:val="auto"/>
                <w:highlight w:val="none"/>
                <w:lang w:val="zh-CN"/>
              </w:rPr>
            </w:pPr>
            <w:r>
              <w:rPr>
                <w:rFonts w:hint="eastAsia"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其他参数（合计30项），每有一项</w:t>
            </w:r>
            <w:r>
              <w:rPr>
                <w:rFonts w:hint="eastAsia" w:ascii="宋体" w:hAnsi="宋体" w:eastAsia="宋体" w:cs="宋体"/>
                <w:color w:val="auto"/>
                <w:sz w:val="21"/>
                <w:szCs w:val="21"/>
                <w:highlight w:val="none"/>
                <w:lang w:val="zh-CN"/>
              </w:rPr>
              <w:t>负偏离</w:t>
            </w:r>
            <w:r>
              <w:rPr>
                <w:rFonts w:hint="eastAsia" w:ascii="宋体" w:hAnsi="宋体" w:eastAsia="宋体" w:cs="宋体"/>
                <w:color w:val="auto"/>
                <w:sz w:val="21"/>
                <w:szCs w:val="21"/>
                <w:highlight w:val="none"/>
                <w:lang w:val="en-US" w:eastAsia="zh-CN"/>
              </w:rPr>
              <w:t>的，扣0.3分，扣完为止（0-9分）。</w:t>
            </w:r>
          </w:p>
          <w:p w14:paraId="49985EBD">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kern w:val="2"/>
                <w:sz w:val="21"/>
                <w:szCs w:val="21"/>
                <w:highlight w:val="none"/>
                <w:lang w:val="en-US" w:eastAsia="zh-CN" w:bidi="ar-SA"/>
              </w:rPr>
              <w:t>重要参数</w:t>
            </w:r>
            <w:r>
              <w:rPr>
                <w:rFonts w:hint="eastAsia" w:ascii="宋体" w:hAnsi="宋体" w:eastAsia="宋体" w:cs="宋体"/>
                <w:color w:val="auto"/>
                <w:sz w:val="21"/>
                <w:szCs w:val="21"/>
                <w:highlight w:val="none"/>
                <w:lang w:val="zh-CN"/>
              </w:rPr>
              <w:t>投标文件中</w:t>
            </w:r>
            <w:r>
              <w:rPr>
                <w:rFonts w:hint="eastAsia" w:ascii="宋体" w:hAnsi="宋体" w:eastAsia="宋体" w:cs="宋体"/>
                <w:color w:val="auto"/>
                <w:sz w:val="21"/>
                <w:szCs w:val="21"/>
                <w:highlight w:val="none"/>
                <w:lang w:val="en-US" w:eastAsia="zh-CN"/>
              </w:rPr>
              <w:t>还需</w:t>
            </w:r>
            <w:r>
              <w:rPr>
                <w:rFonts w:hint="eastAsia" w:ascii="宋体" w:hAnsi="宋体" w:eastAsia="宋体" w:cs="宋体"/>
                <w:color w:val="auto"/>
                <w:sz w:val="21"/>
                <w:szCs w:val="21"/>
                <w:highlight w:val="none"/>
                <w:lang w:val="zh-CN"/>
              </w:rPr>
              <w:t>提供</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zh-CN"/>
              </w:rPr>
              <w:t>报告扫描件并加盖投标供应商公章, 否则</w:t>
            </w:r>
            <w:r>
              <w:rPr>
                <w:rFonts w:hint="eastAsia" w:ascii="宋体" w:hAnsi="宋体" w:eastAsia="宋体" w:cs="宋体"/>
                <w:color w:val="auto"/>
                <w:sz w:val="21"/>
                <w:szCs w:val="21"/>
                <w:highlight w:val="none"/>
                <w:lang w:val="en-US" w:eastAsia="zh-CN"/>
              </w:rPr>
              <w:t>视为负偏离</w:t>
            </w:r>
            <w:r>
              <w:rPr>
                <w:rFonts w:hint="eastAsia" w:ascii="宋体" w:hAnsi="宋体" w:eastAsia="宋体" w:cs="宋体"/>
                <w:color w:val="auto"/>
                <w:sz w:val="21"/>
                <w:szCs w:val="21"/>
                <w:highlight w:val="none"/>
                <w:lang w:val="zh-CN"/>
              </w:rPr>
              <w:t>。</w:t>
            </w:r>
          </w:p>
        </w:tc>
        <w:tc>
          <w:tcPr>
            <w:tcW w:w="1000" w:type="dxa"/>
            <w:tcBorders>
              <w:tl2br w:val="nil"/>
              <w:tr2bl w:val="nil"/>
            </w:tcBorders>
            <w:noWrap w:val="0"/>
            <w:vAlign w:val="center"/>
          </w:tcPr>
          <w:p w14:paraId="3840343E">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943" w:type="dxa"/>
            <w:vMerge w:val="continue"/>
            <w:tcBorders>
              <w:tl2br w:val="nil"/>
              <w:tr2bl w:val="nil"/>
            </w:tcBorders>
            <w:noWrap w:val="0"/>
            <w:vAlign w:val="center"/>
          </w:tcPr>
          <w:p w14:paraId="1DC882AA">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610A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66" w:type="dxa"/>
            <w:tcBorders>
              <w:tl2br w:val="nil"/>
              <w:tr2bl w:val="nil"/>
            </w:tcBorders>
            <w:noWrap w:val="0"/>
            <w:vAlign w:val="center"/>
          </w:tcPr>
          <w:p w14:paraId="68B29985">
            <w:pPr>
              <w:keepNext w:val="0"/>
              <w:keepLines w:val="0"/>
              <w:pageBreakBefore w:val="0"/>
              <w:widowControl w:val="0"/>
              <w:tabs>
                <w:tab w:val="left" w:pos="0"/>
              </w:tabs>
              <w:kinsoku/>
              <w:wordWrap/>
              <w:overflowPunct/>
              <w:topLinePunct w:val="0"/>
              <w:autoSpaceDE/>
              <w:autoSpaceDN/>
              <w:bidi w:val="0"/>
              <w:adjustRightInd/>
              <w:snapToGrid/>
              <w:spacing w:line="420" w:lineRule="exact"/>
              <w:ind w:firstLine="0" w:firstLineChars="0"/>
              <w:jc w:val="center"/>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11</w:t>
            </w:r>
          </w:p>
        </w:tc>
        <w:tc>
          <w:tcPr>
            <w:tcW w:w="1082" w:type="dxa"/>
            <w:tcBorders>
              <w:tl2br w:val="nil"/>
              <w:tr2bl w:val="nil"/>
            </w:tcBorders>
            <w:noWrap w:val="0"/>
            <w:vAlign w:val="center"/>
          </w:tcPr>
          <w:p w14:paraId="171C9584">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政策分</w:t>
            </w:r>
          </w:p>
        </w:tc>
        <w:tc>
          <w:tcPr>
            <w:tcW w:w="6657" w:type="dxa"/>
            <w:tcBorders>
              <w:tl2br w:val="nil"/>
              <w:tr2bl w:val="nil"/>
            </w:tcBorders>
            <w:noWrap w:val="0"/>
            <w:vAlign w:val="center"/>
          </w:tcPr>
          <w:p w14:paraId="5EB3DB35">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投标人符合《政府采购货物和服务招标投标管理办法》第五条规定，属于 “节约能源、保护环境、扶持不发达地区和少数民族地区等”政府采购政策落实对象的，提供相关证明材料和政策依据，根据其重要性每符合一项得1分，最高可得1分。（提供相关证明材料和政策依据资料）。</w:t>
            </w:r>
          </w:p>
        </w:tc>
        <w:tc>
          <w:tcPr>
            <w:tcW w:w="1000" w:type="dxa"/>
            <w:tcBorders>
              <w:tl2br w:val="nil"/>
              <w:tr2bl w:val="nil"/>
            </w:tcBorders>
            <w:noWrap w:val="0"/>
            <w:vAlign w:val="center"/>
          </w:tcPr>
          <w:p w14:paraId="543D7141">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943" w:type="dxa"/>
            <w:vMerge w:val="continue"/>
            <w:tcBorders>
              <w:tl2br w:val="nil"/>
              <w:tr2bl w:val="nil"/>
            </w:tcBorders>
            <w:noWrap w:val="0"/>
            <w:vAlign w:val="center"/>
          </w:tcPr>
          <w:p w14:paraId="2F5790C8">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2AA2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66" w:type="dxa"/>
            <w:tcBorders>
              <w:tl2br w:val="nil"/>
              <w:tr2bl w:val="nil"/>
            </w:tcBorders>
            <w:noWrap w:val="0"/>
            <w:vAlign w:val="center"/>
          </w:tcPr>
          <w:p w14:paraId="7E21ECC3">
            <w:pPr>
              <w:keepNext w:val="0"/>
              <w:keepLines w:val="0"/>
              <w:pageBreakBefore w:val="0"/>
              <w:widowControl/>
              <w:suppressLineNumbers w:val="0"/>
              <w:kinsoku/>
              <w:wordWrap/>
              <w:overflowPunct/>
              <w:topLinePunct w:val="0"/>
              <w:autoSpaceDE/>
              <w:autoSpaceDN/>
              <w:bidi w:val="0"/>
              <w:adjustRightInd w:val="0"/>
              <w:snapToGrid/>
              <w:spacing w:line="312"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sz w:val="21"/>
                <w:szCs w:val="21"/>
                <w:lang w:val="en-US" w:eastAsia="zh-CN"/>
              </w:rPr>
              <w:t>12</w:t>
            </w:r>
          </w:p>
        </w:tc>
        <w:tc>
          <w:tcPr>
            <w:tcW w:w="1082" w:type="dxa"/>
            <w:tcBorders>
              <w:tl2br w:val="nil"/>
              <w:tr2bl w:val="nil"/>
            </w:tcBorders>
            <w:noWrap w:val="0"/>
            <w:vAlign w:val="center"/>
          </w:tcPr>
          <w:p w14:paraId="52E0069F">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报价分</w:t>
            </w:r>
          </w:p>
        </w:tc>
        <w:tc>
          <w:tcPr>
            <w:tcW w:w="6657" w:type="dxa"/>
            <w:tcBorders>
              <w:tl2br w:val="nil"/>
              <w:tr2bl w:val="nil"/>
            </w:tcBorders>
            <w:noWrap w:val="0"/>
            <w:vAlign w:val="center"/>
          </w:tcPr>
          <w:p w14:paraId="33BFFEB1">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left"/>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有效投标报价的最低价作为评标基准价，其最低报价为满分；</w:t>
            </w:r>
          </w:p>
          <w:p w14:paraId="695F007E">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left"/>
              <w:textAlignment w:val="auto"/>
              <w:outlineLvl w:val="9"/>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按［投标报价得分=（评标基准价/投标报价）*</w:t>
            </w:r>
            <w:r>
              <w:rPr>
                <w:rFonts w:hint="eastAsia" w:ascii="宋体" w:hAnsi="宋体" w:eastAsia="宋体" w:cs="宋体"/>
                <w:color w:val="auto"/>
                <w:w w:val="100"/>
                <w:sz w:val="21"/>
                <w:szCs w:val="21"/>
                <w:highlight w:val="none"/>
                <w:lang w:val="en-US" w:eastAsia="zh-CN"/>
              </w:rPr>
              <w:t>10</w:t>
            </w:r>
            <w:r>
              <w:rPr>
                <w:rFonts w:hint="eastAsia" w:ascii="宋体" w:hAnsi="宋体" w:eastAsia="宋体" w:cs="宋体"/>
                <w:color w:val="auto"/>
                <w:w w:val="100"/>
                <w:sz w:val="21"/>
                <w:szCs w:val="21"/>
                <w:highlight w:val="none"/>
              </w:rPr>
              <w:t>］的计算公式计算。</w:t>
            </w:r>
          </w:p>
          <w:p w14:paraId="69DF4F4D">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left"/>
              <w:textAlignment w:val="auto"/>
              <w:outlineLvl w:val="9"/>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评标过程中，不得去掉报价中的最高报价和最低报价。</w:t>
            </w:r>
          </w:p>
          <w:p w14:paraId="68E75BD8">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w w:val="100"/>
                <w:sz w:val="21"/>
                <w:szCs w:val="21"/>
                <w:highlight w:val="none"/>
                <w:lang w:val="en-US" w:eastAsia="zh-CN"/>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1000" w:type="dxa"/>
            <w:tcBorders>
              <w:tl2br w:val="nil"/>
              <w:tr2bl w:val="nil"/>
            </w:tcBorders>
            <w:noWrap w:val="0"/>
            <w:vAlign w:val="center"/>
          </w:tcPr>
          <w:p w14:paraId="1E96A357">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43" w:type="dxa"/>
            <w:tcBorders>
              <w:tl2br w:val="nil"/>
              <w:tr2bl w:val="nil"/>
            </w:tcBorders>
            <w:noWrap w:val="0"/>
            <w:vAlign w:val="center"/>
          </w:tcPr>
          <w:p w14:paraId="78AB9A3A">
            <w:pPr>
              <w:keepNext w:val="0"/>
              <w:keepLines w:val="0"/>
              <w:pageBreakBefore w:val="0"/>
              <w:widowControl w:val="0"/>
              <w:tabs>
                <w:tab w:val="left" w:pos="0"/>
              </w:tabs>
              <w:kinsoku/>
              <w:wordWrap/>
              <w:overflowPunct/>
              <w:topLinePunct w:val="0"/>
              <w:bidi w:val="0"/>
              <w:adjustRightInd/>
              <w:snapToGrid/>
              <w:spacing w:line="44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p>
        </w:tc>
      </w:tr>
      <w:tr w14:paraId="767B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8" w:type="dxa"/>
            <w:gridSpan w:val="5"/>
            <w:tcBorders>
              <w:tl2br w:val="nil"/>
              <w:tr2bl w:val="nil"/>
            </w:tcBorders>
            <w:noWrap w:val="0"/>
            <w:vAlign w:val="center"/>
          </w:tcPr>
          <w:p w14:paraId="7B3767A2">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left"/>
              <w:textAlignment w:val="auto"/>
              <w:outlineLvl w:val="9"/>
              <w:rPr>
                <w:rFonts w:hint="eastAsia" w:ascii="宋体" w:hAnsi="宋体" w:eastAsia="宋体" w:cs="宋体"/>
                <w:color w:val="auto"/>
                <w:w w:val="100"/>
                <w:sz w:val="21"/>
                <w:szCs w:val="21"/>
                <w:highlight w:val="none"/>
                <w:lang w:val="en-US" w:eastAsia="zh-CN"/>
              </w:rPr>
            </w:pPr>
            <w:r>
              <w:rPr>
                <w:rFonts w:hint="eastAsia" w:ascii="宋体" w:hAnsi="宋体" w:eastAsia="宋体" w:cs="宋体"/>
                <w:b/>
                <w:bCs/>
                <w:color w:val="auto"/>
                <w:w w:val="100"/>
                <w:sz w:val="21"/>
                <w:szCs w:val="21"/>
                <w:highlight w:val="none"/>
                <w:lang w:val="en-US" w:eastAsia="zh-CN"/>
              </w:rPr>
              <w:t>注：以上人员要求须</w:t>
            </w:r>
            <w:r>
              <w:rPr>
                <w:rFonts w:hint="default" w:ascii="宋体" w:hAnsi="宋体" w:eastAsia="宋体" w:cs="宋体"/>
                <w:b/>
                <w:bCs/>
                <w:color w:val="auto"/>
                <w:w w:val="100"/>
                <w:sz w:val="21"/>
                <w:szCs w:val="21"/>
                <w:highlight w:val="none"/>
                <w:lang w:val="en-US" w:eastAsia="zh-CN"/>
              </w:rPr>
              <w:t>提供</w:t>
            </w:r>
            <w:r>
              <w:rPr>
                <w:rFonts w:hint="eastAsia" w:ascii="宋体" w:hAnsi="宋体" w:eastAsia="宋体" w:cs="宋体"/>
                <w:b/>
                <w:bCs/>
                <w:color w:val="auto"/>
                <w:w w:val="100"/>
                <w:sz w:val="21"/>
                <w:szCs w:val="21"/>
                <w:highlight w:val="none"/>
                <w:lang w:val="en-US" w:eastAsia="zh-CN"/>
              </w:rPr>
              <w:t>职称</w:t>
            </w:r>
            <w:r>
              <w:rPr>
                <w:rFonts w:hint="default" w:ascii="宋体" w:hAnsi="宋体" w:eastAsia="宋体" w:cs="宋体"/>
                <w:b/>
                <w:bCs/>
                <w:color w:val="auto"/>
                <w:w w:val="100"/>
                <w:sz w:val="21"/>
                <w:szCs w:val="21"/>
                <w:highlight w:val="none"/>
                <w:lang w:val="en-US" w:eastAsia="zh-CN"/>
              </w:rPr>
              <w:t>证书</w:t>
            </w:r>
            <w:r>
              <w:rPr>
                <w:rFonts w:hint="eastAsia" w:ascii="宋体" w:hAnsi="宋体" w:eastAsia="宋体" w:cs="宋体"/>
                <w:b/>
                <w:bCs/>
                <w:color w:val="auto"/>
                <w:w w:val="100"/>
                <w:sz w:val="21"/>
                <w:szCs w:val="21"/>
                <w:highlight w:val="none"/>
                <w:lang w:val="en-US" w:eastAsia="zh-CN"/>
              </w:rPr>
              <w:t>、注册证书</w:t>
            </w:r>
            <w:r>
              <w:rPr>
                <w:rFonts w:hint="default" w:ascii="宋体" w:hAnsi="宋体" w:eastAsia="宋体" w:cs="宋体"/>
                <w:b/>
                <w:bCs/>
                <w:color w:val="auto"/>
                <w:w w:val="100"/>
                <w:sz w:val="21"/>
                <w:szCs w:val="21"/>
                <w:highlight w:val="none"/>
                <w:lang w:val="en-US" w:eastAsia="zh-CN"/>
              </w:rPr>
              <w:t>等资料</w:t>
            </w:r>
            <w:r>
              <w:rPr>
                <w:rFonts w:hint="eastAsia" w:ascii="宋体" w:hAnsi="宋体" w:eastAsia="宋体" w:cs="宋体"/>
                <w:b/>
                <w:bCs/>
                <w:color w:val="auto"/>
                <w:w w:val="100"/>
                <w:sz w:val="21"/>
                <w:szCs w:val="21"/>
                <w:highlight w:val="none"/>
                <w:lang w:val="en-US" w:eastAsia="zh-CN"/>
              </w:rPr>
              <w:t>的，应提</w:t>
            </w:r>
            <w:r>
              <w:rPr>
                <w:rFonts w:hint="default" w:ascii="宋体" w:hAnsi="宋体" w:eastAsia="宋体" w:cs="宋体"/>
                <w:b/>
                <w:bCs/>
                <w:color w:val="auto"/>
                <w:w w:val="100"/>
                <w:sz w:val="21"/>
                <w:szCs w:val="21"/>
                <w:highlight w:val="none"/>
                <w:lang w:val="en-US" w:eastAsia="zh-CN"/>
              </w:rPr>
              <w:t>相应资料</w:t>
            </w:r>
            <w:r>
              <w:rPr>
                <w:rFonts w:hint="eastAsia" w:ascii="宋体" w:hAnsi="宋体" w:eastAsia="宋体" w:cs="宋体"/>
                <w:b/>
                <w:bCs/>
                <w:color w:val="auto"/>
                <w:w w:val="100"/>
                <w:sz w:val="21"/>
                <w:szCs w:val="21"/>
                <w:highlight w:val="none"/>
                <w:lang w:val="en-US" w:eastAsia="zh-CN"/>
              </w:rPr>
              <w:t>供</w:t>
            </w:r>
            <w:r>
              <w:rPr>
                <w:rFonts w:hint="default" w:ascii="宋体" w:hAnsi="宋体" w:eastAsia="宋体" w:cs="宋体"/>
                <w:b/>
                <w:bCs/>
                <w:color w:val="auto"/>
                <w:w w:val="100"/>
                <w:sz w:val="21"/>
                <w:szCs w:val="21"/>
                <w:highlight w:val="none"/>
                <w:lang w:val="en-US" w:eastAsia="zh-CN"/>
              </w:rPr>
              <w:t>扫描件加盖供应商</w:t>
            </w:r>
            <w:r>
              <w:rPr>
                <w:rFonts w:hint="eastAsia" w:ascii="宋体" w:hAnsi="宋体" w:eastAsia="宋体" w:cs="宋体"/>
                <w:b/>
                <w:bCs/>
                <w:color w:val="auto"/>
                <w:w w:val="100"/>
                <w:sz w:val="21"/>
                <w:szCs w:val="21"/>
                <w:highlight w:val="none"/>
                <w:lang w:val="en-US" w:eastAsia="zh-CN"/>
              </w:rPr>
              <w:t>公章，最终以评审委员会认定为准。</w:t>
            </w:r>
          </w:p>
        </w:tc>
      </w:tr>
    </w:tbl>
    <w:p w14:paraId="2C92F9FB">
      <w:pPr>
        <w:pStyle w:val="4"/>
        <w:numPr>
          <w:ilvl w:val="1"/>
          <w:numId w:val="0"/>
        </w:numPr>
        <w:bidi w:val="0"/>
        <w:ind w:leftChars="0"/>
        <w:rPr>
          <w:rFonts w:hint="eastAsia"/>
        </w:rPr>
      </w:pPr>
      <w:bookmarkStart w:id="84" w:name="_Toc30479"/>
      <w:r>
        <w:rPr>
          <w:rFonts w:hint="eastAsia"/>
        </w:rPr>
        <w:t>一、评审方法</w:t>
      </w:r>
      <w:bookmarkEnd w:id="84"/>
    </w:p>
    <w:p w14:paraId="65F9E6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1.本项目采用综合评分法。综合评分法，是指响应文件满足磋商文件全部实质性要求且按评审因素的量化指标评审得分最高的供应商为成交候选</w:t>
      </w:r>
      <w:r>
        <w:rPr>
          <w:rFonts w:hint="eastAsia" w:ascii="宋体" w:hAnsi="宋体" w:eastAsia="宋体" w:cs="宋体"/>
          <w:sz w:val="21"/>
          <w:szCs w:val="21"/>
          <w:lang w:val="en-US" w:eastAsia="zh-CN"/>
        </w:rPr>
        <w:t>供应商</w:t>
      </w:r>
      <w:r>
        <w:rPr>
          <w:rFonts w:hint="eastAsia" w:ascii="宋体" w:hAnsi="宋体" w:eastAsia="宋体" w:cs="宋体"/>
          <w:sz w:val="21"/>
          <w:szCs w:val="21"/>
        </w:rPr>
        <w:t>的评审方法。</w:t>
      </w:r>
    </w:p>
    <w:p w14:paraId="4004370A">
      <w:pPr>
        <w:pStyle w:val="4"/>
        <w:numPr>
          <w:ilvl w:val="1"/>
          <w:numId w:val="0"/>
        </w:numPr>
        <w:bidi w:val="0"/>
        <w:ind w:leftChars="0"/>
        <w:rPr>
          <w:rFonts w:hint="eastAsia"/>
        </w:rPr>
      </w:pPr>
      <w:bookmarkStart w:id="85" w:name="_Toc9756"/>
      <w:r>
        <w:rPr>
          <w:rFonts w:hint="eastAsia"/>
        </w:rPr>
        <w:t>二、评标标准</w:t>
      </w:r>
      <w:bookmarkEnd w:id="85"/>
    </w:p>
    <w:p w14:paraId="27599B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2.评标标准：见评标办法前附表。</w:t>
      </w:r>
    </w:p>
    <w:p w14:paraId="46479B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宋体" w:hAnsi="宋体" w:eastAsia="宋体" w:cs="宋体"/>
          <w:sz w:val="21"/>
          <w:szCs w:val="21"/>
        </w:rPr>
      </w:pPr>
      <w:bookmarkStart w:id="86" w:name="_Toc22936"/>
      <w:r>
        <w:rPr>
          <w:rFonts w:hint="eastAsia" w:ascii="宋体" w:hAnsi="宋体" w:eastAsia="宋体" w:cs="宋体"/>
          <w:sz w:val="21"/>
          <w:szCs w:val="21"/>
        </w:rPr>
        <w:t>三、磋商小组的组成</w:t>
      </w:r>
      <w:bookmarkEnd w:id="86"/>
    </w:p>
    <w:p w14:paraId="5B385C5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磋商小组的组成。</w:t>
      </w:r>
    </w:p>
    <w:p w14:paraId="5671C0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04DF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2C3871D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磋商小组的组成人员的回避。</w:t>
      </w:r>
    </w:p>
    <w:p w14:paraId="46A013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在政府采购活动中，磋商小组的组成人员与供应商有下列利害关系之一的，应当回避：</w:t>
      </w:r>
    </w:p>
    <w:p w14:paraId="455448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3.2.1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参加采购活动前3年内与供应商存在劳动关系</w:t>
      </w:r>
      <w:r>
        <w:rPr>
          <w:rFonts w:hint="eastAsia" w:ascii="宋体" w:hAnsi="宋体" w:eastAsia="宋体" w:cs="宋体"/>
          <w:sz w:val="21"/>
          <w:szCs w:val="21"/>
          <w:lang w:eastAsia="zh-CN"/>
        </w:rPr>
        <w:t>；</w:t>
      </w:r>
    </w:p>
    <w:p w14:paraId="14CD710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3.2.2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参加采购活动前3年内担任供应商的董事、监事</w:t>
      </w:r>
      <w:r>
        <w:rPr>
          <w:rFonts w:hint="eastAsia" w:ascii="宋体" w:hAnsi="宋体" w:eastAsia="宋体" w:cs="宋体"/>
          <w:sz w:val="21"/>
          <w:szCs w:val="21"/>
          <w:lang w:eastAsia="zh-CN"/>
        </w:rPr>
        <w:t>；</w:t>
      </w:r>
    </w:p>
    <w:p w14:paraId="7BCE1D7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3.2.3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参加采购活动前3年内是供应商的控股股东或者实际控制人</w:t>
      </w:r>
      <w:r>
        <w:rPr>
          <w:rFonts w:hint="eastAsia" w:ascii="宋体" w:hAnsi="宋体" w:eastAsia="宋体" w:cs="宋体"/>
          <w:sz w:val="21"/>
          <w:szCs w:val="21"/>
          <w:lang w:eastAsia="zh-CN"/>
        </w:rPr>
        <w:t>；</w:t>
      </w:r>
    </w:p>
    <w:p w14:paraId="2B836C3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3.2.4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与供应商的法定代表人或者负责人有夫妻、直系血亲、三代以内旁系血亲或者近姻亲关系</w:t>
      </w:r>
      <w:r>
        <w:rPr>
          <w:rFonts w:hint="eastAsia" w:ascii="宋体" w:hAnsi="宋体" w:eastAsia="宋体" w:cs="宋体"/>
          <w:sz w:val="21"/>
          <w:szCs w:val="21"/>
          <w:lang w:eastAsia="zh-CN"/>
        </w:rPr>
        <w:t>；</w:t>
      </w:r>
    </w:p>
    <w:p w14:paraId="1D68D8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3.2.5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与供应商有其他可能影响政府采购活动公平、公正进行的关系。</w:t>
      </w:r>
    </w:p>
    <w:p w14:paraId="45473325">
      <w:pPr>
        <w:pStyle w:val="4"/>
        <w:numPr>
          <w:ilvl w:val="1"/>
          <w:numId w:val="0"/>
        </w:numPr>
        <w:bidi w:val="0"/>
        <w:ind w:leftChars="0"/>
        <w:rPr>
          <w:rFonts w:hint="eastAsia"/>
        </w:rPr>
      </w:pPr>
      <w:bookmarkStart w:id="87" w:name="_Toc11374"/>
      <w:r>
        <w:rPr>
          <w:rFonts w:hint="eastAsia"/>
        </w:rPr>
        <w:t>四、磋商小组的职责</w:t>
      </w:r>
      <w:bookmarkEnd w:id="87"/>
    </w:p>
    <w:p w14:paraId="01E1EB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磋商小组负责具体评审事务，并独立履行下列职责：</w:t>
      </w:r>
    </w:p>
    <w:p w14:paraId="05AFF6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4.1.1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对响应文件的有效性、完整性和响应程度进行审查</w:t>
      </w:r>
      <w:r>
        <w:rPr>
          <w:rFonts w:hint="eastAsia" w:ascii="宋体" w:hAnsi="宋体" w:eastAsia="宋体" w:cs="宋体"/>
          <w:sz w:val="21"/>
          <w:szCs w:val="21"/>
          <w:lang w:eastAsia="zh-CN"/>
        </w:rPr>
        <w:t>；</w:t>
      </w:r>
    </w:p>
    <w:p w14:paraId="4E7A90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4.1.2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审查、评价响应文件是否符合磋商文件的商务、技术等实质性要求</w:t>
      </w:r>
      <w:r>
        <w:rPr>
          <w:rFonts w:hint="eastAsia" w:ascii="宋体" w:hAnsi="宋体" w:eastAsia="宋体" w:cs="宋体"/>
          <w:sz w:val="21"/>
          <w:szCs w:val="21"/>
          <w:lang w:eastAsia="zh-CN"/>
        </w:rPr>
        <w:t>；</w:t>
      </w:r>
    </w:p>
    <w:p w14:paraId="626B26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4.1.3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要求供应商对响应文件有关事项作出澄清、说明或者更正</w:t>
      </w:r>
      <w:r>
        <w:rPr>
          <w:rFonts w:hint="eastAsia" w:ascii="宋体" w:hAnsi="宋体" w:eastAsia="宋体" w:cs="宋体"/>
          <w:sz w:val="21"/>
          <w:szCs w:val="21"/>
          <w:lang w:eastAsia="zh-CN"/>
        </w:rPr>
        <w:t>；</w:t>
      </w:r>
    </w:p>
    <w:p w14:paraId="05E569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4.1.4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磋商小组集中与单一供应商分别进行磋商</w:t>
      </w:r>
      <w:r>
        <w:rPr>
          <w:rFonts w:hint="eastAsia" w:ascii="宋体" w:hAnsi="宋体" w:eastAsia="宋体" w:cs="宋体"/>
          <w:sz w:val="21"/>
          <w:szCs w:val="21"/>
          <w:lang w:eastAsia="zh-CN"/>
        </w:rPr>
        <w:t>；</w:t>
      </w:r>
    </w:p>
    <w:p w14:paraId="03981C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4.1.5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确定磋商文件的变动情况，并确定提交最后报价的供应商</w:t>
      </w:r>
      <w:r>
        <w:rPr>
          <w:rFonts w:hint="eastAsia" w:ascii="宋体" w:hAnsi="宋体" w:eastAsia="宋体" w:cs="宋体"/>
          <w:sz w:val="21"/>
          <w:szCs w:val="21"/>
          <w:lang w:eastAsia="zh-CN"/>
        </w:rPr>
        <w:t>；</w:t>
      </w:r>
    </w:p>
    <w:p w14:paraId="7FCC20B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4.1.6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根据磋商文件确定的评审办法及评审标准对提交最后报价的供应商的响应文件和最后报价采用综合评分法进行综合评分</w:t>
      </w:r>
      <w:r>
        <w:rPr>
          <w:rFonts w:hint="eastAsia" w:ascii="宋体" w:hAnsi="宋体" w:eastAsia="宋体" w:cs="宋体"/>
          <w:sz w:val="21"/>
          <w:szCs w:val="21"/>
          <w:lang w:eastAsia="zh-CN"/>
        </w:rPr>
        <w:t>；</w:t>
      </w:r>
    </w:p>
    <w:p w14:paraId="490237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4.1.7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编制评审报告，确定成交候选人名单，以及根据采购人委托直接确定成交人</w:t>
      </w:r>
      <w:r>
        <w:rPr>
          <w:rFonts w:hint="eastAsia" w:ascii="宋体" w:hAnsi="宋体" w:eastAsia="宋体" w:cs="宋体"/>
          <w:sz w:val="21"/>
          <w:szCs w:val="21"/>
          <w:lang w:eastAsia="zh-CN"/>
        </w:rPr>
        <w:t>；</w:t>
      </w:r>
    </w:p>
    <w:p w14:paraId="5C3923B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4.1.8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向采购人、采购代理机构或者有关部门报告评审中发现的违法行为</w:t>
      </w:r>
      <w:r>
        <w:rPr>
          <w:rFonts w:hint="eastAsia" w:ascii="宋体" w:hAnsi="宋体" w:eastAsia="宋体" w:cs="宋体"/>
          <w:sz w:val="21"/>
          <w:szCs w:val="21"/>
          <w:lang w:eastAsia="zh-CN"/>
        </w:rPr>
        <w:t>；</w:t>
      </w:r>
    </w:p>
    <w:p w14:paraId="1CD6089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4.1.9</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法律、法规、规章、磋商文件等规定的其它事项。</w:t>
      </w:r>
    </w:p>
    <w:p w14:paraId="1C15D0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磋商小组及其成员不得有下列行为：</w:t>
      </w:r>
    </w:p>
    <w:p w14:paraId="1D83C4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4.2.1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确定参与本项目至评审结束前私自接触供应商</w:t>
      </w:r>
      <w:r>
        <w:rPr>
          <w:rFonts w:hint="eastAsia" w:ascii="宋体" w:hAnsi="宋体" w:eastAsia="宋体" w:cs="宋体"/>
          <w:sz w:val="21"/>
          <w:szCs w:val="21"/>
          <w:lang w:eastAsia="zh-CN"/>
        </w:rPr>
        <w:t>；</w:t>
      </w:r>
    </w:p>
    <w:p w14:paraId="5C49CF9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接受供应商提出的“超出响应文件的范围或者改变响应文件的实质性内容”的澄清、说明或者更正</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722864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4.2.3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违反评审纪律发表倾向性意见或者征询采购人的倾向性意见</w:t>
      </w:r>
      <w:r>
        <w:rPr>
          <w:rFonts w:hint="eastAsia" w:ascii="宋体" w:hAnsi="宋体" w:eastAsia="宋体" w:cs="宋体"/>
          <w:sz w:val="21"/>
          <w:szCs w:val="21"/>
          <w:lang w:eastAsia="zh-CN"/>
        </w:rPr>
        <w:t>；</w:t>
      </w:r>
    </w:p>
    <w:p w14:paraId="4592198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4.2.4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对需要专业判断的主观评审因素协商评分</w:t>
      </w:r>
      <w:r>
        <w:rPr>
          <w:rFonts w:hint="eastAsia" w:ascii="宋体" w:hAnsi="宋体" w:eastAsia="宋体" w:cs="宋体"/>
          <w:sz w:val="21"/>
          <w:szCs w:val="21"/>
          <w:lang w:eastAsia="zh-CN"/>
        </w:rPr>
        <w:t>；</w:t>
      </w:r>
    </w:p>
    <w:p w14:paraId="2F7432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4.2.5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在评审过程中擅离职守，影响评审程序正常进行的</w:t>
      </w:r>
      <w:r>
        <w:rPr>
          <w:rFonts w:hint="eastAsia" w:ascii="宋体" w:hAnsi="宋体" w:eastAsia="宋体" w:cs="宋体"/>
          <w:sz w:val="21"/>
          <w:szCs w:val="21"/>
          <w:lang w:eastAsia="zh-CN"/>
        </w:rPr>
        <w:t>；</w:t>
      </w:r>
    </w:p>
    <w:p w14:paraId="397637F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4.2.6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记录、复制或者带走任何评审资料</w:t>
      </w:r>
      <w:r>
        <w:rPr>
          <w:rFonts w:hint="eastAsia" w:ascii="宋体" w:hAnsi="宋体" w:eastAsia="宋体" w:cs="宋体"/>
          <w:sz w:val="21"/>
          <w:szCs w:val="21"/>
          <w:lang w:eastAsia="zh-CN"/>
        </w:rPr>
        <w:t>；</w:t>
      </w:r>
    </w:p>
    <w:p w14:paraId="4F6E935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4.2.7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其他不遵守评审纪律的行为。</w:t>
      </w:r>
    </w:p>
    <w:p w14:paraId="550946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磋商小组成员有4.2.1-4.2.5行为之一的，其评审意见无效，并不得获取评审劳务报酬和报销异地评审差旅费。</w:t>
      </w:r>
    </w:p>
    <w:p w14:paraId="1336B194">
      <w:pPr>
        <w:pStyle w:val="4"/>
        <w:numPr>
          <w:ilvl w:val="1"/>
          <w:numId w:val="0"/>
        </w:numPr>
        <w:bidi w:val="0"/>
        <w:ind w:leftChars="0"/>
        <w:rPr>
          <w:rFonts w:hint="eastAsia"/>
        </w:rPr>
      </w:pPr>
      <w:bookmarkStart w:id="88" w:name="_Toc7804"/>
      <w:r>
        <w:rPr>
          <w:rFonts w:hint="eastAsia"/>
        </w:rPr>
        <w:t>五、评审程序</w:t>
      </w:r>
      <w:bookmarkEnd w:id="88"/>
    </w:p>
    <w:p w14:paraId="6A73EC6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详见磋商文件“第二部分 竞争性磋商流程”。</w:t>
      </w:r>
    </w:p>
    <w:p w14:paraId="151B5774">
      <w:pPr>
        <w:pStyle w:val="4"/>
        <w:numPr>
          <w:ilvl w:val="1"/>
          <w:numId w:val="0"/>
        </w:numPr>
        <w:bidi w:val="0"/>
        <w:ind w:leftChars="0"/>
        <w:rPr>
          <w:rFonts w:hint="eastAsia"/>
        </w:rPr>
      </w:pPr>
      <w:bookmarkStart w:id="89" w:name="_Toc12619"/>
      <w:r>
        <w:rPr>
          <w:rFonts w:hint="eastAsia"/>
        </w:rPr>
        <w:t>六、评标中的其他事项</w:t>
      </w:r>
      <w:bookmarkEnd w:id="89"/>
    </w:p>
    <w:p w14:paraId="24D85E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响应文件的澄清</w:t>
      </w:r>
    </w:p>
    <w:p w14:paraId="75AC2A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BBCE3B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最后报价的修正原则</w:t>
      </w:r>
    </w:p>
    <w:p w14:paraId="56342A8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磋商小组对响应文件的最后报价进行审核，对发现计算、书写等错误的，按以下原则进行修正：</w:t>
      </w:r>
    </w:p>
    <w:p w14:paraId="5134FFB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《最后报价一览表》内容与响应文件中响应内容不一致的，以《最后报价一览表》为准;</w:t>
      </w:r>
    </w:p>
    <w:p w14:paraId="4589633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大写金额和小写金额不一致的，以大写金额为准;</w:t>
      </w:r>
    </w:p>
    <w:p w14:paraId="290B40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单价金额小数点或者百分比有明显错位的，以《最后报价一览表》的总价为准，并修改单价;</w:t>
      </w:r>
    </w:p>
    <w:p w14:paraId="2B214F5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总价金额与按单价汇总金额不一致的，以单价金额计算结果为准。</w:t>
      </w:r>
    </w:p>
    <w:p w14:paraId="3A48555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同时出现两种以上不一致的，按照前款规定的顺序修正。</w:t>
      </w:r>
    </w:p>
    <w:p w14:paraId="06563A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6.2.6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以修正后的总价作为最后报价。</w:t>
      </w:r>
    </w:p>
    <w:p w14:paraId="5F560C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▲供应商对根据修正原则修正后的最后报价不确认的，响应无效。</w:t>
      </w:r>
    </w:p>
    <w:p w14:paraId="15260F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响应无效</w:t>
      </w:r>
    </w:p>
    <w:p w14:paraId="10E068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有下列情况之一的，响应无效：</w:t>
      </w:r>
    </w:p>
    <w:p w14:paraId="0064A34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6.3.1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供应商不具备磋商文件中规定的资格要求的（供应商未提供有效的资格</w:t>
      </w:r>
      <w:r>
        <w:rPr>
          <w:rFonts w:hint="eastAsia" w:ascii="宋体" w:hAnsi="宋体" w:eastAsia="宋体" w:cs="宋体"/>
          <w:sz w:val="21"/>
          <w:szCs w:val="21"/>
          <w:lang w:val="en-US" w:eastAsia="zh-CN"/>
        </w:rPr>
        <w:t>说明</w:t>
      </w:r>
      <w:r>
        <w:rPr>
          <w:rFonts w:hint="eastAsia" w:ascii="宋体" w:hAnsi="宋体" w:eastAsia="宋体" w:cs="宋体"/>
          <w:sz w:val="21"/>
          <w:szCs w:val="21"/>
        </w:rPr>
        <w:t>文件的，视为供应商不具备磋商文件中规定的资格要求）</w:t>
      </w:r>
      <w:r>
        <w:rPr>
          <w:rFonts w:hint="eastAsia" w:ascii="宋体" w:hAnsi="宋体" w:eastAsia="宋体" w:cs="宋体"/>
          <w:sz w:val="21"/>
          <w:szCs w:val="21"/>
          <w:lang w:eastAsia="zh-CN"/>
        </w:rPr>
        <w:t>；</w:t>
      </w:r>
    </w:p>
    <w:p w14:paraId="27128F8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6.3.2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响应文件未按照磋商文件要求签署、盖章的</w:t>
      </w:r>
      <w:r>
        <w:rPr>
          <w:rFonts w:hint="eastAsia" w:ascii="宋体" w:hAnsi="宋体" w:eastAsia="宋体" w:cs="宋体"/>
          <w:sz w:val="21"/>
          <w:szCs w:val="21"/>
          <w:lang w:eastAsia="zh-CN"/>
        </w:rPr>
        <w:t>；</w:t>
      </w:r>
    </w:p>
    <w:p w14:paraId="534823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6.3.3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采购人拟采购的产品属于政府强制采购的节能产品品目清单范围的，供应商未按磋商文件要求提供国家确定的认证机构出具的、处于有效期之内的节能产品认证证书的</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2ADC86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6.3.4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响应文件含有采购人不能接受的附加条件的</w:t>
      </w:r>
      <w:r>
        <w:rPr>
          <w:rFonts w:hint="eastAsia" w:ascii="宋体" w:hAnsi="宋体" w:eastAsia="宋体" w:cs="宋体"/>
          <w:sz w:val="21"/>
          <w:szCs w:val="21"/>
          <w:lang w:eastAsia="zh-CN"/>
        </w:rPr>
        <w:t>；</w:t>
      </w:r>
    </w:p>
    <w:p w14:paraId="215FFA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6.3.5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响应文件中承诺的响应有效期少于磋商文件中载明的响应有效期的</w:t>
      </w:r>
      <w:r>
        <w:rPr>
          <w:rFonts w:hint="eastAsia" w:ascii="宋体" w:hAnsi="宋体" w:eastAsia="宋体" w:cs="宋体"/>
          <w:sz w:val="21"/>
          <w:szCs w:val="21"/>
          <w:lang w:eastAsia="zh-CN"/>
        </w:rPr>
        <w:t>；</w:t>
      </w:r>
    </w:p>
    <w:p w14:paraId="052180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6.3.6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所提交的《最后报价一览表》中出现不是唯一的、有选择性的报价的;</w:t>
      </w:r>
    </w:p>
    <w:p w14:paraId="0870BE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6.3.7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最后报价高于本项目采购预算或者最高限价的;</w:t>
      </w:r>
    </w:p>
    <w:p w14:paraId="1B1FE1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6.3.8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最后报价明显低于其他供应商的最后报价，有可能影响产品质量或者不能诚信履约的，未能按要求提供书面说明或者提交相关</w:t>
      </w:r>
      <w:r>
        <w:rPr>
          <w:rFonts w:hint="eastAsia" w:ascii="宋体" w:hAnsi="宋体" w:eastAsia="宋体" w:cs="宋体"/>
          <w:sz w:val="21"/>
          <w:szCs w:val="21"/>
          <w:lang w:eastAsia="zh-CN"/>
        </w:rPr>
        <w:t>说明</w:t>
      </w:r>
      <w:r>
        <w:rPr>
          <w:rFonts w:hint="eastAsia" w:ascii="宋体" w:hAnsi="宋体" w:eastAsia="宋体" w:cs="宋体"/>
          <w:sz w:val="21"/>
          <w:szCs w:val="21"/>
        </w:rPr>
        <w:t>材料，不能</w:t>
      </w:r>
      <w:r>
        <w:rPr>
          <w:rFonts w:hint="eastAsia" w:ascii="宋体" w:hAnsi="宋体" w:eastAsia="宋体" w:cs="宋体"/>
          <w:sz w:val="21"/>
          <w:szCs w:val="21"/>
          <w:lang w:eastAsia="zh-CN"/>
        </w:rPr>
        <w:t>说明</w:t>
      </w:r>
      <w:r>
        <w:rPr>
          <w:rFonts w:hint="eastAsia" w:ascii="宋体" w:hAnsi="宋体" w:eastAsia="宋体" w:cs="宋体"/>
          <w:sz w:val="21"/>
          <w:szCs w:val="21"/>
        </w:rPr>
        <w:t>其报价合理性的;</w:t>
      </w:r>
    </w:p>
    <w:p w14:paraId="662B14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6.3.9</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《最后报价一览表》填写不完整或字迹不能辨认或有漏项的</w:t>
      </w:r>
      <w:r>
        <w:rPr>
          <w:rFonts w:hint="eastAsia" w:ascii="宋体" w:hAnsi="宋体" w:eastAsia="宋体" w:cs="宋体"/>
          <w:sz w:val="21"/>
          <w:szCs w:val="21"/>
          <w:lang w:eastAsia="zh-CN"/>
        </w:rPr>
        <w:t>；</w:t>
      </w:r>
    </w:p>
    <w:p w14:paraId="334869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6.3.10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供应商对根据修正原则修正后的最后报价不确认的</w:t>
      </w:r>
      <w:r>
        <w:rPr>
          <w:rFonts w:hint="eastAsia" w:ascii="宋体" w:hAnsi="宋体" w:eastAsia="宋体" w:cs="宋体"/>
          <w:sz w:val="21"/>
          <w:szCs w:val="21"/>
          <w:lang w:eastAsia="zh-CN"/>
        </w:rPr>
        <w:t>；</w:t>
      </w:r>
    </w:p>
    <w:p w14:paraId="3A96CF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6.3.11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供应商提供虚假材料响应的（包括但不限于以下情节）</w:t>
      </w:r>
      <w:r>
        <w:rPr>
          <w:rFonts w:hint="eastAsia" w:ascii="宋体" w:hAnsi="宋体" w:eastAsia="宋体" w:cs="宋体"/>
          <w:sz w:val="21"/>
          <w:szCs w:val="21"/>
          <w:lang w:eastAsia="zh-CN"/>
        </w:rPr>
        <w:t>；</w:t>
      </w:r>
    </w:p>
    <w:p w14:paraId="167CB58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6.3.12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供应商有恶意串通、妨碍其他供应商的竞争行为、损害采购人或者其他供应商的合法权益情形的。</w:t>
      </w:r>
    </w:p>
    <w:p w14:paraId="0ABFD3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6.3.13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供应商仅提交备份响应文件，没有在电子交易平台传输提交响应文件的，响应无效</w:t>
      </w:r>
      <w:r>
        <w:rPr>
          <w:rFonts w:hint="eastAsia" w:ascii="宋体" w:hAnsi="宋体" w:eastAsia="宋体" w:cs="宋体"/>
          <w:sz w:val="21"/>
          <w:szCs w:val="21"/>
          <w:lang w:eastAsia="zh-CN"/>
        </w:rPr>
        <w:t>；</w:t>
      </w:r>
    </w:p>
    <w:p w14:paraId="4E95A7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6.3.14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响应文件不满足磋商文件的其它实质性要求的</w:t>
      </w:r>
      <w:r>
        <w:rPr>
          <w:rFonts w:hint="eastAsia" w:ascii="宋体" w:hAnsi="宋体" w:eastAsia="宋体" w:cs="宋体"/>
          <w:sz w:val="21"/>
          <w:szCs w:val="21"/>
          <w:lang w:eastAsia="zh-CN"/>
        </w:rPr>
        <w:t>；</w:t>
      </w:r>
    </w:p>
    <w:p w14:paraId="6DDB5F2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6.3.15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法律、法规、规章（适用本市的）及省级以上规范性文件（适用本市的）规定的其他无效情形。</w:t>
      </w:r>
    </w:p>
    <w:p w14:paraId="4F5CB6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重新开展采购活动</w:t>
      </w:r>
    </w:p>
    <w:p w14:paraId="3FD5576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出现下列情形之一的，采购代理机构应当终止竞争性磋商采购活动，通过电子交易平台发布项目终止公告并说明原因，重新开展采购活动：</w:t>
      </w:r>
    </w:p>
    <w:p w14:paraId="39704FD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6.4.1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因情况变化，不再符合规定的竞争性磋商采购方式适用情形的</w:t>
      </w:r>
      <w:r>
        <w:rPr>
          <w:rFonts w:hint="eastAsia" w:ascii="宋体" w:hAnsi="宋体" w:eastAsia="宋体" w:cs="宋体"/>
          <w:sz w:val="21"/>
          <w:szCs w:val="21"/>
          <w:lang w:eastAsia="zh-CN"/>
        </w:rPr>
        <w:t>；</w:t>
      </w:r>
    </w:p>
    <w:p w14:paraId="7F3B7A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6.4.2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出现影响采购公正的违法、违规行为的</w:t>
      </w:r>
      <w:r>
        <w:rPr>
          <w:rFonts w:hint="eastAsia" w:ascii="宋体" w:hAnsi="宋体" w:eastAsia="宋体" w:cs="宋体"/>
          <w:sz w:val="21"/>
          <w:szCs w:val="21"/>
          <w:lang w:eastAsia="zh-CN"/>
        </w:rPr>
        <w:t>；</w:t>
      </w:r>
    </w:p>
    <w:p w14:paraId="4C8CA1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6.4.3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在采购过程中符合要求的供应商或者最后报价未超过采购预算的供应商不足3家的（有特殊规定的从其规定）。</w:t>
      </w:r>
    </w:p>
    <w:p w14:paraId="53ABC7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终止采购活动</w:t>
      </w:r>
    </w:p>
    <w:p w14:paraId="617D22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在采购活动中因重大变故，采购任务取消的，采购代理机构将终止采购活动，通过电子交易平台通知所有参加采购活动的供应商，并将项目实施情况和采购任务取消原因报送本级财政部门。</w:t>
      </w:r>
    </w:p>
    <w:p w14:paraId="152A7E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采购代理机构有权对磋商小组各成员的评分情况和评审意见进行合理性和合规性审查，如发现磋商小组成员的评审意见带有明显倾向性，或不按规定程序和标准评审、计分的，磋商小组成员应进行书面澄清和说明</w:t>
      </w:r>
      <w:r>
        <w:rPr>
          <w:rFonts w:hint="eastAsia" w:ascii="宋体" w:hAnsi="宋体" w:eastAsia="宋体" w:cs="宋体"/>
          <w:sz w:val="21"/>
          <w:szCs w:val="21"/>
          <w:lang w:eastAsia="zh-CN"/>
        </w:rPr>
        <w:t>；</w:t>
      </w:r>
      <w:r>
        <w:rPr>
          <w:rFonts w:hint="eastAsia" w:ascii="宋体" w:hAnsi="宋体" w:eastAsia="宋体" w:cs="宋体"/>
          <w:sz w:val="21"/>
          <w:szCs w:val="21"/>
        </w:rPr>
        <w:t>磋商小组成员拒不接受采购代理机构审查的，采购代理机构将向同级政府采购监督管理部门报告并予以处理。</w:t>
      </w:r>
    </w:p>
    <w:p w14:paraId="566EE5E1">
      <w:pPr>
        <w:pStyle w:val="4"/>
        <w:numPr>
          <w:ilvl w:val="1"/>
          <w:numId w:val="0"/>
        </w:numPr>
        <w:bidi w:val="0"/>
        <w:ind w:leftChars="0"/>
        <w:rPr>
          <w:rFonts w:hint="eastAsia"/>
        </w:rPr>
      </w:pPr>
      <w:bookmarkStart w:id="90" w:name="_Toc997"/>
      <w:r>
        <w:rPr>
          <w:rFonts w:hint="eastAsia"/>
        </w:rPr>
        <w:t>七、评审过程的保密与录像</w:t>
      </w:r>
      <w:bookmarkEnd w:id="90"/>
    </w:p>
    <w:p w14:paraId="0A206D3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保密。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0F065E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录音录像。采购代理机构对评审工作现场进行全过程录音录像，录音录像资料作为采购项目文件随其他文件一并存档。</w:t>
      </w:r>
    </w:p>
    <w:p w14:paraId="12F428D7">
      <w:pPr>
        <w:pStyle w:val="4"/>
        <w:numPr>
          <w:ilvl w:val="1"/>
          <w:numId w:val="0"/>
        </w:numPr>
        <w:bidi w:val="0"/>
        <w:ind w:leftChars="0"/>
        <w:rPr>
          <w:rFonts w:hint="eastAsia"/>
          <w:lang w:val="en-US" w:eastAsia="zh-CN"/>
        </w:rPr>
      </w:pPr>
      <w:bookmarkStart w:id="91" w:name="_Toc22837"/>
      <w:r>
        <w:rPr>
          <w:rFonts w:hint="eastAsia"/>
          <w:lang w:val="en-US" w:eastAsia="zh-CN"/>
        </w:rPr>
        <w:t>八、评审纪律和要求</w:t>
      </w:r>
      <w:bookmarkEnd w:id="91"/>
    </w:p>
    <w:p w14:paraId="584B266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1.评审专家必须公平、公正评审，遵纪守法，客观、廉洁地履行职责。</w:t>
      </w:r>
    </w:p>
    <w:p w14:paraId="5BED5ED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2.评审专家在评审开始前，应关闭并上交随身携带的各种通信工具。</w:t>
      </w:r>
    </w:p>
    <w:p w14:paraId="67838D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3.评审专家在评审过程中，未经许可不得中途离开评审现场，不得迟到早退。</w:t>
      </w:r>
    </w:p>
    <w:p w14:paraId="05FA72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4.评审专家和工作人员不得透露评审过程中的讨论情况和评审结果。</w:t>
      </w:r>
    </w:p>
    <w:p w14:paraId="753C13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5.评审时，</w:t>
      </w:r>
      <w:r>
        <w:rPr>
          <w:rFonts w:hint="eastAsia" w:ascii="宋体" w:hAnsi="宋体" w:eastAsia="宋体" w:cs="宋体"/>
          <w:sz w:val="21"/>
          <w:szCs w:val="21"/>
          <w:lang w:val="en-US" w:eastAsia="zh-CN"/>
        </w:rPr>
        <w:t>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1951C68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6.采购人、采购代理机构不得向评审委员会的评审专家作倾向性、误导性的解释或者说明。</w:t>
      </w:r>
    </w:p>
    <w:p w14:paraId="125FB1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2E9C7F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8.评审专家在评审过程中不得将自己的观点强加给其他评审专家，评审专家应自主发表见解，对评审意见承担个人责任。</w:t>
      </w:r>
    </w:p>
    <w:p w14:paraId="7B79CA2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306FD7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10.评审专家应当独立、客观、公正地提出评审意见，不得带有倾向性，不得影响其他评审专家评审，并在评审报告上签字；如对评审报告有异议的，可在报告上签署不同意见，并说明理由，否则将视为同意。</w:t>
      </w:r>
    </w:p>
    <w:p w14:paraId="60B68D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11.评审专家应当遵守评审工作纪律，不得泄露评审文件、评审情况和评审中获悉的商业秘密。</w:t>
      </w:r>
    </w:p>
    <w:p w14:paraId="1C45A26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评审委员会在评审过程中发现投标人有行贿、提供虚假材料或者串通等违法行为的，应当及时向财政部门报告。</w:t>
      </w:r>
    </w:p>
    <w:p w14:paraId="31BC6D8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12.招标文件内容违反国家有关强制性规定的，评审委员会应当停止评审并向采购代理机构说明情况。</w:t>
      </w:r>
    </w:p>
    <w:p w14:paraId="5A8AB8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13.评审专家应当配合采购代理机构答复投标人提出的质疑。</w:t>
      </w:r>
    </w:p>
    <w:p w14:paraId="7D25D91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14.评审专家应当配合财政部门的投诉处理工作。</w:t>
      </w:r>
    </w:p>
    <w:p w14:paraId="044C26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15.评审专家有如下行为之一的，责令改正，给予警告，可以并处一千元以下的罚款：</w:t>
      </w:r>
    </w:p>
    <w:p w14:paraId="2E43F76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①明知应当回避而未主动回避的；</w:t>
      </w:r>
    </w:p>
    <w:p w14:paraId="0F53027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②在得知自己为评审专家身份后至评审结束前时段内私下接触投标人的；</w:t>
      </w:r>
    </w:p>
    <w:p w14:paraId="59D9A7C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③在评审过程中擅离职守，影响评审程序正常进行的；</w:t>
      </w:r>
    </w:p>
    <w:p w14:paraId="57954D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④在评审过程有明显不合理或者不正当倾向性的；</w:t>
      </w:r>
    </w:p>
    <w:p w14:paraId="5B3141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⑤未按招标文件规定的评审方法和标准进行评审的。</w:t>
      </w:r>
    </w:p>
    <w:p w14:paraId="7829E4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⑥上述①至⑤行为影响中标结果的，中标结果无效。</w:t>
      </w:r>
    </w:p>
    <w:p w14:paraId="52C18B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8B110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政府采购评审专家与投标人存在利害关系未回避的，处2万元以上5万元以下的罚款，禁止其参加政府采购评审活动。</w:t>
      </w:r>
    </w:p>
    <w:p w14:paraId="4BF2BAA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政府采购评审专家收受采购人、采购代理机构、投标人贿赂或者获取其他不正当利益，构成犯罪的，依法追究刑事责任；尚不构成犯罪的，处2万元以上5万元以下的罚款，禁止其参加政府采购评审活动。</w:t>
      </w:r>
    </w:p>
    <w:p w14:paraId="110A0B2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政府采购评审专家有上述违法行为的，其评审意见无效，不得获取评审费；有违法所得的，没收违法所得；给他人造成损失的，依法承担民事责任。</w:t>
      </w:r>
    </w:p>
    <w:p w14:paraId="07ED46E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bookmarkStart w:id="92" w:name="_Toc306883934"/>
      <w:bookmarkStart w:id="93" w:name="_Toc309034225"/>
      <w:r>
        <w:rPr>
          <w:rFonts w:hint="eastAsia" w:ascii="宋体" w:hAnsi="宋体" w:eastAsia="宋体" w:cs="宋体"/>
          <w:sz w:val="21"/>
          <w:szCs w:val="21"/>
        </w:rPr>
        <w:br w:type="page"/>
      </w:r>
    </w:p>
    <w:p w14:paraId="544E0ADD">
      <w:pPr>
        <w:pStyle w:val="3"/>
        <w:bidi w:val="0"/>
        <w:rPr>
          <w:rFonts w:hint="eastAsia"/>
        </w:rPr>
      </w:pPr>
      <w:bookmarkStart w:id="94" w:name="_Toc26457"/>
      <w:r>
        <w:rPr>
          <w:rFonts w:hint="eastAsia"/>
          <w:lang w:val="en-US" w:eastAsia="zh-CN"/>
        </w:rPr>
        <w:t xml:space="preserve">第六部分 </w:t>
      </w:r>
      <w:r>
        <w:rPr>
          <w:rFonts w:hint="eastAsia"/>
        </w:rPr>
        <w:t>拟签订的合同文本</w:t>
      </w:r>
      <w:bookmarkEnd w:id="94"/>
    </w:p>
    <w:bookmarkEnd w:id="92"/>
    <w:bookmarkEnd w:id="93"/>
    <w:p w14:paraId="7256CB9B">
      <w:pPr>
        <w:keepNext w:val="0"/>
        <w:keepLines w:val="0"/>
        <w:pageBreakBefore w:val="0"/>
        <w:widowControl w:val="0"/>
        <w:kinsoku/>
        <w:wordWrap/>
        <w:overflowPunct/>
        <w:topLinePunct w:val="0"/>
        <w:autoSpaceDE/>
        <w:autoSpaceDN/>
        <w:bidi w:val="0"/>
        <w:adjustRightInd/>
        <w:snapToGrid/>
        <w:spacing w:line="440" w:lineRule="exact"/>
        <w:ind w:firstLine="883" w:firstLineChars="200"/>
        <w:jc w:val="center"/>
        <w:textAlignment w:val="auto"/>
        <w:rPr>
          <w:rFonts w:hint="eastAsia" w:ascii="宋体" w:hAnsi="宋体" w:eastAsia="宋体" w:cs="宋体"/>
          <w:b/>
          <w:bCs/>
          <w:sz w:val="44"/>
          <w:szCs w:val="44"/>
          <w:lang w:eastAsia="zh-CN"/>
        </w:rPr>
      </w:pPr>
    </w:p>
    <w:p w14:paraId="731036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eastAsia="zh-CN"/>
        </w:rPr>
      </w:pPr>
      <w:r>
        <w:rPr>
          <w:rFonts w:hint="eastAsia" w:ascii="宋体" w:hAnsi="宋体" w:eastAsia="宋体" w:cs="宋体"/>
          <w:b/>
          <w:bCs/>
          <w:sz w:val="44"/>
          <w:szCs w:val="44"/>
          <w:lang w:eastAsia="zh-CN"/>
        </w:rPr>
        <w:t>浦江县2024年水文设施标准化管理项目</w:t>
      </w:r>
    </w:p>
    <w:p w14:paraId="0CAAA0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618CF93">
      <w:pPr>
        <w:keepNext w:val="0"/>
        <w:keepLines w:val="0"/>
        <w:pageBreakBefore w:val="0"/>
        <w:widowControl w:val="0"/>
        <w:kinsoku/>
        <w:wordWrap/>
        <w:overflowPunct/>
        <w:topLinePunct w:val="0"/>
        <w:autoSpaceDE/>
        <w:autoSpaceDN/>
        <w:bidi w:val="0"/>
        <w:adjustRightInd/>
        <w:snapToGrid/>
        <w:spacing w:line="440" w:lineRule="exact"/>
        <w:ind w:firstLine="800" w:firstLineChars="200"/>
        <w:jc w:val="center"/>
        <w:textAlignment w:val="auto"/>
        <w:rPr>
          <w:rFonts w:hint="eastAsia" w:ascii="宋体" w:hAnsi="宋体" w:eastAsia="宋体" w:cs="宋体"/>
          <w:sz w:val="40"/>
          <w:szCs w:val="40"/>
          <w:lang w:val="en-US" w:eastAsia="zh-CN"/>
        </w:rPr>
      </w:pPr>
    </w:p>
    <w:p w14:paraId="28C9EB60">
      <w:pPr>
        <w:keepNext w:val="0"/>
        <w:keepLines w:val="0"/>
        <w:pageBreakBefore w:val="0"/>
        <w:widowControl w:val="0"/>
        <w:kinsoku/>
        <w:wordWrap/>
        <w:overflowPunct/>
        <w:topLinePunct w:val="0"/>
        <w:autoSpaceDE/>
        <w:autoSpaceDN/>
        <w:bidi w:val="0"/>
        <w:adjustRightInd/>
        <w:snapToGrid/>
        <w:spacing w:line="440" w:lineRule="exact"/>
        <w:ind w:firstLine="800" w:firstLineChars="200"/>
        <w:jc w:val="center"/>
        <w:textAlignment w:val="auto"/>
        <w:rPr>
          <w:rFonts w:hint="eastAsia" w:ascii="宋体" w:hAnsi="宋体" w:eastAsia="宋体" w:cs="宋体"/>
          <w:sz w:val="40"/>
          <w:szCs w:val="40"/>
          <w:lang w:val="en-US" w:eastAsia="zh-CN"/>
        </w:rPr>
      </w:pPr>
    </w:p>
    <w:p w14:paraId="5E6F6FF5">
      <w:pPr>
        <w:keepNext w:val="0"/>
        <w:keepLines w:val="0"/>
        <w:pageBreakBefore w:val="0"/>
        <w:widowControl w:val="0"/>
        <w:kinsoku/>
        <w:wordWrap/>
        <w:overflowPunct/>
        <w:topLinePunct w:val="0"/>
        <w:autoSpaceDE/>
        <w:autoSpaceDN/>
        <w:bidi w:val="0"/>
        <w:adjustRightInd/>
        <w:snapToGrid/>
        <w:spacing w:line="440" w:lineRule="exact"/>
        <w:ind w:firstLine="800" w:firstLineChars="200"/>
        <w:jc w:val="center"/>
        <w:textAlignment w:val="auto"/>
        <w:rPr>
          <w:rFonts w:hint="eastAsia" w:ascii="宋体" w:hAnsi="宋体" w:eastAsia="宋体" w:cs="宋体"/>
          <w:sz w:val="40"/>
          <w:szCs w:val="40"/>
          <w:lang w:val="en-US" w:eastAsia="zh-CN"/>
        </w:rPr>
      </w:pPr>
    </w:p>
    <w:p w14:paraId="5F153717">
      <w:pPr>
        <w:keepNext w:val="0"/>
        <w:keepLines w:val="0"/>
        <w:pageBreakBefore w:val="0"/>
        <w:widowControl w:val="0"/>
        <w:kinsoku/>
        <w:wordWrap/>
        <w:overflowPunct/>
        <w:topLinePunct w:val="0"/>
        <w:autoSpaceDE/>
        <w:autoSpaceDN/>
        <w:bidi w:val="0"/>
        <w:adjustRightInd/>
        <w:snapToGrid/>
        <w:spacing w:line="440" w:lineRule="exact"/>
        <w:ind w:firstLine="800" w:firstLineChars="200"/>
        <w:jc w:val="center"/>
        <w:textAlignment w:val="auto"/>
        <w:rPr>
          <w:rFonts w:hint="eastAsia" w:ascii="宋体" w:hAnsi="宋体" w:eastAsia="宋体" w:cs="宋体"/>
          <w:sz w:val="48"/>
          <w:szCs w:val="48"/>
        </w:rPr>
      </w:pPr>
      <w:r>
        <w:rPr>
          <w:rFonts w:hint="eastAsia" w:ascii="宋体" w:hAnsi="宋体" w:eastAsia="宋体" w:cs="宋体"/>
          <w:sz w:val="40"/>
          <w:szCs w:val="40"/>
          <w:lang w:val="en-US" w:eastAsia="zh-CN"/>
        </w:rPr>
        <w:t>采 购</w:t>
      </w:r>
      <w:r>
        <w:rPr>
          <w:rFonts w:hint="eastAsia" w:ascii="宋体" w:hAnsi="宋体" w:eastAsia="宋体" w:cs="宋体"/>
          <w:sz w:val="40"/>
          <w:szCs w:val="40"/>
        </w:rPr>
        <w:t xml:space="preserve"> 合 同</w:t>
      </w:r>
    </w:p>
    <w:p w14:paraId="3FDA2FF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（合同编号：            ）</w:t>
      </w:r>
    </w:p>
    <w:p w14:paraId="4BD137F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p>
    <w:p w14:paraId="4D267ACA">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p>
    <w:p w14:paraId="43F202FD">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p>
    <w:p w14:paraId="718EC7D1">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p>
    <w:p w14:paraId="52BE223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p>
    <w:p w14:paraId="2B56D1F4">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p>
    <w:p w14:paraId="1D57521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p>
    <w:p w14:paraId="5B974085">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p>
    <w:p w14:paraId="776F472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p>
    <w:p w14:paraId="29BD6E4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p>
    <w:p w14:paraId="27CD4699">
      <w:pPr>
        <w:keepNext w:val="0"/>
        <w:keepLines w:val="0"/>
        <w:pageBreakBefore w:val="0"/>
        <w:widowControl w:val="0"/>
        <w:kinsoku/>
        <w:wordWrap/>
        <w:overflowPunct/>
        <w:topLinePunct w:val="0"/>
        <w:autoSpaceDE/>
        <w:autoSpaceDN/>
        <w:bidi w:val="0"/>
        <w:adjustRightInd/>
        <w:snapToGrid/>
        <w:spacing w:line="440" w:lineRule="exact"/>
        <w:ind w:firstLine="1280" w:firstLineChars="400"/>
        <w:jc w:val="both"/>
        <w:textAlignment w:val="auto"/>
        <w:rPr>
          <w:rFonts w:hint="eastAsia" w:ascii="宋体" w:hAnsi="宋体" w:eastAsia="宋体" w:cs="宋体"/>
          <w:sz w:val="32"/>
          <w:szCs w:val="32"/>
          <w:lang w:eastAsia="zh-CN"/>
        </w:rPr>
      </w:pPr>
      <w:r>
        <w:rPr>
          <w:rFonts w:hint="eastAsia" w:ascii="宋体" w:hAnsi="宋体" w:eastAsia="宋体" w:cs="宋体"/>
          <w:sz w:val="32"/>
          <w:szCs w:val="32"/>
        </w:rPr>
        <w:t>委托方（甲方）：</w:t>
      </w:r>
      <w:r>
        <w:rPr>
          <w:rFonts w:hint="eastAsia" w:ascii="宋体" w:hAnsi="宋体" w:eastAsia="宋体" w:cs="宋体"/>
          <w:sz w:val="32"/>
          <w:szCs w:val="32"/>
          <w:lang w:eastAsia="zh-CN"/>
        </w:rPr>
        <w:t>浦江县水文管理中心</w:t>
      </w:r>
    </w:p>
    <w:p w14:paraId="3297BB78">
      <w:pPr>
        <w:keepNext w:val="0"/>
        <w:keepLines w:val="0"/>
        <w:pageBreakBefore w:val="0"/>
        <w:widowControl w:val="0"/>
        <w:kinsoku/>
        <w:wordWrap/>
        <w:overflowPunct/>
        <w:topLinePunct w:val="0"/>
        <w:autoSpaceDE/>
        <w:autoSpaceDN/>
        <w:bidi w:val="0"/>
        <w:adjustRightInd/>
        <w:snapToGrid/>
        <w:spacing w:line="440" w:lineRule="exact"/>
        <w:ind w:firstLine="1280" w:firstLineChars="400"/>
        <w:jc w:val="both"/>
        <w:textAlignment w:val="auto"/>
        <w:rPr>
          <w:rFonts w:hint="eastAsia" w:ascii="宋体" w:hAnsi="宋体" w:eastAsia="宋体" w:cs="宋体"/>
          <w:sz w:val="32"/>
          <w:szCs w:val="32"/>
        </w:rPr>
      </w:pPr>
      <w:r>
        <w:rPr>
          <w:rFonts w:hint="eastAsia" w:ascii="宋体" w:hAnsi="宋体" w:eastAsia="宋体" w:cs="宋体"/>
          <w:sz w:val="32"/>
          <w:szCs w:val="32"/>
        </w:rPr>
        <w:t>受托方（乙方）：</w:t>
      </w:r>
    </w:p>
    <w:p w14:paraId="78800C3D">
      <w:pPr>
        <w:keepNext w:val="0"/>
        <w:keepLines w:val="0"/>
        <w:pageBreakBefore w:val="0"/>
        <w:widowControl w:val="0"/>
        <w:kinsoku/>
        <w:wordWrap/>
        <w:overflowPunct/>
        <w:topLinePunct w:val="0"/>
        <w:autoSpaceDE/>
        <w:autoSpaceDN/>
        <w:bidi w:val="0"/>
        <w:adjustRightInd/>
        <w:snapToGrid/>
        <w:spacing w:line="440" w:lineRule="exact"/>
        <w:ind w:firstLine="1280" w:firstLineChars="400"/>
        <w:jc w:val="both"/>
        <w:textAlignment w:val="auto"/>
        <w:rPr>
          <w:rFonts w:hint="eastAsia" w:ascii="宋体" w:hAnsi="宋体" w:eastAsia="宋体" w:cs="宋体"/>
          <w:sz w:val="32"/>
          <w:szCs w:val="32"/>
        </w:rPr>
      </w:pPr>
      <w:r>
        <w:rPr>
          <w:rFonts w:hint="eastAsia" w:ascii="宋体" w:hAnsi="宋体" w:eastAsia="宋体" w:cs="宋体"/>
          <w:sz w:val="32"/>
          <w:szCs w:val="32"/>
        </w:rPr>
        <w:t>签订地点：</w:t>
      </w:r>
    </w:p>
    <w:p w14:paraId="38C23336">
      <w:pPr>
        <w:keepNext w:val="0"/>
        <w:keepLines w:val="0"/>
        <w:pageBreakBefore w:val="0"/>
        <w:widowControl w:val="0"/>
        <w:kinsoku/>
        <w:wordWrap/>
        <w:overflowPunct/>
        <w:topLinePunct w:val="0"/>
        <w:autoSpaceDE/>
        <w:autoSpaceDN/>
        <w:bidi w:val="0"/>
        <w:adjustRightInd/>
        <w:snapToGrid/>
        <w:spacing w:line="440" w:lineRule="exact"/>
        <w:ind w:firstLine="1280" w:firstLineChars="400"/>
        <w:jc w:val="both"/>
        <w:textAlignment w:val="auto"/>
        <w:rPr>
          <w:rFonts w:hint="eastAsia" w:ascii="宋体" w:hAnsi="宋体" w:eastAsia="宋体" w:cs="宋体"/>
          <w:sz w:val="32"/>
          <w:szCs w:val="32"/>
        </w:rPr>
      </w:pPr>
      <w:r>
        <w:rPr>
          <w:rFonts w:hint="eastAsia" w:ascii="宋体" w:hAnsi="宋体" w:eastAsia="宋体" w:cs="宋体"/>
          <w:sz w:val="32"/>
          <w:szCs w:val="32"/>
        </w:rPr>
        <w:t>签订日期：     年   月   日</w:t>
      </w:r>
    </w:p>
    <w:p w14:paraId="23F39200">
      <w:pPr>
        <w:bidi w:val="0"/>
        <w:jc w:val="center"/>
        <w:rPr>
          <w:rFonts w:hint="eastAsia" w:ascii="宋体" w:hAnsi="宋体" w:eastAsia="宋体" w:cs="宋体"/>
        </w:rPr>
      </w:pPr>
      <w:r>
        <w:rPr>
          <w:rFonts w:hint="eastAsia" w:ascii="宋体" w:hAnsi="宋体" w:eastAsia="宋体" w:cs="宋体"/>
          <w:szCs w:val="21"/>
        </w:rPr>
        <w:br w:type="page"/>
      </w:r>
      <w:r>
        <w:rPr>
          <w:rFonts w:hint="eastAsia" w:ascii="宋体" w:hAnsi="宋体" w:eastAsia="宋体" w:cs="宋体"/>
          <w:b/>
          <w:bCs/>
          <w:sz w:val="36"/>
          <w:szCs w:val="24"/>
          <w:lang w:val="en-US" w:eastAsia="zh-CN"/>
        </w:rPr>
        <w:t>政府采购合同</w:t>
      </w:r>
    </w:p>
    <w:p w14:paraId="1CBE156E">
      <w:pPr>
        <w:bidi w:val="0"/>
        <w:rPr>
          <w:rFonts w:hint="eastAsia" w:ascii="宋体" w:hAnsi="宋体" w:eastAsia="宋体" w:cs="宋体"/>
          <w:sz w:val="21"/>
          <w:szCs w:val="21"/>
        </w:rPr>
      </w:pPr>
      <w:r>
        <w:rPr>
          <w:rFonts w:hint="eastAsia" w:ascii="宋体" w:hAnsi="宋体" w:eastAsia="宋体" w:cs="宋体"/>
          <w:b/>
          <w:bCs/>
          <w:sz w:val="21"/>
          <w:szCs w:val="21"/>
          <w:lang w:eastAsia="zh-CN"/>
        </w:rPr>
        <w:t>采购人（以下称甲方）</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浦江县水文管理中心</w:t>
      </w:r>
      <w:r>
        <w:rPr>
          <w:rFonts w:hint="eastAsia" w:ascii="宋体" w:hAnsi="宋体" w:eastAsia="宋体" w:cs="宋体"/>
          <w:sz w:val="21"/>
          <w:szCs w:val="21"/>
          <w:lang w:val="en-US" w:eastAsia="zh-CN"/>
        </w:rPr>
        <w:t xml:space="preserve"> </w:t>
      </w:r>
    </w:p>
    <w:p w14:paraId="37B5EA6F">
      <w:pPr>
        <w:bidi w:val="0"/>
        <w:rPr>
          <w:rFonts w:hint="eastAsia" w:ascii="宋体" w:hAnsi="宋体" w:eastAsia="宋体" w:cs="宋体"/>
          <w:sz w:val="21"/>
          <w:szCs w:val="21"/>
          <w:lang w:val="en-US" w:eastAsia="zh-CN"/>
        </w:rPr>
      </w:pPr>
      <w:r>
        <w:rPr>
          <w:rFonts w:hint="eastAsia" w:ascii="宋体" w:hAnsi="宋体" w:eastAsia="宋体" w:cs="宋体"/>
          <w:b/>
          <w:bCs/>
          <w:sz w:val="21"/>
          <w:szCs w:val="21"/>
          <w:lang w:eastAsia="zh-CN"/>
        </w:rPr>
        <w:t>供应商（以下称乙方）</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2DA5B638">
      <w:pPr>
        <w:bidi w:val="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根据《中华人民共和国政府采购法》、《中华人民共和国</w:t>
      </w:r>
      <w:r>
        <w:rPr>
          <w:rFonts w:hint="eastAsia" w:ascii="宋体" w:hAnsi="宋体" w:eastAsia="宋体" w:cs="宋体"/>
          <w:sz w:val="21"/>
          <w:szCs w:val="21"/>
          <w:lang w:eastAsia="zh-CN"/>
        </w:rPr>
        <w:t>民</w:t>
      </w:r>
      <w:r>
        <w:rPr>
          <w:rFonts w:hint="eastAsia" w:ascii="宋体" w:hAnsi="宋体" w:eastAsia="宋体" w:cs="宋体"/>
          <w:sz w:val="21"/>
          <w:szCs w:val="21"/>
        </w:rPr>
        <w:t>法</w:t>
      </w:r>
      <w:r>
        <w:rPr>
          <w:rFonts w:hint="eastAsia" w:ascii="宋体" w:hAnsi="宋体" w:eastAsia="宋体" w:cs="宋体"/>
          <w:sz w:val="21"/>
          <w:szCs w:val="21"/>
          <w:lang w:eastAsia="zh-CN"/>
        </w:rPr>
        <w:t>典</w:t>
      </w:r>
      <w:r>
        <w:rPr>
          <w:rFonts w:hint="eastAsia" w:ascii="宋体" w:hAnsi="宋体" w:eastAsia="宋体" w:cs="宋体"/>
          <w:sz w:val="21"/>
          <w:szCs w:val="21"/>
        </w:rPr>
        <w:t>》等法律法规的规定，甲乙双方按照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浦江县2024年水文设施标准化管理项目</w:t>
      </w:r>
      <w:r>
        <w:rPr>
          <w:rFonts w:hint="eastAsia" w:ascii="宋体" w:hAnsi="宋体" w:eastAsia="宋体" w:cs="宋体"/>
          <w:sz w:val="21"/>
          <w:szCs w:val="21"/>
          <w:lang w:val="en-US" w:eastAsia="zh-CN"/>
        </w:rPr>
        <w:t>（采购项目编号：   ）</w:t>
      </w:r>
      <w:r>
        <w:rPr>
          <w:rFonts w:hint="eastAsia" w:ascii="宋体" w:hAnsi="宋体" w:eastAsia="宋体" w:cs="宋体"/>
          <w:sz w:val="21"/>
          <w:szCs w:val="21"/>
        </w:rPr>
        <w:t>采购结果签订本合同。</w:t>
      </w:r>
    </w:p>
    <w:p w14:paraId="1844CE1F">
      <w:pPr>
        <w:bidi w:val="0"/>
        <w:rPr>
          <w:rFonts w:hint="eastAsia" w:ascii="宋体" w:hAnsi="宋体" w:eastAsia="宋体" w:cs="宋体"/>
          <w:b/>
          <w:bCs/>
          <w:sz w:val="21"/>
          <w:szCs w:val="21"/>
        </w:rPr>
      </w:pPr>
      <w:r>
        <w:rPr>
          <w:rFonts w:hint="eastAsia" w:ascii="宋体" w:hAnsi="宋体" w:eastAsia="宋体" w:cs="宋体"/>
          <w:b/>
          <w:bCs/>
          <w:sz w:val="21"/>
          <w:szCs w:val="21"/>
        </w:rPr>
        <w:t>一、服务内容</w:t>
      </w:r>
    </w:p>
    <w:p w14:paraId="04B07C1E">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1. 服务名称：</w:t>
      </w:r>
    </w:p>
    <w:p w14:paraId="45203859">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2. 服务地址：</w:t>
      </w:r>
    </w:p>
    <w:p w14:paraId="397E6F8B">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3. 服务主要内容：</w:t>
      </w:r>
    </w:p>
    <w:p w14:paraId="2EA48028">
      <w:pPr>
        <w:bidi w:val="0"/>
        <w:rPr>
          <w:rFonts w:hint="eastAsia" w:ascii="宋体" w:hAnsi="宋体" w:eastAsia="宋体" w:cs="宋体"/>
          <w:b/>
          <w:bCs/>
          <w:sz w:val="21"/>
          <w:szCs w:val="21"/>
        </w:rPr>
      </w:pPr>
      <w:r>
        <w:rPr>
          <w:rFonts w:hint="eastAsia" w:ascii="宋体" w:hAnsi="宋体" w:eastAsia="宋体" w:cs="宋体"/>
          <w:b/>
          <w:bCs/>
          <w:sz w:val="21"/>
          <w:szCs w:val="21"/>
        </w:rPr>
        <w:t>二、合同金额</w:t>
      </w:r>
    </w:p>
    <w:p w14:paraId="280DB7E8">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本合同金额为（大写）：___________________元（￥_______________元）人民币。</w:t>
      </w:r>
    </w:p>
    <w:p w14:paraId="241519C2">
      <w:pPr>
        <w:bidi w:val="0"/>
        <w:rPr>
          <w:rFonts w:hint="eastAsia" w:ascii="宋体" w:hAnsi="宋体" w:eastAsia="宋体" w:cs="宋体"/>
          <w:b/>
          <w:bCs/>
          <w:sz w:val="21"/>
          <w:szCs w:val="21"/>
        </w:rPr>
      </w:pPr>
      <w:r>
        <w:rPr>
          <w:rFonts w:hint="eastAsia" w:ascii="宋体" w:hAnsi="宋体" w:eastAsia="宋体" w:cs="宋体"/>
          <w:b/>
          <w:bCs/>
          <w:sz w:val="21"/>
          <w:szCs w:val="21"/>
        </w:rPr>
        <w:t>三、技术资料</w:t>
      </w:r>
    </w:p>
    <w:p w14:paraId="72F3F680">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1.乙方应按招标文件规定的时间向甲方提供有关技术资料。</w:t>
      </w:r>
    </w:p>
    <w:p w14:paraId="404908F0">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2.没有甲方事先书面同意，乙方不得将由甲方提供的有关合同或任何合同条文、规格、计划、 图纸、样品或资料提供给与履行本合同无关的任何其他人。即使向履行本合同有关的人员提供，也应注意保密并限于履行合同的必需范围。</w:t>
      </w:r>
    </w:p>
    <w:p w14:paraId="41C79998">
      <w:pPr>
        <w:bidi w:val="0"/>
        <w:rPr>
          <w:rFonts w:hint="eastAsia" w:ascii="宋体" w:hAnsi="宋体" w:eastAsia="宋体" w:cs="宋体"/>
          <w:b/>
          <w:bCs/>
          <w:sz w:val="21"/>
          <w:szCs w:val="21"/>
        </w:rPr>
      </w:pPr>
      <w:r>
        <w:rPr>
          <w:rFonts w:hint="eastAsia" w:ascii="宋体" w:hAnsi="宋体" w:eastAsia="宋体" w:cs="宋体"/>
          <w:b/>
          <w:bCs/>
          <w:sz w:val="21"/>
          <w:szCs w:val="21"/>
        </w:rPr>
        <w:t>四、知识产权</w:t>
      </w:r>
    </w:p>
    <w:p w14:paraId="1E40C016">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乙方应保证提供服务过程中不会侵犯任何第三方的知识产权。</w:t>
      </w:r>
    </w:p>
    <w:p w14:paraId="7C1ABF07">
      <w:pPr>
        <w:bidi w:val="0"/>
        <w:rPr>
          <w:rFonts w:hint="eastAsia" w:ascii="宋体" w:hAnsi="宋体" w:eastAsia="宋体" w:cs="宋体"/>
          <w:b/>
          <w:bCs/>
          <w:sz w:val="21"/>
          <w:szCs w:val="21"/>
        </w:rPr>
      </w:pPr>
      <w:r>
        <w:rPr>
          <w:rFonts w:hint="eastAsia" w:ascii="宋体" w:hAnsi="宋体" w:eastAsia="宋体" w:cs="宋体"/>
          <w:b/>
          <w:bCs/>
          <w:sz w:val="21"/>
          <w:szCs w:val="21"/>
        </w:rPr>
        <w:t>五、履约保证金</w:t>
      </w:r>
    </w:p>
    <w:p w14:paraId="03F77C81">
      <w:pPr>
        <w:bidi w:val="0"/>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履约保证金：</w:t>
      </w:r>
      <w:r>
        <w:rPr>
          <w:rFonts w:hint="eastAsia" w:ascii="宋体" w:hAnsi="宋体" w:eastAsia="宋体" w:cs="宋体"/>
          <w:sz w:val="21"/>
          <w:szCs w:val="21"/>
          <w:lang w:val="en-US" w:eastAsia="zh-CN"/>
        </w:rPr>
        <w:t xml:space="preserve"> </w:t>
      </w:r>
    </w:p>
    <w:p w14:paraId="7CF234D8">
      <w:pPr>
        <w:bidi w:val="0"/>
        <w:rPr>
          <w:rFonts w:hint="eastAsia" w:ascii="宋体" w:hAnsi="宋体" w:eastAsia="宋体" w:cs="宋体"/>
          <w:b/>
          <w:bCs/>
          <w:sz w:val="21"/>
          <w:szCs w:val="21"/>
        </w:rPr>
      </w:pPr>
      <w:r>
        <w:rPr>
          <w:rFonts w:hint="eastAsia" w:ascii="宋体" w:hAnsi="宋体" w:eastAsia="宋体" w:cs="宋体"/>
          <w:b/>
          <w:bCs/>
          <w:sz w:val="21"/>
          <w:szCs w:val="21"/>
        </w:rPr>
        <w:t>六、转包或分包</w:t>
      </w:r>
    </w:p>
    <w:p w14:paraId="65CACACF">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1.本合同范围的服务，应由乙方直接供应，不得转让他人供应；</w:t>
      </w:r>
    </w:p>
    <w:p w14:paraId="0E461FE9">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除非得到甲方的书面同意，乙方不得将本合同范围的服务</w:t>
      </w:r>
      <w:r>
        <w:rPr>
          <w:rFonts w:hint="eastAsia" w:ascii="宋体" w:hAnsi="宋体" w:eastAsia="宋体" w:cs="宋体"/>
          <w:sz w:val="21"/>
          <w:szCs w:val="21"/>
          <w:lang w:val="en-US" w:eastAsia="zh-CN"/>
        </w:rPr>
        <w:t>部分</w:t>
      </w:r>
      <w:r>
        <w:rPr>
          <w:rFonts w:hint="eastAsia" w:ascii="宋体" w:hAnsi="宋体" w:eastAsia="宋体" w:cs="宋体"/>
          <w:sz w:val="21"/>
          <w:szCs w:val="21"/>
        </w:rPr>
        <w:t>分包给他人供应；</w:t>
      </w:r>
    </w:p>
    <w:p w14:paraId="1360F6F4">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3.如有转让和未经甲方同意的分包行为，甲方有权解除合同，没收履约保证金并追究乙方的违约责任。</w:t>
      </w:r>
    </w:p>
    <w:p w14:paraId="3C4309A9">
      <w:pPr>
        <w:bidi w:val="0"/>
        <w:rPr>
          <w:rFonts w:hint="eastAsia" w:ascii="宋体" w:hAnsi="宋体" w:eastAsia="宋体" w:cs="宋体"/>
          <w:b/>
          <w:bCs/>
          <w:sz w:val="21"/>
          <w:szCs w:val="21"/>
        </w:rPr>
      </w:pPr>
      <w:r>
        <w:rPr>
          <w:rFonts w:hint="eastAsia" w:ascii="宋体" w:hAnsi="宋体" w:eastAsia="宋体" w:cs="宋体"/>
          <w:b/>
          <w:bCs/>
          <w:sz w:val="21"/>
          <w:szCs w:val="21"/>
        </w:rPr>
        <w:t>七、服务期</w:t>
      </w:r>
    </w:p>
    <w:p w14:paraId="6A72F6AB">
      <w:pPr>
        <w:pStyle w:val="33"/>
        <w:rPr>
          <w:rFonts w:hint="eastAsia" w:ascii="宋体" w:hAnsi="宋体" w:eastAsia="宋体" w:cs="宋体"/>
          <w:sz w:val="21"/>
          <w:szCs w:val="21"/>
        </w:rPr>
      </w:pPr>
    </w:p>
    <w:p w14:paraId="0E27DA23">
      <w:pPr>
        <w:bidi w:val="0"/>
        <w:rPr>
          <w:rFonts w:hint="eastAsia" w:ascii="宋体" w:hAnsi="宋体" w:eastAsia="宋体" w:cs="宋体"/>
          <w:b/>
          <w:bCs/>
          <w:sz w:val="21"/>
          <w:szCs w:val="21"/>
        </w:rPr>
      </w:pPr>
      <w:r>
        <w:rPr>
          <w:rFonts w:hint="eastAsia" w:ascii="宋体" w:hAnsi="宋体" w:eastAsia="宋体" w:cs="宋体"/>
          <w:b/>
          <w:bCs/>
          <w:sz w:val="21"/>
          <w:szCs w:val="21"/>
        </w:rPr>
        <w:t>八、付款方式</w:t>
      </w:r>
    </w:p>
    <w:p w14:paraId="2D856FEB">
      <w:pPr>
        <w:bidi w:val="0"/>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合同签订生效及具备实施条件后7个工作日内，采购人向中标人支付合同总价的70%作为预付款（中标人需出具同金额预付款保函。如中标人明确表示无需预付款或者主动要求降低预付款比例的，采购人可不支付或减少预付款支付比例），合同履行完毕支付至合同额的90%，经县水文管理中心组织考核合格后支付合同总额的100%</w:t>
      </w:r>
      <w:r>
        <w:rPr>
          <w:rFonts w:hint="eastAsia" w:ascii="宋体" w:hAnsi="宋体" w:eastAsia="宋体" w:cs="宋体"/>
          <w:sz w:val="21"/>
          <w:szCs w:val="21"/>
        </w:rPr>
        <w:t>。</w:t>
      </w:r>
    </w:p>
    <w:p w14:paraId="59AFE2DA">
      <w:pPr>
        <w:bidi w:val="0"/>
        <w:rPr>
          <w:rFonts w:hint="eastAsia" w:ascii="宋体" w:hAnsi="宋体" w:eastAsia="宋体" w:cs="宋体"/>
          <w:b/>
          <w:bCs/>
          <w:sz w:val="21"/>
          <w:szCs w:val="21"/>
        </w:rPr>
      </w:pPr>
      <w:r>
        <w:rPr>
          <w:rFonts w:hint="eastAsia" w:ascii="宋体" w:hAnsi="宋体" w:eastAsia="宋体" w:cs="宋体"/>
          <w:b/>
          <w:bCs/>
          <w:sz w:val="21"/>
          <w:szCs w:val="21"/>
        </w:rPr>
        <w:t>九、税费</w:t>
      </w:r>
    </w:p>
    <w:p w14:paraId="29620E8B">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本合同执行中相关的一切税费均由乙方负担。</w:t>
      </w:r>
    </w:p>
    <w:p w14:paraId="157D9C6D">
      <w:pPr>
        <w:bidi w:val="0"/>
        <w:rPr>
          <w:rFonts w:hint="eastAsia" w:ascii="宋体" w:hAnsi="宋体" w:eastAsia="宋体" w:cs="宋体"/>
          <w:b/>
          <w:bCs/>
          <w:sz w:val="21"/>
          <w:szCs w:val="21"/>
        </w:rPr>
      </w:pPr>
      <w:r>
        <w:rPr>
          <w:rFonts w:hint="eastAsia" w:ascii="宋体" w:hAnsi="宋体" w:eastAsia="宋体" w:cs="宋体"/>
          <w:b/>
          <w:bCs/>
          <w:sz w:val="21"/>
          <w:szCs w:val="21"/>
        </w:rPr>
        <w:t>十、质量保证及后续服务</w:t>
      </w:r>
    </w:p>
    <w:p w14:paraId="4363D418">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1. 乙方应按采购文件规定向甲方提供服务。</w:t>
      </w:r>
    </w:p>
    <w:p w14:paraId="525E74BC">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2. 乙方提供的服务成果在服务质量保证期内发生问题，乙方应负责免费提供后续服务。对达不到要求者，根据实际情况，经双方协商，可按以下办法处理：</w:t>
      </w:r>
    </w:p>
    <w:p w14:paraId="220FD0ED">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⑴更换：由乙方承担所发生的全部费用。</w:t>
      </w:r>
    </w:p>
    <w:p w14:paraId="567D124A">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⑵解除合同。</w:t>
      </w:r>
    </w:p>
    <w:p w14:paraId="1B3E7088">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3. 如在使用过程中发生质量问题，乙方在接到甲方通知后在</w:t>
      </w:r>
      <w:r>
        <w:rPr>
          <w:rFonts w:hint="eastAsia" w:ascii="宋体" w:hAnsi="宋体" w:eastAsia="宋体" w:cs="宋体"/>
          <w:sz w:val="21"/>
          <w:szCs w:val="21"/>
          <w:u w:val="single"/>
        </w:rPr>
        <w:t xml:space="preserve">    </w:t>
      </w:r>
      <w:r>
        <w:rPr>
          <w:rFonts w:hint="eastAsia" w:ascii="宋体" w:hAnsi="宋体" w:eastAsia="宋体" w:cs="宋体"/>
          <w:sz w:val="21"/>
          <w:szCs w:val="21"/>
        </w:rPr>
        <w:t>小时内到达甲方现场处理。</w:t>
      </w:r>
    </w:p>
    <w:p w14:paraId="6CF15BAA">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4．在服务质量保证期内，乙方应对出现的质量及安全问题负责处理解决并承担一切费用。</w:t>
      </w:r>
    </w:p>
    <w:p w14:paraId="0709CDE4">
      <w:pPr>
        <w:bidi w:val="0"/>
        <w:rPr>
          <w:rFonts w:hint="eastAsia" w:ascii="宋体" w:hAnsi="宋体" w:eastAsia="宋体" w:cs="宋体"/>
          <w:b/>
          <w:bCs/>
          <w:sz w:val="21"/>
          <w:szCs w:val="21"/>
        </w:rPr>
      </w:pPr>
      <w:r>
        <w:rPr>
          <w:rFonts w:hint="eastAsia" w:ascii="宋体" w:hAnsi="宋体" w:eastAsia="宋体" w:cs="宋体"/>
          <w:b/>
          <w:bCs/>
          <w:sz w:val="21"/>
          <w:szCs w:val="21"/>
        </w:rPr>
        <w:t>十一、违约责任</w:t>
      </w:r>
    </w:p>
    <w:p w14:paraId="41DF765E">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1、甲方变更委托设计项目、规模、技术深度要求或提交的文件资料错误、或提交资料后又需作较大修改，导致乙方设计需返工时，双方除另行签订补充合同或另订合同，重新明确有关条款外，甲方应按乙方所耗工作量向乙方支付返工费。</w:t>
      </w:r>
    </w:p>
    <w:p w14:paraId="7A0D211D">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2、甲方无故逾期验收和办理款项支付手续的,甲方应按逾期付款总额每日万分之五向乙方支付违约金。</w:t>
      </w:r>
    </w:p>
    <w:p w14:paraId="68AC3591">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3、乙方对其提交的成果质量负责，并负责对成果出现的遗漏或错误进行修改、补充。如乙方、提交的成果未达到编制深度要求或未通过审查，需退回并根据甲方要求进行修改完善。</w:t>
      </w:r>
    </w:p>
    <w:p w14:paraId="6DA32A8D">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4、乙方未能如期提供服务的，每日向甲方支付本合同总额的千分之六作为违约金，履约保证金扣完为止。乙方超过约定日期10个工作日仍不能提供服务的，甲方可解除本合同。乙方因未能如期提供服务或因其他违约行为导致甲方解除合同的，乙方应向甲方支付本合同总额的百分之五的违约金，如造成甲方损失超过违约金的，超出部分由乙方继续承担赔偿责任。</w:t>
      </w:r>
    </w:p>
    <w:p w14:paraId="0084FA8C">
      <w:pPr>
        <w:bidi w:val="0"/>
        <w:rPr>
          <w:rFonts w:hint="eastAsia" w:ascii="宋体" w:hAnsi="宋体" w:eastAsia="宋体" w:cs="宋体"/>
          <w:b/>
          <w:bCs/>
          <w:sz w:val="21"/>
          <w:szCs w:val="21"/>
        </w:rPr>
      </w:pPr>
      <w:r>
        <w:rPr>
          <w:rFonts w:hint="eastAsia" w:ascii="宋体" w:hAnsi="宋体" w:eastAsia="宋体" w:cs="宋体"/>
          <w:b/>
          <w:bCs/>
          <w:sz w:val="21"/>
          <w:szCs w:val="21"/>
        </w:rPr>
        <w:t>十二、不可抗力事件处理</w:t>
      </w:r>
    </w:p>
    <w:p w14:paraId="521E4594">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1.在合同有效期内，任何一方因不可抗力事件导致不能履行合同，则合同履行期可延长，其延长期与不可抗力影响期相同。</w:t>
      </w:r>
    </w:p>
    <w:p w14:paraId="30808351">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2.不可抗力事件发生后，应立即通知对方，并寄送有关权威机构出具的资料。</w:t>
      </w:r>
    </w:p>
    <w:p w14:paraId="513C4E2B">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3.不可抗力事件延续 120 天以上，双方应通过友好协商，确定是否继续履行合同。</w:t>
      </w:r>
    </w:p>
    <w:p w14:paraId="2FE07AC8">
      <w:pPr>
        <w:bidi w:val="0"/>
        <w:rPr>
          <w:rFonts w:hint="eastAsia" w:ascii="宋体" w:hAnsi="宋体" w:eastAsia="宋体" w:cs="宋体"/>
          <w:b/>
          <w:bCs/>
          <w:sz w:val="21"/>
          <w:szCs w:val="21"/>
        </w:rPr>
      </w:pPr>
      <w:r>
        <w:rPr>
          <w:rFonts w:hint="eastAsia" w:ascii="宋体" w:hAnsi="宋体" w:eastAsia="宋体" w:cs="宋体"/>
          <w:b/>
          <w:bCs/>
          <w:sz w:val="21"/>
          <w:szCs w:val="21"/>
        </w:rPr>
        <w:t>十三、诉讼</w:t>
      </w:r>
    </w:p>
    <w:p w14:paraId="689F180B">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双方在执行合同中所发生的一切争议，应通过协商解决。如协商不成，可向甲方所在地法院起诉。</w:t>
      </w:r>
    </w:p>
    <w:p w14:paraId="77E22B6B">
      <w:pPr>
        <w:bidi w:val="0"/>
        <w:rPr>
          <w:rFonts w:hint="eastAsia" w:ascii="宋体" w:hAnsi="宋体" w:eastAsia="宋体" w:cs="宋体"/>
          <w:b/>
          <w:bCs/>
          <w:sz w:val="21"/>
          <w:szCs w:val="21"/>
        </w:rPr>
      </w:pPr>
      <w:bookmarkStart w:id="95" w:name="page28"/>
      <w:bookmarkEnd w:id="95"/>
      <w:r>
        <w:rPr>
          <w:rFonts w:hint="eastAsia" w:ascii="宋体" w:hAnsi="宋体" w:eastAsia="宋体" w:cs="宋体"/>
          <w:b/>
          <w:bCs/>
          <w:sz w:val="21"/>
          <w:szCs w:val="21"/>
        </w:rPr>
        <w:t>十四、合同生效及其它</w:t>
      </w:r>
    </w:p>
    <w:p w14:paraId="09B338A2">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1、强化安全意识、抓好安全生产，明确安全责任，杜绝事故发生，项目实施中发生安全及人身事故均由承包人负责处理，并承担全部责任和费用。</w:t>
      </w:r>
    </w:p>
    <w:p w14:paraId="33ED6BC6">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2、合同经双方法定代表人或授权代表签字并加盖单位公章后生效，并须经</w:t>
      </w:r>
      <w:r>
        <w:rPr>
          <w:rFonts w:hint="eastAsia" w:ascii="宋体" w:hAnsi="宋体" w:eastAsia="宋体" w:cs="宋体"/>
          <w:sz w:val="21"/>
          <w:szCs w:val="21"/>
          <w:lang w:eastAsia="zh-CN"/>
        </w:rPr>
        <w:t>泰宇建筑工程技术咨询有限公司</w:t>
      </w:r>
      <w:r>
        <w:rPr>
          <w:rFonts w:hint="eastAsia" w:ascii="宋体" w:hAnsi="宋体" w:eastAsia="宋体" w:cs="宋体"/>
          <w:sz w:val="21"/>
          <w:szCs w:val="21"/>
        </w:rPr>
        <w:t>见证。</w:t>
      </w:r>
    </w:p>
    <w:p w14:paraId="2D8F73F1">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3、合同执行中涉及采购资金和采购内容修改或补充的，须经原审批部门审批，并签书面补充协议报采购监督管理部门备案，方可作为主合同不可分割的一部分。</w:t>
      </w:r>
    </w:p>
    <w:p w14:paraId="513939DE">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4、本项目的中标通知书、投标文件、招标文件为本合同的有效组成部分。本合同未尽事宜，遵照《民法典》有关条文执行。</w:t>
      </w:r>
    </w:p>
    <w:p w14:paraId="63837A8E">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5、本合同一式陆份，具有同等法律效力，甲乙双方各执二份，其余用于采购代理机构存档一份，上级有关部门备案一份。</w:t>
      </w:r>
    </w:p>
    <w:p w14:paraId="4178968E">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6、其他未尽事宜，双方协商解决。</w:t>
      </w:r>
    </w:p>
    <w:p w14:paraId="6EA712C1">
      <w:pPr>
        <w:bidi w:val="0"/>
        <w:ind w:firstLine="420" w:firstLineChars="200"/>
        <w:rPr>
          <w:rFonts w:hint="eastAsia" w:ascii="宋体" w:hAnsi="宋体" w:eastAsia="宋体" w:cs="宋体"/>
          <w:sz w:val="21"/>
          <w:szCs w:val="21"/>
        </w:rPr>
      </w:pPr>
    </w:p>
    <w:p w14:paraId="2202D39C">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甲方：                                             乙方：</w:t>
      </w:r>
    </w:p>
    <w:p w14:paraId="5EA322E5">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地址：                                             地址：</w:t>
      </w:r>
    </w:p>
    <w:p w14:paraId="44428395">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法定（授权）代表人：                               法定（授权）代表人：</w:t>
      </w:r>
    </w:p>
    <w:p w14:paraId="481EC071">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签字日期：    年   月   日                         签字日期：    年   月   日</w:t>
      </w:r>
    </w:p>
    <w:p w14:paraId="06057F84">
      <w:pPr>
        <w:bidi w:val="0"/>
        <w:ind w:firstLine="420" w:firstLineChars="200"/>
        <w:rPr>
          <w:rFonts w:hint="eastAsia" w:ascii="宋体" w:hAnsi="宋体" w:eastAsia="宋体" w:cs="宋体"/>
          <w:sz w:val="21"/>
          <w:szCs w:val="21"/>
        </w:rPr>
      </w:pPr>
    </w:p>
    <w:p w14:paraId="151E9C5D">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合同鉴证方:</w:t>
      </w:r>
    </w:p>
    <w:p w14:paraId="3F429737">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法定（授权）代表人或主要负责人:</w:t>
      </w:r>
    </w:p>
    <w:p w14:paraId="208332F7">
      <w:pPr>
        <w:bidi w:val="0"/>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鉴证日期：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月   日        </w:t>
      </w:r>
    </w:p>
    <w:p w14:paraId="38241AE3">
      <w:pPr>
        <w:bidi w:val="0"/>
        <w:ind w:firstLine="480" w:firstLineChars="200"/>
        <w:rPr>
          <w:rFonts w:hint="eastAsia" w:ascii="Times New Roman" w:hAnsi="Times New Roman" w:cs="Times New Roman"/>
          <w:lang w:val="en-US" w:eastAsia="zh-CN"/>
        </w:rPr>
      </w:pPr>
      <w:r>
        <w:rPr>
          <w:rFonts w:hint="eastAsia" w:ascii="Times New Roman" w:hAnsi="Times New Roman" w:cs="Times New Roman"/>
          <w:lang w:val="en-US" w:eastAsia="zh-CN"/>
        </w:rPr>
        <w:br w:type="page"/>
      </w:r>
    </w:p>
    <w:p w14:paraId="3CD2B6C1">
      <w:pPr>
        <w:pStyle w:val="3"/>
        <w:bidi w:val="0"/>
        <w:rPr>
          <w:rFonts w:hint="eastAsia"/>
          <w:lang w:val="en-US" w:eastAsia="zh-CN"/>
        </w:rPr>
      </w:pPr>
      <w:bookmarkStart w:id="96" w:name="_Toc29282"/>
      <w:r>
        <w:rPr>
          <w:rFonts w:hint="eastAsia"/>
          <w:lang w:val="en-US" w:eastAsia="zh-CN"/>
        </w:rPr>
        <w:t>第七部分 应提交的有关格式范例</w:t>
      </w:r>
      <w:bookmarkEnd w:id="96"/>
    </w:p>
    <w:p w14:paraId="467CBF6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2904E4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说明：</w:t>
      </w:r>
    </w:p>
    <w:p w14:paraId="1CEA8A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响应文件</w:t>
      </w:r>
      <w:r>
        <w:rPr>
          <w:rFonts w:hint="eastAsia" w:ascii="宋体" w:hAnsi="宋体" w:eastAsia="宋体" w:cs="宋体"/>
          <w:sz w:val="21"/>
          <w:szCs w:val="21"/>
        </w:rPr>
        <w:t>由供应商根据招标文件要求参照附件格式编制。</w:t>
      </w:r>
    </w:p>
    <w:p w14:paraId="5CE08D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供应商根据实际情况填写。</w:t>
      </w:r>
    </w:p>
    <w:p w14:paraId="3CA7D06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招标文件中没有参考格式的，供应商自行编制。</w:t>
      </w:r>
    </w:p>
    <w:p w14:paraId="771C0B1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B4EC31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22B14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7712C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AB15D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924A0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EE914C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A7DCC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C610C7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13BD79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99FDAA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37A1E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17BD1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8FB4C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AC3D8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05F07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DBC6B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49407D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2FDD3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一、资格文件封面格式</w:t>
      </w:r>
    </w:p>
    <w:p w14:paraId="4EFBBB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99BAED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rPr>
      </w:pPr>
    </w:p>
    <w:p w14:paraId="43127A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44"/>
          <w:szCs w:val="44"/>
          <w:lang w:eastAsia="zh-CN"/>
        </w:rPr>
      </w:pPr>
      <w:r>
        <w:rPr>
          <w:rFonts w:hint="eastAsia" w:ascii="宋体" w:hAnsi="宋体" w:eastAsia="宋体" w:cs="宋体"/>
          <w:b/>
          <w:bCs/>
          <w:sz w:val="44"/>
          <w:szCs w:val="44"/>
          <w:lang w:eastAsia="zh-CN"/>
        </w:rPr>
        <w:t>浦江县2024年水文设施标准化管理项目</w:t>
      </w:r>
    </w:p>
    <w:p w14:paraId="1AF6E9EC">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eastAsia" w:ascii="宋体" w:hAnsi="宋体" w:eastAsia="宋体" w:cs="宋体"/>
          <w:sz w:val="32"/>
          <w:szCs w:val="32"/>
          <w:lang w:val="en-US" w:eastAsia="zh-CN"/>
        </w:rPr>
      </w:pPr>
    </w:p>
    <w:p w14:paraId="500A2B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96"/>
          <w:szCs w:val="96"/>
          <w:lang w:val="en-US" w:eastAsia="zh-CN"/>
        </w:rPr>
      </w:pPr>
    </w:p>
    <w:p w14:paraId="712402D3">
      <w:pPr>
        <w:pStyle w:val="33"/>
        <w:rPr>
          <w:rFonts w:hint="eastAsia"/>
          <w:lang w:val="en-US" w:eastAsia="zh-CN"/>
        </w:rPr>
      </w:pPr>
    </w:p>
    <w:p w14:paraId="432495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96"/>
          <w:szCs w:val="96"/>
        </w:rPr>
      </w:pPr>
      <w:r>
        <w:rPr>
          <w:rFonts w:hint="eastAsia" w:ascii="宋体" w:hAnsi="宋体" w:eastAsia="宋体" w:cs="宋体"/>
          <w:sz w:val="96"/>
          <w:szCs w:val="96"/>
          <w:lang w:val="en-US" w:eastAsia="zh-CN"/>
        </w:rPr>
        <w:t>响 应</w:t>
      </w:r>
      <w:r>
        <w:rPr>
          <w:rFonts w:hint="eastAsia" w:ascii="宋体" w:hAnsi="宋体" w:eastAsia="宋体" w:cs="宋体"/>
          <w:sz w:val="96"/>
          <w:szCs w:val="96"/>
        </w:rPr>
        <w:t xml:space="preserve"> 文 件</w:t>
      </w:r>
    </w:p>
    <w:p w14:paraId="66DA7C8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（资格文件）</w:t>
      </w:r>
    </w:p>
    <w:p w14:paraId="79F7524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项目编号：</w:t>
      </w:r>
    </w:p>
    <w:p w14:paraId="4596DA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30546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0C890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AF6674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4B829E5">
      <w:pPr>
        <w:pStyle w:val="33"/>
        <w:rPr>
          <w:rFonts w:hint="eastAsia"/>
        </w:rPr>
      </w:pPr>
    </w:p>
    <w:p w14:paraId="654B7E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554602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rPr>
      </w:pPr>
    </w:p>
    <w:p w14:paraId="769ECE20">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cs="宋体"/>
          <w:b/>
          <w:bCs/>
          <w:sz w:val="32"/>
          <w:szCs w:val="32"/>
          <w:u w:val="single"/>
        </w:rPr>
      </w:pPr>
      <w:r>
        <w:rPr>
          <w:rFonts w:hint="eastAsia" w:ascii="宋体" w:hAnsi="宋体" w:eastAsia="宋体" w:cs="宋体"/>
          <w:b/>
          <w:bCs/>
          <w:sz w:val="32"/>
          <w:szCs w:val="32"/>
        </w:rPr>
        <w:t xml:space="preserve">投标人名称（电子签章）： </w:t>
      </w:r>
      <w:r>
        <w:rPr>
          <w:rFonts w:hint="eastAsia" w:ascii="宋体" w:hAnsi="宋体" w:eastAsia="宋体" w:cs="宋体"/>
          <w:b/>
          <w:bCs/>
          <w:sz w:val="32"/>
          <w:szCs w:val="32"/>
          <w:u w:val="single"/>
        </w:rPr>
        <w:t xml:space="preserve">                            </w:t>
      </w:r>
    </w:p>
    <w:p w14:paraId="4D788C4E">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cs="宋体"/>
          <w:b/>
          <w:bCs/>
          <w:sz w:val="32"/>
          <w:szCs w:val="32"/>
        </w:rPr>
      </w:pPr>
    </w:p>
    <w:p w14:paraId="17E3A245">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cs="宋体"/>
          <w:b/>
          <w:bCs/>
          <w:sz w:val="32"/>
          <w:szCs w:val="32"/>
          <w:u w:val="single"/>
        </w:rPr>
      </w:pPr>
      <w:r>
        <w:rPr>
          <w:rFonts w:hint="eastAsia" w:ascii="宋体" w:hAnsi="宋体" w:eastAsia="宋体" w:cs="宋体"/>
          <w:b/>
          <w:bCs/>
          <w:sz w:val="32"/>
          <w:szCs w:val="32"/>
        </w:rPr>
        <w:t>法定代表人或授权代表(签字或盖章)：</w:t>
      </w:r>
      <w:r>
        <w:rPr>
          <w:rFonts w:hint="eastAsia" w:ascii="宋体" w:hAnsi="宋体" w:eastAsia="宋体" w:cs="宋体"/>
          <w:b/>
          <w:bCs/>
          <w:sz w:val="32"/>
          <w:szCs w:val="32"/>
          <w:u w:val="single"/>
        </w:rPr>
        <w:t xml:space="preserve">                   </w:t>
      </w:r>
    </w:p>
    <w:p w14:paraId="2A4CB483">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cs="宋体"/>
          <w:b/>
          <w:bCs/>
          <w:sz w:val="32"/>
          <w:szCs w:val="32"/>
        </w:rPr>
      </w:pPr>
    </w:p>
    <w:p w14:paraId="73F3C4A1">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时间：    年   月   日</w:t>
      </w:r>
    </w:p>
    <w:p w14:paraId="018FDB4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A485D2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0CDB8C0A">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资格文件目录</w:t>
      </w:r>
    </w:p>
    <w:p w14:paraId="3B6F9A6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1.投标声明书（格式附后）</w:t>
      </w:r>
    </w:p>
    <w:p w14:paraId="0E1E1E3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2.资格承诺函（格式附后）</w:t>
      </w:r>
    </w:p>
    <w:p w14:paraId="666F67F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3.具有独立承担民事责任能力的说明材料：</w:t>
      </w:r>
    </w:p>
    <w:p w14:paraId="0BE3D1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投标人须在投标文件中出具符合以下情况的说明材料</w:t>
      </w:r>
      <w:r>
        <w:rPr>
          <w:rFonts w:hint="eastAsia" w:ascii="宋体" w:hAnsi="宋体" w:eastAsia="宋体" w:cs="宋体"/>
          <w:sz w:val="21"/>
          <w:szCs w:val="21"/>
          <w:lang w:eastAsia="zh-CN"/>
        </w:rPr>
        <w:t>扫描</w:t>
      </w:r>
      <w:r>
        <w:rPr>
          <w:rFonts w:hint="eastAsia" w:ascii="宋体" w:hAnsi="宋体" w:eastAsia="宋体" w:cs="宋体"/>
          <w:sz w:val="21"/>
          <w:szCs w:val="21"/>
        </w:rPr>
        <w:t>件（五选一）：</w:t>
      </w:r>
    </w:p>
    <w:p w14:paraId="3F5872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①如投标人是企业（包括合伙企业），提供在工商部门注册的有效“企业法人营业执照”或“营业执照”</w:t>
      </w:r>
      <w:r>
        <w:rPr>
          <w:rFonts w:hint="eastAsia" w:ascii="宋体" w:hAnsi="宋体" w:eastAsia="宋体" w:cs="宋体"/>
          <w:sz w:val="21"/>
          <w:szCs w:val="21"/>
          <w:lang w:eastAsia="zh-CN"/>
        </w:rPr>
        <w:t>；</w:t>
      </w:r>
    </w:p>
    <w:p w14:paraId="085E09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②如投标人是事业单位，提供有效的“事业单位法人证书”</w:t>
      </w:r>
      <w:r>
        <w:rPr>
          <w:rFonts w:hint="eastAsia" w:ascii="宋体" w:hAnsi="宋体" w:eastAsia="宋体" w:cs="宋体"/>
          <w:sz w:val="21"/>
          <w:szCs w:val="21"/>
          <w:lang w:eastAsia="zh-CN"/>
        </w:rPr>
        <w:t>；</w:t>
      </w:r>
    </w:p>
    <w:p w14:paraId="7CC8E3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③如投标人是非企业专业服务机构的，提供执业许可证等说明文件</w:t>
      </w:r>
      <w:r>
        <w:rPr>
          <w:rFonts w:hint="eastAsia" w:ascii="宋体" w:hAnsi="宋体" w:eastAsia="宋体" w:cs="宋体"/>
          <w:sz w:val="21"/>
          <w:szCs w:val="21"/>
          <w:lang w:eastAsia="zh-CN"/>
        </w:rPr>
        <w:t>；</w:t>
      </w:r>
    </w:p>
    <w:p w14:paraId="3E41477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④如投标人是个体工商户，提供有效的“个体工商户营业执照”</w:t>
      </w:r>
      <w:r>
        <w:rPr>
          <w:rFonts w:hint="eastAsia" w:ascii="宋体" w:hAnsi="宋体" w:eastAsia="宋体" w:cs="宋体"/>
          <w:sz w:val="21"/>
          <w:szCs w:val="21"/>
          <w:lang w:eastAsia="zh-CN"/>
        </w:rPr>
        <w:t>；</w:t>
      </w:r>
    </w:p>
    <w:p w14:paraId="3904658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⑤如投标人是自然人，提供有效的自然人身份说明（居民身份证正反面或公安机关出具的临时居民身份证正反面或港澳台胞证或护照）。</w:t>
      </w:r>
    </w:p>
    <w:p w14:paraId="15E0C6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75E6F3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接受联合体投标的项目，投标供应商为联合体的，联合体各方均须提供。</w:t>
      </w:r>
    </w:p>
    <w:p w14:paraId="2002EC2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4.落实政府采购政策需满足的资格要求：本项目专门面向中小企业采购，服务全部由符合政策要求的中小企业承接</w:t>
      </w:r>
      <w:r>
        <w:rPr>
          <w:rFonts w:hint="eastAsia" w:ascii="宋体" w:hAnsi="宋体" w:eastAsia="宋体" w:cs="宋体"/>
          <w:sz w:val="21"/>
          <w:szCs w:val="21"/>
          <w:lang w:val="en-US" w:eastAsia="zh-CN"/>
        </w:rPr>
        <w:t>。（本项目属于预留份额专门面向中小企业采购的项目，根据《关于印发中小企业划型标准规定的通知》（工信部联企业〔2011〕300 号）规定，本项目采购标的对应的中小企业划分标准所属行业为（十六）其他未列明行业。）</w:t>
      </w:r>
    </w:p>
    <w:p w14:paraId="5B7003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投标人须在投标文件中出具符合以下情况的说明材料扫描件（三选一）：</w:t>
      </w:r>
    </w:p>
    <w:p w14:paraId="174ACFD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①投标人为中小企业的，投标文件中提供《中小企业声明函》（格式附后）；</w:t>
      </w:r>
    </w:p>
    <w:p w14:paraId="1E20539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②投标人为残疾人福利单位的，在投标文件中提供《残疾人福利性单位声明函》（格式附后）；</w:t>
      </w:r>
    </w:p>
    <w:p w14:paraId="598B22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③投标人为监狱企业的，在投标文件中提供由省级以上监狱管理局、戒毒管理局（含新疆生产建设兵团）出具的属于监狱企业的说明文件（格式自拟）。</w:t>
      </w:r>
    </w:p>
    <w:p w14:paraId="6CD92F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.本项目的特定资格要求：</w:t>
      </w:r>
      <w:r>
        <w:rPr>
          <w:rFonts w:hint="eastAsia" w:ascii="宋体" w:hAnsi="宋体" w:eastAsia="宋体" w:cs="宋体"/>
          <w:sz w:val="21"/>
          <w:szCs w:val="21"/>
          <w:lang w:val="en-US" w:eastAsia="zh-CN"/>
        </w:rPr>
        <w:t>/</w:t>
      </w:r>
    </w:p>
    <w:p w14:paraId="7CD0995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16D6F27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附后无格式部分由投标人根据招标文件规定自行编制</w:t>
      </w:r>
    </w:p>
    <w:p w14:paraId="4453E9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投标声明书格式：</w:t>
      </w:r>
    </w:p>
    <w:p w14:paraId="45E84080">
      <w:pPr>
        <w:keepNext w:val="0"/>
        <w:keepLines w:val="0"/>
        <w:pageBreakBefore w:val="0"/>
        <w:widowControl w:val="0"/>
        <w:kinsoku/>
        <w:wordWrap/>
        <w:overflowPunct/>
        <w:topLinePunct w:val="0"/>
        <w:autoSpaceDE/>
        <w:autoSpaceDN/>
        <w:bidi w:val="0"/>
        <w:adjustRightInd/>
        <w:snapToGrid w:val="0"/>
        <w:spacing w:line="300" w:lineRule="auto"/>
        <w:ind w:left="0" w:leftChars="0"/>
        <w:jc w:val="center"/>
        <w:textAlignment w:val="auto"/>
        <w:rPr>
          <w:rFonts w:asciiTheme="minorEastAsia" w:hAnsiTheme="minorEastAsia" w:eastAsiaTheme="minorEastAsia" w:cstheme="minorEastAsia"/>
          <w:b/>
          <w:bCs/>
          <w:color w:val="auto"/>
          <w:sz w:val="24"/>
          <w:szCs w:val="20"/>
          <w:highlight w:val="none"/>
        </w:rPr>
      </w:pPr>
      <w:r>
        <w:rPr>
          <w:rFonts w:hint="eastAsia" w:asciiTheme="minorEastAsia" w:hAnsiTheme="minorEastAsia" w:eastAsiaTheme="minorEastAsia" w:cstheme="minorEastAsia"/>
          <w:b/>
          <w:bCs/>
          <w:color w:val="auto"/>
          <w:sz w:val="30"/>
          <w:szCs w:val="24"/>
          <w:highlight w:val="none"/>
        </w:rPr>
        <w:t>投标声明书</w:t>
      </w:r>
    </w:p>
    <w:p w14:paraId="1F30EAE6">
      <w:pPr>
        <w:snapToGrid w:val="0"/>
        <w:spacing w:before="156" w:beforeLines="50" w:after="5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（采购单位）：</w:t>
      </w:r>
    </w:p>
    <w:p w14:paraId="59B00663">
      <w:pPr>
        <w:snapToGrid w:val="0"/>
        <w:spacing w:before="156" w:beforeLines="50" w:after="5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（投标人名称）系中华人民共和国合法企业，经营地址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3FB364">
      <w:pPr>
        <w:keepNext w:val="0"/>
        <w:keepLines w:val="0"/>
        <w:pageBreakBefore w:val="0"/>
        <w:widowControl w:val="0"/>
        <w:kinsoku/>
        <w:wordWrap/>
        <w:overflowPunct/>
        <w:topLinePunct w:val="0"/>
        <w:autoSpaceDE/>
        <w:autoSpaceDN/>
        <w:bidi w:val="0"/>
        <w:adjustRightInd/>
        <w:snapToGrid w:val="0"/>
        <w:spacing w:line="300" w:lineRule="auto"/>
        <w:ind w:left="0" w:leftChars="0"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（投标人名称）的法定代表人，我方愿意参加贵方组织的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项目的投标，为便于贵方公正、择优地确定中标人及其投标产品和服务，我方就本次投标有关事项郑重声明如下：</w:t>
      </w:r>
    </w:p>
    <w:p w14:paraId="03B2845C">
      <w:pPr>
        <w:keepNext w:val="0"/>
        <w:keepLines w:val="0"/>
        <w:pageBreakBefore w:val="0"/>
        <w:widowControl w:val="0"/>
        <w:kinsoku/>
        <w:wordWrap/>
        <w:overflowPunct/>
        <w:topLinePunct w:val="0"/>
        <w:autoSpaceDE/>
        <w:autoSpaceDN/>
        <w:bidi w:val="0"/>
        <w:adjustRightInd/>
        <w:spacing w:line="300" w:lineRule="auto"/>
        <w:ind w:left="0" w:leftChars="0" w:firstLine="404"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1.我方向贵方提交的所有</w:t>
      </w:r>
      <w:r>
        <w:rPr>
          <w:rFonts w:hint="eastAsia" w:ascii="宋体" w:hAnsi="宋体" w:eastAsia="宋体" w:cs="宋体"/>
          <w:color w:val="auto"/>
          <w:spacing w:val="-4"/>
          <w:sz w:val="21"/>
          <w:szCs w:val="21"/>
          <w:highlight w:val="none"/>
          <w:lang w:eastAsia="zh-CN"/>
        </w:rPr>
        <w:t>响应文件</w:t>
      </w:r>
      <w:r>
        <w:rPr>
          <w:rFonts w:hint="eastAsia" w:ascii="宋体" w:hAnsi="宋体" w:eastAsia="宋体" w:cs="宋体"/>
          <w:color w:val="auto"/>
          <w:spacing w:val="-4"/>
          <w:sz w:val="21"/>
          <w:szCs w:val="21"/>
          <w:highlight w:val="none"/>
        </w:rPr>
        <w:t>、资料都是准确的和真实的。若未中标，我单位同意</w:t>
      </w:r>
      <w:r>
        <w:rPr>
          <w:rFonts w:hint="eastAsia" w:ascii="宋体" w:hAnsi="宋体" w:eastAsia="宋体" w:cs="宋体"/>
          <w:color w:val="auto"/>
          <w:spacing w:val="-4"/>
          <w:sz w:val="21"/>
          <w:szCs w:val="21"/>
          <w:highlight w:val="none"/>
          <w:lang w:eastAsia="zh-CN"/>
        </w:rPr>
        <w:t>采购人</w:t>
      </w:r>
      <w:r>
        <w:rPr>
          <w:rFonts w:hint="eastAsia" w:ascii="宋体" w:hAnsi="宋体" w:eastAsia="宋体" w:cs="宋体"/>
          <w:color w:val="auto"/>
          <w:spacing w:val="-4"/>
          <w:sz w:val="21"/>
          <w:szCs w:val="21"/>
          <w:highlight w:val="none"/>
        </w:rPr>
        <w:t>免费采用我单位全部或部分方案。</w:t>
      </w:r>
    </w:p>
    <w:p w14:paraId="79A6280E">
      <w:pPr>
        <w:keepNext w:val="0"/>
        <w:keepLines w:val="0"/>
        <w:pageBreakBefore w:val="0"/>
        <w:widowControl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2.我们承诺，与为采购人采购本次招标的服务进行编制规范和其他文件所委托的咨询公司或其附属机构无任何直接或间接的关联。</w:t>
      </w:r>
    </w:p>
    <w:p w14:paraId="428C830F">
      <w:pPr>
        <w:keepNext w:val="0"/>
        <w:keepLines w:val="0"/>
        <w:pageBreakBefore w:val="0"/>
        <w:widowControl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3.我方此次向贵方提供的服务名称为：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，该服务我方有能力完成。</w:t>
      </w:r>
    </w:p>
    <w:p w14:paraId="7AE86468">
      <w:pPr>
        <w:keepNext w:val="0"/>
        <w:keepLines w:val="0"/>
        <w:pageBreakBefore w:val="0"/>
        <w:widowControl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4.我方诚意提请贵方关注：近期有关服务的组织、人员、能力、售后服务等方面的重大决策和事项有：</w:t>
      </w:r>
      <w:r>
        <w:rPr>
          <w:rFonts w:hint="eastAsia" w:ascii="宋体" w:hAnsi="宋体" w:eastAsia="宋体" w:cs="宋体"/>
          <w:color w:val="auto"/>
          <w:sz w:val="21"/>
          <w:szCs w:val="21"/>
          <w:highlight w:val="none"/>
          <w:u w:val="single"/>
        </w:rPr>
        <w:t>　　　　　　　　　　　　　　　　　　　　　　　　　</w:t>
      </w:r>
    </w:p>
    <w:p w14:paraId="1C3273C8">
      <w:pPr>
        <w:keepNext w:val="0"/>
        <w:keepLines w:val="0"/>
        <w:pageBreakBefore w:val="0"/>
        <w:widowControl w:val="0"/>
        <w:kinsoku/>
        <w:wordWrap/>
        <w:overflowPunct/>
        <w:topLinePunct w:val="0"/>
        <w:autoSpaceDE/>
        <w:autoSpaceDN/>
        <w:bidi w:val="0"/>
        <w:adjustRightInd/>
        <w:snapToGrid w:val="0"/>
        <w:spacing w:line="300" w:lineRule="auto"/>
        <w:ind w:left="0" w:leftChars="0" w:firstLine="404" w:firstLineChars="200"/>
        <w:textAlignment w:val="auto"/>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rPr>
        <w:t>5.我方及由本人担任法定代表人的其他机构最近三年内被通报或者被处罚的违法行为有：</w:t>
      </w:r>
      <w:r>
        <w:rPr>
          <w:rFonts w:hint="eastAsia" w:ascii="宋体" w:hAnsi="宋体" w:eastAsia="宋体" w:cs="宋体"/>
          <w:color w:val="auto"/>
          <w:spacing w:val="-4"/>
          <w:sz w:val="21"/>
          <w:szCs w:val="21"/>
          <w:highlight w:val="none"/>
          <w:lang w:val="en-US" w:eastAsia="zh-CN"/>
        </w:rPr>
        <w:t xml:space="preserve">    </w:t>
      </w:r>
      <w:r>
        <w:rPr>
          <w:rFonts w:hint="eastAsia" w:ascii="宋体" w:hAnsi="宋体" w:eastAsia="宋体" w:cs="宋体"/>
          <w:color w:val="auto"/>
          <w:spacing w:val="-4"/>
          <w:sz w:val="21"/>
          <w:szCs w:val="21"/>
          <w:highlight w:val="none"/>
          <w:u w:val="single"/>
        </w:rPr>
        <w:t>　　　　　　　　　　　　　　　　　　　　　　　　　　　</w:t>
      </w:r>
    </w:p>
    <w:p w14:paraId="6DB91F72">
      <w:pPr>
        <w:keepNext w:val="0"/>
        <w:keepLines w:val="0"/>
        <w:pageBreakBefore w:val="0"/>
        <w:widowControl w:val="0"/>
        <w:kinsoku/>
        <w:wordWrap/>
        <w:overflowPunct/>
        <w:topLinePunct w:val="0"/>
        <w:autoSpaceDE/>
        <w:autoSpaceDN/>
        <w:bidi w:val="0"/>
        <w:adjustRightInd/>
        <w:spacing w:line="300" w:lineRule="auto"/>
        <w:ind w:left="0" w:leftChars="0" w:firstLine="404"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6.我们已详细审查全部招标文件及有关的澄清、修改文件（若有的话），我们完全理解并同意放弃对这方面提出任何异议的权利。保证遵守招标文件有关条款规定。</w:t>
      </w:r>
    </w:p>
    <w:p w14:paraId="5EAC1318">
      <w:pPr>
        <w:keepNext w:val="0"/>
        <w:keepLines w:val="0"/>
        <w:pageBreakBefore w:val="0"/>
        <w:widowControl w:val="0"/>
        <w:kinsoku/>
        <w:wordWrap/>
        <w:overflowPunct/>
        <w:topLinePunct w:val="0"/>
        <w:autoSpaceDE/>
        <w:autoSpaceDN/>
        <w:bidi w:val="0"/>
        <w:adjustRightInd/>
        <w:spacing w:line="300" w:lineRule="auto"/>
        <w:ind w:left="0" w:leftChars="0" w:firstLine="404"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7.保证在中标后忠实地执行与采购人所签署的合同，并承担合同规定的责任义务。保证在中标后按照招标文件的规定支付采购代理服务费。承诺按</w:t>
      </w:r>
      <w:r>
        <w:rPr>
          <w:rFonts w:hint="eastAsia" w:ascii="宋体" w:hAnsi="宋体" w:eastAsia="宋体" w:cs="宋体"/>
          <w:color w:val="auto"/>
          <w:spacing w:val="-4"/>
          <w:sz w:val="21"/>
          <w:szCs w:val="21"/>
          <w:highlight w:val="none"/>
          <w:lang w:eastAsia="zh-CN"/>
        </w:rPr>
        <w:t>采购人</w:t>
      </w:r>
      <w:r>
        <w:rPr>
          <w:rFonts w:hint="eastAsia" w:ascii="宋体" w:hAnsi="宋体" w:eastAsia="宋体" w:cs="宋体"/>
          <w:color w:val="auto"/>
          <w:spacing w:val="-4"/>
          <w:sz w:val="21"/>
          <w:szCs w:val="21"/>
          <w:highlight w:val="none"/>
        </w:rPr>
        <w:t>要求作好保密工作。</w:t>
      </w:r>
    </w:p>
    <w:p w14:paraId="14226132">
      <w:pPr>
        <w:keepNext w:val="0"/>
        <w:keepLines w:val="0"/>
        <w:pageBreakBefore w:val="0"/>
        <w:widowControl w:val="0"/>
        <w:kinsoku/>
        <w:wordWrap/>
        <w:overflowPunct/>
        <w:topLinePunct w:val="0"/>
        <w:autoSpaceDE/>
        <w:autoSpaceDN/>
        <w:bidi w:val="0"/>
        <w:adjustRightInd/>
        <w:spacing w:line="300" w:lineRule="auto"/>
        <w:ind w:left="0" w:leftChars="0" w:firstLine="404" w:firstLineChars="200"/>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8.我们郑重声明：我公司符合政府采购法规定的参加采购活动应当具备的条件：具有健全的财务会计制度、依法缴纳税收和社会保障资金、参加本次采购活动之前的三年内，在经营活动中无重大违法活动，并在人员、设备、技术、资金、售后服务等方面具有相应的服务能力。我公司未被列入失信被执行人名单、</w:t>
      </w:r>
      <w:r>
        <w:rPr>
          <w:rFonts w:hint="eastAsia" w:ascii="宋体" w:hAnsi="宋体" w:eastAsia="宋体" w:cs="宋体"/>
          <w:color w:val="auto"/>
          <w:spacing w:val="-4"/>
          <w:sz w:val="21"/>
          <w:szCs w:val="21"/>
          <w:highlight w:val="none"/>
          <w:lang w:eastAsia="zh-CN"/>
        </w:rPr>
        <w:t>重大税收违法失信主体</w:t>
      </w:r>
      <w:r>
        <w:rPr>
          <w:rFonts w:hint="eastAsia" w:ascii="宋体" w:hAnsi="宋体" w:eastAsia="宋体" w:cs="宋体"/>
          <w:color w:val="auto"/>
          <w:spacing w:val="-4"/>
          <w:sz w:val="21"/>
          <w:szCs w:val="21"/>
          <w:highlight w:val="none"/>
        </w:rPr>
        <w:t>、政府采购严重违法失信行为记录名单。</w:t>
      </w:r>
    </w:p>
    <w:p w14:paraId="2BA6BC05">
      <w:pPr>
        <w:keepNext w:val="0"/>
        <w:keepLines w:val="0"/>
        <w:pageBreakBefore w:val="0"/>
        <w:widowControl w:val="0"/>
        <w:kinsoku/>
        <w:wordWrap/>
        <w:overflowPunct/>
        <w:topLinePunct w:val="0"/>
        <w:autoSpaceDE/>
        <w:autoSpaceDN/>
        <w:bidi w:val="0"/>
        <w:adjustRightInd/>
        <w:snapToGrid w:val="0"/>
        <w:spacing w:line="30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9.以上事项如有虚假或隐瞒，我方愿意承担一切后果，并不再寻求任何旨在减轻或免除法律责任的辩解。</w:t>
      </w:r>
    </w:p>
    <w:p w14:paraId="7238C273">
      <w:pPr>
        <w:tabs>
          <w:tab w:val="left" w:pos="939"/>
        </w:tabs>
        <w:snapToGrid w:val="0"/>
        <w:spacing w:line="240" w:lineRule="auto"/>
        <w:ind w:left="761" w:leftChars="150" w:hanging="401" w:hangingChars="191"/>
        <w:rPr>
          <w:rFonts w:hint="eastAsia" w:ascii="宋体" w:hAnsi="宋体" w:eastAsia="宋体" w:cs="宋体"/>
          <w:color w:val="auto"/>
          <w:sz w:val="21"/>
          <w:szCs w:val="21"/>
          <w:highlight w:val="none"/>
        </w:rPr>
      </w:pPr>
    </w:p>
    <w:p w14:paraId="2A644364">
      <w:pPr>
        <w:snapToGrid w:val="0"/>
        <w:spacing w:before="156" w:beforeLines="50" w:line="288"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法定代表人（签名或盖章）：</w:t>
      </w:r>
      <w:r>
        <w:rPr>
          <w:rFonts w:hint="eastAsia" w:ascii="宋体" w:hAnsi="宋体" w:eastAsia="宋体" w:cs="宋体"/>
          <w:color w:val="auto"/>
          <w:sz w:val="21"/>
          <w:szCs w:val="21"/>
          <w:highlight w:val="none"/>
          <w:u w:val="single"/>
        </w:rPr>
        <w:t xml:space="preserve">             </w:t>
      </w:r>
    </w:p>
    <w:p w14:paraId="18F5A194">
      <w:pPr>
        <w:snapToGrid w:val="0"/>
        <w:spacing w:before="156" w:beforeLines="50" w:after="50"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投标人名称（电子签章）：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F40294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napToGrid w:val="0"/>
          <w:color w:val="auto"/>
          <w:kern w:val="0"/>
          <w:sz w:val="21"/>
          <w:szCs w:val="21"/>
          <w:highlight w:val="none"/>
        </w:rPr>
        <w:t>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6EFAA7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72E2F9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D1BA3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648B164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资格承诺函格式：</w:t>
      </w:r>
    </w:p>
    <w:p w14:paraId="39CAE5D4">
      <w:pPr>
        <w:keepNext w:val="0"/>
        <w:keepLines w:val="0"/>
        <w:pageBreakBefore w:val="0"/>
        <w:widowControl w:val="0"/>
        <w:kinsoku/>
        <w:wordWrap/>
        <w:overflowPunct/>
        <w:topLinePunct w:val="0"/>
        <w:autoSpaceDE/>
        <w:autoSpaceDN/>
        <w:bidi w:val="0"/>
        <w:adjustRightInd/>
        <w:snapToGrid w:val="0"/>
        <w:spacing w:line="300" w:lineRule="auto"/>
        <w:ind w:left="0" w:leftChars="0"/>
        <w:jc w:val="center"/>
        <w:textAlignment w:val="auto"/>
        <w:rPr>
          <w:rFonts w:hint="eastAsia"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资格承诺函</w:t>
      </w:r>
    </w:p>
    <w:p w14:paraId="2ED7F333">
      <w:pPr>
        <w:tabs>
          <w:tab w:val="left" w:pos="0"/>
        </w:tabs>
        <w:snapToGri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采购人）、（采购代理机构）</w:t>
      </w:r>
      <w:r>
        <w:rPr>
          <w:rFonts w:hint="eastAsia" w:ascii="宋体" w:hAnsi="宋体" w:eastAsia="宋体" w:cs="宋体"/>
          <w:color w:val="auto"/>
          <w:kern w:val="0"/>
          <w:sz w:val="21"/>
          <w:szCs w:val="21"/>
          <w:highlight w:val="none"/>
        </w:rPr>
        <w:t>：</w:t>
      </w:r>
    </w:p>
    <w:p w14:paraId="754739CB">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我方参与</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b/>
          <w:color w:val="auto"/>
          <w:kern w:val="0"/>
          <w:sz w:val="21"/>
          <w:szCs w:val="21"/>
          <w:highlight w:val="none"/>
          <w:u w:val="single"/>
        </w:rPr>
        <w:t>（项目编号：    ）</w:t>
      </w:r>
      <w:r>
        <w:rPr>
          <w:rFonts w:hint="eastAsia" w:ascii="宋体" w:hAnsi="宋体" w:eastAsia="宋体" w:cs="宋体"/>
          <w:color w:val="auto"/>
          <w:kern w:val="0"/>
          <w:sz w:val="21"/>
          <w:szCs w:val="21"/>
          <w:highlight w:val="none"/>
        </w:rPr>
        <w:t>政府采购活动，郑重承诺：</w:t>
      </w:r>
    </w:p>
    <w:p w14:paraId="7C4EFDF2">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（一）具备《中华人民共和国政府采购法》第二十二条第一款规定的条件：</w:t>
      </w:r>
    </w:p>
    <w:p w14:paraId="68F1257A">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具有独立承担民事责任的能力；</w:t>
      </w:r>
    </w:p>
    <w:p w14:paraId="6C8AC653">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具有良好的商业信誉和健全的财务会计制度； </w:t>
      </w:r>
    </w:p>
    <w:p w14:paraId="520A2941">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具有履行合同所必需的设备和专业技术能力；</w:t>
      </w:r>
    </w:p>
    <w:p w14:paraId="14A8E858">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有依法缴纳税收和社会保障资金的良好记录；</w:t>
      </w:r>
    </w:p>
    <w:p w14:paraId="4EF8A788">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参加政府采购活动前三年内，在经营活动中没有重大违法记录；</w:t>
      </w:r>
    </w:p>
    <w:p w14:paraId="7BDB7385">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具有法律、行政法规规定的其他条件。</w:t>
      </w:r>
    </w:p>
    <w:p w14:paraId="6E55C3E4">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（二）未被信用中国（www.creditchina.gov.cn)、中国政府采购网（www.ccgp.gov.cn）列入失信被执行人、</w:t>
      </w:r>
      <w:r>
        <w:rPr>
          <w:rFonts w:hint="eastAsia" w:ascii="宋体" w:hAnsi="宋体" w:eastAsia="宋体" w:cs="宋体"/>
          <w:color w:val="auto"/>
          <w:kern w:val="0"/>
          <w:sz w:val="21"/>
          <w:szCs w:val="21"/>
          <w:highlight w:val="none"/>
          <w:lang w:eastAsia="zh-CN"/>
        </w:rPr>
        <w:t>重大税收违法失信主体</w:t>
      </w:r>
      <w:r>
        <w:rPr>
          <w:rFonts w:hint="eastAsia" w:ascii="宋体" w:hAnsi="宋体" w:eastAsia="宋体" w:cs="宋体"/>
          <w:color w:val="auto"/>
          <w:kern w:val="0"/>
          <w:sz w:val="21"/>
          <w:szCs w:val="21"/>
          <w:highlight w:val="none"/>
        </w:rPr>
        <w:t>、政府采购严重违法失信行为记录名单。</w:t>
      </w:r>
    </w:p>
    <w:p w14:paraId="716D40DC">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（三）不存在以下情况：</w:t>
      </w:r>
    </w:p>
    <w:p w14:paraId="4152C1E8">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单位负责人为同一人或者存在直接控股、管理关系的不同供应商参加同一合同项下的政府采购活动的；</w:t>
      </w:r>
    </w:p>
    <w:p w14:paraId="348BCD5B">
      <w:pPr>
        <w:tabs>
          <w:tab w:val="left" w:pos="0"/>
        </w:tabs>
        <w:snapToGrid w:val="0"/>
        <w:spacing w:line="360" w:lineRule="auto"/>
        <w:ind w:firstLine="48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为采购项目提供整体设计、规范编制或者项目管理、监理、检测等服务后再参加该采购项目的其他采购活动的。</w:t>
      </w:r>
    </w:p>
    <w:p w14:paraId="42DB98A4">
      <w:pPr>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以上承诺如有虚假或隐瞒，采购人可取消我方任何资格（投标/中标/签订合同），我方对此无任何异议，并愿意承担一切后果和责任。</w:t>
      </w:r>
    </w:p>
    <w:p w14:paraId="18F8FF78">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特此承诺！</w:t>
      </w:r>
    </w:p>
    <w:p w14:paraId="71E931D6">
      <w:pPr>
        <w:spacing w:line="360" w:lineRule="auto"/>
        <w:ind w:firstLine="420" w:firstLineChars="200"/>
        <w:rPr>
          <w:rFonts w:hint="eastAsia" w:ascii="宋体" w:hAnsi="宋体" w:eastAsia="宋体" w:cs="宋体"/>
          <w:color w:val="auto"/>
          <w:sz w:val="21"/>
          <w:szCs w:val="21"/>
          <w:highlight w:val="none"/>
        </w:rPr>
      </w:pPr>
    </w:p>
    <w:p w14:paraId="4D45DA44">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投标人名称（电子签章）：</w:t>
      </w:r>
      <w:r>
        <w:rPr>
          <w:rFonts w:hint="eastAsia" w:ascii="宋体" w:hAnsi="宋体" w:eastAsia="宋体" w:cs="宋体"/>
          <w:color w:val="auto"/>
          <w:kern w:val="0"/>
          <w:sz w:val="21"/>
          <w:szCs w:val="21"/>
          <w:highlight w:val="none"/>
        </w:rPr>
        <w:t>__________________________________</w:t>
      </w:r>
    </w:p>
    <w:p w14:paraId="6E4310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日期：________年____月____日</w:t>
      </w:r>
    </w:p>
    <w:p w14:paraId="62C6AC16">
      <w:pPr>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编制说明：</w:t>
      </w:r>
      <w:r>
        <w:rPr>
          <w:rFonts w:hint="eastAsia" w:ascii="宋体" w:hAnsi="宋体" w:eastAsia="宋体" w:cs="宋体"/>
          <w:b/>
          <w:color w:val="auto"/>
          <w:kern w:val="0"/>
          <w:sz w:val="21"/>
          <w:szCs w:val="21"/>
          <w:highlight w:val="none"/>
          <w:u w:val="single"/>
        </w:rPr>
        <w:t>接受联合体投标的项目，投标供应商为联合体的，联合体各方均须提供本承诺函，否则投标无效。</w:t>
      </w:r>
    </w:p>
    <w:p w14:paraId="433285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1266D88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中小企业声明函格式：</w:t>
      </w:r>
    </w:p>
    <w:p w14:paraId="3E7F122C">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p>
    <w:p w14:paraId="552F26D3">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中小企业声明函（服务、工程）（如是）</w:t>
      </w:r>
    </w:p>
    <w:p w14:paraId="10E76184">
      <w:pPr>
        <w:autoSpaceDE w:val="0"/>
        <w:autoSpaceDN w:val="0"/>
        <w:adjustRightInd w:val="0"/>
        <w:spacing w:line="360" w:lineRule="auto"/>
        <w:ind w:right="-54" w:firstLine="630" w:firstLineChars="300"/>
        <w:jc w:val="left"/>
        <w:textAlignment w:val="baseline"/>
        <w:rPr>
          <w:rFonts w:hint="eastAsia" w:ascii="宋体" w:hAnsi="宋体" w:eastAsia="宋体" w:cs="宋体"/>
          <w:color w:val="auto"/>
          <w:kern w:val="0"/>
          <w:sz w:val="21"/>
          <w:szCs w:val="21"/>
        </w:rPr>
      </w:pPr>
    </w:p>
    <w:p w14:paraId="3301B0BC">
      <w:pPr>
        <w:autoSpaceDE w:val="0"/>
        <w:autoSpaceDN w:val="0"/>
        <w:adjustRightInd w:val="0"/>
        <w:spacing w:line="360" w:lineRule="auto"/>
        <w:ind w:right="-54" w:firstLine="630" w:firstLineChars="300"/>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lang w:eastAsia="zh-CN"/>
        </w:rPr>
        <w:t>浦江县水文管理中心</w:t>
      </w:r>
      <w:r>
        <w:rPr>
          <w:rFonts w:hint="eastAsia" w:ascii="宋体" w:hAnsi="宋体" w:eastAsia="宋体" w:cs="宋体"/>
          <w:sz w:val="21"/>
          <w:szCs w:val="21"/>
        </w:rPr>
        <w:t>（单位名称）的</w:t>
      </w:r>
      <w:r>
        <w:rPr>
          <w:rFonts w:hint="eastAsia" w:ascii="宋体" w:hAnsi="宋体" w:eastAsia="宋体" w:cs="宋体"/>
          <w:sz w:val="21"/>
          <w:szCs w:val="21"/>
          <w:u w:val="single"/>
          <w:lang w:eastAsia="zh-CN"/>
        </w:rPr>
        <w:t>浦江县2024年水文设施标准化管理项目</w:t>
      </w:r>
      <w:r>
        <w:rPr>
          <w:rFonts w:hint="eastAsia" w:ascii="宋体" w:hAnsi="宋体" w:eastAsia="宋体" w:cs="宋体"/>
          <w:sz w:val="21"/>
          <w:szCs w:val="21"/>
        </w:rPr>
        <w:t>采购活动，</w:t>
      </w:r>
      <w:r>
        <w:rPr>
          <w:rFonts w:hint="eastAsia" w:ascii="宋体" w:hAnsi="宋体" w:eastAsia="宋体" w:cs="宋体"/>
          <w:color w:val="auto"/>
          <w:kern w:val="0"/>
          <w:sz w:val="21"/>
          <w:szCs w:val="21"/>
        </w:rPr>
        <w:t>工程的施工单位全部为符合政策要求的中小企业（或者：服务全部由符合政策要求的中小企业承接）。相关企业（含联合体中的中小企业、签订分包意向协议的中小企业）的具体情况如下：</w:t>
      </w:r>
    </w:p>
    <w:p w14:paraId="7919DB73">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1.</w:t>
      </w:r>
      <w:r>
        <w:rPr>
          <w:rFonts w:hint="eastAsia" w:ascii="宋体" w:hAnsi="宋体" w:eastAsia="宋体" w:cs="宋体"/>
          <w:color w:val="auto"/>
          <w:kern w:val="0"/>
          <w:sz w:val="21"/>
          <w:szCs w:val="21"/>
          <w:u w:val="single"/>
          <w:lang w:eastAsia="zh-CN"/>
        </w:rPr>
        <w:t>浦江县2024年水文设施标准化管理项目</w:t>
      </w:r>
      <w:r>
        <w:rPr>
          <w:rFonts w:hint="eastAsia" w:ascii="宋体" w:hAnsi="宋体" w:eastAsia="宋体" w:cs="宋体"/>
          <w:iCs/>
          <w:color w:val="auto"/>
          <w:w w:val="99"/>
          <w:sz w:val="21"/>
          <w:szCs w:val="21"/>
        </w:rPr>
        <w:t>，</w:t>
      </w:r>
      <w:r>
        <w:rPr>
          <w:rFonts w:hint="eastAsia" w:ascii="宋体" w:hAnsi="宋体" w:eastAsia="宋体" w:cs="宋体"/>
          <w:color w:val="auto"/>
          <w:kern w:val="0"/>
          <w:sz w:val="21"/>
          <w:szCs w:val="21"/>
        </w:rPr>
        <w:t>属于</w:t>
      </w:r>
      <w:r>
        <w:rPr>
          <w:rFonts w:hint="eastAsia" w:ascii="宋体" w:hAnsi="宋体" w:eastAsia="宋体" w:cs="宋体"/>
          <w:b/>
          <w:bCs/>
          <w:color w:val="auto"/>
          <w:kern w:val="0"/>
          <w:sz w:val="21"/>
          <w:szCs w:val="21"/>
          <w:u w:val="single"/>
          <w:lang w:eastAsia="zh-CN"/>
        </w:rPr>
        <w:t>（十六）其他未列明行业</w:t>
      </w:r>
      <w:r>
        <w:rPr>
          <w:rFonts w:hint="eastAsia" w:ascii="宋体" w:hAnsi="宋体" w:eastAsia="宋体" w:cs="宋体"/>
          <w:color w:val="auto"/>
          <w:kern w:val="0"/>
          <w:sz w:val="21"/>
          <w:szCs w:val="21"/>
          <w:u w:val="single"/>
        </w:rPr>
        <w:t>（采购文件中明确的所属行业）</w:t>
      </w:r>
      <w:r>
        <w:rPr>
          <w:rFonts w:hint="eastAsia" w:ascii="宋体" w:hAnsi="宋体" w:eastAsia="宋体" w:cs="宋体"/>
          <w:iCs/>
          <w:color w:val="auto"/>
          <w:w w:val="99"/>
          <w:sz w:val="21"/>
          <w:szCs w:val="21"/>
        </w:rPr>
        <w:t>；</w:t>
      </w:r>
      <w:r>
        <w:rPr>
          <w:rFonts w:hint="eastAsia" w:ascii="宋体" w:hAnsi="宋体" w:eastAsia="宋体" w:cs="宋体"/>
          <w:color w:val="auto"/>
          <w:kern w:val="0"/>
          <w:sz w:val="21"/>
          <w:szCs w:val="21"/>
        </w:rPr>
        <w:t>承建（承接）企业为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（企业名称）</w:t>
      </w:r>
      <w:r>
        <w:rPr>
          <w:rFonts w:hint="eastAsia" w:ascii="宋体" w:hAnsi="宋体" w:eastAsia="宋体" w:cs="宋体"/>
          <w:color w:val="auto"/>
          <w:kern w:val="0"/>
          <w:sz w:val="21"/>
          <w:szCs w:val="21"/>
        </w:rPr>
        <w:t>，从业人员</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人，营业收入为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万元，</w:t>
      </w:r>
      <w:r>
        <w:rPr>
          <w:rFonts w:hint="eastAsia" w:ascii="宋体" w:hAnsi="宋体" w:eastAsia="宋体" w:cs="宋体"/>
          <w:iCs/>
          <w:color w:val="auto"/>
          <w:sz w:val="21"/>
          <w:szCs w:val="21"/>
        </w:rPr>
        <w:t>资产总额为</w:t>
      </w:r>
      <w:r>
        <w:rPr>
          <w:rFonts w:hint="eastAsia" w:ascii="宋体" w:hAnsi="宋体" w:eastAsia="宋体" w:cs="宋体"/>
          <w:iCs/>
          <w:color w:val="auto"/>
          <w:sz w:val="21"/>
          <w:szCs w:val="21"/>
          <w:u w:val="single"/>
        </w:rPr>
        <w:t xml:space="preserve"> </w:t>
      </w:r>
      <w:r>
        <w:rPr>
          <w:rFonts w:hint="eastAsia" w:ascii="宋体" w:hAnsi="宋体" w:eastAsia="宋体" w:cs="宋体"/>
          <w:iCs/>
          <w:color w:val="auto"/>
          <w:sz w:val="21"/>
          <w:szCs w:val="21"/>
          <w:u w:val="single"/>
        </w:rPr>
        <w:tab/>
      </w:r>
      <w:r>
        <w:rPr>
          <w:rFonts w:hint="eastAsia" w:ascii="宋体" w:hAnsi="宋体" w:eastAsia="宋体" w:cs="宋体"/>
          <w:iCs/>
          <w:color w:val="auto"/>
          <w:sz w:val="21"/>
          <w:szCs w:val="21"/>
        </w:rPr>
        <w:t>万元</w:t>
      </w:r>
      <w:r>
        <w:rPr>
          <w:rFonts w:hint="eastAsia" w:ascii="宋体" w:hAnsi="宋体" w:eastAsia="宋体" w:cs="宋体"/>
          <w:color w:val="auto"/>
          <w:kern w:val="0"/>
          <w:sz w:val="21"/>
          <w:szCs w:val="21"/>
        </w:rPr>
        <w:t>，属于</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b/>
          <w:bCs/>
          <w:color w:val="auto"/>
          <w:kern w:val="0"/>
          <w:sz w:val="21"/>
          <w:szCs w:val="21"/>
          <w:u w:val="single"/>
          <w:lang w:val="en-US" w:eastAsia="zh-CN"/>
        </w:rPr>
        <w:t>企业</w:t>
      </w:r>
      <w:r>
        <w:rPr>
          <w:rFonts w:hint="eastAsia" w:ascii="宋体" w:hAnsi="宋体" w:eastAsia="宋体" w:cs="宋体"/>
          <w:color w:val="auto"/>
          <w:kern w:val="0"/>
          <w:sz w:val="21"/>
          <w:szCs w:val="21"/>
          <w:u w:val="none"/>
        </w:rPr>
        <w:t>（中型企业、小型企业、微型企业）</w:t>
      </w:r>
      <w:r>
        <w:rPr>
          <w:rFonts w:hint="eastAsia" w:ascii="宋体" w:hAnsi="宋体" w:eastAsia="宋体" w:cs="宋体"/>
          <w:color w:val="auto"/>
          <w:kern w:val="0"/>
          <w:sz w:val="21"/>
          <w:szCs w:val="21"/>
        </w:rPr>
        <w:t>；</w:t>
      </w:r>
    </w:p>
    <w:p w14:paraId="08C43242">
      <w:pPr>
        <w:widowControl w:val="0"/>
        <w:autoSpaceDE w:val="0"/>
        <w:autoSpaceDN w:val="0"/>
        <w:adjustRightInd w:val="0"/>
        <w:spacing w:after="120" w:line="240" w:lineRule="auto"/>
        <w:ind w:left="0" w:leftChars="0" w:firstLine="420" w:firstLineChars="200"/>
        <w:jc w:val="both"/>
        <w:textAlignment w:val="baseline"/>
        <w:rPr>
          <w:rFonts w:hint="eastAsia" w:ascii="宋体" w:hAnsi="宋体" w:eastAsia="宋体" w:cs="宋体"/>
          <w:color w:val="auto"/>
          <w:kern w:val="0"/>
          <w:sz w:val="21"/>
          <w:szCs w:val="21"/>
          <w:lang w:val="en-US" w:eastAsia="zh-CN" w:bidi="ar-SA"/>
        </w:rPr>
      </w:pPr>
      <w:r>
        <w:rPr>
          <w:rFonts w:hint="eastAsia" w:ascii="宋体" w:hAnsi="宋体" w:eastAsia="宋体" w:cs="宋体"/>
          <w:iCs/>
          <w:color w:val="auto"/>
          <w:kern w:val="0"/>
          <w:sz w:val="21"/>
          <w:szCs w:val="21"/>
          <w:lang w:val="en-US" w:eastAsia="zh-CN" w:bidi="ar-SA"/>
        </w:rPr>
        <w:t>……</w:t>
      </w:r>
    </w:p>
    <w:p w14:paraId="7EAE5481">
      <w:pPr>
        <w:autoSpaceDE w:val="0"/>
        <w:autoSpaceDN w:val="0"/>
        <w:adjustRightInd w:val="0"/>
        <w:spacing w:before="108" w:line="360" w:lineRule="auto"/>
        <w:ind w:right="-54" w:firstLine="645"/>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以上企业，不属于大企业的分支机构，不存在控股股东为大企业的情形，也不存在与大企业的负责人为同一人的情形。</w:t>
      </w:r>
    </w:p>
    <w:p w14:paraId="0BBED93F">
      <w:pPr>
        <w:autoSpaceDE w:val="0"/>
        <w:autoSpaceDN w:val="0"/>
        <w:adjustRightInd w:val="0"/>
        <w:spacing w:line="360" w:lineRule="auto"/>
        <w:ind w:right="-54" w:firstLine="640"/>
        <w:jc w:val="left"/>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本企业对上述声明内容的真实性负责。如有虚假，将依法承担相应责任。</w:t>
      </w:r>
    </w:p>
    <w:p w14:paraId="72F41948">
      <w:pPr>
        <w:autoSpaceDE w:val="0"/>
        <w:autoSpaceDN w:val="0"/>
        <w:adjustRightInd w:val="0"/>
        <w:spacing w:line="360" w:lineRule="auto"/>
        <w:ind w:left="3200" w:firstLine="720"/>
        <w:jc w:val="left"/>
        <w:rPr>
          <w:rFonts w:hint="eastAsia" w:ascii="宋体" w:hAnsi="宋体" w:eastAsia="宋体" w:cs="宋体"/>
          <w:color w:val="auto"/>
          <w:kern w:val="0"/>
          <w:sz w:val="21"/>
          <w:szCs w:val="21"/>
        </w:rPr>
      </w:pPr>
    </w:p>
    <w:p w14:paraId="039E6424">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投标人名称（电子签章）：</w:t>
      </w:r>
    </w:p>
    <w:p w14:paraId="09CC8017">
      <w:pPr>
        <w:autoSpaceDE w:val="0"/>
        <w:autoSpaceDN w:val="0"/>
        <w:adjustRightInd w:val="0"/>
        <w:spacing w:line="360" w:lineRule="auto"/>
        <w:ind w:firstLine="420" w:firstLineChars="200"/>
        <w:jc w:val="left"/>
        <w:rPr>
          <w:rFonts w:hint="eastAsia" w:ascii="宋体" w:hAnsi="宋体" w:eastAsia="宋体" w:cs="宋体"/>
          <w:b/>
          <w:color w:val="auto"/>
          <w:sz w:val="21"/>
          <w:szCs w:val="21"/>
        </w:rPr>
      </w:pPr>
      <w:r>
        <w:rPr>
          <w:rFonts w:hint="eastAsia" w:ascii="宋体" w:hAnsi="宋体" w:eastAsia="宋体" w:cs="宋体"/>
          <w:color w:val="auto"/>
          <w:kern w:val="0"/>
          <w:sz w:val="21"/>
          <w:szCs w:val="21"/>
        </w:rPr>
        <w:t>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14:paraId="04C402B8">
      <w:pPr>
        <w:keepNext w:val="0"/>
        <w:keepLines w:val="0"/>
        <w:pageBreakBefore w:val="0"/>
        <w:widowControl w:val="0"/>
        <w:kinsoku/>
        <w:wordWrap/>
        <w:overflowPunct/>
        <w:topLinePunct w:val="0"/>
        <w:autoSpaceDE/>
        <w:autoSpaceDN/>
        <w:bidi w:val="0"/>
        <w:adjustRightInd/>
        <w:snapToGrid w:val="0"/>
        <w:spacing w:line="360" w:lineRule="auto"/>
        <w:ind w:left="0" w:leftChars="0"/>
        <w:jc w:val="center"/>
        <w:textAlignment w:val="auto"/>
        <w:rPr>
          <w:rFonts w:hint="eastAsia" w:ascii="宋体" w:hAnsi="宋体" w:eastAsia="宋体" w:cs="宋体"/>
          <w:b/>
          <w:color w:val="auto"/>
          <w:sz w:val="21"/>
          <w:szCs w:val="21"/>
          <w:highlight w:val="none"/>
        </w:rPr>
      </w:pPr>
    </w:p>
    <w:p w14:paraId="3E77C0D5">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auto"/>
          <w:kern w:val="2"/>
          <w:sz w:val="21"/>
          <w:szCs w:val="21"/>
          <w:highlight w:val="none"/>
          <w:lang w:val="zh-TW" w:eastAsia="zh-TW" w:bidi="zh-TW"/>
        </w:rPr>
      </w:pPr>
    </w:p>
    <w:p w14:paraId="44D9A3CC">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bCs/>
          <w:color w:val="auto"/>
          <w:kern w:val="2"/>
          <w:sz w:val="21"/>
          <w:szCs w:val="21"/>
          <w:highlight w:val="none"/>
          <w:lang w:val="zh-TW" w:eastAsia="zh-TW" w:bidi="zh-TW"/>
        </w:rPr>
        <w:t>填写要求：</w:t>
      </w:r>
      <w:r>
        <w:rPr>
          <w:rFonts w:hint="eastAsia" w:ascii="宋体" w:hAnsi="宋体" w:eastAsia="宋体" w:cs="宋体"/>
          <w:b w:val="0"/>
          <w:bCs w:val="0"/>
          <w:color w:val="auto"/>
          <w:kern w:val="2"/>
          <w:sz w:val="21"/>
          <w:szCs w:val="21"/>
          <w:highlight w:val="none"/>
          <w:lang w:val="zh-TW" w:eastAsia="zh-TW" w:bidi="zh-TW"/>
        </w:rPr>
        <w:t>① “采购文件中明确的所属行业”依据</w:t>
      </w:r>
      <w:r>
        <w:rPr>
          <w:rFonts w:hint="eastAsia" w:ascii="宋体" w:hAnsi="宋体" w:eastAsia="宋体" w:cs="宋体"/>
          <w:b w:val="0"/>
          <w:bCs w:val="0"/>
          <w:color w:val="auto"/>
          <w:kern w:val="2"/>
          <w:sz w:val="21"/>
          <w:szCs w:val="21"/>
          <w:highlight w:val="none"/>
          <w:lang w:val="zh-TW" w:eastAsia="zh-CN" w:bidi="zh-TW"/>
        </w:rPr>
        <w:t>采购</w:t>
      </w:r>
      <w:r>
        <w:rPr>
          <w:rFonts w:hint="eastAsia" w:ascii="宋体" w:hAnsi="宋体" w:eastAsia="宋体" w:cs="宋体"/>
          <w:b w:val="0"/>
          <w:bCs w:val="0"/>
          <w:color w:val="auto"/>
          <w:kern w:val="2"/>
          <w:sz w:val="21"/>
          <w:szCs w:val="21"/>
          <w:highlight w:val="none"/>
          <w:lang w:val="zh-TW" w:eastAsia="zh-TW" w:bidi="zh-TW"/>
        </w:rPr>
        <w:t>文件</w:t>
      </w:r>
      <w:r>
        <w:rPr>
          <w:rFonts w:hint="eastAsia" w:ascii="宋体" w:hAnsi="宋体" w:eastAsia="宋体" w:cs="宋体"/>
          <w:b w:val="0"/>
          <w:bCs w:val="0"/>
          <w:color w:val="auto"/>
          <w:kern w:val="2"/>
          <w:sz w:val="21"/>
          <w:szCs w:val="21"/>
          <w:highlight w:val="none"/>
          <w:lang w:val="zh-TW" w:eastAsia="zh-CN" w:bidi="zh-TW"/>
        </w:rPr>
        <w:t>资格要求中</w:t>
      </w:r>
      <w:r>
        <w:rPr>
          <w:rFonts w:hint="eastAsia" w:ascii="宋体" w:hAnsi="宋体" w:eastAsia="宋体" w:cs="宋体"/>
          <w:b w:val="0"/>
          <w:bCs w:val="0"/>
          <w:color w:val="auto"/>
          <w:kern w:val="2"/>
          <w:sz w:val="21"/>
          <w:szCs w:val="21"/>
          <w:highlight w:val="none"/>
          <w:lang w:val="zh-TW" w:eastAsia="zh-TW" w:bidi="zh-TW"/>
        </w:rPr>
        <w:t>“本项目明确的所属行业类别”填写，</w:t>
      </w:r>
      <w:r>
        <w:rPr>
          <w:rFonts w:hint="eastAsia" w:ascii="宋体" w:hAnsi="宋体" w:eastAsia="宋体" w:cs="宋体"/>
          <w:b/>
          <w:bCs/>
          <w:color w:val="auto"/>
          <w:kern w:val="2"/>
          <w:sz w:val="21"/>
          <w:szCs w:val="21"/>
          <w:highlight w:val="none"/>
          <w:lang w:val="zh-TW" w:eastAsia="zh-TW" w:bidi="zh-TW"/>
        </w:rPr>
        <w:t>不得缺漏</w:t>
      </w:r>
      <w:r>
        <w:rPr>
          <w:rFonts w:hint="eastAsia" w:ascii="宋体" w:hAnsi="宋体" w:eastAsia="宋体" w:cs="宋体"/>
          <w:b w:val="0"/>
          <w:bCs w:val="0"/>
          <w:color w:val="auto"/>
          <w:kern w:val="2"/>
          <w:sz w:val="21"/>
          <w:szCs w:val="21"/>
          <w:highlight w:val="none"/>
          <w:lang w:val="zh-TW" w:eastAsia="zh-TW" w:bidi="zh-TW"/>
        </w:rPr>
        <w:t>；</w:t>
      </w:r>
    </w:p>
    <w:p w14:paraId="30D675A8">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zh-TW" w:eastAsia="zh-TW" w:bidi="zh-TW"/>
        </w:rPr>
        <w:t>②</w:t>
      </w:r>
      <w:r>
        <w:rPr>
          <w:rFonts w:hint="eastAsia" w:ascii="宋体" w:hAnsi="宋体" w:eastAsia="宋体" w:cs="宋体"/>
          <w:b/>
          <w:bCs/>
          <w:color w:val="auto"/>
          <w:kern w:val="2"/>
          <w:sz w:val="21"/>
          <w:szCs w:val="21"/>
          <w:highlight w:val="none"/>
          <w:lang w:val="zh-TW" w:eastAsia="zh-TW" w:bidi="zh-TW"/>
        </w:rPr>
        <w:t>从业人员、营业收入、资产总额填报上一年度数据，无上一年度数据的新成立企业可不填报</w:t>
      </w:r>
      <w:r>
        <w:rPr>
          <w:rFonts w:hint="eastAsia" w:ascii="宋体" w:hAnsi="宋体" w:eastAsia="宋体" w:cs="宋体"/>
          <w:b w:val="0"/>
          <w:bCs w:val="0"/>
          <w:color w:val="auto"/>
          <w:kern w:val="2"/>
          <w:sz w:val="21"/>
          <w:szCs w:val="21"/>
          <w:highlight w:val="none"/>
          <w:lang w:val="zh-TW" w:eastAsia="zh-TW" w:bidi="zh-TW"/>
        </w:rPr>
        <w:t>；</w:t>
      </w:r>
    </w:p>
    <w:p w14:paraId="26852F37">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val="0"/>
          <w:bCs w:val="0"/>
          <w:color w:val="auto"/>
          <w:kern w:val="2"/>
          <w:sz w:val="21"/>
          <w:szCs w:val="21"/>
          <w:highlight w:val="none"/>
          <w:lang w:val="zh-TW" w:eastAsia="zh-TW" w:bidi="zh-TW"/>
        </w:rPr>
      </w:pPr>
      <w:r>
        <w:rPr>
          <w:rFonts w:hint="eastAsia" w:ascii="宋体" w:hAnsi="宋体" w:eastAsia="宋体" w:cs="宋体"/>
          <w:b w:val="0"/>
          <w:bCs w:val="0"/>
          <w:color w:val="auto"/>
          <w:kern w:val="2"/>
          <w:sz w:val="21"/>
          <w:szCs w:val="21"/>
          <w:highlight w:val="none"/>
          <w:lang w:val="zh-TW" w:eastAsia="zh-TW" w:bidi="zh-TW"/>
        </w:rPr>
        <w:t>③中型企业、小型企业、微型企业等3种企业类型，结合以上数据，依据《中小企业划型标准规定》（</w:t>
      </w:r>
      <w:r>
        <w:rPr>
          <w:rFonts w:hint="eastAsia" w:ascii="宋体" w:hAnsi="宋体" w:eastAsia="宋体" w:cs="宋体"/>
          <w:b/>
          <w:bCs/>
          <w:color w:val="auto"/>
          <w:kern w:val="2"/>
          <w:sz w:val="21"/>
          <w:szCs w:val="21"/>
          <w:highlight w:val="none"/>
          <w:lang w:val="zh-TW" w:eastAsia="zh-TW" w:bidi="zh-TW"/>
        </w:rPr>
        <w:t>工信部联企业〔2011〕300号</w:t>
      </w:r>
      <w:r>
        <w:rPr>
          <w:rFonts w:hint="eastAsia" w:ascii="宋体" w:hAnsi="宋体" w:eastAsia="宋体" w:cs="宋体"/>
          <w:b w:val="0"/>
          <w:bCs w:val="0"/>
          <w:color w:val="auto"/>
          <w:kern w:val="2"/>
          <w:sz w:val="21"/>
          <w:szCs w:val="21"/>
          <w:highlight w:val="none"/>
          <w:lang w:val="zh-TW" w:eastAsia="zh-CN" w:bidi="zh-TW"/>
        </w:rPr>
        <w:t>）</w:t>
      </w:r>
      <w:r>
        <w:rPr>
          <w:rFonts w:hint="eastAsia" w:ascii="宋体" w:hAnsi="宋体" w:eastAsia="宋体" w:cs="宋体"/>
          <w:b w:val="0"/>
          <w:bCs w:val="0"/>
          <w:color w:val="auto"/>
          <w:kern w:val="2"/>
          <w:sz w:val="21"/>
          <w:szCs w:val="21"/>
          <w:highlight w:val="none"/>
          <w:lang w:val="en-US" w:eastAsia="zh-CN" w:bidi="zh-TW"/>
        </w:rPr>
        <w:t>中的“</w:t>
      </w:r>
      <w:r>
        <w:rPr>
          <w:rFonts w:hint="eastAsia" w:ascii="宋体" w:hAnsi="宋体" w:eastAsia="宋体" w:cs="宋体"/>
          <w:b/>
          <w:bCs/>
          <w:color w:val="auto"/>
          <w:kern w:val="2"/>
          <w:sz w:val="21"/>
          <w:szCs w:val="21"/>
          <w:highlight w:val="none"/>
          <w:lang w:val="en-US" w:eastAsia="zh-CN" w:bidi="zh-TW"/>
        </w:rPr>
        <w:t>（十六）其他未列明行业</w:t>
      </w:r>
      <w:r>
        <w:rPr>
          <w:rFonts w:hint="eastAsia" w:ascii="宋体" w:hAnsi="宋体" w:eastAsia="宋体" w:cs="宋体"/>
          <w:b w:val="0"/>
          <w:bCs w:val="0"/>
          <w:color w:val="auto"/>
          <w:kern w:val="2"/>
          <w:sz w:val="21"/>
          <w:szCs w:val="21"/>
          <w:highlight w:val="none"/>
          <w:lang w:val="en-US" w:eastAsia="zh-CN" w:bidi="zh-TW"/>
        </w:rPr>
        <w:t>。从业人员300人以下的为中小微型企业。其中，从业人员100人及以上的为</w:t>
      </w:r>
      <w:r>
        <w:rPr>
          <w:rFonts w:hint="eastAsia" w:ascii="宋体" w:hAnsi="宋体" w:eastAsia="宋体" w:cs="宋体"/>
          <w:b/>
          <w:bCs/>
          <w:color w:val="auto"/>
          <w:kern w:val="2"/>
          <w:sz w:val="21"/>
          <w:szCs w:val="21"/>
          <w:highlight w:val="none"/>
          <w:lang w:val="en-US" w:eastAsia="zh-CN" w:bidi="zh-TW"/>
        </w:rPr>
        <w:t>中型企业</w:t>
      </w:r>
      <w:r>
        <w:rPr>
          <w:rFonts w:hint="eastAsia" w:ascii="宋体" w:hAnsi="宋体" w:eastAsia="宋体" w:cs="宋体"/>
          <w:b w:val="0"/>
          <w:bCs w:val="0"/>
          <w:color w:val="auto"/>
          <w:kern w:val="2"/>
          <w:sz w:val="21"/>
          <w:szCs w:val="21"/>
          <w:highlight w:val="none"/>
          <w:lang w:val="en-US" w:eastAsia="zh-CN" w:bidi="zh-TW"/>
        </w:rPr>
        <w:t>；从业人员10人及以上的为</w:t>
      </w:r>
      <w:r>
        <w:rPr>
          <w:rFonts w:hint="eastAsia" w:ascii="宋体" w:hAnsi="宋体" w:eastAsia="宋体" w:cs="宋体"/>
          <w:b/>
          <w:bCs/>
          <w:color w:val="auto"/>
          <w:kern w:val="2"/>
          <w:sz w:val="21"/>
          <w:szCs w:val="21"/>
          <w:highlight w:val="none"/>
          <w:lang w:val="en-US" w:eastAsia="zh-CN" w:bidi="zh-TW"/>
        </w:rPr>
        <w:t>小型企业</w:t>
      </w:r>
      <w:r>
        <w:rPr>
          <w:rFonts w:hint="eastAsia" w:ascii="宋体" w:hAnsi="宋体" w:eastAsia="宋体" w:cs="宋体"/>
          <w:b w:val="0"/>
          <w:bCs w:val="0"/>
          <w:color w:val="auto"/>
          <w:kern w:val="2"/>
          <w:sz w:val="21"/>
          <w:szCs w:val="21"/>
          <w:highlight w:val="none"/>
          <w:lang w:val="en-US" w:eastAsia="zh-CN" w:bidi="zh-TW"/>
        </w:rPr>
        <w:t>；从业人员10人以的为</w:t>
      </w:r>
      <w:r>
        <w:rPr>
          <w:rFonts w:hint="eastAsia" w:ascii="宋体" w:hAnsi="宋体" w:eastAsia="宋体" w:cs="宋体"/>
          <w:b/>
          <w:bCs/>
          <w:color w:val="auto"/>
          <w:kern w:val="2"/>
          <w:sz w:val="21"/>
          <w:szCs w:val="21"/>
          <w:highlight w:val="none"/>
          <w:lang w:val="en-US" w:eastAsia="zh-CN" w:bidi="zh-TW"/>
        </w:rPr>
        <w:t>微型企业</w:t>
      </w:r>
      <w:r>
        <w:rPr>
          <w:rFonts w:hint="eastAsia" w:ascii="宋体" w:hAnsi="宋体" w:eastAsia="宋体" w:cs="宋体"/>
          <w:b w:val="0"/>
          <w:bCs w:val="0"/>
          <w:color w:val="auto"/>
          <w:kern w:val="2"/>
          <w:sz w:val="21"/>
          <w:szCs w:val="21"/>
          <w:highlight w:val="none"/>
          <w:lang w:val="zh-TW" w:eastAsia="zh-TW" w:bidi="zh-TW"/>
        </w:rPr>
        <w:t>；</w:t>
      </w:r>
    </w:p>
    <w:p w14:paraId="278E2BE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b w:val="0"/>
          <w:bCs w:val="0"/>
          <w:color w:val="auto"/>
          <w:kern w:val="2"/>
          <w:sz w:val="21"/>
          <w:szCs w:val="21"/>
          <w:highlight w:val="none"/>
          <w:lang w:val="zh-TW" w:eastAsia="zh-TW" w:bidi="zh-TW"/>
        </w:rPr>
        <w:t>④</w:t>
      </w:r>
      <w:r>
        <w:rPr>
          <w:rFonts w:hint="eastAsia" w:ascii="宋体" w:hAnsi="宋体" w:eastAsia="宋体" w:cs="宋体"/>
          <w:b w:val="0"/>
          <w:bCs w:val="0"/>
          <w:color w:val="auto"/>
          <w:kern w:val="2"/>
          <w:sz w:val="21"/>
          <w:szCs w:val="21"/>
          <w:highlight w:val="none"/>
          <w:lang w:val="zh-TW" w:eastAsia="zh-CN" w:bidi="zh-TW"/>
        </w:rPr>
        <w:t>供应商</w:t>
      </w:r>
      <w:r>
        <w:rPr>
          <w:rFonts w:hint="eastAsia" w:ascii="宋体" w:hAnsi="宋体" w:eastAsia="宋体" w:cs="宋体"/>
          <w:b w:val="0"/>
          <w:bCs w:val="0"/>
          <w:color w:val="auto"/>
          <w:kern w:val="2"/>
          <w:sz w:val="21"/>
          <w:szCs w:val="21"/>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r>
        <w:rPr>
          <w:rFonts w:hint="eastAsia" w:ascii="宋体" w:hAnsi="宋体" w:eastAsia="宋体" w:cs="宋体"/>
          <w:sz w:val="21"/>
          <w:szCs w:val="21"/>
          <w:lang w:val="zh-TW" w:eastAsia="zh-TW"/>
        </w:rPr>
        <w:t>。</w:t>
      </w:r>
    </w:p>
    <w:p w14:paraId="37E6D3C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4195658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残疾人福利性单位声明函格式：</w:t>
      </w:r>
    </w:p>
    <w:p w14:paraId="2C2D1955">
      <w:pPr>
        <w:spacing w:line="240" w:lineRule="auto"/>
        <w:jc w:val="center"/>
        <w:rPr>
          <w:rFonts w:hint="eastAsia" w:asciiTheme="minorEastAsia" w:hAnsiTheme="minorEastAsia" w:eastAsiaTheme="minorEastAsia" w:cstheme="minorEastAsia"/>
          <w:b/>
          <w:bCs/>
          <w:color w:val="auto"/>
          <w:sz w:val="30"/>
          <w:szCs w:val="30"/>
          <w:highlight w:val="none"/>
        </w:rPr>
      </w:pPr>
    </w:p>
    <w:p w14:paraId="480258BE">
      <w:pPr>
        <w:spacing w:line="240" w:lineRule="auto"/>
        <w:jc w:val="center"/>
        <w:rPr>
          <w:rFonts w:hint="default"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残疾人福利性单位声明函（如是）</w:t>
      </w:r>
    </w:p>
    <w:p w14:paraId="33288CDD">
      <w:pPr>
        <w:widowControl/>
        <w:spacing w:before="100" w:beforeAutospacing="1" w:after="100" w:afterAutospacing="1" w:line="48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（项目编号）采购活动提供本单位制造的货物（由本单位承担工程/提供服务），或者提供其他残疾人福利性单位制造的货物（不包括使用非残疾人福利性单位注册商标的货物）。</w:t>
      </w:r>
    </w:p>
    <w:p w14:paraId="6791B244">
      <w:pPr>
        <w:widowControl/>
        <w:spacing w:before="100" w:beforeAutospacing="1" w:after="100" w:afterAutospacing="1" w:line="48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14:paraId="6DFBCAEF">
      <w:pPr>
        <w:widowControl/>
        <w:spacing w:before="100" w:beforeAutospacing="1" w:after="100" w:afterAutospacing="1" w:line="48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投标人名称（电子签章）： </w:t>
      </w:r>
    </w:p>
    <w:p w14:paraId="140792A9">
      <w:pPr>
        <w:adjustRightInd w:val="0"/>
        <w:spacing w:line="360" w:lineRule="auto"/>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0687F0C9">
      <w:pPr>
        <w:pStyle w:val="28"/>
        <w:spacing w:line="360" w:lineRule="auto"/>
        <w:rPr>
          <w:rFonts w:hint="eastAsia" w:ascii="宋体" w:hAnsi="宋体" w:eastAsia="宋体" w:cs="宋体"/>
          <w:color w:val="auto"/>
          <w:sz w:val="21"/>
          <w:szCs w:val="21"/>
          <w:highlight w:val="none"/>
        </w:rPr>
      </w:pPr>
    </w:p>
    <w:p w14:paraId="78D021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备注：（1）残疾人福利性单位说明材料：残疾人福利性单位声明函。（2）如提供其他残疾人福利性单位制造的货物，还须同时提供该企业的残疾人福利性单位声明函</w:t>
      </w:r>
      <w:r>
        <w:rPr>
          <w:rFonts w:hint="eastAsia" w:ascii="宋体" w:hAnsi="宋体" w:eastAsia="宋体" w:cs="宋体"/>
          <w:sz w:val="21"/>
          <w:szCs w:val="21"/>
        </w:rPr>
        <w:t>。</w:t>
      </w:r>
    </w:p>
    <w:p w14:paraId="2C85536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49BC1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66699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D7422E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0E06E3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433E6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05D95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8DF26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5C6E7D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C6C90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8E934D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3E26E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B6E0DD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监狱企业声明文件：</w:t>
      </w:r>
    </w:p>
    <w:p w14:paraId="68FB290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监狱企业声明文件(格式自拟）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如是</w:t>
      </w:r>
      <w:r>
        <w:rPr>
          <w:rFonts w:hint="eastAsia" w:ascii="宋体" w:hAnsi="宋体" w:eastAsia="宋体" w:cs="宋体"/>
          <w:sz w:val="21"/>
          <w:szCs w:val="21"/>
          <w:lang w:eastAsia="zh-CN"/>
        </w:rPr>
        <w:t>）</w:t>
      </w:r>
    </w:p>
    <w:p w14:paraId="30E4BA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4D56A2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E3D6C7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7EBB49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23950065">
      <w:pPr>
        <w:bidi w:val="0"/>
        <w:rPr>
          <w:rFonts w:hint="eastAsia" w:ascii="宋体" w:hAnsi="宋体" w:eastAsia="宋体" w:cs="宋体"/>
          <w:b/>
          <w:bCs/>
        </w:rPr>
      </w:pPr>
      <w:r>
        <w:rPr>
          <w:rFonts w:hint="eastAsia" w:ascii="宋体" w:hAnsi="宋体" w:eastAsia="宋体" w:cs="宋体"/>
          <w:b/>
          <w:bCs/>
        </w:rPr>
        <w:t>二、技术商务文件封面格式</w:t>
      </w:r>
    </w:p>
    <w:p w14:paraId="605541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3416496">
      <w:pPr>
        <w:keepNext w:val="0"/>
        <w:keepLines w:val="0"/>
        <w:pageBreakBefore w:val="0"/>
        <w:widowControl w:val="0"/>
        <w:kinsoku/>
        <w:wordWrap/>
        <w:overflowPunct/>
        <w:topLinePunct w:val="0"/>
        <w:autoSpaceDE/>
        <w:autoSpaceDN/>
        <w:bidi w:val="0"/>
        <w:adjustRightInd/>
        <w:snapToGrid/>
        <w:spacing w:line="360" w:lineRule="auto"/>
        <w:ind w:firstLine="880" w:firstLineChars="200"/>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浦江县2024年水文设施标准化管理项目</w:t>
      </w:r>
    </w:p>
    <w:p w14:paraId="7B985A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30226CC">
      <w:pPr>
        <w:spacing w:line="360" w:lineRule="auto"/>
        <w:jc w:val="center"/>
        <w:rPr>
          <w:rFonts w:hint="eastAsia" w:asciiTheme="minorEastAsia" w:hAnsiTheme="minorEastAsia" w:eastAsiaTheme="minorEastAsia" w:cstheme="minorEastAsia"/>
          <w:color w:val="auto"/>
          <w:spacing w:val="40"/>
          <w:w w:val="90"/>
          <w:sz w:val="96"/>
          <w:szCs w:val="96"/>
          <w:highlight w:val="none"/>
          <w:lang w:val="en-US" w:eastAsia="zh-CN" w:bidi="th-TH"/>
        </w:rPr>
      </w:pPr>
    </w:p>
    <w:p w14:paraId="1CA2553A">
      <w:pPr>
        <w:spacing w:line="360" w:lineRule="auto"/>
        <w:jc w:val="center"/>
        <w:rPr>
          <w:rFonts w:hint="eastAsia" w:asciiTheme="minorEastAsia" w:hAnsiTheme="minorEastAsia" w:eastAsiaTheme="minorEastAsia" w:cstheme="minorEastAsia"/>
          <w:color w:val="auto"/>
          <w:spacing w:val="40"/>
          <w:w w:val="90"/>
          <w:sz w:val="96"/>
          <w:szCs w:val="96"/>
          <w:highlight w:val="none"/>
          <w:lang w:val="en-US" w:eastAsia="zh-CN" w:bidi="th-TH"/>
        </w:rPr>
      </w:pPr>
    </w:p>
    <w:p w14:paraId="53C08EF8">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响 应</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715BF030">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（技术商务文件）</w:t>
      </w:r>
    </w:p>
    <w:p w14:paraId="3652EF12">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37FBB8AA">
      <w:pPr>
        <w:spacing w:line="240" w:lineRule="auto"/>
        <w:jc w:val="center"/>
        <w:rPr>
          <w:rFonts w:asciiTheme="minorEastAsia" w:hAnsiTheme="minorEastAsia" w:eastAsiaTheme="minorEastAsia" w:cstheme="minorEastAsia"/>
          <w:b/>
          <w:bCs/>
          <w:color w:val="auto"/>
          <w:sz w:val="28"/>
          <w:szCs w:val="28"/>
          <w:highlight w:val="none"/>
        </w:rPr>
      </w:pPr>
    </w:p>
    <w:p w14:paraId="632000B8">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0E01D9E6">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3530751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339B3CD">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0AFE0F2">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8D9FDD6">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7299EB09">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4BAF15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16E6CB0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1693C441">
      <w:pPr>
        <w:autoSpaceDE w:val="0"/>
        <w:autoSpaceDN w:val="0"/>
        <w:adjustRightInd w:val="0"/>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6A979F8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161BC40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技术商务文件目录</w:t>
      </w:r>
    </w:p>
    <w:p w14:paraId="2FD4355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7C6771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投标人基本情况表（格式见附件）———————页码</w:t>
      </w:r>
    </w:p>
    <w:p w14:paraId="4E20AB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法定代表人资格说明书和法定代表人授权委托书（格式见附件）—————页码</w:t>
      </w:r>
    </w:p>
    <w:p w14:paraId="3DD96B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商务响应表（格式见附件）———————页码</w:t>
      </w:r>
    </w:p>
    <w:p w14:paraId="12810E6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技术响应表（格式见附件）———————页码</w:t>
      </w:r>
    </w:p>
    <w:p w14:paraId="01A4C6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技术商务分自评表（格式见附件）———————页码</w:t>
      </w:r>
    </w:p>
    <w:p w14:paraId="4EED57A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投标人需要说明的其他资料（对照相应项目评分标准，由投标人自行考虑）——页码</w:t>
      </w:r>
    </w:p>
    <w:p w14:paraId="7FC8E13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F1CB8C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注：1.投标人根据技术商务分评分细则附“技术商务分自评表”【（格式见附件）】</w:t>
      </w:r>
      <w:r>
        <w:rPr>
          <w:rFonts w:hint="eastAsia" w:ascii="宋体" w:hAnsi="宋体" w:eastAsia="宋体" w:cs="宋体"/>
          <w:sz w:val="21"/>
          <w:szCs w:val="21"/>
          <w:lang w:eastAsia="zh-CN"/>
        </w:rPr>
        <w:t>；</w:t>
      </w:r>
    </w:p>
    <w:p w14:paraId="72DB90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2.技术商务文件的文字部分及其他未提供格式部分由各投标人根据招标文件要求、评分标准要求自行设置。</w:t>
      </w:r>
    </w:p>
    <w:p w14:paraId="3763BAF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bookmarkStart w:id="97" w:name="_Toc225223761"/>
      <w:bookmarkStart w:id="98" w:name="_Toc110393361"/>
      <w:bookmarkStart w:id="99" w:name="_Toc488936100"/>
      <w:bookmarkStart w:id="100" w:name="_Toc479927873"/>
      <w:bookmarkStart w:id="101" w:name="_Toc483379796"/>
      <w:bookmarkStart w:id="102" w:name="_Toc14746861"/>
      <w:r>
        <w:rPr>
          <w:rFonts w:hint="eastAsia" w:ascii="宋体" w:hAnsi="宋体" w:eastAsia="宋体" w:cs="宋体"/>
          <w:sz w:val="21"/>
          <w:szCs w:val="21"/>
        </w:rPr>
        <w:br w:type="page"/>
      </w:r>
    </w:p>
    <w:p w14:paraId="146A67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投标人基本情况表格式：</w:t>
      </w:r>
    </w:p>
    <w:bookmarkEnd w:id="97"/>
    <w:bookmarkEnd w:id="98"/>
    <w:bookmarkEnd w:id="99"/>
    <w:bookmarkEnd w:id="100"/>
    <w:bookmarkEnd w:id="101"/>
    <w:bookmarkEnd w:id="102"/>
    <w:p w14:paraId="6E85E517">
      <w:pPr>
        <w:snapToGrid w:val="0"/>
        <w:spacing w:before="156" w:beforeLines="50" w:after="50" w:line="240" w:lineRule="auto"/>
        <w:jc w:val="center"/>
        <w:rPr>
          <w:rFonts w:asciiTheme="minorEastAsia" w:hAnsiTheme="minorEastAsia" w:eastAsiaTheme="minorEastAsia" w:cstheme="minorEastAsia"/>
          <w:b/>
          <w:bCs/>
          <w:color w:val="auto"/>
          <w:sz w:val="30"/>
          <w:szCs w:val="24"/>
          <w:highlight w:val="none"/>
        </w:rPr>
      </w:pPr>
      <w:r>
        <w:rPr>
          <w:rFonts w:hint="eastAsia" w:asciiTheme="minorEastAsia" w:hAnsiTheme="minorEastAsia" w:eastAsiaTheme="minorEastAsia" w:cstheme="minorEastAsia"/>
          <w:b/>
          <w:bCs/>
          <w:color w:val="auto"/>
          <w:sz w:val="30"/>
          <w:szCs w:val="24"/>
          <w:highlight w:val="none"/>
        </w:rPr>
        <w:t>投标人基本情况表</w:t>
      </w:r>
    </w:p>
    <w:tbl>
      <w:tblPr>
        <w:tblStyle w:val="23"/>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0A34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299632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2763" w:type="dxa"/>
            <w:gridSpan w:val="3"/>
            <w:vAlign w:val="center"/>
          </w:tcPr>
          <w:p w14:paraId="24D131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368" w:type="dxa"/>
            <w:vAlign w:val="center"/>
          </w:tcPr>
          <w:p w14:paraId="487FC9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p>
        </w:tc>
        <w:tc>
          <w:tcPr>
            <w:tcW w:w="2322" w:type="dxa"/>
            <w:vAlign w:val="center"/>
          </w:tcPr>
          <w:p w14:paraId="53E7E5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BF0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D00283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2763" w:type="dxa"/>
            <w:gridSpan w:val="3"/>
            <w:vAlign w:val="center"/>
          </w:tcPr>
          <w:p w14:paraId="1B201B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368" w:type="dxa"/>
            <w:vAlign w:val="center"/>
          </w:tcPr>
          <w:p w14:paraId="397902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注册登记号</w:t>
            </w:r>
          </w:p>
        </w:tc>
        <w:tc>
          <w:tcPr>
            <w:tcW w:w="2322" w:type="dxa"/>
            <w:vAlign w:val="center"/>
          </w:tcPr>
          <w:p w14:paraId="19C7F14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CD2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B785B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经营地址</w:t>
            </w:r>
          </w:p>
        </w:tc>
        <w:tc>
          <w:tcPr>
            <w:tcW w:w="2763" w:type="dxa"/>
            <w:gridSpan w:val="3"/>
            <w:vAlign w:val="center"/>
          </w:tcPr>
          <w:p w14:paraId="2D59BDA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368" w:type="dxa"/>
            <w:vAlign w:val="center"/>
          </w:tcPr>
          <w:p w14:paraId="1860E8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0"/>
                <w:sz w:val="21"/>
                <w:szCs w:val="21"/>
                <w:highlight w:val="none"/>
              </w:rPr>
            </w:pPr>
            <w:r>
              <w:rPr>
                <w:rFonts w:hint="eastAsia" w:ascii="宋体" w:hAnsi="宋体" w:eastAsia="宋体" w:cs="宋体"/>
                <w:color w:val="auto"/>
                <w:sz w:val="21"/>
                <w:szCs w:val="21"/>
                <w:highlight w:val="none"/>
              </w:rPr>
              <w:t>税务登记证号</w:t>
            </w:r>
          </w:p>
        </w:tc>
        <w:tc>
          <w:tcPr>
            <w:tcW w:w="2322" w:type="dxa"/>
            <w:vAlign w:val="center"/>
          </w:tcPr>
          <w:p w14:paraId="506FB3B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124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78F9AC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p>
        </w:tc>
        <w:tc>
          <w:tcPr>
            <w:tcW w:w="2763" w:type="dxa"/>
            <w:gridSpan w:val="3"/>
            <w:vAlign w:val="center"/>
          </w:tcPr>
          <w:p w14:paraId="44D2E33E">
            <w:pPr>
              <w:pStyle w:val="35"/>
              <w:keepNext w:val="0"/>
              <w:keepLines w:val="0"/>
              <w:widowControl w:val="0"/>
              <w:suppressLineNumbers w:val="0"/>
              <w:spacing w:before="0" w:beforeAutospacing="0" w:after="0" w:afterAutospacing="0" w:line="360" w:lineRule="auto"/>
              <w:ind w:left="2160" w:right="0" w:hanging="480"/>
              <w:rPr>
                <w:rFonts w:hint="eastAsia" w:ascii="宋体" w:hAnsi="宋体" w:eastAsia="宋体" w:cs="宋体"/>
                <w:color w:val="auto"/>
                <w:kern w:val="2"/>
                <w:sz w:val="21"/>
                <w:szCs w:val="21"/>
                <w:highlight w:val="none"/>
              </w:rPr>
            </w:pPr>
          </w:p>
        </w:tc>
        <w:tc>
          <w:tcPr>
            <w:tcW w:w="2368" w:type="dxa"/>
            <w:vAlign w:val="center"/>
          </w:tcPr>
          <w:p w14:paraId="640BF1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34"/>
                <w:sz w:val="21"/>
                <w:szCs w:val="21"/>
                <w:highlight w:val="none"/>
              </w:rPr>
            </w:pPr>
            <w:r>
              <w:rPr>
                <w:rFonts w:hint="eastAsia" w:ascii="宋体" w:hAnsi="宋体" w:eastAsia="宋体" w:cs="宋体"/>
                <w:color w:val="auto"/>
                <w:spacing w:val="34"/>
                <w:sz w:val="21"/>
                <w:szCs w:val="21"/>
                <w:highlight w:val="none"/>
              </w:rPr>
              <w:t>注册资本</w:t>
            </w:r>
          </w:p>
        </w:tc>
        <w:tc>
          <w:tcPr>
            <w:tcW w:w="2322" w:type="dxa"/>
            <w:vAlign w:val="center"/>
          </w:tcPr>
          <w:p w14:paraId="17C7FA0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F88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F9DD0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2763" w:type="dxa"/>
            <w:gridSpan w:val="3"/>
            <w:vAlign w:val="center"/>
          </w:tcPr>
          <w:p w14:paraId="463F426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368" w:type="dxa"/>
            <w:vAlign w:val="center"/>
          </w:tcPr>
          <w:p w14:paraId="06E03E1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营业期限</w:t>
            </w:r>
          </w:p>
        </w:tc>
        <w:tc>
          <w:tcPr>
            <w:tcW w:w="2322" w:type="dxa"/>
            <w:vAlign w:val="center"/>
          </w:tcPr>
          <w:p w14:paraId="1E1981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年 月</w:t>
            </w:r>
          </w:p>
        </w:tc>
      </w:tr>
      <w:tr w14:paraId="3C34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6D711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资质情况</w:t>
            </w:r>
          </w:p>
        </w:tc>
        <w:tc>
          <w:tcPr>
            <w:tcW w:w="7453" w:type="dxa"/>
            <w:gridSpan w:val="5"/>
            <w:vAlign w:val="center"/>
          </w:tcPr>
          <w:p w14:paraId="0BF10E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A8A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F7DAE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员工数量</w:t>
            </w:r>
          </w:p>
        </w:tc>
        <w:tc>
          <w:tcPr>
            <w:tcW w:w="7453" w:type="dxa"/>
            <w:gridSpan w:val="5"/>
            <w:vAlign w:val="center"/>
          </w:tcPr>
          <w:p w14:paraId="646E9D63">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人，其中，高级职称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人，中级职称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w:t>
            </w:r>
          </w:p>
        </w:tc>
      </w:tr>
      <w:tr w14:paraId="0A84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802B7E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763" w:type="dxa"/>
            <w:gridSpan w:val="3"/>
            <w:vAlign w:val="center"/>
          </w:tcPr>
          <w:p w14:paraId="0BC80F8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368" w:type="dxa"/>
            <w:vAlign w:val="center"/>
          </w:tcPr>
          <w:p w14:paraId="4103C5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322" w:type="dxa"/>
            <w:vAlign w:val="center"/>
          </w:tcPr>
          <w:p w14:paraId="5013436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D76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0CC4A9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主要业绩</w:t>
            </w:r>
          </w:p>
        </w:tc>
        <w:tc>
          <w:tcPr>
            <w:tcW w:w="7453" w:type="dxa"/>
            <w:gridSpan w:val="5"/>
            <w:vAlign w:val="center"/>
          </w:tcPr>
          <w:p w14:paraId="6B4D2458">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p w14:paraId="6074C93B">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36A6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737B2B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 定 代 表 人 基 本 情 况</w:t>
            </w:r>
          </w:p>
        </w:tc>
      </w:tr>
      <w:tr w14:paraId="52F3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59FE9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2763" w:type="dxa"/>
            <w:gridSpan w:val="3"/>
            <w:vAlign w:val="center"/>
          </w:tcPr>
          <w:p w14:paraId="41E5B28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368" w:type="dxa"/>
            <w:vAlign w:val="center"/>
          </w:tcPr>
          <w:p w14:paraId="018490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2322" w:type="dxa"/>
            <w:vAlign w:val="center"/>
          </w:tcPr>
          <w:p w14:paraId="32BD38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18E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449A0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923" w:type="dxa"/>
            <w:vAlign w:val="center"/>
          </w:tcPr>
          <w:p w14:paraId="459DAA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70" w:type="dxa"/>
            <w:vAlign w:val="center"/>
          </w:tcPr>
          <w:p w14:paraId="080E2E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770" w:type="dxa"/>
            <w:vAlign w:val="center"/>
          </w:tcPr>
          <w:p w14:paraId="6E02AF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368" w:type="dxa"/>
            <w:vAlign w:val="center"/>
          </w:tcPr>
          <w:p w14:paraId="42D452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    历</w:t>
            </w:r>
          </w:p>
        </w:tc>
        <w:tc>
          <w:tcPr>
            <w:tcW w:w="2322" w:type="dxa"/>
            <w:vAlign w:val="center"/>
          </w:tcPr>
          <w:p w14:paraId="6A5940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433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21BC8D92">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bl>
    <w:p w14:paraId="3E5A760A">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兹说明上述声明是真实、正确的，并提供了全部能提供的资料和数据，我们同意遵照贵方要求出示有关说明文件。</w:t>
      </w:r>
    </w:p>
    <w:p w14:paraId="58108C7B">
      <w:pPr>
        <w:spacing w:line="240" w:lineRule="auto"/>
        <w:rPr>
          <w:rFonts w:hint="eastAsia" w:ascii="宋体" w:hAnsi="宋体" w:eastAsia="宋体" w:cs="宋体"/>
          <w:b/>
          <w:color w:val="auto"/>
          <w:sz w:val="21"/>
          <w:szCs w:val="21"/>
          <w:highlight w:val="none"/>
        </w:rPr>
      </w:pPr>
    </w:p>
    <w:p w14:paraId="70D319FB">
      <w:pPr>
        <w:spacing w:line="24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投标人名称（电子签章）：</w:t>
      </w:r>
      <w:r>
        <w:rPr>
          <w:rFonts w:hint="eastAsia" w:ascii="宋体" w:hAnsi="宋体" w:eastAsia="宋体" w:cs="宋体"/>
          <w:color w:val="auto"/>
          <w:sz w:val="21"/>
          <w:szCs w:val="21"/>
          <w:highlight w:val="none"/>
          <w:u w:val="single"/>
        </w:rPr>
        <w:t xml:space="preserve">             </w:t>
      </w:r>
    </w:p>
    <w:p w14:paraId="5F3AA4A9">
      <w:pPr>
        <w:spacing w:line="240" w:lineRule="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 xml:space="preserve">法定代表人或授权代表（签字或盖章）:___________ </w:t>
      </w:r>
      <w:r>
        <w:rPr>
          <w:rFonts w:hint="eastAsia" w:ascii="宋体" w:hAnsi="宋体" w:eastAsia="宋体" w:cs="宋体"/>
          <w:b/>
          <w:color w:val="auto"/>
          <w:sz w:val="21"/>
          <w:szCs w:val="21"/>
          <w:highlight w:val="none"/>
        </w:rPr>
        <w:t xml:space="preserve">             </w:t>
      </w:r>
    </w:p>
    <w:p w14:paraId="05B06C0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napToGrid w:val="0"/>
          <w:color w:val="auto"/>
          <w:kern w:val="0"/>
          <w:sz w:val="21"/>
          <w:szCs w:val="21"/>
          <w:highlight w:val="none"/>
        </w:rPr>
        <w:t>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4AAA9F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44A6A61F">
      <w:pPr>
        <w:snapToGrid w:val="0"/>
        <w:spacing w:before="50" w:after="156" w:afterLines="50" w:line="360" w:lineRule="auto"/>
        <w:jc w:val="left"/>
        <w:rPr>
          <w:rFonts w:asciiTheme="minorEastAsia" w:hAnsiTheme="minorEastAsia" w:eastAsiaTheme="minorEastAsia" w:cstheme="minorEastAsia"/>
          <w:b/>
          <w:bCs/>
          <w:snapToGrid w:val="0"/>
          <w:color w:val="auto"/>
          <w:kern w:val="0"/>
          <w:sz w:val="28"/>
          <w:szCs w:val="28"/>
          <w:highlight w:val="none"/>
        </w:rPr>
      </w:pPr>
      <w:r>
        <w:rPr>
          <w:rFonts w:hint="eastAsia" w:ascii="宋体" w:hAnsi="宋体" w:eastAsia="宋体" w:cs="宋体"/>
          <w:sz w:val="21"/>
          <w:szCs w:val="21"/>
        </w:rPr>
        <w:t>2.1</w:t>
      </w:r>
      <w:r>
        <w:rPr>
          <w:rFonts w:hint="eastAsia" w:asciiTheme="minorEastAsia" w:hAnsiTheme="minorEastAsia" w:eastAsiaTheme="minorEastAsia" w:cstheme="minorEastAsia"/>
          <w:b/>
          <w:color w:val="auto"/>
          <w:sz w:val="24"/>
          <w:szCs w:val="24"/>
          <w:highlight w:val="none"/>
        </w:rPr>
        <w:t>法定代表人资格说明书格式：</w:t>
      </w:r>
    </w:p>
    <w:p w14:paraId="7B1F8286">
      <w:pPr>
        <w:spacing w:line="240" w:lineRule="auto"/>
        <w:jc w:val="center"/>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法定代表人资格说明书</w:t>
      </w:r>
    </w:p>
    <w:p w14:paraId="2516EB7C">
      <w:pPr>
        <w:adjustRightInd w:val="0"/>
        <w:spacing w:line="600" w:lineRule="exact"/>
        <w:ind w:firstLine="490"/>
        <w:jc w:val="left"/>
        <w:rPr>
          <w:rFonts w:asciiTheme="minorEastAsia" w:hAnsiTheme="minorEastAsia" w:eastAsiaTheme="minorEastAsia" w:cstheme="minorEastAsia"/>
          <w:b/>
          <w:bCs/>
          <w:snapToGrid w:val="0"/>
          <w:color w:val="auto"/>
          <w:kern w:val="0"/>
          <w:sz w:val="36"/>
          <w:szCs w:val="20"/>
          <w:highlight w:val="none"/>
        </w:rPr>
      </w:pPr>
    </w:p>
    <w:p w14:paraId="3324AD20">
      <w:pPr>
        <w:adjustRightInd w:val="0"/>
        <w:spacing w:line="600" w:lineRule="exact"/>
        <w:ind w:firstLine="420" w:firstLineChars="200"/>
        <w:jc w:val="left"/>
        <w:rPr>
          <w:rFonts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u w:val="single"/>
        </w:rPr>
        <w:t xml:space="preserve">                （姓名）</w:t>
      </w:r>
      <w:r>
        <w:rPr>
          <w:rFonts w:hint="eastAsia" w:asciiTheme="minorEastAsia" w:hAnsiTheme="minorEastAsia" w:eastAsiaTheme="minorEastAsia" w:cstheme="minorEastAsia"/>
          <w:snapToGrid w:val="0"/>
          <w:color w:val="auto"/>
          <w:kern w:val="0"/>
          <w:sz w:val="21"/>
          <w:szCs w:val="21"/>
          <w:highlight w:val="none"/>
        </w:rPr>
        <w:t>系</w:t>
      </w:r>
      <w:r>
        <w:rPr>
          <w:rFonts w:hint="eastAsia" w:asciiTheme="minorEastAsia" w:hAnsiTheme="minorEastAsia" w:eastAsiaTheme="minorEastAsia" w:cstheme="minorEastAsia"/>
          <w:snapToGrid w:val="0"/>
          <w:color w:val="auto"/>
          <w:kern w:val="0"/>
          <w:sz w:val="21"/>
          <w:szCs w:val="21"/>
          <w:highlight w:val="none"/>
          <w:u w:val="single"/>
        </w:rPr>
        <w:t xml:space="preserve">                （投标人名称）</w:t>
      </w:r>
      <w:r>
        <w:rPr>
          <w:rFonts w:hint="eastAsia" w:asciiTheme="minorEastAsia" w:hAnsiTheme="minorEastAsia" w:eastAsiaTheme="minorEastAsia" w:cstheme="minorEastAsia"/>
          <w:snapToGrid w:val="0"/>
          <w:color w:val="auto"/>
          <w:kern w:val="0"/>
          <w:sz w:val="21"/>
          <w:szCs w:val="21"/>
          <w:highlight w:val="none"/>
        </w:rPr>
        <w:t>的法定代表人。身份证号：</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w:t>
      </w:r>
    </w:p>
    <w:p w14:paraId="1C5F1C93">
      <w:pPr>
        <w:adjustRightInd w:val="0"/>
        <w:spacing w:line="600" w:lineRule="exact"/>
        <w:ind w:firstLine="490"/>
        <w:jc w:val="left"/>
        <w:rPr>
          <w:rFonts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特此说明</w:t>
      </w:r>
    </w:p>
    <w:p w14:paraId="376AB6E2">
      <w:pPr>
        <w:adjustRightInd w:val="0"/>
        <w:spacing w:line="600" w:lineRule="exact"/>
        <w:ind w:firstLine="490"/>
        <w:jc w:val="left"/>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投标人名称（电子签章）：</w:t>
      </w:r>
      <w:r>
        <w:rPr>
          <w:rFonts w:hint="eastAsia" w:asciiTheme="minorEastAsia" w:hAnsiTheme="minorEastAsia" w:eastAsiaTheme="minorEastAsia" w:cstheme="minorEastAsia"/>
          <w:color w:val="auto"/>
          <w:sz w:val="21"/>
          <w:szCs w:val="21"/>
          <w:highlight w:val="none"/>
          <w:u w:val="single"/>
        </w:rPr>
        <w:t xml:space="preserve">              </w:t>
      </w:r>
    </w:p>
    <w:p w14:paraId="345DE2FD">
      <w:pPr>
        <w:adjustRightInd w:val="0"/>
        <w:spacing w:line="600" w:lineRule="exact"/>
        <w:ind w:firstLine="490"/>
        <w:jc w:val="left"/>
        <w:rPr>
          <w:rFonts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日期：</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年</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月</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日</w:t>
      </w:r>
    </w:p>
    <w:p w14:paraId="2710BB3E">
      <w:pPr>
        <w:adjustRightInd w:val="0"/>
        <w:spacing w:line="360" w:lineRule="auto"/>
        <w:rPr>
          <w:rFonts w:asciiTheme="minorEastAsia" w:hAnsiTheme="minorEastAsia" w:eastAsiaTheme="minorEastAsia" w:cstheme="minorEastAsia"/>
          <w:snapToGrid w:val="0"/>
          <w:color w:val="auto"/>
          <w:kern w:val="0"/>
          <w:sz w:val="21"/>
          <w:szCs w:val="21"/>
          <w:highlight w:val="none"/>
        </w:rPr>
      </w:pPr>
    </w:p>
    <w:p w14:paraId="3545988E">
      <w:pPr>
        <w:adjustRightInd w:val="0"/>
        <w:spacing w:line="360" w:lineRule="auto"/>
        <w:ind w:firstLine="422" w:firstLineChars="20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注：须附法定代表人身份证扫描件（正反面）</w:t>
      </w:r>
    </w:p>
    <w:p w14:paraId="71FA233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CD30BF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B0DA58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23B21E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BC4529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D148A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BC022C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458E2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E59FC8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0792E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97DEB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06342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A8208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CEEFEA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31084A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83BCAC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BA0BB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AC4747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5ABCA4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4ADD6BEC">
      <w:pPr>
        <w:snapToGrid w:val="0"/>
        <w:spacing w:before="50" w:after="156" w:afterLines="50" w:line="360" w:lineRule="auto"/>
        <w:jc w:val="left"/>
        <w:rPr>
          <w:rFonts w:asciiTheme="minorEastAsia" w:hAnsiTheme="minorEastAsia" w:eastAsiaTheme="minorEastAsia" w:cstheme="minorEastAsia"/>
          <w:b/>
          <w:bCs/>
          <w:color w:val="auto"/>
          <w:sz w:val="30"/>
          <w:szCs w:val="30"/>
          <w:highlight w:val="none"/>
        </w:rPr>
      </w:pPr>
      <w:r>
        <w:rPr>
          <w:rFonts w:hint="eastAsia" w:ascii="宋体" w:hAnsi="宋体" w:eastAsia="宋体" w:cs="宋体"/>
          <w:sz w:val="21"/>
          <w:szCs w:val="21"/>
        </w:rPr>
        <w:t>2.2</w:t>
      </w:r>
      <w:r>
        <w:rPr>
          <w:rFonts w:hint="eastAsia" w:asciiTheme="minorEastAsia" w:hAnsiTheme="minorEastAsia" w:eastAsiaTheme="minorEastAsia" w:cstheme="minorEastAsia"/>
          <w:b/>
          <w:color w:val="auto"/>
          <w:sz w:val="24"/>
          <w:szCs w:val="24"/>
          <w:highlight w:val="none"/>
        </w:rPr>
        <w:t>法定代表人授权委托书格式：</w:t>
      </w:r>
    </w:p>
    <w:p w14:paraId="44E35D93">
      <w:pPr>
        <w:spacing w:line="36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14:paraId="7B05CAA4">
      <w:pPr>
        <w:snapToGrid w:val="0"/>
        <w:spacing w:line="360" w:lineRule="auto"/>
        <w:rPr>
          <w:rFonts w:asciiTheme="minorEastAsia" w:hAnsiTheme="minorEastAsia" w:eastAsiaTheme="minorEastAsia" w:cstheme="minorEastAsia"/>
          <w:b/>
          <w:bCs/>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（采购单位名称）：</w:t>
      </w:r>
    </w:p>
    <w:p w14:paraId="6D43873E">
      <w:pPr>
        <w:snapToGrid w:val="0"/>
        <w:spacing w:before="156" w:beforeLines="50" w:after="50" w:line="360" w:lineRule="auto"/>
        <w:ind w:firstLine="630" w:firstLineChars="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w:t>
      </w:r>
      <w:r>
        <w:rPr>
          <w:rFonts w:hint="eastAsia" w:asciiTheme="minorEastAsia" w:hAnsiTheme="minorEastAsia" w:eastAsiaTheme="minorEastAsia" w:cstheme="minorEastAsia"/>
          <w:color w:val="auto"/>
          <w:sz w:val="21"/>
          <w:szCs w:val="21"/>
          <w:highlight w:val="none"/>
          <w:u w:val="single"/>
        </w:rPr>
        <w:t xml:space="preserve">       （姓名）</w:t>
      </w:r>
      <w:r>
        <w:rPr>
          <w:rFonts w:hint="eastAsia" w:asciiTheme="minorEastAsia" w:hAnsiTheme="minorEastAsia" w:eastAsiaTheme="minorEastAsia" w:cstheme="minorEastAsia"/>
          <w:color w:val="auto"/>
          <w:sz w:val="21"/>
          <w:szCs w:val="21"/>
          <w:highlight w:val="none"/>
        </w:rPr>
        <w:t>系</w:t>
      </w:r>
      <w:r>
        <w:rPr>
          <w:rFonts w:hint="eastAsia" w:asciiTheme="minorEastAsia" w:hAnsiTheme="minorEastAsia" w:eastAsiaTheme="minorEastAsia" w:cstheme="minorEastAsia"/>
          <w:color w:val="auto"/>
          <w:sz w:val="21"/>
          <w:szCs w:val="21"/>
          <w:highlight w:val="none"/>
          <w:u w:val="single"/>
        </w:rPr>
        <w:t xml:space="preserve">         （投标人名称）</w:t>
      </w:r>
      <w:r>
        <w:rPr>
          <w:rFonts w:hint="eastAsia" w:asciiTheme="minorEastAsia" w:hAnsiTheme="minorEastAsia" w:eastAsiaTheme="minorEastAsia" w:cstheme="minorEastAsia"/>
          <w:color w:val="auto"/>
          <w:sz w:val="21"/>
          <w:szCs w:val="21"/>
          <w:highlight w:val="none"/>
        </w:rPr>
        <w:t>的法定代表人，现授权委托本单位在职职工</w:t>
      </w:r>
      <w:r>
        <w:rPr>
          <w:rFonts w:hint="eastAsia" w:asciiTheme="minorEastAsia" w:hAnsiTheme="minorEastAsia" w:eastAsiaTheme="minorEastAsia" w:cstheme="minorEastAsia"/>
          <w:color w:val="auto"/>
          <w:sz w:val="21"/>
          <w:szCs w:val="21"/>
          <w:highlight w:val="none"/>
          <w:u w:val="single"/>
        </w:rPr>
        <w:t xml:space="preserve">          （姓名）</w:t>
      </w:r>
      <w:r>
        <w:rPr>
          <w:rFonts w:hint="eastAsia" w:asciiTheme="minorEastAsia" w:hAnsiTheme="minorEastAsia" w:eastAsiaTheme="minorEastAsia" w:cstheme="minorEastAsia"/>
          <w:color w:val="auto"/>
          <w:sz w:val="21"/>
          <w:szCs w:val="21"/>
          <w:highlight w:val="none"/>
        </w:rPr>
        <w:t>为授权代表，以我方的名义参加项目编号：</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项目的投标活动，并代表我方全权办理针对上述项目的投标、开标、评标、签约等具体事务和签署相关文件。我方对授权代表的签名事项负全部责任。</w:t>
      </w:r>
    </w:p>
    <w:p w14:paraId="4AA61386">
      <w:pPr>
        <w:snapToGrid w:val="0"/>
        <w:spacing w:before="156" w:beforeLines="50" w:after="50" w:line="360" w:lineRule="auto"/>
        <w:ind w:firstLine="48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在撤销授权的书面通知以前，本授权书一直有效。授权代表在授权书有效期内签署的所有文件不因授权的撤销而失效。</w:t>
      </w:r>
    </w:p>
    <w:p w14:paraId="76BAA01E">
      <w:pPr>
        <w:snapToGrid w:val="0"/>
        <w:spacing w:before="156" w:beforeLines="50" w:after="50" w:line="360" w:lineRule="auto"/>
        <w:ind w:firstLine="48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授权代表无转委托权，特此委托。</w:t>
      </w:r>
    </w:p>
    <w:p w14:paraId="111AA1B0">
      <w:pPr>
        <w:snapToGrid w:val="0"/>
        <w:spacing w:before="156" w:beforeLines="50" w:after="50" w:line="360" w:lineRule="auto"/>
        <w:ind w:firstLine="480"/>
        <w:rPr>
          <w:rFonts w:asciiTheme="minorEastAsia" w:hAnsiTheme="minorEastAsia" w:eastAsiaTheme="minorEastAsia" w:cstheme="minorEastAsia"/>
          <w:color w:val="auto"/>
          <w:sz w:val="21"/>
          <w:szCs w:val="21"/>
          <w:highlight w:val="none"/>
        </w:rPr>
      </w:pPr>
    </w:p>
    <w:p w14:paraId="6DCD1006">
      <w:pPr>
        <w:snapToGrid w:val="0"/>
        <w:spacing w:before="156" w:beforeLines="50" w:after="50" w:line="360" w:lineRule="auto"/>
        <w:rPr>
          <w:rFonts w:asciiTheme="minorEastAsia" w:hAnsiTheme="minorEastAsia" w:eastAsiaTheme="minorEastAsia" w:cstheme="minorEastAsia"/>
          <w:color w:val="auto"/>
          <w:sz w:val="21"/>
          <w:szCs w:val="21"/>
          <w:highlight w:val="none"/>
        </w:rPr>
      </w:pPr>
    </w:p>
    <w:p w14:paraId="69453CFF">
      <w:pPr>
        <w:snapToGrid w:val="0"/>
        <w:spacing w:before="156" w:beforeLines="50" w:after="50"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授权代表（签字或盖章）：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职务：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30A5AFFE">
      <w:pPr>
        <w:snapToGrid w:val="0"/>
        <w:spacing w:before="156" w:beforeLines="50" w:after="50"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授权代表身份证号码：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336BF618">
      <w:pPr>
        <w:snapToGrid w:val="0"/>
        <w:spacing w:before="156" w:beforeLines="50" w:after="50"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法定代表人（签字或盖章）：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职务：</w:t>
      </w:r>
      <w:r>
        <w:rPr>
          <w:rFonts w:hint="eastAsia" w:asciiTheme="minorEastAsia" w:hAnsiTheme="minorEastAsia" w:eastAsiaTheme="minorEastAsia" w:cstheme="minorEastAsia"/>
          <w:color w:val="auto"/>
          <w:sz w:val="21"/>
          <w:szCs w:val="21"/>
          <w:highlight w:val="none"/>
          <w:u w:val="single"/>
        </w:rPr>
        <w:t xml:space="preserve">              </w:t>
      </w:r>
    </w:p>
    <w:p w14:paraId="3B57173F">
      <w:pPr>
        <w:snapToGrid w:val="0"/>
        <w:spacing w:before="156" w:beforeLines="50" w:after="50"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454D37DF">
      <w:pPr>
        <w:snapToGrid w:val="0"/>
        <w:spacing w:before="156" w:beforeLines="50" w:after="50"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7252BB58">
      <w:pPr>
        <w:snapToGrid w:val="0"/>
        <w:spacing w:before="156" w:beforeLines="50" w:after="50" w:line="360" w:lineRule="auto"/>
        <w:ind w:firstLine="4305" w:firstLineChars="2050"/>
        <w:rPr>
          <w:rFonts w:asciiTheme="minorEastAsia" w:hAnsiTheme="minorEastAsia" w:eastAsiaTheme="minorEastAsia" w:cstheme="minorEastAsia"/>
          <w:color w:val="auto"/>
          <w:sz w:val="21"/>
          <w:szCs w:val="21"/>
          <w:highlight w:val="none"/>
        </w:rPr>
      </w:pPr>
    </w:p>
    <w:p w14:paraId="38A58279">
      <w:pPr>
        <w:snapToGrid w:val="0"/>
        <w:spacing w:before="156" w:beforeLines="50" w:after="50"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投标人名称（电子签章）：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14:paraId="584BD94A">
      <w:pPr>
        <w:snapToGrid w:val="0"/>
        <w:spacing w:before="156" w:beforeLines="50" w:after="50" w:line="360" w:lineRule="auto"/>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snapToGrid w:val="0"/>
          <w:color w:val="auto"/>
          <w:kern w:val="0"/>
          <w:sz w:val="21"/>
          <w:szCs w:val="21"/>
          <w:highlight w:val="none"/>
        </w:rPr>
        <w:t>日期：</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年</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月</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日</w:t>
      </w:r>
    </w:p>
    <w:p w14:paraId="5DEC8E2E">
      <w:pPr>
        <w:spacing w:line="360" w:lineRule="auto"/>
        <w:rPr>
          <w:rFonts w:asciiTheme="minorEastAsia" w:hAnsiTheme="minorEastAsia" w:eastAsiaTheme="minorEastAsia" w:cstheme="minorEastAsia"/>
          <w:color w:val="auto"/>
          <w:sz w:val="21"/>
          <w:szCs w:val="21"/>
          <w:highlight w:val="none"/>
        </w:rPr>
      </w:pPr>
    </w:p>
    <w:p w14:paraId="1AAF7E2D">
      <w:pPr>
        <w:spacing w:line="360" w:lineRule="auto"/>
        <w:jc w:val="center"/>
        <w:rPr>
          <w:rFonts w:asciiTheme="minorEastAsia" w:hAnsiTheme="minorEastAsia" w:eastAsiaTheme="minorEastAsia" w:cstheme="minorEastAsia"/>
          <w:color w:val="auto"/>
          <w:sz w:val="21"/>
          <w:szCs w:val="21"/>
          <w:highlight w:val="none"/>
        </w:rPr>
      </w:pPr>
    </w:p>
    <w:p w14:paraId="0337EEE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宋体"/>
          <w:sz w:val="21"/>
          <w:szCs w:val="21"/>
        </w:rPr>
      </w:pPr>
      <w:r>
        <w:rPr>
          <w:rFonts w:hint="eastAsia" w:asciiTheme="minorEastAsia" w:hAnsiTheme="minorEastAsia" w:eastAsiaTheme="minorEastAsia" w:cstheme="minorEastAsia"/>
          <w:b/>
          <w:color w:val="auto"/>
          <w:sz w:val="21"/>
          <w:szCs w:val="21"/>
          <w:highlight w:val="none"/>
        </w:rPr>
        <w:t>注：须附授权代表身份证扫描件（正反面）</w:t>
      </w:r>
    </w:p>
    <w:p w14:paraId="3B95194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71C0D03A">
      <w:pPr>
        <w:snapToGrid w:val="0"/>
        <w:spacing w:before="50" w:after="156" w:afterLines="50" w:line="360" w:lineRule="auto"/>
        <w:jc w:val="left"/>
        <w:rPr>
          <w:rFonts w:asciiTheme="minorEastAsia" w:hAnsiTheme="minorEastAsia" w:eastAsiaTheme="minorEastAsia" w:cstheme="minorEastAsia"/>
          <w:b/>
          <w:color w:val="auto"/>
          <w:sz w:val="24"/>
          <w:szCs w:val="24"/>
          <w:highlight w:val="none"/>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Theme="minorEastAsia" w:hAnsiTheme="minorEastAsia" w:eastAsiaTheme="minorEastAsia" w:cstheme="minorEastAsia"/>
          <w:b/>
          <w:color w:val="auto"/>
          <w:sz w:val="24"/>
          <w:szCs w:val="24"/>
          <w:highlight w:val="none"/>
        </w:rPr>
        <w:t>商务响应表格式：</w:t>
      </w:r>
    </w:p>
    <w:p w14:paraId="40C17C21">
      <w:pPr>
        <w:spacing w:line="360" w:lineRule="auto"/>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商务响应表</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2C076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14:paraId="3751AFA0">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序号</w:t>
            </w:r>
          </w:p>
        </w:tc>
        <w:tc>
          <w:tcPr>
            <w:tcW w:w="2300" w:type="dxa"/>
            <w:tcBorders>
              <w:top w:val="single" w:color="auto" w:sz="4" w:space="0"/>
              <w:left w:val="single" w:color="auto" w:sz="4" w:space="0"/>
              <w:bottom w:val="single" w:color="auto" w:sz="4" w:space="0"/>
              <w:right w:val="single" w:color="auto" w:sz="4" w:space="0"/>
            </w:tcBorders>
            <w:vAlign w:val="center"/>
          </w:tcPr>
          <w:p w14:paraId="5016474B">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项目</w:t>
            </w:r>
          </w:p>
        </w:tc>
        <w:tc>
          <w:tcPr>
            <w:tcW w:w="1956" w:type="dxa"/>
            <w:tcBorders>
              <w:top w:val="single" w:color="auto" w:sz="4" w:space="0"/>
              <w:left w:val="single" w:color="auto" w:sz="4" w:space="0"/>
              <w:bottom w:val="single" w:color="auto" w:sz="4" w:space="0"/>
              <w:right w:val="single" w:color="auto" w:sz="4" w:space="0"/>
            </w:tcBorders>
            <w:vAlign w:val="center"/>
          </w:tcPr>
          <w:p w14:paraId="11A544BA">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14:paraId="0557809E">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14:paraId="3363FEBA">
            <w:pPr>
              <w:keepNext w:val="0"/>
              <w:keepLines w:val="0"/>
              <w:suppressLineNumbers w:val="0"/>
              <w:bidi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投标人的承诺或说明</w:t>
            </w:r>
          </w:p>
        </w:tc>
      </w:tr>
      <w:tr w14:paraId="2D849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14:paraId="19350D59">
            <w:pPr>
              <w:keepNext w:val="0"/>
              <w:keepLines w:val="0"/>
              <w:suppressLineNumbers w:val="0"/>
              <w:snapToGrid w:val="0"/>
              <w:spacing w:before="156" w:beforeLines="50" w:beforeAutospacing="0" w:after="0" w:afterAutospacing="0" w:line="240" w:lineRule="auto"/>
              <w:ind w:left="0" w:right="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2300" w:type="dxa"/>
            <w:tcBorders>
              <w:top w:val="single" w:color="auto" w:sz="4" w:space="0"/>
              <w:left w:val="single" w:color="auto" w:sz="4" w:space="0"/>
              <w:bottom w:val="single" w:color="auto" w:sz="4" w:space="0"/>
              <w:right w:val="single" w:color="auto" w:sz="4" w:space="0"/>
            </w:tcBorders>
            <w:vAlign w:val="center"/>
          </w:tcPr>
          <w:p w14:paraId="625F930B">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6E1DBCC2">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tcPr>
          <w:p w14:paraId="607C5C24">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c>
          <w:tcPr>
            <w:tcW w:w="2470" w:type="dxa"/>
            <w:tcBorders>
              <w:top w:val="single" w:color="auto" w:sz="4" w:space="0"/>
              <w:left w:val="single" w:color="auto" w:sz="4" w:space="0"/>
              <w:bottom w:val="single" w:color="auto" w:sz="4" w:space="0"/>
              <w:right w:val="single" w:color="auto" w:sz="4" w:space="0"/>
            </w:tcBorders>
          </w:tcPr>
          <w:p w14:paraId="746FC3A8">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r>
      <w:tr w14:paraId="77951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14:paraId="7EE67AC7">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3D6BD238">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02C0DCAC">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tcPr>
          <w:p w14:paraId="02ADCAE4">
            <w:pPr>
              <w:keepNext w:val="0"/>
              <w:keepLines w:val="0"/>
              <w:suppressLineNumbers w:val="0"/>
              <w:snapToGrid w:val="0"/>
              <w:spacing w:before="156" w:beforeLines="50" w:beforeAutospacing="0" w:after="0" w:afterAutospacing="0" w:line="240" w:lineRule="auto"/>
              <w:ind w:left="43" w:right="0"/>
              <w:rPr>
                <w:rFonts w:hint="default" w:asciiTheme="minorEastAsia" w:hAnsiTheme="minorEastAsia" w:eastAsiaTheme="minorEastAsia" w:cstheme="minorEastAsia"/>
                <w:color w:val="auto"/>
                <w:sz w:val="21"/>
                <w:szCs w:val="21"/>
                <w:highlight w:val="none"/>
              </w:rPr>
            </w:pPr>
          </w:p>
        </w:tc>
        <w:tc>
          <w:tcPr>
            <w:tcW w:w="2470" w:type="dxa"/>
            <w:tcBorders>
              <w:top w:val="single" w:color="auto" w:sz="4" w:space="0"/>
              <w:left w:val="single" w:color="auto" w:sz="4" w:space="0"/>
              <w:bottom w:val="single" w:color="auto" w:sz="4" w:space="0"/>
              <w:right w:val="single" w:color="auto" w:sz="4" w:space="0"/>
            </w:tcBorders>
          </w:tcPr>
          <w:p w14:paraId="33644C6C">
            <w:pPr>
              <w:keepNext w:val="0"/>
              <w:keepLines w:val="0"/>
              <w:suppressLineNumbers w:val="0"/>
              <w:snapToGrid w:val="0"/>
              <w:spacing w:before="156" w:beforeLines="50" w:beforeAutospacing="0" w:after="0" w:afterAutospacing="0" w:line="240" w:lineRule="auto"/>
              <w:ind w:left="43" w:right="0"/>
              <w:rPr>
                <w:rFonts w:hint="default" w:asciiTheme="minorEastAsia" w:hAnsiTheme="minorEastAsia" w:eastAsiaTheme="minorEastAsia" w:cstheme="minorEastAsia"/>
                <w:color w:val="auto"/>
                <w:sz w:val="21"/>
                <w:szCs w:val="21"/>
                <w:highlight w:val="none"/>
              </w:rPr>
            </w:pPr>
          </w:p>
        </w:tc>
      </w:tr>
      <w:tr w14:paraId="3189B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14:paraId="3573677C">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6D533C06">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10F3CFA7">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tcPr>
          <w:p w14:paraId="00D2F085">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c>
          <w:tcPr>
            <w:tcW w:w="2470" w:type="dxa"/>
            <w:tcBorders>
              <w:top w:val="single" w:color="auto" w:sz="4" w:space="0"/>
              <w:left w:val="single" w:color="auto" w:sz="4" w:space="0"/>
              <w:bottom w:val="single" w:color="auto" w:sz="4" w:space="0"/>
              <w:right w:val="single" w:color="auto" w:sz="4" w:space="0"/>
            </w:tcBorders>
          </w:tcPr>
          <w:p w14:paraId="02303A0B">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r>
      <w:tr w14:paraId="1A2C8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5F7FC979">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7498E079">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55AB0FCB">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tcPr>
          <w:p w14:paraId="2A501784">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c>
          <w:tcPr>
            <w:tcW w:w="2470" w:type="dxa"/>
            <w:tcBorders>
              <w:top w:val="single" w:color="auto" w:sz="4" w:space="0"/>
              <w:left w:val="single" w:color="auto" w:sz="4" w:space="0"/>
              <w:bottom w:val="single" w:color="auto" w:sz="4" w:space="0"/>
              <w:right w:val="single" w:color="auto" w:sz="4" w:space="0"/>
            </w:tcBorders>
          </w:tcPr>
          <w:p w14:paraId="150D3FFB">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r>
      <w:tr w14:paraId="5B1DB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46CFAD36">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1B3F2656">
            <w:pPr>
              <w:keepNext w:val="0"/>
              <w:keepLines w:val="0"/>
              <w:suppressLineNumbers w:val="0"/>
              <w:snapToGrid w:val="0"/>
              <w:spacing w:before="156" w:beforeLines="50" w:beforeAutospacing="0" w:after="0" w:afterAutospacing="0" w:line="240" w:lineRule="auto"/>
              <w:ind w:left="0" w:right="0"/>
              <w:jc w:val="center"/>
              <w:rPr>
                <w:rFonts w:hint="default" w:asciiTheme="minorEastAsia" w:hAnsiTheme="minorEastAsia" w:eastAsiaTheme="minorEastAsia" w:cstheme="minorEastAsia"/>
                <w:color w:val="auto"/>
                <w:sz w:val="21"/>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05E1BBC7">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tcPr>
          <w:p w14:paraId="4CC86A8E">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c>
          <w:tcPr>
            <w:tcW w:w="2470" w:type="dxa"/>
            <w:tcBorders>
              <w:top w:val="single" w:color="auto" w:sz="4" w:space="0"/>
              <w:left w:val="single" w:color="auto" w:sz="4" w:space="0"/>
              <w:bottom w:val="single" w:color="auto" w:sz="4" w:space="0"/>
              <w:right w:val="single" w:color="auto" w:sz="4" w:space="0"/>
            </w:tcBorders>
          </w:tcPr>
          <w:p w14:paraId="55BB52FF">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r>
      <w:tr w14:paraId="431CE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tcPr>
          <w:p w14:paraId="34248377">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300" w:type="dxa"/>
            <w:tcBorders>
              <w:top w:val="single" w:color="auto" w:sz="4" w:space="0"/>
              <w:left w:val="single" w:color="auto" w:sz="4" w:space="0"/>
              <w:bottom w:val="single" w:color="auto" w:sz="4" w:space="0"/>
              <w:right w:val="single" w:color="auto" w:sz="4" w:space="0"/>
            </w:tcBorders>
          </w:tcPr>
          <w:p w14:paraId="43B23811">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956" w:type="dxa"/>
            <w:tcBorders>
              <w:top w:val="single" w:color="auto" w:sz="4" w:space="0"/>
              <w:left w:val="single" w:color="auto" w:sz="4" w:space="0"/>
              <w:bottom w:val="single" w:color="auto" w:sz="4" w:space="0"/>
              <w:right w:val="single" w:color="auto" w:sz="4" w:space="0"/>
            </w:tcBorders>
          </w:tcPr>
          <w:p w14:paraId="4E9A5D64">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tcPr>
          <w:p w14:paraId="513A2DF6">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c>
          <w:tcPr>
            <w:tcW w:w="2470" w:type="dxa"/>
            <w:tcBorders>
              <w:top w:val="single" w:color="auto" w:sz="4" w:space="0"/>
              <w:left w:val="single" w:color="auto" w:sz="4" w:space="0"/>
              <w:bottom w:val="single" w:color="auto" w:sz="4" w:space="0"/>
              <w:right w:val="single" w:color="auto" w:sz="4" w:space="0"/>
            </w:tcBorders>
          </w:tcPr>
          <w:p w14:paraId="6CCFF404">
            <w:pPr>
              <w:keepNext w:val="0"/>
              <w:keepLines w:val="0"/>
              <w:suppressLineNumbers w:val="0"/>
              <w:snapToGrid w:val="0"/>
              <w:spacing w:before="156" w:beforeLines="50" w:beforeAutospacing="0" w:after="0" w:afterAutospacing="0" w:line="240" w:lineRule="auto"/>
              <w:ind w:left="0" w:right="0"/>
              <w:rPr>
                <w:rFonts w:hint="default" w:asciiTheme="minorEastAsia" w:hAnsiTheme="minorEastAsia" w:eastAsiaTheme="minorEastAsia" w:cstheme="minorEastAsia"/>
                <w:color w:val="auto"/>
                <w:sz w:val="21"/>
                <w:szCs w:val="21"/>
                <w:highlight w:val="none"/>
              </w:rPr>
            </w:pPr>
          </w:p>
        </w:tc>
      </w:tr>
    </w:tbl>
    <w:p w14:paraId="72F4F0A2">
      <w:pPr>
        <w:snapToGrid w:val="0"/>
        <w:spacing w:before="156" w:beforeLines="50" w:line="24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注：如不填写，</w:t>
      </w:r>
      <w:r>
        <w:rPr>
          <w:rFonts w:hint="eastAsia" w:asciiTheme="minorEastAsia" w:hAnsiTheme="minorEastAsia" w:eastAsiaTheme="minorEastAsia" w:cstheme="minorEastAsia"/>
          <w:color w:val="auto"/>
          <w:sz w:val="21"/>
          <w:szCs w:val="21"/>
          <w:highlight w:val="none"/>
          <w:lang w:eastAsia="zh-CN"/>
        </w:rPr>
        <w:t>采购人</w:t>
      </w:r>
      <w:r>
        <w:rPr>
          <w:rFonts w:hint="eastAsia" w:asciiTheme="minorEastAsia" w:hAnsiTheme="minorEastAsia" w:eastAsiaTheme="minorEastAsia" w:cstheme="minorEastAsia"/>
          <w:color w:val="auto"/>
          <w:sz w:val="21"/>
          <w:szCs w:val="21"/>
          <w:highlight w:val="none"/>
        </w:rPr>
        <w:t>将视为 “无偏离”。</w:t>
      </w:r>
    </w:p>
    <w:p w14:paraId="2170CAFF">
      <w:pPr>
        <w:snapToGrid w:val="0"/>
        <w:spacing w:line="360" w:lineRule="auto"/>
        <w:ind w:firstLine="3918" w:firstLineChars="1866"/>
        <w:jc w:val="right"/>
        <w:rPr>
          <w:rFonts w:asciiTheme="minorEastAsia" w:hAnsiTheme="minorEastAsia" w:eastAsiaTheme="minorEastAsia" w:cstheme="minorEastAsia"/>
          <w:snapToGrid w:val="0"/>
          <w:color w:val="auto"/>
          <w:sz w:val="21"/>
          <w:szCs w:val="21"/>
          <w:highlight w:val="none"/>
        </w:rPr>
      </w:pPr>
    </w:p>
    <w:p w14:paraId="3E3F23CF">
      <w:pPr>
        <w:snapToGrid w:val="0"/>
        <w:spacing w:line="360" w:lineRule="auto"/>
        <w:rPr>
          <w:rFonts w:asciiTheme="minorEastAsia" w:hAnsiTheme="minorEastAsia" w:eastAsiaTheme="minorEastAsia" w:cstheme="minorEastAsia"/>
          <w:snapToGrid w:val="0"/>
          <w:color w:val="auto"/>
          <w:sz w:val="21"/>
          <w:szCs w:val="21"/>
          <w:highlight w:val="none"/>
          <w:u w:val="single"/>
        </w:rPr>
      </w:pPr>
      <w:r>
        <w:rPr>
          <w:rFonts w:hint="eastAsia" w:asciiTheme="minorEastAsia" w:hAnsiTheme="minorEastAsia" w:eastAsiaTheme="minorEastAsia" w:cstheme="minorEastAsia"/>
          <w:snapToGrid w:val="0"/>
          <w:color w:val="auto"/>
          <w:sz w:val="21"/>
          <w:szCs w:val="21"/>
          <w:highlight w:val="none"/>
        </w:rPr>
        <w:t>投标人名称（电子签章）：</w:t>
      </w:r>
      <w:r>
        <w:rPr>
          <w:rFonts w:hint="eastAsia" w:asciiTheme="minorEastAsia" w:hAnsiTheme="minorEastAsia" w:eastAsiaTheme="minorEastAsia" w:cstheme="minorEastAsia"/>
          <w:snapToGrid w:val="0"/>
          <w:color w:val="auto"/>
          <w:sz w:val="21"/>
          <w:szCs w:val="21"/>
          <w:highlight w:val="none"/>
          <w:u w:val="single"/>
        </w:rPr>
        <w:t xml:space="preserve">                      </w:t>
      </w:r>
    </w:p>
    <w:p w14:paraId="7E88EE61">
      <w:pPr>
        <w:snapToGrid w:val="0"/>
        <w:spacing w:line="360" w:lineRule="auto"/>
        <w:rPr>
          <w:rFonts w:asciiTheme="minorEastAsia" w:hAnsiTheme="minorEastAsia" w:eastAsiaTheme="minorEastAsia" w:cstheme="minorEastAsia"/>
          <w:snapToGrid w:val="0"/>
          <w:color w:val="auto"/>
          <w:sz w:val="21"/>
          <w:szCs w:val="21"/>
          <w:highlight w:val="none"/>
          <w:u w:val="single"/>
        </w:rPr>
      </w:pPr>
      <w:r>
        <w:rPr>
          <w:rFonts w:hint="eastAsia" w:asciiTheme="minorEastAsia" w:hAnsiTheme="minorEastAsia" w:eastAsiaTheme="minorEastAsia" w:cstheme="minorEastAsia"/>
          <w:snapToGrid w:val="0"/>
          <w:color w:val="auto"/>
          <w:sz w:val="21"/>
          <w:szCs w:val="21"/>
          <w:highlight w:val="none"/>
        </w:rPr>
        <w:t xml:space="preserve">法定代表人或授权代表（签字或盖章）:___________                                   </w:t>
      </w:r>
    </w:p>
    <w:p w14:paraId="114A8014">
      <w:pPr>
        <w:adjustRightInd w:val="0"/>
        <w:spacing w:line="360" w:lineRule="auto"/>
        <w:jc w:val="left"/>
        <w:rPr>
          <w:rFonts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日期：</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年</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月</w:t>
      </w:r>
      <w:r>
        <w:rPr>
          <w:rFonts w:hint="eastAsia" w:asciiTheme="minorEastAsia" w:hAnsiTheme="minorEastAsia" w:eastAsiaTheme="minorEastAsia" w:cstheme="minorEastAsia"/>
          <w:snapToGrid w:val="0"/>
          <w:color w:val="auto"/>
          <w:kern w:val="0"/>
          <w:sz w:val="21"/>
          <w:szCs w:val="21"/>
          <w:highlight w:val="none"/>
          <w:u w:val="single"/>
        </w:rPr>
        <w:t xml:space="preserve">       </w:t>
      </w:r>
      <w:r>
        <w:rPr>
          <w:rFonts w:hint="eastAsia" w:asciiTheme="minorEastAsia" w:hAnsiTheme="minorEastAsia" w:eastAsiaTheme="minorEastAsia" w:cstheme="minorEastAsia"/>
          <w:snapToGrid w:val="0"/>
          <w:color w:val="auto"/>
          <w:kern w:val="0"/>
          <w:sz w:val="21"/>
          <w:szCs w:val="21"/>
          <w:highlight w:val="none"/>
        </w:rPr>
        <w:t>日</w:t>
      </w:r>
    </w:p>
    <w:p w14:paraId="38B488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112196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14:paraId="595263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5F8B9F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4E1F2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5FD3E2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9649A9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7A1453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3A4D4A54">
      <w:pPr>
        <w:snapToGrid w:val="0"/>
        <w:spacing w:before="156" w:beforeLines="50" w:after="50" w:line="240" w:lineRule="auto"/>
        <w:rPr>
          <w:rFonts w:asciiTheme="minorEastAsia" w:hAnsiTheme="minorEastAsia" w:eastAsiaTheme="minorEastAsia" w:cstheme="minorEastAsia"/>
          <w:b/>
          <w:color w:val="auto"/>
          <w:sz w:val="24"/>
          <w:szCs w:val="24"/>
          <w:highlight w:val="none"/>
        </w:rPr>
      </w:pPr>
      <w:r>
        <w:rPr>
          <w:rFonts w:hint="eastAsia" w:ascii="宋体" w:hAnsi="宋体" w:eastAsia="宋体" w:cs="宋体"/>
          <w:sz w:val="21"/>
          <w:szCs w:val="21"/>
          <w:lang w:val="en-US" w:eastAsia="zh-CN"/>
        </w:rPr>
        <w:t>4.</w:t>
      </w:r>
      <w:r>
        <w:rPr>
          <w:rFonts w:hint="eastAsia" w:asciiTheme="minorEastAsia" w:hAnsiTheme="minorEastAsia" w:eastAsiaTheme="minorEastAsia" w:cstheme="minorEastAsia"/>
          <w:b/>
          <w:color w:val="auto"/>
          <w:sz w:val="24"/>
          <w:szCs w:val="24"/>
          <w:highlight w:val="none"/>
        </w:rPr>
        <w:t>技术响应表格式：</w:t>
      </w:r>
    </w:p>
    <w:p w14:paraId="5066A71F">
      <w:pPr>
        <w:spacing w:line="360" w:lineRule="auto"/>
        <w:jc w:val="center"/>
        <w:rPr>
          <w:rFonts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bCs/>
          <w:color w:val="auto"/>
          <w:sz w:val="30"/>
          <w:szCs w:val="30"/>
          <w:highlight w:val="none"/>
        </w:rPr>
        <w:t xml:space="preserve"> 技术响应表</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278A6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3D7FFA16">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招标文件要求</w:t>
            </w:r>
          </w:p>
        </w:tc>
        <w:tc>
          <w:tcPr>
            <w:tcW w:w="3784" w:type="dxa"/>
            <w:gridSpan w:val="2"/>
            <w:tcBorders>
              <w:top w:val="single" w:color="auto" w:sz="4" w:space="0"/>
              <w:left w:val="single" w:color="auto" w:sz="4" w:space="0"/>
              <w:bottom w:val="single" w:color="auto" w:sz="4" w:space="0"/>
              <w:right w:val="single" w:color="auto" w:sz="4" w:space="0"/>
            </w:tcBorders>
          </w:tcPr>
          <w:p w14:paraId="0291138F">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投标文件响应</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0CA23DC9">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偏离情况</w:t>
            </w:r>
          </w:p>
        </w:tc>
      </w:tr>
      <w:tr w14:paraId="670FC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5A1538D5">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2160" w:type="dxa"/>
            <w:tcBorders>
              <w:top w:val="single" w:color="auto" w:sz="4" w:space="0"/>
              <w:left w:val="single" w:color="auto" w:sz="4" w:space="0"/>
              <w:bottom w:val="single" w:color="auto" w:sz="4" w:space="0"/>
              <w:right w:val="single" w:color="auto" w:sz="4" w:space="0"/>
            </w:tcBorders>
            <w:vAlign w:val="center"/>
          </w:tcPr>
          <w:p w14:paraId="13BDF513">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要求</w:t>
            </w:r>
          </w:p>
        </w:tc>
        <w:tc>
          <w:tcPr>
            <w:tcW w:w="1976" w:type="dxa"/>
            <w:tcBorders>
              <w:top w:val="single" w:color="auto" w:sz="4" w:space="0"/>
              <w:left w:val="single" w:color="auto" w:sz="4" w:space="0"/>
              <w:bottom w:val="single" w:color="auto" w:sz="4" w:space="0"/>
              <w:right w:val="single" w:color="auto" w:sz="4" w:space="0"/>
            </w:tcBorders>
            <w:vAlign w:val="center"/>
          </w:tcPr>
          <w:p w14:paraId="4D7327B0">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1808" w:type="dxa"/>
            <w:tcBorders>
              <w:top w:val="single" w:color="auto" w:sz="4" w:space="0"/>
              <w:left w:val="single" w:color="auto" w:sz="4" w:space="0"/>
              <w:bottom w:val="single" w:color="auto" w:sz="4" w:space="0"/>
              <w:right w:val="single" w:color="auto" w:sz="4" w:space="0"/>
            </w:tcBorders>
            <w:vAlign w:val="center"/>
          </w:tcPr>
          <w:p w14:paraId="2827D89E">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投标人的承诺或说明</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51ABD2E6">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p>
        </w:tc>
      </w:tr>
      <w:tr w14:paraId="5D4CB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7C2D2C3">
            <w:pPr>
              <w:keepNext w:val="0"/>
              <w:keepLines w:val="0"/>
              <w:suppressLineNumbers w:val="0"/>
              <w:bidi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sz w:val="21"/>
                <w:szCs w:val="21"/>
              </w:rPr>
              <w:t>详见招标文件第</w:t>
            </w:r>
            <w:r>
              <w:rPr>
                <w:rFonts w:hint="eastAsia" w:ascii="宋体" w:hAnsi="宋体" w:eastAsia="宋体" w:cs="宋体"/>
                <w:sz w:val="21"/>
                <w:szCs w:val="21"/>
                <w:lang w:val="en-US" w:eastAsia="zh-CN"/>
              </w:rPr>
              <w:t>四部分 采购需求</w:t>
            </w:r>
          </w:p>
        </w:tc>
        <w:tc>
          <w:tcPr>
            <w:tcW w:w="2160" w:type="dxa"/>
            <w:tcBorders>
              <w:top w:val="single" w:color="auto" w:sz="4" w:space="0"/>
              <w:left w:val="single" w:color="auto" w:sz="4" w:space="0"/>
              <w:bottom w:val="single" w:color="auto" w:sz="4" w:space="0"/>
              <w:right w:val="single" w:color="auto" w:sz="4" w:space="0"/>
            </w:tcBorders>
            <w:vAlign w:val="center"/>
          </w:tcPr>
          <w:p w14:paraId="6E15B4F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3CFD96B2">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57A57463">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5D127B6B">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r>
      <w:tr w14:paraId="68CD68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24EB3CFF">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27B7F0B6">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09B68178">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7F95EA2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57485C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r>
      <w:tr w14:paraId="66C55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BEBCEE0">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999A0B5">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1"/>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239D8966">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1"/>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4B0E474B">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35F765F">
            <w:pPr>
              <w:keepNext w:val="0"/>
              <w:keepLines w:val="0"/>
              <w:suppressLineNumbers w:val="0"/>
              <w:snapToGrid w:val="0"/>
              <w:spacing w:before="295" w:beforeAutospacing="0" w:after="295" w:afterAutospacing="0" w:line="240" w:lineRule="auto"/>
              <w:ind w:left="0" w:right="0"/>
              <w:rPr>
                <w:rFonts w:hint="eastAsia" w:ascii="宋体" w:hAnsi="宋体" w:eastAsia="宋体" w:cs="宋体"/>
                <w:color w:val="auto"/>
                <w:sz w:val="21"/>
                <w:szCs w:val="21"/>
                <w:highlight w:val="none"/>
              </w:rPr>
            </w:pPr>
          </w:p>
        </w:tc>
      </w:tr>
      <w:tr w14:paraId="73DF5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11F81CE4">
            <w:pPr>
              <w:keepNext w:val="0"/>
              <w:keepLines w:val="0"/>
              <w:widowControl/>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C22AD71">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60FB9EC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2569F75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30E77E5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r>
      <w:tr w14:paraId="30DE0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12E75774">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6351621A">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680A52DE">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1B197529">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621255D7">
            <w:pPr>
              <w:keepNext w:val="0"/>
              <w:keepLines w:val="0"/>
              <w:suppressLineNumbers w:val="0"/>
              <w:snapToGrid w:val="0"/>
              <w:spacing w:before="295" w:beforeAutospacing="0" w:after="295" w:afterAutospacing="0" w:line="240" w:lineRule="auto"/>
              <w:ind w:left="0" w:right="0"/>
              <w:outlineLvl w:val="0"/>
              <w:rPr>
                <w:rFonts w:hint="eastAsia" w:ascii="宋体" w:hAnsi="宋体" w:eastAsia="宋体" w:cs="宋体"/>
                <w:color w:val="auto"/>
                <w:sz w:val="21"/>
                <w:szCs w:val="21"/>
                <w:highlight w:val="none"/>
              </w:rPr>
            </w:pPr>
          </w:p>
        </w:tc>
      </w:tr>
      <w:tr w14:paraId="05FFC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69872BAA">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w:t>
            </w:r>
          </w:p>
        </w:tc>
        <w:tc>
          <w:tcPr>
            <w:tcW w:w="2160" w:type="dxa"/>
            <w:tcBorders>
              <w:top w:val="single" w:color="auto" w:sz="4" w:space="0"/>
              <w:left w:val="single" w:color="auto" w:sz="4" w:space="0"/>
              <w:bottom w:val="single" w:color="auto" w:sz="4" w:space="0"/>
              <w:right w:val="single" w:color="auto" w:sz="4" w:space="0"/>
            </w:tcBorders>
          </w:tcPr>
          <w:p w14:paraId="5FC27261">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p>
        </w:tc>
        <w:tc>
          <w:tcPr>
            <w:tcW w:w="1976" w:type="dxa"/>
            <w:tcBorders>
              <w:top w:val="single" w:color="auto" w:sz="4" w:space="0"/>
              <w:left w:val="single" w:color="auto" w:sz="4" w:space="0"/>
              <w:bottom w:val="single" w:color="auto" w:sz="4" w:space="0"/>
              <w:right w:val="single" w:color="auto" w:sz="4" w:space="0"/>
            </w:tcBorders>
          </w:tcPr>
          <w:p w14:paraId="41C9B025">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p>
        </w:tc>
        <w:tc>
          <w:tcPr>
            <w:tcW w:w="1808" w:type="dxa"/>
            <w:tcBorders>
              <w:top w:val="single" w:color="auto" w:sz="4" w:space="0"/>
              <w:left w:val="single" w:color="auto" w:sz="4" w:space="0"/>
              <w:bottom w:val="single" w:color="auto" w:sz="4" w:space="0"/>
              <w:right w:val="single" w:color="auto" w:sz="4" w:space="0"/>
            </w:tcBorders>
          </w:tcPr>
          <w:p w14:paraId="706ECB82">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p>
        </w:tc>
        <w:tc>
          <w:tcPr>
            <w:tcW w:w="1436" w:type="dxa"/>
            <w:tcBorders>
              <w:top w:val="single" w:color="auto" w:sz="4" w:space="0"/>
              <w:left w:val="single" w:color="auto" w:sz="4" w:space="0"/>
              <w:bottom w:val="single" w:color="auto" w:sz="4" w:space="0"/>
              <w:right w:val="single" w:color="auto" w:sz="4" w:space="0"/>
            </w:tcBorders>
          </w:tcPr>
          <w:p w14:paraId="38890054">
            <w:pPr>
              <w:keepNext w:val="0"/>
              <w:keepLines w:val="0"/>
              <w:suppressLineNumbers w:val="0"/>
              <w:bidi w:val="0"/>
              <w:spacing w:before="0" w:beforeAutospacing="0" w:after="0" w:afterAutospacing="0"/>
              <w:ind w:left="0" w:right="0"/>
              <w:jc w:val="center"/>
              <w:rPr>
                <w:rFonts w:hint="eastAsia" w:ascii="宋体" w:hAnsi="宋体" w:eastAsia="宋体" w:cs="宋体"/>
                <w:sz w:val="21"/>
                <w:szCs w:val="21"/>
              </w:rPr>
            </w:pPr>
          </w:p>
        </w:tc>
      </w:tr>
    </w:tbl>
    <w:p w14:paraId="186FC939">
      <w:pPr>
        <w:snapToGrid w:val="0"/>
        <w:spacing w:before="50" w:after="5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列明招标文件的服务要求与投标文件对应响应，并说明偏离状况</w:t>
      </w:r>
      <w:r>
        <w:rPr>
          <w:rFonts w:hint="eastAsia" w:ascii="宋体" w:hAnsi="宋体" w:eastAsia="宋体" w:cs="宋体"/>
          <w:color w:val="auto"/>
          <w:sz w:val="21"/>
          <w:szCs w:val="21"/>
          <w:highlight w:val="none"/>
          <w:lang w:eastAsia="zh-CN"/>
        </w:rPr>
        <w:t>。</w:t>
      </w:r>
    </w:p>
    <w:p w14:paraId="16AA18F1">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无偏离应在本表空白处醒目地注明“无偏离”的字样。</w:t>
      </w:r>
    </w:p>
    <w:p w14:paraId="3B78F3FF">
      <w:pPr>
        <w:snapToGrid w:val="0"/>
        <w:spacing w:before="50" w:after="5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如不填写，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将视为 “无偏离”。</w:t>
      </w:r>
    </w:p>
    <w:p w14:paraId="6AE8CF96">
      <w:pPr>
        <w:snapToGrid w:val="0"/>
        <w:spacing w:line="360" w:lineRule="auto"/>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投标人名称（电子签章）：</w:t>
      </w:r>
      <w:r>
        <w:rPr>
          <w:rFonts w:hint="eastAsia" w:ascii="宋体" w:hAnsi="宋体" w:eastAsia="宋体" w:cs="宋体"/>
          <w:snapToGrid w:val="0"/>
          <w:color w:val="auto"/>
          <w:sz w:val="21"/>
          <w:szCs w:val="21"/>
          <w:highlight w:val="none"/>
          <w:u w:val="single"/>
        </w:rPr>
        <w:t xml:space="preserve">                      </w:t>
      </w:r>
    </w:p>
    <w:p w14:paraId="065B1FF9">
      <w:pPr>
        <w:snapToGrid w:val="0"/>
        <w:spacing w:line="360" w:lineRule="auto"/>
        <w:rPr>
          <w:rFonts w:hint="eastAsia" w:ascii="宋体" w:hAnsi="宋体" w:eastAsia="宋体" w:cs="宋体"/>
          <w:snapToGrid w:val="0"/>
          <w:color w:val="auto"/>
          <w:sz w:val="21"/>
          <w:szCs w:val="21"/>
          <w:highlight w:val="none"/>
          <w:u w:val="single"/>
        </w:rPr>
      </w:pPr>
      <w:r>
        <w:rPr>
          <w:rFonts w:hint="eastAsia" w:ascii="宋体" w:hAnsi="宋体" w:eastAsia="宋体" w:cs="宋体"/>
          <w:snapToGrid w:val="0"/>
          <w:color w:val="auto"/>
          <w:sz w:val="21"/>
          <w:szCs w:val="21"/>
          <w:highlight w:val="none"/>
        </w:rPr>
        <w:t xml:space="preserve">法定代表人或授权代表（签字或盖章）:___________                                   </w:t>
      </w:r>
    </w:p>
    <w:p w14:paraId="2EA639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napToGrid w:val="0"/>
          <w:color w:val="auto"/>
          <w:kern w:val="0"/>
          <w:sz w:val="21"/>
          <w:szCs w:val="21"/>
          <w:highlight w:val="none"/>
        </w:rPr>
        <w:t>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3E5DB6E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50076A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132AF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AA6E02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37ECCA3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5B6A6077">
      <w:pPr>
        <w:snapToGrid w:val="0"/>
        <w:spacing w:before="156" w:beforeLines="50" w:after="50" w:line="240" w:lineRule="auto"/>
        <w:rPr>
          <w:rFonts w:hint="eastAsia" w:ascii="宋体" w:hAnsi="宋体" w:eastAsia="宋体" w:cs="宋体"/>
          <w:sz w:val="21"/>
          <w:szCs w:val="21"/>
          <w:lang w:val="en-US" w:eastAsia="zh-CN"/>
        </w:rPr>
      </w:pPr>
    </w:p>
    <w:p w14:paraId="34D27F53">
      <w:pPr>
        <w:snapToGrid w:val="0"/>
        <w:spacing w:before="156" w:beforeLines="50" w:after="50" w:line="240" w:lineRule="auto"/>
        <w:rPr>
          <w:rFonts w:hint="eastAsia" w:ascii="宋体" w:hAnsi="宋体" w:eastAsia="宋体" w:cs="宋体"/>
          <w:sz w:val="21"/>
          <w:szCs w:val="21"/>
          <w:lang w:val="en-US" w:eastAsia="zh-CN"/>
        </w:rPr>
      </w:pPr>
    </w:p>
    <w:p w14:paraId="4CCF0FB0">
      <w:pPr>
        <w:snapToGrid w:val="0"/>
        <w:spacing w:before="156" w:beforeLines="50" w:after="50" w:line="240" w:lineRule="auto"/>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sz w:val="21"/>
          <w:szCs w:val="21"/>
          <w:lang w:val="en-US" w:eastAsia="zh-CN"/>
        </w:rPr>
        <w:t>5.</w:t>
      </w:r>
      <w:r>
        <w:rPr>
          <w:rFonts w:hint="eastAsia" w:asciiTheme="minorEastAsia" w:hAnsiTheme="minorEastAsia" w:eastAsiaTheme="minorEastAsia" w:cstheme="minorEastAsia"/>
          <w:b/>
          <w:color w:val="auto"/>
          <w:sz w:val="24"/>
          <w:szCs w:val="24"/>
          <w:highlight w:val="none"/>
          <w:lang w:val="en-US" w:eastAsia="zh-CN"/>
        </w:rPr>
        <w:t>技术商务分自评表</w:t>
      </w:r>
    </w:p>
    <w:p w14:paraId="49889BE1">
      <w:pPr>
        <w:spacing w:line="360" w:lineRule="auto"/>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技术商务分自评表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6219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center"/>
          </w:tcPr>
          <w:p w14:paraId="4820250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2064" w:type="dxa"/>
            <w:noWrap w:val="0"/>
            <w:vAlign w:val="center"/>
          </w:tcPr>
          <w:p w14:paraId="08FD1D5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评审项目</w:t>
            </w:r>
          </w:p>
        </w:tc>
        <w:tc>
          <w:tcPr>
            <w:tcW w:w="3668" w:type="dxa"/>
            <w:noWrap w:val="0"/>
            <w:vAlign w:val="center"/>
          </w:tcPr>
          <w:p w14:paraId="54DFF00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评分内容</w:t>
            </w:r>
          </w:p>
        </w:tc>
        <w:tc>
          <w:tcPr>
            <w:tcW w:w="1481" w:type="dxa"/>
            <w:noWrap w:val="0"/>
            <w:vAlign w:val="center"/>
          </w:tcPr>
          <w:p w14:paraId="369B625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自评</w:t>
            </w:r>
          </w:p>
          <w:p w14:paraId="7ED50FE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w:t>
            </w:r>
          </w:p>
        </w:tc>
        <w:tc>
          <w:tcPr>
            <w:tcW w:w="1245" w:type="dxa"/>
            <w:noWrap w:val="0"/>
            <w:vAlign w:val="center"/>
          </w:tcPr>
          <w:p w14:paraId="14C8729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w:t>
            </w:r>
          </w:p>
          <w:p w14:paraId="7FA775B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页码</w:t>
            </w:r>
          </w:p>
        </w:tc>
      </w:tr>
      <w:tr w14:paraId="170B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9FBC6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88D6AE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12D800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50EB33B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E7B27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16F5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8D4F83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BDF749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1DDA823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EFF25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2988E4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7F1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9DB06F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133295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699968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DE9C9B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84ADA8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453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5F38825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658F1D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2AA210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723920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79309A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4BEA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4C5E738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142BD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977D6B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11F7D5A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FB85F8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D08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7DC38D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77A3FDB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5B9D66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330EBED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95395F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D21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68BCB0D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E3165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2E66C7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E84FA5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CF51D0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449B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0D2B2B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7DA235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D8B95F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7A7F97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6990080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F3A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4D1E28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89F50C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27595E0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316D54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0719F7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8D1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2D62A3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117B03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014D137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6E70C5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A66032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2F3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4474A6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A29EF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2E8D09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1BE3B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47E93B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62131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072D037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2156B31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CEBC32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12BE5F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576B39A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24DB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BFDAD8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411DAE3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A9B5A9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7C503A0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E160FD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793F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12AE6B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5F86D1F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4F2B19A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2C813B5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F5E68F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5B9A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EB7AE7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71CAF0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34D0301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6F78FC3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3FAA7D6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63C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24EACC3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0673DFF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6E6175B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A2950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7FA7E08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0369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noWrap w:val="0"/>
            <w:vAlign w:val="top"/>
          </w:tcPr>
          <w:p w14:paraId="358268F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6363601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5085B85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418B3DE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1D9277B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r w14:paraId="3F65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noWrap w:val="0"/>
            <w:vAlign w:val="top"/>
          </w:tcPr>
          <w:p w14:paraId="79FF0BE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2064" w:type="dxa"/>
            <w:noWrap w:val="0"/>
            <w:vAlign w:val="top"/>
          </w:tcPr>
          <w:p w14:paraId="3BE4D4C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3668" w:type="dxa"/>
            <w:noWrap w:val="0"/>
            <w:vAlign w:val="top"/>
          </w:tcPr>
          <w:p w14:paraId="7F17B1F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481" w:type="dxa"/>
            <w:noWrap w:val="0"/>
            <w:vAlign w:val="top"/>
          </w:tcPr>
          <w:p w14:paraId="0FF73C0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c>
          <w:tcPr>
            <w:tcW w:w="1245" w:type="dxa"/>
            <w:noWrap w:val="0"/>
            <w:vAlign w:val="top"/>
          </w:tcPr>
          <w:p w14:paraId="0F75A07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szCs w:val="24"/>
                <w:highlight w:val="none"/>
              </w:rPr>
            </w:pPr>
          </w:p>
        </w:tc>
      </w:tr>
    </w:tbl>
    <w:p w14:paraId="43DBE7E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23CE5189">
      <w:pPr>
        <w:snapToGrid w:val="0"/>
        <w:spacing w:before="156" w:beforeLines="50" w:after="50" w:line="240" w:lineRule="auto"/>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.1投标单位项目负责人简历、专业职称、业绩表（格式）（如有）</w:t>
      </w:r>
    </w:p>
    <w:p w14:paraId="2476A266">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30"/>
          <w:szCs w:val="30"/>
          <w:highlight w:val="none"/>
        </w:rPr>
        <w:t>项目负责人简历表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59D4C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59D5C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67" w:type="dxa"/>
            <w:vAlign w:val="center"/>
          </w:tcPr>
          <w:p w14:paraId="396A82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vAlign w:val="center"/>
          </w:tcPr>
          <w:p w14:paraId="0F4723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93" w:type="dxa"/>
            <w:gridSpan w:val="2"/>
            <w:vAlign w:val="center"/>
          </w:tcPr>
          <w:p w14:paraId="7564E9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vAlign w:val="center"/>
          </w:tcPr>
          <w:p w14:paraId="6D6609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927" w:type="dxa"/>
            <w:vAlign w:val="center"/>
          </w:tcPr>
          <w:p w14:paraId="3E88732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496B0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7BD17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67" w:type="dxa"/>
            <w:vAlign w:val="center"/>
          </w:tcPr>
          <w:p w14:paraId="58B5F6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vAlign w:val="center"/>
          </w:tcPr>
          <w:p w14:paraId="6AA5C2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拟担任本</w:t>
            </w:r>
          </w:p>
          <w:p w14:paraId="1095BD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项目职务</w:t>
            </w:r>
          </w:p>
        </w:tc>
        <w:tc>
          <w:tcPr>
            <w:tcW w:w="1293" w:type="dxa"/>
            <w:gridSpan w:val="2"/>
            <w:vAlign w:val="center"/>
          </w:tcPr>
          <w:p w14:paraId="785177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vAlign w:val="center"/>
          </w:tcPr>
          <w:p w14:paraId="056452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927" w:type="dxa"/>
            <w:vAlign w:val="center"/>
          </w:tcPr>
          <w:p w14:paraId="7BA0049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8987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7F6CB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267" w:type="dxa"/>
            <w:vAlign w:val="center"/>
          </w:tcPr>
          <w:p w14:paraId="753C051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894" w:type="dxa"/>
            <w:gridSpan w:val="5"/>
            <w:vAlign w:val="center"/>
          </w:tcPr>
          <w:p w14:paraId="283256C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从事项目负责人</w:t>
            </w:r>
          </w:p>
          <w:p w14:paraId="4575FDC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年限    </w:t>
            </w:r>
          </w:p>
        </w:tc>
        <w:tc>
          <w:tcPr>
            <w:tcW w:w="1927" w:type="dxa"/>
            <w:vAlign w:val="center"/>
          </w:tcPr>
          <w:p w14:paraId="54BE6443">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p>
          <w:p w14:paraId="75843F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6E67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EBFD8E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7088" w:type="dxa"/>
            <w:gridSpan w:val="7"/>
            <w:vAlign w:val="center"/>
          </w:tcPr>
          <w:p w14:paraId="25C7C1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A6B6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5DB2E1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 完 成 项 目 情 况</w:t>
            </w:r>
          </w:p>
        </w:tc>
      </w:tr>
      <w:tr w14:paraId="0E9BA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C5432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23" w:type="dxa"/>
            <w:gridSpan w:val="2"/>
            <w:vAlign w:val="center"/>
          </w:tcPr>
          <w:p w14:paraId="294C55D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w:t>
            </w:r>
          </w:p>
        </w:tc>
        <w:tc>
          <w:tcPr>
            <w:tcW w:w="1586" w:type="dxa"/>
            <w:gridSpan w:val="2"/>
            <w:vAlign w:val="center"/>
          </w:tcPr>
          <w:p w14:paraId="1E9FB9F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开始完成日期</w:t>
            </w:r>
          </w:p>
        </w:tc>
        <w:tc>
          <w:tcPr>
            <w:tcW w:w="2152" w:type="dxa"/>
            <w:gridSpan w:val="2"/>
            <w:vAlign w:val="center"/>
          </w:tcPr>
          <w:p w14:paraId="7F80275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负担的技术</w:t>
            </w:r>
          </w:p>
          <w:p w14:paraId="2345E98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927" w:type="dxa"/>
            <w:vAlign w:val="center"/>
          </w:tcPr>
          <w:p w14:paraId="6B4F18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获奖情况</w:t>
            </w:r>
          </w:p>
        </w:tc>
      </w:tr>
      <w:tr w14:paraId="43946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C58412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423" w:type="dxa"/>
            <w:gridSpan w:val="2"/>
            <w:vAlign w:val="center"/>
          </w:tcPr>
          <w:p w14:paraId="1CB4DDF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vAlign w:val="center"/>
          </w:tcPr>
          <w:p w14:paraId="6502E40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vAlign w:val="center"/>
          </w:tcPr>
          <w:p w14:paraId="12441B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vAlign w:val="center"/>
          </w:tcPr>
          <w:p w14:paraId="7E18DC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5B69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092820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vAlign w:val="center"/>
          </w:tcPr>
          <w:p w14:paraId="789BD0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vAlign w:val="center"/>
          </w:tcPr>
          <w:p w14:paraId="30DDED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vAlign w:val="center"/>
          </w:tcPr>
          <w:p w14:paraId="072B07A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vAlign w:val="center"/>
          </w:tcPr>
          <w:p w14:paraId="37306E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4FCF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0A32C6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vAlign w:val="center"/>
          </w:tcPr>
          <w:p w14:paraId="205A7C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vAlign w:val="center"/>
          </w:tcPr>
          <w:p w14:paraId="0092319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vAlign w:val="center"/>
          </w:tcPr>
          <w:p w14:paraId="119AB0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vAlign w:val="center"/>
          </w:tcPr>
          <w:p w14:paraId="15D1BE2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43AAB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C7F99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vAlign w:val="center"/>
          </w:tcPr>
          <w:p w14:paraId="0FB34F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vAlign w:val="center"/>
          </w:tcPr>
          <w:p w14:paraId="6A7B53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vAlign w:val="center"/>
          </w:tcPr>
          <w:p w14:paraId="1ABB7E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vAlign w:val="center"/>
          </w:tcPr>
          <w:p w14:paraId="723A04A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6F4F8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54CB6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vAlign w:val="center"/>
          </w:tcPr>
          <w:p w14:paraId="006CCCD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vAlign w:val="center"/>
          </w:tcPr>
          <w:p w14:paraId="7DFD44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vAlign w:val="center"/>
          </w:tcPr>
          <w:p w14:paraId="2F3D089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vAlign w:val="center"/>
          </w:tcPr>
          <w:p w14:paraId="7EF4CF8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2D4AE6C8">
      <w:pPr>
        <w:snapToGrid w:val="0"/>
        <w:spacing w:before="50" w:after="156" w:afterLines="50" w:line="240" w:lineRule="auto"/>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注：1</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项目负责人应附身份证、职称证书、执业资格证书等复印件或扫描件（按评标办法提供）。</w:t>
      </w:r>
    </w:p>
    <w:p w14:paraId="79D0D6DA">
      <w:pPr>
        <w:snapToGrid w:val="0"/>
        <w:spacing w:before="50" w:after="156" w:afterLines="5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在填写时，如本表格不适合投标单位的实际情况，可根据本表格式按评标办法要求自行划表填写并提供相关资料。</w:t>
      </w:r>
    </w:p>
    <w:p w14:paraId="204DB7B4">
      <w:pPr>
        <w:spacing w:line="36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投标人名称（电子签章）</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p>
    <w:p w14:paraId="226908DA">
      <w:pPr>
        <w:spacing w:line="360" w:lineRule="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p>
    <w:p w14:paraId="24C8585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688AB818">
      <w:pPr>
        <w:spacing w:line="360" w:lineRule="auto"/>
        <w:jc w:val="center"/>
        <w:rPr>
          <w:rFonts w:hint="eastAsia" w:asciiTheme="minorEastAsia" w:hAnsiTheme="minorEastAsia" w:eastAsiaTheme="minorEastAsia" w:cstheme="minorEastAsia"/>
          <w:b/>
          <w:bCs/>
          <w:color w:val="auto"/>
          <w:sz w:val="30"/>
          <w:szCs w:val="30"/>
          <w:highlight w:val="none"/>
        </w:rPr>
      </w:pPr>
    </w:p>
    <w:p w14:paraId="107679B1">
      <w:pPr>
        <w:spacing w:line="360" w:lineRule="auto"/>
        <w:jc w:val="center"/>
        <w:rPr>
          <w:rFonts w:hint="eastAsia" w:asciiTheme="minorEastAsia" w:hAnsiTheme="minorEastAsia" w:eastAsiaTheme="minorEastAsia" w:cstheme="minorEastAsia"/>
          <w:b/>
          <w:bCs/>
          <w:color w:val="auto"/>
          <w:sz w:val="30"/>
          <w:szCs w:val="30"/>
          <w:highlight w:val="none"/>
        </w:rPr>
      </w:pPr>
    </w:p>
    <w:p w14:paraId="7FCA7B99">
      <w:pPr>
        <w:spacing w:line="360" w:lineRule="auto"/>
        <w:jc w:val="center"/>
        <w:rPr>
          <w:rFonts w:hint="eastAsia" w:asciiTheme="minorEastAsia" w:hAnsiTheme="minorEastAsia" w:eastAsiaTheme="minorEastAsia" w:cstheme="minorEastAsia"/>
          <w:b/>
          <w:bCs/>
          <w:color w:val="auto"/>
          <w:sz w:val="30"/>
          <w:szCs w:val="30"/>
          <w:highlight w:val="none"/>
        </w:rPr>
      </w:pPr>
    </w:p>
    <w:p w14:paraId="4B65F8AA">
      <w:pPr>
        <w:spacing w:line="36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30"/>
          <w:szCs w:val="30"/>
          <w:highlight w:val="none"/>
        </w:rPr>
        <w:t>项目</w:t>
      </w:r>
      <w:r>
        <w:rPr>
          <w:rFonts w:hint="eastAsia" w:asciiTheme="minorEastAsia" w:hAnsiTheme="minorEastAsia" w:eastAsiaTheme="minorEastAsia" w:cstheme="minorEastAsia"/>
          <w:b/>
          <w:bCs/>
          <w:color w:val="auto"/>
          <w:sz w:val="30"/>
          <w:szCs w:val="30"/>
          <w:highlight w:val="none"/>
          <w:lang w:val="en-US" w:eastAsia="zh-CN"/>
        </w:rPr>
        <w:t>技术</w:t>
      </w:r>
      <w:r>
        <w:rPr>
          <w:rFonts w:hint="eastAsia" w:asciiTheme="minorEastAsia" w:hAnsiTheme="minorEastAsia" w:eastAsiaTheme="minorEastAsia" w:cstheme="minorEastAsia"/>
          <w:b/>
          <w:bCs/>
          <w:color w:val="auto"/>
          <w:sz w:val="30"/>
          <w:szCs w:val="30"/>
          <w:highlight w:val="none"/>
        </w:rPr>
        <w:t>负责人简历表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65B40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D34434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67" w:type="dxa"/>
            <w:vAlign w:val="center"/>
          </w:tcPr>
          <w:p w14:paraId="628A86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vAlign w:val="center"/>
          </w:tcPr>
          <w:p w14:paraId="777D4FD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293" w:type="dxa"/>
            <w:gridSpan w:val="2"/>
            <w:vAlign w:val="center"/>
          </w:tcPr>
          <w:p w14:paraId="778CC6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vAlign w:val="center"/>
          </w:tcPr>
          <w:p w14:paraId="49A650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927" w:type="dxa"/>
            <w:vAlign w:val="center"/>
          </w:tcPr>
          <w:p w14:paraId="246109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D514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5E58993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267" w:type="dxa"/>
            <w:vAlign w:val="center"/>
          </w:tcPr>
          <w:p w14:paraId="3ED5FC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63" w:type="dxa"/>
            <w:gridSpan w:val="2"/>
            <w:vAlign w:val="center"/>
          </w:tcPr>
          <w:p w14:paraId="0CAA762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拟担任本</w:t>
            </w:r>
          </w:p>
          <w:p w14:paraId="6FCCC77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项目职务</w:t>
            </w:r>
          </w:p>
        </w:tc>
        <w:tc>
          <w:tcPr>
            <w:tcW w:w="1293" w:type="dxa"/>
            <w:gridSpan w:val="2"/>
            <w:vAlign w:val="center"/>
          </w:tcPr>
          <w:p w14:paraId="4FF973D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038" w:type="dxa"/>
            <w:vAlign w:val="center"/>
          </w:tcPr>
          <w:p w14:paraId="5B36DC3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927" w:type="dxa"/>
            <w:vAlign w:val="center"/>
          </w:tcPr>
          <w:p w14:paraId="017EB1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EB78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059A1D9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参加工作时间</w:t>
            </w:r>
          </w:p>
        </w:tc>
        <w:tc>
          <w:tcPr>
            <w:tcW w:w="1267" w:type="dxa"/>
            <w:vAlign w:val="center"/>
          </w:tcPr>
          <w:p w14:paraId="04A321E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3894" w:type="dxa"/>
            <w:gridSpan w:val="5"/>
            <w:vAlign w:val="center"/>
          </w:tcPr>
          <w:p w14:paraId="776DE8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从事项目负责人</w:t>
            </w:r>
          </w:p>
          <w:p w14:paraId="35D3DB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年限    </w:t>
            </w:r>
          </w:p>
        </w:tc>
        <w:tc>
          <w:tcPr>
            <w:tcW w:w="1927" w:type="dxa"/>
            <w:vAlign w:val="center"/>
          </w:tcPr>
          <w:p w14:paraId="3DF8FD3A">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p>
          <w:p w14:paraId="5648DEE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05572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077D6F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7088" w:type="dxa"/>
            <w:gridSpan w:val="7"/>
            <w:vAlign w:val="center"/>
          </w:tcPr>
          <w:p w14:paraId="5549C2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58AD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0DBCA0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 完 成 项 目 情 况</w:t>
            </w:r>
          </w:p>
        </w:tc>
      </w:tr>
      <w:tr w14:paraId="672F2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0E797B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423" w:type="dxa"/>
            <w:gridSpan w:val="2"/>
            <w:vAlign w:val="center"/>
          </w:tcPr>
          <w:p w14:paraId="2AEABD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规模</w:t>
            </w:r>
          </w:p>
        </w:tc>
        <w:tc>
          <w:tcPr>
            <w:tcW w:w="1586" w:type="dxa"/>
            <w:gridSpan w:val="2"/>
            <w:vAlign w:val="center"/>
          </w:tcPr>
          <w:p w14:paraId="7B2D45C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开始完成日期</w:t>
            </w:r>
          </w:p>
        </w:tc>
        <w:tc>
          <w:tcPr>
            <w:tcW w:w="2152" w:type="dxa"/>
            <w:gridSpan w:val="2"/>
            <w:vAlign w:val="center"/>
          </w:tcPr>
          <w:p w14:paraId="4F0D7E1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负担的技术</w:t>
            </w:r>
          </w:p>
          <w:p w14:paraId="76C83C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927" w:type="dxa"/>
            <w:vAlign w:val="center"/>
          </w:tcPr>
          <w:p w14:paraId="7DC4485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获奖情况</w:t>
            </w:r>
          </w:p>
        </w:tc>
      </w:tr>
      <w:tr w14:paraId="36CCF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EB4D5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1423" w:type="dxa"/>
            <w:gridSpan w:val="2"/>
            <w:vAlign w:val="center"/>
          </w:tcPr>
          <w:p w14:paraId="4D9C3D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vAlign w:val="center"/>
          </w:tcPr>
          <w:p w14:paraId="184562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vAlign w:val="center"/>
          </w:tcPr>
          <w:p w14:paraId="2F60B9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vAlign w:val="center"/>
          </w:tcPr>
          <w:p w14:paraId="035A64C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77002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2D597D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vAlign w:val="center"/>
          </w:tcPr>
          <w:p w14:paraId="532DCF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vAlign w:val="center"/>
          </w:tcPr>
          <w:p w14:paraId="0B224F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vAlign w:val="center"/>
          </w:tcPr>
          <w:p w14:paraId="6B8DBB5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vAlign w:val="center"/>
          </w:tcPr>
          <w:p w14:paraId="51B1038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C9C6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4D6F17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vAlign w:val="center"/>
          </w:tcPr>
          <w:p w14:paraId="27F8390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vAlign w:val="center"/>
          </w:tcPr>
          <w:p w14:paraId="5E25C6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vAlign w:val="center"/>
          </w:tcPr>
          <w:p w14:paraId="5766E6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vAlign w:val="center"/>
          </w:tcPr>
          <w:p w14:paraId="603EE9F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3D785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BCC93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vAlign w:val="center"/>
          </w:tcPr>
          <w:p w14:paraId="111E956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vAlign w:val="center"/>
          </w:tcPr>
          <w:p w14:paraId="073AA3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vAlign w:val="center"/>
          </w:tcPr>
          <w:p w14:paraId="2F2FFBE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vAlign w:val="center"/>
          </w:tcPr>
          <w:p w14:paraId="053A01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19AE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B33D0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423" w:type="dxa"/>
            <w:gridSpan w:val="2"/>
            <w:vAlign w:val="center"/>
          </w:tcPr>
          <w:p w14:paraId="560B114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86" w:type="dxa"/>
            <w:gridSpan w:val="2"/>
            <w:vAlign w:val="center"/>
          </w:tcPr>
          <w:p w14:paraId="58A33B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52" w:type="dxa"/>
            <w:gridSpan w:val="2"/>
            <w:vAlign w:val="center"/>
          </w:tcPr>
          <w:p w14:paraId="14DAB4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927" w:type="dxa"/>
            <w:vAlign w:val="center"/>
          </w:tcPr>
          <w:p w14:paraId="088C2C5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6C512316">
      <w:pPr>
        <w:snapToGrid w:val="0"/>
        <w:spacing w:before="50" w:after="156" w:afterLines="50" w:line="240" w:lineRule="auto"/>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注：1</w:t>
      </w:r>
      <w:r>
        <w:rPr>
          <w:rFonts w:hint="eastAsia" w:ascii="宋体" w:hAnsi="宋体" w:eastAsia="宋体" w:cs="宋体"/>
          <w:snapToGrid w:val="0"/>
          <w:color w:val="auto"/>
          <w:sz w:val="21"/>
          <w:szCs w:val="21"/>
          <w:highlight w:val="none"/>
          <w:lang w:val="en-US" w:eastAsia="zh-CN"/>
        </w:rPr>
        <w:t>.</w:t>
      </w:r>
      <w:r>
        <w:rPr>
          <w:rFonts w:hint="eastAsia" w:ascii="宋体" w:hAnsi="宋体" w:eastAsia="宋体" w:cs="宋体"/>
          <w:snapToGrid w:val="0"/>
          <w:color w:val="auto"/>
          <w:sz w:val="21"/>
          <w:szCs w:val="21"/>
          <w:highlight w:val="none"/>
        </w:rPr>
        <w:t>项目负责人应附身份证、职称证书、执业资格证书等复印件或扫描件（按评标办法提供）。</w:t>
      </w:r>
    </w:p>
    <w:p w14:paraId="4D4B0B65">
      <w:pPr>
        <w:snapToGrid w:val="0"/>
        <w:spacing w:before="50" w:after="156" w:afterLines="5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在填写时，如本表格不适合投标单位的实际情况，可根据本表格式按评标办法要求自行划表填写并提供相关资料。</w:t>
      </w:r>
    </w:p>
    <w:p w14:paraId="3C996533">
      <w:pPr>
        <w:spacing w:line="36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投标人名称（电子签章）</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p>
    <w:p w14:paraId="00638484">
      <w:pPr>
        <w:spacing w:line="360" w:lineRule="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p>
    <w:p w14:paraId="353182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napToGrid w:val="0"/>
          <w:color w:val="auto"/>
          <w:kern w:val="0"/>
          <w:sz w:val="21"/>
          <w:szCs w:val="21"/>
          <w:highlight w:val="none"/>
        </w:rPr>
        <w:t>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31A326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napToGrid w:val="0"/>
          <w:color w:val="auto"/>
          <w:kern w:val="0"/>
          <w:sz w:val="21"/>
          <w:szCs w:val="21"/>
          <w:highlight w:val="none"/>
        </w:rPr>
      </w:pPr>
    </w:p>
    <w:p w14:paraId="3D7DA11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3273B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D16F6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bookmarkStart w:id="103" w:name="_Toc18715"/>
      <w:r>
        <w:rPr>
          <w:rFonts w:hint="eastAsia" w:ascii="宋体" w:hAnsi="宋体" w:eastAsia="宋体" w:cs="宋体"/>
          <w:sz w:val="21"/>
          <w:szCs w:val="21"/>
          <w:lang w:val="en-US" w:eastAsia="zh-CN"/>
        </w:rPr>
        <w:br w:type="page"/>
      </w:r>
    </w:p>
    <w:p w14:paraId="3558E505">
      <w:pPr>
        <w:spacing w:line="240" w:lineRule="auto"/>
        <w:ind w:right="-567"/>
        <w:jc w:val="left"/>
        <w:rPr>
          <w:rFonts w:asciiTheme="minorEastAsia" w:hAnsiTheme="minorEastAsia" w:eastAsiaTheme="minorEastAsia" w:cstheme="minorEastAsia"/>
          <w:b/>
          <w:color w:val="auto"/>
          <w:sz w:val="24"/>
          <w:szCs w:val="24"/>
          <w:highlight w:val="none"/>
        </w:rPr>
      </w:pPr>
      <w:r>
        <w:rPr>
          <w:rFonts w:hint="eastAsia" w:ascii="宋体" w:hAnsi="宋体" w:eastAsia="宋体" w:cs="宋体"/>
          <w:sz w:val="21"/>
          <w:szCs w:val="21"/>
          <w:lang w:val="en-US" w:eastAsia="zh-CN"/>
        </w:rPr>
        <w:t>6</w:t>
      </w:r>
      <w:r>
        <w:rPr>
          <w:rFonts w:hint="eastAsia" w:ascii="宋体" w:hAnsi="宋体" w:eastAsia="宋体" w:cs="宋体"/>
          <w:sz w:val="21"/>
          <w:szCs w:val="21"/>
        </w:rPr>
        <w:t>.2</w:t>
      </w:r>
      <w:bookmarkEnd w:id="103"/>
      <w:r>
        <w:rPr>
          <w:rFonts w:hint="eastAsia" w:asciiTheme="minorEastAsia" w:hAnsiTheme="minorEastAsia" w:eastAsiaTheme="minorEastAsia" w:cstheme="minorEastAsia"/>
          <w:b/>
          <w:color w:val="auto"/>
          <w:sz w:val="24"/>
          <w:szCs w:val="24"/>
          <w:highlight w:val="none"/>
        </w:rPr>
        <w:t>项目实施人员一览表格式（如有）</w:t>
      </w:r>
    </w:p>
    <w:p w14:paraId="370F0C9A">
      <w:pPr>
        <w:spacing w:before="100" w:beforeAutospacing="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项目实施人员（主要从业人员及其技术资格）一览表</w:t>
      </w:r>
    </w:p>
    <w:p w14:paraId="0690ED6E">
      <w:pPr>
        <w:tabs>
          <w:tab w:val="right" w:pos="8847"/>
        </w:tabs>
        <w:spacing w:line="360" w:lineRule="auto"/>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rPr>
        <w:t>项目名称：</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项目编号：</w:t>
      </w:r>
      <w:r>
        <w:rPr>
          <w:rFonts w:hint="eastAsia" w:ascii="宋体" w:hAnsi="宋体" w:eastAsia="宋体" w:cs="宋体"/>
          <w:color w:val="auto"/>
          <w:spacing w:val="-4"/>
          <w:sz w:val="21"/>
          <w:szCs w:val="21"/>
          <w:highlight w:val="none"/>
          <w:u w:val="single"/>
        </w:rPr>
        <w:t xml:space="preserve">                </w:t>
      </w:r>
    </w:p>
    <w:p w14:paraId="68851202">
      <w:pPr>
        <w:spacing w:line="240" w:lineRule="auto"/>
        <w:ind w:firstLine="241"/>
        <w:rPr>
          <w:rFonts w:hint="eastAsia" w:ascii="宋体" w:hAnsi="宋体" w:eastAsia="宋体" w:cs="宋体"/>
          <w:b/>
          <w:color w:val="auto"/>
          <w:sz w:val="21"/>
          <w:szCs w:val="21"/>
          <w:highlight w:val="none"/>
        </w:rPr>
      </w:pPr>
    </w:p>
    <w:tbl>
      <w:tblPr>
        <w:tblStyle w:val="23"/>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7A81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36C3DA4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拟在本项目担任的职务(岗位)</w:t>
            </w:r>
          </w:p>
        </w:tc>
        <w:tc>
          <w:tcPr>
            <w:tcW w:w="709" w:type="dxa"/>
            <w:vMerge w:val="restart"/>
            <w:vAlign w:val="center"/>
          </w:tcPr>
          <w:p w14:paraId="5E7C9308">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10" w:type="dxa"/>
            <w:vMerge w:val="restart"/>
            <w:vAlign w:val="center"/>
          </w:tcPr>
          <w:p w14:paraId="05571E00">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5405" w:type="dxa"/>
            <w:gridSpan w:val="5"/>
            <w:vAlign w:val="center"/>
          </w:tcPr>
          <w:p w14:paraId="77F338F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执业或职业资格证件</w:t>
            </w:r>
          </w:p>
        </w:tc>
        <w:tc>
          <w:tcPr>
            <w:tcW w:w="1070" w:type="dxa"/>
            <w:vMerge w:val="restart"/>
            <w:vAlign w:val="center"/>
          </w:tcPr>
          <w:p w14:paraId="1B98B9E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58E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0F0E08AB">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1"/>
                <w:szCs w:val="21"/>
                <w:highlight w:val="none"/>
              </w:rPr>
            </w:pPr>
          </w:p>
        </w:tc>
        <w:tc>
          <w:tcPr>
            <w:tcW w:w="709" w:type="dxa"/>
            <w:vMerge w:val="continue"/>
            <w:vAlign w:val="center"/>
          </w:tcPr>
          <w:p w14:paraId="3D2559B3">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1"/>
                <w:szCs w:val="21"/>
                <w:highlight w:val="none"/>
              </w:rPr>
            </w:pPr>
          </w:p>
        </w:tc>
        <w:tc>
          <w:tcPr>
            <w:tcW w:w="710" w:type="dxa"/>
            <w:vMerge w:val="continue"/>
            <w:vAlign w:val="center"/>
          </w:tcPr>
          <w:p w14:paraId="52FB390F">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1"/>
                <w:szCs w:val="21"/>
                <w:highlight w:val="none"/>
              </w:rPr>
            </w:pPr>
          </w:p>
        </w:tc>
        <w:tc>
          <w:tcPr>
            <w:tcW w:w="1136" w:type="dxa"/>
            <w:vAlign w:val="center"/>
          </w:tcPr>
          <w:p w14:paraId="22852509">
            <w:pPr>
              <w:keepNext w:val="0"/>
              <w:keepLines w:val="0"/>
              <w:suppressLineNumbers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52" w:type="dxa"/>
            <w:vAlign w:val="center"/>
          </w:tcPr>
          <w:p w14:paraId="54C99375">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1083" w:type="dxa"/>
            <w:vAlign w:val="center"/>
          </w:tcPr>
          <w:p w14:paraId="4B6535E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1004" w:type="dxa"/>
            <w:vAlign w:val="center"/>
          </w:tcPr>
          <w:p w14:paraId="062A418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1330" w:type="dxa"/>
            <w:vAlign w:val="center"/>
          </w:tcPr>
          <w:p w14:paraId="3B1AFD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1070" w:type="dxa"/>
            <w:vMerge w:val="continue"/>
            <w:vAlign w:val="center"/>
          </w:tcPr>
          <w:p w14:paraId="5B4471DB">
            <w:pPr>
              <w:keepNext w:val="0"/>
              <w:keepLines w:val="0"/>
              <w:suppressLineNumbers w:val="0"/>
              <w:spacing w:before="0" w:beforeAutospacing="0" w:after="0" w:afterAutospacing="0" w:line="240" w:lineRule="auto"/>
              <w:ind w:left="0" w:right="0" w:firstLine="240"/>
              <w:rPr>
                <w:rFonts w:hint="eastAsia" w:ascii="宋体" w:hAnsi="宋体" w:eastAsia="宋体" w:cs="宋体"/>
                <w:color w:val="auto"/>
                <w:sz w:val="21"/>
                <w:szCs w:val="21"/>
                <w:highlight w:val="none"/>
              </w:rPr>
            </w:pPr>
          </w:p>
        </w:tc>
      </w:tr>
      <w:tr w14:paraId="6802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43C3F8C0">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1"/>
                <w:szCs w:val="21"/>
                <w:highlight w:val="none"/>
              </w:rPr>
            </w:pPr>
          </w:p>
        </w:tc>
      </w:tr>
      <w:tr w14:paraId="2B6BD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5D326500">
            <w:pPr>
              <w:keepNext w:val="0"/>
              <w:keepLines w:val="0"/>
              <w:suppressLineNumbers w:val="0"/>
              <w:spacing w:before="0" w:beforeAutospacing="0" w:after="0" w:afterAutospacing="0" w:line="240" w:lineRule="auto"/>
              <w:ind w:left="0" w:right="0" w:firstLine="2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专业技术人员</w:t>
            </w:r>
          </w:p>
        </w:tc>
      </w:tr>
      <w:tr w14:paraId="5549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709C806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…专业负责人</w:t>
            </w:r>
          </w:p>
        </w:tc>
        <w:tc>
          <w:tcPr>
            <w:tcW w:w="709" w:type="dxa"/>
            <w:vAlign w:val="center"/>
          </w:tcPr>
          <w:p w14:paraId="4EDDC8C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10" w:type="dxa"/>
            <w:vAlign w:val="center"/>
          </w:tcPr>
          <w:p w14:paraId="7521671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136" w:type="dxa"/>
            <w:vAlign w:val="center"/>
          </w:tcPr>
          <w:p w14:paraId="5ABA82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852" w:type="dxa"/>
            <w:vAlign w:val="center"/>
          </w:tcPr>
          <w:p w14:paraId="77B2BEB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83" w:type="dxa"/>
            <w:vAlign w:val="center"/>
          </w:tcPr>
          <w:p w14:paraId="0A0E805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04" w:type="dxa"/>
            <w:vAlign w:val="center"/>
          </w:tcPr>
          <w:p w14:paraId="1C3C059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330" w:type="dxa"/>
            <w:vAlign w:val="center"/>
          </w:tcPr>
          <w:p w14:paraId="70D3AF9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70" w:type="dxa"/>
            <w:vAlign w:val="center"/>
          </w:tcPr>
          <w:p w14:paraId="61DCAE5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r>
      <w:tr w14:paraId="005C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05E21F5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…专业负责人</w:t>
            </w:r>
          </w:p>
        </w:tc>
        <w:tc>
          <w:tcPr>
            <w:tcW w:w="709" w:type="dxa"/>
            <w:vAlign w:val="center"/>
          </w:tcPr>
          <w:p w14:paraId="2545E97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10" w:type="dxa"/>
            <w:vAlign w:val="center"/>
          </w:tcPr>
          <w:p w14:paraId="1522478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136" w:type="dxa"/>
            <w:vAlign w:val="center"/>
          </w:tcPr>
          <w:p w14:paraId="14198CD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852" w:type="dxa"/>
            <w:vAlign w:val="center"/>
          </w:tcPr>
          <w:p w14:paraId="3AF3C8F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83" w:type="dxa"/>
            <w:vAlign w:val="center"/>
          </w:tcPr>
          <w:p w14:paraId="4C7BA55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04" w:type="dxa"/>
            <w:vAlign w:val="center"/>
          </w:tcPr>
          <w:p w14:paraId="151520C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330" w:type="dxa"/>
            <w:vAlign w:val="center"/>
          </w:tcPr>
          <w:p w14:paraId="4755FA0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70" w:type="dxa"/>
            <w:vAlign w:val="center"/>
          </w:tcPr>
          <w:p w14:paraId="7F84453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r>
      <w:tr w14:paraId="6345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3E4BE7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09" w:type="dxa"/>
            <w:vAlign w:val="center"/>
          </w:tcPr>
          <w:p w14:paraId="3B893F1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10" w:type="dxa"/>
            <w:vAlign w:val="center"/>
          </w:tcPr>
          <w:p w14:paraId="4B27943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136" w:type="dxa"/>
            <w:vAlign w:val="center"/>
          </w:tcPr>
          <w:p w14:paraId="34BA0B5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852" w:type="dxa"/>
            <w:vAlign w:val="center"/>
          </w:tcPr>
          <w:p w14:paraId="7D980A6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83" w:type="dxa"/>
            <w:vAlign w:val="center"/>
          </w:tcPr>
          <w:p w14:paraId="345B2C7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04" w:type="dxa"/>
            <w:vAlign w:val="center"/>
          </w:tcPr>
          <w:p w14:paraId="69AE341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330" w:type="dxa"/>
            <w:vAlign w:val="center"/>
          </w:tcPr>
          <w:p w14:paraId="45B3E7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70" w:type="dxa"/>
            <w:vAlign w:val="center"/>
          </w:tcPr>
          <w:p w14:paraId="14234BB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r>
      <w:tr w14:paraId="54B9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6193278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09" w:type="dxa"/>
            <w:vAlign w:val="center"/>
          </w:tcPr>
          <w:p w14:paraId="0632062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10" w:type="dxa"/>
            <w:vAlign w:val="center"/>
          </w:tcPr>
          <w:p w14:paraId="61B8AF8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136" w:type="dxa"/>
            <w:vAlign w:val="center"/>
          </w:tcPr>
          <w:p w14:paraId="2E691BD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852" w:type="dxa"/>
            <w:vAlign w:val="center"/>
          </w:tcPr>
          <w:p w14:paraId="0DE6733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83" w:type="dxa"/>
            <w:vAlign w:val="center"/>
          </w:tcPr>
          <w:p w14:paraId="09800C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04" w:type="dxa"/>
            <w:vAlign w:val="center"/>
          </w:tcPr>
          <w:p w14:paraId="79B1D75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330" w:type="dxa"/>
            <w:vAlign w:val="center"/>
          </w:tcPr>
          <w:p w14:paraId="06AE183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70" w:type="dxa"/>
            <w:vAlign w:val="center"/>
          </w:tcPr>
          <w:p w14:paraId="112D640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r>
      <w:tr w14:paraId="6FA7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58B344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w:t>
            </w:r>
          </w:p>
        </w:tc>
        <w:tc>
          <w:tcPr>
            <w:tcW w:w="709" w:type="dxa"/>
            <w:vAlign w:val="center"/>
          </w:tcPr>
          <w:p w14:paraId="2C479DA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10" w:type="dxa"/>
            <w:vAlign w:val="center"/>
          </w:tcPr>
          <w:p w14:paraId="62890AA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136" w:type="dxa"/>
            <w:vAlign w:val="center"/>
          </w:tcPr>
          <w:p w14:paraId="62EFF20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852" w:type="dxa"/>
            <w:vAlign w:val="center"/>
          </w:tcPr>
          <w:p w14:paraId="0FC268B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83" w:type="dxa"/>
            <w:vAlign w:val="center"/>
          </w:tcPr>
          <w:p w14:paraId="6B2EA420">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04" w:type="dxa"/>
            <w:vAlign w:val="center"/>
          </w:tcPr>
          <w:p w14:paraId="4693534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330" w:type="dxa"/>
            <w:vAlign w:val="center"/>
          </w:tcPr>
          <w:p w14:paraId="067D145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70" w:type="dxa"/>
            <w:vAlign w:val="center"/>
          </w:tcPr>
          <w:p w14:paraId="132D22C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r>
      <w:tr w14:paraId="23ED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82C3C0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09" w:type="dxa"/>
            <w:vAlign w:val="center"/>
          </w:tcPr>
          <w:p w14:paraId="59328F4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10" w:type="dxa"/>
            <w:vAlign w:val="center"/>
          </w:tcPr>
          <w:p w14:paraId="635D009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136" w:type="dxa"/>
            <w:vAlign w:val="center"/>
          </w:tcPr>
          <w:p w14:paraId="1139AFC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852" w:type="dxa"/>
            <w:vAlign w:val="center"/>
          </w:tcPr>
          <w:p w14:paraId="7E18D37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83" w:type="dxa"/>
            <w:vAlign w:val="center"/>
          </w:tcPr>
          <w:p w14:paraId="2DC9554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04" w:type="dxa"/>
            <w:vAlign w:val="center"/>
          </w:tcPr>
          <w:p w14:paraId="116A17E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330" w:type="dxa"/>
            <w:vAlign w:val="center"/>
          </w:tcPr>
          <w:p w14:paraId="7A7291F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70" w:type="dxa"/>
            <w:vAlign w:val="center"/>
          </w:tcPr>
          <w:p w14:paraId="09C276B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r>
      <w:tr w14:paraId="7B3F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5B56498">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09" w:type="dxa"/>
            <w:vAlign w:val="center"/>
          </w:tcPr>
          <w:p w14:paraId="5798CDB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10" w:type="dxa"/>
            <w:vAlign w:val="center"/>
          </w:tcPr>
          <w:p w14:paraId="5DF3405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136" w:type="dxa"/>
            <w:vAlign w:val="center"/>
          </w:tcPr>
          <w:p w14:paraId="52FBDDD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852" w:type="dxa"/>
            <w:vAlign w:val="center"/>
          </w:tcPr>
          <w:p w14:paraId="759735F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83" w:type="dxa"/>
            <w:vAlign w:val="center"/>
          </w:tcPr>
          <w:p w14:paraId="03BE6107">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04" w:type="dxa"/>
            <w:vAlign w:val="center"/>
          </w:tcPr>
          <w:p w14:paraId="7478370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330" w:type="dxa"/>
            <w:vAlign w:val="center"/>
          </w:tcPr>
          <w:p w14:paraId="6BF0213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70" w:type="dxa"/>
            <w:vAlign w:val="center"/>
          </w:tcPr>
          <w:p w14:paraId="2D62EF1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r>
      <w:tr w14:paraId="4D29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109310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09" w:type="dxa"/>
            <w:vAlign w:val="center"/>
          </w:tcPr>
          <w:p w14:paraId="7588F659">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10" w:type="dxa"/>
            <w:vAlign w:val="center"/>
          </w:tcPr>
          <w:p w14:paraId="096A7D1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136" w:type="dxa"/>
            <w:vAlign w:val="center"/>
          </w:tcPr>
          <w:p w14:paraId="5ABA740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852" w:type="dxa"/>
            <w:vAlign w:val="center"/>
          </w:tcPr>
          <w:p w14:paraId="32DB10EA">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83" w:type="dxa"/>
            <w:vAlign w:val="center"/>
          </w:tcPr>
          <w:p w14:paraId="1CE1628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04" w:type="dxa"/>
            <w:vAlign w:val="center"/>
          </w:tcPr>
          <w:p w14:paraId="67DAF5F1">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330" w:type="dxa"/>
            <w:vAlign w:val="center"/>
          </w:tcPr>
          <w:p w14:paraId="44DE782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70" w:type="dxa"/>
            <w:vAlign w:val="center"/>
          </w:tcPr>
          <w:p w14:paraId="077CB9C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r>
      <w:tr w14:paraId="5BFB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254308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09" w:type="dxa"/>
            <w:vAlign w:val="center"/>
          </w:tcPr>
          <w:p w14:paraId="5B7736D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10" w:type="dxa"/>
            <w:vAlign w:val="center"/>
          </w:tcPr>
          <w:p w14:paraId="2D695AC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136" w:type="dxa"/>
            <w:vAlign w:val="center"/>
          </w:tcPr>
          <w:p w14:paraId="52542D04">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852" w:type="dxa"/>
            <w:vAlign w:val="center"/>
          </w:tcPr>
          <w:p w14:paraId="5346195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83" w:type="dxa"/>
            <w:vAlign w:val="center"/>
          </w:tcPr>
          <w:p w14:paraId="4874880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04" w:type="dxa"/>
            <w:vAlign w:val="center"/>
          </w:tcPr>
          <w:p w14:paraId="6144A91B">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330" w:type="dxa"/>
            <w:vAlign w:val="center"/>
          </w:tcPr>
          <w:p w14:paraId="33D01A7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70" w:type="dxa"/>
            <w:vAlign w:val="center"/>
          </w:tcPr>
          <w:p w14:paraId="3B6BD2D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r>
      <w:tr w14:paraId="6F9E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5A1D5BF">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09" w:type="dxa"/>
            <w:vAlign w:val="center"/>
          </w:tcPr>
          <w:p w14:paraId="72AE9592">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710" w:type="dxa"/>
            <w:vAlign w:val="center"/>
          </w:tcPr>
          <w:p w14:paraId="2CB1354D">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136" w:type="dxa"/>
            <w:vAlign w:val="center"/>
          </w:tcPr>
          <w:p w14:paraId="6BF7587C">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852" w:type="dxa"/>
            <w:vAlign w:val="center"/>
          </w:tcPr>
          <w:p w14:paraId="56F9D9F3">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83" w:type="dxa"/>
            <w:vAlign w:val="center"/>
          </w:tcPr>
          <w:p w14:paraId="3326ABD6">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04" w:type="dxa"/>
            <w:vAlign w:val="center"/>
          </w:tcPr>
          <w:p w14:paraId="62056285">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330" w:type="dxa"/>
            <w:vAlign w:val="center"/>
          </w:tcPr>
          <w:p w14:paraId="66FB58B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c>
          <w:tcPr>
            <w:tcW w:w="1070" w:type="dxa"/>
            <w:vAlign w:val="center"/>
          </w:tcPr>
          <w:p w14:paraId="031FE8CE">
            <w:pPr>
              <w:keepNext w:val="0"/>
              <w:keepLines w:val="0"/>
              <w:suppressLineNumbers w:val="0"/>
              <w:spacing w:before="0" w:beforeAutospacing="0" w:after="0" w:afterAutospacing="0" w:line="240" w:lineRule="auto"/>
              <w:ind w:left="0" w:right="0" w:firstLine="240"/>
              <w:jc w:val="center"/>
              <w:rPr>
                <w:rFonts w:hint="eastAsia" w:ascii="宋体" w:hAnsi="宋体" w:eastAsia="宋体" w:cs="宋体"/>
                <w:color w:val="auto"/>
                <w:sz w:val="21"/>
                <w:szCs w:val="21"/>
                <w:highlight w:val="none"/>
              </w:rPr>
            </w:pPr>
          </w:p>
        </w:tc>
      </w:tr>
    </w:tbl>
    <w:p w14:paraId="11176901">
      <w:pPr>
        <w:snapToGrid w:val="0"/>
        <w:spacing w:before="50" w:after="156" w:afterLines="5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val="en-US" w:eastAsia="zh-CN"/>
        </w:rPr>
        <w:t>.</w:t>
      </w:r>
      <w:r>
        <w:rPr>
          <w:rFonts w:hint="eastAsia" w:ascii="宋体" w:hAnsi="宋体" w:eastAsia="宋体" w:cs="宋体"/>
          <w:snapToGrid w:val="0"/>
          <w:color w:val="auto"/>
          <w:sz w:val="21"/>
          <w:szCs w:val="21"/>
          <w:highlight w:val="none"/>
        </w:rPr>
        <w:t>项目组成人员应附职称证书、执业资格证书等复印件或扫描件（按评标办法提供）。</w:t>
      </w:r>
    </w:p>
    <w:p w14:paraId="1E9A5377">
      <w:pPr>
        <w:snapToGrid w:val="0"/>
        <w:spacing w:before="50" w:after="156" w:afterLines="50"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在填写时，如本表格不适合投标单位的实际情况，可根据本表格式按评标办法要求自行划表填写并提供相关资料。</w:t>
      </w:r>
    </w:p>
    <w:p w14:paraId="7932692E">
      <w:pPr>
        <w:snapToGrid w:val="0"/>
        <w:spacing w:before="50" w:after="50" w:line="240" w:lineRule="auto"/>
        <w:rPr>
          <w:rFonts w:hint="eastAsia" w:ascii="宋体" w:hAnsi="宋体" w:eastAsia="宋体" w:cs="宋体"/>
          <w:color w:val="auto"/>
          <w:spacing w:val="20"/>
          <w:sz w:val="21"/>
          <w:szCs w:val="21"/>
          <w:highlight w:val="none"/>
          <w:u w:val="single"/>
        </w:rPr>
      </w:pPr>
    </w:p>
    <w:p w14:paraId="1A1E0023">
      <w:pPr>
        <w:spacing w:line="360" w:lineRule="auto"/>
        <w:rPr>
          <w:rFonts w:hint="eastAsia" w:ascii="宋体" w:hAnsi="宋体" w:eastAsia="宋体" w:cs="宋体"/>
          <w:color w:val="auto"/>
          <w:spacing w:val="20"/>
          <w:sz w:val="21"/>
          <w:szCs w:val="21"/>
          <w:highlight w:val="none"/>
          <w:u w:val="single"/>
        </w:rPr>
      </w:pPr>
      <w:r>
        <w:rPr>
          <w:rFonts w:hint="eastAsia" w:ascii="宋体" w:hAnsi="宋体" w:eastAsia="宋体" w:cs="宋体"/>
          <w:color w:val="auto"/>
          <w:sz w:val="21"/>
          <w:szCs w:val="21"/>
          <w:highlight w:val="none"/>
        </w:rPr>
        <w:t>投标人名称（电子签章）</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p>
    <w:p w14:paraId="7410D09A">
      <w:pPr>
        <w:spacing w:line="360" w:lineRule="auto"/>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20"/>
          <w:sz w:val="21"/>
          <w:szCs w:val="21"/>
          <w:highlight w:val="none"/>
          <w:u w:val="single"/>
        </w:rPr>
        <w:t xml:space="preserve">            </w:t>
      </w:r>
    </w:p>
    <w:p w14:paraId="6026F60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napToGrid w:val="0"/>
          <w:color w:val="auto"/>
          <w:kern w:val="0"/>
          <w:sz w:val="21"/>
          <w:szCs w:val="21"/>
          <w:highlight w:val="none"/>
        </w:rPr>
        <w:t>日期：</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4274C56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4AAEA5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67CAB8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sectPr>
          <w:footerReference r:id="rId8" w:type="default"/>
          <w:pgSz w:w="11906" w:h="16838"/>
          <w:pgMar w:top="1701" w:right="1106" w:bottom="1277" w:left="1501" w:header="1077" w:footer="1077" w:gutter="0"/>
          <w:pgNumType w:fmt="decimal" w:start="1"/>
          <w:cols w:space="720" w:num="1"/>
          <w:docGrid w:type="lines" w:linePitch="312" w:charSpace="0"/>
        </w:sectPr>
      </w:pPr>
    </w:p>
    <w:p w14:paraId="136371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投标人建议的验收方法或方案（格式自拟）（如有）</w:t>
      </w:r>
    </w:p>
    <w:p w14:paraId="72FE9D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6.4</w:t>
      </w:r>
      <w:r>
        <w:rPr>
          <w:rFonts w:hint="eastAsia" w:ascii="宋体" w:hAnsi="宋体" w:eastAsia="宋体" w:cs="宋体"/>
          <w:sz w:val="21"/>
          <w:szCs w:val="21"/>
        </w:rPr>
        <w:t>技术服务、技术培训、售后服务的内容和措施（格式自拟）（如有）</w:t>
      </w:r>
    </w:p>
    <w:p w14:paraId="65779A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w:t>
      </w:r>
      <w:r>
        <w:rPr>
          <w:rFonts w:hint="eastAsia" w:ascii="宋体" w:hAnsi="宋体" w:eastAsia="宋体" w:cs="宋体"/>
          <w:sz w:val="21"/>
          <w:szCs w:val="21"/>
        </w:rPr>
        <w:t>投标人对本项目的合理化建议和改进措施（格式自拟）（如有）</w:t>
      </w:r>
    </w:p>
    <w:p w14:paraId="7860BFF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6.6</w:t>
      </w:r>
      <w:r>
        <w:rPr>
          <w:rFonts w:hint="eastAsia" w:ascii="宋体" w:hAnsi="宋体" w:eastAsia="宋体" w:cs="宋体"/>
          <w:sz w:val="21"/>
          <w:szCs w:val="21"/>
        </w:rPr>
        <w:t>投标人需要说明的其他文件和说明（格式自拟）(如有)</w:t>
      </w:r>
    </w:p>
    <w:p w14:paraId="0CDDCC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03572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F367C2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FEC635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CCAEAB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96330A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C45924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091FF9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0E0452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390D5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1CCFAA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E84DF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D97DD0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19D3A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888BFA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141E877F">
      <w:pPr>
        <w:spacing w:line="240" w:lineRule="auto"/>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三、报价文件封面格式</w:t>
      </w:r>
    </w:p>
    <w:p w14:paraId="0B979D22">
      <w:pPr>
        <w:spacing w:line="240" w:lineRule="auto"/>
        <w:rPr>
          <w:rFonts w:asciiTheme="minorEastAsia" w:hAnsiTheme="minorEastAsia" w:eastAsiaTheme="minorEastAsia" w:cstheme="minorEastAsia"/>
          <w:b/>
          <w:bCs/>
          <w:color w:val="auto"/>
          <w:sz w:val="40"/>
          <w:szCs w:val="40"/>
          <w:highlight w:val="none"/>
        </w:rPr>
      </w:pPr>
    </w:p>
    <w:p w14:paraId="118A4990">
      <w:pPr>
        <w:spacing w:line="240" w:lineRule="auto"/>
        <w:jc w:val="center"/>
        <w:rPr>
          <w:rFonts w:asciiTheme="minorEastAsia" w:hAnsiTheme="minorEastAsia" w:eastAsiaTheme="minorEastAsia" w:cstheme="minorEastAsia"/>
          <w:b/>
          <w:bCs/>
          <w:color w:val="auto"/>
          <w:sz w:val="40"/>
          <w:szCs w:val="40"/>
          <w:highlight w:val="none"/>
        </w:rPr>
      </w:pPr>
    </w:p>
    <w:p w14:paraId="11A161A7">
      <w:pPr>
        <w:spacing w:line="240" w:lineRule="auto"/>
        <w:jc w:val="cente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40"/>
          <w:szCs w:val="40"/>
          <w:highlight w:val="none"/>
          <w:lang w:eastAsia="zh-CN"/>
        </w:rPr>
        <w:t>浦江县2024年水文设施标准化管理项目</w:t>
      </w:r>
    </w:p>
    <w:p w14:paraId="4C5952BC">
      <w:pPr>
        <w:spacing w:line="360" w:lineRule="auto"/>
        <w:jc w:val="center"/>
        <w:rPr>
          <w:rFonts w:asciiTheme="minorEastAsia" w:hAnsiTheme="minorEastAsia" w:eastAsiaTheme="minorEastAsia" w:cstheme="minorEastAsia"/>
          <w:color w:val="auto"/>
          <w:spacing w:val="40"/>
          <w:w w:val="90"/>
          <w:sz w:val="96"/>
          <w:szCs w:val="96"/>
          <w:highlight w:val="none"/>
          <w:lang w:bidi="th-TH"/>
        </w:rPr>
      </w:pPr>
    </w:p>
    <w:p w14:paraId="1C11B766">
      <w:pPr>
        <w:spacing w:line="360" w:lineRule="auto"/>
        <w:jc w:val="center"/>
        <w:rPr>
          <w:rFonts w:asciiTheme="minorEastAsia" w:hAnsiTheme="minorEastAsia" w:eastAsiaTheme="minorEastAsia" w:cstheme="minorEastAsia"/>
          <w:color w:val="auto"/>
          <w:spacing w:val="40"/>
          <w:w w:val="90"/>
          <w:sz w:val="96"/>
          <w:szCs w:val="96"/>
          <w:highlight w:val="none"/>
          <w:lang w:bidi="th-TH"/>
        </w:rPr>
      </w:pPr>
      <w:r>
        <w:rPr>
          <w:rFonts w:hint="eastAsia" w:asciiTheme="minorEastAsia" w:hAnsiTheme="minorEastAsia" w:eastAsiaTheme="minorEastAsia" w:cstheme="minorEastAsia"/>
          <w:color w:val="auto"/>
          <w:spacing w:val="40"/>
          <w:w w:val="90"/>
          <w:sz w:val="96"/>
          <w:szCs w:val="96"/>
          <w:highlight w:val="none"/>
          <w:lang w:val="en-US" w:eastAsia="zh-CN" w:bidi="th-TH"/>
        </w:rPr>
        <w:t>响 应</w:t>
      </w:r>
      <w:r>
        <w:rPr>
          <w:rFonts w:hint="eastAsia" w:asciiTheme="minorEastAsia" w:hAnsiTheme="minorEastAsia" w:eastAsiaTheme="minorEastAsia" w:cstheme="minorEastAsia"/>
          <w:color w:val="auto"/>
          <w:spacing w:val="40"/>
          <w:w w:val="90"/>
          <w:sz w:val="96"/>
          <w:szCs w:val="96"/>
          <w:highlight w:val="none"/>
          <w:lang w:bidi="th-TH"/>
        </w:rPr>
        <w:t xml:space="preserve"> 文 件</w:t>
      </w:r>
    </w:p>
    <w:p w14:paraId="56A0E156">
      <w:pPr>
        <w:spacing w:line="240" w:lineRule="auto"/>
        <w:jc w:val="center"/>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（报价文件）</w:t>
      </w:r>
    </w:p>
    <w:p w14:paraId="64F83F5E">
      <w:pPr>
        <w:spacing w:line="240" w:lineRule="auto"/>
        <w:jc w:val="center"/>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27EB0142">
      <w:pPr>
        <w:spacing w:line="240" w:lineRule="auto"/>
        <w:jc w:val="center"/>
        <w:rPr>
          <w:rFonts w:asciiTheme="minorEastAsia" w:hAnsiTheme="minorEastAsia" w:eastAsiaTheme="minorEastAsia" w:cstheme="minorEastAsia"/>
          <w:b/>
          <w:bCs/>
          <w:color w:val="auto"/>
          <w:sz w:val="28"/>
          <w:szCs w:val="28"/>
          <w:highlight w:val="none"/>
        </w:rPr>
      </w:pPr>
    </w:p>
    <w:p w14:paraId="1B3D29ED">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470ACFB2">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3A772CF">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0591FFE3">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08E8576">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6BB63BA1">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投标人名称（电子签章）：</w:t>
      </w:r>
      <w:r>
        <w:rPr>
          <w:rFonts w:hint="eastAsia" w:asciiTheme="minorEastAsia" w:hAnsiTheme="minorEastAsia" w:eastAsiaTheme="minorEastAsia" w:cstheme="minorEastAsia"/>
          <w:b/>
          <w:color w:val="auto"/>
          <w:sz w:val="32"/>
          <w:szCs w:val="32"/>
          <w:highlight w:val="none"/>
          <w:u w:val="single"/>
        </w:rPr>
        <w:t xml:space="preserve">                             </w:t>
      </w:r>
    </w:p>
    <w:p w14:paraId="34A88AFF">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2A439DBB">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法定代表人或授权代表(签字或盖章)： </w:t>
      </w:r>
      <w:r>
        <w:rPr>
          <w:rFonts w:hint="eastAsia" w:asciiTheme="minorEastAsia" w:hAnsiTheme="minorEastAsia" w:eastAsiaTheme="minorEastAsia" w:cstheme="minorEastAsia"/>
          <w:b/>
          <w:color w:val="auto"/>
          <w:sz w:val="32"/>
          <w:szCs w:val="32"/>
          <w:highlight w:val="none"/>
          <w:u w:val="single"/>
        </w:rPr>
        <w:t xml:space="preserve">                  </w:t>
      </w:r>
    </w:p>
    <w:p w14:paraId="293E724B">
      <w:pPr>
        <w:autoSpaceDE w:val="0"/>
        <w:autoSpaceDN w:val="0"/>
        <w:adjustRightInd w:val="0"/>
        <w:spacing w:line="360" w:lineRule="auto"/>
        <w:rPr>
          <w:rFonts w:asciiTheme="minorEastAsia" w:hAnsiTheme="minorEastAsia" w:eastAsiaTheme="minorEastAsia" w:cstheme="minorEastAsia"/>
          <w:b/>
          <w:color w:val="auto"/>
          <w:sz w:val="32"/>
          <w:szCs w:val="32"/>
          <w:highlight w:val="none"/>
        </w:rPr>
      </w:pPr>
    </w:p>
    <w:p w14:paraId="3C74905D">
      <w:pPr>
        <w:autoSpaceDE w:val="0"/>
        <w:autoSpaceDN w:val="0"/>
        <w:adjustRightInd w:val="0"/>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时间：    年   月   日</w:t>
      </w:r>
    </w:p>
    <w:p w14:paraId="712C24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266C4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AA9EF61">
      <w:pPr>
        <w:tabs>
          <w:tab w:val="left" w:pos="720"/>
        </w:tabs>
        <w:adjustRightInd w:val="0"/>
        <w:snapToGrid w:val="0"/>
        <w:spacing w:line="480" w:lineRule="auto"/>
        <w:ind w:left="420"/>
        <w:jc w:val="center"/>
        <w:rPr>
          <w:rFonts w:asciiTheme="minorEastAsia" w:hAnsiTheme="minorEastAsia" w:eastAsiaTheme="minorEastAsia" w:cstheme="minorEastAsia"/>
          <w:b/>
          <w:snapToGrid w:val="0"/>
          <w:color w:val="auto"/>
          <w:kern w:val="0"/>
          <w:sz w:val="32"/>
          <w:szCs w:val="32"/>
          <w:highlight w:val="none"/>
        </w:rPr>
      </w:pPr>
      <w:r>
        <w:rPr>
          <w:rFonts w:hint="eastAsia" w:asciiTheme="minorEastAsia" w:hAnsiTheme="minorEastAsia" w:eastAsiaTheme="minorEastAsia" w:cstheme="minorEastAsia"/>
          <w:b/>
          <w:snapToGrid w:val="0"/>
          <w:color w:val="auto"/>
          <w:kern w:val="0"/>
          <w:sz w:val="32"/>
          <w:szCs w:val="32"/>
          <w:highlight w:val="none"/>
        </w:rPr>
        <w:t>报价文件目录</w:t>
      </w:r>
    </w:p>
    <w:p w14:paraId="5173D9C9">
      <w:pPr>
        <w:snapToGrid w:val="0"/>
        <w:spacing w:line="48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初始报价一览表（格式见附件）———————页码</w:t>
      </w:r>
    </w:p>
    <w:p w14:paraId="628CFAB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1"/>
          <w:szCs w:val="21"/>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投标人针对报价需要说明的其他文件和说明（格式自拟）————页码</w:t>
      </w:r>
    </w:p>
    <w:p w14:paraId="0EE7989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p>
    <w:p w14:paraId="5309ADB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15A06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B9518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EFDD69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27CEE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880201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8AF83C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F7895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A731D7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D1D381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0B37F8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39CB4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FFD96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6BF39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12734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934763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C858CA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358EA3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2A12E4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4DB4E0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71D133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650F5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62770AC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0C6FD4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BCB12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p>
    <w:p w14:paraId="410A42F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501192B4">
      <w:pPr>
        <w:spacing w:line="240" w:lineRule="auto"/>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color w:val="auto"/>
          <w:sz w:val="24"/>
          <w:szCs w:val="24"/>
          <w:highlight w:val="none"/>
        </w:rPr>
        <w:t>初始报价一览表</w:t>
      </w:r>
      <w:r>
        <w:rPr>
          <w:rFonts w:hint="eastAsia" w:asciiTheme="minorEastAsia" w:hAnsiTheme="minorEastAsia" w:eastAsiaTheme="minorEastAsia" w:cstheme="minorEastAsia"/>
          <w:b/>
          <w:color w:val="auto"/>
          <w:sz w:val="24"/>
          <w:szCs w:val="24"/>
          <w:highlight w:val="none"/>
          <w:lang w:val="en-US" w:eastAsia="zh-CN"/>
        </w:rPr>
        <w:t>格式</w:t>
      </w:r>
      <w:r>
        <w:rPr>
          <w:rFonts w:hint="eastAsia" w:asciiTheme="minorEastAsia" w:hAnsiTheme="minorEastAsia" w:eastAsiaTheme="minorEastAsia" w:cstheme="minorEastAsia"/>
          <w:b/>
          <w:color w:val="auto"/>
          <w:sz w:val="24"/>
          <w:szCs w:val="24"/>
          <w:highlight w:val="none"/>
        </w:rPr>
        <w:t>：</w:t>
      </w:r>
    </w:p>
    <w:p w14:paraId="162388EE">
      <w:pPr>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30"/>
          <w:szCs w:val="30"/>
          <w:highlight w:val="none"/>
        </w:rPr>
        <w:t>初始报价一览表</w:t>
      </w:r>
      <w:r>
        <w:rPr>
          <w:rFonts w:hint="eastAsia" w:asciiTheme="minorEastAsia" w:hAnsiTheme="minorEastAsia" w:eastAsiaTheme="minorEastAsia" w:cstheme="minorEastAsia"/>
          <w:b/>
          <w:color w:val="auto"/>
          <w:kern w:val="0"/>
          <w:sz w:val="24"/>
          <w:szCs w:val="24"/>
          <w:highlight w:val="none"/>
          <w:lang w:val="zh-CN"/>
        </w:rPr>
        <w:t>(单位均为人民币元)</w:t>
      </w:r>
    </w:p>
    <w:p w14:paraId="3CA5845B">
      <w:pPr>
        <w:snapToGrid w:val="0"/>
        <w:spacing w:line="360" w:lineRule="auto"/>
        <w:rPr>
          <w:rFonts w:ascii="仿宋_GB2312" w:hAnsi="仿宋" w:eastAsia="仿宋_GB2312" w:cs="仿宋_GB2312"/>
          <w:color w:val="auto"/>
          <w:kern w:val="0"/>
          <w:sz w:val="24"/>
          <w:szCs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（采购单位名称）：</w:t>
      </w:r>
    </w:p>
    <w:p w14:paraId="796E9CDA">
      <w:pPr>
        <w:adjustRightInd w:val="0"/>
        <w:snapToGri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按你方磋商文件要求，我们，本响应文件签字方，谨此向你方发出要约如下：如你方接受本响应，我方承诺按照如下初始报价一览表的价格完成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项目名称</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lang w:val="zh-CN"/>
        </w:rPr>
        <w:t>【</w:t>
      </w:r>
      <w:r>
        <w:rPr>
          <w:rFonts w:hint="eastAsia" w:asciiTheme="minorEastAsia" w:hAnsiTheme="minorEastAsia" w:eastAsiaTheme="minorEastAsia" w:cstheme="minorEastAsia"/>
          <w:color w:val="auto"/>
          <w:kern w:val="0"/>
          <w:sz w:val="24"/>
          <w:szCs w:val="24"/>
          <w:highlight w:val="none"/>
          <w:u w:val="single"/>
          <w:lang w:val="en-US" w:eastAsia="zh-CN"/>
        </w:rPr>
        <w:t>项目</w:t>
      </w:r>
      <w:r>
        <w:rPr>
          <w:rFonts w:hint="eastAsia" w:asciiTheme="minorEastAsia" w:hAnsiTheme="minorEastAsia" w:eastAsiaTheme="minorEastAsia" w:cstheme="minorEastAsia"/>
          <w:color w:val="auto"/>
          <w:kern w:val="0"/>
          <w:sz w:val="24"/>
          <w:szCs w:val="24"/>
          <w:highlight w:val="none"/>
          <w:u w:val="single"/>
          <w:lang w:val="zh-CN"/>
        </w:rPr>
        <w:t>编号：</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的实施</w:t>
      </w:r>
      <w:r>
        <w:rPr>
          <w:rFonts w:hint="eastAsia" w:asciiTheme="minorEastAsia" w:hAnsiTheme="minorEastAsia" w:eastAsiaTheme="minorEastAsia" w:cstheme="minorEastAsia"/>
          <w:color w:val="auto"/>
          <w:kern w:val="0"/>
          <w:sz w:val="24"/>
          <w:szCs w:val="24"/>
          <w:highlight w:val="none"/>
          <w:lang w:val="zh-CN"/>
        </w:rPr>
        <w:t>。</w:t>
      </w:r>
    </w:p>
    <w:tbl>
      <w:tblPr>
        <w:tblStyle w:val="2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720"/>
        <w:gridCol w:w="1083"/>
        <w:gridCol w:w="779"/>
        <w:gridCol w:w="1005"/>
        <w:gridCol w:w="853"/>
        <w:gridCol w:w="1405"/>
      </w:tblGrid>
      <w:tr w14:paraId="6476E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B7B2B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序号</w:t>
            </w:r>
          </w:p>
        </w:tc>
        <w:tc>
          <w:tcPr>
            <w:tcW w:w="2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62F45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报价内容</w:t>
            </w:r>
          </w:p>
        </w:tc>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F0B09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单位</w:t>
            </w:r>
          </w:p>
        </w:tc>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14CAA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数量</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CF698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单价</w:t>
            </w:r>
            <w:r>
              <w:rPr>
                <w:rFonts w:hint="eastAsia" w:asciiTheme="minorEastAsia" w:hAnsiTheme="minorEastAsia" w:eastAsiaTheme="minorEastAsia" w:cstheme="minorEastAsia"/>
                <w:color w:val="auto"/>
                <w:sz w:val="24"/>
                <w:szCs w:val="24"/>
                <w:highlight w:val="none"/>
                <w:lang w:val="zh-CN" w:eastAsia="zh-CN"/>
              </w:rPr>
              <w:t>（元）</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39BE6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合计（元）</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660D7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备注</w:t>
            </w:r>
          </w:p>
        </w:tc>
      </w:tr>
      <w:tr w14:paraId="1119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733C1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p>
        </w:tc>
        <w:tc>
          <w:tcPr>
            <w:tcW w:w="2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693A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浦江县2024年水文设施标准化管理项目</w:t>
            </w:r>
          </w:p>
        </w:tc>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7D86B">
            <w:pPr>
              <w:keepNext w:val="0"/>
              <w:keepLines w:val="0"/>
              <w:suppressLineNumbers w:val="0"/>
              <w:spacing w:before="0" w:beforeAutospacing="0" w:after="0" w:afterAutospacing="0" w:line="240" w:lineRule="auto"/>
              <w:ind w:left="0" w:right="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w:t>
            </w:r>
          </w:p>
        </w:tc>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8D5DC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4D1CB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lang w:val="zh-CN"/>
              </w:rPr>
            </w:pP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3319F1">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lang w:val="zh-CN"/>
              </w:rPr>
            </w:pP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BE277">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lang w:val="zh-CN"/>
              </w:rPr>
            </w:pPr>
          </w:p>
        </w:tc>
      </w:tr>
      <w:tr w14:paraId="3F31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43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0F5BCD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w:t>
            </w:r>
            <w:r>
              <w:rPr>
                <w:rFonts w:hint="eastAsia" w:asciiTheme="minorEastAsia" w:hAnsiTheme="minorEastAsia" w:eastAsiaTheme="minorEastAsia" w:cstheme="minorEastAsia"/>
                <w:b/>
                <w:bCs/>
                <w:color w:val="auto"/>
                <w:sz w:val="24"/>
                <w:szCs w:val="24"/>
                <w:highlight w:val="none"/>
                <w:lang w:val="en-US" w:eastAsia="zh-CN"/>
              </w:rPr>
              <w:t>总</w:t>
            </w:r>
            <w:r>
              <w:rPr>
                <w:rFonts w:hint="eastAsia" w:asciiTheme="minorEastAsia" w:hAnsiTheme="minorEastAsia" w:eastAsiaTheme="minorEastAsia" w:cstheme="minorEastAsia"/>
                <w:b/>
                <w:bCs/>
                <w:color w:val="auto"/>
                <w:sz w:val="24"/>
                <w:szCs w:val="24"/>
                <w:highlight w:val="none"/>
                <w:lang w:val="zh-CN"/>
              </w:rPr>
              <w:t>价</w:t>
            </w:r>
          </w:p>
        </w:tc>
        <w:tc>
          <w:tcPr>
            <w:tcW w:w="512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6AFCC3E4">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（大写）</w:t>
            </w:r>
            <w:r>
              <w:rPr>
                <w:rFonts w:hint="default" w:asciiTheme="minorEastAsia" w:hAnsiTheme="minorEastAsia" w:eastAsiaTheme="minorEastAsia" w:cstheme="minorEastAsia"/>
                <w:color w:val="auto"/>
                <w:sz w:val="24"/>
                <w:szCs w:val="24"/>
                <w:highlight w:val="none"/>
                <w:u w:val="single"/>
                <w:lang w:val="zh-CN"/>
              </w:rPr>
              <w:t xml:space="preserve">           </w:t>
            </w:r>
            <w:r>
              <w:rPr>
                <w:rFonts w:hint="default" w:asciiTheme="minorEastAsia" w:hAnsiTheme="minorEastAsia" w:eastAsiaTheme="minorEastAsia" w:cstheme="minorEastAsia"/>
                <w:color w:val="auto"/>
                <w:sz w:val="24"/>
                <w:szCs w:val="24"/>
                <w:highlight w:val="none"/>
                <w:lang w:val="zh-CN"/>
              </w:rPr>
              <w:t>元</w:t>
            </w:r>
          </w:p>
          <w:p w14:paraId="545968D6">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eastAsia="zh-CN"/>
              </w:rPr>
              <w:t>（</w:t>
            </w:r>
            <w:r>
              <w:rPr>
                <w:rFonts w:hint="default" w:asciiTheme="minorEastAsia" w:hAnsiTheme="minorEastAsia" w:eastAsiaTheme="minorEastAsia" w:cstheme="minorEastAsia"/>
                <w:color w:val="auto"/>
                <w:sz w:val="24"/>
                <w:szCs w:val="24"/>
                <w:highlight w:val="none"/>
                <w:lang w:val="zh-CN"/>
              </w:rPr>
              <w:t>小写</w:t>
            </w:r>
            <w:r>
              <w:rPr>
                <w:rFonts w:hint="eastAsia" w:asciiTheme="minorEastAsia" w:hAnsiTheme="minorEastAsia" w:eastAsiaTheme="minorEastAsia" w:cstheme="minorEastAsia"/>
                <w:color w:val="auto"/>
                <w:sz w:val="24"/>
                <w:szCs w:val="24"/>
                <w:highlight w:val="none"/>
                <w:lang w:val="zh-CN" w:eastAsia="zh-CN"/>
              </w:rPr>
              <w:t>）</w:t>
            </w:r>
            <w:r>
              <w:rPr>
                <w:rFonts w:hint="default" w:asciiTheme="minorEastAsia" w:hAnsiTheme="minorEastAsia" w:eastAsiaTheme="minorEastAsia" w:cstheme="minorEastAsia"/>
                <w:color w:val="auto"/>
                <w:sz w:val="24"/>
                <w:szCs w:val="24"/>
                <w:highlight w:val="none"/>
                <w:u w:val="single"/>
                <w:lang w:val="zh-CN"/>
              </w:rPr>
              <w:t xml:space="preserve">           </w:t>
            </w:r>
            <w:r>
              <w:rPr>
                <w:rFonts w:hint="default" w:asciiTheme="minorEastAsia" w:hAnsiTheme="minorEastAsia" w:eastAsiaTheme="minorEastAsia" w:cstheme="minorEastAsia"/>
                <w:color w:val="auto"/>
                <w:sz w:val="24"/>
                <w:szCs w:val="24"/>
                <w:highlight w:val="none"/>
                <w:lang w:val="zh-CN"/>
              </w:rPr>
              <w:t>元</w:t>
            </w:r>
          </w:p>
        </w:tc>
      </w:tr>
    </w:tbl>
    <w:p w14:paraId="53CC1A4F">
      <w:pPr>
        <w:adjustRightInd w:val="0"/>
        <w:snapToGrid w:val="0"/>
        <w:spacing w:line="360" w:lineRule="auto"/>
        <w:ind w:left="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t>注：</w:t>
      </w:r>
      <w:r>
        <w:rPr>
          <w:rFonts w:hint="eastAsia" w:asciiTheme="minorEastAsia" w:hAnsiTheme="minorEastAsia" w:eastAsiaTheme="minorEastAsia" w:cstheme="minorEastAsia"/>
          <w:color w:val="auto"/>
          <w:kern w:val="0"/>
          <w:sz w:val="24"/>
          <w:szCs w:val="24"/>
          <w:highlight w:val="none"/>
          <w:lang w:val="zh-CN"/>
        </w:rPr>
        <w:t>1.</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lang w:val="zh-CN"/>
        </w:rPr>
        <w:t>需按本表格式填写，不得自行更改。</w:t>
      </w:r>
    </w:p>
    <w:p w14:paraId="548AE504">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2.有关本项目实施所涉及的一切费用均计入报价。</w:t>
      </w:r>
    </w:p>
    <w:p w14:paraId="0CA8D811">
      <w:pPr>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3.以上表格要求细分项目及报价，服务类项目填写具体服务。</w:t>
      </w:r>
    </w:p>
    <w:p w14:paraId="2D84D392">
      <w:pPr>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4.特别提示：采购代理机构将对项目名称和项目编号，成交供应商名称、地址和中标金额，主要中标标的的名称、数量、单价、服务要求等予以公示。</w:t>
      </w:r>
    </w:p>
    <w:p w14:paraId="6D2BC2B5">
      <w:pPr>
        <w:snapToGrid w:val="0"/>
        <w:spacing w:before="50" w:after="50" w:line="320" w:lineRule="exact"/>
        <w:jc w:val="left"/>
        <w:rPr>
          <w:rFonts w:hint="eastAsia" w:asciiTheme="minorEastAsia" w:hAnsiTheme="minorEastAsia" w:eastAsiaTheme="minorEastAsia" w:cstheme="minorEastAsia"/>
          <w:color w:val="auto"/>
          <w:sz w:val="24"/>
          <w:szCs w:val="24"/>
          <w:highlight w:val="none"/>
        </w:rPr>
      </w:pPr>
    </w:p>
    <w:p w14:paraId="1C052BE6">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4A93D66A">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576B878">
      <w:pPr>
        <w:adjustRightInd w:val="0"/>
        <w:spacing w:line="360" w:lineRule="auto"/>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4762244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A177A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br w:type="page"/>
      </w:r>
    </w:p>
    <w:p w14:paraId="011A63C2">
      <w:pPr>
        <w:pStyle w:val="3"/>
        <w:bidi w:val="0"/>
        <w:rPr>
          <w:rFonts w:hint="eastAsia"/>
        </w:rPr>
      </w:pPr>
      <w:bookmarkStart w:id="104" w:name="_Toc20956"/>
      <w:r>
        <w:rPr>
          <w:rFonts w:hint="eastAsia"/>
          <w:lang w:val="en-US" w:eastAsia="zh-CN"/>
        </w:rPr>
        <w:t>第八部分 最后报价格式</w:t>
      </w:r>
      <w:bookmarkEnd w:id="104"/>
    </w:p>
    <w:p w14:paraId="79CDC710">
      <w:pPr>
        <w:spacing w:line="240" w:lineRule="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一、最后报价一览表格式</w:t>
      </w:r>
    </w:p>
    <w:p w14:paraId="203AD84E">
      <w:pPr>
        <w:adjustRightIn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30"/>
          <w:szCs w:val="30"/>
          <w:highlight w:val="none"/>
          <w:lang w:val="en-US" w:eastAsia="zh-CN"/>
        </w:rPr>
        <w:t>最后</w:t>
      </w:r>
      <w:r>
        <w:rPr>
          <w:rFonts w:hint="eastAsia" w:asciiTheme="minorEastAsia" w:hAnsiTheme="minorEastAsia" w:eastAsiaTheme="minorEastAsia" w:cstheme="minorEastAsia"/>
          <w:b/>
          <w:bCs/>
          <w:color w:val="auto"/>
          <w:sz w:val="30"/>
          <w:szCs w:val="30"/>
          <w:highlight w:val="none"/>
        </w:rPr>
        <w:t>报价一览表</w:t>
      </w:r>
      <w:r>
        <w:rPr>
          <w:rFonts w:hint="eastAsia" w:asciiTheme="minorEastAsia" w:hAnsiTheme="minorEastAsia" w:eastAsiaTheme="minorEastAsia" w:cstheme="minorEastAsia"/>
          <w:b/>
          <w:color w:val="auto"/>
          <w:kern w:val="0"/>
          <w:sz w:val="24"/>
          <w:szCs w:val="24"/>
          <w:highlight w:val="none"/>
          <w:lang w:val="zh-CN"/>
        </w:rPr>
        <w:t>(单位均为人民币元)</w:t>
      </w:r>
    </w:p>
    <w:p w14:paraId="183FBD58">
      <w:pPr>
        <w:snapToGrid w:val="0"/>
        <w:spacing w:line="360" w:lineRule="auto"/>
        <w:rPr>
          <w:rFonts w:ascii="仿宋_GB2312" w:hAnsi="仿宋" w:eastAsia="仿宋_GB2312" w:cs="仿宋_GB2312"/>
          <w:color w:val="auto"/>
          <w:kern w:val="0"/>
          <w:sz w:val="24"/>
          <w:szCs w:val="24"/>
          <w:highlight w:val="none"/>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（采购单位名称）：</w:t>
      </w:r>
    </w:p>
    <w:p w14:paraId="30BEF480">
      <w:pPr>
        <w:adjustRightInd w:val="0"/>
        <w:snapToGrid w:val="0"/>
        <w:spacing w:line="360" w:lineRule="auto"/>
        <w:ind w:firstLine="482"/>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按你方磋商文件要求，我们，本响应文件签字方，谨此向你方发出要约如下：如你方接受本响应，我方承诺按照如下</w:t>
      </w:r>
      <w:r>
        <w:rPr>
          <w:rFonts w:hint="eastAsia" w:asciiTheme="minorEastAsia" w:hAnsiTheme="minorEastAsia" w:eastAsiaTheme="minorEastAsia" w:cstheme="minorEastAsia"/>
          <w:color w:val="auto"/>
          <w:kern w:val="0"/>
          <w:sz w:val="24"/>
          <w:szCs w:val="24"/>
          <w:highlight w:val="none"/>
          <w:lang w:val="en-US" w:eastAsia="zh-CN"/>
        </w:rPr>
        <w:t>最后</w:t>
      </w:r>
      <w:r>
        <w:rPr>
          <w:rFonts w:hint="eastAsia" w:asciiTheme="minorEastAsia" w:hAnsiTheme="minorEastAsia" w:eastAsiaTheme="minorEastAsia" w:cstheme="minorEastAsia"/>
          <w:color w:val="auto"/>
          <w:kern w:val="0"/>
          <w:sz w:val="24"/>
          <w:szCs w:val="24"/>
          <w:highlight w:val="none"/>
          <w:lang w:val="zh-CN"/>
        </w:rPr>
        <w:t>报价一览表的价格完成</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项目名称</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kern w:val="0"/>
          <w:sz w:val="24"/>
          <w:szCs w:val="24"/>
          <w:highlight w:val="none"/>
          <w:u w:val="single"/>
          <w:lang w:val="zh-CN"/>
        </w:rPr>
        <w:t>【</w:t>
      </w:r>
      <w:r>
        <w:rPr>
          <w:rFonts w:hint="eastAsia" w:asciiTheme="minorEastAsia" w:hAnsiTheme="minorEastAsia" w:eastAsiaTheme="minorEastAsia" w:cstheme="minorEastAsia"/>
          <w:color w:val="auto"/>
          <w:kern w:val="0"/>
          <w:sz w:val="24"/>
          <w:szCs w:val="24"/>
          <w:highlight w:val="none"/>
          <w:u w:val="single"/>
          <w:lang w:val="en-US" w:eastAsia="zh-CN"/>
        </w:rPr>
        <w:t>项目</w:t>
      </w:r>
      <w:r>
        <w:rPr>
          <w:rFonts w:hint="eastAsia" w:asciiTheme="minorEastAsia" w:hAnsiTheme="minorEastAsia" w:eastAsiaTheme="minorEastAsia" w:cstheme="minorEastAsia"/>
          <w:color w:val="auto"/>
          <w:kern w:val="0"/>
          <w:sz w:val="24"/>
          <w:szCs w:val="24"/>
          <w:highlight w:val="none"/>
          <w:u w:val="single"/>
          <w:lang w:val="zh-CN"/>
        </w:rPr>
        <w:t>编号：</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的实施</w:t>
      </w:r>
      <w:r>
        <w:rPr>
          <w:rFonts w:hint="eastAsia" w:asciiTheme="minorEastAsia" w:hAnsiTheme="minorEastAsia" w:eastAsiaTheme="minorEastAsia" w:cstheme="minorEastAsia"/>
          <w:color w:val="auto"/>
          <w:kern w:val="0"/>
          <w:sz w:val="24"/>
          <w:szCs w:val="24"/>
          <w:highlight w:val="none"/>
          <w:lang w:val="zh-CN"/>
        </w:rPr>
        <w:t>。</w:t>
      </w:r>
    </w:p>
    <w:tbl>
      <w:tblPr>
        <w:tblStyle w:val="2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720"/>
        <w:gridCol w:w="1083"/>
        <w:gridCol w:w="779"/>
        <w:gridCol w:w="1005"/>
        <w:gridCol w:w="853"/>
        <w:gridCol w:w="1405"/>
      </w:tblGrid>
      <w:tr w14:paraId="5942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8FCAB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序号</w:t>
            </w:r>
          </w:p>
        </w:tc>
        <w:tc>
          <w:tcPr>
            <w:tcW w:w="2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3CF0F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报价内容</w:t>
            </w:r>
          </w:p>
        </w:tc>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E6D5E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单位</w:t>
            </w:r>
          </w:p>
        </w:tc>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1D86C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数量</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B897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单价</w:t>
            </w:r>
            <w:r>
              <w:rPr>
                <w:rFonts w:hint="eastAsia" w:asciiTheme="minorEastAsia" w:hAnsiTheme="minorEastAsia" w:eastAsiaTheme="minorEastAsia" w:cstheme="minorEastAsia"/>
                <w:color w:val="auto"/>
                <w:sz w:val="24"/>
                <w:szCs w:val="24"/>
                <w:highlight w:val="none"/>
                <w:lang w:val="zh-CN" w:eastAsia="zh-CN"/>
              </w:rPr>
              <w:t>（元）</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4F30F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合计（元）</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86FB2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备注</w:t>
            </w:r>
          </w:p>
        </w:tc>
      </w:tr>
      <w:tr w14:paraId="6566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364BA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1</w:t>
            </w:r>
          </w:p>
        </w:tc>
        <w:tc>
          <w:tcPr>
            <w:tcW w:w="2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EAE94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rPr>
              <w:t>浦江县2024年水文设施标准化管理项目</w:t>
            </w:r>
          </w:p>
        </w:tc>
        <w:tc>
          <w:tcPr>
            <w:tcW w:w="10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C4540E">
            <w:pPr>
              <w:keepNext w:val="0"/>
              <w:keepLines w:val="0"/>
              <w:widowControl w:val="0"/>
              <w:suppressLineNumbers w:val="0"/>
              <w:spacing w:before="0" w:beforeAutospacing="0" w:after="0" w:afterAutospacing="0" w:line="324" w:lineRule="auto"/>
              <w:ind w:left="0" w:leftChars="0" w:right="0" w:rightChars="0"/>
              <w:jc w:val="center"/>
              <w:rPr>
                <w:rFonts w:hint="eastAsia" w:asciiTheme="minorEastAsia" w:hAnsiTheme="minorEastAsia" w:eastAsiaTheme="minorEastAsia" w:cstheme="minorEastAsia"/>
                <w:color w:val="auto"/>
                <w:sz w:val="24"/>
                <w:szCs w:val="24"/>
                <w:highlight w:val="none"/>
                <w:lang w:val="zh-CN"/>
              </w:rPr>
            </w:pPr>
            <w:r>
              <w:rPr>
                <w:rFonts w:hint="eastAsia" w:ascii="宋体" w:hAnsi="宋体" w:eastAsia="宋体" w:cs="宋体"/>
                <w:color w:val="auto"/>
                <w:kern w:val="2"/>
                <w:sz w:val="24"/>
                <w:szCs w:val="24"/>
                <w:lang w:val="en-US" w:eastAsia="zh-CN" w:bidi="ar"/>
              </w:rPr>
              <w:t>项</w:t>
            </w:r>
          </w:p>
        </w:tc>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D7B62">
            <w:pPr>
              <w:keepNext w:val="0"/>
              <w:keepLines w:val="0"/>
              <w:widowControl w:val="0"/>
              <w:suppressLineNumbers w:val="0"/>
              <w:spacing w:before="0" w:beforeAutospacing="0" w:after="0" w:afterAutospacing="0" w:line="324" w:lineRule="auto"/>
              <w:ind w:left="0" w:leftChars="0" w:right="0" w:rightChars="0"/>
              <w:jc w:val="center"/>
              <w:rPr>
                <w:rFonts w:hint="eastAsia" w:asciiTheme="minorEastAsia" w:hAnsiTheme="minorEastAsia" w:eastAsiaTheme="minorEastAsia" w:cstheme="minorEastAsia"/>
                <w:color w:val="auto"/>
                <w:sz w:val="24"/>
                <w:szCs w:val="24"/>
                <w:highlight w:val="none"/>
                <w:lang w:val="zh-CN"/>
              </w:rPr>
            </w:pPr>
            <w:r>
              <w:rPr>
                <w:rFonts w:hint="eastAsia" w:ascii="宋体" w:hAnsi="宋体" w:eastAsia="宋体" w:cs="宋体"/>
                <w:color w:val="auto"/>
                <w:kern w:val="2"/>
                <w:sz w:val="24"/>
                <w:szCs w:val="24"/>
                <w:lang w:val="en-US" w:eastAsia="zh-CN" w:bidi="ar"/>
              </w:rPr>
              <w:t>1</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E1C28A">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lang w:val="zh-CN"/>
              </w:rPr>
            </w:pP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9BA1F">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lang w:val="zh-CN"/>
              </w:rPr>
            </w:pP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B1B269">
            <w:pPr>
              <w:keepNext w:val="0"/>
              <w:keepLines w:val="0"/>
              <w:suppressLineNumbers w:val="0"/>
              <w:spacing w:before="0" w:beforeAutospacing="0" w:after="0" w:afterAutospacing="0" w:line="240" w:lineRule="auto"/>
              <w:ind w:left="0" w:right="0" w:firstLine="240"/>
              <w:jc w:val="center"/>
              <w:rPr>
                <w:rFonts w:hint="eastAsia" w:asciiTheme="minorEastAsia" w:hAnsiTheme="minorEastAsia" w:eastAsiaTheme="minorEastAsia" w:cstheme="minorEastAsia"/>
                <w:color w:val="auto"/>
                <w:sz w:val="24"/>
                <w:szCs w:val="24"/>
                <w:highlight w:val="none"/>
                <w:lang w:val="zh-CN"/>
              </w:rPr>
            </w:pPr>
          </w:p>
        </w:tc>
      </w:tr>
      <w:tr w14:paraId="3242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343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6DCBE5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投标</w:t>
            </w:r>
            <w:r>
              <w:rPr>
                <w:rFonts w:hint="eastAsia" w:asciiTheme="minorEastAsia" w:hAnsiTheme="minorEastAsia" w:eastAsiaTheme="minorEastAsia" w:cstheme="minorEastAsia"/>
                <w:b/>
                <w:bCs/>
                <w:color w:val="auto"/>
                <w:sz w:val="24"/>
                <w:szCs w:val="24"/>
                <w:highlight w:val="none"/>
                <w:lang w:val="en-US" w:eastAsia="zh-CN"/>
              </w:rPr>
              <w:t>总</w:t>
            </w:r>
            <w:r>
              <w:rPr>
                <w:rFonts w:hint="eastAsia" w:asciiTheme="minorEastAsia" w:hAnsiTheme="minorEastAsia" w:eastAsiaTheme="minorEastAsia" w:cstheme="minorEastAsia"/>
                <w:b/>
                <w:bCs/>
                <w:color w:val="auto"/>
                <w:sz w:val="24"/>
                <w:szCs w:val="24"/>
                <w:highlight w:val="none"/>
                <w:lang w:val="zh-CN"/>
              </w:rPr>
              <w:t>价</w:t>
            </w:r>
          </w:p>
        </w:tc>
        <w:tc>
          <w:tcPr>
            <w:tcW w:w="512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21F23B86">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rPr>
              <w:t>（大写）</w:t>
            </w:r>
            <w:r>
              <w:rPr>
                <w:rFonts w:hint="default" w:asciiTheme="minorEastAsia" w:hAnsiTheme="minorEastAsia" w:eastAsiaTheme="minorEastAsia" w:cstheme="minorEastAsia"/>
                <w:color w:val="auto"/>
                <w:sz w:val="24"/>
                <w:szCs w:val="24"/>
                <w:highlight w:val="none"/>
                <w:u w:val="single"/>
                <w:lang w:val="zh-CN"/>
              </w:rPr>
              <w:t xml:space="preserve">           </w:t>
            </w:r>
            <w:r>
              <w:rPr>
                <w:rFonts w:hint="default" w:asciiTheme="minorEastAsia" w:hAnsiTheme="minorEastAsia" w:eastAsiaTheme="minorEastAsia" w:cstheme="minorEastAsia"/>
                <w:color w:val="auto"/>
                <w:sz w:val="24"/>
                <w:szCs w:val="24"/>
                <w:highlight w:val="none"/>
                <w:lang w:val="zh-CN"/>
              </w:rPr>
              <w:t>元</w:t>
            </w:r>
          </w:p>
          <w:p w14:paraId="279E9588">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zh-CN" w:eastAsia="zh-CN"/>
              </w:rPr>
              <w:t>（</w:t>
            </w:r>
            <w:r>
              <w:rPr>
                <w:rFonts w:hint="default" w:asciiTheme="minorEastAsia" w:hAnsiTheme="minorEastAsia" w:eastAsiaTheme="minorEastAsia" w:cstheme="minorEastAsia"/>
                <w:color w:val="auto"/>
                <w:sz w:val="24"/>
                <w:szCs w:val="24"/>
                <w:highlight w:val="none"/>
                <w:lang w:val="zh-CN"/>
              </w:rPr>
              <w:t>小写</w:t>
            </w:r>
            <w:r>
              <w:rPr>
                <w:rFonts w:hint="eastAsia" w:asciiTheme="minorEastAsia" w:hAnsiTheme="minorEastAsia" w:eastAsiaTheme="minorEastAsia" w:cstheme="minorEastAsia"/>
                <w:color w:val="auto"/>
                <w:sz w:val="24"/>
                <w:szCs w:val="24"/>
                <w:highlight w:val="none"/>
                <w:lang w:val="zh-CN" w:eastAsia="zh-CN"/>
              </w:rPr>
              <w:t>）</w:t>
            </w:r>
            <w:r>
              <w:rPr>
                <w:rFonts w:hint="default" w:asciiTheme="minorEastAsia" w:hAnsiTheme="minorEastAsia" w:eastAsiaTheme="minorEastAsia" w:cstheme="minorEastAsia"/>
                <w:color w:val="auto"/>
                <w:sz w:val="24"/>
                <w:szCs w:val="24"/>
                <w:highlight w:val="none"/>
                <w:u w:val="single"/>
                <w:lang w:val="zh-CN"/>
              </w:rPr>
              <w:t xml:space="preserve">           </w:t>
            </w:r>
            <w:r>
              <w:rPr>
                <w:rFonts w:hint="default" w:asciiTheme="minorEastAsia" w:hAnsiTheme="minorEastAsia" w:eastAsiaTheme="minorEastAsia" w:cstheme="minorEastAsia"/>
                <w:color w:val="auto"/>
                <w:sz w:val="24"/>
                <w:szCs w:val="24"/>
                <w:highlight w:val="none"/>
                <w:lang w:val="zh-CN"/>
              </w:rPr>
              <w:t>元</w:t>
            </w:r>
          </w:p>
        </w:tc>
      </w:tr>
    </w:tbl>
    <w:p w14:paraId="42F71FD8">
      <w:pPr>
        <w:adjustRightInd w:val="0"/>
        <w:snapToGrid w:val="0"/>
        <w:spacing w:line="360" w:lineRule="auto"/>
        <w:ind w:left="48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b/>
          <w:color w:val="auto"/>
          <w:kern w:val="0"/>
          <w:sz w:val="24"/>
          <w:szCs w:val="24"/>
          <w:highlight w:val="none"/>
          <w:lang w:val="zh-CN"/>
        </w:rPr>
        <w:t>注：</w:t>
      </w:r>
      <w:r>
        <w:rPr>
          <w:rFonts w:hint="eastAsia" w:asciiTheme="minorEastAsia" w:hAnsiTheme="minorEastAsia" w:eastAsiaTheme="minorEastAsia" w:cstheme="minorEastAsia"/>
          <w:color w:val="auto"/>
          <w:kern w:val="0"/>
          <w:sz w:val="24"/>
          <w:szCs w:val="24"/>
          <w:highlight w:val="none"/>
          <w:lang w:val="zh-CN"/>
        </w:rPr>
        <w:t>1.</w:t>
      </w:r>
      <w:r>
        <w:rPr>
          <w:rFonts w:hint="eastAsia" w:asciiTheme="minorEastAsia" w:hAnsiTheme="minorEastAsia" w:eastAsiaTheme="minorEastAsia" w:cstheme="minorEastAsia"/>
          <w:color w:val="auto"/>
          <w:kern w:val="0"/>
          <w:sz w:val="24"/>
          <w:szCs w:val="24"/>
          <w:highlight w:val="none"/>
          <w:lang w:val="en-US" w:eastAsia="zh-CN"/>
        </w:rPr>
        <w:t>投标人</w:t>
      </w:r>
      <w:r>
        <w:rPr>
          <w:rFonts w:hint="eastAsia" w:asciiTheme="minorEastAsia" w:hAnsiTheme="minorEastAsia" w:eastAsiaTheme="minorEastAsia" w:cstheme="minorEastAsia"/>
          <w:color w:val="auto"/>
          <w:kern w:val="0"/>
          <w:sz w:val="24"/>
          <w:szCs w:val="24"/>
          <w:highlight w:val="none"/>
          <w:lang w:val="zh-CN"/>
        </w:rPr>
        <w:t>需按本表格式填写，不得自行更改。</w:t>
      </w:r>
    </w:p>
    <w:p w14:paraId="33FB70EB">
      <w:pPr>
        <w:adjustRightInd w:val="0"/>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2.有关本项目实施所涉及的一切费用均计入报价。</w:t>
      </w:r>
    </w:p>
    <w:p w14:paraId="66BAFFBD">
      <w:pPr>
        <w:adjustRightInd w:val="0"/>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3.以上表格要求细分项目及报价，服务类项目填写具体服务。</w:t>
      </w:r>
    </w:p>
    <w:p w14:paraId="29BBA11F">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4.特别提示：采购代理机构将对项目名称和项目编号，成交供应商名称、地址和中标金额，主要中标标的的名称、数量、单价、服务要求等予以公示。</w:t>
      </w:r>
    </w:p>
    <w:p w14:paraId="7BD8FDDB">
      <w:pPr>
        <w:spacing w:line="360" w:lineRule="auto"/>
        <w:rPr>
          <w:rFonts w:hint="eastAsia" w:asciiTheme="minorEastAsia" w:hAnsiTheme="minorEastAsia" w:eastAsiaTheme="minorEastAsia" w:cstheme="minorEastAsia"/>
          <w:color w:val="auto"/>
          <w:spacing w:val="20"/>
          <w:sz w:val="24"/>
          <w:szCs w:val="24"/>
          <w:highlight w:val="none"/>
          <w:u w:val="single"/>
        </w:rPr>
      </w:pPr>
      <w:r>
        <w:rPr>
          <w:rFonts w:hint="eastAsia" w:asciiTheme="minorEastAsia" w:hAnsiTheme="minorEastAsia" w:eastAsiaTheme="minorEastAsia" w:cstheme="minorEastAsia"/>
          <w:color w:val="auto"/>
          <w:sz w:val="24"/>
          <w:szCs w:val="24"/>
          <w:highlight w:val="none"/>
        </w:rPr>
        <w:t>投标人名称（电子签章）</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2315D182">
      <w:pPr>
        <w:spacing w:line="360" w:lineRule="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法定代表人或授权代表（签字</w:t>
      </w:r>
      <w:r>
        <w:rPr>
          <w:rFonts w:hint="eastAsia" w:asciiTheme="minorEastAsia" w:hAnsiTheme="minorEastAsia" w:eastAsiaTheme="minorEastAsia" w:cstheme="minorEastAsia"/>
          <w:color w:val="auto"/>
          <w:sz w:val="24"/>
          <w:szCs w:val="24"/>
          <w:highlight w:val="none"/>
          <w:lang w:val="en-US" w:eastAsia="zh-CN"/>
        </w:rPr>
        <w:t>或盖章</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20"/>
          <w:sz w:val="24"/>
          <w:szCs w:val="24"/>
          <w:highlight w:val="none"/>
        </w:rPr>
        <w:t>：</w:t>
      </w:r>
      <w:r>
        <w:rPr>
          <w:rFonts w:hint="eastAsia" w:asciiTheme="minorEastAsia" w:hAnsiTheme="minorEastAsia" w:eastAsiaTheme="minorEastAsia" w:cstheme="minorEastAsia"/>
          <w:color w:val="auto"/>
          <w:spacing w:val="20"/>
          <w:sz w:val="24"/>
          <w:szCs w:val="24"/>
          <w:highlight w:val="none"/>
          <w:u w:val="single"/>
        </w:rPr>
        <w:t xml:space="preserve">            </w:t>
      </w:r>
    </w:p>
    <w:p w14:paraId="035ADD5F">
      <w:pPr>
        <w:adjustRightInd w:val="0"/>
        <w:spacing w:line="360" w:lineRule="auto"/>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snapToGrid w:val="0"/>
          <w:color w:val="auto"/>
          <w:kern w:val="0"/>
          <w:sz w:val="24"/>
          <w:szCs w:val="24"/>
          <w:highlight w:val="none"/>
        </w:rPr>
        <w:t>日期：</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年</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月</w:t>
      </w:r>
      <w:r>
        <w:rPr>
          <w:rFonts w:hint="eastAsia" w:asciiTheme="minorEastAsia" w:hAnsiTheme="minorEastAsia" w:eastAsiaTheme="minorEastAsia" w:cstheme="minorEastAsia"/>
          <w:snapToGrid w:val="0"/>
          <w:color w:val="auto"/>
          <w:kern w:val="0"/>
          <w:sz w:val="24"/>
          <w:szCs w:val="24"/>
          <w:highlight w:val="none"/>
          <w:u w:val="single"/>
        </w:rPr>
        <w:t xml:space="preserve">       </w:t>
      </w:r>
      <w:r>
        <w:rPr>
          <w:rFonts w:hint="eastAsia" w:asciiTheme="minorEastAsia" w:hAnsiTheme="minorEastAsia" w:eastAsiaTheme="minorEastAsia" w:cstheme="minorEastAsia"/>
          <w:snapToGrid w:val="0"/>
          <w:color w:val="auto"/>
          <w:kern w:val="0"/>
          <w:sz w:val="24"/>
          <w:szCs w:val="24"/>
          <w:highlight w:val="none"/>
        </w:rPr>
        <w:t>日</w:t>
      </w:r>
    </w:p>
    <w:p w14:paraId="7C30BBB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C19A25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5C1C4EDA">
      <w:pPr>
        <w:pStyle w:val="3"/>
        <w:bidi w:val="0"/>
        <w:rPr>
          <w:rFonts w:hint="eastAsia"/>
        </w:rPr>
      </w:pPr>
      <w:bookmarkStart w:id="105" w:name="_Toc3805"/>
      <w:r>
        <w:rPr>
          <w:rFonts w:hint="eastAsia"/>
          <w:lang w:val="en-US" w:eastAsia="zh-CN"/>
        </w:rPr>
        <w:t>第九部分 其他</w:t>
      </w:r>
      <w:bookmarkEnd w:id="105"/>
    </w:p>
    <w:p w14:paraId="031C32B5">
      <w:pPr>
        <w:pStyle w:val="37"/>
        <w:widowControl w:val="0"/>
        <w:snapToGrid w:val="0"/>
        <w:spacing w:after="156" w:afterLines="50" w:line="312" w:lineRule="auto"/>
        <w:jc w:val="center"/>
        <w:rPr>
          <w:rFonts w:hint="default" w:asciiTheme="minorEastAsia" w:hAnsiTheme="minorEastAsia" w:eastAsiaTheme="minorEastAsia" w:cstheme="minorEastAsia"/>
          <w:color w:val="auto"/>
          <w:sz w:val="32"/>
          <w:szCs w:val="32"/>
          <w:highlight w:val="none"/>
        </w:rPr>
      </w:pPr>
      <w:r>
        <w:rPr>
          <w:rFonts w:asciiTheme="minorEastAsia" w:hAnsiTheme="minorEastAsia" w:eastAsiaTheme="minorEastAsia" w:cstheme="minorEastAsia"/>
          <w:color w:val="auto"/>
          <w:sz w:val="32"/>
          <w:szCs w:val="32"/>
          <w:highlight w:val="none"/>
        </w:rPr>
        <w:t>政府采购活动现场确认声明书</w:t>
      </w:r>
    </w:p>
    <w:p w14:paraId="5BF935AA">
      <w:pPr>
        <w:pStyle w:val="37"/>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u w:val="single"/>
          <w:lang w:eastAsia="zh-CN"/>
        </w:rPr>
        <w:t>泰宇建筑工程技术咨询有限公司</w:t>
      </w:r>
      <w:r>
        <w:rPr>
          <w:rFonts w:asciiTheme="minorEastAsia" w:hAnsiTheme="minorEastAsia" w:eastAsiaTheme="minorEastAsia" w:cstheme="minorEastAsia"/>
          <w:color w:val="auto"/>
          <w:kern w:val="0"/>
          <w:sz w:val="21"/>
          <w:szCs w:val="21"/>
          <w:highlight w:val="none"/>
        </w:rPr>
        <w:t>（采购组织机构名称）：</w:t>
      </w:r>
    </w:p>
    <w:p w14:paraId="4BBDF0DD">
      <w:pPr>
        <w:pStyle w:val="37"/>
        <w:keepNext w:val="0"/>
        <w:keepLines w:val="0"/>
        <w:pageBreakBefore w:val="0"/>
        <w:widowControl w:val="0"/>
        <w:kinsoku/>
        <w:wordWrap/>
        <w:overflowPunct/>
        <w:topLinePunct w:val="0"/>
        <w:autoSpaceDE/>
        <w:autoSpaceDN/>
        <w:bidi w:val="0"/>
        <w:adjustRightInd/>
        <w:snapToGrid w:val="0"/>
        <w:spacing w:line="420" w:lineRule="exact"/>
        <w:ind w:firstLine="444" w:firstLineChars="200"/>
        <w:jc w:val="both"/>
        <w:textAlignment w:val="auto"/>
        <w:rPr>
          <w:rFonts w:hint="default" w:asciiTheme="minorEastAsia" w:hAnsiTheme="minorEastAsia" w:eastAsiaTheme="minorEastAsia" w:cstheme="minorEastAsia"/>
          <w:color w:val="auto"/>
          <w:spacing w:val="6"/>
          <w:sz w:val="21"/>
          <w:szCs w:val="21"/>
          <w:highlight w:val="none"/>
        </w:rPr>
      </w:pPr>
      <w:r>
        <w:rPr>
          <w:rFonts w:asciiTheme="minorEastAsia" w:hAnsiTheme="minorEastAsia" w:eastAsiaTheme="minorEastAsia" w:cstheme="minorEastAsia"/>
          <w:color w:val="auto"/>
          <w:spacing w:val="6"/>
          <w:sz w:val="21"/>
          <w:szCs w:val="21"/>
          <w:highlight w:val="none"/>
        </w:rPr>
        <w:t>本人经由</w:t>
      </w:r>
      <w:r>
        <w:rPr>
          <w:rFonts w:asciiTheme="minorEastAsia" w:hAnsiTheme="minorEastAsia" w:eastAsiaTheme="minorEastAsia" w:cstheme="minorEastAsia"/>
          <w:color w:val="auto"/>
          <w:spacing w:val="6"/>
          <w:sz w:val="21"/>
          <w:szCs w:val="21"/>
          <w:highlight w:val="none"/>
          <w:u w:val="single"/>
        </w:rPr>
        <w:t xml:space="preserve">                        （单位）</w:t>
      </w:r>
      <w:r>
        <w:rPr>
          <w:rFonts w:asciiTheme="minorEastAsia" w:hAnsiTheme="minorEastAsia" w:eastAsiaTheme="minorEastAsia" w:cstheme="minorEastAsia"/>
          <w:color w:val="auto"/>
          <w:spacing w:val="6"/>
          <w:sz w:val="21"/>
          <w:szCs w:val="21"/>
          <w:highlight w:val="none"/>
        </w:rPr>
        <w:t>负责人</w:t>
      </w:r>
      <w:r>
        <w:rPr>
          <w:rFonts w:asciiTheme="minorEastAsia" w:hAnsiTheme="minorEastAsia" w:eastAsiaTheme="minorEastAsia" w:cstheme="minorEastAsia"/>
          <w:color w:val="auto"/>
          <w:spacing w:val="6"/>
          <w:sz w:val="21"/>
          <w:szCs w:val="21"/>
          <w:highlight w:val="none"/>
          <w:u w:val="single"/>
        </w:rPr>
        <w:t xml:space="preserve">        （姓名）</w:t>
      </w:r>
      <w:r>
        <w:rPr>
          <w:rFonts w:asciiTheme="minorEastAsia" w:hAnsiTheme="minorEastAsia" w:eastAsiaTheme="minorEastAsia" w:cstheme="minorEastAsia"/>
          <w:color w:val="auto"/>
          <w:spacing w:val="6"/>
          <w:sz w:val="21"/>
          <w:szCs w:val="21"/>
          <w:highlight w:val="none"/>
        </w:rPr>
        <w:t>合法授权参加</w:t>
      </w:r>
      <w:r>
        <w:rPr>
          <w:rFonts w:asciiTheme="minorEastAsia" w:hAnsiTheme="minorEastAsia" w:eastAsiaTheme="minorEastAsia" w:cstheme="minorEastAsia"/>
          <w:color w:val="auto"/>
          <w:spacing w:val="6"/>
          <w:sz w:val="21"/>
          <w:szCs w:val="21"/>
          <w:highlight w:val="none"/>
          <w:u w:val="single"/>
        </w:rPr>
        <w:t xml:space="preserve">                        </w:t>
      </w:r>
      <w:r>
        <w:rPr>
          <w:rFonts w:asciiTheme="minorEastAsia" w:hAnsiTheme="minorEastAsia" w:eastAsiaTheme="minorEastAsia" w:cstheme="minorEastAsia"/>
          <w:color w:val="auto"/>
          <w:spacing w:val="6"/>
          <w:sz w:val="21"/>
          <w:szCs w:val="21"/>
          <w:highlight w:val="none"/>
        </w:rPr>
        <w:t>政府采购项目（编号：</w:t>
      </w:r>
      <w:r>
        <w:rPr>
          <w:rFonts w:asciiTheme="minorEastAsia" w:hAnsiTheme="minorEastAsia" w:eastAsiaTheme="minorEastAsia" w:cstheme="minorEastAsia"/>
          <w:color w:val="auto"/>
          <w:spacing w:val="6"/>
          <w:sz w:val="21"/>
          <w:szCs w:val="21"/>
          <w:highlight w:val="none"/>
          <w:u w:val="single"/>
        </w:rPr>
        <w:t xml:space="preserve">              </w:t>
      </w:r>
      <w:r>
        <w:rPr>
          <w:rFonts w:asciiTheme="minorEastAsia" w:hAnsiTheme="minorEastAsia" w:eastAsiaTheme="minorEastAsia" w:cstheme="minorEastAsia"/>
          <w:color w:val="auto"/>
          <w:kern w:val="0"/>
          <w:sz w:val="21"/>
          <w:szCs w:val="21"/>
          <w:highlight w:val="none"/>
        </w:rPr>
        <w:t>）的</w:t>
      </w:r>
      <w:r>
        <w:rPr>
          <w:rFonts w:asciiTheme="minorEastAsia" w:hAnsiTheme="minorEastAsia" w:eastAsiaTheme="minorEastAsia" w:cstheme="minorEastAsia"/>
          <w:color w:val="auto"/>
          <w:spacing w:val="6"/>
          <w:sz w:val="21"/>
          <w:szCs w:val="21"/>
          <w:highlight w:val="none"/>
        </w:rPr>
        <w:t xml:space="preserve">政府采购活动，经与本单位法人代表（负责人）联系确认，现就有关公平竞争事项郑重声明如下： </w:t>
      </w:r>
    </w:p>
    <w:p w14:paraId="7F347628">
      <w:pPr>
        <w:pStyle w:val="38"/>
        <w:keepNext w:val="0"/>
        <w:keepLines w:val="0"/>
        <w:pageBreakBefore w:val="0"/>
        <w:widowControl/>
        <w:numPr>
          <w:ilvl w:val="0"/>
          <w:numId w:val="6"/>
        </w:numPr>
        <w:kinsoku/>
        <w:wordWrap/>
        <w:overflowPunct/>
        <w:topLinePunct w:val="0"/>
        <w:autoSpaceDE/>
        <w:autoSpaceDN/>
        <w:bidi w:val="0"/>
        <w:adjustRightInd/>
        <w:snapToGrid w:val="0"/>
        <w:spacing w:line="420" w:lineRule="exact"/>
        <w:ind w:firstLine="396" w:firstLineChars="189"/>
        <w:textAlignment w:val="auto"/>
        <w:rPr>
          <w:rFonts w:hint="default" w:asciiTheme="minorEastAsia" w:hAnsiTheme="minorEastAsia" w:eastAsiaTheme="minorEastAsia" w:cstheme="minorEastAsia"/>
          <w:color w:val="auto"/>
          <w:kern w:val="0"/>
          <w:sz w:val="21"/>
          <w:szCs w:val="21"/>
          <w:highlight w:val="none"/>
        </w:rPr>
      </w:pPr>
      <w:r>
        <w:rPr>
          <w:rFonts w:asciiTheme="minorEastAsia" w:hAnsiTheme="minorEastAsia" w:eastAsiaTheme="minorEastAsia" w:cstheme="minorEastAsia"/>
          <w:color w:val="auto"/>
          <w:kern w:val="0"/>
          <w:sz w:val="21"/>
          <w:szCs w:val="21"/>
          <w:highlight w:val="none"/>
        </w:rPr>
        <w:t>本单位与采购人之间 □不存在利害关系 □存在下列利害关系</w:t>
      </w:r>
      <w:r>
        <w:rPr>
          <w:rFonts w:asciiTheme="minorEastAsia" w:hAnsiTheme="minorEastAsia" w:eastAsiaTheme="minorEastAsia" w:cstheme="minorEastAsia"/>
          <w:color w:val="auto"/>
          <w:kern w:val="0"/>
          <w:sz w:val="21"/>
          <w:szCs w:val="21"/>
          <w:highlight w:val="none"/>
          <w:u w:val="single"/>
        </w:rPr>
        <w:t xml:space="preserve">           </w:t>
      </w:r>
      <w:r>
        <w:rPr>
          <w:rFonts w:asciiTheme="minorEastAsia" w:hAnsiTheme="minorEastAsia" w:eastAsiaTheme="minorEastAsia" w:cstheme="minorEastAsia"/>
          <w:color w:val="auto"/>
          <w:kern w:val="0"/>
          <w:sz w:val="21"/>
          <w:szCs w:val="21"/>
          <w:highlight w:val="none"/>
        </w:rPr>
        <w:t>：</w:t>
      </w:r>
    </w:p>
    <w:p w14:paraId="1FCF1C14">
      <w:pPr>
        <w:pStyle w:val="38"/>
        <w:keepNext w:val="0"/>
        <w:keepLines w:val="0"/>
        <w:pageBreakBefore w:val="0"/>
        <w:widowControl/>
        <w:kinsoku/>
        <w:wordWrap/>
        <w:overflowPunct/>
        <w:topLinePunct w:val="0"/>
        <w:autoSpaceDE/>
        <w:autoSpaceDN/>
        <w:bidi w:val="0"/>
        <w:adjustRightInd/>
        <w:snapToGrid w:val="0"/>
        <w:spacing w:line="420" w:lineRule="exact"/>
        <w:textAlignment w:val="auto"/>
        <w:rPr>
          <w:rFonts w:hint="default" w:asciiTheme="minorEastAsia" w:hAnsiTheme="minorEastAsia" w:eastAsiaTheme="minorEastAsia" w:cstheme="minorEastAsia"/>
          <w:color w:val="auto"/>
          <w:kern w:val="0"/>
          <w:sz w:val="21"/>
          <w:szCs w:val="21"/>
          <w:highlight w:val="none"/>
        </w:rPr>
      </w:pPr>
      <w:r>
        <w:rPr>
          <w:rFonts w:asciiTheme="minorEastAsia" w:hAnsiTheme="minorEastAsia" w:eastAsiaTheme="minorEastAsia" w:cstheme="minorEastAsia"/>
          <w:color w:val="auto"/>
          <w:kern w:val="0"/>
          <w:sz w:val="21"/>
          <w:szCs w:val="21"/>
          <w:highlight w:val="none"/>
        </w:rPr>
        <w:t xml:space="preserve">  A.投资关系    B.行政隶属关系    C.业务指导关系</w:t>
      </w:r>
    </w:p>
    <w:p w14:paraId="17AD3131">
      <w:pPr>
        <w:pStyle w:val="38"/>
        <w:keepNext w:val="0"/>
        <w:keepLines w:val="0"/>
        <w:pageBreakBefore w:val="0"/>
        <w:widowControl/>
        <w:kinsoku/>
        <w:wordWrap/>
        <w:overflowPunct/>
        <w:topLinePunct w:val="0"/>
        <w:autoSpaceDE/>
        <w:autoSpaceDN/>
        <w:bidi w:val="0"/>
        <w:adjustRightInd/>
        <w:snapToGrid w:val="0"/>
        <w:spacing w:line="420" w:lineRule="exact"/>
        <w:textAlignment w:val="auto"/>
        <w:rPr>
          <w:rFonts w:hint="default" w:asciiTheme="minorEastAsia" w:hAnsiTheme="minorEastAsia" w:eastAsiaTheme="minorEastAsia" w:cstheme="minorEastAsia"/>
          <w:color w:val="auto"/>
          <w:kern w:val="0"/>
          <w:sz w:val="21"/>
          <w:szCs w:val="21"/>
          <w:highlight w:val="none"/>
        </w:rPr>
      </w:pPr>
      <w:r>
        <w:rPr>
          <w:rFonts w:asciiTheme="minorEastAsia" w:hAnsiTheme="minorEastAsia" w:eastAsiaTheme="minorEastAsia" w:cstheme="minorEastAsia"/>
          <w:color w:val="auto"/>
          <w:kern w:val="0"/>
          <w:sz w:val="21"/>
          <w:szCs w:val="21"/>
          <w:highlight w:val="none"/>
        </w:rPr>
        <w:t xml:space="preserve">  D.其他可能</w:t>
      </w:r>
      <w:r>
        <w:rPr>
          <w:rFonts w:asciiTheme="minorEastAsia" w:hAnsiTheme="minorEastAsia" w:eastAsiaTheme="minorEastAsia" w:cstheme="minorEastAsia"/>
          <w:color w:val="auto"/>
          <w:sz w:val="21"/>
          <w:szCs w:val="21"/>
          <w:highlight w:val="none"/>
        </w:rPr>
        <w:t>影响采购公正的</w:t>
      </w:r>
      <w:r>
        <w:rPr>
          <w:rFonts w:asciiTheme="minorEastAsia" w:hAnsiTheme="minorEastAsia" w:eastAsiaTheme="minorEastAsia" w:cstheme="minorEastAsia"/>
          <w:color w:val="auto"/>
          <w:kern w:val="0"/>
          <w:sz w:val="21"/>
          <w:szCs w:val="21"/>
          <w:highlight w:val="none"/>
        </w:rPr>
        <w:t>利害关系</w:t>
      </w:r>
      <w:r>
        <w:rPr>
          <w:rFonts w:asciiTheme="minorEastAsia" w:hAnsiTheme="minorEastAsia" w:eastAsiaTheme="minorEastAsia" w:cstheme="minorEastAsia"/>
          <w:color w:val="auto"/>
          <w:kern w:val="0"/>
          <w:sz w:val="21"/>
          <w:szCs w:val="21"/>
          <w:highlight w:val="none"/>
          <w:u w:val="single"/>
        </w:rPr>
        <w:t xml:space="preserve">（如有，请如实说明）                 </w:t>
      </w:r>
      <w:r>
        <w:rPr>
          <w:rFonts w:asciiTheme="minorEastAsia" w:hAnsiTheme="minorEastAsia" w:eastAsiaTheme="minorEastAsia" w:cstheme="minorEastAsia"/>
          <w:color w:val="auto"/>
          <w:kern w:val="0"/>
          <w:sz w:val="21"/>
          <w:szCs w:val="21"/>
          <w:highlight w:val="none"/>
        </w:rPr>
        <w:t>。</w:t>
      </w:r>
    </w:p>
    <w:p w14:paraId="03E171CD">
      <w:pPr>
        <w:pStyle w:val="38"/>
        <w:keepNext w:val="0"/>
        <w:keepLines w:val="0"/>
        <w:pageBreakBefore w:val="0"/>
        <w:widowControl/>
        <w:kinsoku/>
        <w:wordWrap/>
        <w:overflowPunct/>
        <w:topLinePunct w:val="0"/>
        <w:autoSpaceDE/>
        <w:autoSpaceDN/>
        <w:bidi w:val="0"/>
        <w:adjustRightInd/>
        <w:snapToGrid w:val="0"/>
        <w:spacing w:line="420" w:lineRule="exact"/>
        <w:textAlignment w:val="auto"/>
        <w:rPr>
          <w:rFonts w:hint="default" w:asciiTheme="minorEastAsia" w:hAnsiTheme="minorEastAsia" w:eastAsiaTheme="minorEastAsia" w:cstheme="minorEastAsia"/>
          <w:color w:val="auto"/>
          <w:kern w:val="0"/>
          <w:sz w:val="21"/>
          <w:szCs w:val="21"/>
          <w:highlight w:val="none"/>
        </w:rPr>
      </w:pPr>
      <w:r>
        <w:rPr>
          <w:rFonts w:asciiTheme="minorEastAsia" w:hAnsiTheme="minorEastAsia" w:eastAsiaTheme="minorEastAsia" w:cstheme="minorEastAsia"/>
          <w:color w:val="auto"/>
          <w:spacing w:val="6"/>
          <w:sz w:val="21"/>
          <w:szCs w:val="21"/>
          <w:highlight w:val="none"/>
        </w:rPr>
        <w:t xml:space="preserve">  二、</w:t>
      </w:r>
      <w:r>
        <w:rPr>
          <w:rFonts w:asciiTheme="minorEastAsia" w:hAnsiTheme="minorEastAsia" w:eastAsiaTheme="minorEastAsia" w:cstheme="minorEastAsia"/>
          <w:color w:val="auto"/>
          <w:kern w:val="0"/>
          <w:sz w:val="21"/>
          <w:szCs w:val="21"/>
          <w:highlight w:val="none"/>
        </w:rPr>
        <w:t>现已清楚知道参加本项目采购活动的其他所有供应商名称，本单位 □与其他所有供应商之间均不存在利害关系 □与</w:t>
      </w:r>
      <w:r>
        <w:rPr>
          <w:rFonts w:asciiTheme="minorEastAsia" w:hAnsiTheme="minorEastAsia" w:eastAsiaTheme="minorEastAsia" w:cstheme="minorEastAsia"/>
          <w:color w:val="auto"/>
          <w:kern w:val="0"/>
          <w:sz w:val="21"/>
          <w:szCs w:val="21"/>
          <w:highlight w:val="none"/>
          <w:u w:val="single"/>
        </w:rPr>
        <w:t xml:space="preserve">           （供应商名称）</w:t>
      </w:r>
      <w:r>
        <w:rPr>
          <w:rFonts w:asciiTheme="minorEastAsia" w:hAnsiTheme="minorEastAsia" w:eastAsiaTheme="minorEastAsia" w:cstheme="minorEastAsia"/>
          <w:color w:val="auto"/>
          <w:kern w:val="0"/>
          <w:sz w:val="21"/>
          <w:szCs w:val="21"/>
          <w:highlight w:val="none"/>
        </w:rPr>
        <w:t>之间存在下列利害关系</w:t>
      </w:r>
      <w:r>
        <w:rPr>
          <w:rFonts w:asciiTheme="minorEastAsia" w:hAnsiTheme="minorEastAsia" w:eastAsiaTheme="minorEastAsia" w:cstheme="minorEastAsia"/>
          <w:color w:val="auto"/>
          <w:kern w:val="0"/>
          <w:sz w:val="21"/>
          <w:szCs w:val="21"/>
          <w:highlight w:val="none"/>
          <w:u w:val="single"/>
        </w:rPr>
        <w:t xml:space="preserve">               </w:t>
      </w:r>
      <w:r>
        <w:rPr>
          <w:rFonts w:asciiTheme="minorEastAsia" w:hAnsiTheme="minorEastAsia" w:eastAsiaTheme="minorEastAsia" w:cstheme="minorEastAsia"/>
          <w:color w:val="auto"/>
          <w:kern w:val="0"/>
          <w:sz w:val="21"/>
          <w:szCs w:val="21"/>
          <w:highlight w:val="none"/>
        </w:rPr>
        <w:t>：</w:t>
      </w:r>
    </w:p>
    <w:p w14:paraId="6EA73621">
      <w:pPr>
        <w:pStyle w:val="37"/>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heme="minorEastAsia" w:hAnsiTheme="minorEastAsia" w:eastAsiaTheme="minorEastAsia" w:cstheme="minorEastAsia"/>
          <w:color w:val="auto"/>
          <w:kern w:val="0"/>
          <w:sz w:val="21"/>
          <w:szCs w:val="21"/>
          <w:highlight w:val="none"/>
        </w:rPr>
      </w:pPr>
      <w:r>
        <w:rPr>
          <w:rFonts w:asciiTheme="minorEastAsia" w:hAnsiTheme="minorEastAsia" w:eastAsiaTheme="minorEastAsia" w:cstheme="minorEastAsia"/>
          <w:color w:val="auto"/>
          <w:kern w:val="0"/>
          <w:sz w:val="21"/>
          <w:szCs w:val="21"/>
          <w:highlight w:val="none"/>
        </w:rPr>
        <w:t xml:space="preserve">  A.法定代表人或负责人或实际控制人是同一人</w:t>
      </w:r>
    </w:p>
    <w:p w14:paraId="736C9185">
      <w:pPr>
        <w:pStyle w:val="37"/>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heme="minorEastAsia" w:hAnsiTheme="minorEastAsia" w:eastAsiaTheme="minorEastAsia" w:cstheme="minorEastAsia"/>
          <w:color w:val="auto"/>
          <w:spacing w:val="6"/>
          <w:sz w:val="21"/>
          <w:szCs w:val="21"/>
          <w:highlight w:val="none"/>
        </w:rPr>
      </w:pPr>
      <w:r>
        <w:rPr>
          <w:rFonts w:asciiTheme="minorEastAsia" w:hAnsiTheme="minorEastAsia" w:eastAsiaTheme="minorEastAsia" w:cstheme="minorEastAsia"/>
          <w:color w:val="auto"/>
          <w:kern w:val="0"/>
          <w:sz w:val="21"/>
          <w:szCs w:val="21"/>
          <w:highlight w:val="none"/>
        </w:rPr>
        <w:t xml:space="preserve">  B.法定代表人或负责人或实际控制人是夫妻关系</w:t>
      </w:r>
    </w:p>
    <w:p w14:paraId="35D7E30F">
      <w:pPr>
        <w:pStyle w:val="37"/>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heme="minorEastAsia" w:hAnsiTheme="minorEastAsia" w:eastAsiaTheme="minorEastAsia" w:cstheme="minorEastAsia"/>
          <w:color w:val="auto"/>
          <w:spacing w:val="6"/>
          <w:sz w:val="21"/>
          <w:szCs w:val="21"/>
          <w:highlight w:val="none"/>
        </w:rPr>
      </w:pPr>
      <w:r>
        <w:rPr>
          <w:rFonts w:asciiTheme="minorEastAsia" w:hAnsiTheme="minorEastAsia" w:eastAsiaTheme="minorEastAsia" w:cstheme="minorEastAsia"/>
          <w:color w:val="auto"/>
          <w:kern w:val="0"/>
          <w:sz w:val="21"/>
          <w:szCs w:val="21"/>
          <w:highlight w:val="none"/>
        </w:rPr>
        <w:t xml:space="preserve">  C.法定代表人或负责人或实际控制人是直系血亲关系</w:t>
      </w:r>
    </w:p>
    <w:p w14:paraId="177FEDCA">
      <w:pPr>
        <w:pStyle w:val="37"/>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heme="minorEastAsia" w:hAnsiTheme="minorEastAsia" w:eastAsiaTheme="minorEastAsia" w:cstheme="minorEastAsia"/>
          <w:color w:val="auto"/>
          <w:spacing w:val="6"/>
          <w:sz w:val="21"/>
          <w:szCs w:val="21"/>
          <w:highlight w:val="none"/>
        </w:rPr>
      </w:pPr>
      <w:r>
        <w:rPr>
          <w:rFonts w:asciiTheme="minorEastAsia" w:hAnsiTheme="minorEastAsia" w:eastAsiaTheme="minorEastAsia" w:cstheme="minorEastAsia"/>
          <w:color w:val="auto"/>
          <w:kern w:val="0"/>
          <w:sz w:val="21"/>
          <w:szCs w:val="21"/>
          <w:highlight w:val="none"/>
        </w:rPr>
        <w:t xml:space="preserve">  D.法定代表人或负责人或实际控制人存在三代以内旁系血亲关系</w:t>
      </w:r>
    </w:p>
    <w:p w14:paraId="3A281BB9">
      <w:pPr>
        <w:pStyle w:val="37"/>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heme="minorEastAsia" w:hAnsiTheme="minorEastAsia" w:eastAsiaTheme="minorEastAsia" w:cstheme="minorEastAsia"/>
          <w:color w:val="auto"/>
          <w:kern w:val="0"/>
          <w:sz w:val="21"/>
          <w:szCs w:val="21"/>
          <w:highlight w:val="none"/>
        </w:rPr>
      </w:pPr>
      <w:r>
        <w:rPr>
          <w:rFonts w:asciiTheme="minorEastAsia" w:hAnsiTheme="minorEastAsia" w:eastAsiaTheme="minorEastAsia" w:cstheme="minorEastAsia"/>
          <w:color w:val="auto"/>
          <w:kern w:val="0"/>
          <w:sz w:val="21"/>
          <w:szCs w:val="21"/>
          <w:highlight w:val="none"/>
        </w:rPr>
        <w:t xml:space="preserve">  E.法定代表人或负责人或实际控制人存在近姻亲关系</w:t>
      </w:r>
    </w:p>
    <w:p w14:paraId="643DAADD">
      <w:pPr>
        <w:pStyle w:val="37"/>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heme="minorEastAsia" w:hAnsiTheme="minorEastAsia" w:eastAsiaTheme="minorEastAsia" w:cstheme="minorEastAsia"/>
          <w:color w:val="auto"/>
          <w:kern w:val="0"/>
          <w:sz w:val="21"/>
          <w:szCs w:val="21"/>
          <w:highlight w:val="none"/>
        </w:rPr>
      </w:pPr>
      <w:r>
        <w:rPr>
          <w:rFonts w:asciiTheme="minorEastAsia" w:hAnsiTheme="minorEastAsia" w:eastAsiaTheme="minorEastAsia" w:cstheme="minorEastAsia"/>
          <w:color w:val="auto"/>
          <w:kern w:val="0"/>
          <w:sz w:val="21"/>
          <w:szCs w:val="21"/>
          <w:highlight w:val="none"/>
        </w:rPr>
        <w:t xml:space="preserve">  F.法定代表人或负责人或实际控制人存在股份控制或实际控制关系</w:t>
      </w:r>
    </w:p>
    <w:p w14:paraId="1469DA24">
      <w:pPr>
        <w:pStyle w:val="37"/>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eastAsia" w:asciiTheme="minorEastAsia" w:hAnsiTheme="minorEastAsia" w:eastAsiaTheme="minorEastAsia" w:cstheme="minorEastAsia"/>
          <w:color w:val="auto"/>
          <w:kern w:val="0"/>
          <w:sz w:val="21"/>
          <w:szCs w:val="21"/>
          <w:highlight w:val="none"/>
        </w:rPr>
      </w:pPr>
      <w:r>
        <w:rPr>
          <w:rFonts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rPr>
        <w:t>G.存在共同直接或间接投资设立子公司、联营企业和合营企业情况</w:t>
      </w:r>
    </w:p>
    <w:p w14:paraId="7B819D8D">
      <w:pPr>
        <w:pStyle w:val="37"/>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heme="minorEastAsia" w:hAnsiTheme="minorEastAsia" w:eastAsiaTheme="minorEastAsia" w:cstheme="minorEastAsia"/>
          <w:color w:val="auto"/>
          <w:kern w:val="0"/>
          <w:sz w:val="21"/>
          <w:szCs w:val="21"/>
          <w:highlight w:val="none"/>
        </w:rPr>
      </w:pPr>
      <w:r>
        <w:rPr>
          <w:rFonts w:asciiTheme="minorEastAsia" w:hAnsiTheme="minorEastAsia" w:eastAsiaTheme="minorEastAsia" w:cstheme="minorEastAsia"/>
          <w:color w:val="auto"/>
          <w:kern w:val="0"/>
          <w:sz w:val="21"/>
          <w:szCs w:val="21"/>
          <w:highlight w:val="none"/>
        </w:rPr>
        <w:t xml:space="preserve">  H.存在分级代理或代销关系、同一生产制造商关系、管理关系、重要业务（占主营业务收入50%以上）或重要财务往来关系（如融资）等其他实质性控制关系</w:t>
      </w:r>
    </w:p>
    <w:p w14:paraId="3095CD54">
      <w:pPr>
        <w:pStyle w:val="37"/>
        <w:keepNext w:val="0"/>
        <w:keepLines w:val="0"/>
        <w:pageBreakBefore w:val="0"/>
        <w:widowControl w:val="0"/>
        <w:kinsoku/>
        <w:wordWrap/>
        <w:overflowPunct/>
        <w:topLinePunct w:val="0"/>
        <w:autoSpaceDE/>
        <w:autoSpaceDN/>
        <w:bidi w:val="0"/>
        <w:adjustRightInd/>
        <w:snapToGrid w:val="0"/>
        <w:spacing w:line="420" w:lineRule="exact"/>
        <w:jc w:val="both"/>
        <w:textAlignment w:val="auto"/>
        <w:rPr>
          <w:rFonts w:hint="default" w:asciiTheme="minorEastAsia" w:hAnsiTheme="minorEastAsia" w:eastAsiaTheme="minorEastAsia" w:cstheme="minorEastAsia"/>
          <w:color w:val="auto"/>
          <w:spacing w:val="6"/>
          <w:sz w:val="21"/>
          <w:szCs w:val="21"/>
          <w:highlight w:val="none"/>
        </w:rPr>
      </w:pPr>
      <w:r>
        <w:rPr>
          <w:rFonts w:asciiTheme="minorEastAsia" w:hAnsiTheme="minorEastAsia" w:eastAsiaTheme="minorEastAsia" w:cstheme="minorEastAsia"/>
          <w:color w:val="auto"/>
          <w:sz w:val="21"/>
          <w:szCs w:val="21"/>
          <w:highlight w:val="none"/>
        </w:rPr>
        <w:t xml:space="preserve">  I</w:t>
      </w:r>
      <w:r>
        <w:rPr>
          <w:rFonts w:asciiTheme="minorEastAsia" w:hAnsiTheme="minorEastAsia" w:eastAsiaTheme="minorEastAsia" w:cstheme="minorEastAsia"/>
          <w:color w:val="auto"/>
          <w:kern w:val="0"/>
          <w:sz w:val="21"/>
          <w:szCs w:val="21"/>
          <w:highlight w:val="none"/>
        </w:rPr>
        <w:t>.</w:t>
      </w:r>
      <w:r>
        <w:rPr>
          <w:rFonts w:asciiTheme="minorEastAsia" w:hAnsiTheme="minorEastAsia" w:eastAsiaTheme="minorEastAsia" w:cstheme="minorEastAsia"/>
          <w:color w:val="auto"/>
          <w:sz w:val="21"/>
          <w:szCs w:val="21"/>
          <w:highlight w:val="none"/>
        </w:rPr>
        <w:t>其他利害关系情况</w:t>
      </w:r>
      <w:r>
        <w:rPr>
          <w:rFonts w:asciiTheme="minorEastAsia" w:hAnsiTheme="minorEastAsia" w:eastAsiaTheme="minorEastAsia" w:cstheme="minorEastAsia"/>
          <w:color w:val="auto"/>
          <w:sz w:val="21"/>
          <w:szCs w:val="21"/>
          <w:highlight w:val="none"/>
          <w:u w:val="single"/>
        </w:rPr>
        <w:t xml:space="preserve">                              </w:t>
      </w:r>
      <w:r>
        <w:rPr>
          <w:rFonts w:asciiTheme="minorEastAsia" w:hAnsiTheme="minorEastAsia" w:eastAsiaTheme="minorEastAsia" w:cstheme="minorEastAsia"/>
          <w:color w:val="auto"/>
          <w:kern w:val="0"/>
          <w:sz w:val="21"/>
          <w:szCs w:val="21"/>
          <w:highlight w:val="none"/>
        </w:rPr>
        <w:t>。</w:t>
      </w:r>
    </w:p>
    <w:p w14:paraId="27C697C9">
      <w:pPr>
        <w:pStyle w:val="38"/>
        <w:keepNext w:val="0"/>
        <w:keepLines w:val="0"/>
        <w:pageBreakBefore w:val="0"/>
        <w:widowControl/>
        <w:numPr>
          <w:ilvl w:val="0"/>
          <w:numId w:val="7"/>
        </w:numPr>
        <w:kinsoku/>
        <w:wordWrap/>
        <w:overflowPunct/>
        <w:topLinePunct w:val="0"/>
        <w:autoSpaceDE/>
        <w:autoSpaceDN/>
        <w:bidi w:val="0"/>
        <w:adjustRightInd/>
        <w:snapToGrid w:val="0"/>
        <w:spacing w:line="420" w:lineRule="exact"/>
        <w:ind w:firstLine="396" w:firstLineChars="189"/>
        <w:textAlignment w:val="auto"/>
        <w:rPr>
          <w:rFonts w:hint="default" w:asciiTheme="minorEastAsia" w:hAnsiTheme="minorEastAsia" w:eastAsiaTheme="minorEastAsia" w:cstheme="minorEastAsia"/>
          <w:color w:val="auto"/>
          <w:kern w:val="0"/>
          <w:sz w:val="21"/>
          <w:szCs w:val="21"/>
          <w:highlight w:val="none"/>
        </w:rPr>
      </w:pPr>
      <w:r>
        <w:rPr>
          <w:rFonts w:asciiTheme="minorEastAsia" w:hAnsiTheme="minorEastAsia" w:eastAsiaTheme="minorEastAsia" w:cstheme="minorEastAsia"/>
          <w:color w:val="auto"/>
          <w:sz w:val="21"/>
          <w:szCs w:val="21"/>
          <w:highlight w:val="none"/>
        </w:rPr>
        <w:t>现已清楚知道并</w:t>
      </w:r>
      <w:r>
        <w:rPr>
          <w:rFonts w:asciiTheme="minorEastAsia" w:hAnsiTheme="minorEastAsia" w:eastAsiaTheme="minorEastAsia" w:cstheme="minorEastAsia"/>
          <w:color w:val="auto"/>
          <w:kern w:val="0"/>
          <w:sz w:val="21"/>
          <w:szCs w:val="21"/>
          <w:highlight w:val="none"/>
        </w:rPr>
        <w:t>严格遵守政府采购法律法规和现场纪律。</w:t>
      </w:r>
    </w:p>
    <w:p w14:paraId="4573066C">
      <w:pPr>
        <w:pStyle w:val="38"/>
        <w:keepNext w:val="0"/>
        <w:keepLines w:val="0"/>
        <w:pageBreakBefore w:val="0"/>
        <w:widowControl/>
        <w:numPr>
          <w:ilvl w:val="0"/>
          <w:numId w:val="7"/>
        </w:numPr>
        <w:kinsoku/>
        <w:wordWrap/>
        <w:overflowPunct/>
        <w:topLinePunct w:val="0"/>
        <w:autoSpaceDE/>
        <w:autoSpaceDN/>
        <w:bidi w:val="0"/>
        <w:adjustRightInd/>
        <w:snapToGrid w:val="0"/>
        <w:spacing w:line="420" w:lineRule="exact"/>
        <w:ind w:firstLine="396" w:firstLineChars="189"/>
        <w:textAlignment w:val="auto"/>
        <w:rPr>
          <w:rFonts w:hint="default" w:asciiTheme="minorEastAsia" w:hAnsiTheme="minorEastAsia" w:eastAsiaTheme="minorEastAsia" w:cstheme="minorEastAsia"/>
          <w:color w:val="auto"/>
          <w:kern w:val="0"/>
          <w:sz w:val="21"/>
          <w:szCs w:val="21"/>
          <w:highlight w:val="none"/>
        </w:rPr>
      </w:pPr>
      <w:r>
        <w:rPr>
          <w:rFonts w:asciiTheme="minorEastAsia" w:hAnsiTheme="minorEastAsia" w:eastAsiaTheme="minorEastAsia" w:cstheme="minorEastAsia"/>
          <w:color w:val="auto"/>
          <w:kern w:val="0"/>
          <w:sz w:val="21"/>
          <w:szCs w:val="21"/>
          <w:highlight w:val="none"/>
        </w:rPr>
        <w:t>我发现</w:t>
      </w:r>
      <w:r>
        <w:rPr>
          <w:rFonts w:asciiTheme="minorEastAsia" w:hAnsiTheme="minorEastAsia" w:eastAsiaTheme="minorEastAsia" w:cstheme="minorEastAsia"/>
          <w:color w:val="auto"/>
          <w:kern w:val="0"/>
          <w:sz w:val="21"/>
          <w:szCs w:val="21"/>
          <w:highlight w:val="none"/>
          <w:u w:val="single"/>
        </w:rPr>
        <w:t xml:space="preserve">                    </w:t>
      </w:r>
      <w:r>
        <w:rPr>
          <w:rFonts w:asciiTheme="minorEastAsia" w:hAnsiTheme="minorEastAsia" w:eastAsiaTheme="minorEastAsia" w:cstheme="minorEastAsia"/>
          <w:color w:val="auto"/>
          <w:kern w:val="0"/>
          <w:sz w:val="21"/>
          <w:szCs w:val="21"/>
          <w:highlight w:val="none"/>
        </w:rPr>
        <w:t>供应商之间存在或可能存在上述第二条第</w:t>
      </w:r>
      <w:r>
        <w:rPr>
          <w:rFonts w:asciiTheme="minorEastAsia" w:hAnsiTheme="minorEastAsia" w:eastAsiaTheme="minorEastAsia" w:cstheme="minorEastAsia"/>
          <w:color w:val="auto"/>
          <w:kern w:val="0"/>
          <w:sz w:val="21"/>
          <w:szCs w:val="21"/>
          <w:highlight w:val="none"/>
          <w:u w:val="single"/>
        </w:rPr>
        <w:t xml:space="preserve">        </w:t>
      </w:r>
      <w:r>
        <w:rPr>
          <w:rFonts w:asciiTheme="minorEastAsia" w:hAnsiTheme="minorEastAsia" w:eastAsiaTheme="minorEastAsia" w:cstheme="minorEastAsia"/>
          <w:color w:val="auto"/>
          <w:kern w:val="0"/>
          <w:sz w:val="21"/>
          <w:szCs w:val="21"/>
          <w:highlight w:val="none"/>
        </w:rPr>
        <w:t>项利害关系。</w:t>
      </w:r>
    </w:p>
    <w:p w14:paraId="5995E7A5">
      <w:pPr>
        <w:pStyle w:val="37"/>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both"/>
        <w:textAlignment w:val="auto"/>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xml:space="preserve">                                （供应商代表签名）：</w:t>
      </w:r>
    </w:p>
    <w:p w14:paraId="4C37C7CA">
      <w:pPr>
        <w:pStyle w:val="37"/>
        <w:keepNext w:val="0"/>
        <w:keepLines w:val="0"/>
        <w:pageBreakBefore w:val="0"/>
        <w:widowControl w:val="0"/>
        <w:kinsoku/>
        <w:wordWrap/>
        <w:overflowPunct/>
        <w:topLinePunct w:val="0"/>
        <w:autoSpaceDE/>
        <w:autoSpaceDN/>
        <w:bidi w:val="0"/>
        <w:adjustRightInd/>
        <w:snapToGrid w:val="0"/>
        <w:spacing w:line="420" w:lineRule="exact"/>
        <w:ind w:firstLine="420" w:firstLineChars="200"/>
        <w:jc w:val="right"/>
        <w:textAlignment w:val="auto"/>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xml:space="preserve">                                    年   月   日</w:t>
      </w:r>
    </w:p>
    <w:p w14:paraId="2D75DB70">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sz w:val="21"/>
          <w:szCs w:val="21"/>
        </w:rPr>
      </w:pPr>
      <w:r>
        <w:rPr>
          <w:rFonts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rPr>
        <w:t>供应商名单公布后30分钟内，供应商通过邮件形式发送经授权代表签署的《政府采购活动现场确认声明书》（格式见附件），扫描件发至代理机构经办人邮箱：</w:t>
      </w:r>
      <w:r>
        <w:rPr>
          <w:rFonts w:hint="eastAsia" w:asciiTheme="minorEastAsia" w:hAnsiTheme="minorEastAsia" w:eastAsiaTheme="minorEastAsia" w:cstheme="minorEastAsia"/>
          <w:b/>
          <w:bCs/>
          <w:color w:val="auto"/>
          <w:sz w:val="21"/>
          <w:szCs w:val="21"/>
          <w:highlight w:val="none"/>
          <w:lang w:eastAsia="zh-CN"/>
        </w:rPr>
        <w:t>314670712</w:t>
      </w:r>
      <w:r>
        <w:rPr>
          <w:rFonts w:hint="eastAsia" w:asciiTheme="minorEastAsia" w:hAnsiTheme="minorEastAsia" w:eastAsiaTheme="minorEastAsia" w:cstheme="minorEastAsia"/>
          <w:b/>
          <w:bCs/>
          <w:color w:val="auto"/>
          <w:sz w:val="21"/>
          <w:szCs w:val="21"/>
          <w:highlight w:val="none"/>
        </w:rPr>
        <w:t>@qq.com，联系人：</w:t>
      </w:r>
      <w:r>
        <w:rPr>
          <w:rFonts w:hint="eastAsia" w:asciiTheme="minorEastAsia" w:hAnsiTheme="minorEastAsia" w:eastAsiaTheme="minorEastAsia" w:cstheme="minorEastAsia"/>
          <w:b/>
          <w:bCs/>
          <w:color w:val="auto"/>
          <w:sz w:val="21"/>
          <w:szCs w:val="21"/>
          <w:highlight w:val="none"/>
          <w:lang w:eastAsia="zh-CN"/>
        </w:rPr>
        <w:t>张先生</w:t>
      </w:r>
      <w:r>
        <w:rPr>
          <w:rFonts w:hint="eastAsia" w:asciiTheme="minorEastAsia" w:hAnsiTheme="minorEastAsia" w:eastAsiaTheme="minorEastAsia" w:cstheme="minorEastAsia"/>
          <w:b/>
          <w:bCs/>
          <w:color w:val="auto"/>
          <w:sz w:val="21"/>
          <w:szCs w:val="21"/>
          <w:highlight w:val="none"/>
        </w:rPr>
        <w:t>，电话：</w:t>
      </w:r>
      <w:r>
        <w:rPr>
          <w:rFonts w:hint="eastAsia" w:asciiTheme="minorEastAsia" w:hAnsiTheme="minorEastAsia" w:eastAsiaTheme="minorEastAsia" w:cstheme="minorEastAsia"/>
          <w:b/>
          <w:bCs/>
          <w:color w:val="auto"/>
          <w:sz w:val="21"/>
          <w:szCs w:val="21"/>
          <w:highlight w:val="none"/>
          <w:lang w:eastAsia="zh-CN"/>
        </w:rPr>
        <w:t>15205795183</w:t>
      </w:r>
      <w:r>
        <w:rPr>
          <w:rFonts w:hint="eastAsia" w:asciiTheme="minorEastAsia" w:hAnsiTheme="minorEastAsia" w:eastAsiaTheme="minorEastAsia" w:cstheme="minorEastAsia"/>
          <w:b/>
          <w:bCs/>
          <w:color w:val="auto"/>
          <w:sz w:val="21"/>
          <w:szCs w:val="21"/>
          <w:highlight w:val="none"/>
        </w:rPr>
        <w:t>。未按规定发送的，视为无异议，后果由投标人承担。</w:t>
      </w:r>
    </w:p>
    <w:p w14:paraId="549067A3">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lang w:val="en-US" w:eastAsia="zh-CN"/>
        </w:rPr>
        <w:t>附件：</w:t>
      </w:r>
      <w:r>
        <w:rPr>
          <w:rFonts w:hint="eastAsia" w:asciiTheme="minorEastAsia" w:hAnsiTheme="minorEastAsia" w:eastAsiaTheme="minorEastAsia" w:cstheme="minorEastAsia"/>
          <w:b/>
          <w:color w:val="auto"/>
          <w:spacing w:val="6"/>
          <w:sz w:val="24"/>
          <w:szCs w:val="24"/>
          <w:highlight w:val="none"/>
        </w:rPr>
        <w:t>质疑函范本及制作说明</w:t>
      </w:r>
    </w:p>
    <w:p w14:paraId="55924321">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质疑函范本</w:t>
      </w:r>
    </w:p>
    <w:p w14:paraId="187D3E3D">
      <w:pPr>
        <w:adjustRightInd w:val="0"/>
        <w:snapToGrid w:val="0"/>
        <w:spacing w:before="240" w:beforeLines="100"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一、质疑供应商基本信息</w:t>
      </w:r>
    </w:p>
    <w:p w14:paraId="2BDC8884">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质疑供应商：</w:t>
      </w:r>
      <w:r>
        <w:rPr>
          <w:rFonts w:hint="eastAsia" w:asciiTheme="minorEastAsia" w:hAnsiTheme="minorEastAsia" w:eastAsiaTheme="minorEastAsia" w:cstheme="minorEastAsia"/>
          <w:color w:val="auto"/>
          <w:sz w:val="24"/>
          <w:szCs w:val="24"/>
          <w:highlight w:val="none"/>
          <w:u w:val="dotted"/>
        </w:rPr>
        <w:t xml:space="preserve">                                        </w:t>
      </w:r>
    </w:p>
    <w:p w14:paraId="2A6E5274">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7AC779B3">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18C1FE4F">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p>
    <w:p w14:paraId="6551B195">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72B6141E">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地址： </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p>
    <w:p w14:paraId="3AD213F3">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二、质疑项目基本情况</w:t>
      </w:r>
    </w:p>
    <w:p w14:paraId="3566BD2D">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质疑项目的名称：</w:t>
      </w:r>
      <w:r>
        <w:rPr>
          <w:rFonts w:hint="eastAsia" w:asciiTheme="minorEastAsia" w:hAnsiTheme="minorEastAsia" w:eastAsiaTheme="minorEastAsia" w:cstheme="minorEastAsia"/>
          <w:color w:val="auto"/>
          <w:sz w:val="24"/>
          <w:szCs w:val="24"/>
          <w:highlight w:val="none"/>
          <w:u w:val="dotted"/>
        </w:rPr>
        <w:t xml:space="preserve">                                      </w:t>
      </w:r>
    </w:p>
    <w:p w14:paraId="25BE15E7">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质疑项目的编号：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085A3FC1">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p>
    <w:p w14:paraId="02978B96">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采购文件获取日期：</w:t>
      </w:r>
      <w:r>
        <w:rPr>
          <w:rFonts w:hint="eastAsia" w:asciiTheme="minorEastAsia" w:hAnsiTheme="minorEastAsia" w:eastAsiaTheme="minorEastAsia" w:cstheme="minorEastAsia"/>
          <w:color w:val="auto"/>
          <w:sz w:val="24"/>
          <w:szCs w:val="24"/>
          <w:highlight w:val="none"/>
          <w:u w:val="dotted"/>
        </w:rPr>
        <w:t xml:space="preserve">                                           </w:t>
      </w:r>
    </w:p>
    <w:p w14:paraId="2ECA3FDF">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三、质疑事项具体内容</w:t>
      </w:r>
    </w:p>
    <w:p w14:paraId="0787014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质疑事项1：</w:t>
      </w:r>
      <w:r>
        <w:rPr>
          <w:rFonts w:hint="eastAsia" w:asciiTheme="minorEastAsia" w:hAnsiTheme="minorEastAsia" w:eastAsiaTheme="minorEastAsia" w:cstheme="minorEastAsia"/>
          <w:color w:val="auto"/>
          <w:sz w:val="24"/>
          <w:szCs w:val="24"/>
          <w:highlight w:val="none"/>
          <w:u w:val="dotted"/>
        </w:rPr>
        <w:t xml:space="preserve">                                         </w:t>
      </w:r>
    </w:p>
    <w:p w14:paraId="6993F43B">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2391F4A2">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 xml:space="preserve">                                                       </w:t>
      </w:r>
    </w:p>
    <w:p w14:paraId="05306A0F">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444F84BD">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532DF658">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质疑事项2</w:t>
      </w:r>
    </w:p>
    <w:p w14:paraId="3D3285FF">
      <w:pPr>
        <w:adjustRightInd w:val="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14:paraId="57B513D4">
      <w:pPr>
        <w:adjustRightInd w:val="0"/>
        <w:snapToGri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四、与质疑事项相关的质疑请求</w:t>
      </w:r>
    </w:p>
    <w:p w14:paraId="50B0BBB0">
      <w:pPr>
        <w:adjustRightInd w:val="0"/>
        <w:snapToGri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p>
    <w:p w14:paraId="053C362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3BBCF478">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3CDC0A80">
      <w:pPr>
        <w:adjustRightInd w:val="0"/>
        <w:spacing w:line="360" w:lineRule="auto"/>
        <w:jc w:val="center"/>
        <w:rPr>
          <w:rFonts w:hint="eastAsia" w:asciiTheme="minorEastAsia" w:hAnsiTheme="minorEastAsia" w:eastAsiaTheme="minorEastAsia" w:cstheme="minorEastAsia"/>
          <w:b/>
          <w:bCs/>
          <w:color w:val="auto"/>
          <w:sz w:val="24"/>
          <w:szCs w:val="24"/>
          <w:highlight w:val="none"/>
        </w:rPr>
      </w:pPr>
    </w:p>
    <w:p w14:paraId="2B0B4F5B">
      <w:pPr>
        <w:adjustRightInd w:val="0"/>
        <w:spacing w:line="360" w:lineRule="auto"/>
        <w:rPr>
          <w:rFonts w:hint="eastAsia" w:asciiTheme="minorEastAsia" w:hAnsiTheme="minorEastAsia" w:eastAsiaTheme="minorEastAsia" w:cstheme="minorEastAsia"/>
          <w:b/>
          <w:color w:val="auto"/>
          <w:sz w:val="24"/>
          <w:szCs w:val="24"/>
          <w:highlight w:val="none"/>
        </w:rPr>
      </w:pPr>
    </w:p>
    <w:p w14:paraId="7EC0AC7E">
      <w:pPr>
        <w:adjustRightInd w:val="0"/>
        <w:spacing w:line="360" w:lineRule="auto"/>
        <w:rPr>
          <w:rFonts w:hint="eastAsia" w:asciiTheme="minorEastAsia" w:hAnsiTheme="minorEastAsia" w:eastAsiaTheme="minorEastAsia" w:cstheme="minorEastAsia"/>
          <w:b/>
          <w:color w:val="auto"/>
          <w:sz w:val="24"/>
          <w:szCs w:val="24"/>
          <w:highlight w:val="none"/>
        </w:rPr>
      </w:pPr>
    </w:p>
    <w:p w14:paraId="0C3B37C7">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质疑函制作说明：</w:t>
      </w:r>
    </w:p>
    <w:p w14:paraId="46BAD876">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1.供应商提出质疑时，应提交质疑函和必要的证明材料。</w:t>
      </w:r>
    </w:p>
    <w:p w14:paraId="71A9BA75">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szCs w:val="24"/>
          <w:highlight w:val="none"/>
        </w:rPr>
        <w:t>供应商签署的授权委托书。授权委托书应载明代理人的姓名或者名称、代理事项、具体权限、期限和相关事项。</w:t>
      </w:r>
    </w:p>
    <w:p w14:paraId="51C25B8E">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3.质疑供应商若对项目的某一分包进行质疑，质疑函中应列明具体分包号。</w:t>
      </w:r>
    </w:p>
    <w:p w14:paraId="31E06CEA">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4.质疑函的质疑事项应具体、明确，并有必要的事实依据和法律依据。</w:t>
      </w:r>
    </w:p>
    <w:p w14:paraId="4D452E1B">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5.质疑函的质疑请求应与质疑事项相关。</w:t>
      </w:r>
    </w:p>
    <w:p w14:paraId="7AFBF16D">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2198BBC9">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560978ED">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1BD6ADCB">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45316B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624A365B">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661D3F5C">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55FE0A8">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1EF9F606">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C9468A3">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4442F1E8">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0532E9D7">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7AEBB65C">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51834A65">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p>
    <w:p w14:paraId="3B09316E">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4DA48C5E">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53B2CDE4">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0EE5EF60">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3D933511">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p>
    <w:p w14:paraId="109CC10B">
      <w:pPr>
        <w:adjustRightInd w:val="0"/>
        <w:spacing w:line="360" w:lineRule="auto"/>
        <w:jc w:val="left"/>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附件：投诉书范本及制作说明</w:t>
      </w:r>
    </w:p>
    <w:p w14:paraId="7D78BD4D">
      <w:pPr>
        <w:adjustRightInd w:val="0"/>
        <w:spacing w:line="360" w:lineRule="auto"/>
        <w:jc w:val="center"/>
        <w:rPr>
          <w:rFonts w:hint="eastAsia" w:asciiTheme="minorEastAsia" w:hAnsiTheme="minorEastAsia" w:eastAsiaTheme="minorEastAsia" w:cstheme="minorEastAsia"/>
          <w:b/>
          <w:color w:val="auto"/>
          <w:sz w:val="24"/>
          <w:szCs w:val="24"/>
          <w:highlight w:val="none"/>
        </w:rPr>
      </w:pPr>
    </w:p>
    <w:p w14:paraId="09EB4168">
      <w:pPr>
        <w:adjustRightInd w:val="0"/>
        <w:spacing w:line="360" w:lineRule="auto"/>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投诉书范本</w:t>
      </w:r>
    </w:p>
    <w:p w14:paraId="51770FE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一、投诉相关主体基本情况</w:t>
      </w:r>
    </w:p>
    <w:p w14:paraId="0AF3FED7">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w:t>
      </w:r>
      <w:r>
        <w:rPr>
          <w:rFonts w:hint="eastAsia" w:asciiTheme="minorEastAsia" w:hAnsiTheme="minorEastAsia" w:eastAsiaTheme="minorEastAsia" w:cstheme="minorEastAsia"/>
          <w:color w:val="auto"/>
          <w:sz w:val="24"/>
          <w:szCs w:val="24"/>
          <w:highlight w:val="none"/>
          <w:u w:val="dotted"/>
        </w:rPr>
        <w:t xml:space="preserve">                                               </w:t>
      </w:r>
    </w:p>
    <w:p w14:paraId="4FC5A31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8F39CFA">
      <w:pPr>
        <w:tabs>
          <w:tab w:val="left" w:pos="6510"/>
        </w:tabs>
        <w:adjustRightInd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法定代表人/主要负责人：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58909375">
      <w:pPr>
        <w:tabs>
          <w:tab w:val="left" w:pos="6510"/>
        </w:tabs>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2B667724">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授权代表：</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p>
    <w:p w14:paraId="620BF895">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dotted"/>
        </w:rPr>
        <w:t xml:space="preserve">                   </w:t>
      </w:r>
    </w:p>
    <w:p w14:paraId="7B07235F">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被投诉人1：</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891B81F">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5B8C47B7">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5F367DF">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被投诉人2</w:t>
      </w:r>
    </w:p>
    <w:p w14:paraId="74AC68A8">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595C97D8">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相关供应商：</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B33C852">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邮编：</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0CB872EB">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7571982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二、投诉项目基本情况</w:t>
      </w:r>
    </w:p>
    <w:p w14:paraId="1D4ACC4B">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采购项目名称：</w:t>
      </w:r>
      <w:r>
        <w:rPr>
          <w:rFonts w:hint="eastAsia" w:asciiTheme="minorEastAsia" w:hAnsiTheme="minorEastAsia" w:eastAsiaTheme="minorEastAsia" w:cstheme="minorEastAsia"/>
          <w:color w:val="auto"/>
          <w:sz w:val="24"/>
          <w:szCs w:val="24"/>
          <w:highlight w:val="none"/>
          <w:u w:val="dotted"/>
        </w:rPr>
        <w:t xml:space="preserve">                                        </w:t>
      </w:r>
    </w:p>
    <w:p w14:paraId="1B99EB40">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采购项目编号：</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包号：</w:t>
      </w:r>
      <w:r>
        <w:rPr>
          <w:rFonts w:hint="eastAsia" w:asciiTheme="minorEastAsia" w:hAnsiTheme="minorEastAsia" w:eastAsiaTheme="minorEastAsia" w:cstheme="minorEastAsia"/>
          <w:color w:val="auto"/>
          <w:sz w:val="24"/>
          <w:szCs w:val="24"/>
          <w:highlight w:val="none"/>
          <w:u w:val="dotted"/>
        </w:rPr>
        <w:t xml:space="preserve">              </w:t>
      </w:r>
    </w:p>
    <w:p w14:paraId="748AF572">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采购人名称：</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265841D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代理机构名称：</w:t>
      </w:r>
      <w:r>
        <w:rPr>
          <w:rFonts w:hint="eastAsia" w:asciiTheme="minorEastAsia" w:hAnsiTheme="minorEastAsia" w:eastAsiaTheme="minorEastAsia" w:cstheme="minorEastAsia"/>
          <w:color w:val="auto"/>
          <w:sz w:val="24"/>
          <w:szCs w:val="24"/>
          <w:highlight w:val="none"/>
          <w:u w:val="dotted"/>
        </w:rPr>
        <w:t xml:space="preserve">                                         </w:t>
      </w:r>
    </w:p>
    <w:p w14:paraId="3E6F05A5">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采购文件公告: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486FF4E5">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采购结果公告:</w:t>
      </w:r>
      <w:r>
        <w:rPr>
          <w:rFonts w:hint="eastAsia" w:asciiTheme="minorEastAsia" w:hAnsiTheme="minorEastAsia" w:eastAsiaTheme="minorEastAsia" w:cstheme="minorEastAsia"/>
          <w:color w:val="auto"/>
          <w:sz w:val="24"/>
          <w:szCs w:val="24"/>
          <w:highlight w:val="none"/>
          <w:u w:val="dotted"/>
        </w:rPr>
        <w:t xml:space="preserve">是/否 </w:t>
      </w:r>
      <w:r>
        <w:rPr>
          <w:rFonts w:hint="eastAsia" w:asciiTheme="minorEastAsia" w:hAnsiTheme="minorEastAsia" w:eastAsiaTheme="minorEastAsia" w:cstheme="minorEastAsia"/>
          <w:color w:val="auto"/>
          <w:sz w:val="24"/>
          <w:szCs w:val="24"/>
          <w:highlight w:val="none"/>
        </w:rPr>
        <w:t>公告期限：</w:t>
      </w:r>
      <w:r>
        <w:rPr>
          <w:rFonts w:hint="eastAsia" w:asciiTheme="minorEastAsia" w:hAnsiTheme="minorEastAsia" w:eastAsiaTheme="minorEastAsia" w:cstheme="minorEastAsia"/>
          <w:color w:val="auto"/>
          <w:sz w:val="24"/>
          <w:szCs w:val="24"/>
          <w:highlight w:val="none"/>
          <w:u w:val="dotted"/>
        </w:rPr>
        <w:t xml:space="preserve">                        </w:t>
      </w:r>
    </w:p>
    <w:p w14:paraId="5546075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三、质疑基本情况</w:t>
      </w:r>
    </w:p>
    <w:p w14:paraId="018D675B">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投诉人于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日,向</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提出质疑，质疑事项为：</w:t>
      </w:r>
      <w:r>
        <w:rPr>
          <w:rFonts w:hint="eastAsia" w:asciiTheme="minorEastAsia" w:hAnsiTheme="minorEastAsia" w:eastAsiaTheme="minorEastAsia" w:cstheme="minorEastAsia"/>
          <w:color w:val="auto"/>
          <w:sz w:val="24"/>
          <w:szCs w:val="24"/>
          <w:highlight w:val="none"/>
          <w:u w:val="dotted"/>
        </w:rPr>
        <w:t xml:space="preserve">                                </w:t>
      </w:r>
    </w:p>
    <w:p w14:paraId="2540270A">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2785E99E">
      <w:pPr>
        <w:adjustRightInd w:val="0"/>
        <w:spacing w:line="360" w:lineRule="auto"/>
        <w:ind w:firstLine="360" w:firstLineChars="15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dotted"/>
        </w:rPr>
        <w:t>采购人/代理机构</w:t>
      </w:r>
      <w:r>
        <w:rPr>
          <w:rFonts w:hint="eastAsia" w:asciiTheme="minorEastAsia" w:hAnsiTheme="minorEastAsia" w:eastAsiaTheme="minorEastAsia" w:cstheme="minorEastAsia"/>
          <w:color w:val="auto"/>
          <w:sz w:val="24"/>
          <w:szCs w:val="24"/>
          <w:highlight w:val="none"/>
        </w:rPr>
        <w:t>于</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日,就质疑事项作出了答复/没有在法定期限内作出答复。</w:t>
      </w:r>
    </w:p>
    <w:p w14:paraId="6AF17FF3">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四、投诉事项具体内容</w:t>
      </w:r>
    </w:p>
    <w:p w14:paraId="785C7ADF">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投诉事项 1：</w:t>
      </w:r>
      <w:r>
        <w:rPr>
          <w:rFonts w:hint="eastAsia" w:asciiTheme="minorEastAsia" w:hAnsiTheme="minorEastAsia" w:eastAsiaTheme="minorEastAsia" w:cstheme="minorEastAsia"/>
          <w:color w:val="auto"/>
          <w:sz w:val="24"/>
          <w:szCs w:val="24"/>
          <w:highlight w:val="none"/>
          <w:u w:val="dotted"/>
        </w:rPr>
        <w:t xml:space="preserve">                                       </w:t>
      </w:r>
    </w:p>
    <w:p w14:paraId="783705F7">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事实依据：</w:t>
      </w:r>
      <w:r>
        <w:rPr>
          <w:rFonts w:hint="eastAsia" w:asciiTheme="minorEastAsia" w:hAnsiTheme="minorEastAsia" w:eastAsiaTheme="minorEastAsia" w:cstheme="minorEastAsia"/>
          <w:color w:val="auto"/>
          <w:sz w:val="24"/>
          <w:szCs w:val="24"/>
          <w:highlight w:val="none"/>
          <w:u w:val="dotted"/>
        </w:rPr>
        <w:t xml:space="preserve">                                         </w:t>
      </w:r>
    </w:p>
    <w:p w14:paraId="1E33CAE3">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6771C33E">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法律依据：</w:t>
      </w:r>
      <w:r>
        <w:rPr>
          <w:rFonts w:hint="eastAsia" w:asciiTheme="minorEastAsia" w:hAnsiTheme="minorEastAsia" w:eastAsiaTheme="minorEastAsia" w:cstheme="minorEastAsia"/>
          <w:color w:val="auto"/>
          <w:sz w:val="24"/>
          <w:szCs w:val="24"/>
          <w:highlight w:val="none"/>
          <w:u w:val="dotted"/>
        </w:rPr>
        <w:t xml:space="preserve">                                          </w:t>
      </w:r>
    </w:p>
    <w:p w14:paraId="0E251F92">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u w:val="dotted"/>
        </w:rPr>
        <w:t xml:space="preserve">                                                      </w:t>
      </w:r>
    </w:p>
    <w:p w14:paraId="77D9ED34">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投诉事项2</w:t>
      </w:r>
    </w:p>
    <w:p w14:paraId="4A5C0C9B">
      <w:pPr>
        <w:adjustRightInd w:val="0"/>
        <w:spacing w:line="360" w:lineRule="auto"/>
        <w:rPr>
          <w:rFonts w:hint="eastAsia" w:asciiTheme="minorEastAsia" w:hAnsiTheme="minorEastAsia" w:eastAsiaTheme="minorEastAsia" w:cstheme="minorEastAsia"/>
          <w:color w:val="auto"/>
          <w:sz w:val="24"/>
          <w:szCs w:val="24"/>
          <w:highlight w:val="none"/>
          <w:u w:val="dotted"/>
        </w:rPr>
      </w:pPr>
      <w:r>
        <w:rPr>
          <w:rFonts w:hint="eastAsia" w:asciiTheme="minorEastAsia" w:hAnsiTheme="minorEastAsia" w:eastAsiaTheme="minorEastAsia" w:cstheme="minorEastAsia"/>
          <w:color w:val="auto"/>
          <w:sz w:val="24"/>
          <w:szCs w:val="24"/>
          <w:highlight w:val="none"/>
        </w:rPr>
        <w:t>……</w:t>
      </w:r>
    </w:p>
    <w:p w14:paraId="0849873E">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五、与投诉事项相关的投诉请求</w:t>
      </w:r>
    </w:p>
    <w:p w14:paraId="0E129709">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请求：</w:t>
      </w:r>
      <w:r>
        <w:rPr>
          <w:rFonts w:hint="eastAsia" w:asciiTheme="minorEastAsia" w:hAnsiTheme="minorEastAsia" w:eastAsiaTheme="minorEastAsia" w:cstheme="minorEastAsia"/>
          <w:color w:val="auto"/>
          <w:sz w:val="24"/>
          <w:szCs w:val="24"/>
          <w:highlight w:val="none"/>
          <w:u w:val="dotted"/>
        </w:rPr>
        <w:t xml:space="preserve">                                              </w:t>
      </w:r>
      <w:r>
        <w:rPr>
          <w:rFonts w:hint="eastAsia" w:asciiTheme="minorEastAsia" w:hAnsiTheme="minorEastAsia" w:eastAsiaTheme="minorEastAsia" w:cstheme="minorEastAsia"/>
          <w:color w:val="auto"/>
          <w:sz w:val="24"/>
          <w:szCs w:val="24"/>
          <w:highlight w:val="none"/>
        </w:rPr>
        <w:t xml:space="preserve"> </w:t>
      </w:r>
    </w:p>
    <w:p w14:paraId="7D7D0D3D">
      <w:pPr>
        <w:adjustRightInd w:val="0"/>
        <w:spacing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 xml:space="preserve">                                                                                                    </w:t>
      </w:r>
    </w:p>
    <w:p w14:paraId="4B51E01C">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签字(签章)：                   公章：                      </w:t>
      </w:r>
    </w:p>
    <w:p w14:paraId="61F20B1D">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日期：    </w:t>
      </w:r>
    </w:p>
    <w:p w14:paraId="726ED28A">
      <w:pPr>
        <w:adjustRightInd w:val="0"/>
        <w:spacing w:line="360" w:lineRule="auto"/>
        <w:rPr>
          <w:rFonts w:hint="eastAsia" w:asciiTheme="minorEastAsia" w:hAnsiTheme="minorEastAsia" w:eastAsiaTheme="minorEastAsia" w:cstheme="minorEastAsia"/>
          <w:b/>
          <w:color w:val="auto"/>
          <w:sz w:val="24"/>
          <w:szCs w:val="24"/>
          <w:highlight w:val="none"/>
        </w:rPr>
      </w:pPr>
    </w:p>
    <w:p w14:paraId="37701EC7">
      <w:pPr>
        <w:adjustRightInd w:val="0"/>
        <w:spacing w:line="360" w:lineRule="auto"/>
        <w:rPr>
          <w:rFonts w:hint="eastAsia" w:asciiTheme="minorEastAsia" w:hAnsiTheme="minorEastAsia" w:eastAsiaTheme="minorEastAsia" w:cstheme="minorEastAsia"/>
          <w:b/>
          <w:color w:val="auto"/>
          <w:sz w:val="24"/>
          <w:szCs w:val="24"/>
          <w:highlight w:val="none"/>
        </w:rPr>
      </w:pPr>
    </w:p>
    <w:p w14:paraId="445E31F1">
      <w:pPr>
        <w:adjustRightIn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投诉书制作说明：</w:t>
      </w:r>
    </w:p>
    <w:p w14:paraId="4F32A128">
      <w:pPr>
        <w:widowControl/>
        <w:adjustRightIn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1.投诉人提起投诉时，应当提交投诉书和必要的证明材料，并按照被投诉人和与投诉事项有关的供应商数量提供投诉书副本。</w:t>
      </w:r>
    </w:p>
    <w:p w14:paraId="1C1D7291">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szCs w:val="24"/>
          <w:highlight w:val="none"/>
        </w:rPr>
        <w:t>投诉人签署的授权委托书。授权委托书应当载明代理人的姓名或者名称、代理事项、具体权限、期限和相关事项。</w:t>
      </w:r>
    </w:p>
    <w:p w14:paraId="34607DA0">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3.投诉人若对项目的某一分包进行投诉，投诉书应列明具体分包号。</w:t>
      </w:r>
    </w:p>
    <w:p w14:paraId="3F761DE4">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4.投诉书应简要列明质疑事项，质疑函、质疑答复等作为附件材料提供。</w:t>
      </w:r>
    </w:p>
    <w:p w14:paraId="3D2D78A1">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5.投诉书的投诉事项应具体、明确，并有必要的事实依据和法律依据。</w:t>
      </w:r>
    </w:p>
    <w:p w14:paraId="67012ADF">
      <w:pPr>
        <w:widowControl/>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6.投诉书的投诉请求应与投诉事项相关。</w:t>
      </w:r>
    </w:p>
    <w:p w14:paraId="1370B53E">
      <w:pPr>
        <w:widowControl/>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7B1C8CAE">
      <w:pPr>
        <w:autoSpaceDE w:val="0"/>
        <w:autoSpaceDN w:val="0"/>
        <w:adjustRightInd w:val="0"/>
        <w:spacing w:line="240" w:lineRule="auto"/>
        <w:jc w:val="both"/>
        <w:rPr>
          <w:rFonts w:hint="eastAsia" w:asciiTheme="minorEastAsia" w:hAnsiTheme="minorEastAsia" w:eastAsiaTheme="minorEastAsia" w:cstheme="minorEastAsia"/>
          <w:b/>
          <w:color w:val="auto"/>
          <w:spacing w:val="6"/>
          <w:sz w:val="24"/>
          <w:szCs w:val="24"/>
          <w:highlight w:val="none"/>
        </w:rPr>
      </w:pPr>
    </w:p>
    <w:p w14:paraId="656BA902">
      <w:pPr>
        <w:autoSpaceDE w:val="0"/>
        <w:autoSpaceDN w:val="0"/>
        <w:adjustRightInd w:val="0"/>
        <w:spacing w:line="240" w:lineRule="auto"/>
        <w:jc w:val="both"/>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pacing w:val="6"/>
          <w:sz w:val="24"/>
          <w:szCs w:val="24"/>
          <w:highlight w:val="none"/>
        </w:rPr>
        <w:t>附件</w:t>
      </w:r>
      <w:r>
        <w:rPr>
          <w:rFonts w:hint="eastAsia" w:asciiTheme="minorEastAsia" w:hAnsiTheme="minorEastAsia" w:eastAsiaTheme="minorEastAsia" w:cstheme="minorEastAsia"/>
          <w:b/>
          <w:color w:val="auto"/>
          <w:spacing w:val="6"/>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业务专用章使用说明函</w:t>
      </w:r>
    </w:p>
    <w:p w14:paraId="29B9F3B3">
      <w:pPr>
        <w:adjustRightInd w:val="0"/>
        <w:spacing w:line="360" w:lineRule="auto"/>
        <w:rPr>
          <w:rFonts w:hint="eastAsia" w:asciiTheme="minorEastAsia" w:hAnsiTheme="minorEastAsia" w:eastAsiaTheme="minorEastAsia" w:cstheme="minorEastAsia"/>
          <w:color w:val="auto"/>
          <w:sz w:val="24"/>
          <w:szCs w:val="24"/>
          <w:highlight w:val="none"/>
          <w:u w:val="single"/>
        </w:rPr>
      </w:pPr>
    </w:p>
    <w:p w14:paraId="736DC523">
      <w:pPr>
        <w:adjustRightIn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（采购人）、（采购代理机构）</w:t>
      </w:r>
    </w:p>
    <w:p w14:paraId="17737F12">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zh-CN"/>
        </w:rPr>
        <w:t>我方</w:t>
      </w:r>
      <w:r>
        <w:rPr>
          <w:rFonts w:hint="eastAsia" w:asciiTheme="minorEastAsia" w:hAnsiTheme="minorEastAsia" w:eastAsiaTheme="minorEastAsia" w:cstheme="minorEastAsia"/>
          <w:color w:val="auto"/>
          <w:kern w:val="0"/>
          <w:sz w:val="24"/>
          <w:szCs w:val="24"/>
          <w:highlight w:val="none"/>
          <w:u w:val="single"/>
          <w:lang w:val="zh-CN"/>
        </w:rPr>
        <w:t xml:space="preserve">                         </w:t>
      </w:r>
      <w:r>
        <w:rPr>
          <w:rFonts w:hint="eastAsia" w:asciiTheme="minorEastAsia" w:hAnsiTheme="minorEastAsia" w:eastAsiaTheme="minorEastAsia" w:cstheme="minorEastAsia"/>
          <w:color w:val="auto"/>
          <w:sz w:val="24"/>
          <w:szCs w:val="24"/>
          <w:highlight w:val="none"/>
        </w:rPr>
        <w:t>(投标人全称)是中华人民共和国依法登记注册的合法企业，</w:t>
      </w:r>
      <w:r>
        <w:rPr>
          <w:rFonts w:hint="eastAsia" w:asciiTheme="minorEastAsia" w:hAnsiTheme="minorEastAsia" w:eastAsiaTheme="minorEastAsia" w:cstheme="minorEastAsia"/>
          <w:bCs/>
          <w:color w:val="auto"/>
          <w:sz w:val="24"/>
          <w:szCs w:val="24"/>
          <w:highlight w:val="none"/>
        </w:rPr>
        <w:t>在参加</w:t>
      </w:r>
      <w:r>
        <w:rPr>
          <w:rFonts w:hint="eastAsia" w:asciiTheme="minorEastAsia" w:hAnsiTheme="minorEastAsia" w:eastAsiaTheme="minorEastAsia" w:cstheme="minorEastAsia"/>
          <w:color w:val="auto"/>
          <w:sz w:val="24"/>
          <w:szCs w:val="24"/>
          <w:highlight w:val="none"/>
        </w:rPr>
        <w:t>你方组织的（项目名称）项目【招标编号：（采购编号）】</w:t>
      </w:r>
      <w:r>
        <w:rPr>
          <w:rFonts w:hint="eastAsia" w:asciiTheme="minorEastAsia" w:hAnsiTheme="minorEastAsia" w:eastAsiaTheme="minorEastAsia" w:cstheme="minorEastAsia"/>
          <w:bCs/>
          <w:color w:val="auto"/>
          <w:sz w:val="24"/>
          <w:szCs w:val="24"/>
          <w:highlight w:val="none"/>
        </w:rPr>
        <w:t>投标活动中作如下说明：</w:t>
      </w:r>
      <w:r>
        <w:rPr>
          <w:rFonts w:hint="eastAsia" w:asciiTheme="minorEastAsia" w:hAnsiTheme="minorEastAsia" w:eastAsiaTheme="minorEastAsia" w:cstheme="minorEastAsia"/>
          <w:color w:val="auto"/>
          <w:sz w:val="24"/>
          <w:szCs w:val="24"/>
          <w:highlight w:val="none"/>
        </w:rPr>
        <w:t xml:space="preserve">我方所使用的“XX专用章”与法定名称章具有同等的法律效力，对使用“XX专用章”的行为予以完全承认，并愿意承担相应责任。   </w:t>
      </w:r>
    </w:p>
    <w:p w14:paraId="0C5F2A8E">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特此说明。</w:t>
      </w:r>
    </w:p>
    <w:p w14:paraId="0CB651CB">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013CA886">
      <w:pPr>
        <w:adjustRightInd w:val="0"/>
        <w:spacing w:line="360" w:lineRule="auto"/>
        <w:rPr>
          <w:rFonts w:hint="eastAsia" w:asciiTheme="minorEastAsia" w:hAnsiTheme="minorEastAsia" w:eastAsiaTheme="minorEastAsia" w:cstheme="minorEastAsia"/>
          <w:color w:val="auto"/>
          <w:sz w:val="24"/>
          <w:szCs w:val="24"/>
          <w:highlight w:val="none"/>
        </w:rPr>
      </w:pPr>
    </w:p>
    <w:p w14:paraId="57AAB3FB">
      <w:pPr>
        <w:adjustRightInd w:val="0"/>
        <w:spacing w:line="360" w:lineRule="auto"/>
        <w:ind w:firstLine="494"/>
        <w:rPr>
          <w:rFonts w:hint="eastAsia" w:asciiTheme="minorEastAsia" w:hAnsiTheme="minorEastAsia" w:eastAsiaTheme="minorEastAsia" w:cstheme="minorEastAsia"/>
          <w:color w:val="auto"/>
          <w:sz w:val="24"/>
          <w:szCs w:val="24"/>
          <w:highlight w:val="none"/>
        </w:rPr>
      </w:pPr>
    </w:p>
    <w:p w14:paraId="6D771D4C">
      <w:pPr>
        <w:adjustRightInd w:val="0"/>
        <w:spacing w:line="360" w:lineRule="auto"/>
        <w:ind w:right="480" w:firstLine="4080" w:firstLineChars="17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投标单位（法定名称章）：</w:t>
      </w:r>
    </w:p>
    <w:p w14:paraId="58DB59DC">
      <w:pPr>
        <w:adjustRightInd w:val="0"/>
        <w:spacing w:line="240" w:lineRule="auto"/>
        <w:ind w:right="1440" w:firstLine="494"/>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日期：     年    月   日</w:t>
      </w:r>
    </w:p>
    <w:p w14:paraId="01413082">
      <w:pPr>
        <w:adjustRightInd w:val="0"/>
        <w:spacing w:line="24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p w14:paraId="728C31C7">
      <w:pPr>
        <w:adjustRightInd w:val="0"/>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FoJq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FoJq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szCs w:val="24"/>
          <w:highlight w:val="none"/>
        </w:rPr>
        <w:t>投标单位法定名称章（印模）                投标单位“XX专用章”（印模）</w:t>
      </w:r>
    </w:p>
    <w:p w14:paraId="3F3E345A">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1BFFDF53">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41ACDB05">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4D86957F">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57E74D6B">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765CD524">
      <w:pPr>
        <w:autoSpaceDE w:val="0"/>
        <w:autoSpaceDN w:val="0"/>
        <w:adjustRightInd w:val="0"/>
        <w:spacing w:line="240" w:lineRule="auto"/>
        <w:jc w:val="center"/>
        <w:rPr>
          <w:rFonts w:hint="eastAsia" w:asciiTheme="minorEastAsia" w:hAnsiTheme="minorEastAsia" w:eastAsiaTheme="minorEastAsia" w:cstheme="minorEastAsia"/>
          <w:b/>
          <w:color w:val="auto"/>
          <w:spacing w:val="6"/>
          <w:sz w:val="24"/>
          <w:szCs w:val="24"/>
          <w:highlight w:val="none"/>
        </w:rPr>
      </w:pPr>
    </w:p>
    <w:p w14:paraId="2B7A357E">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461842BB">
      <w:pPr>
        <w:autoSpaceDE w:val="0"/>
        <w:autoSpaceDN w:val="0"/>
        <w:adjustRightInd w:val="0"/>
        <w:spacing w:line="240" w:lineRule="auto"/>
        <w:jc w:val="center"/>
        <w:rPr>
          <w:rFonts w:ascii="仿宋" w:hAnsi="仿宋" w:eastAsia="仿宋" w:cs="Times New Roman"/>
          <w:b/>
          <w:color w:val="auto"/>
          <w:spacing w:val="6"/>
          <w:sz w:val="32"/>
          <w:szCs w:val="32"/>
          <w:highlight w:val="none"/>
        </w:rPr>
      </w:pPr>
    </w:p>
    <w:p w14:paraId="0B3A7A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rPr>
      </w:pPr>
    </w:p>
    <w:p w14:paraId="7300810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4A8179E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14DA31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5313BDE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3FE00A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1212260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21BB444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p w14:paraId="394BAF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9B8C1">
    <w:pPr>
      <w:snapToGrid w:val="0"/>
      <w:spacing w:line="240" w:lineRule="auto"/>
      <w:jc w:val="center"/>
      <w:rPr>
        <w:rFonts w:ascii="Calibri" w:hAnsi="Calibri" w:eastAsia="黑体"/>
        <w:snapToGrid w:val="0"/>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6DED0">
    <w:pPr>
      <w:snapToGrid w:val="0"/>
      <w:spacing w:line="240" w:lineRule="auto"/>
      <w:jc w:val="center"/>
      <w:rPr>
        <w:rFonts w:ascii="Calibri" w:hAnsi="Calibri" w:eastAsia="黑体"/>
        <w:snapToGrid w:val="0"/>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EFBB1">
    <w:pPr>
      <w:snapToGrid w:val="0"/>
      <w:spacing w:line="240" w:lineRule="auto"/>
      <w:jc w:val="center"/>
      <w:rPr>
        <w:rFonts w:ascii="Calibri" w:hAnsi="Calibri" w:eastAsia="黑体"/>
        <w:snapToGrid w:val="0"/>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6EC8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0F6EC81">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ECB2">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EC45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91EC454">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6205F">
    <w:pPr>
      <w:spacing w:line="200" w:lineRule="exact"/>
      <w:rPr>
        <w:rFonts w:ascii="Calibri" w:hAnsi="Calibri" w:eastAsia="宋体"/>
        <w:sz w:val="20"/>
        <w:szCs w:val="20"/>
      </w:rPr>
    </w:pPr>
    <w:r>
      <w:rPr>
        <w:rFonts w:ascii="Calibri" w:hAnsi="Calibri" w:eastAsia="宋体"/>
        <w:sz w:val="21"/>
        <w:szCs w:val="24"/>
      </w:rP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62EE7850">
                          <w:pPr>
                            <w:spacing w:line="240" w:lineRule="auto"/>
                            <w:rPr>
                              <w:rFonts w:ascii="Calibri" w:hAnsi="Calibri" w:eastAsia="宋体"/>
                              <w:sz w:val="21"/>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62EE7850">
                    <w:pPr>
                      <w:spacing w:line="240" w:lineRule="auto"/>
                      <w:rPr>
                        <w:rFonts w:ascii="Calibri" w:hAnsi="Calibri" w:eastAsia="宋体"/>
                        <w:sz w:val="21"/>
                        <w:szCs w:val="24"/>
                      </w:rPr>
                    </w:pPr>
                  </w:p>
                </w:txbxContent>
              </v:textbox>
            </v:shape>
          </w:pict>
        </mc:Fallback>
      </mc:AlternateContent>
    </w:r>
    <w:r>
      <w:rPr>
        <w:rFonts w:ascii="Calibri" w:hAnsi="Calibri" w:eastAsia="宋体"/>
        <w:sz w:val="21"/>
        <w:szCs w:val="24"/>
      </w:rP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725C3BA8">
                          <w:pPr>
                            <w:spacing w:line="214" w:lineRule="exact"/>
                            <w:jc w:val="left"/>
                            <w:rPr>
                              <w:rFonts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725C3BA8">
                    <w:pPr>
                      <w:spacing w:line="214" w:lineRule="exact"/>
                      <w:jc w:val="left"/>
                      <w:rPr>
                        <w:rFonts w:ascii="宋体" w:hAnsi="宋体" w:eastAsia="宋体" w:cs="宋体"/>
                        <w:sz w:val="18"/>
                        <w:szCs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A9DF7">
    <w:pPr>
      <w:spacing w:line="200" w:lineRule="exact"/>
      <w:rPr>
        <w:sz w:val="20"/>
        <w:szCs w:val="20"/>
      </w:rPr>
    </w:pPr>
    <w:r>
      <mc:AlternateContent>
        <mc:Choice Requires="wps">
          <w:drawing>
            <wp:anchor distT="0" distB="0" distL="114300" distR="114300" simplePos="0" relativeHeight="251660288"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417E00B0"/>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6192;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W5zBabUBAAByAwAADgAAAAAAAAABACAAAAAnAQAAZHJzL2Uyb0RvYy54bWxQSwUGAAAA&#10;AAYABgBZAQAATgUAAAAA&#10;">
              <v:fill on="f" focussize="0,0"/>
              <v:stroke on="f"/>
              <v:imagedata o:title=""/>
              <o:lock v:ext="edit" aspectratio="f"/>
              <v:textbox inset="0mm,0mm,0mm,0mm">
                <w:txbxContent>
                  <w:p w14:paraId="417E00B0"/>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1518163E">
                          <w:pPr>
                            <w:spacing w:line="214" w:lineRule="exact"/>
                            <w:jc w:val="left"/>
                            <w:rPr>
                              <w:rFonts w:ascii="宋体" w:hAnsi="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5168;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K6JvDe7AQAAcgMAAA4AAAAAAAAAAQAgAAAAKAEAAGRycy9lMm9Eb2MueG1s&#10;UEsFBgAAAAAGAAYAWQEAAFUFAAAAAA==&#10;">
              <v:fill on="f" focussize="0,0"/>
              <v:stroke on="f"/>
              <v:imagedata o:title=""/>
              <o:lock v:ext="edit" aspectratio="f"/>
              <v:textbox inset="0mm,0mm,0mm,0mm">
                <w:txbxContent>
                  <w:p w14:paraId="1518163E">
                    <w:pPr>
                      <w:spacing w:line="214" w:lineRule="exact"/>
                      <w:jc w:val="left"/>
                      <w:rPr>
                        <w:rFonts w:ascii="宋体" w:hAnsi="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5"/>
      <w:suff w:val="nothing"/>
      <w:lvlText w:val="%1、"/>
      <w:lvlJc w:val="left"/>
      <w:pPr>
        <w:tabs>
          <w:tab w:val="left" w:pos="0"/>
        </w:tabs>
        <w:ind w:left="0" w:firstLine="420"/>
      </w:pPr>
      <w:rPr>
        <w:rFonts w:hint="default"/>
      </w:rPr>
    </w:lvl>
  </w:abstractNum>
  <w:abstractNum w:abstractNumId="1">
    <w:nsid w:val="396185F3"/>
    <w:multiLevelType w:val="multilevel"/>
    <w:tmpl w:val="396185F3"/>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567"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39E7CCC4"/>
    <w:multiLevelType w:val="multilevel"/>
    <w:tmpl w:val="39E7CCC4"/>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442" w:hanging="442"/>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pStyle w:val="6"/>
      <w:lvlText w:val="（%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217B28D"/>
    <w:multiLevelType w:val="singleLevel"/>
    <w:tmpl w:val="6217B28D"/>
    <w:lvl w:ilvl="0" w:tentative="0">
      <w:start w:val="1"/>
      <w:numFmt w:val="decimal"/>
      <w:suff w:val="nothing"/>
      <w:lvlText w:val="%1）"/>
      <w:lvlJc w:val="left"/>
    </w:lvl>
  </w:abstractNum>
  <w:abstractNum w:abstractNumId="6">
    <w:nsid w:val="79F4ABB6"/>
    <w:multiLevelType w:val="singleLevel"/>
    <w:tmpl w:val="79F4ABB6"/>
    <w:lvl w:ilvl="0" w:tentative="0">
      <w:start w:val="2"/>
      <w:numFmt w:val="decimal"/>
      <w:suff w:val="nothing"/>
      <w:lvlText w:val="%1）"/>
      <w:lvlJc w:val="left"/>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mE2OThhOWZkNTBmMDQxZjAzZDExNzZhZjAwZmUifQ=="/>
  </w:docVars>
  <w:rsids>
    <w:rsidRoot w:val="00172A27"/>
    <w:rsid w:val="00172E78"/>
    <w:rsid w:val="001F43B9"/>
    <w:rsid w:val="0042256A"/>
    <w:rsid w:val="00475AB1"/>
    <w:rsid w:val="009D4EDB"/>
    <w:rsid w:val="00B477FD"/>
    <w:rsid w:val="00D35EF0"/>
    <w:rsid w:val="00E51485"/>
    <w:rsid w:val="00EC4D85"/>
    <w:rsid w:val="01011432"/>
    <w:rsid w:val="014422FF"/>
    <w:rsid w:val="014E58AC"/>
    <w:rsid w:val="0164144D"/>
    <w:rsid w:val="01766D06"/>
    <w:rsid w:val="018D6D89"/>
    <w:rsid w:val="01C25212"/>
    <w:rsid w:val="01DC4C73"/>
    <w:rsid w:val="01E66FA5"/>
    <w:rsid w:val="01FA3B40"/>
    <w:rsid w:val="01FB3BAF"/>
    <w:rsid w:val="02074EB9"/>
    <w:rsid w:val="02170EDB"/>
    <w:rsid w:val="023F4A0A"/>
    <w:rsid w:val="025852B6"/>
    <w:rsid w:val="02B0310F"/>
    <w:rsid w:val="02B26E88"/>
    <w:rsid w:val="03311CD5"/>
    <w:rsid w:val="03436045"/>
    <w:rsid w:val="034E1F6F"/>
    <w:rsid w:val="03602F97"/>
    <w:rsid w:val="036D2DAF"/>
    <w:rsid w:val="036F625A"/>
    <w:rsid w:val="03B96092"/>
    <w:rsid w:val="03BE615C"/>
    <w:rsid w:val="03C8445B"/>
    <w:rsid w:val="03DE4E06"/>
    <w:rsid w:val="040057D9"/>
    <w:rsid w:val="040412EA"/>
    <w:rsid w:val="042E0790"/>
    <w:rsid w:val="043A5387"/>
    <w:rsid w:val="04695E91"/>
    <w:rsid w:val="046B3792"/>
    <w:rsid w:val="048C3708"/>
    <w:rsid w:val="049D020F"/>
    <w:rsid w:val="04A127DB"/>
    <w:rsid w:val="04E66E02"/>
    <w:rsid w:val="050B505E"/>
    <w:rsid w:val="05432019"/>
    <w:rsid w:val="05612280"/>
    <w:rsid w:val="05926C4E"/>
    <w:rsid w:val="05961CD6"/>
    <w:rsid w:val="059E1945"/>
    <w:rsid w:val="05FD56BA"/>
    <w:rsid w:val="06016457"/>
    <w:rsid w:val="06066D61"/>
    <w:rsid w:val="06087319"/>
    <w:rsid w:val="060A2B37"/>
    <w:rsid w:val="06312219"/>
    <w:rsid w:val="06517ADB"/>
    <w:rsid w:val="066302AD"/>
    <w:rsid w:val="066743D3"/>
    <w:rsid w:val="066C1A43"/>
    <w:rsid w:val="066F6E3E"/>
    <w:rsid w:val="06870563"/>
    <w:rsid w:val="06D64862"/>
    <w:rsid w:val="07092AF4"/>
    <w:rsid w:val="07253287"/>
    <w:rsid w:val="078B11B9"/>
    <w:rsid w:val="07CA6A21"/>
    <w:rsid w:val="080B4FC2"/>
    <w:rsid w:val="08371750"/>
    <w:rsid w:val="08541B92"/>
    <w:rsid w:val="085976D7"/>
    <w:rsid w:val="08604303"/>
    <w:rsid w:val="087E15BA"/>
    <w:rsid w:val="08813AA0"/>
    <w:rsid w:val="089C57F3"/>
    <w:rsid w:val="090B44BE"/>
    <w:rsid w:val="09355BE0"/>
    <w:rsid w:val="093E3C18"/>
    <w:rsid w:val="09594A4C"/>
    <w:rsid w:val="09877634"/>
    <w:rsid w:val="09D91DFD"/>
    <w:rsid w:val="0A4A6971"/>
    <w:rsid w:val="0A645B94"/>
    <w:rsid w:val="0A775D36"/>
    <w:rsid w:val="0A852B6F"/>
    <w:rsid w:val="0A91092B"/>
    <w:rsid w:val="0B136CF1"/>
    <w:rsid w:val="0B1C003E"/>
    <w:rsid w:val="0B1C3266"/>
    <w:rsid w:val="0B534F80"/>
    <w:rsid w:val="0B542D9A"/>
    <w:rsid w:val="0B8C0096"/>
    <w:rsid w:val="0BA80E28"/>
    <w:rsid w:val="0BD90F40"/>
    <w:rsid w:val="0BF7590B"/>
    <w:rsid w:val="0BF96D78"/>
    <w:rsid w:val="0BFA53FB"/>
    <w:rsid w:val="0C0A7C6F"/>
    <w:rsid w:val="0C3C625D"/>
    <w:rsid w:val="0C4A768F"/>
    <w:rsid w:val="0C565A82"/>
    <w:rsid w:val="0C9F37F7"/>
    <w:rsid w:val="0CD953EE"/>
    <w:rsid w:val="0D0C53E6"/>
    <w:rsid w:val="0D1E75A6"/>
    <w:rsid w:val="0D230299"/>
    <w:rsid w:val="0D2B75BD"/>
    <w:rsid w:val="0D506456"/>
    <w:rsid w:val="0D9136AB"/>
    <w:rsid w:val="0DBF06AB"/>
    <w:rsid w:val="0DC108C7"/>
    <w:rsid w:val="0E452D1B"/>
    <w:rsid w:val="0E75024E"/>
    <w:rsid w:val="0E9E6B2F"/>
    <w:rsid w:val="0EB06912"/>
    <w:rsid w:val="0EB9334C"/>
    <w:rsid w:val="0EC243B7"/>
    <w:rsid w:val="0EDF29AE"/>
    <w:rsid w:val="0F215FB4"/>
    <w:rsid w:val="0F333959"/>
    <w:rsid w:val="0F373392"/>
    <w:rsid w:val="0F8F761E"/>
    <w:rsid w:val="0F926D27"/>
    <w:rsid w:val="0FCD2FF3"/>
    <w:rsid w:val="0FDD12BC"/>
    <w:rsid w:val="10042659"/>
    <w:rsid w:val="101315DC"/>
    <w:rsid w:val="101319D6"/>
    <w:rsid w:val="101B69E4"/>
    <w:rsid w:val="101D6CFB"/>
    <w:rsid w:val="103C2486"/>
    <w:rsid w:val="10501A8E"/>
    <w:rsid w:val="106D4CF1"/>
    <w:rsid w:val="1081667A"/>
    <w:rsid w:val="10894CCF"/>
    <w:rsid w:val="108E6535"/>
    <w:rsid w:val="10A409DA"/>
    <w:rsid w:val="111E393A"/>
    <w:rsid w:val="117F6ACF"/>
    <w:rsid w:val="11946C55"/>
    <w:rsid w:val="11BB2635"/>
    <w:rsid w:val="11D94101"/>
    <w:rsid w:val="11EF5057"/>
    <w:rsid w:val="11FE26AC"/>
    <w:rsid w:val="12120E6C"/>
    <w:rsid w:val="128C79CD"/>
    <w:rsid w:val="12A72653"/>
    <w:rsid w:val="12C16DBE"/>
    <w:rsid w:val="12CB1509"/>
    <w:rsid w:val="12D9220E"/>
    <w:rsid w:val="13491EEA"/>
    <w:rsid w:val="138E616D"/>
    <w:rsid w:val="13BA5B9C"/>
    <w:rsid w:val="14023884"/>
    <w:rsid w:val="1446329F"/>
    <w:rsid w:val="14583F0B"/>
    <w:rsid w:val="147E306D"/>
    <w:rsid w:val="14D61ED0"/>
    <w:rsid w:val="14FB646C"/>
    <w:rsid w:val="1502053B"/>
    <w:rsid w:val="15404FD1"/>
    <w:rsid w:val="154B49A9"/>
    <w:rsid w:val="15973CBB"/>
    <w:rsid w:val="159C38A4"/>
    <w:rsid w:val="15CF7201"/>
    <w:rsid w:val="15FA3B72"/>
    <w:rsid w:val="162970CA"/>
    <w:rsid w:val="167504A0"/>
    <w:rsid w:val="16776F84"/>
    <w:rsid w:val="16810BF3"/>
    <w:rsid w:val="1695435B"/>
    <w:rsid w:val="16985F3D"/>
    <w:rsid w:val="16A05E3D"/>
    <w:rsid w:val="16B5468B"/>
    <w:rsid w:val="16F7466B"/>
    <w:rsid w:val="16F84283"/>
    <w:rsid w:val="17091014"/>
    <w:rsid w:val="171744C6"/>
    <w:rsid w:val="175E707C"/>
    <w:rsid w:val="176000EA"/>
    <w:rsid w:val="17732307"/>
    <w:rsid w:val="177641D9"/>
    <w:rsid w:val="17DF0A39"/>
    <w:rsid w:val="17E64809"/>
    <w:rsid w:val="17F2029E"/>
    <w:rsid w:val="180A5EC9"/>
    <w:rsid w:val="182257D2"/>
    <w:rsid w:val="18330E32"/>
    <w:rsid w:val="184B7D68"/>
    <w:rsid w:val="184F0BB8"/>
    <w:rsid w:val="185808CF"/>
    <w:rsid w:val="187355FA"/>
    <w:rsid w:val="18A854B7"/>
    <w:rsid w:val="18AD2DB2"/>
    <w:rsid w:val="18AD3F21"/>
    <w:rsid w:val="18CD00AF"/>
    <w:rsid w:val="19017DC9"/>
    <w:rsid w:val="19092C3F"/>
    <w:rsid w:val="191B1139"/>
    <w:rsid w:val="193E726F"/>
    <w:rsid w:val="19477479"/>
    <w:rsid w:val="19691C82"/>
    <w:rsid w:val="19891D26"/>
    <w:rsid w:val="198C783A"/>
    <w:rsid w:val="19EE47F1"/>
    <w:rsid w:val="1A0A5BFF"/>
    <w:rsid w:val="1A183AD4"/>
    <w:rsid w:val="1A1A00E3"/>
    <w:rsid w:val="1A2E2E40"/>
    <w:rsid w:val="1A517E9E"/>
    <w:rsid w:val="1A8574DD"/>
    <w:rsid w:val="1AC249A5"/>
    <w:rsid w:val="1AFE1FFA"/>
    <w:rsid w:val="1B0342CC"/>
    <w:rsid w:val="1B762870"/>
    <w:rsid w:val="1B795820"/>
    <w:rsid w:val="1BA33762"/>
    <w:rsid w:val="1BEE39B4"/>
    <w:rsid w:val="1BF603FD"/>
    <w:rsid w:val="1C8A4292"/>
    <w:rsid w:val="1C9D605B"/>
    <w:rsid w:val="1CE7373C"/>
    <w:rsid w:val="1CF16F2D"/>
    <w:rsid w:val="1DC17288"/>
    <w:rsid w:val="1DDE338D"/>
    <w:rsid w:val="1DEC15A8"/>
    <w:rsid w:val="1DF64D74"/>
    <w:rsid w:val="1E1A29C2"/>
    <w:rsid w:val="1E351421"/>
    <w:rsid w:val="1E8D40FC"/>
    <w:rsid w:val="1EA93261"/>
    <w:rsid w:val="1EDC4B5A"/>
    <w:rsid w:val="1F6410B2"/>
    <w:rsid w:val="1F7C464D"/>
    <w:rsid w:val="1FFC5359"/>
    <w:rsid w:val="1FFC753C"/>
    <w:rsid w:val="20051698"/>
    <w:rsid w:val="20605D1D"/>
    <w:rsid w:val="20743577"/>
    <w:rsid w:val="20B64383"/>
    <w:rsid w:val="20C96C79"/>
    <w:rsid w:val="20EE157B"/>
    <w:rsid w:val="20FA4550"/>
    <w:rsid w:val="211508B6"/>
    <w:rsid w:val="21156DDF"/>
    <w:rsid w:val="21200896"/>
    <w:rsid w:val="21252E17"/>
    <w:rsid w:val="213E49FD"/>
    <w:rsid w:val="21831CE6"/>
    <w:rsid w:val="21B573A8"/>
    <w:rsid w:val="21BF4BB7"/>
    <w:rsid w:val="21CD05E6"/>
    <w:rsid w:val="21D40E54"/>
    <w:rsid w:val="22334540"/>
    <w:rsid w:val="22A87507"/>
    <w:rsid w:val="22B046EC"/>
    <w:rsid w:val="22F05CBD"/>
    <w:rsid w:val="22F55A45"/>
    <w:rsid w:val="230010F2"/>
    <w:rsid w:val="23164DB9"/>
    <w:rsid w:val="231A2B60"/>
    <w:rsid w:val="232434C1"/>
    <w:rsid w:val="232D4E34"/>
    <w:rsid w:val="234B77EF"/>
    <w:rsid w:val="23B51B7A"/>
    <w:rsid w:val="23D13772"/>
    <w:rsid w:val="24207C9D"/>
    <w:rsid w:val="2430340D"/>
    <w:rsid w:val="249B3ECB"/>
    <w:rsid w:val="252953F1"/>
    <w:rsid w:val="25502AC4"/>
    <w:rsid w:val="25641E0C"/>
    <w:rsid w:val="25760682"/>
    <w:rsid w:val="258E61E7"/>
    <w:rsid w:val="25A4233A"/>
    <w:rsid w:val="25A450EF"/>
    <w:rsid w:val="25B816C1"/>
    <w:rsid w:val="25B85D28"/>
    <w:rsid w:val="25D6438C"/>
    <w:rsid w:val="25EE6137"/>
    <w:rsid w:val="25F2165A"/>
    <w:rsid w:val="261F4630"/>
    <w:rsid w:val="265A6D6B"/>
    <w:rsid w:val="266C4E27"/>
    <w:rsid w:val="266D2A2A"/>
    <w:rsid w:val="269F349E"/>
    <w:rsid w:val="26CB647D"/>
    <w:rsid w:val="26E31A2E"/>
    <w:rsid w:val="26FC5B3E"/>
    <w:rsid w:val="271B474C"/>
    <w:rsid w:val="272D447F"/>
    <w:rsid w:val="273852FE"/>
    <w:rsid w:val="27677991"/>
    <w:rsid w:val="27680ACF"/>
    <w:rsid w:val="278067FD"/>
    <w:rsid w:val="278376DA"/>
    <w:rsid w:val="27C941A8"/>
    <w:rsid w:val="282C063D"/>
    <w:rsid w:val="287C31BC"/>
    <w:rsid w:val="288C23E6"/>
    <w:rsid w:val="28A7329F"/>
    <w:rsid w:val="290F5DEA"/>
    <w:rsid w:val="2939710B"/>
    <w:rsid w:val="296011A0"/>
    <w:rsid w:val="29786B67"/>
    <w:rsid w:val="29C66496"/>
    <w:rsid w:val="29DF694B"/>
    <w:rsid w:val="29FA40BA"/>
    <w:rsid w:val="2A1E571F"/>
    <w:rsid w:val="2A2D67A5"/>
    <w:rsid w:val="2B1A3CE2"/>
    <w:rsid w:val="2B4C581C"/>
    <w:rsid w:val="2B7000D9"/>
    <w:rsid w:val="2B795DEE"/>
    <w:rsid w:val="2B820819"/>
    <w:rsid w:val="2B836A63"/>
    <w:rsid w:val="2BB05DAB"/>
    <w:rsid w:val="2C254566"/>
    <w:rsid w:val="2C2E653B"/>
    <w:rsid w:val="2C811244"/>
    <w:rsid w:val="2CB704EC"/>
    <w:rsid w:val="2CE22303"/>
    <w:rsid w:val="2CEF2903"/>
    <w:rsid w:val="2CFA6FE6"/>
    <w:rsid w:val="2D063205"/>
    <w:rsid w:val="2D255CEB"/>
    <w:rsid w:val="2D3348D2"/>
    <w:rsid w:val="2D46460C"/>
    <w:rsid w:val="2D5108D1"/>
    <w:rsid w:val="2D595FCE"/>
    <w:rsid w:val="2D702EAA"/>
    <w:rsid w:val="2D821828"/>
    <w:rsid w:val="2DA91423"/>
    <w:rsid w:val="2DED7622"/>
    <w:rsid w:val="2E14581F"/>
    <w:rsid w:val="2E3507E9"/>
    <w:rsid w:val="2E4D2CE2"/>
    <w:rsid w:val="2E9F5801"/>
    <w:rsid w:val="2EB47C79"/>
    <w:rsid w:val="2EBF24D5"/>
    <w:rsid w:val="2ECE3D80"/>
    <w:rsid w:val="2EF456CA"/>
    <w:rsid w:val="2EF97A69"/>
    <w:rsid w:val="2F02102C"/>
    <w:rsid w:val="2F133481"/>
    <w:rsid w:val="2F407445"/>
    <w:rsid w:val="2F5D5C7E"/>
    <w:rsid w:val="2FB217FE"/>
    <w:rsid w:val="2FE73D95"/>
    <w:rsid w:val="2FF14FCA"/>
    <w:rsid w:val="2FFC6F5A"/>
    <w:rsid w:val="30185CCC"/>
    <w:rsid w:val="30316D8E"/>
    <w:rsid w:val="3039495A"/>
    <w:rsid w:val="30812888"/>
    <w:rsid w:val="308F3525"/>
    <w:rsid w:val="30A84703"/>
    <w:rsid w:val="30B946EF"/>
    <w:rsid w:val="30CA3EF9"/>
    <w:rsid w:val="30D00355"/>
    <w:rsid w:val="30D23A1A"/>
    <w:rsid w:val="310444A3"/>
    <w:rsid w:val="3153529A"/>
    <w:rsid w:val="31666F0B"/>
    <w:rsid w:val="316B2857"/>
    <w:rsid w:val="31786FB5"/>
    <w:rsid w:val="31787188"/>
    <w:rsid w:val="31910F10"/>
    <w:rsid w:val="319C45C4"/>
    <w:rsid w:val="31E90B42"/>
    <w:rsid w:val="31F52C3B"/>
    <w:rsid w:val="31FB6704"/>
    <w:rsid w:val="32016318"/>
    <w:rsid w:val="32044820"/>
    <w:rsid w:val="329B4993"/>
    <w:rsid w:val="329E20E6"/>
    <w:rsid w:val="32A108E2"/>
    <w:rsid w:val="32A81D3F"/>
    <w:rsid w:val="32A93D72"/>
    <w:rsid w:val="330271C7"/>
    <w:rsid w:val="333472C1"/>
    <w:rsid w:val="336537DF"/>
    <w:rsid w:val="33667791"/>
    <w:rsid w:val="33960F87"/>
    <w:rsid w:val="33B91574"/>
    <w:rsid w:val="33E36F8C"/>
    <w:rsid w:val="341472E4"/>
    <w:rsid w:val="34266B59"/>
    <w:rsid w:val="342801E7"/>
    <w:rsid w:val="34286258"/>
    <w:rsid w:val="34381C89"/>
    <w:rsid w:val="3473581A"/>
    <w:rsid w:val="34A12E66"/>
    <w:rsid w:val="34D35845"/>
    <w:rsid w:val="34DF325D"/>
    <w:rsid w:val="34EE7695"/>
    <w:rsid w:val="34F60C6A"/>
    <w:rsid w:val="35094DA0"/>
    <w:rsid w:val="35283BF5"/>
    <w:rsid w:val="35337112"/>
    <w:rsid w:val="354B08F2"/>
    <w:rsid w:val="355B542F"/>
    <w:rsid w:val="35963C3F"/>
    <w:rsid w:val="35B871B1"/>
    <w:rsid w:val="35E75F37"/>
    <w:rsid w:val="36140218"/>
    <w:rsid w:val="36141FFF"/>
    <w:rsid w:val="3629574F"/>
    <w:rsid w:val="362D1DA6"/>
    <w:rsid w:val="36574AAD"/>
    <w:rsid w:val="367B7BB2"/>
    <w:rsid w:val="36941E25"/>
    <w:rsid w:val="36B83D65"/>
    <w:rsid w:val="370228F1"/>
    <w:rsid w:val="372B2789"/>
    <w:rsid w:val="37685806"/>
    <w:rsid w:val="38044D88"/>
    <w:rsid w:val="38696846"/>
    <w:rsid w:val="386F48F8"/>
    <w:rsid w:val="38BE6799"/>
    <w:rsid w:val="38DF1D15"/>
    <w:rsid w:val="38E4144E"/>
    <w:rsid w:val="390879DB"/>
    <w:rsid w:val="390A5A53"/>
    <w:rsid w:val="391110DA"/>
    <w:rsid w:val="394915ED"/>
    <w:rsid w:val="396C5F22"/>
    <w:rsid w:val="399E69A8"/>
    <w:rsid w:val="39CA6372"/>
    <w:rsid w:val="39ED01CA"/>
    <w:rsid w:val="3A1D7D60"/>
    <w:rsid w:val="3A2F0373"/>
    <w:rsid w:val="3A591371"/>
    <w:rsid w:val="3A830B2E"/>
    <w:rsid w:val="3A944AE9"/>
    <w:rsid w:val="3ADE3FB6"/>
    <w:rsid w:val="3AE710BD"/>
    <w:rsid w:val="3B0C6484"/>
    <w:rsid w:val="3B156E2B"/>
    <w:rsid w:val="3B26412F"/>
    <w:rsid w:val="3B31760D"/>
    <w:rsid w:val="3B733902"/>
    <w:rsid w:val="3B875714"/>
    <w:rsid w:val="3B9A2CC7"/>
    <w:rsid w:val="3BB56AC5"/>
    <w:rsid w:val="3BC30B24"/>
    <w:rsid w:val="3BCC2061"/>
    <w:rsid w:val="3BCD453E"/>
    <w:rsid w:val="3BDA7629"/>
    <w:rsid w:val="3BDB05F6"/>
    <w:rsid w:val="3BE86E9B"/>
    <w:rsid w:val="3BF333EF"/>
    <w:rsid w:val="3C3F0A85"/>
    <w:rsid w:val="3C547ECE"/>
    <w:rsid w:val="3CA93FB6"/>
    <w:rsid w:val="3CD967E3"/>
    <w:rsid w:val="3CDA4B07"/>
    <w:rsid w:val="3CEA1D9B"/>
    <w:rsid w:val="3D232EE8"/>
    <w:rsid w:val="3D286414"/>
    <w:rsid w:val="3D850719"/>
    <w:rsid w:val="3DB64D77"/>
    <w:rsid w:val="3DB654F6"/>
    <w:rsid w:val="3DC75867"/>
    <w:rsid w:val="3DD4607C"/>
    <w:rsid w:val="3DF31B27"/>
    <w:rsid w:val="3E0E4BB3"/>
    <w:rsid w:val="3E43485C"/>
    <w:rsid w:val="3E595E2E"/>
    <w:rsid w:val="3E5D7056"/>
    <w:rsid w:val="3E7D275D"/>
    <w:rsid w:val="3E9F0FD0"/>
    <w:rsid w:val="3EA63FCC"/>
    <w:rsid w:val="3F200948"/>
    <w:rsid w:val="3F43524F"/>
    <w:rsid w:val="3F4D34B9"/>
    <w:rsid w:val="3FA772C8"/>
    <w:rsid w:val="3FB228C3"/>
    <w:rsid w:val="3FC42BDE"/>
    <w:rsid w:val="3FCA6717"/>
    <w:rsid w:val="3FE61D84"/>
    <w:rsid w:val="3FF428EA"/>
    <w:rsid w:val="40494752"/>
    <w:rsid w:val="40526337"/>
    <w:rsid w:val="405F060C"/>
    <w:rsid w:val="407C3A33"/>
    <w:rsid w:val="407E33F2"/>
    <w:rsid w:val="40E35E83"/>
    <w:rsid w:val="40E36632"/>
    <w:rsid w:val="414C1F5D"/>
    <w:rsid w:val="41517290"/>
    <w:rsid w:val="41601281"/>
    <w:rsid w:val="41651358"/>
    <w:rsid w:val="41787C0A"/>
    <w:rsid w:val="41E87B73"/>
    <w:rsid w:val="422A58D3"/>
    <w:rsid w:val="42307D25"/>
    <w:rsid w:val="42480F09"/>
    <w:rsid w:val="426F3144"/>
    <w:rsid w:val="42853313"/>
    <w:rsid w:val="42874884"/>
    <w:rsid w:val="429B2728"/>
    <w:rsid w:val="43014CE6"/>
    <w:rsid w:val="43062B1F"/>
    <w:rsid w:val="432E576D"/>
    <w:rsid w:val="43362BE2"/>
    <w:rsid w:val="43754D8C"/>
    <w:rsid w:val="43BB5AB5"/>
    <w:rsid w:val="43E40498"/>
    <w:rsid w:val="4427077C"/>
    <w:rsid w:val="446B5C29"/>
    <w:rsid w:val="44712228"/>
    <w:rsid w:val="44B81331"/>
    <w:rsid w:val="44D73812"/>
    <w:rsid w:val="44DD798E"/>
    <w:rsid w:val="44EE67B0"/>
    <w:rsid w:val="44F77990"/>
    <w:rsid w:val="4515768F"/>
    <w:rsid w:val="453F5652"/>
    <w:rsid w:val="45675923"/>
    <w:rsid w:val="45860256"/>
    <w:rsid w:val="45AE6EDE"/>
    <w:rsid w:val="45C15DB1"/>
    <w:rsid w:val="45EC0CF9"/>
    <w:rsid w:val="46093173"/>
    <w:rsid w:val="465C1D22"/>
    <w:rsid w:val="4665733A"/>
    <w:rsid w:val="469C7EE7"/>
    <w:rsid w:val="46E43082"/>
    <w:rsid w:val="474358CD"/>
    <w:rsid w:val="47746CE0"/>
    <w:rsid w:val="479A4981"/>
    <w:rsid w:val="47A974A7"/>
    <w:rsid w:val="47D60594"/>
    <w:rsid w:val="47DD7AD0"/>
    <w:rsid w:val="48021E26"/>
    <w:rsid w:val="48036E0A"/>
    <w:rsid w:val="480721AA"/>
    <w:rsid w:val="482C45B3"/>
    <w:rsid w:val="48335C8C"/>
    <w:rsid w:val="48363538"/>
    <w:rsid w:val="484D62D8"/>
    <w:rsid w:val="486E7D92"/>
    <w:rsid w:val="48B03770"/>
    <w:rsid w:val="48B23A1F"/>
    <w:rsid w:val="48C05D3B"/>
    <w:rsid w:val="48C15438"/>
    <w:rsid w:val="48D013E2"/>
    <w:rsid w:val="48E704DA"/>
    <w:rsid w:val="48FA3B17"/>
    <w:rsid w:val="49182BAA"/>
    <w:rsid w:val="492F3277"/>
    <w:rsid w:val="4A267C9E"/>
    <w:rsid w:val="4A2A75AB"/>
    <w:rsid w:val="4A2C3436"/>
    <w:rsid w:val="4A8759F1"/>
    <w:rsid w:val="4AC62A9D"/>
    <w:rsid w:val="4AD720AC"/>
    <w:rsid w:val="4B0B761F"/>
    <w:rsid w:val="4B27210C"/>
    <w:rsid w:val="4B9B36B1"/>
    <w:rsid w:val="4C2777BA"/>
    <w:rsid w:val="4C61601B"/>
    <w:rsid w:val="4C862913"/>
    <w:rsid w:val="4CA74208"/>
    <w:rsid w:val="4CF60CEC"/>
    <w:rsid w:val="4D0A29E9"/>
    <w:rsid w:val="4D156257"/>
    <w:rsid w:val="4D4F5925"/>
    <w:rsid w:val="4D695962"/>
    <w:rsid w:val="4D720CBA"/>
    <w:rsid w:val="4D7A756F"/>
    <w:rsid w:val="4D7B3F7A"/>
    <w:rsid w:val="4D8823F8"/>
    <w:rsid w:val="4DB64580"/>
    <w:rsid w:val="4DF8190E"/>
    <w:rsid w:val="4E047438"/>
    <w:rsid w:val="4E233D62"/>
    <w:rsid w:val="4EA1119F"/>
    <w:rsid w:val="4F0A09C7"/>
    <w:rsid w:val="4F1157F9"/>
    <w:rsid w:val="4F22226C"/>
    <w:rsid w:val="4F482248"/>
    <w:rsid w:val="4F756840"/>
    <w:rsid w:val="4F887A0E"/>
    <w:rsid w:val="4FA756B6"/>
    <w:rsid w:val="4FE01427"/>
    <w:rsid w:val="4FF516EF"/>
    <w:rsid w:val="4FF9121F"/>
    <w:rsid w:val="501F39A2"/>
    <w:rsid w:val="50423B16"/>
    <w:rsid w:val="509979CE"/>
    <w:rsid w:val="50A11A3C"/>
    <w:rsid w:val="50A15412"/>
    <w:rsid w:val="50B03D7C"/>
    <w:rsid w:val="50D15AB2"/>
    <w:rsid w:val="512907E7"/>
    <w:rsid w:val="51937FC5"/>
    <w:rsid w:val="51BC2EC0"/>
    <w:rsid w:val="51DF176C"/>
    <w:rsid w:val="520C27FA"/>
    <w:rsid w:val="52195BA8"/>
    <w:rsid w:val="52277CCC"/>
    <w:rsid w:val="522B768A"/>
    <w:rsid w:val="5232077C"/>
    <w:rsid w:val="52793D86"/>
    <w:rsid w:val="527F71EC"/>
    <w:rsid w:val="528A6435"/>
    <w:rsid w:val="52D70E9F"/>
    <w:rsid w:val="52EC674D"/>
    <w:rsid w:val="52FC5A6A"/>
    <w:rsid w:val="5314011E"/>
    <w:rsid w:val="531B2126"/>
    <w:rsid w:val="532C5467"/>
    <w:rsid w:val="53483B1C"/>
    <w:rsid w:val="53602685"/>
    <w:rsid w:val="53BC2C8F"/>
    <w:rsid w:val="54101248"/>
    <w:rsid w:val="54143C53"/>
    <w:rsid w:val="543C1E9B"/>
    <w:rsid w:val="548A07B1"/>
    <w:rsid w:val="54F50DA3"/>
    <w:rsid w:val="55076D82"/>
    <w:rsid w:val="55171D5C"/>
    <w:rsid w:val="55346855"/>
    <w:rsid w:val="553F3100"/>
    <w:rsid w:val="555111B5"/>
    <w:rsid w:val="555313D1"/>
    <w:rsid w:val="55913CA7"/>
    <w:rsid w:val="5602464C"/>
    <w:rsid w:val="564715EF"/>
    <w:rsid w:val="56AB2A55"/>
    <w:rsid w:val="56B25963"/>
    <w:rsid w:val="56D93FC7"/>
    <w:rsid w:val="56F80818"/>
    <w:rsid w:val="571D16B9"/>
    <w:rsid w:val="57253512"/>
    <w:rsid w:val="572D2FE2"/>
    <w:rsid w:val="57365C7F"/>
    <w:rsid w:val="573963A5"/>
    <w:rsid w:val="57830B6F"/>
    <w:rsid w:val="580A7D41"/>
    <w:rsid w:val="580D5193"/>
    <w:rsid w:val="58183FEB"/>
    <w:rsid w:val="581919A0"/>
    <w:rsid w:val="58362236"/>
    <w:rsid w:val="584B2834"/>
    <w:rsid w:val="584C0301"/>
    <w:rsid w:val="586C58ED"/>
    <w:rsid w:val="5874220B"/>
    <w:rsid w:val="588F6DDA"/>
    <w:rsid w:val="59625A39"/>
    <w:rsid w:val="59815DE1"/>
    <w:rsid w:val="598650AE"/>
    <w:rsid w:val="59A03824"/>
    <w:rsid w:val="59A5470E"/>
    <w:rsid w:val="59B601FD"/>
    <w:rsid w:val="59BA3AAC"/>
    <w:rsid w:val="59E441CB"/>
    <w:rsid w:val="5A1210F3"/>
    <w:rsid w:val="5A442520"/>
    <w:rsid w:val="5A5271A1"/>
    <w:rsid w:val="5AAA1811"/>
    <w:rsid w:val="5AB52C6E"/>
    <w:rsid w:val="5AC10E1C"/>
    <w:rsid w:val="5AC661A1"/>
    <w:rsid w:val="5AEC0A8A"/>
    <w:rsid w:val="5AFE4EB3"/>
    <w:rsid w:val="5B063AC6"/>
    <w:rsid w:val="5B0F6FF4"/>
    <w:rsid w:val="5B10171C"/>
    <w:rsid w:val="5B361912"/>
    <w:rsid w:val="5B506723"/>
    <w:rsid w:val="5B543902"/>
    <w:rsid w:val="5B681D6B"/>
    <w:rsid w:val="5B7D3E40"/>
    <w:rsid w:val="5B887E94"/>
    <w:rsid w:val="5B8A3673"/>
    <w:rsid w:val="5BA65FD3"/>
    <w:rsid w:val="5BB55C5E"/>
    <w:rsid w:val="5BE33ACE"/>
    <w:rsid w:val="5C543AEA"/>
    <w:rsid w:val="5C552C68"/>
    <w:rsid w:val="5C6A049B"/>
    <w:rsid w:val="5C6C6E3F"/>
    <w:rsid w:val="5C7A1C93"/>
    <w:rsid w:val="5C8B3F4C"/>
    <w:rsid w:val="5C8E20ED"/>
    <w:rsid w:val="5C9347A9"/>
    <w:rsid w:val="5CB746A9"/>
    <w:rsid w:val="5CC6692D"/>
    <w:rsid w:val="5CCC4B93"/>
    <w:rsid w:val="5D59288B"/>
    <w:rsid w:val="5D6B74D4"/>
    <w:rsid w:val="5D6C33C8"/>
    <w:rsid w:val="5D845B7D"/>
    <w:rsid w:val="5D8764A9"/>
    <w:rsid w:val="5D8B36A8"/>
    <w:rsid w:val="5D8B53EF"/>
    <w:rsid w:val="5D8E167E"/>
    <w:rsid w:val="5D990F9E"/>
    <w:rsid w:val="5DDF6E34"/>
    <w:rsid w:val="5E1C4706"/>
    <w:rsid w:val="5E3C5C66"/>
    <w:rsid w:val="5E3D7FF6"/>
    <w:rsid w:val="5E6B43CE"/>
    <w:rsid w:val="5E93037B"/>
    <w:rsid w:val="5E955921"/>
    <w:rsid w:val="5EB0507F"/>
    <w:rsid w:val="5F2471B1"/>
    <w:rsid w:val="5F3A3851"/>
    <w:rsid w:val="5F5E3152"/>
    <w:rsid w:val="5F70593F"/>
    <w:rsid w:val="5F752D64"/>
    <w:rsid w:val="5F86485D"/>
    <w:rsid w:val="5F902E28"/>
    <w:rsid w:val="5FB24F46"/>
    <w:rsid w:val="5FF137C3"/>
    <w:rsid w:val="5FF1695C"/>
    <w:rsid w:val="5FF63309"/>
    <w:rsid w:val="60280504"/>
    <w:rsid w:val="603D6943"/>
    <w:rsid w:val="60504934"/>
    <w:rsid w:val="60545385"/>
    <w:rsid w:val="605D0D70"/>
    <w:rsid w:val="606F719F"/>
    <w:rsid w:val="609948FD"/>
    <w:rsid w:val="60A76A75"/>
    <w:rsid w:val="60A95153"/>
    <w:rsid w:val="60E47381"/>
    <w:rsid w:val="60F46CDD"/>
    <w:rsid w:val="612178F6"/>
    <w:rsid w:val="61406582"/>
    <w:rsid w:val="624520A2"/>
    <w:rsid w:val="627157E9"/>
    <w:rsid w:val="627477E0"/>
    <w:rsid w:val="6286607D"/>
    <w:rsid w:val="634A6E14"/>
    <w:rsid w:val="637F15E3"/>
    <w:rsid w:val="638B7BC9"/>
    <w:rsid w:val="63ED78CC"/>
    <w:rsid w:val="642D0F3E"/>
    <w:rsid w:val="645C18C6"/>
    <w:rsid w:val="64923598"/>
    <w:rsid w:val="64A4247C"/>
    <w:rsid w:val="64AD2180"/>
    <w:rsid w:val="64B05DD1"/>
    <w:rsid w:val="64CA2A17"/>
    <w:rsid w:val="64F63B27"/>
    <w:rsid w:val="64FE1036"/>
    <w:rsid w:val="65113350"/>
    <w:rsid w:val="651A1369"/>
    <w:rsid w:val="6525599C"/>
    <w:rsid w:val="65B03CD6"/>
    <w:rsid w:val="65E46075"/>
    <w:rsid w:val="663F04A7"/>
    <w:rsid w:val="66486604"/>
    <w:rsid w:val="665A459D"/>
    <w:rsid w:val="66B67BAE"/>
    <w:rsid w:val="66D01EB3"/>
    <w:rsid w:val="66F5774D"/>
    <w:rsid w:val="66FC3964"/>
    <w:rsid w:val="670622C6"/>
    <w:rsid w:val="6721116E"/>
    <w:rsid w:val="67403522"/>
    <w:rsid w:val="675016E5"/>
    <w:rsid w:val="676F03C9"/>
    <w:rsid w:val="67A16835"/>
    <w:rsid w:val="67C214DC"/>
    <w:rsid w:val="67ED19DC"/>
    <w:rsid w:val="68020397"/>
    <w:rsid w:val="682F57F0"/>
    <w:rsid w:val="6833299C"/>
    <w:rsid w:val="68727968"/>
    <w:rsid w:val="68851F5E"/>
    <w:rsid w:val="68910117"/>
    <w:rsid w:val="68AD6BF3"/>
    <w:rsid w:val="68B47203"/>
    <w:rsid w:val="68CC1FC0"/>
    <w:rsid w:val="69054137"/>
    <w:rsid w:val="69212F02"/>
    <w:rsid w:val="693D0CE5"/>
    <w:rsid w:val="694110E9"/>
    <w:rsid w:val="69881CB2"/>
    <w:rsid w:val="698C4022"/>
    <w:rsid w:val="69A14E6A"/>
    <w:rsid w:val="69D07B2E"/>
    <w:rsid w:val="69D41EA7"/>
    <w:rsid w:val="69FC554A"/>
    <w:rsid w:val="69FD6F56"/>
    <w:rsid w:val="6A700A09"/>
    <w:rsid w:val="6A7C4ACE"/>
    <w:rsid w:val="6A7F7FCA"/>
    <w:rsid w:val="6A9777FE"/>
    <w:rsid w:val="6AC124E1"/>
    <w:rsid w:val="6AC65383"/>
    <w:rsid w:val="6AF17BF0"/>
    <w:rsid w:val="6B32518D"/>
    <w:rsid w:val="6B625A72"/>
    <w:rsid w:val="6B7439F8"/>
    <w:rsid w:val="6BA31C16"/>
    <w:rsid w:val="6BB81D18"/>
    <w:rsid w:val="6BFB1165"/>
    <w:rsid w:val="6C1728EB"/>
    <w:rsid w:val="6C904861"/>
    <w:rsid w:val="6C961DE4"/>
    <w:rsid w:val="6CA43E42"/>
    <w:rsid w:val="6CDD57EB"/>
    <w:rsid w:val="6CDE10A7"/>
    <w:rsid w:val="6CFC43B3"/>
    <w:rsid w:val="6D1A69AC"/>
    <w:rsid w:val="6D43791B"/>
    <w:rsid w:val="6D463172"/>
    <w:rsid w:val="6D4E7F32"/>
    <w:rsid w:val="6D5E0A9C"/>
    <w:rsid w:val="6D6F3B3D"/>
    <w:rsid w:val="6DAF06A6"/>
    <w:rsid w:val="6DB52395"/>
    <w:rsid w:val="6DDB1B0C"/>
    <w:rsid w:val="6DEC3D19"/>
    <w:rsid w:val="6DF25317"/>
    <w:rsid w:val="6DFB51EC"/>
    <w:rsid w:val="6E150742"/>
    <w:rsid w:val="6E5659EA"/>
    <w:rsid w:val="6E873A42"/>
    <w:rsid w:val="6E91222A"/>
    <w:rsid w:val="6E950D94"/>
    <w:rsid w:val="6E970129"/>
    <w:rsid w:val="6EA36ACE"/>
    <w:rsid w:val="6F022914"/>
    <w:rsid w:val="6F6F69B0"/>
    <w:rsid w:val="6F8D5088"/>
    <w:rsid w:val="6FB62831"/>
    <w:rsid w:val="6FC54822"/>
    <w:rsid w:val="6FF31751"/>
    <w:rsid w:val="6FFB7A67"/>
    <w:rsid w:val="705D0EFE"/>
    <w:rsid w:val="70926DFA"/>
    <w:rsid w:val="70A15FD3"/>
    <w:rsid w:val="70BE5BA0"/>
    <w:rsid w:val="70CE1FF7"/>
    <w:rsid w:val="710931E3"/>
    <w:rsid w:val="71304E3D"/>
    <w:rsid w:val="71327344"/>
    <w:rsid w:val="71843450"/>
    <w:rsid w:val="71A3506A"/>
    <w:rsid w:val="71B40E6D"/>
    <w:rsid w:val="71BE4EBB"/>
    <w:rsid w:val="71C25405"/>
    <w:rsid w:val="71F92894"/>
    <w:rsid w:val="723369A3"/>
    <w:rsid w:val="727013BA"/>
    <w:rsid w:val="72A715B1"/>
    <w:rsid w:val="72C25C7F"/>
    <w:rsid w:val="72D440E1"/>
    <w:rsid w:val="73200FCB"/>
    <w:rsid w:val="733F36FC"/>
    <w:rsid w:val="73516178"/>
    <w:rsid w:val="7394082F"/>
    <w:rsid w:val="739C1D3D"/>
    <w:rsid w:val="73C01BC0"/>
    <w:rsid w:val="73DA4614"/>
    <w:rsid w:val="740B5A70"/>
    <w:rsid w:val="74A477F1"/>
    <w:rsid w:val="74AF2C86"/>
    <w:rsid w:val="74BF461B"/>
    <w:rsid w:val="74C4779E"/>
    <w:rsid w:val="74DF299D"/>
    <w:rsid w:val="74E13391"/>
    <w:rsid w:val="750202C6"/>
    <w:rsid w:val="754E7067"/>
    <w:rsid w:val="75A373B3"/>
    <w:rsid w:val="75AB4B6F"/>
    <w:rsid w:val="75B21A0F"/>
    <w:rsid w:val="75D06039"/>
    <w:rsid w:val="75F21E91"/>
    <w:rsid w:val="76EC2FDC"/>
    <w:rsid w:val="76FC514B"/>
    <w:rsid w:val="77056A0B"/>
    <w:rsid w:val="77664B3C"/>
    <w:rsid w:val="776B2153"/>
    <w:rsid w:val="77725A00"/>
    <w:rsid w:val="777A67F2"/>
    <w:rsid w:val="77C9359C"/>
    <w:rsid w:val="77D01D36"/>
    <w:rsid w:val="77D9068D"/>
    <w:rsid w:val="77E15F71"/>
    <w:rsid w:val="780C7BCC"/>
    <w:rsid w:val="782151C7"/>
    <w:rsid w:val="783A55A4"/>
    <w:rsid w:val="78570929"/>
    <w:rsid w:val="785B4B98"/>
    <w:rsid w:val="78711AE8"/>
    <w:rsid w:val="78AA0A59"/>
    <w:rsid w:val="78AF606F"/>
    <w:rsid w:val="79050385"/>
    <w:rsid w:val="79206F6D"/>
    <w:rsid w:val="7950085E"/>
    <w:rsid w:val="79A436FA"/>
    <w:rsid w:val="79C33C2A"/>
    <w:rsid w:val="79CF3AA3"/>
    <w:rsid w:val="79FC1EB8"/>
    <w:rsid w:val="7A134A46"/>
    <w:rsid w:val="7A2C3573"/>
    <w:rsid w:val="7A4D1FE3"/>
    <w:rsid w:val="7A594EB2"/>
    <w:rsid w:val="7AB7457E"/>
    <w:rsid w:val="7AD973D3"/>
    <w:rsid w:val="7B3A610B"/>
    <w:rsid w:val="7B5B6E3A"/>
    <w:rsid w:val="7BA774D1"/>
    <w:rsid w:val="7C0E1CE4"/>
    <w:rsid w:val="7C6F49AC"/>
    <w:rsid w:val="7CAF4890"/>
    <w:rsid w:val="7CB72B29"/>
    <w:rsid w:val="7CE16321"/>
    <w:rsid w:val="7CE9727D"/>
    <w:rsid w:val="7CF93D5D"/>
    <w:rsid w:val="7D000294"/>
    <w:rsid w:val="7D14781B"/>
    <w:rsid w:val="7D1E385C"/>
    <w:rsid w:val="7D3E6719"/>
    <w:rsid w:val="7D4F18B9"/>
    <w:rsid w:val="7D626460"/>
    <w:rsid w:val="7D7300DB"/>
    <w:rsid w:val="7DB44910"/>
    <w:rsid w:val="7DD50326"/>
    <w:rsid w:val="7DDE1E87"/>
    <w:rsid w:val="7DF55C05"/>
    <w:rsid w:val="7E160389"/>
    <w:rsid w:val="7E550A81"/>
    <w:rsid w:val="7E7A09F8"/>
    <w:rsid w:val="7ED02D9C"/>
    <w:rsid w:val="7F712A18"/>
    <w:rsid w:val="7F8B3C30"/>
    <w:rsid w:val="7F914E39"/>
    <w:rsid w:val="7FDC1E3F"/>
    <w:rsid w:val="7FEB76EA"/>
    <w:rsid w:val="7FF04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3">
    <w:name w:val="heading 1"/>
    <w:basedOn w:val="1"/>
    <w:next w:val="1"/>
    <w:link w:val="58"/>
    <w:qFormat/>
    <w:uiPriority w:val="0"/>
    <w:pPr>
      <w:keepNext/>
      <w:keepLines/>
      <w:spacing w:line="600" w:lineRule="exact"/>
      <w:jc w:val="center"/>
      <w:outlineLvl w:val="0"/>
    </w:pPr>
    <w:rPr>
      <w:rFonts w:ascii="Times New Roman" w:hAnsi="Times New Roman" w:eastAsia="宋体"/>
      <w:b/>
      <w:bCs/>
      <w:kern w:val="44"/>
      <w:sz w:val="32"/>
      <w:szCs w:val="44"/>
    </w:rPr>
  </w:style>
  <w:style w:type="paragraph" w:styleId="4">
    <w:name w:val="heading 2"/>
    <w:basedOn w:val="1"/>
    <w:next w:val="1"/>
    <w:link w:val="27"/>
    <w:qFormat/>
    <w:uiPriority w:val="0"/>
    <w:pPr>
      <w:keepNext/>
      <w:keepLines/>
      <w:numPr>
        <w:ilvl w:val="1"/>
        <w:numId w:val="1"/>
      </w:numPr>
      <w:spacing w:line="440" w:lineRule="exact"/>
      <w:ind w:left="0"/>
      <w:jc w:val="left"/>
      <w:outlineLvl w:val="1"/>
    </w:pPr>
    <w:rPr>
      <w:rFonts w:ascii="Arial" w:hAnsi="Arial" w:eastAsia="黑体" w:cs="宋体"/>
      <w:b/>
      <w:bCs/>
      <w:sz w:val="24"/>
      <w:szCs w:val="32"/>
    </w:rPr>
  </w:style>
  <w:style w:type="paragraph" w:styleId="5">
    <w:name w:val="heading 3"/>
    <w:basedOn w:val="1"/>
    <w:next w:val="1"/>
    <w:autoRedefine/>
    <w:qFormat/>
    <w:uiPriority w:val="9"/>
    <w:pPr>
      <w:keepNext/>
      <w:keepLines/>
      <w:numPr>
        <w:ilvl w:val="0"/>
        <w:numId w:val="2"/>
      </w:numPr>
      <w:spacing w:before="0" w:after="0" w:line="360" w:lineRule="auto"/>
      <w:ind w:firstLine="800" w:firstLineChars="200"/>
      <w:outlineLvl w:val="2"/>
    </w:pPr>
    <w:rPr>
      <w:b/>
      <w:bCs/>
      <w:szCs w:val="32"/>
    </w:rPr>
  </w:style>
  <w:style w:type="paragraph" w:styleId="6">
    <w:name w:val="heading 4"/>
    <w:basedOn w:val="1"/>
    <w:next w:val="1"/>
    <w:semiHidden/>
    <w:unhideWhenUsed/>
    <w:qFormat/>
    <w:uiPriority w:val="0"/>
    <w:pPr>
      <w:widowControl/>
      <w:numPr>
        <w:ilvl w:val="3"/>
        <w:numId w:val="3"/>
      </w:numPr>
      <w:tabs>
        <w:tab w:val="left" w:pos="0"/>
      </w:tabs>
      <w:spacing w:line="440" w:lineRule="exact"/>
      <w:jc w:val="left"/>
      <w:outlineLvl w:val="3"/>
    </w:pPr>
    <w:rPr>
      <w:rFonts w:ascii="宋体" w:hAnsi="宋体" w:cs="宋体"/>
      <w:b/>
      <w:bCs/>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1"/>
    <w:qFormat/>
    <w:uiPriority w:val="0"/>
    <w:pPr>
      <w:widowControl w:val="0"/>
      <w:spacing w:line="324" w:lineRule="auto"/>
      <w:jc w:val="both"/>
    </w:pPr>
    <w:rPr>
      <w:rFonts w:ascii="宋体" w:hAnsi="Courier New" w:eastAsia="仿宋_GB2312" w:cs="Times New Roman"/>
      <w:kern w:val="2"/>
      <w:sz w:val="24"/>
      <w:lang w:val="en-US" w:eastAsia="zh-CN" w:bidi="ar-SA"/>
    </w:rPr>
  </w:style>
  <w:style w:type="paragraph" w:styleId="8">
    <w:name w:val="Normal Indent"/>
    <w:basedOn w:val="1"/>
    <w:next w:val="9"/>
    <w:autoRedefine/>
    <w:qFormat/>
    <w:uiPriority w:val="0"/>
    <w:pPr>
      <w:widowControl/>
      <w:adjustRightInd w:val="0"/>
      <w:snapToGrid w:val="0"/>
      <w:spacing w:line="480" w:lineRule="exact"/>
      <w:ind w:firstLine="567"/>
      <w:jc w:val="both"/>
    </w:pPr>
    <w:rPr>
      <w:rFonts w:ascii="宋体" w:hAnsi="Courier New" w:eastAsia="宋体" w:cs="Times New Roman"/>
      <w:kern w:val="2"/>
      <w:sz w:val="21"/>
      <w:lang w:val="en-US" w:eastAsia="zh-CN" w:bidi="ar-SA"/>
    </w:rPr>
  </w:style>
  <w:style w:type="paragraph" w:styleId="9">
    <w:name w:val="Body Text Indent"/>
    <w:basedOn w:val="1"/>
    <w:next w:val="8"/>
    <w:autoRedefine/>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10">
    <w:name w:val="Body Text"/>
    <w:basedOn w:val="1"/>
    <w:qFormat/>
    <w:uiPriority w:val="0"/>
    <w:pPr>
      <w:widowControl w:val="0"/>
      <w:spacing w:after="120"/>
      <w:jc w:val="both"/>
    </w:pPr>
    <w:rPr>
      <w:rFonts w:ascii="Calibri" w:hAnsi="Calibri" w:eastAsia="宋体" w:cs="Times New Roman"/>
      <w:kern w:val="2"/>
      <w:sz w:val="28"/>
      <w:szCs w:val="24"/>
      <w:lang w:val="en-US" w:eastAsia="zh-CN" w:bidi="ar-SA"/>
    </w:rPr>
  </w:style>
  <w:style w:type="paragraph" w:styleId="11">
    <w:name w:val="index 4"/>
    <w:basedOn w:val="1"/>
    <w:next w:val="1"/>
    <w:autoRedefine/>
    <w:qFormat/>
    <w:uiPriority w:val="0"/>
    <w:pPr>
      <w:ind w:left="600" w:leftChars="600"/>
    </w:pPr>
  </w:style>
  <w:style w:type="paragraph" w:styleId="12">
    <w:name w:val="Body Text Indent 2"/>
    <w:basedOn w:val="1"/>
    <w:next w:val="13"/>
    <w:qFormat/>
    <w:uiPriority w:val="0"/>
    <w:pPr>
      <w:snapToGrid w:val="0"/>
      <w:ind w:firstLine="542" w:firstLineChars="225"/>
    </w:pPr>
    <w:rPr>
      <w:rFonts w:ascii="仿宋_GB2312" w:hAnsi="宋体" w:cs="Arial"/>
      <w:b/>
      <w:bCs/>
      <w:color w:val="000000"/>
      <w:sz w:val="24"/>
    </w:rPr>
  </w:style>
  <w:style w:type="paragraph" w:styleId="13">
    <w:name w:val="toc 1"/>
    <w:basedOn w:val="1"/>
    <w:next w:val="1"/>
    <w:qFormat/>
    <w:uiPriority w:val="0"/>
    <w:pPr>
      <w:widowControl w:val="0"/>
      <w:spacing w:line="324" w:lineRule="auto"/>
      <w:jc w:val="both"/>
    </w:pPr>
    <w:rPr>
      <w:rFonts w:ascii="Times New Roman" w:hAnsi="Times New Roman" w:eastAsia="仿宋_GB2312" w:cs="Times New Roman"/>
      <w:kern w:val="2"/>
      <w:sz w:val="24"/>
      <w:lang w:val="en-US" w:eastAsia="zh-CN" w:bidi="ar-SA"/>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6"/>
    <w:basedOn w:val="1"/>
    <w:next w:val="1"/>
    <w:qFormat/>
    <w:uiPriority w:val="0"/>
    <w:pPr>
      <w:ind w:left="2100" w:leftChars="1000"/>
    </w:pPr>
    <w:rPr>
      <w:rFonts w:ascii="Calibri" w:hAnsi="Calibri" w:eastAsia="宋体" w:cs="Times New Roman"/>
      <w:szCs w:val="22"/>
    </w:rPr>
  </w:style>
  <w:style w:type="paragraph" w:styleId="17">
    <w:name w:val="Body Text Indent 3"/>
    <w:qFormat/>
    <w:uiPriority w:val="0"/>
    <w:pPr>
      <w:widowControl w:val="0"/>
      <w:snapToGrid w:val="0"/>
      <w:ind w:firstLine="480" w:firstLineChars="200"/>
    </w:pPr>
    <w:rPr>
      <w:rFonts w:ascii="仿宋_GB2312" w:hAnsi="宋体" w:eastAsia="仿宋_GB2312" w:cs="Times New Roman"/>
      <w:color w:val="000000"/>
      <w:kern w:val="2"/>
      <w:sz w:val="24"/>
      <w:szCs w:val="24"/>
      <w:lang w:val="en-US" w:eastAsia="zh-CN" w:bidi="ar-SA"/>
    </w:rPr>
  </w:style>
  <w:style w:type="paragraph" w:styleId="18">
    <w:name w:val="toc 2"/>
    <w:basedOn w:val="1"/>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autoRedefine/>
    <w:qFormat/>
    <w:uiPriority w:val="1"/>
    <w:pPr>
      <w:contextualSpacing/>
    </w:pPr>
    <w:rPr>
      <w:rFonts w:ascii="Cambria" w:hAnsi="Cambria" w:eastAsia="宋体" w:cs="Times New Roman"/>
      <w:sz w:val="56"/>
      <w:szCs w:val="56"/>
    </w:rPr>
  </w:style>
  <w:style w:type="paragraph" w:styleId="21">
    <w:name w:val="Body Text First Indent"/>
    <w:basedOn w:val="10"/>
    <w:next w:val="1"/>
    <w:qFormat/>
    <w:uiPriority w:val="0"/>
    <w:pPr>
      <w:widowControl w:val="0"/>
      <w:autoSpaceDE w:val="0"/>
      <w:autoSpaceDN w:val="0"/>
      <w:adjustRightInd w:val="0"/>
      <w:spacing w:after="120"/>
      <w:ind w:firstLine="420" w:firstLineChars="100"/>
      <w:jc w:val="both"/>
      <w:textAlignment w:val="baseline"/>
    </w:pPr>
    <w:rPr>
      <w:rFonts w:ascii="Calibri" w:hAnsi="Calibri" w:eastAsia="宋体" w:cs="Times New Roman"/>
      <w:kern w:val="2"/>
      <w:sz w:val="24"/>
      <w:szCs w:val="20"/>
      <w:lang w:val="en-US" w:eastAsia="zh-CN" w:bidi="ar-SA"/>
    </w:rPr>
  </w:style>
  <w:style w:type="paragraph" w:styleId="22">
    <w:name w:val="Body Text First Indent 2"/>
    <w:basedOn w:val="9"/>
    <w:qFormat/>
    <w:uiPriority w:val="0"/>
    <w:pPr>
      <w:widowControl w:val="0"/>
      <w:autoSpaceDE w:val="0"/>
      <w:autoSpaceDN w:val="0"/>
      <w:adjustRightInd w:val="0"/>
      <w:spacing w:after="120" w:line="240" w:lineRule="auto"/>
      <w:ind w:left="420" w:leftChars="200" w:firstLine="420" w:firstLineChars="200"/>
      <w:jc w:val="both"/>
      <w:textAlignment w:val="baseline"/>
    </w:pPr>
    <w:rPr>
      <w:rFonts w:ascii="Times New Roman" w:hAnsi="Times New Roman" w:eastAsia="宋体" w:cs="Times New Roman"/>
      <w:spacing w:val="0"/>
      <w:kern w:val="0"/>
      <w:sz w:val="28"/>
      <w:szCs w:val="20"/>
      <w:lang w:val="en-US" w:eastAsia="zh-CN" w:bidi="ar-SA"/>
    </w:rPr>
  </w:style>
  <w:style w:type="table" w:styleId="24">
    <w:name w:val="Table Grid"/>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character" w:customStyle="1" w:styleId="27">
    <w:name w:val="标题 2 Char"/>
    <w:link w:val="4"/>
    <w:qFormat/>
    <w:uiPriority w:val="0"/>
    <w:rPr>
      <w:rFonts w:ascii="Arial" w:hAnsi="Arial" w:eastAsia="黑体" w:cs="宋体"/>
      <w:b/>
      <w:bCs/>
      <w:sz w:val="24"/>
      <w:szCs w:val="32"/>
    </w:rPr>
  </w:style>
  <w:style w:type="paragraph" w:customStyle="1" w:styleId="28">
    <w:name w:val="Default"/>
    <w:next w:val="29"/>
    <w:autoRedefine/>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toc 7"/>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0">
    <w:name w:val="xl53"/>
    <w:next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Times New Roman"/>
      <w:kern w:val="0"/>
      <w:sz w:val="24"/>
      <w:szCs w:val="24"/>
      <w:lang w:val="en-US" w:eastAsia="zh-CN" w:bidi="ar-SA"/>
    </w:rPr>
  </w:style>
  <w:style w:type="paragraph" w:customStyle="1" w:styleId="31">
    <w:name w:val="Char Char Char Char Char Char Char Char Char Char"/>
    <w:basedOn w:val="1"/>
    <w:next w:val="1"/>
    <w:autoRedefine/>
    <w:qFormat/>
    <w:uiPriority w:val="0"/>
    <w:pPr>
      <w:spacing w:line="360" w:lineRule="auto"/>
      <w:ind w:firstLine="200"/>
    </w:pPr>
  </w:style>
  <w:style w:type="paragraph" w:customStyle="1" w:styleId="32">
    <w:name w:val="正文缩进1"/>
    <w:basedOn w:val="1"/>
    <w:autoRedefine/>
    <w:qFormat/>
    <w:uiPriority w:val="0"/>
    <w:pPr>
      <w:autoSpaceDE/>
      <w:autoSpaceDN/>
      <w:adjustRightInd/>
      <w:ind w:firstLine="420" w:firstLineChars="200"/>
      <w:jc w:val="both"/>
      <w:textAlignment w:val="auto"/>
    </w:pPr>
    <w:rPr>
      <w:rFonts w:ascii="Times New Roman"/>
      <w:kern w:val="2"/>
      <w:sz w:val="21"/>
      <w:szCs w:val="22"/>
    </w:rPr>
  </w:style>
  <w:style w:type="paragraph" w:customStyle="1" w:styleId="33">
    <w:name w:val="_Style 3"/>
    <w:autoRedefine/>
    <w:qFormat/>
    <w:uiPriority w:val="0"/>
    <w:pPr>
      <w:widowControl w:val="0"/>
      <w:spacing w:line="324" w:lineRule="auto"/>
      <w:ind w:firstLine="200" w:firstLineChars="200"/>
      <w:jc w:val="both"/>
    </w:pPr>
    <w:rPr>
      <w:rFonts w:ascii="Times New Roman" w:hAnsi="Times New Roman" w:eastAsia="仿宋_GB2312" w:cs="Times New Roman"/>
      <w:kern w:val="2"/>
      <w:sz w:val="20"/>
      <w:lang w:val="en-US" w:eastAsia="zh-CN" w:bidi="ar-SA"/>
    </w:rPr>
  </w:style>
  <w:style w:type="paragraph" w:customStyle="1" w:styleId="34">
    <w:name w:val="p0"/>
    <w:autoRedefine/>
    <w:unhideWhenUsed/>
    <w:qFormat/>
    <w:uiPriority w:val="0"/>
    <w:pPr>
      <w:widowControl/>
      <w:spacing w:line="324" w:lineRule="auto"/>
      <w:jc w:val="both"/>
    </w:pPr>
    <w:rPr>
      <w:rFonts w:hint="eastAsia" w:ascii="Times New Roman" w:hAnsi="Times New Roman" w:eastAsia="仿宋_GB2312" w:cs="Times New Roman"/>
      <w:kern w:val="2"/>
      <w:sz w:val="24"/>
      <w:lang w:val="en-US" w:eastAsia="zh-CN" w:bidi="ar-SA"/>
    </w:rPr>
  </w:style>
  <w:style w:type="paragraph" w:customStyle="1" w:styleId="35">
    <w:name w:val="xl29"/>
    <w:autoRedefine/>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36">
    <w:name w:val="正文1"/>
    <w:link w:val="68"/>
    <w:autoRedefine/>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37">
    <w:name w:val="纯文本2"/>
    <w:autoRedefine/>
    <w:qFormat/>
    <w:uiPriority w:val="0"/>
    <w:rPr>
      <w:rFonts w:hint="eastAsia" w:ascii="宋体" w:hAnsi="Courier New" w:eastAsia="宋体" w:cs="Times New Roman"/>
      <w:kern w:val="2"/>
      <w:sz w:val="21"/>
      <w:szCs w:val="22"/>
      <w:lang w:val="en-US" w:eastAsia="zh-CN" w:bidi="ar-SA"/>
    </w:rPr>
  </w:style>
  <w:style w:type="paragraph" w:customStyle="1" w:styleId="38">
    <w:name w:val="正文3"/>
    <w:autoRedefine/>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39">
    <w:name w:val="font81"/>
    <w:basedOn w:val="25"/>
    <w:autoRedefine/>
    <w:qFormat/>
    <w:uiPriority w:val="0"/>
    <w:rPr>
      <w:rFonts w:hint="default" w:ascii="Times New Roman" w:hAnsi="Times New Roman" w:cs="Times New Roman"/>
      <w:color w:val="000000"/>
      <w:sz w:val="22"/>
      <w:szCs w:val="22"/>
      <w:u w:val="none"/>
    </w:rPr>
  </w:style>
  <w:style w:type="character" w:customStyle="1" w:styleId="40">
    <w:name w:val="font101"/>
    <w:basedOn w:val="25"/>
    <w:qFormat/>
    <w:uiPriority w:val="0"/>
    <w:rPr>
      <w:rFonts w:hint="default" w:ascii="Times New Roman" w:hAnsi="Times New Roman" w:cs="Times New Roman"/>
      <w:color w:val="000000"/>
      <w:sz w:val="22"/>
      <w:szCs w:val="22"/>
      <w:u w:val="none"/>
    </w:rPr>
  </w:style>
  <w:style w:type="character" w:customStyle="1" w:styleId="41">
    <w:name w:val="font91"/>
    <w:basedOn w:val="25"/>
    <w:autoRedefine/>
    <w:qFormat/>
    <w:uiPriority w:val="0"/>
    <w:rPr>
      <w:rFonts w:hint="eastAsia" w:ascii="宋体" w:hAnsi="宋体" w:eastAsia="宋体" w:cs="宋体"/>
      <w:color w:val="000000"/>
      <w:sz w:val="22"/>
      <w:szCs w:val="22"/>
      <w:u w:val="none"/>
    </w:rPr>
  </w:style>
  <w:style w:type="character" w:customStyle="1" w:styleId="42">
    <w:name w:val="font71"/>
    <w:basedOn w:val="25"/>
    <w:autoRedefine/>
    <w:qFormat/>
    <w:uiPriority w:val="0"/>
    <w:rPr>
      <w:rFonts w:hint="eastAsia" w:ascii="宋体" w:hAnsi="宋体" w:eastAsia="宋体" w:cs="宋体"/>
      <w:color w:val="000000"/>
      <w:sz w:val="21"/>
      <w:szCs w:val="21"/>
      <w:u w:val="none"/>
    </w:rPr>
  </w:style>
  <w:style w:type="character" w:customStyle="1" w:styleId="43">
    <w:name w:val="font41"/>
    <w:basedOn w:val="25"/>
    <w:qFormat/>
    <w:uiPriority w:val="0"/>
    <w:rPr>
      <w:rFonts w:hint="eastAsia" w:ascii="宋体" w:hAnsi="宋体" w:eastAsia="宋体" w:cs="宋体"/>
      <w:color w:val="000000"/>
      <w:sz w:val="22"/>
      <w:szCs w:val="22"/>
      <w:u w:val="none"/>
    </w:rPr>
  </w:style>
  <w:style w:type="paragraph" w:customStyle="1" w:styleId="44">
    <w:name w:val="Body text|2"/>
    <w:basedOn w:val="1"/>
    <w:autoRedefine/>
    <w:qFormat/>
    <w:uiPriority w:val="0"/>
    <w:pPr>
      <w:widowControl w:val="0"/>
      <w:shd w:val="clear" w:color="auto" w:fill="auto"/>
      <w:spacing w:line="568" w:lineRule="exact"/>
    </w:pPr>
    <w:rPr>
      <w:rFonts w:ascii="宋体" w:hAnsi="宋体" w:eastAsia="宋体" w:cs="宋体"/>
      <w:sz w:val="30"/>
      <w:szCs w:val="30"/>
      <w:u w:val="none"/>
      <w:shd w:val="clear" w:color="auto" w:fill="auto"/>
      <w:lang w:val="zh-TW" w:eastAsia="zh-TW" w:bidi="zh-TW"/>
    </w:rPr>
  </w:style>
  <w:style w:type="paragraph" w:customStyle="1" w:styleId="45">
    <w:name w:val="Heading #2|1"/>
    <w:basedOn w:val="1"/>
    <w:qFormat/>
    <w:uiPriority w:val="0"/>
    <w:pPr>
      <w:widowControl w:val="0"/>
      <w:shd w:val="clear" w:color="auto" w:fill="auto"/>
      <w:spacing w:line="392" w:lineRule="exact"/>
      <w:ind w:firstLine="880"/>
      <w:outlineLvl w:val="1"/>
    </w:pPr>
    <w:rPr>
      <w:rFonts w:ascii="宋体" w:hAnsi="宋体" w:eastAsia="宋体" w:cs="宋体"/>
      <w:color w:val="FDBFCD"/>
      <w:sz w:val="28"/>
      <w:szCs w:val="28"/>
      <w:u w:val="none"/>
      <w:shd w:val="clear" w:color="auto" w:fill="auto"/>
      <w:lang w:val="zh-TW" w:eastAsia="zh-TW" w:bidi="zh-TW"/>
    </w:rPr>
  </w:style>
  <w:style w:type="paragraph" w:customStyle="1" w:styleId="46">
    <w:name w:val="Heading #3|1"/>
    <w:basedOn w:val="1"/>
    <w:autoRedefine/>
    <w:qFormat/>
    <w:uiPriority w:val="0"/>
    <w:pPr>
      <w:widowControl w:val="0"/>
      <w:shd w:val="clear" w:color="auto" w:fill="auto"/>
      <w:spacing w:line="580" w:lineRule="exact"/>
      <w:ind w:firstLine="520"/>
      <w:outlineLvl w:val="2"/>
    </w:pPr>
    <w:rPr>
      <w:rFonts w:ascii="宋体" w:hAnsi="宋体" w:eastAsia="宋体" w:cs="宋体"/>
      <w:u w:val="none"/>
      <w:shd w:val="clear" w:color="auto" w:fill="auto"/>
      <w:lang w:val="zh-TW" w:eastAsia="zh-TW" w:bidi="zh-TW"/>
    </w:rPr>
  </w:style>
  <w:style w:type="paragraph" w:customStyle="1" w:styleId="47">
    <w:name w:val="Other|1"/>
    <w:basedOn w:val="1"/>
    <w:autoRedefine/>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styleId="48">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49">
    <w:name w:val="NormalCharacter"/>
    <w:autoRedefine/>
    <w:semiHidden/>
    <w:qFormat/>
    <w:uiPriority w:val="0"/>
  </w:style>
  <w:style w:type="paragraph" w:customStyle="1" w:styleId="50">
    <w:name w:val="章正文"/>
    <w:basedOn w:val="1"/>
    <w:autoRedefine/>
    <w:qFormat/>
    <w:locked/>
    <w:uiPriority w:val="0"/>
    <w:pPr>
      <w:spacing w:beforeLines="50" w:after="120" w:line="300" w:lineRule="auto"/>
      <w:ind w:firstLine="480"/>
    </w:pPr>
    <w:rPr>
      <w:rFonts w:ascii="Helvetica" w:hAnsi="Helvetica"/>
      <w:kern w:val="0"/>
    </w:rPr>
  </w:style>
  <w:style w:type="paragraph" w:customStyle="1" w:styleId="51">
    <w:name w:val="[Normal]"/>
    <w:autoRedefine/>
    <w:qFormat/>
    <w:uiPriority w:val="0"/>
    <w:rPr>
      <w:rFonts w:ascii="宋体" w:hAnsi="宋体" w:eastAsia="宋体" w:cs="Times New Roman"/>
      <w:sz w:val="24"/>
      <w:szCs w:val="22"/>
      <w:lang w:val="zh-CN" w:eastAsia="zh-CN" w:bidi="ar-SA"/>
    </w:rPr>
  </w:style>
  <w:style w:type="paragraph" w:customStyle="1" w:styleId="52">
    <w:name w:val="Body text|1"/>
    <w:autoRedefine/>
    <w:qFormat/>
    <w:uiPriority w:val="0"/>
    <w:pPr>
      <w:widowControl w:val="0"/>
      <w:spacing w:line="401" w:lineRule="auto"/>
      <w:ind w:firstLine="400"/>
      <w:jc w:val="left"/>
    </w:pPr>
    <w:rPr>
      <w:rFonts w:ascii="宋体" w:hAnsi="宋体" w:eastAsia="宋体" w:cs="宋体"/>
      <w:kern w:val="0"/>
      <w:sz w:val="30"/>
      <w:szCs w:val="30"/>
      <w:lang w:val="zh-TW" w:eastAsia="zh-TW" w:bidi="zh-TW"/>
    </w:rPr>
  </w:style>
  <w:style w:type="paragraph" w:customStyle="1" w:styleId="53">
    <w:name w:val="正文表格内容（居中）"/>
    <w:basedOn w:val="1"/>
    <w:autoRedefine/>
    <w:qFormat/>
    <w:uiPriority w:val="0"/>
    <w:pPr>
      <w:spacing w:line="240" w:lineRule="auto"/>
      <w:ind w:firstLine="0" w:firstLineChars="0"/>
      <w:jc w:val="center"/>
    </w:pPr>
    <w:rPr>
      <w:rFonts w:ascii="Arial" w:hAnsi="Arial" w:cs="Arial"/>
      <w:sz w:val="21"/>
      <w:szCs w:val="18"/>
    </w:rPr>
  </w:style>
  <w:style w:type="character" w:customStyle="1" w:styleId="54">
    <w:name w:val="font11"/>
    <w:basedOn w:val="25"/>
    <w:autoRedefine/>
    <w:qFormat/>
    <w:uiPriority w:val="0"/>
    <w:rPr>
      <w:rFonts w:hint="eastAsia" w:ascii="仿宋" w:hAnsi="仿宋" w:eastAsia="仿宋" w:cs="仿宋"/>
      <w:b/>
      <w:bCs/>
      <w:color w:val="000000"/>
      <w:sz w:val="24"/>
      <w:szCs w:val="24"/>
      <w:u w:val="none"/>
    </w:rPr>
  </w:style>
  <w:style w:type="character" w:customStyle="1" w:styleId="55">
    <w:name w:val="font21"/>
    <w:basedOn w:val="25"/>
    <w:autoRedefine/>
    <w:qFormat/>
    <w:uiPriority w:val="0"/>
    <w:rPr>
      <w:rFonts w:hint="eastAsia" w:ascii="仿宋" w:hAnsi="仿宋" w:eastAsia="仿宋" w:cs="仿宋"/>
      <w:color w:val="000000"/>
      <w:sz w:val="24"/>
      <w:szCs w:val="24"/>
      <w:u w:val="none"/>
    </w:rPr>
  </w:style>
  <w:style w:type="paragraph" w:customStyle="1" w:styleId="56">
    <w:name w:val="B正文"/>
    <w:basedOn w:val="1"/>
    <w:autoRedefine/>
    <w:qFormat/>
    <w:uiPriority w:val="99"/>
    <w:pPr>
      <w:spacing w:line="360" w:lineRule="auto"/>
      <w:ind w:firstLine="480" w:firstLineChars="200"/>
    </w:pPr>
    <w:rPr>
      <w:rFonts w:ascii="宋体" w:hAnsi="宋体"/>
      <w:szCs w:val="22"/>
    </w:rPr>
  </w:style>
  <w:style w:type="paragraph" w:customStyle="1" w:styleId="57">
    <w:name w:val="普通(网站) Char"/>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58">
    <w:name w:val="标题 1 字符"/>
    <w:link w:val="3"/>
    <w:qFormat/>
    <w:uiPriority w:val="0"/>
    <w:rPr>
      <w:rFonts w:ascii="Times New Roman" w:hAnsi="Times New Roman" w:eastAsia="宋体"/>
      <w:b/>
      <w:bCs/>
      <w:kern w:val="44"/>
      <w:sz w:val="32"/>
      <w:szCs w:val="44"/>
    </w:rPr>
  </w:style>
  <w:style w:type="paragraph" w:customStyle="1" w:styleId="59">
    <w:name w:val="正文 A"/>
    <w:autoRedefine/>
    <w:qFormat/>
    <w:uiPriority w:val="0"/>
    <w:pPr>
      <w:widowControl w:val="0"/>
      <w:jc w:val="both"/>
    </w:pPr>
    <w:rPr>
      <w:rFonts w:hint="eastAsia" w:ascii="Arial Unicode MS" w:hAnsi="Arial Unicode MS" w:eastAsia="宋体" w:cs="Arial Unicode MS"/>
      <w:color w:val="000000"/>
      <w:kern w:val="2"/>
      <w:sz w:val="21"/>
      <w:szCs w:val="21"/>
      <w:lang w:val="zh-TW" w:eastAsia="zh-TW" w:bidi="ar-SA"/>
    </w:rPr>
  </w:style>
  <w:style w:type="paragraph" w:customStyle="1" w:styleId="60">
    <w:name w:val="Table Paragraph"/>
    <w:basedOn w:val="1"/>
    <w:autoRedefine/>
    <w:qFormat/>
    <w:uiPriority w:val="1"/>
    <w:rPr>
      <w:rFonts w:ascii="宋体" w:hAnsi="宋体" w:cs="宋体"/>
      <w:lang w:val="zh-CN" w:bidi="zh-CN"/>
    </w:rPr>
  </w:style>
  <w:style w:type="paragraph" w:customStyle="1" w:styleId="61">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表格文字"/>
    <w:basedOn w:val="1"/>
    <w:qFormat/>
    <w:uiPriority w:val="0"/>
    <w:pPr>
      <w:autoSpaceDE w:val="0"/>
      <w:autoSpaceDN w:val="0"/>
      <w:ind w:firstLine="0" w:firstLineChars="0"/>
      <w:jc w:val="left"/>
    </w:pPr>
    <w:rPr>
      <w:rFonts w:ascii="宋体" w:hAnsi="宋体"/>
      <w:bCs/>
      <w:spacing w:val="11"/>
      <w:kern w:val="0"/>
      <w:sz w:val="21"/>
      <w:szCs w:val="20"/>
    </w:rPr>
  </w:style>
  <w:style w:type="character" w:customStyle="1" w:styleId="63">
    <w:name w:val="font31"/>
    <w:basedOn w:val="25"/>
    <w:autoRedefine/>
    <w:qFormat/>
    <w:uiPriority w:val="0"/>
    <w:rPr>
      <w:rFonts w:hint="eastAsia" w:ascii="宋体" w:hAnsi="宋体" w:eastAsia="宋体" w:cs="宋体"/>
      <w:color w:val="000000"/>
      <w:sz w:val="19"/>
      <w:szCs w:val="19"/>
      <w:u w:val="none"/>
    </w:rPr>
  </w:style>
  <w:style w:type="table" w:customStyle="1" w:styleId="64">
    <w:name w:val="Table Normal"/>
    <w:autoRedefine/>
    <w:semiHidden/>
    <w:unhideWhenUsed/>
    <w:qFormat/>
    <w:uiPriority w:val="2"/>
    <w:tblPr>
      <w:tblCellMar>
        <w:top w:w="0" w:type="dxa"/>
        <w:left w:w="0" w:type="dxa"/>
        <w:bottom w:w="0" w:type="dxa"/>
        <w:right w:w="0" w:type="dxa"/>
      </w:tblCellMar>
    </w:tblPr>
  </w:style>
  <w:style w:type="paragraph" w:customStyle="1" w:styleId="65">
    <w:name w:val="WPSOffice手动目录 1"/>
    <w:autoRedefine/>
    <w:qFormat/>
    <w:uiPriority w:val="0"/>
    <w:pPr>
      <w:ind w:leftChars="0"/>
    </w:pPr>
    <w:rPr>
      <w:rFonts w:ascii="Times New Roman" w:hAnsi="Times New Roman" w:eastAsia="宋体" w:cs="Times New Roman"/>
      <w:sz w:val="20"/>
      <w:szCs w:val="20"/>
    </w:rPr>
  </w:style>
  <w:style w:type="paragraph" w:customStyle="1" w:styleId="66">
    <w:name w:val="WPSOffice手动目录 2"/>
    <w:qFormat/>
    <w:uiPriority w:val="0"/>
    <w:pPr>
      <w:ind w:leftChars="200"/>
    </w:pPr>
    <w:rPr>
      <w:rFonts w:ascii="Times New Roman" w:hAnsi="Times New Roman" w:eastAsia="宋体" w:cs="Times New Roman"/>
      <w:sz w:val="20"/>
      <w:szCs w:val="20"/>
    </w:rPr>
  </w:style>
  <w:style w:type="paragraph" w:customStyle="1" w:styleId="67">
    <w:name w:val="普通(网站)_0"/>
    <w:basedOn w:val="1"/>
    <w:autoRedefine/>
    <w:unhideWhenUsed/>
    <w:qFormat/>
    <w:uiPriority w:val="0"/>
    <w:pPr>
      <w:widowControl/>
      <w:spacing w:before="100" w:beforeAutospacing="1" w:after="100" w:afterAutospacing="1"/>
      <w:jc w:val="left"/>
    </w:pPr>
    <w:rPr>
      <w:rFonts w:ascii="宋体" w:hAnsi="宋体"/>
      <w:kern w:val="0"/>
      <w:sz w:val="24"/>
      <w:szCs w:val="22"/>
    </w:rPr>
  </w:style>
  <w:style w:type="character" w:customStyle="1" w:styleId="68">
    <w:name w:val="正文1 Char"/>
    <w:link w:val="36"/>
    <w:autoRedefine/>
    <w:qFormat/>
    <w:uiPriority w:val="0"/>
    <w:rPr>
      <w:rFonts w:ascii="宋体"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47599</Words>
  <Characters>51927</Characters>
  <Lines>1</Lines>
  <Paragraphs>1</Paragraphs>
  <TotalTime>14</TotalTime>
  <ScaleCrop>false</ScaleCrop>
  <LinksUpToDate>false</LinksUpToDate>
  <CharactersWithSpaces>56791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2022-01-19T08:05:00Z</dcterms:created>
  <dc:creator>cactus</dc:creator>
  <cp:lastModifiedBy>张海松</cp:lastModifiedBy>
  <cp:lastPrinted>2024-09-11T06:30:00Z</cp:lastPrinted>
  <dcterms:modified xsi:type="dcterms:W3CDTF">2024-09-12T09:51:10Z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55C260B2C8F942ECA732B75348E7B4BA_13</vt:lpwstr>
  </property>
</Properties>
</file>