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adjustRightInd/>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p>
    <w:p>
      <w:pPr>
        <w:adjustRightInd/>
        <w:spacing w:line="360" w:lineRule="auto"/>
        <w:jc w:val="center"/>
        <w:rPr>
          <w:rFonts w:hint="eastAsia" w:ascii="宋体" w:hAnsi="宋体" w:eastAsia="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老旧电梯安全风险评估项目（灵隐街道、文新街道、古荡街道、转塘街道）（第三次）</w:t>
      </w:r>
    </w:p>
    <w:p>
      <w:pPr>
        <w:adjustRightInd/>
        <w:spacing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rPr>
        <w:t xml:space="preserve">招标文件 </w:t>
      </w: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rPr>
        <w:t>编号</w:t>
      </w:r>
      <w:r>
        <w:rPr>
          <w:rFonts w:hint="eastAsia" w:ascii="宋体" w:hAnsi="宋体" w:eastAsia="宋体" w:cs="宋体"/>
          <w:color w:val="auto"/>
          <w:sz w:val="30"/>
          <w:szCs w:val="30"/>
          <w:lang w:eastAsia="zh-CN"/>
        </w:rPr>
        <w:t>：</w:t>
      </w:r>
      <w:r>
        <w:rPr>
          <w:rFonts w:hint="eastAsia" w:ascii="宋体" w:hAnsi="宋体" w:cs="宋体"/>
          <w:color w:val="auto"/>
          <w:sz w:val="30"/>
          <w:szCs w:val="30"/>
          <w:lang w:eastAsia="zh-CN"/>
        </w:rPr>
        <w:t>DXGC-2024-XHSC-011-2</w:t>
      </w:r>
    </w:p>
    <w:p>
      <w:pPr>
        <w:adjustRightInd/>
        <w:spacing w:line="360" w:lineRule="auto"/>
        <w:rPr>
          <w:rFonts w:hint="eastAsia" w:ascii="宋体" w:hAnsi="宋体" w:eastAsia="宋体" w:cs="宋体"/>
          <w:color w:val="auto"/>
          <w:sz w:val="28"/>
          <w:szCs w:val="20"/>
        </w:rPr>
      </w:pP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24"/>
        </w:rPr>
      </w:pPr>
    </w:p>
    <w:p>
      <w:pPr>
        <w:spacing w:line="360" w:lineRule="auto"/>
        <w:rPr>
          <w:rFonts w:hint="eastAsia" w:ascii="宋体" w:hAnsi="宋体" w:eastAsia="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杭州市西湖区市场监督管理局</w:t>
      </w:r>
    </w:p>
    <w:p>
      <w:pPr>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浙江鼎欣工程项目管理有限公司</w:t>
      </w:r>
    </w:p>
    <w:p>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val="en-US" w:eastAsia="zh-CN"/>
        </w:rPr>
        <w:t>四</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十四</w:t>
      </w:r>
      <w:r>
        <w:rPr>
          <w:rFonts w:hint="eastAsia" w:ascii="宋体" w:hAnsi="宋体" w:eastAsia="宋体" w:cs="宋体"/>
          <w:bCs/>
          <w:color w:val="auto"/>
          <w:sz w:val="32"/>
          <w:szCs w:val="32"/>
        </w:rPr>
        <w:t>日</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0" w:name="_Hlt67893495"/>
      <w:bookmarkEnd w:id="0"/>
    </w:p>
    <w:p>
      <w:pPr>
        <w:pStyle w:val="642"/>
        <w:outlineLvl w:val="9"/>
        <w:rPr>
          <w:rFonts w:hint="eastAsia" w:ascii="宋体" w:hAnsi="宋体" w:eastAsia="宋体" w:cs="宋体"/>
          <w:color w:val="auto"/>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pPr>
        <w:spacing w:line="360" w:lineRule="auto"/>
        <w:ind w:firstLine="549" w:firstLineChars="229"/>
        <w:rPr>
          <w:rFonts w:hint="eastAsia" w:ascii="宋体" w:hAnsi="宋体" w:eastAsia="宋体" w:cs="宋体"/>
          <w:color w:val="auto"/>
          <w:sz w:val="24"/>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adjustRightInd/>
        <w:spacing w:line="360" w:lineRule="auto"/>
        <w:jc w:val="center"/>
        <w:outlineLvl w:val="0"/>
        <w:rPr>
          <w:rFonts w:hint="eastAsia" w:ascii="宋体" w:hAnsi="宋体" w:eastAsia="宋体" w:cs="宋体"/>
          <w:b/>
          <w:color w:val="auto"/>
          <w:sz w:val="36"/>
          <w:szCs w:val="20"/>
        </w:rPr>
      </w:pPr>
      <w:bookmarkStart w:id="3" w:name="第一部分"/>
      <w:r>
        <w:rPr>
          <w:rFonts w:hint="eastAsia" w:ascii="宋体" w:hAnsi="宋体" w:eastAsia="宋体" w:cs="宋体"/>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老旧电梯安全风险评估项目（灵隐街道、文新街道、古荡街道、转塘街道）（第三次）</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eastAsia="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日</w:t>
      </w:r>
      <w:r>
        <w:rPr>
          <w:rStyle w:val="76"/>
          <w:rFonts w:hint="eastAsia" w:ascii="宋体" w:hAnsi="宋体" w:eastAsia="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DXGC-2024-XHSC-011-2</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老旧电梯安全风险评估项目（灵隐街道、文新街道、古荡街道、转塘街道）（第三次）</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380000</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380000</w:t>
      </w:r>
    </w:p>
    <w:p>
      <w:pPr>
        <w:pStyle w:val="6"/>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老旧电梯安全风险评估项目（灵隐街道、文新街道、古荡街道、转塘街道）（第三次）</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bCs/>
          <w:snapToGrid/>
          <w:color w:val="auto"/>
          <w:kern w:val="2"/>
          <w:sz w:val="24"/>
          <w:szCs w:val="24"/>
          <w:highlight w:val="none"/>
          <w:lang w:val="en-US" w:eastAsia="zh-CN" w:bidi="ar-SA"/>
        </w:rPr>
        <w:t>对灵隐街道、文新街道、古荡街道、转塘街道共152台老旧电梯进行安全评估并出具报告，针对性地提出修理、改造、更新等意见，提高在用老旧电梯安全水平。</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37"/>
        <w:ind w:firstLine="482"/>
        <w:outlineLvl w:val="9"/>
        <w:rPr>
          <w:rFonts w:hint="eastAsia" w:ascii="宋体" w:hAnsi="宋体" w:eastAsia="宋体" w:cs="宋体"/>
          <w:color w:val="auto"/>
          <w:highlight w:val="none"/>
        </w:rPr>
      </w:pPr>
      <w:r>
        <w:rPr>
          <w:rFonts w:hint="eastAsia" w:ascii="宋体" w:hAnsi="宋体" w:eastAsia="宋体" w:cs="宋体"/>
          <w:b/>
          <w:color w:val="auto"/>
          <w:highlight w:val="none"/>
        </w:rPr>
        <w:t>合同履约期限：合同签订起至8月中旬前完成</w:t>
      </w:r>
      <w:r>
        <w:rPr>
          <w:rFonts w:hint="eastAsia" w:ascii="宋体" w:hAnsi="宋体" w:eastAsia="宋体" w:cs="宋体"/>
          <w:b/>
          <w:color w:val="auto"/>
          <w:highlight w:val="none"/>
          <w:lang w:val="en-US" w:eastAsia="zh-CN"/>
        </w:rPr>
        <w:t>。</w:t>
      </w:r>
      <w:r>
        <w:rPr>
          <w:rFonts w:hint="eastAsia" w:ascii="宋体" w:hAnsi="宋体" w:eastAsia="宋体" w:cs="宋体"/>
          <w:color w:val="auto"/>
          <w:highlight w:val="none"/>
        </w:rPr>
        <w:t xml:space="preserve"> </w:t>
      </w:r>
    </w:p>
    <w:p>
      <w:pPr>
        <w:pStyle w:val="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t>
      </w:r>
      <w:r>
        <w:rPr>
          <w:rFonts w:hint="eastAsia" w:ascii="宋体" w:hAnsi="宋体" w:eastAsia="宋体" w:cs="宋体"/>
          <w:snapToGrid w:val="0"/>
          <w:color w:val="auto"/>
          <w:kern w:val="28"/>
          <w:sz w:val="24"/>
          <w:szCs w:val="20"/>
          <w:lang w:val="en-US" w:eastAsia="zh-CN"/>
        </w:rPr>
        <w:t>(</w:t>
      </w:r>
      <w:r>
        <w:rPr>
          <w:rFonts w:hint="eastAsia" w:ascii="宋体" w:hAnsi="宋体" w:eastAsia="宋体" w:cs="宋体"/>
          <w:snapToGrid w:val="0"/>
          <w:color w:val="auto"/>
          <w:kern w:val="28"/>
          <w:sz w:val="24"/>
          <w:szCs w:val="20"/>
        </w:rPr>
        <w:t>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 ；</w:t>
      </w:r>
    </w:p>
    <w:p>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服务全部由符合政策要求的中小企业承接，提供中小企业声明函；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4.本项目的特定资格要求：具有电梯检验检测或型式试验资质；</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4</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Style w:val="76"/>
          <w:rFonts w:hint="eastAsia" w:ascii="宋体" w:hAnsi="宋体" w:eastAsia="宋体" w:cs="宋体"/>
          <w:snapToGrid/>
          <w:color w:val="auto"/>
          <w:kern w:val="2"/>
          <w:sz w:val="24"/>
          <w:szCs w:val="24"/>
        </w:rPr>
        <w:t>202</w:t>
      </w:r>
      <w:r>
        <w:rPr>
          <w:rStyle w:val="76"/>
          <w:rFonts w:hint="eastAsia" w:ascii="宋体" w:hAnsi="宋体" w:eastAsia="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日</w:t>
      </w:r>
      <w:r>
        <w:rPr>
          <w:rStyle w:val="76"/>
          <w:rFonts w:hint="eastAsia" w:ascii="宋体" w:hAnsi="宋体" w:eastAsia="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Fonts w:hint="eastAsia" w:ascii="宋体" w:hAnsi="宋体" w:eastAsia="宋体" w:cs="宋体"/>
          <w:color w:val="auto"/>
          <w:sz w:val="24"/>
        </w:rPr>
        <w:t>（北京时间）</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Style w:val="76"/>
          <w:rFonts w:hint="eastAsia" w:ascii="宋体" w:hAnsi="宋体" w:eastAsia="宋体" w:cs="宋体"/>
          <w:snapToGrid/>
          <w:color w:val="auto"/>
          <w:kern w:val="2"/>
          <w:sz w:val="24"/>
          <w:szCs w:val="24"/>
        </w:rPr>
        <w:t>202</w:t>
      </w:r>
      <w:r>
        <w:rPr>
          <w:rStyle w:val="76"/>
          <w:rFonts w:hint="eastAsia" w:ascii="宋体" w:hAnsi="宋体" w:eastAsia="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日</w:t>
      </w:r>
      <w:r>
        <w:rPr>
          <w:rStyle w:val="76"/>
          <w:rFonts w:hint="eastAsia" w:ascii="宋体" w:hAnsi="宋体" w:eastAsia="宋体" w:cs="宋体"/>
          <w:snapToGrid/>
          <w:color w:val="auto"/>
          <w:kern w:val="2"/>
          <w:sz w:val="24"/>
          <w:szCs w:val="24"/>
          <w:lang w:val="en-US" w:eastAsia="zh-CN"/>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4"/>
          <w:lang w:eastAsia="zh-CN"/>
        </w:rPr>
        <w:t>：</w:t>
      </w:r>
      <w:r>
        <w:rPr>
          <w:rFonts w:hint="eastAsia" w:ascii="宋体" w:hAnsi="宋体" w:eastAsia="宋体" w:cs="宋体"/>
          <w:color w:val="auto"/>
          <w:sz w:val="24"/>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杭州市西湖区市场监督管理局</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址：杭州市西湖区文一西路858号西楼6楼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李工</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default" w:ascii="宋体" w:hAnsi="宋体" w:cs="宋体"/>
          <w:color w:val="auto"/>
          <w:sz w:val="24"/>
          <w:highlight w:val="none"/>
          <w:lang w:val="en-US"/>
        </w:rPr>
        <w:t>0571-89510957</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王工</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w:t>
      </w:r>
      <w:r>
        <w:rPr>
          <w:rFonts w:hint="default" w:ascii="宋体" w:hAnsi="宋体" w:eastAsia="宋体" w:cs="宋体"/>
          <w:color w:val="auto"/>
          <w:sz w:val="24"/>
          <w:highlight w:val="none"/>
          <w:lang w:val="en-US"/>
        </w:rPr>
        <w:t>0571-89510956</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浙江鼎欣工程项目管理有限公司</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浙江省杭州市西湖区翠苑新村三区11幢5单元配套用房1754室</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阚先生</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13336125345</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张根源</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质疑联系方式：0571-87180816</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3.该项目由采购人处理采购争议。质疑环节，采购人委托采购代理机构处理的，可由采购代理机构答复。对质疑答复不满意的，向采购人内部设置的采购监督机构反映。</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8"/>
      <w:r>
        <w:rPr>
          <w:rFonts w:hint="eastAsia" w:ascii="宋体" w:hAnsi="宋体" w:eastAsia="宋体" w:cs="宋体"/>
          <w:b/>
          <w:color w:val="auto"/>
          <w:sz w:val="36"/>
          <w:szCs w:val="20"/>
        </w:rPr>
        <w:t xml:space="preserve"> 投标人须知</w:t>
      </w:r>
      <w:bookmarkEnd w:id="9"/>
    </w:p>
    <w:p>
      <w:pPr>
        <w:adjustRightInd/>
        <w:spacing w:line="360" w:lineRule="auto"/>
        <w:ind w:firstLine="3845" w:firstLineChars="1197"/>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60" w:lineRule="auto"/>
              <w:ind w:left="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标的：</w:t>
            </w:r>
            <w:r>
              <w:rPr>
                <w:rFonts w:hint="eastAsia" w:ascii="宋体" w:hAnsi="宋体" w:eastAsia="宋体" w:cs="宋体"/>
                <w:color w:val="auto"/>
                <w:kern w:val="0"/>
                <w:sz w:val="24"/>
                <w:szCs w:val="24"/>
                <w:u w:val="single"/>
              </w:rPr>
              <w:t xml:space="preserve"> </w:t>
            </w:r>
            <w:r>
              <w:rPr>
                <w:rFonts w:hint="eastAsia" w:ascii="宋体" w:hAnsi="宋体" w:cs="宋体"/>
                <w:color w:val="auto"/>
                <w:kern w:val="0"/>
                <w:sz w:val="24"/>
                <w:szCs w:val="24"/>
                <w:u w:val="single"/>
                <w:lang w:eastAsia="zh-CN"/>
              </w:rPr>
              <w:t>老旧电梯安全风险评估项目（灵隐街道、文新街道、古荡街道、转塘街道）（第三次）</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其他未列明</w:t>
            </w:r>
            <w:r>
              <w:rPr>
                <w:rFonts w:hint="eastAsia" w:ascii="宋体" w:hAnsi="宋体" w:eastAsia="宋体" w:cs="宋体"/>
                <w:color w:val="auto"/>
                <w:kern w:val="0"/>
                <w:sz w:val="24"/>
                <w:szCs w:val="24"/>
              </w:rPr>
              <w:t>行业；</w:t>
            </w:r>
          </w:p>
          <w:p>
            <w:pPr>
              <w:pStyle w:val="4"/>
              <w:keepNext/>
              <w:keepLines/>
              <w:pageBreakBefore w:val="0"/>
              <w:widowControl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4"/>
                <w:szCs w:val="24"/>
                <w:lang w:val="en-US"/>
              </w:rPr>
            </w:pPr>
            <w:r>
              <w:rPr>
                <w:rFonts w:hint="eastAsia" w:ascii="宋体" w:hAnsi="宋体" w:eastAsia="宋体" w:cs="宋体"/>
                <w:b w:val="0"/>
                <w:bCs w:val="0"/>
                <w:color w:val="auto"/>
                <w:sz w:val="24"/>
                <w:szCs w:val="24"/>
                <w:lang w:val="en-US" w:eastAsia="zh-CN"/>
              </w:rPr>
              <w:t>划分标准：</w:t>
            </w:r>
            <w:r>
              <w:rPr>
                <w:rFonts w:hint="eastAsia" w:ascii="宋体" w:hAnsi="宋体" w:eastAsia="宋体" w:cs="宋体"/>
                <w:b w:val="0"/>
                <w:bCs w:val="0"/>
                <w:color w:val="auto"/>
                <w:sz w:val="24"/>
                <w:szCs w:val="24"/>
                <w:lang w:val="en-US"/>
              </w:rPr>
              <w:t>从业人员300人以下的为中小微型企业。其中，从业人员10</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lang w:val="en-US"/>
              </w:rPr>
              <w:t>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b/>
                    <w:bCs/>
                    <w:color w:val="auto"/>
                    <w:kern w:val="0"/>
                    <w:sz w:val="24"/>
                    <w:szCs w:val="24"/>
                    <w:lang w:val="en-US" w:eastAsia="zh-CN" w:bidi="ar-SA"/>
                  </w:rPr>
                  <w:t>þ</w:t>
                </w:r>
              </w:sdtContent>
            </w:sdt>
            <w:r>
              <w:rPr>
                <w:rFonts w:hint="eastAsia" w:ascii="宋体" w:hAnsi="宋体" w:eastAsia="宋体" w:cs="宋体"/>
                <w:b w:val="0"/>
                <w:bCs w:val="0"/>
                <w:color w:val="auto"/>
                <w:kern w:val="0"/>
                <w:sz w:val="24"/>
                <w:szCs w:val="24"/>
                <w:lang w:val="en-US" w:eastAsia="zh-CN" w:bidi="ar-SA"/>
              </w:rPr>
              <w:t>A同意将非主体、非关键性的工作分包</w:t>
            </w:r>
          </w:p>
          <w:p>
            <w:pPr>
              <w:pStyle w:val="4"/>
              <w:rPr>
                <w:rFonts w:hint="eastAsia" w:ascii="宋体" w:hAnsi="宋体" w:eastAsia="宋体" w:cs="宋体"/>
              </w:rPr>
            </w:pPr>
            <w:r>
              <w:rPr>
                <w:rFonts w:hint="eastAsia" w:ascii="宋体" w:hAnsi="宋体" w:eastAsia="宋体" w:cs="宋体"/>
                <w:b w:val="0"/>
                <w:bCs w:val="0"/>
                <w:color w:val="auto"/>
                <w:kern w:val="0"/>
                <w:sz w:val="24"/>
                <w:szCs w:val="24"/>
                <w:lang w:val="en-US" w:eastAsia="zh-CN" w:bidi="ar-SA"/>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sz w:val="24"/>
              </w:rPr>
            </w:pPr>
            <w:sdt>
              <w:sdtPr>
                <w:rPr>
                  <w:rFonts w:hint="eastAsia" w:ascii="宋体" w:hAnsi="宋体" w:eastAsia="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lang w:eastAsia="zh-CN"/>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7"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rPr>
            </w:pPr>
            <w:r>
              <w:rPr>
                <w:rFonts w:hint="eastAsia" w:ascii="宋体" w:hAnsi="宋体" w:eastAsia="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sz w:val="24"/>
                <w:highlight w:val="none"/>
                <w:u w:val="single"/>
                <w:lang w:eastAsia="zh-CN"/>
              </w:rPr>
              <w:t>杭州市拱墅区祥兴路埃夫朗科技园3幢5楼505室</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u w:val="single"/>
              </w:rPr>
              <w:t xml:space="preserve">  </w:t>
            </w:r>
            <w:r>
              <w:rPr>
                <w:rFonts w:hint="eastAsia" w:ascii="宋体" w:hAnsi="宋体" w:eastAsia="宋体" w:cs="宋体"/>
                <w:i w:val="0"/>
                <w:iCs w:val="0"/>
                <w:color w:val="auto"/>
                <w:sz w:val="24"/>
                <w:highlight w:val="none"/>
                <w:u w:val="single"/>
                <w:lang w:val="en-US" w:eastAsia="zh-CN"/>
              </w:rPr>
              <w:t>阚先生</w:t>
            </w:r>
            <w:r>
              <w:rPr>
                <w:rFonts w:hint="eastAsia" w:ascii="宋体" w:hAnsi="宋体" w:eastAsia="宋体" w:cs="宋体"/>
                <w:color w:val="auto"/>
                <w:sz w:val="24"/>
                <w:highlight w:val="none"/>
                <w:u w:val="single"/>
                <w:lang w:val="en-US" w:eastAsia="zh-CN"/>
              </w:rPr>
              <w:t>13336125345</w:t>
            </w:r>
            <w:r>
              <w:rPr>
                <w:rFonts w:hint="eastAsia" w:ascii="宋体" w:hAnsi="宋体" w:eastAsia="宋体" w:cs="宋体"/>
                <w:i w:val="0"/>
                <w:iCs w:val="0"/>
                <w:color w:val="auto"/>
                <w:sz w:val="24"/>
                <w:u w:val="single"/>
              </w:rPr>
              <w:t xml:space="preserve"> </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bookmarkEnd w:id="10"/>
    </w:tbl>
    <w:p>
      <w:pPr>
        <w:adjustRightInd/>
        <w:spacing w:line="360" w:lineRule="auto"/>
        <w:outlineLvl w:val="1"/>
        <w:rPr>
          <w:rFonts w:hint="eastAsia" w:ascii="宋体" w:hAnsi="宋体" w:eastAsia="宋体" w:cs="宋体"/>
          <w:b/>
          <w:color w:val="auto"/>
          <w:sz w:val="32"/>
          <w:szCs w:val="20"/>
        </w:rPr>
      </w:pPr>
      <w:bookmarkStart w:id="11" w:name="第三部分"/>
      <w:bookmarkStart w:id="12" w:name="_Toc164416483"/>
    </w:p>
    <w:p>
      <w:pPr>
        <w:adjustRightInd/>
        <w:spacing w:line="360" w:lineRule="auto"/>
        <w:ind w:firstLine="3845" w:firstLineChars="1197"/>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一、总则</w:t>
      </w:r>
    </w:p>
    <w:p>
      <w:pPr>
        <w:keepNext w:val="0"/>
        <w:keepLines w:val="0"/>
        <w:pageBreakBefore w:val="0"/>
        <w:kinsoku/>
        <w:wordWrap/>
        <w:overflowPunct/>
        <w:topLinePunct w:val="0"/>
        <w:bidi w:val="0"/>
        <w:snapToGrid w:val="0"/>
        <w:spacing w:beforeAutospacing="0" w:line="360" w:lineRule="auto"/>
        <w:ind w:left="0" w:leftChars="0" w:firstLine="361" w:firstLineChars="150"/>
        <w:jc w:val="left"/>
        <w:textAlignment w:val="auto"/>
        <w:outlineLvl w:val="9"/>
        <w:rPr>
          <w:rFonts w:hint="eastAsia" w:ascii="宋体" w:hAnsi="宋体" w:eastAsia="宋体" w:cs="宋体"/>
          <w:b/>
          <w:color w:val="auto"/>
          <w:sz w:val="24"/>
        </w:rPr>
      </w:pPr>
      <w:r>
        <w:rPr>
          <w:rFonts w:hint="eastAsia" w:ascii="宋体" w:hAnsi="宋体" w:eastAsia="宋体" w:cs="宋体"/>
          <w:b/>
          <w:color w:val="auto"/>
          <w:sz w:val="24"/>
        </w:rPr>
        <w:t>1. 适用范围</w:t>
      </w:r>
    </w:p>
    <w:p>
      <w:pPr>
        <w:keepNext w:val="0"/>
        <w:keepLines w:val="0"/>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w:t>
      </w:r>
      <w:r>
        <w:rPr>
          <w:rFonts w:hint="eastAsia" w:ascii="宋体" w:hAnsi="宋体" w:eastAsia="宋体" w:cs="宋体"/>
          <w:color w:val="auto"/>
          <w:sz w:val="24"/>
          <w:lang w:eastAsia="zh-CN"/>
        </w:rPr>
        <w:t>法律法规</w:t>
      </w:r>
      <w:r>
        <w:rPr>
          <w:rFonts w:hint="eastAsia" w:ascii="宋体" w:hAnsi="宋体" w:eastAsia="宋体" w:cs="宋体"/>
          <w:color w:val="auto"/>
          <w:sz w:val="24"/>
        </w:rPr>
        <w:t>另有规定的，从其规定）。</w:t>
      </w:r>
    </w:p>
    <w:p>
      <w:pPr>
        <w:keepNext w:val="0"/>
        <w:keepLines w:val="0"/>
        <w:pageBreakBefore w:val="0"/>
        <w:kinsoku/>
        <w:wordWrap/>
        <w:overflowPunct/>
        <w:topLinePunct w:val="0"/>
        <w:bidi w:val="0"/>
        <w:adjustRightInd/>
        <w:spacing w:beforeAutospacing="0" w:line="360" w:lineRule="auto"/>
        <w:ind w:left="0" w:leftChars="0"/>
        <w:textAlignment w:val="auto"/>
        <w:outlineLvl w:val="9"/>
        <w:rPr>
          <w:rFonts w:hint="eastAsia" w:ascii="宋体" w:hAnsi="宋体" w:eastAsia="宋体" w:cs="宋体"/>
          <w:b/>
          <w:color w:val="auto"/>
          <w:sz w:val="24"/>
        </w:rPr>
      </w:pPr>
      <w:r>
        <w:rPr>
          <w:rFonts w:hint="eastAsia" w:ascii="宋体" w:hAnsi="宋体" w:eastAsia="宋体" w:cs="宋体"/>
          <w:b/>
          <w:color w:val="auto"/>
          <w:sz w:val="24"/>
        </w:rPr>
        <w:t xml:space="preserve">   2.定义</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 “</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”系指招标公告中载明的本项目的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2.6“电子交易平台”</w:t>
      </w:r>
      <w:r>
        <w:rPr>
          <w:rFonts w:hint="eastAsia" w:ascii="宋体" w:hAnsi="宋体" w:eastAsia="宋体" w:cs="宋体"/>
          <w:color w:val="auto"/>
          <w:sz w:val="24"/>
          <w:lang w:val="en-US" w:eastAsia="zh-CN"/>
        </w:rPr>
        <w:t>系</w:t>
      </w:r>
      <w:r>
        <w:rPr>
          <w:rFonts w:hint="eastAsia" w:ascii="宋体" w:hAnsi="宋体" w:eastAsia="宋体" w:cs="宋体"/>
          <w:color w:val="auto"/>
          <w:sz w:val="24"/>
        </w:rPr>
        <w:t>指本项目政府采购活动所依托的政府采购云平台（https://www.zcygov.cn/）。</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pPr>
        <w:keepNext w:val="0"/>
        <w:keepLines w:val="0"/>
        <w:pageBreakBefore w:val="0"/>
        <w:kinsoku/>
        <w:wordWrap/>
        <w:overflowPunct/>
        <w:topLinePunct w:val="0"/>
        <w:bidi w:val="0"/>
        <w:spacing w:beforeAutospacing="0" w:line="360" w:lineRule="auto"/>
        <w:ind w:left="0" w:leftChars="0" w:firstLine="241" w:firstLineChars="100"/>
        <w:textAlignment w:val="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pPr>
        <w:keepNext w:val="0"/>
        <w:keepLines w:val="0"/>
        <w:pageBreakBefore w:val="0"/>
        <w:kinsoku/>
        <w:wordWrap/>
        <w:overflowPunct/>
        <w:topLinePunct w:val="0"/>
        <w:bidi w:val="0"/>
        <w:spacing w:beforeAutospacing="0" w:line="360" w:lineRule="auto"/>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pPr>
        <w:keepNext w:val="0"/>
        <w:keepLines w:val="0"/>
        <w:pageBreakBefore w:val="0"/>
        <w:kinsoku/>
        <w:wordWrap/>
        <w:overflowPunct/>
        <w:topLinePunct w:val="0"/>
        <w:bidi w:val="0"/>
        <w:spacing w:beforeAutospacing="0" w:line="360" w:lineRule="auto"/>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3.2 支持绿色发展</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eastAsia="宋体" w:cs="宋体"/>
          <w:color w:val="auto"/>
          <w:sz w:val="24"/>
          <w:lang w:eastAsia="zh-CN"/>
        </w:rPr>
        <w:t>》《</w:t>
      </w:r>
      <w:r>
        <w:rPr>
          <w:rFonts w:hint="eastAsia" w:ascii="宋体" w:hAnsi="宋体" w:eastAsia="宋体" w:cs="宋体"/>
          <w:color w:val="auto"/>
          <w:sz w:val="24"/>
        </w:rPr>
        <w:t>快递包装政府采购需求标准（试行）》。</w:t>
      </w:r>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keepNext w:val="0"/>
        <w:keepLines w:val="0"/>
        <w:pageBreakBefore w:val="0"/>
        <w:kinsoku/>
        <w:wordWrap/>
        <w:overflowPunct/>
        <w:topLinePunct w:val="0"/>
        <w:bidi w:val="0"/>
        <w:spacing w:beforeAutospacing="0" w:line="360" w:lineRule="auto"/>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3.3支持中小企业发展</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bidi w:val="0"/>
        <w:spacing w:beforeAutospacing="0"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beforeAutospacing="0" w:line="360" w:lineRule="auto"/>
        <w:ind w:left="0" w:leftChars="0"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支持创新发展</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tabs>
          <w:tab w:val="left" w:pos="432"/>
        </w:tabs>
        <w:kinsoku/>
        <w:wordWrap/>
        <w:overflowPunct/>
        <w:topLinePunct w:val="0"/>
        <w:bidi w:val="0"/>
        <w:adjustRightInd w:val="0"/>
        <w:spacing w:beforeAutospacing="0" w:line="360" w:lineRule="auto"/>
        <w:ind w:left="0" w:leftChars="0" w:firstLine="480" w:firstLineChars="200"/>
        <w:textAlignment w:val="auto"/>
        <w:outlineLvl w:val="9"/>
        <w:rPr>
          <w:rFonts w:hint="eastAsia" w:ascii="宋体" w:hAnsi="宋体" w:eastAsia="宋体" w:cs="宋体"/>
          <w:color w:val="auto"/>
        </w:rPr>
      </w:pPr>
      <w:r>
        <w:rPr>
          <w:rFonts w:hint="eastAsia" w:ascii="宋体" w:hAnsi="宋体" w:eastAsia="宋体" w:cs="宋体"/>
          <w:b w:val="0"/>
          <w:bCs w:val="0"/>
          <w:color w:val="auto"/>
          <w:sz w:val="24"/>
          <w:szCs w:val="24"/>
          <w:lang w:val="en-US"/>
        </w:rPr>
        <w:t xml:space="preserve">3.4.3 </w:t>
      </w:r>
      <w:r>
        <w:rPr>
          <w:rFonts w:hint="eastAsia" w:ascii="宋体" w:hAnsi="宋体" w:eastAsia="宋体" w:cs="宋体"/>
          <w:b w:val="0"/>
          <w:bCs w:val="0"/>
          <w:color w:val="auto"/>
          <w:sz w:val="24"/>
          <w:szCs w:val="24"/>
          <w:lang w:val="en-US" w:eastAsia="zh-CN"/>
        </w:rPr>
        <w:t>采购人应当贯彻落实知识产权保护相关法律法规，</w:t>
      </w:r>
      <w:r>
        <w:rPr>
          <w:rFonts w:hint="eastAsia" w:ascii="宋体" w:hAnsi="宋体" w:eastAsia="宋体" w:cs="宋体"/>
          <w:b w:val="0"/>
          <w:bCs w:val="0"/>
          <w:color w:val="auto"/>
          <w:sz w:val="24"/>
          <w:szCs w:val="24"/>
          <w:lang w:val="en-US"/>
        </w:rPr>
        <w:t>应当采购使用正版软件。</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pPr>
        <w:keepNext w:val="0"/>
        <w:keepLines w:val="0"/>
        <w:pageBreakBefore w:val="0"/>
        <w:kinsoku/>
        <w:wordWrap/>
        <w:overflowPunct/>
        <w:topLinePunct w:val="0"/>
        <w:bidi w:val="0"/>
        <w:spacing w:beforeAutospacing="0" w:line="360" w:lineRule="auto"/>
        <w:ind w:left="0" w:leftChars="0" w:firstLine="240" w:firstLineChars="100"/>
        <w:textAlignment w:val="auto"/>
        <w:rPr>
          <w:rFonts w:hint="eastAsia" w:ascii="宋体" w:hAnsi="宋体" w:eastAsia="宋体" w:cs="宋体"/>
          <w:b/>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询问、质疑、投诉、补偿救济</w:t>
      </w:r>
    </w:p>
    <w:p>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pPr>
        <w:keepNext w:val="0"/>
        <w:keepLines w:val="0"/>
        <w:pageBreakBefore w:val="0"/>
        <w:kinsoku/>
        <w:wordWrap/>
        <w:overflowPunct/>
        <w:topLinePunct w:val="0"/>
        <w:autoSpaceDE w:val="0"/>
        <w:autoSpaceDN w:val="0"/>
        <w:bidi w:val="0"/>
        <w:spacing w:beforeAutospacing="0" w:line="360" w:lineRule="auto"/>
        <w:ind w:left="0" w:leftChars="0" w:firstLine="480" w:firstLineChars="2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beforeAutospacing="0" w:line="360" w:lineRule="auto"/>
        <w:ind w:left="0" w:leftChars="0" w:firstLine="240" w:firstLineChars="100"/>
        <w:jc w:val="left"/>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pPr>
        <w:pStyle w:val="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提出质疑，否则，采购人或者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不予受理：</w:t>
      </w:r>
    </w:p>
    <w:p>
      <w:pPr>
        <w:pStyle w:val="6"/>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2"/>
        <w:keepNext w:val="0"/>
        <w:keepLines w:val="0"/>
        <w:pageBreakBefore w:val="0"/>
        <w:kinsoku/>
        <w:wordWrap/>
        <w:overflowPunct/>
        <w:topLinePunct w:val="0"/>
        <w:bidi w:val="0"/>
        <w:spacing w:beforeAutospacing="0" w:line="360" w:lineRule="auto"/>
        <w:ind w:left="0" w:leftChars="0"/>
        <w:textAlignment w:val="auto"/>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pPr>
        <w:pStyle w:val="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pPr>
        <w:pStyle w:val="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pPr>
        <w:pStyle w:val="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pPr>
        <w:pStyle w:val="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pPr>
        <w:pStyle w:val="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pPr>
        <w:pStyle w:val="2"/>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pPr>
        <w:pStyle w:val="2"/>
        <w:keepNext w:val="0"/>
        <w:keepLines w:val="0"/>
        <w:pageBreakBefore w:val="0"/>
        <w:kinsoku/>
        <w:wordWrap/>
        <w:overflowPunct/>
        <w:topLinePunct w:val="0"/>
        <w:bidi w:val="0"/>
        <w:spacing w:beforeAutospacing="0" w:line="360" w:lineRule="auto"/>
        <w:ind w:left="0" w:leftChars="0" w:firstLine="960" w:firstLineChars="4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pPr>
        <w:pStyle w:val="892"/>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2"/>
          <w:sz w:val="24"/>
          <w:szCs w:val="21"/>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pStyle w:val="892"/>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2"/>
          <w:sz w:val="24"/>
          <w:szCs w:val="21"/>
          <w:lang w:val="en-US" w:eastAsia="zh-CN" w:bidi="ar-SA"/>
        </w:rPr>
        <w:t>质疑函范本及制作说明详见附件2。</w:t>
      </w:r>
    </w:p>
    <w:p>
      <w:pPr>
        <w:pStyle w:val="892"/>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2"/>
          <w:sz w:val="24"/>
          <w:szCs w:val="21"/>
          <w:lang w:val="en-US" w:eastAsia="zh-CN" w:bidi="ar-SA"/>
        </w:rPr>
        <w:t>4.3.4对同一采购程序环节的质疑，供应商须在法定质疑期内一次性提出。</w:t>
      </w:r>
    </w:p>
    <w:p>
      <w:pPr>
        <w:pStyle w:val="892"/>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rPr>
      </w:pPr>
      <w:r>
        <w:rPr>
          <w:rFonts w:hint="eastAsia" w:ascii="宋体" w:hAnsi="宋体" w:eastAsia="宋体" w:cs="宋体"/>
          <w:snapToGrid w:val="0"/>
          <w:color w:val="auto"/>
          <w:kern w:val="2"/>
          <w:sz w:val="24"/>
          <w:szCs w:val="21"/>
          <w:lang w:val="zh-CN" w:eastAsia="zh-CN" w:bidi="ar-SA"/>
        </w:rPr>
        <w:t>4.3</w:t>
      </w:r>
      <w:r>
        <w:rPr>
          <w:rFonts w:hint="eastAsia" w:ascii="宋体" w:hAnsi="宋体" w:eastAsia="宋体" w:cs="宋体"/>
          <w:snapToGrid w:val="0"/>
          <w:color w:val="auto"/>
          <w:kern w:val="2"/>
          <w:sz w:val="24"/>
          <w:szCs w:val="21"/>
          <w:lang w:val="en-US" w:eastAsia="zh-CN" w:bidi="ar-S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2"/>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.6询问或者质疑事项可能影响采购结果的，采购人应当暂停签订合同，已经签订合同的，应当中止履行合同。</w:t>
      </w:r>
    </w:p>
    <w:p>
      <w:pPr>
        <w:pStyle w:val="892"/>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宋体" w:hAnsi="宋体" w:eastAsia="宋体" w:cs="宋体"/>
          <w:color w:val="auto"/>
          <w:lang w:val="zh-CN"/>
        </w:rPr>
      </w:pPr>
      <w:r>
        <w:rPr>
          <w:rFonts w:hint="eastAsia" w:ascii="宋体" w:hAnsi="宋体" w:eastAsia="宋体" w:cs="宋体"/>
          <w:color w:val="auto"/>
          <w:lang w:val="zh-CN"/>
        </w:rPr>
        <w:t>4.4供应商投诉</w:t>
      </w:r>
    </w:p>
    <w:p>
      <w:pPr>
        <w:pStyle w:val="892"/>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rPr>
      </w:pPr>
      <w:r>
        <w:rPr>
          <w:rFonts w:hint="eastAsia" w:ascii="宋体" w:hAnsi="宋体" w:eastAsia="宋体" w:cs="宋体"/>
          <w:color w:val="auto"/>
        </w:rPr>
        <w:t>4.4.1质疑供应商对采购人、</w:t>
      </w:r>
      <w:r>
        <w:rPr>
          <w:rFonts w:hint="eastAsia" w:ascii="宋体" w:hAnsi="宋体" w:eastAsia="宋体" w:cs="宋体"/>
          <w:color w:val="auto"/>
          <w:lang w:eastAsia="zh-CN"/>
        </w:rPr>
        <w:t>采购代理机构</w:t>
      </w:r>
      <w:r>
        <w:rPr>
          <w:rFonts w:hint="eastAsia" w:ascii="宋体" w:hAnsi="宋体" w:eastAsia="宋体" w:cs="宋体"/>
          <w:color w:val="auto"/>
        </w:rPr>
        <w:t>的答复不满意或者采购人、</w:t>
      </w:r>
      <w:r>
        <w:rPr>
          <w:rFonts w:hint="eastAsia" w:ascii="宋体" w:hAnsi="宋体" w:eastAsia="宋体" w:cs="宋体"/>
          <w:color w:val="auto"/>
          <w:lang w:eastAsia="zh-CN"/>
        </w:rPr>
        <w:t>采购代理机构</w:t>
      </w:r>
      <w:r>
        <w:rPr>
          <w:rFonts w:hint="eastAsia" w:ascii="宋体" w:hAnsi="宋体" w:eastAsia="宋体" w:cs="宋体"/>
          <w:color w:val="auto"/>
        </w:rPr>
        <w:t>未在规定的时间内作出答复的，可以在答复期满后十五个工作日内向同级政府采购监督管理部门提出投诉。</w:t>
      </w:r>
    </w:p>
    <w:p>
      <w:pPr>
        <w:pStyle w:val="892"/>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rPr>
      </w:pPr>
      <w:r>
        <w:rPr>
          <w:rFonts w:hint="eastAsia" w:ascii="宋体" w:hAnsi="宋体" w:eastAsia="宋体" w:cs="宋体"/>
          <w:color w:val="auto"/>
        </w:rPr>
        <w:t>4.4.</w:t>
      </w:r>
      <w:r>
        <w:rPr>
          <w:rFonts w:hint="eastAsia" w:ascii="宋体" w:hAnsi="宋体" w:eastAsia="宋体" w:cs="宋体"/>
          <w:color w:val="auto"/>
          <w:lang w:val="zh-CN"/>
        </w:rPr>
        <w:t>2</w:t>
      </w:r>
      <w:r>
        <w:rPr>
          <w:rFonts w:hint="eastAsia" w:ascii="宋体" w:hAnsi="宋体" w:eastAsia="宋体" w:cs="宋体"/>
          <w:color w:val="auto"/>
        </w:rPr>
        <w:t>供应商投诉的事项不得超出已质疑事项的范围，基于质疑答复内容提出的投诉事项除外。</w:t>
      </w:r>
    </w:p>
    <w:p>
      <w:pPr>
        <w:pStyle w:val="892"/>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rPr>
      </w:pPr>
      <w:r>
        <w:rPr>
          <w:rFonts w:hint="eastAsia" w:ascii="宋体" w:hAnsi="宋体" w:eastAsia="宋体" w:cs="宋体"/>
          <w:color w:val="auto"/>
        </w:rPr>
        <w:t>4.4.3供应商投诉应当有明确的请求和必要的证明材料。</w:t>
      </w:r>
    </w:p>
    <w:p>
      <w:pPr>
        <w:pStyle w:val="892"/>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rPr>
      </w:pPr>
      <w:r>
        <w:rPr>
          <w:rFonts w:hint="eastAsia" w:ascii="宋体" w:hAnsi="宋体" w:eastAsia="宋体" w:cs="宋体"/>
          <w:color w:val="auto"/>
        </w:rPr>
        <w:t>4.4.4以联合体形式参加政府采购活动的，其投诉应当由组成联合体的所有供应商共同提出。</w:t>
      </w:r>
    </w:p>
    <w:p>
      <w:pPr>
        <w:keepNext w:val="0"/>
        <w:keepLines w:val="0"/>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4.5 补偿救济</w:t>
      </w:r>
    </w:p>
    <w:p>
      <w:pPr>
        <w:keepNext w:val="0"/>
        <w:keepLines w:val="0"/>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采购人（行政机关）因政策变化、规划调整而不履行政府采购合同的，供应商可依据《杭州市涉企补偿救济实施办法（试行）》向采购人（行政机关）提起补偿申请。</w:t>
      </w:r>
    </w:p>
    <w:p>
      <w:pPr>
        <w:pStyle w:val="892"/>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rPr>
      </w:pPr>
      <w:r>
        <w:rPr>
          <w:rFonts w:hint="eastAsia" w:ascii="宋体" w:hAnsi="宋体" w:eastAsia="宋体" w:cs="宋体"/>
          <w:color w:val="auto"/>
        </w:rPr>
        <w:t>投诉书范本及制作说明详见附件3。</w:t>
      </w:r>
    </w:p>
    <w:p>
      <w:pPr>
        <w:adjustRightInd/>
        <w:spacing w:line="360" w:lineRule="auto"/>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二、招标文件的构成、澄清、修改</w:t>
      </w:r>
    </w:p>
    <w:p>
      <w:pPr>
        <w:pStyle w:val="2"/>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pPr>
        <w:pStyle w:val="2"/>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2"/>
        <w:keepNext w:val="0"/>
        <w:keepLines w:val="0"/>
        <w:pageBreakBefore w:val="0"/>
        <w:widowControl w:val="0"/>
        <w:tabs>
          <w:tab w:val="left" w:pos="840"/>
        </w:tabs>
        <w:kinsoku/>
        <w:wordWrap/>
        <w:overflowPunct/>
        <w:topLinePunct w:val="0"/>
        <w:autoSpaceDE/>
        <w:autoSpaceDN/>
        <w:bidi w:val="0"/>
        <w:adjustRightIn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pPr>
        <w:pStyle w:val="2"/>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13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w:t>
      </w:r>
      <w:r>
        <w:rPr>
          <w:rFonts w:hint="eastAsia" w:ascii="宋体" w:hAnsi="宋体" w:eastAsia="宋体" w:cs="宋体"/>
          <w:color w:val="auto"/>
          <w:lang w:eastAsia="zh-CN"/>
        </w:rPr>
        <w:t>采购代理机构</w:t>
      </w:r>
      <w:r>
        <w:rPr>
          <w:rFonts w:hint="eastAsia" w:ascii="宋体" w:hAnsi="宋体" w:eastAsia="宋体" w:cs="宋体"/>
          <w:color w:val="auto"/>
        </w:rPr>
        <w:t>提出。</w:t>
      </w:r>
    </w:p>
    <w:p>
      <w:pPr>
        <w:pStyle w:val="13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rPr>
      </w:pPr>
      <w:r>
        <w:rPr>
          <w:rFonts w:hint="eastAsia" w:ascii="宋体" w:hAnsi="宋体" w:eastAsia="宋体" w:cs="宋体"/>
          <w:color w:val="auto"/>
        </w:rPr>
        <w:t xml:space="preserve">6.2 </w:t>
      </w:r>
      <w:r>
        <w:rPr>
          <w:rFonts w:hint="eastAsia" w:ascii="宋体" w:hAnsi="宋体" w:eastAsia="宋体" w:cs="宋体"/>
          <w:color w:val="auto"/>
          <w:lang w:eastAsia="zh-CN"/>
        </w:rPr>
        <w:t>采购代理机构</w:t>
      </w:r>
      <w:r>
        <w:rPr>
          <w:rFonts w:hint="eastAsia" w:ascii="宋体" w:hAnsi="宋体" w:eastAsia="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hint="eastAsia" w:ascii="宋体" w:hAnsi="宋体" w:eastAsia="宋体" w:cs="宋体"/>
          <w:b/>
          <w:color w:val="auto"/>
          <w:sz w:val="30"/>
          <w:szCs w:val="20"/>
        </w:rPr>
      </w:pPr>
      <w:r>
        <w:rPr>
          <w:rFonts w:hint="eastAsia" w:ascii="宋体" w:hAnsi="宋体" w:eastAsia="宋体" w:cs="宋体"/>
          <w:b/>
          <w:color w:val="auto"/>
          <w:sz w:val="30"/>
          <w:szCs w:val="20"/>
        </w:rPr>
        <w:t>三、投标</w:t>
      </w:r>
    </w:p>
    <w:p>
      <w:pPr>
        <w:pStyle w:val="2"/>
        <w:keepNext w:val="0"/>
        <w:keepLines w:val="0"/>
        <w:pageBreakBefore w:val="0"/>
        <w:kinsoku/>
        <w:wordWrap/>
        <w:overflowPunct/>
        <w:topLinePunct w:val="0"/>
        <w:bidi w:val="0"/>
        <w:adjustRightInd w:val="0"/>
        <w:spacing w:line="360" w:lineRule="auto"/>
        <w:ind w:left="0" w:lef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pPr>
        <w:pStyle w:val="2"/>
        <w:keepNext w:val="0"/>
        <w:keepLines w:val="0"/>
        <w:pageBreakBefore w:val="0"/>
        <w:kinsoku/>
        <w:wordWrap/>
        <w:overflowPunct/>
        <w:topLinePunct w:val="0"/>
        <w:bidi w:val="0"/>
        <w:adjustRightInd w:val="0"/>
        <w:spacing w:line="360" w:lineRule="auto"/>
        <w:ind w:left="0" w:lef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2"/>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2"/>
        <w:keepNext w:val="0"/>
        <w:keepLines w:val="0"/>
        <w:pageBreakBefore w:val="0"/>
        <w:kinsoku/>
        <w:wordWrap/>
        <w:overflowPunct/>
        <w:topLinePunct w:val="0"/>
        <w:bidi w:val="0"/>
        <w:adjustRightInd w:val="0"/>
        <w:spacing w:line="360" w:lineRule="auto"/>
        <w:ind w:left="0" w:leftChars="0"/>
        <w:textAlignment w:val="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pPr>
        <w:pStyle w:val="6"/>
        <w:keepNext w:val="0"/>
        <w:keepLines w:val="0"/>
        <w:pageBreakBefore w:val="0"/>
        <w:kinsoku/>
        <w:wordWrap/>
        <w:overflowPunct/>
        <w:topLinePunct w:val="0"/>
        <w:bidi w:val="0"/>
        <w:adjustRightInd w:val="0"/>
        <w:spacing w:line="360" w:lineRule="auto"/>
        <w:ind w:left="0" w:leftChars="0"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2"/>
        <w:keepNext w:val="0"/>
        <w:keepLines w:val="0"/>
        <w:pageBreakBefore w:val="0"/>
        <w:kinsoku/>
        <w:wordWrap/>
        <w:overflowPunct/>
        <w:topLinePunct w:val="0"/>
        <w:bidi w:val="0"/>
        <w:adjustRightInd w:val="0"/>
        <w:spacing w:line="360" w:lineRule="auto"/>
        <w:ind w:left="0" w:lef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pPr>
        <w:pStyle w:val="2"/>
        <w:keepNext w:val="0"/>
        <w:keepLines w:val="0"/>
        <w:pageBreakBefore w:val="0"/>
        <w:kinsoku/>
        <w:wordWrap/>
        <w:overflowPunct/>
        <w:topLinePunct w:val="0"/>
        <w:bidi w:val="0"/>
        <w:adjustRightInd w:val="0"/>
        <w:spacing w:line="360" w:lineRule="auto"/>
        <w:ind w:left="0" w:lef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0"/>
        </w:rPr>
        <w:t>联合协议（如果有</w:t>
      </w: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rPr>
        <w:t>；</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提供中小企业声明函</w:t>
      </w:r>
      <w:r>
        <w:rPr>
          <w:rFonts w:hint="eastAsia" w:ascii="宋体" w:hAnsi="宋体" w:eastAsia="宋体" w:cs="宋体"/>
          <w:color w:val="auto"/>
          <w:sz w:val="24"/>
        </w:rPr>
        <w:t>；</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具有电梯检验检测或型式试验资质</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snapToGrid w:val="0"/>
          <w:color w:val="auto"/>
          <w:kern w:val="28"/>
          <w:sz w:val="24"/>
          <w:szCs w:val="20"/>
          <w:lang w:eastAsia="zh-CN"/>
        </w:rPr>
        <w:t>）</w:t>
      </w:r>
      <w:r>
        <w:rPr>
          <w:rFonts w:hint="eastAsia" w:ascii="宋体" w:hAnsi="宋体" w:eastAsia="宋体" w:cs="宋体"/>
          <w:color w:val="auto"/>
          <w:sz w:val="24"/>
        </w:rPr>
        <w:t>；</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11.2.4符合性审查资料；</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11.2.6投标标的清单；</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11.2.7商务技术偏离表；</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keepNext w:val="0"/>
        <w:keepLines w:val="0"/>
        <w:pageBreakBefore w:val="0"/>
        <w:kinsoku/>
        <w:wordWrap/>
        <w:overflowPunct/>
        <w:topLinePunct w:val="0"/>
        <w:bidi w:val="0"/>
        <w:adjustRightInd w:val="0"/>
        <w:spacing w:line="360" w:lineRule="auto"/>
        <w:ind w:left="0" w:leftChars="0" w:firstLine="723" w:firstLineChars="300"/>
        <w:textAlignment w:val="auto"/>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keepNext w:val="0"/>
        <w:keepLines w:val="0"/>
        <w:pageBreakBefore w:val="0"/>
        <w:kinsoku/>
        <w:wordWrap/>
        <w:overflowPunct/>
        <w:topLinePunct w:val="0"/>
        <w:bidi w:val="0"/>
        <w:adjustRightInd w:val="0"/>
        <w:spacing w:line="360" w:lineRule="auto"/>
        <w:ind w:left="0" w:leftChars="0" w:firstLine="723" w:firstLineChars="300"/>
        <w:textAlignment w:val="auto"/>
        <w:rPr>
          <w:rFonts w:hint="eastAsia" w:ascii="宋体" w:hAnsi="宋体" w:eastAsia="宋体" w:cs="宋体"/>
          <w:b/>
          <w:color w:val="auto"/>
          <w:sz w:val="24"/>
        </w:rPr>
      </w:pPr>
      <w:r>
        <w:rPr>
          <w:rFonts w:hint="eastAsia" w:ascii="宋体" w:hAnsi="宋体" w:eastAsia="宋体" w:cs="宋体"/>
          <w:b/>
          <w:color w:val="auto"/>
          <w:sz w:val="24"/>
        </w:rPr>
        <w:t>投标人提供虚假材料投标的，投标无效。</w:t>
      </w:r>
    </w:p>
    <w:p>
      <w:pPr>
        <w:keepNext w:val="0"/>
        <w:keepLines w:val="0"/>
        <w:pageBreakBefore w:val="0"/>
        <w:kinsoku/>
        <w:wordWrap/>
        <w:overflowPunct/>
        <w:topLinePunct w:val="0"/>
        <w:bidi w:val="0"/>
        <w:adjustRightInd w:val="0"/>
        <w:spacing w:line="360" w:lineRule="auto"/>
        <w:ind w:left="0" w:leftChars="0" w:firstLine="720" w:firstLineChars="300"/>
        <w:textAlignment w:val="auto"/>
        <w:rPr>
          <w:rFonts w:hint="eastAsia" w:ascii="宋体" w:hAnsi="宋体" w:eastAsia="宋体" w:cs="宋体"/>
          <w:color w:val="auto"/>
        </w:rPr>
      </w:pPr>
      <w:r>
        <w:rPr>
          <w:rFonts w:hint="eastAsia" w:ascii="宋体" w:hAnsi="宋体" w:eastAsia="宋体" w:cs="宋体"/>
          <w:color w:val="auto"/>
          <w:sz w:val="24"/>
          <w:szCs w:val="24"/>
          <w:shd w:val="clear" w:color="auto" w:fill="FFFFFF"/>
          <w:lang w:val="en-US" w:eastAsia="zh-CN"/>
        </w:rPr>
        <w:t>投标人应对投标文件中材料的真实性、合法性负责。</w:t>
      </w:r>
    </w:p>
    <w:p>
      <w:pPr>
        <w:pStyle w:val="137"/>
        <w:keepNext w:val="0"/>
        <w:keepLines w:val="0"/>
        <w:pageBreakBefore w:val="0"/>
        <w:kinsoku/>
        <w:wordWrap/>
        <w:overflowPunct/>
        <w:topLinePunct w:val="0"/>
        <w:bidi w:val="0"/>
        <w:adjustRightInd w:val="0"/>
        <w:snapToGrid w:val="0"/>
        <w:spacing w:before="0"/>
        <w:ind w:left="0" w:leftChars="0" w:firstLine="0" w:firstLineChars="0"/>
        <w:textAlignment w:val="auto"/>
        <w:outlineLvl w:val="9"/>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pPr>
        <w:pStyle w:val="137"/>
        <w:keepNext w:val="0"/>
        <w:keepLines w:val="0"/>
        <w:pageBreakBefore w:val="0"/>
        <w:kinsoku/>
        <w:wordWrap/>
        <w:overflowPunct/>
        <w:topLinePunct w:val="0"/>
        <w:bidi w:val="0"/>
        <w:adjustRightInd w:val="0"/>
        <w:snapToGrid w:val="0"/>
        <w:spacing w:before="0"/>
        <w:ind w:left="0" w:leftChars="0" w:firstLine="480"/>
        <w:textAlignment w:val="auto"/>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pPr>
        <w:pStyle w:val="137"/>
        <w:keepNext w:val="0"/>
        <w:keepLines w:val="0"/>
        <w:pageBreakBefore w:val="0"/>
        <w:kinsoku/>
        <w:wordWrap/>
        <w:overflowPunct/>
        <w:topLinePunct w:val="0"/>
        <w:bidi w:val="0"/>
        <w:adjustRightInd w:val="0"/>
        <w:snapToGrid w:val="0"/>
        <w:spacing w:before="0"/>
        <w:ind w:left="0" w:leftChars="0" w:firstLine="480"/>
        <w:textAlignment w:val="auto"/>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7"/>
        <w:keepNext w:val="0"/>
        <w:keepLines w:val="0"/>
        <w:pageBreakBefore w:val="0"/>
        <w:kinsoku/>
        <w:wordWrap/>
        <w:overflowPunct/>
        <w:topLinePunct w:val="0"/>
        <w:bidi w:val="0"/>
        <w:adjustRightInd w:val="0"/>
        <w:snapToGrid w:val="0"/>
        <w:spacing w:before="0"/>
        <w:ind w:left="0" w:leftChars="0" w:firstLine="480"/>
        <w:textAlignment w:val="auto"/>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pPr>
        <w:pStyle w:val="137"/>
        <w:keepNext w:val="0"/>
        <w:keepLines w:val="0"/>
        <w:pageBreakBefore w:val="0"/>
        <w:kinsoku/>
        <w:wordWrap/>
        <w:overflowPunct/>
        <w:topLinePunct w:val="0"/>
        <w:bidi w:val="0"/>
        <w:adjustRightInd w:val="0"/>
        <w:spacing w:before="0"/>
        <w:ind w:left="0" w:leftChars="0" w:firstLine="0" w:firstLineChars="0"/>
        <w:textAlignment w:val="auto"/>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pPr>
        <w:pStyle w:val="137"/>
        <w:keepNext w:val="0"/>
        <w:keepLines w:val="0"/>
        <w:pageBreakBefore w:val="0"/>
        <w:kinsoku/>
        <w:wordWrap/>
        <w:overflowPunct/>
        <w:topLinePunct w:val="0"/>
        <w:bidi w:val="0"/>
        <w:adjustRightInd w:val="0"/>
        <w:spacing w:before="0"/>
        <w:ind w:left="0" w:leftChars="0" w:firstLine="480"/>
        <w:textAlignment w:val="auto"/>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7"/>
        <w:keepNext w:val="0"/>
        <w:keepLines w:val="0"/>
        <w:pageBreakBefore w:val="0"/>
        <w:kinsoku/>
        <w:wordWrap/>
        <w:overflowPunct/>
        <w:topLinePunct w:val="0"/>
        <w:bidi w:val="0"/>
        <w:adjustRightInd w:val="0"/>
        <w:spacing w:before="0"/>
        <w:ind w:left="0" w:leftChars="0" w:firstLine="480"/>
        <w:textAlignment w:val="auto"/>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7"/>
        <w:keepNext w:val="0"/>
        <w:keepLines w:val="0"/>
        <w:pageBreakBefore w:val="0"/>
        <w:kinsoku/>
        <w:wordWrap/>
        <w:overflowPunct/>
        <w:topLinePunct w:val="0"/>
        <w:bidi w:val="0"/>
        <w:adjustRightInd w:val="0"/>
        <w:spacing w:before="0"/>
        <w:ind w:left="0" w:leftChars="0" w:firstLine="480"/>
        <w:textAlignment w:val="auto"/>
        <w:rPr>
          <w:rFonts w:hint="eastAsia" w:ascii="宋体" w:hAnsi="宋体" w:eastAsia="宋体" w:cs="宋体"/>
          <w:color w:val="auto"/>
          <w:szCs w:val="24"/>
        </w:rPr>
      </w:pPr>
      <w:r>
        <w:rPr>
          <w:rFonts w:hint="eastAsia" w:ascii="宋体" w:hAnsi="宋体" w:eastAsia="宋体" w:cs="宋体"/>
          <w:color w:val="auto"/>
          <w:szCs w:val="24"/>
        </w:rPr>
        <w:t>14.3采购人、</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可以视情况延长投标文件提交的截止时间。在上述情况下，</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与投标人以前在投标截止期方面的全部权利、责任和义务，将适用于延长至新的投标截止期。</w:t>
      </w:r>
    </w:p>
    <w:p>
      <w:pPr>
        <w:pStyle w:val="2"/>
        <w:keepNext w:val="0"/>
        <w:keepLines w:val="0"/>
        <w:pageBreakBefore w:val="0"/>
        <w:kinsoku/>
        <w:wordWrap/>
        <w:overflowPunct/>
        <w:topLinePunct w:val="0"/>
        <w:bidi w:val="0"/>
        <w:adjustRightInd w:val="0"/>
        <w:spacing w:line="360" w:lineRule="auto"/>
        <w:ind w:left="0" w:left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pPr>
        <w:pStyle w:val="2"/>
        <w:keepNext w:val="0"/>
        <w:keepLines w:val="0"/>
        <w:pageBreakBefore w:val="0"/>
        <w:kinsoku/>
        <w:wordWrap/>
        <w:overflowPunct/>
        <w:topLinePunct w:val="0"/>
        <w:bidi w:val="0"/>
        <w:adjustRightInd w:val="0"/>
        <w:spacing w:line="360" w:lineRule="auto"/>
        <w:ind w:left="0" w:leftChars="0" w:firstLine="360" w:firstLineChars="15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p>
      <w:pPr>
        <w:pStyle w:val="2"/>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w:t>
      </w:r>
      <w:r>
        <w:rPr>
          <w:rFonts w:hint="eastAsia" w:ascii="宋体" w:hAnsi="宋体" w:eastAsia="宋体" w:cs="宋体"/>
          <w:color w:val="auto"/>
          <w:sz w:val="24"/>
          <w:lang w:val="en-US" w:eastAsia="zh-CN"/>
        </w:rPr>
        <w:t>等存储介质</w:t>
      </w:r>
      <w:r>
        <w:rPr>
          <w:rFonts w:hint="eastAsia" w:ascii="宋体" w:hAnsi="宋体" w:eastAsia="宋体" w:cs="宋体"/>
          <w:color w:val="auto"/>
          <w:sz w:val="24"/>
          <w:szCs w:val="24"/>
        </w:rPr>
        <w:t>中。备份投标文件应当密封包装并在包装上加盖公章并注明投标项目名称，投标人名称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联合体投标的，包装物封面需注明联合体投标，并注明联合体成员各方的名称和联合协议中约定的牵头人的名称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pPr>
        <w:pStyle w:val="2"/>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w:t>
      </w:r>
    </w:p>
    <w:p>
      <w:pPr>
        <w:pStyle w:val="2"/>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将拒绝接受逾期送达的备份投标文件。邮寄过程中，电子备份投标文件发生泄露、遗失、损坏或延期送达等情况的，由投标人自行负责。</w:t>
      </w:r>
    </w:p>
    <w:p>
      <w:pPr>
        <w:pStyle w:val="2"/>
        <w:keepNext w:val="0"/>
        <w:keepLines w:val="0"/>
        <w:pageBreakBefore w:val="0"/>
        <w:kinsoku/>
        <w:wordWrap/>
        <w:overflowPunct/>
        <w:topLinePunct w:val="0"/>
        <w:bidi w:val="0"/>
        <w:adjustRightInd w:val="0"/>
        <w:spacing w:line="360" w:lineRule="auto"/>
        <w:ind w:left="0" w:leftChars="0" w:firstLine="479" w:firstLineChars="199"/>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pPr>
        <w:pStyle w:val="137"/>
        <w:keepNext w:val="0"/>
        <w:keepLines w:val="0"/>
        <w:pageBreakBefore w:val="0"/>
        <w:kinsoku/>
        <w:wordWrap/>
        <w:overflowPunct/>
        <w:topLinePunct w:val="0"/>
        <w:bidi w:val="0"/>
        <w:adjustRightInd w:val="0"/>
        <w:spacing w:before="0"/>
        <w:ind w:left="0" w:leftChars="0" w:firstLine="0" w:firstLineChars="0"/>
        <w:textAlignment w:val="auto"/>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pPr>
        <w:pStyle w:val="25"/>
        <w:keepNext w:val="0"/>
        <w:keepLines w:val="0"/>
        <w:pageBreakBefore w:val="0"/>
        <w:kinsoku/>
        <w:wordWrap/>
        <w:overflowPunct/>
        <w:topLinePunct w:val="0"/>
        <w:bidi w:val="0"/>
        <w:adjustRightInd w:val="0"/>
        <w:spacing w:line="360" w:lineRule="auto"/>
        <w:ind w:left="0" w:leftChars="0" w:firstLine="360" w:firstLineChars="150"/>
        <w:textAlignment w:val="auto"/>
        <w:rPr>
          <w:rFonts w:hint="eastAsia" w:ascii="宋体" w:hAnsi="宋体" w:eastAsia="宋体" w:cs="宋体"/>
          <w:color w:val="auto"/>
          <w:szCs w:val="21"/>
        </w:rPr>
      </w:pPr>
      <w:r>
        <w:rPr>
          <w:rFonts w:hint="eastAsia" w:ascii="宋体" w:hAnsi="宋体" w:eastAsia="宋体" w:cs="宋体"/>
          <w:color w:val="auto"/>
          <w:szCs w:val="21"/>
        </w:rPr>
        <w:t>有招标文件第四部分4.2规定的情形之一的，投标无效：</w:t>
      </w:r>
    </w:p>
    <w:p>
      <w:pPr>
        <w:pStyle w:val="137"/>
        <w:keepNext w:val="0"/>
        <w:keepLines w:val="0"/>
        <w:pageBreakBefore w:val="0"/>
        <w:kinsoku/>
        <w:wordWrap/>
        <w:overflowPunct/>
        <w:topLinePunct w:val="0"/>
        <w:bidi w:val="0"/>
        <w:adjustRightInd w:val="0"/>
        <w:spacing w:before="0"/>
        <w:ind w:left="0" w:leftChars="0" w:firstLine="0" w:firstLineChars="0"/>
        <w:textAlignment w:val="auto"/>
        <w:rPr>
          <w:rFonts w:hint="eastAsia" w:ascii="宋体" w:hAnsi="宋体" w:eastAsia="宋体" w:cs="宋体"/>
          <w:b/>
          <w:color w:val="auto"/>
          <w:szCs w:val="24"/>
        </w:rPr>
      </w:pPr>
      <w:r>
        <w:rPr>
          <w:rFonts w:hint="eastAsia" w:ascii="宋体" w:hAnsi="宋体" w:eastAsia="宋体" w:cs="宋体"/>
          <w:b/>
          <w:color w:val="auto"/>
          <w:szCs w:val="24"/>
        </w:rPr>
        <w:t>17.投标有效期</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pPr>
        <w:pStyle w:val="137"/>
        <w:keepNext w:val="0"/>
        <w:keepLines w:val="0"/>
        <w:pageBreakBefore w:val="0"/>
        <w:kinsoku/>
        <w:wordWrap/>
        <w:overflowPunct/>
        <w:topLinePunct w:val="0"/>
        <w:bidi w:val="0"/>
        <w:adjustRightInd w:val="0"/>
        <w:spacing w:before="0"/>
        <w:ind w:left="0" w:leftChars="0" w:firstLine="480"/>
        <w:textAlignment w:val="auto"/>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pPr>
        <w:pStyle w:val="137"/>
        <w:keepNext w:val="0"/>
        <w:keepLines w:val="0"/>
        <w:pageBreakBefore w:val="0"/>
        <w:kinsoku/>
        <w:wordWrap/>
        <w:overflowPunct/>
        <w:topLinePunct w:val="0"/>
        <w:bidi w:val="0"/>
        <w:adjustRightInd w:val="0"/>
        <w:spacing w:before="0"/>
        <w:ind w:left="0" w:leftChars="0" w:firstLine="480"/>
        <w:textAlignment w:val="auto"/>
        <w:rPr>
          <w:rFonts w:hint="eastAsia" w:ascii="宋体" w:hAnsi="宋体" w:eastAsia="宋体" w:cs="宋体"/>
          <w:color w:val="auto"/>
        </w:rPr>
      </w:pPr>
      <w:r>
        <w:rPr>
          <w:rFonts w:hint="eastAsia" w:ascii="宋体" w:hAnsi="宋体" w:eastAsia="宋体" w:cs="宋体"/>
          <w:color w:val="auto"/>
        </w:rPr>
        <w:t>17.3在原定投标有效期满之前，如果出现特殊情况，</w:t>
      </w:r>
      <w:r>
        <w:rPr>
          <w:rFonts w:hint="eastAsia" w:ascii="宋体" w:hAnsi="宋体" w:eastAsia="宋体" w:cs="宋体"/>
          <w:color w:val="auto"/>
          <w:lang w:eastAsia="zh-CN"/>
        </w:rPr>
        <w:t>采购代理机构</w:t>
      </w:r>
      <w:r>
        <w:rPr>
          <w:rFonts w:hint="eastAsia" w:ascii="宋体" w:hAnsi="宋体" w:eastAsia="宋体" w:cs="宋体"/>
          <w:color w:val="auto"/>
        </w:rPr>
        <w:t>可以以书面形式通知投标人延长投标有效期。投标人同意延长的，不得要求或被允许修改其投标文件，投标人拒绝延长的，其投标无效。</w:t>
      </w:r>
    </w:p>
    <w:p>
      <w:pPr>
        <w:pStyle w:val="137"/>
        <w:spacing w:before="0"/>
        <w:ind w:firstLine="1928" w:firstLineChars="600"/>
        <w:outlineLvl w:val="1"/>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pPr>
        <w:pStyle w:val="562"/>
        <w:keepNext w:val="0"/>
        <w:keepLines w:val="0"/>
        <w:pageBreakBefore w:val="0"/>
        <w:kinsoku/>
        <w:wordWrap/>
        <w:overflowPunct/>
        <w:topLinePunct w:val="0"/>
        <w:bidi w:val="0"/>
        <w:adjustRightInd w:val="0"/>
        <w:spacing w:before="0" w:beforeAutospacing="0" w:line="360" w:lineRule="auto"/>
        <w:ind w:left="0" w:firstLine="241" w:firstLineChars="100"/>
        <w:contextualSpacing/>
        <w:textAlignment w:val="auto"/>
        <w:rPr>
          <w:rFonts w:hint="eastAsia" w:ascii="宋体" w:hAnsi="宋体" w:eastAsia="宋体" w:cs="宋体"/>
          <w:color w:val="auto"/>
          <w:sz w:val="24"/>
        </w:rPr>
      </w:pPr>
      <w:r>
        <w:rPr>
          <w:rFonts w:hint="eastAsia" w:ascii="宋体" w:hAnsi="宋体" w:eastAsia="宋体" w:cs="宋体"/>
          <w:b/>
          <w:color w:val="auto"/>
          <w:sz w:val="24"/>
          <w:szCs w:val="24"/>
        </w:rPr>
        <w:t>18.开标</w:t>
      </w:r>
      <w:r>
        <w:rPr>
          <w:rFonts w:hint="eastAsia" w:ascii="宋体" w:hAnsi="宋体" w:eastAsia="宋体" w:cs="宋体"/>
          <w:color w:val="auto"/>
          <w:sz w:val="24"/>
        </w:rPr>
        <w:t xml:space="preserve"> </w:t>
      </w:r>
    </w:p>
    <w:p>
      <w:pPr>
        <w:pStyle w:val="562"/>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18.1</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按照招标文件规定的时间通过电子交易平台组织开标，所有投标人均应当准时在线参加。投标人不足3家的，不得开标。</w:t>
      </w:r>
    </w:p>
    <w:p>
      <w:pPr>
        <w:pStyle w:val="562"/>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依托电子交易平台发起开始解密指令，投标人按照平台提示和招标文件的规定在半小时内完成在线解密。</w:t>
      </w:r>
    </w:p>
    <w:p>
      <w:pPr>
        <w:pStyle w:val="562"/>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宋体" w:hAnsi="宋体" w:eastAsia="宋体" w:cs="宋体"/>
          <w:b/>
          <w:color w:val="auto"/>
          <w:sz w:val="24"/>
          <w:szCs w:val="20"/>
        </w:rPr>
      </w:pPr>
      <w:r>
        <w:rPr>
          <w:rFonts w:hint="eastAsia" w:ascii="宋体" w:hAnsi="宋体" w:eastAsia="宋体" w:cs="宋体"/>
          <w:b/>
          <w:color w:val="auto"/>
          <w:sz w:val="24"/>
          <w:szCs w:val="20"/>
        </w:rPr>
        <w:t>　19、资格审查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sz w:val="24"/>
        </w:rPr>
        <w:t>采购人或</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依据法律法规和招标文件的规定，对投标人的资格进行审查。</w:t>
      </w:r>
    </w:p>
    <w:p>
      <w:pPr>
        <w:pStyle w:val="137"/>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kern w:val="0"/>
          <w:szCs w:val="24"/>
          <w:lang w:val="en-US" w:eastAsia="zh-CN"/>
        </w:rPr>
        <w:t>2</w:t>
      </w:r>
      <w:r>
        <w:rPr>
          <w:rFonts w:hint="eastAsia" w:ascii="宋体" w:hAnsi="宋体" w:eastAsia="宋体" w:cs="宋体"/>
          <w:color w:val="auto"/>
          <w:kern w:val="0"/>
          <w:szCs w:val="24"/>
        </w:rPr>
        <w:t>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pPr>
        <w:pStyle w:val="137"/>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3</w:t>
      </w:r>
      <w:r>
        <w:rPr>
          <w:rFonts w:hint="eastAsia" w:ascii="宋体" w:hAnsi="宋体" w:eastAsia="宋体" w:cs="宋体"/>
          <w:color w:val="auto"/>
        </w:rPr>
        <w:t>对未通过资格审查的投标人，采购人或</w:t>
      </w:r>
      <w:r>
        <w:rPr>
          <w:rFonts w:hint="eastAsia" w:ascii="宋体" w:hAnsi="宋体" w:eastAsia="宋体" w:cs="宋体"/>
          <w:color w:val="auto"/>
          <w:lang w:eastAsia="zh-CN"/>
        </w:rPr>
        <w:t>采购代理机构</w:t>
      </w:r>
      <w:r>
        <w:rPr>
          <w:rFonts w:hint="eastAsia" w:ascii="宋体" w:hAnsi="宋体" w:eastAsia="宋体" w:cs="宋体"/>
          <w:color w:val="auto"/>
        </w:rPr>
        <w:t>告知其未通过的原因。</w:t>
      </w:r>
    </w:p>
    <w:p>
      <w:pPr>
        <w:pStyle w:val="137"/>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4</w:t>
      </w:r>
      <w:r>
        <w:rPr>
          <w:rFonts w:hint="eastAsia" w:ascii="宋体" w:hAnsi="宋体" w:eastAsia="宋体" w:cs="宋体"/>
          <w:color w:val="auto"/>
        </w:rPr>
        <w:t>合格投标人不足3家的，不再评标。</w:t>
      </w:r>
    </w:p>
    <w:p>
      <w:pPr>
        <w:pStyle w:val="137"/>
        <w:keepNext w:val="0"/>
        <w:keepLines w:val="0"/>
        <w:pageBreakBefore w:val="0"/>
        <w:kinsoku/>
        <w:wordWrap/>
        <w:overflowPunct/>
        <w:topLinePunct w:val="0"/>
        <w:bidi w:val="0"/>
        <w:adjustRightInd w:val="0"/>
        <w:snapToGri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7"/>
        <w:keepNext w:val="0"/>
        <w:keepLines w:val="0"/>
        <w:pageBreakBefore w:val="0"/>
        <w:kinsoku/>
        <w:wordWrap/>
        <w:overflowPunct/>
        <w:topLinePunct w:val="0"/>
        <w:bidi w:val="0"/>
        <w:adjustRightInd w:val="0"/>
        <w:spacing w:before="0" w:beforeAutospacing="0"/>
        <w:ind w:firstLine="0" w:firstLineChars="0"/>
        <w:textAlignment w:val="auto"/>
        <w:rPr>
          <w:rFonts w:hint="eastAsia" w:ascii="宋体" w:hAnsi="宋体" w:eastAsia="宋体" w:cs="宋体"/>
          <w:b/>
          <w:color w:val="auto"/>
          <w:szCs w:val="24"/>
        </w:rPr>
      </w:pPr>
      <w:r>
        <w:rPr>
          <w:rFonts w:hint="eastAsia" w:ascii="宋体" w:hAnsi="宋体" w:eastAsia="宋体" w:cs="宋体"/>
          <w:b/>
          <w:color w:val="auto"/>
          <w:szCs w:val="24"/>
        </w:rPr>
        <w:t>20、信用信息查询</w:t>
      </w:r>
    </w:p>
    <w:p>
      <w:pPr>
        <w:pStyle w:val="137"/>
        <w:keepNext w:val="0"/>
        <w:keepLines w:val="0"/>
        <w:pageBreakBefore w:val="0"/>
        <w:kinsoku/>
        <w:wordWrap/>
        <w:overflowPunct/>
        <w:topLinePunct w:val="0"/>
        <w:bidi w:val="0"/>
        <w:adjustRightInd w:val="0"/>
        <w:spacing w:before="0" w:beforeAutospacing="0"/>
        <w:ind w:firstLine="495" w:firstLineChars="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w:t>
      </w:r>
      <w:r>
        <w:rPr>
          <w:rFonts w:hint="eastAsia" w:ascii="宋体" w:hAnsi="宋体" w:eastAsia="宋体" w:cs="宋体"/>
          <w:color w:val="auto"/>
          <w:kern w:val="0"/>
          <w:szCs w:val="24"/>
          <w:lang w:eastAsia="zh-CN"/>
        </w:rPr>
        <w:t>采购代理机构</w:t>
      </w:r>
      <w:r>
        <w:rPr>
          <w:rFonts w:hint="eastAsia" w:ascii="宋体" w:hAnsi="宋体" w:eastAsia="宋体" w:cs="宋体"/>
          <w:color w:val="auto"/>
          <w:kern w:val="0"/>
          <w:szCs w:val="24"/>
        </w:rPr>
        <w:t>将在资格审查时通过“信用中国”网站</w:t>
      </w:r>
      <w:r>
        <w:rPr>
          <w:rFonts w:hint="eastAsia" w:ascii="宋体" w:hAnsi="宋体" w:eastAsia="宋体" w:cs="宋体"/>
          <w:color w:val="auto"/>
          <w:kern w:val="0"/>
          <w:szCs w:val="24"/>
          <w:lang w:eastAsia="zh-CN"/>
        </w:rPr>
        <w:t>(</w:t>
      </w:r>
      <w:r>
        <w:rPr>
          <w:rFonts w:hint="eastAsia" w:ascii="宋体" w:hAnsi="宋体" w:eastAsia="宋体" w:cs="宋体"/>
          <w:color w:val="auto"/>
          <w:kern w:val="0"/>
          <w:szCs w:val="24"/>
        </w:rPr>
        <w:t>www.creditchina.gov.cn)、中国政府采购网(www.ccgp.gov.cn)渠道查询投标人接受资格时的信用记录。</w:t>
      </w:r>
    </w:p>
    <w:p>
      <w:pPr>
        <w:pStyle w:val="137"/>
        <w:keepNext w:val="0"/>
        <w:keepLines w:val="0"/>
        <w:pageBreakBefore w:val="0"/>
        <w:kinsoku/>
        <w:wordWrap/>
        <w:overflowPunct/>
        <w:topLinePunct w:val="0"/>
        <w:bidi w:val="0"/>
        <w:adjustRightInd w:val="0"/>
        <w:spacing w:before="0" w:beforeAutospacing="0"/>
        <w:ind w:firstLine="495" w:firstLineChars="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pPr>
        <w:pStyle w:val="137"/>
        <w:keepNext w:val="0"/>
        <w:keepLines w:val="0"/>
        <w:pageBreakBefore w:val="0"/>
        <w:kinsoku/>
        <w:wordWrap/>
        <w:overflowPunct/>
        <w:topLinePunct w:val="0"/>
        <w:bidi w:val="0"/>
        <w:adjustRightInd w:val="0"/>
        <w:spacing w:before="0" w:beforeAutospacing="0"/>
        <w:ind w:firstLine="495" w:firstLineChars="0"/>
        <w:textAlignment w:val="auto"/>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7"/>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pPr>
        <w:snapToGrid w:val="0"/>
        <w:spacing w:line="360" w:lineRule="auto"/>
        <w:jc w:val="center"/>
        <w:outlineLvl w:val="1"/>
        <w:rPr>
          <w:rFonts w:hint="eastAsia" w:ascii="宋体" w:hAnsi="宋体" w:eastAsia="宋体" w:cs="宋体"/>
          <w:b/>
          <w:color w:val="auto"/>
          <w:sz w:val="36"/>
          <w:szCs w:val="36"/>
        </w:rPr>
      </w:pPr>
      <w:r>
        <w:rPr>
          <w:rFonts w:hint="eastAsia" w:ascii="宋体" w:hAnsi="宋体" w:eastAsia="宋体" w:cs="宋体"/>
          <w:b/>
          <w:color w:val="auto"/>
          <w:sz w:val="36"/>
          <w:szCs w:val="36"/>
        </w:rPr>
        <w:t>五、评标</w:t>
      </w:r>
    </w:p>
    <w:p>
      <w:pPr>
        <w:spacing w:line="360" w:lineRule="auto"/>
        <w:rPr>
          <w:rFonts w:hint="eastAsia" w:ascii="宋体" w:hAnsi="宋体" w:eastAsia="宋体" w:cs="宋体"/>
          <w:b/>
          <w:color w:val="auto"/>
          <w:sz w:val="24"/>
        </w:rPr>
      </w:pPr>
      <w:bookmarkStart w:id="13" w:name="_Toc91899903"/>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pPr>
        <w:snapToGrid w:val="0"/>
        <w:spacing w:line="360" w:lineRule="auto"/>
        <w:jc w:val="center"/>
        <w:outlineLvl w:val="1"/>
        <w:rPr>
          <w:rFonts w:hint="eastAsia" w:ascii="宋体" w:hAnsi="宋体" w:eastAsia="宋体" w:cs="宋体"/>
          <w:b/>
          <w:color w:val="auto"/>
          <w:sz w:val="36"/>
          <w:szCs w:val="36"/>
        </w:rPr>
      </w:pPr>
      <w:r>
        <w:rPr>
          <w:rFonts w:hint="eastAsia" w:ascii="宋体" w:hAnsi="宋体" w:eastAsia="宋体" w:cs="宋体"/>
          <w:b/>
          <w:color w:val="auto"/>
          <w:sz w:val="36"/>
          <w:szCs w:val="36"/>
        </w:rPr>
        <w:t>六、定 标</w:t>
      </w:r>
    </w:p>
    <w:p>
      <w:pPr>
        <w:pStyle w:val="25"/>
        <w:keepNext w:val="0"/>
        <w:keepLines w:val="0"/>
        <w:pageBreakBefore w:val="0"/>
        <w:kinsoku/>
        <w:wordWrap/>
        <w:overflowPunct/>
        <w:topLinePunct w:val="0"/>
        <w:autoSpaceDE/>
        <w:autoSpaceDN/>
        <w:bidi w:val="0"/>
        <w:adjustRightInd w:val="0"/>
        <w:spacing w:line="360" w:lineRule="auto"/>
        <w:ind w:left="0" w:hanging="479" w:hangingChars="199"/>
        <w:textAlignment w:val="auto"/>
        <w:rPr>
          <w:rFonts w:hint="eastAsia" w:ascii="宋体" w:hAnsi="宋体" w:eastAsia="宋体" w:cs="宋体"/>
          <w:b/>
          <w:color w:val="auto"/>
        </w:rPr>
      </w:pPr>
      <w:r>
        <w:rPr>
          <w:rFonts w:hint="eastAsia" w:ascii="宋体" w:hAnsi="宋体" w:eastAsia="宋体" w:cs="宋体"/>
          <w:b/>
          <w:color w:val="auto"/>
        </w:rPr>
        <w:t>22. 确定中标供应商</w:t>
      </w:r>
    </w:p>
    <w:p>
      <w:pPr>
        <w:pStyle w:val="137"/>
        <w:keepNext w:val="0"/>
        <w:keepLines w:val="0"/>
        <w:pageBreakBefore w:val="0"/>
        <w:kinsoku/>
        <w:wordWrap/>
        <w:overflowPunct/>
        <w:topLinePunct w:val="0"/>
        <w:autoSpaceDE/>
        <w:autoSpaceDN/>
        <w:bidi w:val="0"/>
        <w:adjustRightInd w:val="0"/>
        <w:snapToGrid w:val="0"/>
        <w:spacing w:before="0"/>
        <w:ind w:left="0" w:firstLine="480"/>
        <w:textAlignment w:val="auto"/>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lang w:val="en-US" w:eastAsia="zh-CN"/>
        </w:rPr>
        <w:t>鼓励</w:t>
      </w:r>
      <w:r>
        <w:rPr>
          <w:rFonts w:hint="eastAsia" w:ascii="宋体" w:hAnsi="宋体" w:eastAsia="宋体" w:cs="宋体"/>
          <w:color w:val="auto"/>
          <w:szCs w:val="24"/>
        </w:rPr>
        <w:t>在收到评审报告当天</w:t>
      </w:r>
      <w:r>
        <w:rPr>
          <w:rFonts w:hint="eastAsia" w:ascii="宋体" w:hAnsi="宋体" w:eastAsia="宋体" w:cs="宋体"/>
          <w:color w:val="auto"/>
          <w:szCs w:val="24"/>
          <w:lang w:val="en-US" w:eastAsia="zh-CN"/>
        </w:rPr>
        <w:t>在线</w:t>
      </w:r>
      <w:r>
        <w:rPr>
          <w:rFonts w:hint="eastAsia" w:ascii="宋体" w:hAnsi="宋体" w:eastAsia="宋体" w:cs="宋体"/>
          <w:color w:val="auto"/>
          <w:szCs w:val="24"/>
        </w:rPr>
        <w:t>确定中标或者成交供应商。中标、成交通知书和中标、成交结果公告应当在规定时间内同时发出。</w:t>
      </w:r>
    </w:p>
    <w:p>
      <w:pPr>
        <w:pStyle w:val="137"/>
        <w:keepNext w:val="0"/>
        <w:keepLines w:val="0"/>
        <w:pageBreakBefore w:val="0"/>
        <w:kinsoku/>
        <w:wordWrap/>
        <w:overflowPunct/>
        <w:topLinePunct w:val="0"/>
        <w:autoSpaceDE/>
        <w:autoSpaceDN/>
        <w:bidi w:val="0"/>
        <w:adjustRightInd w:val="0"/>
        <w:snapToGrid w:val="0"/>
        <w:spacing w:before="0"/>
        <w:ind w:left="0" w:firstLine="0" w:firstLineChars="0"/>
        <w:textAlignment w:val="auto"/>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23.1自中标人确定之日起2个工作日内，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通过电子交易平台向中标人发出中标通知书，同时编制发布采购结果公告。</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也可以以纸质形式进行中标通知。</w:t>
      </w:r>
    </w:p>
    <w:p>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rPr>
        <w:t>资格审查情况、评审专家抽取规则、符合性审查情况、</w:t>
      </w:r>
      <w:bookmarkEnd w:id="14"/>
      <w:r>
        <w:rPr>
          <w:rFonts w:hint="eastAsia" w:ascii="宋体" w:hAnsi="宋体" w:eastAsia="宋体" w:cs="宋体"/>
          <w:color w:val="auto"/>
          <w:sz w:val="24"/>
        </w:rPr>
        <w:t>未中标情况说明、中标公告期限以及评审专家名单、评分汇总及明细。</w:t>
      </w:r>
    </w:p>
    <w:p>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23.3公告期限为1个工作日。</w:t>
      </w:r>
    </w:p>
    <w:p>
      <w:pPr>
        <w:pStyle w:val="137"/>
        <w:keepNext w:val="0"/>
        <w:keepLines w:val="0"/>
        <w:pageBreakBefore w:val="0"/>
        <w:kinsoku/>
        <w:wordWrap/>
        <w:overflowPunct/>
        <w:topLinePunct w:val="0"/>
        <w:autoSpaceDE/>
        <w:autoSpaceDN/>
        <w:bidi w:val="0"/>
        <w:adjustRightInd w:val="0"/>
        <w:snapToGrid w:val="0"/>
        <w:spacing w:before="0"/>
        <w:ind w:left="0" w:firstLine="482" w:firstLineChars="200"/>
        <w:textAlignment w:val="auto"/>
        <w:rPr>
          <w:rStyle w:val="78"/>
          <w:rFonts w:hint="eastAsia" w:ascii="宋体" w:hAnsi="宋体" w:eastAsia="宋体" w:cs="宋体"/>
          <w:color w:val="auto"/>
        </w:rPr>
      </w:pPr>
      <w:r>
        <w:rPr>
          <w:rFonts w:hint="eastAsia" w:ascii="宋体" w:hAnsi="宋体" w:eastAsia="宋体" w:cs="宋体"/>
          <w:b/>
          <w:color w:val="auto"/>
          <w:szCs w:val="24"/>
          <w:lang w:val="en-US" w:eastAsia="zh-CN"/>
        </w:rPr>
        <w:t xml:space="preserve">23.4 </w:t>
      </w:r>
      <w:r>
        <w:rPr>
          <w:rFonts w:hint="eastAsia" w:ascii="宋体" w:hAnsi="宋体" w:eastAsia="宋体" w:cs="宋体"/>
          <w:b w:val="0"/>
          <w:bCs/>
          <w:color w:val="auto"/>
          <w:szCs w:val="24"/>
        </w:rPr>
        <w:t>由于</w:t>
      </w:r>
      <w:r>
        <w:rPr>
          <w:rFonts w:hint="eastAsia" w:ascii="宋体" w:hAnsi="宋体" w:eastAsia="宋体" w:cs="宋体"/>
          <w:bCs/>
          <w:color w:val="auto"/>
          <w:szCs w:val="24"/>
        </w:rPr>
        <w:t>中标、成交供应商原因导致重新采购的，应当承担支付代理费和专家评审费等费用在内的赔偿责任。</w:t>
      </w:r>
    </w:p>
    <w:p>
      <w:pPr>
        <w:snapToGrid w:val="0"/>
        <w:spacing w:line="360" w:lineRule="auto"/>
        <w:ind w:left="0" w:leftChars="0" w:firstLine="0" w:firstLineChars="0"/>
        <w:jc w:val="center"/>
        <w:outlineLvl w:val="1"/>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25"/>
        <w:keepNext w:val="0"/>
        <w:keepLines w:val="0"/>
        <w:pageBreakBefore w:val="0"/>
        <w:kinsoku/>
        <w:wordWrap/>
        <w:overflowPunct/>
        <w:topLinePunct w:val="0"/>
        <w:autoSpaceDE/>
        <w:autoSpaceDN/>
        <w:bidi w:val="0"/>
        <w:spacing w:line="360" w:lineRule="auto"/>
        <w:ind w:left="0" w:hanging="479" w:hangingChars="199"/>
        <w:textAlignment w:val="auto"/>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pPr>
        <w:pStyle w:val="25"/>
        <w:keepNext w:val="0"/>
        <w:keepLines w:val="0"/>
        <w:pageBreakBefore w:val="0"/>
        <w:kinsoku/>
        <w:wordWrap/>
        <w:overflowPunct/>
        <w:topLinePunct w:val="0"/>
        <w:autoSpaceDE/>
        <w:autoSpaceDN/>
        <w:bidi w:val="0"/>
        <w:spacing w:line="360" w:lineRule="auto"/>
        <w:ind w:left="0" w:hanging="479" w:hangingChars="199"/>
        <w:textAlignment w:val="auto"/>
        <w:rPr>
          <w:rFonts w:hint="eastAsia" w:ascii="宋体" w:hAnsi="宋体" w:eastAsia="宋体" w:cs="宋体"/>
          <w:b/>
          <w:color w:val="auto"/>
        </w:rPr>
      </w:pPr>
      <w:r>
        <w:rPr>
          <w:rFonts w:hint="eastAsia" w:ascii="宋体" w:hAnsi="宋体" w:eastAsia="宋体" w:cs="宋体"/>
          <w:b/>
          <w:color w:val="auto"/>
        </w:rPr>
        <w:t>25. 合同的签订</w:t>
      </w:r>
    </w:p>
    <w:p>
      <w:pPr>
        <w:keepNext w:val="0"/>
        <w:keepLines w:val="0"/>
        <w:pageBreakBefore w:val="0"/>
        <w:widowControl/>
        <w:shd w:val="clear" w:color="auto" w:fill="FFFFFF"/>
        <w:kinsoku/>
        <w:wordWrap/>
        <w:overflowPunct/>
        <w:topLinePunct w:val="0"/>
        <w:autoSpaceDE/>
        <w:autoSpaceDN/>
        <w:bidi w:val="0"/>
        <w:spacing w:line="360" w:lineRule="auto"/>
        <w:ind w:left="0" w:firstLine="480"/>
        <w:jc w:val="left"/>
        <w:textAlignment w:val="auto"/>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7"/>
        <w:keepNext w:val="0"/>
        <w:keepLines w:val="0"/>
        <w:pageBreakBefore w:val="0"/>
        <w:kinsoku/>
        <w:wordWrap/>
        <w:overflowPunct/>
        <w:topLinePunct w:val="0"/>
        <w:autoSpaceDE/>
        <w:autoSpaceDN/>
        <w:bidi w:val="0"/>
        <w:snapToGrid w:val="0"/>
        <w:spacing w:before="0"/>
        <w:ind w:left="0" w:firstLine="480"/>
        <w:textAlignment w:val="auto"/>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7"/>
        <w:keepNext w:val="0"/>
        <w:keepLines w:val="0"/>
        <w:pageBreakBefore w:val="0"/>
        <w:kinsoku/>
        <w:wordWrap/>
        <w:overflowPunct/>
        <w:topLinePunct w:val="0"/>
        <w:autoSpaceDE/>
        <w:autoSpaceDN/>
        <w:bidi w:val="0"/>
        <w:snapToGrid w:val="0"/>
        <w:spacing w:before="0"/>
        <w:ind w:left="0" w:firstLine="480"/>
        <w:textAlignment w:val="auto"/>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pPr>
        <w:pStyle w:val="137"/>
        <w:keepNext w:val="0"/>
        <w:keepLines w:val="0"/>
        <w:pageBreakBefore w:val="0"/>
        <w:kinsoku/>
        <w:wordWrap/>
        <w:overflowPunct/>
        <w:topLinePunct w:val="0"/>
        <w:autoSpaceDE/>
        <w:autoSpaceDN/>
        <w:bidi w:val="0"/>
        <w:snapToGrid w:val="0"/>
        <w:spacing w:before="0"/>
        <w:ind w:left="0" w:firstLine="480"/>
        <w:textAlignment w:val="auto"/>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7"/>
        <w:keepNext w:val="0"/>
        <w:keepLines w:val="0"/>
        <w:pageBreakBefore w:val="0"/>
        <w:kinsoku/>
        <w:wordWrap/>
        <w:overflowPunct/>
        <w:topLinePunct w:val="0"/>
        <w:autoSpaceDE/>
        <w:autoSpaceDN/>
        <w:bidi w:val="0"/>
        <w:snapToGrid w:val="0"/>
        <w:spacing w:before="0"/>
        <w:ind w:left="0" w:firstLine="480"/>
        <w:textAlignment w:val="auto"/>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pPr>
        <w:pStyle w:val="25"/>
        <w:keepNext w:val="0"/>
        <w:keepLines w:val="0"/>
        <w:pageBreakBefore w:val="0"/>
        <w:kinsoku/>
        <w:wordWrap/>
        <w:overflowPunct/>
        <w:topLinePunct w:val="0"/>
        <w:autoSpaceDE/>
        <w:autoSpaceDN/>
        <w:bidi w:val="0"/>
        <w:spacing w:line="360" w:lineRule="auto"/>
        <w:ind w:left="0" w:hanging="479" w:hangingChars="199"/>
        <w:textAlignment w:val="auto"/>
        <w:rPr>
          <w:rFonts w:hint="eastAsia" w:ascii="宋体" w:hAnsi="宋体" w:eastAsia="宋体" w:cs="宋体"/>
          <w:b/>
          <w:color w:val="auto"/>
        </w:rPr>
      </w:pPr>
      <w:r>
        <w:rPr>
          <w:rFonts w:hint="eastAsia" w:ascii="宋体" w:hAnsi="宋体" w:eastAsia="宋体" w:cs="宋体"/>
          <w:b/>
          <w:color w:val="auto"/>
        </w:rPr>
        <w:t>26. 履约保证金</w:t>
      </w:r>
    </w:p>
    <w:p>
      <w:pPr>
        <w:keepNext w:val="0"/>
        <w:keepLines w:val="0"/>
        <w:pageBreakBefore w:val="0"/>
        <w:tabs>
          <w:tab w:val="left" w:pos="0"/>
        </w:tabs>
        <w:kinsoku/>
        <w:wordWrap/>
        <w:overflowPunct/>
        <w:topLinePunct w:val="0"/>
        <w:autoSpaceDE/>
        <w:autoSpaceDN/>
        <w:bidi w:val="0"/>
        <w:spacing w:line="360" w:lineRule="auto"/>
        <w:ind w:left="0" w:firstLine="482"/>
        <w:textAlignment w:val="auto"/>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w:t>
      </w:r>
      <w:r>
        <w:rPr>
          <w:rFonts w:hint="eastAsia" w:ascii="宋体" w:hAnsi="宋体" w:eastAsia="宋体" w:cs="宋体"/>
          <w:color w:val="auto"/>
          <w:sz w:val="24"/>
          <w:highlight w:val="none"/>
        </w:rPr>
        <w:t>，鼓励根据项目特点、供应商诚信等因素免收履约保证金或降低缴纳比例</w:t>
      </w:r>
      <w:r>
        <w:rPr>
          <w:rFonts w:hint="eastAsia" w:ascii="宋体" w:hAnsi="宋体" w:eastAsia="宋体" w:cs="宋体"/>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pPr>
        <w:keepNext w:val="0"/>
        <w:keepLines w:val="0"/>
        <w:pageBreakBefore w:val="0"/>
        <w:tabs>
          <w:tab w:val="left" w:pos="432"/>
        </w:tabs>
        <w:kinsoku/>
        <w:wordWrap/>
        <w:overflowPunct/>
        <w:topLinePunct w:val="0"/>
        <w:autoSpaceDE/>
        <w:autoSpaceDN/>
        <w:bidi w:val="0"/>
        <w:spacing w:line="360" w:lineRule="auto"/>
        <w:ind w:left="0" w:firstLine="480" w:firstLineChars="200"/>
        <w:textAlignment w:val="auto"/>
        <w:outlineLvl w:val="9"/>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137"/>
        <w:keepNext w:val="0"/>
        <w:keepLines w:val="0"/>
        <w:pageBreakBefore w:val="0"/>
        <w:kinsoku/>
        <w:wordWrap/>
        <w:overflowPunct/>
        <w:topLinePunct w:val="0"/>
        <w:autoSpaceDE/>
        <w:autoSpaceDN/>
        <w:bidi w:val="0"/>
        <w:snapToGrid w:val="0"/>
        <w:spacing w:before="0"/>
        <w:ind w:left="0" w:firstLine="0" w:firstLineChars="0"/>
        <w:textAlignment w:val="auto"/>
        <w:rPr>
          <w:rFonts w:hint="eastAsia" w:ascii="宋体" w:hAnsi="宋体" w:eastAsia="宋体" w:cs="宋体"/>
          <w:b/>
          <w:color w:val="auto"/>
          <w:szCs w:val="24"/>
        </w:rPr>
      </w:pPr>
      <w:r>
        <w:rPr>
          <w:rFonts w:hint="eastAsia" w:ascii="宋体" w:hAnsi="宋体" w:eastAsia="宋体" w:cs="宋体"/>
          <w:b/>
          <w:color w:val="auto"/>
          <w:szCs w:val="24"/>
          <w:lang w:val="en-US"/>
        </w:rPr>
        <w:t>27.预付款</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rPr>
        <w:t>不低于</w:t>
      </w:r>
      <w:r>
        <w:rPr>
          <w:rFonts w:hint="eastAsia" w:ascii="宋体" w:hAnsi="宋体" w:eastAsia="宋体" w:cs="宋体"/>
          <w:color w:val="auto"/>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0" w:firstLineChars="0"/>
        <w:jc w:val="center"/>
        <w:outlineLvl w:val="1"/>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宋体" w:hAnsi="宋体" w:eastAsia="宋体" w:cs="宋体"/>
          <w:color w:val="auto"/>
        </w:rPr>
      </w:pPr>
      <w:r>
        <w:rPr>
          <w:rFonts w:hint="eastAsia" w:ascii="宋体" w:hAnsi="宋体" w:eastAsia="宋体" w:cs="宋体"/>
          <w:b/>
          <w:bCs/>
          <w:color w:val="auto"/>
          <w:sz w:val="24"/>
          <w:szCs w:val="20"/>
        </w:rPr>
        <w:t>2</w:t>
      </w:r>
      <w:r>
        <w:rPr>
          <w:rFonts w:hint="eastAsia" w:ascii="宋体" w:hAnsi="宋体" w:eastAsia="宋体" w:cs="宋体"/>
          <w:b/>
          <w:bCs/>
          <w:color w:val="auto"/>
          <w:sz w:val="24"/>
          <w:szCs w:val="24"/>
        </w:rPr>
        <w:t>8</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w:t>
      </w:r>
      <w:r>
        <w:rPr>
          <w:rFonts w:hint="eastAsia" w:ascii="宋体" w:hAnsi="宋体" w:eastAsia="宋体" w:cs="宋体"/>
          <w:color w:val="auto"/>
          <w:lang w:eastAsia="zh-CN"/>
        </w:rPr>
        <w:t>采购代理机构</w:t>
      </w:r>
      <w:r>
        <w:rPr>
          <w:rFonts w:hint="eastAsia" w:ascii="宋体" w:hAnsi="宋体" w:eastAsia="宋体" w:cs="宋体"/>
          <w:color w:val="auto"/>
        </w:rPr>
        <w:t>可中止电子交易活动：</w:t>
      </w:r>
    </w:p>
    <w:p>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rPr>
      </w:pPr>
      <w:r>
        <w:rPr>
          <w:rFonts w:hint="eastAsia" w:ascii="宋体" w:hAnsi="宋体" w:eastAsia="宋体" w:cs="宋体"/>
          <w:color w:val="auto"/>
        </w:rPr>
        <w:t xml:space="preserve">28.1电子交易平台发生故障而无法登录访问的； </w:t>
      </w:r>
    </w:p>
    <w:p>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rPr>
      </w:pPr>
      <w:r>
        <w:rPr>
          <w:rFonts w:hint="eastAsia" w:ascii="宋体" w:hAnsi="宋体" w:eastAsia="宋体" w:cs="宋体"/>
          <w:color w:val="auto"/>
        </w:rPr>
        <w:t>28.2电子交易平台应用或数据库出现错误，不能进行正常操作的；</w:t>
      </w:r>
    </w:p>
    <w:p>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rPr>
      </w:pPr>
      <w:r>
        <w:rPr>
          <w:rFonts w:hint="eastAsia" w:ascii="宋体" w:hAnsi="宋体" w:eastAsia="宋体" w:cs="宋体"/>
          <w:color w:val="auto"/>
        </w:rPr>
        <w:t>28.3电子交易平台发现严重安全漏洞，有潜在泄密危险的；</w:t>
      </w:r>
    </w:p>
    <w:p>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rPr>
      </w:pPr>
      <w:r>
        <w:rPr>
          <w:rFonts w:hint="eastAsia" w:ascii="宋体" w:hAnsi="宋体" w:eastAsia="宋体" w:cs="宋体"/>
          <w:color w:val="auto"/>
        </w:rPr>
        <w:t xml:space="preserve">28.4病毒发作导致不能进行正常操作的； </w:t>
      </w:r>
    </w:p>
    <w:p>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rPr>
      </w:pPr>
      <w:r>
        <w:rPr>
          <w:rFonts w:hint="eastAsia" w:ascii="宋体" w:hAnsi="宋体" w:eastAsia="宋体" w:cs="宋体"/>
          <w:color w:val="auto"/>
        </w:rPr>
        <w:t>28.5其他无法保证电子交易的公平、公正和安全的情况。</w:t>
      </w:r>
    </w:p>
    <w:p>
      <w:pPr>
        <w:pStyle w:val="137"/>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1"/>
        <w:rPr>
          <w:rFonts w:hint="eastAsia" w:ascii="宋体" w:hAnsi="宋体" w:eastAsia="宋体" w:cs="宋体"/>
          <w:b/>
          <w:color w:val="auto"/>
          <w:sz w:val="32"/>
        </w:rPr>
      </w:pPr>
      <w:r>
        <w:rPr>
          <w:rFonts w:hint="eastAsia" w:ascii="宋体" w:hAnsi="宋体" w:eastAsia="宋体" w:cs="宋体"/>
          <w:b/>
          <w:color w:val="auto"/>
          <w:sz w:val="32"/>
        </w:rPr>
        <w:t>九、验收</w:t>
      </w:r>
    </w:p>
    <w:p>
      <w:pPr>
        <w:pStyle w:val="25"/>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eastAsia" w:ascii="宋体" w:hAnsi="宋体" w:eastAsia="宋体" w:cs="宋体"/>
          <w:b/>
          <w:color w:val="auto"/>
        </w:rPr>
      </w:pPr>
      <w:r>
        <w:rPr>
          <w:rFonts w:hint="eastAsia" w:ascii="宋体" w:hAnsi="宋体" w:eastAsia="宋体" w:cs="宋体"/>
          <w:b/>
          <w:color w:val="auto"/>
        </w:rPr>
        <w:t>30.验收</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val="0"/>
        <w:tabs>
          <w:tab w:val="left" w:pos="432"/>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80"/>
        <w:rPr>
          <w:rFonts w:hint="eastAsia" w:ascii="宋体" w:hAnsi="宋体" w:eastAsia="宋体" w:cs="宋体"/>
          <w:color w:val="auto"/>
        </w:rPr>
      </w:pPr>
    </w:p>
    <w:bookmarkEnd w:id="13"/>
    <w:p>
      <w:pPr>
        <w:tabs>
          <w:tab w:val="left" w:pos="0"/>
        </w:tabs>
        <w:spacing w:line="360" w:lineRule="auto"/>
        <w:ind w:firstLine="480"/>
        <w:rPr>
          <w:rFonts w:hint="eastAsia" w:ascii="宋体" w:hAnsi="宋体" w:eastAsia="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30295"/>
      <w:bookmarkEnd w:id="16"/>
      <w:bookmarkStart w:id="17" w:name="_Hlt74714665"/>
      <w:bookmarkEnd w:id="17"/>
      <w:bookmarkStart w:id="18" w:name="_Hlt68403820"/>
      <w:bookmarkEnd w:id="18"/>
      <w:bookmarkStart w:id="19" w:name="_Hlt74707468"/>
      <w:bookmarkEnd w:id="19"/>
      <w:bookmarkStart w:id="20" w:name="_Hlt75236011"/>
      <w:bookmarkEnd w:id="20"/>
      <w:bookmarkStart w:id="21" w:name="_Hlt74729768"/>
      <w:bookmarkEnd w:id="21"/>
      <w:bookmarkStart w:id="22" w:name="_Hlt75236290"/>
      <w:bookmarkEnd w:id="22"/>
      <w:bookmarkStart w:id="23" w:name="_Hlt68073093"/>
      <w:bookmarkEnd w:id="23"/>
      <w:bookmarkStart w:id="24" w:name="_Hlt68057669"/>
      <w:bookmarkEnd w:id="24"/>
      <w:bookmarkStart w:id="25" w:name="_Hlt68072998"/>
      <w:bookmarkEnd w:id="25"/>
      <w:bookmarkStart w:id="26" w:name="_Hlt75236101"/>
      <w:bookmarkEnd w:id="26"/>
    </w:p>
    <w:bookmarkEnd w:id="11"/>
    <w:bookmarkEnd w:id="12"/>
    <w:p>
      <w:pPr>
        <w:spacing w:line="360" w:lineRule="auto"/>
        <w:jc w:val="center"/>
        <w:outlineLvl w:val="0"/>
        <w:rPr>
          <w:rFonts w:hint="eastAsia" w:ascii="宋体" w:hAnsi="宋体" w:eastAsia="宋体" w:cs="宋体"/>
          <w:sz w:val="24"/>
        </w:rPr>
      </w:pPr>
      <w:bookmarkStart w:id="27" w:name="第四部分"/>
      <w:r>
        <w:rPr>
          <w:rFonts w:hint="eastAsia" w:ascii="宋体" w:hAnsi="宋体" w:eastAsia="宋体" w:cs="宋体"/>
          <w:b/>
          <w:color w:val="auto"/>
          <w:sz w:val="36"/>
          <w:szCs w:val="36"/>
        </w:rPr>
        <w:t>第三部分 采购需求</w:t>
      </w:r>
    </w:p>
    <w:p>
      <w:pPr>
        <w:snapToGrid w:val="0"/>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一、项目背景</w:t>
      </w:r>
    </w:p>
    <w:p>
      <w:pPr>
        <w:snapToGrid w:val="0"/>
        <w:spacing w:line="360" w:lineRule="auto"/>
        <w:ind w:firstLine="480" w:firstLineChars="200"/>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rPr>
        <w:t>十几年前生产安装的在用电梯，受当时技术、材料和标准的限制，在运行的安全性、可靠性、舒适性等方面与新电梯存在明显差距，加上老旧电梯部件老化，导致相关投诉、故障频发。现计划对部分在用老旧住宅电梯开展安全评估，针对性提出修理、改造、更新或采取安全措施继续监控使用等意见。</w:t>
      </w:r>
    </w:p>
    <w:p>
      <w:pPr>
        <w:snapToGrid w:val="0"/>
        <w:spacing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二、安全评估内容</w:t>
      </w:r>
    </w:p>
    <w:tbl>
      <w:tblPr>
        <w:tblStyle w:val="6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476"/>
        <w:gridCol w:w="6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44"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476"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项类</w:t>
            </w:r>
          </w:p>
        </w:tc>
        <w:tc>
          <w:tcPr>
            <w:tcW w:w="6506" w:type="dxa"/>
            <w:noWrap w:val="0"/>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评价项目和内容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使用管理状况</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  电梯运行管理制度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  日常检查与使用状况记录，应急救援演习记录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1.3  产品技术文件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1.4  管理机构、管理人员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1.5  环境温度、电压波动和使用环境符合设计要求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  使用情况符合设计要求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  使用场所和型号适宜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1.8  使用人员的使用状况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维护保养状况</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2.1  维护保养合同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  维保质量状况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2.3  零配件供应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2.4  维护保养记录、自行检查记录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2.5  故障、事故记录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2.6  重大维修和改造记录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机房区域及</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警示标志</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3.1  机房环境及通往机房(机器设备间）的安全通道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3.2  机房（机器设备间）警示标志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3.3  机房地面高度差和凹坑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3.4  地面开口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265"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3.5  机房（机器设备间）的照明和插座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3.6  温度控制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3.7  工作安全区间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3.8  机房（机器设备间）内旋转部件的安全防护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供电设备</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4.1  总电源开关设置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4.2  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4.3  电气设备的保护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减速箱和曳引轮</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5.1  渗漏油情况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5.2  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5.3  减速箱部件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5.4  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5.5  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5.6  曳引轮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4" w:type="dxa"/>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noWrap w:val="0"/>
            <w:vAlign w:val="center"/>
          </w:tcPr>
          <w:p>
            <w:pPr>
              <w:ind w:left="-168" w:leftChars="-80" w:right="-160" w:rightChars="-7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联轴器</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6.1  联轴器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电动机</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7.1  电动机状况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7.2  轴承润滑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7.3  电动机绝缘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7.4  编码器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制动器</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8.1  制动器型式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8.2  工作状况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8.3  制动器部件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救援装置</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9.1  有机房救援装置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9.2  无机房救援装置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9.3  救援装置状况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控制柜及动态测试装置</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10.1  电气元件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10.2  绝缘性能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10.3  相序保护装置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10.4  印刷电路板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10.5  紧急电动运行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10.6  切断制动器电流的接触器的设置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10.7  切断主回路电流的接触器的设置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10.8  层门和轿门旁路装置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10.9  门回路检测功能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10.10 制动器故障保护功能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10.11 自动救援操作装置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井道</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11.1  随行电缆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11.2  顶部空间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11.3  底坑空间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11.4  井道安全门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11.5  检修门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11.6  井道照明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11.7  门刀、门锁滚轮与地坎间隙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11.8  井道孔洞封闭与防护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11.9  层门地坎下端的井道壁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11.10 井道内旋转部件防护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11.11 安全间距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对重装置</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12.1  对重防护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12.2  对重块、对重架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运行区域安全保护</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13.1  轿厢运行极限位置的开关的有效性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13.2  平层感应装置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导向系统</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14.1  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14.2  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14.3  导轨顶面距离偏差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14.4  导轨工作面与铅垂线偏差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14.5  导靴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悬挂装置</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补偿装置</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15.1  钢丝绳缺陷与磨损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15.2  端部固定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15.3  其他类型的悬挂装置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15.4  补偿装置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轿厢</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16.1  轿厢内铭牌和标识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16.2  轿厢照明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16.3  轿厢紧急通话和应急照明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16.4  轿厢有效面积与额定载重量的关系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16.5  安全窗、轿厢安全门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16.6  轿顶电气装置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16.7  轿厢装饰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16.8  轿厢结构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16.9  护脚板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16.10 轿顶护栏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16.11 轿厢和对重距离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层门、轿门与层站</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17.1  门扇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17.2  层门门套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17.3  地坎及其支架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17.4  门的锁紧、闭合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17.5  门悬挂机构和导向装置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17.6  层门紧急开锁装置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17.7  门间隙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17.8  层门自动关闭装置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17.9  门的运行与导向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17.10 玻璃门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17.11 门地坎距离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17.12 自动门防止夹人装置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17.13 轿门开门限制装置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底坑</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18.1  底坑环境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18.2  爬梯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18.3  缓冲器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18.4  停止装置、开关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18.5  限速器绳张紧装置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18.6  底坑底人可到达空间的保护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装置</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19.1  限速器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19.2  安全钳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19.3  轿厢上行超速保护装置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乘运质量</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20.1  运行噪音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20.2  电梯运行速度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20.3  加、减速度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20.4  轿厢垂直振动、水平振动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无机房电梯附加项目</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21.1  轿顶上或轿厢内的工作区域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21.2  底坑内的工作区域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21.3  平台上的工作区域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center"/>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21.4  附加检修控制装置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restart"/>
            <w:noWrap w:val="0"/>
            <w:vAlign w:val="center"/>
          </w:tcPr>
          <w:p>
            <w:pPr>
              <w:numPr>
                <w:ilvl w:val="0"/>
                <w:numId w:val="1"/>
              </w:numPr>
              <w:ind w:left="568" w:hanging="288"/>
              <w:jc w:val="center"/>
              <w:rPr>
                <w:rFonts w:hint="eastAsia" w:ascii="宋体" w:hAnsi="宋体" w:eastAsia="宋体" w:cs="宋体"/>
                <w:sz w:val="24"/>
                <w:szCs w:val="24"/>
                <w:highlight w:val="none"/>
              </w:rPr>
            </w:pPr>
          </w:p>
        </w:tc>
        <w:tc>
          <w:tcPr>
            <w:tcW w:w="1476"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功能试验</w:t>
            </w: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22.1  平衡系数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22.2  超载保护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22.3  空载曳引力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22.4  平层准确度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22.5  轿厢意外移动保护装置试验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22.6  轿厢限速器-安全钳试验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22.7  对重限速器—安全钳试验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22.8  运行试验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22.9  应急救援试验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22.10 上行超速保护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22.11 空载上行制动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22.12 下行制动试验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dxa"/>
            <w:vMerge w:val="continue"/>
            <w:noWrap w:val="0"/>
            <w:vAlign w:val="center"/>
          </w:tcPr>
          <w:p>
            <w:pPr>
              <w:ind w:left="568" w:hanging="288"/>
              <w:jc w:val="right"/>
              <w:rPr>
                <w:rFonts w:hint="eastAsia" w:ascii="宋体" w:hAnsi="宋体" w:eastAsia="宋体" w:cs="宋体"/>
                <w:sz w:val="24"/>
                <w:szCs w:val="24"/>
                <w:highlight w:val="none"/>
              </w:rPr>
            </w:pPr>
          </w:p>
        </w:tc>
        <w:tc>
          <w:tcPr>
            <w:tcW w:w="1476" w:type="dxa"/>
            <w:vMerge w:val="continue"/>
            <w:noWrap w:val="0"/>
            <w:vAlign w:val="center"/>
          </w:tcPr>
          <w:p>
            <w:pPr>
              <w:jc w:val="center"/>
              <w:rPr>
                <w:rFonts w:hint="eastAsia" w:ascii="宋体" w:hAnsi="宋体" w:eastAsia="宋体" w:cs="宋体"/>
                <w:sz w:val="24"/>
                <w:szCs w:val="24"/>
                <w:highlight w:val="none"/>
              </w:rPr>
            </w:pPr>
          </w:p>
        </w:tc>
        <w:tc>
          <w:tcPr>
            <w:tcW w:w="6506"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22.13 静态曳引试验</w:t>
            </w:r>
          </w:p>
        </w:tc>
      </w:tr>
    </w:tbl>
    <w:p>
      <w:pPr>
        <w:snapToGrid w:val="0"/>
        <w:spacing w:line="360" w:lineRule="auto"/>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三、项目内容</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1、部分相关的标准技术规范：</w:t>
      </w:r>
    </w:p>
    <w:p>
      <w:pPr>
        <w:pStyle w:val="968"/>
        <w:snapToGrid w:val="0"/>
        <w:spacing w:line="360" w:lineRule="auto"/>
        <w:ind w:firstLine="480" w:firstLineChars="200"/>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《中华人民共和国特种设备安全法》</w:t>
      </w:r>
    </w:p>
    <w:p>
      <w:pPr>
        <w:pStyle w:val="968"/>
        <w:snapToGrid w:val="0"/>
        <w:spacing w:line="360" w:lineRule="auto"/>
        <w:ind w:firstLine="480" w:firstLineChars="200"/>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《特种设备安全监察条例》（国务院第549号令）</w:t>
      </w:r>
    </w:p>
    <w:p>
      <w:pPr>
        <w:pStyle w:val="968"/>
        <w:snapToGrid w:val="0"/>
        <w:spacing w:line="360" w:lineRule="auto"/>
        <w:ind w:firstLine="480" w:firstLineChars="200"/>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《特种设备使用管理规则》（TSG 08-2017）</w:t>
      </w:r>
    </w:p>
    <w:p>
      <w:pPr>
        <w:pStyle w:val="968"/>
        <w:snapToGrid w:val="0"/>
        <w:spacing w:line="360" w:lineRule="auto"/>
        <w:ind w:firstLine="480" w:firstLineChars="200"/>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《电梯维护保养规则》（TSG T5002-2017）</w:t>
      </w:r>
    </w:p>
    <w:p>
      <w:pPr>
        <w:pStyle w:val="968"/>
        <w:snapToGrid w:val="0"/>
        <w:spacing w:line="360" w:lineRule="auto"/>
        <w:ind w:firstLine="480" w:firstLineChars="200"/>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rPr>
        <w:t>《在用电梯安全评估导则-曳引驱动电梯（试行）》(GB/T 42615-2023）</w:t>
      </w:r>
    </w:p>
    <w:p>
      <w:pPr>
        <w:pStyle w:val="968"/>
        <w:snapToGrid w:val="0"/>
        <w:spacing w:line="360" w:lineRule="auto"/>
        <w:ind w:firstLine="480" w:firstLineChars="200"/>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《在用电梯风险评价规则》DB33/T</w:t>
      </w:r>
      <w:r>
        <w:rPr>
          <w:rFonts w:hint="eastAsia" w:cs="宋体"/>
          <w:bCs/>
          <w:kern w:val="2"/>
          <w:sz w:val="24"/>
          <w:szCs w:val="24"/>
          <w:highlight w:val="none"/>
          <w:lang w:val="en-US" w:eastAsia="zh-CN"/>
        </w:rPr>
        <w:t xml:space="preserve"> </w:t>
      </w:r>
      <w:r>
        <w:rPr>
          <w:rFonts w:hint="eastAsia" w:ascii="宋体" w:hAnsi="宋体" w:eastAsia="宋体" w:cs="宋体"/>
          <w:bCs/>
          <w:kern w:val="2"/>
          <w:sz w:val="24"/>
          <w:szCs w:val="24"/>
          <w:highlight w:val="none"/>
          <w:lang w:val="en-US"/>
        </w:rPr>
        <w:t>869-2022</w:t>
      </w:r>
    </w:p>
    <w:p>
      <w:pPr>
        <w:pStyle w:val="968"/>
        <w:snapToGrid w:val="0"/>
        <w:spacing w:line="360" w:lineRule="auto"/>
        <w:ind w:firstLine="480" w:firstLineChars="200"/>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《电梯主要部件报废判定技术条件》GB/T 31821-2015</w:t>
      </w:r>
    </w:p>
    <w:p>
      <w:pPr>
        <w:pStyle w:val="968"/>
        <w:snapToGrid w:val="0"/>
        <w:spacing w:line="360" w:lineRule="auto"/>
        <w:ind w:firstLine="480" w:firstLineChars="200"/>
        <w:rPr>
          <w:rFonts w:hint="eastAsia" w:ascii="宋体" w:hAnsi="宋体" w:eastAsia="宋体" w:cs="宋体"/>
          <w:bCs/>
          <w:kern w:val="2"/>
          <w:sz w:val="24"/>
          <w:szCs w:val="24"/>
          <w:highlight w:val="none"/>
          <w:lang w:val="en-US"/>
        </w:rPr>
      </w:pPr>
      <w:r>
        <w:rPr>
          <w:rFonts w:hint="eastAsia" w:ascii="宋体" w:hAnsi="宋体" w:eastAsia="宋体" w:cs="宋体"/>
          <w:bCs/>
          <w:kern w:val="2"/>
          <w:sz w:val="24"/>
          <w:szCs w:val="24"/>
          <w:highlight w:val="none"/>
          <w:lang w:val="en-US"/>
        </w:rPr>
        <w:t xml:space="preserve">《电梯监督检验和定期检验规则》（TSG T7001-2023）  </w:t>
      </w:r>
    </w:p>
    <w:p>
      <w:pPr>
        <w:pStyle w:val="968"/>
        <w:numPr>
          <w:ilvl w:val="0"/>
          <w:numId w:val="2"/>
        </w:numPr>
        <w:snapToGrid w:val="0"/>
        <w:spacing w:line="360" w:lineRule="auto"/>
        <w:rPr>
          <w:rFonts w:hint="eastAsia" w:ascii="宋体" w:hAnsi="宋体" w:eastAsia="宋体" w:cs="宋体"/>
          <w:b/>
          <w:kern w:val="2"/>
          <w:sz w:val="24"/>
          <w:szCs w:val="24"/>
          <w:highlight w:val="none"/>
          <w:lang w:val="en-US"/>
        </w:rPr>
      </w:pPr>
      <w:r>
        <w:rPr>
          <w:rFonts w:hint="eastAsia" w:ascii="宋体" w:hAnsi="宋体" w:eastAsia="宋体" w:cs="宋体"/>
          <w:b/>
          <w:kern w:val="2"/>
          <w:sz w:val="24"/>
          <w:szCs w:val="24"/>
          <w:highlight w:val="none"/>
          <w:lang w:val="en-US"/>
        </w:rPr>
        <w:t>基本要求</w:t>
      </w:r>
    </w:p>
    <w:p>
      <w:pPr>
        <w:pStyle w:val="968"/>
        <w:snapToGrid w:val="0"/>
        <w:spacing w:line="360" w:lineRule="auto"/>
        <w:ind w:firstLine="480" w:firstLineChars="200"/>
        <w:rPr>
          <w:rFonts w:hint="eastAsia" w:ascii="宋体" w:hAnsi="宋体" w:eastAsia="宋体" w:cs="宋体"/>
          <w:b/>
          <w:kern w:val="2"/>
          <w:sz w:val="24"/>
          <w:szCs w:val="24"/>
          <w:highlight w:val="none"/>
          <w:lang w:val="en-US" w:eastAsia="zh-CN"/>
        </w:rPr>
      </w:pPr>
      <w:r>
        <w:rPr>
          <w:rFonts w:hint="eastAsia" w:ascii="宋体" w:hAnsi="宋体" w:eastAsia="宋体" w:cs="宋体"/>
          <w:bCs/>
          <w:kern w:val="2"/>
          <w:sz w:val="24"/>
          <w:szCs w:val="24"/>
          <w:highlight w:val="none"/>
          <w:lang w:val="en-US"/>
        </w:rPr>
        <w:t>供应商提供的实施方案应明确工作计划、人员安排、工作进度、现场评估、报告出具等内容，包括但不限于以下所列内容</w:t>
      </w:r>
      <w:r>
        <w:rPr>
          <w:rFonts w:hint="eastAsia" w:ascii="宋体" w:hAnsi="宋体" w:eastAsia="宋体" w:cs="宋体"/>
          <w:bCs/>
          <w:kern w:val="2"/>
          <w:sz w:val="24"/>
          <w:szCs w:val="24"/>
          <w:highlight w:val="none"/>
          <w:lang w:val="en-US" w:eastAsia="zh-CN"/>
        </w:rPr>
        <w:t>：</w:t>
      </w:r>
    </w:p>
    <w:p>
      <w:pPr>
        <w:pStyle w:val="968"/>
        <w:snapToGrid w:val="0"/>
        <w:spacing w:line="360" w:lineRule="auto"/>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2.1数量</w:t>
      </w:r>
    </w:p>
    <w:p>
      <w:pPr>
        <w:pStyle w:val="968"/>
        <w:snapToGrid w:val="0"/>
        <w:spacing w:line="360" w:lineRule="auto"/>
        <w:ind w:firstLine="482" w:firstLineChars="200"/>
        <w:rPr>
          <w:rFonts w:hint="eastAsia" w:ascii="宋体" w:hAnsi="宋体" w:eastAsia="宋体" w:cs="宋体"/>
          <w:sz w:val="24"/>
          <w:szCs w:val="24"/>
          <w:highlight w:val="yellow"/>
          <w:lang w:val="en-US"/>
        </w:rPr>
      </w:pPr>
      <w:r>
        <w:rPr>
          <w:rFonts w:hint="eastAsia" w:ascii="宋体" w:hAnsi="宋体" w:eastAsia="宋体" w:cs="宋体"/>
          <w:b/>
          <w:bCs/>
          <w:sz w:val="24"/>
          <w:szCs w:val="24"/>
          <w:highlight w:val="none"/>
          <w:lang w:val="en-US"/>
        </w:rPr>
        <w:t>本次采购暂按</w:t>
      </w:r>
      <w:r>
        <w:rPr>
          <w:rFonts w:hint="eastAsia" w:ascii="宋体" w:hAnsi="宋体" w:eastAsia="宋体" w:cs="宋体"/>
          <w:b/>
          <w:bCs/>
          <w:sz w:val="24"/>
          <w:szCs w:val="24"/>
          <w:highlight w:val="none"/>
          <w:lang w:val="en-US" w:eastAsia="zh-CN"/>
        </w:rPr>
        <w:t>152台</w:t>
      </w:r>
      <w:r>
        <w:rPr>
          <w:rFonts w:hint="eastAsia" w:ascii="宋体" w:hAnsi="宋体" w:eastAsia="宋体" w:cs="宋体"/>
          <w:b/>
          <w:bCs/>
          <w:sz w:val="24"/>
          <w:szCs w:val="24"/>
          <w:highlight w:val="none"/>
          <w:lang w:val="en-US"/>
        </w:rPr>
        <w:t>电梯</w:t>
      </w:r>
      <w:r>
        <w:rPr>
          <w:rFonts w:hint="eastAsia" w:ascii="宋体" w:hAnsi="宋体" w:eastAsia="宋体" w:cs="宋体"/>
          <w:sz w:val="24"/>
          <w:szCs w:val="24"/>
          <w:highlight w:val="none"/>
          <w:lang w:val="en-US"/>
        </w:rPr>
        <w:t>用于价格分的计算。中标后，将按中标单价和实际评估的电梯数量进行结算，累计结算至合同约定的金额止；无论实际实施的电梯台数多少，中标供应商承诺和服务质量成果等均不变。</w:t>
      </w:r>
    </w:p>
    <w:p>
      <w:pPr>
        <w:pStyle w:val="968"/>
        <w:snapToGrid w:val="0"/>
        <w:spacing w:line="360" w:lineRule="auto"/>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2.2评估工作的组织</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成立评估组，能随时组织电梯评估专家库成员进行安全评估工作；应当根据电梯评估专家的专长和工作经验选派评估专家，指定具有电梯检验师及以上检验资格的人员担任组长，每个评估组应至少由2名以上（含2名）评估人员组成。</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电梯评估专家的基本条件：</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（1）身体健康，能适应评估工作的要求，具备机电类工程师以上职称或者电梯技师以上技术等级；</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（2）熟悉电梯相关技术标准和安全技术规范；</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（3）熟悉1种以上品牌电梯的相关技术；</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（4）从事电梯专业技术工作3年以上；</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（5）具有电梯安全评估、检验或者电梯事故处理经验。</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6）具备承担安全评估工作相适应的场地、装备和评估试验手段，如固定办公场所、档案室、资料室，满足存放要求的专用仪器设备室，有必要的检验仪器、通信工具及办公设施等。供应商应在投标文件中进行详细阐述。</w:t>
      </w:r>
    </w:p>
    <w:p>
      <w:pPr>
        <w:pStyle w:val="968"/>
        <w:snapToGrid w:val="0"/>
        <w:spacing w:line="360" w:lineRule="auto"/>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2.3现场安全评估基本要求</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评估组依据相关法规和技术规范及安全评估原始记录的要求，了解电梯使用情况，查阅使用单位提供的资料，对电梯设备进行安全评估工作，评估组应列出所评估电梯部件（部位）的风险要素，以及不满足标准要求的主要项目，指出电梯系统和电梯使用管理及维保等工作应防范的重大风险因素，提出应采取的安全措施的改进建议，形成安全评估意见。</w:t>
      </w:r>
    </w:p>
    <w:p>
      <w:pPr>
        <w:pStyle w:val="968"/>
        <w:snapToGrid w:val="0"/>
        <w:spacing w:line="360" w:lineRule="auto"/>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rPr>
        <w:t>4出具安全评估报告</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rPr>
        <w:t xml:space="preserve">完成现场安全评估工作后5个工作日内出具安全评估报告。供应商应对曳引式电梯、液压电梯、自动扶梯和自动人行道的项目及相关资料进行现场检查及试验，给出相应单个项目的评估结果及相关说明。现场评估时，鉴于评估和定期检验的处理原则不同，定期检验项目中已经包括的项目，评估时可以直接引用相关项目的检验结论。 </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供应商应根据曳引式电梯、液压电梯、自动扶梯和自动人行道各项目的评估结果，结合零部件更换的情况、技术条件和成本，提出对电梯采取修理、重大修理、改造或者更换新梯的建议。</w:t>
      </w:r>
    </w:p>
    <w:p>
      <w:pPr>
        <w:pStyle w:val="968"/>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（2）安全评估报告中可使用下列结论：</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1）经安全风险评估，该电梯存在×××问题，进行整改的费用较高，无修理改造价值，建议予以更换。</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2）经安全风险评估，该电梯存在×××问题，需要进行×××整改，建议进行改造。</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3）经安全风险评估，该电梯×××部件存在×××问题，建议进行修理（含重大修理）。</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4）经安全风险评估，该电梯存在×××问题，建议加强使用管理和维护保养。</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5）经安全风险评估，未发现存在本标准所列的风险要素。</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如在安全评估中发现存在影响安全使用的重大风险隐患的，可在上述结论之外加上“电梯立即停用”的建议。</w:t>
      </w:r>
    </w:p>
    <w:p>
      <w:pPr>
        <w:pStyle w:val="968"/>
        <w:snapToGrid w:val="0"/>
        <w:spacing w:line="360" w:lineRule="auto"/>
        <w:ind w:left="0" w:leftChars="0"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rPr>
        <w:t>安全评估报告格式和要求</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评估报告主要内容应当包括电梯设备概况、安全评估依据、所用仪器设备、安全评估相关项目、安全评估综合分析、安全评估结论和见证材料等。安全评估报告的结论页须有安全评估人员、审核人员、批准人员的签字和安全评估机构专用章或者公章。</w:t>
      </w:r>
    </w:p>
    <w:p>
      <w:pPr>
        <w:pStyle w:val="968"/>
        <w:snapToGrid w:val="0"/>
        <w:spacing w:line="360" w:lineRule="auto"/>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rPr>
        <w:t>5其他</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（1）对评估电梯进行现场评估时，应与使用单位共同确定现场评估日期。</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（2）现场评估时发现使用单位信息与原登记信息不相符的，应当现场核实，并按实际情况出具评估记录。</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（3）供应商应为本次工作的全部评估人员所需的费用包含在投标报价中。</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（4）严格按照相关电梯安全法规和技术标准的要求在评估权限范围内开展工作。</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（5）所有评估工作的通讯、交通、食宿问题由供应商考虑，并包含在投标报价中。</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（6）不得擅自对外公布或泄露使用单位以及维保单位的商业秘密。</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（7）向采购人提供进度报告，协助采购人对相关举报投诉进行调查处理。</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（8）供应商出现严重违约行为的，采购人可单方面中止合同；出现违法违规行为的，依法追究供应商和相关责任人的法律责任。</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（9）中标供应商须对被评估的电梯使用单位进行整改过程的技术指导。</w:t>
      </w:r>
    </w:p>
    <w:p>
      <w:pPr>
        <w:pStyle w:val="968"/>
        <w:snapToGrid w:val="0"/>
        <w:spacing w:line="360" w:lineRule="auto"/>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rPr>
        <w:t>6监督与验收</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rPr>
        <w:t>现场安全评估过程，采购人有权委派采购代表进行监督；</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rPr>
        <w:t>中标供应商应将原始数据进行逐台保存，保存期限为6年，并做好安全评估电梯具体位置记录；</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rPr>
        <w:t>采购人收到中标供应商提供的所有安全评估报告后，可组织相关专家进行验收；</w:t>
      </w:r>
    </w:p>
    <w:p>
      <w:pPr>
        <w:pStyle w:val="968"/>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rPr>
        <w:t>验收不合格的安全评估报告有权要求重新进行安全评估直至验收合格为止，中标供应商承担相关的所有费用；</w:t>
      </w:r>
    </w:p>
    <w:p>
      <w:pPr>
        <w:pStyle w:val="968"/>
        <w:numPr>
          <w:ilvl w:val="0"/>
          <w:numId w:val="2"/>
        </w:numPr>
        <w:snapToGrid w:val="0"/>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技术服务要求</w:t>
      </w:r>
    </w:p>
    <w:p>
      <w:pPr>
        <w:spacing w:line="360" w:lineRule="auto"/>
        <w:ind w:firstLine="482" w:firstLineChars="200"/>
        <w:jc w:val="left"/>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为部分标的物安装物联设备并接入西湖区“电梯安信通”系统，可实现电梯运行数据远程监测、故障智能报警等智慧功能等。</w:t>
      </w:r>
    </w:p>
    <w:p>
      <w:pPr>
        <w:spacing w:line="530" w:lineRule="exact"/>
        <w:jc w:val="left"/>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具体要求如下：</w:t>
      </w:r>
    </w:p>
    <w:tbl>
      <w:tblPr>
        <w:tblStyle w:val="6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163"/>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9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项目及类别</w:t>
            </w:r>
          </w:p>
        </w:tc>
        <w:tc>
          <w:tcPr>
            <w:tcW w:w="5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电梯运行参数</w:t>
            </w: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轿厢运行状态</w:t>
            </w:r>
          </w:p>
        </w:tc>
        <w:tc>
          <w:tcPr>
            <w:tcW w:w="5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轿厢处于停止、运行（上行、下行）等状态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电梯当前楼层</w:t>
            </w:r>
          </w:p>
        </w:tc>
        <w:tc>
          <w:tcPr>
            <w:tcW w:w="5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电梯位于的实际楼层位置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轿门开闭状态</w:t>
            </w:r>
          </w:p>
        </w:tc>
        <w:tc>
          <w:tcPr>
            <w:tcW w:w="5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轿门的关闭、打开状态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轿厢内是否有人</w:t>
            </w:r>
          </w:p>
        </w:tc>
        <w:tc>
          <w:tcPr>
            <w:tcW w:w="5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轿厢内是否有乘客在使用电梯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智慧系统在线状态</w:t>
            </w:r>
          </w:p>
        </w:tc>
        <w:tc>
          <w:tcPr>
            <w:tcW w:w="5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电梯智慧系统是否在线正常运行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电梯累计运行次数</w:t>
            </w:r>
          </w:p>
        </w:tc>
        <w:tc>
          <w:tcPr>
            <w:tcW w:w="5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电梯由停止状态变为运行状态的累计次数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预留数据接口</w:t>
            </w:r>
          </w:p>
        </w:tc>
        <w:tc>
          <w:tcPr>
            <w:tcW w:w="5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为平台对接预留数据接口</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设备内置有3G或4G模块，支持3G或4G无线上网卡</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APP系统与电梯远程监控平台同步，使用手机可以实现查看电梯信息和故障报警情况等。支持实时远程终端设备，系统自动免费升级</w:t>
            </w:r>
            <w:r>
              <w:rPr>
                <w:rFonts w:hint="eastAsia" w:ascii="宋体" w:hAnsi="宋体" w:eastAsia="宋体" w:cs="宋体"/>
                <w:color w:val="auto"/>
                <w:spacing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77"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电梯自动报警</w:t>
            </w: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困人故障</w:t>
            </w:r>
          </w:p>
        </w:tc>
        <w:tc>
          <w:tcPr>
            <w:tcW w:w="5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乘客被困轿厢内</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自动监测电梯故障及困人事件</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提供报警按钮呼救</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支持音频通话功能</w:t>
            </w:r>
            <w:r>
              <w:rPr>
                <w:rFonts w:hint="eastAsia" w:ascii="宋体" w:hAnsi="宋体" w:eastAsia="宋体" w:cs="宋体"/>
                <w:color w:val="auto"/>
                <w:spacing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开门运行故障</w:t>
            </w:r>
          </w:p>
        </w:tc>
        <w:tc>
          <w:tcPr>
            <w:tcW w:w="5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电梯运行时轿门打开，或轿门打开时电梯启动运行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p>
        </w:tc>
        <w:tc>
          <w:tcPr>
            <w:tcW w:w="2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急停故障</w:t>
            </w:r>
          </w:p>
        </w:tc>
        <w:tc>
          <w:tcPr>
            <w:tcW w:w="56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电梯因故障原因发生急停（困人故障除外）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p>
        </w:tc>
        <w:tc>
          <w:tcPr>
            <w:tcW w:w="216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开关门故障</w:t>
            </w:r>
          </w:p>
        </w:tc>
        <w:tc>
          <w:tcPr>
            <w:tcW w:w="561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电梯门反复打开、闭合（短时间内的多次故障合并算1次故障）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p>
        </w:tc>
        <w:tc>
          <w:tcPr>
            <w:tcW w:w="216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超速运行故障</w:t>
            </w:r>
          </w:p>
        </w:tc>
        <w:tc>
          <w:tcPr>
            <w:tcW w:w="561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电梯运行速度超过规定范围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rPr>
            </w:pPr>
          </w:p>
        </w:tc>
        <w:tc>
          <w:tcPr>
            <w:tcW w:w="216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其他故障</w:t>
            </w:r>
          </w:p>
        </w:tc>
        <w:tc>
          <w:tcPr>
            <w:tcW w:w="561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其他未述及的故障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77"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实时查看</w:t>
            </w:r>
          </w:p>
        </w:tc>
        <w:tc>
          <w:tcPr>
            <w:tcW w:w="216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持续 3 分钟上报运行参数</w:t>
            </w:r>
          </w:p>
        </w:tc>
        <w:tc>
          <w:tcPr>
            <w:tcW w:w="561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监管下发高频上报电梯运行参数指令，制造单位按照要求上报当前电梯3分钟运行参数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p>
        </w:tc>
        <w:tc>
          <w:tcPr>
            <w:tcW w:w="216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电梯当前实时运行参数</w:t>
            </w:r>
          </w:p>
        </w:tc>
        <w:tc>
          <w:tcPr>
            <w:tcW w:w="561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监管下发获取电梯当前实时运行参数指令，制造单位按照要求上报电梯当前实时运行参数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7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p>
        </w:tc>
        <w:tc>
          <w:tcPr>
            <w:tcW w:w="216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每日统计运行数据及故障数据反馈</w:t>
            </w:r>
          </w:p>
        </w:tc>
        <w:tc>
          <w:tcPr>
            <w:tcW w:w="561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监管下发每日统计运行数据及故障数据反馈参数指令，制造单位按照要求上报每日统计运行数据及故障数据反馈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77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lang w:val="en-US" w:eastAsia="zh-CN"/>
              </w:rPr>
              <w:t>实时通话</w:t>
            </w:r>
          </w:p>
        </w:tc>
        <w:tc>
          <w:tcPr>
            <w:tcW w:w="216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实时通话</w:t>
            </w:r>
          </w:p>
        </w:tc>
        <w:tc>
          <w:tcPr>
            <w:tcW w:w="561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电梯轿厢内应安装实时通话装置，乘客可以通过该装置与企业远程监测平台的救援值班人员进行24小时远程实时通话，电梯停电后，可继续维持报警、音频、网络等基本功能，至少2个小时。</w:t>
            </w:r>
          </w:p>
        </w:tc>
      </w:tr>
    </w:tbl>
    <w:p>
      <w:pPr>
        <w:spacing w:line="530" w:lineRule="exact"/>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四、商务要求</w:t>
      </w:r>
    </w:p>
    <w:p>
      <w:pPr>
        <w:spacing w:line="530" w:lineRule="exact"/>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1、完成期：</w:t>
      </w:r>
      <w:r>
        <w:rPr>
          <w:rFonts w:hint="eastAsia" w:asciiTheme="minorEastAsia" w:hAnsiTheme="minorEastAsia" w:eastAsiaTheme="minorEastAsia"/>
          <w:color w:val="auto"/>
          <w:sz w:val="24"/>
          <w:highlight w:val="none"/>
        </w:rPr>
        <w:t>合同签订起至</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中旬前完成</w:t>
      </w:r>
      <w:r>
        <w:rPr>
          <w:rFonts w:hint="eastAsia" w:ascii="宋体" w:hAnsi="宋体" w:eastAsia="宋体" w:cs="宋体"/>
          <w:b w:val="0"/>
          <w:bCs/>
          <w:sz w:val="24"/>
          <w:szCs w:val="24"/>
          <w:highlight w:val="none"/>
        </w:rPr>
        <w:t>。</w:t>
      </w:r>
    </w:p>
    <w:p>
      <w:pPr>
        <w:spacing w:line="530" w:lineRule="exact"/>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2、履约保证金</w:t>
      </w:r>
      <w:r>
        <w:rPr>
          <w:rFonts w:hint="eastAsia" w:ascii="宋体" w:hAnsi="宋体" w:eastAsia="宋体" w:cs="宋体"/>
          <w:kern w:val="0"/>
          <w:sz w:val="24"/>
          <w:szCs w:val="24"/>
          <w:highlight w:val="none"/>
        </w:rPr>
        <w:t>：本项目不收取。</w:t>
      </w:r>
    </w:p>
    <w:p>
      <w:pPr>
        <w:spacing w:line="500" w:lineRule="exact"/>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3、付款方式：</w:t>
      </w:r>
    </w:p>
    <w:p>
      <w:pPr>
        <w:spacing w:line="50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根据《保障中小企业款项支付条例》、省财政厅《关于进一步发挥政府采购政策功能全力推动经济稳进提质的通知》（浙财采监【2022】3号）要求，制定如下付款方式：          </w:t>
      </w:r>
    </w:p>
    <w:p>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合同生效及具备实施条件后7个工作日内支付合同金额的40%为预付款，剩余款项待评估完成并出具相关评估报告后一次性付清。</w:t>
      </w:r>
    </w:p>
    <w:p>
      <w:pPr>
        <w:spacing w:line="50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税费：</w:t>
      </w:r>
      <w:r>
        <w:rPr>
          <w:rFonts w:hint="eastAsia" w:ascii="宋体" w:hAnsi="宋体" w:eastAsia="宋体" w:cs="宋体"/>
          <w:sz w:val="24"/>
          <w:szCs w:val="24"/>
          <w:highlight w:val="none"/>
        </w:rPr>
        <w:t>本服务执行中相关的一切税费均由中标供应商负担。</w:t>
      </w:r>
    </w:p>
    <w:p>
      <w:pPr>
        <w:spacing w:line="5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u w:val="single"/>
        </w:rPr>
        <w:t>若中标供应商明确表示无需预付款或者主动要求降低预付款比例的，采购人可不适用前述规定</w:t>
      </w:r>
      <w:r>
        <w:rPr>
          <w:rFonts w:hint="eastAsia" w:ascii="宋体" w:hAnsi="宋体" w:eastAsia="宋体" w:cs="宋体"/>
          <w:b/>
          <w:bCs/>
          <w:sz w:val="24"/>
          <w:szCs w:val="24"/>
          <w:highlight w:val="none"/>
        </w:rPr>
        <w:t>。</w:t>
      </w:r>
    </w:p>
    <w:p>
      <w:pPr>
        <w:pStyle w:val="4"/>
        <w:rPr>
          <w:rFonts w:hint="eastAsia" w:ascii="宋体" w:hAnsi="宋体" w:eastAsia="宋体" w:cs="宋体"/>
          <w:highlight w:val="yellow"/>
        </w:rPr>
        <w:sectPr>
          <w:pgSz w:w="11907" w:h="16840"/>
          <w:pgMar w:top="1474" w:right="1814" w:bottom="1474" w:left="1814" w:header="851" w:footer="851" w:gutter="0"/>
          <w:cols w:space="720" w:num="1"/>
        </w:sectPr>
      </w:pPr>
    </w:p>
    <w:p>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28" w:name="_Toc184310296"/>
      <w:bookmarkEnd w:id="28"/>
      <w:bookmarkStart w:id="29" w:name="_Toc184313286"/>
      <w:bookmarkEnd w:id="29"/>
      <w:bookmarkStart w:id="30" w:name="_Toc184310310"/>
      <w:bookmarkEnd w:id="30"/>
      <w:bookmarkStart w:id="31" w:name="_Toc184310314"/>
      <w:bookmarkEnd w:id="31"/>
      <w:bookmarkStart w:id="32" w:name="_Toc184308044"/>
      <w:bookmarkEnd w:id="32"/>
      <w:bookmarkStart w:id="33" w:name="_Toc184308103"/>
      <w:bookmarkEnd w:id="33"/>
      <w:bookmarkStart w:id="34" w:name="_Toc184314425"/>
      <w:bookmarkEnd w:id="34"/>
      <w:bookmarkStart w:id="35" w:name="_Toc184312081"/>
      <w:bookmarkEnd w:id="35"/>
      <w:bookmarkStart w:id="36" w:name="_Toc184308083"/>
      <w:bookmarkEnd w:id="36"/>
      <w:bookmarkStart w:id="37" w:name="_Toc184310335"/>
      <w:bookmarkEnd w:id="37"/>
      <w:bookmarkStart w:id="38" w:name="_Toc184310330"/>
      <w:bookmarkEnd w:id="38"/>
      <w:bookmarkStart w:id="39" w:name="_Toc184310325"/>
      <w:bookmarkEnd w:id="39"/>
      <w:bookmarkStart w:id="40" w:name="_Toc184312078"/>
      <w:bookmarkEnd w:id="40"/>
      <w:bookmarkStart w:id="41" w:name="_Toc184313292"/>
      <w:bookmarkEnd w:id="41"/>
      <w:bookmarkStart w:id="42" w:name="_Toc184310323"/>
      <w:bookmarkEnd w:id="42"/>
      <w:bookmarkStart w:id="43" w:name="_Toc184310338"/>
      <w:bookmarkEnd w:id="43"/>
      <w:bookmarkStart w:id="44" w:name="_Toc184312135"/>
      <w:bookmarkEnd w:id="44"/>
      <w:bookmarkStart w:id="45" w:name="_Toc184313305"/>
      <w:bookmarkEnd w:id="45"/>
      <w:bookmarkStart w:id="46" w:name="_Toc184310324"/>
      <w:bookmarkEnd w:id="46"/>
      <w:bookmarkStart w:id="47" w:name="_Toc184310340"/>
      <w:bookmarkEnd w:id="47"/>
      <w:bookmarkStart w:id="48" w:name="_Toc184308074"/>
      <w:bookmarkEnd w:id="48"/>
      <w:bookmarkStart w:id="49" w:name="_Toc184314437"/>
      <w:bookmarkEnd w:id="49"/>
      <w:bookmarkStart w:id="50" w:name="_Toc184313250"/>
      <w:bookmarkEnd w:id="50"/>
      <w:bookmarkStart w:id="51" w:name="_Toc184308075"/>
      <w:bookmarkEnd w:id="51"/>
      <w:bookmarkStart w:id="52" w:name="_Toc184308100"/>
      <w:bookmarkEnd w:id="52"/>
      <w:bookmarkStart w:id="53" w:name="_Toc184310286"/>
      <w:bookmarkEnd w:id="53"/>
      <w:bookmarkStart w:id="54" w:name="_Toc184308042"/>
      <w:bookmarkEnd w:id="54"/>
      <w:bookmarkStart w:id="55" w:name="_Toc184312085"/>
      <w:bookmarkEnd w:id="55"/>
      <w:bookmarkStart w:id="56" w:name="_Toc184308087"/>
      <w:bookmarkEnd w:id="56"/>
      <w:bookmarkStart w:id="57" w:name="_Toc184308037"/>
      <w:bookmarkEnd w:id="57"/>
      <w:bookmarkStart w:id="58" w:name="_Toc184310337"/>
      <w:bookmarkEnd w:id="58"/>
      <w:bookmarkStart w:id="59" w:name="_Toc184313307"/>
      <w:bookmarkEnd w:id="59"/>
      <w:bookmarkStart w:id="60" w:name="_Toc184314460"/>
      <w:bookmarkEnd w:id="60"/>
      <w:bookmarkStart w:id="61" w:name="_Toc184313260"/>
      <w:bookmarkEnd w:id="61"/>
      <w:bookmarkStart w:id="62" w:name="_Toc184313296"/>
      <w:bookmarkEnd w:id="62"/>
      <w:bookmarkStart w:id="63" w:name="_Toc184314461"/>
      <w:bookmarkEnd w:id="63"/>
      <w:bookmarkStart w:id="64" w:name="_Toc184308052"/>
      <w:bookmarkEnd w:id="64"/>
      <w:bookmarkStart w:id="65" w:name="_Toc184314478"/>
      <w:bookmarkEnd w:id="65"/>
      <w:bookmarkStart w:id="66" w:name="_Toc184312115"/>
      <w:bookmarkEnd w:id="66"/>
      <w:bookmarkStart w:id="67" w:name="_Toc184314411"/>
      <w:bookmarkEnd w:id="67"/>
      <w:bookmarkStart w:id="68" w:name="_Toc184313271"/>
      <w:bookmarkEnd w:id="68"/>
      <w:bookmarkStart w:id="69" w:name="_Toc184312128"/>
      <w:bookmarkEnd w:id="69"/>
      <w:bookmarkStart w:id="70" w:name="_Toc184314455"/>
      <w:bookmarkEnd w:id="70"/>
      <w:bookmarkStart w:id="71" w:name="_Toc184314464"/>
      <w:bookmarkEnd w:id="71"/>
      <w:bookmarkStart w:id="72" w:name="_Toc184308094"/>
      <w:bookmarkEnd w:id="72"/>
      <w:bookmarkStart w:id="73" w:name="_Toc184310276"/>
      <w:bookmarkEnd w:id="73"/>
      <w:bookmarkStart w:id="74" w:name="_Toc184313277"/>
      <w:bookmarkEnd w:id="74"/>
      <w:bookmarkStart w:id="75" w:name="_Toc184310284"/>
      <w:bookmarkEnd w:id="75"/>
      <w:bookmarkStart w:id="76" w:name="_Toc184308064"/>
      <w:bookmarkEnd w:id="76"/>
      <w:bookmarkStart w:id="77" w:name="_Toc184310339"/>
      <w:bookmarkEnd w:id="77"/>
      <w:bookmarkStart w:id="78" w:name="_Toc184313290"/>
      <w:bookmarkEnd w:id="78"/>
      <w:bookmarkStart w:id="79" w:name="_Toc184312121"/>
      <w:bookmarkEnd w:id="79"/>
      <w:bookmarkStart w:id="80" w:name="_Toc184313253"/>
      <w:bookmarkEnd w:id="80"/>
      <w:bookmarkStart w:id="81" w:name="_Toc184313258"/>
      <w:bookmarkEnd w:id="81"/>
      <w:bookmarkStart w:id="82" w:name="_Toc184310343"/>
      <w:bookmarkEnd w:id="82"/>
      <w:bookmarkStart w:id="83" w:name="_Toc184308060"/>
      <w:bookmarkEnd w:id="83"/>
      <w:bookmarkStart w:id="84" w:name="_Toc184313264"/>
      <w:bookmarkEnd w:id="84"/>
      <w:bookmarkStart w:id="85" w:name="_Toc184312105"/>
      <w:bookmarkEnd w:id="85"/>
      <w:bookmarkStart w:id="86" w:name="_Toc184314454"/>
      <w:bookmarkEnd w:id="86"/>
      <w:bookmarkStart w:id="87" w:name="_Toc184314451"/>
      <w:bookmarkEnd w:id="87"/>
      <w:bookmarkStart w:id="88" w:name="_Toc184314465"/>
      <w:bookmarkEnd w:id="88"/>
      <w:bookmarkStart w:id="89" w:name="_Toc184314462"/>
      <w:bookmarkEnd w:id="89"/>
      <w:bookmarkStart w:id="90" w:name="_Toc184312111"/>
      <w:bookmarkEnd w:id="90"/>
      <w:bookmarkStart w:id="91" w:name="_Toc184313293"/>
      <w:bookmarkEnd w:id="91"/>
      <w:bookmarkStart w:id="92" w:name="_Toc184310332"/>
      <w:bookmarkEnd w:id="92"/>
      <w:bookmarkStart w:id="93" w:name="_Toc184312117"/>
      <w:bookmarkEnd w:id="93"/>
      <w:bookmarkStart w:id="94" w:name="_Toc184313243"/>
      <w:bookmarkEnd w:id="94"/>
      <w:bookmarkStart w:id="95" w:name="_Toc184313270"/>
      <w:bookmarkEnd w:id="95"/>
      <w:bookmarkStart w:id="96" w:name="_Toc184312133"/>
      <w:bookmarkEnd w:id="96"/>
      <w:bookmarkStart w:id="97" w:name="_Toc184313262"/>
      <w:bookmarkEnd w:id="97"/>
      <w:bookmarkStart w:id="98" w:name="_Toc184312089"/>
      <w:bookmarkEnd w:id="98"/>
      <w:bookmarkStart w:id="99" w:name="_Toc184314463"/>
      <w:bookmarkEnd w:id="99"/>
      <w:bookmarkStart w:id="100" w:name="_Toc184314481"/>
      <w:bookmarkEnd w:id="100"/>
      <w:bookmarkStart w:id="101" w:name="_Toc184308048"/>
      <w:bookmarkEnd w:id="101"/>
      <w:bookmarkStart w:id="102" w:name="_Toc184314476"/>
      <w:bookmarkEnd w:id="102"/>
      <w:bookmarkStart w:id="103" w:name="_Toc184310317"/>
      <w:bookmarkEnd w:id="103"/>
      <w:bookmarkStart w:id="104" w:name="_Toc184312093"/>
      <w:bookmarkEnd w:id="104"/>
      <w:bookmarkStart w:id="105" w:name="_Toc184313288"/>
      <w:bookmarkEnd w:id="105"/>
      <w:bookmarkStart w:id="106" w:name="_Toc184308057"/>
      <w:bookmarkEnd w:id="106"/>
      <w:bookmarkStart w:id="107" w:name="_Toc184310297"/>
      <w:bookmarkEnd w:id="107"/>
      <w:bookmarkStart w:id="108" w:name="_Toc184314459"/>
      <w:bookmarkEnd w:id="108"/>
      <w:bookmarkStart w:id="109" w:name="_Toc184314467"/>
      <w:bookmarkEnd w:id="109"/>
      <w:bookmarkStart w:id="110" w:name="_Toc184312083"/>
      <w:bookmarkEnd w:id="110"/>
      <w:bookmarkStart w:id="111" w:name="_Toc184314435"/>
      <w:bookmarkEnd w:id="111"/>
      <w:bookmarkStart w:id="112" w:name="_Toc184310309"/>
      <w:bookmarkEnd w:id="112"/>
      <w:bookmarkStart w:id="113" w:name="_Toc184314456"/>
      <w:bookmarkEnd w:id="113"/>
      <w:bookmarkStart w:id="114" w:name="_Toc184310308"/>
      <w:bookmarkEnd w:id="114"/>
      <w:bookmarkStart w:id="115" w:name="_Toc184314433"/>
      <w:bookmarkEnd w:id="115"/>
      <w:bookmarkStart w:id="116" w:name="_Toc184308101"/>
      <w:bookmarkEnd w:id="116"/>
      <w:bookmarkStart w:id="117" w:name="_Toc184314453"/>
      <w:bookmarkEnd w:id="117"/>
      <w:bookmarkStart w:id="118" w:name="_Toc184310326"/>
      <w:bookmarkEnd w:id="118"/>
      <w:bookmarkStart w:id="119" w:name="_Toc184310322"/>
      <w:bookmarkEnd w:id="119"/>
      <w:bookmarkStart w:id="120" w:name="_Toc184310290"/>
      <w:bookmarkEnd w:id="120"/>
      <w:bookmarkStart w:id="121" w:name="_Toc184312095"/>
      <w:bookmarkEnd w:id="121"/>
      <w:bookmarkStart w:id="122" w:name="_Toc184310302"/>
      <w:bookmarkEnd w:id="122"/>
      <w:bookmarkStart w:id="123" w:name="_Toc184312126"/>
      <w:bookmarkEnd w:id="123"/>
      <w:bookmarkStart w:id="124" w:name="_Toc184313310"/>
      <w:bookmarkEnd w:id="124"/>
      <w:bookmarkStart w:id="125" w:name="_Toc184313251"/>
      <w:bookmarkEnd w:id="125"/>
      <w:bookmarkStart w:id="126" w:name="_Toc184310299"/>
      <w:bookmarkEnd w:id="126"/>
      <w:bookmarkStart w:id="127" w:name="_Toc184310278"/>
      <w:bookmarkEnd w:id="127"/>
      <w:bookmarkStart w:id="128" w:name="_Toc184308097"/>
      <w:bookmarkEnd w:id="128"/>
      <w:bookmarkStart w:id="129" w:name="_Toc184310273"/>
      <w:bookmarkEnd w:id="129"/>
      <w:bookmarkStart w:id="130" w:name="_Toc184310294"/>
      <w:bookmarkEnd w:id="130"/>
      <w:bookmarkStart w:id="131" w:name="_Toc184308106"/>
      <w:bookmarkEnd w:id="131"/>
      <w:bookmarkStart w:id="132" w:name="_Toc184308043"/>
      <w:bookmarkEnd w:id="132"/>
      <w:bookmarkStart w:id="133" w:name="_Toc184310318"/>
      <w:bookmarkEnd w:id="133"/>
      <w:bookmarkStart w:id="134" w:name="_Toc184312096"/>
      <w:bookmarkEnd w:id="134"/>
      <w:bookmarkStart w:id="135" w:name="_Toc184310300"/>
      <w:bookmarkEnd w:id="135"/>
      <w:bookmarkStart w:id="136" w:name="_Toc184312104"/>
      <w:bookmarkEnd w:id="136"/>
      <w:bookmarkStart w:id="137" w:name="_Toc184312112"/>
      <w:bookmarkEnd w:id="137"/>
      <w:bookmarkStart w:id="138" w:name="_Toc184312107"/>
      <w:bookmarkEnd w:id="138"/>
      <w:bookmarkStart w:id="139" w:name="_Toc184308085"/>
      <w:bookmarkEnd w:id="139"/>
      <w:bookmarkStart w:id="140" w:name="_Toc184310282"/>
      <w:bookmarkEnd w:id="140"/>
      <w:bookmarkStart w:id="141" w:name="_Toc184313275"/>
      <w:bookmarkEnd w:id="141"/>
      <w:bookmarkStart w:id="142" w:name="_Toc184313238"/>
      <w:bookmarkEnd w:id="142"/>
      <w:bookmarkStart w:id="143" w:name="_Toc184308040"/>
      <w:bookmarkEnd w:id="143"/>
      <w:bookmarkStart w:id="144" w:name="_Toc184310341"/>
      <w:bookmarkEnd w:id="144"/>
      <w:bookmarkStart w:id="145" w:name="_Toc184312086"/>
      <w:bookmarkEnd w:id="145"/>
      <w:bookmarkStart w:id="146" w:name="_Toc184314423"/>
      <w:bookmarkEnd w:id="146"/>
      <w:bookmarkStart w:id="147" w:name="_Toc184308063"/>
      <w:bookmarkEnd w:id="147"/>
      <w:bookmarkStart w:id="148" w:name="_Toc184312071"/>
      <w:bookmarkEnd w:id="148"/>
      <w:bookmarkStart w:id="149" w:name="_Toc184313279"/>
      <w:bookmarkEnd w:id="149"/>
      <w:bookmarkStart w:id="150" w:name="_Toc184310301"/>
      <w:bookmarkEnd w:id="150"/>
      <w:bookmarkStart w:id="151" w:name="_Toc184308056"/>
      <w:bookmarkEnd w:id="151"/>
      <w:bookmarkStart w:id="152" w:name="_Toc184313287"/>
      <w:bookmarkEnd w:id="152"/>
      <w:bookmarkStart w:id="153" w:name="_Toc184314458"/>
      <w:bookmarkEnd w:id="153"/>
      <w:bookmarkStart w:id="154" w:name="_Toc184313256"/>
      <w:bookmarkEnd w:id="154"/>
      <w:bookmarkStart w:id="155" w:name="_Toc184312113"/>
      <w:bookmarkEnd w:id="155"/>
      <w:bookmarkStart w:id="156" w:name="_Toc184308065"/>
      <w:bookmarkEnd w:id="156"/>
      <w:bookmarkStart w:id="157" w:name="_Toc184312067"/>
      <w:bookmarkEnd w:id="157"/>
      <w:bookmarkStart w:id="158" w:name="_Toc184312116"/>
      <w:bookmarkEnd w:id="158"/>
      <w:bookmarkStart w:id="159" w:name="_Toc184310306"/>
      <w:bookmarkEnd w:id="159"/>
      <w:bookmarkStart w:id="160" w:name="_Toc184312120"/>
      <w:bookmarkEnd w:id="160"/>
      <w:bookmarkStart w:id="161" w:name="_Toc184310292"/>
      <w:bookmarkEnd w:id="161"/>
      <w:bookmarkStart w:id="162" w:name="_Toc184308104"/>
      <w:bookmarkEnd w:id="162"/>
      <w:bookmarkStart w:id="163" w:name="_Toc184313266"/>
      <w:bookmarkEnd w:id="163"/>
      <w:bookmarkStart w:id="164" w:name="_Toc184308058"/>
      <w:bookmarkEnd w:id="164"/>
      <w:bookmarkStart w:id="165" w:name="_Toc184310305"/>
      <w:bookmarkEnd w:id="165"/>
      <w:bookmarkStart w:id="166" w:name="_Toc184310274"/>
      <w:bookmarkEnd w:id="166"/>
      <w:bookmarkStart w:id="167" w:name="_Toc184310331"/>
      <w:bookmarkEnd w:id="167"/>
      <w:bookmarkStart w:id="168" w:name="_Toc184312110"/>
      <w:bookmarkEnd w:id="168"/>
      <w:bookmarkStart w:id="169" w:name="_Toc184310275"/>
      <w:bookmarkEnd w:id="169"/>
      <w:bookmarkStart w:id="170" w:name="_Toc184313278"/>
      <w:bookmarkEnd w:id="170"/>
      <w:bookmarkStart w:id="171" w:name="_Toc184310277"/>
      <w:bookmarkEnd w:id="171"/>
      <w:bookmarkStart w:id="172" w:name="_Toc184312074"/>
      <w:bookmarkEnd w:id="172"/>
      <w:bookmarkStart w:id="173" w:name="_Toc184312118"/>
      <w:bookmarkEnd w:id="173"/>
      <w:bookmarkStart w:id="174" w:name="_Toc184314452"/>
      <w:bookmarkEnd w:id="174"/>
      <w:bookmarkStart w:id="175" w:name="_Toc184312102"/>
      <w:bookmarkEnd w:id="175"/>
      <w:bookmarkStart w:id="176" w:name="_Toc184312079"/>
      <w:bookmarkEnd w:id="176"/>
      <w:bookmarkStart w:id="177" w:name="_Toc184310316"/>
      <w:bookmarkEnd w:id="177"/>
      <w:bookmarkStart w:id="178" w:name="_Toc184312084"/>
      <w:bookmarkEnd w:id="178"/>
      <w:bookmarkStart w:id="179" w:name="_Toc184310329"/>
      <w:bookmarkEnd w:id="179"/>
      <w:bookmarkStart w:id="180" w:name="_Toc184314420"/>
      <w:bookmarkEnd w:id="180"/>
      <w:bookmarkStart w:id="181" w:name="_Toc184312108"/>
      <w:bookmarkEnd w:id="181"/>
      <w:bookmarkStart w:id="182" w:name="_Toc184313248"/>
      <w:bookmarkEnd w:id="182"/>
      <w:bookmarkStart w:id="183" w:name="_Toc184308045"/>
      <w:bookmarkEnd w:id="183"/>
      <w:bookmarkStart w:id="184" w:name="_Toc184313300"/>
      <w:bookmarkEnd w:id="184"/>
      <w:bookmarkStart w:id="185" w:name="_Toc184310336"/>
      <w:bookmarkEnd w:id="185"/>
      <w:bookmarkStart w:id="186" w:name="_Toc184312129"/>
      <w:bookmarkEnd w:id="186"/>
      <w:bookmarkStart w:id="187" w:name="_Toc184312069"/>
      <w:bookmarkEnd w:id="187"/>
      <w:bookmarkStart w:id="188" w:name="_Toc184308090"/>
      <w:bookmarkEnd w:id="188"/>
      <w:bookmarkStart w:id="189" w:name="_Toc184310279"/>
      <w:bookmarkEnd w:id="189"/>
      <w:bookmarkStart w:id="190" w:name="_Toc184313242"/>
      <w:bookmarkEnd w:id="190"/>
      <w:bookmarkStart w:id="191" w:name="_Toc184314482"/>
      <w:bookmarkEnd w:id="191"/>
      <w:bookmarkStart w:id="192" w:name="_Toc184308066"/>
      <w:bookmarkEnd w:id="192"/>
      <w:bookmarkStart w:id="193" w:name="_Toc184308086"/>
      <w:bookmarkEnd w:id="193"/>
      <w:bookmarkStart w:id="194" w:name="_Toc184308092"/>
      <w:bookmarkEnd w:id="194"/>
      <w:bookmarkStart w:id="195" w:name="_Toc184308076"/>
      <w:bookmarkEnd w:id="195"/>
      <w:bookmarkStart w:id="196" w:name="_Toc184314470"/>
      <w:bookmarkEnd w:id="196"/>
      <w:bookmarkStart w:id="197" w:name="_Toc184308081"/>
      <w:bookmarkEnd w:id="197"/>
      <w:bookmarkStart w:id="198" w:name="_Toc184312100"/>
      <w:bookmarkEnd w:id="198"/>
      <w:bookmarkStart w:id="199" w:name="_Toc184313280"/>
      <w:bookmarkEnd w:id="199"/>
      <w:bookmarkStart w:id="200" w:name="_Toc184308049"/>
      <w:bookmarkEnd w:id="200"/>
      <w:bookmarkStart w:id="201" w:name="_Toc184312123"/>
      <w:bookmarkEnd w:id="201"/>
      <w:bookmarkStart w:id="202" w:name="_Toc184313284"/>
      <w:bookmarkEnd w:id="202"/>
      <w:bookmarkStart w:id="203" w:name="_Toc184310283"/>
      <w:bookmarkEnd w:id="203"/>
      <w:bookmarkStart w:id="204" w:name="_Toc184312103"/>
      <w:bookmarkEnd w:id="204"/>
      <w:bookmarkStart w:id="205" w:name="_Toc184314427"/>
      <w:bookmarkEnd w:id="205"/>
      <w:bookmarkStart w:id="206" w:name="_Toc184313285"/>
      <w:bookmarkEnd w:id="206"/>
      <w:bookmarkStart w:id="207" w:name="_Toc184310288"/>
      <w:bookmarkEnd w:id="207"/>
      <w:bookmarkStart w:id="208" w:name="_Toc184313303"/>
      <w:bookmarkEnd w:id="208"/>
      <w:bookmarkStart w:id="209" w:name="_Toc184314438"/>
      <w:bookmarkEnd w:id="209"/>
      <w:bookmarkStart w:id="210" w:name="_Toc184310333"/>
      <w:bookmarkEnd w:id="210"/>
      <w:bookmarkStart w:id="211" w:name="_Toc184314415"/>
      <w:bookmarkEnd w:id="211"/>
      <w:bookmarkStart w:id="212" w:name="_Toc184313254"/>
      <w:bookmarkEnd w:id="212"/>
      <w:bookmarkStart w:id="213" w:name="_Toc184312094"/>
      <w:bookmarkEnd w:id="213"/>
      <w:bookmarkStart w:id="214" w:name="_Toc184308077"/>
      <w:bookmarkEnd w:id="214"/>
      <w:bookmarkStart w:id="215" w:name="_Toc184312077"/>
      <w:bookmarkEnd w:id="215"/>
      <w:bookmarkStart w:id="216" w:name="_Toc184312101"/>
      <w:bookmarkEnd w:id="216"/>
      <w:bookmarkStart w:id="217" w:name="_Toc184312099"/>
      <w:bookmarkEnd w:id="217"/>
      <w:bookmarkStart w:id="218" w:name="_Toc184314477"/>
      <w:bookmarkEnd w:id="218"/>
      <w:bookmarkStart w:id="219" w:name="_Toc184310320"/>
      <w:bookmarkEnd w:id="219"/>
      <w:bookmarkStart w:id="220" w:name="_Toc184313282"/>
      <w:bookmarkEnd w:id="220"/>
      <w:bookmarkStart w:id="221" w:name="_Toc184310342"/>
      <w:bookmarkEnd w:id="221"/>
      <w:bookmarkStart w:id="222" w:name="_Toc184308102"/>
      <w:bookmarkEnd w:id="222"/>
      <w:bookmarkStart w:id="223" w:name="_Toc184313295"/>
      <w:bookmarkEnd w:id="223"/>
      <w:bookmarkStart w:id="224" w:name="_Toc184310272"/>
      <w:bookmarkEnd w:id="224"/>
      <w:bookmarkStart w:id="225" w:name="_Toc184310313"/>
      <w:bookmarkEnd w:id="225"/>
      <w:bookmarkStart w:id="226" w:name="_Toc184313281"/>
      <w:bookmarkEnd w:id="226"/>
      <w:bookmarkStart w:id="227" w:name="_Toc184313274"/>
      <w:bookmarkEnd w:id="227"/>
      <w:bookmarkStart w:id="228" w:name="_Toc184312090"/>
      <w:bookmarkEnd w:id="228"/>
      <w:bookmarkStart w:id="229" w:name="_Toc184310304"/>
      <w:bookmarkEnd w:id="229"/>
      <w:bookmarkStart w:id="230" w:name="_Toc184314429"/>
      <w:bookmarkEnd w:id="230"/>
      <w:bookmarkStart w:id="231" w:name="_Toc184312131"/>
      <w:bookmarkEnd w:id="231"/>
      <w:bookmarkStart w:id="232" w:name="_Toc184312119"/>
      <w:bookmarkEnd w:id="232"/>
      <w:bookmarkStart w:id="233" w:name="_Toc184308059"/>
      <w:bookmarkEnd w:id="233"/>
      <w:bookmarkStart w:id="234" w:name="_Toc184310319"/>
      <w:bookmarkEnd w:id="234"/>
      <w:bookmarkStart w:id="235" w:name="_Toc184308039"/>
      <w:bookmarkEnd w:id="235"/>
      <w:bookmarkStart w:id="236" w:name="_Toc184314413"/>
      <w:bookmarkEnd w:id="236"/>
      <w:bookmarkStart w:id="237" w:name="_Toc184314450"/>
      <w:bookmarkEnd w:id="237"/>
      <w:bookmarkStart w:id="238" w:name="_Toc184313289"/>
      <w:bookmarkEnd w:id="238"/>
      <w:bookmarkStart w:id="239" w:name="_Toc184314469"/>
      <w:bookmarkEnd w:id="239"/>
      <w:bookmarkStart w:id="240" w:name="_Toc184310293"/>
      <w:bookmarkEnd w:id="240"/>
      <w:bookmarkStart w:id="241" w:name="_Toc184314447"/>
      <w:bookmarkEnd w:id="241"/>
      <w:bookmarkStart w:id="242" w:name="_Toc184312068"/>
      <w:bookmarkEnd w:id="242"/>
      <w:bookmarkStart w:id="243" w:name="_Toc184312097"/>
      <w:bookmarkEnd w:id="243"/>
      <w:bookmarkStart w:id="244" w:name="_Toc184312073"/>
      <w:bookmarkEnd w:id="244"/>
      <w:bookmarkStart w:id="245" w:name="_Toc184308073"/>
      <w:bookmarkEnd w:id="245"/>
      <w:bookmarkStart w:id="246" w:name="_Toc184312076"/>
      <w:bookmarkEnd w:id="246"/>
      <w:bookmarkStart w:id="247" w:name="_Toc184313267"/>
      <w:bookmarkEnd w:id="247"/>
      <w:bookmarkStart w:id="248" w:name="_Toc184314417"/>
      <w:bookmarkEnd w:id="248"/>
      <w:bookmarkStart w:id="249" w:name="_Toc184313247"/>
      <w:bookmarkEnd w:id="249"/>
      <w:bookmarkStart w:id="250" w:name="_Toc184314446"/>
      <w:bookmarkEnd w:id="250"/>
      <w:bookmarkStart w:id="251" w:name="_Toc184314445"/>
      <w:bookmarkEnd w:id="251"/>
      <w:bookmarkStart w:id="252" w:name="_Toc184310307"/>
      <w:bookmarkEnd w:id="252"/>
      <w:bookmarkStart w:id="253" w:name="_Toc184310328"/>
      <w:bookmarkEnd w:id="253"/>
      <w:bookmarkStart w:id="254" w:name="_Toc184314434"/>
      <w:bookmarkEnd w:id="254"/>
      <w:bookmarkStart w:id="255" w:name="_Toc184312134"/>
      <w:bookmarkEnd w:id="255"/>
      <w:bookmarkStart w:id="256" w:name="_Toc184314472"/>
      <w:bookmarkEnd w:id="256"/>
      <w:bookmarkStart w:id="257" w:name="_Toc184310311"/>
      <w:bookmarkEnd w:id="257"/>
      <w:bookmarkStart w:id="258" w:name="_Toc184308036"/>
      <w:bookmarkEnd w:id="258"/>
      <w:bookmarkStart w:id="259" w:name="_Toc184314432"/>
      <w:bookmarkEnd w:id="259"/>
      <w:bookmarkStart w:id="260" w:name="_Toc184308054"/>
      <w:bookmarkEnd w:id="260"/>
      <w:bookmarkStart w:id="261" w:name="_Toc184310291"/>
      <w:bookmarkEnd w:id="261"/>
      <w:bookmarkStart w:id="262" w:name="_Toc184308082"/>
      <w:bookmarkEnd w:id="262"/>
      <w:bookmarkStart w:id="263" w:name="_Toc184314473"/>
      <w:bookmarkEnd w:id="263"/>
      <w:bookmarkStart w:id="264" w:name="_Toc184313240"/>
      <w:bookmarkEnd w:id="264"/>
      <w:bookmarkStart w:id="265" w:name="_Toc184313298"/>
      <w:bookmarkEnd w:id="265"/>
      <w:bookmarkStart w:id="266" w:name="_Toc184313297"/>
      <w:bookmarkEnd w:id="266"/>
      <w:bookmarkStart w:id="267" w:name="_Toc184314466"/>
      <w:bookmarkEnd w:id="267"/>
      <w:bookmarkStart w:id="268" w:name="_Toc184310280"/>
      <w:bookmarkEnd w:id="268"/>
      <w:bookmarkStart w:id="269" w:name="_Toc184314475"/>
      <w:bookmarkEnd w:id="269"/>
      <w:bookmarkStart w:id="270" w:name="_Toc184313257"/>
      <w:bookmarkEnd w:id="270"/>
      <w:bookmarkStart w:id="271" w:name="_Toc184308093"/>
      <w:bookmarkEnd w:id="271"/>
      <w:bookmarkStart w:id="272" w:name="_Toc184308041"/>
      <w:bookmarkEnd w:id="272"/>
      <w:bookmarkStart w:id="273" w:name="_Toc184314410"/>
      <w:bookmarkEnd w:id="273"/>
      <w:bookmarkStart w:id="274" w:name="_Toc184313304"/>
      <w:bookmarkEnd w:id="274"/>
      <w:bookmarkStart w:id="275" w:name="_Toc184313252"/>
      <w:bookmarkEnd w:id="275"/>
      <w:bookmarkStart w:id="276" w:name="_Toc184310285"/>
      <w:bookmarkEnd w:id="276"/>
      <w:bookmarkStart w:id="277" w:name="_Toc184310321"/>
      <w:bookmarkEnd w:id="277"/>
      <w:bookmarkStart w:id="278" w:name="_Toc184310281"/>
      <w:bookmarkEnd w:id="278"/>
      <w:bookmarkStart w:id="279" w:name="_Toc184314480"/>
      <w:bookmarkEnd w:id="279"/>
      <w:bookmarkStart w:id="280" w:name="_Toc184314414"/>
      <w:bookmarkEnd w:id="280"/>
      <w:bookmarkStart w:id="281" w:name="_Toc184310289"/>
      <w:bookmarkEnd w:id="281"/>
      <w:bookmarkStart w:id="282" w:name="_Toc184308038"/>
      <w:bookmarkEnd w:id="282"/>
      <w:bookmarkStart w:id="283" w:name="_Toc184313283"/>
      <w:bookmarkEnd w:id="283"/>
      <w:bookmarkStart w:id="284" w:name="_Toc184314424"/>
      <w:bookmarkEnd w:id="284"/>
      <w:bookmarkStart w:id="285" w:name="_Toc184312106"/>
      <w:bookmarkEnd w:id="285"/>
      <w:bookmarkStart w:id="286" w:name="_Toc184308069"/>
      <w:bookmarkEnd w:id="286"/>
      <w:bookmarkStart w:id="287" w:name="_Toc184312114"/>
      <w:bookmarkEnd w:id="287"/>
      <w:bookmarkStart w:id="288" w:name="_Toc184308051"/>
      <w:bookmarkEnd w:id="288"/>
      <w:bookmarkStart w:id="289" w:name="_Toc184314444"/>
      <w:bookmarkEnd w:id="289"/>
      <w:bookmarkStart w:id="290" w:name="_Toc184313255"/>
      <w:bookmarkEnd w:id="290"/>
      <w:bookmarkStart w:id="291" w:name="_Toc184312127"/>
      <w:bookmarkEnd w:id="291"/>
      <w:bookmarkStart w:id="292" w:name="_Toc184313269"/>
      <w:bookmarkEnd w:id="292"/>
      <w:bookmarkStart w:id="293" w:name="_Toc184313245"/>
      <w:bookmarkEnd w:id="293"/>
      <w:bookmarkStart w:id="294" w:name="_Toc184308067"/>
      <w:bookmarkEnd w:id="294"/>
      <w:bookmarkStart w:id="295" w:name="_Toc184312075"/>
      <w:bookmarkEnd w:id="295"/>
      <w:bookmarkStart w:id="296" w:name="_Toc184313291"/>
      <w:bookmarkEnd w:id="296"/>
      <w:bookmarkStart w:id="297" w:name="_Toc184314474"/>
      <w:bookmarkEnd w:id="297"/>
      <w:bookmarkStart w:id="298" w:name="_Toc184313244"/>
      <w:bookmarkEnd w:id="298"/>
      <w:bookmarkStart w:id="299" w:name="_Toc184312139"/>
      <w:bookmarkEnd w:id="299"/>
      <w:bookmarkStart w:id="300" w:name="_Toc184313299"/>
      <w:bookmarkEnd w:id="300"/>
      <w:bookmarkStart w:id="301" w:name="_Toc184314431"/>
      <w:bookmarkEnd w:id="301"/>
      <w:bookmarkStart w:id="302" w:name="_Toc184314449"/>
      <w:bookmarkEnd w:id="302"/>
      <w:bookmarkStart w:id="303" w:name="_Toc184313265"/>
      <w:bookmarkEnd w:id="303"/>
      <w:bookmarkStart w:id="304" w:name="_Toc184314439"/>
      <w:bookmarkEnd w:id="304"/>
      <w:bookmarkStart w:id="305" w:name="_Toc184313276"/>
      <w:bookmarkEnd w:id="305"/>
      <w:bookmarkStart w:id="306" w:name="_Toc184314442"/>
      <w:bookmarkEnd w:id="306"/>
      <w:bookmarkStart w:id="307" w:name="_Toc184310298"/>
      <w:bookmarkEnd w:id="307"/>
      <w:bookmarkStart w:id="308" w:name="_Toc184312072"/>
      <w:bookmarkEnd w:id="308"/>
      <w:bookmarkStart w:id="309" w:name="_Toc184313261"/>
      <w:bookmarkEnd w:id="309"/>
      <w:bookmarkStart w:id="310" w:name="_Toc184313294"/>
      <w:bookmarkEnd w:id="310"/>
      <w:bookmarkStart w:id="311" w:name="_Toc184312137"/>
      <w:bookmarkEnd w:id="311"/>
      <w:bookmarkStart w:id="312" w:name="_Toc184313249"/>
      <w:bookmarkEnd w:id="312"/>
      <w:bookmarkStart w:id="313" w:name="_Toc184314440"/>
      <w:bookmarkEnd w:id="313"/>
      <w:bookmarkStart w:id="314" w:name="_Toc184310334"/>
      <w:bookmarkEnd w:id="314"/>
      <w:bookmarkStart w:id="315" w:name="_Toc184308071"/>
      <w:bookmarkEnd w:id="315"/>
      <w:bookmarkStart w:id="316" w:name="_Toc184308096"/>
      <w:bookmarkEnd w:id="316"/>
      <w:bookmarkStart w:id="317" w:name="_Toc184312070"/>
      <w:bookmarkEnd w:id="317"/>
      <w:bookmarkStart w:id="318" w:name="_Toc184308053"/>
      <w:bookmarkEnd w:id="318"/>
      <w:bookmarkStart w:id="319" w:name="_Toc184312138"/>
      <w:bookmarkEnd w:id="319"/>
      <w:bookmarkStart w:id="320" w:name="_Toc184308078"/>
      <w:bookmarkEnd w:id="320"/>
      <w:bookmarkStart w:id="321" w:name="_Toc184314426"/>
      <w:bookmarkEnd w:id="321"/>
      <w:bookmarkStart w:id="322" w:name="_Toc184308091"/>
      <w:bookmarkEnd w:id="322"/>
      <w:bookmarkStart w:id="323" w:name="_Toc184312091"/>
      <w:bookmarkEnd w:id="323"/>
      <w:bookmarkStart w:id="324" w:name="_Toc184308098"/>
      <w:bookmarkEnd w:id="324"/>
      <w:bookmarkStart w:id="325" w:name="_Toc184308088"/>
      <w:bookmarkEnd w:id="325"/>
      <w:bookmarkStart w:id="326" w:name="_Toc184314441"/>
      <w:bookmarkEnd w:id="326"/>
      <w:bookmarkStart w:id="327" w:name="_Toc184313268"/>
      <w:bookmarkEnd w:id="327"/>
      <w:bookmarkStart w:id="328" w:name="_Toc184308084"/>
      <w:bookmarkEnd w:id="328"/>
      <w:bookmarkStart w:id="329" w:name="_Toc184313263"/>
      <w:bookmarkEnd w:id="329"/>
      <w:bookmarkStart w:id="330" w:name="_Toc184314428"/>
      <w:bookmarkEnd w:id="330"/>
      <w:bookmarkStart w:id="331" w:name="_Toc184308108"/>
      <w:bookmarkEnd w:id="331"/>
      <w:bookmarkStart w:id="332" w:name="_Toc184312098"/>
      <w:bookmarkEnd w:id="332"/>
      <w:bookmarkStart w:id="333" w:name="_Toc184314443"/>
      <w:bookmarkEnd w:id="333"/>
      <w:bookmarkStart w:id="334" w:name="_Toc184308080"/>
      <w:bookmarkEnd w:id="334"/>
      <w:bookmarkStart w:id="335" w:name="_Toc184308068"/>
      <w:bookmarkEnd w:id="335"/>
      <w:bookmarkStart w:id="336" w:name="_Toc184308046"/>
      <w:bookmarkEnd w:id="336"/>
      <w:bookmarkStart w:id="337" w:name="_Toc184308070"/>
      <w:bookmarkEnd w:id="337"/>
      <w:bookmarkStart w:id="338" w:name="_Toc184308050"/>
      <w:bookmarkEnd w:id="338"/>
      <w:bookmarkStart w:id="339" w:name="_Toc184314457"/>
      <w:bookmarkEnd w:id="339"/>
      <w:bookmarkStart w:id="340" w:name="_Toc184308099"/>
      <w:bookmarkEnd w:id="340"/>
      <w:bookmarkStart w:id="341" w:name="_Toc184310344"/>
      <w:bookmarkEnd w:id="341"/>
      <w:bookmarkStart w:id="342" w:name="_Toc184308047"/>
      <w:bookmarkEnd w:id="342"/>
      <w:bookmarkStart w:id="343" w:name="_Toc184310287"/>
      <w:bookmarkEnd w:id="343"/>
      <w:bookmarkStart w:id="344" w:name="_Toc184314421"/>
      <w:bookmarkEnd w:id="344"/>
      <w:bookmarkStart w:id="345" w:name="_Toc184310295"/>
      <w:bookmarkEnd w:id="345"/>
      <w:bookmarkStart w:id="346" w:name="_Toc184313239"/>
      <w:bookmarkEnd w:id="346"/>
      <w:bookmarkStart w:id="347" w:name="_Toc184312124"/>
      <w:bookmarkEnd w:id="347"/>
      <w:bookmarkStart w:id="348" w:name="_Toc184312088"/>
      <w:bookmarkEnd w:id="348"/>
      <w:bookmarkStart w:id="349" w:name="_Toc184313273"/>
      <w:bookmarkEnd w:id="349"/>
      <w:bookmarkStart w:id="350" w:name="_Toc184312122"/>
      <w:bookmarkEnd w:id="350"/>
      <w:bookmarkStart w:id="351" w:name="_Toc184308095"/>
      <w:bookmarkEnd w:id="351"/>
      <w:bookmarkStart w:id="352" w:name="_Toc184312087"/>
      <w:bookmarkEnd w:id="352"/>
      <w:bookmarkStart w:id="353" w:name="_Toc184308062"/>
      <w:bookmarkEnd w:id="353"/>
      <w:bookmarkStart w:id="354" w:name="_Toc184314448"/>
      <w:bookmarkEnd w:id="354"/>
      <w:bookmarkStart w:id="355" w:name="_Toc184308055"/>
      <w:bookmarkEnd w:id="355"/>
      <w:bookmarkStart w:id="356" w:name="_Toc184313246"/>
      <w:bookmarkEnd w:id="356"/>
      <w:bookmarkStart w:id="357" w:name="_Toc184310312"/>
      <w:bookmarkEnd w:id="357"/>
      <w:bookmarkStart w:id="358" w:name="_Toc184310327"/>
      <w:bookmarkEnd w:id="358"/>
      <w:bookmarkStart w:id="359" w:name="_Toc184310303"/>
      <w:bookmarkEnd w:id="359"/>
      <w:bookmarkStart w:id="360" w:name="_Toc184312080"/>
      <w:bookmarkEnd w:id="360"/>
      <w:bookmarkStart w:id="361" w:name="_Toc184312125"/>
      <w:bookmarkEnd w:id="361"/>
      <w:bookmarkStart w:id="362" w:name="_Toc184313241"/>
      <w:bookmarkEnd w:id="362"/>
      <w:bookmarkStart w:id="363" w:name="_Toc184308107"/>
      <w:bookmarkEnd w:id="363"/>
      <w:bookmarkStart w:id="364" w:name="_Toc184308072"/>
      <w:bookmarkEnd w:id="364"/>
      <w:bookmarkStart w:id="365" w:name="_Toc184313308"/>
      <w:bookmarkEnd w:id="365"/>
      <w:bookmarkStart w:id="366" w:name="_Toc184310315"/>
      <w:bookmarkEnd w:id="366"/>
      <w:bookmarkStart w:id="367" w:name="_Toc184313302"/>
      <w:bookmarkEnd w:id="367"/>
      <w:bookmarkStart w:id="368" w:name="_Toc184314412"/>
      <w:bookmarkEnd w:id="368"/>
      <w:bookmarkStart w:id="369" w:name="_Toc184312092"/>
      <w:bookmarkEnd w:id="369"/>
      <w:bookmarkStart w:id="370" w:name="_Toc184308089"/>
      <w:bookmarkEnd w:id="370"/>
      <w:bookmarkStart w:id="371" w:name="_Toc184308061"/>
      <w:bookmarkEnd w:id="371"/>
      <w:bookmarkStart w:id="372" w:name="_Toc184314471"/>
      <w:bookmarkEnd w:id="372"/>
      <w:bookmarkStart w:id="373" w:name="_Toc184313259"/>
      <w:bookmarkEnd w:id="373"/>
      <w:bookmarkStart w:id="374" w:name="_Toc184312109"/>
      <w:bookmarkEnd w:id="374"/>
      <w:bookmarkStart w:id="375" w:name="_Toc184314419"/>
      <w:bookmarkEnd w:id="375"/>
      <w:bookmarkStart w:id="376" w:name="_Toc184312130"/>
      <w:bookmarkEnd w:id="376"/>
      <w:bookmarkStart w:id="377" w:name="_Toc184308079"/>
      <w:bookmarkEnd w:id="377"/>
      <w:bookmarkStart w:id="378" w:name="_Toc184308105"/>
      <w:bookmarkEnd w:id="378"/>
      <w:bookmarkStart w:id="379" w:name="_Toc184312082"/>
      <w:bookmarkEnd w:id="379"/>
      <w:bookmarkStart w:id="380" w:name="_Toc184313306"/>
      <w:bookmarkEnd w:id="380"/>
      <w:bookmarkStart w:id="381" w:name="_Toc184314418"/>
      <w:bookmarkEnd w:id="381"/>
      <w:bookmarkStart w:id="382" w:name="_Toc184314479"/>
      <w:bookmarkEnd w:id="382"/>
      <w:bookmarkStart w:id="383" w:name="_Toc184313309"/>
      <w:bookmarkEnd w:id="383"/>
      <w:bookmarkStart w:id="384" w:name="_Toc184314422"/>
      <w:bookmarkEnd w:id="384"/>
      <w:bookmarkStart w:id="385" w:name="_Toc184313272"/>
      <w:bookmarkEnd w:id="385"/>
      <w:bookmarkStart w:id="386" w:name="_Toc184312132"/>
      <w:bookmarkEnd w:id="386"/>
      <w:bookmarkStart w:id="387" w:name="_Toc184314430"/>
      <w:bookmarkEnd w:id="387"/>
      <w:bookmarkStart w:id="388" w:name="_Toc184313301"/>
      <w:bookmarkEnd w:id="388"/>
      <w:bookmarkStart w:id="389" w:name="_Toc184314416"/>
      <w:bookmarkEnd w:id="389"/>
      <w:bookmarkStart w:id="390" w:name="_Toc184312136"/>
      <w:bookmarkEnd w:id="390"/>
      <w:bookmarkStart w:id="391" w:name="_Toc184314436"/>
      <w:bookmarkEnd w:id="391"/>
      <w:bookmarkStart w:id="392" w:name="_Toc184314468"/>
      <w:bookmarkEnd w:id="392"/>
      <w:r>
        <w:rPr>
          <w:rFonts w:hint="eastAsia" w:ascii="宋体" w:hAnsi="宋体" w:eastAsia="宋体" w:cs="宋体"/>
          <w:b/>
          <w:color w:val="auto"/>
          <w:sz w:val="36"/>
          <w:szCs w:val="36"/>
        </w:rPr>
        <w:t>评标办法</w:t>
      </w:r>
    </w:p>
    <w:p>
      <w:pPr>
        <w:snapToGrid w:val="0"/>
        <w:spacing w:line="360" w:lineRule="auto"/>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tbl>
      <w:tblPr>
        <w:tblStyle w:val="63"/>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75"/>
        <w:gridCol w:w="4475"/>
        <w:gridCol w:w="687"/>
        <w:gridCol w:w="100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2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7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评标内容</w:t>
            </w:r>
          </w:p>
        </w:tc>
        <w:tc>
          <w:tcPr>
            <w:tcW w:w="447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687"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00" w:type="dxa"/>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212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520"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75" w:type="dxa"/>
            <w:vAlign w:val="center"/>
          </w:tcPr>
          <w:p>
            <w:pPr>
              <w:snapToGrid w:val="0"/>
              <w:spacing w:line="360" w:lineRule="auto"/>
              <w:jc w:val="center"/>
              <w:outlineLvl w:val="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企业管理体系</w:t>
            </w:r>
          </w:p>
        </w:tc>
        <w:tc>
          <w:tcPr>
            <w:tcW w:w="4475" w:type="dxa"/>
          </w:tcPr>
          <w:p>
            <w:pPr>
              <w:snapToGrid w:val="0"/>
              <w:spacing w:line="360" w:lineRule="auto"/>
              <w:jc w:val="both"/>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投标人具有有效的质量体系认证、环境管理体系认证、职业健康安全管理体系认证，每提供一个证书得1分，最高得3分。</w:t>
            </w:r>
          </w:p>
          <w:p>
            <w:pPr>
              <w:snapToGrid w:val="0"/>
              <w:spacing w:line="360" w:lineRule="auto"/>
              <w:jc w:val="both"/>
              <w:outlineLvl w:val="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证明材料：提供有效证书原件扫描件或全国认证认可信息公共服务平台上(http://cx.cnca.cn/CertECloud/result/skipResultList?certItemOne=A)证书状态为“有效”的查询结果网页截图，否则不得分。</w:t>
            </w:r>
          </w:p>
        </w:tc>
        <w:tc>
          <w:tcPr>
            <w:tcW w:w="687"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00"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2120"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520"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75" w:type="dxa"/>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同类项目业绩</w:t>
            </w:r>
          </w:p>
        </w:tc>
        <w:tc>
          <w:tcPr>
            <w:tcW w:w="4475" w:type="dxa"/>
          </w:tcPr>
          <w:p>
            <w:pPr>
              <w:pStyle w:val="25"/>
              <w:adjustRightInd w:val="0"/>
              <w:snapToGrid w:val="0"/>
              <w:spacing w:line="36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投标人自2021年1月1日至投标文件递交截止时间（以合同签订时间为准）具有同类项目业绩的，每提供一个业绩证明材料得0.5分，最高得1分。</w:t>
            </w:r>
          </w:p>
          <w:p>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注：提供合同复印件，要求提供的材料内容能体现评审要素。</w:t>
            </w:r>
          </w:p>
        </w:tc>
        <w:tc>
          <w:tcPr>
            <w:tcW w:w="687"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0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2120"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520"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75" w:type="dxa"/>
            <w:vAlign w:val="center"/>
          </w:tcPr>
          <w:p>
            <w:pPr>
              <w:snapToGrid w:val="0"/>
              <w:spacing w:line="360" w:lineRule="auto"/>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人员</w:t>
            </w:r>
          </w:p>
        </w:tc>
        <w:tc>
          <w:tcPr>
            <w:tcW w:w="4475" w:type="dxa"/>
          </w:tcPr>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1、项目负责人：拟投入本项目的项目负责人具备机械（或电气)类正高级职称证书的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机电类特种设备高级检验师的得5分，具备机械（或电气)类副高级职称证书的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电梯检验师的得3分，没有不得分，最高得5分。</w:t>
            </w:r>
          </w:p>
          <w:p>
            <w:pPr>
              <w:numPr>
                <w:ilvl w:val="0"/>
                <w:numId w:val="0"/>
              </w:numPr>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2、项目成员（含项目负责人）：</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投入本项目评估现场的团队成员具有6人及以上10人以下电梯检验师或型式试验人员的得6分，具有10人及以上15人以下电梯检验师或型式试验人员的得8分，具有15人及以上电梯检验师或型式试验人员的得10分，最高得10分。</w:t>
            </w:r>
          </w:p>
          <w:p>
            <w:pP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none"/>
                <w:lang w:val="en-US" w:eastAsia="zh-CN"/>
              </w:rPr>
              <w:t>以上人员</w:t>
            </w:r>
            <w:r>
              <w:rPr>
                <w:rFonts w:hint="eastAsia" w:ascii="宋体" w:hAnsi="宋体" w:eastAsia="宋体" w:cs="宋体"/>
                <w:b/>
                <w:bCs/>
                <w:color w:val="auto"/>
                <w:sz w:val="24"/>
                <w:szCs w:val="24"/>
                <w:highlight w:val="none"/>
                <w:u w:val="none"/>
              </w:rPr>
              <w:t>需提供个人证书并加盖公章及最近三个月中任意1个月由供应商缴纳的个人社保证明，不提供不得分</w:t>
            </w:r>
            <w:r>
              <w:rPr>
                <w:rFonts w:hint="eastAsia" w:ascii="宋体" w:hAnsi="宋体" w:eastAsia="宋体" w:cs="宋体"/>
                <w:b/>
                <w:bCs/>
                <w:color w:val="auto"/>
                <w:sz w:val="24"/>
                <w:szCs w:val="24"/>
                <w:highlight w:val="none"/>
                <w:u w:val="none"/>
                <w:lang w:eastAsia="zh-CN"/>
              </w:rPr>
              <w:t>。</w:t>
            </w:r>
          </w:p>
        </w:tc>
        <w:tc>
          <w:tcPr>
            <w:tcW w:w="687"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00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2120"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7" w:hRule="atLeast"/>
          <w:jc w:val="center"/>
        </w:trPr>
        <w:tc>
          <w:tcPr>
            <w:tcW w:w="520"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7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检测仪器设备</w:t>
            </w:r>
          </w:p>
        </w:tc>
        <w:tc>
          <w:tcPr>
            <w:tcW w:w="447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根据供应商电梯安全评估的检测仪器设备有利于项目实施的情况进行打分。</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有电梯振动加速度测试仪、绝缘电阻测试仪，钳形电流表、激光测距仪、转速表，每提供1个仪器得1分，</w:t>
            </w:r>
            <w:r>
              <w:rPr>
                <w:rFonts w:hint="eastAsia" w:ascii="宋体" w:hAnsi="宋体" w:eastAsia="宋体" w:cs="宋体"/>
                <w:sz w:val="24"/>
                <w:szCs w:val="24"/>
                <w:highlight w:val="none"/>
                <w:lang w:val="en-US" w:eastAsia="zh-CN"/>
              </w:rPr>
              <w:t>最高得</w:t>
            </w:r>
            <w:r>
              <w:rPr>
                <w:rFonts w:hint="eastAsia" w:ascii="宋体" w:hAnsi="宋体" w:eastAsia="宋体" w:cs="宋体"/>
                <w:sz w:val="24"/>
                <w:szCs w:val="24"/>
                <w:highlight w:val="none"/>
              </w:rPr>
              <w:t>5分，未提供不得分。</w:t>
            </w:r>
          </w:p>
          <w:p>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（需提供仪器设备台账、实物照片、检定或校准证书（无法整体校准的大型仪器可对主要参数进行校准）扫描件并加盖公章。）</w:t>
            </w:r>
          </w:p>
        </w:tc>
        <w:tc>
          <w:tcPr>
            <w:tcW w:w="687"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0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2120"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52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975" w:type="dxa"/>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重难点分析及解决措施</w:t>
            </w:r>
          </w:p>
        </w:tc>
        <w:tc>
          <w:tcPr>
            <w:tcW w:w="4475"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重难点分析到位，解决措施科学合理，针对性强的得5分，重难点分析较为全面，解决措施详细完整，可行性强的得4分，重难点分析有少许偏离的得2分，无此内容的不得分。</w:t>
            </w:r>
          </w:p>
        </w:tc>
        <w:tc>
          <w:tcPr>
            <w:tcW w:w="687"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0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12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20" w:type="dxa"/>
            <w:vMerge w:val="restart"/>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975" w:type="dxa"/>
            <w:vMerge w:val="restart"/>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总体实施方案</w:t>
            </w:r>
          </w:p>
          <w:p>
            <w:pPr>
              <w:spacing w:line="360" w:lineRule="auto"/>
              <w:jc w:val="center"/>
              <w:rPr>
                <w:rFonts w:hint="eastAsia" w:ascii="宋体" w:hAnsi="宋体" w:eastAsia="宋体" w:cs="宋体"/>
                <w:color w:val="auto"/>
                <w:sz w:val="24"/>
                <w:szCs w:val="24"/>
                <w:highlight w:val="none"/>
                <w:lang w:val="en-US" w:eastAsia="zh-CN"/>
              </w:rPr>
            </w:pPr>
          </w:p>
        </w:tc>
        <w:tc>
          <w:tcPr>
            <w:tcW w:w="4475" w:type="dxa"/>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服务工作的内容、服务工作范围是否齐全：内容齐全、完备，完全满足采购需求的得4分，内容完整，可行性一般，基本满足采购需求的得3分，内容与采购新需求有较小偏离的得1分，内容与采购需求偏离较大或无内容的不得分。</w:t>
            </w:r>
          </w:p>
        </w:tc>
        <w:tc>
          <w:tcPr>
            <w:tcW w:w="687"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00" w:type="dxa"/>
            <w:vMerge w:val="restart"/>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120" w:type="dxa"/>
            <w:vMerge w:val="restart"/>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20" w:type="dxa"/>
            <w:vMerge w:val="continue"/>
            <w:vAlign w:val="center"/>
          </w:tcPr>
          <w:p>
            <w:pPr>
              <w:spacing w:line="360" w:lineRule="auto"/>
              <w:jc w:val="center"/>
              <w:rPr>
                <w:rFonts w:hint="eastAsia" w:ascii="宋体" w:hAnsi="宋体" w:eastAsia="宋体" w:cs="宋体"/>
                <w:sz w:val="24"/>
                <w:szCs w:val="24"/>
                <w:highlight w:val="none"/>
              </w:rPr>
            </w:pPr>
          </w:p>
        </w:tc>
        <w:tc>
          <w:tcPr>
            <w:tcW w:w="975" w:type="dxa"/>
            <w:vMerge w:val="continue"/>
            <w:vAlign w:val="center"/>
          </w:tcPr>
          <w:p>
            <w:pPr>
              <w:spacing w:line="360" w:lineRule="auto"/>
              <w:jc w:val="center"/>
              <w:rPr>
                <w:rFonts w:hint="eastAsia" w:ascii="宋体" w:hAnsi="宋体" w:eastAsia="宋体" w:cs="宋体"/>
                <w:sz w:val="24"/>
                <w:szCs w:val="24"/>
                <w:highlight w:val="none"/>
              </w:rPr>
            </w:pPr>
          </w:p>
        </w:tc>
        <w:tc>
          <w:tcPr>
            <w:tcW w:w="447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组织设置、岗位配置是否符合本项目特点：配置科学合理，完全满足采购需求的得4分，配置较为科学合理，能够满足采购需求的得3分，配置科学，可行性一般的得2分，无相关内容的不得分。</w:t>
            </w:r>
          </w:p>
        </w:tc>
        <w:tc>
          <w:tcPr>
            <w:tcW w:w="687"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00"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2120"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20"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975"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447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人员管理的合理性：管理方案科学合理的得4分，管理方案较为科学合理的得3分，管理方案与采购需求有较少偏离的得1分，管理方案偏离较大或无方案的不得分。</w:t>
            </w:r>
          </w:p>
        </w:tc>
        <w:tc>
          <w:tcPr>
            <w:tcW w:w="687"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00"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2120"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975"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447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服务标准设计是否合理：设计方案科学新颖、贴合实际需求的得4分，设计方案与采购需求有较小偏离的得2分，设计方案与采购需求有较大偏离或无方案的不得分。</w:t>
            </w:r>
          </w:p>
        </w:tc>
        <w:tc>
          <w:tcPr>
            <w:tcW w:w="687"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00"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2120"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520"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975"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447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highlight w:val="none"/>
              </w:rPr>
              <w:t>主次安排</w:t>
            </w:r>
            <w:r>
              <w:rPr>
                <w:rFonts w:hint="eastAsia" w:ascii="宋体" w:hAnsi="宋体" w:eastAsia="宋体" w:cs="宋体"/>
                <w:bCs/>
                <w:sz w:val="24"/>
                <w:szCs w:val="24"/>
                <w:highlight w:val="none"/>
                <w:lang w:val="en-US" w:eastAsia="zh-CN"/>
              </w:rPr>
              <w:t>的</w:t>
            </w:r>
            <w:r>
              <w:rPr>
                <w:rFonts w:hint="eastAsia" w:ascii="宋体" w:hAnsi="宋体" w:eastAsia="宋体" w:cs="宋体"/>
                <w:bCs/>
                <w:sz w:val="24"/>
                <w:szCs w:val="24"/>
                <w:highlight w:val="none"/>
              </w:rPr>
              <w:t>逻辑</w:t>
            </w:r>
            <w:r>
              <w:rPr>
                <w:rFonts w:hint="eastAsia" w:ascii="宋体" w:hAnsi="宋体" w:eastAsia="宋体" w:cs="宋体"/>
                <w:bCs/>
                <w:sz w:val="24"/>
                <w:szCs w:val="24"/>
                <w:highlight w:val="none"/>
                <w:lang w:val="en-US" w:eastAsia="zh-CN"/>
              </w:rPr>
              <w:t>性：</w:t>
            </w:r>
            <w:r>
              <w:rPr>
                <w:rFonts w:hint="eastAsia" w:ascii="宋体" w:hAnsi="宋体" w:eastAsia="宋体" w:cs="宋体"/>
                <w:b w:val="0"/>
                <w:bCs w:val="0"/>
                <w:sz w:val="24"/>
                <w:szCs w:val="24"/>
                <w:highlight w:val="none"/>
              </w:rPr>
              <w:t>安全评估工作方案</w:t>
            </w:r>
            <w:r>
              <w:rPr>
                <w:rFonts w:hint="eastAsia" w:ascii="宋体" w:hAnsi="宋体" w:eastAsia="宋体" w:cs="宋体"/>
                <w:bCs/>
                <w:sz w:val="24"/>
                <w:szCs w:val="24"/>
                <w:highlight w:val="none"/>
              </w:rPr>
              <w:t>主次安排逻辑合理，有效回应项目需求，能体现专业能力、关键技术和</w:t>
            </w:r>
            <w:r>
              <w:rPr>
                <w:rFonts w:hint="eastAsia" w:ascii="宋体" w:hAnsi="宋体" w:eastAsia="宋体" w:cs="宋体"/>
                <w:bCs/>
                <w:sz w:val="24"/>
                <w:szCs w:val="24"/>
                <w:highlight w:val="none"/>
                <w:lang w:val="en-US" w:eastAsia="zh-CN"/>
              </w:rPr>
              <w:t>科学</w:t>
            </w:r>
            <w:r>
              <w:rPr>
                <w:rFonts w:hint="eastAsia" w:ascii="宋体" w:hAnsi="宋体" w:eastAsia="宋体" w:cs="宋体"/>
                <w:bCs/>
                <w:sz w:val="24"/>
                <w:szCs w:val="24"/>
                <w:highlight w:val="none"/>
              </w:rPr>
              <w:t>性</w:t>
            </w:r>
            <w:r>
              <w:rPr>
                <w:rFonts w:hint="eastAsia" w:ascii="宋体" w:hAnsi="宋体" w:eastAsia="宋体" w:cs="宋体"/>
                <w:bCs/>
                <w:sz w:val="24"/>
                <w:szCs w:val="24"/>
                <w:highlight w:val="none"/>
                <w:lang w:val="en-US" w:eastAsia="zh-CN"/>
              </w:rPr>
              <w:t>的得5分，</w:t>
            </w:r>
            <w:r>
              <w:rPr>
                <w:rFonts w:hint="eastAsia" w:ascii="宋体" w:hAnsi="宋体" w:eastAsia="宋体" w:cs="宋体"/>
                <w:bCs/>
                <w:sz w:val="24"/>
                <w:szCs w:val="24"/>
                <w:highlight w:val="none"/>
              </w:rPr>
              <w:t>可行性</w:t>
            </w:r>
            <w:r>
              <w:rPr>
                <w:rFonts w:hint="eastAsia" w:ascii="宋体" w:hAnsi="宋体" w:eastAsia="宋体" w:cs="宋体"/>
                <w:bCs/>
                <w:sz w:val="24"/>
                <w:szCs w:val="24"/>
                <w:highlight w:val="none"/>
                <w:lang w:val="en-US" w:eastAsia="zh-CN"/>
              </w:rPr>
              <w:t>较强</w:t>
            </w:r>
            <w:r>
              <w:rPr>
                <w:rFonts w:hint="eastAsia" w:ascii="宋体" w:hAnsi="宋体" w:eastAsia="宋体" w:cs="宋体"/>
                <w:bCs/>
                <w:sz w:val="24"/>
                <w:szCs w:val="24"/>
                <w:highlight w:val="none"/>
              </w:rPr>
              <w:t>或描述</w:t>
            </w:r>
            <w:r>
              <w:rPr>
                <w:rFonts w:hint="eastAsia" w:ascii="宋体" w:hAnsi="宋体" w:eastAsia="宋体" w:cs="宋体"/>
                <w:bCs/>
                <w:sz w:val="24"/>
                <w:szCs w:val="24"/>
                <w:highlight w:val="none"/>
                <w:lang w:val="en-US" w:eastAsia="zh-CN"/>
              </w:rPr>
              <w:t>较为</w:t>
            </w:r>
            <w:r>
              <w:rPr>
                <w:rFonts w:hint="eastAsia" w:ascii="宋体" w:hAnsi="宋体" w:eastAsia="宋体" w:cs="宋体"/>
                <w:bCs/>
                <w:sz w:val="24"/>
                <w:szCs w:val="24"/>
                <w:highlight w:val="none"/>
              </w:rPr>
              <w:t>清晰</w:t>
            </w:r>
            <w:r>
              <w:rPr>
                <w:rFonts w:hint="eastAsia" w:ascii="宋体" w:hAnsi="宋体" w:eastAsia="宋体" w:cs="宋体"/>
                <w:bCs/>
                <w:sz w:val="24"/>
                <w:szCs w:val="24"/>
                <w:highlight w:val="none"/>
                <w:lang w:val="en-US" w:eastAsia="zh-CN"/>
              </w:rPr>
              <w:t>科学的得4分，逻辑混乱，可行性一般的得1分，无相关内容的不得分。</w:t>
            </w:r>
          </w:p>
        </w:tc>
        <w:tc>
          <w:tcPr>
            <w:tcW w:w="687"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00"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2120" w:type="dxa"/>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20"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97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进度保障措施</w:t>
            </w:r>
          </w:p>
        </w:tc>
        <w:tc>
          <w:tcPr>
            <w:tcW w:w="447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措施科学合理完整、可行性强的得5分，措施较为科学合理，有一定可行性的得4分，措施与采购需求有所偏离，但基本能满足采购需求的得2分，措施与采购需求偏离较大，不能满足采购需求或无措施的不得分。</w:t>
            </w:r>
          </w:p>
        </w:tc>
        <w:tc>
          <w:tcPr>
            <w:tcW w:w="687"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0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2120"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520"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97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安全评估过程的质量保障措施</w:t>
            </w:r>
          </w:p>
        </w:tc>
        <w:tc>
          <w:tcPr>
            <w:tcW w:w="4475" w:type="dxa"/>
            <w:vAlign w:val="center"/>
          </w:tcPr>
          <w:p>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措施科学合理完整、可行性强的得5分，措施较为科学合理，有一定可行性的得3分，措施与采购需求有所偏离，但基本能满足采购需求的得2分，措施与采购需求偏离较大，不能满足采购需求或无措施的不得分。</w:t>
            </w:r>
          </w:p>
        </w:tc>
        <w:tc>
          <w:tcPr>
            <w:tcW w:w="687"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0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2120"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20"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97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安全评估记录和报告</w:t>
            </w:r>
          </w:p>
        </w:tc>
        <w:tc>
          <w:tcPr>
            <w:tcW w:w="447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原始记录评估项目的技术要求和检验方法的合理性、可操作性，综合安全状况得分规则设计的合理性进行综合评审；内容完整、科学合理、可行性强的得5分，内容较为完整、科学合理，有一定可行性的得3分，措施内容与采购需求有所偏离，但基本能满足采购需求的得2分，措施与采购需求偏离较大，不能满足采购需求或无措施的不得分。</w:t>
            </w:r>
          </w:p>
        </w:tc>
        <w:tc>
          <w:tcPr>
            <w:tcW w:w="687"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0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2120"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520"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97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突发事件应急处理措施</w:t>
            </w:r>
          </w:p>
        </w:tc>
        <w:tc>
          <w:tcPr>
            <w:tcW w:w="4475"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措施科学合理完整、可行性强的得5分，措施较为科学合理，有一定可行性的得3分，措施与采购需求有所偏离，但基本能满足采购需求的得2分，措施与采购需求偏离较大，不能满足采购需求或无措施的不得分。</w:t>
            </w:r>
          </w:p>
        </w:tc>
        <w:tc>
          <w:tcPr>
            <w:tcW w:w="687"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00"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2120" w:type="dxa"/>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52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975" w:type="dxa"/>
            <w:shd w:val="clear" w:color="auto" w:fill="auto"/>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响应承诺</w:t>
            </w:r>
          </w:p>
        </w:tc>
        <w:tc>
          <w:tcPr>
            <w:tcW w:w="4475"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对突发事件的响应时间</w:t>
            </w:r>
            <w:r>
              <w:rPr>
                <w:rFonts w:hint="eastAsia" w:ascii="宋体" w:hAnsi="宋体" w:eastAsia="宋体" w:cs="宋体"/>
                <w:sz w:val="24"/>
                <w:szCs w:val="24"/>
                <w:highlight w:val="none"/>
                <w:lang w:val="en-US" w:eastAsia="zh-CN"/>
              </w:rPr>
              <w:t>承诺在6小时内响应并解决相关问题的得2分，承诺在12小时内响应并解决相关问题的得1分，其他不得分。</w:t>
            </w:r>
          </w:p>
        </w:tc>
        <w:tc>
          <w:tcPr>
            <w:tcW w:w="687"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0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212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52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13</w:t>
            </w:r>
          </w:p>
        </w:tc>
        <w:tc>
          <w:tcPr>
            <w:tcW w:w="975" w:type="dxa"/>
            <w:shd w:val="clear" w:color="auto" w:fill="auto"/>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后续技术支持方案</w:t>
            </w:r>
          </w:p>
          <w:p>
            <w:pPr>
              <w:spacing w:line="360" w:lineRule="auto"/>
              <w:jc w:val="center"/>
              <w:rPr>
                <w:rFonts w:hint="eastAsia" w:ascii="宋体" w:hAnsi="宋体" w:eastAsia="宋体" w:cs="宋体"/>
                <w:color w:val="auto"/>
                <w:sz w:val="24"/>
                <w:szCs w:val="24"/>
                <w:highlight w:val="none"/>
                <w:lang w:val="en-US" w:eastAsia="zh-CN"/>
              </w:rPr>
            </w:pPr>
          </w:p>
        </w:tc>
        <w:tc>
          <w:tcPr>
            <w:tcW w:w="4475" w:type="dxa"/>
            <w:shd w:val="clear" w:color="auto" w:fill="auto"/>
            <w:vAlign w:val="center"/>
          </w:tcPr>
          <w:p>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方案合理、可行性强的得5分，方案较为合理，可行性强的得4分，方案较为合理，具有一定可行性的得3分，方案与采购需求有所偏离，但基本能满足采购需求的得2分，方案与采购需求偏离较大，不能满足采购需求或无方案的不得分。</w:t>
            </w:r>
          </w:p>
        </w:tc>
        <w:tc>
          <w:tcPr>
            <w:tcW w:w="687"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0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212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52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14</w:t>
            </w:r>
          </w:p>
        </w:tc>
        <w:tc>
          <w:tcPr>
            <w:tcW w:w="975" w:type="dxa"/>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培训管理方案</w:t>
            </w:r>
          </w:p>
        </w:tc>
        <w:tc>
          <w:tcPr>
            <w:tcW w:w="4475"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方案完整且切实可行符合采购需求的得5分，方案完整，可行性一般，基本满足采购需求的得3分，方案有所偏离的得1分，方案不能满足采购需求或无方案的不得分。</w:t>
            </w:r>
          </w:p>
        </w:tc>
        <w:tc>
          <w:tcPr>
            <w:tcW w:w="687"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0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12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52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15</w:t>
            </w:r>
          </w:p>
        </w:tc>
        <w:tc>
          <w:tcPr>
            <w:tcW w:w="975" w:type="dxa"/>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合理化意见或建议</w:t>
            </w:r>
          </w:p>
        </w:tc>
        <w:tc>
          <w:tcPr>
            <w:tcW w:w="4475"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方案完整且切实可行符合采购需求的得5分，方案完整，可行性一般，基本满足采购需求的得3分，方案有所偏离的得2分，方案不能满足采购需求或无方案的不得分。</w:t>
            </w:r>
          </w:p>
        </w:tc>
        <w:tc>
          <w:tcPr>
            <w:tcW w:w="687"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0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12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52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975" w:type="dxa"/>
            <w:shd w:val="clear" w:color="auto" w:fill="auto"/>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tc>
        <w:tc>
          <w:tcPr>
            <w:tcW w:w="4475"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售后服务方案全面周到且优惠幅度大</w:t>
            </w:r>
            <w:r>
              <w:rPr>
                <w:rFonts w:hint="eastAsia" w:ascii="宋体" w:hAnsi="宋体" w:eastAsia="宋体" w:cs="宋体"/>
                <w:sz w:val="24"/>
                <w:szCs w:val="24"/>
                <w:highlight w:val="none"/>
                <w:lang w:val="en-US" w:eastAsia="zh-CN"/>
              </w:rPr>
              <w:t>的得3分，</w:t>
            </w:r>
            <w:r>
              <w:rPr>
                <w:rFonts w:hint="eastAsia" w:ascii="宋体" w:hAnsi="宋体" w:eastAsia="宋体" w:cs="宋体"/>
                <w:sz w:val="24"/>
                <w:szCs w:val="24"/>
                <w:highlight w:val="none"/>
              </w:rPr>
              <w:t>售后服务方案</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rPr>
              <w:t>全面周到且优惠幅度</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rPr>
              <w:t>大</w:t>
            </w:r>
            <w:r>
              <w:rPr>
                <w:rFonts w:hint="eastAsia" w:ascii="宋体" w:hAnsi="宋体" w:eastAsia="宋体" w:cs="宋体"/>
                <w:sz w:val="24"/>
                <w:szCs w:val="24"/>
                <w:highlight w:val="none"/>
                <w:lang w:val="en-US" w:eastAsia="zh-CN"/>
              </w:rPr>
              <w:t>的得2分，优惠幅度较小的得1分，无优惠不得分。</w:t>
            </w:r>
          </w:p>
        </w:tc>
        <w:tc>
          <w:tcPr>
            <w:tcW w:w="687"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0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120" w:type="dxa"/>
            <w:shd w:val="clear" w:color="auto" w:fill="auto"/>
            <w:vAlign w:val="center"/>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20"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17</w:t>
            </w:r>
          </w:p>
        </w:tc>
        <w:tc>
          <w:tcPr>
            <w:tcW w:w="975" w:type="dxa"/>
            <w:vAlign w:val="center"/>
          </w:tcPr>
          <w:p>
            <w:pPr>
              <w:widowControl/>
              <w:shd w:val="clear" w:color="auto" w:fill="FFFFFF"/>
              <w:adjustRightInd/>
              <w:spacing w:after="225" w:line="315"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w:t>
            </w:r>
          </w:p>
        </w:tc>
        <w:tc>
          <w:tcPr>
            <w:tcW w:w="4475" w:type="dxa"/>
          </w:tcPr>
          <w:p>
            <w:pPr>
              <w:spacing w:line="360" w:lineRule="auto"/>
              <w:jc w:val="both"/>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有效投标报价的最低价作为评标基准价，其最低报价为满分；按［投标报价得分=（评标基准价/投标报价）*</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］的计算公式计算。</w:t>
            </w:r>
          </w:p>
          <w:p>
            <w:pPr>
              <w:widowControl/>
              <w:shd w:val="clear" w:color="auto" w:fill="FFFFFF"/>
              <w:adjustRightInd/>
              <w:spacing w:after="225" w:line="315" w:lineRule="atLeast"/>
              <w:ind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tc>
        <w:tc>
          <w:tcPr>
            <w:tcW w:w="687" w:type="dxa"/>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000" w:type="dxa"/>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120" w:type="dxa"/>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rPr>
          <w:rFonts w:hint="eastAsia" w:ascii="宋体" w:hAnsi="宋体" w:eastAsia="宋体" w:cs="宋体"/>
          <w:color w:val="auto"/>
        </w:rPr>
      </w:pPr>
    </w:p>
    <w:p>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w:t>
      </w:r>
      <w:bookmarkStart w:id="518" w:name="_GoBack"/>
      <w:bookmarkEnd w:id="518"/>
      <w:r>
        <w:rPr>
          <w:rFonts w:hint="eastAsia" w:ascii="宋体" w:hAnsi="宋体" w:eastAsia="宋体" w:cs="宋体"/>
          <w:color w:val="auto"/>
          <w:sz w:val="24"/>
        </w:rPr>
        <w:t>和内容）提供评标标准相应的商务技术资料。 </w:t>
      </w:r>
    </w:p>
    <w:p>
      <w:pPr>
        <w:snapToGrid w:val="0"/>
        <w:spacing w:line="360" w:lineRule="auto"/>
        <w:outlineLvl w:val="1"/>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评标标准：</w:t>
      </w:r>
      <w:r>
        <w:rPr>
          <w:rFonts w:hint="eastAsia" w:ascii="宋体" w:hAnsi="宋体" w:eastAsia="宋体" w:cs="宋体"/>
          <w:color w:val="auto"/>
          <w:kern w:val="0"/>
          <w:sz w:val="24"/>
          <w:szCs w:val="24"/>
        </w:rPr>
        <w:t>见评标</w:t>
      </w:r>
      <w:r>
        <w:rPr>
          <w:rFonts w:hint="eastAsia" w:ascii="宋体" w:hAnsi="宋体" w:eastAsia="宋体" w:cs="宋体"/>
          <w:b w:val="0"/>
          <w:bCs/>
          <w:color w:val="auto"/>
          <w:kern w:val="0"/>
          <w:sz w:val="24"/>
          <w:szCs w:val="24"/>
        </w:rPr>
        <w:t>办法</w:t>
      </w:r>
      <w:r>
        <w:rPr>
          <w:rFonts w:hint="eastAsia" w:ascii="宋体" w:hAnsi="宋体" w:eastAsia="宋体" w:cs="宋体"/>
          <w:color w:val="auto"/>
          <w:kern w:val="0"/>
          <w:sz w:val="24"/>
          <w:szCs w:val="24"/>
        </w:rPr>
        <w:t>前附表。</w:t>
      </w:r>
    </w:p>
    <w:p>
      <w:pPr>
        <w:spacing w:line="360" w:lineRule="auto"/>
        <w:outlineLvl w:val="1"/>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3.1符合性审查。</w:t>
      </w:r>
      <w:r>
        <w:rPr>
          <w:rFonts w:hint="eastAsia" w:ascii="宋体" w:hAnsi="宋体" w:eastAsia="宋体" w:cs="宋体"/>
          <w:color w:val="auto"/>
          <w:kern w:val="0"/>
          <w:sz w:val="24"/>
          <w:szCs w:val="24"/>
        </w:rPr>
        <w:t>评标委员会应当对符合资格的投标人的投标文件进行符合性审查，以确定其是否满足招标文件的实质性要求。不满足招标文件的实质性要求的，投标无效。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3.2 比较与评价。</w:t>
      </w:r>
      <w:r>
        <w:rPr>
          <w:rFonts w:hint="eastAsia" w:ascii="宋体" w:hAnsi="宋体" w:eastAsia="宋体" w:cs="宋体"/>
          <w:color w:val="auto"/>
          <w:kern w:val="0"/>
          <w:sz w:val="24"/>
          <w:szCs w:val="24"/>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3.3汇总商务技术得分。</w:t>
      </w:r>
      <w:r>
        <w:rPr>
          <w:rFonts w:hint="eastAsia" w:ascii="宋体" w:hAnsi="宋体" w:eastAsia="宋体" w:cs="宋体"/>
          <w:color w:val="auto"/>
          <w:kern w:val="0"/>
          <w:sz w:val="24"/>
          <w:szCs w:val="24"/>
        </w:rPr>
        <w:t>评标委员会各成员应当独立对每个投标人的商务和技术文件进行评价，并汇总商务技术得分情况。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3.4报价评审。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3.4.1投标文件报价出现前后不一致的，按照下列规定修正：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3.4.1.1投标文件中开标一览表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报价表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内容与投标文件中相应内容不一致的，以开标一览表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报价表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为准</w:t>
      </w:r>
      <w:r>
        <w:rPr>
          <w:rFonts w:hint="eastAsia" w:ascii="宋体" w:hAnsi="宋体" w:eastAsia="宋体" w:cs="宋体"/>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3.4.1.2大写金额和小写金额不一致的，以大写金额为准</w:t>
      </w:r>
      <w:r>
        <w:rPr>
          <w:rFonts w:hint="eastAsia" w:ascii="宋体" w:hAnsi="宋体" w:eastAsia="宋体" w:cs="宋体"/>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3.4.1.3单价金额小数点或者百分比有明显错位的，以开标一览表的总价为准，并修改单价</w:t>
      </w:r>
      <w:r>
        <w:rPr>
          <w:rFonts w:hint="eastAsia" w:ascii="宋体" w:hAnsi="宋体" w:eastAsia="宋体" w:cs="宋体"/>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3.4.2投标文件出现不是唯一的、有选择性投标报价的，投标无效。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3.4.3投标报价超过招标文件中规定的预算金额或者最高限价的，投标无效。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3.5排序与推荐。</w:t>
      </w:r>
      <w:r>
        <w:rPr>
          <w:rFonts w:hint="eastAsia" w:ascii="宋体" w:hAnsi="宋体" w:eastAsia="宋体" w:cs="宋体"/>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3.6编写评标报告。</w:t>
      </w:r>
      <w:r>
        <w:rPr>
          <w:rFonts w:hint="eastAsia" w:ascii="宋体" w:hAnsi="宋体" w:eastAsia="宋体" w:cs="宋体"/>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4.1投标人澄清、说明或者补正。</w:t>
      </w:r>
      <w:r>
        <w:rPr>
          <w:rFonts w:hint="eastAsia" w:ascii="宋体" w:hAnsi="宋体" w:eastAsia="宋体" w:cs="宋体"/>
          <w:color w:val="auto"/>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4.2投标无效。</w:t>
      </w:r>
      <w:r>
        <w:rPr>
          <w:rFonts w:hint="eastAsia" w:ascii="宋体" w:hAnsi="宋体" w:eastAsia="宋体" w:cs="宋体"/>
          <w:color w:val="auto"/>
          <w:sz w:val="24"/>
          <w:szCs w:val="24"/>
        </w:rPr>
        <w:t>有下列</w:t>
      </w:r>
      <w:r>
        <w:rPr>
          <w:rFonts w:hint="eastAsia" w:ascii="宋体" w:hAnsi="宋体" w:eastAsia="宋体" w:cs="宋体"/>
          <w:color w:val="auto"/>
          <w:kern w:val="0"/>
          <w:sz w:val="24"/>
          <w:szCs w:val="24"/>
        </w:rPr>
        <w:t>情</w:t>
      </w:r>
      <w:r>
        <w:rPr>
          <w:rFonts w:hint="eastAsia" w:ascii="宋体" w:hAnsi="宋体" w:eastAsia="宋体" w:cs="宋体"/>
          <w:color w:val="auto"/>
          <w:sz w:val="24"/>
          <w:szCs w:val="24"/>
        </w:rPr>
        <w:t>形之一的，投标无效：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4.2.1投标人不具备招标文件中规定的资格要求的（投标人未提供有效的资格文件的，视为投标人不具备招标文件中规定的资格要求）；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4.2.2投标文件未按照招标文件要求签署、盖章的；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4.2.3采购人拟采购的产品属于政府强制采购的节能产品品目清单范围的，投标人相应的投标产品未获得国家确定的认证机构出具的、处于有效期之内的节能产品认证证书的；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4.2.4投标文件含有采购人不能接受的附加条件的；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4.2.5投标文件中承诺的投标有效期少于招标文件中载明的投标有效期的；</w:t>
      </w:r>
    </w:p>
    <w:p>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4.2.6投标文件出现不是唯一的、有选择性投标报价的</w:t>
      </w:r>
      <w:r>
        <w:rPr>
          <w:rFonts w:hint="eastAsia" w:ascii="宋体" w:hAnsi="宋体" w:eastAsia="宋体" w:cs="宋体"/>
          <w:color w:val="auto"/>
          <w:kern w:val="0"/>
          <w:sz w:val="24"/>
          <w:szCs w:val="24"/>
          <w:lang w:eastAsia="zh-CN"/>
        </w:rPr>
        <w:t>；</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4.2.7投标报价超过招标文件中规定的预算金额或者最高限价的</w:t>
      </w:r>
      <w:r>
        <w:rPr>
          <w:rFonts w:hint="eastAsia" w:ascii="宋体" w:hAnsi="宋体" w:eastAsia="宋体" w:cs="宋体"/>
          <w:color w:val="auto"/>
          <w:kern w:val="0"/>
          <w:sz w:val="24"/>
          <w:szCs w:val="24"/>
          <w:lang w:eastAsia="zh-CN"/>
        </w:rPr>
        <w:t>；</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szCs w:val="24"/>
          <w:lang w:eastAsia="zh-CN"/>
        </w:rPr>
        <w:t>；</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4.2.9投标人对根据修正原则修正后的报价不确认的；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4.2.10投标人提供虚假材料投标的；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4.2.11投标人有恶意串通、妨碍其他投标人的竞争行为、损害采购人或者其他投标人的合法权益情形的；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4.2.12投标人仅提交备份投标文件，未在电子交易平台传输递交投标文件的，投标无效；</w:t>
      </w:r>
    </w:p>
    <w:p>
      <w:pPr>
        <w:keepNext w:val="0"/>
        <w:keepLines w:val="0"/>
        <w:pageBreakBefore w:val="0"/>
        <w:widowControl w:val="0"/>
        <w:tabs>
          <w:tab w:val="left" w:pos="432"/>
        </w:tabs>
        <w:kinsoku/>
        <w:wordWrap/>
        <w:overflowPunct/>
        <w:topLinePunct w:val="0"/>
        <w:autoSpaceDE/>
        <w:autoSpaceDN/>
        <w:bidi w:val="0"/>
        <w:spacing w:line="360" w:lineRule="auto"/>
        <w:ind w:left="0" w:leftChars="0" w:firstLine="480" w:firstLineChars="200"/>
        <w:textAlignment w:val="auto"/>
        <w:outlineLvl w:val="9"/>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w:t>
      </w:r>
      <w:r>
        <w:rPr>
          <w:rFonts w:hint="eastAsia" w:ascii="宋体" w:hAnsi="宋体" w:eastAsia="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4.2.14</w:t>
      </w:r>
      <w:r>
        <w:rPr>
          <w:rFonts w:hint="eastAsia" w:ascii="宋体" w:hAnsi="宋体" w:eastAsia="宋体" w:cs="宋体"/>
          <w:color w:val="auto"/>
          <w:kern w:val="0"/>
          <w:sz w:val="24"/>
          <w:szCs w:val="24"/>
          <w:lang w:eastAsia="zh-CN"/>
        </w:rPr>
        <w:t>法律法规</w:t>
      </w:r>
      <w:r>
        <w:rPr>
          <w:rFonts w:hint="eastAsia" w:ascii="宋体" w:hAnsi="宋体" w:eastAsia="宋体" w:cs="宋体"/>
          <w:color w:val="auto"/>
          <w:kern w:val="0"/>
          <w:sz w:val="24"/>
          <w:szCs w:val="24"/>
        </w:rPr>
        <w:t>、规章（适用本市的）及省级以上规范性文件（适用本市的）规定的其他无效情形。</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5.废标。</w:t>
      </w:r>
      <w:r>
        <w:rPr>
          <w:rFonts w:hint="eastAsia" w:ascii="宋体" w:hAnsi="宋体" w:eastAsia="宋体" w:cs="宋体"/>
          <w:color w:val="auto"/>
          <w:sz w:val="24"/>
          <w:szCs w:val="24"/>
        </w:rPr>
        <w:t>根据《中华人民共和国政府采购法》第三十六条之规定，在采购中，出现下列情形之一的，应予废标：</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5.1符合专业条件的供应商或者对招标文件</w:t>
      </w:r>
      <w:r>
        <w:rPr>
          <w:rFonts w:hint="eastAsia" w:ascii="宋体" w:hAnsi="宋体" w:eastAsia="宋体" w:cs="宋体"/>
          <w:color w:val="auto"/>
          <w:sz w:val="24"/>
          <w:szCs w:val="24"/>
          <w:lang w:eastAsia="zh-CN"/>
        </w:rPr>
        <w:t>做</w:t>
      </w:r>
      <w:r>
        <w:rPr>
          <w:rFonts w:hint="eastAsia" w:ascii="宋体" w:hAnsi="宋体" w:eastAsia="宋体" w:cs="宋体"/>
          <w:color w:val="auto"/>
          <w:sz w:val="24"/>
          <w:szCs w:val="24"/>
        </w:rPr>
        <w:t>实质响应的供应商不足3家的；</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5.2出现影响采购公正的违法、违规行为的；</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5.3投标人的报价均超过了采购预算，采购人不能支付的；</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5.4因重大变故，采购任务取消的。</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废标后，</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应当将废标理由通知所有投标人。</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6.修改招标文件，重新组织采购活动。</w:t>
      </w:r>
      <w:r>
        <w:rPr>
          <w:rFonts w:hint="eastAsia" w:ascii="宋体" w:hAnsi="宋体" w:eastAsia="宋体" w:cs="宋体"/>
          <w:color w:val="auto"/>
          <w:sz w:val="24"/>
          <w:szCs w:val="24"/>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沟通并作书面记录。采购人、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确认后，将修改招标文件，重新组织采购活动。</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rPr>
        <w:t>7.重新开展采购。</w:t>
      </w:r>
      <w:r>
        <w:rPr>
          <w:rFonts w:hint="eastAsia" w:ascii="宋体" w:hAnsi="宋体" w:eastAsia="宋体" w:cs="宋体"/>
          <w:color w:val="auto"/>
          <w:sz w:val="24"/>
          <w:szCs w:val="24"/>
        </w:rPr>
        <w:t>有政府采购法第七十一条、第七十二条规定的违法行为之一，影响或者可能影响中标结果的，依照下列规定处理：</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7.1未确定中标供应商的，终止本次政府采购活动，重新开展政府采购活动。</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7.2已确定中标供应商但尚未签订政府采购合同的，中标结果无效，从合格的中标候选人中另行确定中标供应商；没有合格的中标候选人的，重新开展政府采购活动。</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7.3政府采购合同已签订但尚未履行的，撤销合同，从合格的中标候选人中另行确定中标供应商；没有合格的中标候选人的，重新开展政府采购活动。</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7.4政府采购合同已经履行，给采购人、供应商造成损失的，由责任人承担赔偿责任。</w:t>
      </w:r>
    </w:p>
    <w:p>
      <w:pPr>
        <w:pStyle w:val="25"/>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宋体" w:hAnsi="宋体" w:eastAsia="宋体" w:cs="宋体"/>
          <w:color w:val="auto"/>
        </w:rPr>
      </w:pPr>
    </w:p>
    <w:bookmarkEnd w:id="27"/>
    <w:p>
      <w:pPr>
        <w:spacing w:line="360" w:lineRule="auto"/>
        <w:ind w:left="720" w:leftChars="343" w:firstLine="1084" w:firstLineChars="300"/>
        <w:outlineLvl w:val="9"/>
        <w:rPr>
          <w:rFonts w:hint="eastAsia" w:ascii="宋体" w:hAnsi="宋体" w:eastAsia="宋体" w:cs="宋体"/>
          <w:b/>
          <w:color w:val="auto"/>
          <w:sz w:val="36"/>
          <w:szCs w:val="36"/>
        </w:rPr>
      </w:pPr>
      <w:bookmarkStart w:id="393" w:name="第五部分"/>
      <w:bookmarkStart w:id="394" w:name="_Toc86217003"/>
    </w:p>
    <w:p>
      <w:pPr>
        <w:spacing w:line="360" w:lineRule="auto"/>
        <w:ind w:left="720" w:leftChars="343" w:firstLine="1084" w:firstLineChars="300"/>
        <w:outlineLvl w:val="9"/>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w:t>
      </w:r>
    </w:p>
    <w:p>
      <w:pPr>
        <w:spacing w:line="360" w:lineRule="auto"/>
        <w:ind w:left="720" w:leftChars="343" w:firstLine="1084" w:firstLineChars="300"/>
        <w:outlineLvl w:val="9"/>
        <w:rPr>
          <w:rFonts w:hint="eastAsia" w:ascii="宋体" w:hAnsi="宋体" w:eastAsia="宋体" w:cs="宋体"/>
          <w:b/>
          <w:color w:val="auto"/>
          <w:sz w:val="36"/>
          <w:szCs w:val="36"/>
        </w:rPr>
      </w:pPr>
    </w:p>
    <w:p>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pPr>
        <w:spacing w:line="480" w:lineRule="auto"/>
        <w:jc w:val="center"/>
        <w:rPr>
          <w:rFonts w:hint="eastAsia" w:ascii="宋体" w:hAnsi="宋体" w:eastAsia="宋体" w:cs="宋体"/>
          <w:b/>
          <w:color w:val="auto"/>
          <w:sz w:val="28"/>
          <w:szCs w:val="28"/>
        </w:rPr>
      </w:pPr>
    </w:p>
    <w:p>
      <w:pPr>
        <w:spacing w:line="480" w:lineRule="auto"/>
        <w:jc w:val="center"/>
        <w:rPr>
          <w:rFonts w:hint="eastAsia" w:ascii="宋体" w:hAnsi="宋体" w:eastAsia="宋体" w:cs="宋体"/>
          <w:b/>
          <w:color w:val="auto"/>
          <w:sz w:val="24"/>
        </w:rPr>
      </w:pPr>
    </w:p>
    <w:p>
      <w:pPr>
        <w:spacing w:line="480" w:lineRule="auto"/>
        <w:jc w:val="center"/>
        <w:rPr>
          <w:rFonts w:hint="eastAsia" w:ascii="宋体" w:hAnsi="宋体" w:eastAsia="宋体" w:cs="宋体"/>
          <w:b/>
          <w:color w:val="auto"/>
          <w:sz w:val="24"/>
        </w:rPr>
      </w:pP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pPr>
        <w:pStyle w:val="83"/>
        <w:ind w:firstLine="2843" w:firstLineChars="1180"/>
        <w:outlineLvl w:val="1"/>
        <w:rPr>
          <w:rFonts w:hint="eastAsia" w:ascii="宋体" w:hAnsi="宋体" w:eastAsia="宋体" w:cs="宋体"/>
          <w:b/>
          <w:color w:val="auto"/>
          <w:szCs w:val="24"/>
        </w:rPr>
      </w:pPr>
      <w:r>
        <w:rPr>
          <w:rFonts w:hint="eastAsia" w:ascii="宋体" w:hAnsi="宋体" w:eastAsia="宋体" w:cs="宋体"/>
          <w:b/>
          <w:color w:val="auto"/>
          <w:szCs w:val="24"/>
        </w:rPr>
        <w:t>第一部分 合同书</w:t>
      </w:r>
    </w:p>
    <w:p>
      <w:pPr>
        <w:spacing w:before="120" w:line="22" w:lineRule="atLeast"/>
        <w:rPr>
          <w:rFonts w:hint="eastAsia" w:ascii="宋体" w:hAnsi="宋体" w:eastAsia="宋体" w:cs="宋体"/>
          <w:color w:val="auto"/>
          <w:sz w:val="24"/>
        </w:rPr>
      </w:pPr>
    </w:p>
    <w:p>
      <w:pPr>
        <w:tabs>
          <w:tab w:val="left" w:pos="432"/>
        </w:tabs>
        <w:outlineLvl w:val="9"/>
        <w:rPr>
          <w:rFonts w:hint="eastAsia" w:ascii="宋体" w:hAnsi="宋体" w:eastAsia="宋体" w:cs="宋体"/>
          <w:color w:val="auto"/>
        </w:rPr>
      </w:pPr>
    </w:p>
    <w:p>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pPr>
        <w:pStyle w:val="604"/>
        <w:spacing w:before="120" w:line="22" w:lineRule="atLeast"/>
        <w:rPr>
          <w:rFonts w:hint="eastAsia" w:ascii="宋体" w:hAnsi="宋体" w:eastAsia="宋体" w:cs="宋体"/>
          <w:color w:val="auto"/>
          <w:szCs w:val="24"/>
        </w:rPr>
      </w:pPr>
    </w:p>
    <w:p>
      <w:pPr>
        <w:pStyle w:val="604"/>
        <w:spacing w:before="120" w:line="22" w:lineRule="atLeast"/>
        <w:rPr>
          <w:rFonts w:hint="eastAsia" w:ascii="宋体" w:hAnsi="宋体" w:eastAsia="宋体" w:cs="宋体"/>
          <w:color w:val="auto"/>
          <w:szCs w:val="24"/>
        </w:rPr>
      </w:pPr>
    </w:p>
    <w:p>
      <w:pPr>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widowControl/>
        <w:jc w:val="left"/>
        <w:rPr>
          <w:rFonts w:hint="eastAsia" w:ascii="宋体" w:hAnsi="宋体" w:eastAsia="宋体" w:cs="宋体"/>
          <w:color w:val="auto"/>
          <w:kern w:val="0"/>
          <w:sz w:val="24"/>
        </w:rPr>
        <w:sectPr>
          <w:pgSz w:w="11907" w:h="16840"/>
          <w:pgMar w:top="1474" w:right="1814" w:bottom="1474" w:left="1814" w:header="851" w:footer="851" w:gutter="0"/>
          <w:cols w:space="720" w:num="1"/>
        </w:sectPr>
      </w:pPr>
    </w:p>
    <w:p>
      <w:pPr>
        <w:rPr>
          <w:rFonts w:hint="eastAsia" w:ascii="宋体" w:hAnsi="宋体" w:eastAsia="宋体" w:cs="宋体"/>
          <w:b/>
          <w:color w:val="auto"/>
          <w:sz w:val="24"/>
        </w:rPr>
      </w:pP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杭州市西湖区市场监督管理局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以</w:t>
      </w:r>
      <w:r>
        <w:rPr>
          <w:rFonts w:hint="eastAsia" w:ascii="宋体" w:hAnsi="宋体" w:eastAsia="宋体" w:cs="宋体"/>
          <w:color w:val="auto"/>
          <w:sz w:val="24"/>
          <w:szCs w:val="24"/>
          <w:u w:val="single"/>
        </w:rPr>
        <w:t xml:space="preserve">   （政府采购方式）  </w:t>
      </w:r>
      <w:r>
        <w:rPr>
          <w:rFonts w:hint="eastAsia" w:ascii="宋体" w:hAnsi="宋体" w:eastAsia="宋体" w:cs="宋体"/>
          <w:color w:val="auto"/>
          <w:sz w:val="24"/>
          <w:szCs w:val="24"/>
        </w:rPr>
        <w:t>对</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老旧电梯安全风险评估项目（灵隐街道、文新街道、古荡街道、转塘街道）（第三次）</w:t>
      </w:r>
      <w:r>
        <w:rPr>
          <w:rFonts w:hint="eastAsia" w:ascii="宋体" w:hAnsi="宋体" w:eastAsia="宋体" w:cs="宋体"/>
          <w:color w:val="auto"/>
          <w:sz w:val="24"/>
          <w:szCs w:val="24"/>
          <w:u w:val="single"/>
          <w:lang w:eastAsia="zh-CN"/>
        </w:rPr>
        <w:t>、</w:t>
      </w:r>
      <w:r>
        <w:rPr>
          <w:rFonts w:hint="eastAsia" w:ascii="宋体" w:hAnsi="宋体" w:cs="宋体"/>
          <w:color w:val="auto"/>
          <w:sz w:val="24"/>
          <w:szCs w:val="24"/>
          <w:u w:val="single"/>
          <w:lang w:eastAsia="zh-CN"/>
        </w:rPr>
        <w:t>DXGC-2024-XHSC-011-2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项目进行了采购。经</w:t>
      </w:r>
      <w:r>
        <w:rPr>
          <w:rFonts w:hint="eastAsia" w:ascii="宋体" w:hAnsi="宋体" w:eastAsia="宋体" w:cs="宋体"/>
          <w:color w:val="auto"/>
          <w:sz w:val="24"/>
          <w:szCs w:val="24"/>
          <w:u w:val="single"/>
        </w:rPr>
        <w:t xml:space="preserve">   （相关评定主体名称）   </w:t>
      </w:r>
      <w:r>
        <w:rPr>
          <w:rFonts w:hint="eastAsia" w:ascii="宋体" w:hAnsi="宋体" w:eastAsia="宋体" w:cs="宋体"/>
          <w:color w:val="auto"/>
          <w:sz w:val="24"/>
          <w:szCs w:val="24"/>
        </w:rPr>
        <w:t>评定，</w:t>
      </w:r>
      <w:r>
        <w:rPr>
          <w:rFonts w:hint="eastAsia" w:ascii="宋体" w:hAnsi="宋体" w:eastAsia="宋体" w:cs="宋体"/>
          <w:color w:val="auto"/>
          <w:sz w:val="24"/>
          <w:szCs w:val="24"/>
          <w:u w:val="single"/>
        </w:rPr>
        <w:t xml:space="preserve">   （中标或者成交供应商名称） </w:t>
      </w:r>
      <w:r>
        <w:rPr>
          <w:rFonts w:hint="eastAsia" w:ascii="宋体" w:hAnsi="宋体" w:eastAsia="宋体" w:cs="宋体"/>
          <w:color w:val="auto"/>
          <w:sz w:val="24"/>
          <w:szCs w:val="24"/>
        </w:rPr>
        <w:t>为该项目中标或者成交供应商。原则上于中标或者中标通知书发出之日起10个工作日内，按照采购文件确定的事项签订本合同。</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杭州市西湖区市场监督管理局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val="zh-CN"/>
        </w:rPr>
        <w:t>以下简称：甲方）和</w:t>
      </w:r>
      <w:r>
        <w:rPr>
          <w:rFonts w:hint="eastAsia" w:ascii="宋体" w:hAnsi="宋体" w:eastAsia="宋体" w:cs="宋体"/>
          <w:color w:val="auto"/>
          <w:sz w:val="24"/>
          <w:szCs w:val="24"/>
          <w:u w:val="single"/>
        </w:rPr>
        <w:t xml:space="preserve">   （中或者成交标供应商名称）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lang w:val="zh-CN"/>
        </w:rPr>
        <w:t>以下简称：乙方）协商一致，约定以下合同</w:t>
      </w:r>
      <w:r>
        <w:rPr>
          <w:rFonts w:hint="eastAsia" w:ascii="宋体" w:hAnsi="宋体" w:eastAsia="宋体" w:cs="宋体"/>
          <w:color w:val="auto"/>
          <w:sz w:val="24"/>
          <w:szCs w:val="24"/>
        </w:rPr>
        <w:t>条款，以兹共同遵守、全面履行。</w:t>
      </w:r>
    </w:p>
    <w:p>
      <w:pPr>
        <w:spacing w:line="360" w:lineRule="auto"/>
        <w:ind w:firstLine="482" w:firstLineChars="200"/>
        <w:outlineLvl w:val="9"/>
        <w:rPr>
          <w:rFonts w:hint="eastAsia" w:ascii="宋体" w:hAnsi="宋体" w:eastAsia="宋体" w:cs="宋体"/>
          <w:color w:val="auto"/>
          <w:sz w:val="24"/>
          <w:szCs w:val="24"/>
        </w:rPr>
      </w:pPr>
      <w:bookmarkStart w:id="395" w:name="_Toc20421"/>
      <w:bookmarkStart w:id="396" w:name="_Toc15367"/>
      <w:bookmarkStart w:id="397" w:name="_Toc19273"/>
      <w:bookmarkStart w:id="398" w:name="_Toc22967"/>
      <w:bookmarkStart w:id="399" w:name="_Toc28855"/>
      <w:r>
        <w:rPr>
          <w:rFonts w:hint="eastAsia" w:ascii="宋体" w:hAnsi="宋体" w:eastAsia="宋体" w:cs="宋体"/>
          <w:b/>
          <w:color w:val="auto"/>
          <w:sz w:val="24"/>
          <w:szCs w:val="24"/>
        </w:rPr>
        <w:t>1.1 合同组成部分</w:t>
      </w:r>
      <w:bookmarkEnd w:id="395"/>
      <w:bookmarkEnd w:id="396"/>
      <w:bookmarkEnd w:id="397"/>
      <w:bookmarkEnd w:id="398"/>
      <w:bookmarkEnd w:id="399"/>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color w:val="auto"/>
          <w:sz w:val="24"/>
          <w:szCs w:val="24"/>
          <w:lang w:eastAsia="zh-CN"/>
        </w:rPr>
        <w:t>份文件</w:t>
      </w:r>
      <w:r>
        <w:rPr>
          <w:rFonts w:hint="eastAsia" w:ascii="宋体" w:hAnsi="宋体" w:eastAsia="宋体" w:cs="宋体"/>
          <w:color w:val="auto"/>
          <w:sz w:val="24"/>
          <w:szCs w:val="24"/>
        </w:rPr>
        <w:t>的优先适用顺序如下：</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 本合同及其补充合同、变更协议；</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 中标或者成交通知书；</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 投标或者响应文件（含澄清或者说明文件）；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1.1.4 采购文件（含澄清或者修改文件）；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1.1.5 其他相关采购文件。</w:t>
      </w:r>
    </w:p>
    <w:p>
      <w:pPr>
        <w:spacing w:line="360" w:lineRule="auto"/>
        <w:ind w:firstLine="482" w:firstLineChars="200"/>
        <w:outlineLvl w:val="9"/>
        <w:rPr>
          <w:rFonts w:hint="eastAsia" w:ascii="宋体" w:hAnsi="宋体" w:eastAsia="宋体" w:cs="宋体"/>
          <w:b/>
          <w:color w:val="auto"/>
          <w:sz w:val="24"/>
          <w:szCs w:val="24"/>
        </w:rPr>
      </w:pPr>
      <w:bookmarkStart w:id="400" w:name="_Toc2918"/>
      <w:bookmarkStart w:id="401" w:name="_Toc18585"/>
      <w:bookmarkStart w:id="402" w:name="_Toc6311"/>
      <w:bookmarkStart w:id="403" w:name="_Toc6773"/>
      <w:bookmarkStart w:id="404" w:name="_Toc22185"/>
      <w:r>
        <w:rPr>
          <w:rFonts w:hint="eastAsia" w:ascii="宋体" w:hAnsi="宋体" w:eastAsia="宋体" w:cs="宋体"/>
          <w:b/>
          <w:color w:val="auto"/>
          <w:sz w:val="24"/>
          <w:szCs w:val="24"/>
        </w:rPr>
        <w:t>1.2 标的</w:t>
      </w:r>
      <w:bookmarkEnd w:id="400"/>
      <w:bookmarkEnd w:id="401"/>
      <w:bookmarkEnd w:id="402"/>
      <w:bookmarkEnd w:id="403"/>
      <w:bookmarkEnd w:id="404"/>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1.2.1 服务内容：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1.2.2 服务标准：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1.2.3 技术保障：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1.2.4 服务人员组成：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1.2.5合同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（是/否）涉及货物。若涉及货物的，则：</w:t>
      </w:r>
    </w:p>
    <w:p>
      <w:pPr>
        <w:spacing w:line="360" w:lineRule="auto"/>
        <w:ind w:firstLine="480" w:firstLineChars="200"/>
        <w:outlineLvl w:val="9"/>
        <w:rPr>
          <w:rFonts w:hint="eastAsia" w:ascii="宋体" w:hAnsi="宋体" w:eastAsia="宋体" w:cs="宋体"/>
          <w:color w:val="auto"/>
          <w:sz w:val="24"/>
          <w:szCs w:val="24"/>
          <w:u w:val="single"/>
        </w:rPr>
      </w:pPr>
      <w:bookmarkStart w:id="405" w:name="_Toc1386"/>
      <w:bookmarkStart w:id="406" w:name="_Toc13918"/>
      <w:bookmarkStart w:id="407" w:name="_Toc21124"/>
      <w:bookmarkStart w:id="408" w:name="_Toc4929"/>
      <w:bookmarkStart w:id="409" w:name="_Toc5635"/>
      <w:r>
        <w:rPr>
          <w:rFonts w:hint="eastAsia" w:ascii="宋体" w:hAnsi="宋体" w:eastAsia="宋体" w:cs="宋体"/>
          <w:color w:val="auto"/>
          <w:sz w:val="24"/>
          <w:szCs w:val="24"/>
        </w:rPr>
        <w:t xml:space="preserve">1.2.5.1 </w:t>
      </w:r>
      <w:r>
        <w:rPr>
          <w:rFonts w:hint="eastAsia" w:ascii="宋体" w:hAnsi="宋体" w:eastAsia="宋体" w:cs="宋体"/>
          <w:color w:val="auto"/>
          <w:sz w:val="24"/>
          <w:szCs w:val="24"/>
          <w:lang w:val="zh-CN"/>
        </w:rPr>
        <w:t>货物名称</w:t>
      </w:r>
      <w:r>
        <w:rPr>
          <w:rFonts w:hint="eastAsia" w:ascii="宋体" w:hAnsi="宋体" w:eastAsia="宋体" w:cs="宋体"/>
          <w:color w:val="auto"/>
          <w:sz w:val="24"/>
          <w:szCs w:val="24"/>
        </w:rPr>
        <w:t>、品牌</w:t>
      </w:r>
      <w:r>
        <w:rPr>
          <w:rFonts w:hint="eastAsia" w:ascii="宋体" w:hAnsi="宋体" w:eastAsia="宋体" w:cs="宋体"/>
          <w:color w:val="auto"/>
          <w:sz w:val="24"/>
          <w:szCs w:val="24"/>
          <w:lang w:val="zh-CN"/>
        </w:rPr>
        <w:t>、规格型号</w:t>
      </w:r>
      <w:r>
        <w:rPr>
          <w:rFonts w:hint="eastAsia" w:ascii="宋体" w:hAnsi="宋体" w:eastAsia="宋体" w:cs="宋体"/>
          <w:color w:val="auto"/>
          <w:sz w:val="24"/>
          <w:szCs w:val="24"/>
        </w:rPr>
        <w:t>、花色：</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1.2.5.2 货物数量：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1.2.5.3 货物质量：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1.3 价款</w:t>
      </w:r>
      <w:bookmarkEnd w:id="405"/>
      <w:bookmarkEnd w:id="406"/>
      <w:bookmarkEnd w:id="407"/>
      <w:bookmarkEnd w:id="408"/>
      <w:bookmarkEnd w:id="409"/>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本项目采用以下第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条款规定的计价方式计价。</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1.3.1总价</w:t>
      </w:r>
      <w:r>
        <w:rPr>
          <w:rFonts w:hint="eastAsia" w:ascii="宋体" w:hAnsi="宋体" w:eastAsia="宋体" w:cs="宋体"/>
          <w:color w:val="auto"/>
          <w:sz w:val="24"/>
          <w:szCs w:val="24"/>
          <w:lang w:val="zh-CN"/>
        </w:rPr>
        <w:t>合同，</w:t>
      </w:r>
      <w:r>
        <w:rPr>
          <w:rFonts w:hint="eastAsia" w:ascii="宋体" w:hAnsi="宋体" w:eastAsia="宋体" w:cs="宋体"/>
          <w:color w:val="auto"/>
          <w:sz w:val="24"/>
          <w:szCs w:val="24"/>
        </w:rPr>
        <w:t>本合同总价（含税）为：￥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元人民币）。</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pPr>
              <w:pStyle w:val="325"/>
              <w:spacing w:line="36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pPr>
              <w:pStyle w:val="325"/>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hint="eastAsia" w:ascii="宋体" w:hAnsi="宋体" w:eastAsia="宋体" w:cs="宋体"/>
                <w:color w:val="auto"/>
                <w:sz w:val="24"/>
                <w:szCs w:val="24"/>
              </w:rPr>
            </w:pPr>
          </w:p>
        </w:tc>
        <w:tc>
          <w:tcPr>
            <w:tcW w:w="3402" w:type="dxa"/>
            <w:vAlign w:val="center"/>
          </w:tcPr>
          <w:p>
            <w:pPr>
              <w:pStyle w:val="325"/>
              <w:spacing w:line="360" w:lineRule="auto"/>
              <w:ind w:firstLine="200"/>
              <w:jc w:val="center"/>
              <w:rPr>
                <w:rFonts w:hint="eastAsia" w:ascii="宋体" w:hAnsi="宋体" w:eastAsia="宋体" w:cs="宋体"/>
                <w:color w:val="auto"/>
                <w:sz w:val="24"/>
                <w:szCs w:val="24"/>
              </w:rPr>
            </w:pPr>
          </w:p>
        </w:tc>
        <w:tc>
          <w:tcPr>
            <w:tcW w:w="2552" w:type="dxa"/>
            <w:vAlign w:val="center"/>
          </w:tcPr>
          <w:p>
            <w:pPr>
              <w:pStyle w:val="325"/>
              <w:spacing w:line="360" w:lineRule="auto"/>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hint="eastAsia" w:ascii="宋体" w:hAnsi="宋体" w:eastAsia="宋体" w:cs="宋体"/>
                <w:color w:val="auto"/>
                <w:sz w:val="24"/>
                <w:szCs w:val="24"/>
              </w:rPr>
            </w:pPr>
          </w:p>
        </w:tc>
        <w:tc>
          <w:tcPr>
            <w:tcW w:w="3402" w:type="dxa"/>
            <w:vAlign w:val="center"/>
          </w:tcPr>
          <w:p>
            <w:pPr>
              <w:pStyle w:val="325"/>
              <w:spacing w:line="360" w:lineRule="auto"/>
              <w:ind w:firstLine="200"/>
              <w:jc w:val="center"/>
              <w:rPr>
                <w:rFonts w:hint="eastAsia" w:ascii="宋体" w:hAnsi="宋体" w:eastAsia="宋体" w:cs="宋体"/>
                <w:color w:val="auto"/>
                <w:sz w:val="24"/>
                <w:szCs w:val="24"/>
              </w:rPr>
            </w:pPr>
          </w:p>
        </w:tc>
        <w:tc>
          <w:tcPr>
            <w:tcW w:w="2552" w:type="dxa"/>
            <w:vAlign w:val="center"/>
          </w:tcPr>
          <w:p>
            <w:pPr>
              <w:pStyle w:val="325"/>
              <w:spacing w:line="360" w:lineRule="auto"/>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hint="eastAsia" w:ascii="宋体" w:hAnsi="宋体" w:eastAsia="宋体" w:cs="宋体"/>
                <w:color w:val="auto"/>
                <w:sz w:val="24"/>
                <w:szCs w:val="24"/>
              </w:rPr>
            </w:pPr>
          </w:p>
        </w:tc>
        <w:tc>
          <w:tcPr>
            <w:tcW w:w="3402" w:type="dxa"/>
            <w:vAlign w:val="center"/>
          </w:tcPr>
          <w:p>
            <w:pPr>
              <w:pStyle w:val="325"/>
              <w:spacing w:line="360" w:lineRule="auto"/>
              <w:ind w:firstLine="200"/>
              <w:jc w:val="center"/>
              <w:rPr>
                <w:rFonts w:hint="eastAsia" w:ascii="宋体" w:hAnsi="宋体" w:eastAsia="宋体" w:cs="宋体"/>
                <w:color w:val="auto"/>
                <w:sz w:val="24"/>
                <w:szCs w:val="24"/>
              </w:rPr>
            </w:pPr>
          </w:p>
        </w:tc>
        <w:tc>
          <w:tcPr>
            <w:tcW w:w="2552" w:type="dxa"/>
            <w:vAlign w:val="center"/>
          </w:tcPr>
          <w:p>
            <w:pPr>
              <w:pStyle w:val="325"/>
              <w:spacing w:line="360" w:lineRule="auto"/>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360" w:lineRule="auto"/>
              <w:ind w:firstLine="200"/>
              <w:jc w:val="center"/>
              <w:rPr>
                <w:rFonts w:hint="eastAsia" w:ascii="宋体" w:hAnsi="宋体" w:eastAsia="宋体" w:cs="宋体"/>
                <w:color w:val="auto"/>
                <w:sz w:val="24"/>
                <w:szCs w:val="24"/>
              </w:rPr>
            </w:pPr>
          </w:p>
        </w:tc>
        <w:tc>
          <w:tcPr>
            <w:tcW w:w="3402" w:type="dxa"/>
            <w:vAlign w:val="center"/>
          </w:tcPr>
          <w:p>
            <w:pPr>
              <w:pStyle w:val="325"/>
              <w:spacing w:line="360" w:lineRule="auto"/>
              <w:ind w:firstLine="200"/>
              <w:jc w:val="center"/>
              <w:rPr>
                <w:rFonts w:hint="eastAsia" w:ascii="宋体" w:hAnsi="宋体" w:eastAsia="宋体" w:cs="宋体"/>
                <w:color w:val="auto"/>
                <w:sz w:val="24"/>
                <w:szCs w:val="24"/>
              </w:rPr>
            </w:pPr>
          </w:p>
        </w:tc>
        <w:tc>
          <w:tcPr>
            <w:tcW w:w="2552" w:type="dxa"/>
            <w:vAlign w:val="center"/>
          </w:tcPr>
          <w:p>
            <w:pPr>
              <w:pStyle w:val="325"/>
              <w:spacing w:line="360" w:lineRule="auto"/>
              <w:ind w:firstLine="20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5"/>
              <w:spacing w:line="360" w:lineRule="auto"/>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pPr>
              <w:pStyle w:val="325"/>
              <w:spacing w:line="360" w:lineRule="auto"/>
              <w:ind w:firstLine="200"/>
              <w:jc w:val="center"/>
              <w:rPr>
                <w:rFonts w:hint="eastAsia" w:ascii="宋体" w:hAnsi="宋体" w:eastAsia="宋体" w:cs="宋体"/>
                <w:color w:val="auto"/>
                <w:sz w:val="24"/>
                <w:szCs w:val="24"/>
              </w:rPr>
            </w:pPr>
          </w:p>
        </w:tc>
      </w:tr>
    </w:tbl>
    <w:p>
      <w:pPr>
        <w:keepNext w:val="0"/>
        <w:keepLines w:val="0"/>
        <w:pageBreakBefore w:val="0"/>
        <w:widowControl w:val="0"/>
        <w:tabs>
          <w:tab w:val="left" w:pos="432"/>
        </w:tabs>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szCs w:val="24"/>
        </w:rPr>
      </w:pPr>
      <w:bookmarkStart w:id="410" w:name="_Toc3654"/>
      <w:bookmarkStart w:id="411" w:name="_Toc26916"/>
      <w:bookmarkStart w:id="412" w:name="_Toc30158"/>
      <w:bookmarkStart w:id="413" w:name="_Toc30506"/>
      <w:bookmarkStart w:id="414" w:name="_Toc14993"/>
      <w:r>
        <w:rPr>
          <w:rFonts w:hint="eastAsia" w:ascii="宋体" w:hAnsi="宋体" w:eastAsia="宋体" w:cs="宋体"/>
          <w:bCs/>
          <w:color w:val="auto"/>
          <w:sz w:val="24"/>
          <w:szCs w:val="24"/>
        </w:rPr>
        <w:t>1.3.2单价合同，本合同单价（含税）标准为：</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rPr>
        <w:t>。服务工作量的计量方式为：</w:t>
      </w:r>
      <w:r>
        <w:rPr>
          <w:rFonts w:hint="eastAsia" w:ascii="宋体" w:hAnsi="宋体" w:eastAsia="宋体" w:cs="宋体"/>
          <w:bCs/>
          <w:color w:val="auto"/>
          <w:sz w:val="24"/>
          <w:szCs w:val="24"/>
          <w:u w:val="single"/>
        </w:rPr>
        <w:t xml:space="preserve">       </w:t>
      </w:r>
      <w:r>
        <w:rPr>
          <w:rFonts w:hint="eastAsia" w:ascii="宋体" w:hAnsi="宋体" w:eastAsia="宋体" w:cs="宋体"/>
          <w:b/>
          <w:i/>
          <w:color w:val="auto"/>
          <w:sz w:val="24"/>
          <w:szCs w:val="24"/>
          <w:u w:val="single"/>
        </w:rPr>
        <w:t>合同专用条款</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rPr>
        <w:t>。单价合同，在合同履行期间内，根据实际完成的工作量据实结算，但结算总价上限不得超过预算金额或者双方确定的金额￥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元人民币）。</w:t>
      </w:r>
    </w:p>
    <w:p>
      <w:pPr>
        <w:keepNext w:val="0"/>
        <w:keepLines w:val="0"/>
        <w:pageBreakBefore w:val="0"/>
        <w:widowControl w:val="0"/>
        <w:tabs>
          <w:tab w:val="left" w:pos="432"/>
        </w:tabs>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szCs w:val="24"/>
          <w:lang w:val="en-US"/>
        </w:rPr>
      </w:pPr>
      <w:r>
        <w:rPr>
          <w:rFonts w:hint="eastAsia" w:ascii="宋体" w:hAnsi="宋体" w:eastAsia="宋体" w:cs="宋体"/>
          <w:b w:val="0"/>
          <w:bCs w:val="0"/>
          <w:color w:val="auto"/>
          <w:sz w:val="24"/>
          <w:szCs w:val="24"/>
          <w:lang w:val="en-US"/>
        </w:rPr>
        <w:t>1.3.3其他计价方式：</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rPr>
        <w:t>。</w:t>
      </w:r>
    </w:p>
    <w:bookmarkEnd w:id="410"/>
    <w:bookmarkEnd w:id="411"/>
    <w:bookmarkEnd w:id="412"/>
    <w:bookmarkEnd w:id="413"/>
    <w:bookmarkEnd w:id="414"/>
    <w:p>
      <w:pPr>
        <w:pStyle w:val="963"/>
        <w:spacing w:before="0" w:beforeAutospacing="0" w:after="0" w:afterAutospacing="0" w:line="360" w:lineRule="auto"/>
        <w:ind w:firstLine="480"/>
        <w:outlineLvl w:val="9"/>
        <w:rPr>
          <w:rFonts w:hint="eastAsia" w:ascii="宋体" w:hAnsi="宋体" w:eastAsia="宋体" w:cs="宋体"/>
          <w:b/>
          <w:color w:val="auto"/>
          <w:sz w:val="24"/>
          <w:szCs w:val="24"/>
        </w:rPr>
      </w:pPr>
      <w:bookmarkStart w:id="415" w:name="_Toc22618"/>
      <w:bookmarkStart w:id="416" w:name="_Toc1814"/>
      <w:bookmarkStart w:id="417" w:name="_Toc10340"/>
      <w:bookmarkStart w:id="418" w:name="_Toc11108"/>
      <w:bookmarkStart w:id="419" w:name="_Toc3625"/>
      <w:bookmarkStart w:id="420" w:name="_Toc8772"/>
      <w:bookmarkStart w:id="421" w:name="_Toc4760"/>
      <w:bookmarkStart w:id="422" w:name="_Toc31421"/>
      <w:r>
        <w:rPr>
          <w:rFonts w:hint="eastAsia" w:ascii="宋体" w:hAnsi="宋体" w:eastAsia="宋体" w:cs="宋体"/>
          <w:b/>
          <w:color w:val="auto"/>
          <w:sz w:val="24"/>
          <w:szCs w:val="24"/>
        </w:rPr>
        <w:t>1.4履约保证金</w:t>
      </w:r>
    </w:p>
    <w:p>
      <w:pPr>
        <w:pStyle w:val="963"/>
        <w:spacing w:before="0" w:beforeAutospacing="0" w:after="0" w:afterAutospacing="0"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（是/否）需要支付履约保证金。若需要支付履约保证金的，则：</w:t>
      </w:r>
    </w:p>
    <w:p>
      <w:pPr>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1.4.1履约保证金的比例为合同金额的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pPr>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1.4.2履约保证金支付方式详见</w:t>
      </w:r>
      <w:r>
        <w:rPr>
          <w:rFonts w:hint="eastAsia" w:ascii="宋体" w:hAnsi="宋体" w:eastAsia="宋体" w:cs="宋体"/>
          <w:color w:val="auto"/>
          <w:kern w:val="0"/>
          <w:sz w:val="24"/>
          <w:szCs w:val="24"/>
          <w:u w:val="single"/>
        </w:rPr>
        <w:t xml:space="preserve">    </w:t>
      </w:r>
      <w:r>
        <w:rPr>
          <w:rFonts w:hint="eastAsia" w:ascii="宋体" w:hAnsi="宋体" w:eastAsia="宋体" w:cs="宋体"/>
          <w:b/>
          <w:i/>
          <w:color w:val="auto"/>
          <w:sz w:val="24"/>
          <w:szCs w:val="24"/>
          <w:u w:val="single"/>
        </w:rPr>
        <w:t>合同专用条款</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pPr>
        <w:tabs>
          <w:tab w:val="left" w:pos="0"/>
          <w:tab w:val="left" w:pos="432"/>
        </w:tabs>
        <w:spacing w:line="360" w:lineRule="auto"/>
        <w:ind w:left="0" w:firstLine="480" w:firstLineChars="200"/>
        <w:outlineLvl w:val="9"/>
        <w:rPr>
          <w:rFonts w:hint="eastAsia" w:ascii="宋体" w:hAnsi="宋体" w:eastAsia="宋体" w:cs="宋体"/>
          <w:color w:val="auto"/>
          <w:sz w:val="24"/>
          <w:szCs w:val="24"/>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1.4.4甲方在项目验收结束后及时退还履约保证金。甲方在项目通过验收之日起</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szCs w:val="24"/>
          <w:u w:val="single"/>
        </w:rPr>
        <w:t xml:space="preserve">  0.05（可根据情况修改）  </w:t>
      </w:r>
      <w:r>
        <w:rPr>
          <w:rFonts w:hint="eastAsia" w:ascii="宋体" w:hAnsi="宋体" w:eastAsia="宋体" w:cs="宋体"/>
          <w:color w:val="auto"/>
          <w:kern w:val="0"/>
          <w:sz w:val="24"/>
          <w:szCs w:val="24"/>
        </w:rPr>
        <w:t>%计算，最高限额为本合同履约保证金的</w:t>
      </w:r>
      <w:r>
        <w:rPr>
          <w:rFonts w:hint="eastAsia" w:ascii="宋体" w:hAnsi="宋体" w:eastAsia="宋体" w:cs="宋体"/>
          <w:color w:val="auto"/>
          <w:kern w:val="0"/>
          <w:sz w:val="24"/>
          <w:szCs w:val="24"/>
          <w:u w:val="single"/>
        </w:rPr>
        <w:t xml:space="preserve">  20  </w:t>
      </w:r>
      <w:r>
        <w:rPr>
          <w:rFonts w:hint="eastAsia" w:ascii="宋体" w:hAnsi="宋体" w:eastAsia="宋体" w:cs="宋体"/>
          <w:color w:val="auto"/>
          <w:kern w:val="0"/>
          <w:sz w:val="24"/>
          <w:szCs w:val="24"/>
        </w:rPr>
        <w:t xml:space="preserve"> %。</w:t>
      </w:r>
    </w:p>
    <w:p>
      <w:pPr>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1.5</w:t>
      </w:r>
      <w:bookmarkEnd w:id="415"/>
      <w:bookmarkEnd w:id="416"/>
      <w:bookmarkEnd w:id="417"/>
      <w:r>
        <w:rPr>
          <w:rFonts w:hint="eastAsia" w:ascii="宋体" w:hAnsi="宋体" w:eastAsia="宋体" w:cs="宋体"/>
          <w:b/>
          <w:color w:val="auto"/>
          <w:sz w:val="24"/>
          <w:szCs w:val="24"/>
        </w:rPr>
        <w:t>预付款</w:t>
      </w:r>
    </w:p>
    <w:p>
      <w:pPr>
        <w:pStyle w:val="963"/>
        <w:spacing w:before="0" w:beforeAutospacing="0" w:after="0" w:afterAutospacing="0"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（是/否）需要支付预付款。若需要支付预付款的，则：</w:t>
      </w:r>
    </w:p>
    <w:p>
      <w:pPr>
        <w:spacing w:line="360" w:lineRule="auto"/>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1.5.1预付款比例、支付方式、时间详见</w:t>
      </w:r>
      <w:r>
        <w:rPr>
          <w:rFonts w:hint="eastAsia" w:ascii="宋体" w:hAnsi="宋体" w:eastAsia="宋体" w:cs="宋体"/>
          <w:color w:val="auto"/>
          <w:kern w:val="0"/>
          <w:sz w:val="24"/>
          <w:szCs w:val="24"/>
          <w:u w:val="single"/>
        </w:rPr>
        <w:t xml:space="preserve">    </w:t>
      </w:r>
      <w:r>
        <w:rPr>
          <w:rFonts w:hint="eastAsia" w:ascii="宋体" w:hAnsi="宋体" w:eastAsia="宋体" w:cs="宋体"/>
          <w:b/>
          <w:i/>
          <w:color w:val="auto"/>
          <w:sz w:val="24"/>
          <w:szCs w:val="24"/>
          <w:u w:val="single"/>
        </w:rPr>
        <w:t>合同专用条款</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pPr>
        <w:pStyle w:val="963"/>
        <w:spacing w:before="0" w:beforeAutospacing="0" w:after="0" w:afterAutospacing="0"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1.5.2预付款的扣回方式详见</w:t>
      </w:r>
      <w:r>
        <w:rPr>
          <w:rFonts w:hint="eastAsia" w:ascii="宋体" w:hAnsi="宋体" w:eastAsia="宋体" w:cs="宋体"/>
          <w:color w:val="auto"/>
          <w:sz w:val="24"/>
          <w:szCs w:val="24"/>
          <w:u w:val="single"/>
        </w:rPr>
        <w:t xml:space="preserve">    </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963"/>
        <w:spacing w:before="0" w:beforeAutospacing="0" w:after="0" w:afterAutospacing="0"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1.5.3预付款的担保措施详见</w:t>
      </w:r>
      <w:r>
        <w:rPr>
          <w:rFonts w:hint="eastAsia" w:ascii="宋体" w:hAnsi="宋体" w:eastAsia="宋体" w:cs="宋体"/>
          <w:color w:val="auto"/>
          <w:sz w:val="24"/>
          <w:szCs w:val="24"/>
          <w:u w:val="single"/>
        </w:rPr>
        <w:t xml:space="preserve">    </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963"/>
        <w:spacing w:before="0" w:beforeAutospacing="0" w:after="0" w:afterAutospacing="0" w:line="360" w:lineRule="auto"/>
        <w:ind w:firstLine="480"/>
        <w:rPr>
          <w:rFonts w:hint="eastAsia" w:ascii="宋体" w:hAnsi="宋体" w:eastAsia="宋体" w:cs="宋体"/>
          <w:b/>
          <w:bCs/>
          <w:color w:val="auto"/>
          <w:sz w:val="24"/>
          <w:szCs w:val="24"/>
        </w:rPr>
      </w:pPr>
      <w:r>
        <w:rPr>
          <w:rFonts w:hint="eastAsia" w:ascii="宋体" w:hAnsi="宋体" w:eastAsia="宋体" w:cs="宋体"/>
          <w:b/>
          <w:bCs/>
          <w:color w:val="auto"/>
          <w:sz w:val="24"/>
          <w:szCs w:val="24"/>
        </w:rPr>
        <w:t>1.6资金支付</w:t>
      </w:r>
    </w:p>
    <w:p>
      <w:pPr>
        <w:pStyle w:val="963"/>
        <w:spacing w:before="0" w:beforeAutospacing="0" w:after="0" w:afterAutospacing="0" w:line="360" w:lineRule="auto"/>
        <w:ind w:firstLine="480"/>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1.6.2资金支付的方式、时间和条件详见</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pPr>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1.7 履行期限、地点和方式</w:t>
      </w:r>
      <w:bookmarkEnd w:id="418"/>
      <w:bookmarkEnd w:id="419"/>
      <w:bookmarkEnd w:id="420"/>
      <w:bookmarkEnd w:id="421"/>
      <w:bookmarkEnd w:id="422"/>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1.7.1 服务交付（实施）的时间（期限）：</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1.7.2 服务交付（实施）的地点（地域范围）：</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1.7.3 服务交付（实施）的方式：</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bCs/>
          <w:color w:val="auto"/>
          <w:sz w:val="24"/>
          <w:szCs w:val="24"/>
        </w:rPr>
      </w:pPr>
      <w:bookmarkStart w:id="423" w:name="_Toc3079"/>
      <w:bookmarkStart w:id="424" w:name="_Toc8586"/>
      <w:bookmarkStart w:id="425" w:name="_Toc5698"/>
      <w:bookmarkStart w:id="426" w:name="_Toc2375"/>
      <w:bookmarkStart w:id="427" w:name="_Toc24662"/>
      <w:r>
        <w:rPr>
          <w:rFonts w:hint="eastAsia" w:ascii="宋体" w:hAnsi="宋体" w:eastAsia="宋体" w:cs="宋体"/>
          <w:bCs/>
          <w:color w:val="auto"/>
          <w:sz w:val="24"/>
          <w:szCs w:val="24"/>
        </w:rPr>
        <w:t>1.7.4若服务涉及货物的，则货物的：</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1.7.4.1 交付期限：详见</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1.7.4.2 交付地点：</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1.7.4.3 交付方式：</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w:t>
      </w:r>
    </w:p>
    <w:p>
      <w:pPr>
        <w:spacing w:line="360" w:lineRule="auto"/>
        <w:ind w:firstLine="482" w:firstLineChars="200"/>
        <w:outlineLvl w:val="9"/>
        <w:rPr>
          <w:rFonts w:hint="eastAsia" w:ascii="宋体" w:hAnsi="宋体" w:eastAsia="宋体" w:cs="宋体"/>
          <w:color w:val="auto"/>
          <w:sz w:val="24"/>
          <w:szCs w:val="24"/>
          <w:u w:val="single"/>
        </w:rPr>
      </w:pPr>
      <w:r>
        <w:rPr>
          <w:rFonts w:hint="eastAsia" w:ascii="宋体" w:hAnsi="宋体" w:eastAsia="宋体" w:cs="宋体"/>
          <w:b/>
          <w:color w:val="auto"/>
          <w:sz w:val="24"/>
          <w:szCs w:val="24"/>
        </w:rPr>
        <w:t>1.8违约责任</w:t>
      </w:r>
      <w:bookmarkEnd w:id="423"/>
      <w:bookmarkEnd w:id="424"/>
      <w:bookmarkEnd w:id="425"/>
      <w:bookmarkEnd w:id="426"/>
      <w:bookmarkEnd w:id="427"/>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u w:val="single"/>
        </w:rPr>
        <w:t xml:space="preserve">0.05 </w:t>
      </w:r>
      <w:r>
        <w:rPr>
          <w:rFonts w:hint="eastAsia" w:ascii="宋体" w:hAnsi="宋体" w:eastAsia="宋体" w:cs="宋体"/>
          <w:color w:val="auto"/>
          <w:sz w:val="24"/>
          <w:szCs w:val="24"/>
        </w:rPr>
        <w:t>%计算，最高限额为本合同总价的</w:t>
      </w:r>
      <w:r>
        <w:rPr>
          <w:rFonts w:hint="eastAsia" w:ascii="宋体" w:hAnsi="宋体" w:eastAsia="宋体" w:cs="宋体"/>
          <w:color w:val="auto"/>
          <w:sz w:val="24"/>
          <w:szCs w:val="24"/>
          <w:u w:val="single"/>
        </w:rPr>
        <w:t xml:space="preserve">  20   </w:t>
      </w:r>
      <w:r>
        <w:rPr>
          <w:rFonts w:hint="eastAsia" w:ascii="宋体" w:hAnsi="宋体" w:eastAsia="宋体" w:cs="宋体"/>
          <w:color w:val="auto"/>
          <w:sz w:val="24"/>
          <w:szCs w:val="24"/>
        </w:rPr>
        <w:t>%；迟延履行的违约金计算数额达到前述最高限额之日起，甲方有权在要求乙方支付违约金的同时，书面通知乙方解除本合同；</w:t>
      </w:r>
    </w:p>
    <w:p>
      <w:pPr>
        <w:tabs>
          <w:tab w:val="left" w:pos="432"/>
        </w:tabs>
        <w:spacing w:line="360" w:lineRule="auto"/>
        <w:ind w:left="0" w:firstLine="480" w:firstLineChars="200"/>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u w:val="single"/>
        </w:rPr>
        <w:t xml:space="preserve">   0.05   </w:t>
      </w:r>
      <w:r>
        <w:rPr>
          <w:rFonts w:hint="eastAsia" w:ascii="宋体" w:hAnsi="宋体" w:eastAsia="宋体" w:cs="宋体"/>
          <w:color w:val="auto"/>
          <w:sz w:val="24"/>
          <w:szCs w:val="24"/>
        </w:rPr>
        <w:t>%计算，最高限额为本合同总价的</w:t>
      </w:r>
      <w:r>
        <w:rPr>
          <w:rFonts w:hint="eastAsia" w:ascii="宋体" w:hAnsi="宋体" w:eastAsia="宋体" w:cs="宋体"/>
          <w:color w:val="auto"/>
          <w:sz w:val="24"/>
          <w:szCs w:val="24"/>
          <w:u w:val="single"/>
        </w:rPr>
        <w:t xml:space="preserve">   20</w:t>
      </w:r>
      <w:r>
        <w:rPr>
          <w:rFonts w:hint="eastAsia" w:ascii="宋体" w:hAnsi="宋体" w:eastAsia="宋体" w:cs="宋体"/>
          <w:color w:val="auto"/>
          <w:kern w:val="0"/>
          <w:sz w:val="24"/>
          <w:szCs w:val="24"/>
          <w:u w:val="single"/>
        </w:rPr>
        <w:t>（可根据情况修改）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%；迟延付款的违约金计算数额达到前述最高限额之日起，乙方有权在要求甲方支付违约金的同时，书面通知甲方解除本合同；</w:t>
      </w:r>
    </w:p>
    <w:p>
      <w:pPr>
        <w:spacing w:line="360" w:lineRule="auto"/>
        <w:ind w:firstLine="480" w:firstLineChars="200"/>
        <w:outlineLvl w:val="9"/>
        <w:rPr>
          <w:rFonts w:hint="eastAsia" w:ascii="宋体" w:hAnsi="宋体" w:eastAsia="宋体" w:cs="宋体"/>
          <w:color w:val="auto"/>
          <w:sz w:val="24"/>
          <w:szCs w:val="24"/>
        </w:rPr>
      </w:pPr>
      <w:bookmarkStart w:id="428" w:name="_Toc9497"/>
      <w:bookmarkStart w:id="429" w:name="_Toc30329"/>
      <w:bookmarkStart w:id="430" w:name="_Toc18683"/>
      <w:bookmarkStart w:id="431" w:name="_Toc32454"/>
      <w:bookmarkStart w:id="432" w:name="_Toc26807"/>
      <w:r>
        <w:rPr>
          <w:rFonts w:hint="eastAsia" w:ascii="宋体" w:hAnsi="宋体" w:eastAsia="宋体" w:cs="宋体"/>
          <w:color w:val="auto"/>
          <w:sz w:val="24"/>
          <w:szCs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1.8.7违约责任</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另有约定的，从其约定。</w:t>
      </w:r>
    </w:p>
    <w:bookmarkEnd w:id="428"/>
    <w:bookmarkEnd w:id="429"/>
    <w:bookmarkEnd w:id="430"/>
    <w:bookmarkEnd w:id="431"/>
    <w:bookmarkEnd w:id="432"/>
    <w:p>
      <w:pPr>
        <w:spacing w:line="360" w:lineRule="auto"/>
        <w:ind w:firstLine="482" w:firstLineChars="200"/>
        <w:outlineLvl w:val="9"/>
        <w:rPr>
          <w:rFonts w:hint="eastAsia" w:ascii="宋体" w:hAnsi="宋体" w:eastAsia="宋体" w:cs="宋体"/>
          <w:b/>
          <w:color w:val="auto"/>
          <w:sz w:val="24"/>
          <w:szCs w:val="24"/>
        </w:rPr>
      </w:pPr>
      <w:bookmarkStart w:id="433" w:name="_Toc15583"/>
      <w:bookmarkStart w:id="434" w:name="_Toc16021"/>
      <w:bookmarkStart w:id="435" w:name="_Toc28375"/>
      <w:r>
        <w:rPr>
          <w:rFonts w:hint="eastAsia" w:ascii="宋体" w:hAnsi="宋体" w:eastAsia="宋体" w:cs="宋体"/>
          <w:b/>
          <w:color w:val="auto"/>
          <w:sz w:val="24"/>
          <w:szCs w:val="24"/>
        </w:rPr>
        <w:t>1.9合同争议的解决</w:t>
      </w:r>
      <w:bookmarkEnd w:id="433"/>
      <w:bookmarkEnd w:id="434"/>
      <w:bookmarkEnd w:id="435"/>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u w:val="single"/>
        </w:rPr>
        <w:t xml:space="preserve">      </w:t>
      </w:r>
      <w:r>
        <w:rPr>
          <w:rFonts w:hint="eastAsia" w:ascii="宋体" w:hAnsi="宋体" w:eastAsia="宋体" w:cs="宋体"/>
          <w:color w:val="auto"/>
          <w:sz w:val="24"/>
          <w:szCs w:val="24"/>
        </w:rPr>
        <w:t>条款规定的方式解决：</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 将争议提交</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仲裁委员会依申请仲裁时其现行有效的仲裁规则裁决；</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1.9.2 向</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人民法院起诉。</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9"/>
        <w:rPr>
          <w:rFonts w:hint="eastAsia" w:ascii="宋体" w:hAnsi="宋体" w:eastAsia="宋体" w:cs="宋体"/>
          <w:b/>
          <w:color w:val="auto"/>
          <w:sz w:val="24"/>
          <w:szCs w:val="24"/>
        </w:rPr>
      </w:pPr>
      <w:bookmarkStart w:id="436" w:name="_Toc15322"/>
      <w:bookmarkStart w:id="437" w:name="_Toc11173"/>
      <w:bookmarkStart w:id="438" w:name="_Toc7245"/>
      <w:r>
        <w:rPr>
          <w:rFonts w:hint="eastAsia" w:ascii="宋体" w:hAnsi="宋体" w:eastAsia="宋体" w:cs="宋体"/>
          <w:b/>
          <w:color w:val="auto"/>
          <w:sz w:val="24"/>
          <w:szCs w:val="24"/>
        </w:rPr>
        <w:t>2.0 合同生效</w:t>
      </w:r>
      <w:bookmarkEnd w:id="436"/>
      <w:bookmarkEnd w:id="437"/>
      <w:bookmarkEnd w:id="438"/>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本合同自双方当事人盖章签字时生效。</w:t>
      </w:r>
    </w:p>
    <w:p>
      <w:pPr>
        <w:autoSpaceDE w:val="0"/>
        <w:autoSpaceDN w:val="0"/>
        <w:spacing w:line="360" w:lineRule="auto"/>
        <w:outlineLvl w:val="9"/>
        <w:rPr>
          <w:rFonts w:hint="eastAsia" w:ascii="宋体" w:hAnsi="宋体" w:eastAsia="宋体" w:cs="宋体"/>
          <w:color w:val="auto"/>
          <w:sz w:val="24"/>
          <w:szCs w:val="24"/>
          <w:lang w:val="zh-CN"/>
        </w:rPr>
      </w:pPr>
    </w:p>
    <w:p>
      <w:pPr>
        <w:autoSpaceDE w:val="0"/>
        <w:autoSpaceDN w:val="0"/>
        <w:spacing w:line="360" w:lineRule="auto"/>
        <w:outlineLvl w:val="9"/>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甲方</w:t>
      </w:r>
      <w:r>
        <w:rPr>
          <w:rFonts w:hint="eastAsia" w:ascii="宋体" w:hAnsi="宋体" w:eastAsia="宋体" w:cs="宋体"/>
          <w:color w:val="auto"/>
          <w:sz w:val="24"/>
          <w:szCs w:val="24"/>
          <w:lang w:val="zh-CN"/>
        </w:rPr>
        <w:t xml:space="preserve">：                             </w:t>
      </w:r>
      <w:r>
        <w:rPr>
          <w:rFonts w:hint="eastAsia" w:ascii="宋体" w:hAnsi="宋体" w:eastAsia="宋体" w:cs="宋体"/>
          <w:b/>
          <w:color w:val="auto"/>
          <w:sz w:val="24"/>
          <w:szCs w:val="24"/>
          <w:lang w:val="zh-CN"/>
        </w:rPr>
        <w:t xml:space="preserve">      乙方</w:t>
      </w:r>
      <w:r>
        <w:rPr>
          <w:rFonts w:hint="eastAsia" w:ascii="宋体" w:hAnsi="宋体" w:eastAsia="宋体" w:cs="宋体"/>
          <w:color w:val="auto"/>
          <w:sz w:val="24"/>
          <w:szCs w:val="24"/>
          <w:lang w:val="zh-CN"/>
        </w:rPr>
        <w:t>：</w:t>
      </w:r>
    </w:p>
    <w:p>
      <w:pPr>
        <w:autoSpaceDE w:val="0"/>
        <w:autoSpaceDN w:val="0"/>
        <w:spacing w:line="360" w:lineRule="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统一社会信用代码：                        统一社会信用代码或身份证号码：</w:t>
      </w:r>
    </w:p>
    <w:p>
      <w:pPr>
        <w:autoSpaceDE w:val="0"/>
        <w:autoSpaceDN w:val="0"/>
        <w:spacing w:line="360" w:lineRule="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住所：                                   住所：</w:t>
      </w:r>
    </w:p>
    <w:p>
      <w:pPr>
        <w:autoSpaceDE w:val="0"/>
        <w:autoSpaceDN w:val="0"/>
        <w:spacing w:line="360" w:lineRule="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法定代表人或                             法定代表人或</w:t>
      </w:r>
    </w:p>
    <w:p>
      <w:pPr>
        <w:autoSpaceDE w:val="0"/>
        <w:autoSpaceDN w:val="0"/>
        <w:spacing w:line="360" w:lineRule="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授权代表（签字）：                       授权代表（签字）： </w:t>
      </w:r>
    </w:p>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                                 联系人：</w:t>
      </w:r>
    </w:p>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约定送达地址：                           约定送达地址：</w:t>
      </w:r>
    </w:p>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邮政编码：                               邮政编码：</w:t>
      </w:r>
    </w:p>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电话：                                    电话： </w:t>
      </w:r>
    </w:p>
    <w:p>
      <w:pPr>
        <w:autoSpaceDE w:val="0"/>
        <w:autoSpaceDN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传真：                                    传真：</w:t>
      </w:r>
    </w:p>
    <w:p>
      <w:pPr>
        <w:autoSpaceDE w:val="0"/>
        <w:autoSpaceDN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                               电子邮箱：</w:t>
      </w:r>
    </w:p>
    <w:p>
      <w:pPr>
        <w:autoSpaceDE w:val="0"/>
        <w:autoSpaceDN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autoSpaceDE w:val="0"/>
        <w:autoSpaceDN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开户名称：                               开户名称： </w:t>
      </w:r>
    </w:p>
    <w:p>
      <w:pPr>
        <w:autoSpaceDE w:val="0"/>
        <w:autoSpaceDN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开户账号：</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开户账号：</w:t>
      </w:r>
    </w:p>
    <w:p>
      <w:pPr>
        <w:widowControl/>
        <w:spacing w:line="560" w:lineRule="exact"/>
        <w:jc w:val="left"/>
        <w:rPr>
          <w:rFonts w:hint="eastAsia" w:ascii="宋体" w:hAnsi="宋体" w:eastAsia="宋体" w:cs="宋体"/>
          <w:b/>
          <w:color w:val="auto"/>
          <w:sz w:val="24"/>
        </w:rPr>
      </w:pPr>
    </w:p>
    <w:p>
      <w:pPr>
        <w:widowControl/>
        <w:adjustRightInd/>
        <w:jc w:val="left"/>
        <w:rPr>
          <w:rFonts w:hint="eastAsia" w:ascii="宋体" w:hAnsi="宋体" w:eastAsia="宋体" w:cs="宋体"/>
          <w:b/>
          <w:color w:val="auto"/>
          <w:sz w:val="24"/>
        </w:rPr>
      </w:pPr>
      <w:r>
        <w:rPr>
          <w:rFonts w:hint="eastAsia" w:ascii="宋体" w:hAnsi="宋体" w:eastAsia="宋体" w:cs="宋体"/>
          <w:b/>
          <w:color w:val="auto"/>
        </w:rPr>
        <w:br w:type="page"/>
      </w:r>
    </w:p>
    <w:p>
      <w:pPr>
        <w:pStyle w:val="83"/>
        <w:spacing w:line="560" w:lineRule="exact"/>
        <w:ind w:left="0" w:leftChars="0" w:firstLine="0" w:firstLineChars="0"/>
        <w:jc w:val="center"/>
        <w:outlineLvl w:val="1"/>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pPr>
        <w:spacing w:line="560" w:lineRule="exact"/>
        <w:ind w:firstLine="482" w:firstLineChars="200"/>
        <w:outlineLvl w:val="9"/>
        <w:rPr>
          <w:rFonts w:hint="eastAsia" w:ascii="宋体" w:hAnsi="宋体" w:eastAsia="宋体" w:cs="宋体"/>
          <w:b/>
          <w:color w:val="auto"/>
          <w:sz w:val="24"/>
        </w:rPr>
      </w:pPr>
      <w:bookmarkStart w:id="439" w:name="_Toc14021"/>
      <w:bookmarkStart w:id="440" w:name="_Toc25079"/>
      <w:bookmarkStart w:id="441" w:name="_Toc19680"/>
      <w:bookmarkStart w:id="442" w:name="_Toc5228"/>
      <w:bookmarkStart w:id="443" w:name="_Toc31297"/>
      <w:r>
        <w:rPr>
          <w:rFonts w:hint="eastAsia" w:ascii="宋体" w:hAnsi="宋体" w:eastAsia="宋体" w:cs="宋体"/>
          <w:b/>
          <w:color w:val="auto"/>
          <w:sz w:val="24"/>
        </w:rPr>
        <w:t>2.1 定义</w:t>
      </w:r>
      <w:bookmarkEnd w:id="439"/>
      <w:bookmarkEnd w:id="440"/>
      <w:bookmarkEnd w:id="441"/>
      <w:bookmarkEnd w:id="442"/>
      <w:bookmarkEnd w:id="443"/>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2.1.6 “现场”系指合同约定提供服务的地点。</w:t>
      </w:r>
    </w:p>
    <w:p>
      <w:pPr>
        <w:spacing w:line="560" w:lineRule="exact"/>
        <w:ind w:firstLine="482" w:firstLineChars="200"/>
        <w:outlineLvl w:val="9"/>
        <w:rPr>
          <w:rFonts w:hint="eastAsia" w:ascii="宋体" w:hAnsi="宋体" w:eastAsia="宋体" w:cs="宋体"/>
          <w:b/>
          <w:color w:val="auto"/>
          <w:sz w:val="24"/>
        </w:rPr>
      </w:pPr>
      <w:bookmarkStart w:id="444" w:name="_Toc23289"/>
      <w:bookmarkStart w:id="445" w:name="_Toc3769"/>
      <w:bookmarkStart w:id="446" w:name="_Toc31402"/>
      <w:bookmarkStart w:id="447" w:name="_Toc16752"/>
      <w:bookmarkStart w:id="448" w:name="_Toc19539"/>
      <w:r>
        <w:rPr>
          <w:rFonts w:hint="eastAsia" w:ascii="宋体" w:hAnsi="宋体" w:eastAsia="宋体" w:cs="宋体"/>
          <w:b/>
          <w:color w:val="auto"/>
          <w:sz w:val="24"/>
        </w:rPr>
        <w:t>2.2 技术规范</w:t>
      </w:r>
      <w:bookmarkEnd w:id="444"/>
      <w:bookmarkEnd w:id="445"/>
      <w:bookmarkEnd w:id="446"/>
      <w:bookmarkEnd w:id="447"/>
      <w:bookmarkEnd w:id="448"/>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服务所应遵守的技术规范应与采购文件规定的技术规范和技术规范附件</w:t>
      </w:r>
      <w:r>
        <w:rPr>
          <w:rFonts w:hint="eastAsia" w:ascii="宋体" w:hAnsi="宋体" w:eastAsia="宋体" w:cs="宋体"/>
          <w:color w:val="auto"/>
          <w:sz w:val="24"/>
          <w:lang w:eastAsia="zh-CN"/>
        </w:rPr>
        <w:t>（</w:t>
      </w:r>
      <w:r>
        <w:rPr>
          <w:rFonts w:hint="eastAsia" w:ascii="宋体" w:hAnsi="宋体" w:eastAsia="宋体" w:cs="宋体"/>
          <w:color w:val="auto"/>
          <w:sz w:val="24"/>
        </w:rPr>
        <w:t>如果有的话</w:t>
      </w:r>
      <w:r>
        <w:rPr>
          <w:rFonts w:hint="eastAsia" w:ascii="宋体" w:hAnsi="宋体" w:eastAsia="宋体" w:cs="宋体"/>
          <w:color w:val="auto"/>
          <w:sz w:val="24"/>
          <w:lang w:eastAsia="zh-CN"/>
        </w:rPr>
        <w:t>）</w:t>
      </w:r>
      <w:r>
        <w:rPr>
          <w:rFonts w:hint="eastAsia" w:ascii="宋体" w:hAnsi="宋体" w:eastAsia="宋体" w:cs="宋体"/>
          <w:color w:val="auto"/>
          <w:sz w:val="24"/>
        </w:rPr>
        <w:t>及其技术规范偏差表</w:t>
      </w:r>
      <w:r>
        <w:rPr>
          <w:rFonts w:hint="eastAsia" w:ascii="宋体" w:hAnsi="宋体" w:eastAsia="宋体" w:cs="宋体"/>
          <w:color w:val="auto"/>
          <w:sz w:val="24"/>
          <w:lang w:eastAsia="zh-CN"/>
        </w:rPr>
        <w:t>（</w:t>
      </w:r>
      <w:r>
        <w:rPr>
          <w:rFonts w:hint="eastAsia" w:ascii="宋体" w:hAnsi="宋体" w:eastAsia="宋体" w:cs="宋体"/>
          <w:color w:val="auto"/>
          <w:sz w:val="24"/>
        </w:rPr>
        <w:t>如果被甲方接受的话</w:t>
      </w:r>
      <w:r>
        <w:rPr>
          <w:rFonts w:hint="eastAsia" w:ascii="宋体" w:hAnsi="宋体" w:eastAsia="宋体" w:cs="宋体"/>
          <w:color w:val="auto"/>
          <w:sz w:val="24"/>
          <w:lang w:eastAsia="zh-CN"/>
        </w:rPr>
        <w:t>）</w:t>
      </w:r>
      <w:r>
        <w:rPr>
          <w:rFonts w:hint="eastAsia" w:ascii="宋体" w:hAnsi="宋体" w:eastAsia="宋体" w:cs="宋体"/>
          <w:color w:val="auto"/>
          <w:sz w:val="24"/>
        </w:rPr>
        <w:t>相一致；如果采购文件中没有技术规范的相应说明，那么应以国家有关部门最新颁布的相应标准和规范为准。</w:t>
      </w:r>
    </w:p>
    <w:p>
      <w:pPr>
        <w:spacing w:line="560" w:lineRule="exact"/>
        <w:ind w:firstLine="482" w:firstLineChars="200"/>
        <w:outlineLvl w:val="9"/>
        <w:rPr>
          <w:rFonts w:hint="eastAsia" w:ascii="宋体" w:hAnsi="宋体" w:eastAsia="宋体" w:cs="宋体"/>
          <w:b/>
          <w:color w:val="auto"/>
          <w:sz w:val="24"/>
        </w:rPr>
      </w:pPr>
      <w:bookmarkStart w:id="449" w:name="_Toc12412"/>
      <w:bookmarkStart w:id="450" w:name="_Toc13673"/>
      <w:bookmarkStart w:id="451" w:name="_Toc27945"/>
      <w:bookmarkStart w:id="452" w:name="_Toc9161"/>
      <w:bookmarkStart w:id="453" w:name="_Toc4133"/>
      <w:r>
        <w:rPr>
          <w:rFonts w:hint="eastAsia" w:ascii="宋体" w:hAnsi="宋体" w:eastAsia="宋体" w:cs="宋体"/>
          <w:b/>
          <w:color w:val="auto"/>
          <w:sz w:val="24"/>
        </w:rPr>
        <w:t>2.3 知识产权</w:t>
      </w:r>
      <w:bookmarkEnd w:id="449"/>
      <w:bookmarkEnd w:id="450"/>
      <w:bookmarkEnd w:id="451"/>
      <w:bookmarkEnd w:id="452"/>
      <w:bookmarkEnd w:id="453"/>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 合同涉及技术成果的归属和收益的分成办法的，详见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2.4 履约检查和问题反馈</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2.4.2 合同履行期间，甲方有权将履行过程中出现的问题反馈给乙方，双方当事人应以书面形式约定需要完善和改进的内容。</w:t>
      </w:r>
    </w:p>
    <w:p>
      <w:pPr>
        <w:spacing w:line="560" w:lineRule="exact"/>
        <w:ind w:firstLine="482" w:firstLineChars="200"/>
        <w:outlineLvl w:val="9"/>
        <w:rPr>
          <w:rFonts w:hint="eastAsia" w:ascii="宋体" w:hAnsi="宋体" w:eastAsia="宋体" w:cs="宋体"/>
          <w:b/>
          <w:color w:val="auto"/>
          <w:sz w:val="24"/>
        </w:rPr>
      </w:pPr>
      <w:bookmarkStart w:id="454" w:name="_Toc22011"/>
      <w:bookmarkStart w:id="455" w:name="_Toc32670"/>
      <w:bookmarkStart w:id="456" w:name="_Toc31233"/>
      <w:bookmarkStart w:id="457" w:name="_Toc26555"/>
      <w:bookmarkStart w:id="458" w:name="_Toc15447"/>
      <w:r>
        <w:rPr>
          <w:rFonts w:hint="eastAsia" w:ascii="宋体" w:hAnsi="宋体" w:eastAsia="宋体" w:cs="宋体"/>
          <w:b/>
          <w:color w:val="auto"/>
          <w:sz w:val="24"/>
        </w:rPr>
        <w:t>2.5 结算方式和付款条件</w:t>
      </w:r>
      <w:bookmarkEnd w:id="454"/>
      <w:bookmarkEnd w:id="455"/>
      <w:bookmarkEnd w:id="456"/>
      <w:bookmarkEnd w:id="457"/>
      <w:bookmarkEnd w:id="458"/>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pPr>
        <w:spacing w:line="560" w:lineRule="exact"/>
        <w:ind w:firstLine="482" w:firstLineChars="200"/>
        <w:outlineLvl w:val="9"/>
        <w:rPr>
          <w:rFonts w:hint="eastAsia" w:ascii="宋体" w:hAnsi="宋体" w:eastAsia="宋体" w:cs="宋体"/>
          <w:b/>
          <w:color w:val="auto"/>
          <w:sz w:val="24"/>
        </w:rPr>
      </w:pPr>
      <w:bookmarkStart w:id="459" w:name="_Toc30507"/>
      <w:bookmarkStart w:id="460" w:name="_Toc16163"/>
      <w:bookmarkStart w:id="461" w:name="_Toc13154"/>
      <w:bookmarkStart w:id="462" w:name="_Toc18990"/>
      <w:bookmarkStart w:id="463" w:name="_Toc13467"/>
      <w:r>
        <w:rPr>
          <w:rFonts w:hint="eastAsia" w:ascii="宋体" w:hAnsi="宋体" w:eastAsia="宋体" w:cs="宋体"/>
          <w:b/>
          <w:color w:val="auto"/>
          <w:sz w:val="24"/>
        </w:rPr>
        <w:t>2.6 技术资料和保密义务</w:t>
      </w:r>
      <w:bookmarkEnd w:id="459"/>
      <w:bookmarkEnd w:id="460"/>
      <w:bookmarkEnd w:id="461"/>
      <w:bookmarkEnd w:id="462"/>
      <w:bookmarkEnd w:id="463"/>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9"/>
        <w:rPr>
          <w:rFonts w:hint="eastAsia" w:ascii="宋体" w:hAnsi="宋体" w:eastAsia="宋体" w:cs="宋体"/>
          <w:b/>
          <w:color w:val="auto"/>
          <w:sz w:val="24"/>
        </w:rPr>
      </w:pPr>
      <w:bookmarkStart w:id="464" w:name="_Toc19069"/>
      <w:r>
        <w:rPr>
          <w:rFonts w:hint="eastAsia" w:ascii="宋体" w:hAnsi="宋体" w:eastAsia="宋体" w:cs="宋体"/>
          <w:b/>
          <w:color w:val="auto"/>
          <w:sz w:val="24"/>
        </w:rPr>
        <w:t>2.7 质量保证</w:t>
      </w:r>
      <w:bookmarkEnd w:id="464"/>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9"/>
        <w:rPr>
          <w:rFonts w:hint="eastAsia" w:ascii="宋体" w:hAnsi="宋体" w:eastAsia="宋体" w:cs="宋体"/>
          <w:b/>
          <w:color w:val="auto"/>
          <w:sz w:val="24"/>
        </w:rPr>
      </w:pPr>
      <w:bookmarkStart w:id="465" w:name="_Toc22267"/>
      <w:r>
        <w:rPr>
          <w:rFonts w:hint="eastAsia" w:ascii="宋体" w:hAnsi="宋体" w:eastAsia="宋体" w:cs="宋体"/>
          <w:b/>
          <w:color w:val="auto"/>
          <w:sz w:val="24"/>
        </w:rPr>
        <w:t>2.8 延迟履行</w:t>
      </w:r>
      <w:bookmarkEnd w:id="465"/>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9"/>
        <w:rPr>
          <w:rFonts w:hint="eastAsia" w:ascii="宋体" w:hAnsi="宋体" w:eastAsia="宋体" w:cs="宋体"/>
          <w:b/>
          <w:color w:val="auto"/>
          <w:sz w:val="24"/>
        </w:rPr>
      </w:pPr>
      <w:bookmarkStart w:id="466" w:name="_Toc10611"/>
      <w:r>
        <w:rPr>
          <w:rFonts w:hint="eastAsia" w:ascii="宋体" w:hAnsi="宋体" w:eastAsia="宋体" w:cs="宋体"/>
          <w:b/>
          <w:color w:val="auto"/>
          <w:sz w:val="24"/>
        </w:rPr>
        <w:t>2.9 合同变更</w:t>
      </w:r>
      <w:bookmarkEnd w:id="466"/>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9"/>
        <w:rPr>
          <w:rFonts w:hint="eastAsia" w:ascii="宋体" w:hAnsi="宋体" w:eastAsia="宋体" w:cs="宋体"/>
          <w:b/>
          <w:color w:val="auto"/>
          <w:sz w:val="24"/>
        </w:rPr>
      </w:pPr>
      <w:bookmarkStart w:id="467" w:name="_Toc10663"/>
      <w:bookmarkStart w:id="468" w:name="_Toc42"/>
      <w:bookmarkStart w:id="469" w:name="_Toc23368"/>
      <w:bookmarkStart w:id="470" w:name="_Toc21830"/>
      <w:bookmarkStart w:id="471" w:name="_Toc26689"/>
      <w:r>
        <w:rPr>
          <w:rFonts w:hint="eastAsia" w:ascii="宋体" w:hAnsi="宋体" w:eastAsia="宋体" w:cs="宋体"/>
          <w:b/>
          <w:color w:val="auto"/>
          <w:sz w:val="24"/>
        </w:rPr>
        <w:t>2.10 合同转让和分包</w:t>
      </w:r>
      <w:bookmarkEnd w:id="467"/>
      <w:bookmarkEnd w:id="468"/>
      <w:bookmarkEnd w:id="469"/>
      <w:bookmarkEnd w:id="470"/>
      <w:bookmarkEnd w:id="471"/>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9"/>
        <w:rPr>
          <w:rFonts w:hint="eastAsia" w:ascii="宋体" w:hAnsi="宋体" w:eastAsia="宋体" w:cs="宋体"/>
          <w:b/>
          <w:color w:val="auto"/>
          <w:sz w:val="24"/>
        </w:rPr>
      </w:pPr>
      <w:bookmarkStart w:id="472" w:name="_Toc26633"/>
      <w:bookmarkStart w:id="473" w:name="_Toc25571"/>
      <w:bookmarkStart w:id="474" w:name="_Toc4720"/>
      <w:bookmarkStart w:id="475" w:name="_Toc32494"/>
      <w:bookmarkStart w:id="476" w:name="_Toc14371"/>
      <w:r>
        <w:rPr>
          <w:rFonts w:hint="eastAsia" w:ascii="宋体" w:hAnsi="宋体" w:eastAsia="宋体" w:cs="宋体"/>
          <w:b/>
          <w:color w:val="auto"/>
          <w:sz w:val="24"/>
        </w:rPr>
        <w:t>2.11 不可抗力</w:t>
      </w:r>
      <w:bookmarkEnd w:id="472"/>
      <w:bookmarkEnd w:id="473"/>
      <w:bookmarkEnd w:id="474"/>
      <w:bookmarkEnd w:id="475"/>
      <w:bookmarkEnd w:id="476"/>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2.11.2 因不可抗力致使不能实现合同目的的，当事人可以解除合同；</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2.11.3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2.11.4受不可抗力影响的一方在不可抗力发生后，应在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pPr>
        <w:spacing w:line="560" w:lineRule="exact"/>
        <w:ind w:firstLine="482" w:firstLineChars="200"/>
        <w:outlineLvl w:val="9"/>
        <w:rPr>
          <w:rFonts w:hint="eastAsia" w:ascii="宋体" w:hAnsi="宋体" w:eastAsia="宋体" w:cs="宋体"/>
          <w:b/>
          <w:color w:val="auto"/>
          <w:sz w:val="24"/>
        </w:rPr>
      </w:pPr>
      <w:bookmarkStart w:id="477" w:name="_Toc3638"/>
      <w:bookmarkStart w:id="478" w:name="_Toc24465"/>
      <w:bookmarkStart w:id="479" w:name="_Toc14115"/>
      <w:bookmarkStart w:id="480" w:name="_Toc23854"/>
      <w:bookmarkStart w:id="481" w:name="_Toc25783"/>
      <w:r>
        <w:rPr>
          <w:rFonts w:hint="eastAsia" w:ascii="宋体" w:hAnsi="宋体" w:eastAsia="宋体" w:cs="宋体"/>
          <w:b/>
          <w:color w:val="auto"/>
          <w:sz w:val="24"/>
        </w:rPr>
        <w:t>2.12 税费</w:t>
      </w:r>
      <w:bookmarkEnd w:id="477"/>
      <w:bookmarkEnd w:id="478"/>
      <w:bookmarkEnd w:id="479"/>
      <w:bookmarkEnd w:id="480"/>
      <w:bookmarkEnd w:id="481"/>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与合同有关的一切税费，均按照中华人民共和国法律的相关规定缴纳。</w:t>
      </w:r>
    </w:p>
    <w:p>
      <w:pPr>
        <w:spacing w:line="560" w:lineRule="exact"/>
        <w:ind w:firstLine="482" w:firstLineChars="200"/>
        <w:outlineLvl w:val="9"/>
        <w:rPr>
          <w:rFonts w:hint="eastAsia" w:ascii="宋体" w:hAnsi="宋体" w:eastAsia="宋体" w:cs="宋体"/>
          <w:b/>
          <w:color w:val="auto"/>
          <w:sz w:val="24"/>
        </w:rPr>
      </w:pPr>
      <w:bookmarkStart w:id="482" w:name="_Toc7315"/>
      <w:bookmarkStart w:id="483" w:name="_Toc26883"/>
      <w:bookmarkStart w:id="484" w:name="_Toc30105"/>
      <w:bookmarkStart w:id="485" w:name="_Toc25525"/>
      <w:bookmarkStart w:id="486" w:name="_Toc14814"/>
      <w:r>
        <w:rPr>
          <w:rFonts w:hint="eastAsia" w:ascii="宋体" w:hAnsi="宋体" w:eastAsia="宋体" w:cs="宋体"/>
          <w:b/>
          <w:color w:val="auto"/>
          <w:sz w:val="24"/>
        </w:rPr>
        <w:t>2.13 乙方破产</w:t>
      </w:r>
      <w:bookmarkEnd w:id="482"/>
      <w:bookmarkEnd w:id="483"/>
      <w:bookmarkEnd w:id="484"/>
      <w:bookmarkEnd w:id="485"/>
      <w:bookmarkEnd w:id="486"/>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9"/>
        <w:rPr>
          <w:rFonts w:hint="eastAsia" w:ascii="宋体" w:hAnsi="宋体" w:eastAsia="宋体" w:cs="宋体"/>
          <w:b/>
          <w:color w:val="auto"/>
          <w:sz w:val="24"/>
        </w:rPr>
      </w:pPr>
      <w:bookmarkStart w:id="487" w:name="_Toc23323"/>
      <w:bookmarkStart w:id="488" w:name="_Toc1123"/>
      <w:bookmarkStart w:id="489" w:name="_Toc2016"/>
      <w:r>
        <w:rPr>
          <w:rFonts w:hint="eastAsia" w:ascii="宋体" w:hAnsi="宋体" w:eastAsia="宋体" w:cs="宋体"/>
          <w:b/>
          <w:color w:val="auto"/>
          <w:sz w:val="24"/>
        </w:rPr>
        <w:t>2.14 合同中止、终止</w:t>
      </w:r>
      <w:bookmarkEnd w:id="487"/>
      <w:bookmarkEnd w:id="488"/>
      <w:bookmarkEnd w:id="489"/>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2.14.1 双方当事人不得擅自中止或者终止合同；</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9"/>
        <w:rPr>
          <w:rFonts w:hint="eastAsia" w:ascii="宋体" w:hAnsi="宋体" w:eastAsia="宋体" w:cs="宋体"/>
          <w:b/>
          <w:color w:val="auto"/>
          <w:sz w:val="24"/>
        </w:rPr>
      </w:pPr>
      <w:bookmarkStart w:id="490" w:name="_Toc17363"/>
      <w:bookmarkStart w:id="491" w:name="_Toc14525"/>
      <w:bookmarkStart w:id="492" w:name="_Toc1969"/>
      <w:r>
        <w:rPr>
          <w:rFonts w:hint="eastAsia" w:ascii="宋体" w:hAnsi="宋体" w:eastAsia="宋体" w:cs="宋体"/>
          <w:b/>
          <w:color w:val="auto"/>
          <w:sz w:val="24"/>
        </w:rPr>
        <w:t>2.15 检验和验收</w:t>
      </w:r>
      <w:bookmarkEnd w:id="490"/>
      <w:bookmarkEnd w:id="491"/>
      <w:bookmarkEnd w:id="492"/>
    </w:p>
    <w:p>
      <w:pPr>
        <w:tabs>
          <w:tab w:val="left" w:pos="360"/>
          <w:tab w:val="left" w:pos="540"/>
          <w:tab w:val="left" w:pos="1080"/>
        </w:tabs>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2.15.1 乙方按照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的约定，定期提交服务报告，甲方按照</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的约定进行定期验收；</w:t>
      </w:r>
    </w:p>
    <w:p>
      <w:pPr>
        <w:tabs>
          <w:tab w:val="left" w:pos="360"/>
          <w:tab w:val="left" w:pos="540"/>
          <w:tab w:val="left" w:pos="1080"/>
        </w:tabs>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2.15.3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p>
      <w:pPr>
        <w:spacing w:line="560" w:lineRule="exact"/>
        <w:ind w:firstLine="482" w:firstLineChars="200"/>
        <w:outlineLvl w:val="9"/>
        <w:rPr>
          <w:rFonts w:hint="eastAsia" w:ascii="宋体" w:hAnsi="宋体" w:eastAsia="宋体" w:cs="宋体"/>
          <w:b/>
          <w:color w:val="auto"/>
          <w:sz w:val="24"/>
        </w:rPr>
      </w:pPr>
      <w:bookmarkStart w:id="493" w:name="_Toc12666"/>
      <w:bookmarkStart w:id="494" w:name="_Toc9808"/>
      <w:bookmarkStart w:id="495" w:name="_Toc25198"/>
      <w:bookmarkStart w:id="496" w:name="_Toc2308"/>
      <w:bookmarkStart w:id="497" w:name="_Toc31892"/>
      <w:r>
        <w:rPr>
          <w:rFonts w:hint="eastAsia" w:ascii="宋体" w:hAnsi="宋体" w:eastAsia="宋体" w:cs="宋体"/>
          <w:b/>
          <w:color w:val="auto"/>
          <w:sz w:val="24"/>
        </w:rPr>
        <w:t>2.16 通知和送达</w:t>
      </w:r>
      <w:bookmarkEnd w:id="493"/>
      <w:bookmarkEnd w:id="494"/>
      <w:bookmarkEnd w:id="495"/>
      <w:bookmarkEnd w:id="496"/>
      <w:bookmarkEnd w:id="497"/>
    </w:p>
    <w:p>
      <w:pPr>
        <w:spacing w:line="560" w:lineRule="exact"/>
        <w:ind w:firstLine="480" w:firstLineChars="200"/>
        <w:outlineLvl w:val="9"/>
        <w:rPr>
          <w:rFonts w:hint="eastAsia" w:ascii="宋体" w:hAnsi="宋体" w:eastAsia="宋体" w:cs="宋体"/>
          <w:color w:val="auto"/>
          <w:sz w:val="24"/>
        </w:rPr>
      </w:pPr>
      <w:bookmarkStart w:id="498" w:name="_Toc27674"/>
      <w:bookmarkStart w:id="499" w:name="_Toc18401"/>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9"/>
        <w:rPr>
          <w:rFonts w:hint="eastAsia" w:ascii="宋体" w:hAnsi="宋体" w:eastAsia="宋体" w:cs="宋体"/>
          <w:b/>
          <w:color w:val="auto"/>
          <w:sz w:val="24"/>
        </w:rPr>
      </w:pPr>
      <w:bookmarkStart w:id="500" w:name="_Toc27644"/>
      <w:bookmarkStart w:id="501" w:name="_Toc28906"/>
      <w:bookmarkStart w:id="502" w:name="_Toc5063"/>
      <w:bookmarkStart w:id="503" w:name="_Toc20808"/>
      <w:bookmarkStart w:id="504" w:name="_Toc12254"/>
      <w:r>
        <w:rPr>
          <w:rFonts w:hint="eastAsia" w:ascii="宋体" w:hAnsi="宋体" w:eastAsia="宋体" w:cs="宋体"/>
          <w:b/>
          <w:color w:val="auto"/>
          <w:sz w:val="24"/>
        </w:rPr>
        <w:t>2.17 合同使用的文字和适用的法律</w:t>
      </w:r>
      <w:bookmarkEnd w:id="500"/>
      <w:bookmarkEnd w:id="501"/>
      <w:bookmarkEnd w:id="502"/>
      <w:bookmarkEnd w:id="503"/>
      <w:bookmarkEnd w:id="504"/>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2.17.1 合同使用汉语</w:t>
      </w:r>
      <w:r>
        <w:rPr>
          <w:rFonts w:hint="eastAsia" w:ascii="宋体" w:hAnsi="宋体" w:eastAsia="宋体" w:cs="宋体"/>
          <w:color w:val="auto"/>
          <w:sz w:val="24"/>
          <w:lang w:eastAsia="zh-CN"/>
        </w:rPr>
        <w:t>书写</w:t>
      </w:r>
      <w:r>
        <w:rPr>
          <w:rFonts w:hint="eastAsia" w:ascii="宋体" w:hAnsi="宋体" w:eastAsia="宋体" w:cs="宋体"/>
          <w:color w:val="auto"/>
          <w:sz w:val="24"/>
        </w:rPr>
        <w:t>、变更和解释；</w:t>
      </w:r>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2.17.2 合同适用中华人民共和国法律。</w:t>
      </w:r>
    </w:p>
    <w:p>
      <w:pPr>
        <w:spacing w:line="560" w:lineRule="exact"/>
        <w:ind w:firstLine="482" w:firstLineChars="200"/>
        <w:outlineLvl w:val="9"/>
        <w:rPr>
          <w:rFonts w:hint="eastAsia" w:ascii="宋体" w:hAnsi="宋体" w:eastAsia="宋体" w:cs="宋体"/>
          <w:b/>
          <w:color w:val="auto"/>
          <w:sz w:val="24"/>
        </w:rPr>
      </w:pPr>
      <w:bookmarkStart w:id="505" w:name="_Toc4355"/>
      <w:bookmarkStart w:id="506" w:name="_Toc18540"/>
      <w:bookmarkStart w:id="507" w:name="_Toc30599"/>
      <w:r>
        <w:rPr>
          <w:rFonts w:hint="eastAsia" w:ascii="宋体" w:hAnsi="宋体" w:eastAsia="宋体" w:cs="宋体"/>
          <w:b/>
          <w:color w:val="auto"/>
          <w:sz w:val="24"/>
        </w:rPr>
        <w:t>2.18 计量单位</w:t>
      </w:r>
      <w:bookmarkEnd w:id="505"/>
      <w:bookmarkEnd w:id="506"/>
      <w:bookmarkEnd w:id="507"/>
    </w:p>
    <w:p>
      <w:pPr>
        <w:spacing w:line="56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除技术规范中另有规定外</w:t>
      </w:r>
      <w:r>
        <w:rPr>
          <w:rFonts w:hint="eastAsia" w:ascii="宋体" w:hAnsi="宋体" w:eastAsia="宋体" w:cs="宋体"/>
          <w:color w:val="auto"/>
          <w:sz w:val="24"/>
          <w:lang w:eastAsia="zh-CN"/>
        </w:rPr>
        <w:t>，</w:t>
      </w:r>
      <w:r>
        <w:rPr>
          <w:rFonts w:hint="eastAsia" w:ascii="宋体" w:hAnsi="宋体" w:eastAsia="宋体" w:cs="宋体"/>
          <w:color w:val="auto"/>
          <w:sz w:val="24"/>
        </w:rPr>
        <w:t>合同的计量单位均使用国家法定计量单位。</w:t>
      </w:r>
    </w:p>
    <w:p>
      <w:pPr>
        <w:spacing w:line="5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2.19合同份数</w:t>
      </w: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pPr>
        <w:spacing w:line="360" w:lineRule="auto"/>
        <w:jc w:val="center"/>
        <w:outlineLvl w:val="1"/>
        <w:rPr>
          <w:rFonts w:hint="eastAsia" w:ascii="宋体" w:hAnsi="宋体" w:eastAsia="宋体" w:cs="宋体"/>
          <w:b/>
          <w:color w:val="auto"/>
          <w:sz w:val="24"/>
        </w:rPr>
      </w:pPr>
      <w:r>
        <w:rPr>
          <w:rFonts w:hint="eastAsia" w:ascii="宋体" w:hAnsi="宋体" w:eastAsia="宋体" w:cs="宋体"/>
          <w:color w:val="auto"/>
          <w:kern w:val="0"/>
        </w:rPr>
        <w:br w:type="page"/>
      </w:r>
      <w:r>
        <w:rPr>
          <w:rFonts w:hint="eastAsia" w:ascii="宋体" w:hAnsi="宋体" w:eastAsia="宋体" w:cs="宋体"/>
          <w:b/>
          <w:color w:val="auto"/>
          <w:sz w:val="24"/>
        </w:rPr>
        <w:t>第三部分  合同专用条款</w:t>
      </w:r>
    </w:p>
    <w:p>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4464" w:type="pct"/>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1.3.2</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1.4.2</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1.5.1 </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1.5.2</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1.5.3 </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1.6.2</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1.7.1</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1.7.2</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1.7.4.1</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1.7.4.2</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1.7.4.3</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1.8.7</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1.9.1</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1.9.2</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2.5</w:t>
            </w:r>
          </w:p>
        </w:tc>
        <w:tc>
          <w:tcPr>
            <w:tcW w:w="4464" w:type="pct"/>
            <w:vAlign w:val="center"/>
          </w:tcPr>
          <w:p>
            <w:pPr>
              <w:spacing w:line="360" w:lineRule="auto"/>
              <w:ind w:left="-420" w:leftChars="-200" w:right="-420" w:rightChars="-200" w:firstLine="480" w:firstLineChars="200"/>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2.11.3</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2.11.4 </w:t>
            </w:r>
          </w:p>
        </w:tc>
        <w:tc>
          <w:tcPr>
            <w:tcW w:w="4464" w:type="pct"/>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2.15.1</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2.15.3</w:t>
            </w:r>
          </w:p>
        </w:tc>
        <w:tc>
          <w:tcPr>
            <w:tcW w:w="4464" w:type="pct"/>
            <w:vAlign w:val="center"/>
          </w:tcPr>
          <w:p>
            <w:pPr>
              <w:spacing w:line="360" w:lineRule="auto"/>
              <w:rPr>
                <w:rFonts w:hint="eastAsia" w:ascii="宋体" w:hAnsi="宋体" w:eastAsia="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2.19</w:t>
            </w:r>
          </w:p>
        </w:tc>
        <w:tc>
          <w:tcPr>
            <w:tcW w:w="4464" w:type="pct"/>
          </w:tcPr>
          <w:p>
            <w:pPr>
              <w:spacing w:line="360" w:lineRule="auto"/>
              <w:rPr>
                <w:rFonts w:hint="eastAsia" w:ascii="宋体" w:hAnsi="宋体" w:eastAsia="宋体" w:cs="宋体"/>
                <w:color w:val="auto"/>
                <w:sz w:val="24"/>
              </w:rPr>
            </w:pPr>
          </w:p>
        </w:tc>
      </w:tr>
    </w:tbl>
    <w:p>
      <w:pPr>
        <w:spacing w:line="360" w:lineRule="auto"/>
        <w:ind w:left="-420" w:leftChars="-200" w:right="-420" w:rightChars="-200" w:firstLine="480" w:firstLineChars="200"/>
        <w:rPr>
          <w:rFonts w:hint="eastAsia" w:ascii="宋体" w:hAnsi="宋体" w:eastAsia="宋体" w:cs="宋体"/>
          <w:color w:val="auto"/>
          <w:sz w:val="24"/>
        </w:rPr>
      </w:pPr>
    </w:p>
    <w:p>
      <w:pPr>
        <w:spacing w:line="360" w:lineRule="auto"/>
        <w:ind w:left="-420" w:leftChars="-200" w:right="-420" w:rightChars="-200" w:firstLine="480" w:firstLineChars="200"/>
        <w:jc w:val="center"/>
        <w:outlineLvl w:val="9"/>
        <w:rPr>
          <w:rFonts w:hint="eastAsia" w:ascii="宋体" w:hAnsi="宋体" w:eastAsia="宋体" w:cs="宋体"/>
          <w:color w:val="auto"/>
          <w:sz w:val="24"/>
        </w:rPr>
      </w:pPr>
    </w:p>
    <w:p>
      <w:pPr>
        <w:widowControl/>
        <w:adjustRightInd/>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93"/>
      <w:r>
        <w:rPr>
          <w:rFonts w:hint="eastAsia" w:ascii="宋体" w:hAnsi="宋体" w:eastAsia="宋体" w:cs="宋体"/>
          <w:b/>
          <w:color w:val="auto"/>
          <w:sz w:val="36"/>
          <w:szCs w:val="20"/>
        </w:rPr>
        <w:t xml:space="preserve"> </w:t>
      </w:r>
      <w:bookmarkEnd w:id="394"/>
      <w:r>
        <w:rPr>
          <w:rFonts w:hint="eastAsia" w:ascii="宋体" w:hAnsi="宋体" w:eastAsia="宋体" w:cs="宋体"/>
          <w:b/>
          <w:color w:val="auto"/>
          <w:sz w:val="36"/>
          <w:szCs w:val="20"/>
        </w:rPr>
        <w:t>应提交的有关格式范例</w:t>
      </w:r>
    </w:p>
    <w:p>
      <w:pPr>
        <w:spacing w:line="360" w:lineRule="auto"/>
        <w:jc w:val="center"/>
        <w:outlineLvl w:val="9"/>
        <w:rPr>
          <w:rFonts w:hint="eastAsia" w:ascii="宋体" w:hAnsi="宋体" w:eastAsia="宋体" w:cs="宋体"/>
          <w:b/>
          <w:color w:val="auto"/>
          <w:kern w:val="0"/>
          <w:sz w:val="36"/>
          <w:szCs w:val="36"/>
        </w:rPr>
      </w:pPr>
    </w:p>
    <w:p>
      <w:pPr>
        <w:spacing w:line="360" w:lineRule="auto"/>
        <w:jc w:val="center"/>
        <w:outlineLvl w:val="1"/>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pPr>
        <w:spacing w:line="360" w:lineRule="auto"/>
        <w:jc w:val="center"/>
        <w:outlineLvl w:val="9"/>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9"/>
        <w:rPr>
          <w:rFonts w:hint="eastAsia" w:ascii="宋体" w:hAnsi="宋体" w:eastAsia="宋体" w:cs="宋体"/>
          <w:b/>
          <w:color w:val="auto"/>
          <w:kern w:val="0"/>
          <w:sz w:val="36"/>
          <w:szCs w:val="36"/>
        </w:rPr>
      </w:pPr>
    </w:p>
    <w:p>
      <w:pPr>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360" w:lineRule="auto"/>
        <w:outlineLvl w:val="9"/>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pPr>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pPr>
        <w:snapToGrid w:val="0"/>
        <w:spacing w:line="360" w:lineRule="auto"/>
        <w:outlineLvl w:val="9"/>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outlineLvl w:val="2"/>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一、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杭州市西湖区市场监督管理局</w:t>
      </w:r>
      <w:r>
        <w:rPr>
          <w:rFonts w:hint="eastAsia" w:ascii="宋体" w:hAnsi="宋体" w:eastAsia="宋体" w:cs="宋体"/>
          <w:color w:val="auto"/>
          <w:sz w:val="24"/>
        </w:rPr>
        <w:t>、</w:t>
      </w:r>
      <w:r>
        <w:rPr>
          <w:rFonts w:hint="eastAsia" w:ascii="宋体" w:hAnsi="宋体" w:eastAsia="宋体" w:cs="宋体"/>
          <w:color w:val="auto"/>
          <w:sz w:val="24"/>
          <w:lang w:eastAsia="zh-CN"/>
        </w:rPr>
        <w:t>浙江鼎欣工程项目管理有限公司</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eastAsia="zh-CN"/>
        </w:rPr>
        <w:t>老旧电梯安全风险评估项目（灵隐街道、文新街道、古荡街道、转塘街道）（第三次）</w:t>
      </w:r>
      <w:r>
        <w:rPr>
          <w:rFonts w:hint="eastAsia" w:ascii="宋体" w:hAnsi="宋体" w:eastAsia="宋体" w:cs="宋体"/>
          <w:color w:val="auto"/>
          <w:sz w:val="24"/>
        </w:rPr>
        <w:t>【招标编号：</w:t>
      </w:r>
      <w:r>
        <w:rPr>
          <w:rFonts w:hint="eastAsia" w:ascii="宋体" w:hAnsi="宋体" w:cs="宋体"/>
          <w:color w:val="auto"/>
          <w:sz w:val="24"/>
          <w:lang w:eastAsia="zh-CN"/>
        </w:rPr>
        <w:t>DXGC-2024-XHSC-011-2</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t>
      </w:r>
      <w:r>
        <w:rPr>
          <w:rFonts w:hint="eastAsia" w:ascii="宋体" w:hAnsi="宋体" w:eastAsia="宋体" w:cs="宋体"/>
          <w:color w:val="auto"/>
          <w:sz w:val="24"/>
          <w:lang w:val="en-US" w:eastAsia="zh-CN"/>
        </w:rPr>
        <w:t>(</w:t>
      </w:r>
      <w:r>
        <w:rPr>
          <w:rFonts w:hint="eastAsia" w:ascii="宋体" w:hAnsi="宋体" w:eastAsia="宋体" w:cs="宋体"/>
          <w:color w:val="auto"/>
          <w:sz w:val="24"/>
        </w:rPr>
        <w:t>www.creditchina.gov.cn</w:t>
      </w:r>
      <w:r>
        <w:rPr>
          <w:rFonts w:hint="eastAsia" w:ascii="宋体" w:hAnsi="宋体" w:eastAsia="宋体" w:cs="宋体"/>
          <w:color w:val="auto"/>
          <w:sz w:val="24"/>
          <w:lang w:val="en-US" w:eastAsia="zh-CN"/>
        </w:rPr>
        <w:t>)</w:t>
      </w:r>
      <w:r>
        <w:rPr>
          <w:rFonts w:hint="eastAsia" w:ascii="宋体" w:hAnsi="宋体" w:eastAsia="宋体" w:cs="宋体"/>
          <w:color w:val="auto"/>
          <w:sz w:val="24"/>
        </w:rPr>
        <w:t>、中国政府采购网</w:t>
      </w:r>
      <w:r>
        <w:rPr>
          <w:rFonts w:hint="eastAsia" w:ascii="宋体" w:hAnsi="宋体" w:eastAsia="宋体" w:cs="宋体"/>
          <w:color w:val="auto"/>
          <w:sz w:val="24"/>
          <w:lang w:val="en-US" w:eastAsia="zh-CN"/>
        </w:rPr>
        <w:t>(</w:t>
      </w:r>
      <w:r>
        <w:rPr>
          <w:rFonts w:hint="eastAsia" w:ascii="宋体" w:hAnsi="宋体" w:eastAsia="宋体" w:cs="宋体"/>
          <w:color w:val="auto"/>
          <w:sz w:val="24"/>
        </w:rPr>
        <w:t>www.ccgp.gov.cn</w:t>
      </w:r>
      <w:r>
        <w:rPr>
          <w:rFonts w:hint="eastAsia" w:ascii="宋体" w:hAnsi="宋体" w:eastAsia="宋体" w:cs="宋体"/>
          <w:color w:val="auto"/>
          <w:sz w:val="24"/>
          <w:lang w:val="en-US" w:eastAsia="zh-CN"/>
        </w:rPr>
        <w:t>)</w:t>
      </w:r>
      <w:r>
        <w:rPr>
          <w:rFonts w:hint="eastAsia" w:ascii="宋体" w:hAnsi="宋体" w:eastAsia="宋体" w:cs="宋体"/>
          <w:color w:val="auto"/>
          <w:sz w:val="24"/>
        </w:rPr>
        <w:t>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widowControl/>
        <w:spacing w:line="360" w:lineRule="auto"/>
        <w:ind w:firstLine="643" w:firstLineChars="200"/>
        <w:jc w:val="center"/>
        <w:outlineLvl w:val="2"/>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outlineLvl w:val="2"/>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rPr>
      </w:pPr>
    </w:p>
    <w:p>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b/>
          <w:color w:val="auto"/>
          <w:sz w:val="24"/>
          <w:lang w:eastAsia="zh-CN"/>
        </w:rPr>
        <w:t>.</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widowControl/>
        <w:spacing w:line="360" w:lineRule="auto"/>
        <w:ind w:left="150"/>
        <w:jc w:val="center"/>
        <w:outlineLvl w:val="2"/>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w:t>
      </w:r>
    </w:p>
    <w:p>
      <w:pPr>
        <w:snapToGrid w:val="0"/>
        <w:spacing w:line="360" w:lineRule="auto"/>
        <w:ind w:right="480"/>
        <w:jc w:val="center"/>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spacing w:line="360" w:lineRule="auto"/>
        <w:ind w:right="420" w:firstLine="3614" w:firstLineChars="1000"/>
        <w:outlineLvl w:val="1"/>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9"/>
        <w:rPr>
          <w:rFonts w:hint="eastAsia" w:ascii="宋体" w:hAnsi="宋体" w:eastAsia="宋体" w:cs="宋体"/>
          <w:b/>
          <w:color w:val="auto"/>
          <w:kern w:val="0"/>
          <w:sz w:val="24"/>
        </w:rPr>
      </w:pPr>
    </w:p>
    <w:p>
      <w:pPr>
        <w:spacing w:line="360" w:lineRule="auto"/>
        <w:jc w:val="center"/>
        <w:outlineLvl w:val="9"/>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pPr>
        <w:snapToGrid w:val="0"/>
        <w:spacing w:line="360" w:lineRule="auto"/>
        <w:ind w:left="479" w:leftChars="228"/>
        <w:outlineLvl w:val="9"/>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pPr>
        <w:snapToGrid w:val="0"/>
        <w:spacing w:line="360" w:lineRule="auto"/>
        <w:ind w:left="479" w:leftChars="228"/>
        <w:outlineLvl w:val="9"/>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pPr>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pPr>
        <w:snapToGrid w:val="0"/>
        <w:spacing w:line="360" w:lineRule="auto"/>
        <w:ind w:left="479" w:leftChars="228"/>
        <w:outlineLvl w:val="9"/>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pPr>
        <w:snapToGrid w:val="0"/>
        <w:spacing w:line="360" w:lineRule="auto"/>
        <w:ind w:left="479" w:leftChars="228"/>
        <w:outlineLvl w:val="9"/>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pPr>
        <w:snapToGrid w:val="0"/>
        <w:spacing w:line="360" w:lineRule="auto"/>
        <w:jc w:val="center"/>
        <w:outlineLvl w:val="9"/>
        <w:rPr>
          <w:rFonts w:hint="eastAsia" w:ascii="宋体" w:hAnsi="宋体" w:eastAsia="宋体" w:cs="宋体"/>
          <w:b/>
          <w:color w:val="auto"/>
          <w:kern w:val="0"/>
          <w:sz w:val="32"/>
          <w:szCs w:val="32"/>
          <w:lang w:val="zh-CN"/>
        </w:rPr>
      </w:pPr>
    </w:p>
    <w:p>
      <w:pPr>
        <w:snapToGrid w:val="0"/>
        <w:spacing w:line="360" w:lineRule="auto"/>
        <w:jc w:val="center"/>
        <w:outlineLvl w:val="9"/>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rPr>
          <w:rFonts w:hint="eastAsia" w:ascii="宋体" w:hAnsi="宋体" w:eastAsia="宋体" w:cs="宋体"/>
          <w:b/>
          <w:color w:val="auto"/>
          <w:kern w:val="0"/>
          <w:sz w:val="32"/>
          <w:szCs w:val="32"/>
          <w:lang w:val="zh-CN"/>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outlineLvl w:val="2"/>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杭州市西湖区市场监督管理局</w:t>
      </w:r>
      <w:r>
        <w:rPr>
          <w:rFonts w:hint="eastAsia" w:ascii="宋体" w:hAnsi="宋体" w:eastAsia="宋体" w:cs="宋体"/>
          <w:color w:val="auto"/>
          <w:sz w:val="24"/>
        </w:rPr>
        <w:t>、</w:t>
      </w:r>
      <w:r>
        <w:rPr>
          <w:rFonts w:hint="eastAsia" w:ascii="宋体" w:hAnsi="宋体" w:eastAsia="宋体" w:cs="宋体"/>
          <w:color w:val="auto"/>
          <w:sz w:val="24"/>
          <w:lang w:eastAsia="zh-CN"/>
        </w:rPr>
        <w:t>浙江鼎欣工程项目管理有限公司</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cs="宋体"/>
          <w:color w:val="auto"/>
          <w:sz w:val="24"/>
          <w:lang w:eastAsia="zh-CN"/>
        </w:rPr>
        <w:t>老旧电梯安全风险评估项目（灵隐街道、文新街道、古荡街道、转塘街道）（第三次）</w:t>
      </w:r>
      <w:r>
        <w:rPr>
          <w:rFonts w:hint="eastAsia" w:ascii="宋体" w:hAnsi="宋体" w:eastAsia="宋体" w:cs="宋体"/>
          <w:color w:val="auto"/>
          <w:sz w:val="24"/>
        </w:rPr>
        <w:t>【招标编号：</w:t>
      </w:r>
      <w:r>
        <w:rPr>
          <w:rFonts w:hint="eastAsia" w:ascii="宋体" w:hAnsi="宋体" w:cs="宋体"/>
          <w:color w:val="auto"/>
          <w:sz w:val="24"/>
          <w:lang w:eastAsia="zh-CN"/>
        </w:rPr>
        <w:t>DXGC-2024-XHSC-011-2</w:t>
      </w:r>
      <w:r>
        <w:rPr>
          <w:rFonts w:hint="eastAsia" w:ascii="宋体" w:hAnsi="宋体" w:eastAsia="宋体" w:cs="宋体"/>
          <w:color w:val="auto"/>
          <w:sz w:val="24"/>
        </w:rPr>
        <w:t>】招标的有关活动，并对此项目进行投标。为此：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508" w:name="_Hlk101257010"/>
      <w:r>
        <w:rPr>
          <w:rFonts w:hint="eastAsia" w:ascii="宋体" w:hAnsi="宋体" w:eastAsia="宋体" w:cs="宋体"/>
          <w:color w:val="auto"/>
          <w:sz w:val="24"/>
        </w:rPr>
        <w:t>（如果有</w:t>
      </w:r>
      <w:r>
        <w:rPr>
          <w:rFonts w:hint="eastAsia" w:ascii="宋体" w:hAnsi="宋体" w:eastAsia="宋体" w:cs="宋体"/>
          <w:color w:val="auto"/>
          <w:sz w:val="24"/>
          <w:lang w:eastAsia="zh-CN"/>
        </w:rPr>
        <w:t>）</w:t>
      </w:r>
      <w:bookmarkEnd w:id="508"/>
      <w:r>
        <w:rPr>
          <w:rFonts w:hint="eastAsia" w:ascii="宋体" w:hAnsi="宋体" w:eastAsia="宋体" w:cs="宋体"/>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提供中小企业声明函</w:t>
      </w:r>
      <w:r>
        <w:rPr>
          <w:rFonts w:hint="eastAsia" w:ascii="宋体" w:hAnsi="宋体" w:eastAsia="宋体" w:cs="宋体"/>
          <w:color w:val="auto"/>
          <w:sz w:val="24"/>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具有电梯检验检测或型式试验资质</w:t>
      </w:r>
      <w:r>
        <w:rPr>
          <w:rFonts w:hint="eastAsia" w:ascii="宋体" w:hAnsi="宋体" w:eastAsia="宋体" w:cs="宋体"/>
          <w:color w:val="auto"/>
          <w:sz w:val="24"/>
          <w:highlight w:val="none"/>
        </w:rPr>
        <w:t>。</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snapToGrid w:val="0"/>
          <w:color w:val="auto"/>
          <w:kern w:val="28"/>
          <w:sz w:val="24"/>
          <w:szCs w:val="20"/>
          <w:lang w:eastAsia="zh-CN"/>
        </w:rPr>
        <w:t>）</w:t>
      </w:r>
      <w:r>
        <w:rPr>
          <w:rFonts w:hint="eastAsia" w:ascii="宋体" w:hAnsi="宋体" w:eastAsia="宋体" w:cs="宋体"/>
          <w:color w:val="auto"/>
          <w:sz w:val="24"/>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2.3.2 报价情况说明（如果有）</w:t>
      </w:r>
      <w:r>
        <w:rPr>
          <w:rFonts w:hint="eastAsia" w:ascii="宋体" w:hAnsi="宋体" w:eastAsia="宋体" w:cs="宋体"/>
          <w:color w:val="auto"/>
          <w:sz w:val="24"/>
          <w:highlight w:val="none"/>
        </w:rPr>
        <w:t>。</w:t>
      </w:r>
    </w:p>
    <w:p>
      <w:pPr>
        <w:pStyle w:val="80"/>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tabs>
          <w:tab w:val="left" w:pos="432"/>
        </w:tabs>
        <w:outlineLvl w:val="9"/>
        <w:rPr>
          <w:rFonts w:hint="eastAsia" w:ascii="宋体" w:hAnsi="宋体" w:eastAsia="宋体" w:cs="宋体"/>
          <w:color w:val="auto"/>
          <w:lang w:val="en-US"/>
        </w:rPr>
      </w:pPr>
    </w:p>
    <w:p>
      <w:pPr>
        <w:jc w:val="center"/>
        <w:rPr>
          <w:rFonts w:hint="eastAsia" w:ascii="宋体" w:hAnsi="宋体" w:eastAsia="宋体" w:cs="宋体"/>
          <w:b/>
          <w:color w:val="auto"/>
          <w:kern w:val="0"/>
          <w:sz w:val="32"/>
          <w:szCs w:val="32"/>
        </w:rPr>
      </w:pPr>
    </w:p>
    <w:p>
      <w:pPr>
        <w:jc w:val="center"/>
        <w:outlineLvl w:val="9"/>
        <w:rPr>
          <w:rFonts w:hint="eastAsia" w:ascii="宋体" w:hAnsi="宋体" w:eastAsia="宋体" w:cs="宋体"/>
          <w:b/>
          <w:color w:val="auto"/>
          <w:kern w:val="0"/>
          <w:sz w:val="32"/>
          <w:szCs w:val="32"/>
        </w:rPr>
      </w:pPr>
    </w:p>
    <w:p>
      <w:pPr>
        <w:jc w:val="center"/>
        <w:outlineLvl w:val="2"/>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杭州市西湖区市场监督管理局</w:t>
      </w:r>
      <w:r>
        <w:rPr>
          <w:rFonts w:hint="eastAsia" w:ascii="宋体" w:hAnsi="宋体" w:eastAsia="宋体" w:cs="宋体"/>
          <w:color w:val="auto"/>
          <w:sz w:val="24"/>
        </w:rPr>
        <w:t>、</w:t>
      </w:r>
      <w:r>
        <w:rPr>
          <w:rFonts w:hint="eastAsia" w:ascii="宋体" w:hAnsi="宋体" w:eastAsia="宋体" w:cs="宋体"/>
          <w:color w:val="auto"/>
          <w:sz w:val="24"/>
          <w:lang w:eastAsia="zh-CN"/>
        </w:rPr>
        <w:t>浙江鼎欣工程项目管理有限公司</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cs="宋体"/>
          <w:color w:val="auto"/>
          <w:sz w:val="24"/>
          <w:lang w:eastAsia="zh-CN"/>
        </w:rPr>
        <w:t>老旧电梯安全风险评估项目（灵隐街道、文新街道、古荡街道、转塘街道）（第三次）</w:t>
      </w:r>
      <w:r>
        <w:rPr>
          <w:rFonts w:hint="eastAsia" w:ascii="宋体" w:hAnsi="宋体" w:eastAsia="宋体" w:cs="宋体"/>
          <w:color w:val="auto"/>
          <w:sz w:val="24"/>
        </w:rPr>
        <w:t>【招标编号：</w:t>
      </w:r>
      <w:r>
        <w:rPr>
          <w:rFonts w:hint="eastAsia" w:ascii="宋体" w:hAnsi="宋体" w:cs="宋体"/>
          <w:color w:val="auto"/>
          <w:sz w:val="24"/>
          <w:lang w:eastAsia="zh-CN"/>
        </w:rPr>
        <w:t>DXGC-2024-XHSC-011-2</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杭州市西湖区市场监督管理局</w:t>
      </w:r>
      <w:r>
        <w:rPr>
          <w:rFonts w:hint="eastAsia" w:ascii="宋体" w:hAnsi="宋体" w:eastAsia="宋体" w:cs="宋体"/>
          <w:color w:val="auto"/>
          <w:sz w:val="24"/>
        </w:rPr>
        <w:t>、</w:t>
      </w:r>
      <w:r>
        <w:rPr>
          <w:rFonts w:hint="eastAsia" w:ascii="宋体" w:hAnsi="宋体" w:eastAsia="宋体" w:cs="宋体"/>
          <w:color w:val="auto"/>
          <w:sz w:val="24"/>
          <w:lang w:eastAsia="zh-CN"/>
        </w:rPr>
        <w:t>浙江鼎欣工程项目管理有限公司</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cs="宋体"/>
          <w:color w:val="auto"/>
          <w:sz w:val="24"/>
          <w:lang w:eastAsia="zh-CN"/>
        </w:rPr>
        <w:t>老旧电梯安全风险评估项目（灵隐街道、文新街道、古荡街道、转塘街道）（第三次）</w:t>
      </w:r>
      <w:r>
        <w:rPr>
          <w:rFonts w:hint="eastAsia" w:ascii="宋体" w:hAnsi="宋体" w:eastAsia="宋体" w:cs="宋体"/>
          <w:color w:val="auto"/>
          <w:sz w:val="24"/>
        </w:rPr>
        <w:t>【招标编号：</w:t>
      </w:r>
      <w:r>
        <w:rPr>
          <w:rFonts w:hint="eastAsia" w:ascii="宋体" w:hAnsi="宋体" w:cs="宋体"/>
          <w:color w:val="auto"/>
          <w:sz w:val="24"/>
          <w:lang w:eastAsia="zh-CN"/>
        </w:rPr>
        <w:t>DXGC-2024-XHSC-011-2</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155"/>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5"/>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155"/>
              <w:adjustRightInd w:val="0"/>
              <w:spacing w:line="360" w:lineRule="auto"/>
              <w:rPr>
                <w:rFonts w:hint="eastAsia" w:ascii="宋体" w:hAnsi="宋体" w:eastAsia="宋体" w:cs="宋体"/>
                <w:bCs/>
                <w:color w:val="auto"/>
                <w:sz w:val="24"/>
              </w:rPr>
            </w:pPr>
          </w:p>
        </w:tc>
      </w:tr>
    </w:tbl>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napToGrid w:val="0"/>
        <w:spacing w:line="360" w:lineRule="auto"/>
        <w:ind w:right="480"/>
        <w:rPr>
          <w:rFonts w:hint="eastAsia" w:ascii="宋体" w:hAnsi="宋体" w:eastAsia="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2"/>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w:t>
      </w:r>
      <w:r>
        <w:rPr>
          <w:rFonts w:hint="eastAsia" w:ascii="宋体" w:hAnsi="宋体" w:eastAsia="宋体" w:cs="宋体"/>
          <w:b/>
          <w:color w:val="auto"/>
          <w:sz w:val="24"/>
          <w:lang w:eastAsia="zh-CN"/>
        </w:rPr>
        <w:t>（</w:t>
      </w:r>
      <w:r>
        <w:rPr>
          <w:rFonts w:hint="eastAsia" w:ascii="宋体" w:hAnsi="宋体" w:eastAsia="宋体" w:cs="宋体"/>
          <w:b/>
          <w:color w:val="auto"/>
          <w:sz w:val="24"/>
        </w:rPr>
        <w:t>附件6</w:t>
      </w:r>
      <w:r>
        <w:rPr>
          <w:rFonts w:hint="eastAsia" w:ascii="宋体" w:hAnsi="宋体" w:eastAsia="宋体" w:cs="宋体"/>
          <w:b/>
          <w:color w:val="auto"/>
          <w:sz w:val="24"/>
          <w:lang w:eastAsia="zh-CN"/>
        </w:rPr>
        <w:t>）</w:t>
      </w:r>
      <w:r>
        <w:rPr>
          <w:rFonts w:hint="eastAsia" w:ascii="宋体" w:hAnsi="宋体" w:eastAsia="宋体" w:cs="宋体"/>
          <w:b/>
          <w:color w:val="auto"/>
          <w:sz w:val="24"/>
        </w:rPr>
        <w:t>；采购人不同意分包或者投标人中标后不以分包方式履行合同的，则不需要提供。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rPr>
          <w:rFonts w:hint="eastAsia" w:ascii="宋体" w:hAnsi="宋体" w:eastAsia="宋体" w:cs="宋体"/>
          <w:color w:val="auto"/>
          <w:kern w:val="0"/>
          <w:sz w:val="24"/>
        </w:rPr>
      </w:pPr>
    </w:p>
    <w:p>
      <w:pPr>
        <w:jc w:val="center"/>
        <w:outlineLvl w:val="2"/>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pPr>
        <w:jc w:val="center"/>
        <w:rPr>
          <w:rFonts w:hint="eastAsia" w:ascii="宋体" w:hAnsi="宋体" w:eastAsia="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991"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2551"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91" w:type="dxa"/>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2551" w:type="dxa"/>
            <w:vAlign w:val="center"/>
          </w:tcPr>
          <w:p>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tcPr>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见投标文件</w:t>
            </w:r>
          </w:p>
          <w:p>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991" w:type="dxa"/>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991" w:type="dxa"/>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w:t>
            </w:r>
            <w:r>
              <w:rPr>
                <w:rFonts w:hint="eastAsia" w:ascii="宋体" w:hAnsi="宋体" w:eastAsia="宋体" w:cs="宋体"/>
                <w:color w:val="auto"/>
                <w:sz w:val="24"/>
                <w:lang w:eastAsia="zh-CN"/>
              </w:rPr>
              <w:t>的其他</w:t>
            </w:r>
            <w:r>
              <w:rPr>
                <w:rFonts w:hint="eastAsia" w:ascii="宋体" w:hAnsi="宋体" w:eastAsia="宋体" w:cs="宋体"/>
                <w:color w:val="auto"/>
                <w:sz w:val="24"/>
              </w:rPr>
              <w:t>实质性要求。</w:t>
            </w:r>
          </w:p>
        </w:tc>
        <w:tc>
          <w:tcPr>
            <w:tcW w:w="2551" w:type="dxa"/>
            <w:vAlign w:val="center"/>
          </w:tcPr>
          <w:p>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w:t>
            </w:r>
            <w:r>
              <w:rPr>
                <w:rFonts w:hint="eastAsia" w:ascii="宋体" w:hAnsi="宋体" w:eastAsia="宋体" w:cs="宋体"/>
                <w:color w:val="auto"/>
                <w:kern w:val="0"/>
                <w:sz w:val="24"/>
                <w:lang w:eastAsia="zh-CN"/>
              </w:rPr>
              <w:t>无其他</w:t>
            </w:r>
            <w:r>
              <w:rPr>
                <w:rFonts w:hint="eastAsia" w:ascii="宋体" w:hAnsi="宋体" w:eastAsia="宋体" w:cs="宋体"/>
                <w:color w:val="auto"/>
                <w:kern w:val="0"/>
                <w:sz w:val="24"/>
              </w:rPr>
              <w:t>实质性要求的，无需提供）</w:t>
            </w:r>
          </w:p>
        </w:tc>
        <w:tc>
          <w:tcPr>
            <w:tcW w:w="1418" w:type="dxa"/>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outlineLvl w:val="2"/>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ind w:firstLine="2891" w:firstLineChars="900"/>
        <w:outlineLvl w:val="2"/>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outlineLvl w:val="2"/>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276" w:type="dxa"/>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276" w:type="dxa"/>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276" w:type="dxa"/>
          </w:tcPr>
          <w:p>
            <w:pPr>
              <w:jc w:val="center"/>
              <w:rPr>
                <w:rFonts w:hint="eastAsia" w:ascii="宋体" w:hAnsi="宋体" w:eastAsia="宋体" w:cs="宋体"/>
                <w:b/>
                <w:color w:val="auto"/>
                <w:kern w:val="0"/>
                <w:sz w:val="32"/>
                <w:szCs w:val="32"/>
              </w:rPr>
            </w:pPr>
          </w:p>
        </w:tc>
      </w:tr>
    </w:tbl>
    <w:p>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pPr>
        <w:jc w:val="center"/>
        <w:rPr>
          <w:rFonts w:hint="eastAsia" w:ascii="宋体" w:hAnsi="宋体" w:eastAsia="宋体" w:cs="宋体"/>
          <w:b/>
          <w:color w:val="auto"/>
          <w:kern w:val="0"/>
          <w:sz w:val="32"/>
          <w:szCs w:val="32"/>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widowControl/>
        <w:adjustRightInd/>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ind w:firstLine="1911" w:firstLineChars="595"/>
        <w:outlineLvl w:val="2"/>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杭州市西湖区市场监督管理局</w:t>
      </w:r>
      <w:r>
        <w:rPr>
          <w:rFonts w:hint="eastAsia" w:ascii="宋体" w:hAnsi="宋体" w:eastAsia="宋体" w:cs="宋体"/>
          <w:color w:val="auto"/>
          <w:sz w:val="24"/>
        </w:rPr>
        <w:t>、</w:t>
      </w:r>
      <w:r>
        <w:rPr>
          <w:rFonts w:hint="eastAsia" w:ascii="宋体" w:hAnsi="宋体" w:eastAsia="宋体" w:cs="宋体"/>
          <w:color w:val="auto"/>
          <w:sz w:val="24"/>
          <w:lang w:eastAsia="zh-CN"/>
        </w:rPr>
        <w:t>浙江鼎欣工程项目管理有限公司</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9"/>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9"/>
        <w:rPr>
          <w:rFonts w:hint="eastAsia" w:ascii="宋体" w:hAnsi="宋体" w:eastAsia="宋体" w:cs="宋体"/>
          <w:b/>
          <w:color w:val="auto"/>
          <w:kern w:val="0"/>
          <w:sz w:val="36"/>
          <w:szCs w:val="36"/>
        </w:rPr>
      </w:pPr>
    </w:p>
    <w:p>
      <w:pPr>
        <w:numPr>
          <w:ilvl w:val="0"/>
          <w:numId w:val="3"/>
        </w:numPr>
        <w:snapToGrid w:val="0"/>
        <w:spacing w:line="360" w:lineRule="auto"/>
        <w:outlineLvl w:val="9"/>
        <w:rPr>
          <w:rFonts w:hint="eastAsia" w:ascii="宋体" w:hAnsi="宋体" w:eastAsia="宋体" w:cs="宋体"/>
          <w:color w:val="auto"/>
          <w:sz w:val="24"/>
        </w:rPr>
      </w:pPr>
      <w:r>
        <w:rPr>
          <w:rFonts w:hint="eastAsia" w:ascii="宋体" w:hAnsi="宋体" w:eastAsia="宋体" w:cs="宋体"/>
          <w:color w:val="auto"/>
          <w:sz w:val="24"/>
        </w:rPr>
        <w:t>开标一览表（报价表）………………………………………………………（页码）</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b w:val="0"/>
          <w:bCs/>
          <w:snapToGrid w:val="0"/>
          <w:color w:val="auto"/>
          <w:kern w:val="2"/>
          <w:sz w:val="24"/>
          <w:szCs w:val="24"/>
          <w:lang w:val="en-US" w:eastAsia="zh-CN" w:bidi="ar-SA"/>
        </w:rPr>
        <w:t>报价情况说明</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z w:val="24"/>
        </w:rPr>
        <w:t>（页码）</w:t>
      </w:r>
    </w:p>
    <w:p>
      <w:pPr>
        <w:pStyle w:val="80"/>
        <w:rPr>
          <w:rFonts w:hint="eastAsia" w:ascii="宋体" w:hAnsi="宋体" w:eastAsia="宋体" w:cs="宋体"/>
          <w:color w:val="auto"/>
        </w:rPr>
      </w:pPr>
    </w:p>
    <w:p>
      <w:pPr>
        <w:pStyle w:val="80"/>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8"/>
        <w:keepNext w:val="0"/>
        <w:pageBreakBefore w:val="0"/>
        <w:tabs>
          <w:tab w:val="clear" w:pos="720"/>
        </w:tabs>
        <w:snapToGrid w:val="0"/>
        <w:spacing w:before="120" w:after="120"/>
        <w:ind w:firstLine="643"/>
        <w:outlineLvl w:val="2"/>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杭州市西湖区市场监督管理局</w:t>
      </w:r>
      <w:r>
        <w:rPr>
          <w:rFonts w:hint="eastAsia" w:ascii="宋体" w:hAnsi="宋体" w:eastAsia="宋体" w:cs="宋体"/>
          <w:color w:val="auto"/>
          <w:sz w:val="24"/>
        </w:rPr>
        <w:t>、</w:t>
      </w:r>
      <w:r>
        <w:rPr>
          <w:rFonts w:hint="eastAsia" w:ascii="宋体" w:hAnsi="宋体" w:eastAsia="宋体" w:cs="宋体"/>
          <w:color w:val="auto"/>
          <w:sz w:val="24"/>
          <w:lang w:eastAsia="zh-CN"/>
        </w:rPr>
        <w:t>浙江鼎欣工程项目管理有限公司</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老旧电梯安全风险评估项目（灵隐街道、文新街道、古荡街道、转塘街道）（第三次）</w:t>
      </w:r>
      <w:r>
        <w:rPr>
          <w:rFonts w:hint="eastAsia" w:ascii="宋体" w:hAnsi="宋体" w:eastAsia="宋体" w:cs="宋体"/>
          <w:color w:val="auto"/>
          <w:kern w:val="0"/>
          <w:sz w:val="24"/>
          <w:lang w:val="zh-CN"/>
        </w:rPr>
        <w:t>【招标编号：</w:t>
      </w:r>
      <w:r>
        <w:rPr>
          <w:rFonts w:hint="eastAsia" w:ascii="宋体" w:hAnsi="宋体" w:cs="宋体"/>
          <w:color w:val="auto"/>
          <w:sz w:val="24"/>
          <w:lang w:eastAsia="zh-CN"/>
        </w:rPr>
        <w:t>DXGC-2024-XHSC-011-2</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99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2268" w:type="dxa"/>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2410"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268"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2126"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2127" w:type="dxa"/>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服务人数</w:t>
            </w:r>
          </w:p>
        </w:tc>
        <w:tc>
          <w:tcPr>
            <w:tcW w:w="2126" w:type="dxa"/>
            <w:vAlign w:val="center"/>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992"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268" w:type="dxa"/>
            <w:vAlign w:val="center"/>
          </w:tcPr>
          <w:p>
            <w:pPr>
              <w:snapToGrid w:val="0"/>
              <w:spacing w:line="360" w:lineRule="auto"/>
              <w:jc w:val="center"/>
              <w:rPr>
                <w:rFonts w:hint="eastAsia" w:ascii="宋体" w:hAnsi="宋体" w:eastAsia="宋体" w:cs="宋体"/>
                <w:color w:val="auto"/>
                <w:sz w:val="24"/>
              </w:rPr>
            </w:pPr>
          </w:p>
        </w:tc>
        <w:tc>
          <w:tcPr>
            <w:tcW w:w="2410" w:type="dxa"/>
            <w:vAlign w:val="center"/>
          </w:tcPr>
          <w:p>
            <w:pPr>
              <w:snapToGrid w:val="0"/>
              <w:spacing w:line="360" w:lineRule="auto"/>
              <w:jc w:val="center"/>
              <w:rPr>
                <w:rFonts w:hint="eastAsia" w:ascii="宋体" w:hAnsi="宋体" w:eastAsia="宋体" w:cs="宋体"/>
                <w:color w:val="auto"/>
                <w:sz w:val="24"/>
              </w:rPr>
            </w:pPr>
          </w:p>
        </w:tc>
        <w:tc>
          <w:tcPr>
            <w:tcW w:w="2268" w:type="dxa"/>
            <w:vAlign w:val="center"/>
          </w:tcPr>
          <w:p>
            <w:pPr>
              <w:snapToGrid w:val="0"/>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c>
          <w:tcPr>
            <w:tcW w:w="2127" w:type="dxa"/>
          </w:tcPr>
          <w:p>
            <w:pPr>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992"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268" w:type="dxa"/>
            <w:vAlign w:val="center"/>
          </w:tcPr>
          <w:p>
            <w:pPr>
              <w:snapToGrid w:val="0"/>
              <w:spacing w:line="360" w:lineRule="auto"/>
              <w:jc w:val="center"/>
              <w:rPr>
                <w:rFonts w:hint="eastAsia" w:ascii="宋体" w:hAnsi="宋体" w:eastAsia="宋体" w:cs="宋体"/>
                <w:color w:val="auto"/>
                <w:sz w:val="24"/>
              </w:rPr>
            </w:pPr>
          </w:p>
        </w:tc>
        <w:tc>
          <w:tcPr>
            <w:tcW w:w="2410" w:type="dxa"/>
            <w:vAlign w:val="center"/>
          </w:tcPr>
          <w:p>
            <w:pPr>
              <w:snapToGrid w:val="0"/>
              <w:spacing w:line="360" w:lineRule="auto"/>
              <w:jc w:val="center"/>
              <w:rPr>
                <w:rFonts w:hint="eastAsia" w:ascii="宋体" w:hAnsi="宋体" w:eastAsia="宋体" w:cs="宋体"/>
                <w:color w:val="auto"/>
                <w:sz w:val="24"/>
              </w:rPr>
            </w:pPr>
          </w:p>
        </w:tc>
        <w:tc>
          <w:tcPr>
            <w:tcW w:w="2268" w:type="dxa"/>
            <w:vAlign w:val="center"/>
          </w:tcPr>
          <w:p>
            <w:pPr>
              <w:snapToGrid w:val="0"/>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c>
          <w:tcPr>
            <w:tcW w:w="2127" w:type="dxa"/>
          </w:tcPr>
          <w:p>
            <w:pPr>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992" w:type="dxa"/>
            <w:vAlign w:val="center"/>
          </w:tcPr>
          <w:p>
            <w:pPr>
              <w:snapToGrid w:val="0"/>
              <w:spacing w:line="360" w:lineRule="auto"/>
              <w:jc w:val="center"/>
              <w:rPr>
                <w:rFonts w:hint="eastAsia" w:ascii="宋体" w:hAnsi="宋体" w:eastAsia="宋体" w:cs="宋体"/>
                <w:color w:val="auto"/>
                <w:sz w:val="24"/>
              </w:rPr>
            </w:pPr>
          </w:p>
        </w:tc>
        <w:tc>
          <w:tcPr>
            <w:tcW w:w="2268" w:type="dxa"/>
            <w:vAlign w:val="center"/>
          </w:tcPr>
          <w:p>
            <w:pPr>
              <w:snapToGrid w:val="0"/>
              <w:spacing w:line="360" w:lineRule="auto"/>
              <w:jc w:val="center"/>
              <w:rPr>
                <w:rFonts w:hint="eastAsia" w:ascii="宋体" w:hAnsi="宋体" w:eastAsia="宋体" w:cs="宋体"/>
                <w:color w:val="auto"/>
                <w:sz w:val="24"/>
              </w:rPr>
            </w:pPr>
          </w:p>
        </w:tc>
        <w:tc>
          <w:tcPr>
            <w:tcW w:w="2410" w:type="dxa"/>
            <w:vAlign w:val="center"/>
          </w:tcPr>
          <w:p>
            <w:pPr>
              <w:snapToGrid w:val="0"/>
              <w:spacing w:line="360" w:lineRule="auto"/>
              <w:jc w:val="center"/>
              <w:rPr>
                <w:rFonts w:hint="eastAsia" w:ascii="宋体" w:hAnsi="宋体" w:eastAsia="宋体" w:cs="宋体"/>
                <w:color w:val="auto"/>
                <w:sz w:val="24"/>
              </w:rPr>
            </w:pPr>
          </w:p>
        </w:tc>
        <w:tc>
          <w:tcPr>
            <w:tcW w:w="2268" w:type="dxa"/>
            <w:vAlign w:val="center"/>
          </w:tcPr>
          <w:p>
            <w:pPr>
              <w:snapToGrid w:val="0"/>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c>
          <w:tcPr>
            <w:tcW w:w="2127" w:type="dxa"/>
          </w:tcPr>
          <w:p>
            <w:pPr>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rPr>
            </w:pPr>
          </w:p>
        </w:tc>
        <w:tc>
          <w:tcPr>
            <w:tcW w:w="992" w:type="dxa"/>
            <w:vAlign w:val="center"/>
          </w:tcPr>
          <w:p>
            <w:pPr>
              <w:snapToGrid w:val="0"/>
              <w:spacing w:line="360" w:lineRule="auto"/>
              <w:jc w:val="center"/>
              <w:rPr>
                <w:rFonts w:hint="eastAsia" w:ascii="宋体" w:hAnsi="宋体" w:eastAsia="宋体" w:cs="宋体"/>
                <w:color w:val="auto"/>
                <w:sz w:val="24"/>
              </w:rPr>
            </w:pPr>
          </w:p>
        </w:tc>
        <w:tc>
          <w:tcPr>
            <w:tcW w:w="2268" w:type="dxa"/>
            <w:vAlign w:val="center"/>
          </w:tcPr>
          <w:p>
            <w:pPr>
              <w:snapToGrid w:val="0"/>
              <w:spacing w:line="360" w:lineRule="auto"/>
              <w:jc w:val="center"/>
              <w:rPr>
                <w:rFonts w:hint="eastAsia" w:ascii="宋体" w:hAnsi="宋体" w:eastAsia="宋体" w:cs="宋体"/>
                <w:color w:val="auto"/>
                <w:sz w:val="24"/>
              </w:rPr>
            </w:pPr>
          </w:p>
        </w:tc>
        <w:tc>
          <w:tcPr>
            <w:tcW w:w="2410" w:type="dxa"/>
            <w:vAlign w:val="center"/>
          </w:tcPr>
          <w:p>
            <w:pPr>
              <w:snapToGrid w:val="0"/>
              <w:spacing w:line="360" w:lineRule="auto"/>
              <w:jc w:val="center"/>
              <w:rPr>
                <w:rFonts w:hint="eastAsia" w:ascii="宋体" w:hAnsi="宋体" w:eastAsia="宋体" w:cs="宋体"/>
                <w:color w:val="auto"/>
                <w:sz w:val="24"/>
              </w:rPr>
            </w:pPr>
          </w:p>
        </w:tc>
        <w:tc>
          <w:tcPr>
            <w:tcW w:w="2268" w:type="dxa"/>
            <w:vAlign w:val="center"/>
          </w:tcPr>
          <w:p>
            <w:pPr>
              <w:snapToGrid w:val="0"/>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c>
          <w:tcPr>
            <w:tcW w:w="2127" w:type="dxa"/>
          </w:tcPr>
          <w:p>
            <w:pPr>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rPr>
            </w:pPr>
          </w:p>
        </w:tc>
        <w:tc>
          <w:tcPr>
            <w:tcW w:w="992" w:type="dxa"/>
            <w:vAlign w:val="center"/>
          </w:tcPr>
          <w:p>
            <w:pPr>
              <w:snapToGrid w:val="0"/>
              <w:spacing w:line="360" w:lineRule="auto"/>
              <w:jc w:val="center"/>
              <w:rPr>
                <w:rFonts w:hint="eastAsia" w:ascii="宋体" w:hAnsi="宋体" w:eastAsia="宋体" w:cs="宋体"/>
                <w:color w:val="auto"/>
                <w:sz w:val="24"/>
              </w:rPr>
            </w:pPr>
          </w:p>
        </w:tc>
        <w:tc>
          <w:tcPr>
            <w:tcW w:w="2268" w:type="dxa"/>
            <w:vAlign w:val="center"/>
          </w:tcPr>
          <w:p>
            <w:pPr>
              <w:snapToGrid w:val="0"/>
              <w:spacing w:line="360" w:lineRule="auto"/>
              <w:jc w:val="center"/>
              <w:rPr>
                <w:rFonts w:hint="eastAsia" w:ascii="宋体" w:hAnsi="宋体" w:eastAsia="宋体" w:cs="宋体"/>
                <w:color w:val="auto"/>
                <w:sz w:val="24"/>
              </w:rPr>
            </w:pPr>
          </w:p>
        </w:tc>
        <w:tc>
          <w:tcPr>
            <w:tcW w:w="2410" w:type="dxa"/>
            <w:vAlign w:val="center"/>
          </w:tcPr>
          <w:p>
            <w:pPr>
              <w:snapToGrid w:val="0"/>
              <w:spacing w:line="360" w:lineRule="auto"/>
              <w:jc w:val="center"/>
              <w:rPr>
                <w:rFonts w:hint="eastAsia" w:ascii="宋体" w:hAnsi="宋体" w:eastAsia="宋体" w:cs="宋体"/>
                <w:color w:val="auto"/>
                <w:sz w:val="24"/>
              </w:rPr>
            </w:pPr>
          </w:p>
        </w:tc>
        <w:tc>
          <w:tcPr>
            <w:tcW w:w="2268" w:type="dxa"/>
            <w:vAlign w:val="center"/>
          </w:tcPr>
          <w:p>
            <w:pPr>
              <w:snapToGrid w:val="0"/>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c>
          <w:tcPr>
            <w:tcW w:w="2127" w:type="dxa"/>
          </w:tcPr>
          <w:p>
            <w:pPr>
              <w:spacing w:line="360" w:lineRule="auto"/>
              <w:jc w:val="center"/>
              <w:rPr>
                <w:rFonts w:hint="eastAsia" w:ascii="宋体" w:hAnsi="宋体" w:eastAsia="宋体" w:cs="宋体"/>
                <w:color w:val="auto"/>
                <w:sz w:val="24"/>
              </w:rPr>
            </w:pPr>
          </w:p>
        </w:tc>
        <w:tc>
          <w:tcPr>
            <w:tcW w:w="2126"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8647" w:type="dxa"/>
            <w:gridSpan w:val="4"/>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8647" w:type="dxa"/>
            <w:gridSpan w:val="4"/>
          </w:tcPr>
          <w:p>
            <w:pPr>
              <w:spacing w:line="360" w:lineRule="auto"/>
              <w:jc w:val="center"/>
              <w:rPr>
                <w:rFonts w:hint="eastAsia" w:ascii="宋体" w:hAnsi="宋体" w:eastAsia="宋体" w:cs="宋体"/>
                <w:color w:val="auto"/>
                <w:sz w:val="24"/>
              </w:rPr>
            </w:pPr>
          </w:p>
        </w:tc>
      </w:tr>
    </w:tbl>
    <w:p>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sz w:val="24"/>
          <w:lang w:eastAsia="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8"/>
        <w:keepNext w:val="0"/>
        <w:pageBreakBefore/>
        <w:numPr>
          <w:ilvl w:val="0"/>
          <w:numId w:val="4"/>
        </w:numPr>
        <w:tabs>
          <w:tab w:val="clear" w:pos="720"/>
        </w:tabs>
        <w:snapToGrid w:val="0"/>
        <w:spacing w:before="120" w:after="120"/>
        <w:ind w:firstLine="643"/>
        <w:outlineLvl w:val="2"/>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4"/>
        <w:keepNext w:val="0"/>
        <w:pageBreakBefore w:val="0"/>
        <w:numPr>
          <w:ilvl w:val="-1"/>
          <w:numId w:val="0"/>
        </w:numPr>
        <w:snapToGrid w:val="0"/>
        <w:spacing w:before="120" w:after="120"/>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8"/>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pPr>
        <w:spacing w:line="360" w:lineRule="auto"/>
        <w:outlineLvl w:val="1"/>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附件1：残疾人福利性单位声明函</w:t>
      </w:r>
    </w:p>
    <w:p>
      <w:pPr>
        <w:spacing w:line="360" w:lineRule="auto"/>
        <w:jc w:val="center"/>
        <w:rPr>
          <w:rFonts w:hint="eastAsia" w:ascii="宋体" w:hAnsi="宋体" w:eastAsia="宋体" w:cs="宋体"/>
          <w:b/>
          <w:color w:val="auto"/>
          <w:spacing w:val="6"/>
          <w:sz w:val="32"/>
          <w:szCs w:val="32"/>
        </w:rPr>
      </w:pPr>
      <w:bookmarkStart w:id="509" w:name="OLE_LINK14"/>
      <w:bookmarkStart w:id="510" w:name="OLE_LINK13"/>
      <w:r>
        <w:rPr>
          <w:rFonts w:hint="eastAsia" w:ascii="宋体" w:hAnsi="宋体" w:eastAsia="宋体" w:cs="宋体"/>
          <w:b/>
          <w:color w:val="auto"/>
          <w:spacing w:val="6"/>
          <w:sz w:val="32"/>
          <w:szCs w:val="32"/>
        </w:rPr>
        <w:t>残疾人福利性单位声明函</w:t>
      </w:r>
    </w:p>
    <w:bookmarkEnd w:id="509"/>
    <w:bookmarkEnd w:id="510"/>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lang w:eastAsia="zh-CN"/>
        </w:rPr>
        <w:t>杭州市西湖区市场监督管理局</w:t>
      </w:r>
      <w:r>
        <w:rPr>
          <w:rFonts w:hint="eastAsia" w:ascii="宋体" w:hAnsi="宋体" w:eastAsia="宋体" w:cs="宋体"/>
          <w:color w:val="auto"/>
          <w:sz w:val="24"/>
        </w:rPr>
        <w:t>单位的</w:t>
      </w:r>
      <w:r>
        <w:rPr>
          <w:rFonts w:hint="eastAsia" w:ascii="宋体" w:hAnsi="宋体" w:cs="宋体"/>
          <w:color w:val="auto"/>
          <w:sz w:val="24"/>
          <w:u w:val="single"/>
          <w:lang w:eastAsia="zh-CN"/>
        </w:rPr>
        <w:t>老旧电梯安全风险评估项目（灵隐街道、文新街道、古荡街道、转塘街道）（第三次）</w:t>
      </w:r>
      <w:r>
        <w:rPr>
          <w:rFonts w:hint="eastAsia" w:ascii="宋体" w:hAnsi="宋体" w:eastAsia="宋体" w:cs="宋体"/>
          <w:color w:val="auto"/>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outlineLvl w:val="1"/>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w:t>
      </w:r>
      <w:r>
        <w:rPr>
          <w:rFonts w:hint="eastAsia" w:ascii="宋体" w:hAnsi="宋体" w:eastAsia="宋体" w:cs="宋体"/>
          <w:color w:val="auto"/>
          <w:sz w:val="24"/>
          <w:lang w:eastAsia="zh-CN"/>
        </w:rPr>
        <w:t>（</w:t>
      </w:r>
      <w:r>
        <w:rPr>
          <w:rFonts w:hint="eastAsia" w:ascii="宋体" w:hAnsi="宋体" w:eastAsia="宋体" w:cs="宋体"/>
          <w:color w:val="auto"/>
          <w:sz w:val="24"/>
        </w:rPr>
        <w:t>签章</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outlineLvl w:val="1"/>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lang w:eastAsia="zh-CN"/>
        </w:rPr>
        <w:t>：</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lang w:eastAsia="zh-CN"/>
        </w:rPr>
        <w:t>：</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w:t>
      </w:r>
      <w:r>
        <w:rPr>
          <w:rFonts w:hint="eastAsia" w:ascii="宋体" w:hAnsi="宋体" w:eastAsia="宋体" w:cs="宋体"/>
          <w:color w:val="auto"/>
          <w:sz w:val="24"/>
          <w:lang w:eastAsia="zh-CN"/>
        </w:rPr>
        <w:t>，</w:t>
      </w:r>
      <w:r>
        <w:rPr>
          <w:rFonts w:hint="eastAsia" w:ascii="宋体" w:hAnsi="宋体" w:eastAsia="宋体" w:cs="宋体"/>
          <w:color w:val="auto"/>
          <w:sz w:val="24"/>
        </w:rPr>
        <w:t>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w:t>
      </w:r>
      <w:r>
        <w:rPr>
          <w:rFonts w:hint="eastAsia" w:ascii="宋体" w:hAnsi="宋体" w:eastAsia="宋体" w:cs="宋体"/>
          <w:color w:val="auto"/>
          <w:sz w:val="24"/>
          <w:lang w:eastAsia="zh-CN"/>
        </w:rPr>
        <w:t>，</w:t>
      </w:r>
      <w:r>
        <w:rPr>
          <w:rFonts w:hint="eastAsia" w:ascii="宋体" w:hAnsi="宋体" w:eastAsia="宋体" w:cs="宋体"/>
          <w:color w:val="auto"/>
          <w:sz w:val="24"/>
        </w:rPr>
        <w:t>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w:t>
      </w:r>
      <w:r>
        <w:rPr>
          <w:rFonts w:hint="eastAsia" w:ascii="宋体" w:hAnsi="宋体" w:eastAsia="宋体" w:cs="宋体"/>
          <w:color w:val="auto"/>
          <w:sz w:val="24"/>
          <w:lang w:eastAsia="zh-CN"/>
        </w:rPr>
        <w:t>（</w:t>
      </w:r>
      <w:r>
        <w:rPr>
          <w:rFonts w:hint="eastAsia" w:ascii="宋体" w:hAnsi="宋体" w:eastAsia="宋体" w:cs="宋体"/>
          <w:color w:val="auto"/>
          <w:sz w:val="24"/>
        </w:rPr>
        <w:t>签章</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outlineLvl w:val="1"/>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lang w:eastAsia="zh-CN"/>
        </w:rPr>
        <w:t>杭州市西湖区市场监督管理局</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浙江鼎欣工程项目管理有限公司</w:t>
      </w:r>
      <w:r>
        <w:rPr>
          <w:rFonts w:hint="eastAsia" w:ascii="宋体" w:hAnsi="宋体" w:eastAsia="宋体" w:cs="宋体"/>
          <w:color w:val="auto"/>
          <w:sz w:val="24"/>
          <w:u w:val="single"/>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w:t>
      </w:r>
      <w:r>
        <w:rPr>
          <w:rFonts w:hint="eastAsia" w:ascii="宋体" w:hAnsi="宋体" w:eastAsia="宋体" w:cs="宋体"/>
          <w:color w:val="auto"/>
          <w:sz w:val="24"/>
          <w:lang w:eastAsia="zh-CN"/>
        </w:rPr>
        <w:t>）</w:t>
      </w:r>
      <w:r>
        <w:rPr>
          <w:rFonts w:hint="eastAsia" w:ascii="宋体" w:hAnsi="宋体" w:eastAsia="宋体" w:cs="宋体"/>
          <w:color w:val="auto"/>
          <w:sz w:val="24"/>
        </w:rPr>
        <w:t>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cs="宋体"/>
          <w:color w:val="auto"/>
          <w:sz w:val="24"/>
          <w:lang w:eastAsia="zh-CN"/>
        </w:rPr>
        <w:t>老旧电梯安全风险评估项目（灵隐街道、文新街道、古荡街道、转塘街道）（第三次）</w:t>
      </w:r>
      <w:r>
        <w:rPr>
          <w:rFonts w:hint="eastAsia" w:ascii="宋体" w:hAnsi="宋体" w:eastAsia="宋体" w:cs="宋体"/>
          <w:color w:val="auto"/>
          <w:sz w:val="24"/>
        </w:rPr>
        <w:t>【招标编号：</w:t>
      </w:r>
      <w:r>
        <w:rPr>
          <w:rFonts w:hint="eastAsia" w:ascii="宋体" w:hAnsi="宋体" w:cs="宋体"/>
          <w:color w:val="auto"/>
          <w:sz w:val="24"/>
          <w:lang w:eastAsia="zh-CN"/>
        </w:rPr>
        <w:t>DXGC-2024-XHSC-011-2</w:t>
      </w:r>
      <w:r>
        <w:rPr>
          <w:rFonts w:hint="eastAsia" w:ascii="宋体" w:hAnsi="宋体" w:eastAsia="宋体" w:cs="宋体"/>
          <w:color w:val="auto"/>
          <w:sz w:val="24"/>
        </w:rPr>
        <w:t>】</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auto"/>
          <w:sz w:val="24"/>
        </w:rPr>
      </w:pPr>
      <w:r>
        <w:rPr>
          <w:rFonts w:hint="eastAsia" w:ascii="宋体" w:hAnsi="宋体" w:eastAsia="宋体" w:cs="宋体"/>
          <w:b/>
          <w:bCs/>
          <w:color w:val="auto"/>
          <w:sz w:val="24"/>
        </w:rPr>
        <w:t>附：</w:t>
      </w:r>
    </w:p>
    <w:p>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autoSpaceDN/>
        <w:jc w:val="left"/>
        <w:outlineLvl w:val="9"/>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pPr>
        <w:autoSpaceDE w:val="0"/>
        <w:autoSpaceDN w:val="0"/>
        <w:jc w:val="center"/>
        <w:outlineLvl w:val="1"/>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cs="宋体"/>
          <w:color w:val="auto"/>
          <w:sz w:val="24"/>
          <w:lang w:eastAsia="zh-CN"/>
        </w:rPr>
        <w:t>老旧电梯安全风险评估项目（灵隐街道、文新街道、古荡街道、转塘街道）（第三次）</w:t>
      </w:r>
      <w:r>
        <w:rPr>
          <w:rFonts w:hint="eastAsia" w:ascii="宋体" w:hAnsi="宋体" w:eastAsia="宋体" w:cs="宋体"/>
          <w:color w:val="auto"/>
          <w:sz w:val="24"/>
        </w:rPr>
        <w:t>【招标编号：</w:t>
      </w:r>
      <w:r>
        <w:rPr>
          <w:rFonts w:hint="eastAsia" w:ascii="宋体" w:hAnsi="宋体" w:cs="宋体"/>
          <w:color w:val="auto"/>
          <w:sz w:val="24"/>
          <w:lang w:eastAsia="zh-CN"/>
        </w:rPr>
        <w:t>DXGC-2024-XHSC-011-2</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w:t>
      </w:r>
      <w:bookmarkStart w:id="511" w:name="_Hlk101131882"/>
      <w:r>
        <w:rPr>
          <w:rFonts w:hint="eastAsia" w:ascii="宋体" w:hAnsi="宋体" w:eastAsia="宋体" w:cs="宋体"/>
          <w:color w:val="auto"/>
          <w:kern w:val="0"/>
          <w:sz w:val="24"/>
          <w:u w:val="single"/>
        </w:rPr>
        <w:t>联合体成员X,……</w:t>
      </w:r>
      <w:bookmarkEnd w:id="511"/>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w:t>
      </w:r>
      <w:bookmarkStart w:id="512" w:name="_Hlk101133598"/>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bookmarkEnd w:id="512"/>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513"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bookmarkEnd w:id="513"/>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napToGrid w:val="0"/>
        <w:spacing w:line="360" w:lineRule="auto"/>
        <w:ind w:firstLine="3666" w:firstLineChars="1100"/>
        <w:rPr>
          <w:rFonts w:hint="eastAsia" w:ascii="宋体" w:hAnsi="宋体" w:eastAsia="宋体" w:cs="宋体"/>
          <w:b/>
          <w:color w:val="auto"/>
          <w:spacing w:val="6"/>
          <w:sz w:val="32"/>
          <w:szCs w:val="32"/>
        </w:rPr>
      </w:pPr>
    </w:p>
    <w:p>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pPr>
        <w:snapToGrid w:val="0"/>
        <w:spacing w:line="360" w:lineRule="auto"/>
        <w:ind w:firstLine="0" w:firstLineChars="0"/>
        <w:jc w:val="center"/>
        <w:outlineLvl w:val="1"/>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cs="宋体"/>
          <w:color w:val="auto"/>
          <w:sz w:val="24"/>
          <w:lang w:eastAsia="zh-CN"/>
        </w:rPr>
        <w:t>老旧电梯安全风险评估项目（灵隐街道、文新街道、古荡街道、转塘街道）（第三次）</w:t>
      </w:r>
      <w:r>
        <w:rPr>
          <w:rFonts w:hint="eastAsia" w:ascii="宋体" w:hAnsi="宋体" w:eastAsia="宋体" w:cs="宋体"/>
          <w:color w:val="auto"/>
          <w:sz w:val="24"/>
        </w:rPr>
        <w:t>【招标编号：</w:t>
      </w:r>
      <w:r>
        <w:rPr>
          <w:rFonts w:hint="eastAsia" w:ascii="宋体" w:hAnsi="宋体" w:cs="宋体"/>
          <w:color w:val="auto"/>
          <w:sz w:val="24"/>
          <w:lang w:eastAsia="zh-CN"/>
        </w:rPr>
        <w:t>DXGC-2024-XHSC-011-2</w:t>
      </w:r>
      <w:r>
        <w:rPr>
          <w:rFonts w:hint="eastAsia" w:ascii="宋体" w:hAnsi="宋体" w:eastAsia="宋体" w:cs="宋体"/>
          <w:color w:val="auto"/>
          <w:sz w:val="24"/>
        </w:rPr>
        <w:t>】</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kern w:val="0"/>
          <w:sz w:val="24"/>
          <w:lang w:val="zh-CN"/>
        </w:rPr>
        <w:t>三、分包工作履行期限、地点、方式</w:t>
      </w: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r>
        <w:rPr>
          <w:rFonts w:hint="eastAsia" w:ascii="宋体" w:hAnsi="宋体" w:eastAsia="宋体" w:cs="宋体"/>
          <w:color w:val="auto"/>
          <w:u w:val="single"/>
        </w:rPr>
        <w:t xml:space="preserve">                                                                              </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left"/>
        <w:outlineLvl w:val="1"/>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lang w:eastAsia="zh-CN"/>
        </w:rPr>
        <w:t>杭州市西湖区市场监督管理局</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老旧电梯安全风险评估项目（灵隐街道、文新街道、古荡街道、转塘街道）（第三次）</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 xml:space="preserve">；承接企业为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pPr>
        <w:spacing w:line="360" w:lineRule="auto"/>
        <w:ind w:right="1120" w:firstLine="4680" w:firstLineChars="195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outlineLvl w:val="9"/>
        <w:rPr>
          <w:rFonts w:hint="eastAsia" w:ascii="宋体" w:hAnsi="宋体" w:eastAsia="宋体" w:cs="宋体"/>
          <w:color w:val="auto"/>
          <w:lang w:val="en-US"/>
        </w:rPr>
      </w:pPr>
    </w:p>
    <w:p>
      <w:pPr>
        <w:spacing w:line="360" w:lineRule="auto"/>
        <w:ind w:right="420"/>
        <w:rPr>
          <w:rFonts w:hint="eastAsia" w:ascii="宋体" w:hAnsi="宋体" w:eastAsia="宋体" w:cs="宋体"/>
          <w:color w:val="auto"/>
        </w:rPr>
      </w:pPr>
    </w:p>
    <w:p>
      <w:pPr>
        <w:spacing w:line="360" w:lineRule="auto"/>
        <w:rPr>
          <w:rFonts w:hint="eastAsia" w:ascii="宋体" w:hAnsi="宋体" w:eastAsia="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31845147"/>
    <w:bookmarkStart w:id="515" w:name="_Toc164085800"/>
    <w:bookmarkStart w:id="516" w:name="_Toc91899912"/>
    <w:bookmarkStart w:id="517" w:name="_Toc3611018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2333C86"/>
    <w:multiLevelType w:val="multilevel"/>
    <w:tmpl w:val="52333C86"/>
    <w:lvl w:ilvl="0" w:tentative="0">
      <w:start w:val="1"/>
      <w:numFmt w:val="decimal"/>
      <w:lvlText w:val="%1"/>
      <w:lvlJc w:val="center"/>
      <w:pPr>
        <w:ind w:left="72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A20320"/>
    <w:multiLevelType w:val="singleLevel"/>
    <w:tmpl w:val="60A20320"/>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GI0MDBkMzgxZTY1OGUzOWI2MWE3MWZmNDVhY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F0F02"/>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942BA"/>
    <w:rsid w:val="04AA775C"/>
    <w:rsid w:val="04AB5E39"/>
    <w:rsid w:val="04AF1889"/>
    <w:rsid w:val="04EB6681"/>
    <w:rsid w:val="04F66F48"/>
    <w:rsid w:val="05062595"/>
    <w:rsid w:val="05251E14"/>
    <w:rsid w:val="056D52E8"/>
    <w:rsid w:val="05A16594"/>
    <w:rsid w:val="05A7762D"/>
    <w:rsid w:val="060E5941"/>
    <w:rsid w:val="06110FAF"/>
    <w:rsid w:val="06493CA7"/>
    <w:rsid w:val="065A6178"/>
    <w:rsid w:val="066F1CF3"/>
    <w:rsid w:val="06930BB8"/>
    <w:rsid w:val="07245D42"/>
    <w:rsid w:val="07264C62"/>
    <w:rsid w:val="0779354C"/>
    <w:rsid w:val="07D96E7D"/>
    <w:rsid w:val="08061376"/>
    <w:rsid w:val="08452D77"/>
    <w:rsid w:val="086401F8"/>
    <w:rsid w:val="08751CAA"/>
    <w:rsid w:val="087E4C40"/>
    <w:rsid w:val="08A871D0"/>
    <w:rsid w:val="08B74D7D"/>
    <w:rsid w:val="08D66AD6"/>
    <w:rsid w:val="08DA33A3"/>
    <w:rsid w:val="08E80F13"/>
    <w:rsid w:val="09335624"/>
    <w:rsid w:val="0944690F"/>
    <w:rsid w:val="09535675"/>
    <w:rsid w:val="095F057D"/>
    <w:rsid w:val="09642282"/>
    <w:rsid w:val="09733572"/>
    <w:rsid w:val="09772C16"/>
    <w:rsid w:val="09815FC1"/>
    <w:rsid w:val="098353B5"/>
    <w:rsid w:val="09A92330"/>
    <w:rsid w:val="09B06B87"/>
    <w:rsid w:val="09C13146"/>
    <w:rsid w:val="09E04166"/>
    <w:rsid w:val="0A1C0718"/>
    <w:rsid w:val="0A3E7710"/>
    <w:rsid w:val="0A4E70E3"/>
    <w:rsid w:val="0A5808D7"/>
    <w:rsid w:val="0A5B7E63"/>
    <w:rsid w:val="0AA374A5"/>
    <w:rsid w:val="0AAB7649"/>
    <w:rsid w:val="0ABC5606"/>
    <w:rsid w:val="0AEC4F0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F738C"/>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84501"/>
    <w:rsid w:val="13072A44"/>
    <w:rsid w:val="134A6C68"/>
    <w:rsid w:val="135F4BE2"/>
    <w:rsid w:val="139B1A0A"/>
    <w:rsid w:val="139D25C7"/>
    <w:rsid w:val="13BF3CE4"/>
    <w:rsid w:val="141008D8"/>
    <w:rsid w:val="14125FE6"/>
    <w:rsid w:val="14275A16"/>
    <w:rsid w:val="14382F65"/>
    <w:rsid w:val="146D271E"/>
    <w:rsid w:val="14982588"/>
    <w:rsid w:val="149A5AD9"/>
    <w:rsid w:val="149E18B8"/>
    <w:rsid w:val="14A7619D"/>
    <w:rsid w:val="150536C3"/>
    <w:rsid w:val="150C1963"/>
    <w:rsid w:val="151447A0"/>
    <w:rsid w:val="154A6454"/>
    <w:rsid w:val="15762120"/>
    <w:rsid w:val="16A8729C"/>
    <w:rsid w:val="16B33777"/>
    <w:rsid w:val="16BC70A7"/>
    <w:rsid w:val="16C6339E"/>
    <w:rsid w:val="172F2D79"/>
    <w:rsid w:val="17557BEF"/>
    <w:rsid w:val="1776002C"/>
    <w:rsid w:val="17B9260F"/>
    <w:rsid w:val="17D349C1"/>
    <w:rsid w:val="1830729E"/>
    <w:rsid w:val="186C1404"/>
    <w:rsid w:val="1870062C"/>
    <w:rsid w:val="18817102"/>
    <w:rsid w:val="18830A15"/>
    <w:rsid w:val="18852B28"/>
    <w:rsid w:val="188B5321"/>
    <w:rsid w:val="19932372"/>
    <w:rsid w:val="19A20DD5"/>
    <w:rsid w:val="19AE03F1"/>
    <w:rsid w:val="19E13B0F"/>
    <w:rsid w:val="1A071A03"/>
    <w:rsid w:val="1A1F16AE"/>
    <w:rsid w:val="1A3B5C77"/>
    <w:rsid w:val="1A454F8C"/>
    <w:rsid w:val="1A984BAD"/>
    <w:rsid w:val="1AB8220E"/>
    <w:rsid w:val="1AE4166C"/>
    <w:rsid w:val="1AF06CFB"/>
    <w:rsid w:val="1AF11B8D"/>
    <w:rsid w:val="1B11359C"/>
    <w:rsid w:val="1B2A271F"/>
    <w:rsid w:val="1B530544"/>
    <w:rsid w:val="1B713184"/>
    <w:rsid w:val="1BA209CF"/>
    <w:rsid w:val="1BAE12D7"/>
    <w:rsid w:val="1BB4777D"/>
    <w:rsid w:val="1BCE5A82"/>
    <w:rsid w:val="1BD75AB8"/>
    <w:rsid w:val="1C0459C2"/>
    <w:rsid w:val="1C1B3B4A"/>
    <w:rsid w:val="1C88086E"/>
    <w:rsid w:val="1D0B55A0"/>
    <w:rsid w:val="1D266CE1"/>
    <w:rsid w:val="1D3963AF"/>
    <w:rsid w:val="1D6A673C"/>
    <w:rsid w:val="1D886A66"/>
    <w:rsid w:val="1D9247AE"/>
    <w:rsid w:val="1DB567EC"/>
    <w:rsid w:val="1DEF0B38"/>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5A3FB6"/>
    <w:rsid w:val="206F5F60"/>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DE7685"/>
    <w:rsid w:val="23E95BEF"/>
    <w:rsid w:val="23FD0064"/>
    <w:rsid w:val="245375B0"/>
    <w:rsid w:val="24642C0A"/>
    <w:rsid w:val="24B22173"/>
    <w:rsid w:val="24B95AD9"/>
    <w:rsid w:val="24BE24DA"/>
    <w:rsid w:val="24CF5825"/>
    <w:rsid w:val="24D663E6"/>
    <w:rsid w:val="24D77F2B"/>
    <w:rsid w:val="24E2341B"/>
    <w:rsid w:val="25445C0D"/>
    <w:rsid w:val="25572738"/>
    <w:rsid w:val="258B00E2"/>
    <w:rsid w:val="25A917A6"/>
    <w:rsid w:val="25BC7142"/>
    <w:rsid w:val="25BE27CC"/>
    <w:rsid w:val="25F74A5C"/>
    <w:rsid w:val="25FF1B34"/>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E811E1"/>
    <w:rsid w:val="2C09049E"/>
    <w:rsid w:val="2C0A653C"/>
    <w:rsid w:val="2C191F85"/>
    <w:rsid w:val="2CE82D6F"/>
    <w:rsid w:val="2D343236"/>
    <w:rsid w:val="2DD15014"/>
    <w:rsid w:val="2DF72DE4"/>
    <w:rsid w:val="2E0220AF"/>
    <w:rsid w:val="2E1746F9"/>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B81BE5"/>
    <w:rsid w:val="31E3679B"/>
    <w:rsid w:val="31E732FD"/>
    <w:rsid w:val="323A4620"/>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058DB"/>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1D02E1"/>
    <w:rsid w:val="3B2349B7"/>
    <w:rsid w:val="3B616CFF"/>
    <w:rsid w:val="3B6259F6"/>
    <w:rsid w:val="3B976654"/>
    <w:rsid w:val="3B9B172A"/>
    <w:rsid w:val="3BC01EFC"/>
    <w:rsid w:val="3BCA786A"/>
    <w:rsid w:val="3BD31E2F"/>
    <w:rsid w:val="3BF15831"/>
    <w:rsid w:val="3C105946"/>
    <w:rsid w:val="3C2459F9"/>
    <w:rsid w:val="3C471448"/>
    <w:rsid w:val="3C5F759A"/>
    <w:rsid w:val="3C6C525A"/>
    <w:rsid w:val="3CCE23CB"/>
    <w:rsid w:val="3CD17D17"/>
    <w:rsid w:val="3D384D4F"/>
    <w:rsid w:val="3D3C7F39"/>
    <w:rsid w:val="3D440F09"/>
    <w:rsid w:val="3D4504A0"/>
    <w:rsid w:val="3D8734BB"/>
    <w:rsid w:val="3D9A11D4"/>
    <w:rsid w:val="3DA16D89"/>
    <w:rsid w:val="3DA364BE"/>
    <w:rsid w:val="3DE041CB"/>
    <w:rsid w:val="3E0D48F6"/>
    <w:rsid w:val="3E1868B4"/>
    <w:rsid w:val="3E377251"/>
    <w:rsid w:val="3E42664B"/>
    <w:rsid w:val="3E5A7334"/>
    <w:rsid w:val="3E5B4DBF"/>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DE6ED9"/>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0661BB"/>
    <w:rsid w:val="451B225C"/>
    <w:rsid w:val="452410C9"/>
    <w:rsid w:val="45317DFB"/>
    <w:rsid w:val="456D3CE4"/>
    <w:rsid w:val="4579042C"/>
    <w:rsid w:val="457F0571"/>
    <w:rsid w:val="45851176"/>
    <w:rsid w:val="4597578E"/>
    <w:rsid w:val="45C63B94"/>
    <w:rsid w:val="460E7DA5"/>
    <w:rsid w:val="46422483"/>
    <w:rsid w:val="4659254A"/>
    <w:rsid w:val="465B0637"/>
    <w:rsid w:val="465E3F0D"/>
    <w:rsid w:val="466A16E6"/>
    <w:rsid w:val="467A367D"/>
    <w:rsid w:val="46893F2B"/>
    <w:rsid w:val="46991507"/>
    <w:rsid w:val="46B2625E"/>
    <w:rsid w:val="46C4686E"/>
    <w:rsid w:val="477B778F"/>
    <w:rsid w:val="478203EC"/>
    <w:rsid w:val="47B025FA"/>
    <w:rsid w:val="47D46525"/>
    <w:rsid w:val="4809698F"/>
    <w:rsid w:val="4811697D"/>
    <w:rsid w:val="48132C8B"/>
    <w:rsid w:val="487A3E25"/>
    <w:rsid w:val="488B5503"/>
    <w:rsid w:val="48937E21"/>
    <w:rsid w:val="489A0361"/>
    <w:rsid w:val="48B94FF3"/>
    <w:rsid w:val="48D10CB7"/>
    <w:rsid w:val="48E37AAB"/>
    <w:rsid w:val="48FD4B4C"/>
    <w:rsid w:val="490A68E0"/>
    <w:rsid w:val="491055FE"/>
    <w:rsid w:val="495F5B3E"/>
    <w:rsid w:val="496F77D7"/>
    <w:rsid w:val="497654FD"/>
    <w:rsid w:val="49B64211"/>
    <w:rsid w:val="49C81705"/>
    <w:rsid w:val="49E56AF9"/>
    <w:rsid w:val="49F6167F"/>
    <w:rsid w:val="4A064FA0"/>
    <w:rsid w:val="4A16615C"/>
    <w:rsid w:val="4A4424D7"/>
    <w:rsid w:val="4AB53810"/>
    <w:rsid w:val="4AB82D0F"/>
    <w:rsid w:val="4AEB7664"/>
    <w:rsid w:val="4AFD7C19"/>
    <w:rsid w:val="4B0567D1"/>
    <w:rsid w:val="4B236AAE"/>
    <w:rsid w:val="4B65492A"/>
    <w:rsid w:val="4B685902"/>
    <w:rsid w:val="4B707271"/>
    <w:rsid w:val="4B9739F7"/>
    <w:rsid w:val="4BE1437B"/>
    <w:rsid w:val="4BEE2503"/>
    <w:rsid w:val="4C245A30"/>
    <w:rsid w:val="4C40066C"/>
    <w:rsid w:val="4CB6685F"/>
    <w:rsid w:val="4CC367FE"/>
    <w:rsid w:val="4D077F3C"/>
    <w:rsid w:val="4D123355"/>
    <w:rsid w:val="4D2A3B31"/>
    <w:rsid w:val="4D312C52"/>
    <w:rsid w:val="4D901140"/>
    <w:rsid w:val="4D905305"/>
    <w:rsid w:val="4D9258D3"/>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C335DB"/>
    <w:rsid w:val="50E97CFC"/>
    <w:rsid w:val="50FA4028"/>
    <w:rsid w:val="510D65B7"/>
    <w:rsid w:val="511157AB"/>
    <w:rsid w:val="5142540C"/>
    <w:rsid w:val="518832C8"/>
    <w:rsid w:val="519D3C50"/>
    <w:rsid w:val="51A0432A"/>
    <w:rsid w:val="51A86090"/>
    <w:rsid w:val="51B7396D"/>
    <w:rsid w:val="51F260D1"/>
    <w:rsid w:val="522E4CC3"/>
    <w:rsid w:val="5244713B"/>
    <w:rsid w:val="52615633"/>
    <w:rsid w:val="526F4DE4"/>
    <w:rsid w:val="52770B21"/>
    <w:rsid w:val="52977FD4"/>
    <w:rsid w:val="52A25790"/>
    <w:rsid w:val="52A96B6F"/>
    <w:rsid w:val="52B45975"/>
    <w:rsid w:val="52D94AA4"/>
    <w:rsid w:val="52EA3A62"/>
    <w:rsid w:val="52F50BB8"/>
    <w:rsid w:val="53097272"/>
    <w:rsid w:val="530B5232"/>
    <w:rsid w:val="53544462"/>
    <w:rsid w:val="5397158E"/>
    <w:rsid w:val="53BF2803"/>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1432"/>
    <w:rsid w:val="55A8376B"/>
    <w:rsid w:val="55DC29B6"/>
    <w:rsid w:val="55DD4241"/>
    <w:rsid w:val="5634437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C6880"/>
    <w:rsid w:val="585D04D5"/>
    <w:rsid w:val="58917D2F"/>
    <w:rsid w:val="5894085C"/>
    <w:rsid w:val="58AE4F0C"/>
    <w:rsid w:val="58B85899"/>
    <w:rsid w:val="58C779E0"/>
    <w:rsid w:val="58E363A9"/>
    <w:rsid w:val="592812B2"/>
    <w:rsid w:val="595E1678"/>
    <w:rsid w:val="596D5BD4"/>
    <w:rsid w:val="597E3DD8"/>
    <w:rsid w:val="59812CE5"/>
    <w:rsid w:val="5984145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177188"/>
    <w:rsid w:val="5D221076"/>
    <w:rsid w:val="5D397964"/>
    <w:rsid w:val="5D5340D1"/>
    <w:rsid w:val="5D5A391C"/>
    <w:rsid w:val="5D5F10C0"/>
    <w:rsid w:val="5D891B7B"/>
    <w:rsid w:val="5DAD38EE"/>
    <w:rsid w:val="5DCB3ACF"/>
    <w:rsid w:val="5E006862"/>
    <w:rsid w:val="5E0207B9"/>
    <w:rsid w:val="5E1834A1"/>
    <w:rsid w:val="5E261785"/>
    <w:rsid w:val="5E4A7017"/>
    <w:rsid w:val="5E552BBA"/>
    <w:rsid w:val="5E611C10"/>
    <w:rsid w:val="5E7A0F3F"/>
    <w:rsid w:val="5EDC21AD"/>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058F7"/>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07B5B"/>
    <w:rsid w:val="67FA1285"/>
    <w:rsid w:val="68551F4F"/>
    <w:rsid w:val="687C10C9"/>
    <w:rsid w:val="68840C16"/>
    <w:rsid w:val="68872541"/>
    <w:rsid w:val="68876EFB"/>
    <w:rsid w:val="68884654"/>
    <w:rsid w:val="689F444F"/>
    <w:rsid w:val="68B96DBB"/>
    <w:rsid w:val="68CA2805"/>
    <w:rsid w:val="68CC36FD"/>
    <w:rsid w:val="68E61788"/>
    <w:rsid w:val="68E937A3"/>
    <w:rsid w:val="691664E5"/>
    <w:rsid w:val="693E15D3"/>
    <w:rsid w:val="69627681"/>
    <w:rsid w:val="6977531D"/>
    <w:rsid w:val="698B666C"/>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D5745"/>
    <w:rsid w:val="6D167928"/>
    <w:rsid w:val="6D26299B"/>
    <w:rsid w:val="6D4772EC"/>
    <w:rsid w:val="6D9078AF"/>
    <w:rsid w:val="6DAA3FEF"/>
    <w:rsid w:val="6DC0172B"/>
    <w:rsid w:val="6DCB690C"/>
    <w:rsid w:val="6DD41A5B"/>
    <w:rsid w:val="6DF43C2E"/>
    <w:rsid w:val="6DF51CA3"/>
    <w:rsid w:val="6E6C36D5"/>
    <w:rsid w:val="6E8335BD"/>
    <w:rsid w:val="6E8E12EF"/>
    <w:rsid w:val="6E972936"/>
    <w:rsid w:val="6EA2229D"/>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1507DF"/>
    <w:rsid w:val="7350474E"/>
    <w:rsid w:val="73C0646E"/>
    <w:rsid w:val="742222F5"/>
    <w:rsid w:val="74476126"/>
    <w:rsid w:val="74706664"/>
    <w:rsid w:val="747F3682"/>
    <w:rsid w:val="749C4185"/>
    <w:rsid w:val="75067759"/>
    <w:rsid w:val="752E6DCD"/>
    <w:rsid w:val="7551380D"/>
    <w:rsid w:val="75600BE5"/>
    <w:rsid w:val="7564475C"/>
    <w:rsid w:val="7583797F"/>
    <w:rsid w:val="75A86778"/>
    <w:rsid w:val="75B710B1"/>
    <w:rsid w:val="75C71812"/>
    <w:rsid w:val="75D20F1D"/>
    <w:rsid w:val="75DA2C18"/>
    <w:rsid w:val="75F54412"/>
    <w:rsid w:val="761D08E0"/>
    <w:rsid w:val="7642003A"/>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56621"/>
    <w:rsid w:val="7ABA4368"/>
    <w:rsid w:val="7AD05746"/>
    <w:rsid w:val="7B257FFD"/>
    <w:rsid w:val="7B273D20"/>
    <w:rsid w:val="7B343476"/>
    <w:rsid w:val="7B3813B3"/>
    <w:rsid w:val="7B473C5D"/>
    <w:rsid w:val="7B5A2978"/>
    <w:rsid w:val="7B5A7E4C"/>
    <w:rsid w:val="7B667AF9"/>
    <w:rsid w:val="7B6A2721"/>
    <w:rsid w:val="7B7468F8"/>
    <w:rsid w:val="7BA9702E"/>
    <w:rsid w:val="7BEC66EB"/>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131"/>
    <w:autoRedefine/>
    <w:qFormat/>
    <w:uiPriority w:val="0"/>
    <w:rPr>
      <w:rFonts w:ascii="宋体" w:hAnsi="Courier New" w:cs="Arial"/>
      <w:snapToGrid w:val="0"/>
      <w:szCs w:val="21"/>
    </w:rPr>
  </w:style>
  <w:style w:type="paragraph" w:styleId="6">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8"/>
    <w:autoRedefine/>
    <w:qFormat/>
    <w:uiPriority w:val="0"/>
    <w:pPr>
      <w:shd w:val="clear" w:color="auto" w:fill="000080"/>
    </w:pPr>
  </w:style>
  <w:style w:type="paragraph" w:styleId="20">
    <w:name w:val="annotation text"/>
    <w:basedOn w:val="1"/>
    <w:link w:val="349"/>
    <w:autoRedefine/>
    <w:qFormat/>
    <w:uiPriority w:val="99"/>
    <w:pPr>
      <w:jc w:val="left"/>
    </w:pPr>
  </w:style>
  <w:style w:type="paragraph" w:styleId="21">
    <w:name w:val="Salutation"/>
    <w:basedOn w:val="1"/>
    <w:next w:val="1"/>
    <w:link w:val="303"/>
    <w:autoRedefine/>
    <w:qFormat/>
    <w:uiPriority w:val="0"/>
    <w:rPr>
      <w:rFonts w:ascii="仿宋_GB2312" w:eastAsia="仿宋_GB2312"/>
      <w:sz w:val="28"/>
      <w:szCs w:val="20"/>
    </w:rPr>
  </w:style>
  <w:style w:type="paragraph" w:styleId="22">
    <w:name w:val="Body Text 3"/>
    <w:basedOn w:val="1"/>
    <w:link w:val="335"/>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1"/>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7"/>
    <w:autoRedefine/>
    <w:qFormat/>
    <w:uiPriority w:val="0"/>
    <w:pPr>
      <w:ind w:left="100" w:leftChars="2500"/>
    </w:pPr>
    <w:rPr>
      <w:rFonts w:ascii="宋体"/>
      <w:sz w:val="24"/>
      <w:szCs w:val="21"/>
      <w:lang w:val="zh-CN"/>
    </w:rPr>
  </w:style>
  <w:style w:type="paragraph" w:styleId="36">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5"/>
    <w:autoRedefine/>
    <w:qFormat/>
    <w:uiPriority w:val="0"/>
    <w:rPr>
      <w:lang w:val="zh-CN"/>
    </w:rPr>
  </w:style>
  <w:style w:type="paragraph" w:styleId="38">
    <w:name w:val="Balloon Text"/>
    <w:basedOn w:val="1"/>
    <w:link w:val="194"/>
    <w:autoRedefine/>
    <w:qFormat/>
    <w:uiPriority w:val="0"/>
    <w:rPr>
      <w:sz w:val="18"/>
      <w:szCs w:val="18"/>
    </w:rPr>
  </w:style>
  <w:style w:type="paragraph" w:styleId="39">
    <w:name w:val="footer"/>
    <w:basedOn w:val="1"/>
    <w:link w:val="388"/>
    <w:autoRedefine/>
    <w:qFormat/>
    <w:uiPriority w:val="99"/>
    <w:pPr>
      <w:tabs>
        <w:tab w:val="center" w:pos="4153"/>
        <w:tab w:val="right" w:pos="8306"/>
      </w:tabs>
      <w:snapToGrid w:val="0"/>
      <w:jc w:val="left"/>
    </w:pPr>
    <w:rPr>
      <w:sz w:val="18"/>
      <w:szCs w:val="18"/>
    </w:rPr>
  </w:style>
  <w:style w:type="paragraph" w:styleId="40">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80"/>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7"/>
    <w:autoRedefine/>
    <w:qFormat/>
    <w:uiPriority w:val="0"/>
    <w:pPr>
      <w:spacing w:after="120" w:line="480" w:lineRule="auto"/>
    </w:pPr>
  </w:style>
  <w:style w:type="paragraph" w:styleId="56">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2"/>
    <w:autoRedefine/>
    <w:qFormat/>
    <w:uiPriority w:val="0"/>
    <w:rPr>
      <w:b/>
      <w:bCs/>
    </w:rPr>
  </w:style>
  <w:style w:type="paragraph" w:styleId="60">
    <w:name w:val="Body Text First Indent"/>
    <w:basedOn w:val="24"/>
    <w:link w:val="326"/>
    <w:autoRedefine/>
    <w:qFormat/>
    <w:uiPriority w:val="0"/>
    <w:pPr>
      <w:ind w:firstLine="420"/>
    </w:pPr>
    <w:rPr>
      <w:rFonts w:hAnsi="Calibri" w:cs="Times New Roman"/>
      <w:snapToGrid/>
      <w:szCs w:val="20"/>
    </w:rPr>
  </w:style>
  <w:style w:type="paragraph" w:styleId="61">
    <w:name w:val="Body Text First Indent 2"/>
    <w:basedOn w:val="25"/>
    <w:next w:val="60"/>
    <w:link w:val="127"/>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正文首行缩进 21"/>
    <w:basedOn w:val="83"/>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3">
    <w:name w:val="正文缩进1"/>
    <w:basedOn w:val="84"/>
    <w:next w:val="85"/>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5">
    <w:name w:val="正文文本首行缩进 21"/>
    <w:basedOn w:val="25"/>
    <w:autoRedefine/>
    <w:qFormat/>
    <w:uiPriority w:val="99"/>
    <w:pPr>
      <w:tabs>
        <w:tab w:val="right" w:leader="dot" w:pos="8268"/>
      </w:tabs>
      <w:spacing w:line="200" w:lineRule="atLeast"/>
      <w:ind w:firstLine="420"/>
    </w:pPr>
    <w:rPr>
      <w:rFonts w:ascii="宋体"/>
      <w:spacing w:val="-4"/>
      <w:sz w:val="18"/>
    </w:rPr>
  </w:style>
  <w:style w:type="paragraph" w:customStyle="1" w:styleId="86">
    <w:name w:val="正文文本首行缩进 2"/>
    <w:basedOn w:val="83"/>
    <w:autoRedefine/>
    <w:qFormat/>
    <w:uiPriority w:val="99"/>
    <w:pPr>
      <w:spacing w:line="200" w:lineRule="atLeast"/>
      <w:ind w:firstLine="420"/>
    </w:pPr>
    <w:rPr>
      <w:rFonts w:ascii="宋体" w:hAnsi="Courier New"/>
      <w:spacing w:val="-4"/>
      <w:sz w:val="18"/>
    </w:rPr>
  </w:style>
  <w:style w:type="character" w:customStyle="1" w:styleId="87">
    <w:name w:val="标题 1 Char"/>
    <w:link w:val="3"/>
    <w:autoRedefine/>
    <w:qFormat/>
    <w:uiPriority w:val="9"/>
    <w:rPr>
      <w:b/>
      <w:bCs/>
      <w:kern w:val="44"/>
      <w:sz w:val="44"/>
      <w:szCs w:val="44"/>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59"/>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61"/>
    <w:autoRedefine/>
    <w:qFormat/>
    <w:uiPriority w:val="0"/>
    <w:rPr>
      <w:rFonts w:ascii="宋体" w:hAnsi="宋体"/>
      <w:kern w:val="2"/>
      <w:sz w:val="21"/>
      <w:szCs w:val="24"/>
    </w:rPr>
  </w:style>
  <w:style w:type="character" w:customStyle="1" w:styleId="128">
    <w:name w:val="font1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69"/>
    <w:autoRedefine/>
    <w:qFormat/>
    <w:uiPriority w:val="0"/>
    <w:rPr>
      <w:rFonts w:ascii="Arial" w:hAnsi="Arial" w:eastAsia="黑体" w:cs="Arial"/>
      <w:snapToGrid w:val="0"/>
      <w:kern w:val="0"/>
      <w:szCs w:val="21"/>
    </w:rPr>
  </w:style>
  <w:style w:type="character" w:customStyle="1" w:styleId="131">
    <w:name w:val="纯文本 Char"/>
    <w:link w:val="2"/>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46"/>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Char"/>
    <w:link w:val="9"/>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4"/>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5"/>
    <w:autoRedefine/>
    <w:qFormat/>
    <w:uiPriority w:val="0"/>
    <w:rPr>
      <w:rFonts w:ascii="宋体"/>
      <w:kern w:val="2"/>
      <w:sz w:val="24"/>
      <w:szCs w:val="21"/>
      <w:lang w:val="zh-CN"/>
    </w:rPr>
  </w:style>
  <w:style w:type="character" w:customStyle="1" w:styleId="188">
    <w:name w:val="标题 9 Char"/>
    <w:link w:val="12"/>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38"/>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19"/>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69"/>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0"/>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7"/>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7"/>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41"/>
    <w:autoRedefine/>
    <w:qFormat/>
    <w:uiPriority w:val="0"/>
    <w:rPr>
      <w:rFonts w:ascii="仿宋_GB2312" w:eastAsia="仿宋_GB2312" w:cs="仿宋_GB2312"/>
      <w:color w:val="000000"/>
      <w:sz w:val="24"/>
      <w:szCs w:val="24"/>
      <w:lang w:val="en-US" w:eastAsia="zh-CN" w:bidi="ar-SA"/>
    </w:rPr>
  </w:style>
  <w:style w:type="paragraph" w:customStyle="1" w:styleId="241">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25"/>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58"/>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8"/>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1"/>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6"/>
    <w:autoRedefine/>
    <w:qFormat/>
    <w:uiPriority w:val="0"/>
    <w:rPr>
      <w:rFonts w:ascii="黑体" w:hAnsi="Courier New" w:eastAsia="黑体"/>
    </w:rPr>
  </w:style>
  <w:style w:type="character" w:customStyle="1" w:styleId="307">
    <w:name w:val="正文文本 2 Char1"/>
    <w:link w:val="55"/>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7"/>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10"/>
    <w:autoRedefine/>
    <w:qFormat/>
    <w:uiPriority w:val="0"/>
    <w:rPr>
      <w:b/>
      <w:bCs/>
      <w:kern w:val="2"/>
      <w:sz w:val="24"/>
      <w:szCs w:val="24"/>
    </w:rPr>
  </w:style>
  <w:style w:type="character" w:customStyle="1" w:styleId="313">
    <w:name w:val="正文文本缩进 2 Char"/>
    <w:link w:val="36"/>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49"/>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60"/>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7"/>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2"/>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autoRedefine/>
    <w:qFormat/>
    <w:uiPriority w:val="99"/>
    <w:rPr>
      <w:kern w:val="2"/>
      <w:sz w:val="21"/>
      <w:szCs w:val="24"/>
    </w:rPr>
  </w:style>
  <w:style w:type="character" w:customStyle="1" w:styleId="350">
    <w:name w:val="签名 Char"/>
    <w:link w:val="41"/>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1"/>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2"/>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39"/>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0"/>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69"/>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6"/>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69"/>
    <w:autoRedefine/>
    <w:qFormat/>
    <w:uiPriority w:val="0"/>
    <w:rPr>
      <w:rFonts w:ascii="Arial" w:hAnsi="Arial" w:eastAsia="黑体" w:cs="Arial"/>
      <w:snapToGrid w:val="0"/>
      <w:kern w:val="0"/>
      <w:szCs w:val="21"/>
    </w:rPr>
  </w:style>
  <w:style w:type="character" w:customStyle="1" w:styleId="437">
    <w:name w:val="hui"/>
    <w:basedOn w:val="69"/>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6"/>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5"/>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8"/>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1"/>
    <w:next w:val="241"/>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2"/>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5"/>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3"/>
    <w:autoRedefine/>
    <w:qFormat/>
    <w:uiPriority w:val="0"/>
    <w:pPr>
      <w:tabs>
        <w:tab w:val="left" w:pos="840"/>
      </w:tabs>
      <w:adjustRightInd/>
      <w:ind w:left="840" w:hanging="420"/>
    </w:pPr>
  </w:style>
  <w:style w:type="paragraph" w:customStyle="1" w:styleId="63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6"/>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5"/>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9"/>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9"/>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7"/>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3"/>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37"/>
    <w:autoRedefine/>
    <w:qFormat/>
    <w:uiPriority w:val="0"/>
    <w:rPr>
      <w:kern w:val="2"/>
      <w:sz w:val="21"/>
      <w:szCs w:val="24"/>
      <w:lang w:val="zh-CN"/>
    </w:rPr>
  </w:style>
  <w:style w:type="character" w:customStyle="1" w:styleId="936">
    <w:name w:val="无间隔 Char"/>
    <w:link w:val="488"/>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4"/>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37081</Words>
  <Characters>39657</Characters>
  <Lines>281</Lines>
  <Paragraphs>79</Paragraphs>
  <TotalTime>7</TotalTime>
  <ScaleCrop>false</ScaleCrop>
  <LinksUpToDate>false</LinksUpToDate>
  <CharactersWithSpaces>45100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就叫西瓜吧</cp:lastModifiedBy>
  <cp:lastPrinted>2021-12-27T11:06:00Z</cp:lastPrinted>
  <dcterms:modified xsi:type="dcterms:W3CDTF">2024-06-14T08:35:53Z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FE0FABFD2769423AA93CAF64806CC2FA_13</vt:lpwstr>
  </property>
</Properties>
</file>