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adjustRightInd/>
        <w:spacing w:line="360" w:lineRule="auto"/>
        <w:jc w:val="center"/>
        <w:rPr>
          <w:rFonts w:ascii="宋体" w:hAnsi="宋体" w:cs="宋体"/>
          <w:b/>
          <w:color w:val="auto"/>
          <w:sz w:val="44"/>
          <w:szCs w:val="44"/>
          <w:highlight w:val="none"/>
        </w:rPr>
      </w:pPr>
    </w:p>
    <w:p>
      <w:pPr>
        <w:spacing w:line="360" w:lineRule="auto"/>
        <w:jc w:val="center"/>
        <w:rPr>
          <w:rFonts w:ascii="宋体" w:hAnsi="宋体" w:cs="宋体"/>
          <w:b/>
          <w:color w:val="auto"/>
          <w:sz w:val="44"/>
          <w:szCs w:val="44"/>
          <w:highlight w:val="none"/>
        </w:rPr>
      </w:pPr>
    </w:p>
    <w:p>
      <w:pPr>
        <w:adjustRightInd/>
        <w:spacing w:line="360" w:lineRule="auto"/>
        <w:jc w:val="center"/>
        <w:rPr>
          <w:rFonts w:ascii="宋体" w:hAnsi="宋体" w:cs="宋体"/>
          <w:b/>
          <w:color w:val="auto"/>
          <w:sz w:val="48"/>
          <w:szCs w:val="48"/>
          <w:highlight w:val="none"/>
        </w:rPr>
      </w:pPr>
    </w:p>
    <w:p>
      <w:pPr>
        <w:adjustRightInd/>
        <w:spacing w:line="360" w:lineRule="auto"/>
        <w:jc w:val="center"/>
        <w:rPr>
          <w:rFonts w:hint="eastAsia" w:ascii="宋体" w:hAnsi="宋体" w:cs="宋体"/>
          <w:color w:val="auto"/>
          <w:sz w:val="48"/>
          <w:szCs w:val="48"/>
          <w:highlight w:val="none"/>
          <w:lang w:val="en-US" w:eastAsia="zh-CN"/>
        </w:rPr>
      </w:pPr>
      <w:r>
        <w:rPr>
          <w:rFonts w:hint="eastAsia" w:ascii="仿宋_GB2312" w:hAnsi="仿宋" w:eastAsia="仿宋_GB2312" w:cs="仿宋_GB2312"/>
          <w:sz w:val="48"/>
          <w:szCs w:val="48"/>
          <w:highlight w:val="none"/>
          <w:lang w:eastAsia="zh-CN"/>
        </w:rPr>
        <w:t>杭州市红缨幼儿园物业管理服务</w:t>
      </w:r>
      <w:r>
        <w:rPr>
          <w:rFonts w:hint="eastAsia" w:ascii="仿宋_GB2312" w:hAnsi="仿宋" w:eastAsia="仿宋_GB2312" w:cs="仿宋_GB2312"/>
          <w:sz w:val="48"/>
          <w:szCs w:val="48"/>
          <w:highlight w:val="none"/>
          <w:lang w:val="en-US" w:eastAsia="zh-CN"/>
        </w:rPr>
        <w:t xml:space="preserve">        </w:t>
      </w:r>
      <w:r>
        <w:rPr>
          <w:rFonts w:hint="eastAsia" w:ascii="仿宋_GB2312" w:hAnsi="仿宋" w:eastAsia="仿宋_GB2312" w:cs="仿宋_GB2312"/>
          <w:sz w:val="48"/>
          <w:szCs w:val="48"/>
          <w:highlight w:val="none"/>
          <w:lang w:eastAsia="zh-CN"/>
        </w:rPr>
        <w:t>采购项目</w:t>
      </w:r>
      <w:r>
        <w:rPr>
          <w:rFonts w:hint="eastAsia" w:ascii="宋体" w:hAnsi="宋体" w:cs="宋体"/>
          <w:color w:val="auto"/>
          <w:sz w:val="48"/>
          <w:szCs w:val="48"/>
          <w:highlight w:val="none"/>
          <w:lang w:eastAsia="zh-CN"/>
        </w:rPr>
        <w:t>（</w:t>
      </w:r>
      <w:r>
        <w:rPr>
          <w:rFonts w:hint="eastAsia" w:ascii="宋体" w:hAnsi="宋体" w:cs="宋体"/>
          <w:color w:val="auto"/>
          <w:sz w:val="48"/>
          <w:szCs w:val="48"/>
          <w:highlight w:val="none"/>
          <w:lang w:val="en-US" w:eastAsia="zh-CN"/>
        </w:rPr>
        <w:t>重新招标）</w:t>
      </w:r>
    </w:p>
    <w:p>
      <w:pPr>
        <w:adjustRightInd/>
        <w:spacing w:line="360" w:lineRule="auto"/>
        <w:jc w:val="center"/>
        <w:rPr>
          <w:rFonts w:hint="default" w:ascii="宋体" w:hAnsi="宋体" w:eastAsia="宋体" w:cs="宋体"/>
          <w:color w:val="auto"/>
          <w:sz w:val="48"/>
          <w:szCs w:val="48"/>
          <w:highlight w:val="none"/>
          <w:lang w:val="en-US" w:eastAsia="zh-CN"/>
        </w:rPr>
      </w:pPr>
      <w:r>
        <w:rPr>
          <w:rFonts w:hint="eastAsia" w:ascii="宋体" w:hAnsi="宋体" w:cs="宋体"/>
          <w:color w:val="auto"/>
          <w:sz w:val="48"/>
          <w:szCs w:val="48"/>
          <w:highlight w:val="none"/>
        </w:rPr>
        <w:t xml:space="preserve">招标文件 </w:t>
      </w:r>
    </w:p>
    <w:p>
      <w:pPr>
        <w:adjustRightInd/>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（电子招投标）</w:t>
      </w:r>
    </w:p>
    <w:p>
      <w:pPr>
        <w:snapToGrid w:val="0"/>
        <w:spacing w:line="360" w:lineRule="auto"/>
        <w:jc w:val="center"/>
        <w:rPr>
          <w:rFonts w:hint="default" w:ascii="宋体" w:hAnsi="宋体" w:eastAsia="仿宋_GB2312" w:cs="宋体"/>
          <w:sz w:val="30"/>
          <w:szCs w:val="30"/>
          <w:highlight w:val="none"/>
          <w:lang w:val="en-US" w:eastAsia="zh-CN"/>
        </w:rPr>
      </w:pPr>
      <w:r>
        <w:rPr>
          <w:rFonts w:hint="eastAsia" w:ascii="宋体" w:hAnsi="宋体" w:cs="宋体"/>
          <w:sz w:val="30"/>
          <w:szCs w:val="30"/>
          <w:highlight w:val="none"/>
        </w:rPr>
        <w:t>编号:</w:t>
      </w:r>
      <w:r>
        <w:rPr>
          <w:rFonts w:hint="eastAsia" w:ascii="仿宋_GB2312" w:eastAsia="仿宋_GB2312" w:cs="仿宋_GB2312"/>
          <w:sz w:val="30"/>
          <w:szCs w:val="30"/>
          <w:highlight w:val="none"/>
        </w:rPr>
        <w:t>GSZFCG-202</w:t>
      </w:r>
      <w:r>
        <w:rPr>
          <w:rFonts w:hint="eastAsia" w:ascii="仿宋_GB2312" w:eastAsia="仿宋_GB2312" w:cs="仿宋_GB2312"/>
          <w:sz w:val="30"/>
          <w:szCs w:val="30"/>
          <w:highlight w:val="none"/>
          <w:lang w:val="en-US" w:eastAsia="zh-CN"/>
        </w:rPr>
        <w:t>4</w:t>
      </w:r>
      <w:r>
        <w:rPr>
          <w:rFonts w:hint="eastAsia" w:ascii="仿宋_GB2312" w:eastAsia="仿宋_GB2312" w:cs="仿宋_GB2312"/>
          <w:sz w:val="30"/>
          <w:szCs w:val="30"/>
          <w:highlight w:val="none"/>
        </w:rPr>
        <w:t>-</w:t>
      </w:r>
      <w:r>
        <w:rPr>
          <w:rFonts w:hint="eastAsia" w:ascii="仿宋_GB2312" w:eastAsia="仿宋_GB2312" w:cs="仿宋_GB2312"/>
          <w:sz w:val="30"/>
          <w:szCs w:val="30"/>
          <w:highlight w:val="none"/>
          <w:lang w:val="en-US" w:eastAsia="zh-CN"/>
        </w:rPr>
        <w:t>019（2）</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r>
        <w:rPr>
          <w:rFonts w:hint="eastAsia" w:ascii="宋体" w:hAnsi="宋体" w:cs="宋体"/>
          <w:b/>
          <w:sz w:val="44"/>
          <w:szCs w:val="44"/>
        </w:rPr>
        <w:t xml:space="preserve"> </w:t>
      </w:r>
    </w:p>
    <w:p>
      <w:pPr>
        <w:spacing w:line="360" w:lineRule="auto"/>
        <w:jc w:val="center"/>
        <w:rPr>
          <w:rFonts w:ascii="宋体" w:hAnsi="宋体" w:cs="宋体"/>
          <w:b/>
          <w:sz w:val="44"/>
          <w:szCs w:val="4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rPr>
          <w:rFonts w:ascii="宋体" w:hAnsi="宋体" w:cs="宋体"/>
          <w:sz w:val="32"/>
          <w:szCs w:val="32"/>
        </w:rPr>
      </w:pPr>
    </w:p>
    <w:p>
      <w:pPr>
        <w:spacing w:line="360" w:lineRule="auto"/>
        <w:jc w:val="center"/>
        <w:rPr>
          <w:rFonts w:hint="eastAsia" w:ascii="宋体" w:hAnsi="宋体" w:cs="宋体"/>
          <w:bCs/>
          <w:color w:val="auto"/>
          <w:sz w:val="32"/>
          <w:szCs w:val="32"/>
          <w:highlight w:val="none"/>
          <w:lang w:eastAsia="zh-CN"/>
        </w:rPr>
      </w:pPr>
      <w:r>
        <w:rPr>
          <w:rFonts w:hint="eastAsia" w:ascii="宋体" w:hAnsi="宋体" w:cs="宋体"/>
          <w:bCs/>
          <w:color w:val="auto"/>
          <w:sz w:val="32"/>
          <w:szCs w:val="32"/>
          <w:highlight w:val="none"/>
          <w:lang w:eastAsia="zh-CN"/>
        </w:rPr>
        <w:t>杭州市红缨幼儿园</w:t>
      </w:r>
    </w:p>
    <w:p>
      <w:pPr>
        <w:spacing w:line="360" w:lineRule="auto"/>
        <w:jc w:val="center"/>
        <w:rPr>
          <w:rFonts w:hint="default" w:ascii="宋体" w:hAnsi="宋体" w:eastAsia="宋体" w:cs="宋体"/>
          <w:bCs/>
          <w:color w:val="auto"/>
          <w:sz w:val="32"/>
          <w:szCs w:val="32"/>
          <w:highlight w:val="none"/>
          <w:lang w:val="en-US" w:eastAsia="zh-CN"/>
        </w:rPr>
      </w:pPr>
      <w:r>
        <w:rPr>
          <w:rFonts w:hint="eastAsia" w:ascii="宋体" w:hAnsi="宋体" w:cs="宋体"/>
          <w:bCs/>
          <w:color w:val="auto"/>
          <w:sz w:val="32"/>
          <w:szCs w:val="32"/>
          <w:highlight w:val="none"/>
        </w:rPr>
        <w:t>杭州市公共资源交易中心</w:t>
      </w:r>
      <w:r>
        <w:rPr>
          <w:rFonts w:hint="eastAsia" w:ascii="宋体" w:hAnsi="宋体" w:cs="宋体"/>
          <w:bCs/>
          <w:color w:val="auto"/>
          <w:sz w:val="32"/>
          <w:szCs w:val="32"/>
          <w:highlight w:val="none"/>
          <w:lang w:val="en-US" w:eastAsia="zh-CN"/>
        </w:rPr>
        <w:t>拱墅分中心</w:t>
      </w:r>
    </w:p>
    <w:p>
      <w:pPr>
        <w:snapToGrid w:val="0"/>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二〇二</w:t>
      </w:r>
      <w:r>
        <w:rPr>
          <w:rFonts w:hint="eastAsia" w:ascii="宋体" w:hAnsi="宋体" w:cs="宋体"/>
          <w:bCs/>
          <w:color w:val="auto"/>
          <w:sz w:val="32"/>
          <w:szCs w:val="32"/>
          <w:highlight w:val="none"/>
          <w:lang w:val="en-US" w:eastAsia="zh-CN"/>
        </w:rPr>
        <w:t>四</w:t>
      </w:r>
      <w:r>
        <w:rPr>
          <w:rFonts w:hint="eastAsia" w:ascii="宋体" w:hAnsi="宋体" w:cs="宋体"/>
          <w:bCs/>
          <w:color w:val="auto"/>
          <w:sz w:val="32"/>
          <w:szCs w:val="32"/>
          <w:highlight w:val="none"/>
        </w:rPr>
        <w:t>年</w:t>
      </w:r>
      <w:r>
        <w:rPr>
          <w:rFonts w:hint="eastAsia" w:ascii="宋体" w:hAnsi="宋体" w:cs="宋体"/>
          <w:bCs/>
          <w:color w:val="auto"/>
          <w:sz w:val="32"/>
          <w:szCs w:val="32"/>
          <w:highlight w:val="none"/>
          <w:lang w:val="en-US" w:eastAsia="zh-CN"/>
        </w:rPr>
        <w:t>六</w:t>
      </w:r>
      <w:r>
        <w:rPr>
          <w:rFonts w:hint="eastAsia" w:ascii="宋体" w:hAnsi="宋体" w:cs="宋体"/>
          <w:bCs/>
          <w:color w:val="auto"/>
          <w:sz w:val="32"/>
          <w:szCs w:val="32"/>
          <w:highlight w:val="none"/>
        </w:rPr>
        <w:t>月</w:t>
      </w:r>
      <w:r>
        <w:rPr>
          <w:rFonts w:hint="eastAsia" w:ascii="宋体" w:hAnsi="宋体" w:cs="宋体"/>
          <w:bCs/>
          <w:color w:val="auto"/>
          <w:sz w:val="32"/>
          <w:szCs w:val="32"/>
          <w:highlight w:val="none"/>
          <w:lang w:val="en-US" w:eastAsia="zh-CN"/>
        </w:rPr>
        <w:t>六</w:t>
      </w:r>
      <w:r>
        <w:rPr>
          <w:rFonts w:hint="eastAsia" w:ascii="宋体" w:hAnsi="宋体" w:cs="宋体"/>
          <w:bCs/>
          <w:color w:val="auto"/>
          <w:sz w:val="32"/>
          <w:szCs w:val="32"/>
          <w:highlight w:val="none"/>
        </w:rPr>
        <w:t>日</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br w:type="page"/>
      </w:r>
      <w:bookmarkStart w:id="0" w:name="_Hlt67893495"/>
      <w:bookmarkEnd w:id="0"/>
    </w:p>
    <w:p>
      <w:pPr>
        <w:pStyle w:val="634"/>
        <w:outlineLvl w:val="9"/>
        <w:rPr>
          <w:color w:val="auto"/>
          <w:highlight w:val="none"/>
        </w:rPr>
      </w:pPr>
    </w:p>
    <w:p>
      <w:pPr>
        <w:spacing w:line="360" w:lineRule="auto"/>
        <w:jc w:val="center"/>
        <w:rPr>
          <w:rFonts w:ascii="宋体" w:hAnsi="宋体" w:cs="宋体"/>
          <w:b/>
          <w:color w:val="auto"/>
          <w:sz w:val="48"/>
          <w:szCs w:val="48"/>
          <w:highlight w:val="none"/>
        </w:rPr>
      </w:pPr>
      <w:r>
        <w:rPr>
          <w:rFonts w:hint="eastAsia" w:ascii="宋体" w:hAnsi="宋体" w:cs="宋体"/>
          <w:b/>
          <w:color w:val="auto"/>
          <w:sz w:val="48"/>
          <w:szCs w:val="48"/>
          <w:highlight w:val="none"/>
        </w:rPr>
        <w:t>目  录</w:t>
      </w:r>
    </w:p>
    <w:p>
      <w:pPr>
        <w:spacing w:line="360" w:lineRule="auto"/>
        <w:rPr>
          <w:rFonts w:ascii="宋体" w:hAnsi="宋体" w:cs="宋体"/>
          <w:color w:val="auto"/>
          <w:sz w:val="32"/>
          <w:szCs w:val="32"/>
          <w:highlight w:val="none"/>
        </w:rPr>
      </w:pPr>
    </w:p>
    <w:p>
      <w:pPr>
        <w:spacing w:line="360" w:lineRule="auto"/>
        <w:rPr>
          <w:rFonts w:ascii="宋体" w:hAnsi="宋体" w:cs="宋体"/>
          <w:color w:val="auto"/>
          <w:sz w:val="32"/>
          <w:szCs w:val="32"/>
          <w:highlight w:val="none"/>
        </w:rPr>
      </w:pP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第一部分      招标公告</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第二部分      投标人须知</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第三部分      采购需求</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第四部分      评标办法</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第五部分      拟签订的合同文本</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第六部分      应提交的有关格式范例</w:t>
      </w:r>
    </w:p>
    <w:p>
      <w:pPr>
        <w:spacing w:line="360" w:lineRule="auto"/>
        <w:ind w:firstLine="549" w:firstLineChars="229"/>
        <w:rPr>
          <w:rFonts w:ascii="宋体" w:hAnsi="宋体" w:cs="宋体"/>
          <w:color w:val="auto"/>
          <w:sz w:val="24"/>
          <w:highlight w:val="none"/>
        </w:rPr>
      </w:pPr>
      <w:bookmarkStart w:id="1" w:name="_Hlt91233176"/>
      <w:bookmarkEnd w:id="1"/>
      <w:bookmarkStart w:id="2"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rPr>
          <w:rFonts w:ascii="宋体" w:hAnsi="宋体" w:cs="宋体"/>
          <w:color w:val="auto"/>
          <w:sz w:val="24"/>
          <w:highlight w:val="none"/>
        </w:rPr>
      </w:pPr>
    </w:p>
    <w:p>
      <w:pPr>
        <w:adjustRightInd/>
        <w:spacing w:line="360" w:lineRule="auto"/>
        <w:jc w:val="center"/>
        <w:outlineLvl w:val="0"/>
        <w:rPr>
          <w:rFonts w:ascii="宋体" w:hAnsi="宋体" w:cs="宋体"/>
          <w:b/>
          <w:color w:val="auto"/>
          <w:sz w:val="36"/>
          <w:szCs w:val="20"/>
          <w:highlight w:val="none"/>
        </w:rPr>
      </w:pPr>
      <w:bookmarkStart w:id="3" w:name="第一部分"/>
      <w:r>
        <w:rPr>
          <w:rFonts w:hint="eastAsia" w:ascii="宋体" w:hAnsi="宋体" w:cs="宋体"/>
          <w:b/>
          <w:color w:val="auto"/>
          <w:sz w:val="36"/>
          <w:szCs w:val="36"/>
          <w:highlight w:val="none"/>
        </w:rPr>
        <w:br w:type="page"/>
      </w:r>
      <w:bookmarkEnd w:id="2"/>
      <w:bookmarkEnd w:id="3"/>
      <w:bookmarkStart w:id="4" w:name="_Hlt74729822"/>
      <w:bookmarkEnd w:id="4"/>
      <w:bookmarkStart w:id="5" w:name="_Hlt74649545"/>
      <w:bookmarkEnd w:id="5"/>
      <w:bookmarkStart w:id="6" w:name="_Hlt74707423"/>
      <w:bookmarkEnd w:id="6"/>
      <w:bookmarkStart w:id="7" w:name="_Hlt74728647"/>
      <w:bookmarkEnd w:id="7"/>
      <w:bookmarkStart w:id="8" w:name="第二部分"/>
      <w:bookmarkStart w:id="9" w:name="_Toc91899870"/>
      <w:bookmarkStart w:id="10" w:name="_Toc91899871"/>
      <w:r>
        <w:rPr>
          <w:rFonts w:hint="eastAsia" w:ascii="宋体" w:hAnsi="宋体"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lang w:val="en-US" w:eastAsia="zh-CN"/>
        </w:rPr>
        <w:t>杭州市红缨幼儿园物业管理服务采购项目（重新招标）</w:t>
      </w:r>
      <w:r>
        <w:rPr>
          <w:rFonts w:hint="eastAsia" w:ascii="宋体" w:hAnsi="宋体" w:cs="宋体"/>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"https://www.zcygov.cn/）获取（下载）招标文件，并于2023年%20月%20日%20点%20分00秒" </w:instrText>
      </w:r>
      <w:r>
        <w:rPr>
          <w:color w:val="auto"/>
          <w:highlight w:val="none"/>
        </w:rPr>
        <w:fldChar w:fldCharType="separate"/>
      </w:r>
      <w:r>
        <w:rPr>
          <w:rStyle w:val="76"/>
          <w:rFonts w:hint="eastAsia" w:ascii="宋体" w:hAnsi="宋体" w:eastAsia="宋体" w:cs="宋体"/>
          <w:snapToGrid/>
          <w:color w:val="auto"/>
          <w:kern w:val="2"/>
          <w:sz w:val="24"/>
          <w:szCs w:val="24"/>
          <w:highlight w:val="none"/>
        </w:rPr>
        <w:t>https://www.zcygov.cn/）获取（下载）招标文件，并于</w:t>
      </w:r>
      <w:r>
        <w:rPr>
          <w:rStyle w:val="76"/>
          <w:rFonts w:hint="eastAsia" w:ascii="宋体" w:hAnsi="宋体" w:eastAsia="宋体" w:cs="宋体"/>
          <w:snapToGrid/>
          <w:color w:val="000000" w:themeColor="text1"/>
          <w:kern w:val="2"/>
          <w:sz w:val="24"/>
          <w:szCs w:val="24"/>
          <w:highlight w:val="none"/>
          <w:u w:val="single"/>
          <w14:textFill>
            <w14:solidFill>
              <w14:schemeClr w14:val="tx1"/>
            </w14:solidFill>
          </w14:textFill>
        </w:rPr>
        <w:t>202</w:t>
      </w:r>
      <w:r>
        <w:rPr>
          <w:rStyle w:val="76"/>
          <w:rFonts w:hint="eastAsia" w:ascii="宋体" w:hAnsi="宋体" w:cs="宋体"/>
          <w:snapToGrid/>
          <w:color w:val="000000" w:themeColor="text1"/>
          <w:kern w:val="2"/>
          <w:sz w:val="24"/>
          <w:szCs w:val="24"/>
          <w:highlight w:val="none"/>
          <w:u w:val="single"/>
          <w:lang w:val="en-US" w:eastAsia="zh-CN"/>
          <w14:textFill>
            <w14:solidFill>
              <w14:schemeClr w14:val="tx1"/>
            </w14:solidFill>
          </w14:textFill>
        </w:rPr>
        <w:t>4</w:t>
      </w:r>
      <w:r>
        <w:rPr>
          <w:rStyle w:val="76"/>
          <w:rFonts w:hint="eastAsia" w:ascii="宋体" w:hAnsi="宋体" w:eastAsia="宋体" w:cs="宋体"/>
          <w:snapToGrid/>
          <w:color w:val="000000" w:themeColor="text1"/>
          <w:kern w:val="2"/>
          <w:sz w:val="24"/>
          <w:szCs w:val="24"/>
          <w:highlight w:val="none"/>
          <w:u w:val="single"/>
          <w14:textFill>
            <w14:solidFill>
              <w14:schemeClr w14:val="tx1"/>
            </w14:solidFill>
          </w14:textFill>
        </w:rPr>
        <w:t>年</w:t>
      </w:r>
      <w:r>
        <w:rPr>
          <w:rStyle w:val="76"/>
          <w:rFonts w:hint="eastAsia" w:ascii="宋体" w:hAnsi="宋体" w:cs="宋体"/>
          <w:snapToGrid/>
          <w:color w:val="000000" w:themeColor="text1"/>
          <w:kern w:val="2"/>
          <w:sz w:val="24"/>
          <w:szCs w:val="24"/>
          <w:highlight w:val="none"/>
          <w:u w:val="single"/>
          <w:lang w:val="en-US" w:eastAsia="zh-CN"/>
          <w14:textFill>
            <w14:solidFill>
              <w14:schemeClr w14:val="tx1"/>
            </w14:solidFill>
          </w14:textFill>
        </w:rPr>
        <w:t>7</w:t>
      </w:r>
      <w:r>
        <w:rPr>
          <w:rStyle w:val="76"/>
          <w:rFonts w:hint="eastAsia" w:ascii="宋体" w:hAnsi="宋体" w:eastAsia="宋体" w:cs="宋体"/>
          <w:snapToGrid/>
          <w:color w:val="000000" w:themeColor="text1"/>
          <w:kern w:val="2"/>
          <w:sz w:val="24"/>
          <w:szCs w:val="24"/>
          <w:highlight w:val="none"/>
          <w:u w:val="single"/>
          <w14:textFill>
            <w14:solidFill>
              <w14:schemeClr w14:val="tx1"/>
            </w14:solidFill>
          </w14:textFill>
        </w:rPr>
        <w:t>月</w:t>
      </w:r>
      <w:r>
        <w:rPr>
          <w:rStyle w:val="76"/>
          <w:rFonts w:hint="eastAsia" w:ascii="宋体" w:hAnsi="宋体" w:cs="宋体"/>
          <w:snapToGrid/>
          <w:color w:val="000000" w:themeColor="text1"/>
          <w:kern w:val="2"/>
          <w:sz w:val="24"/>
          <w:szCs w:val="24"/>
          <w:highlight w:val="none"/>
          <w:u w:val="single"/>
          <w:lang w:val="en-US" w:eastAsia="zh-CN"/>
          <w14:textFill>
            <w14:solidFill>
              <w14:schemeClr w14:val="tx1"/>
            </w14:solidFill>
          </w14:textFill>
        </w:rPr>
        <w:t xml:space="preserve">1 </w:t>
      </w:r>
      <w:r>
        <w:rPr>
          <w:rStyle w:val="76"/>
          <w:rFonts w:hint="eastAsia" w:ascii="宋体" w:hAnsi="宋体" w:eastAsia="宋体" w:cs="宋体"/>
          <w:snapToGrid/>
          <w:color w:val="000000" w:themeColor="text1"/>
          <w:kern w:val="2"/>
          <w:sz w:val="24"/>
          <w:szCs w:val="24"/>
          <w:highlight w:val="none"/>
          <w:u w:val="single"/>
          <w14:textFill>
            <w14:solidFill>
              <w14:schemeClr w14:val="tx1"/>
            </w14:solidFill>
          </w14:textFill>
        </w:rPr>
        <w:t>日</w:t>
      </w:r>
      <w:r>
        <w:rPr>
          <w:rStyle w:val="76"/>
          <w:rFonts w:hint="eastAsia" w:ascii="宋体" w:hAnsi="宋体" w:cs="宋体"/>
          <w:snapToGrid/>
          <w:color w:val="000000" w:themeColor="text1"/>
          <w:kern w:val="2"/>
          <w:sz w:val="24"/>
          <w:szCs w:val="24"/>
          <w:highlight w:val="none"/>
          <w:u w:val="single"/>
          <w:lang w:val="en-US" w:eastAsia="zh-CN"/>
          <w14:textFill>
            <w14:solidFill>
              <w14:schemeClr w14:val="tx1"/>
            </w14:solidFill>
          </w14:textFill>
        </w:rPr>
        <w:t>9</w:t>
      </w:r>
      <w:r>
        <w:rPr>
          <w:rStyle w:val="76"/>
          <w:rFonts w:hint="eastAsia" w:ascii="宋体" w:hAnsi="宋体" w:eastAsia="宋体" w:cs="宋体"/>
          <w:snapToGrid/>
          <w:color w:val="000000" w:themeColor="text1"/>
          <w:kern w:val="2"/>
          <w:sz w:val="24"/>
          <w:szCs w:val="24"/>
          <w:highlight w:val="none"/>
          <w:u w:val="single"/>
          <w14:textFill>
            <w14:solidFill>
              <w14:schemeClr w14:val="tx1"/>
            </w14:solidFill>
          </w14:textFill>
        </w:rPr>
        <w:t>点</w:t>
      </w:r>
      <w:r>
        <w:rPr>
          <w:rStyle w:val="76"/>
          <w:rFonts w:hint="eastAsia" w:ascii="宋体" w:hAnsi="宋体" w:cs="宋体"/>
          <w:snapToGrid/>
          <w:color w:val="000000" w:themeColor="text1"/>
          <w:kern w:val="2"/>
          <w:sz w:val="24"/>
          <w:szCs w:val="24"/>
          <w:highlight w:val="none"/>
          <w:u w:val="single"/>
          <w:lang w:val="en-US" w:eastAsia="zh-CN"/>
          <w14:textFill>
            <w14:solidFill>
              <w14:schemeClr w14:val="tx1"/>
            </w14:solidFill>
          </w14:textFill>
        </w:rPr>
        <w:t>30</w:t>
      </w:r>
      <w:r>
        <w:rPr>
          <w:rStyle w:val="76"/>
          <w:rFonts w:hint="eastAsia" w:ascii="宋体" w:hAnsi="宋体" w:eastAsia="宋体" w:cs="宋体"/>
          <w:snapToGrid/>
          <w:color w:val="000000" w:themeColor="text1"/>
          <w:kern w:val="2"/>
          <w:sz w:val="24"/>
          <w:szCs w:val="24"/>
          <w:highlight w:val="none"/>
          <w:u w:val="single"/>
          <w14:textFill>
            <w14:solidFill>
              <w14:schemeClr w14:val="tx1"/>
            </w14:solidFill>
          </w14:textFill>
        </w:rPr>
        <w:t>分</w:t>
      </w:r>
      <w:r>
        <w:rPr>
          <w:rStyle w:val="76"/>
          <w:rFonts w:hint="eastAsia" w:ascii="宋体" w:hAnsi="宋体" w:eastAsia="宋体" w:cs="宋体"/>
          <w:bCs/>
          <w:snapToGrid/>
          <w:color w:val="000000" w:themeColor="text1"/>
          <w:kern w:val="2"/>
          <w:sz w:val="24"/>
          <w:szCs w:val="24"/>
          <w:highlight w:val="none"/>
          <w:u w:val="single"/>
          <w14:textFill>
            <w14:solidFill>
              <w14:schemeClr w14:val="tx1"/>
            </w14:solidFill>
          </w14:textFill>
        </w:rPr>
        <w:t>00秒</w:t>
      </w:r>
      <w:r>
        <w:rPr>
          <w:rStyle w:val="76"/>
          <w:rFonts w:hint="eastAsia" w:ascii="宋体" w:hAnsi="宋体" w:eastAsia="宋体" w:cs="宋体"/>
          <w:bCs/>
          <w:snapToGrid/>
          <w:color w:val="auto"/>
          <w:kern w:val="2"/>
          <w:sz w:val="24"/>
          <w:szCs w:val="24"/>
          <w:highlight w:val="none"/>
          <w:u w:val="single"/>
        </w:rPr>
        <w:fldChar w:fldCharType="end"/>
      </w:r>
      <w:r>
        <w:rPr>
          <w:rFonts w:hint="eastAsia" w:ascii="宋体" w:hAnsi="宋体" w:cs="宋体"/>
          <w:bCs/>
          <w:color w:val="auto"/>
          <w:sz w:val="24"/>
          <w:highlight w:val="none"/>
        </w:rPr>
        <w:t>（北京时间）前</w:t>
      </w:r>
      <w:r>
        <w:rPr>
          <w:rFonts w:hint="eastAsia" w:ascii="宋体" w:hAnsi="宋体" w:cs="宋体"/>
          <w:color w:val="auto"/>
          <w:sz w:val="24"/>
          <w:highlight w:val="none"/>
        </w:rPr>
        <w:t>递交（上传）投标文件。</w:t>
      </w:r>
    </w:p>
    <w:p>
      <w:pPr>
        <w:spacing w:line="360" w:lineRule="auto"/>
        <w:outlineLvl w:val="1"/>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spacing w:line="360" w:lineRule="auto"/>
        <w:rPr>
          <w:rFonts w:hint="default" w:ascii="宋体" w:hAnsi="宋体" w:eastAsia="宋体" w:cs="宋体"/>
          <w:b/>
          <w:sz w:val="24"/>
          <w:highlight w:val="none"/>
          <w:lang w:val="en-US"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项目编号：</w:t>
      </w:r>
      <w:r>
        <w:rPr>
          <w:rFonts w:hint="eastAsia" w:ascii="宋体" w:hAnsi="宋体" w:cs="宋体"/>
          <w:b/>
          <w:sz w:val="24"/>
          <w:highlight w:val="none"/>
        </w:rPr>
        <w:t>GSZFCG-202</w:t>
      </w:r>
      <w:r>
        <w:rPr>
          <w:rFonts w:hint="eastAsia" w:ascii="宋体" w:hAnsi="宋体" w:cs="宋体"/>
          <w:b/>
          <w:sz w:val="24"/>
          <w:highlight w:val="none"/>
          <w:lang w:val="en-US" w:eastAsia="zh-CN"/>
        </w:rPr>
        <w:t>4</w:t>
      </w:r>
      <w:r>
        <w:rPr>
          <w:rFonts w:hint="eastAsia" w:ascii="宋体" w:hAnsi="宋体" w:cs="宋体"/>
          <w:b/>
          <w:sz w:val="24"/>
          <w:highlight w:val="none"/>
        </w:rPr>
        <w:t>-</w:t>
      </w:r>
      <w:r>
        <w:rPr>
          <w:rFonts w:hint="eastAsia" w:ascii="宋体" w:hAnsi="宋体" w:cs="宋体"/>
          <w:b/>
          <w:sz w:val="24"/>
          <w:highlight w:val="none"/>
          <w:lang w:val="en-US" w:eastAsia="zh-CN"/>
        </w:rPr>
        <w:t>019（2）</w:t>
      </w:r>
    </w:p>
    <w:p>
      <w:pPr>
        <w:spacing w:line="360" w:lineRule="auto"/>
        <w:rPr>
          <w:rFonts w:hint="default" w:ascii="宋体" w:hAnsi="宋体" w:cs="宋体"/>
          <w:color w:val="auto"/>
          <w:sz w:val="24"/>
          <w:highlight w:val="none"/>
          <w:lang w:val="en-US"/>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项目名称：</w:t>
      </w:r>
      <w:r>
        <w:rPr>
          <w:rFonts w:hint="eastAsia" w:ascii="宋体" w:hAnsi="宋体" w:cs="宋体"/>
          <w:b/>
          <w:sz w:val="24"/>
          <w:highlight w:val="none"/>
          <w:lang w:val="en-US" w:eastAsia="zh-CN"/>
        </w:rPr>
        <w:t>杭州市红缨幼儿园物业管理服务采购项目（重新招标）</w:t>
      </w:r>
    </w:p>
    <w:p>
      <w:pPr>
        <w:spacing w:line="360" w:lineRule="auto"/>
        <w:rPr>
          <w:rFonts w:hint="default" w:ascii="宋体" w:hAnsi="宋体" w:cs="宋体"/>
          <w:color w:val="auto"/>
          <w:sz w:val="24"/>
          <w:highlight w:val="none"/>
          <w:lang w:val="en-US"/>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预算金额（元）：</w:t>
      </w:r>
      <w:r>
        <w:rPr>
          <w:rFonts w:hint="eastAsia" w:ascii="宋体" w:hAnsi="宋体" w:cs="宋体"/>
          <w:b/>
          <w:color w:val="auto"/>
          <w:sz w:val="24"/>
          <w:highlight w:val="none"/>
          <w:lang w:val="en-US" w:eastAsia="zh-CN"/>
        </w:rPr>
        <w:t>612600</w:t>
      </w:r>
    </w:p>
    <w:p>
      <w:pPr>
        <w:spacing w:line="360" w:lineRule="auto"/>
        <w:ind w:firstLine="480"/>
        <w:rPr>
          <w:rFonts w:hint="default" w:ascii="宋体" w:hAnsi="宋体" w:cs="宋体"/>
          <w:color w:val="auto"/>
          <w:sz w:val="24"/>
          <w:highlight w:val="none"/>
          <w:lang w:val="en-US"/>
        </w:rPr>
      </w:pPr>
      <w:r>
        <w:rPr>
          <w:rFonts w:hint="eastAsia" w:ascii="宋体" w:hAnsi="宋体" w:cs="宋体"/>
          <w:b/>
          <w:color w:val="auto"/>
          <w:sz w:val="24"/>
          <w:highlight w:val="none"/>
        </w:rPr>
        <w:t>最高限价（元）：</w:t>
      </w:r>
      <w:r>
        <w:rPr>
          <w:rFonts w:hint="eastAsia" w:ascii="宋体" w:hAnsi="宋体" w:cs="宋体"/>
          <w:b/>
          <w:color w:val="auto"/>
          <w:sz w:val="24"/>
          <w:highlight w:val="none"/>
          <w:lang w:val="en-US" w:eastAsia="zh-CN"/>
        </w:rPr>
        <w:t>612600</w:t>
      </w:r>
    </w:p>
    <w:p>
      <w:pPr>
        <w:pStyle w:val="7"/>
        <w:spacing w:line="360" w:lineRule="auto"/>
        <w:ind w:firstLine="480"/>
        <w:rPr>
          <w:rFonts w:hAnsi="宋体" w:cs="宋体"/>
          <w:bCs/>
          <w:snapToGrid/>
          <w:color w:val="auto"/>
          <w:kern w:val="2"/>
          <w:sz w:val="24"/>
          <w:szCs w:val="24"/>
          <w:highlight w:val="none"/>
        </w:rPr>
      </w:pPr>
      <w:r>
        <w:rPr>
          <w:rFonts w:hint="eastAsia" w:hAnsi="宋体" w:cs="宋体"/>
          <w:b/>
          <w:color w:val="auto"/>
          <w:sz w:val="24"/>
          <w:highlight w:val="none"/>
        </w:rPr>
        <w:t>采购需求：</w:t>
      </w:r>
      <w:r>
        <w:rPr>
          <w:rFonts w:hint="eastAsia" w:ascii="宋体" w:hAnsi="宋体" w:cs="宋体"/>
          <w:color w:val="auto"/>
          <w:sz w:val="24"/>
          <w:highlight w:val="none"/>
          <w:u w:val="none"/>
          <w:lang w:val="en-US" w:eastAsia="zh-CN"/>
        </w:rPr>
        <w:t>杭州市红缨幼儿园物业</w:t>
      </w:r>
      <w:r>
        <w:rPr>
          <w:rFonts w:hint="eastAsia" w:hAnsi="宋体" w:cs="宋体"/>
          <w:color w:val="auto"/>
          <w:sz w:val="24"/>
          <w:highlight w:val="none"/>
          <w:u w:val="none"/>
          <w:lang w:val="en-US" w:eastAsia="zh-CN"/>
        </w:rPr>
        <w:t>管理</w:t>
      </w:r>
      <w:r>
        <w:rPr>
          <w:rFonts w:hint="eastAsia" w:ascii="宋体" w:hAnsi="宋体" w:cs="宋体"/>
          <w:color w:val="auto"/>
          <w:sz w:val="24"/>
          <w:highlight w:val="none"/>
          <w:u w:val="none"/>
          <w:lang w:val="en-US" w:eastAsia="zh-CN"/>
        </w:rPr>
        <w:t>服务采购项目</w:t>
      </w:r>
      <w:r>
        <w:rPr>
          <w:rFonts w:hint="eastAsia" w:hAnsi="宋体" w:cs="宋体"/>
          <w:color w:val="auto"/>
          <w:sz w:val="24"/>
          <w:highlight w:val="none"/>
          <w:u w:val="none"/>
          <w:lang w:val="en-US" w:eastAsia="zh-CN"/>
        </w:rPr>
        <w:t>（重新招标）</w:t>
      </w:r>
      <w:r>
        <w:rPr>
          <w:rFonts w:hint="eastAsia" w:hAnsi="宋体" w:cs="宋体"/>
          <w:bCs/>
          <w:snapToGrid/>
          <w:color w:val="auto"/>
          <w:kern w:val="2"/>
          <w:sz w:val="24"/>
          <w:szCs w:val="24"/>
          <w:highlight w:val="none"/>
        </w:rPr>
        <w:t xml:space="preserve">主要内容： </w:t>
      </w:r>
      <w:r>
        <w:rPr>
          <w:rFonts w:hint="eastAsia" w:hAnsi="宋体" w:cs="宋体"/>
          <w:bCs/>
          <w:snapToGrid/>
          <w:color w:val="auto"/>
          <w:kern w:val="2"/>
          <w:sz w:val="24"/>
          <w:szCs w:val="24"/>
          <w:highlight w:val="none"/>
          <w:lang w:eastAsia="zh-CN"/>
        </w:rPr>
        <w:t>红缨幼儿园仓基园区、大关园区、西岸园区、童玩家园区的安全保卫工作</w:t>
      </w:r>
      <w:r>
        <w:rPr>
          <w:rFonts w:hint="eastAsia" w:hAnsi="宋体" w:cs="宋体"/>
          <w:bCs/>
          <w:snapToGrid/>
          <w:color w:val="auto"/>
          <w:kern w:val="2"/>
          <w:sz w:val="24"/>
          <w:szCs w:val="24"/>
          <w:highlight w:val="none"/>
        </w:rPr>
        <w:t>。</w:t>
      </w:r>
      <w:r>
        <w:rPr>
          <w:rFonts w:hint="eastAsia" w:asciiTheme="minorEastAsia" w:hAnsiTheme="minorEastAsia" w:eastAsiaTheme="minorEastAsia"/>
          <w:snapToGrid/>
          <w:color w:val="auto"/>
          <w:kern w:val="2"/>
          <w:sz w:val="24"/>
          <w:szCs w:val="24"/>
          <w:highlight w:val="none"/>
        </w:rPr>
        <w:t>具体以招标文件第三部分采购需求为准，供应商可点击本公告下方“浏览采购文件”查看采购需求。</w:t>
      </w:r>
    </w:p>
    <w:p>
      <w:pPr>
        <w:spacing w:line="360" w:lineRule="auto"/>
        <w:ind w:firstLine="48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合同履约期限：</w:t>
      </w:r>
      <w:r>
        <w:rPr>
          <w:rFonts w:hint="eastAsia" w:ascii="宋体" w:hAnsi="宋体" w:cs="宋体"/>
          <w:b/>
          <w:color w:val="auto"/>
          <w:sz w:val="24"/>
          <w:highlight w:val="none"/>
          <w:lang w:val="en-US" w:eastAsia="zh-CN"/>
        </w:rPr>
        <w:t>自合同签订起1年</w:t>
      </w:r>
      <w:r>
        <w:rPr>
          <w:rFonts w:hint="eastAsia" w:ascii="宋体" w:hAnsi="宋体" w:eastAsia="宋体" w:cs="宋体"/>
          <w:b/>
          <w:color w:val="auto"/>
          <w:sz w:val="24"/>
          <w:highlight w:val="none"/>
        </w:rPr>
        <w:t xml:space="preserve">。 </w:t>
      </w:r>
    </w:p>
    <w:p>
      <w:pPr>
        <w:pStyle w:val="7"/>
        <w:spacing w:line="360" w:lineRule="auto"/>
        <w:ind w:firstLine="480"/>
        <w:rPr>
          <w:rFonts w:hAnsi="宋体" w:cs="宋体"/>
          <w:b/>
          <w:color w:val="auto"/>
          <w:highlight w:val="none"/>
        </w:rPr>
      </w:pPr>
      <w:r>
        <w:rPr>
          <w:rFonts w:hint="eastAsia" w:hAnsi="宋体" w:cs="宋体"/>
          <w:b/>
          <w:color w:val="auto"/>
          <w:sz w:val="24"/>
          <w:highlight w:val="none"/>
        </w:rPr>
        <w:t>本项目接受联合体投标：：</w:t>
      </w:r>
      <w:sdt>
        <w:sdtPr>
          <w:rPr>
            <w:rFonts w:hAnsi="宋体" w:cs="宋体"/>
            <w:color w:val="auto"/>
            <w:kern w:val="0"/>
            <w:sz w:val="24"/>
            <w:highlight w:val="none"/>
          </w:rPr>
          <w:id w:val="213"/>
          <w14:checkbox>
            <w14:checked w14:val="1"/>
            <w14:checkedState w14:val="00FE" w14:font="Wingdings"/>
            <w14:uncheckedState w14:val="2610" w14:font="MS Gothic"/>
          </w14:checkbox>
        </w:sdtPr>
        <w:sdtEndPr>
          <w:rPr>
            <w:rFonts w:hAnsi="宋体" w:cs="宋体"/>
            <w:color w:val="auto"/>
            <w:kern w:val="0"/>
            <w:sz w:val="24"/>
            <w:highlight w:val="none"/>
          </w:rPr>
        </w:sdtEndPr>
        <w:sdtContent>
          <w:r>
            <w:rPr>
              <w:rFonts w:hAnsi="宋体" w:cs="宋体"/>
              <w:color w:val="auto"/>
              <w:kern w:val="0"/>
              <w:sz w:val="24"/>
              <w:highlight w:val="none"/>
            </w:rPr>
            <w:sym w:font="Wingdings" w:char="F0FE"/>
          </w:r>
        </w:sdtContent>
      </w:sdt>
      <w:r>
        <w:rPr>
          <w:rFonts w:hint="eastAsia" w:hAnsi="宋体" w:cs="宋体"/>
          <w:b/>
          <w:color w:val="auto"/>
          <w:sz w:val="24"/>
          <w:highlight w:val="none"/>
        </w:rPr>
        <w:t>是；</w:t>
      </w:r>
      <w:sdt>
        <w:sdtPr>
          <w:rPr>
            <w:rFonts w:hAnsi="宋体" w:cs="宋体"/>
            <w:color w:val="auto"/>
            <w:kern w:val="0"/>
            <w:sz w:val="24"/>
            <w:highlight w:val="none"/>
          </w:rPr>
          <w:id w:val="214"/>
          <w14:checkbox>
            <w14:checked w14:val="0"/>
            <w14:checkedState w14:val="00FE" w14:font="Wingdings"/>
            <w14:uncheckedState w14:val="2610" w14:font="MS Gothic"/>
          </w14:checkbox>
        </w:sdtPr>
        <w:sdtEndPr>
          <w:rPr>
            <w:rFonts w:hAnsi="宋体" w:cs="宋体"/>
            <w:color w:val="auto"/>
            <w:kern w:val="0"/>
            <w:sz w:val="24"/>
            <w:highlight w:val="none"/>
          </w:rPr>
        </w:sdtEndPr>
        <w:sdtContent>
          <w:r>
            <w:rPr>
              <w:rFonts w:ascii="Segoe UI Symbol" w:hAnsi="Segoe UI Symbol" w:cs="Segoe UI Symbol"/>
              <w:color w:val="auto"/>
              <w:kern w:val="0"/>
              <w:sz w:val="24"/>
              <w:highlight w:val="none"/>
            </w:rPr>
            <w:t>☐</w:t>
          </w:r>
        </w:sdtContent>
      </w:sdt>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outlineLvl w:val="1"/>
        <w:rPr>
          <w:rFonts w:ascii="宋体" w:hAnsi="宋体" w:cs="宋体"/>
          <w:b/>
          <w:color w:val="auto"/>
          <w:sz w:val="24"/>
          <w:highlight w:val="none"/>
        </w:rPr>
      </w:pPr>
      <w:r>
        <w:rPr>
          <w:rFonts w:hint="eastAsia" w:ascii="宋体" w:hAnsi="宋体" w:cs="宋体"/>
          <w:b/>
          <w:color w:val="auto"/>
          <w:sz w:val="24"/>
          <w:highlight w:val="none"/>
        </w:rPr>
        <w:t>二、申请人的资格要求：</w:t>
      </w:r>
    </w:p>
    <w:p>
      <w:pPr>
        <w:spacing w:line="360" w:lineRule="auto"/>
        <w:ind w:firstLine="480"/>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 xml:space="preserve">    </w:t>
      </w:r>
      <w:r>
        <w:rPr>
          <w:rFonts w:ascii="宋体" w:hAnsi="宋体" w:cs="宋体"/>
          <w:snapToGrid w:val="0"/>
          <w:color w:val="auto"/>
          <w:kern w:val="28"/>
          <w:sz w:val="24"/>
          <w:szCs w:val="20"/>
          <w:highlight w:val="none"/>
        </w:rPr>
        <w:t>2</w:t>
      </w:r>
      <w:r>
        <w:rPr>
          <w:rFonts w:hint="eastAsia" w:ascii="宋体" w:hAnsi="宋体" w:cs="宋体"/>
          <w:snapToGrid w:val="0"/>
          <w:color w:val="auto"/>
          <w:kern w:val="28"/>
          <w:sz w:val="24"/>
          <w:szCs w:val="20"/>
          <w:highlight w:val="none"/>
        </w:rPr>
        <w:t>.</w:t>
      </w:r>
      <w:r>
        <w:rPr>
          <w:rFonts w:hint="eastAsia"/>
          <w:color w:val="auto"/>
          <w:highlight w:val="none"/>
        </w:rPr>
        <w:t xml:space="preserve"> </w:t>
      </w:r>
      <w:r>
        <w:rPr>
          <w:rFonts w:hint="eastAsia" w:ascii="宋体" w:hAnsi="宋体" w:cs="宋体"/>
          <w:snapToGrid w:val="0"/>
          <w:color w:val="auto"/>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.落实政府采购政策需满足的资格要求：</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2861692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szCs w:val="24"/>
              <w:highlight w:val="none"/>
              <w:lang w:val="en-US" w:eastAsia="zh-CN" w:bidi="ar-SA"/>
            </w:rPr>
            <w:t>☐</w:t>
          </w:r>
        </w:sdtContent>
      </w:sdt>
      <w:r>
        <w:rPr>
          <w:rFonts w:hint="eastAsia" w:ascii="宋体" w:hAnsi="宋体" w:cs="宋体"/>
          <w:color w:val="auto"/>
          <w:sz w:val="24"/>
          <w:highlight w:val="none"/>
        </w:rPr>
        <w:t>无</w:t>
      </w:r>
      <w:r>
        <w:rPr>
          <w:rFonts w:hint="eastAsia" w:ascii="宋体" w:hAnsi="宋体" w:cs="宋体"/>
          <w:snapToGrid w:val="0"/>
          <w:color w:val="auto"/>
          <w:kern w:val="28"/>
          <w:sz w:val="24"/>
          <w:szCs w:val="20"/>
          <w:highlight w:val="none"/>
        </w:rPr>
        <w:t>（注：不得限制大中型企业与小微企业组成联合体参与投标）；</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21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21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sz w:val="24"/>
          <w:highlight w:val="none"/>
        </w:rPr>
        <w:t>服务全部由符合政策要求的中小企业承接，提供中小企业声明函；</w:t>
      </w:r>
    </w:p>
    <w:p>
      <w:pPr>
        <w:spacing w:line="360" w:lineRule="auto"/>
        <w:ind w:firstLine="897" w:firstLineChars="374"/>
        <w:rPr>
          <w:rFonts w:ascii="宋体" w:hAnsi="宋体" w:cs="宋体"/>
          <w:color w:val="auto"/>
          <w:highlight w:val="none"/>
        </w:rPr>
      </w:pPr>
      <w:sdt>
        <w:sdtPr>
          <w:rPr>
            <w:rFonts w:hint="eastAsia" w:ascii="宋体" w:hAnsi="宋体" w:cs="宋体"/>
            <w:color w:val="auto"/>
            <w:kern w:val="0"/>
            <w:sz w:val="24"/>
            <w:highlight w:val="none"/>
          </w:rPr>
          <w:id w:val="21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服务全部由符合政策要求的小微企业承接，提供中小企业声明函；</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219"/>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3463064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要求合同分包，提供分包意向协议和中小企业声明函，分包意向协议中中小企业合同金额应当达到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.本项目的特定资格要求：</w:t>
      </w:r>
    </w:p>
    <w:p>
      <w:pPr>
        <w:snapToGrid w:val="0"/>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221"/>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cs="宋体"/>
          <w:color w:val="auto"/>
          <w:sz w:val="24"/>
          <w:highlight w:val="none"/>
        </w:rPr>
        <w:t>无</w:t>
      </w:r>
    </w:p>
    <w:p>
      <w:pPr>
        <w:snapToGrid w:val="0"/>
        <w:spacing w:line="360" w:lineRule="auto"/>
        <w:ind w:firstLine="480" w:firstLineChars="200"/>
        <w:rPr>
          <w:rFonts w:hint="eastAsia" w:ascii="宋体" w:hAnsi="宋体" w:cs="宋体"/>
          <w:color w:val="FF0000"/>
          <w:sz w:val="24"/>
          <w:highlight w:val="none"/>
          <w:u w:val="single"/>
        </w:rPr>
      </w:pPr>
      <w:sdt>
        <w:sdtPr>
          <w:rPr>
            <w:rFonts w:hint="eastAsia" w:ascii="宋体" w:hAnsi="宋体" w:cs="宋体"/>
            <w:color w:val="FF0000"/>
            <w:kern w:val="0"/>
            <w:sz w:val="24"/>
            <w:highlight w:val="none"/>
          </w:rPr>
          <w:id w:val="222"/>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szCs w:val="24"/>
              <w:highlight w:val="none"/>
              <w:lang w:val="en-US" w:eastAsia="zh-CN" w:bidi="ar-SA"/>
            </w:rPr>
            <w:t>☐</w:t>
          </w:r>
        </w:sdtContent>
      </w:sdt>
      <w:r>
        <w:rPr>
          <w:rFonts w:hint="eastAsia" w:ascii="宋体" w:hAnsi="宋体" w:cs="宋体"/>
          <w:color w:val="auto"/>
          <w:sz w:val="24"/>
          <w:highlight w:val="none"/>
        </w:rPr>
        <w:t>有特定资格要求：</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，该特定条件的法律法规依据：</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outlineLvl w:val="1"/>
        <w:rPr>
          <w:rFonts w:ascii="宋体" w:hAnsi="宋体" w:cs="宋体"/>
          <w:b/>
          <w:color w:val="auto"/>
          <w:sz w:val="24"/>
          <w:highlight w:val="none"/>
        </w:rPr>
      </w:pPr>
      <w:r>
        <w:rPr>
          <w:rFonts w:hint="eastAsia" w:ascii="宋体" w:hAnsi="宋体" w:cs="宋体"/>
          <w:b/>
          <w:color w:val="auto"/>
          <w:sz w:val="24"/>
          <w:highlight w:val="none"/>
        </w:rPr>
        <w:t xml:space="preserve">三、获取招标文件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w:t>
      </w:r>
      <w:r>
        <w:rPr>
          <w:rFonts w:hint="eastAsia" w:ascii="宋体" w:hAnsi="宋体" w:cs="宋体"/>
          <w:color w:val="000000" w:themeColor="text1"/>
          <w:sz w:val="24"/>
          <w:highlight w:val="none"/>
          <w14:textFill>
            <w14:solidFill>
              <w14:schemeClr w14:val="tx1"/>
            </w14:solidFill>
          </w14:textFill>
        </w:rPr>
        <w:t>至</w:t>
      </w:r>
      <w:r>
        <w:rPr>
          <w:rFonts w:hint="eastAsia" w:ascii="宋体" w:hAnsi="宋体" w:cs="宋体"/>
          <w:color w:val="000000" w:themeColor="text1"/>
          <w:sz w:val="24"/>
          <w:highlight w:val="none"/>
          <w:u w:val="single"/>
          <w14:textFill>
            <w14:solidFill>
              <w14:schemeClr w14:val="tx1"/>
            </w14:solidFill>
          </w14:textFill>
        </w:rPr>
        <w:t>202</w:t>
      </w:r>
      <w:r>
        <w:rPr>
          <w:rFonts w:hint="eastAsia" w:ascii="宋体" w:hAnsi="宋体" w:cs="宋体"/>
          <w:color w:val="000000" w:themeColor="text1"/>
          <w:sz w:val="24"/>
          <w:highlight w:val="none"/>
          <w:u w:val="single"/>
          <w:lang w:val="en-US" w:eastAsia="zh-CN"/>
          <w14:textFill>
            <w14:solidFill>
              <w14:schemeClr w14:val="tx1"/>
            </w14:solidFill>
          </w14:textFill>
        </w:rPr>
        <w:t>4</w:t>
      </w:r>
      <w:r>
        <w:rPr>
          <w:rFonts w:hint="eastAsia" w:ascii="宋体" w:hAnsi="宋体" w:cs="宋体"/>
          <w:color w:val="000000" w:themeColor="text1"/>
          <w:sz w:val="24"/>
          <w:highlight w:val="none"/>
          <w:u w:val="single"/>
          <w14:textFill>
            <w14:solidFill>
              <w14:schemeClr w14:val="tx1"/>
            </w14:solidFill>
          </w14:textFill>
        </w:rPr>
        <w:t>年</w:t>
      </w:r>
      <w:r>
        <w:rPr>
          <w:rFonts w:hint="eastAsia" w:ascii="宋体" w:hAnsi="宋体" w:cs="宋体"/>
          <w:color w:val="000000" w:themeColor="text1"/>
          <w:sz w:val="24"/>
          <w:highlight w:val="none"/>
          <w:u w:val="single"/>
          <w:lang w:val="en-US" w:eastAsia="zh-CN"/>
          <w14:textFill>
            <w14:solidFill>
              <w14:schemeClr w14:val="tx1"/>
            </w14:solidFill>
          </w14:textFill>
        </w:rPr>
        <w:t xml:space="preserve"> 7</w:t>
      </w:r>
      <w:r>
        <w:rPr>
          <w:rFonts w:hint="eastAsia" w:ascii="宋体" w:hAnsi="宋体" w:cs="宋体"/>
          <w:color w:val="000000" w:themeColor="text1"/>
          <w:sz w:val="24"/>
          <w:highlight w:val="none"/>
          <w:u w:val="single"/>
          <w14:textFill>
            <w14:solidFill>
              <w14:schemeClr w14:val="tx1"/>
            </w14:solidFill>
          </w14:textFill>
        </w:rPr>
        <w:t>月</w:t>
      </w:r>
      <w:r>
        <w:rPr>
          <w:rFonts w:hint="eastAsia" w:ascii="宋体" w:hAnsi="宋体" w:cs="宋体"/>
          <w:color w:val="000000" w:themeColor="text1"/>
          <w:sz w:val="24"/>
          <w:highlight w:val="none"/>
          <w:u w:val="single"/>
          <w:lang w:val="en-US" w:eastAsia="zh-CN"/>
          <w14:textFill>
            <w14:solidFill>
              <w14:schemeClr w14:val="tx1"/>
            </w14:solidFill>
          </w14:textFill>
        </w:rPr>
        <w:t>1</w:t>
      </w:r>
      <w:r>
        <w:rPr>
          <w:rFonts w:hint="eastAsia" w:ascii="宋体" w:hAnsi="宋体" w:cs="宋体"/>
          <w:color w:val="000000" w:themeColor="text1"/>
          <w:sz w:val="24"/>
          <w:highlight w:val="none"/>
          <w:u w:val="single"/>
          <w14:textFill>
            <w14:solidFill>
              <w14:schemeClr w14:val="tx1"/>
            </w14:solidFill>
          </w14:textFill>
        </w:rPr>
        <w:t>日</w:t>
      </w:r>
      <w:r>
        <w:rPr>
          <w:rFonts w:hint="eastAsia" w:ascii="宋体" w:hAnsi="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outlineLvl w:val="1"/>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color w:val="000000" w:themeColor="text1"/>
          <w:sz w:val="24"/>
          <w:highlight w:val="none"/>
          <w:u w:val="single"/>
          <w14:textFill>
            <w14:solidFill>
              <w14:schemeClr w14:val="tx1"/>
            </w14:solidFill>
          </w14:textFill>
        </w:rPr>
        <w:t xml:space="preserve"> 202</w:t>
      </w:r>
      <w:r>
        <w:rPr>
          <w:rFonts w:hint="eastAsia" w:ascii="宋体" w:hAnsi="宋体" w:cs="宋体"/>
          <w:color w:val="000000" w:themeColor="text1"/>
          <w:sz w:val="24"/>
          <w:highlight w:val="none"/>
          <w:u w:val="single"/>
          <w:lang w:val="en-US" w:eastAsia="zh-CN"/>
          <w14:textFill>
            <w14:solidFill>
              <w14:schemeClr w14:val="tx1"/>
            </w14:solidFill>
          </w14:textFill>
        </w:rPr>
        <w:t>4</w:t>
      </w:r>
      <w:r>
        <w:rPr>
          <w:rFonts w:hint="eastAsia" w:ascii="宋体" w:hAnsi="宋体" w:cs="宋体"/>
          <w:color w:val="000000" w:themeColor="text1"/>
          <w:sz w:val="24"/>
          <w:highlight w:val="none"/>
          <w:u w:val="single"/>
          <w14:textFill>
            <w14:solidFill>
              <w14:schemeClr w14:val="tx1"/>
            </w14:solidFill>
          </w14:textFill>
        </w:rPr>
        <w:t>年</w:t>
      </w:r>
      <w:r>
        <w:rPr>
          <w:rFonts w:hint="eastAsia" w:ascii="宋体" w:hAnsi="宋体" w:cs="宋体"/>
          <w:color w:val="000000" w:themeColor="text1"/>
          <w:sz w:val="24"/>
          <w:highlight w:val="none"/>
          <w:u w:val="single"/>
          <w:lang w:val="en-US" w:eastAsia="zh-CN"/>
          <w14:textFill>
            <w14:solidFill>
              <w14:schemeClr w14:val="tx1"/>
            </w14:solidFill>
          </w14:textFill>
        </w:rPr>
        <w:t>7</w:t>
      </w:r>
      <w:r>
        <w:rPr>
          <w:rFonts w:hint="eastAsia" w:ascii="宋体" w:hAnsi="宋体" w:cs="宋体"/>
          <w:color w:val="000000" w:themeColor="text1"/>
          <w:sz w:val="24"/>
          <w:highlight w:val="none"/>
          <w:u w:val="single"/>
          <w14:textFill>
            <w14:solidFill>
              <w14:schemeClr w14:val="tx1"/>
            </w14:solidFill>
          </w14:textFill>
        </w:rPr>
        <w:t>月</w:t>
      </w:r>
      <w:r>
        <w:rPr>
          <w:rFonts w:hint="eastAsia" w:ascii="宋体" w:hAnsi="宋体" w:cs="宋体"/>
          <w:color w:val="000000" w:themeColor="text1"/>
          <w:sz w:val="24"/>
          <w:highlight w:val="none"/>
          <w:u w:val="single"/>
          <w:lang w:val="en-US" w:eastAsia="zh-CN"/>
          <w14:textFill>
            <w14:solidFill>
              <w14:schemeClr w14:val="tx1"/>
            </w14:solidFill>
          </w14:textFill>
        </w:rPr>
        <w:t xml:space="preserve">1 </w:t>
      </w:r>
      <w:r>
        <w:rPr>
          <w:rFonts w:hint="eastAsia" w:ascii="宋体" w:hAnsi="宋体" w:cs="宋体"/>
          <w:color w:val="000000" w:themeColor="text1"/>
          <w:sz w:val="24"/>
          <w:highlight w:val="none"/>
          <w:u w:val="single"/>
          <w14:textFill>
            <w14:solidFill>
              <w14:schemeClr w14:val="tx1"/>
            </w14:solidFill>
          </w14:textFill>
        </w:rPr>
        <w:t>日</w:t>
      </w:r>
      <w:r>
        <w:rPr>
          <w:rFonts w:hint="eastAsia" w:ascii="宋体" w:hAnsi="宋体" w:cs="宋体"/>
          <w:color w:val="000000" w:themeColor="text1"/>
          <w:sz w:val="24"/>
          <w:highlight w:val="none"/>
          <w:u w:val="single"/>
          <w:lang w:val="en-US" w:eastAsia="zh-CN"/>
          <w14:textFill>
            <w14:solidFill>
              <w14:schemeClr w14:val="tx1"/>
            </w14:solidFill>
          </w14:textFill>
        </w:rPr>
        <w:t>9</w:t>
      </w:r>
      <w:r>
        <w:rPr>
          <w:rFonts w:hint="eastAsia" w:ascii="宋体" w:hAnsi="宋体" w:cs="宋体"/>
          <w:color w:val="000000" w:themeColor="text1"/>
          <w:sz w:val="24"/>
          <w:highlight w:val="none"/>
          <w:u w:val="single"/>
          <w14:textFill>
            <w14:solidFill>
              <w14:schemeClr w14:val="tx1"/>
            </w14:solidFill>
          </w14:textFill>
        </w:rPr>
        <w:t>点</w:t>
      </w:r>
      <w:r>
        <w:rPr>
          <w:rFonts w:hint="eastAsia" w:ascii="宋体" w:hAnsi="宋体" w:cs="宋体"/>
          <w:color w:val="000000" w:themeColor="text1"/>
          <w:sz w:val="24"/>
          <w:highlight w:val="none"/>
          <w:u w:val="single"/>
          <w:lang w:val="en-US" w:eastAsia="zh-CN"/>
          <w14:textFill>
            <w14:solidFill>
              <w14:schemeClr w14:val="tx1"/>
            </w14:solidFill>
          </w14:textFill>
        </w:rPr>
        <w:t>30</w:t>
      </w:r>
      <w:r>
        <w:rPr>
          <w:rFonts w:hint="eastAsia" w:ascii="宋体" w:hAnsi="宋体" w:cs="宋体"/>
          <w:color w:val="000000" w:themeColor="text1"/>
          <w:sz w:val="24"/>
          <w:highlight w:val="none"/>
          <w:u w:val="single"/>
          <w14:textFill>
            <w14:solidFill>
              <w14:schemeClr w14:val="tx1"/>
            </w14:solidFill>
          </w14:textFill>
        </w:rPr>
        <w:t>分00秒</w:t>
      </w:r>
      <w:r>
        <w:rPr>
          <w:rFonts w:hint="eastAsia" w:ascii="宋体" w:hAnsi="宋体" w:cs="宋体"/>
          <w:bCs/>
          <w:color w:val="FF0000"/>
          <w:sz w:val="24"/>
          <w:highlight w:val="none"/>
          <w:u w:val="single"/>
        </w:rPr>
        <w:t xml:space="preserve"> </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color w:val="000000" w:themeColor="text1"/>
          <w:sz w:val="24"/>
          <w:highlight w:val="none"/>
          <w:u w:val="single"/>
          <w14:textFill>
            <w14:solidFill>
              <w14:schemeClr w14:val="tx1"/>
            </w14:solidFill>
          </w14:textFill>
        </w:rPr>
        <w:t>202</w:t>
      </w:r>
      <w:r>
        <w:rPr>
          <w:rFonts w:hint="eastAsia" w:ascii="宋体" w:hAnsi="宋体" w:cs="宋体"/>
          <w:color w:val="000000" w:themeColor="text1"/>
          <w:sz w:val="24"/>
          <w:highlight w:val="none"/>
          <w:u w:val="single"/>
          <w:lang w:val="en-US" w:eastAsia="zh-CN"/>
          <w14:textFill>
            <w14:solidFill>
              <w14:schemeClr w14:val="tx1"/>
            </w14:solidFill>
          </w14:textFill>
        </w:rPr>
        <w:t>4</w:t>
      </w:r>
      <w:r>
        <w:rPr>
          <w:rFonts w:hint="eastAsia" w:ascii="宋体" w:hAnsi="宋体" w:cs="宋体"/>
          <w:color w:val="000000" w:themeColor="text1"/>
          <w:sz w:val="24"/>
          <w:highlight w:val="none"/>
          <w:u w:val="single"/>
          <w14:textFill>
            <w14:solidFill>
              <w14:schemeClr w14:val="tx1"/>
            </w14:solidFill>
          </w14:textFill>
        </w:rPr>
        <w:t>年</w:t>
      </w:r>
      <w:r>
        <w:rPr>
          <w:rFonts w:hint="eastAsia" w:ascii="宋体" w:hAnsi="宋体" w:cs="宋体"/>
          <w:color w:val="000000" w:themeColor="text1"/>
          <w:sz w:val="24"/>
          <w:highlight w:val="none"/>
          <w:u w:val="single"/>
          <w:lang w:val="en-US" w:eastAsia="zh-CN"/>
          <w14:textFill>
            <w14:solidFill>
              <w14:schemeClr w14:val="tx1"/>
            </w14:solidFill>
          </w14:textFill>
        </w:rPr>
        <w:t>7</w:t>
      </w:r>
      <w:r>
        <w:rPr>
          <w:rFonts w:hint="eastAsia" w:ascii="宋体" w:hAnsi="宋体" w:cs="宋体"/>
          <w:color w:val="000000" w:themeColor="text1"/>
          <w:sz w:val="24"/>
          <w:highlight w:val="none"/>
          <w:u w:val="single"/>
          <w14:textFill>
            <w14:solidFill>
              <w14:schemeClr w14:val="tx1"/>
            </w14:solidFill>
          </w14:textFill>
        </w:rPr>
        <w:t>月</w:t>
      </w:r>
      <w:r>
        <w:rPr>
          <w:rFonts w:hint="eastAsia" w:ascii="宋体" w:hAnsi="宋体" w:cs="宋体"/>
          <w:color w:val="000000" w:themeColor="text1"/>
          <w:sz w:val="24"/>
          <w:highlight w:val="none"/>
          <w:u w:val="single"/>
          <w:lang w:val="en-US" w:eastAsia="zh-CN"/>
          <w14:textFill>
            <w14:solidFill>
              <w14:schemeClr w14:val="tx1"/>
            </w14:solidFill>
          </w14:textFill>
        </w:rPr>
        <w:t>1</w:t>
      </w:r>
      <w:bookmarkStart w:id="516" w:name="_GoBack"/>
      <w:bookmarkEnd w:id="516"/>
      <w:r>
        <w:rPr>
          <w:rFonts w:hint="eastAsia" w:ascii="宋体" w:hAnsi="宋体" w:cs="宋体"/>
          <w:color w:val="000000" w:themeColor="text1"/>
          <w:sz w:val="24"/>
          <w:highlight w:val="none"/>
          <w:u w:val="single"/>
          <w14:textFill>
            <w14:solidFill>
              <w14:schemeClr w14:val="tx1"/>
            </w14:solidFill>
          </w14:textFill>
        </w:rPr>
        <w:t>日</w:t>
      </w:r>
      <w:r>
        <w:rPr>
          <w:rFonts w:hint="eastAsia" w:ascii="宋体" w:hAnsi="宋体" w:cs="宋体"/>
          <w:color w:val="000000" w:themeColor="text1"/>
          <w:sz w:val="24"/>
          <w:highlight w:val="none"/>
          <w:u w:val="single"/>
          <w:lang w:val="en-US" w:eastAsia="zh-CN"/>
          <w14:textFill>
            <w14:solidFill>
              <w14:schemeClr w14:val="tx1"/>
            </w14:solidFill>
          </w14:textFill>
        </w:rPr>
        <w:t>9</w:t>
      </w:r>
      <w:r>
        <w:rPr>
          <w:rFonts w:hint="eastAsia" w:ascii="宋体" w:hAnsi="宋体" w:cs="宋体"/>
          <w:color w:val="000000" w:themeColor="text1"/>
          <w:sz w:val="24"/>
          <w:highlight w:val="none"/>
          <w:u w:val="single"/>
          <w14:textFill>
            <w14:solidFill>
              <w14:schemeClr w14:val="tx1"/>
            </w14:solidFill>
          </w14:textFill>
        </w:rPr>
        <w:t>点</w:t>
      </w:r>
      <w:r>
        <w:rPr>
          <w:rFonts w:hint="eastAsia" w:ascii="宋体" w:hAnsi="宋体" w:cs="宋体"/>
          <w:color w:val="000000" w:themeColor="text1"/>
          <w:sz w:val="24"/>
          <w:highlight w:val="none"/>
          <w:u w:val="single"/>
          <w:lang w:val="en-US" w:eastAsia="zh-CN"/>
          <w14:textFill>
            <w14:solidFill>
              <w14:schemeClr w14:val="tx1"/>
            </w14:solidFill>
          </w14:textFill>
        </w:rPr>
        <w:t>30</w:t>
      </w:r>
      <w:r>
        <w:rPr>
          <w:rFonts w:hint="eastAsia" w:ascii="宋体" w:hAnsi="宋体" w:cs="宋体"/>
          <w:color w:val="000000" w:themeColor="text1"/>
          <w:sz w:val="24"/>
          <w:highlight w:val="none"/>
          <w:u w:val="single"/>
          <w14:textFill>
            <w14:solidFill>
              <w14:schemeClr w14:val="tx1"/>
            </w14:solidFill>
          </w14:textFill>
        </w:rPr>
        <w:t>分00秒</w:t>
      </w:r>
      <w:r>
        <w:rPr>
          <w:rFonts w:hint="eastAsia" w:ascii="宋体" w:hAnsi="宋体" w:cs="宋体"/>
          <w:bCs/>
          <w:color w:val="000000" w:themeColor="text1"/>
          <w:sz w:val="24"/>
          <w:highlight w:val="none"/>
          <w:u w:val="single"/>
          <w14:textFill>
            <w14:solidFill>
              <w14:schemeClr w14:val="tx1"/>
            </w14:solidFill>
          </w14:textFill>
        </w:rPr>
        <w:t xml:space="preserve"> </w:t>
      </w:r>
      <w:r>
        <w:rPr>
          <w:rFonts w:hint="eastAsia" w:ascii="宋体" w:hAnsi="宋体" w:cs="宋体"/>
          <w:bCs/>
          <w:color w:val="auto"/>
          <w:sz w:val="24"/>
          <w:highlight w:val="none"/>
          <w:u w:val="single"/>
          <w:lang w:val="en-US" w:eastAsia="zh-CN"/>
        </w:rPr>
        <w:t>（以公告发布的开标</w:t>
      </w:r>
      <w:r>
        <w:rPr>
          <w:rFonts w:hint="default" w:ascii="宋体" w:hAnsi="宋体" w:cs="宋体"/>
          <w:bCs/>
          <w:color w:val="auto"/>
          <w:sz w:val="24"/>
          <w:highlight w:val="none"/>
          <w:u w:val="single"/>
          <w:lang w:eastAsia="zh-CN"/>
        </w:rPr>
        <w:t>截止</w:t>
      </w:r>
      <w:r>
        <w:rPr>
          <w:rFonts w:hint="eastAsia" w:ascii="宋体" w:hAnsi="宋体" w:cs="宋体"/>
          <w:bCs/>
          <w:color w:val="auto"/>
          <w:sz w:val="24"/>
          <w:highlight w:val="none"/>
          <w:u w:val="single"/>
          <w:lang w:val="en-US" w:eastAsia="zh-CN"/>
        </w:rPr>
        <w:t>时间为准）</w:t>
      </w:r>
      <w:r>
        <w:rPr>
          <w:rFonts w:hint="eastAsia" w:ascii="宋体" w:hAnsi="宋体" w:cs="宋体"/>
          <w:bCs/>
          <w:color w:val="auto"/>
          <w:sz w:val="24"/>
          <w:highlight w:val="none"/>
          <w:u w:val="singl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rPr>
        <w:t>政采云平台（https://www.zcygov.cn/）</w:t>
      </w:r>
    </w:p>
    <w:p>
      <w:pPr>
        <w:spacing w:line="360" w:lineRule="auto"/>
        <w:outlineLvl w:val="1"/>
        <w:rPr>
          <w:rFonts w:ascii="宋体" w:hAnsi="宋体" w:cs="宋体"/>
          <w:color w:val="auto"/>
          <w:sz w:val="24"/>
          <w:highlight w:val="none"/>
        </w:rPr>
      </w:pPr>
      <w:r>
        <w:rPr>
          <w:rFonts w:hint="eastAsia" w:ascii="宋体" w:hAnsi="宋体" w:cs="宋体"/>
          <w:b/>
          <w:color w:val="auto"/>
          <w:sz w:val="24"/>
          <w:highlight w:val="none"/>
        </w:rPr>
        <w:t xml:space="preserve">五、公告期限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spacing w:line="360" w:lineRule="auto"/>
        <w:outlineLvl w:val="1"/>
        <w:rPr>
          <w:rFonts w:ascii="宋体" w:hAnsi="宋体" w:cs="宋体"/>
          <w:b/>
          <w:color w:val="auto"/>
          <w:sz w:val="24"/>
          <w:highlight w:val="none"/>
        </w:rPr>
      </w:pPr>
      <w:r>
        <w:rPr>
          <w:rFonts w:hint="eastAsia" w:ascii="宋体" w:hAnsi="宋体" w:cs="宋体"/>
          <w:b/>
          <w:color w:val="auto"/>
          <w:sz w:val="24"/>
          <w:highlight w:val="none"/>
        </w:rPr>
        <w:t>六、其他补充事宜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w:t>
      </w:r>
      <w:r>
        <w:rPr>
          <w:rFonts w:ascii="宋体" w:hAnsi="宋体" w:cs="宋体"/>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outlineLvl w:val="1"/>
        <w:rPr>
          <w:rFonts w:ascii="宋体" w:hAnsi="宋体" w:cs="宋体"/>
          <w:b/>
          <w:color w:val="auto"/>
          <w:sz w:val="24"/>
          <w:highlight w:val="none"/>
        </w:rPr>
      </w:pPr>
      <w:r>
        <w:rPr>
          <w:rFonts w:hint="eastAsia" w:ascii="宋体" w:hAnsi="宋体" w:cs="宋体"/>
          <w:b/>
          <w:color w:val="auto"/>
          <w:sz w:val="24"/>
          <w:highlight w:val="none"/>
        </w:rPr>
        <w:t>七、对本次采购提出询问、质疑、投诉，请按以下方式联系</w:t>
      </w:r>
    </w:p>
    <w:p>
      <w:pPr>
        <w:spacing w:line="360" w:lineRule="auto"/>
        <w:rPr>
          <w:rFonts w:ascii="宋体" w:hAnsi="宋体" w:cs="宋体"/>
          <w:sz w:val="24"/>
          <w:highlight w:val="none"/>
        </w:rPr>
      </w:pPr>
      <w:r>
        <w:rPr>
          <w:rFonts w:hint="eastAsia" w:ascii="宋体" w:hAnsi="宋体" w:cs="宋体"/>
          <w:color w:val="auto"/>
          <w:sz w:val="24"/>
          <w:highlight w:val="none"/>
        </w:rPr>
        <w:t xml:space="preserve">    </w:t>
      </w:r>
      <w:r>
        <w:rPr>
          <w:rFonts w:hint="eastAsia" w:ascii="宋体" w:hAnsi="宋体" w:cs="宋体"/>
          <w:sz w:val="24"/>
          <w:highlight w:val="none"/>
        </w:rPr>
        <w:t>1.采购人信息</w:t>
      </w:r>
    </w:p>
    <w:p>
      <w:pPr>
        <w:spacing w:line="360" w:lineRule="auto"/>
        <w:rPr>
          <w:rFonts w:hint="eastAsia" w:ascii="宋体" w:hAnsi="宋体" w:eastAsia="宋体" w:cs="宋体"/>
          <w:color w:val="auto"/>
          <w:sz w:val="24"/>
          <w:highlight w:val="none"/>
          <w:lang w:eastAsia="zh-CN"/>
        </w:rPr>
      </w:pPr>
      <w:r>
        <w:rPr>
          <w:rFonts w:hint="eastAsia" w:ascii="宋体" w:hAnsi="宋体" w:cs="宋体"/>
          <w:sz w:val="24"/>
          <w:highlight w:val="none"/>
        </w:rPr>
        <w:t xml:space="preserve"> </w:t>
      </w:r>
      <w:r>
        <w:rPr>
          <w:rFonts w:hint="eastAsia" w:ascii="宋体" w:hAnsi="宋体" w:cs="宋体"/>
          <w:color w:val="auto"/>
          <w:sz w:val="24"/>
          <w:highlight w:val="none"/>
        </w:rPr>
        <w:t xml:space="preserve">   名    称：</w:t>
      </w:r>
      <w:r>
        <w:rPr>
          <w:rFonts w:hint="eastAsia" w:ascii="宋体" w:hAnsi="宋体" w:cs="宋体"/>
          <w:color w:val="auto"/>
          <w:sz w:val="24"/>
          <w:highlight w:val="none"/>
          <w:lang w:eastAsia="zh-CN"/>
        </w:rPr>
        <w:t>杭州市红缨幼儿园</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地    址： </w:t>
      </w:r>
      <w:r>
        <w:rPr>
          <w:rFonts w:hint="eastAsia" w:ascii="宋体" w:hAnsi="宋体" w:cs="宋体"/>
          <w:color w:val="auto"/>
          <w:sz w:val="24"/>
          <w:highlight w:val="none"/>
          <w:lang w:eastAsia="zh-CN"/>
        </w:rPr>
        <w:t>杭州市仓基新村</w:t>
      </w:r>
      <w:r>
        <w:rPr>
          <w:rFonts w:hint="eastAsia" w:ascii="宋体" w:hAnsi="宋体" w:cs="宋体"/>
          <w:color w:val="auto"/>
          <w:sz w:val="24"/>
          <w:highlight w:val="none"/>
          <w:lang w:val="en-US" w:eastAsia="zh-CN"/>
        </w:rPr>
        <w:t>45号</w:t>
      </w:r>
      <w:r>
        <w:rPr>
          <w:rFonts w:hint="eastAsia" w:ascii="宋体" w:hAnsi="宋体" w:cs="宋体"/>
          <w:color w:val="auto"/>
          <w:sz w:val="24"/>
          <w:highlight w:val="none"/>
        </w:rPr>
        <w:t xml:space="preserve">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传    真：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 xml:space="preserve">项目联系人（询问）： </w:t>
      </w:r>
      <w:r>
        <w:rPr>
          <w:rFonts w:hint="eastAsia" w:ascii="宋体" w:hAnsi="宋体" w:cs="宋体"/>
          <w:color w:val="auto"/>
          <w:sz w:val="24"/>
          <w:highlight w:val="none"/>
          <w:lang w:eastAsia="zh-CN"/>
        </w:rPr>
        <w:t>陈老师</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项目联系方式（询问）：</w:t>
      </w:r>
      <w:r>
        <w:rPr>
          <w:rFonts w:hint="eastAsia" w:ascii="宋体" w:hAnsi="宋体" w:cs="宋体"/>
          <w:color w:val="auto"/>
          <w:sz w:val="24"/>
          <w:highlight w:val="none"/>
          <w:lang w:val="en-US" w:eastAsia="zh-CN"/>
        </w:rPr>
        <w:t>13071859733</w:t>
      </w:r>
      <w:r>
        <w:rPr>
          <w:rFonts w:hint="eastAsia" w:ascii="宋体" w:hAnsi="宋体" w:cs="宋体"/>
          <w:color w:val="auto"/>
          <w:sz w:val="24"/>
          <w:highlight w:val="none"/>
        </w:rPr>
        <w:t xml:space="preserve"> </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质疑联系人：</w:t>
      </w:r>
      <w:r>
        <w:rPr>
          <w:rFonts w:hint="eastAsia" w:ascii="宋体" w:hAnsi="宋体" w:cs="宋体"/>
          <w:color w:val="auto"/>
          <w:sz w:val="24"/>
          <w:highlight w:val="none"/>
          <w:lang w:eastAsia="zh-CN"/>
        </w:rPr>
        <w:t>陶老师</w:t>
      </w:r>
      <w:r>
        <w:rPr>
          <w:rFonts w:hint="eastAsia" w:ascii="宋体" w:hAnsi="宋体" w:cs="宋体"/>
          <w:color w:val="auto"/>
          <w:sz w:val="24"/>
          <w:highlight w:val="none"/>
        </w:rPr>
        <w:t xml:space="preserve">    </w:t>
      </w:r>
    </w:p>
    <w:p>
      <w:pPr>
        <w:spacing w:line="360" w:lineRule="auto"/>
        <w:ind w:firstLine="48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质疑联系方式：</w:t>
      </w:r>
      <w:r>
        <w:rPr>
          <w:rFonts w:hint="eastAsia" w:ascii="宋体" w:hAnsi="宋体" w:cs="宋体"/>
          <w:color w:val="auto"/>
          <w:sz w:val="24"/>
          <w:highlight w:val="none"/>
          <w:lang w:val="en-US" w:eastAsia="zh-CN"/>
        </w:rPr>
        <w:t>18969132610</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2.采购代理机构信息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 xml:space="preserve">名    称：杭州市公共资源交易中心拱墅分中心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地    址：杭州市拱墅区香积寺东路58号3楼</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传    真： /</w:t>
      </w:r>
    </w:p>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 xml:space="preserve">    项目联系人（询问）： </w:t>
      </w:r>
      <w:r>
        <w:rPr>
          <w:rFonts w:hint="eastAsia" w:ascii="宋体" w:hAnsi="宋体" w:cs="宋体"/>
          <w:color w:val="auto"/>
          <w:sz w:val="24"/>
          <w:highlight w:val="none"/>
          <w:lang w:val="en-US" w:eastAsia="zh-CN"/>
        </w:rPr>
        <w:t>王工</w:t>
      </w:r>
    </w:p>
    <w:p>
      <w:pPr>
        <w:spacing w:line="360" w:lineRule="auto"/>
        <w:ind w:firstLine="48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项目联系方式（询问）：</w:t>
      </w:r>
      <w:r>
        <w:rPr>
          <w:rFonts w:hint="eastAsia" w:ascii="宋体" w:hAnsi="宋体" w:cs="宋体"/>
          <w:color w:val="auto"/>
          <w:sz w:val="24"/>
          <w:highlight w:val="none"/>
          <w:lang w:val="en-US" w:eastAsia="zh-CN"/>
        </w:rPr>
        <w:t>0571-89507161</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质疑联系人：</w:t>
      </w:r>
      <w:r>
        <w:rPr>
          <w:rFonts w:hint="eastAsia" w:ascii="宋体" w:hAnsi="宋体" w:cs="宋体"/>
          <w:color w:val="auto"/>
          <w:sz w:val="24"/>
          <w:highlight w:val="none"/>
          <w:lang w:val="en-US" w:eastAsia="zh-CN"/>
        </w:rPr>
        <w:t>陈工</w:t>
      </w:r>
      <w:r>
        <w:rPr>
          <w:rFonts w:hint="eastAsia" w:ascii="宋体" w:hAnsi="宋体" w:cs="宋体"/>
          <w:color w:val="auto"/>
          <w:sz w:val="24"/>
          <w:highlight w:val="none"/>
        </w:rPr>
        <w:t xml:space="preserve">  </w:t>
      </w:r>
    </w:p>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 xml:space="preserve">    质疑联系方式：0571-865982</w:t>
      </w:r>
      <w:r>
        <w:rPr>
          <w:rFonts w:hint="eastAsia" w:ascii="宋体" w:hAnsi="宋体" w:cs="宋体"/>
          <w:color w:val="auto"/>
          <w:sz w:val="24"/>
          <w:highlight w:val="none"/>
          <w:lang w:val="en-US" w:eastAsia="zh-CN"/>
        </w:rPr>
        <w:t>53</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3.同级政府采购监督管理部门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名    称：</w:t>
      </w:r>
      <w:r>
        <w:rPr>
          <w:rFonts w:hint="eastAsia" w:ascii="宋体" w:hAnsi="宋体" w:eastAsia="宋体" w:cs="宋体"/>
          <w:color w:val="auto"/>
          <w:sz w:val="24"/>
          <w:highlight w:val="none"/>
          <w:lang w:eastAsia="zh-CN"/>
        </w:rPr>
        <w:t>杭州市拱墅区财政局政府采购监管处</w:t>
      </w:r>
      <w:r>
        <w:rPr>
          <w:rFonts w:hint="eastAsia" w:ascii="宋体" w:hAnsi="宋体" w:cs="宋体"/>
          <w:color w:val="auto"/>
          <w:sz w:val="24"/>
          <w:highlight w:val="none"/>
        </w:rPr>
        <w:t>/浙江省政府采购行政裁决服务中心（杭州）</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地    址：杭州市上城区四季青街道新业路市民之家G03办公室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传    真：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联系人 ：朱女士、王女士</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监督投诉电话：电话：0571-85252453</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政策咨询：彭先生</w:t>
      </w:r>
      <w:r>
        <w:rPr>
          <w:rFonts w:hint="eastAsia" w:ascii="宋体" w:hAnsi="宋体" w:cs="宋体"/>
          <w:color w:val="auto"/>
          <w:sz w:val="24"/>
          <w:highlight w:val="none"/>
          <w:lang w:eastAsia="zh-CN"/>
        </w:rPr>
        <w:t>：</w:t>
      </w:r>
      <w:r>
        <w:rPr>
          <w:rFonts w:hint="eastAsia" w:ascii="宋体" w:hAnsi="宋体" w:cs="宋体"/>
          <w:color w:val="auto"/>
          <w:sz w:val="24"/>
          <w:highlight w:val="none"/>
        </w:rPr>
        <w:t xml:space="preserve">0571-89505676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若对项目采购电子交易系统操作有疑问，可登录政采云（https://www.zcygov.cn/），点击右侧咨询小采，获取采小蜜智能服务管家帮助，或拨打政采云服务热线</w:t>
      </w:r>
      <w:r>
        <w:rPr>
          <w:rFonts w:hint="eastAsia" w:ascii="微软雅黑" w:hAnsi="微软雅黑" w:eastAsia="微软雅黑"/>
          <w:color w:val="auto"/>
          <w:szCs w:val="21"/>
          <w:highlight w:val="none"/>
          <w:shd w:val="clear" w:color="auto" w:fill="FFFFFF"/>
        </w:rPr>
        <w:t>95763</w:t>
      </w:r>
      <w:r>
        <w:rPr>
          <w:rFonts w:hint="eastAsia" w:ascii="宋体" w:hAnsi="宋体" w:cs="宋体"/>
          <w:color w:val="auto"/>
          <w:sz w:val="24"/>
          <w:highlight w:val="none"/>
        </w:rPr>
        <w:t>获取热线服务帮助。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CA问题联系电话（人工）：汇信CA 400-888-4636；天谷CA 400-087-8198。</w:t>
      </w:r>
    </w:p>
    <w:p>
      <w:pPr>
        <w:widowControl/>
        <w:adjustRightInd/>
        <w:jc w:val="left"/>
        <w:rPr>
          <w:rFonts w:ascii="宋体" w:hAnsi="宋体" w:cs="宋体"/>
          <w:b/>
          <w:color w:val="auto"/>
          <w:sz w:val="36"/>
          <w:szCs w:val="20"/>
          <w:highlight w:val="none"/>
        </w:rPr>
      </w:pPr>
      <w:r>
        <w:rPr>
          <w:rFonts w:ascii="宋体" w:hAnsi="宋体" w:cs="宋体"/>
          <w:b/>
          <w:color w:val="auto"/>
          <w:sz w:val="36"/>
          <w:szCs w:val="20"/>
          <w:highlight w:val="none"/>
        </w:rPr>
        <w:br w:type="page"/>
      </w:r>
    </w:p>
    <w:p>
      <w:pPr>
        <w:adjustRightInd/>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第二部分</w:t>
      </w:r>
      <w:bookmarkEnd w:id="8"/>
      <w:r>
        <w:rPr>
          <w:rFonts w:hint="eastAsia" w:ascii="宋体" w:hAnsi="宋体" w:cs="宋体"/>
          <w:b/>
          <w:color w:val="auto"/>
          <w:sz w:val="36"/>
          <w:szCs w:val="20"/>
          <w:highlight w:val="none"/>
        </w:rPr>
        <w:t xml:space="preserve"> 投标人须知</w:t>
      </w:r>
      <w:bookmarkEnd w:id="9"/>
    </w:p>
    <w:p>
      <w:pPr>
        <w:adjustRightInd/>
        <w:spacing w:line="360" w:lineRule="auto"/>
        <w:ind w:firstLine="3845" w:firstLineChars="1197"/>
        <w:outlineLvl w:val="1"/>
        <w:rPr>
          <w:rFonts w:ascii="宋体" w:hAnsi="宋体" w:cs="宋体"/>
          <w:b/>
          <w:color w:val="auto"/>
          <w:sz w:val="32"/>
          <w:szCs w:val="20"/>
          <w:highlight w:val="none"/>
        </w:rPr>
      </w:pPr>
      <w:r>
        <w:rPr>
          <w:rFonts w:hint="eastAsia" w:ascii="宋体" w:hAnsi="宋体" w:cs="宋体"/>
          <w:b/>
          <w:color w:val="auto"/>
          <w:sz w:val="32"/>
          <w:szCs w:val="20"/>
          <w:highlight w:val="none"/>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（1）标的：</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lang w:eastAsia="zh-CN"/>
              </w:rPr>
              <w:t>物业服务</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，属于</w:t>
            </w:r>
            <w:r>
              <w:rPr>
                <w:rFonts w:hint="eastAsia" w:ascii="宋体" w:hAnsi="宋体" w:cs="宋体"/>
                <w:color w:val="auto"/>
                <w:kern w:val="0"/>
                <w:sz w:val="24"/>
                <w:highlight w:val="none"/>
                <w:u w:val="single"/>
                <w:lang w:eastAsia="zh-CN"/>
              </w:rPr>
              <w:t>物业管理</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行业；</w:t>
            </w:r>
          </w:p>
          <w:p>
            <w:pPr>
              <w:pStyle w:val="5"/>
              <w:ind w:left="0" w:leftChars="0" w:firstLine="0" w:firstLineChars="0"/>
              <w:rPr>
                <w:rFonts w:ascii="宋体" w:hAnsi="宋体" w:eastAsia="宋体" w:cs="宋体"/>
                <w:color w:val="auto"/>
                <w:highlight w:val="none"/>
                <w:lang w:val="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223"/>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本项目不允许采购进口产品。</w:t>
            </w:r>
          </w:p>
          <w:p>
            <w:pPr>
              <w:spacing w:line="360" w:lineRule="auto"/>
              <w:rPr>
                <w:rFonts w:ascii="宋体" w:hAnsi="宋体" w:cs="宋体"/>
                <w:color w:val="auto"/>
                <w:highlight w:val="none"/>
              </w:rPr>
            </w:pPr>
            <w:sdt>
              <w:sdtPr>
                <w:rPr>
                  <w:rFonts w:hint="eastAsia" w:ascii="宋体" w:hAnsi="宋体" w:cs="宋体"/>
                  <w:color w:val="auto"/>
                  <w:kern w:val="0"/>
                  <w:sz w:val="24"/>
                  <w:highlight w:val="none"/>
                </w:rPr>
                <w:id w:val="22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可以就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采购进口产品。优先采购向我国企业转让技术、与我国企业签订消化吸收再创新方案的供应商的进口产品，详见</w:t>
            </w:r>
            <w:r>
              <w:rPr>
                <w:rFonts w:hint="eastAsia" w:ascii="宋体" w:hAnsi="宋体" w:cs="宋体"/>
                <w:color w:val="auto"/>
                <w:kern w:val="0"/>
                <w:sz w:val="24"/>
                <w:highlight w:val="none"/>
                <w:u w:val="single"/>
              </w:rPr>
              <w:t>评分标准</w:t>
            </w:r>
            <w:r>
              <w:rPr>
                <w:rFonts w:hint="eastAsia" w:ascii="宋体" w:hAnsi="宋体" w:cs="宋体"/>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cs="宋体"/>
                <w:color w:val="auto"/>
                <w:sz w:val="24"/>
                <w:highlight w:val="none"/>
                <w:lang w:eastAsia="zh-CN"/>
              </w:rPr>
            </w:pPr>
            <w:sdt>
              <w:sdtPr>
                <w:rPr>
                  <w:rFonts w:hint="eastAsia" w:ascii="宋体" w:hAnsi="宋体" w:cs="宋体"/>
                  <w:color w:val="auto"/>
                  <w:kern w:val="0"/>
                  <w:sz w:val="24"/>
                  <w:highlight w:val="none"/>
                </w:rPr>
                <w:id w:val="225"/>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eastAsia="宋体"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 xml:space="preserve"> A</w:t>
            </w:r>
            <w:r>
              <w:rPr>
                <w:rFonts w:hint="eastAsia" w:ascii="宋体" w:hAnsi="宋体" w:cs="宋体"/>
                <w:color w:val="auto"/>
                <w:sz w:val="24"/>
                <w:highlight w:val="none"/>
              </w:rPr>
              <w:t>同意将非主体、非关键性的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延时加班</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工作</w:t>
            </w:r>
            <w:r>
              <w:rPr>
                <w:rFonts w:hint="eastAsia" w:ascii="宋体" w:hAnsi="宋体" w:cs="宋体"/>
                <w:color w:val="auto"/>
                <w:sz w:val="24"/>
                <w:highlight w:val="none"/>
                <w:lang w:eastAsia="zh-CN"/>
              </w:rPr>
              <w:t>分包</w:t>
            </w:r>
          </w:p>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226"/>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cs="宋体"/>
                <w:color w:val="auto"/>
                <w:kern w:val="0"/>
                <w:sz w:val="24"/>
                <w:highlight w:val="none"/>
              </w:rPr>
              <w:t xml:space="preserve"> B</w:t>
            </w:r>
            <w:r>
              <w:rPr>
                <w:rFonts w:hint="eastAsia" w:ascii="宋体" w:hAnsi="宋体" w:cs="宋体"/>
                <w:color w:val="auto"/>
                <w:sz w:val="24"/>
                <w:highlight w:val="none"/>
              </w:rPr>
              <w:t>不同意分包。</w:t>
            </w:r>
          </w:p>
          <w:p>
            <w:pPr>
              <w:spacing w:line="360" w:lineRule="auto"/>
              <w:rPr>
                <w:rFonts w:ascii="宋体" w:hAnsi="宋体" w:cs="宋体"/>
                <w:color w:val="auto"/>
                <w:sz w:val="24"/>
                <w:highlight w:val="none"/>
              </w:rPr>
            </w:pPr>
            <w:r>
              <w:rPr>
                <w:rFonts w:hint="eastAsia" w:ascii="宋体" w:hAnsi="宋体" w:cs="宋体"/>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22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sz w:val="24"/>
                <w:szCs w:val="20"/>
                <w:highlight w:val="none"/>
              </w:rPr>
            </w:pPr>
            <w:sdt>
              <w:sdtPr>
                <w:rPr>
                  <w:rFonts w:hint="eastAsia" w:ascii="宋体" w:hAnsi="宋体" w:cs="宋体"/>
                  <w:color w:val="auto"/>
                  <w:kern w:val="0"/>
                  <w:sz w:val="24"/>
                  <w:highlight w:val="none"/>
                </w:rPr>
                <w:id w:val="22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r>
              <w:rPr>
                <w:rFonts w:hint="eastAsia" w:ascii="宋体" w:hAnsi="宋体" w:cs="宋体"/>
                <w:color w:val="auto"/>
                <w:sz w:val="24"/>
                <w:highlight w:val="none"/>
              </w:rPr>
              <w:t>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，联系方式：</w:t>
            </w:r>
            <w:r>
              <w:rPr>
                <w:rFonts w:hint="eastAsia" w:ascii="宋体" w:hAnsi="宋体" w:cs="宋体"/>
                <w:color w:val="auto"/>
                <w:sz w:val="24"/>
                <w:highlight w:val="none"/>
                <w:u w:val="single"/>
              </w:rPr>
              <w:t xml:space="preserve">      </w:t>
            </w:r>
            <w:r>
              <w:rPr>
                <w:rFonts w:hint="eastAsia" w:ascii="宋体" w:hAnsi="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22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不要求提供。</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02683198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B要求提供（未提供样品或提供样品不满足采购需求实质性条件的供应商，投标无效）：</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snapToGrid w:val="0"/>
                <w:color w:val="auto"/>
                <w:kern w:val="28"/>
                <w:sz w:val="24"/>
                <w:highlight w:val="none"/>
              </w:rPr>
              <w:t>样品：</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w:t>
            </w:r>
            <w:r>
              <w:rPr>
                <w:rFonts w:hint="eastAsia" w:ascii="宋体" w:hAnsi="宋体" w:cs="宋体"/>
                <w:snapToGrid w:val="0"/>
                <w:color w:val="auto"/>
                <w:kern w:val="28"/>
                <w:sz w:val="24"/>
                <w:highlight w:val="none"/>
              </w:rPr>
              <w:t>样品制作的标准和要求：</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hint="eastAsia" w:ascii="宋体" w:hAnsi="宋体" w:cs="宋体"/>
                <w:snapToGrid w:val="0"/>
                <w:color w:val="auto"/>
                <w:kern w:val="28"/>
                <w:sz w:val="24"/>
                <w:highlight w:val="none"/>
              </w:rPr>
            </w:pPr>
            <w:r>
              <w:rPr>
                <w:rFonts w:hint="eastAsia" w:ascii="宋体" w:hAnsi="宋体" w:cs="宋体"/>
                <w:color w:val="auto"/>
                <w:kern w:val="0"/>
                <w:sz w:val="24"/>
                <w:highlight w:val="none"/>
              </w:rPr>
              <w:t>（3）样品的评审方法以及评审标准</w:t>
            </w:r>
            <w:r>
              <w:rPr>
                <w:rFonts w:hint="eastAsia" w:ascii="宋体" w:hAnsi="宋体" w:cs="宋体"/>
                <w:snapToGrid w:val="0"/>
                <w:color w:val="auto"/>
                <w:kern w:val="28"/>
                <w:sz w:val="24"/>
                <w:highlight w:val="none"/>
              </w:rPr>
              <w:t>：</w:t>
            </w:r>
          </w:p>
          <w:p>
            <w:pPr>
              <w:spacing w:line="360" w:lineRule="auto"/>
              <w:ind w:firstLine="240" w:firstLineChars="100"/>
              <w:rPr>
                <w:rFonts w:ascii="宋体" w:hAnsi="宋体" w:cs="宋体"/>
                <w:color w:val="auto"/>
                <w:sz w:val="24"/>
                <w:highlight w:val="none"/>
              </w:rPr>
            </w:pPr>
            <w:sdt>
              <w:sdtPr>
                <w:rPr>
                  <w:rFonts w:hint="eastAsia" w:ascii="宋体" w:hAnsi="宋体" w:cs="宋体"/>
                  <w:color w:val="auto"/>
                  <w:kern w:val="0"/>
                  <w:sz w:val="24"/>
                  <w:highlight w:val="none"/>
                </w:rPr>
                <w:id w:val="231"/>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样品分未超过价格分的50%；</w:t>
            </w:r>
          </w:p>
          <w:p>
            <w:pPr>
              <w:spacing w:line="360" w:lineRule="auto"/>
              <w:ind w:firstLine="240" w:firstLineChars="100"/>
              <w:rPr>
                <w:rFonts w:ascii="宋体" w:hAnsi="宋体" w:cs="宋体"/>
                <w:color w:val="auto"/>
                <w:kern w:val="0"/>
                <w:sz w:val="24"/>
                <w:highlight w:val="none"/>
              </w:rPr>
            </w:pPr>
            <w:sdt>
              <w:sdtPr>
                <w:rPr>
                  <w:rFonts w:hint="eastAsia" w:ascii="宋体" w:hAnsi="宋体" w:cs="宋体"/>
                  <w:color w:val="auto"/>
                  <w:kern w:val="0"/>
                  <w:sz w:val="24"/>
                  <w:highlight w:val="none"/>
                </w:rPr>
                <w:id w:val="232"/>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样品分超过价格分的50%，理由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360" w:lineRule="auto"/>
              <w:ind w:firstLine="240" w:firstLineChars="100"/>
              <w:rPr>
                <w:rFonts w:ascii="宋体" w:hAnsi="宋体" w:cs="宋体"/>
                <w:color w:val="auto"/>
                <w:kern w:val="0"/>
                <w:sz w:val="24"/>
                <w:highlight w:val="none"/>
              </w:rPr>
            </w:pPr>
            <w:r>
              <w:rPr>
                <w:rFonts w:hint="eastAsia" w:ascii="宋体" w:hAnsi="宋体" w:cs="宋体"/>
                <w:snapToGrid w:val="0"/>
                <w:color w:val="auto"/>
                <w:kern w:val="28"/>
                <w:sz w:val="24"/>
                <w:highlight w:val="none"/>
              </w:rPr>
              <w:t>详见招标文件第四部分</w:t>
            </w:r>
            <w:r>
              <w:rPr>
                <w:rFonts w:hint="eastAsia" w:ascii="宋体" w:hAnsi="宋体" w:cs="宋体"/>
                <w:color w:val="auto"/>
                <w:sz w:val="24"/>
                <w:highlight w:val="none"/>
                <w:u w:val="single"/>
              </w:rPr>
              <w:t>评标办分法</w:t>
            </w:r>
            <w:r>
              <w:rPr>
                <w:rFonts w:hint="eastAsia" w:ascii="宋体" w:hAnsi="宋体" w:cs="宋体"/>
                <w:color w:val="auto"/>
                <w:kern w:val="0"/>
                <w:sz w:val="24"/>
                <w:highlight w:val="none"/>
              </w:rPr>
              <w:t xml:space="preserve">。 </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（4）是否需要随样品提交检测报告：</w:t>
            </w:r>
            <w:sdt>
              <w:sdtPr>
                <w:rPr>
                  <w:rFonts w:hint="eastAsia" w:ascii="宋体" w:hAnsi="宋体" w:cs="宋体"/>
                  <w:color w:val="auto"/>
                  <w:kern w:val="0"/>
                  <w:sz w:val="24"/>
                  <w:highlight w:val="none"/>
                </w:rPr>
                <w:id w:val="130342145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否；</w:t>
            </w:r>
            <w:sdt>
              <w:sdtPr>
                <w:rPr>
                  <w:rFonts w:hint="eastAsia" w:ascii="宋体" w:hAnsi="宋体" w:cs="宋体"/>
                  <w:color w:val="auto"/>
                  <w:kern w:val="0"/>
                  <w:sz w:val="24"/>
                  <w:highlight w:val="none"/>
                </w:rPr>
                <w:id w:val="162172843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是，检测机构的要求</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；检测内容</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（5）提供样品的时间：</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日9点00分至202</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日9点30分；地点：杭州市拱墅区香积寺东路58号3楼样品陈列室 ；联系人:</w:t>
            </w:r>
            <w:r>
              <w:rPr>
                <w:rFonts w:hint="eastAsia" w:ascii="宋体" w:hAnsi="宋体" w:cs="宋体"/>
                <w:color w:val="auto"/>
                <w:sz w:val="24"/>
                <w:highlight w:val="none"/>
                <w:u w:val="single"/>
              </w:rPr>
              <w:t>孙工</w:t>
            </w:r>
            <w:r>
              <w:rPr>
                <w:rFonts w:hint="eastAsia" w:ascii="宋体" w:hAnsi="宋体" w:cs="宋体"/>
                <w:color w:val="auto"/>
                <w:sz w:val="24"/>
                <w:highlight w:val="none"/>
              </w:rPr>
              <w:t>，联系电话：</w:t>
            </w:r>
            <w:r>
              <w:rPr>
                <w:rFonts w:hint="eastAsia" w:ascii="宋体" w:hAnsi="宋体" w:cs="宋体"/>
                <w:color w:val="auto"/>
                <w:sz w:val="24"/>
                <w:highlight w:val="none"/>
                <w:u w:val="single"/>
              </w:rPr>
              <w:t>0571-</w:t>
            </w:r>
            <w:r>
              <w:rPr>
                <w:rFonts w:hint="eastAsia" w:ascii="宋体" w:hAnsi="宋体" w:cs="宋体"/>
                <w:color w:val="auto"/>
                <w:sz w:val="24"/>
                <w:highlight w:val="none"/>
                <w:u w:val="single"/>
                <w:lang w:val="en-US" w:eastAsia="zh-CN"/>
              </w:rPr>
              <w:t>89507115</w:t>
            </w:r>
            <w:r>
              <w:rPr>
                <w:rFonts w:hint="eastAsia" w:ascii="宋体" w:hAnsi="宋体" w:cs="宋体"/>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ascii="宋体" w:hAnsi="宋体" w:cs="宋体"/>
                <w:b/>
                <w:color w:val="auto"/>
                <w:sz w:val="24"/>
                <w:highlight w:val="none"/>
              </w:rPr>
            </w:pPr>
            <w:r>
              <w:rPr>
                <w:rFonts w:hint="eastAsia" w:ascii="宋体" w:hAnsi="宋体" w:cs="宋体"/>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highlight w:val="none"/>
              </w:rPr>
            </w:pPr>
            <w:r>
              <w:rPr>
                <w:rFonts w:hint="eastAsia" w:ascii="宋体" w:hAnsi="宋体" w:cs="宋体"/>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235"/>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174071719"/>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（2）方案讲解演示可选择以下其中一种方式：</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方式二：交易中心现场讲解演示。现场讲解地点为</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kern w:val="0"/>
                <w:sz w:val="24"/>
                <w:highlight w:val="none"/>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color w:val="auto"/>
                <w:kern w:val="0"/>
                <w:sz w:val="24"/>
                <w:highlight w:val="none"/>
                <w:lang w:val="zh-CN"/>
              </w:rPr>
            </w:pPr>
            <w:r>
              <w:rPr>
                <w:rFonts w:hint="eastAsia" w:ascii="宋体" w:hAnsi="宋体" w:cs="宋体"/>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（1）资格证明文件：见招标文件第二部分11.1。</w:t>
            </w:r>
          </w:p>
          <w:p>
            <w:pPr>
              <w:spacing w:line="360" w:lineRule="auto"/>
              <w:rPr>
                <w:rFonts w:ascii="宋体" w:hAnsi="宋体" w:cs="宋体"/>
                <w:snapToGrid w:val="0"/>
                <w:color w:val="auto"/>
                <w:kern w:val="0"/>
                <w:szCs w:val="21"/>
                <w:highlight w:val="none"/>
              </w:rPr>
            </w:pPr>
            <w:r>
              <w:rPr>
                <w:rFonts w:hint="eastAsia" w:ascii="宋体" w:hAnsi="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highlight w:val="none"/>
              </w:rPr>
            </w:pPr>
            <w:r>
              <w:rPr>
                <w:rFonts w:hint="eastAsia" w:ascii="宋体" w:hAnsi="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val="0"/>
                <w:bCs/>
                <w:color w:val="auto"/>
                <w:sz w:val="24"/>
                <w:highlight w:val="none"/>
              </w:rPr>
            </w:pPr>
            <w:r>
              <w:rPr>
                <w:rFonts w:hint="eastAsia" w:ascii="宋体" w:hAnsi="宋体" w:cs="宋体"/>
                <w:b/>
                <w:bCs w:val="0"/>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val="0"/>
                <w:bCs/>
                <w:color w:val="auto"/>
                <w:kern w:val="0"/>
                <w:sz w:val="24"/>
                <w:highlight w:val="none"/>
                <w:lang w:val="zh-CN"/>
              </w:rPr>
            </w:pPr>
            <w:r>
              <w:rPr>
                <w:rFonts w:hint="eastAsia" w:ascii="宋体" w:hAnsi="宋体" w:cs="宋体"/>
                <w:b w:val="0"/>
                <w:bCs/>
                <w:color w:val="auto"/>
                <w:kern w:val="0"/>
                <w:sz w:val="24"/>
                <w:highlight w:val="none"/>
                <w:lang w:val="zh-CN"/>
              </w:rPr>
              <w:t>有关本项目实施所需的所有费用（含税费）均计入报价。投标文件</w:t>
            </w:r>
            <w:r>
              <w:rPr>
                <w:rFonts w:hint="eastAsia" w:ascii="宋体" w:hAnsi="宋体" w:cs="宋体"/>
                <w:b w:val="0"/>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b w:val="0"/>
                <w:bCs/>
                <w:color w:val="auto"/>
                <w:kern w:val="0"/>
                <w:sz w:val="24"/>
                <w:highlight w:val="none"/>
                <w:lang w:val="zh-CN"/>
              </w:rPr>
              <w:t>投标文件中价格全部采用人民币报价。招标文件未列明，而投标人认为必需的费用也需列入报价。提醒：验收时检测费用由采购人承担，不包含在投标总价中。</w:t>
            </w:r>
          </w:p>
          <w:p>
            <w:pPr>
              <w:snapToGrid w:val="0"/>
              <w:spacing w:line="360" w:lineRule="auto"/>
              <w:jc w:val="left"/>
              <w:rPr>
                <w:rFonts w:ascii="宋体" w:hAnsi="宋体" w:cs="宋体"/>
                <w:b w:val="0"/>
                <w:bCs/>
                <w:color w:val="auto"/>
                <w:kern w:val="0"/>
                <w:sz w:val="24"/>
                <w:highlight w:val="none"/>
                <w:lang w:val="zh-CN"/>
              </w:rPr>
            </w:pPr>
            <w:r>
              <w:rPr>
                <w:rFonts w:hint="eastAsia" w:ascii="宋体" w:hAnsi="宋体" w:cs="宋体"/>
                <w:b w:val="0"/>
                <w:bCs/>
                <w:color w:val="auto"/>
                <w:kern w:val="0"/>
                <w:sz w:val="24"/>
                <w:highlight w:val="none"/>
                <w:lang w:val="zh-CN"/>
              </w:rPr>
              <w:t>投标报价出现下列情形的，投标无效：</w:t>
            </w:r>
          </w:p>
          <w:p>
            <w:pPr>
              <w:snapToGrid w:val="0"/>
              <w:spacing w:line="360" w:lineRule="auto"/>
              <w:ind w:firstLine="240" w:firstLineChars="100"/>
              <w:jc w:val="left"/>
              <w:rPr>
                <w:rFonts w:ascii="宋体" w:hAnsi="宋体" w:cs="宋体"/>
                <w:b w:val="0"/>
                <w:bCs/>
                <w:color w:val="auto"/>
                <w:kern w:val="0"/>
                <w:sz w:val="24"/>
                <w:highlight w:val="none"/>
                <w:lang w:val="zh-CN"/>
              </w:rPr>
            </w:pPr>
            <w:r>
              <w:rPr>
                <w:rFonts w:hint="eastAsia" w:ascii="宋体" w:hAnsi="宋体" w:cs="宋体"/>
                <w:b w:val="0"/>
                <w:bCs/>
                <w:color w:val="auto"/>
                <w:kern w:val="0"/>
                <w:sz w:val="24"/>
                <w:highlight w:val="none"/>
                <w:lang w:val="zh-CN"/>
              </w:rPr>
              <w:t>投标文件出现不是唯一的、有选择性投标报价的；</w:t>
            </w:r>
          </w:p>
          <w:p>
            <w:pPr>
              <w:snapToGrid w:val="0"/>
              <w:spacing w:line="360" w:lineRule="auto"/>
              <w:ind w:firstLine="240" w:firstLineChars="100"/>
              <w:jc w:val="left"/>
              <w:rPr>
                <w:rFonts w:ascii="宋体" w:hAnsi="宋体" w:cs="宋体"/>
                <w:b w:val="0"/>
                <w:bCs/>
                <w:color w:val="auto"/>
                <w:kern w:val="0"/>
                <w:sz w:val="24"/>
                <w:highlight w:val="none"/>
                <w:lang w:val="zh-CN"/>
              </w:rPr>
            </w:pPr>
            <w:r>
              <w:rPr>
                <w:rFonts w:hint="eastAsia" w:ascii="宋体" w:hAnsi="宋体" w:cs="宋体"/>
                <w:b w:val="0"/>
                <w:bCs/>
                <w:color w:val="auto"/>
                <w:kern w:val="0"/>
                <w:sz w:val="24"/>
                <w:highlight w:val="none"/>
                <w:lang w:val="zh-CN"/>
              </w:rPr>
              <w:t>投标报价超过招标文件中规定的预算金额或者最高限价的;</w:t>
            </w:r>
          </w:p>
          <w:p>
            <w:pPr>
              <w:spacing w:line="360" w:lineRule="auto"/>
              <w:ind w:firstLine="240" w:firstLineChars="100"/>
              <w:rPr>
                <w:rFonts w:ascii="宋体" w:hAnsi="宋体" w:cs="宋体"/>
                <w:b w:val="0"/>
                <w:bCs/>
                <w:color w:val="auto"/>
                <w:sz w:val="24"/>
                <w:highlight w:val="none"/>
              </w:rPr>
            </w:pPr>
            <w:r>
              <w:rPr>
                <w:rFonts w:hint="eastAsia" w:ascii="宋体" w:hAnsi="宋体" w:cs="宋体"/>
                <w:b w:val="0"/>
                <w:bCs/>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val="0"/>
                <w:bCs/>
                <w:color w:val="auto"/>
                <w:sz w:val="24"/>
                <w:szCs w:val="21"/>
                <w:highlight w:val="none"/>
              </w:rPr>
              <w:t>;</w:t>
            </w:r>
          </w:p>
          <w:p>
            <w:pPr>
              <w:spacing w:line="360" w:lineRule="auto"/>
              <w:ind w:firstLine="240" w:firstLineChars="100"/>
              <w:rPr>
                <w:rFonts w:ascii="宋体" w:hAnsi="宋体" w:cs="宋体"/>
                <w:b w:val="0"/>
                <w:bCs/>
                <w:color w:val="auto"/>
                <w:sz w:val="24"/>
                <w:highlight w:val="none"/>
              </w:rPr>
            </w:pPr>
            <w:r>
              <w:rPr>
                <w:rFonts w:hint="eastAsia" w:ascii="宋体" w:hAnsi="宋体" w:cs="宋体"/>
                <w:b w:val="0"/>
                <w:bCs/>
                <w:color w:val="auto"/>
                <w:kern w:val="0"/>
                <w:sz w:val="24"/>
                <w:highlight w:val="none"/>
              </w:rPr>
              <w:t>投标人对根据修正原则修正后的报价不确认的</w:t>
            </w:r>
            <w:r>
              <w:rPr>
                <w:rFonts w:hint="eastAsia" w:ascii="宋体" w:hAnsi="宋体" w:cs="宋体"/>
                <w:b w:val="0"/>
                <w:bCs/>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color w:val="auto"/>
                <w:sz w:val="24"/>
                <w:highlight w:val="none"/>
              </w:rPr>
            </w:pPr>
            <w:r>
              <w:rPr>
                <w:rFonts w:hint="eastAsia" w:ascii="宋体" w:hAnsi="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Ansi="宋体" w:cs="宋体"/>
                <w:b w:val="0"/>
                <w:bCs w:val="0"/>
                <w:color w:val="auto"/>
                <w:kern w:val="28"/>
                <w:sz w:val="24"/>
                <w:highlight w:val="none"/>
              </w:rPr>
            </w:pPr>
            <w:r>
              <w:rPr>
                <w:rFonts w:hint="eastAsia" w:hAnsi="宋体" w:cs="宋体"/>
                <w:b w:val="0"/>
                <w:bCs w:val="0"/>
                <w:color w:val="auto"/>
                <w:kern w:val="28"/>
                <w:sz w:val="24"/>
                <w:szCs w:val="24"/>
                <w:highlight w:val="none"/>
              </w:rPr>
              <w:t>备份投标文件送达地点：</w:t>
            </w:r>
            <w:r>
              <w:rPr>
                <w:rFonts w:hint="eastAsia" w:cs="Times New Roman" w:asciiTheme="minorEastAsia" w:hAnsiTheme="minorEastAsia" w:eastAsiaTheme="minorEastAsia"/>
                <w:b w:val="0"/>
                <w:bCs w:val="0"/>
                <w:color w:val="auto"/>
                <w:kern w:val="28"/>
                <w:sz w:val="24"/>
                <w:szCs w:val="24"/>
                <w:highlight w:val="none"/>
                <w:u w:val="single"/>
              </w:rPr>
              <w:t>杭州市拱墅区香积寺东路58号3楼</w:t>
            </w:r>
            <w:r>
              <w:rPr>
                <w:rFonts w:hint="eastAsia" w:cs="Times New Roman" w:asciiTheme="minorEastAsia" w:hAnsiTheme="minorEastAsia" w:eastAsiaTheme="minorEastAsia"/>
                <w:b w:val="0"/>
                <w:bCs w:val="0"/>
                <w:color w:val="auto"/>
                <w:kern w:val="28"/>
                <w:sz w:val="24"/>
                <w:szCs w:val="24"/>
                <w:highlight w:val="none"/>
                <w:u w:val="single"/>
                <w:lang w:val="en-US" w:eastAsia="zh-CN"/>
              </w:rPr>
              <w:t>353办公室</w:t>
            </w:r>
            <w:r>
              <w:rPr>
                <w:rFonts w:hint="eastAsia" w:cs="Times New Roman" w:asciiTheme="minorEastAsia" w:hAnsiTheme="minorEastAsia" w:eastAsiaTheme="minorEastAsia"/>
                <w:b w:val="0"/>
                <w:bCs w:val="0"/>
                <w:color w:val="auto"/>
                <w:kern w:val="28"/>
                <w:sz w:val="24"/>
                <w:szCs w:val="24"/>
                <w:highlight w:val="none"/>
                <w:u w:val="single"/>
              </w:rPr>
              <w:t>（杭州市公共资源交易中心拱墅分中心）</w:t>
            </w:r>
            <w:r>
              <w:rPr>
                <w:rFonts w:hint="eastAsia" w:hAnsi="宋体" w:cs="宋体"/>
                <w:b w:val="0"/>
                <w:bCs w:val="0"/>
                <w:color w:val="auto"/>
                <w:sz w:val="24"/>
                <w:highlight w:val="none"/>
                <w:u w:val="single"/>
              </w:rPr>
              <w:t xml:space="preserve"> </w:t>
            </w:r>
            <w:r>
              <w:rPr>
                <w:rFonts w:hint="eastAsia" w:hAnsi="宋体" w:cs="宋体"/>
                <w:b w:val="0"/>
                <w:bCs w:val="0"/>
                <w:color w:val="auto"/>
                <w:kern w:val="28"/>
                <w:sz w:val="24"/>
                <w:szCs w:val="24"/>
                <w:highlight w:val="none"/>
              </w:rPr>
              <w:t>；备份投标文件签收人员联系电话：</w:t>
            </w:r>
            <w:r>
              <w:rPr>
                <w:rFonts w:hint="eastAsia" w:hAnsi="宋体" w:cs="宋体"/>
                <w:b w:val="0"/>
                <w:bCs w:val="0"/>
                <w:color w:val="auto"/>
                <w:sz w:val="24"/>
                <w:highlight w:val="none"/>
                <w:u w:val="single"/>
              </w:rPr>
              <w:t xml:space="preserve"> 0571-</w:t>
            </w:r>
            <w:r>
              <w:rPr>
                <w:rFonts w:hint="eastAsia" w:hAnsi="宋体" w:cs="宋体"/>
                <w:b w:val="0"/>
                <w:bCs w:val="0"/>
                <w:color w:val="auto"/>
                <w:sz w:val="24"/>
                <w:highlight w:val="none"/>
                <w:u w:val="single"/>
                <w:lang w:val="en-US" w:eastAsia="zh-CN"/>
              </w:rPr>
              <w:t>89507163</w:t>
            </w:r>
            <w:r>
              <w:rPr>
                <w:rFonts w:hint="eastAsia" w:hAnsi="宋体" w:cs="宋体"/>
                <w:b w:val="0"/>
                <w:bCs w:val="0"/>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cs="仿宋_GB2312" w:asciiTheme="minorEastAsia" w:hAnsiTheme="minorEastAsia" w:eastAsiaTheme="minorEastAsia"/>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联合体投标的，联合体各方分别提供与联合体协议中规定的分工内容相应的业绩证明材料，业绩数量以提供材料较少的一方为准。招标文件第四部分评分标准有其他规定的，从其规定。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237"/>
                <w14:checkbox>
                  <w14:checked w14:val="0"/>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ascii="宋体" w:hAnsi="宋体" w:cs="宋体"/>
                <w:snapToGrid w:val="0"/>
                <w:color w:val="auto"/>
                <w:kern w:val="28"/>
                <w:sz w:val="24"/>
                <w:highlight w:val="none"/>
              </w:rPr>
              <w:t>联合体投标的，联合体各方均需按招标文件第四部分评标标准要求提供资信证明文件，否则视为不符合相关要求。招标文件第四部分评分标准有其他规定的，从其规定。</w:t>
            </w:r>
          </w:p>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238"/>
                <w14:checkbox>
                  <w14:checked w14:val="1"/>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cs="Arial" w:asciiTheme="minorEastAsia" w:hAnsiTheme="minorEastAsia" w:eastAsiaTheme="minorEastAsia"/>
                    <w:color w:val="auto"/>
                    <w:kern w:val="0"/>
                    <w:sz w:val="24"/>
                    <w:highlight w:val="none"/>
                  </w:rPr>
                  <w:sym w:font="Wingdings" w:char="F0FE"/>
                </w:r>
              </w:sdtContent>
            </w:sdt>
            <w:r>
              <w:rPr>
                <w:rFonts w:hint="eastAsia" w:ascii="宋体" w:hAnsi="宋体" w:cs="宋体"/>
                <w:snapToGrid w:val="0"/>
                <w:color w:val="auto"/>
                <w:kern w:val="28"/>
                <w:sz w:val="24"/>
                <w:highlight w:val="none"/>
              </w:rPr>
              <w:t>联合体投标的，联合体中有一方或者联合体成员根据分工按招标文件第四部分评标标准要求提供资信证明文件的，视为符合了相关要求。招标文件第四部分评分标准有其他规定的，从其规定。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cs="Arial" w:asciiTheme="minorEastAsia" w:hAnsiTheme="minorEastAsia" w:eastAsiaTheme="minorEastAsia"/>
                <w:color w:val="auto"/>
                <w:kern w:val="0"/>
                <w:sz w:val="24"/>
                <w:highlight w:val="none"/>
              </w:rPr>
            </w:pPr>
            <w:r>
              <w:rPr>
                <w:rFonts w:hint="eastAsia" w:cs="Arial" w:asciiTheme="minorEastAsia" w:hAnsiTheme="minorEastAsia" w:eastAsiaTheme="minorEastAsia"/>
                <w:color w:val="auto"/>
                <w:kern w:val="0"/>
                <w:sz w:val="24"/>
                <w:highlight w:val="none"/>
              </w:rPr>
              <w:t>评审因素对应的要求视为采购需求的一部分。</w:t>
            </w:r>
          </w:p>
        </w:tc>
      </w:tr>
    </w:tbl>
    <w:p>
      <w:pPr>
        <w:snapToGrid w:val="0"/>
        <w:spacing w:line="360" w:lineRule="auto"/>
        <w:jc w:val="center"/>
        <w:rPr>
          <w:rFonts w:ascii="宋体" w:hAnsi="宋体" w:cs="宋体"/>
          <w:b/>
          <w:color w:val="auto"/>
          <w:sz w:val="32"/>
          <w:szCs w:val="20"/>
          <w:highlight w:val="none"/>
        </w:rPr>
      </w:pPr>
    </w:p>
    <w:bookmarkEnd w:id="10"/>
    <w:p>
      <w:pPr>
        <w:adjustRightInd/>
        <w:spacing w:line="360" w:lineRule="auto"/>
        <w:ind w:firstLine="3845" w:firstLineChars="1197"/>
        <w:outlineLvl w:val="1"/>
        <w:rPr>
          <w:rFonts w:ascii="宋体" w:hAnsi="宋体" w:cs="宋体"/>
          <w:b/>
          <w:color w:val="auto"/>
          <w:sz w:val="32"/>
          <w:szCs w:val="20"/>
          <w:highlight w:val="none"/>
        </w:rPr>
      </w:pPr>
      <w:bookmarkStart w:id="11" w:name="第三部分"/>
      <w:bookmarkStart w:id="12" w:name="_Toc164416483"/>
      <w:r>
        <w:rPr>
          <w:rFonts w:hint="eastAsia" w:ascii="宋体" w:hAnsi="宋体" w:cs="宋体"/>
          <w:b/>
          <w:color w:val="auto"/>
          <w:sz w:val="32"/>
          <w:szCs w:val="20"/>
          <w:highlight w:val="none"/>
        </w:rPr>
        <w:t>一、总则</w:t>
      </w:r>
    </w:p>
    <w:p>
      <w:pPr>
        <w:snapToGrid w:val="0"/>
        <w:spacing w:line="360" w:lineRule="auto"/>
        <w:ind w:firstLine="361" w:firstLineChars="150"/>
        <w:jc w:val="left"/>
        <w:outlineLvl w:val="9"/>
        <w:rPr>
          <w:rFonts w:ascii="宋体" w:hAnsi="宋体" w:cs="宋体"/>
          <w:b/>
          <w:color w:val="auto"/>
          <w:sz w:val="24"/>
          <w:highlight w:val="none"/>
        </w:rPr>
      </w:pPr>
      <w:r>
        <w:rPr>
          <w:rFonts w:hint="eastAsia" w:ascii="宋体" w:hAnsi="宋体" w:cs="宋体"/>
          <w:b/>
          <w:color w:val="auto"/>
          <w:sz w:val="24"/>
          <w:highlight w:val="none"/>
        </w:rPr>
        <w:t>1. 适用范围</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9"/>
        <w:rPr>
          <w:rFonts w:ascii="宋体" w:hAnsi="宋体" w:cs="宋体"/>
          <w:b/>
          <w:color w:val="auto"/>
          <w:sz w:val="24"/>
          <w:highlight w:val="none"/>
        </w:rPr>
      </w:pPr>
      <w:r>
        <w:rPr>
          <w:rFonts w:hint="eastAsia" w:ascii="宋体" w:hAnsi="宋体" w:cs="宋体"/>
          <w:b/>
          <w:color w:val="auto"/>
          <w:sz w:val="24"/>
          <w:highlight w:val="none"/>
        </w:rPr>
        <w:t xml:space="preserve">   2.定义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“采购人”系指招标公告中载明的本项目的采购人。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“采购机构”系指招标公告中载明的本项目的采购机构。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 “投标人”系指是指响应招标、参加投标竞争的法人、其他组织或者自然人。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2.6“电子交易平台”是指本项目政府采购活动所依托的政府采购云平台（https://www.zcygov.cn/）。</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 “▲” 系指实质性要求条款，</w:t>
      </w:r>
      <w:r>
        <w:rPr>
          <w:rFonts w:hint="eastAsia" w:ascii="宋体" w:hAnsi="宋体" w:eastAsia="宋体" w:cs="宋体"/>
          <w:b/>
          <w:color w:val="auto"/>
          <w:sz w:val="24"/>
          <w:szCs w:val="24"/>
          <w:highlight w:val="none"/>
        </w:rPr>
        <w:t>投标人必须全部响应，否则将作无效标处理。</w:t>
      </w:r>
      <w:r>
        <w:rPr>
          <w:rFonts w:hint="eastAsia" w:ascii="宋体" w:hAnsi="宋体" w:cs="宋体"/>
          <w:color w:val="auto"/>
          <w:sz w:val="24"/>
          <w:highlight w:val="none"/>
        </w:rPr>
        <w:t>“</w:t>
      </w:r>
      <w:sdt>
        <w:sdtPr>
          <w:rPr>
            <w:rFonts w:hint="eastAsia" w:ascii="宋体" w:hAnsi="宋体" w:cs="宋体"/>
            <w:color w:val="auto"/>
            <w:kern w:val="0"/>
            <w:sz w:val="24"/>
            <w:highlight w:val="none"/>
          </w:rPr>
          <w:id w:val="51297023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sz w:val="24"/>
          <w:highlight w:val="none"/>
        </w:rPr>
        <w:t>” 系指适用本项目的要求，“</w:t>
      </w:r>
      <w:sdt>
        <w:sdtPr>
          <w:rPr>
            <w:rFonts w:hint="eastAsia" w:ascii="宋体" w:hAnsi="宋体" w:cs="宋体"/>
            <w:color w:val="auto"/>
            <w:kern w:val="0"/>
            <w:sz w:val="24"/>
            <w:highlight w:val="none"/>
          </w:rPr>
          <w:id w:val="40488885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 系指不适用本项目的要求。</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sz w:val="24"/>
          <w:highlight w:val="none"/>
        </w:rPr>
        <w:t>3.</w:t>
      </w:r>
      <w:r>
        <w:rPr>
          <w:rFonts w:hint="eastAsia" w:ascii="宋体" w:hAnsi="宋体" w:cs="宋体"/>
          <w:color w:val="auto"/>
          <w:highlight w:val="none"/>
        </w:rPr>
        <w:t xml:space="preserve"> </w:t>
      </w:r>
      <w:r>
        <w:rPr>
          <w:rFonts w:hint="eastAsia" w:ascii="宋体" w:hAnsi="宋体" w:cs="宋体"/>
          <w:b/>
          <w:color w:val="auto"/>
          <w:sz w:val="24"/>
          <w:highlight w:val="none"/>
        </w:rPr>
        <w:t>采购项目需要落实的政府采购政策</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宋体" w:hAnsi="宋体" w:cs="宋体"/>
          <w:color w:val="auto"/>
          <w:kern w:val="0"/>
          <w:sz w:val="24"/>
          <w:highlight w:val="none"/>
        </w:rPr>
        <w:t>优先采购向我国企业转让技术、与我国企业签订消化吸收再创新方案的供应商的进口产品</w:t>
      </w:r>
      <w:r>
        <w:rPr>
          <w:rFonts w:hint="eastAsia" w:ascii="宋体" w:hAnsi="宋体" w:cs="宋体"/>
          <w:color w:val="auto"/>
          <w:sz w:val="24"/>
          <w:highlight w:val="none"/>
        </w:rPr>
        <w:t>。</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3.2 支持绿色发展</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3.3支持中小企业发展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highlight w:val="none"/>
        </w:rPr>
      </w:pPr>
      <w:r>
        <w:rPr>
          <w:rFonts w:ascii="宋体" w:hAnsi="宋体" w:cs="宋体"/>
          <w:bCs/>
          <w:color w:val="auto"/>
          <w:sz w:val="24"/>
          <w:highlight w:val="none"/>
        </w:rPr>
        <w:t>3.3.2</w:t>
      </w:r>
      <w:r>
        <w:rPr>
          <w:rFonts w:hint="eastAsia" w:ascii="宋体" w:hAnsi="宋体" w:cs="宋体"/>
          <w:color w:val="auto"/>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3.3.3对于未预留份额专门面向中小企业的政府采购服务项目，以及预留份额政府采购服务项目中的非预留部分标项，对小型和微型企业的投标报价给予10%-</w:t>
      </w:r>
      <w:r>
        <w:rPr>
          <w:rFonts w:ascii="宋体" w:hAnsi="宋体" w:cs="宋体"/>
          <w:color w:val="auto"/>
          <w:sz w:val="24"/>
          <w:highlight w:val="none"/>
        </w:rPr>
        <w:t>20</w:t>
      </w:r>
      <w:r>
        <w:rPr>
          <w:rFonts w:hint="eastAsia" w:ascii="宋体" w:hAnsi="宋体" w:cs="宋体"/>
          <w:color w:val="auto"/>
          <w:sz w:val="24"/>
          <w:highlight w:val="none"/>
        </w:rPr>
        <w:t>%的扣除（</w:t>
      </w:r>
      <w:r>
        <w:rPr>
          <w:rFonts w:hint="eastAsia" w:ascii="宋体" w:hAnsi="宋体" w:cs="宋体"/>
          <w:snapToGrid w:val="0"/>
          <w:color w:val="auto"/>
          <w:kern w:val="28"/>
          <w:sz w:val="24"/>
          <w:highlight w:val="none"/>
        </w:rPr>
        <w:t>招标文件第四部分</w:t>
      </w:r>
      <w:r>
        <w:rPr>
          <w:rFonts w:hint="eastAsia" w:ascii="宋体" w:hAnsi="宋体" w:cs="宋体"/>
          <w:color w:val="auto"/>
          <w:sz w:val="24"/>
          <w:highlight w:val="none"/>
          <w:u w:val="single"/>
        </w:rPr>
        <w:t>评标办分法明确具体的扣除比例，未明确的，</w:t>
      </w:r>
      <w:r>
        <w:rPr>
          <w:rFonts w:hint="eastAsia" w:ascii="宋体" w:hAnsi="宋体" w:cs="宋体"/>
          <w:color w:val="auto"/>
          <w:sz w:val="24"/>
          <w:highlight w:val="none"/>
        </w:rPr>
        <w:t>给予</w:t>
      </w:r>
      <w:r>
        <w:rPr>
          <w:rFonts w:ascii="宋体" w:hAnsi="宋体" w:cs="宋体"/>
          <w:color w:val="auto"/>
          <w:sz w:val="24"/>
          <w:highlight w:val="none"/>
        </w:rPr>
        <w:t>20</w:t>
      </w:r>
      <w:r>
        <w:rPr>
          <w:rFonts w:hint="eastAsia" w:ascii="宋体" w:hAnsi="宋体" w:cs="宋体"/>
          <w:color w:val="auto"/>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sz w:val="24"/>
          <w:highlight w:val="none"/>
        </w:rPr>
        <w:t>6</w:t>
      </w:r>
      <w:r>
        <w:rPr>
          <w:rFonts w:hint="eastAsia" w:ascii="宋体" w:hAnsi="宋体" w:cs="宋体"/>
          <w:color w:val="auto"/>
          <w:sz w:val="24"/>
          <w:highlight w:val="none"/>
        </w:rPr>
        <w:t>%（</w:t>
      </w:r>
      <w:r>
        <w:rPr>
          <w:rFonts w:hint="eastAsia" w:ascii="宋体" w:hAnsi="宋体" w:cs="宋体"/>
          <w:snapToGrid w:val="0"/>
          <w:color w:val="auto"/>
          <w:kern w:val="28"/>
          <w:sz w:val="24"/>
          <w:highlight w:val="none"/>
        </w:rPr>
        <w:t>招标文件第四部分</w:t>
      </w:r>
      <w:r>
        <w:rPr>
          <w:rFonts w:hint="eastAsia" w:ascii="宋体" w:hAnsi="宋体" w:cs="宋体"/>
          <w:color w:val="auto"/>
          <w:sz w:val="24"/>
          <w:highlight w:val="none"/>
          <w:u w:val="single"/>
        </w:rPr>
        <w:t>评标办分法明确具体的扣除比例，未明确的，</w:t>
      </w:r>
      <w:r>
        <w:rPr>
          <w:rFonts w:hint="eastAsia" w:ascii="宋体" w:hAnsi="宋体" w:cs="宋体"/>
          <w:color w:val="auto"/>
          <w:sz w:val="24"/>
          <w:highlight w:val="none"/>
        </w:rPr>
        <w:t>给予6%的扣除）的扣除，用扣除后的价格参加评审。组成联合体或者接受分包的小微企业与联合体内其他企业、分包企业之间存在直接控股、管理关系的，不享受价格扣除优惠政策。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3.4</w:t>
      </w:r>
      <w:r>
        <w:rPr>
          <w:rFonts w:hint="eastAsia" w:ascii="宋体" w:hAnsi="宋体" w:cs="宋体"/>
          <w:bCs/>
          <w:color w:val="auto"/>
          <w:sz w:val="24"/>
          <w:highlight w:val="none"/>
        </w:rPr>
        <w:t>支持创新发展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3.4.1 采购人优先采购被认定为首台套产品和“制造精品”的自主创新产品。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3.4.2首台套产品被纳入《首台套产品推广应用指导目录》之日起</w:t>
      </w:r>
      <w:r>
        <w:rPr>
          <w:rFonts w:ascii="宋体" w:hAnsi="宋体" w:cs="宋体"/>
          <w:color w:val="auto"/>
          <w:sz w:val="24"/>
          <w:highlight w:val="none"/>
        </w:rPr>
        <w:t>3</w:t>
      </w:r>
      <w:r>
        <w:rPr>
          <w:rFonts w:hint="eastAsia" w:ascii="宋体" w:hAnsi="宋体" w:cs="宋体"/>
          <w:color w:val="auto"/>
          <w:sz w:val="24"/>
          <w:highlight w:val="none"/>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color w:val="auto"/>
          <w:sz w:val="24"/>
          <w:highlight w:val="none"/>
        </w:rPr>
      </w:pPr>
      <w:r>
        <w:rPr>
          <w:rFonts w:hint="eastAsia" w:ascii="宋体" w:hAnsi="宋体" w:cs="宋体"/>
          <w:color w:val="auto"/>
          <w:sz w:val="24"/>
          <w:highlight w:val="none"/>
        </w:rPr>
        <w:t>3.5平等对待内外资企业和符合条件的破产重整企业</w:t>
      </w:r>
    </w:p>
    <w:p>
      <w:pPr>
        <w:spacing w:line="360" w:lineRule="auto"/>
        <w:ind w:firstLine="240" w:firstLineChars="100"/>
        <w:rPr>
          <w:rFonts w:ascii="宋体" w:hAnsi="宋体" w:cs="宋体"/>
          <w:b/>
          <w:color w:val="auto"/>
          <w:sz w:val="24"/>
          <w:highlight w:val="none"/>
        </w:rPr>
      </w:pPr>
      <w:r>
        <w:rPr>
          <w:rFonts w:hint="eastAsia" w:ascii="宋体" w:hAnsi="宋体" w:cs="宋体"/>
          <w:color w:val="auto"/>
          <w:sz w:val="24"/>
          <w:highlight w:val="none"/>
        </w:rPr>
        <w:t>平等对待内外资企业和符合条件的破产重整企业，切实保障企业公平竞争，平等维护企业的合法利益。</w:t>
      </w:r>
      <w:r>
        <w:rPr>
          <w:rFonts w:hint="eastAsia" w:ascii="宋体" w:hAnsi="宋体" w:cs="宋体"/>
          <w:color w:val="auto"/>
          <w:sz w:val="24"/>
          <w:highlight w:val="none"/>
        </w:rPr>
        <w:cr/>
      </w:r>
      <w:r>
        <w:rPr>
          <w:rFonts w:hint="eastAsia" w:ascii="宋体" w:hAnsi="宋体" w:cs="宋体"/>
          <w:b/>
          <w:color w:val="auto"/>
          <w:sz w:val="24"/>
          <w:highlight w:val="none"/>
        </w:rPr>
        <w:t>4. 询问、质疑、投诉</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4.2供应商询问</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4.3供应商质疑</w:t>
      </w:r>
    </w:p>
    <w:p>
      <w:pPr>
        <w:pStyle w:val="33"/>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7"/>
        <w:spacing w:line="360" w:lineRule="auto"/>
        <w:ind w:firstLine="480" w:firstLineChars="200"/>
        <w:rPr>
          <w:rFonts w:hAnsi="宋体" w:cs="宋体"/>
          <w:snapToGrid/>
          <w:color w:val="auto"/>
          <w:kern w:val="2"/>
          <w:sz w:val="24"/>
          <w:highlight w:val="none"/>
        </w:rPr>
      </w:pPr>
      <w:r>
        <w:rPr>
          <w:rFonts w:hint="eastAsia" w:hAnsi="宋体" w:cs="宋体"/>
          <w:snapToGrid/>
          <w:color w:val="auto"/>
          <w:kern w:val="2"/>
          <w:sz w:val="24"/>
          <w:highlight w:val="none"/>
        </w:rPr>
        <w:t>4.3.2.1对招标文件提出质疑的，质疑期限为供应商获得招标文件之日或者招标文件公告期限届满之日起计算。</w:t>
      </w:r>
    </w:p>
    <w:p>
      <w:pPr>
        <w:pStyle w:val="33"/>
        <w:spacing w:line="360" w:lineRule="auto"/>
        <w:ind w:left="479" w:leftChars="228"/>
        <w:rPr>
          <w:rFonts w:hAnsi="宋体" w:cs="宋体"/>
          <w:color w:val="auto"/>
          <w:sz w:val="24"/>
          <w:highlight w:val="none"/>
        </w:rPr>
      </w:pPr>
      <w:r>
        <w:rPr>
          <w:rFonts w:hint="eastAsia" w:hAnsi="宋体" w:cs="宋体"/>
          <w:color w:val="auto"/>
          <w:sz w:val="24"/>
          <w:highlight w:val="none"/>
        </w:rPr>
        <w:t>4.3.2.2对采购过程提出质疑的，质疑期限为各采购程序环节结束之日起计算。4.3.2.3对采购结果提出质疑的，质疑期限自采购结果公告期限届满之日起计算。</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4.3.3</w:t>
      </w:r>
      <w:r>
        <w:rPr>
          <w:rFonts w:hint="eastAsia" w:hAnsi="宋体" w:cs="宋体"/>
          <w:color w:val="auto"/>
          <w:sz w:val="24"/>
          <w:highlight w:val="none"/>
        </w:rPr>
        <w:t>供应商提出质疑应当提交质疑函和必要的证明材料。质疑函应当包括下列内容：</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4.3.3.1供应商的姓名或者名称、地址、邮编、联系人及联系电话；</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4.3.3.2质疑项目的名称、编号；</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4.3.3.3具体、明确的质疑事项和与质疑事项相关的请求；</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4.3.3.4事实依据；</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4.3.3.5必要的法律依据；</w:t>
      </w:r>
    </w:p>
    <w:p>
      <w:pPr>
        <w:pStyle w:val="33"/>
        <w:spacing w:line="360" w:lineRule="auto"/>
        <w:ind w:firstLine="960" w:firstLineChars="400"/>
        <w:rPr>
          <w:rFonts w:hAnsi="宋体" w:cs="宋体"/>
          <w:color w:val="auto"/>
          <w:kern w:val="0"/>
          <w:sz w:val="24"/>
          <w:highlight w:val="none"/>
          <w:lang w:val="zh-CN"/>
        </w:rPr>
      </w:pPr>
      <w:r>
        <w:rPr>
          <w:rFonts w:hint="eastAsia" w:hAnsi="宋体" w:cs="宋体"/>
          <w:color w:val="auto"/>
          <w:kern w:val="0"/>
          <w:sz w:val="24"/>
          <w:highlight w:val="none"/>
          <w:lang w:val="zh-CN"/>
        </w:rPr>
        <w:t>4.3.3.6提出质疑的日期。</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质疑函范本及制作说明详见附件2。</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4.3.4对同一采购程序环节的质疑，供应商须在法定质疑期内一次性提出。</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color w:val="auto"/>
          <w:highlight w:val="none"/>
          <w:lang w:val="zh-CN"/>
        </w:rPr>
      </w:pPr>
      <w:r>
        <w:rPr>
          <w:rFonts w:hint="eastAsia"/>
          <w:color w:val="auto"/>
          <w:highlight w:val="none"/>
          <w:lang w:val="zh-CN"/>
        </w:rPr>
        <w:t>4.4供应商投诉</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4.4.1质疑供应商对采购人、采购机构的答复不满意或者采购人、采购机构未在规定的时间内作出答复的，可以在答复期满后十五个工作日内向同级政府采购监督管理部门提出投诉。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w:t>
      </w:r>
      <w:r>
        <w:rPr>
          <w:rFonts w:hint="eastAsia"/>
          <w:color w:val="auto"/>
          <w:highlight w:val="none"/>
          <w:lang w:val="zh-CN"/>
        </w:rPr>
        <w:t>2</w:t>
      </w:r>
      <w:r>
        <w:rPr>
          <w:rFonts w:hint="eastAsia"/>
          <w:color w:val="auto"/>
          <w:highlight w:val="none"/>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4.4.3供应商投诉应当有明确的请求和必要的证明材料。</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4.4.4以联合体形式参加政府采购活动的，其投诉应当由组成联合体的所有供应商共同提出。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4.4.5浙江省本级、杭州市本级、拱墅区、富阳区政府采购项目投诉材料可寄送浙江省政府采购行政裁决服务中心（杭州），地址：杭州市上城区四季青街道新业路市民之家G03办公室，收件人：朱女士，电话：15121014815。</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投诉书范本及制作说明详见附件3。</w:t>
      </w:r>
    </w:p>
    <w:p>
      <w:pPr>
        <w:pStyle w:val="128"/>
        <w:snapToGrid w:val="0"/>
        <w:spacing w:before="0"/>
        <w:ind w:firstLine="360"/>
        <w:rPr>
          <w:rFonts w:ascii="宋体" w:hAnsi="宋体" w:cs="宋体"/>
          <w:color w:val="auto"/>
          <w:sz w:val="18"/>
          <w:szCs w:val="18"/>
          <w:highlight w:val="none"/>
        </w:rPr>
      </w:pPr>
    </w:p>
    <w:p>
      <w:pPr>
        <w:adjustRightInd/>
        <w:spacing w:line="360" w:lineRule="auto"/>
        <w:jc w:val="center"/>
        <w:outlineLvl w:val="1"/>
        <w:rPr>
          <w:rFonts w:ascii="宋体" w:hAnsi="宋体" w:cs="宋体"/>
          <w:b/>
          <w:color w:val="auto"/>
          <w:sz w:val="32"/>
          <w:szCs w:val="20"/>
          <w:highlight w:val="none"/>
        </w:rPr>
      </w:pPr>
      <w:r>
        <w:rPr>
          <w:rFonts w:hint="eastAsia" w:ascii="宋体" w:hAnsi="宋体" w:cs="宋体"/>
          <w:b/>
          <w:color w:val="auto"/>
          <w:sz w:val="32"/>
          <w:szCs w:val="20"/>
          <w:highlight w:val="none"/>
        </w:rPr>
        <w:t>二、招标文件的构成、澄清、修改</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5．招标文件的构成</w:t>
      </w:r>
    </w:p>
    <w:p>
      <w:pPr>
        <w:pStyle w:val="33"/>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5.1 招标文件包括下列文件及附件：</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5.1.1招标公告；</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5.1.2投标人须知；</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5.1.3采购需求；</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5.1.4评标办法；</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highlight w:val="none"/>
        </w:rPr>
        <w:t>5.1.6</w:t>
      </w:r>
      <w:r>
        <w:rPr>
          <w:rFonts w:hint="eastAsia" w:hAnsi="宋体" w:cs="宋体"/>
          <w:color w:val="auto"/>
          <w:sz w:val="24"/>
          <w:szCs w:val="24"/>
          <w:highlight w:val="none"/>
        </w:rPr>
        <w:t>应提交的有关格式范例。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澄清或者修改的内容为招标文件的组成部分</w:t>
      </w:r>
      <w:r>
        <w:rPr>
          <w:rFonts w:hint="eastAsia" w:ascii="宋体" w:hAnsi="宋体" w:cs="宋体"/>
          <w:color w:val="auto"/>
          <w:sz w:val="24"/>
          <w:highlight w:val="none"/>
        </w:rPr>
        <w:t>。</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6. 招标文件的澄清、修改</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6.1已获取招标文件的潜在投标人，若有问题需要澄清，应于投标截止时间前，以书面形式向采购机构提出。</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3"/>
        <w:rPr>
          <w:rFonts w:hAnsi="宋体" w:cs="宋体"/>
          <w:color w:val="auto"/>
          <w:sz w:val="18"/>
          <w:szCs w:val="18"/>
          <w:highlight w:val="none"/>
          <w:lang w:val="en-US"/>
        </w:rPr>
      </w:pPr>
      <w:r>
        <w:rPr>
          <w:rFonts w:hint="eastAsia" w:hAnsi="宋体" w:cs="宋体"/>
          <w:color w:val="auto"/>
          <w:szCs w:val="24"/>
          <w:highlight w:val="none"/>
          <w:lang w:val="en-US"/>
        </w:rPr>
        <w:t xml:space="preserve">    </w:t>
      </w:r>
    </w:p>
    <w:p>
      <w:pPr>
        <w:adjustRightInd/>
        <w:spacing w:line="360" w:lineRule="auto"/>
        <w:jc w:val="center"/>
        <w:outlineLvl w:val="1"/>
        <w:rPr>
          <w:rFonts w:ascii="宋体" w:hAnsi="宋体" w:cs="宋体"/>
          <w:b/>
          <w:color w:val="auto"/>
          <w:sz w:val="30"/>
          <w:szCs w:val="20"/>
          <w:highlight w:val="none"/>
        </w:rPr>
      </w:pPr>
      <w:r>
        <w:rPr>
          <w:rFonts w:hint="eastAsia" w:ascii="宋体" w:hAnsi="宋体" w:cs="宋体"/>
          <w:b/>
          <w:color w:val="auto"/>
          <w:sz w:val="30"/>
          <w:szCs w:val="20"/>
          <w:highlight w:val="none"/>
        </w:rPr>
        <w:t>三、投标</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7. 招标文件的获取</w:t>
      </w:r>
    </w:p>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详见招标公告中获取招标文件的时间期限、地点、方式及招标文件售价。</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8.开标前答疑会或现场考察</w:t>
      </w:r>
    </w:p>
    <w:p>
      <w:pPr>
        <w:pStyle w:val="33"/>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3"/>
        <w:spacing w:line="360" w:lineRule="auto"/>
        <w:rPr>
          <w:rFonts w:hAnsi="宋体" w:cs="宋体"/>
          <w:b/>
          <w:color w:val="auto"/>
          <w:szCs w:val="24"/>
          <w:highlight w:val="none"/>
        </w:rPr>
      </w:pPr>
      <w:r>
        <w:rPr>
          <w:rFonts w:hint="eastAsia" w:hAnsi="宋体" w:cs="宋体"/>
          <w:b/>
          <w:color w:val="auto"/>
          <w:kern w:val="28"/>
          <w:sz w:val="24"/>
          <w:szCs w:val="24"/>
          <w:highlight w:val="none"/>
        </w:rPr>
        <w:t>9.投标保证金</w:t>
      </w:r>
    </w:p>
    <w:p>
      <w:pPr>
        <w:pStyle w:val="7"/>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10. 投标文件的语言</w:t>
      </w:r>
    </w:p>
    <w:p>
      <w:pPr>
        <w:autoSpaceDE w:val="0"/>
        <w:autoSpaceDN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投标文件及投标人与采购有关的来往通知、函件和文件均应使用中文。</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11. 投标文件的组成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w:t>
      </w:r>
      <w:r>
        <w:rPr>
          <w:rFonts w:hint="eastAsia" w:ascii="宋体" w:hAnsi="宋体" w:cs="宋体"/>
          <w:b/>
          <w:color w:val="auto"/>
          <w:sz w:val="24"/>
          <w:highlight w:val="none"/>
        </w:rPr>
        <w:t>资格文件</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1.1.2</w:t>
      </w:r>
      <w:r>
        <w:rPr>
          <w:rFonts w:hint="eastAsia" w:ascii="宋体" w:hAnsi="宋体" w:cs="宋体"/>
          <w:snapToGrid w:val="0"/>
          <w:color w:val="auto"/>
          <w:kern w:val="28"/>
          <w:sz w:val="24"/>
          <w:szCs w:val="20"/>
          <w:highlight w:val="none"/>
        </w:rPr>
        <w:t>联合协议（如果有)；</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11.2.1投标函；</w:t>
      </w:r>
      <w:r>
        <w:rPr>
          <w:rFonts w:hint="eastAsia" w:ascii="宋体" w:hAnsi="宋体" w:cs="宋体"/>
          <w:color w:val="auto"/>
          <w:sz w:val="24"/>
          <w:highlight w:val="none"/>
          <w:lang w:val="zh-CN"/>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firstLine="960" w:firstLineChars="4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firstLine="480" w:firstLineChars="200"/>
        <w:rPr>
          <w:rFonts w:ascii="宋体" w:hAnsi="宋体" w:cs="宋体"/>
          <w:color w:val="auto"/>
          <w:sz w:val="24"/>
          <w:highlight w:val="none"/>
          <w:u w:val="single"/>
          <w:lang w:val="zh-CN"/>
        </w:rPr>
      </w:pPr>
      <w:r>
        <w:rPr>
          <w:rFonts w:hint="eastAsia" w:ascii="宋体" w:hAnsi="宋体" w:cs="宋体"/>
          <w:color w:val="auto"/>
          <w:kern w:val="0"/>
          <w:sz w:val="24"/>
          <w:highlight w:val="none"/>
          <w:lang w:val="zh-CN"/>
        </w:rPr>
        <w:t>11.</w:t>
      </w:r>
      <w:r>
        <w:rPr>
          <w:rFonts w:hint="eastAsia" w:ascii="宋体" w:hAnsi="宋体" w:cs="宋体"/>
          <w:color w:val="auto"/>
          <w:kern w:val="0"/>
          <w:sz w:val="24"/>
          <w:highlight w:val="none"/>
        </w:rPr>
        <w:t>3</w:t>
      </w:r>
      <w:r>
        <w:rPr>
          <w:rFonts w:hint="eastAsia" w:ascii="宋体" w:hAnsi="宋体" w:cs="宋体"/>
          <w:b/>
          <w:color w:val="auto"/>
          <w:sz w:val="24"/>
          <w:highlight w:val="none"/>
        </w:rPr>
        <w:t>报价文件：</w:t>
      </w:r>
      <w:r>
        <w:rPr>
          <w:rFonts w:hint="eastAsia" w:ascii="宋体" w:hAnsi="宋体" w:cs="宋体"/>
          <w:color w:val="auto"/>
          <w:sz w:val="24"/>
          <w:highlight w:val="none"/>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11.3.1开标一览表（报价表）；</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11.3.2中小企业声明函。</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投标文件含有采购人不能接受的附加条件的，投标无效；</w:t>
      </w:r>
    </w:p>
    <w:p>
      <w:pPr>
        <w:spacing w:line="360" w:lineRule="auto"/>
        <w:ind w:firstLine="723" w:firstLineChars="300"/>
        <w:rPr>
          <w:rFonts w:ascii="宋体" w:hAnsi="宋体" w:cs="宋体"/>
          <w:b/>
          <w:color w:val="auto"/>
          <w:sz w:val="24"/>
          <w:szCs w:val="21"/>
          <w:highlight w:val="none"/>
        </w:rPr>
      </w:pPr>
      <w:r>
        <w:rPr>
          <w:rFonts w:hint="eastAsia" w:ascii="宋体" w:hAnsi="宋体" w:cs="宋体"/>
          <w:b/>
          <w:color w:val="auto"/>
          <w:sz w:val="24"/>
          <w:highlight w:val="none"/>
        </w:rPr>
        <w:t>投标人提供虚假材料投标的，投标无效。</w:t>
      </w:r>
    </w:p>
    <w:p>
      <w:pPr>
        <w:pStyle w:val="128"/>
        <w:snapToGrid w:val="0"/>
        <w:spacing w:before="0"/>
        <w:ind w:firstLine="0" w:firstLineChars="0"/>
        <w:outlineLvl w:val="9"/>
        <w:rPr>
          <w:rFonts w:ascii="宋体" w:hAnsi="宋体" w:cs="宋体"/>
          <w:b/>
          <w:color w:val="auto"/>
          <w:szCs w:val="24"/>
          <w:highlight w:val="none"/>
        </w:rPr>
      </w:pPr>
      <w:r>
        <w:rPr>
          <w:rFonts w:hint="eastAsia" w:ascii="宋体" w:hAnsi="宋体" w:cs="宋体"/>
          <w:b/>
          <w:color w:val="auto"/>
          <w:szCs w:val="24"/>
          <w:highlight w:val="none"/>
        </w:rPr>
        <w:t>12</w:t>
      </w:r>
      <w:r>
        <w:rPr>
          <w:rFonts w:hint="eastAsia" w:ascii="宋体" w:hAnsi="宋体" w:cs="宋体"/>
          <w:b/>
          <w:color w:val="auto"/>
          <w:kern w:val="0"/>
          <w:szCs w:val="24"/>
          <w:highlight w:val="none"/>
          <w:lang w:val="zh-CN"/>
        </w:rPr>
        <w:t xml:space="preserve">. </w:t>
      </w:r>
      <w:r>
        <w:rPr>
          <w:rFonts w:hint="eastAsia" w:ascii="宋体" w:hAnsi="宋体" w:cs="宋体"/>
          <w:b/>
          <w:color w:val="auto"/>
          <w:szCs w:val="24"/>
          <w:highlight w:val="none"/>
        </w:rPr>
        <w:t>投标文件的编制</w:t>
      </w:r>
    </w:p>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13.投标文件的签署、盖章</w:t>
      </w:r>
    </w:p>
    <w:p>
      <w:pPr>
        <w:pStyle w:val="128"/>
        <w:snapToGrid w:val="0"/>
        <w:spacing w:before="0"/>
        <w:ind w:firstLine="480"/>
        <w:rPr>
          <w:rFonts w:ascii="宋体" w:hAnsi="宋体" w:cs="宋体"/>
          <w:b/>
          <w:color w:val="auto"/>
          <w:highlight w:val="none"/>
        </w:rPr>
      </w:pPr>
      <w:r>
        <w:rPr>
          <w:rFonts w:hint="eastAsia" w:ascii="宋体" w:hAnsi="宋体" w:cs="宋体"/>
          <w:color w:val="auto"/>
          <w:szCs w:val="24"/>
          <w:highlight w:val="none"/>
        </w:rPr>
        <w:t>13.1投标文件按照招标文件第六部分格式要</w:t>
      </w:r>
      <w:r>
        <w:rPr>
          <w:rFonts w:hint="eastAsia" w:ascii="宋体" w:hAnsi="宋体" w:cs="宋体"/>
          <w:color w:val="auto"/>
          <w:highlight w:val="none"/>
        </w:rPr>
        <w:t>求进行签署、盖章。</w:t>
      </w:r>
      <w:r>
        <w:rPr>
          <w:rFonts w:hint="eastAsia" w:ascii="宋体" w:hAnsi="宋体" w:cs="宋体"/>
          <w:b/>
          <w:color w:val="auto"/>
          <w:highlight w:val="none"/>
        </w:rPr>
        <w:t>▲投标人的投标文件未按照招标文件要求签署、盖章的，其投标无效</w:t>
      </w:r>
      <w:r>
        <w:rPr>
          <w:rFonts w:hint="eastAsia" w:ascii="宋体" w:hAnsi="宋体" w:cs="宋体"/>
          <w:color w:val="auto"/>
          <w:szCs w:val="24"/>
          <w:highlight w:val="none"/>
        </w:rPr>
        <w:t>。</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宋体" w:hAnsi="宋体" w:cs="宋体"/>
          <w:color w:val="auto"/>
          <w:szCs w:val="24"/>
          <w:highlight w:val="none"/>
        </w:rPr>
      </w:pPr>
      <w:r>
        <w:rPr>
          <w:rFonts w:hint="eastAsia" w:ascii="宋体" w:hAnsi="宋体" w:cs="宋体"/>
          <w:color w:val="auto"/>
          <w:highlight w:val="none"/>
        </w:rPr>
        <w:t>13.3招标文件对投标文件签署、盖章的要求适用于电子签名。</w:t>
      </w:r>
    </w:p>
    <w:p>
      <w:pPr>
        <w:pStyle w:val="128"/>
        <w:keepNext w:val="0"/>
        <w:keepLines w:val="0"/>
        <w:pageBreakBefore w:val="0"/>
        <w:widowControl w:val="0"/>
        <w:kinsoku/>
        <w:wordWrap/>
        <w:overflowPunct/>
        <w:topLinePunct w:val="0"/>
        <w:autoSpaceDE/>
        <w:autoSpaceDN/>
        <w:bidi w:val="0"/>
        <w:adjustRightInd w:val="0"/>
        <w:snapToGrid/>
        <w:spacing w:before="0"/>
        <w:ind w:firstLine="0" w:firstLineChars="0"/>
        <w:textAlignment w:val="auto"/>
        <w:rPr>
          <w:rFonts w:ascii="宋体" w:hAnsi="宋体" w:cs="宋体"/>
          <w:b/>
          <w:color w:val="auto"/>
          <w:szCs w:val="24"/>
          <w:highlight w:val="none"/>
        </w:rPr>
      </w:pPr>
      <w:r>
        <w:rPr>
          <w:rFonts w:hint="eastAsia" w:ascii="宋体" w:hAnsi="宋体" w:cs="宋体"/>
          <w:b/>
          <w:color w:val="auto"/>
          <w:szCs w:val="24"/>
          <w:highlight w:val="none"/>
        </w:rPr>
        <w:t>14. 投标文件的提交、补充、修改、撤回</w:t>
      </w:r>
    </w:p>
    <w:p>
      <w:pPr>
        <w:pStyle w:val="128"/>
        <w:keepNext w:val="0"/>
        <w:keepLines w:val="0"/>
        <w:pageBreakBefore w:val="0"/>
        <w:widowControl w:val="0"/>
        <w:kinsoku/>
        <w:wordWrap/>
        <w:overflowPunct/>
        <w:topLinePunct w:val="0"/>
        <w:autoSpaceDE/>
        <w:autoSpaceDN/>
        <w:bidi w:val="0"/>
        <w:adjustRightInd w:val="0"/>
        <w:snapToGrid/>
        <w:spacing w:before="0"/>
        <w:ind w:firstLine="480"/>
        <w:textAlignment w:val="auto"/>
        <w:rPr>
          <w:rFonts w:ascii="宋体" w:hAnsi="宋体" w:cs="宋体"/>
          <w:color w:val="auto"/>
          <w:szCs w:val="24"/>
          <w:highlight w:val="none"/>
        </w:rPr>
      </w:pPr>
      <w:r>
        <w:rPr>
          <w:rFonts w:hint="eastAsia" w:ascii="宋体" w:hAnsi="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128"/>
        <w:spacing w:before="0"/>
        <w:ind w:firstLine="480"/>
        <w:rPr>
          <w:rFonts w:ascii="宋体" w:hAnsi="宋体" w:cs="宋体"/>
          <w:color w:val="auto"/>
          <w:szCs w:val="24"/>
          <w:highlight w:val="none"/>
        </w:rPr>
      </w:pPr>
      <w:r>
        <w:rPr>
          <w:rFonts w:hint="eastAsia" w:ascii="宋体" w:hAnsi="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ascii="宋体" w:hAnsi="宋体" w:cs="宋体"/>
          <w:color w:val="auto"/>
          <w:szCs w:val="24"/>
          <w:highlight w:val="none"/>
        </w:rPr>
      </w:pPr>
      <w:r>
        <w:rPr>
          <w:rFonts w:hint="eastAsia" w:ascii="宋体" w:hAnsi="宋体" w:cs="宋体"/>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15.备份投标文件</w:t>
      </w:r>
    </w:p>
    <w:p>
      <w:pPr>
        <w:pStyle w:val="33"/>
        <w:spacing w:line="360" w:lineRule="auto"/>
        <w:ind w:firstLine="360" w:firstLineChars="150"/>
        <w:rPr>
          <w:rFonts w:hAnsi="宋体" w:cs="宋体"/>
          <w:b/>
          <w:color w:val="auto"/>
          <w:sz w:val="24"/>
          <w:szCs w:val="24"/>
          <w:highlight w:val="none"/>
        </w:rPr>
      </w:pPr>
      <w:r>
        <w:rPr>
          <w:rFonts w:hint="eastAsia" w:hAnsi="宋体" w:cs="宋体"/>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hAnsi="宋体" w:cs="宋体"/>
          <w:b/>
          <w:color w:val="auto"/>
          <w:sz w:val="24"/>
          <w:szCs w:val="24"/>
          <w:highlight w:val="none"/>
        </w:rPr>
        <w:t>但采购人、采购机构不强制或变相强制投标人提交备份投标文件。</w:t>
      </w:r>
    </w:p>
    <w:p>
      <w:pPr>
        <w:pStyle w:val="33"/>
        <w:spacing w:line="360" w:lineRule="auto"/>
        <w:ind w:firstLine="480" w:firstLineChars="200"/>
        <w:rPr>
          <w:rFonts w:hAnsi="宋体" w:cs="宋体"/>
          <w:b/>
          <w:color w:val="auto"/>
          <w:sz w:val="24"/>
          <w:szCs w:val="24"/>
          <w:highlight w:val="none"/>
        </w:rPr>
      </w:pPr>
      <w:r>
        <w:rPr>
          <w:rFonts w:hint="eastAsia" w:hAnsi="宋体" w:cs="宋体"/>
          <w:color w:val="auto"/>
          <w:sz w:val="24"/>
          <w:szCs w:val="24"/>
          <w:highlight w:val="none"/>
        </w:rPr>
        <w:t>15.2备份投标文件须在“政采云投标客户端”制作生成，并储存在</w:t>
      </w:r>
      <w:r>
        <w:rPr>
          <w:rFonts w:hint="eastAsia" w:hAnsi="宋体" w:cs="宋体"/>
          <w:color w:val="auto"/>
          <w:sz w:val="24"/>
          <w:highlight w:val="none"/>
        </w:rPr>
        <w:t>DVD光盘</w:t>
      </w:r>
      <w:r>
        <w:rPr>
          <w:rFonts w:hint="eastAsia" w:hAnsi="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highlight w:val="none"/>
        </w:rPr>
        <w:t>不符合上述制作、</w:t>
      </w:r>
      <w:r>
        <w:rPr>
          <w:rFonts w:hint="eastAsia" w:hAnsi="宋体" w:cs="宋体"/>
          <w:b/>
          <w:color w:val="auto"/>
          <w:sz w:val="24"/>
          <w:szCs w:val="24"/>
          <w:highlight w:val="none"/>
        </w:rPr>
        <w:t>存储、密封规定的备份投标文件将被视为无效或者被拒绝接收。</w:t>
      </w:r>
    </w:p>
    <w:p>
      <w:pPr>
        <w:pStyle w:val="33"/>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3"/>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color w:val="auto"/>
          <w:sz w:val="24"/>
          <w:szCs w:val="24"/>
          <w:highlight w:val="none"/>
        </w:rPr>
        <w:t>招标文件第二部分投标人须知前附表规定的备份投标文件送达地点；</w:t>
      </w:r>
      <w:r>
        <w:rPr>
          <w:rFonts w:hint="eastAsia" w:hAnsi="宋体" w:cs="宋体"/>
          <w:color w:val="auto"/>
          <w:sz w:val="24"/>
          <w:szCs w:val="24"/>
          <w:highlight w:val="none"/>
        </w:rPr>
        <w:t>送达时间以签收人签收时间为准。采购机构将拒绝接受逾期送达的备份投标文件。邮寄过程中，电子备份投标文件发生泄露、遗失、损坏或延期送达等情况的，由投标人自行负责。</w:t>
      </w:r>
    </w:p>
    <w:p>
      <w:pPr>
        <w:pStyle w:val="33"/>
        <w:spacing w:line="360" w:lineRule="auto"/>
        <w:ind w:firstLine="479" w:firstLineChars="199"/>
        <w:rPr>
          <w:rFonts w:hAnsi="宋体" w:cs="宋体"/>
          <w:b/>
          <w:color w:val="auto"/>
          <w:sz w:val="24"/>
          <w:szCs w:val="24"/>
          <w:highlight w:val="none"/>
        </w:rPr>
      </w:pPr>
      <w:r>
        <w:rPr>
          <w:rFonts w:hint="eastAsia" w:hAnsi="宋体" w:cs="宋体"/>
          <w:b/>
          <w:color w:val="auto"/>
          <w:sz w:val="24"/>
          <w:szCs w:val="24"/>
          <w:highlight w:val="none"/>
        </w:rPr>
        <w:t>15.5投标人仅提交备份投标文件，未在电子交易平台传输递交投标文件的，投标无效。</w:t>
      </w:r>
    </w:p>
    <w:p>
      <w:pPr>
        <w:pStyle w:val="128"/>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16.投标文件的无效处理</w:t>
      </w:r>
    </w:p>
    <w:p>
      <w:pPr>
        <w:pStyle w:val="25"/>
        <w:spacing w:line="360" w:lineRule="auto"/>
        <w:ind w:firstLine="360" w:firstLineChars="150"/>
        <w:rPr>
          <w:rFonts w:cs="宋体"/>
          <w:color w:val="auto"/>
          <w:szCs w:val="21"/>
          <w:highlight w:val="none"/>
        </w:rPr>
      </w:pPr>
      <w:r>
        <w:rPr>
          <w:rFonts w:hint="eastAsia" w:cs="宋体"/>
          <w:color w:val="auto"/>
          <w:szCs w:val="21"/>
          <w:highlight w:val="none"/>
        </w:rPr>
        <w:t>有招标文件第四部分</w:t>
      </w:r>
      <w:r>
        <w:rPr>
          <w:rFonts w:cs="宋体"/>
          <w:color w:val="auto"/>
          <w:szCs w:val="21"/>
          <w:highlight w:val="none"/>
        </w:rPr>
        <w:t>4.2规定</w:t>
      </w:r>
      <w:r>
        <w:rPr>
          <w:rFonts w:hint="eastAsia" w:cs="宋体"/>
          <w:color w:val="auto"/>
          <w:szCs w:val="21"/>
          <w:highlight w:val="none"/>
        </w:rPr>
        <w:t>的情形之一的，投标无效：</w:t>
      </w:r>
    </w:p>
    <w:p>
      <w:pPr>
        <w:pStyle w:val="128"/>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17.投标有效期</w:t>
      </w:r>
    </w:p>
    <w:p>
      <w:pPr>
        <w:spacing w:line="360" w:lineRule="auto"/>
        <w:ind w:firstLine="480" w:firstLineChars="200"/>
        <w:rPr>
          <w:rFonts w:ascii="宋体" w:hAnsi="宋体" w:cs="宋体"/>
          <w:b/>
          <w:color w:val="auto"/>
          <w:sz w:val="24"/>
          <w:szCs w:val="21"/>
          <w:highlight w:val="none"/>
        </w:rPr>
      </w:pPr>
      <w:r>
        <w:rPr>
          <w:rFonts w:hint="eastAsia" w:ascii="宋体" w:hAnsi="宋体" w:cs="宋体"/>
          <w:color w:val="auto"/>
          <w:sz w:val="24"/>
          <w:szCs w:val="20"/>
          <w:highlight w:val="none"/>
        </w:rPr>
        <w:t>17.1投标有效期为从提交投标文件的截止之日起90天。▲</w:t>
      </w:r>
      <w:r>
        <w:rPr>
          <w:rFonts w:hint="eastAsia" w:ascii="宋体" w:hAnsi="宋体" w:cs="宋体"/>
          <w:b/>
          <w:color w:val="auto"/>
          <w:sz w:val="24"/>
          <w:szCs w:val="20"/>
          <w:highlight w:val="none"/>
        </w:rPr>
        <w:t>投标人的投标文件中承</w:t>
      </w:r>
      <w:r>
        <w:rPr>
          <w:rFonts w:hint="eastAsia" w:ascii="宋体" w:hAnsi="宋体" w:cs="宋体"/>
          <w:b/>
          <w:color w:val="auto"/>
          <w:sz w:val="24"/>
          <w:szCs w:val="21"/>
          <w:highlight w:val="none"/>
        </w:rPr>
        <w:t>诺的投标有效期少于招标文件中载明的投标有效期的，投标无效。</w:t>
      </w:r>
    </w:p>
    <w:p>
      <w:pPr>
        <w:pStyle w:val="128"/>
        <w:spacing w:before="0"/>
        <w:ind w:firstLine="480"/>
        <w:rPr>
          <w:rFonts w:ascii="宋体" w:hAnsi="宋体" w:cs="宋体"/>
          <w:color w:val="auto"/>
          <w:highlight w:val="none"/>
        </w:rPr>
      </w:pPr>
      <w:r>
        <w:rPr>
          <w:rFonts w:hint="eastAsia" w:ascii="宋体" w:hAnsi="宋体" w:cs="宋体"/>
          <w:color w:val="auto"/>
          <w:highlight w:val="none"/>
        </w:rPr>
        <w:t>17.2投标文件合格投递后，自投标截止日期起，在投标有效期内有效。</w:t>
      </w:r>
    </w:p>
    <w:p>
      <w:pPr>
        <w:pStyle w:val="128"/>
        <w:spacing w:before="0"/>
        <w:ind w:firstLine="480"/>
        <w:rPr>
          <w:rFonts w:ascii="宋体" w:hAnsi="宋体" w:cs="宋体"/>
          <w:color w:val="auto"/>
          <w:highlight w:val="none"/>
        </w:rPr>
      </w:pPr>
      <w:r>
        <w:rPr>
          <w:rFonts w:hint="eastAsia" w:ascii="宋体" w:hAnsi="宋体" w:cs="宋体"/>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28"/>
        <w:spacing w:before="0"/>
        <w:ind w:firstLine="480"/>
        <w:rPr>
          <w:rFonts w:hint="eastAsia" w:ascii="宋体" w:hAnsi="宋体" w:cs="宋体"/>
          <w:color w:val="auto"/>
          <w:highlight w:val="none"/>
        </w:rPr>
      </w:pPr>
      <w:r>
        <w:rPr>
          <w:rFonts w:hint="eastAsia" w:ascii="宋体" w:hAnsi="宋体" w:cs="宋体"/>
          <w:color w:val="auto"/>
          <w:highlight w:val="none"/>
        </w:rPr>
        <w:t>17.4在投标截止时间起至投标有效期届满，供应商投标文件不可撤销。</w:t>
      </w:r>
    </w:p>
    <w:p>
      <w:pPr>
        <w:pStyle w:val="128"/>
        <w:spacing w:before="0"/>
        <w:ind w:firstLine="643"/>
        <w:rPr>
          <w:rFonts w:ascii="宋体" w:hAnsi="宋体" w:cs="宋体"/>
          <w:b/>
          <w:color w:val="auto"/>
          <w:sz w:val="32"/>
          <w:highlight w:val="none"/>
        </w:rPr>
      </w:pPr>
    </w:p>
    <w:p>
      <w:pPr>
        <w:pStyle w:val="128"/>
        <w:spacing w:before="0"/>
        <w:ind w:firstLine="1928" w:firstLineChars="600"/>
        <w:outlineLvl w:val="1"/>
        <w:rPr>
          <w:rFonts w:ascii="宋体" w:hAnsi="宋体" w:cs="宋体"/>
          <w:b/>
          <w:color w:val="auto"/>
          <w:sz w:val="32"/>
          <w:highlight w:val="none"/>
        </w:rPr>
      </w:pPr>
      <w:r>
        <w:rPr>
          <w:rFonts w:hint="eastAsia" w:ascii="宋体" w:hAnsi="宋体" w:cs="宋体"/>
          <w:b/>
          <w:color w:val="auto"/>
          <w:sz w:val="32"/>
          <w:highlight w:val="none"/>
        </w:rPr>
        <w:t>四、开标、资格审查与信用信息查询</w:t>
      </w:r>
    </w:p>
    <w:p>
      <w:pPr>
        <w:pStyle w:val="554"/>
        <w:spacing w:before="0" w:line="360" w:lineRule="auto"/>
        <w:ind w:left="0" w:firstLine="241" w:firstLineChars="100"/>
        <w:contextualSpacing/>
        <w:rPr>
          <w:rFonts w:ascii="宋体" w:hAnsi="宋体" w:cs="宋体"/>
          <w:color w:val="auto"/>
          <w:sz w:val="24"/>
          <w:highlight w:val="none"/>
        </w:rPr>
      </w:pPr>
      <w:r>
        <w:rPr>
          <w:rFonts w:hint="eastAsia" w:ascii="宋体" w:hAnsi="宋体" w:cs="宋体"/>
          <w:b/>
          <w:color w:val="auto"/>
          <w:sz w:val="24"/>
          <w:szCs w:val="24"/>
          <w:highlight w:val="none"/>
        </w:rPr>
        <w:t>18.开标</w:t>
      </w:r>
      <w:r>
        <w:rPr>
          <w:rFonts w:hint="eastAsia" w:ascii="宋体" w:hAnsi="宋体" w:cs="宋体"/>
          <w:color w:val="auto"/>
          <w:sz w:val="24"/>
          <w:highlight w:val="none"/>
        </w:rPr>
        <w:t xml:space="preserve"> </w:t>
      </w:r>
    </w:p>
    <w:p>
      <w:pPr>
        <w:pStyle w:val="554"/>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18.1采购机构按照招标文件规定的时间通过电子交易平台组织开标，所有投标人均应当准时在线参加。投标人不足3家的，不得开标。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宋体" w:hAnsi="宋体" w:cs="宋体"/>
          <w:color w:val="auto"/>
          <w:sz w:val="24"/>
          <w:highlight w:val="none"/>
        </w:rPr>
      </w:pPr>
      <w:r>
        <w:rPr>
          <w:rFonts w:hint="eastAsia" w:ascii="宋体" w:hAnsi="宋体" w:cs="宋体"/>
          <w:color w:val="auto"/>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宋体" w:hAnsi="宋体" w:cs="宋体"/>
          <w:b/>
          <w:color w:val="auto"/>
          <w:sz w:val="24"/>
          <w:highlight w:val="none"/>
        </w:rPr>
      </w:pPr>
      <w:r>
        <w:rPr>
          <w:rFonts w:hint="eastAsia" w:ascii="宋体" w:hAnsi="宋体" w:cs="宋体"/>
          <w:color w:val="auto"/>
          <w:sz w:val="24"/>
          <w:highlight w:val="none"/>
        </w:rPr>
        <w:t>　18.3</w:t>
      </w:r>
      <w:r>
        <w:rPr>
          <w:rFonts w:hint="eastAsia" w:ascii="宋体" w:hAnsi="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highlight w:val="none"/>
        </w:rPr>
      </w:pPr>
      <w:r>
        <w:rPr>
          <w:rFonts w:hint="eastAsia" w:ascii="宋体" w:hAnsi="宋体" w:cs="宋体"/>
          <w:b/>
          <w:color w:val="auto"/>
          <w:sz w:val="24"/>
          <w:szCs w:val="20"/>
          <w:highlight w:val="none"/>
        </w:rPr>
        <w:t>　19、资格审查</w:t>
      </w:r>
    </w:p>
    <w:p>
      <w:pPr>
        <w:pStyle w:val="12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19.1开标后，采购人将依据法律法规和招标文件的规定，对投标人的资格进行审查。</w:t>
      </w:r>
    </w:p>
    <w:p>
      <w:pPr>
        <w:pStyle w:val="128"/>
        <w:spacing w:before="0"/>
        <w:ind w:firstLine="480"/>
        <w:rPr>
          <w:rFonts w:ascii="宋体" w:hAnsi="宋体" w:cs="宋体"/>
          <w:color w:val="auto"/>
          <w:highlight w:val="none"/>
        </w:rPr>
      </w:pPr>
      <w:r>
        <w:rPr>
          <w:rFonts w:hint="eastAsia" w:ascii="宋体" w:hAnsi="宋体" w:cs="宋体"/>
          <w:color w:val="auto"/>
          <w:kern w:val="0"/>
          <w:szCs w:val="24"/>
          <w:highlight w:val="none"/>
        </w:rPr>
        <w:t>19.2投标人未按照招标文件要求提供与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128"/>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3对未通过资格审查的投标人，告知其未通过的原因。</w:t>
      </w:r>
    </w:p>
    <w:p>
      <w:pPr>
        <w:pStyle w:val="128"/>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4合格投标人不足3家的，不再评标。</w:t>
      </w:r>
    </w:p>
    <w:p>
      <w:pPr>
        <w:widowControl/>
        <w:spacing w:before="100" w:beforeAutospacing="1" w:after="240" w:line="360" w:lineRule="auto"/>
        <w:ind w:firstLine="241" w:firstLineChars="100"/>
        <w:jc w:val="left"/>
        <w:rPr>
          <w:rFonts w:ascii="宋体" w:hAnsi="宋体" w:cs="宋体"/>
          <w:b/>
          <w:color w:val="auto"/>
          <w:sz w:val="24"/>
          <w:highlight w:val="none"/>
        </w:rPr>
      </w:pPr>
      <w:r>
        <w:rPr>
          <w:rFonts w:hint="eastAsia" w:ascii="宋体" w:hAnsi="宋体" w:cs="宋体"/>
          <w:b/>
          <w:color w:val="auto"/>
          <w:sz w:val="24"/>
          <w:highlight w:val="none"/>
        </w:rPr>
        <w:t>20、信用信息查询</w:t>
      </w:r>
    </w:p>
    <w:p>
      <w:pPr>
        <w:pStyle w:val="128"/>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20.1信用信息查询渠道及截止时间：采购机构将在资格审查时通过“信用中国”网站(www.creditchina.gov.cn)、中国政府采购网(www.ccgp.gov.cn)渠道查询投标人接受资格时的信用记录。</w:t>
      </w:r>
    </w:p>
    <w:p>
      <w:pPr>
        <w:pStyle w:val="128"/>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20.2信用信息查询记录和证据留存的具体方式：现场查询的投标人的信用记录、查询结果经确认后将与采购文件一起存档。</w:t>
      </w:r>
    </w:p>
    <w:p>
      <w:pPr>
        <w:pStyle w:val="128"/>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宋体" w:hAnsi="宋体" w:cs="宋体"/>
          <w:color w:val="auto"/>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pStyle w:val="128"/>
        <w:spacing w:before="0"/>
        <w:ind w:firstLine="0" w:firstLineChars="0"/>
        <w:rPr>
          <w:rFonts w:ascii="宋体" w:hAnsi="宋体" w:cs="宋体"/>
          <w:color w:val="auto"/>
          <w:kern w:val="0"/>
          <w:szCs w:val="24"/>
          <w:highlight w:val="none"/>
        </w:rPr>
      </w:pPr>
    </w:p>
    <w:p>
      <w:pPr>
        <w:snapToGrid w:val="0"/>
        <w:spacing w:line="360" w:lineRule="auto"/>
        <w:jc w:val="center"/>
        <w:outlineLvl w:val="1"/>
        <w:rPr>
          <w:rFonts w:ascii="宋体" w:hAnsi="宋体" w:cs="宋体"/>
          <w:b/>
          <w:color w:val="auto"/>
          <w:sz w:val="36"/>
          <w:szCs w:val="36"/>
          <w:highlight w:val="none"/>
        </w:rPr>
      </w:pPr>
      <w:r>
        <w:rPr>
          <w:rFonts w:hint="eastAsia" w:ascii="宋体" w:hAnsi="宋体" w:cs="宋体"/>
          <w:b/>
          <w:color w:val="auto"/>
          <w:sz w:val="36"/>
          <w:szCs w:val="36"/>
          <w:highlight w:val="none"/>
        </w:rPr>
        <w:t>五、评标</w:t>
      </w:r>
    </w:p>
    <w:p>
      <w:pPr>
        <w:spacing w:line="360" w:lineRule="auto"/>
        <w:rPr>
          <w:rFonts w:ascii="宋体" w:hAnsi="宋体" w:cs="宋体"/>
          <w:b/>
          <w:color w:val="auto"/>
          <w:sz w:val="24"/>
          <w:highlight w:val="none"/>
        </w:rPr>
      </w:pPr>
      <w:bookmarkStart w:id="13" w:name="_Toc91899903"/>
      <w:r>
        <w:rPr>
          <w:rFonts w:hint="eastAsia" w:ascii="宋体" w:hAnsi="宋体" w:cs="宋体"/>
          <w:b/>
          <w:color w:val="auto"/>
          <w:sz w:val="24"/>
          <w:highlight w:val="none"/>
        </w:rPr>
        <w:t>21.</w:t>
      </w:r>
      <w:r>
        <w:rPr>
          <w:rFonts w:hint="eastAsia" w:ascii="宋体" w:hAnsi="宋体" w:cs="宋体"/>
          <w:color w:val="auto"/>
          <w:highlight w:val="none"/>
        </w:rPr>
        <w:t xml:space="preserve"> </w:t>
      </w:r>
      <w:r>
        <w:rPr>
          <w:rFonts w:hint="eastAsia" w:ascii="宋体" w:hAnsi="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highlight w:val="none"/>
        </w:rPr>
        <w:t>详见招标文件第四部分评标办法。</w:t>
      </w:r>
    </w:p>
    <w:p>
      <w:pPr>
        <w:spacing w:line="360" w:lineRule="auto"/>
        <w:rPr>
          <w:rFonts w:ascii="宋体" w:hAnsi="宋体" w:cs="宋体"/>
          <w:b/>
          <w:color w:val="auto"/>
          <w:sz w:val="24"/>
          <w:highlight w:val="none"/>
        </w:rPr>
      </w:pPr>
    </w:p>
    <w:p>
      <w:pPr>
        <w:snapToGrid w:val="0"/>
        <w:spacing w:line="360" w:lineRule="auto"/>
        <w:jc w:val="center"/>
        <w:outlineLvl w:val="1"/>
        <w:rPr>
          <w:rFonts w:ascii="宋体" w:hAnsi="宋体" w:cs="宋体"/>
          <w:b/>
          <w:color w:val="auto"/>
          <w:sz w:val="36"/>
          <w:szCs w:val="36"/>
          <w:highlight w:val="none"/>
        </w:rPr>
      </w:pPr>
      <w:r>
        <w:rPr>
          <w:rFonts w:hint="eastAsia" w:ascii="宋体" w:hAnsi="宋体" w:cs="宋体"/>
          <w:b/>
          <w:color w:val="auto"/>
          <w:sz w:val="36"/>
          <w:szCs w:val="36"/>
          <w:highlight w:val="none"/>
        </w:rPr>
        <w:t>六、定 标</w:t>
      </w:r>
    </w:p>
    <w:p>
      <w:pPr>
        <w:pStyle w:val="25"/>
        <w:spacing w:line="360" w:lineRule="auto"/>
        <w:ind w:left="479" w:hanging="479" w:hangingChars="199"/>
        <w:rPr>
          <w:rFonts w:cs="宋体"/>
          <w:b/>
          <w:color w:val="auto"/>
          <w:highlight w:val="none"/>
        </w:rPr>
      </w:pPr>
      <w:r>
        <w:rPr>
          <w:rFonts w:hint="eastAsia" w:cs="宋体"/>
          <w:b/>
          <w:color w:val="auto"/>
          <w:highlight w:val="none"/>
        </w:rPr>
        <w:t>22. 确定中标供应商</w:t>
      </w:r>
    </w:p>
    <w:p>
      <w:pPr>
        <w:pStyle w:val="128"/>
        <w:snapToGrid w:val="0"/>
        <w:spacing w:before="0"/>
        <w:ind w:firstLine="480"/>
        <w:rPr>
          <w:rFonts w:ascii="宋体" w:hAnsi="宋体" w:cs="宋体"/>
          <w:b/>
          <w:color w:val="auto"/>
          <w:szCs w:val="24"/>
          <w:highlight w:val="none"/>
        </w:rPr>
      </w:pPr>
      <w:r>
        <w:rPr>
          <w:rFonts w:hint="eastAsia" w:ascii="宋体" w:hAnsi="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在采购结果确认环节，中标候选人撤销投标文件不能成为采购人不确认采购结果的正当理由。中标、成交通知书和中标、成交结果公告应当在规定时间内同时发出。</w:t>
      </w:r>
    </w:p>
    <w:p>
      <w:pPr>
        <w:pStyle w:val="128"/>
        <w:snapToGrid w:val="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23. 中标通知与中标结果公告</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23.2中标结果公告内容包括采购人及其委托的采购机构的名称、地址、联系方式，项目名称和项目编号，中标人名称、地址和中标金额，主要中标标的的名称、规格型号、数量、单价、服务要求，开标记录、</w:t>
      </w:r>
      <w:bookmarkStart w:id="14" w:name="_Hlk101184471"/>
      <w:r>
        <w:rPr>
          <w:rFonts w:hint="eastAsia" w:ascii="宋体" w:hAnsi="宋体" w:cs="宋体"/>
          <w:color w:val="auto"/>
          <w:sz w:val="24"/>
          <w:highlight w:val="none"/>
        </w:rPr>
        <w:t>资格审查情况、评审专家抽取规则、符合性审查情况、</w:t>
      </w:r>
      <w:bookmarkEnd w:id="14"/>
      <w:r>
        <w:rPr>
          <w:rFonts w:hint="eastAsia" w:ascii="宋体" w:hAnsi="宋体" w:cs="宋体"/>
          <w:color w:val="auto"/>
          <w:sz w:val="24"/>
          <w:highlight w:val="none"/>
        </w:rPr>
        <w:t>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23.3公告期限为1个工作日。</w:t>
      </w:r>
    </w:p>
    <w:p>
      <w:pPr>
        <w:snapToGrid w:val="0"/>
        <w:spacing w:line="360" w:lineRule="auto"/>
        <w:ind w:left="120" w:leftChars="57" w:firstLine="482" w:firstLineChars="150"/>
        <w:jc w:val="center"/>
        <w:rPr>
          <w:rFonts w:ascii="宋体" w:hAnsi="宋体" w:cs="宋体"/>
          <w:b/>
          <w:color w:val="auto"/>
          <w:sz w:val="32"/>
          <w:highlight w:val="none"/>
        </w:rPr>
      </w:pPr>
    </w:p>
    <w:p>
      <w:pPr>
        <w:snapToGrid w:val="0"/>
        <w:spacing w:line="360" w:lineRule="auto"/>
        <w:ind w:left="120" w:leftChars="57" w:firstLine="482" w:firstLineChars="150"/>
        <w:jc w:val="center"/>
        <w:outlineLvl w:val="1"/>
        <w:rPr>
          <w:rFonts w:ascii="宋体" w:hAnsi="宋体" w:cs="宋体"/>
          <w:b/>
          <w:color w:val="auto"/>
          <w:sz w:val="32"/>
          <w:highlight w:val="none"/>
        </w:rPr>
      </w:pPr>
      <w:r>
        <w:rPr>
          <w:rFonts w:hint="eastAsia" w:ascii="宋体" w:hAnsi="宋体" w:cs="宋体"/>
          <w:b/>
          <w:color w:val="auto"/>
          <w:sz w:val="32"/>
          <w:highlight w:val="none"/>
        </w:rPr>
        <w:t>七、合同授予</w:t>
      </w:r>
    </w:p>
    <w:p>
      <w:pPr>
        <w:pStyle w:val="25"/>
        <w:spacing w:line="360" w:lineRule="auto"/>
        <w:ind w:left="479" w:hanging="479" w:hangingChars="199"/>
        <w:rPr>
          <w:rFonts w:cs="宋体"/>
          <w:b/>
          <w:color w:val="auto"/>
          <w:highlight w:val="none"/>
        </w:rPr>
      </w:pPr>
      <w:r>
        <w:rPr>
          <w:rFonts w:hint="eastAsia" w:cs="宋体"/>
          <w:b/>
          <w:color w:val="auto"/>
          <w:highlight w:val="none"/>
        </w:rPr>
        <w:t xml:space="preserve">24. </w:t>
      </w:r>
      <w:r>
        <w:rPr>
          <w:rFonts w:hint="eastAsia" w:cs="宋体"/>
          <w:color w:val="auto"/>
          <w:highlight w:val="none"/>
        </w:rPr>
        <w:t>合同主要条款详见第五部分拟签订的合同文本。</w:t>
      </w:r>
    </w:p>
    <w:p>
      <w:pPr>
        <w:pStyle w:val="25"/>
        <w:spacing w:line="360" w:lineRule="auto"/>
        <w:ind w:left="479" w:hanging="479" w:hangingChars="199"/>
        <w:rPr>
          <w:rFonts w:cs="宋体"/>
          <w:b/>
          <w:color w:val="auto"/>
          <w:highlight w:val="none"/>
        </w:rPr>
      </w:pPr>
      <w:r>
        <w:rPr>
          <w:rFonts w:hint="eastAsia" w:cs="宋体"/>
          <w:b/>
          <w:color w:val="auto"/>
          <w:highlight w:val="none"/>
        </w:rPr>
        <w:t>25. 合同的签订</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sz w:val="24"/>
          <w:highlight w:val="none"/>
        </w:rPr>
        <w:t>25.1</w:t>
      </w:r>
      <w:r>
        <w:rPr>
          <w:rFonts w:hint="eastAsia" w:ascii="宋体" w:hAnsi="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napToGrid w:val="0"/>
        <w:spacing w:before="0"/>
        <w:ind w:firstLine="480"/>
        <w:rPr>
          <w:rFonts w:ascii="宋体" w:hAnsi="宋体" w:cs="宋体"/>
          <w:color w:val="auto"/>
          <w:kern w:val="0"/>
          <w:highlight w:val="none"/>
        </w:rPr>
      </w:pPr>
      <w:r>
        <w:rPr>
          <w:rFonts w:hint="eastAsia" w:ascii="宋体" w:hAnsi="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25.3如签订合同并生效后，供应商无故拒绝或延期，除按照合同条款处理外，列入不良行为记录一次，并给予通报。</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宋体" w:hAnsi="宋体" w:cs="宋体"/>
          <w:color w:val="auto"/>
          <w:highlight w:val="none"/>
        </w:rPr>
      </w:pPr>
      <w:r>
        <w:rPr>
          <w:rFonts w:hint="eastAsia" w:ascii="宋体" w:hAnsi="宋体" w:cs="宋体"/>
          <w:color w:val="auto"/>
          <w:highlight w:val="none"/>
        </w:rPr>
        <w:t>25.5采购合同由采购人与中标供应商根据招标文件、投标文件等内容通过政府采购电子交易平台在线签订，自动备案。</w:t>
      </w:r>
    </w:p>
    <w:p>
      <w:pPr>
        <w:pStyle w:val="25"/>
        <w:spacing w:line="360" w:lineRule="auto"/>
        <w:ind w:left="479" w:hanging="479" w:hangingChars="199"/>
        <w:rPr>
          <w:rFonts w:cs="宋体"/>
          <w:b/>
          <w:color w:val="auto"/>
          <w:highlight w:val="none"/>
        </w:rPr>
      </w:pPr>
      <w:r>
        <w:rPr>
          <w:rFonts w:hint="eastAsia" w:cs="宋体"/>
          <w:b/>
          <w:color w:val="auto"/>
          <w:highlight w:val="none"/>
        </w:rPr>
        <w:t>26. 履约保证金</w:t>
      </w:r>
    </w:p>
    <w:p>
      <w:pPr>
        <w:tabs>
          <w:tab w:val="left" w:pos="0"/>
        </w:tabs>
        <w:spacing w:line="360" w:lineRule="auto"/>
        <w:ind w:firstLine="482"/>
        <w:rPr>
          <w:rFonts w:ascii="宋体" w:hAnsi="宋体" w:cs="宋体"/>
          <w:color w:val="auto"/>
          <w:sz w:val="24"/>
          <w:highlight w:val="none"/>
        </w:rPr>
      </w:pPr>
      <w:r>
        <w:rPr>
          <w:rFonts w:hint="eastAsia" w:ascii="宋体" w:hAnsi="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highlight w:val="none"/>
        </w:rPr>
        <w:t>。履约保证金的数额不得超过政府采购合同金额的</w:t>
      </w:r>
      <w:r>
        <w:rPr>
          <w:rFonts w:ascii="宋体" w:hAnsi="宋体" w:cs="宋体"/>
          <w:color w:val="auto"/>
          <w:sz w:val="24"/>
          <w:highlight w:val="none"/>
        </w:rPr>
        <w:t>1</w:t>
      </w:r>
      <w:r>
        <w:rPr>
          <w:rFonts w:hint="eastAsia" w:ascii="宋体" w:hAnsi="宋体" w:cs="宋体"/>
          <w:color w:val="auto"/>
          <w:sz w:val="24"/>
          <w:highlight w:val="none"/>
        </w:rPr>
        <w:t>%。鼓励和支持供应商以银行、保险公司出具的保函形式提供履约保证金。采购人不得拒收履约保函，项目验收结束后应及时退还，</w:t>
      </w:r>
      <w:r>
        <w:rPr>
          <w:rFonts w:ascii="宋体" w:hAnsi="宋体" w:cs="宋体"/>
          <w:color w:val="auto"/>
          <w:sz w:val="24"/>
          <w:highlight w:val="none"/>
        </w:rPr>
        <w:t>延迟退还的，应当按照合同约定和法律规定承担相应的赔偿责任</w:t>
      </w:r>
      <w:r>
        <w:rPr>
          <w:rFonts w:hint="eastAsia" w:ascii="宋体" w:hAnsi="宋体" w:cs="宋体"/>
          <w:color w:val="auto"/>
          <w:sz w:val="24"/>
          <w:highlight w:val="none"/>
        </w:rPr>
        <w:t>。</w:t>
      </w:r>
    </w:p>
    <w:p>
      <w:pPr>
        <w:tabs>
          <w:tab w:val="left" w:pos="432"/>
        </w:tabs>
        <w:spacing w:line="360" w:lineRule="auto"/>
        <w:ind w:left="0" w:firstLine="480" w:firstLineChars="200"/>
        <w:outlineLvl w:val="9"/>
        <w:rPr>
          <w:rFonts w:ascii="宋体" w:hAnsi="宋体" w:eastAsia="宋体" w:cs="宋体"/>
          <w:color w:val="auto"/>
          <w:highlight w:val="none"/>
          <w:lang w:val="en-US"/>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宋体" w:hAnsi="宋体" w:cs="宋体"/>
          <w:b/>
          <w:color w:val="auto"/>
          <w:sz w:val="32"/>
          <w:highlight w:val="none"/>
        </w:rPr>
      </w:pPr>
    </w:p>
    <w:p>
      <w:pPr>
        <w:snapToGrid w:val="0"/>
        <w:spacing w:line="360" w:lineRule="auto"/>
        <w:ind w:firstLine="3357" w:firstLineChars="1045"/>
        <w:outlineLvl w:val="1"/>
        <w:rPr>
          <w:rFonts w:ascii="宋体" w:hAnsi="宋体" w:cs="宋体"/>
          <w:b/>
          <w:color w:val="auto"/>
          <w:sz w:val="24"/>
          <w:highlight w:val="none"/>
        </w:rPr>
      </w:pPr>
      <w:r>
        <w:rPr>
          <w:rFonts w:hint="eastAsia" w:ascii="宋体" w:hAnsi="宋体" w:cs="宋体"/>
          <w:b/>
          <w:color w:val="auto"/>
          <w:sz w:val="32"/>
          <w:highlight w:val="none"/>
        </w:rPr>
        <w:t>八、电子交易活动的中止</w:t>
      </w:r>
    </w:p>
    <w:p>
      <w:pPr>
        <w:pStyle w:val="128"/>
        <w:snapToGrid w:val="0"/>
        <w:spacing w:before="0"/>
        <w:ind w:firstLine="0" w:firstLineChars="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b/>
          <w:color w:val="auto"/>
          <w:szCs w:val="24"/>
          <w:highlight w:val="none"/>
        </w:rPr>
        <w:t>7. 电子交易活动的中止。</w:t>
      </w:r>
      <w:r>
        <w:rPr>
          <w:rFonts w:hint="eastAsia" w:ascii="宋体" w:hAnsi="宋体" w:cs="宋体"/>
          <w:color w:val="auto"/>
          <w:highlight w:val="none"/>
        </w:rPr>
        <w:t>采购过程中出现以下情形，导致电子交易平台无法正常运行，或者无法保证电子交易的公平、公正和安全时，采购机构可中止电子交易活动：</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 xml:space="preserve">27.1电子交易平台发生故障而无法登录访问的； </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27.2电子交易平台应用或数据库出现错误，不能进行正常操作的；</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27.3电子交易平台发现严重安全漏洞，有潜在泄密危险的；</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 xml:space="preserve">27.4病毒发作导致不能进行正常操作的； </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27.5其他无法保证电子交易的公平、公正和安全的情况。</w:t>
      </w:r>
    </w:p>
    <w:p>
      <w:pPr>
        <w:pStyle w:val="128"/>
        <w:snapToGrid w:val="0"/>
        <w:spacing w:before="0"/>
        <w:ind w:firstLine="0" w:firstLineChars="0"/>
        <w:rPr>
          <w:rFonts w:ascii="宋体" w:hAnsi="宋体" w:cs="宋体"/>
          <w:color w:val="auto"/>
          <w:highlight w:val="none"/>
        </w:rPr>
      </w:pPr>
      <w:r>
        <w:rPr>
          <w:rFonts w:hint="eastAsia" w:ascii="宋体" w:hAnsi="宋体" w:cs="宋体"/>
          <w:color w:val="auto"/>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highlight w:val="none"/>
        </w:rPr>
      </w:pPr>
    </w:p>
    <w:p>
      <w:pPr>
        <w:snapToGrid w:val="0"/>
        <w:spacing w:line="360" w:lineRule="auto"/>
        <w:ind w:left="120" w:leftChars="57" w:firstLine="482" w:firstLineChars="150"/>
        <w:jc w:val="center"/>
        <w:outlineLvl w:val="1"/>
        <w:rPr>
          <w:rFonts w:ascii="宋体" w:hAnsi="宋体" w:cs="宋体"/>
          <w:b/>
          <w:color w:val="auto"/>
          <w:sz w:val="32"/>
          <w:highlight w:val="none"/>
        </w:rPr>
      </w:pPr>
      <w:r>
        <w:rPr>
          <w:rFonts w:hint="eastAsia" w:ascii="宋体" w:hAnsi="宋体" w:cs="宋体"/>
          <w:b/>
          <w:color w:val="auto"/>
          <w:sz w:val="32"/>
          <w:highlight w:val="none"/>
        </w:rPr>
        <w:t>九、验收</w:t>
      </w:r>
    </w:p>
    <w:p>
      <w:pPr>
        <w:pStyle w:val="25"/>
        <w:spacing w:line="360" w:lineRule="auto"/>
        <w:ind w:firstLine="0" w:firstLineChars="0"/>
        <w:rPr>
          <w:rFonts w:cs="宋体"/>
          <w:b/>
          <w:color w:val="auto"/>
          <w:highlight w:val="none"/>
        </w:rPr>
      </w:pPr>
      <w:r>
        <w:rPr>
          <w:rFonts w:hint="eastAsia" w:cs="宋体"/>
          <w:b/>
          <w:color w:val="auto"/>
          <w:highlight w:val="none"/>
        </w:rPr>
        <w:t>29.验收</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sz w:val="18"/>
          <w:szCs w:val="18"/>
          <w:highlight w:val="none"/>
        </w:rPr>
      </w:pPr>
      <w:r>
        <w:rPr>
          <w:rFonts w:hint="eastAsia" w:ascii="宋体" w:hAnsi="宋体" w:cs="宋体"/>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68073093"/>
      <w:bookmarkEnd w:id="15"/>
      <w:bookmarkStart w:id="16" w:name="_Hlt74707468"/>
      <w:bookmarkEnd w:id="16"/>
      <w:bookmarkStart w:id="17" w:name="_Hlt68057669"/>
      <w:bookmarkEnd w:id="17"/>
      <w:bookmarkStart w:id="18" w:name="_Hlt74730295"/>
      <w:bookmarkEnd w:id="18"/>
      <w:bookmarkStart w:id="19" w:name="_Hlt74729768"/>
      <w:bookmarkEnd w:id="19"/>
      <w:bookmarkStart w:id="20" w:name="_Hlt75236290"/>
      <w:bookmarkEnd w:id="20"/>
      <w:bookmarkStart w:id="21" w:name="_Hlt68403820"/>
      <w:bookmarkEnd w:id="21"/>
      <w:bookmarkStart w:id="22" w:name="_Hlt75236101"/>
      <w:bookmarkEnd w:id="22"/>
      <w:bookmarkStart w:id="23" w:name="_Hlt68072998"/>
      <w:bookmarkEnd w:id="23"/>
      <w:bookmarkStart w:id="24" w:name="_Hlt68072990"/>
      <w:bookmarkEnd w:id="24"/>
      <w:bookmarkStart w:id="25" w:name="_Hlt75236011"/>
      <w:bookmarkEnd w:id="25"/>
      <w:bookmarkStart w:id="26" w:name="_Hlt74714665"/>
      <w:bookmarkEnd w:id="26"/>
    </w:p>
    <w:bookmarkEnd w:id="11"/>
    <w:bookmarkEnd w:id="12"/>
    <w:p>
      <w:pPr>
        <w:spacing w:line="360" w:lineRule="auto"/>
        <w:jc w:val="center"/>
        <w:outlineLvl w:val="0"/>
        <w:rPr>
          <w:rFonts w:ascii="楷体" w:hAnsi="楷体" w:eastAsia="楷体"/>
          <w:b/>
          <w:bCs/>
          <w:color w:val="auto"/>
          <w:sz w:val="28"/>
          <w:szCs w:val="28"/>
          <w:highlight w:val="none"/>
        </w:rPr>
      </w:pPr>
      <w:bookmarkStart w:id="27" w:name="第四部分"/>
      <w:r>
        <w:rPr>
          <w:rFonts w:hint="eastAsia" w:ascii="宋体" w:hAnsi="宋体" w:cs="宋体"/>
          <w:b/>
          <w:color w:val="auto"/>
          <w:sz w:val="36"/>
          <w:szCs w:val="36"/>
          <w:highlight w:val="none"/>
        </w:rPr>
        <w:t>第三部分   采购需求</w:t>
      </w:r>
    </w:p>
    <w:p>
      <w:pPr>
        <w:numPr>
          <w:ilvl w:val="0"/>
          <w:numId w:val="0"/>
        </w:numPr>
        <w:spacing w:line="360" w:lineRule="auto"/>
        <w:ind w:firstLine="602" w:firstLineChars="200"/>
        <w:outlineLvl w:val="0"/>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lang w:val="en-US" w:eastAsia="zh-CN"/>
        </w:rPr>
        <w:t>一、</w:t>
      </w:r>
      <w:r>
        <w:rPr>
          <w:rFonts w:hint="eastAsia" w:ascii="宋体" w:hAnsi="宋体" w:eastAsia="宋体" w:cs="宋体"/>
          <w:b/>
          <w:bCs/>
          <w:color w:val="auto"/>
          <w:sz w:val="30"/>
          <w:szCs w:val="30"/>
          <w:highlight w:val="none"/>
        </w:rPr>
        <w:t>项目概况：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cs="宋体"/>
          <w:sz w:val="24"/>
          <w:szCs w:val="24"/>
          <w:lang w:eastAsia="zh-CN"/>
        </w:rPr>
        <w:t>（一）</w:t>
      </w:r>
      <w:r>
        <w:rPr>
          <w:rFonts w:hint="eastAsia" w:ascii="宋体" w:hAnsi="宋体" w:eastAsia="宋体" w:cs="宋体"/>
          <w:sz w:val="24"/>
          <w:szCs w:val="24"/>
          <w:lang w:eastAsia="zh-CN"/>
        </w:rPr>
        <w:t>杭州市红缨幼儿园，目前有四</w:t>
      </w:r>
      <w:r>
        <w:rPr>
          <w:rFonts w:hint="eastAsia" w:ascii="宋体" w:hAnsi="宋体" w:cs="宋体"/>
          <w:sz w:val="24"/>
          <w:szCs w:val="24"/>
          <w:lang w:eastAsia="zh-CN"/>
        </w:rPr>
        <w:t>个</w:t>
      </w:r>
      <w:r>
        <w:rPr>
          <w:rFonts w:hint="eastAsia" w:ascii="宋体" w:hAnsi="宋体" w:eastAsia="宋体" w:cs="宋体"/>
          <w:sz w:val="24"/>
          <w:szCs w:val="24"/>
          <w:lang w:eastAsia="zh-CN"/>
        </w:rPr>
        <w:t>园区，分别是：</w:t>
      </w:r>
      <w:r>
        <w:rPr>
          <w:rFonts w:hint="eastAsia" w:ascii="宋体" w:hAnsi="宋体" w:eastAsia="宋体" w:cs="宋体"/>
          <w:b w:val="0"/>
          <w:bCs w:val="0"/>
          <w:sz w:val="24"/>
          <w:szCs w:val="24"/>
          <w:u w:val="single"/>
          <w:lang w:val="en-US" w:eastAsia="zh-CN"/>
        </w:rPr>
        <w:t>杭州市红缨幼儿园（仓基园区）</w:t>
      </w:r>
      <w:r>
        <w:rPr>
          <w:rFonts w:hint="eastAsia" w:ascii="宋体" w:hAnsi="宋体" w:eastAsia="宋体" w:cs="宋体"/>
          <w:b w:val="0"/>
          <w:bCs w:val="0"/>
          <w:sz w:val="24"/>
          <w:szCs w:val="24"/>
          <w:u w:val="none"/>
          <w:lang w:val="en-US" w:eastAsia="zh-CN"/>
        </w:rPr>
        <w:t>，坐落于</w:t>
      </w:r>
      <w:r>
        <w:rPr>
          <w:rFonts w:hint="eastAsia" w:ascii="宋体" w:hAnsi="宋体" w:eastAsia="宋体" w:cs="宋体"/>
          <w:b w:val="0"/>
          <w:bCs w:val="0"/>
          <w:sz w:val="24"/>
          <w:szCs w:val="24"/>
          <w:u w:val="single"/>
          <w:lang w:val="en-US" w:eastAsia="zh-CN"/>
        </w:rPr>
        <w:t>杭州市拱墅区仓基新村45号</w:t>
      </w:r>
      <w:r>
        <w:rPr>
          <w:rFonts w:hint="eastAsia" w:ascii="宋体" w:hAnsi="宋体" w:eastAsia="宋体" w:cs="宋体"/>
          <w:b w:val="0"/>
          <w:bCs w:val="0"/>
          <w:sz w:val="24"/>
          <w:szCs w:val="24"/>
          <w:u w:val="none"/>
          <w:lang w:val="en-US" w:eastAsia="zh-CN"/>
        </w:rPr>
        <w:t>；</w:t>
      </w:r>
      <w:r>
        <w:rPr>
          <w:rFonts w:hint="eastAsia" w:ascii="宋体" w:hAnsi="宋体" w:eastAsia="宋体" w:cs="宋体"/>
          <w:b w:val="0"/>
          <w:bCs w:val="0"/>
          <w:sz w:val="24"/>
          <w:szCs w:val="24"/>
          <w:u w:val="single"/>
          <w:lang w:val="en-US" w:eastAsia="zh-CN"/>
        </w:rPr>
        <w:t>杭州市红缨幼儿园（大关园区）</w:t>
      </w:r>
      <w:r>
        <w:rPr>
          <w:rFonts w:hint="eastAsia" w:ascii="宋体" w:hAnsi="宋体" w:eastAsia="宋体" w:cs="宋体"/>
          <w:b w:val="0"/>
          <w:bCs w:val="0"/>
          <w:sz w:val="24"/>
          <w:szCs w:val="24"/>
          <w:u w:val="none"/>
          <w:lang w:val="en-US" w:eastAsia="zh-CN"/>
        </w:rPr>
        <w:t>，</w:t>
      </w:r>
      <w:r>
        <w:rPr>
          <w:rFonts w:hint="eastAsia" w:ascii="宋体" w:hAnsi="宋体" w:eastAsia="宋体" w:cs="宋体"/>
          <w:spacing w:val="-6"/>
          <w:sz w:val="24"/>
          <w:szCs w:val="24"/>
          <w:lang w:val="en-US" w:eastAsia="zh-CN"/>
        </w:rPr>
        <w:t>坐落于</w:t>
      </w:r>
      <w:r>
        <w:rPr>
          <w:rFonts w:hint="eastAsia" w:ascii="宋体" w:hAnsi="宋体" w:eastAsia="宋体" w:cs="宋体"/>
          <w:spacing w:val="-6"/>
          <w:sz w:val="24"/>
          <w:szCs w:val="24"/>
          <w:u w:val="single"/>
        </w:rPr>
        <w:t xml:space="preserve">杭州市拱墅区大关南五苑 </w:t>
      </w:r>
      <w:r>
        <w:rPr>
          <w:rFonts w:hint="eastAsia" w:ascii="宋体" w:hAnsi="宋体" w:eastAsia="宋体" w:cs="宋体"/>
          <w:sz w:val="24"/>
          <w:szCs w:val="24"/>
          <w:u w:val="single"/>
        </w:rPr>
        <w:t xml:space="preserve">15 </w:t>
      </w:r>
      <w:r>
        <w:rPr>
          <w:rFonts w:hint="eastAsia" w:ascii="宋体" w:hAnsi="宋体" w:eastAsia="宋体" w:cs="宋体"/>
          <w:spacing w:val="-10"/>
          <w:sz w:val="24"/>
          <w:szCs w:val="24"/>
          <w:u w:val="single"/>
        </w:rPr>
        <w:t>号</w:t>
      </w:r>
      <w:r>
        <w:rPr>
          <w:rFonts w:hint="eastAsia" w:ascii="宋体" w:hAnsi="宋体" w:eastAsia="宋体" w:cs="宋体"/>
          <w:spacing w:val="1"/>
          <w:sz w:val="24"/>
          <w:szCs w:val="24"/>
        </w:rPr>
        <w:t>；</w:t>
      </w:r>
      <w:r>
        <w:rPr>
          <w:rFonts w:hint="eastAsia" w:ascii="宋体" w:hAnsi="宋体" w:eastAsia="宋体" w:cs="宋体"/>
          <w:spacing w:val="1"/>
          <w:sz w:val="24"/>
          <w:szCs w:val="24"/>
          <w:lang w:val="en-US" w:eastAsia="zh-CN"/>
        </w:rPr>
        <w:t>杭州市红缨幼儿园（</w:t>
      </w:r>
      <w:r>
        <w:rPr>
          <w:rFonts w:hint="eastAsia" w:ascii="宋体" w:hAnsi="宋体" w:eastAsia="宋体" w:cs="宋体"/>
          <w:spacing w:val="1"/>
          <w:sz w:val="24"/>
          <w:szCs w:val="24"/>
        </w:rPr>
        <w:t>西岸</w:t>
      </w:r>
      <w:r>
        <w:rPr>
          <w:rFonts w:hint="eastAsia" w:ascii="宋体" w:hAnsi="宋体" w:eastAsia="宋体" w:cs="宋体"/>
          <w:spacing w:val="32"/>
          <w:sz w:val="24"/>
          <w:szCs w:val="24"/>
        </w:rPr>
        <w:t>园区</w:t>
      </w:r>
      <w:r>
        <w:rPr>
          <w:rFonts w:hint="eastAsia" w:ascii="宋体" w:hAnsi="宋体" w:eastAsia="宋体" w:cs="宋体"/>
          <w:spacing w:val="32"/>
          <w:sz w:val="24"/>
          <w:szCs w:val="24"/>
          <w:lang w:eastAsia="zh-CN"/>
        </w:rPr>
        <w:t>），</w:t>
      </w:r>
      <w:r>
        <w:rPr>
          <w:rFonts w:hint="eastAsia" w:ascii="宋体" w:hAnsi="宋体" w:eastAsia="宋体" w:cs="宋体"/>
          <w:spacing w:val="32"/>
          <w:sz w:val="24"/>
          <w:szCs w:val="24"/>
          <w:lang w:val="en-US" w:eastAsia="zh-CN"/>
        </w:rPr>
        <w:t>坐落于</w:t>
      </w:r>
      <w:r>
        <w:rPr>
          <w:rFonts w:hint="eastAsia" w:ascii="宋体" w:hAnsi="宋体" w:eastAsia="宋体" w:cs="宋体"/>
          <w:spacing w:val="32"/>
          <w:sz w:val="24"/>
          <w:szCs w:val="24"/>
          <w:u w:val="single"/>
        </w:rPr>
        <w:t xml:space="preserve">杭州市拱墅区文岚街 </w:t>
      </w:r>
      <w:r>
        <w:rPr>
          <w:rFonts w:hint="eastAsia" w:ascii="宋体" w:hAnsi="宋体" w:eastAsia="宋体" w:cs="宋体"/>
          <w:sz w:val="24"/>
          <w:szCs w:val="24"/>
          <w:u w:val="single"/>
        </w:rPr>
        <w:t xml:space="preserve">100 </w:t>
      </w:r>
      <w:r>
        <w:rPr>
          <w:rFonts w:hint="eastAsia" w:ascii="宋体" w:hAnsi="宋体" w:eastAsia="宋体" w:cs="宋体"/>
          <w:spacing w:val="9"/>
          <w:sz w:val="24"/>
          <w:szCs w:val="24"/>
          <w:u w:val="single"/>
        </w:rPr>
        <w:t>号</w:t>
      </w:r>
      <w:r>
        <w:rPr>
          <w:rFonts w:hint="eastAsia" w:ascii="宋体" w:hAnsi="宋体" w:eastAsia="宋体" w:cs="宋体"/>
          <w:spacing w:val="9"/>
          <w:sz w:val="24"/>
          <w:szCs w:val="24"/>
        </w:rPr>
        <w:t xml:space="preserve"> </w:t>
      </w:r>
      <w:r>
        <w:rPr>
          <w:rFonts w:hint="eastAsia" w:ascii="宋体" w:hAnsi="宋体" w:eastAsia="宋体" w:cs="宋体"/>
          <w:spacing w:val="-8"/>
          <w:sz w:val="24"/>
          <w:szCs w:val="24"/>
        </w:rPr>
        <w:t>；</w:t>
      </w:r>
      <w:r>
        <w:rPr>
          <w:rFonts w:hint="eastAsia" w:ascii="宋体" w:hAnsi="宋体" w:eastAsia="宋体" w:cs="宋体"/>
          <w:spacing w:val="-8"/>
          <w:sz w:val="24"/>
          <w:szCs w:val="24"/>
          <w:lang w:val="en-US" w:eastAsia="zh-CN"/>
        </w:rPr>
        <w:t>杭州市红缨幼儿园（</w:t>
      </w:r>
      <w:r>
        <w:rPr>
          <w:rFonts w:hint="eastAsia" w:ascii="宋体" w:hAnsi="宋体" w:eastAsia="宋体" w:cs="宋体"/>
          <w:spacing w:val="-8"/>
          <w:sz w:val="24"/>
          <w:szCs w:val="24"/>
        </w:rPr>
        <w:t>童玩家</w:t>
      </w:r>
      <w:r>
        <w:rPr>
          <w:rFonts w:hint="eastAsia" w:ascii="宋体" w:hAnsi="宋体" w:eastAsia="宋体" w:cs="宋体"/>
          <w:spacing w:val="-8"/>
          <w:sz w:val="24"/>
          <w:szCs w:val="24"/>
          <w:lang w:val="en-US" w:eastAsia="zh-CN"/>
        </w:rPr>
        <w:t>园区），坐落于</w:t>
      </w:r>
      <w:r>
        <w:rPr>
          <w:rFonts w:hint="eastAsia" w:ascii="宋体" w:hAnsi="宋体" w:eastAsia="宋体" w:cs="宋体"/>
          <w:spacing w:val="-8"/>
          <w:sz w:val="24"/>
          <w:szCs w:val="24"/>
          <w:u w:val="single"/>
        </w:rPr>
        <w:t xml:space="preserve">杭州市拱墅区祥符街道后横港路 </w:t>
      </w:r>
      <w:r>
        <w:rPr>
          <w:rFonts w:hint="eastAsia" w:ascii="宋体" w:hAnsi="宋体" w:eastAsia="宋体" w:cs="宋体"/>
          <w:sz w:val="24"/>
          <w:szCs w:val="24"/>
          <w:u w:val="single"/>
        </w:rPr>
        <w:t xml:space="preserve">568 </w:t>
      </w:r>
      <w:r>
        <w:rPr>
          <w:rFonts w:hint="eastAsia" w:ascii="宋体" w:hAnsi="宋体" w:eastAsia="宋体" w:cs="宋体"/>
          <w:spacing w:val="-11"/>
          <w:sz w:val="24"/>
          <w:szCs w:val="24"/>
          <w:u w:val="single"/>
        </w:rPr>
        <w:t>号</w:t>
      </w:r>
      <w:r>
        <w:rPr>
          <w:rFonts w:hint="eastAsia" w:ascii="宋体" w:hAnsi="宋体" w:eastAsia="宋体" w:cs="宋体"/>
          <w:spacing w:val="-11"/>
          <w:sz w:val="24"/>
          <w:szCs w:val="24"/>
          <w:lang w:eastAsia="zh-CN"/>
        </w:rPr>
        <w:t>。</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本项目总用地面积</w:t>
      </w:r>
      <w:r>
        <w:rPr>
          <w:rFonts w:hint="eastAsia" w:ascii="宋体" w:hAnsi="宋体" w:eastAsia="宋体" w:cs="宋体"/>
          <w:sz w:val="24"/>
          <w:szCs w:val="24"/>
          <w:u w:val="single"/>
          <w:lang w:val="en-US" w:eastAsia="zh-CN"/>
        </w:rPr>
        <w:t>10489.2</w:t>
      </w:r>
      <w:r>
        <w:rPr>
          <w:rFonts w:hint="eastAsia" w:ascii="宋体" w:hAnsi="宋体" w:eastAsia="宋体" w:cs="宋体"/>
          <w:sz w:val="24"/>
          <w:szCs w:val="24"/>
        </w:rPr>
        <w:t>平方米。用地构成为：建筑面积</w:t>
      </w:r>
      <w:r>
        <w:rPr>
          <w:rFonts w:hint="eastAsia" w:ascii="宋体" w:hAnsi="宋体" w:eastAsia="宋体" w:cs="宋体"/>
          <w:sz w:val="24"/>
          <w:szCs w:val="24"/>
          <w:u w:val="single"/>
          <w:lang w:val="en-US" w:eastAsia="zh-CN"/>
        </w:rPr>
        <w:t>10362.11</w:t>
      </w:r>
      <w:r>
        <w:rPr>
          <w:rFonts w:hint="eastAsia" w:ascii="宋体" w:hAnsi="宋体" w:eastAsia="宋体" w:cs="宋体"/>
          <w:sz w:val="24"/>
          <w:szCs w:val="24"/>
        </w:rPr>
        <w:t>平方米。 本项目共计建筑物</w:t>
      </w:r>
      <w:r>
        <w:rPr>
          <w:rFonts w:hint="eastAsia" w:ascii="宋体" w:hAnsi="宋体" w:eastAsia="宋体" w:cs="宋体"/>
          <w:sz w:val="24"/>
          <w:szCs w:val="24"/>
          <w:u w:val="single"/>
          <w:lang w:val="en-US" w:eastAsia="zh-CN"/>
        </w:rPr>
        <w:t xml:space="preserve"> 4 </w:t>
      </w:r>
      <w:r>
        <w:rPr>
          <w:rFonts w:hint="eastAsia" w:ascii="宋体" w:hAnsi="宋体" w:eastAsia="宋体" w:cs="宋体"/>
          <w:sz w:val="24"/>
          <w:szCs w:val="24"/>
        </w:rPr>
        <w:t>幢</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均为教学楼</w:t>
      </w:r>
      <w:r>
        <w:rPr>
          <w:rFonts w:hint="eastAsia" w:ascii="宋体" w:hAnsi="宋体" w:eastAsia="宋体" w:cs="宋体"/>
          <w:sz w:val="24"/>
          <w:szCs w:val="24"/>
        </w:rPr>
        <w:t xml:space="preserve">。 </w:t>
      </w:r>
    </w:p>
    <w:p>
      <w:pPr>
        <w:numPr>
          <w:ilvl w:val="0"/>
          <w:numId w:val="0"/>
        </w:num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（二）采购</w:t>
      </w:r>
      <w:r>
        <w:rPr>
          <w:rFonts w:hint="eastAsia" w:ascii="宋体" w:hAnsi="宋体" w:eastAsia="宋体" w:cs="宋体"/>
          <w:sz w:val="24"/>
          <w:szCs w:val="24"/>
        </w:rPr>
        <w:t>项目</w:t>
      </w:r>
      <w:r>
        <w:rPr>
          <w:rFonts w:hint="eastAsia" w:ascii="宋体" w:hAnsi="宋体" w:eastAsia="宋体" w:cs="宋体"/>
          <w:sz w:val="24"/>
          <w:szCs w:val="24"/>
          <w:lang w:eastAsia="zh-CN"/>
        </w:rPr>
        <w:t>内容：杭州市红缨幼儿园仓基园区、大关园区、西岸园区、童玩家园区的校园安全管理。</w:t>
      </w:r>
    </w:p>
    <w:p>
      <w:pPr>
        <w:numPr>
          <w:ilvl w:val="0"/>
          <w:numId w:val="0"/>
        </w:num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（三）岗位设置要求：</w:t>
      </w:r>
      <w:r>
        <w:rPr>
          <w:rFonts w:hint="eastAsia" w:ascii="宋体" w:hAnsi="宋体" w:eastAsia="宋体" w:cs="宋体"/>
          <w:sz w:val="24"/>
          <w:szCs w:val="24"/>
          <w:lang w:val="en-US" w:eastAsia="zh-CN"/>
        </w:rPr>
        <w:t>校园安全</w:t>
      </w:r>
      <w:r>
        <w:rPr>
          <w:rFonts w:hint="eastAsia" w:ascii="宋体" w:hAnsi="宋体" w:eastAsia="宋体" w:cs="宋体"/>
          <w:sz w:val="24"/>
          <w:szCs w:val="24"/>
          <w:lang w:eastAsia="zh-CN"/>
        </w:rPr>
        <w:t>管理岗</w:t>
      </w:r>
    </w:p>
    <w:p>
      <w:pPr>
        <w:numPr>
          <w:ilvl w:val="0"/>
          <w:numId w:val="0"/>
        </w:numPr>
        <w:spacing w:line="360" w:lineRule="auto"/>
        <w:ind w:firstLine="562" w:firstLineChars="200"/>
        <w:rPr>
          <w:rFonts w:hint="eastAsia" w:ascii="宋体" w:hAnsi="宋体" w:eastAsia="宋体" w:cs="宋体"/>
          <w:sz w:val="24"/>
          <w:szCs w:val="24"/>
          <w:lang w:eastAsia="zh-CN"/>
        </w:rPr>
      </w:pPr>
      <w:r>
        <w:rPr>
          <w:rFonts w:hint="eastAsia" w:asciiTheme="minorEastAsia" w:hAnsiTheme="minorEastAsia" w:eastAsiaTheme="minorEastAsia" w:cstheme="minorEastAsia"/>
          <w:b/>
          <w:color w:val="auto"/>
          <w:sz w:val="28"/>
          <w:szCs w:val="28"/>
          <w:highlight w:val="none"/>
          <w:lang w:val="en-US" w:eastAsia="zh-CN"/>
        </w:rPr>
        <w:t>二、物业管理项目</w:t>
      </w:r>
      <w:r>
        <w:rPr>
          <w:rFonts w:hint="eastAsia"/>
          <w:b/>
          <w:bCs/>
          <w:sz w:val="28"/>
          <w:szCs w:val="28"/>
          <w:lang w:eastAsia="zh-CN"/>
        </w:rPr>
        <w:t>：</w:t>
      </w:r>
      <w:r>
        <w:rPr>
          <w:rFonts w:hint="eastAsia" w:ascii="宋体" w:hAnsi="宋体" w:eastAsia="宋体" w:cs="宋体"/>
          <w:sz w:val="24"/>
          <w:szCs w:val="24"/>
          <w:lang w:val="en-US" w:eastAsia="zh-CN"/>
        </w:rPr>
        <w:t>校园安全</w:t>
      </w:r>
      <w:r>
        <w:rPr>
          <w:rFonts w:hint="eastAsia" w:ascii="宋体" w:hAnsi="宋体" w:eastAsia="宋体" w:cs="宋体"/>
          <w:sz w:val="24"/>
          <w:szCs w:val="24"/>
          <w:lang w:eastAsia="zh-CN"/>
        </w:rPr>
        <w:t>管理</w:t>
      </w:r>
    </w:p>
    <w:p>
      <w:pPr>
        <w:numPr>
          <w:ilvl w:val="0"/>
          <w:numId w:val="0"/>
        </w:numPr>
        <w:spacing w:line="360" w:lineRule="auto"/>
        <w:ind w:firstLine="562" w:firstLineChars="200"/>
        <w:rPr>
          <w:rFonts w:hint="eastAsia" w:asciiTheme="minorEastAsia" w:hAnsiTheme="minorEastAsia" w:eastAsiaTheme="minorEastAsia" w:cstheme="minorEastAsia"/>
          <w:b/>
          <w:color w:val="auto"/>
          <w:sz w:val="28"/>
          <w:szCs w:val="28"/>
          <w:highlight w:val="none"/>
          <w:lang w:eastAsia="zh-CN"/>
        </w:rPr>
      </w:pPr>
      <w:r>
        <w:rPr>
          <w:rFonts w:hint="eastAsia" w:asciiTheme="minorEastAsia" w:hAnsiTheme="minorEastAsia" w:eastAsiaTheme="minorEastAsia" w:cstheme="minorEastAsia"/>
          <w:b/>
          <w:color w:val="auto"/>
          <w:sz w:val="28"/>
          <w:szCs w:val="28"/>
          <w:highlight w:val="none"/>
          <w:lang w:val="en-US" w:eastAsia="zh-CN"/>
        </w:rPr>
        <w:t>三、服</w:t>
      </w:r>
      <w:r>
        <w:rPr>
          <w:rFonts w:hint="eastAsia" w:asciiTheme="minorEastAsia" w:hAnsiTheme="minorEastAsia" w:eastAsiaTheme="minorEastAsia" w:cstheme="minorEastAsia"/>
          <w:b/>
          <w:color w:val="auto"/>
          <w:sz w:val="28"/>
          <w:szCs w:val="28"/>
          <w:highlight w:val="none"/>
        </w:rPr>
        <w:t>务内容及要求</w:t>
      </w:r>
    </w:p>
    <w:p>
      <w:pPr>
        <w:spacing w:line="360" w:lineRule="auto"/>
        <w:ind w:firstLine="482" w:firstLineChars="200"/>
        <w:jc w:val="left"/>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bCs w:val="0"/>
          <w:color w:val="auto"/>
          <w:sz w:val="24"/>
          <w:highlight w:val="none"/>
        </w:rPr>
        <w:t>1.服务范围：</w:t>
      </w:r>
      <w:r>
        <w:rPr>
          <w:rFonts w:hint="eastAsia" w:ascii="宋体" w:hAnsi="宋体" w:cs="宋体"/>
          <w:color w:val="auto"/>
          <w:sz w:val="24"/>
          <w:highlight w:val="none"/>
          <w:lang w:val="en-US" w:eastAsia="zh-CN"/>
        </w:rPr>
        <w:t>仓基园区、大关园区、西岸园区、童玩家园区。</w:t>
      </w:r>
    </w:p>
    <w:p>
      <w:pPr>
        <w:spacing w:line="360" w:lineRule="auto"/>
        <w:ind w:firstLine="472" w:firstLineChars="196"/>
        <w:jc w:val="left"/>
        <w:rPr>
          <w:rFonts w:hint="eastAsia" w:asciiTheme="minorEastAsia" w:hAnsiTheme="minorEastAsia" w:eastAsiaTheme="minorEastAsia" w:cstheme="minorEastAsia"/>
          <w:b w:val="0"/>
          <w:bCs w:val="0"/>
          <w:color w:val="auto"/>
          <w:sz w:val="24"/>
          <w:highlight w:val="none"/>
        </w:rPr>
      </w:pPr>
      <w:r>
        <w:rPr>
          <w:rFonts w:hint="eastAsia" w:asciiTheme="minorEastAsia" w:hAnsiTheme="minorEastAsia" w:eastAsiaTheme="minorEastAsia" w:cstheme="minorEastAsia"/>
          <w:b/>
          <w:bCs/>
          <w:color w:val="auto"/>
          <w:sz w:val="24"/>
          <w:highlight w:val="none"/>
        </w:rPr>
        <w:t>2.服务内容：</w:t>
      </w:r>
    </w:p>
    <w:p>
      <w:pPr>
        <w:spacing w:line="360" w:lineRule="auto"/>
        <w:ind w:firstLine="480" w:firstLineChars="20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2</w:t>
      </w:r>
      <w:r>
        <w:rPr>
          <w:rFonts w:hint="eastAsia" w:asciiTheme="minorEastAsia" w:hAnsiTheme="minorEastAsia" w:eastAsiaTheme="minorEastAsia" w:cstheme="minorEastAsia"/>
          <w:color w:val="auto"/>
          <w:sz w:val="24"/>
          <w:highlight w:val="none"/>
        </w:rPr>
        <w:t>.1门</w:t>
      </w:r>
      <w:r>
        <w:rPr>
          <w:rFonts w:hint="eastAsia" w:asciiTheme="minorEastAsia" w:hAnsiTheme="minorEastAsia" w:eastAsiaTheme="minorEastAsia" w:cstheme="minorEastAsia"/>
          <w:color w:val="auto"/>
          <w:sz w:val="24"/>
          <w:highlight w:val="none"/>
          <w:lang w:val="en-US" w:eastAsia="zh-CN"/>
        </w:rPr>
        <w:t>岗值班</w:t>
      </w:r>
    </w:p>
    <w:p>
      <w:pPr>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校区</w:t>
      </w:r>
      <w:r>
        <w:rPr>
          <w:rFonts w:hint="eastAsia" w:asciiTheme="minorEastAsia" w:hAnsiTheme="minorEastAsia" w:eastAsiaTheme="minorEastAsia" w:cstheme="minorEastAsia"/>
          <w:color w:val="auto"/>
          <w:sz w:val="24"/>
          <w:highlight w:val="none"/>
        </w:rPr>
        <w:t>出入口应安排</w:t>
      </w:r>
      <w:r>
        <w:rPr>
          <w:rFonts w:hint="eastAsia" w:asciiTheme="minorEastAsia" w:hAnsiTheme="minorEastAsia" w:eastAsiaTheme="minorEastAsia" w:cstheme="minorEastAsia"/>
          <w:color w:val="auto"/>
          <w:sz w:val="24"/>
          <w:highlight w:val="none"/>
          <w:lang w:val="en-US" w:eastAsia="zh-CN"/>
        </w:rPr>
        <w:t>安保人员</w:t>
      </w:r>
      <w:r>
        <w:rPr>
          <w:rFonts w:hint="eastAsia" w:asciiTheme="minorEastAsia" w:hAnsiTheme="minorEastAsia" w:eastAsiaTheme="minorEastAsia" w:cstheme="minorEastAsia"/>
          <w:color w:val="auto"/>
          <w:sz w:val="24"/>
          <w:highlight w:val="none"/>
        </w:rPr>
        <w:t>24小时不间断值岗，</w:t>
      </w:r>
      <w:r>
        <w:rPr>
          <w:rFonts w:hint="eastAsia" w:asciiTheme="minorEastAsia" w:hAnsiTheme="minorEastAsia" w:eastAsiaTheme="minorEastAsia" w:cstheme="minorEastAsia"/>
          <w:color w:val="auto"/>
          <w:sz w:val="24"/>
          <w:szCs w:val="24"/>
          <w:highlight w:val="none"/>
        </w:rPr>
        <w:t>建立门岗、车辆、及公共秩序管理</w:t>
      </w:r>
      <w:r>
        <w:rPr>
          <w:rFonts w:hint="eastAsia" w:asciiTheme="minorEastAsia" w:hAnsiTheme="minorEastAsia" w:eastAsiaTheme="minorEastAsia" w:cstheme="minorEastAsia"/>
          <w:color w:val="auto"/>
          <w:sz w:val="24"/>
          <w:szCs w:val="24"/>
          <w:highlight w:val="none"/>
          <w:lang w:val="en-US" w:eastAsia="zh-CN"/>
        </w:rPr>
        <w:t>等</w:t>
      </w:r>
      <w:r>
        <w:rPr>
          <w:rFonts w:hint="eastAsia" w:asciiTheme="minorEastAsia" w:hAnsiTheme="minorEastAsia" w:eastAsiaTheme="minorEastAsia" w:cstheme="minorEastAsia"/>
          <w:color w:val="auto"/>
          <w:sz w:val="24"/>
          <w:szCs w:val="24"/>
          <w:highlight w:val="none"/>
        </w:rPr>
        <w:t>制度。</w:t>
      </w:r>
      <w:r>
        <w:rPr>
          <w:rFonts w:hint="eastAsia" w:asciiTheme="minorEastAsia" w:hAnsiTheme="minorEastAsia" w:eastAsiaTheme="minorEastAsia" w:cstheme="minorEastAsia"/>
          <w:color w:val="auto"/>
          <w:sz w:val="24"/>
          <w:highlight w:val="none"/>
        </w:rPr>
        <w:t>严格出入登记制度，保证保安室的卫生整洁，不离岗、串岗，上下班提前半个小时立岗，有特殊情况请假或换班，需要及时和安保公司及采购服务单位负责人沟通联系，确保不空岗。</w:t>
      </w:r>
    </w:p>
    <w:p>
      <w:pPr>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对物品进出实施分类管理，收发的书刊、快递等物品有序堆放，杜绝闲杂人员和危险物品进入</w:t>
      </w:r>
      <w:r>
        <w:rPr>
          <w:rFonts w:hint="eastAsia" w:asciiTheme="minorEastAsia" w:hAnsiTheme="minorEastAsia" w:eastAsiaTheme="minorEastAsia" w:cstheme="minorEastAsia"/>
          <w:color w:val="auto"/>
          <w:sz w:val="24"/>
          <w:highlight w:val="none"/>
          <w:lang w:val="en-US" w:eastAsia="zh-CN"/>
        </w:rPr>
        <w:t>校区</w:t>
      </w:r>
      <w:r>
        <w:rPr>
          <w:rFonts w:hint="eastAsia" w:asciiTheme="minorEastAsia" w:hAnsiTheme="minorEastAsia" w:eastAsiaTheme="minorEastAsia" w:cstheme="minorEastAsia"/>
          <w:color w:val="auto"/>
          <w:sz w:val="24"/>
          <w:highlight w:val="none"/>
        </w:rPr>
        <w:t>，发现情况须向及时向</w:t>
      </w:r>
      <w:r>
        <w:rPr>
          <w:rFonts w:hint="eastAsia" w:asciiTheme="minorEastAsia" w:hAnsiTheme="minorEastAsia" w:eastAsiaTheme="minorEastAsia" w:cstheme="minorEastAsia"/>
          <w:color w:val="auto"/>
          <w:sz w:val="24"/>
          <w:highlight w:val="none"/>
          <w:lang w:val="en-US" w:eastAsia="zh-CN"/>
        </w:rPr>
        <w:t>校区</w:t>
      </w:r>
      <w:r>
        <w:rPr>
          <w:rFonts w:hint="eastAsia" w:asciiTheme="minorEastAsia" w:hAnsiTheme="minorEastAsia" w:eastAsiaTheme="minorEastAsia" w:cstheme="minorEastAsia"/>
          <w:color w:val="auto"/>
          <w:sz w:val="24"/>
          <w:highlight w:val="none"/>
        </w:rPr>
        <w:t>领导汇报，必要时向当地公安机关报告，填写当班记录，并有详细完整的交接班记录。</w:t>
      </w:r>
    </w:p>
    <w:p>
      <w:pPr>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2</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val="en-US" w:eastAsia="zh-CN"/>
        </w:rPr>
        <w:t>2</w:t>
      </w:r>
      <w:r>
        <w:rPr>
          <w:rFonts w:hint="eastAsia" w:asciiTheme="minorEastAsia" w:hAnsiTheme="minorEastAsia" w:eastAsiaTheme="minorEastAsia" w:cstheme="minorEastAsia"/>
          <w:color w:val="auto"/>
          <w:sz w:val="24"/>
          <w:highlight w:val="none"/>
        </w:rPr>
        <w:t>车辆管理</w:t>
      </w:r>
    </w:p>
    <w:p>
      <w:pPr>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kern w:val="0"/>
          <w:sz w:val="24"/>
          <w:szCs w:val="24"/>
          <w:highlight w:val="none"/>
          <w:lang w:val="en-US" w:eastAsia="zh-CN" w:bidi="ar"/>
        </w:rPr>
        <w:t>制定</w:t>
      </w:r>
      <w:r>
        <w:rPr>
          <w:rFonts w:hint="eastAsia" w:asciiTheme="minorEastAsia" w:hAnsiTheme="minorEastAsia" w:eastAsiaTheme="minorEastAsia" w:cstheme="minorEastAsia"/>
          <w:color w:val="auto"/>
          <w:kern w:val="0"/>
          <w:sz w:val="24"/>
          <w:szCs w:val="24"/>
          <w:highlight w:val="none"/>
          <w:lang w:bidi="ar"/>
        </w:rPr>
        <w:t>车辆管理及秩序维护服务方案</w:t>
      </w:r>
      <w:r>
        <w:rPr>
          <w:rFonts w:hint="eastAsia" w:asciiTheme="minorEastAsia" w:hAnsiTheme="minorEastAsia" w:eastAsiaTheme="minorEastAsia" w:cstheme="minorEastAsia"/>
          <w:color w:val="auto"/>
          <w:kern w:val="0"/>
          <w:sz w:val="24"/>
          <w:szCs w:val="24"/>
          <w:highlight w:val="none"/>
          <w:lang w:eastAsia="zh-CN" w:bidi="ar"/>
        </w:rPr>
        <w:t>。</w:t>
      </w:r>
      <w:r>
        <w:rPr>
          <w:rFonts w:hint="eastAsia" w:asciiTheme="minorEastAsia" w:hAnsiTheme="minorEastAsia" w:eastAsiaTheme="minorEastAsia" w:cstheme="minorEastAsia"/>
          <w:color w:val="auto"/>
          <w:sz w:val="24"/>
          <w:highlight w:val="none"/>
        </w:rPr>
        <w:t>对进出</w:t>
      </w:r>
      <w:r>
        <w:rPr>
          <w:rFonts w:hint="eastAsia" w:asciiTheme="minorEastAsia" w:hAnsiTheme="minorEastAsia" w:eastAsiaTheme="minorEastAsia" w:cstheme="minorEastAsia"/>
          <w:color w:val="auto"/>
          <w:sz w:val="24"/>
          <w:highlight w:val="none"/>
          <w:lang w:eastAsia="zh-CN"/>
        </w:rPr>
        <w:t>园区</w:t>
      </w:r>
      <w:r>
        <w:rPr>
          <w:rFonts w:hint="eastAsia" w:asciiTheme="minorEastAsia" w:hAnsiTheme="minorEastAsia" w:eastAsiaTheme="minorEastAsia" w:cstheme="minorEastAsia"/>
          <w:color w:val="auto"/>
          <w:sz w:val="24"/>
          <w:highlight w:val="none"/>
        </w:rPr>
        <w:t>的机动车、非机动车进行管理，引导车辆在</w:t>
      </w:r>
      <w:r>
        <w:rPr>
          <w:rFonts w:hint="eastAsia" w:asciiTheme="minorEastAsia" w:hAnsiTheme="minorEastAsia" w:eastAsiaTheme="minorEastAsia" w:cstheme="minorEastAsia"/>
          <w:color w:val="auto"/>
          <w:sz w:val="24"/>
          <w:highlight w:val="none"/>
          <w:lang w:eastAsia="zh-CN"/>
        </w:rPr>
        <w:t>园区</w:t>
      </w:r>
      <w:r>
        <w:rPr>
          <w:rFonts w:hint="eastAsia" w:asciiTheme="minorEastAsia" w:hAnsiTheme="minorEastAsia" w:eastAsiaTheme="minorEastAsia" w:cstheme="minorEastAsia"/>
          <w:color w:val="auto"/>
          <w:sz w:val="24"/>
          <w:highlight w:val="none"/>
        </w:rPr>
        <w:t>内有序停放</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szCs w:val="24"/>
          <w:highlight w:val="none"/>
        </w:rPr>
        <w:t>非机动车定点停放车棚内</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highlight w:val="none"/>
        </w:rPr>
        <w:t>停车区域无易燃、易爆等物品存放，未经许可，非本单位车辆一律不得入内，保证</w:t>
      </w:r>
      <w:r>
        <w:rPr>
          <w:rFonts w:hint="eastAsia" w:asciiTheme="minorEastAsia" w:hAnsiTheme="minorEastAsia" w:eastAsiaTheme="minorEastAsia" w:cstheme="minorEastAsia"/>
          <w:color w:val="auto"/>
          <w:sz w:val="24"/>
          <w:highlight w:val="none"/>
          <w:lang w:val="en-US" w:eastAsia="zh-CN"/>
        </w:rPr>
        <w:t>在校</w:t>
      </w:r>
      <w:r>
        <w:rPr>
          <w:rFonts w:hint="eastAsia" w:asciiTheme="minorEastAsia" w:hAnsiTheme="minorEastAsia" w:eastAsiaTheme="minorEastAsia" w:cstheme="minorEastAsia"/>
          <w:color w:val="auto"/>
          <w:sz w:val="24"/>
          <w:highlight w:val="none"/>
        </w:rPr>
        <w:t>期间</w:t>
      </w:r>
      <w:r>
        <w:rPr>
          <w:rFonts w:hint="eastAsia" w:asciiTheme="minorEastAsia" w:hAnsiTheme="minorEastAsia" w:eastAsiaTheme="minorEastAsia" w:cstheme="minorEastAsia"/>
          <w:color w:val="auto"/>
          <w:sz w:val="24"/>
          <w:highlight w:val="none"/>
          <w:lang w:val="en-US" w:eastAsia="zh-CN"/>
        </w:rPr>
        <w:t>全体师生员工的</w:t>
      </w:r>
      <w:r>
        <w:rPr>
          <w:rFonts w:hint="eastAsia" w:asciiTheme="minorEastAsia" w:hAnsiTheme="minorEastAsia" w:eastAsiaTheme="minorEastAsia" w:cstheme="minorEastAsia"/>
          <w:color w:val="auto"/>
          <w:sz w:val="24"/>
          <w:highlight w:val="none"/>
        </w:rPr>
        <w:t>安全。</w:t>
      </w:r>
    </w:p>
    <w:p>
      <w:pPr>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2</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val="en-US" w:eastAsia="zh-CN"/>
        </w:rPr>
        <w:t>3</w:t>
      </w:r>
      <w:r>
        <w:rPr>
          <w:rFonts w:hint="eastAsia" w:asciiTheme="minorEastAsia" w:hAnsiTheme="minorEastAsia" w:eastAsiaTheme="minorEastAsia" w:cstheme="minorEastAsia"/>
          <w:color w:val="auto"/>
          <w:sz w:val="24"/>
          <w:highlight w:val="none"/>
        </w:rPr>
        <w:t>巡视检查</w:t>
      </w:r>
    </w:p>
    <w:p>
      <w:pPr>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明确巡视工作职责，</w:t>
      </w:r>
      <w:r>
        <w:rPr>
          <w:rFonts w:hint="eastAsia" w:asciiTheme="minorEastAsia" w:hAnsiTheme="minorEastAsia" w:eastAsiaTheme="minorEastAsia" w:cstheme="minorEastAsia"/>
          <w:color w:val="auto"/>
          <w:sz w:val="24"/>
          <w:szCs w:val="24"/>
          <w:highlight w:val="none"/>
        </w:rPr>
        <w:t>规范巡视工作流程，制定固定的巡查制度，</w:t>
      </w:r>
      <w:r>
        <w:rPr>
          <w:rFonts w:hint="eastAsia" w:asciiTheme="minorEastAsia" w:hAnsiTheme="minorEastAsia" w:eastAsiaTheme="minorEastAsia" w:cstheme="minorEastAsia"/>
          <w:color w:val="auto"/>
          <w:sz w:val="24"/>
          <w:highlight w:val="none"/>
        </w:rPr>
        <w:t>对重要区域、部位</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lang w:val="en-US" w:eastAsia="zh-CN"/>
        </w:rPr>
        <w:t>设备机房</w:t>
      </w:r>
      <w:r>
        <w:rPr>
          <w:rFonts w:hint="eastAsia" w:asciiTheme="minorEastAsia" w:hAnsiTheme="minorEastAsia" w:eastAsiaTheme="minorEastAsia" w:cstheme="minorEastAsia"/>
          <w:color w:val="auto"/>
          <w:sz w:val="24"/>
          <w:highlight w:val="none"/>
        </w:rPr>
        <w:t>进行重点巡视</w:t>
      </w:r>
      <w:r>
        <w:rPr>
          <w:rFonts w:hint="eastAsia" w:asciiTheme="minorEastAsia" w:hAnsiTheme="minorEastAsia" w:eastAsiaTheme="minorEastAsia" w:cstheme="minorEastAsia"/>
          <w:color w:val="auto"/>
          <w:sz w:val="24"/>
          <w:highlight w:val="none"/>
          <w:lang w:val="en-US" w:eastAsia="zh-CN"/>
        </w:rPr>
        <w:t>并记录</w:t>
      </w:r>
      <w:r>
        <w:rPr>
          <w:rFonts w:hint="eastAsia" w:asciiTheme="minorEastAsia" w:hAnsiTheme="minorEastAsia" w:eastAsiaTheme="minorEastAsia" w:cstheme="minorEastAsia"/>
          <w:color w:val="auto"/>
          <w:sz w:val="24"/>
          <w:highlight w:val="none"/>
        </w:rPr>
        <w:t>，及时发现和处理各种安全和事故隐患。严禁闲杂人员进入，发现任何</w:t>
      </w:r>
      <w:r>
        <w:rPr>
          <w:rFonts w:hint="eastAsia" w:asciiTheme="minorEastAsia" w:hAnsiTheme="minorEastAsia" w:eastAsiaTheme="minorEastAsia" w:cstheme="minorEastAsia"/>
          <w:color w:val="auto"/>
          <w:sz w:val="24"/>
          <w:highlight w:val="none"/>
          <w:lang w:val="en-US" w:eastAsia="zh-CN"/>
        </w:rPr>
        <w:t>异常</w:t>
      </w:r>
      <w:r>
        <w:rPr>
          <w:rFonts w:hint="eastAsia" w:asciiTheme="minorEastAsia" w:hAnsiTheme="minorEastAsia" w:eastAsiaTheme="minorEastAsia" w:cstheme="minorEastAsia"/>
          <w:color w:val="auto"/>
          <w:sz w:val="24"/>
          <w:highlight w:val="none"/>
        </w:rPr>
        <w:t>情况</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szCs w:val="24"/>
          <w:highlight w:val="none"/>
        </w:rPr>
        <w:t>巡视人员</w:t>
      </w:r>
      <w:r>
        <w:rPr>
          <w:rFonts w:hint="eastAsia" w:asciiTheme="minorEastAsia" w:hAnsiTheme="minorEastAsia" w:eastAsiaTheme="minorEastAsia" w:cstheme="minorEastAsia"/>
          <w:color w:val="auto"/>
          <w:sz w:val="24"/>
          <w:highlight w:val="none"/>
          <w:lang w:val="en-US" w:eastAsia="zh-CN"/>
        </w:rPr>
        <w:t>应执行相应的应急预案，</w:t>
      </w:r>
      <w:r>
        <w:rPr>
          <w:rFonts w:hint="eastAsia" w:asciiTheme="minorEastAsia" w:hAnsiTheme="minorEastAsia" w:eastAsiaTheme="minorEastAsia" w:cstheme="minorEastAsia"/>
          <w:color w:val="auto"/>
          <w:sz w:val="24"/>
          <w:szCs w:val="24"/>
          <w:highlight w:val="none"/>
          <w:lang w:val="en-US" w:eastAsia="zh-CN"/>
        </w:rPr>
        <w:t>立即</w:t>
      </w:r>
      <w:r>
        <w:rPr>
          <w:rFonts w:hint="eastAsia" w:asciiTheme="minorEastAsia" w:hAnsiTheme="minorEastAsia" w:eastAsiaTheme="minorEastAsia" w:cstheme="minorEastAsia"/>
          <w:color w:val="auto"/>
          <w:sz w:val="24"/>
          <w:highlight w:val="none"/>
        </w:rPr>
        <w:t>向单位联系人汇报</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lang w:val="en-US" w:eastAsia="zh-CN"/>
        </w:rPr>
        <w:t>并</w:t>
      </w:r>
      <w:r>
        <w:rPr>
          <w:rFonts w:hint="eastAsia" w:asciiTheme="minorEastAsia" w:hAnsiTheme="minorEastAsia" w:eastAsiaTheme="minorEastAsia" w:cstheme="minorEastAsia"/>
          <w:color w:val="auto"/>
          <w:sz w:val="24"/>
          <w:szCs w:val="24"/>
          <w:highlight w:val="none"/>
        </w:rPr>
        <w:t>及时到达事发现场，</w:t>
      </w:r>
      <w:r>
        <w:rPr>
          <w:rFonts w:hint="eastAsia" w:asciiTheme="minorEastAsia" w:hAnsiTheme="minorEastAsia" w:eastAsiaTheme="minorEastAsia" w:cstheme="minorEastAsia"/>
          <w:color w:val="auto"/>
          <w:sz w:val="24"/>
          <w:szCs w:val="24"/>
          <w:highlight w:val="none"/>
          <w:lang w:val="en-US" w:eastAsia="zh-CN"/>
        </w:rPr>
        <w:t>采取相应措施妥善处理</w:t>
      </w:r>
      <w:r>
        <w:rPr>
          <w:rFonts w:hint="eastAsia" w:asciiTheme="minorEastAsia" w:hAnsiTheme="minorEastAsia" w:eastAsiaTheme="minorEastAsia" w:cstheme="minorEastAsia"/>
          <w:color w:val="auto"/>
          <w:sz w:val="24"/>
          <w:highlight w:val="none"/>
        </w:rPr>
        <w:t>。每日全区域巡视不得少于</w:t>
      </w:r>
      <w:r>
        <w:rPr>
          <w:rFonts w:hint="eastAsia" w:asciiTheme="minorEastAsia" w:hAnsiTheme="minorEastAsia" w:eastAsiaTheme="minorEastAsia" w:cstheme="minorEastAsia"/>
          <w:color w:val="auto"/>
          <w:sz w:val="24"/>
          <w:highlight w:val="none"/>
          <w:lang w:val="en-US" w:eastAsia="zh-CN"/>
        </w:rPr>
        <w:t>五</w:t>
      </w:r>
      <w:r>
        <w:rPr>
          <w:rFonts w:hint="eastAsia" w:asciiTheme="minorEastAsia" w:hAnsiTheme="minorEastAsia" w:eastAsiaTheme="minorEastAsia" w:cstheme="minorEastAsia"/>
          <w:color w:val="auto"/>
          <w:sz w:val="24"/>
          <w:highlight w:val="none"/>
        </w:rPr>
        <w:t>次，</w:t>
      </w:r>
      <w:r>
        <w:rPr>
          <w:rFonts w:hint="eastAsia" w:asciiTheme="minorEastAsia" w:hAnsiTheme="minorEastAsia" w:eastAsiaTheme="minorEastAsia" w:cstheme="minorEastAsia"/>
          <w:color w:val="auto"/>
          <w:sz w:val="24"/>
          <w:highlight w:val="none"/>
          <w:lang w:val="en-US" w:eastAsia="zh-CN"/>
        </w:rPr>
        <w:t>夜间</w:t>
      </w:r>
      <w:r>
        <w:rPr>
          <w:rFonts w:hint="eastAsia" w:asciiTheme="minorEastAsia" w:hAnsiTheme="minorEastAsia" w:eastAsiaTheme="minorEastAsia" w:cstheme="minorEastAsia"/>
          <w:color w:val="auto"/>
          <w:sz w:val="24"/>
          <w:highlight w:val="none"/>
        </w:rPr>
        <w:t>检查安全情况，逐层关闭大楼照明，巡逻后要有记录，建立台账，并按月存档。</w:t>
      </w:r>
    </w:p>
    <w:p>
      <w:pPr>
        <w:spacing w:line="360" w:lineRule="auto"/>
        <w:ind w:firstLine="468" w:firstLineChars="195"/>
        <w:rPr>
          <w:rFonts w:hint="eastAsia"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2</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val="en-US" w:eastAsia="zh-CN"/>
        </w:rPr>
        <w:t>4消防安全巡查</w:t>
      </w:r>
    </w:p>
    <w:p>
      <w:pPr>
        <w:spacing w:line="360" w:lineRule="auto"/>
        <w:ind w:firstLine="480" w:firstLineChars="200"/>
        <w:jc w:val="left"/>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rPr>
        <w:t>每月按规定对消防设备进行巡查并记录，确保运行无故障。</w:t>
      </w:r>
      <w:r>
        <w:rPr>
          <w:rFonts w:hint="eastAsia" w:asciiTheme="minorEastAsia" w:hAnsiTheme="minorEastAsia" w:eastAsiaTheme="minorEastAsia" w:cstheme="minorEastAsia"/>
          <w:color w:val="auto"/>
          <w:sz w:val="24"/>
          <w:highlight w:val="none"/>
          <w:lang w:val="en-US" w:eastAsia="zh-CN"/>
        </w:rPr>
        <w:t>查看消防通道是否堵塞，消防警示标识是否破损或缺少</w:t>
      </w:r>
    </w:p>
    <w:p>
      <w:pPr>
        <w:autoSpaceDE w:val="0"/>
        <w:autoSpaceDN w:val="0"/>
        <w:spacing w:line="360" w:lineRule="auto"/>
        <w:ind w:firstLine="505"/>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2</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val="en-US" w:eastAsia="zh-CN"/>
        </w:rPr>
        <w:t>5</w:t>
      </w:r>
      <w:r>
        <w:rPr>
          <w:rFonts w:hint="eastAsia" w:asciiTheme="minorEastAsia" w:hAnsiTheme="minorEastAsia" w:eastAsiaTheme="minorEastAsia" w:cstheme="minorEastAsia"/>
          <w:color w:val="auto"/>
          <w:sz w:val="24"/>
          <w:highlight w:val="none"/>
        </w:rPr>
        <w:t>监控</w:t>
      </w:r>
      <w:r>
        <w:rPr>
          <w:rFonts w:hint="eastAsia" w:asciiTheme="minorEastAsia" w:hAnsiTheme="minorEastAsia" w:eastAsiaTheme="minorEastAsia" w:cstheme="minorEastAsia"/>
          <w:color w:val="auto"/>
          <w:sz w:val="24"/>
          <w:highlight w:val="none"/>
          <w:lang w:val="en-US" w:eastAsia="zh-CN"/>
        </w:rPr>
        <w:t>设施</w:t>
      </w:r>
      <w:r>
        <w:rPr>
          <w:rFonts w:hint="eastAsia" w:asciiTheme="minorEastAsia" w:hAnsiTheme="minorEastAsia" w:eastAsiaTheme="minorEastAsia" w:cstheme="minorEastAsia"/>
          <w:color w:val="auto"/>
          <w:sz w:val="24"/>
          <w:highlight w:val="none"/>
        </w:rPr>
        <w:t>管理</w:t>
      </w:r>
    </w:p>
    <w:p>
      <w:pPr>
        <w:autoSpaceDE w:val="0"/>
        <w:autoSpaceDN w:val="0"/>
        <w:spacing w:line="360" w:lineRule="auto"/>
        <w:ind w:firstLine="505"/>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rPr>
        <w:t>监控设施设备应保持24小时开通，保持完整的监控记录，保证监控对各出入口、内部重点区域的安全监控、录像及协助布警。监控室收到火情、险情及其他异常情况报警信号后，应及时报警，并派专人赶到现场进行前期处理</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同时，确保治安电话畅通，接听及时。</w:t>
      </w:r>
      <w:r>
        <w:rPr>
          <w:rFonts w:hint="eastAsia" w:asciiTheme="minorEastAsia" w:hAnsiTheme="minorEastAsia" w:eastAsiaTheme="minorEastAsia" w:cstheme="minorEastAsia"/>
          <w:color w:val="auto"/>
          <w:sz w:val="24"/>
          <w:highlight w:val="none"/>
          <w:lang w:val="en-US" w:eastAsia="zh-CN"/>
        </w:rPr>
        <w:t>监控设备应专人管理，</w:t>
      </w:r>
      <w:r>
        <w:rPr>
          <w:rFonts w:hint="eastAsia" w:asciiTheme="minorEastAsia" w:hAnsiTheme="minorEastAsia" w:eastAsiaTheme="minorEastAsia" w:cstheme="minorEastAsia"/>
          <w:color w:val="auto"/>
          <w:sz w:val="24"/>
          <w:highlight w:val="none"/>
        </w:rPr>
        <w:t>不得擅自使用调取资料，有需要联系单位联系人</w:t>
      </w:r>
      <w:r>
        <w:rPr>
          <w:rFonts w:hint="eastAsia" w:asciiTheme="minorEastAsia" w:hAnsiTheme="minorEastAsia" w:eastAsiaTheme="minorEastAsia" w:cstheme="minorEastAsia"/>
          <w:color w:val="auto"/>
          <w:sz w:val="24"/>
          <w:highlight w:val="none"/>
          <w:lang w:eastAsia="zh-CN"/>
        </w:rPr>
        <w:t>。</w:t>
      </w:r>
    </w:p>
    <w:p>
      <w:pPr>
        <w:autoSpaceDE w:val="0"/>
        <w:autoSpaceDN w:val="0"/>
        <w:spacing w:line="360" w:lineRule="auto"/>
        <w:ind w:firstLine="505"/>
        <w:rPr>
          <w:rFonts w:hint="eastAsia" w:asciiTheme="minorEastAsia" w:hAnsiTheme="minorEastAsia" w:eastAsiaTheme="minorEastAsia" w:cstheme="minorEastAsia"/>
          <w:b/>
          <w:bCs/>
          <w:color w:val="auto"/>
          <w:sz w:val="24"/>
          <w:highlight w:val="none"/>
          <w:lang w:val="en-US" w:eastAsia="zh-CN"/>
        </w:rPr>
      </w:pPr>
      <w:r>
        <w:rPr>
          <w:rFonts w:hint="eastAsia" w:asciiTheme="minorEastAsia" w:hAnsiTheme="minorEastAsia" w:eastAsiaTheme="minorEastAsia" w:cstheme="minorEastAsia"/>
          <w:b/>
          <w:bCs/>
          <w:color w:val="auto"/>
          <w:sz w:val="24"/>
          <w:highlight w:val="none"/>
          <w:lang w:val="en-US" w:eastAsia="zh-CN"/>
        </w:rPr>
        <w:t>3.服务时间</w:t>
      </w:r>
    </w:p>
    <w:p>
      <w:pPr>
        <w:autoSpaceDE w:val="0"/>
        <w:autoSpaceDN w:val="0"/>
        <w:spacing w:line="360" w:lineRule="auto"/>
        <w:ind w:firstLine="505"/>
        <w:rPr>
          <w:rFonts w:hint="default"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每天0:00-24:00（三班）含所有节假日.</w:t>
      </w:r>
    </w:p>
    <w:p>
      <w:pPr>
        <w:pStyle w:val="2"/>
        <w:rPr>
          <w:rFonts w:hint="eastAsia" w:ascii="宋体" w:hAnsi="宋体" w:eastAsia="宋体" w:cs="宋体"/>
          <w:sz w:val="24"/>
          <w:szCs w:val="24"/>
          <w:lang w:eastAsia="zh-CN"/>
        </w:rPr>
      </w:pPr>
      <w:r>
        <w:rPr>
          <w:rFonts w:hint="eastAsia" w:asciiTheme="minorEastAsia" w:hAnsiTheme="minorEastAsia" w:eastAsiaTheme="minorEastAsia" w:cstheme="minorEastAsia"/>
          <w:color w:val="auto"/>
          <w:sz w:val="24"/>
          <w:highlight w:val="none"/>
          <w:lang w:val="en-US" w:eastAsia="zh-CN"/>
        </w:rPr>
        <w:t>4.</w:t>
      </w:r>
      <w:r>
        <w:rPr>
          <w:rFonts w:hint="eastAsia" w:ascii="宋体" w:hAnsi="宋体" w:eastAsia="宋体" w:cs="宋体"/>
          <w:b/>
          <w:bCs/>
          <w:color w:val="auto"/>
          <w:sz w:val="24"/>
          <w:szCs w:val="24"/>
          <w:highlight w:val="none"/>
          <w:lang w:eastAsia="zh-CN"/>
        </w:rPr>
        <w:t>资质及管理要求</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cs="宋体"/>
          <w:sz w:val="24"/>
          <w:highlight w:val="none"/>
          <w:lang w:val="en-US" w:eastAsia="zh-CN"/>
        </w:rPr>
        <w:t>4.1</w:t>
      </w:r>
      <w:r>
        <w:rPr>
          <w:rFonts w:hint="eastAsia" w:ascii="宋体" w:hAnsi="宋体" w:eastAsia="宋体" w:cs="宋体"/>
          <w:sz w:val="24"/>
          <w:szCs w:val="24"/>
          <w:highlight w:val="none"/>
          <w:lang w:val="en-US" w:eastAsia="zh-CN"/>
        </w:rPr>
        <w:t>.</w:t>
      </w:r>
      <w:r>
        <w:rPr>
          <w:rFonts w:hint="eastAsia" w:ascii="宋体" w:hAnsi="宋体" w:eastAsia="宋体" w:cs="宋体"/>
          <w:b/>
          <w:bCs/>
          <w:color w:val="auto"/>
          <w:sz w:val="24"/>
          <w:szCs w:val="24"/>
        </w:rPr>
        <w:t>服务单位</w:t>
      </w:r>
      <w:r>
        <w:rPr>
          <w:rFonts w:hint="eastAsia" w:ascii="宋体" w:hAnsi="宋体" w:eastAsia="宋体" w:cs="宋体"/>
          <w:b/>
          <w:bCs/>
          <w:color w:val="auto"/>
          <w:sz w:val="24"/>
          <w:szCs w:val="24"/>
          <w:lang w:val="en-US" w:eastAsia="zh-CN"/>
        </w:rPr>
        <w:t>应具有公安机关核发的有效的《保安服务许可证》</w:t>
      </w:r>
      <w:r>
        <w:rPr>
          <w:rFonts w:hint="eastAsia" w:ascii="宋体" w:hAnsi="宋体" w:eastAsia="宋体" w:cs="宋体"/>
          <w:sz w:val="24"/>
          <w:szCs w:val="24"/>
          <w:lang w:val="en-US" w:eastAsia="zh-CN"/>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highlight w:val="none"/>
          <w:lang w:val="en-US" w:eastAsia="zh-CN"/>
        </w:rPr>
        <w:t>4.2</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rPr>
        <w:t>服务单位向采购方派驻的保安人员需具有保安资质（</w:t>
      </w:r>
      <w:r>
        <w:rPr>
          <w:rFonts w:hint="eastAsia" w:ascii="宋体" w:hAnsi="宋体" w:eastAsia="宋体" w:cs="宋体"/>
          <w:b/>
          <w:bCs/>
          <w:sz w:val="24"/>
          <w:szCs w:val="24"/>
        </w:rPr>
        <w:t>保安员须持有公安机关核发的《保安员证》</w:t>
      </w:r>
      <w:r>
        <w:rPr>
          <w:rFonts w:hint="eastAsia" w:ascii="宋体" w:hAnsi="宋体" w:eastAsia="宋体" w:cs="宋体"/>
          <w:sz w:val="24"/>
          <w:szCs w:val="24"/>
        </w:rPr>
        <w:t>）</w:t>
      </w:r>
      <w:r>
        <w:rPr>
          <w:rFonts w:hint="eastAsia" w:ascii="宋体" w:hAnsi="宋体" w:cs="宋体"/>
          <w:sz w:val="24"/>
          <w:szCs w:val="24"/>
          <w:lang w:val="en-US" w:eastAsia="zh-CN"/>
        </w:rPr>
        <w:t>。</w:t>
      </w:r>
      <w:r>
        <w:rPr>
          <w:rFonts w:hint="eastAsia" w:ascii="宋体" w:hAnsi="宋体" w:eastAsia="宋体" w:cs="宋体"/>
          <w:sz w:val="24"/>
          <w:szCs w:val="24"/>
        </w:rPr>
        <w:t>按照国家和地方有关法律、法规与保安人员签订合法的劳动合同，支付相应的工资、福利等，并为保安人员办理社会保险。</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b w:val="0"/>
          <w:bCs w:val="0"/>
          <w:color w:val="auto"/>
          <w:sz w:val="24"/>
          <w:szCs w:val="24"/>
          <w:highlight w:val="none"/>
          <w:lang w:val="en-US" w:eastAsia="zh-CN"/>
        </w:rPr>
        <w:t>4.</w:t>
      </w:r>
      <w:r>
        <w:rPr>
          <w:rFonts w:hint="eastAsia" w:ascii="宋体" w:hAnsi="宋体" w:cs="宋体"/>
          <w:b w:val="0"/>
          <w:bCs w:val="0"/>
          <w:color w:val="auto"/>
          <w:sz w:val="24"/>
          <w:szCs w:val="24"/>
          <w:highlight w:val="none"/>
          <w:lang w:val="en-US" w:eastAsia="zh-CN"/>
        </w:rPr>
        <w:t>3</w:t>
      </w:r>
      <w:r>
        <w:rPr>
          <w:rFonts w:hint="eastAsia" w:ascii="宋体" w:hAnsi="宋体" w:cs="宋体"/>
          <w:b/>
          <w:bCs/>
          <w:color w:val="auto"/>
          <w:sz w:val="24"/>
          <w:szCs w:val="24"/>
          <w:highlight w:val="none"/>
          <w:lang w:val="en-US" w:eastAsia="zh-CN"/>
        </w:rPr>
        <w:t>.</w:t>
      </w:r>
      <w:r>
        <w:rPr>
          <w:rFonts w:hint="eastAsia" w:ascii="宋体" w:hAnsi="宋体" w:eastAsia="宋体" w:cs="宋体"/>
          <w:sz w:val="24"/>
          <w:szCs w:val="24"/>
          <w:lang w:val="en-US" w:eastAsia="zh-CN"/>
        </w:rPr>
        <w:t>服务人员基本培训由投标单位负责实施，业务培训由采购单位统一实施。</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r>
        <w:rPr>
          <w:rFonts w:hint="eastAsia" w:ascii="宋体" w:hAnsi="宋体" w:cs="宋体"/>
          <w:sz w:val="24"/>
          <w:szCs w:val="24"/>
          <w:lang w:val="en-US" w:eastAsia="zh-CN"/>
        </w:rPr>
        <w:t>4</w:t>
      </w:r>
      <w:r>
        <w:rPr>
          <w:rFonts w:hint="eastAsia" w:ascii="宋体" w:hAnsi="宋体" w:eastAsia="宋体" w:cs="宋体"/>
          <w:sz w:val="24"/>
          <w:szCs w:val="24"/>
          <w:lang w:val="en-US" w:eastAsia="zh-CN"/>
        </w:rPr>
        <w:t>.服务单位须按照本招标文件的要求对该招标项目进行保安服务工作。保安人员进驻采购单位值勤后，必须服从采购单位的安排和管理，严格遵守采购单位的有关规章制度，接受监督。对违反采购方管理规定、不能尽职尽责完成工作任务的保安人员，采购方有权要求调换，直至胜任为止，服务单位应在十五个工作日内满足甲方要求。</w:t>
      </w:r>
      <w:r>
        <w:rPr>
          <w:rFonts w:hint="eastAsia" w:ascii="宋体" w:hAnsi="宋体" w:eastAsia="宋体" w:cs="宋体"/>
          <w:b w:val="0"/>
          <w:bCs w:val="0"/>
          <w:sz w:val="24"/>
          <w:szCs w:val="24"/>
          <w:lang w:val="en-US" w:eastAsia="zh-CN"/>
        </w:rPr>
        <w:t>派驻学校的保安人员应保持稳定，不得轻易变动，如需变动必须提前</w:t>
      </w:r>
      <w:r>
        <w:rPr>
          <w:rFonts w:hint="eastAsia" w:ascii="宋体" w:hAnsi="宋体" w:cs="宋体"/>
          <w:b w:val="0"/>
          <w:bCs w:val="0"/>
          <w:sz w:val="24"/>
          <w:szCs w:val="24"/>
          <w:lang w:val="en-US" w:eastAsia="zh-CN"/>
        </w:rPr>
        <w:t>20</w:t>
      </w:r>
      <w:r>
        <w:rPr>
          <w:rFonts w:hint="eastAsia" w:ascii="宋体" w:hAnsi="宋体" w:eastAsia="宋体" w:cs="宋体"/>
          <w:b w:val="0"/>
          <w:bCs w:val="0"/>
          <w:sz w:val="24"/>
          <w:szCs w:val="24"/>
          <w:lang w:val="en-US" w:eastAsia="zh-CN"/>
        </w:rPr>
        <w:t>个工作日告知甲方并得到同意后才能更换。同时，须</w:t>
      </w:r>
      <w:r>
        <w:rPr>
          <w:rFonts w:hint="eastAsia" w:ascii="宋体" w:hAnsi="宋体" w:eastAsia="宋体" w:cs="宋体"/>
          <w:sz w:val="24"/>
          <w:szCs w:val="24"/>
          <w:lang w:val="en-US" w:eastAsia="zh-CN"/>
        </w:rPr>
        <w:t>按要求及时补充相应人员，提前做好交接班。如派出的保安员发生违法行为、严重事故、突发疾病等情况，乙方应当在12小时内妥善处理。临时派遣的保安员身体素质、业务技能等各类要求与常驻保安员相同。</w:t>
      </w:r>
    </w:p>
    <w:p>
      <w:pPr>
        <w:spacing w:line="360" w:lineRule="auto"/>
        <w:ind w:firstLine="480" w:firstLineChars="200"/>
        <w:rPr>
          <w:rFonts w:hint="eastAsia"/>
          <w:color w:val="auto"/>
          <w:highlight w:val="none"/>
        </w:rPr>
      </w:pPr>
      <w:r>
        <w:rPr>
          <w:rFonts w:hint="eastAsia" w:ascii="宋体" w:hAnsi="宋体" w:eastAsia="宋体" w:cs="宋体"/>
          <w:sz w:val="24"/>
          <w:szCs w:val="24"/>
          <w:lang w:val="en-US" w:eastAsia="zh-CN"/>
        </w:rPr>
        <w:t>4.</w:t>
      </w:r>
      <w:r>
        <w:rPr>
          <w:rFonts w:hint="eastAsia" w:ascii="宋体" w:hAnsi="宋体" w:cs="宋体"/>
          <w:sz w:val="24"/>
          <w:szCs w:val="24"/>
          <w:lang w:val="en-US" w:eastAsia="zh-CN"/>
        </w:rPr>
        <w:t>5</w:t>
      </w:r>
      <w:r>
        <w:rPr>
          <w:rFonts w:hint="eastAsia" w:ascii="宋体" w:hAnsi="宋体" w:eastAsia="宋体" w:cs="宋体"/>
          <w:sz w:val="24"/>
          <w:szCs w:val="24"/>
          <w:lang w:val="en-US" w:eastAsia="zh-CN"/>
        </w:rPr>
        <w:t>.服务单位须聘请（或指定）一位经理（负责人），全权代表乙方与甲方保持密切联系并保证承包区域服务工作。如乙方经理人不能履行招标需求约定，甲方有权要求乙方在一个星期内更换经理（负责人）。</w:t>
      </w:r>
    </w:p>
    <w:p>
      <w:pPr>
        <w:pageBreakBefore w:val="0"/>
        <w:numPr>
          <w:ilvl w:val="0"/>
          <w:numId w:val="0"/>
        </w:numPr>
        <w:kinsoku/>
        <w:wordWrap/>
        <w:overflowPunct/>
        <w:topLinePunct w:val="0"/>
        <w:bidi w:val="0"/>
        <w:spacing w:line="360" w:lineRule="auto"/>
        <w:ind w:firstLine="482" w:firstLineChars="200"/>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eastAsia="zh-CN"/>
        </w:rPr>
        <w:t>四、</w:t>
      </w:r>
      <w:r>
        <w:rPr>
          <w:rFonts w:hint="eastAsia" w:asciiTheme="minorEastAsia" w:hAnsiTheme="minorEastAsia" w:eastAsiaTheme="minorEastAsia" w:cstheme="minorEastAsia"/>
          <w:b/>
          <w:bCs/>
          <w:color w:val="auto"/>
          <w:sz w:val="24"/>
          <w:szCs w:val="24"/>
          <w:highlight w:val="none"/>
        </w:rPr>
        <w:t>人员配置</w:t>
      </w:r>
    </w:p>
    <w:p>
      <w:pPr>
        <w:pStyle w:val="5"/>
        <w:pageBreakBefore w:val="0"/>
        <w:numPr>
          <w:ilvl w:val="0"/>
          <w:numId w:val="0"/>
        </w:numPr>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b w:val="0"/>
          <w:bCs/>
          <w:snapToGrid/>
          <w:color w:val="auto"/>
          <w:kern w:val="2"/>
          <w:sz w:val="24"/>
          <w:szCs w:val="24"/>
          <w:highlight w:val="none"/>
          <w:lang w:val="en-US" w:eastAsia="zh-CN"/>
        </w:rPr>
      </w:pPr>
      <w:r>
        <w:rPr>
          <w:rFonts w:hint="eastAsia" w:asciiTheme="minorEastAsia" w:hAnsiTheme="minorEastAsia" w:eastAsiaTheme="minorEastAsia" w:cstheme="minorEastAsia"/>
          <w:b w:val="0"/>
          <w:bCs/>
          <w:snapToGrid/>
          <w:color w:val="auto"/>
          <w:kern w:val="2"/>
          <w:sz w:val="24"/>
          <w:szCs w:val="24"/>
          <w:highlight w:val="none"/>
          <w:lang w:val="en-US" w:eastAsia="zh-CN"/>
        </w:rPr>
        <w:t>1.</w:t>
      </w:r>
      <w:r>
        <w:rPr>
          <w:rFonts w:hint="eastAsia" w:asciiTheme="minorEastAsia" w:hAnsiTheme="minorEastAsia" w:eastAsiaTheme="minorEastAsia" w:cstheme="minorEastAsia"/>
          <w:b w:val="0"/>
          <w:bCs/>
          <w:snapToGrid/>
          <w:color w:val="auto"/>
          <w:kern w:val="2"/>
          <w:sz w:val="24"/>
          <w:szCs w:val="24"/>
          <w:highlight w:val="none"/>
          <w:lang w:eastAsia="zh-CN"/>
        </w:rPr>
        <w:t>项目人员配置</w:t>
      </w:r>
      <w:r>
        <w:rPr>
          <w:rFonts w:hint="eastAsia" w:asciiTheme="minorEastAsia" w:hAnsiTheme="minorEastAsia" w:eastAsiaTheme="minorEastAsia" w:cstheme="minorEastAsia"/>
          <w:b w:val="0"/>
          <w:bCs/>
          <w:snapToGrid/>
          <w:color w:val="auto"/>
          <w:kern w:val="2"/>
          <w:sz w:val="24"/>
          <w:szCs w:val="24"/>
          <w:highlight w:val="none"/>
          <w:lang w:val="en-US" w:eastAsia="zh-CN"/>
        </w:rPr>
        <w:t>要求</w:t>
      </w:r>
    </w:p>
    <w:p>
      <w:pPr>
        <w:pStyle w:val="5"/>
        <w:pageBreakBefore w:val="0"/>
        <w:numPr>
          <w:ilvl w:val="0"/>
          <w:numId w:val="0"/>
        </w:numPr>
        <w:kinsoku/>
        <w:wordWrap/>
        <w:overflowPunct/>
        <w:topLinePunct w:val="0"/>
        <w:bidi w:val="0"/>
        <w:spacing w:line="360" w:lineRule="auto"/>
        <w:ind w:firstLine="240" w:firstLineChars="100"/>
        <w:textAlignment w:val="auto"/>
        <w:rPr>
          <w:rFonts w:hint="eastAsia" w:asciiTheme="minorEastAsia" w:hAnsiTheme="minorEastAsia" w:eastAsiaTheme="minorEastAsia" w:cstheme="minorEastAsia"/>
          <w:b w:val="0"/>
          <w:bCs/>
          <w:snapToGrid/>
          <w:color w:val="auto"/>
          <w:kern w:val="2"/>
          <w:sz w:val="24"/>
          <w:szCs w:val="24"/>
          <w:highlight w:val="none"/>
          <w:lang w:val="en-US" w:eastAsia="zh-CN"/>
        </w:rPr>
      </w:pPr>
      <w:r>
        <w:rPr>
          <w:rFonts w:hint="eastAsia" w:asciiTheme="minorEastAsia" w:hAnsiTheme="minorEastAsia" w:eastAsiaTheme="minorEastAsia" w:cstheme="minorEastAsia"/>
          <w:b w:val="0"/>
          <w:bCs/>
          <w:snapToGrid/>
          <w:color w:val="auto"/>
          <w:kern w:val="2"/>
          <w:sz w:val="24"/>
          <w:szCs w:val="24"/>
          <w:highlight w:val="none"/>
          <w:lang w:val="en-US" w:eastAsia="zh-CN"/>
        </w:rPr>
        <w:t>▲1.1项目人员数量配置：本项目总人数不得低于12人。项目经理1人；安保人员11人（仓基园区3人、大关园区3人、西岸园区3人、童玩家园区2人）。</w:t>
      </w:r>
    </w:p>
    <w:p>
      <w:pPr>
        <w:pStyle w:val="5"/>
        <w:pageBreakBefore w:val="0"/>
        <w:numPr>
          <w:ilvl w:val="0"/>
          <w:numId w:val="0"/>
        </w:numPr>
        <w:kinsoku/>
        <w:wordWrap/>
        <w:overflowPunct/>
        <w:topLinePunct w:val="0"/>
        <w:bidi w:val="0"/>
        <w:spacing w:line="360" w:lineRule="auto"/>
        <w:ind w:left="481" w:leftChars="0"/>
        <w:textAlignment w:val="auto"/>
        <w:rPr>
          <w:rFonts w:hint="eastAsia"/>
          <w:color w:val="auto"/>
          <w:highlight w:val="none"/>
        </w:rPr>
      </w:pPr>
      <w:r>
        <w:rPr>
          <w:rFonts w:hint="eastAsia" w:asciiTheme="minorEastAsia" w:hAnsiTheme="minorEastAsia" w:eastAsiaTheme="minorEastAsia" w:cstheme="minorEastAsia"/>
          <w:b w:val="0"/>
          <w:bCs/>
          <w:snapToGrid/>
          <w:color w:val="auto"/>
          <w:kern w:val="2"/>
          <w:sz w:val="24"/>
          <w:szCs w:val="24"/>
          <w:highlight w:val="none"/>
          <w:lang w:val="en-US" w:eastAsia="zh-CN"/>
        </w:rPr>
        <w:t>1.2人员要求</w:t>
      </w:r>
    </w:p>
    <w:tbl>
      <w:tblPr>
        <w:tblStyle w:val="62"/>
        <w:tblpPr w:leftFromText="180" w:rightFromText="180" w:vertAnchor="text" w:horzAnchor="page" w:tblpX="1647" w:tblpY="81"/>
        <w:tblOverlap w:val="never"/>
        <w:tblW w:w="85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8"/>
        <w:gridCol w:w="1200"/>
        <w:gridCol w:w="1465"/>
        <w:gridCol w:w="4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7" w:hRule="atLeast"/>
        </w:trPr>
        <w:tc>
          <w:tcPr>
            <w:tcW w:w="918" w:type="dxa"/>
            <w:vAlign w:val="center"/>
          </w:tcPr>
          <w:p>
            <w:pPr>
              <w:pageBreakBefore w:val="0"/>
              <w:widowControl/>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snapToGrid w:val="0"/>
                <w:color w:val="auto"/>
                <w:spacing w:val="-4"/>
                <w:sz w:val="24"/>
                <w:highlight w:val="none"/>
              </w:rPr>
            </w:pPr>
            <w:r>
              <w:rPr>
                <w:rFonts w:hint="eastAsia" w:asciiTheme="minorEastAsia" w:hAnsiTheme="minorEastAsia" w:eastAsiaTheme="minorEastAsia" w:cstheme="minorEastAsia"/>
                <w:snapToGrid w:val="0"/>
                <w:color w:val="auto"/>
                <w:spacing w:val="-4"/>
                <w:sz w:val="24"/>
                <w:highlight w:val="none"/>
              </w:rPr>
              <w:t>序号</w:t>
            </w:r>
          </w:p>
        </w:tc>
        <w:tc>
          <w:tcPr>
            <w:tcW w:w="1200" w:type="dxa"/>
            <w:vAlign w:val="center"/>
          </w:tcPr>
          <w:p>
            <w:pPr>
              <w:pageBreakBefore w:val="0"/>
              <w:widowControl/>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snapToGrid w:val="0"/>
                <w:color w:val="auto"/>
                <w:spacing w:val="-4"/>
                <w:sz w:val="24"/>
                <w:highlight w:val="none"/>
              </w:rPr>
            </w:pPr>
            <w:r>
              <w:rPr>
                <w:rFonts w:hint="eastAsia" w:asciiTheme="minorEastAsia" w:hAnsiTheme="minorEastAsia" w:eastAsiaTheme="minorEastAsia" w:cstheme="minorEastAsia"/>
                <w:snapToGrid w:val="0"/>
                <w:color w:val="auto"/>
                <w:spacing w:val="-4"/>
                <w:sz w:val="24"/>
                <w:highlight w:val="none"/>
              </w:rPr>
              <w:t>岗位名称</w:t>
            </w:r>
          </w:p>
        </w:tc>
        <w:tc>
          <w:tcPr>
            <w:tcW w:w="1465" w:type="dxa"/>
            <w:vAlign w:val="center"/>
          </w:tcPr>
          <w:p>
            <w:pPr>
              <w:pageBreakBefore w:val="0"/>
              <w:widowControl/>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snapToGrid w:val="0"/>
                <w:color w:val="auto"/>
                <w:spacing w:val="-4"/>
                <w:sz w:val="24"/>
                <w:highlight w:val="none"/>
              </w:rPr>
            </w:pPr>
            <w:r>
              <w:rPr>
                <w:rFonts w:hint="eastAsia" w:asciiTheme="minorEastAsia" w:hAnsiTheme="minorEastAsia" w:eastAsiaTheme="minorEastAsia" w:cstheme="minorEastAsia"/>
                <w:snapToGrid w:val="0"/>
                <w:color w:val="auto"/>
                <w:spacing w:val="-4"/>
                <w:sz w:val="24"/>
                <w:highlight w:val="none"/>
              </w:rPr>
              <w:t>数量</w:t>
            </w:r>
          </w:p>
        </w:tc>
        <w:tc>
          <w:tcPr>
            <w:tcW w:w="4936" w:type="dxa"/>
            <w:tcBorders>
              <w:right w:val="single" w:color="auto" w:sz="4" w:space="0"/>
            </w:tcBorders>
            <w:vAlign w:val="center"/>
          </w:tcPr>
          <w:p>
            <w:pPr>
              <w:pageBreakBefore w:val="0"/>
              <w:widowControl/>
              <w:kinsoku/>
              <w:wordWrap/>
              <w:overflowPunct/>
              <w:topLinePunct w:val="0"/>
              <w:bidi w:val="0"/>
              <w:snapToGrid w:val="0"/>
              <w:spacing w:line="360" w:lineRule="auto"/>
              <w:ind w:firstLine="2320" w:firstLineChars="1000"/>
              <w:textAlignment w:val="auto"/>
              <w:rPr>
                <w:rFonts w:hint="eastAsia" w:asciiTheme="minorEastAsia" w:hAnsiTheme="minorEastAsia" w:eastAsiaTheme="minorEastAsia" w:cstheme="minorEastAsia"/>
                <w:snapToGrid w:val="0"/>
                <w:color w:val="auto"/>
                <w:spacing w:val="-4"/>
                <w:sz w:val="24"/>
                <w:highlight w:val="none"/>
              </w:rPr>
            </w:pPr>
            <w:r>
              <w:rPr>
                <w:rFonts w:hint="eastAsia" w:asciiTheme="minorEastAsia" w:hAnsiTheme="minorEastAsia" w:eastAsiaTheme="minorEastAsia" w:cstheme="minorEastAsia"/>
                <w:snapToGrid w:val="0"/>
                <w:color w:val="auto"/>
                <w:spacing w:val="-4"/>
                <w:sz w:val="24"/>
                <w:highlight w:val="none"/>
              </w:rPr>
              <w:t>要   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918" w:type="dxa"/>
            <w:vAlign w:val="center"/>
          </w:tcPr>
          <w:p>
            <w:pPr>
              <w:pageBreakBefore w:val="0"/>
              <w:kinsoku/>
              <w:wordWrap/>
              <w:overflowPunct/>
              <w:topLinePunct w:val="0"/>
              <w:bidi w:val="0"/>
              <w:spacing w:line="360" w:lineRule="auto"/>
              <w:jc w:val="center"/>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snapToGrid w:val="0"/>
                <w:color w:val="auto"/>
                <w:spacing w:val="-4"/>
                <w:sz w:val="24"/>
                <w:highlight w:val="none"/>
              </w:rPr>
              <w:t>1</w:t>
            </w:r>
          </w:p>
        </w:tc>
        <w:tc>
          <w:tcPr>
            <w:tcW w:w="1200" w:type="dxa"/>
            <w:vAlign w:val="center"/>
          </w:tcPr>
          <w:p>
            <w:pPr>
              <w:pageBreakBefore w:val="0"/>
              <w:kinsoku/>
              <w:wordWrap/>
              <w:overflowPunct/>
              <w:topLinePunct w:val="0"/>
              <w:bidi w:val="0"/>
              <w:spacing w:line="360" w:lineRule="auto"/>
              <w:jc w:val="center"/>
              <w:textAlignment w:val="auto"/>
              <w:rPr>
                <w:rFonts w:hint="eastAsia" w:asciiTheme="minorEastAsia" w:hAnsiTheme="minorEastAsia" w:eastAsiaTheme="minorEastAsia" w:cstheme="minorEastAsia"/>
                <w:snapToGrid w:val="0"/>
                <w:color w:val="auto"/>
                <w:spacing w:val="-4"/>
                <w:sz w:val="24"/>
                <w:highlight w:val="none"/>
                <w:lang w:val="en-US" w:eastAsia="zh-CN"/>
              </w:rPr>
            </w:pPr>
            <w:r>
              <w:rPr>
                <w:rFonts w:hint="eastAsia" w:asciiTheme="minorEastAsia" w:hAnsiTheme="minorEastAsia" w:eastAsiaTheme="minorEastAsia" w:cstheme="minorEastAsia"/>
                <w:snapToGrid w:val="0"/>
                <w:color w:val="auto"/>
                <w:spacing w:val="-4"/>
                <w:sz w:val="24"/>
                <w:highlight w:val="none"/>
              </w:rPr>
              <w:t>项目</w:t>
            </w:r>
            <w:r>
              <w:rPr>
                <w:rFonts w:hint="eastAsia" w:asciiTheme="minorEastAsia" w:hAnsiTheme="minorEastAsia" w:eastAsiaTheme="minorEastAsia" w:cstheme="minorEastAsia"/>
                <w:snapToGrid w:val="0"/>
                <w:color w:val="auto"/>
                <w:spacing w:val="-4"/>
                <w:sz w:val="24"/>
                <w:highlight w:val="none"/>
                <w:lang w:val="en-US" w:eastAsia="zh-CN"/>
              </w:rPr>
              <w:t>经理</w:t>
            </w:r>
          </w:p>
        </w:tc>
        <w:tc>
          <w:tcPr>
            <w:tcW w:w="1465" w:type="dxa"/>
            <w:vAlign w:val="center"/>
          </w:tcPr>
          <w:p>
            <w:pPr>
              <w:pageBreakBefore w:val="0"/>
              <w:kinsoku/>
              <w:wordWrap/>
              <w:overflowPunct/>
              <w:topLinePunct w:val="0"/>
              <w:bidi w:val="0"/>
              <w:spacing w:line="360" w:lineRule="auto"/>
              <w:jc w:val="center"/>
              <w:textAlignment w:val="auto"/>
              <w:rPr>
                <w:rFonts w:hint="eastAsia" w:asciiTheme="minorEastAsia" w:hAnsiTheme="minorEastAsia" w:eastAsiaTheme="minorEastAsia" w:cstheme="minorEastAsia"/>
                <w:snapToGrid w:val="0"/>
                <w:color w:val="auto"/>
                <w:spacing w:val="-4"/>
                <w:sz w:val="24"/>
                <w:highlight w:val="none"/>
              </w:rPr>
            </w:pPr>
            <w:r>
              <w:rPr>
                <w:rFonts w:hint="eastAsia" w:asciiTheme="minorEastAsia" w:hAnsiTheme="minorEastAsia" w:eastAsiaTheme="minorEastAsia" w:cstheme="minorEastAsia"/>
                <w:snapToGrid w:val="0"/>
                <w:color w:val="auto"/>
                <w:spacing w:val="-4"/>
                <w:sz w:val="24"/>
                <w:highlight w:val="none"/>
              </w:rPr>
              <w:t>1</w:t>
            </w:r>
          </w:p>
        </w:tc>
        <w:tc>
          <w:tcPr>
            <w:tcW w:w="4936" w:type="dxa"/>
            <w:tcBorders>
              <w:bottom w:val="single" w:color="auto" w:sz="4" w:space="0"/>
              <w:right w:val="single" w:color="auto" w:sz="4" w:space="0"/>
            </w:tcBorders>
            <w:vAlign w:val="center"/>
          </w:tcPr>
          <w:p>
            <w:pPr>
              <w:pageBreakBefore w:val="0"/>
              <w:kinsoku/>
              <w:wordWrap/>
              <w:overflowPunct/>
              <w:topLinePunct w:val="0"/>
              <w:bidi w:val="0"/>
              <w:spacing w:line="360" w:lineRule="auto"/>
              <w:jc w:val="left"/>
              <w:textAlignment w:val="auto"/>
              <w:rPr>
                <w:rFonts w:hint="eastAsia" w:asciiTheme="minorEastAsia" w:hAnsiTheme="minorEastAsia" w:eastAsiaTheme="minorEastAsia" w:cstheme="minorEastAsia"/>
                <w:snapToGrid w:val="0"/>
                <w:color w:val="auto"/>
                <w:spacing w:val="-4"/>
                <w:sz w:val="24"/>
                <w:highlight w:val="none"/>
                <w:lang w:val="en-US" w:eastAsia="zh-CN"/>
              </w:rPr>
            </w:pPr>
            <w:r>
              <w:rPr>
                <w:rFonts w:hint="eastAsia" w:asciiTheme="minorEastAsia" w:hAnsiTheme="minorEastAsia" w:eastAsiaTheme="minorEastAsia" w:cstheme="minorEastAsia"/>
                <w:snapToGrid w:val="0"/>
                <w:color w:val="auto"/>
                <w:spacing w:val="-4"/>
                <w:sz w:val="24"/>
                <w:highlight w:val="none"/>
              </w:rPr>
              <w:t>年龄不超过5</w:t>
            </w:r>
            <w:r>
              <w:rPr>
                <w:rFonts w:hint="eastAsia" w:asciiTheme="minorEastAsia" w:hAnsiTheme="minorEastAsia" w:eastAsiaTheme="minorEastAsia" w:cstheme="minorEastAsia"/>
                <w:snapToGrid w:val="0"/>
                <w:color w:val="auto"/>
                <w:spacing w:val="-4"/>
                <w:sz w:val="24"/>
                <w:highlight w:val="none"/>
                <w:lang w:val="en-US" w:eastAsia="zh-CN"/>
              </w:rPr>
              <w:t>0</w:t>
            </w:r>
            <w:r>
              <w:rPr>
                <w:rFonts w:hint="eastAsia" w:asciiTheme="minorEastAsia" w:hAnsiTheme="minorEastAsia" w:eastAsiaTheme="minorEastAsia" w:cstheme="minorEastAsia"/>
                <w:snapToGrid w:val="0"/>
                <w:color w:val="auto"/>
                <w:spacing w:val="-4"/>
                <w:sz w:val="24"/>
                <w:highlight w:val="none"/>
              </w:rPr>
              <w:t>周岁，</w:t>
            </w:r>
            <w:r>
              <w:rPr>
                <w:rFonts w:hint="eastAsia" w:asciiTheme="minorEastAsia" w:hAnsiTheme="minorEastAsia" w:eastAsiaTheme="minorEastAsia" w:cstheme="minorEastAsia"/>
                <w:color w:val="auto"/>
                <w:sz w:val="24"/>
                <w:highlight w:val="none"/>
              </w:rPr>
              <w:t>仪容仪表规范整齐，</w:t>
            </w:r>
            <w:r>
              <w:rPr>
                <w:rFonts w:hint="eastAsia" w:asciiTheme="minorEastAsia" w:hAnsiTheme="minorEastAsia" w:eastAsiaTheme="minorEastAsia" w:cstheme="minorEastAsia"/>
                <w:snapToGrid w:val="0"/>
                <w:color w:val="auto"/>
                <w:spacing w:val="-4"/>
                <w:sz w:val="24"/>
                <w:highlight w:val="none"/>
              </w:rPr>
              <w:t>有</w:t>
            </w:r>
            <w:r>
              <w:rPr>
                <w:rFonts w:hint="eastAsia" w:asciiTheme="minorEastAsia" w:hAnsiTheme="minorEastAsia" w:eastAsiaTheme="minorEastAsia" w:cstheme="minorEastAsia"/>
                <w:snapToGrid w:val="0"/>
                <w:color w:val="auto"/>
                <w:spacing w:val="-4"/>
                <w:sz w:val="24"/>
                <w:highlight w:val="none"/>
                <w:lang w:eastAsia="zh-CN"/>
              </w:rPr>
              <w:t>丰富的物业</w:t>
            </w:r>
            <w:r>
              <w:rPr>
                <w:rFonts w:hint="eastAsia" w:asciiTheme="minorEastAsia" w:hAnsiTheme="minorEastAsia" w:eastAsiaTheme="minorEastAsia" w:cstheme="minorEastAsia"/>
                <w:snapToGrid w:val="0"/>
                <w:color w:val="auto"/>
                <w:spacing w:val="-4"/>
                <w:sz w:val="24"/>
                <w:highlight w:val="none"/>
              </w:rPr>
              <w:t>管理经验及文字处理能力</w:t>
            </w:r>
            <w:r>
              <w:rPr>
                <w:rFonts w:hint="eastAsia" w:asciiTheme="minorEastAsia" w:hAnsiTheme="minorEastAsia" w:eastAsiaTheme="minorEastAsia" w:cstheme="minorEastAsia"/>
                <w:snapToGrid w:val="0"/>
                <w:color w:val="auto"/>
                <w:spacing w:val="-4"/>
                <w:sz w:val="24"/>
                <w:highlight w:val="none"/>
                <w:lang w:eastAsia="zh-CN"/>
              </w:rPr>
              <w:t>。</w:t>
            </w:r>
            <w:r>
              <w:rPr>
                <w:rFonts w:hint="eastAsia" w:asciiTheme="minorEastAsia" w:hAnsiTheme="minorEastAsia" w:eastAsiaTheme="minorEastAsia" w:cstheme="minorEastAsia"/>
                <w:snapToGrid w:val="0"/>
                <w:color w:val="000000"/>
                <w:spacing w:val="-4"/>
                <w:sz w:val="24"/>
                <w:highlight w:val="none"/>
                <w:lang w:eastAsia="zh-CN"/>
              </w:rPr>
              <w:t>大专以上学历，</w:t>
            </w:r>
            <w:r>
              <w:rPr>
                <w:rFonts w:hint="eastAsia" w:asciiTheme="minorEastAsia" w:hAnsiTheme="minorEastAsia" w:eastAsiaTheme="minorEastAsia" w:cstheme="minorEastAsia"/>
                <w:color w:val="000000"/>
                <w:sz w:val="24"/>
                <w:highlight w:val="none"/>
              </w:rPr>
              <w:t>无违法犯罪记录</w:t>
            </w:r>
            <w:r>
              <w:rPr>
                <w:rFonts w:hint="eastAsia" w:asciiTheme="minorEastAsia" w:hAnsiTheme="minorEastAsia" w:eastAsiaTheme="minorEastAsia" w:cstheme="minorEastAsia"/>
                <w:snapToGrid w:val="0"/>
                <w:color w:val="000000"/>
                <w:spacing w:val="-4"/>
                <w:sz w:val="24"/>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918" w:type="dxa"/>
            <w:vAlign w:val="center"/>
          </w:tcPr>
          <w:p>
            <w:pPr>
              <w:pageBreakBefore w:val="0"/>
              <w:kinsoku/>
              <w:wordWrap/>
              <w:overflowPunct/>
              <w:topLinePunct w:val="0"/>
              <w:bidi w:val="0"/>
              <w:spacing w:line="360" w:lineRule="auto"/>
              <w:jc w:val="center"/>
              <w:textAlignment w:val="auto"/>
              <w:rPr>
                <w:rFonts w:hint="eastAsia" w:asciiTheme="minorEastAsia" w:hAnsiTheme="minorEastAsia" w:eastAsiaTheme="minorEastAsia" w:cstheme="minorEastAsia"/>
                <w:snapToGrid w:val="0"/>
                <w:color w:val="auto"/>
                <w:spacing w:val="-4"/>
                <w:sz w:val="24"/>
                <w:highlight w:val="none"/>
              </w:rPr>
            </w:pPr>
            <w:r>
              <w:rPr>
                <w:rFonts w:hint="eastAsia" w:asciiTheme="minorEastAsia" w:hAnsiTheme="minorEastAsia" w:eastAsiaTheme="minorEastAsia" w:cstheme="minorEastAsia"/>
                <w:snapToGrid w:val="0"/>
                <w:color w:val="auto"/>
                <w:spacing w:val="-4"/>
                <w:sz w:val="24"/>
                <w:highlight w:val="none"/>
              </w:rPr>
              <w:t>2</w:t>
            </w:r>
          </w:p>
        </w:tc>
        <w:tc>
          <w:tcPr>
            <w:tcW w:w="1200" w:type="dxa"/>
            <w:vAlign w:val="center"/>
          </w:tcPr>
          <w:p>
            <w:pPr>
              <w:pageBreakBefore w:val="0"/>
              <w:kinsoku/>
              <w:wordWrap/>
              <w:overflowPunct/>
              <w:topLinePunct w:val="0"/>
              <w:bidi w:val="0"/>
              <w:spacing w:line="360" w:lineRule="auto"/>
              <w:jc w:val="center"/>
              <w:textAlignment w:val="auto"/>
              <w:rPr>
                <w:rFonts w:hint="eastAsia" w:asciiTheme="minorEastAsia" w:hAnsiTheme="minorEastAsia" w:eastAsiaTheme="minorEastAsia" w:cstheme="minorEastAsia"/>
                <w:snapToGrid w:val="0"/>
                <w:color w:val="auto"/>
                <w:spacing w:val="-4"/>
                <w:kern w:val="2"/>
                <w:sz w:val="24"/>
                <w:szCs w:val="24"/>
                <w:highlight w:val="none"/>
                <w:lang w:val="en-US" w:eastAsia="zh-CN" w:bidi="ar-SA"/>
              </w:rPr>
            </w:pPr>
            <w:r>
              <w:rPr>
                <w:rFonts w:hint="eastAsia" w:asciiTheme="minorEastAsia" w:hAnsiTheme="minorEastAsia" w:eastAsiaTheme="minorEastAsia" w:cstheme="minorEastAsia"/>
                <w:snapToGrid w:val="0"/>
                <w:color w:val="auto"/>
                <w:spacing w:val="-4"/>
                <w:sz w:val="24"/>
                <w:highlight w:val="none"/>
              </w:rPr>
              <w:t>安保</w:t>
            </w:r>
            <w:r>
              <w:rPr>
                <w:rFonts w:hint="eastAsia" w:asciiTheme="minorEastAsia" w:hAnsiTheme="minorEastAsia" w:eastAsiaTheme="minorEastAsia" w:cstheme="minorEastAsia"/>
                <w:snapToGrid w:val="0"/>
                <w:color w:val="auto"/>
                <w:spacing w:val="-4"/>
                <w:sz w:val="24"/>
                <w:highlight w:val="none"/>
                <w:lang w:val="en-US" w:eastAsia="zh-CN"/>
              </w:rPr>
              <w:t>人</w:t>
            </w:r>
            <w:r>
              <w:rPr>
                <w:rFonts w:hint="eastAsia" w:asciiTheme="minorEastAsia" w:hAnsiTheme="minorEastAsia" w:eastAsiaTheme="minorEastAsia" w:cstheme="minorEastAsia"/>
                <w:snapToGrid w:val="0"/>
                <w:color w:val="auto"/>
                <w:spacing w:val="-4"/>
                <w:sz w:val="24"/>
                <w:highlight w:val="none"/>
              </w:rPr>
              <w:t>员</w:t>
            </w:r>
          </w:p>
        </w:tc>
        <w:tc>
          <w:tcPr>
            <w:tcW w:w="1465" w:type="dxa"/>
            <w:vAlign w:val="center"/>
          </w:tcPr>
          <w:p>
            <w:pPr>
              <w:pageBreakBefore w:val="0"/>
              <w:kinsoku/>
              <w:wordWrap/>
              <w:overflowPunct/>
              <w:topLinePunct w:val="0"/>
              <w:bidi w:val="0"/>
              <w:spacing w:line="360" w:lineRule="auto"/>
              <w:jc w:val="center"/>
              <w:textAlignment w:val="auto"/>
              <w:rPr>
                <w:rFonts w:hint="eastAsia" w:asciiTheme="minorEastAsia" w:hAnsiTheme="minorEastAsia" w:eastAsiaTheme="minorEastAsia" w:cstheme="minorEastAsia"/>
                <w:snapToGrid w:val="0"/>
                <w:color w:val="auto"/>
                <w:spacing w:val="-4"/>
                <w:sz w:val="24"/>
                <w:highlight w:val="none"/>
                <w:lang w:val="en-US" w:eastAsia="zh-CN"/>
              </w:rPr>
            </w:pPr>
            <w:r>
              <w:rPr>
                <w:rFonts w:hint="eastAsia" w:asciiTheme="minorEastAsia" w:hAnsiTheme="minorEastAsia" w:eastAsiaTheme="minorEastAsia" w:cstheme="minorEastAsia"/>
                <w:snapToGrid w:val="0"/>
                <w:color w:val="auto"/>
                <w:spacing w:val="-4"/>
                <w:sz w:val="24"/>
                <w:highlight w:val="none"/>
              </w:rPr>
              <w:t>1</w:t>
            </w:r>
            <w:r>
              <w:rPr>
                <w:rFonts w:hint="eastAsia" w:asciiTheme="minorEastAsia" w:hAnsiTheme="minorEastAsia" w:eastAsiaTheme="minorEastAsia" w:cstheme="minorEastAsia"/>
                <w:snapToGrid w:val="0"/>
                <w:color w:val="auto"/>
                <w:spacing w:val="-4"/>
                <w:sz w:val="24"/>
                <w:highlight w:val="none"/>
                <w:lang w:val="en-US" w:eastAsia="zh-CN"/>
              </w:rPr>
              <w:t>1</w:t>
            </w:r>
          </w:p>
          <w:p>
            <w:pPr>
              <w:pStyle w:val="2"/>
              <w:ind w:left="0" w:leftChars="0" w:firstLine="0" w:firstLineChars="0"/>
              <w:jc w:val="left"/>
              <w:rPr>
                <w:rFonts w:hint="default" w:eastAsiaTheme="minorEastAsia"/>
                <w:lang w:val="en-US" w:eastAsia="zh-CN"/>
              </w:rPr>
            </w:pPr>
            <w:r>
              <w:rPr>
                <w:rFonts w:hint="eastAsia" w:asciiTheme="minorEastAsia" w:hAnsiTheme="minorEastAsia" w:eastAsiaTheme="minorEastAsia" w:cstheme="minorEastAsia"/>
                <w:snapToGrid w:val="0"/>
                <w:color w:val="auto"/>
                <w:spacing w:val="-4"/>
                <w:sz w:val="24"/>
                <w:highlight w:val="none"/>
                <w:lang w:val="en-US" w:eastAsia="zh-CN"/>
              </w:rPr>
              <w:t>(仓基、大关、西岸各3人，童玩家2人）</w:t>
            </w:r>
          </w:p>
        </w:tc>
        <w:tc>
          <w:tcPr>
            <w:tcW w:w="4936" w:type="dxa"/>
            <w:tcBorders>
              <w:top w:val="single" w:color="auto" w:sz="4" w:space="0"/>
              <w:right w:val="single" w:color="auto" w:sz="4" w:space="0"/>
            </w:tcBorders>
            <w:vAlign w:val="center"/>
          </w:tcPr>
          <w:p>
            <w:pPr>
              <w:numPr>
                <w:ilvl w:val="0"/>
                <w:numId w:val="0"/>
              </w:numPr>
              <w:spacing w:line="360" w:lineRule="auto"/>
              <w:rPr>
                <w:rFonts w:hint="eastAsia" w:asciiTheme="minorEastAsia" w:hAnsiTheme="minorEastAsia" w:eastAsiaTheme="minorEastAsia" w:cstheme="minorEastAsia"/>
                <w:b w:val="0"/>
                <w:bCs/>
                <w:snapToGrid/>
                <w:color w:val="auto"/>
                <w:kern w:val="2"/>
                <w:sz w:val="24"/>
                <w:szCs w:val="24"/>
                <w:highlight w:val="none"/>
                <w:lang w:val="en-US" w:eastAsia="zh-CN" w:bidi="ar-SA"/>
              </w:rPr>
            </w:pPr>
            <w:r>
              <w:rPr>
                <w:rFonts w:hint="default" w:asciiTheme="minorEastAsia" w:hAnsiTheme="minorEastAsia" w:eastAsiaTheme="minorEastAsia" w:cstheme="minorEastAsia"/>
                <w:b w:val="0"/>
                <w:bCs/>
                <w:snapToGrid/>
                <w:color w:val="auto"/>
                <w:kern w:val="2"/>
                <w:sz w:val="24"/>
                <w:szCs w:val="24"/>
                <w:highlight w:val="none"/>
                <w:lang w:eastAsia="zh-CN" w:bidi="ar-SA"/>
              </w:rPr>
              <w:t>1.</w:t>
            </w:r>
            <w:r>
              <w:rPr>
                <w:rFonts w:hint="eastAsia" w:asciiTheme="minorEastAsia" w:hAnsiTheme="minorEastAsia" w:eastAsiaTheme="minorEastAsia" w:cstheme="minorEastAsia"/>
                <w:b w:val="0"/>
                <w:bCs/>
                <w:snapToGrid/>
                <w:color w:val="auto"/>
                <w:kern w:val="2"/>
                <w:sz w:val="24"/>
                <w:szCs w:val="24"/>
                <w:highlight w:val="none"/>
                <w:lang w:val="en-US" w:eastAsia="zh-CN" w:bidi="ar-SA"/>
              </w:rPr>
              <w:t>男性，55周岁及以下（首次选派的服务人员应在50周岁以下），具备高中及以上文化学历。</w:t>
            </w:r>
          </w:p>
          <w:p>
            <w:pPr>
              <w:numPr>
                <w:ilvl w:val="0"/>
                <w:numId w:val="0"/>
              </w:numPr>
              <w:spacing w:line="360" w:lineRule="auto"/>
              <w:rPr>
                <w:rFonts w:hint="eastAsia" w:asciiTheme="minorEastAsia" w:hAnsiTheme="minorEastAsia" w:eastAsiaTheme="minorEastAsia" w:cstheme="minorEastAsia"/>
                <w:b w:val="0"/>
                <w:bCs/>
                <w:snapToGrid/>
                <w:color w:val="auto"/>
                <w:kern w:val="2"/>
                <w:sz w:val="24"/>
                <w:szCs w:val="24"/>
                <w:highlight w:val="none"/>
                <w:lang w:val="en-US" w:eastAsia="zh-CN" w:bidi="ar-SA"/>
              </w:rPr>
            </w:pPr>
            <w:r>
              <w:rPr>
                <w:rFonts w:hint="eastAsia" w:asciiTheme="minorEastAsia" w:hAnsiTheme="minorEastAsia" w:eastAsiaTheme="minorEastAsia" w:cstheme="minorEastAsia"/>
                <w:b w:val="0"/>
                <w:bCs/>
                <w:snapToGrid/>
                <w:color w:val="auto"/>
                <w:kern w:val="2"/>
                <w:sz w:val="24"/>
                <w:szCs w:val="24"/>
                <w:highlight w:val="none"/>
                <w:lang w:val="en-US" w:eastAsia="zh-CN" w:bidi="ar-SA"/>
              </w:rPr>
              <w:t>3.具备相应的安保专业技能，有处理突发事故的经验和保安工作经历，训练有素。</w:t>
            </w:r>
          </w:p>
          <w:p>
            <w:pPr>
              <w:numPr>
                <w:ilvl w:val="0"/>
                <w:numId w:val="0"/>
              </w:numPr>
              <w:spacing w:line="360" w:lineRule="auto"/>
              <w:rPr>
                <w:rFonts w:hint="eastAsia" w:asciiTheme="minorEastAsia" w:hAnsiTheme="minorEastAsia" w:eastAsiaTheme="minorEastAsia" w:cstheme="minorEastAsia"/>
                <w:b w:val="0"/>
                <w:bCs/>
                <w:snapToGrid/>
                <w:color w:val="auto"/>
                <w:kern w:val="2"/>
                <w:sz w:val="24"/>
                <w:szCs w:val="24"/>
                <w:highlight w:val="none"/>
                <w:lang w:val="en-US" w:eastAsia="zh-CN" w:bidi="ar-SA"/>
              </w:rPr>
            </w:pPr>
            <w:r>
              <w:rPr>
                <w:rFonts w:hint="eastAsia" w:asciiTheme="minorEastAsia" w:hAnsiTheme="minorEastAsia" w:eastAsiaTheme="minorEastAsia" w:cstheme="minorEastAsia"/>
                <w:b w:val="0"/>
                <w:bCs/>
                <w:snapToGrid/>
                <w:color w:val="auto"/>
                <w:kern w:val="2"/>
                <w:sz w:val="24"/>
                <w:szCs w:val="24"/>
                <w:highlight w:val="none"/>
                <w:lang w:val="en-US" w:eastAsia="zh-CN" w:bidi="ar-SA"/>
              </w:rPr>
              <w:t>4.仪容仪表规范整齐，言语文明、规范，身体健康(有健康证)，工作认真负责。</w:t>
            </w:r>
          </w:p>
          <w:p>
            <w:pPr>
              <w:numPr>
                <w:ilvl w:val="0"/>
                <w:numId w:val="0"/>
              </w:numPr>
              <w:spacing w:line="360" w:lineRule="auto"/>
              <w:rPr>
                <w:rFonts w:hint="eastAsia" w:asciiTheme="minorEastAsia" w:hAnsiTheme="minorEastAsia" w:eastAsiaTheme="minorEastAsia" w:cstheme="minorEastAsia"/>
                <w:b w:val="0"/>
                <w:bCs/>
                <w:snapToGrid/>
                <w:color w:val="auto"/>
                <w:kern w:val="2"/>
                <w:sz w:val="24"/>
                <w:szCs w:val="24"/>
                <w:highlight w:val="none"/>
                <w:lang w:val="en-US" w:eastAsia="zh-CN" w:bidi="ar-SA"/>
              </w:rPr>
            </w:pPr>
            <w:r>
              <w:rPr>
                <w:rFonts w:hint="eastAsia" w:asciiTheme="minorEastAsia" w:hAnsiTheme="minorEastAsia" w:eastAsiaTheme="minorEastAsia" w:cstheme="minorEastAsia"/>
                <w:b w:val="0"/>
                <w:bCs/>
                <w:snapToGrid/>
                <w:color w:val="auto"/>
                <w:kern w:val="2"/>
                <w:sz w:val="24"/>
                <w:szCs w:val="24"/>
                <w:highlight w:val="none"/>
                <w:lang w:val="en-US" w:eastAsia="zh-CN" w:bidi="ar-SA"/>
              </w:rPr>
              <w:t>5.政治上可靠，能提供无不良行为记录</w:t>
            </w:r>
            <w:r>
              <w:rPr>
                <w:rFonts w:hint="eastAsia" w:asciiTheme="minorEastAsia" w:hAnsiTheme="minorEastAsia" w:eastAsiaTheme="minorEastAsia" w:cstheme="minorEastAsia"/>
                <w:b w:val="0"/>
                <w:bCs/>
                <w:snapToGrid/>
                <w:color w:val="auto"/>
                <w:kern w:val="2"/>
                <w:sz w:val="24"/>
                <w:szCs w:val="24"/>
                <w:highlight w:val="none"/>
                <w:lang w:val="zh-CN" w:eastAsia="zh-CN" w:bidi="ar-SA"/>
              </w:rPr>
              <w:t>（包括无犯罪记录）。</w:t>
            </w:r>
          </w:p>
          <w:p>
            <w:pPr>
              <w:pStyle w:val="2"/>
              <w:ind w:left="0" w:leftChars="0" w:firstLine="0" w:firstLineChars="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6.从事保安工作三年及以上。</w:t>
            </w:r>
          </w:p>
          <w:p>
            <w:pPr>
              <w:numPr>
                <w:ilvl w:val="0"/>
                <w:numId w:val="0"/>
              </w:numPr>
              <w:spacing w:line="360" w:lineRule="auto"/>
              <w:rPr>
                <w:rFonts w:hint="eastAsia"/>
                <w:lang w:val="en-US" w:eastAsia="zh-CN"/>
              </w:rPr>
            </w:pPr>
            <w:r>
              <w:rPr>
                <w:rFonts w:hint="eastAsia" w:asciiTheme="minorEastAsia" w:hAnsiTheme="minorEastAsia" w:eastAsiaTheme="minorEastAsia" w:cstheme="minorEastAsia"/>
                <w:color w:val="auto"/>
                <w:sz w:val="24"/>
                <w:highlight w:val="none"/>
                <w:lang w:val="en-US" w:eastAsia="zh-CN"/>
              </w:rPr>
              <w:t>7.退伍军人优选选用。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trPr>
        <w:tc>
          <w:tcPr>
            <w:tcW w:w="918" w:type="dxa"/>
            <w:vAlign w:val="center"/>
          </w:tcPr>
          <w:p>
            <w:pPr>
              <w:pageBreakBefore w:val="0"/>
              <w:kinsoku/>
              <w:wordWrap/>
              <w:overflowPunct/>
              <w:topLinePunct w:val="0"/>
              <w:bidi w:val="0"/>
              <w:spacing w:line="360" w:lineRule="auto"/>
              <w:jc w:val="center"/>
              <w:textAlignment w:val="auto"/>
              <w:rPr>
                <w:rFonts w:hint="eastAsia" w:asciiTheme="minorEastAsia" w:hAnsiTheme="minorEastAsia" w:eastAsiaTheme="minorEastAsia" w:cstheme="minorEastAsia"/>
                <w:snapToGrid w:val="0"/>
                <w:color w:val="auto"/>
                <w:spacing w:val="-4"/>
                <w:sz w:val="24"/>
                <w:highlight w:val="none"/>
              </w:rPr>
            </w:pPr>
          </w:p>
        </w:tc>
        <w:tc>
          <w:tcPr>
            <w:tcW w:w="1200" w:type="dxa"/>
            <w:vAlign w:val="center"/>
          </w:tcPr>
          <w:p>
            <w:pPr>
              <w:pageBreakBefore w:val="0"/>
              <w:kinsoku/>
              <w:wordWrap/>
              <w:overflowPunct/>
              <w:topLinePunct w:val="0"/>
              <w:bidi w:val="0"/>
              <w:spacing w:line="360" w:lineRule="auto"/>
              <w:jc w:val="center"/>
              <w:textAlignment w:val="auto"/>
              <w:rPr>
                <w:rFonts w:hint="eastAsia" w:asciiTheme="minorEastAsia" w:hAnsiTheme="minorEastAsia" w:eastAsiaTheme="minorEastAsia" w:cstheme="minorEastAsia"/>
                <w:snapToGrid w:val="0"/>
                <w:color w:val="auto"/>
                <w:spacing w:val="-4"/>
                <w:sz w:val="24"/>
                <w:highlight w:val="none"/>
              </w:rPr>
            </w:pPr>
            <w:r>
              <w:rPr>
                <w:rFonts w:hint="eastAsia" w:asciiTheme="minorEastAsia" w:hAnsiTheme="minorEastAsia" w:eastAsiaTheme="minorEastAsia" w:cstheme="minorEastAsia"/>
                <w:snapToGrid w:val="0"/>
                <w:color w:val="auto"/>
                <w:spacing w:val="-4"/>
                <w:sz w:val="24"/>
                <w:highlight w:val="none"/>
              </w:rPr>
              <w:t>合计</w:t>
            </w:r>
          </w:p>
        </w:tc>
        <w:tc>
          <w:tcPr>
            <w:tcW w:w="6401" w:type="dxa"/>
            <w:gridSpan w:val="2"/>
            <w:tcBorders>
              <w:right w:val="single" w:color="auto" w:sz="4" w:space="0"/>
            </w:tcBorders>
            <w:vAlign w:val="center"/>
          </w:tcPr>
          <w:p>
            <w:pPr>
              <w:pageBreakBefore w:val="0"/>
              <w:kinsoku/>
              <w:wordWrap/>
              <w:overflowPunct/>
              <w:topLinePunct w:val="0"/>
              <w:bidi w:val="0"/>
              <w:spacing w:line="360" w:lineRule="auto"/>
              <w:textAlignment w:val="auto"/>
              <w:rPr>
                <w:rFonts w:hint="default" w:asciiTheme="minorEastAsia" w:hAnsiTheme="minorEastAsia" w:eastAsiaTheme="minorEastAsia" w:cstheme="minorEastAsia"/>
                <w:snapToGrid w:val="0"/>
                <w:color w:val="auto"/>
                <w:spacing w:val="-4"/>
                <w:sz w:val="24"/>
                <w:highlight w:val="none"/>
                <w:lang w:val="en-US" w:eastAsia="zh-CN"/>
              </w:rPr>
            </w:pPr>
            <w:r>
              <w:rPr>
                <w:rFonts w:hint="eastAsia" w:asciiTheme="minorEastAsia" w:hAnsiTheme="minorEastAsia" w:eastAsiaTheme="minorEastAsia" w:cstheme="minorEastAsia"/>
                <w:snapToGrid w:val="0"/>
                <w:color w:val="auto"/>
                <w:spacing w:val="-4"/>
                <w:sz w:val="24"/>
                <w:highlight w:val="none"/>
                <w:lang w:val="en-US" w:eastAsia="zh-CN"/>
              </w:rPr>
              <w:t>12</w:t>
            </w:r>
          </w:p>
        </w:tc>
      </w:tr>
    </w:tbl>
    <w:p>
      <w:pPr>
        <w:pageBreakBefore w:val="0"/>
        <w:widowControl w:val="0"/>
        <w:numPr>
          <w:ilvl w:val="0"/>
          <w:numId w:val="1"/>
        </w:numPr>
        <w:kinsoku/>
        <w:wordWrap/>
        <w:overflowPunct/>
        <w:topLinePunct w:val="0"/>
        <w:bidi w:val="0"/>
        <w:adjustRightInd w:val="0"/>
        <w:spacing w:line="360" w:lineRule="auto"/>
        <w:ind w:firstLine="480" w:firstLineChars="200"/>
        <w:jc w:val="both"/>
        <w:textAlignment w:val="auto"/>
        <w:rPr>
          <w:rFonts w:hint="default" w:asciiTheme="minorEastAsia" w:hAnsiTheme="minorEastAsia" w:eastAsiaTheme="minorEastAsia" w:cstheme="minorEastAsia"/>
          <w:color w:val="auto"/>
          <w:sz w:val="24"/>
          <w:highlight w:val="none"/>
          <w:lang w:val="en-US"/>
        </w:rPr>
      </w:pPr>
      <w:r>
        <w:rPr>
          <w:rFonts w:hint="eastAsia" w:asciiTheme="minorEastAsia" w:hAnsiTheme="minorEastAsia" w:eastAsiaTheme="minorEastAsia" w:cstheme="minorEastAsia"/>
          <w:color w:val="auto"/>
          <w:sz w:val="24"/>
          <w:highlight w:val="none"/>
          <w:lang w:val="en-US" w:eastAsia="zh-CN"/>
        </w:rPr>
        <w:t>根据要求学校在上、下学期间需要有2名及以上保安人员在校门口</w:t>
      </w:r>
      <w:r>
        <w:rPr>
          <w:rFonts w:hint="eastAsia" w:asciiTheme="minorEastAsia" w:hAnsiTheme="minorEastAsia" w:eastAsiaTheme="minorEastAsia" w:cstheme="minorEastAsia"/>
          <w:color w:val="auto"/>
          <w:sz w:val="24"/>
          <w:highlight w:val="none"/>
        </w:rPr>
        <w:t>负责安保</w:t>
      </w:r>
      <w:r>
        <w:rPr>
          <w:rFonts w:hint="eastAsia" w:asciiTheme="minorEastAsia" w:hAnsiTheme="minorEastAsia" w:eastAsiaTheme="minorEastAsia" w:cstheme="minorEastAsia"/>
          <w:color w:val="auto"/>
          <w:sz w:val="24"/>
          <w:highlight w:val="none"/>
          <w:lang w:val="en-US" w:eastAsia="zh-CN"/>
        </w:rPr>
        <w:t>保障工作。上学时间：7:50——9：00 放学时间：16：00－17：30。</w:t>
      </w:r>
    </w:p>
    <w:p>
      <w:pPr>
        <w:keepNext w:val="0"/>
        <w:keepLines w:val="0"/>
        <w:pageBreakBefore w:val="0"/>
        <w:widowControl/>
        <w:numPr>
          <w:ilvl w:val="0"/>
          <w:numId w:val="0"/>
        </w:numPr>
        <w:kinsoku/>
        <w:wordWrap/>
        <w:overflowPunct/>
        <w:topLinePunct w:val="0"/>
        <w:autoSpaceDE w:val="0"/>
        <w:autoSpaceDN w:val="0"/>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highlight w:val="none"/>
          <w:lang w:val="en-US" w:eastAsia="zh-CN"/>
        </w:rPr>
        <w:t>3</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管理服务人员上岗时须统一着装，服装样式体现岗位特色和方便不同岗位操作，并经采购单位认可。</w:t>
      </w:r>
    </w:p>
    <w:p>
      <w:pPr>
        <w:pStyle w:val="5"/>
        <w:pageBreakBefore w:val="0"/>
        <w:kinsoku/>
        <w:wordWrap/>
        <w:overflowPunct/>
        <w:topLinePunct w:val="0"/>
        <w:bidi w:val="0"/>
        <w:spacing w:line="360" w:lineRule="auto"/>
        <w:ind w:left="0" w:leftChars="0" w:firstLine="480" w:firstLineChars="200"/>
        <w:textAlignment w:val="auto"/>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lang w:val="en-US" w:eastAsia="zh-CN"/>
        </w:rPr>
        <w:t>4.</w:t>
      </w:r>
      <w:r>
        <w:rPr>
          <w:rFonts w:hint="eastAsia" w:asciiTheme="minorEastAsia" w:hAnsiTheme="minorEastAsia" w:eastAsiaTheme="minorEastAsia" w:cstheme="minorEastAsia"/>
          <w:b w:val="0"/>
          <w:bCs w:val="0"/>
          <w:color w:val="auto"/>
          <w:sz w:val="24"/>
          <w:szCs w:val="24"/>
          <w:highlight w:val="none"/>
        </w:rPr>
        <w:t>遇重大活动应增加人员，遇自然灾害、恶劣天气等特殊时期，24小时到场服务，增援力量配备充足。</w:t>
      </w:r>
    </w:p>
    <w:p>
      <w:pPr>
        <w:pageBreakBefore w:val="0"/>
        <w:kinsoku/>
        <w:wordWrap/>
        <w:overflowPunct/>
        <w:topLinePunct w:val="0"/>
        <w:bidi w:val="0"/>
        <w:spacing w:line="360" w:lineRule="auto"/>
        <w:ind w:firstLine="120" w:firstLineChars="5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lang w:val="en-US" w:eastAsia="zh-CN"/>
        </w:rPr>
        <w:t xml:space="preserve">   5.</w:t>
      </w:r>
      <w:r>
        <w:rPr>
          <w:rFonts w:hint="eastAsia" w:asciiTheme="minorEastAsia" w:hAnsiTheme="minorEastAsia" w:eastAsiaTheme="minorEastAsia" w:cstheme="minorEastAsia"/>
          <w:b w:val="0"/>
          <w:bCs/>
          <w:color w:val="auto"/>
          <w:sz w:val="24"/>
          <w:szCs w:val="24"/>
          <w:highlight w:val="none"/>
        </w:rPr>
        <w:t>服务人员应及时、认真做好工作日志、交接班记录、账册等记录工作，做到字迹清晰、数据准确。</w:t>
      </w:r>
    </w:p>
    <w:p>
      <w:pPr>
        <w:pStyle w:val="5"/>
        <w:pageBreakBefore w:val="0"/>
        <w:kinsoku/>
        <w:wordWrap/>
        <w:overflowPunct/>
        <w:topLinePunct w:val="0"/>
        <w:bidi w:val="0"/>
        <w:spacing w:line="360" w:lineRule="auto"/>
        <w:ind w:left="459" w:leftChars="214" w:hanging="10" w:hangingChars="4"/>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五、其他要求</w:t>
      </w:r>
    </w:p>
    <w:p>
      <w:pPr>
        <w:pStyle w:val="5"/>
        <w:pageBreakBefore w:val="0"/>
        <w:numPr>
          <w:ilvl w:val="0"/>
          <w:numId w:val="0"/>
        </w:numPr>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lang w:val="en-US" w:eastAsia="zh-CN"/>
        </w:rPr>
        <w:t>1.</w:t>
      </w:r>
      <w:r>
        <w:rPr>
          <w:rFonts w:hint="eastAsia" w:asciiTheme="minorEastAsia" w:hAnsiTheme="minorEastAsia" w:eastAsiaTheme="minorEastAsia" w:cstheme="minorEastAsia"/>
          <w:b w:val="0"/>
          <w:bCs w:val="0"/>
          <w:color w:val="auto"/>
          <w:sz w:val="24"/>
          <w:szCs w:val="24"/>
          <w:highlight w:val="none"/>
        </w:rPr>
        <w:t>根据本项目</w:t>
      </w:r>
      <w:r>
        <w:rPr>
          <w:rFonts w:hint="eastAsia" w:asciiTheme="minorEastAsia" w:hAnsiTheme="minorEastAsia" w:eastAsiaTheme="minorEastAsia" w:cstheme="minorEastAsia"/>
          <w:b w:val="0"/>
          <w:bCs w:val="0"/>
          <w:color w:val="auto"/>
          <w:sz w:val="24"/>
          <w:szCs w:val="24"/>
          <w:highlight w:val="none"/>
          <w:lang w:eastAsia="zh-CN"/>
        </w:rPr>
        <w:t>安保</w:t>
      </w:r>
      <w:r>
        <w:rPr>
          <w:rFonts w:hint="eastAsia" w:asciiTheme="minorEastAsia" w:hAnsiTheme="minorEastAsia" w:eastAsiaTheme="minorEastAsia" w:cstheme="minorEastAsia"/>
          <w:b w:val="0"/>
          <w:bCs w:val="0"/>
          <w:color w:val="auto"/>
          <w:sz w:val="24"/>
          <w:szCs w:val="24"/>
          <w:highlight w:val="none"/>
        </w:rPr>
        <w:t>使用特点提出合理的</w:t>
      </w:r>
      <w:r>
        <w:rPr>
          <w:rFonts w:hint="eastAsia" w:asciiTheme="minorEastAsia" w:hAnsiTheme="minorEastAsia" w:eastAsiaTheme="minorEastAsia" w:cstheme="minorEastAsia"/>
          <w:b w:val="0"/>
          <w:bCs w:val="0"/>
          <w:color w:val="auto"/>
          <w:sz w:val="24"/>
          <w:szCs w:val="24"/>
          <w:highlight w:val="none"/>
          <w:lang w:eastAsia="zh-CN"/>
        </w:rPr>
        <w:t>安保</w:t>
      </w:r>
      <w:r>
        <w:rPr>
          <w:rFonts w:hint="eastAsia" w:asciiTheme="minorEastAsia" w:hAnsiTheme="minorEastAsia" w:eastAsiaTheme="minorEastAsia" w:cstheme="minorEastAsia"/>
          <w:b w:val="0"/>
          <w:bCs w:val="0"/>
          <w:color w:val="auto"/>
          <w:sz w:val="24"/>
          <w:szCs w:val="24"/>
          <w:highlight w:val="none"/>
        </w:rPr>
        <w:t>管理服务理念、服务定位和目标，结合本项目安全性特点，提出针对性的切实可行的方案。有比较完善的组织架构及管理制度，清晰简练地列出主要管理流程，包括运作流程图、监督机制、自我约束机制、信息反馈及处理机制。</w:t>
      </w:r>
    </w:p>
    <w:p>
      <w:pPr>
        <w:pStyle w:val="5"/>
        <w:pageBreakBefore w:val="0"/>
        <w:numPr>
          <w:ilvl w:val="0"/>
          <w:numId w:val="0"/>
        </w:numPr>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lang w:val="en-US" w:eastAsia="zh-CN"/>
        </w:rPr>
        <w:t>2.</w:t>
      </w:r>
      <w:r>
        <w:rPr>
          <w:rFonts w:hint="eastAsia" w:asciiTheme="minorEastAsia" w:hAnsiTheme="minorEastAsia" w:eastAsiaTheme="minorEastAsia" w:cstheme="minorEastAsia"/>
          <w:b w:val="0"/>
          <w:bCs w:val="0"/>
          <w:color w:val="auto"/>
          <w:sz w:val="24"/>
          <w:szCs w:val="24"/>
          <w:highlight w:val="none"/>
        </w:rPr>
        <w:t>服务方须在合同签订前须提供</w:t>
      </w:r>
      <w:r>
        <w:rPr>
          <w:rFonts w:hint="eastAsia" w:asciiTheme="minorEastAsia" w:hAnsiTheme="minorEastAsia" w:eastAsiaTheme="minorEastAsia" w:cstheme="minorEastAsia"/>
          <w:b w:val="0"/>
          <w:bCs w:val="0"/>
          <w:color w:val="auto"/>
          <w:sz w:val="24"/>
          <w:szCs w:val="24"/>
          <w:highlight w:val="none"/>
          <w:lang w:val="en-US" w:eastAsia="zh-CN"/>
        </w:rPr>
        <w:t>项目总负责人、项目经理</w:t>
      </w:r>
      <w:r>
        <w:rPr>
          <w:rFonts w:hint="eastAsia" w:asciiTheme="minorEastAsia" w:hAnsiTheme="minorEastAsia" w:eastAsiaTheme="minorEastAsia" w:cstheme="minorEastAsia"/>
          <w:b w:val="0"/>
          <w:bCs w:val="0"/>
          <w:color w:val="auto"/>
          <w:sz w:val="24"/>
          <w:szCs w:val="24"/>
          <w:highlight w:val="none"/>
        </w:rPr>
        <w:t>、</w:t>
      </w:r>
      <w:r>
        <w:rPr>
          <w:rFonts w:hint="eastAsia" w:asciiTheme="minorEastAsia" w:hAnsiTheme="minorEastAsia" w:eastAsiaTheme="minorEastAsia" w:cstheme="minorEastAsia"/>
          <w:b w:val="0"/>
          <w:bCs w:val="0"/>
          <w:color w:val="auto"/>
          <w:sz w:val="24"/>
          <w:szCs w:val="24"/>
          <w:highlight w:val="none"/>
          <w:lang w:val="en-US" w:eastAsia="zh-CN"/>
        </w:rPr>
        <w:t>安保人员</w:t>
      </w:r>
      <w:r>
        <w:rPr>
          <w:rFonts w:hint="eastAsia" w:asciiTheme="minorEastAsia" w:hAnsiTheme="minorEastAsia" w:eastAsiaTheme="minorEastAsia" w:cstheme="minorEastAsia"/>
          <w:b w:val="0"/>
          <w:bCs w:val="0"/>
          <w:color w:val="auto"/>
          <w:sz w:val="24"/>
          <w:szCs w:val="24"/>
          <w:highlight w:val="none"/>
        </w:rPr>
        <w:t>等所有岗位人员的相关有效证件和信息，如果服务方不能提供，则采购单位有权终止合同签订。</w:t>
      </w:r>
    </w:p>
    <w:p>
      <w:pPr>
        <w:keepNext w:val="0"/>
        <w:keepLines w:val="0"/>
        <w:pageBreakBefore w:val="0"/>
        <w:widowControl/>
        <w:numPr>
          <w:ilvl w:val="0"/>
          <w:numId w:val="0"/>
        </w:numPr>
        <w:kinsoku/>
        <w:wordWrap/>
        <w:overflowPunct/>
        <w:topLinePunct w:val="0"/>
        <w:autoSpaceDE w:val="0"/>
        <w:autoSpaceDN w:val="0"/>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为提高物业管理服务水平，有完善的人员培训方案和管理制度。建立上岗前培训制度，物业服务各</w:t>
      </w:r>
      <w:r>
        <w:rPr>
          <w:rFonts w:hint="eastAsia" w:asciiTheme="minorEastAsia" w:hAnsiTheme="minorEastAsia" w:eastAsiaTheme="minorEastAsia" w:cstheme="minorEastAsia"/>
          <w:color w:val="auto"/>
          <w:sz w:val="24"/>
          <w:szCs w:val="24"/>
          <w:highlight w:val="none"/>
          <w:lang w:val="en-US" w:eastAsia="zh-CN"/>
        </w:rPr>
        <w:t>类</w:t>
      </w:r>
      <w:r>
        <w:rPr>
          <w:rFonts w:hint="eastAsia" w:asciiTheme="minorEastAsia" w:hAnsiTheme="minorEastAsia" w:eastAsiaTheme="minorEastAsia" w:cstheme="minorEastAsia"/>
          <w:color w:val="auto"/>
          <w:sz w:val="24"/>
          <w:szCs w:val="24"/>
          <w:highlight w:val="none"/>
        </w:rPr>
        <w:t>人员上岗前必须进行培训</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并</w:t>
      </w:r>
      <w:r>
        <w:rPr>
          <w:rFonts w:hint="eastAsia" w:asciiTheme="minorEastAsia" w:hAnsiTheme="minorEastAsia" w:eastAsiaTheme="minorEastAsia" w:cstheme="minorEastAsia"/>
          <w:color w:val="auto"/>
          <w:sz w:val="24"/>
          <w:szCs w:val="24"/>
          <w:highlight w:val="none"/>
        </w:rPr>
        <w:t>通过考试方式，经投标人同意准许上岗。所有管理服务人员在服务期间按岗位要求进行定期培训。</w:t>
      </w:r>
    </w:p>
    <w:p>
      <w:pPr>
        <w:pStyle w:val="5"/>
        <w:pageBreakBefore w:val="0"/>
        <w:kinsoku/>
        <w:wordWrap/>
        <w:overflowPunct/>
        <w:topLinePunct w:val="0"/>
        <w:bidi w:val="0"/>
        <w:spacing w:line="360" w:lineRule="auto"/>
        <w:ind w:left="0" w:leftChars="0" w:firstLine="480" w:firstLineChars="200"/>
        <w:textAlignment w:val="auto"/>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4.</w:t>
      </w:r>
      <w:r>
        <w:rPr>
          <w:rFonts w:hint="eastAsia" w:asciiTheme="minorEastAsia" w:hAnsiTheme="minorEastAsia" w:eastAsiaTheme="minorEastAsia" w:cstheme="minorEastAsia"/>
          <w:b w:val="0"/>
          <w:bCs w:val="0"/>
          <w:color w:val="auto"/>
          <w:sz w:val="24"/>
          <w:szCs w:val="24"/>
          <w:highlight w:val="none"/>
        </w:rPr>
        <w:t>项目经理、业务主管及员工如需更换,须经招标方同意，项目主管需提前一个月、安保提前</w:t>
      </w:r>
      <w:r>
        <w:rPr>
          <w:rFonts w:hint="eastAsia" w:asciiTheme="minorEastAsia" w:hAnsiTheme="minorEastAsia" w:eastAsiaTheme="minorEastAsia" w:cstheme="minorEastAsia"/>
          <w:b w:val="0"/>
          <w:bCs w:val="0"/>
          <w:color w:val="auto"/>
          <w:sz w:val="24"/>
          <w:szCs w:val="24"/>
          <w:highlight w:val="none"/>
          <w:lang w:val="en-US" w:eastAsia="zh-CN"/>
        </w:rPr>
        <w:t>20</w:t>
      </w:r>
      <w:r>
        <w:rPr>
          <w:rFonts w:hint="eastAsia" w:asciiTheme="minorEastAsia" w:hAnsiTheme="minorEastAsia" w:eastAsiaTheme="minorEastAsia" w:cstheme="minorEastAsia"/>
          <w:b w:val="0"/>
          <w:bCs w:val="0"/>
          <w:color w:val="auto"/>
          <w:sz w:val="24"/>
          <w:szCs w:val="24"/>
          <w:highlight w:val="none"/>
        </w:rPr>
        <w:t>天告知</w:t>
      </w:r>
      <w:r>
        <w:rPr>
          <w:rFonts w:hint="eastAsia" w:asciiTheme="minorEastAsia" w:hAnsiTheme="minorEastAsia" w:eastAsiaTheme="minorEastAsia" w:cstheme="minorEastAsia"/>
          <w:b w:val="0"/>
          <w:bCs w:val="0"/>
          <w:color w:val="auto"/>
          <w:sz w:val="24"/>
          <w:szCs w:val="24"/>
          <w:highlight w:val="none"/>
          <w:lang w:eastAsia="zh-CN"/>
        </w:rPr>
        <w:t>采购方</w:t>
      </w:r>
      <w:r>
        <w:rPr>
          <w:rFonts w:hint="eastAsia" w:asciiTheme="minorEastAsia" w:hAnsiTheme="minorEastAsia" w:eastAsiaTheme="minorEastAsia" w:cstheme="minorEastAsia"/>
          <w:b w:val="0"/>
          <w:bCs w:val="0"/>
          <w:color w:val="auto"/>
          <w:sz w:val="24"/>
          <w:szCs w:val="24"/>
          <w:highlight w:val="none"/>
        </w:rPr>
        <w:t>并得到同意后才能更换，按要求及时补充相应人员，提前做好交接班。对</w:t>
      </w:r>
      <w:r>
        <w:rPr>
          <w:rFonts w:hint="eastAsia" w:asciiTheme="minorEastAsia" w:hAnsiTheme="minorEastAsia" w:eastAsiaTheme="minorEastAsia" w:cstheme="minorEastAsia"/>
          <w:b w:val="0"/>
          <w:bCs w:val="0"/>
          <w:color w:val="auto"/>
          <w:sz w:val="24"/>
          <w:szCs w:val="24"/>
          <w:highlight w:val="none"/>
          <w:lang w:eastAsia="zh-CN"/>
        </w:rPr>
        <w:t>采购方</w:t>
      </w:r>
      <w:r>
        <w:rPr>
          <w:rFonts w:hint="eastAsia" w:asciiTheme="minorEastAsia" w:hAnsiTheme="minorEastAsia" w:eastAsiaTheme="minorEastAsia" w:cstheme="minorEastAsia"/>
          <w:b w:val="0"/>
          <w:bCs w:val="0"/>
          <w:color w:val="auto"/>
          <w:sz w:val="24"/>
          <w:szCs w:val="24"/>
          <w:highlight w:val="none"/>
        </w:rPr>
        <w:t>认为无能力、工作失职或不合适人员，应立即更换。以确保</w:t>
      </w:r>
      <w:r>
        <w:rPr>
          <w:rFonts w:hint="eastAsia" w:asciiTheme="minorEastAsia" w:hAnsiTheme="minorEastAsia" w:eastAsiaTheme="minorEastAsia" w:cstheme="minorEastAsia"/>
          <w:b w:val="0"/>
          <w:bCs w:val="0"/>
          <w:color w:val="auto"/>
          <w:sz w:val="24"/>
          <w:szCs w:val="24"/>
          <w:highlight w:val="none"/>
          <w:lang w:val="en-US" w:eastAsia="zh-CN"/>
        </w:rPr>
        <w:t>服务人员相对</w:t>
      </w:r>
      <w:r>
        <w:rPr>
          <w:rFonts w:hint="eastAsia" w:asciiTheme="minorEastAsia" w:hAnsiTheme="minorEastAsia" w:eastAsiaTheme="minorEastAsia" w:cstheme="minorEastAsia"/>
          <w:b w:val="0"/>
          <w:bCs w:val="0"/>
          <w:color w:val="auto"/>
          <w:sz w:val="24"/>
          <w:szCs w:val="24"/>
          <w:highlight w:val="none"/>
        </w:rPr>
        <w:t>稳定性</w:t>
      </w:r>
      <w:r>
        <w:rPr>
          <w:rFonts w:hint="eastAsia" w:asciiTheme="minorEastAsia" w:hAnsiTheme="minorEastAsia" w:eastAsiaTheme="minorEastAsia" w:cstheme="minorEastAsia"/>
          <w:b w:val="0"/>
          <w:bCs w:val="0"/>
          <w:color w:val="auto"/>
          <w:sz w:val="24"/>
          <w:szCs w:val="24"/>
          <w:highlight w:val="none"/>
          <w:lang w:eastAsia="zh-CN"/>
        </w:rPr>
        <w:t>。</w:t>
      </w:r>
    </w:p>
    <w:p>
      <w:pPr>
        <w:pStyle w:val="128"/>
        <w:pageBreakBefore w:val="0"/>
        <w:kinsoku/>
        <w:wordWrap/>
        <w:overflowPunct/>
        <w:topLinePunct w:val="0"/>
        <w:bidi w:val="0"/>
        <w:adjustRightInd w:val="0"/>
        <w:snapToGrid w:val="0"/>
        <w:spacing w:before="0" w:beforeLines="0" w:afterAutospacing="0" w:line="360" w:lineRule="auto"/>
        <w:ind w:left="0" w:leftChars="0" w:firstLine="482"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b/>
          <w:bCs/>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按国家和当地政府有关劳动法规、条例，向</w:t>
      </w:r>
      <w:r>
        <w:rPr>
          <w:rFonts w:hint="eastAsia" w:asciiTheme="minorEastAsia" w:hAnsiTheme="minorEastAsia" w:eastAsiaTheme="minorEastAsia" w:cstheme="minorEastAsia"/>
          <w:color w:val="auto"/>
          <w:sz w:val="24"/>
          <w:szCs w:val="24"/>
          <w:highlight w:val="none"/>
          <w:lang w:eastAsia="zh-CN"/>
        </w:rPr>
        <w:t>保安</w:t>
      </w:r>
      <w:r>
        <w:rPr>
          <w:rFonts w:hint="eastAsia" w:asciiTheme="minorEastAsia" w:hAnsiTheme="minorEastAsia" w:eastAsiaTheme="minorEastAsia" w:cstheme="minorEastAsia"/>
          <w:color w:val="auto"/>
          <w:sz w:val="24"/>
          <w:szCs w:val="24"/>
          <w:highlight w:val="none"/>
        </w:rPr>
        <w:t>服务人员提供相应工种的劳动工资、加班工资、劳动保护等待遇。工资</w:t>
      </w:r>
      <w:r>
        <w:rPr>
          <w:rFonts w:hint="eastAsia" w:asciiTheme="minorEastAsia" w:hAnsiTheme="minorEastAsia" w:eastAsiaTheme="minorEastAsia" w:cstheme="minorEastAsia"/>
          <w:color w:val="auto"/>
          <w:sz w:val="24"/>
          <w:szCs w:val="24"/>
          <w:highlight w:val="none"/>
          <w:lang w:eastAsia="zh-CN"/>
        </w:rPr>
        <w:t>不得低于杭州市社会最低工资标准</w:t>
      </w:r>
      <w:r>
        <w:rPr>
          <w:rFonts w:hint="eastAsia" w:asciiTheme="minorEastAsia" w:hAnsiTheme="minorEastAsia" w:eastAsiaTheme="minorEastAsia" w:cstheme="minorEastAsia"/>
          <w:color w:val="auto"/>
          <w:sz w:val="24"/>
          <w:szCs w:val="24"/>
          <w:highlight w:val="none"/>
        </w:rPr>
        <w:t>。</w:t>
      </w:r>
      <w:r>
        <w:rPr>
          <w:rFonts w:hint="eastAsia" w:ascii="宋体" w:hAnsi="宋体" w:eastAsia="宋体" w:cs="宋体"/>
          <w:kern w:val="2"/>
          <w:sz w:val="24"/>
          <w:szCs w:val="24"/>
          <w:highlight w:val="none"/>
          <w:lang w:val="en-US" w:eastAsia="zh-CN" w:bidi="ar-SA"/>
        </w:rPr>
        <w:t>按国家劳动和社会保障部门规定按时、足额为服务人员缴纳包括但不仅限于员工养老保险、医疗保险、失业、工伤、生育保险等各项社会保</w:t>
      </w:r>
      <w:r>
        <w:rPr>
          <w:rFonts w:hint="eastAsia" w:ascii="宋体" w:hAnsi="宋体" w:cs="宋体"/>
          <w:kern w:val="2"/>
          <w:sz w:val="24"/>
          <w:szCs w:val="24"/>
          <w:highlight w:val="none"/>
          <w:lang w:val="en-US" w:eastAsia="zh-CN" w:bidi="ar-SA"/>
        </w:rPr>
        <w:t>险</w:t>
      </w:r>
      <w:r>
        <w:rPr>
          <w:rFonts w:hint="eastAsia" w:ascii="宋体" w:hAnsi="宋体" w:eastAsia="宋体" w:cs="宋体"/>
          <w:kern w:val="2"/>
          <w:sz w:val="24"/>
          <w:szCs w:val="24"/>
          <w:highlight w:val="none"/>
          <w:lang w:val="en-US" w:eastAsia="zh-CN" w:bidi="ar-SA"/>
        </w:rPr>
        <w:t>。</w:t>
      </w:r>
    </w:p>
    <w:p>
      <w:pPr>
        <w:pStyle w:val="128"/>
        <w:pageBreakBefore w:val="0"/>
        <w:kinsoku/>
        <w:wordWrap/>
        <w:overflowPunct/>
        <w:topLinePunct w:val="0"/>
        <w:bidi w:val="0"/>
        <w:adjustRightInd w:val="0"/>
        <w:snapToGrid w:val="0"/>
        <w:spacing w:before="0" w:beforeLines="0" w:afterAutospacing="0" w:line="360" w:lineRule="auto"/>
        <w:ind w:left="0" w:lef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eastAsia="zh-CN" w:bidi="ar-SA"/>
        </w:rPr>
        <w:t>6.</w:t>
      </w:r>
      <w:r>
        <w:rPr>
          <w:rFonts w:hint="eastAsia" w:asciiTheme="minorEastAsia" w:hAnsiTheme="minorEastAsia" w:eastAsiaTheme="minorEastAsia" w:cstheme="minorEastAsia"/>
          <w:color w:val="auto"/>
          <w:sz w:val="24"/>
          <w:szCs w:val="24"/>
          <w:highlight w:val="none"/>
        </w:rPr>
        <w:t>为保证服务人员的技能素质</w:t>
      </w:r>
      <w:r>
        <w:rPr>
          <w:rFonts w:hint="default" w:asciiTheme="minorEastAsia" w:hAnsiTheme="minorEastAsia" w:eastAsiaTheme="minorEastAsia" w:cstheme="minorEastAsia"/>
          <w:color w:val="auto"/>
          <w:sz w:val="24"/>
          <w:szCs w:val="24"/>
          <w:highlight w:val="none"/>
        </w:rPr>
        <w:t>和</w:t>
      </w:r>
      <w:r>
        <w:rPr>
          <w:rFonts w:hint="eastAsia" w:asciiTheme="minorEastAsia" w:hAnsiTheme="minorEastAsia" w:eastAsiaTheme="minorEastAsia" w:cstheme="minorEastAsia"/>
          <w:color w:val="auto"/>
          <w:sz w:val="24"/>
          <w:szCs w:val="24"/>
          <w:highlight w:val="none"/>
        </w:rPr>
        <w:t>队伍的相对稳定，</w:t>
      </w:r>
      <w:r>
        <w:rPr>
          <w:rFonts w:hint="default" w:asciiTheme="minorEastAsia" w:hAnsiTheme="minorEastAsia" w:eastAsiaTheme="minorEastAsia" w:cstheme="minorEastAsia"/>
          <w:color w:val="auto"/>
          <w:sz w:val="24"/>
          <w:szCs w:val="24"/>
          <w:highlight w:val="none"/>
        </w:rPr>
        <w:t>投标人</w:t>
      </w:r>
      <w:r>
        <w:rPr>
          <w:rFonts w:hint="eastAsia" w:asciiTheme="minorEastAsia" w:hAnsiTheme="minorEastAsia" w:eastAsiaTheme="minorEastAsia" w:cstheme="minorEastAsia"/>
          <w:color w:val="auto"/>
          <w:sz w:val="24"/>
          <w:szCs w:val="24"/>
          <w:highlight w:val="none"/>
        </w:rPr>
        <w:t>应建立</w:t>
      </w:r>
      <w:r>
        <w:rPr>
          <w:rFonts w:hint="default" w:asciiTheme="minorEastAsia" w:hAnsiTheme="minorEastAsia" w:eastAsiaTheme="minorEastAsia" w:cstheme="minorEastAsia"/>
          <w:color w:val="auto"/>
          <w:sz w:val="24"/>
          <w:szCs w:val="24"/>
          <w:highlight w:val="none"/>
        </w:rPr>
        <w:t>实际、有效的人员稳定性管理机制，以</w:t>
      </w:r>
      <w:r>
        <w:rPr>
          <w:rFonts w:hint="eastAsia" w:asciiTheme="minorEastAsia" w:hAnsiTheme="minorEastAsia" w:eastAsiaTheme="minorEastAsia" w:cstheme="minorEastAsia"/>
          <w:color w:val="auto"/>
          <w:sz w:val="24"/>
          <w:szCs w:val="24"/>
          <w:highlight w:val="none"/>
        </w:rPr>
        <w:t>提高员工对公司和甲方单位的忠诚度。</w:t>
      </w:r>
    </w:p>
    <w:p>
      <w:pPr>
        <w:keepNext w:val="0"/>
        <w:keepLines w:val="0"/>
        <w:pageBreakBefore w:val="0"/>
        <w:kinsoku/>
        <w:wordWrap/>
        <w:overflowPunct/>
        <w:topLinePunct w:val="0"/>
        <w:bidi w:val="0"/>
        <w:adjustRightInd w:val="0"/>
        <w:snapToGrid/>
        <w:spacing w:line="360" w:lineRule="auto"/>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default" w:asciiTheme="minorEastAsia" w:hAnsiTheme="minorEastAsia" w:eastAsiaTheme="minorEastAsia" w:cstheme="minorEastAsia"/>
          <w:color w:val="auto"/>
          <w:sz w:val="24"/>
          <w:szCs w:val="24"/>
          <w:highlight w:val="none"/>
          <w:lang w:eastAsia="zh-CN"/>
        </w:rPr>
        <w:t>7</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突发事件处理</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每年组织不少于1次的突发事件应急演习，并按照要求制订突发事件应急预</w:t>
      </w:r>
      <w:r>
        <w:rPr>
          <w:rFonts w:hint="eastAsia" w:asciiTheme="minorEastAsia" w:hAnsiTheme="minorEastAsia" w:eastAsiaTheme="minorEastAsia" w:cstheme="minorEastAsia"/>
          <w:color w:val="auto"/>
          <w:sz w:val="24"/>
          <w:szCs w:val="24"/>
          <w:highlight w:val="none"/>
          <w:lang w:eastAsia="zh-CN"/>
        </w:rPr>
        <w:t>案。</w:t>
      </w:r>
      <w:r>
        <w:rPr>
          <w:rFonts w:hint="eastAsia" w:asciiTheme="minorEastAsia" w:hAnsiTheme="minorEastAsia" w:eastAsiaTheme="minorEastAsia" w:cstheme="minorEastAsia"/>
          <w:color w:val="auto"/>
          <w:sz w:val="24"/>
          <w:szCs w:val="24"/>
          <w:highlight w:val="none"/>
        </w:rPr>
        <w:t>安保人员必须按规定实行岗位警戒，根据不同突发事件的现场情况进行应变处理。在有关部门到达现场前，确保人身安全，减少财产损失，并全力协助处理相关事宜。定期检查各楼层固定位置悬挂疏散示意图及引导标识标牌，如发现破损及时报修。当发生台风、暴雨、雪灾等灾害性天气及其他突发事件时，对设备机房、停车场、露天设施进行检查和加固。</w:t>
      </w:r>
    </w:p>
    <w:p>
      <w:pPr>
        <w:pageBreakBefore w:val="0"/>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color w:val="auto"/>
          <w:kern w:val="0"/>
          <w:sz w:val="24"/>
          <w:szCs w:val="24"/>
          <w:highlight w:val="none"/>
        </w:rPr>
      </w:pPr>
      <w:r>
        <w:rPr>
          <w:rFonts w:hint="default" w:asciiTheme="minorEastAsia" w:hAnsiTheme="minorEastAsia" w:eastAsiaTheme="minorEastAsia" w:cstheme="minorEastAsia"/>
          <w:color w:val="auto"/>
          <w:sz w:val="24"/>
          <w:szCs w:val="24"/>
          <w:highlight w:val="none"/>
          <w:lang w:eastAsia="zh-CN"/>
        </w:rPr>
        <w:t>8</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中标方应承诺在合同期内，为承包区域内提供</w:t>
      </w:r>
      <w:r>
        <w:rPr>
          <w:rFonts w:hint="eastAsia" w:asciiTheme="minorEastAsia" w:hAnsiTheme="minorEastAsia" w:eastAsiaTheme="minorEastAsia" w:cstheme="minorEastAsia"/>
          <w:color w:val="auto"/>
          <w:sz w:val="24"/>
          <w:szCs w:val="24"/>
          <w:highlight w:val="none"/>
          <w:lang w:val="en-US" w:eastAsia="zh-CN"/>
        </w:rPr>
        <w:t>安保</w:t>
      </w:r>
      <w:r>
        <w:rPr>
          <w:rFonts w:hint="eastAsia" w:asciiTheme="minorEastAsia" w:hAnsiTheme="minorEastAsia" w:eastAsiaTheme="minorEastAsia" w:cstheme="minorEastAsia"/>
          <w:color w:val="auto"/>
          <w:sz w:val="24"/>
          <w:szCs w:val="24"/>
          <w:highlight w:val="none"/>
        </w:rPr>
        <w:t>相关服务中所引起</w:t>
      </w:r>
      <w:r>
        <w:rPr>
          <w:rFonts w:hint="eastAsia" w:asciiTheme="minorEastAsia" w:hAnsiTheme="minorEastAsia" w:eastAsiaTheme="minorEastAsia" w:cstheme="minorEastAsia"/>
          <w:color w:val="auto"/>
          <w:kern w:val="0"/>
          <w:sz w:val="24"/>
          <w:szCs w:val="24"/>
          <w:highlight w:val="none"/>
        </w:rPr>
        <w:t>劳动争议、工伤事故和意外伤害，以及由此带来的一切风险均由中标方自行全权负责，相关费用由中标方自行承担。</w:t>
      </w:r>
    </w:p>
    <w:p>
      <w:pPr>
        <w:pStyle w:val="5"/>
        <w:pageBreakBefore w:val="0"/>
        <w:kinsoku/>
        <w:wordWrap/>
        <w:overflowPunct/>
        <w:topLinePunct w:val="0"/>
        <w:bidi w:val="0"/>
        <w:spacing w:line="360" w:lineRule="auto"/>
        <w:ind w:left="0" w:leftChars="0" w:firstLine="480" w:firstLineChars="200"/>
        <w:textAlignment w:val="auto"/>
        <w:rPr>
          <w:rFonts w:hint="eastAsia" w:asciiTheme="minorEastAsia" w:hAnsiTheme="minorEastAsia" w:eastAsiaTheme="minorEastAsia" w:cstheme="minorEastAsia"/>
          <w:b w:val="0"/>
          <w:bCs w:val="0"/>
          <w:color w:val="auto"/>
          <w:sz w:val="24"/>
          <w:szCs w:val="24"/>
          <w:highlight w:val="none"/>
          <w:lang w:val="en-US" w:eastAsia="zh-CN"/>
        </w:rPr>
      </w:pPr>
      <w:r>
        <w:rPr>
          <w:rFonts w:hint="default" w:asciiTheme="minorEastAsia" w:hAnsiTheme="minorEastAsia" w:eastAsiaTheme="minorEastAsia" w:cstheme="minorEastAsia"/>
          <w:b w:val="0"/>
          <w:bCs w:val="0"/>
          <w:color w:val="auto"/>
          <w:kern w:val="0"/>
          <w:sz w:val="24"/>
          <w:szCs w:val="24"/>
          <w:highlight w:val="none"/>
          <w:lang w:eastAsia="zh-CN"/>
        </w:rPr>
        <w:t>9</w:t>
      </w:r>
      <w:r>
        <w:rPr>
          <w:rFonts w:hint="eastAsia" w:asciiTheme="minorEastAsia" w:hAnsiTheme="minorEastAsia" w:eastAsiaTheme="minorEastAsia" w:cstheme="minorEastAsia"/>
          <w:b w:val="0"/>
          <w:bCs w:val="0"/>
          <w:color w:val="auto"/>
          <w:kern w:val="0"/>
          <w:sz w:val="24"/>
          <w:szCs w:val="24"/>
          <w:highlight w:val="none"/>
          <w:lang w:val="en-US" w:eastAsia="zh-CN"/>
        </w:rPr>
        <w:t>.</w:t>
      </w:r>
      <w:r>
        <w:rPr>
          <w:rFonts w:hint="eastAsia" w:asciiTheme="minorEastAsia" w:hAnsiTheme="minorEastAsia" w:eastAsiaTheme="minorEastAsia" w:cstheme="minorEastAsia"/>
          <w:b w:val="0"/>
          <w:bCs w:val="0"/>
          <w:color w:val="auto"/>
          <w:sz w:val="24"/>
          <w:szCs w:val="24"/>
          <w:highlight w:val="none"/>
        </w:rPr>
        <w:t>各投标人须按《杭州市物业管理条例》及其他国家有关标准和规范完成采购文件要求的物业管理工作。</w:t>
      </w:r>
    </w:p>
    <w:p>
      <w:pPr>
        <w:pageBreakBefore w:val="0"/>
        <w:tabs>
          <w:tab w:val="left" w:pos="360"/>
          <w:tab w:val="left" w:pos="1440"/>
        </w:tabs>
        <w:kinsoku/>
        <w:wordWrap/>
        <w:overflowPunct/>
        <w:topLinePunct w:val="0"/>
        <w:bidi w:val="0"/>
        <w:snapToGrid w:val="0"/>
        <w:spacing w:line="360" w:lineRule="auto"/>
        <w:ind w:firstLine="472" w:firstLineChars="197"/>
        <w:textAlignment w:val="auto"/>
        <w:rPr>
          <w:rFonts w:hint="eastAsia" w:asciiTheme="minorEastAsia" w:hAnsiTheme="minorEastAsia" w:eastAsiaTheme="minorEastAsia" w:cstheme="minorEastAsia"/>
          <w:b w:val="0"/>
          <w:bCs w:val="0"/>
          <w:color w:val="auto"/>
          <w:sz w:val="24"/>
          <w:szCs w:val="24"/>
          <w:highlight w:val="none"/>
        </w:rPr>
      </w:pPr>
      <w:r>
        <w:rPr>
          <w:rFonts w:hint="default" w:asciiTheme="minorEastAsia" w:hAnsiTheme="minorEastAsia" w:eastAsiaTheme="minorEastAsia" w:cstheme="minorEastAsia"/>
          <w:b w:val="0"/>
          <w:bCs w:val="0"/>
          <w:color w:val="auto"/>
          <w:sz w:val="24"/>
          <w:szCs w:val="24"/>
          <w:highlight w:val="none"/>
          <w:lang w:eastAsia="zh-CN"/>
        </w:rPr>
        <w:t>10</w:t>
      </w:r>
      <w:r>
        <w:rPr>
          <w:rFonts w:hint="eastAsia" w:asciiTheme="minorEastAsia" w:hAnsiTheme="minorEastAsia" w:eastAsiaTheme="minorEastAsia" w:cstheme="minorEastAsia"/>
          <w:b w:val="0"/>
          <w:bCs w:val="0"/>
          <w:color w:val="auto"/>
          <w:sz w:val="24"/>
          <w:szCs w:val="24"/>
          <w:highlight w:val="none"/>
          <w:lang w:val="en-US" w:eastAsia="zh-CN"/>
        </w:rPr>
        <w:t>.</w:t>
      </w:r>
      <w:r>
        <w:rPr>
          <w:rFonts w:hint="eastAsia" w:asciiTheme="minorEastAsia" w:hAnsiTheme="minorEastAsia" w:eastAsiaTheme="minorEastAsia" w:cstheme="minorEastAsia"/>
          <w:b w:val="0"/>
          <w:bCs w:val="0"/>
          <w:color w:val="auto"/>
          <w:sz w:val="24"/>
          <w:szCs w:val="24"/>
          <w:highlight w:val="none"/>
        </w:rPr>
        <w:t>投标人应制订具体的质量保证措施及质量保证及相关服务的承诺。</w:t>
      </w:r>
      <w:r>
        <w:rPr>
          <w:rFonts w:hint="eastAsia" w:asciiTheme="minorEastAsia" w:hAnsiTheme="minorEastAsia" w:eastAsiaTheme="minorEastAsia" w:cstheme="minorEastAsia"/>
          <w:color w:val="auto"/>
          <w:sz w:val="24"/>
          <w:szCs w:val="24"/>
          <w:highlight w:val="none"/>
        </w:rPr>
        <w:t>服务方所有的工作除应按服务方的内部流程实施外还应接受采购单位或第三方的检查。</w:t>
      </w:r>
      <w:r>
        <w:rPr>
          <w:rFonts w:hint="eastAsia" w:asciiTheme="minorEastAsia" w:hAnsiTheme="minorEastAsia" w:eastAsiaTheme="minorEastAsia" w:cstheme="minorEastAsia"/>
          <w:b w:val="0"/>
          <w:bCs w:val="0"/>
          <w:color w:val="auto"/>
          <w:sz w:val="24"/>
          <w:szCs w:val="24"/>
          <w:highlight w:val="none"/>
        </w:rPr>
        <w:t>如因服务质量未达到目标</w:t>
      </w:r>
      <w:r>
        <w:rPr>
          <w:rFonts w:hint="eastAsia" w:asciiTheme="minorEastAsia" w:hAnsiTheme="minorEastAsia" w:eastAsiaTheme="minorEastAsia" w:cstheme="minorEastAsia"/>
          <w:b w:val="0"/>
          <w:bCs w:val="0"/>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达不到采购单位</w:t>
      </w:r>
      <w:r>
        <w:rPr>
          <w:rFonts w:hint="eastAsia" w:asciiTheme="minorEastAsia" w:hAnsiTheme="minorEastAsia" w:eastAsiaTheme="minorEastAsia" w:cstheme="minorEastAsia"/>
          <w:color w:val="auto"/>
          <w:sz w:val="24"/>
          <w:szCs w:val="24"/>
          <w:highlight w:val="none"/>
          <w:lang w:val="en-US" w:eastAsia="zh-CN"/>
        </w:rPr>
        <w:t>的</w:t>
      </w:r>
      <w:r>
        <w:rPr>
          <w:rFonts w:hint="eastAsia" w:asciiTheme="minorEastAsia" w:hAnsiTheme="minorEastAsia" w:eastAsiaTheme="minorEastAsia" w:cstheme="minorEastAsia"/>
          <w:color w:val="auto"/>
          <w:sz w:val="24"/>
          <w:szCs w:val="24"/>
          <w:highlight w:val="none"/>
        </w:rPr>
        <w:t>要求及各项服务承诺，</w:t>
      </w:r>
      <w:r>
        <w:rPr>
          <w:rFonts w:hint="eastAsia" w:asciiTheme="minorEastAsia" w:hAnsiTheme="minorEastAsia" w:eastAsiaTheme="minorEastAsia" w:cstheme="minorEastAsia"/>
          <w:color w:val="auto"/>
          <w:sz w:val="24"/>
          <w:szCs w:val="24"/>
          <w:highlight w:val="none"/>
          <w:lang w:val="en-US" w:eastAsia="zh-CN"/>
        </w:rPr>
        <w:t>服务方</w:t>
      </w:r>
      <w:r>
        <w:rPr>
          <w:rFonts w:hint="eastAsia" w:asciiTheme="minorEastAsia" w:hAnsiTheme="minorEastAsia" w:eastAsiaTheme="minorEastAsia" w:cstheme="minorEastAsia"/>
          <w:b w:val="0"/>
          <w:bCs w:val="0"/>
          <w:color w:val="auto"/>
          <w:sz w:val="24"/>
          <w:szCs w:val="24"/>
          <w:highlight w:val="none"/>
        </w:rPr>
        <w:t>应承担责任和经济赔偿</w:t>
      </w:r>
      <w:r>
        <w:rPr>
          <w:rFonts w:hint="eastAsia" w:asciiTheme="minorEastAsia" w:hAnsiTheme="minorEastAsia" w:eastAsiaTheme="minorEastAsia" w:cstheme="minorEastAsia"/>
          <w:b w:val="0"/>
          <w:bCs w:val="0"/>
          <w:color w:val="auto"/>
          <w:sz w:val="24"/>
          <w:szCs w:val="24"/>
          <w:highlight w:val="none"/>
          <w:lang w:eastAsia="zh-CN"/>
        </w:rPr>
        <w:t>，</w:t>
      </w:r>
      <w:r>
        <w:rPr>
          <w:rFonts w:hint="eastAsia" w:asciiTheme="minorEastAsia" w:hAnsiTheme="minorEastAsia" w:eastAsiaTheme="minorEastAsia" w:cstheme="minorEastAsia"/>
          <w:b w:val="0"/>
          <w:bCs w:val="0"/>
          <w:color w:val="auto"/>
          <w:sz w:val="24"/>
          <w:szCs w:val="24"/>
          <w:highlight w:val="none"/>
          <w:lang w:val="en-US" w:eastAsia="zh-CN"/>
        </w:rPr>
        <w:t>且</w:t>
      </w:r>
      <w:r>
        <w:rPr>
          <w:rFonts w:hint="eastAsia" w:asciiTheme="minorEastAsia" w:hAnsiTheme="minorEastAsia" w:eastAsiaTheme="minorEastAsia" w:cstheme="minorEastAsia"/>
          <w:color w:val="auto"/>
          <w:sz w:val="24"/>
          <w:szCs w:val="24"/>
          <w:highlight w:val="none"/>
        </w:rPr>
        <w:t>采购单位有权要求其整改，直至扣款或终止合同。</w:t>
      </w:r>
      <w:r>
        <w:rPr>
          <w:rFonts w:hint="eastAsia" w:asciiTheme="minorEastAsia" w:hAnsiTheme="minorEastAsia" w:eastAsiaTheme="minorEastAsia" w:cstheme="minorEastAsia"/>
          <w:b w:val="0"/>
          <w:bCs w:val="0"/>
          <w:color w:val="auto"/>
          <w:sz w:val="24"/>
          <w:szCs w:val="24"/>
          <w:highlight w:val="none"/>
        </w:rPr>
        <w:t>在维保范围项目，</w:t>
      </w:r>
      <w:r>
        <w:rPr>
          <w:rFonts w:hint="eastAsia" w:asciiTheme="minorEastAsia" w:hAnsiTheme="minorEastAsia" w:eastAsiaTheme="minorEastAsia" w:cstheme="minorEastAsia"/>
          <w:b w:val="0"/>
          <w:bCs w:val="0"/>
          <w:color w:val="auto"/>
          <w:sz w:val="24"/>
          <w:szCs w:val="24"/>
          <w:highlight w:val="none"/>
          <w:lang w:val="en-US" w:eastAsia="zh-CN"/>
        </w:rPr>
        <w:t>服务方</w:t>
      </w:r>
      <w:r>
        <w:rPr>
          <w:rFonts w:hint="eastAsia" w:asciiTheme="minorEastAsia" w:hAnsiTheme="minorEastAsia" w:eastAsiaTheme="minorEastAsia" w:cstheme="minorEastAsia"/>
          <w:b w:val="0"/>
          <w:bCs w:val="0"/>
          <w:color w:val="auto"/>
          <w:sz w:val="24"/>
          <w:szCs w:val="24"/>
          <w:highlight w:val="none"/>
        </w:rPr>
        <w:t>无任何理由拒绝保养维修。</w:t>
      </w:r>
    </w:p>
    <w:p>
      <w:pPr>
        <w:pageBreakBefore w:val="0"/>
        <w:widowControl/>
        <w:kinsoku/>
        <w:wordWrap/>
        <w:overflowPunct/>
        <w:topLinePunct w:val="0"/>
        <w:autoSpaceDE w:val="0"/>
        <w:autoSpaceDN w:val="0"/>
        <w:bidi w:val="0"/>
        <w:snapToGrid/>
        <w:spacing w:line="360" w:lineRule="auto"/>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lang w:val="en-US" w:eastAsia="zh-CN"/>
        </w:rPr>
        <w:t xml:space="preserve">    </w:t>
      </w:r>
      <w:r>
        <w:rPr>
          <w:rFonts w:hint="eastAsia" w:asciiTheme="minorEastAsia" w:hAnsiTheme="minorEastAsia" w:eastAsiaTheme="minorEastAsia" w:cstheme="minorEastAsia"/>
          <w:b/>
          <w:bCs/>
          <w:color w:val="auto"/>
          <w:sz w:val="24"/>
          <w:szCs w:val="24"/>
          <w:highlight w:val="none"/>
          <w:lang w:eastAsia="zh-CN"/>
        </w:rPr>
        <w:t>六</w:t>
      </w:r>
      <w:r>
        <w:rPr>
          <w:rFonts w:hint="eastAsia" w:asciiTheme="minorEastAsia" w:hAnsiTheme="minorEastAsia" w:eastAsiaTheme="minorEastAsia" w:cstheme="minorEastAsia"/>
          <w:b/>
          <w:bCs/>
          <w:color w:val="auto"/>
          <w:sz w:val="24"/>
          <w:szCs w:val="24"/>
          <w:highlight w:val="none"/>
        </w:rPr>
        <w:t>、管理服务应达到的各项指标</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1.安保人员上岗培训率达到100%；</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2.治安案件发生率为0；</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3.火灾责任事故、刑事案件率为0；</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4.包干卫生、安保器械清洁率达100%；</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5.消防、安防设备设施完好率100%；</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6.设备完好率100%；</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7.智能化系统运行正常率100%；</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w:t>
      </w:r>
      <w:r>
        <w:rPr>
          <w:rFonts w:hint="eastAsia" w:asciiTheme="minorEastAsia" w:hAnsiTheme="minorEastAsia" w:eastAsiaTheme="minorEastAsia" w:cstheme="minorEastAsia"/>
          <w:color w:val="auto"/>
          <w:sz w:val="24"/>
          <w:szCs w:val="24"/>
          <w:highlight w:val="none"/>
        </w:rPr>
        <w:t>服务有效投诉少于1%，处理率100%；</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服务满意率9</w:t>
      </w:r>
      <w:r>
        <w:rPr>
          <w:rFonts w:hint="eastAsia" w:ascii="宋体" w:hAnsi="宋体" w:eastAsia="宋体" w:cs="宋体"/>
          <w:sz w:val="24"/>
          <w:szCs w:val="24"/>
          <w:lang w:val="en-US" w:eastAsia="zh-CN"/>
        </w:rPr>
        <w:t>5</w:t>
      </w:r>
      <w:r>
        <w:rPr>
          <w:rFonts w:hint="eastAsia" w:ascii="宋体" w:hAnsi="宋体" w:eastAsia="宋体" w:cs="宋体"/>
          <w:sz w:val="24"/>
          <w:szCs w:val="24"/>
        </w:rPr>
        <w:t>%</w:t>
      </w:r>
      <w:r>
        <w:rPr>
          <w:rFonts w:hint="eastAsia" w:ascii="宋体" w:hAnsi="宋体" w:eastAsia="宋体" w:cs="宋体"/>
          <w:sz w:val="24"/>
          <w:szCs w:val="24"/>
          <w:lang w:eastAsia="zh-CN"/>
        </w:rPr>
        <w:t>以上</w:t>
      </w:r>
      <w:r>
        <w:rPr>
          <w:rFonts w:hint="eastAsia" w:ascii="宋体" w:hAnsi="宋体" w:eastAsia="宋体" w:cs="宋体"/>
          <w:sz w:val="24"/>
          <w:szCs w:val="24"/>
        </w:rPr>
        <w:t>。</w:t>
      </w:r>
    </w:p>
    <w:p>
      <w:pPr>
        <w:pageBreakBefore w:val="0"/>
        <w:widowControl w:val="0"/>
        <w:kinsoku/>
        <w:wordWrap/>
        <w:overflowPunct/>
        <w:topLinePunct w:val="0"/>
        <w:autoSpaceDE/>
        <w:autoSpaceDN/>
        <w:bidi w:val="0"/>
        <w:snapToGrid/>
        <w:spacing w:line="360" w:lineRule="auto"/>
        <w:ind w:firstLine="482" w:firstLineChars="200"/>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eastAsia="zh-CN"/>
        </w:rPr>
        <w:t>七</w:t>
      </w:r>
      <w:r>
        <w:rPr>
          <w:rFonts w:hint="eastAsia" w:asciiTheme="minorEastAsia" w:hAnsiTheme="minorEastAsia" w:eastAsiaTheme="minorEastAsia" w:cstheme="minorEastAsia"/>
          <w:b/>
          <w:bCs/>
          <w:color w:val="auto"/>
          <w:sz w:val="24"/>
          <w:szCs w:val="24"/>
          <w:highlight w:val="none"/>
        </w:rPr>
        <w:t>、管理服务费用及财务管理要求</w:t>
      </w:r>
    </w:p>
    <w:p>
      <w:pPr>
        <w:pStyle w:val="5"/>
        <w:pageBreakBefore w:val="0"/>
        <w:widowControl w:val="0"/>
        <w:kinsoku/>
        <w:wordWrap/>
        <w:overflowPunct/>
        <w:topLinePunct w:val="0"/>
        <w:autoSpaceDE/>
        <w:autoSpaceDN/>
        <w:bidi w:val="0"/>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lang w:val="en-US" w:eastAsia="zh-CN"/>
        </w:rPr>
        <w:t>1.</w:t>
      </w:r>
      <w:r>
        <w:rPr>
          <w:rFonts w:hint="eastAsia" w:asciiTheme="minorEastAsia" w:hAnsiTheme="minorEastAsia" w:eastAsiaTheme="minorEastAsia" w:cstheme="minorEastAsia"/>
          <w:b w:val="0"/>
          <w:bCs w:val="0"/>
          <w:color w:val="auto"/>
          <w:sz w:val="24"/>
          <w:szCs w:val="24"/>
          <w:highlight w:val="none"/>
        </w:rPr>
        <w:t>本项目采用总价合同，</w:t>
      </w:r>
      <w:r>
        <w:rPr>
          <w:rFonts w:hint="eastAsia" w:asciiTheme="minorEastAsia" w:hAnsiTheme="minorEastAsia" w:eastAsiaTheme="minorEastAsia" w:cstheme="minorEastAsia"/>
          <w:b w:val="0"/>
          <w:bCs w:val="0"/>
          <w:color w:val="auto"/>
          <w:sz w:val="24"/>
          <w:szCs w:val="24"/>
          <w:highlight w:val="none"/>
          <w:lang w:eastAsia="zh-CN"/>
        </w:rPr>
        <w:t>安保</w:t>
      </w:r>
      <w:r>
        <w:rPr>
          <w:rFonts w:hint="eastAsia" w:asciiTheme="minorEastAsia" w:hAnsiTheme="minorEastAsia" w:eastAsiaTheme="minorEastAsia" w:cstheme="minorEastAsia"/>
          <w:b w:val="0"/>
          <w:bCs w:val="0"/>
          <w:color w:val="auto"/>
          <w:sz w:val="24"/>
          <w:szCs w:val="24"/>
          <w:highlight w:val="none"/>
        </w:rPr>
        <w:t>管理服务费用及结算方式以签订的合同为准，中标（成交）供应商的投标报价是履行合同的最终价格，报价应包括完成合同所涉及的全部内容，以及中标后中标供应商因本项目合同履行产生的税金、人工、管理、合理利润等一切成本及费用，成交后不允许擅自改变服务内容、质量标准、期限与追加项目预算。</w:t>
      </w:r>
    </w:p>
    <w:p>
      <w:pPr>
        <w:pageBreakBefore w:val="0"/>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服务方需承担</w:t>
      </w:r>
      <w:r>
        <w:rPr>
          <w:rFonts w:hint="eastAsia" w:asciiTheme="minorEastAsia" w:hAnsiTheme="minorEastAsia" w:eastAsiaTheme="minorEastAsia" w:cstheme="minorEastAsia"/>
          <w:color w:val="auto"/>
          <w:sz w:val="24"/>
          <w:szCs w:val="24"/>
          <w:highlight w:val="none"/>
          <w:lang w:val="en-US" w:eastAsia="zh-CN"/>
        </w:rPr>
        <w:t>保安人员的标准制服。</w:t>
      </w:r>
      <w:r>
        <w:rPr>
          <w:rFonts w:hint="eastAsia" w:ascii="宋体" w:hAnsi="宋体" w:eastAsia="宋体" w:cs="宋体"/>
          <w:color w:val="auto"/>
          <w:sz w:val="24"/>
          <w:szCs w:val="24"/>
          <w:highlight w:val="none"/>
        </w:rPr>
        <w:t>保安员按照《保安员装备配备与管理要求》配置的器材和装备由采购单位提供，并按规定佩戴或放置。如有人为损毁或遗失，由保安服务供应商照价赔偿</w:t>
      </w:r>
      <w:r>
        <w:rPr>
          <w:rFonts w:hint="eastAsia" w:asciiTheme="minorEastAsia" w:hAnsiTheme="minorEastAsia" w:eastAsiaTheme="minorEastAsia" w:cstheme="minorEastAsia"/>
          <w:color w:val="auto"/>
          <w:sz w:val="24"/>
          <w:szCs w:val="24"/>
          <w:highlight w:val="none"/>
        </w:rPr>
        <w:t>。</w:t>
      </w:r>
    </w:p>
    <w:p>
      <w:pPr>
        <w:pageBreakBefore w:val="0"/>
        <w:tabs>
          <w:tab w:val="left" w:pos="840"/>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宋体" w:hAnsi="宋体" w:eastAsia="宋体" w:cs="宋体"/>
          <w:sz w:val="24"/>
          <w:szCs w:val="24"/>
          <w:lang w:val="en-US" w:eastAsia="zh-CN"/>
        </w:rPr>
        <w:t>3.</w:t>
      </w:r>
      <w:r>
        <w:rPr>
          <w:rFonts w:hint="eastAsia" w:ascii="宋体" w:hAnsi="宋体" w:eastAsia="宋体" w:cs="宋体"/>
          <w:sz w:val="24"/>
          <w:szCs w:val="24"/>
        </w:rPr>
        <w:t>人员缺岗的，</w:t>
      </w:r>
      <w:r>
        <w:rPr>
          <w:rFonts w:hint="eastAsia" w:asciiTheme="minorEastAsia" w:hAnsiTheme="minorEastAsia" w:eastAsiaTheme="minorEastAsia" w:cstheme="minorEastAsia"/>
          <w:color w:val="auto"/>
          <w:sz w:val="24"/>
          <w:szCs w:val="24"/>
          <w:highlight w:val="none"/>
        </w:rPr>
        <w:t>按其岗位平均每月人员开支的标准扣除服务费。扣除的费用可用于其他顶岗人员的加班或奖励费用</w:t>
      </w:r>
      <w:r>
        <w:rPr>
          <w:rFonts w:hint="eastAsia" w:ascii="宋体" w:hAnsi="宋体" w:eastAsia="宋体" w:cs="宋体"/>
          <w:color w:val="auto"/>
          <w:sz w:val="24"/>
          <w:szCs w:val="24"/>
          <w:highlight w:val="none"/>
        </w:rPr>
        <w:t>（不得违反劳动法的有关规定）</w:t>
      </w:r>
      <w:r>
        <w:rPr>
          <w:rFonts w:hint="eastAsia" w:asciiTheme="minorEastAsia" w:hAnsiTheme="minorEastAsia" w:eastAsiaTheme="minorEastAsia" w:cstheme="minorEastAsia"/>
          <w:color w:val="auto"/>
          <w:sz w:val="24"/>
          <w:szCs w:val="24"/>
          <w:highlight w:val="none"/>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因采购单位原因，需要保安人员加班的，加班工资按有关法律的规定执行，并另行签订补充合同予以确认。</w:t>
      </w:r>
    </w:p>
    <w:p>
      <w:pPr>
        <w:pageBreakBefore w:val="0"/>
        <w:kinsoku/>
        <w:wordWrap/>
        <w:overflowPunct/>
        <w:topLinePunct w:val="0"/>
        <w:bidi w:val="0"/>
        <w:spacing w:line="360" w:lineRule="auto"/>
        <w:ind w:firstLine="482" w:firstLineChars="200"/>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eastAsia="zh-CN"/>
        </w:rPr>
        <w:t>八</w:t>
      </w:r>
      <w:r>
        <w:rPr>
          <w:rFonts w:hint="eastAsia" w:asciiTheme="minorEastAsia" w:hAnsiTheme="minorEastAsia" w:eastAsiaTheme="minorEastAsia" w:cstheme="minorEastAsia"/>
          <w:b/>
          <w:bCs/>
          <w:color w:val="auto"/>
          <w:sz w:val="24"/>
          <w:szCs w:val="24"/>
          <w:highlight w:val="none"/>
        </w:rPr>
        <w:t>、服务期限：</w:t>
      </w:r>
      <w:r>
        <w:rPr>
          <w:rFonts w:hint="eastAsia" w:asciiTheme="minorEastAsia" w:hAnsiTheme="minorEastAsia" w:eastAsiaTheme="minorEastAsia" w:cstheme="minorEastAsia"/>
          <w:color w:val="auto"/>
          <w:sz w:val="24"/>
          <w:szCs w:val="24"/>
          <w:highlight w:val="none"/>
        </w:rPr>
        <w:t>自合同签订起</w:t>
      </w:r>
      <w:r>
        <w:rPr>
          <w:rFonts w:hint="eastAsia" w:asciiTheme="minorEastAsia" w:hAnsiTheme="minorEastAsia" w:eastAsiaTheme="minorEastAsia" w:cstheme="minorEastAsia"/>
          <w:color w:val="auto"/>
          <w:sz w:val="24"/>
          <w:szCs w:val="24"/>
          <w:highlight w:val="none"/>
          <w:lang w:val="en-US" w:eastAsia="zh-CN"/>
        </w:rPr>
        <w:t>1年</w:t>
      </w:r>
      <w:r>
        <w:rPr>
          <w:rFonts w:hint="eastAsia" w:asciiTheme="minorEastAsia" w:hAnsiTheme="minorEastAsia" w:eastAsiaTheme="minorEastAsia" w:cstheme="minorEastAsia"/>
          <w:color w:val="auto"/>
          <w:sz w:val="24"/>
          <w:szCs w:val="24"/>
          <w:highlight w:val="none"/>
        </w:rPr>
        <w:t>。</w:t>
      </w:r>
    </w:p>
    <w:p>
      <w:pPr>
        <w:pageBreakBefore w:val="0"/>
        <w:kinsoku/>
        <w:wordWrap/>
        <w:overflowPunct/>
        <w:topLinePunct w:val="0"/>
        <w:bidi w:val="0"/>
        <w:spacing w:line="360" w:lineRule="auto"/>
        <w:textAlignment w:val="auto"/>
        <w:outlineLvl w:val="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   九</w:t>
      </w:r>
      <w:r>
        <w:rPr>
          <w:rFonts w:hint="eastAsia" w:asciiTheme="minorEastAsia" w:hAnsiTheme="minorEastAsia" w:eastAsiaTheme="minorEastAsia" w:cstheme="minorEastAsia"/>
          <w:b/>
          <w:bCs/>
          <w:color w:val="auto"/>
          <w:sz w:val="24"/>
          <w:szCs w:val="24"/>
          <w:highlight w:val="none"/>
        </w:rPr>
        <w:t>、</w:t>
      </w:r>
      <w:r>
        <w:rPr>
          <w:rFonts w:hint="eastAsia" w:asciiTheme="minorEastAsia" w:hAnsiTheme="minorEastAsia" w:eastAsiaTheme="minorEastAsia" w:cstheme="minorEastAsia"/>
          <w:b/>
          <w:color w:val="auto"/>
          <w:sz w:val="24"/>
          <w:szCs w:val="24"/>
          <w:highlight w:val="none"/>
        </w:rPr>
        <w:t>采购人提供的相关场地</w:t>
      </w:r>
    </w:p>
    <w:p>
      <w:pPr>
        <w:pageBreakBefore w:val="0"/>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采购单位免费提供</w:t>
      </w:r>
      <w:r>
        <w:rPr>
          <w:rFonts w:hint="eastAsia" w:asciiTheme="minorEastAsia" w:hAnsiTheme="minorEastAsia" w:eastAsiaTheme="minorEastAsia" w:cstheme="minorEastAsia"/>
          <w:color w:val="auto"/>
          <w:sz w:val="24"/>
          <w:szCs w:val="24"/>
          <w:highlight w:val="none"/>
          <w:lang w:eastAsia="zh-CN"/>
        </w:rPr>
        <w:t>安保</w:t>
      </w:r>
      <w:r>
        <w:rPr>
          <w:rFonts w:hint="eastAsia" w:asciiTheme="minorEastAsia" w:hAnsiTheme="minorEastAsia" w:eastAsiaTheme="minorEastAsia" w:cstheme="minorEastAsia"/>
          <w:color w:val="auto"/>
          <w:sz w:val="24"/>
          <w:szCs w:val="24"/>
          <w:highlight w:val="none"/>
        </w:rPr>
        <w:t>管理的办公场地，但办公用品（指办公桌、电脑、打印机、对讲机、文件柜等自身使用的等公用品）由投标人自行解决。</w:t>
      </w:r>
    </w:p>
    <w:p>
      <w:pPr>
        <w:pageBreakBefore w:val="0"/>
        <w:kinsoku/>
        <w:wordWrap/>
        <w:overflowPunct/>
        <w:topLinePunct w:val="0"/>
        <w:bidi w:val="0"/>
        <w:spacing w:line="360" w:lineRule="auto"/>
        <w:textAlignment w:val="auto"/>
        <w:rPr>
          <w:rFonts w:hint="eastAsia" w:asciiTheme="minorEastAsia" w:hAnsiTheme="minorEastAsia" w:eastAsiaTheme="minorEastAsia" w:cstheme="minorEastAsia"/>
          <w:b/>
          <w:snapToGrid w:val="0"/>
          <w:color w:val="auto"/>
          <w:kern w:val="0"/>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b/>
          <w:snapToGrid w:val="0"/>
          <w:color w:val="auto"/>
          <w:kern w:val="0"/>
          <w:sz w:val="24"/>
          <w:szCs w:val="24"/>
          <w:highlight w:val="none"/>
          <w:lang w:eastAsia="zh-CN"/>
        </w:rPr>
        <w:t>十</w:t>
      </w:r>
      <w:r>
        <w:rPr>
          <w:rFonts w:hint="eastAsia" w:asciiTheme="minorEastAsia" w:hAnsiTheme="minorEastAsia" w:eastAsiaTheme="minorEastAsia" w:cstheme="minorEastAsia"/>
          <w:b/>
          <w:snapToGrid w:val="0"/>
          <w:color w:val="auto"/>
          <w:kern w:val="0"/>
          <w:sz w:val="24"/>
          <w:szCs w:val="24"/>
          <w:highlight w:val="none"/>
        </w:rPr>
        <w:t>、检查与考核</w:t>
      </w:r>
    </w:p>
    <w:p>
      <w:pPr>
        <w:pageBreakBefore w:val="0"/>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val="en-US" w:eastAsia="zh-CN"/>
        </w:rPr>
        <w:t>1.</w:t>
      </w:r>
      <w:r>
        <w:rPr>
          <w:rFonts w:hint="eastAsia" w:asciiTheme="minorEastAsia" w:hAnsiTheme="minorEastAsia" w:eastAsiaTheme="minorEastAsia" w:cstheme="minorEastAsia"/>
          <w:color w:val="auto"/>
          <w:kern w:val="0"/>
          <w:sz w:val="24"/>
          <w:szCs w:val="24"/>
          <w:highlight w:val="none"/>
          <w:lang w:eastAsia="zh-CN"/>
        </w:rPr>
        <w:t>安保</w:t>
      </w:r>
      <w:r>
        <w:rPr>
          <w:rFonts w:hint="eastAsia" w:asciiTheme="minorEastAsia" w:hAnsiTheme="minorEastAsia" w:eastAsiaTheme="minorEastAsia" w:cstheme="minorEastAsia"/>
          <w:color w:val="auto"/>
          <w:kern w:val="0"/>
          <w:sz w:val="24"/>
          <w:szCs w:val="24"/>
          <w:highlight w:val="none"/>
        </w:rPr>
        <w:t>管理监督由</w:t>
      </w:r>
      <w:r>
        <w:rPr>
          <w:rFonts w:hint="eastAsia" w:asciiTheme="minorEastAsia" w:hAnsiTheme="minorEastAsia" w:eastAsiaTheme="minorEastAsia" w:cstheme="minorEastAsia"/>
          <w:color w:val="auto"/>
          <w:kern w:val="0"/>
          <w:sz w:val="24"/>
          <w:szCs w:val="24"/>
          <w:highlight w:val="none"/>
          <w:lang w:val="en-US" w:eastAsia="zh-CN"/>
        </w:rPr>
        <w:t>学校后勤</w:t>
      </w:r>
      <w:r>
        <w:rPr>
          <w:rFonts w:hint="eastAsia" w:asciiTheme="minorEastAsia" w:hAnsiTheme="minorEastAsia" w:eastAsiaTheme="minorEastAsia" w:cstheme="minorEastAsia"/>
          <w:color w:val="auto"/>
          <w:kern w:val="0"/>
          <w:sz w:val="24"/>
          <w:szCs w:val="24"/>
          <w:highlight w:val="none"/>
        </w:rPr>
        <w:t>全面负责，</w:t>
      </w:r>
      <w:r>
        <w:rPr>
          <w:rFonts w:hint="eastAsia" w:asciiTheme="minorEastAsia" w:hAnsiTheme="minorEastAsia" w:eastAsiaTheme="minorEastAsia" w:cstheme="minorEastAsia"/>
          <w:color w:val="auto"/>
          <w:kern w:val="0"/>
          <w:sz w:val="24"/>
          <w:szCs w:val="24"/>
          <w:highlight w:val="none"/>
          <w:lang w:val="en-US" w:eastAsia="zh-CN"/>
        </w:rPr>
        <w:t>服务方</w:t>
      </w:r>
      <w:r>
        <w:rPr>
          <w:rFonts w:hint="eastAsia" w:asciiTheme="minorEastAsia" w:hAnsiTheme="minorEastAsia" w:eastAsiaTheme="minorEastAsia" w:cstheme="minorEastAsia"/>
          <w:color w:val="auto"/>
          <w:kern w:val="0"/>
          <w:sz w:val="24"/>
          <w:szCs w:val="24"/>
          <w:highlight w:val="none"/>
        </w:rPr>
        <w:t>应无条件接受采购人定期或不定期</w:t>
      </w:r>
      <w:r>
        <w:rPr>
          <w:rFonts w:hint="eastAsia" w:asciiTheme="minorEastAsia" w:hAnsiTheme="minorEastAsia" w:eastAsiaTheme="minorEastAsia" w:cstheme="minorEastAsia"/>
          <w:color w:val="auto"/>
          <w:sz w:val="24"/>
          <w:szCs w:val="24"/>
          <w:highlight w:val="none"/>
        </w:rPr>
        <w:t>质量监控</w:t>
      </w:r>
      <w:r>
        <w:rPr>
          <w:rFonts w:hint="eastAsia" w:asciiTheme="minorEastAsia" w:hAnsiTheme="minorEastAsia" w:eastAsiaTheme="minorEastAsia" w:cstheme="minorEastAsia"/>
          <w:color w:val="auto"/>
          <w:sz w:val="24"/>
          <w:szCs w:val="24"/>
          <w:highlight w:val="none"/>
          <w:lang w:val="en-US" w:eastAsia="zh-CN"/>
        </w:rPr>
        <w:t>和</w:t>
      </w:r>
      <w:r>
        <w:rPr>
          <w:rFonts w:hint="eastAsia" w:asciiTheme="minorEastAsia" w:hAnsiTheme="minorEastAsia" w:eastAsiaTheme="minorEastAsia" w:cstheme="minorEastAsia"/>
          <w:color w:val="auto"/>
          <w:kern w:val="0"/>
          <w:sz w:val="24"/>
          <w:szCs w:val="24"/>
          <w:highlight w:val="none"/>
        </w:rPr>
        <w:t>检查监督。</w:t>
      </w:r>
      <w:r>
        <w:rPr>
          <w:rFonts w:hint="eastAsia" w:asciiTheme="minorEastAsia" w:hAnsiTheme="minorEastAsia" w:eastAsiaTheme="minorEastAsia" w:cstheme="minorEastAsia"/>
          <w:color w:val="auto"/>
          <w:kern w:val="0"/>
          <w:sz w:val="24"/>
          <w:szCs w:val="24"/>
          <w:highlight w:val="none"/>
          <w:lang w:val="en-US" w:eastAsia="zh-CN"/>
        </w:rPr>
        <w:t>服务</w:t>
      </w:r>
      <w:r>
        <w:rPr>
          <w:rFonts w:hint="eastAsia" w:asciiTheme="minorEastAsia" w:hAnsiTheme="minorEastAsia" w:eastAsiaTheme="minorEastAsia" w:cstheme="minorEastAsia"/>
          <w:color w:val="auto"/>
          <w:sz w:val="24"/>
          <w:szCs w:val="24"/>
          <w:highlight w:val="none"/>
        </w:rPr>
        <w:t>方未执行合同规定任务的，或对</w:t>
      </w:r>
      <w:r>
        <w:rPr>
          <w:rFonts w:hint="eastAsia" w:asciiTheme="minorEastAsia" w:hAnsiTheme="minorEastAsia" w:eastAsiaTheme="minorEastAsia" w:cstheme="minorEastAsia"/>
          <w:color w:val="auto"/>
          <w:sz w:val="24"/>
          <w:szCs w:val="24"/>
          <w:highlight w:val="none"/>
          <w:lang w:val="en-US" w:eastAsia="zh-CN"/>
        </w:rPr>
        <w:t>采购人</w:t>
      </w:r>
      <w:r>
        <w:rPr>
          <w:rFonts w:hint="eastAsia" w:asciiTheme="minorEastAsia" w:hAnsiTheme="minorEastAsia" w:eastAsiaTheme="minorEastAsia" w:cstheme="minorEastAsia"/>
          <w:color w:val="auto"/>
          <w:sz w:val="24"/>
          <w:szCs w:val="24"/>
          <w:highlight w:val="none"/>
        </w:rPr>
        <w:t>要求整改的问题未在规定时间内完成整改的，</w:t>
      </w:r>
      <w:r>
        <w:rPr>
          <w:rFonts w:hint="eastAsia" w:asciiTheme="minorEastAsia" w:hAnsiTheme="minorEastAsia" w:eastAsiaTheme="minorEastAsia" w:cstheme="minorEastAsia"/>
          <w:color w:val="auto"/>
          <w:sz w:val="24"/>
          <w:szCs w:val="24"/>
          <w:highlight w:val="none"/>
          <w:lang w:val="en-US" w:eastAsia="zh-CN"/>
        </w:rPr>
        <w:t>采购人</w:t>
      </w:r>
      <w:r>
        <w:rPr>
          <w:rFonts w:hint="eastAsia" w:asciiTheme="minorEastAsia" w:hAnsiTheme="minorEastAsia" w:eastAsiaTheme="minorEastAsia" w:cstheme="minorEastAsia"/>
          <w:color w:val="auto"/>
          <w:sz w:val="24"/>
          <w:szCs w:val="24"/>
          <w:highlight w:val="none"/>
        </w:rPr>
        <w:t>按每人次或每项任务</w:t>
      </w:r>
      <w:r>
        <w:rPr>
          <w:rFonts w:hint="eastAsia" w:asciiTheme="minorEastAsia" w:hAnsiTheme="minorEastAsia" w:eastAsiaTheme="minorEastAsia" w:cstheme="minorEastAsia"/>
          <w:color w:val="auto"/>
          <w:sz w:val="24"/>
          <w:szCs w:val="24"/>
          <w:highlight w:val="none"/>
          <w:lang w:val="en-US" w:eastAsia="zh-CN"/>
        </w:rPr>
        <w:t>进行扣分和</w:t>
      </w:r>
      <w:r>
        <w:rPr>
          <w:rFonts w:hint="eastAsia" w:asciiTheme="minorEastAsia" w:hAnsiTheme="minorEastAsia" w:eastAsiaTheme="minorEastAsia" w:cstheme="minorEastAsia"/>
          <w:color w:val="auto"/>
          <w:sz w:val="24"/>
          <w:szCs w:val="24"/>
          <w:highlight w:val="none"/>
        </w:rPr>
        <w:t>扣减月物业管理服务费，</w:t>
      </w:r>
      <w:r>
        <w:rPr>
          <w:rFonts w:hint="eastAsia" w:asciiTheme="minorEastAsia" w:hAnsiTheme="minorEastAsia" w:eastAsiaTheme="minorEastAsia" w:cstheme="minorEastAsia"/>
          <w:color w:val="auto"/>
          <w:kern w:val="0"/>
          <w:sz w:val="24"/>
          <w:szCs w:val="24"/>
          <w:highlight w:val="none"/>
          <w:lang w:val="en-US" w:eastAsia="zh-CN"/>
        </w:rPr>
        <w:t>并</w:t>
      </w:r>
      <w:r>
        <w:rPr>
          <w:rFonts w:hint="eastAsia" w:asciiTheme="minorEastAsia" w:hAnsiTheme="minorEastAsia" w:eastAsiaTheme="minorEastAsia" w:cstheme="minorEastAsia"/>
          <w:color w:val="auto"/>
          <w:kern w:val="0"/>
          <w:sz w:val="24"/>
          <w:szCs w:val="24"/>
          <w:highlight w:val="none"/>
        </w:rPr>
        <w:t>以通知单形式告知供应商，经项目负责人签字确认</w:t>
      </w:r>
      <w:r>
        <w:rPr>
          <w:rFonts w:hint="eastAsia" w:asciiTheme="minorEastAsia" w:hAnsiTheme="minorEastAsia" w:eastAsiaTheme="minorEastAsia" w:cstheme="minorEastAsia"/>
          <w:color w:val="auto"/>
          <w:kern w:val="0"/>
          <w:sz w:val="24"/>
          <w:szCs w:val="24"/>
          <w:highlight w:val="none"/>
          <w:lang w:eastAsia="zh-CN"/>
        </w:rPr>
        <w:t>，</w:t>
      </w:r>
      <w:r>
        <w:rPr>
          <w:rFonts w:hint="eastAsia" w:asciiTheme="minorEastAsia" w:hAnsiTheme="minorEastAsia" w:eastAsiaTheme="minorEastAsia" w:cstheme="minorEastAsia"/>
          <w:color w:val="auto"/>
          <w:sz w:val="24"/>
          <w:szCs w:val="24"/>
          <w:highlight w:val="none"/>
        </w:rPr>
        <w:t>直至执行整改为止</w:t>
      </w:r>
      <w:r>
        <w:rPr>
          <w:rFonts w:hint="eastAsia" w:asciiTheme="minorEastAsia" w:hAnsiTheme="minorEastAsia" w:eastAsiaTheme="minorEastAsia" w:cstheme="minorEastAsia"/>
          <w:color w:val="auto"/>
          <w:kern w:val="0"/>
          <w:sz w:val="24"/>
          <w:szCs w:val="24"/>
          <w:highlight w:val="none"/>
        </w:rPr>
        <w:t>。</w:t>
      </w:r>
      <w:r>
        <w:rPr>
          <w:rFonts w:hint="eastAsia" w:asciiTheme="minorEastAsia" w:hAnsiTheme="minorEastAsia" w:eastAsiaTheme="minorEastAsia" w:cstheme="minorEastAsia"/>
          <w:color w:val="auto"/>
          <w:sz w:val="24"/>
          <w:szCs w:val="24"/>
          <w:highlight w:val="none"/>
        </w:rPr>
        <w:t>拒不执行或整改造成重大事故的，招标方有权解除合同。</w:t>
      </w:r>
    </w:p>
    <w:p>
      <w:pPr>
        <w:pageBreakBefore w:val="0"/>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napToGrid w:val="0"/>
          <w:color w:val="auto"/>
          <w:kern w:val="0"/>
          <w:sz w:val="24"/>
          <w:szCs w:val="24"/>
          <w:highlight w:val="none"/>
        </w:rPr>
      </w:pPr>
      <w:r>
        <w:rPr>
          <w:rFonts w:hint="eastAsia" w:asciiTheme="minorEastAsia" w:hAnsiTheme="minorEastAsia" w:eastAsiaTheme="minorEastAsia" w:cstheme="minorEastAsia"/>
          <w:snapToGrid w:val="0"/>
          <w:color w:val="auto"/>
          <w:kern w:val="0"/>
          <w:sz w:val="24"/>
          <w:szCs w:val="24"/>
          <w:highlight w:val="none"/>
          <w:lang w:val="en-US" w:eastAsia="zh-CN"/>
        </w:rPr>
        <w:t>2.</w:t>
      </w:r>
      <w:r>
        <w:rPr>
          <w:rFonts w:hint="eastAsia" w:asciiTheme="minorEastAsia" w:hAnsiTheme="minorEastAsia" w:eastAsiaTheme="minorEastAsia" w:cstheme="minorEastAsia"/>
          <w:snapToGrid w:val="0"/>
          <w:color w:val="auto"/>
          <w:kern w:val="0"/>
          <w:sz w:val="24"/>
          <w:szCs w:val="24"/>
          <w:highlight w:val="none"/>
        </w:rPr>
        <w:t>采购人不定期抽查</w:t>
      </w:r>
      <w:r>
        <w:rPr>
          <w:rFonts w:hint="eastAsia" w:asciiTheme="minorEastAsia" w:hAnsiTheme="minorEastAsia" w:eastAsiaTheme="minorEastAsia" w:cstheme="minorEastAsia"/>
          <w:snapToGrid w:val="0"/>
          <w:color w:val="auto"/>
          <w:kern w:val="0"/>
          <w:sz w:val="24"/>
          <w:szCs w:val="24"/>
          <w:highlight w:val="none"/>
          <w:lang w:val="en-US" w:eastAsia="zh-CN"/>
        </w:rPr>
        <w:t>服务方</w:t>
      </w:r>
      <w:r>
        <w:rPr>
          <w:rFonts w:hint="eastAsia" w:asciiTheme="minorEastAsia" w:hAnsiTheme="minorEastAsia" w:eastAsiaTheme="minorEastAsia" w:cstheme="minorEastAsia"/>
          <w:snapToGrid w:val="0"/>
          <w:color w:val="auto"/>
          <w:kern w:val="0"/>
          <w:sz w:val="24"/>
          <w:szCs w:val="24"/>
          <w:highlight w:val="none"/>
        </w:rPr>
        <w:t>投入的人员数量，如果抽查时发现</w:t>
      </w:r>
      <w:r>
        <w:rPr>
          <w:rFonts w:hint="eastAsia" w:asciiTheme="minorEastAsia" w:hAnsiTheme="minorEastAsia" w:eastAsiaTheme="minorEastAsia" w:cstheme="minorEastAsia"/>
          <w:snapToGrid w:val="0"/>
          <w:color w:val="auto"/>
          <w:kern w:val="0"/>
          <w:sz w:val="24"/>
          <w:szCs w:val="24"/>
          <w:highlight w:val="none"/>
          <w:lang w:val="en-US" w:eastAsia="zh-CN"/>
        </w:rPr>
        <w:t>服务方</w:t>
      </w:r>
      <w:r>
        <w:rPr>
          <w:rFonts w:hint="eastAsia" w:asciiTheme="minorEastAsia" w:hAnsiTheme="minorEastAsia" w:eastAsiaTheme="minorEastAsia" w:cstheme="minorEastAsia"/>
          <w:snapToGrid w:val="0"/>
          <w:color w:val="auto"/>
          <w:kern w:val="0"/>
          <w:sz w:val="24"/>
          <w:szCs w:val="24"/>
          <w:highlight w:val="none"/>
        </w:rPr>
        <w:t>投入的人员数量少于合同约定的数量，采购人可以按缺少人数每人1000元/次累计扣除当月合同款。</w:t>
      </w:r>
      <w:r>
        <w:rPr>
          <w:rFonts w:hint="eastAsia" w:asciiTheme="minorEastAsia" w:hAnsiTheme="minorEastAsia" w:eastAsiaTheme="minorEastAsia" w:cstheme="minorEastAsia"/>
          <w:snapToGrid w:val="0"/>
          <w:color w:val="auto"/>
          <w:kern w:val="0"/>
          <w:sz w:val="24"/>
          <w:szCs w:val="24"/>
          <w:highlight w:val="none"/>
          <w:lang w:val="en-US" w:eastAsia="zh-CN"/>
        </w:rPr>
        <w:t>服务方</w:t>
      </w:r>
      <w:r>
        <w:rPr>
          <w:rFonts w:hint="eastAsia" w:asciiTheme="minorEastAsia" w:hAnsiTheme="minorEastAsia" w:eastAsiaTheme="minorEastAsia" w:cstheme="minorEastAsia"/>
          <w:snapToGrid w:val="0"/>
          <w:color w:val="auto"/>
          <w:kern w:val="0"/>
          <w:sz w:val="24"/>
          <w:szCs w:val="24"/>
          <w:highlight w:val="none"/>
        </w:rPr>
        <w:t>聘用的工作人员必须符合劳动部门有关用工规定，并经</w:t>
      </w:r>
      <w:r>
        <w:rPr>
          <w:rFonts w:hint="eastAsia" w:asciiTheme="minorEastAsia" w:hAnsiTheme="minorEastAsia" w:eastAsiaTheme="minorEastAsia" w:cstheme="minorEastAsia"/>
          <w:snapToGrid w:val="0"/>
          <w:color w:val="auto"/>
          <w:kern w:val="0"/>
          <w:sz w:val="24"/>
          <w:szCs w:val="24"/>
          <w:highlight w:val="none"/>
          <w:lang w:val="en-US" w:eastAsia="zh-CN"/>
        </w:rPr>
        <w:t>服务方</w:t>
      </w:r>
      <w:r>
        <w:rPr>
          <w:rFonts w:hint="eastAsia" w:asciiTheme="minorEastAsia" w:hAnsiTheme="minorEastAsia" w:eastAsiaTheme="minorEastAsia" w:cstheme="minorEastAsia"/>
          <w:snapToGrid w:val="0"/>
          <w:color w:val="auto"/>
          <w:kern w:val="0"/>
          <w:sz w:val="24"/>
          <w:szCs w:val="24"/>
          <w:highlight w:val="none"/>
        </w:rPr>
        <w:t>相关专业考核合格后持证上岗，采购人有权进行审核，该类费用开支由</w:t>
      </w:r>
      <w:r>
        <w:rPr>
          <w:rFonts w:hint="eastAsia" w:asciiTheme="minorEastAsia" w:hAnsiTheme="minorEastAsia" w:eastAsiaTheme="minorEastAsia" w:cstheme="minorEastAsia"/>
          <w:snapToGrid w:val="0"/>
          <w:color w:val="auto"/>
          <w:kern w:val="0"/>
          <w:sz w:val="24"/>
          <w:szCs w:val="24"/>
          <w:highlight w:val="none"/>
          <w:lang w:val="en-US" w:eastAsia="zh-CN"/>
        </w:rPr>
        <w:t>服务方</w:t>
      </w:r>
      <w:r>
        <w:rPr>
          <w:rFonts w:hint="eastAsia" w:asciiTheme="minorEastAsia" w:hAnsiTheme="minorEastAsia" w:eastAsiaTheme="minorEastAsia" w:cstheme="minorEastAsia"/>
          <w:snapToGrid w:val="0"/>
          <w:color w:val="auto"/>
          <w:kern w:val="0"/>
          <w:sz w:val="24"/>
          <w:szCs w:val="24"/>
          <w:highlight w:val="none"/>
        </w:rPr>
        <w:t>负担。</w:t>
      </w:r>
    </w:p>
    <w:p>
      <w:pPr>
        <w:pageBreakBefore w:val="0"/>
        <w:numPr>
          <w:ilvl w:val="0"/>
          <w:numId w:val="0"/>
        </w:numPr>
        <w:kinsoku/>
        <w:wordWrap/>
        <w:overflowPunct/>
        <w:topLinePunct w:val="0"/>
        <w:bidi w:val="0"/>
        <w:spacing w:line="360" w:lineRule="auto"/>
        <w:ind w:firstLine="482" w:firstLineChars="200"/>
        <w:textAlignment w:val="auto"/>
        <w:rPr>
          <w:rFonts w:hint="eastAsia" w:asciiTheme="minorEastAsia" w:hAnsiTheme="minorEastAsia" w:eastAsiaTheme="minorEastAsia" w:cstheme="minorEastAsia"/>
          <w:b/>
          <w:bCs/>
          <w:color w:val="auto"/>
          <w:kern w:val="0"/>
          <w:sz w:val="24"/>
          <w:szCs w:val="24"/>
          <w:highlight w:val="none"/>
        </w:rPr>
      </w:pPr>
      <w:r>
        <w:rPr>
          <w:rFonts w:hint="eastAsia" w:asciiTheme="minorEastAsia" w:hAnsiTheme="minorEastAsia" w:eastAsiaTheme="minorEastAsia" w:cstheme="minorEastAsia"/>
          <w:b/>
          <w:bCs/>
          <w:color w:val="auto"/>
          <w:kern w:val="0"/>
          <w:sz w:val="24"/>
          <w:szCs w:val="24"/>
          <w:highlight w:val="none"/>
          <w:lang w:eastAsia="zh-CN"/>
        </w:rPr>
        <w:t>十一、</w:t>
      </w:r>
      <w:r>
        <w:rPr>
          <w:rFonts w:hint="eastAsia" w:asciiTheme="minorEastAsia" w:hAnsiTheme="minorEastAsia" w:eastAsiaTheme="minorEastAsia" w:cstheme="minorEastAsia"/>
          <w:b/>
          <w:bCs/>
          <w:color w:val="auto"/>
          <w:kern w:val="0"/>
          <w:sz w:val="24"/>
          <w:szCs w:val="24"/>
          <w:highlight w:val="none"/>
        </w:rPr>
        <w:t>特别说明</w:t>
      </w:r>
    </w:p>
    <w:p>
      <w:pPr>
        <w:pageBreakBefore w:val="0"/>
        <w:numPr>
          <w:ilvl w:val="0"/>
          <w:numId w:val="0"/>
        </w:numPr>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供应商可自行进行了解项目相关信息及查阅有关资料，不另行统一安排，未进行了解项目相关信息所造成的一切风险由投标方自行承担。采购单位联系人及联系电话详见招标公告。</w:t>
      </w:r>
    </w:p>
    <w:p>
      <w:pPr>
        <w:numPr>
          <w:ilvl w:val="0"/>
          <w:numId w:val="0"/>
        </w:numPr>
        <w:rPr>
          <w:rFonts w:ascii="楷体" w:hAnsi="楷体" w:eastAsia="楷体"/>
          <w:b/>
          <w:bCs/>
          <w:color w:val="auto"/>
          <w:sz w:val="28"/>
          <w:szCs w:val="28"/>
          <w:highlight w:val="none"/>
        </w:rPr>
      </w:pPr>
    </w:p>
    <w:p>
      <w:pPr>
        <w:pStyle w:val="4"/>
        <w:rPr>
          <w:rFonts w:ascii="楷体" w:hAnsi="楷体" w:eastAsia="楷体"/>
          <w:b/>
          <w:bCs/>
          <w:color w:val="auto"/>
          <w:sz w:val="28"/>
          <w:szCs w:val="28"/>
          <w:highlight w:val="none"/>
        </w:rPr>
      </w:pPr>
    </w:p>
    <w:p>
      <w:pPr>
        <w:rPr>
          <w:rFonts w:ascii="楷体" w:hAnsi="楷体" w:eastAsia="楷体"/>
          <w:b/>
          <w:bCs/>
          <w:color w:val="auto"/>
          <w:sz w:val="28"/>
          <w:szCs w:val="28"/>
          <w:highlight w:val="none"/>
        </w:rPr>
      </w:pPr>
    </w:p>
    <w:p>
      <w:pPr>
        <w:pStyle w:val="4"/>
        <w:rPr>
          <w:rFonts w:ascii="楷体" w:hAnsi="楷体" w:eastAsia="楷体"/>
          <w:b/>
          <w:bCs/>
          <w:color w:val="auto"/>
          <w:sz w:val="28"/>
          <w:szCs w:val="28"/>
          <w:highlight w:val="none"/>
        </w:rPr>
      </w:pPr>
    </w:p>
    <w:p>
      <w:pPr>
        <w:rPr>
          <w:rFonts w:ascii="楷体" w:hAnsi="楷体" w:eastAsia="楷体"/>
          <w:b/>
          <w:bCs/>
          <w:color w:val="auto"/>
          <w:sz w:val="28"/>
          <w:szCs w:val="28"/>
          <w:highlight w:val="none"/>
        </w:rPr>
      </w:pPr>
    </w:p>
    <w:p>
      <w:pPr>
        <w:pStyle w:val="4"/>
        <w:rPr>
          <w:rFonts w:ascii="楷体" w:hAnsi="楷体" w:eastAsia="楷体"/>
          <w:b/>
          <w:bCs/>
          <w:color w:val="auto"/>
          <w:sz w:val="28"/>
          <w:szCs w:val="28"/>
          <w:highlight w:val="none"/>
        </w:rPr>
      </w:pPr>
    </w:p>
    <w:p>
      <w:pPr>
        <w:rPr>
          <w:rFonts w:ascii="楷体" w:hAnsi="楷体" w:eastAsia="楷体"/>
          <w:b/>
          <w:bCs/>
          <w:color w:val="auto"/>
          <w:sz w:val="28"/>
          <w:szCs w:val="28"/>
          <w:highlight w:val="none"/>
        </w:rPr>
      </w:pPr>
    </w:p>
    <w:p>
      <w:pPr>
        <w:pStyle w:val="4"/>
        <w:rPr>
          <w:rFonts w:ascii="楷体" w:hAnsi="楷体" w:eastAsia="楷体"/>
          <w:b/>
          <w:bCs/>
          <w:color w:val="auto"/>
          <w:sz w:val="28"/>
          <w:szCs w:val="28"/>
          <w:highlight w:val="none"/>
        </w:rPr>
      </w:pPr>
    </w:p>
    <w:p>
      <w:pPr>
        <w:rPr>
          <w:rFonts w:ascii="楷体" w:hAnsi="楷体" w:eastAsia="楷体"/>
          <w:b/>
          <w:bCs/>
          <w:color w:val="auto"/>
          <w:sz w:val="28"/>
          <w:szCs w:val="28"/>
          <w:highlight w:val="none"/>
        </w:rPr>
      </w:pPr>
    </w:p>
    <w:p>
      <w:pPr>
        <w:pStyle w:val="4"/>
        <w:rPr>
          <w:rFonts w:ascii="楷体" w:hAnsi="楷体" w:eastAsia="楷体"/>
          <w:b/>
          <w:bCs/>
          <w:color w:val="auto"/>
          <w:sz w:val="28"/>
          <w:szCs w:val="28"/>
          <w:highlight w:val="none"/>
        </w:rPr>
      </w:pPr>
    </w:p>
    <w:p>
      <w:pPr>
        <w:rPr>
          <w:rFonts w:ascii="楷体" w:hAnsi="楷体" w:eastAsia="楷体"/>
          <w:b/>
          <w:bCs/>
          <w:color w:val="auto"/>
          <w:sz w:val="28"/>
          <w:szCs w:val="28"/>
          <w:highlight w:val="none"/>
        </w:rPr>
      </w:pPr>
    </w:p>
    <w:p>
      <w:pPr>
        <w:pStyle w:val="4"/>
        <w:rPr>
          <w:rFonts w:ascii="楷体" w:hAnsi="楷体" w:eastAsia="楷体"/>
          <w:b/>
          <w:bCs/>
          <w:color w:val="auto"/>
          <w:sz w:val="28"/>
          <w:szCs w:val="28"/>
          <w:highlight w:val="none"/>
        </w:rPr>
      </w:pPr>
    </w:p>
    <w:p>
      <w:pPr>
        <w:rPr>
          <w:rFonts w:ascii="楷体" w:hAnsi="楷体" w:eastAsia="楷体"/>
          <w:b/>
          <w:bCs/>
          <w:color w:val="auto"/>
          <w:sz w:val="28"/>
          <w:szCs w:val="28"/>
          <w:highlight w:val="none"/>
        </w:rPr>
      </w:pPr>
    </w:p>
    <w:p>
      <w:pPr>
        <w:spacing w:line="360" w:lineRule="auto"/>
        <w:jc w:val="both"/>
        <w:outlineLvl w:val="0"/>
        <w:rPr>
          <w:rFonts w:hint="eastAsia" w:ascii="宋体" w:hAnsi="宋体" w:cs="宋体"/>
          <w:b/>
          <w:color w:val="auto"/>
          <w:sz w:val="36"/>
          <w:szCs w:val="36"/>
          <w:highlight w:val="none"/>
        </w:rPr>
      </w:pPr>
    </w:p>
    <w:p>
      <w:pPr>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 xml:space="preserve">第四部分   </w:t>
      </w:r>
      <w:bookmarkStart w:id="28" w:name="_Toc184310288"/>
      <w:bookmarkEnd w:id="28"/>
      <w:bookmarkStart w:id="29" w:name="_Toc184313286"/>
      <w:bookmarkEnd w:id="29"/>
      <w:bookmarkStart w:id="30" w:name="_Toc184310327"/>
      <w:bookmarkEnd w:id="30"/>
      <w:bookmarkStart w:id="31" w:name="_Toc184312079"/>
      <w:bookmarkEnd w:id="31"/>
      <w:bookmarkStart w:id="32" w:name="_Toc184314415"/>
      <w:bookmarkEnd w:id="32"/>
      <w:bookmarkStart w:id="33" w:name="_Toc184314463"/>
      <w:bookmarkEnd w:id="33"/>
      <w:bookmarkStart w:id="34" w:name="_Toc184313294"/>
      <w:bookmarkEnd w:id="34"/>
      <w:bookmarkStart w:id="35" w:name="_Toc184310311"/>
      <w:bookmarkEnd w:id="35"/>
      <w:bookmarkStart w:id="36" w:name="_Toc184314469"/>
      <w:bookmarkEnd w:id="36"/>
      <w:bookmarkStart w:id="37" w:name="_Toc184310313"/>
      <w:bookmarkEnd w:id="37"/>
      <w:bookmarkStart w:id="38" w:name="_Toc184312132"/>
      <w:bookmarkEnd w:id="38"/>
      <w:bookmarkStart w:id="39" w:name="_Toc184310283"/>
      <w:bookmarkEnd w:id="39"/>
      <w:bookmarkStart w:id="40" w:name="_Toc184308038"/>
      <w:bookmarkEnd w:id="40"/>
      <w:bookmarkStart w:id="41" w:name="_Toc184313257"/>
      <w:bookmarkEnd w:id="41"/>
      <w:bookmarkStart w:id="42" w:name="_Toc184312082"/>
      <w:bookmarkEnd w:id="42"/>
      <w:bookmarkStart w:id="43" w:name="_Toc184310293"/>
      <w:bookmarkEnd w:id="43"/>
      <w:bookmarkStart w:id="44" w:name="_Toc184308048"/>
      <w:bookmarkEnd w:id="44"/>
      <w:bookmarkStart w:id="45" w:name="_Toc184313271"/>
      <w:bookmarkEnd w:id="45"/>
      <w:bookmarkStart w:id="46" w:name="_Toc184308075"/>
      <w:bookmarkEnd w:id="46"/>
      <w:bookmarkStart w:id="47" w:name="_Toc184312139"/>
      <w:bookmarkEnd w:id="47"/>
      <w:bookmarkStart w:id="48" w:name="_Toc184308064"/>
      <w:bookmarkEnd w:id="48"/>
      <w:bookmarkStart w:id="49" w:name="_Toc184312138"/>
      <w:bookmarkEnd w:id="49"/>
      <w:bookmarkStart w:id="50" w:name="_Toc184310304"/>
      <w:bookmarkEnd w:id="50"/>
      <w:bookmarkStart w:id="51" w:name="_Toc184314450"/>
      <w:bookmarkEnd w:id="51"/>
      <w:bookmarkStart w:id="52" w:name="_Toc184313296"/>
      <w:bookmarkEnd w:id="52"/>
      <w:bookmarkStart w:id="53" w:name="_Toc184310314"/>
      <w:bookmarkEnd w:id="53"/>
      <w:bookmarkStart w:id="54" w:name="_Toc184308106"/>
      <w:bookmarkEnd w:id="54"/>
      <w:bookmarkStart w:id="55" w:name="_Toc184313273"/>
      <w:bookmarkEnd w:id="55"/>
      <w:bookmarkStart w:id="56" w:name="_Toc184310330"/>
      <w:bookmarkEnd w:id="56"/>
      <w:bookmarkStart w:id="57" w:name="_Toc184314413"/>
      <w:bookmarkEnd w:id="57"/>
      <w:bookmarkStart w:id="58" w:name="_Toc184312095"/>
      <w:bookmarkEnd w:id="58"/>
      <w:bookmarkStart w:id="59" w:name="_Toc184313307"/>
      <w:bookmarkEnd w:id="59"/>
      <w:bookmarkStart w:id="60" w:name="_Toc184314477"/>
      <w:bookmarkEnd w:id="60"/>
      <w:bookmarkStart w:id="61" w:name="_Toc184308087"/>
      <w:bookmarkEnd w:id="61"/>
      <w:bookmarkStart w:id="62" w:name="_Toc184310305"/>
      <w:bookmarkEnd w:id="62"/>
      <w:bookmarkStart w:id="63" w:name="_Toc184314454"/>
      <w:bookmarkEnd w:id="63"/>
      <w:bookmarkStart w:id="64" w:name="_Toc184312070"/>
      <w:bookmarkEnd w:id="64"/>
      <w:bookmarkStart w:id="65" w:name="_Toc184310338"/>
      <w:bookmarkEnd w:id="65"/>
      <w:bookmarkStart w:id="66" w:name="_Toc184310344"/>
      <w:bookmarkEnd w:id="66"/>
      <w:bookmarkStart w:id="67" w:name="_Toc184314439"/>
      <w:bookmarkEnd w:id="67"/>
      <w:bookmarkStart w:id="68" w:name="_Toc184314440"/>
      <w:bookmarkEnd w:id="68"/>
      <w:bookmarkStart w:id="69" w:name="_Toc184310272"/>
      <w:bookmarkEnd w:id="69"/>
      <w:bookmarkStart w:id="70" w:name="_Toc184310300"/>
      <w:bookmarkEnd w:id="70"/>
      <w:bookmarkStart w:id="71" w:name="_Toc184314452"/>
      <w:bookmarkEnd w:id="71"/>
      <w:bookmarkStart w:id="72" w:name="_Toc184308036"/>
      <w:bookmarkEnd w:id="72"/>
      <w:bookmarkStart w:id="73" w:name="_Toc184308053"/>
      <w:bookmarkEnd w:id="73"/>
      <w:bookmarkStart w:id="74" w:name="_Toc184314437"/>
      <w:bookmarkEnd w:id="74"/>
      <w:bookmarkStart w:id="75" w:name="_Toc184313279"/>
      <w:bookmarkEnd w:id="75"/>
      <w:bookmarkStart w:id="76" w:name="_Toc184313301"/>
      <w:bookmarkEnd w:id="76"/>
      <w:bookmarkStart w:id="77" w:name="_Toc184310282"/>
      <w:bookmarkEnd w:id="77"/>
      <w:bookmarkStart w:id="78" w:name="_Toc184314465"/>
      <w:bookmarkEnd w:id="78"/>
      <w:bookmarkStart w:id="79" w:name="_Toc184310343"/>
      <w:bookmarkEnd w:id="79"/>
      <w:bookmarkStart w:id="80" w:name="_Toc184314455"/>
      <w:bookmarkEnd w:id="80"/>
      <w:bookmarkStart w:id="81" w:name="_Toc184310328"/>
      <w:bookmarkEnd w:id="81"/>
      <w:bookmarkStart w:id="82" w:name="_Toc184314434"/>
      <w:bookmarkEnd w:id="82"/>
      <w:bookmarkStart w:id="83" w:name="_Toc184308047"/>
      <w:bookmarkEnd w:id="83"/>
      <w:bookmarkStart w:id="84" w:name="_Toc184314420"/>
      <w:bookmarkEnd w:id="84"/>
      <w:bookmarkStart w:id="85" w:name="_Toc184308096"/>
      <w:bookmarkEnd w:id="85"/>
      <w:bookmarkStart w:id="86" w:name="_Toc184310279"/>
      <w:bookmarkEnd w:id="86"/>
      <w:bookmarkStart w:id="87" w:name="_Toc184310315"/>
      <w:bookmarkEnd w:id="87"/>
      <w:bookmarkStart w:id="88" w:name="_Toc184308072"/>
      <w:bookmarkEnd w:id="88"/>
      <w:bookmarkStart w:id="89" w:name="_Toc184310273"/>
      <w:bookmarkEnd w:id="89"/>
      <w:bookmarkStart w:id="90" w:name="_Toc184308107"/>
      <w:bookmarkEnd w:id="90"/>
      <w:bookmarkStart w:id="91" w:name="_Toc184312103"/>
      <w:bookmarkEnd w:id="91"/>
      <w:bookmarkStart w:id="92" w:name="_Toc184308079"/>
      <w:bookmarkEnd w:id="92"/>
      <w:bookmarkStart w:id="93" w:name="_Toc184314461"/>
      <w:bookmarkEnd w:id="93"/>
      <w:bookmarkStart w:id="94" w:name="_Toc184314417"/>
      <w:bookmarkEnd w:id="94"/>
      <w:bookmarkStart w:id="95" w:name="_Toc184312105"/>
      <w:bookmarkEnd w:id="95"/>
      <w:bookmarkStart w:id="96" w:name="_Toc184312096"/>
      <w:bookmarkEnd w:id="96"/>
      <w:bookmarkStart w:id="97" w:name="_Toc184310329"/>
      <w:bookmarkEnd w:id="97"/>
      <w:bookmarkStart w:id="98" w:name="_Toc184313269"/>
      <w:bookmarkEnd w:id="98"/>
      <w:bookmarkStart w:id="99" w:name="_Toc184310280"/>
      <w:bookmarkEnd w:id="99"/>
      <w:bookmarkStart w:id="100" w:name="_Toc184310290"/>
      <w:bookmarkEnd w:id="100"/>
      <w:bookmarkStart w:id="101" w:name="_Toc184310294"/>
      <w:bookmarkEnd w:id="101"/>
      <w:bookmarkStart w:id="102" w:name="_Toc184312092"/>
      <w:bookmarkEnd w:id="102"/>
      <w:bookmarkStart w:id="103" w:name="_Toc184312087"/>
      <w:bookmarkEnd w:id="103"/>
      <w:bookmarkStart w:id="104" w:name="_Toc184314482"/>
      <w:bookmarkEnd w:id="104"/>
      <w:bookmarkStart w:id="105" w:name="_Toc184313263"/>
      <w:bookmarkEnd w:id="105"/>
      <w:bookmarkStart w:id="106" w:name="_Toc184313267"/>
      <w:bookmarkEnd w:id="106"/>
      <w:bookmarkStart w:id="107" w:name="_Toc184308086"/>
      <w:bookmarkEnd w:id="107"/>
      <w:bookmarkStart w:id="108" w:name="_Toc184308039"/>
      <w:bookmarkEnd w:id="108"/>
      <w:bookmarkStart w:id="109" w:name="_Toc184312099"/>
      <w:bookmarkEnd w:id="109"/>
      <w:bookmarkStart w:id="110" w:name="_Toc184308091"/>
      <w:bookmarkEnd w:id="110"/>
      <w:bookmarkStart w:id="111" w:name="_Toc184312093"/>
      <w:bookmarkEnd w:id="111"/>
      <w:bookmarkStart w:id="112" w:name="_Toc184313299"/>
      <w:bookmarkEnd w:id="112"/>
      <w:bookmarkStart w:id="113" w:name="_Toc184313247"/>
      <w:bookmarkEnd w:id="113"/>
      <w:bookmarkStart w:id="114" w:name="_Toc184308078"/>
      <w:bookmarkEnd w:id="114"/>
      <w:bookmarkStart w:id="115" w:name="_Toc184314466"/>
      <w:bookmarkEnd w:id="115"/>
      <w:bookmarkStart w:id="116" w:name="_Toc184312113"/>
      <w:bookmarkEnd w:id="116"/>
      <w:bookmarkStart w:id="117" w:name="_Toc184313305"/>
      <w:bookmarkEnd w:id="117"/>
      <w:bookmarkStart w:id="118" w:name="_Toc184314441"/>
      <w:bookmarkEnd w:id="118"/>
      <w:bookmarkStart w:id="119" w:name="_Toc184312128"/>
      <w:bookmarkEnd w:id="119"/>
      <w:bookmarkStart w:id="120" w:name="_Toc184308045"/>
      <w:bookmarkEnd w:id="120"/>
      <w:bookmarkStart w:id="121" w:name="_Toc184310307"/>
      <w:bookmarkEnd w:id="121"/>
      <w:bookmarkStart w:id="122" w:name="_Toc184308070"/>
      <w:bookmarkEnd w:id="122"/>
      <w:bookmarkStart w:id="123" w:name="_Toc184312120"/>
      <w:bookmarkEnd w:id="123"/>
      <w:bookmarkStart w:id="124" w:name="_Toc184312109"/>
      <w:bookmarkEnd w:id="124"/>
      <w:bookmarkStart w:id="125" w:name="_Toc184313240"/>
      <w:bookmarkEnd w:id="125"/>
      <w:bookmarkStart w:id="126" w:name="_Toc184310326"/>
      <w:bookmarkEnd w:id="126"/>
      <w:bookmarkStart w:id="127" w:name="_Toc184314453"/>
      <w:bookmarkEnd w:id="127"/>
      <w:bookmarkStart w:id="128" w:name="_Toc184308050"/>
      <w:bookmarkEnd w:id="128"/>
      <w:bookmarkStart w:id="129" w:name="_Toc184314424"/>
      <w:bookmarkEnd w:id="129"/>
      <w:bookmarkStart w:id="130" w:name="_Toc184312117"/>
      <w:bookmarkEnd w:id="130"/>
      <w:bookmarkStart w:id="131" w:name="_Toc184310301"/>
      <w:bookmarkEnd w:id="131"/>
      <w:bookmarkStart w:id="132" w:name="_Toc184310278"/>
      <w:bookmarkEnd w:id="132"/>
      <w:bookmarkStart w:id="133" w:name="_Toc184313255"/>
      <w:bookmarkEnd w:id="133"/>
      <w:bookmarkStart w:id="134" w:name="_Toc184313292"/>
      <w:bookmarkEnd w:id="134"/>
      <w:bookmarkStart w:id="135" w:name="_Toc184308041"/>
      <w:bookmarkEnd w:id="135"/>
      <w:bookmarkStart w:id="136" w:name="_Toc184308098"/>
      <w:bookmarkEnd w:id="136"/>
      <w:bookmarkStart w:id="137" w:name="_Toc184312136"/>
      <w:bookmarkEnd w:id="137"/>
      <w:bookmarkStart w:id="138" w:name="_Toc184314446"/>
      <w:bookmarkEnd w:id="138"/>
      <w:bookmarkStart w:id="139" w:name="_Toc184308057"/>
      <w:bookmarkEnd w:id="139"/>
      <w:bookmarkStart w:id="140" w:name="_Toc184313283"/>
      <w:bookmarkEnd w:id="140"/>
      <w:bookmarkStart w:id="141" w:name="_Toc184310322"/>
      <w:bookmarkEnd w:id="141"/>
      <w:bookmarkStart w:id="142" w:name="_Toc184308043"/>
      <w:bookmarkEnd w:id="142"/>
      <w:bookmarkStart w:id="143" w:name="_Toc184313239"/>
      <w:bookmarkEnd w:id="143"/>
      <w:bookmarkStart w:id="144" w:name="_Toc184312125"/>
      <w:bookmarkEnd w:id="144"/>
      <w:bookmarkStart w:id="145" w:name="_Toc184312100"/>
      <w:bookmarkEnd w:id="145"/>
      <w:bookmarkStart w:id="146" w:name="_Toc184310291"/>
      <w:bookmarkEnd w:id="146"/>
      <w:bookmarkStart w:id="147" w:name="_Toc184310341"/>
      <w:bookmarkEnd w:id="147"/>
      <w:bookmarkStart w:id="148" w:name="_Toc184312116"/>
      <w:bookmarkEnd w:id="148"/>
      <w:bookmarkStart w:id="149" w:name="_Toc184310312"/>
      <w:bookmarkEnd w:id="149"/>
      <w:bookmarkStart w:id="150" w:name="_Toc184314410"/>
      <w:bookmarkEnd w:id="150"/>
      <w:bookmarkStart w:id="151" w:name="_Toc184313265"/>
      <w:bookmarkEnd w:id="151"/>
      <w:bookmarkStart w:id="152" w:name="_Toc184310339"/>
      <w:bookmarkEnd w:id="152"/>
      <w:bookmarkStart w:id="153" w:name="_Toc184308103"/>
      <w:bookmarkEnd w:id="153"/>
      <w:bookmarkStart w:id="154" w:name="_Toc184313259"/>
      <w:bookmarkEnd w:id="154"/>
      <w:bookmarkStart w:id="155" w:name="_Toc184313254"/>
      <w:bookmarkEnd w:id="155"/>
      <w:bookmarkStart w:id="156" w:name="_Toc184312101"/>
      <w:bookmarkEnd w:id="156"/>
      <w:bookmarkStart w:id="157" w:name="_Toc184312094"/>
      <w:bookmarkEnd w:id="157"/>
      <w:bookmarkStart w:id="158" w:name="_Toc184312081"/>
      <w:bookmarkEnd w:id="158"/>
      <w:bookmarkStart w:id="159" w:name="_Toc184308083"/>
      <w:bookmarkEnd w:id="159"/>
      <w:bookmarkStart w:id="160" w:name="_Toc184308065"/>
      <w:bookmarkEnd w:id="160"/>
      <w:bookmarkStart w:id="161" w:name="_Toc184314443"/>
      <w:bookmarkEnd w:id="161"/>
      <w:bookmarkStart w:id="162" w:name="_Toc184314471"/>
      <w:bookmarkEnd w:id="162"/>
      <w:bookmarkStart w:id="163" w:name="_Toc184310316"/>
      <w:bookmarkEnd w:id="163"/>
      <w:bookmarkStart w:id="164" w:name="_Toc184308051"/>
      <w:bookmarkEnd w:id="164"/>
      <w:bookmarkStart w:id="165" w:name="_Toc184312073"/>
      <w:bookmarkEnd w:id="165"/>
      <w:bookmarkStart w:id="166" w:name="_Toc184312131"/>
      <w:bookmarkEnd w:id="166"/>
      <w:bookmarkStart w:id="167" w:name="_Toc184312069"/>
      <w:bookmarkEnd w:id="167"/>
      <w:bookmarkStart w:id="168" w:name="_Toc184312119"/>
      <w:bookmarkEnd w:id="168"/>
      <w:bookmarkStart w:id="169" w:name="_Toc184314456"/>
      <w:bookmarkEnd w:id="169"/>
      <w:bookmarkStart w:id="170" w:name="_Toc184308092"/>
      <w:bookmarkEnd w:id="170"/>
      <w:bookmarkStart w:id="171" w:name="_Toc184312115"/>
      <w:bookmarkEnd w:id="171"/>
      <w:bookmarkStart w:id="172" w:name="_Toc184314481"/>
      <w:bookmarkEnd w:id="172"/>
      <w:bookmarkStart w:id="173" w:name="_Toc184310335"/>
      <w:bookmarkEnd w:id="173"/>
      <w:bookmarkStart w:id="174" w:name="_Toc184314444"/>
      <w:bookmarkEnd w:id="174"/>
      <w:bookmarkStart w:id="175" w:name="_Toc184314458"/>
      <w:bookmarkEnd w:id="175"/>
      <w:bookmarkStart w:id="176" w:name="_Toc184308077"/>
      <w:bookmarkEnd w:id="176"/>
      <w:bookmarkStart w:id="177" w:name="_Toc184310295"/>
      <w:bookmarkEnd w:id="177"/>
      <w:bookmarkStart w:id="178" w:name="_Toc184314431"/>
      <w:bookmarkEnd w:id="178"/>
      <w:bookmarkStart w:id="179" w:name="_Toc184312086"/>
      <w:bookmarkEnd w:id="179"/>
      <w:bookmarkStart w:id="180" w:name="_Toc184310287"/>
      <w:bookmarkEnd w:id="180"/>
      <w:bookmarkStart w:id="181" w:name="_Toc184308060"/>
      <w:bookmarkEnd w:id="181"/>
      <w:bookmarkStart w:id="182" w:name="_Toc184312074"/>
      <w:bookmarkEnd w:id="182"/>
      <w:bookmarkStart w:id="183" w:name="_Toc184314448"/>
      <w:bookmarkEnd w:id="183"/>
      <w:bookmarkStart w:id="184" w:name="_Toc184313248"/>
      <w:bookmarkEnd w:id="184"/>
      <w:bookmarkStart w:id="185" w:name="_Toc184308056"/>
      <w:bookmarkEnd w:id="185"/>
      <w:bookmarkStart w:id="186" w:name="_Toc184312104"/>
      <w:bookmarkEnd w:id="186"/>
      <w:bookmarkStart w:id="187" w:name="_Toc184308095"/>
      <w:bookmarkEnd w:id="187"/>
      <w:bookmarkStart w:id="188" w:name="_Toc184308080"/>
      <w:bookmarkEnd w:id="188"/>
      <w:bookmarkStart w:id="189" w:name="_Toc184313261"/>
      <w:bookmarkEnd w:id="189"/>
      <w:bookmarkStart w:id="190" w:name="_Toc184308100"/>
      <w:bookmarkEnd w:id="190"/>
      <w:bookmarkStart w:id="191" w:name="_Toc184313241"/>
      <w:bookmarkEnd w:id="191"/>
      <w:bookmarkStart w:id="192" w:name="_Toc184312067"/>
      <w:bookmarkEnd w:id="192"/>
      <w:bookmarkStart w:id="193" w:name="_Toc184314445"/>
      <w:bookmarkEnd w:id="193"/>
      <w:bookmarkStart w:id="194" w:name="_Toc184312071"/>
      <w:bookmarkEnd w:id="194"/>
      <w:bookmarkStart w:id="195" w:name="_Toc184314438"/>
      <w:bookmarkEnd w:id="195"/>
      <w:bookmarkStart w:id="196" w:name="_Toc184313244"/>
      <w:bookmarkEnd w:id="196"/>
      <w:bookmarkStart w:id="197" w:name="_Toc184308094"/>
      <w:bookmarkEnd w:id="197"/>
      <w:bookmarkStart w:id="198" w:name="_Toc184313262"/>
      <w:bookmarkEnd w:id="198"/>
      <w:bookmarkStart w:id="199" w:name="_Toc184314425"/>
      <w:bookmarkEnd w:id="199"/>
      <w:bookmarkStart w:id="200" w:name="_Toc184312114"/>
      <w:bookmarkEnd w:id="200"/>
      <w:bookmarkStart w:id="201" w:name="_Toc184308082"/>
      <w:bookmarkEnd w:id="201"/>
      <w:bookmarkStart w:id="202" w:name="_Toc184313242"/>
      <w:bookmarkEnd w:id="202"/>
      <w:bookmarkStart w:id="203" w:name="_Toc184308089"/>
      <w:bookmarkEnd w:id="203"/>
      <w:bookmarkStart w:id="204" w:name="_Toc184308088"/>
      <w:bookmarkEnd w:id="204"/>
      <w:bookmarkStart w:id="205" w:name="_Toc184313290"/>
      <w:bookmarkEnd w:id="205"/>
      <w:bookmarkStart w:id="206" w:name="_Toc184312130"/>
      <w:bookmarkEnd w:id="206"/>
      <w:bookmarkStart w:id="207" w:name="_Toc184314464"/>
      <w:bookmarkEnd w:id="207"/>
      <w:bookmarkStart w:id="208" w:name="_Toc184312102"/>
      <w:bookmarkEnd w:id="208"/>
      <w:bookmarkStart w:id="209" w:name="_Toc184312090"/>
      <w:bookmarkEnd w:id="209"/>
      <w:bookmarkStart w:id="210" w:name="_Toc184308071"/>
      <w:bookmarkEnd w:id="210"/>
      <w:bookmarkStart w:id="211" w:name="_Toc184314451"/>
      <w:bookmarkEnd w:id="211"/>
      <w:bookmarkStart w:id="212" w:name="_Toc184313245"/>
      <w:bookmarkEnd w:id="212"/>
      <w:bookmarkStart w:id="213" w:name="_Toc184314474"/>
      <w:bookmarkEnd w:id="213"/>
      <w:bookmarkStart w:id="214" w:name="_Toc184313253"/>
      <w:bookmarkEnd w:id="214"/>
      <w:bookmarkStart w:id="215" w:name="_Toc184314429"/>
      <w:bookmarkEnd w:id="215"/>
      <w:bookmarkStart w:id="216" w:name="_Toc184313284"/>
      <w:bookmarkEnd w:id="216"/>
      <w:bookmarkStart w:id="217" w:name="_Toc184308081"/>
      <w:bookmarkEnd w:id="217"/>
      <w:bookmarkStart w:id="218" w:name="_Toc184314467"/>
      <w:bookmarkEnd w:id="218"/>
      <w:bookmarkStart w:id="219" w:name="_Toc184313276"/>
      <w:bookmarkEnd w:id="219"/>
      <w:bookmarkStart w:id="220" w:name="_Toc184310292"/>
      <w:bookmarkEnd w:id="220"/>
      <w:bookmarkStart w:id="221" w:name="_Toc184312118"/>
      <w:bookmarkEnd w:id="221"/>
      <w:bookmarkStart w:id="222" w:name="_Toc184308069"/>
      <w:bookmarkEnd w:id="222"/>
      <w:bookmarkStart w:id="223" w:name="_Toc184313300"/>
      <w:bookmarkEnd w:id="223"/>
      <w:bookmarkStart w:id="224" w:name="_Toc184313287"/>
      <w:bookmarkEnd w:id="224"/>
      <w:bookmarkStart w:id="225" w:name="_Toc184312112"/>
      <w:bookmarkEnd w:id="225"/>
      <w:bookmarkStart w:id="226" w:name="_Toc184314476"/>
      <w:bookmarkEnd w:id="226"/>
      <w:bookmarkStart w:id="227" w:name="_Toc184314411"/>
      <w:bookmarkEnd w:id="227"/>
      <w:bookmarkStart w:id="228" w:name="_Toc184312126"/>
      <w:bookmarkEnd w:id="228"/>
      <w:bookmarkStart w:id="229" w:name="_Toc184314421"/>
      <w:bookmarkEnd w:id="229"/>
      <w:bookmarkStart w:id="230" w:name="_Toc184314433"/>
      <w:bookmarkEnd w:id="230"/>
      <w:bookmarkStart w:id="231" w:name="_Toc184314473"/>
      <w:bookmarkEnd w:id="231"/>
      <w:bookmarkStart w:id="232" w:name="_Toc184313266"/>
      <w:bookmarkEnd w:id="232"/>
      <w:bookmarkStart w:id="233" w:name="_Toc184308067"/>
      <w:bookmarkEnd w:id="233"/>
      <w:bookmarkStart w:id="234" w:name="_Toc184314459"/>
      <w:bookmarkEnd w:id="234"/>
      <w:bookmarkStart w:id="235" w:name="_Toc184314472"/>
      <w:bookmarkEnd w:id="235"/>
      <w:bookmarkStart w:id="236" w:name="_Toc184312083"/>
      <w:bookmarkEnd w:id="236"/>
      <w:bookmarkStart w:id="237" w:name="_Toc184312122"/>
      <w:bookmarkEnd w:id="237"/>
      <w:bookmarkStart w:id="238" w:name="_Toc184314468"/>
      <w:bookmarkEnd w:id="238"/>
      <w:bookmarkStart w:id="239" w:name="_Toc184308093"/>
      <w:bookmarkEnd w:id="239"/>
      <w:bookmarkStart w:id="240" w:name="_Toc184314435"/>
      <w:bookmarkEnd w:id="240"/>
      <w:bookmarkStart w:id="241" w:name="_Toc184308049"/>
      <w:bookmarkEnd w:id="241"/>
      <w:bookmarkStart w:id="242" w:name="_Toc184313298"/>
      <w:bookmarkEnd w:id="242"/>
      <w:bookmarkStart w:id="243" w:name="_Toc184313304"/>
      <w:bookmarkEnd w:id="243"/>
      <w:bookmarkStart w:id="244" w:name="_Toc184312072"/>
      <w:bookmarkEnd w:id="244"/>
      <w:bookmarkStart w:id="245" w:name="_Toc184314426"/>
      <w:bookmarkEnd w:id="245"/>
      <w:bookmarkStart w:id="246" w:name="_Toc184310281"/>
      <w:bookmarkEnd w:id="246"/>
      <w:bookmarkStart w:id="247" w:name="_Toc184313282"/>
      <w:bookmarkEnd w:id="247"/>
      <w:bookmarkStart w:id="248" w:name="_Toc184308040"/>
      <w:bookmarkEnd w:id="248"/>
      <w:bookmarkStart w:id="249" w:name="_Toc184313270"/>
      <w:bookmarkEnd w:id="249"/>
      <w:bookmarkStart w:id="250" w:name="_Toc184312137"/>
      <w:bookmarkEnd w:id="250"/>
      <w:bookmarkStart w:id="251" w:name="_Toc184310319"/>
      <w:bookmarkEnd w:id="251"/>
      <w:bookmarkStart w:id="252" w:name="_Toc184312076"/>
      <w:bookmarkEnd w:id="252"/>
      <w:bookmarkStart w:id="253" w:name="_Toc184313252"/>
      <w:bookmarkEnd w:id="253"/>
      <w:bookmarkStart w:id="254" w:name="_Toc184314447"/>
      <w:bookmarkEnd w:id="254"/>
      <w:bookmarkStart w:id="255" w:name="_Toc184312127"/>
      <w:bookmarkEnd w:id="255"/>
      <w:bookmarkStart w:id="256" w:name="_Toc184313258"/>
      <w:bookmarkEnd w:id="256"/>
      <w:bookmarkStart w:id="257" w:name="_Toc184313250"/>
      <w:bookmarkEnd w:id="257"/>
      <w:bookmarkStart w:id="258" w:name="_Toc184310306"/>
      <w:bookmarkEnd w:id="258"/>
      <w:bookmarkStart w:id="259" w:name="_Toc184312129"/>
      <w:bookmarkEnd w:id="259"/>
      <w:bookmarkStart w:id="260" w:name="_Toc184313295"/>
      <w:bookmarkEnd w:id="260"/>
      <w:bookmarkStart w:id="261" w:name="_Toc184312106"/>
      <w:bookmarkEnd w:id="261"/>
      <w:bookmarkStart w:id="262" w:name="_Toc184310336"/>
      <w:bookmarkEnd w:id="262"/>
      <w:bookmarkStart w:id="263" w:name="_Toc184312068"/>
      <w:bookmarkEnd w:id="263"/>
      <w:bookmarkStart w:id="264" w:name="_Toc184308063"/>
      <w:bookmarkEnd w:id="264"/>
      <w:bookmarkStart w:id="265" w:name="_Toc184314419"/>
      <w:bookmarkEnd w:id="265"/>
      <w:bookmarkStart w:id="266" w:name="_Toc184312135"/>
      <w:bookmarkEnd w:id="266"/>
      <w:bookmarkStart w:id="267" w:name="_Toc184313291"/>
      <w:bookmarkEnd w:id="267"/>
      <w:bookmarkStart w:id="268" w:name="_Toc184313275"/>
      <w:bookmarkEnd w:id="268"/>
      <w:bookmarkStart w:id="269" w:name="_Toc184308104"/>
      <w:bookmarkEnd w:id="269"/>
      <w:bookmarkStart w:id="270" w:name="_Toc184313281"/>
      <w:bookmarkEnd w:id="270"/>
      <w:bookmarkStart w:id="271" w:name="_Toc184310323"/>
      <w:bookmarkEnd w:id="271"/>
      <w:bookmarkStart w:id="272" w:name="_Toc184313246"/>
      <w:bookmarkEnd w:id="272"/>
      <w:bookmarkStart w:id="273" w:name="_Toc184313297"/>
      <w:bookmarkEnd w:id="273"/>
      <w:bookmarkStart w:id="274" w:name="_Toc184310308"/>
      <w:bookmarkEnd w:id="274"/>
      <w:bookmarkStart w:id="275" w:name="_Toc184308042"/>
      <w:bookmarkEnd w:id="275"/>
      <w:bookmarkStart w:id="276" w:name="_Toc184308090"/>
      <w:bookmarkEnd w:id="276"/>
      <w:bookmarkStart w:id="277" w:name="_Toc184312110"/>
      <w:bookmarkEnd w:id="277"/>
      <w:bookmarkStart w:id="278" w:name="_Toc184310296"/>
      <w:bookmarkEnd w:id="278"/>
      <w:bookmarkStart w:id="279" w:name="_Toc184314418"/>
      <w:bookmarkEnd w:id="279"/>
      <w:bookmarkStart w:id="280" w:name="_Toc184313293"/>
      <w:bookmarkEnd w:id="280"/>
      <w:bookmarkStart w:id="281" w:name="_Toc184314475"/>
      <w:bookmarkEnd w:id="281"/>
      <w:bookmarkStart w:id="282" w:name="_Toc184313288"/>
      <w:bookmarkEnd w:id="282"/>
      <w:bookmarkStart w:id="283" w:name="_Toc184308076"/>
      <w:bookmarkEnd w:id="283"/>
      <w:bookmarkStart w:id="284" w:name="_Toc184314423"/>
      <w:bookmarkEnd w:id="284"/>
      <w:bookmarkStart w:id="285" w:name="_Toc184312089"/>
      <w:bookmarkEnd w:id="285"/>
      <w:bookmarkStart w:id="286" w:name="_Toc184310320"/>
      <w:bookmarkEnd w:id="286"/>
      <w:bookmarkStart w:id="287" w:name="_Toc184314480"/>
      <w:bookmarkEnd w:id="287"/>
      <w:bookmarkStart w:id="288" w:name="_Toc184308037"/>
      <w:bookmarkEnd w:id="288"/>
      <w:bookmarkStart w:id="289" w:name="_Toc184310274"/>
      <w:bookmarkEnd w:id="289"/>
      <w:bookmarkStart w:id="290" w:name="_Toc184310277"/>
      <w:bookmarkEnd w:id="290"/>
      <w:bookmarkStart w:id="291" w:name="_Toc184314449"/>
      <w:bookmarkEnd w:id="291"/>
      <w:bookmarkStart w:id="292" w:name="_Toc184310331"/>
      <w:bookmarkEnd w:id="292"/>
      <w:bookmarkStart w:id="293" w:name="_Toc184310310"/>
      <w:bookmarkEnd w:id="293"/>
      <w:bookmarkStart w:id="294" w:name="_Toc184313238"/>
      <w:bookmarkEnd w:id="294"/>
      <w:bookmarkStart w:id="295" w:name="_Toc184308061"/>
      <w:bookmarkEnd w:id="295"/>
      <w:bookmarkStart w:id="296" w:name="_Toc184308099"/>
      <w:bookmarkEnd w:id="296"/>
      <w:bookmarkStart w:id="297" w:name="_Toc184313309"/>
      <w:bookmarkEnd w:id="297"/>
      <w:bookmarkStart w:id="298" w:name="_Toc184313280"/>
      <w:bookmarkEnd w:id="298"/>
      <w:bookmarkStart w:id="299" w:name="_Toc184312133"/>
      <w:bookmarkEnd w:id="299"/>
      <w:bookmarkStart w:id="300" w:name="_Toc184313251"/>
      <w:bookmarkEnd w:id="300"/>
      <w:bookmarkStart w:id="301" w:name="_Toc184313256"/>
      <w:bookmarkEnd w:id="301"/>
      <w:bookmarkStart w:id="302" w:name="_Toc184310333"/>
      <w:bookmarkEnd w:id="302"/>
      <w:bookmarkStart w:id="303" w:name="_Toc184310303"/>
      <w:bookmarkEnd w:id="303"/>
      <w:bookmarkStart w:id="304" w:name="_Toc184312084"/>
      <w:bookmarkEnd w:id="304"/>
      <w:bookmarkStart w:id="305" w:name="_Toc184308059"/>
      <w:bookmarkEnd w:id="305"/>
      <w:bookmarkStart w:id="306" w:name="_Toc184314430"/>
      <w:bookmarkEnd w:id="306"/>
      <w:bookmarkStart w:id="307" w:name="_Toc184308084"/>
      <w:bookmarkEnd w:id="307"/>
      <w:bookmarkStart w:id="308" w:name="_Toc184308108"/>
      <w:bookmarkEnd w:id="308"/>
      <w:bookmarkStart w:id="309" w:name="_Toc184310284"/>
      <w:bookmarkEnd w:id="309"/>
      <w:bookmarkStart w:id="310" w:name="_Toc184310289"/>
      <w:bookmarkEnd w:id="310"/>
      <w:bookmarkStart w:id="311" w:name="_Toc184313260"/>
      <w:bookmarkEnd w:id="311"/>
      <w:bookmarkStart w:id="312" w:name="_Toc184313277"/>
      <w:bookmarkEnd w:id="312"/>
      <w:bookmarkStart w:id="313" w:name="_Toc184308074"/>
      <w:bookmarkEnd w:id="313"/>
      <w:bookmarkStart w:id="314" w:name="_Toc184314422"/>
      <w:bookmarkEnd w:id="314"/>
      <w:bookmarkStart w:id="315" w:name="_Toc184313285"/>
      <w:bookmarkEnd w:id="315"/>
      <w:bookmarkStart w:id="316" w:name="_Toc184308055"/>
      <w:bookmarkEnd w:id="316"/>
      <w:bookmarkStart w:id="317" w:name="_Toc184314457"/>
      <w:bookmarkEnd w:id="317"/>
      <w:bookmarkStart w:id="318" w:name="_Toc184308102"/>
      <w:bookmarkEnd w:id="318"/>
      <w:bookmarkStart w:id="319" w:name="_Toc184313243"/>
      <w:bookmarkEnd w:id="319"/>
      <w:bookmarkStart w:id="320" w:name="_Toc184310337"/>
      <w:bookmarkEnd w:id="320"/>
      <w:bookmarkStart w:id="321" w:name="_Toc184312080"/>
      <w:bookmarkEnd w:id="321"/>
      <w:bookmarkStart w:id="322" w:name="_Toc184310318"/>
      <w:bookmarkEnd w:id="322"/>
      <w:bookmarkStart w:id="323" w:name="_Toc184308046"/>
      <w:bookmarkEnd w:id="323"/>
      <w:bookmarkStart w:id="324" w:name="_Toc184313278"/>
      <w:bookmarkEnd w:id="324"/>
      <w:bookmarkStart w:id="325" w:name="_Toc184308101"/>
      <w:bookmarkEnd w:id="325"/>
      <w:bookmarkStart w:id="326" w:name="_Toc184308058"/>
      <w:bookmarkEnd w:id="326"/>
      <w:bookmarkStart w:id="327" w:name="_Toc184313302"/>
      <w:bookmarkEnd w:id="327"/>
      <w:bookmarkStart w:id="328" w:name="_Toc184308066"/>
      <w:bookmarkEnd w:id="328"/>
      <w:bookmarkStart w:id="329" w:name="_Toc184310297"/>
      <w:bookmarkEnd w:id="329"/>
      <w:bookmarkStart w:id="330" w:name="_Toc184312111"/>
      <w:bookmarkEnd w:id="330"/>
      <w:bookmarkStart w:id="331" w:name="_Toc184310286"/>
      <w:bookmarkEnd w:id="331"/>
      <w:bookmarkStart w:id="332" w:name="_Toc184310275"/>
      <w:bookmarkEnd w:id="332"/>
      <w:bookmarkStart w:id="333" w:name="_Toc184313272"/>
      <w:bookmarkEnd w:id="333"/>
      <w:bookmarkStart w:id="334" w:name="_Toc184314462"/>
      <w:bookmarkEnd w:id="334"/>
      <w:bookmarkStart w:id="335" w:name="_Toc184314460"/>
      <w:bookmarkEnd w:id="335"/>
      <w:bookmarkStart w:id="336" w:name="_Toc184314416"/>
      <w:bookmarkEnd w:id="336"/>
      <w:bookmarkStart w:id="337" w:name="_Toc184312121"/>
      <w:bookmarkEnd w:id="337"/>
      <w:bookmarkStart w:id="338" w:name="_Toc184314414"/>
      <w:bookmarkEnd w:id="338"/>
      <w:bookmarkStart w:id="339" w:name="_Toc184310299"/>
      <w:bookmarkEnd w:id="339"/>
      <w:bookmarkStart w:id="340" w:name="_Toc184312108"/>
      <w:bookmarkEnd w:id="340"/>
      <w:bookmarkStart w:id="341" w:name="_Toc184313264"/>
      <w:bookmarkEnd w:id="341"/>
      <w:bookmarkStart w:id="342" w:name="_Toc184314442"/>
      <w:bookmarkEnd w:id="342"/>
      <w:bookmarkStart w:id="343" w:name="_Toc184308068"/>
      <w:bookmarkEnd w:id="343"/>
      <w:bookmarkStart w:id="344" w:name="_Toc184314427"/>
      <w:bookmarkEnd w:id="344"/>
      <w:bookmarkStart w:id="345" w:name="_Toc184310334"/>
      <w:bookmarkEnd w:id="345"/>
      <w:bookmarkStart w:id="346" w:name="_Toc184312091"/>
      <w:bookmarkEnd w:id="346"/>
      <w:bookmarkStart w:id="347" w:name="_Toc184312078"/>
      <w:bookmarkEnd w:id="347"/>
      <w:bookmarkStart w:id="348" w:name="_Toc184312098"/>
      <w:bookmarkEnd w:id="348"/>
      <w:bookmarkStart w:id="349" w:name="_Toc184314478"/>
      <w:bookmarkEnd w:id="349"/>
      <w:bookmarkStart w:id="350" w:name="_Toc184312088"/>
      <w:bookmarkEnd w:id="350"/>
      <w:bookmarkStart w:id="351" w:name="_Toc184313289"/>
      <w:bookmarkEnd w:id="351"/>
      <w:bookmarkStart w:id="352" w:name="_Toc184310317"/>
      <w:bookmarkEnd w:id="352"/>
      <w:bookmarkStart w:id="353" w:name="_Toc184308073"/>
      <w:bookmarkEnd w:id="353"/>
      <w:bookmarkStart w:id="354" w:name="_Toc184310325"/>
      <w:bookmarkEnd w:id="354"/>
      <w:bookmarkStart w:id="355" w:name="_Toc184310276"/>
      <w:bookmarkEnd w:id="355"/>
      <w:bookmarkStart w:id="356" w:name="_Toc184308105"/>
      <w:bookmarkEnd w:id="356"/>
      <w:bookmarkStart w:id="357" w:name="_Toc184310321"/>
      <w:bookmarkEnd w:id="357"/>
      <w:bookmarkStart w:id="358" w:name="_Toc184310342"/>
      <w:bookmarkEnd w:id="358"/>
      <w:bookmarkStart w:id="359" w:name="_Toc184314436"/>
      <w:bookmarkEnd w:id="359"/>
      <w:bookmarkStart w:id="360" w:name="_Toc184313268"/>
      <w:bookmarkEnd w:id="360"/>
      <w:bookmarkStart w:id="361" w:name="_Toc184310302"/>
      <w:bookmarkEnd w:id="361"/>
      <w:bookmarkStart w:id="362" w:name="_Toc184313310"/>
      <w:bookmarkEnd w:id="362"/>
      <w:bookmarkStart w:id="363" w:name="_Toc184310340"/>
      <w:bookmarkEnd w:id="363"/>
      <w:bookmarkStart w:id="364" w:name="_Toc184314428"/>
      <w:bookmarkEnd w:id="364"/>
      <w:bookmarkStart w:id="365" w:name="_Toc184314479"/>
      <w:bookmarkEnd w:id="365"/>
      <w:bookmarkStart w:id="366" w:name="_Toc184308097"/>
      <w:bookmarkEnd w:id="366"/>
      <w:bookmarkStart w:id="367" w:name="_Toc184310324"/>
      <w:bookmarkEnd w:id="367"/>
      <w:bookmarkStart w:id="368" w:name="_Toc184312134"/>
      <w:bookmarkEnd w:id="368"/>
      <w:bookmarkStart w:id="369" w:name="_Toc184312077"/>
      <w:bookmarkEnd w:id="369"/>
      <w:bookmarkStart w:id="370" w:name="_Toc184312124"/>
      <w:bookmarkEnd w:id="370"/>
      <w:bookmarkStart w:id="371" w:name="_Toc184313274"/>
      <w:bookmarkEnd w:id="371"/>
      <w:bookmarkStart w:id="372" w:name="_Toc184314412"/>
      <w:bookmarkEnd w:id="372"/>
      <w:bookmarkStart w:id="373" w:name="_Toc184308062"/>
      <w:bookmarkEnd w:id="373"/>
      <w:bookmarkStart w:id="374" w:name="_Toc184308044"/>
      <w:bookmarkEnd w:id="374"/>
      <w:bookmarkStart w:id="375" w:name="_Toc184314432"/>
      <w:bookmarkEnd w:id="375"/>
      <w:bookmarkStart w:id="376" w:name="_Toc184313249"/>
      <w:bookmarkEnd w:id="376"/>
      <w:bookmarkStart w:id="377" w:name="_Toc184312075"/>
      <w:bookmarkEnd w:id="377"/>
      <w:bookmarkStart w:id="378" w:name="_Toc184313303"/>
      <w:bookmarkEnd w:id="378"/>
      <w:bookmarkStart w:id="379" w:name="_Toc184312123"/>
      <w:bookmarkEnd w:id="379"/>
      <w:bookmarkStart w:id="380" w:name="_Toc184314470"/>
      <w:bookmarkEnd w:id="380"/>
      <w:bookmarkStart w:id="381" w:name="_Toc184308052"/>
      <w:bookmarkEnd w:id="381"/>
      <w:bookmarkStart w:id="382" w:name="_Toc184310298"/>
      <w:bookmarkEnd w:id="382"/>
      <w:bookmarkStart w:id="383" w:name="_Toc184312107"/>
      <w:bookmarkEnd w:id="383"/>
      <w:bookmarkStart w:id="384" w:name="_Toc184312097"/>
      <w:bookmarkEnd w:id="384"/>
      <w:bookmarkStart w:id="385" w:name="_Toc184310332"/>
      <w:bookmarkEnd w:id="385"/>
      <w:bookmarkStart w:id="386" w:name="_Toc184313306"/>
      <w:bookmarkEnd w:id="386"/>
      <w:bookmarkStart w:id="387" w:name="_Toc184310309"/>
      <w:bookmarkEnd w:id="387"/>
      <w:bookmarkStart w:id="388" w:name="_Toc184312085"/>
      <w:bookmarkEnd w:id="388"/>
      <w:bookmarkStart w:id="389" w:name="_Toc184310285"/>
      <w:bookmarkEnd w:id="389"/>
      <w:bookmarkStart w:id="390" w:name="_Toc184313308"/>
      <w:bookmarkEnd w:id="390"/>
      <w:bookmarkStart w:id="391" w:name="_Toc184308085"/>
      <w:bookmarkEnd w:id="391"/>
      <w:bookmarkStart w:id="392" w:name="_Toc184308054"/>
      <w:bookmarkEnd w:id="392"/>
      <w:r>
        <w:rPr>
          <w:rFonts w:hint="eastAsia" w:ascii="宋体" w:hAnsi="宋体" w:cs="宋体"/>
          <w:b/>
          <w:color w:val="auto"/>
          <w:sz w:val="36"/>
          <w:szCs w:val="36"/>
          <w:highlight w:val="none"/>
        </w:rPr>
        <w:t>评标办法</w:t>
      </w:r>
    </w:p>
    <w:p>
      <w:pPr>
        <w:snapToGrid w:val="0"/>
        <w:spacing w:line="360" w:lineRule="auto"/>
        <w:jc w:val="center"/>
        <w:outlineLvl w:val="1"/>
        <w:rPr>
          <w:rFonts w:hint="eastAsia" w:ascii="宋体" w:hAnsi="宋体" w:cs="宋体"/>
          <w:b/>
          <w:color w:val="auto"/>
          <w:sz w:val="32"/>
          <w:szCs w:val="20"/>
          <w:highlight w:val="none"/>
        </w:rPr>
      </w:pPr>
      <w:r>
        <w:rPr>
          <w:rFonts w:hint="eastAsia" w:ascii="宋体" w:hAnsi="宋体" w:cs="宋体"/>
          <w:b/>
          <w:color w:val="auto"/>
          <w:sz w:val="32"/>
          <w:szCs w:val="20"/>
          <w:highlight w:val="none"/>
        </w:rPr>
        <w:t>评标办法前附表</w:t>
      </w:r>
    </w:p>
    <w:tbl>
      <w:tblPr>
        <w:tblStyle w:val="63"/>
        <w:tblW w:w="5845" w:type="pct"/>
        <w:tblInd w:w="-6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5120"/>
        <w:gridCol w:w="769"/>
        <w:gridCol w:w="1163"/>
        <w:gridCol w:w="1608"/>
        <w:gridCol w:w="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4" w:type="pct"/>
          <w:trHeight w:val="925" w:hRule="atLeast"/>
        </w:trPr>
        <w:tc>
          <w:tcPr>
            <w:tcW w:w="385" w:type="pct"/>
            <w:vAlign w:val="center"/>
          </w:tcPr>
          <w:p>
            <w:pPr>
              <w:pageBreakBefore w:val="0"/>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序号</w:t>
            </w:r>
          </w:p>
        </w:tc>
        <w:tc>
          <w:tcPr>
            <w:tcW w:w="2577" w:type="pct"/>
            <w:vAlign w:val="center"/>
          </w:tcPr>
          <w:p>
            <w:pPr>
              <w:pageBreakBefore w:val="0"/>
              <w:kinsoku/>
              <w:wordWrap/>
              <w:overflowPunct/>
              <w:topLinePunct w:val="0"/>
              <w:bidi w:val="0"/>
              <w:snapToGrid w:val="0"/>
              <w:spacing w:line="360" w:lineRule="auto"/>
              <w:ind w:firstLine="48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评标标准</w:t>
            </w:r>
          </w:p>
        </w:tc>
        <w:tc>
          <w:tcPr>
            <w:tcW w:w="387" w:type="pct"/>
            <w:vAlign w:val="center"/>
          </w:tcPr>
          <w:p>
            <w:pPr>
              <w:pageBreakBefore w:val="0"/>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最高</w:t>
            </w:r>
          </w:p>
          <w:p>
            <w:pPr>
              <w:pageBreakBefore w:val="0"/>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分值</w:t>
            </w:r>
          </w:p>
        </w:tc>
        <w:tc>
          <w:tcPr>
            <w:tcW w:w="585" w:type="pct"/>
            <w:vAlign w:val="center"/>
          </w:tcPr>
          <w:p>
            <w:pPr>
              <w:pageBreakBefore w:val="0"/>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主观分/客观分属性</w:t>
            </w:r>
          </w:p>
        </w:tc>
        <w:tc>
          <w:tcPr>
            <w:tcW w:w="809" w:type="pct"/>
          </w:tcPr>
          <w:p>
            <w:pPr>
              <w:pageBreakBefore w:val="0"/>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Cs/>
                <w:color w:val="auto"/>
                <w:sz w:val="24"/>
                <w:szCs w:val="24"/>
                <w:highlight w:val="none"/>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4" w:type="pct"/>
          <w:trHeight w:val="2973" w:hRule="atLeast"/>
        </w:trPr>
        <w:tc>
          <w:tcPr>
            <w:tcW w:w="385" w:type="pct"/>
            <w:vAlign w:val="center"/>
          </w:tcPr>
          <w:p>
            <w:pPr>
              <w:pageBreakBefore w:val="0"/>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w:t>
            </w:r>
          </w:p>
        </w:tc>
        <w:tc>
          <w:tcPr>
            <w:tcW w:w="2577" w:type="pct"/>
          </w:tcPr>
          <w:p>
            <w:pPr>
              <w:pageBreakBefore w:val="0"/>
              <w:kinsoku/>
              <w:wordWrap/>
              <w:overflowPunct/>
              <w:topLinePunct w:val="0"/>
              <w:bidi w:val="0"/>
              <w:spacing w:line="360" w:lineRule="auto"/>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有效期内的体系认证：质量管理体系认证、职业健康安全认证、环境管理体系认证。（每符合1个得</w:t>
            </w: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rPr>
              <w:t>分，最高得</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 xml:space="preserve">分）（提供证书原件扫描件，全国认证认可信息公共服务平台查询截图，原件备查）  </w:t>
            </w:r>
          </w:p>
          <w:p>
            <w:pPr>
              <w:pageBreakBefore w:val="0"/>
              <w:kinsoku/>
              <w:wordWrap/>
              <w:overflowPunct/>
              <w:topLinePunct w:val="0"/>
              <w:bidi w:val="0"/>
              <w:snapToGrid w:val="0"/>
              <w:spacing w:line="360" w:lineRule="auto"/>
              <w:ind w:firstLine="200"/>
              <w:jc w:val="left"/>
              <w:textAlignment w:val="auto"/>
              <w:rPr>
                <w:rFonts w:hint="eastAsia"/>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HYPERLINK "http://cx.cnca.cn/CertECloud/result/skipResultList" </w:instrText>
            </w:r>
            <w:r>
              <w:rPr>
                <w:rFonts w:hint="eastAsia" w:asciiTheme="minorEastAsia" w:hAnsiTheme="minorEastAsia" w:eastAsiaTheme="minorEastAsia" w:cstheme="minorEastAsia"/>
                <w:color w:val="auto"/>
                <w:sz w:val="24"/>
                <w:szCs w:val="24"/>
                <w:highlight w:val="none"/>
              </w:rPr>
              <w:fldChar w:fldCharType="separate"/>
            </w:r>
            <w:r>
              <w:rPr>
                <w:rFonts w:hint="eastAsia" w:asciiTheme="minorEastAsia" w:hAnsiTheme="minorEastAsia" w:eastAsiaTheme="minorEastAsia" w:cstheme="minorEastAsia"/>
                <w:color w:val="auto"/>
                <w:sz w:val="24"/>
                <w:szCs w:val="24"/>
                <w:highlight w:val="none"/>
              </w:rPr>
              <w:t>http://cx.cnca.cn/CertECloud/result/skipResultList</w:t>
            </w:r>
            <w:r>
              <w:rPr>
                <w:rFonts w:hint="eastAsia" w:asciiTheme="minorEastAsia" w:hAnsiTheme="minorEastAsia" w:eastAsiaTheme="minorEastAsia" w:cstheme="minorEastAsia"/>
                <w:color w:val="auto"/>
                <w:sz w:val="24"/>
                <w:szCs w:val="24"/>
                <w:highlight w:val="none"/>
              </w:rPr>
              <w:fldChar w:fldCharType="end"/>
            </w:r>
          </w:p>
        </w:tc>
        <w:tc>
          <w:tcPr>
            <w:tcW w:w="387" w:type="pct"/>
            <w:vAlign w:val="center"/>
          </w:tcPr>
          <w:p>
            <w:pPr>
              <w:pageBreakBefore w:val="0"/>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3</w:t>
            </w:r>
          </w:p>
        </w:tc>
        <w:tc>
          <w:tcPr>
            <w:tcW w:w="585" w:type="pct"/>
            <w:vAlign w:val="center"/>
          </w:tcPr>
          <w:p>
            <w:pPr>
              <w:pageBreakBefore w:val="0"/>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客观分</w:t>
            </w:r>
          </w:p>
        </w:tc>
        <w:tc>
          <w:tcPr>
            <w:tcW w:w="809" w:type="pct"/>
            <w:vAlign w:val="center"/>
          </w:tcPr>
          <w:p>
            <w:pPr>
              <w:pageBreakBefore w:val="0"/>
              <w:kinsoku/>
              <w:wordWrap/>
              <w:overflowPunct/>
              <w:topLinePunct w:val="0"/>
              <w:bidi w:val="0"/>
              <w:snapToGrid w:val="0"/>
              <w:spacing w:line="360" w:lineRule="auto"/>
              <w:jc w:val="center"/>
              <w:textAlignment w:val="auto"/>
              <w:rPr>
                <w:rFonts w:hint="eastAsia"/>
                <w:color w:val="auto"/>
                <w:highlight w:val="none"/>
                <w:lang w:val="en-US" w:eastAsia="zh-CN"/>
              </w:rPr>
            </w:pPr>
            <w:r>
              <w:rPr>
                <w:rFonts w:hint="eastAsia"/>
                <w:color w:val="auto"/>
                <w:highlight w:val="none"/>
                <w:lang w:val="en-US" w:eastAsia="zh-CN"/>
              </w:rPr>
              <w:t>体系</w:t>
            </w:r>
          </w:p>
          <w:p>
            <w:pPr>
              <w:pageBreakBefore w:val="0"/>
              <w:kinsoku/>
              <w:wordWrap/>
              <w:overflowPunct/>
              <w:topLinePunct w:val="0"/>
              <w:bidi w:val="0"/>
              <w:snapToGrid w:val="0"/>
              <w:spacing w:line="360" w:lineRule="auto"/>
              <w:jc w:val="center"/>
              <w:textAlignment w:val="auto"/>
              <w:rPr>
                <w:rFonts w:hint="eastAsia"/>
                <w:color w:val="auto"/>
                <w:highlight w:val="none"/>
                <w:lang w:val="en-US" w:eastAsia="zh-CN"/>
              </w:rPr>
            </w:pPr>
            <w:r>
              <w:rPr>
                <w:rFonts w:hint="eastAsia"/>
                <w:color w:val="auto"/>
                <w:highlight w:val="none"/>
                <w:lang w:val="en-US" w:eastAsia="zh-CN"/>
              </w:rPr>
              <w:t>认证</w:t>
            </w:r>
          </w:p>
          <w:p>
            <w:pPr>
              <w:pageBreakBefore w:val="0"/>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4" w:type="pct"/>
          <w:trHeight w:val="2551" w:hRule="atLeast"/>
        </w:trPr>
        <w:tc>
          <w:tcPr>
            <w:tcW w:w="385" w:type="pct"/>
            <w:vAlign w:val="center"/>
          </w:tcPr>
          <w:p>
            <w:pPr>
              <w:pageBreakBefore w:val="0"/>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rPr>
              <w:t>2</w:t>
            </w:r>
          </w:p>
        </w:tc>
        <w:tc>
          <w:tcPr>
            <w:tcW w:w="2577" w:type="pct"/>
          </w:tcPr>
          <w:p>
            <w:pPr>
              <w:pStyle w:val="21"/>
              <w:pageBreakBefore w:val="0"/>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投标人自2020年1月1日以来有类似项目成功实施案例的，每提供一项有效业绩得</w:t>
            </w: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rPr>
              <w:t>分，最高得</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分，以签订时间为准，须提供合同复印件，不提供不得分。</w:t>
            </w:r>
            <w:r>
              <w:rPr>
                <w:rFonts w:hint="eastAsia" w:asciiTheme="minorEastAsia" w:hAnsiTheme="minorEastAsia" w:eastAsiaTheme="minorEastAsia" w:cstheme="minorEastAsia"/>
                <w:color w:val="auto"/>
                <w:sz w:val="24"/>
                <w:szCs w:val="24"/>
                <w:highlight w:val="none"/>
                <w:lang w:val="en-US" w:eastAsia="zh-CN"/>
              </w:rPr>
              <w:t>（注：一个项目分年度多次签订的案例，记1个案例；同一个项目，分两期或以上建设完成的，记1个案例）</w:t>
            </w:r>
          </w:p>
        </w:tc>
        <w:tc>
          <w:tcPr>
            <w:tcW w:w="387" w:type="pct"/>
            <w:vAlign w:val="center"/>
          </w:tcPr>
          <w:p>
            <w:pPr>
              <w:pageBreakBefore w:val="0"/>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5</w:t>
            </w:r>
          </w:p>
        </w:tc>
        <w:tc>
          <w:tcPr>
            <w:tcW w:w="585" w:type="pct"/>
            <w:vAlign w:val="center"/>
          </w:tcPr>
          <w:p>
            <w:pPr>
              <w:pageBreakBefore w:val="0"/>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客观分</w:t>
            </w:r>
          </w:p>
        </w:tc>
        <w:tc>
          <w:tcPr>
            <w:tcW w:w="809" w:type="pct"/>
            <w:vAlign w:val="center"/>
          </w:tcPr>
          <w:p>
            <w:pPr>
              <w:pageBreakBefore w:val="0"/>
              <w:kinsoku/>
              <w:wordWrap/>
              <w:overflowPunct/>
              <w:topLinePunct w:val="0"/>
              <w:bidi w:val="0"/>
              <w:snapToGrid w:val="0"/>
              <w:spacing w:line="360" w:lineRule="auto"/>
              <w:jc w:val="center"/>
              <w:textAlignment w:val="auto"/>
              <w:rPr>
                <w:rFonts w:hint="default"/>
                <w:color w:val="auto"/>
                <w:sz w:val="24"/>
                <w:szCs w:val="24"/>
                <w:highlight w:val="none"/>
                <w:lang w:val="en-US" w:eastAsia="zh-CN"/>
              </w:rPr>
            </w:pPr>
            <w:r>
              <w:rPr>
                <w:rFonts w:hint="eastAsia"/>
                <w:color w:val="auto"/>
                <w:sz w:val="24"/>
                <w:szCs w:val="24"/>
                <w:highlight w:val="none"/>
                <w:lang w:val="en-US" w:eastAsia="zh-CN"/>
              </w:rPr>
              <w:t>业绩</w:t>
            </w:r>
          </w:p>
          <w:p>
            <w:pPr>
              <w:pageBreakBefore w:val="0"/>
              <w:kinsoku/>
              <w:wordWrap/>
              <w:overflowPunct/>
              <w:topLinePunct w:val="0"/>
              <w:bidi w:val="0"/>
              <w:snapToGrid w:val="0"/>
              <w:spacing w:line="360" w:lineRule="auto"/>
              <w:jc w:val="center"/>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385" w:type="pct"/>
            <w:vAlign w:val="center"/>
          </w:tcPr>
          <w:p>
            <w:pPr>
              <w:pageBreakBefore w:val="0"/>
              <w:kinsoku/>
              <w:wordWrap/>
              <w:overflowPunct/>
              <w:topLinePunct w:val="0"/>
              <w:bidi w:val="0"/>
              <w:snapToGrid w:val="0"/>
              <w:spacing w:line="360" w:lineRule="auto"/>
              <w:jc w:val="center"/>
              <w:textAlignment w:val="auto"/>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3</w:t>
            </w:r>
          </w:p>
        </w:tc>
        <w:tc>
          <w:tcPr>
            <w:tcW w:w="2577" w:type="pct"/>
          </w:tcPr>
          <w:p>
            <w:pPr>
              <w:keepNext w:val="0"/>
              <w:keepLines w:val="0"/>
              <w:pageBreakBefore w:val="0"/>
              <w:widowControl w:val="0"/>
              <w:kinsoku/>
              <w:wordWrap/>
              <w:overflowPunct/>
              <w:topLinePunct w:val="0"/>
              <w:autoSpaceDE/>
              <w:autoSpaceDN/>
              <w:bidi w:val="0"/>
              <w:adjustRightInd w:val="0"/>
              <w:snapToGrid w:val="0"/>
              <w:spacing w:line="336" w:lineRule="auto"/>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根据本项目物业使用特点提出合理的物业管理服务理念、服务定位和目标，结合本项目安全性特点，提出针对性的切实可行的方案。合理性、可行性高的得</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分；合理性、可行性一般的得</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分，可行性差</w:t>
            </w:r>
            <w:r>
              <w:rPr>
                <w:rFonts w:hint="eastAsia" w:asciiTheme="minorEastAsia" w:hAnsiTheme="minorEastAsia" w:eastAsiaTheme="minorEastAsia" w:cstheme="minorEastAsia"/>
                <w:color w:val="auto"/>
                <w:sz w:val="24"/>
                <w:szCs w:val="24"/>
                <w:highlight w:val="none"/>
                <w:lang w:val="en-US" w:eastAsia="zh-CN"/>
              </w:rPr>
              <w:t>或者不提供的得0分</w:t>
            </w:r>
            <w:r>
              <w:rPr>
                <w:rFonts w:hint="eastAsia" w:asciiTheme="minorEastAsia" w:hAnsiTheme="minorEastAsia" w:eastAsiaTheme="minorEastAsia" w:cstheme="minorEastAsia"/>
                <w:color w:val="auto"/>
                <w:sz w:val="24"/>
                <w:szCs w:val="24"/>
                <w:highlight w:val="none"/>
              </w:rPr>
              <w:t>。</w:t>
            </w:r>
          </w:p>
        </w:tc>
        <w:tc>
          <w:tcPr>
            <w:tcW w:w="387" w:type="pct"/>
            <w:vAlign w:val="center"/>
          </w:tcPr>
          <w:p>
            <w:pPr>
              <w:pageBreakBefore w:val="0"/>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5</w:t>
            </w:r>
          </w:p>
        </w:tc>
        <w:tc>
          <w:tcPr>
            <w:tcW w:w="585" w:type="pct"/>
            <w:vAlign w:val="center"/>
          </w:tcPr>
          <w:p>
            <w:pPr>
              <w:pageBreakBefore w:val="0"/>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主观分</w:t>
            </w:r>
          </w:p>
        </w:tc>
        <w:tc>
          <w:tcPr>
            <w:tcW w:w="809" w:type="pct"/>
            <w:vMerge w:val="restart"/>
            <w:vAlign w:val="center"/>
          </w:tcPr>
          <w:p>
            <w:pPr>
              <w:pageBreakBefore w:val="0"/>
              <w:kinsoku/>
              <w:wordWrap/>
              <w:overflowPunct/>
              <w:topLinePunct w:val="0"/>
              <w:bidi w:val="0"/>
              <w:spacing w:line="360" w:lineRule="auto"/>
              <w:jc w:val="center"/>
              <w:textAlignment w:val="auto"/>
              <w:outlineLvl w:val="0"/>
              <w:rPr>
                <w:rFonts w:hint="eastAsia" w:asciiTheme="minorEastAsia" w:hAnsiTheme="minorEastAsia" w:eastAsiaTheme="minorEastAsia" w:cstheme="minorEastAsia"/>
                <w:color w:val="auto"/>
                <w:sz w:val="24"/>
                <w:szCs w:val="24"/>
                <w:highlight w:val="none"/>
                <w:lang w:eastAsia="zh-CN"/>
              </w:rPr>
            </w:pPr>
          </w:p>
          <w:p>
            <w:pPr>
              <w:pageBreakBefore w:val="0"/>
              <w:kinsoku/>
              <w:wordWrap/>
              <w:overflowPunct/>
              <w:topLinePunct w:val="0"/>
              <w:bidi w:val="0"/>
              <w:spacing w:line="360" w:lineRule="auto"/>
              <w:jc w:val="center"/>
              <w:textAlignment w:val="auto"/>
              <w:outlineLvl w:val="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服务</w:t>
            </w:r>
          </w:p>
          <w:p>
            <w:pPr>
              <w:pageBreakBefore w:val="0"/>
              <w:kinsoku/>
              <w:wordWrap/>
              <w:overflowPunct/>
              <w:topLinePunct w:val="0"/>
              <w:bidi w:val="0"/>
              <w:spacing w:line="360" w:lineRule="auto"/>
              <w:jc w:val="center"/>
              <w:textAlignment w:val="auto"/>
              <w:outlineLvl w:val="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理念</w:t>
            </w:r>
          </w:p>
          <w:p>
            <w:pPr>
              <w:pageBreakBefore w:val="0"/>
              <w:kinsoku/>
              <w:wordWrap/>
              <w:overflowPunct/>
              <w:topLinePunct w:val="0"/>
              <w:bidi w:val="0"/>
              <w:spacing w:line="360" w:lineRule="auto"/>
              <w:jc w:val="center"/>
              <w:textAlignment w:val="auto"/>
              <w:outlineLvl w:val="0"/>
              <w:rPr>
                <w:rFonts w:hint="eastAsia" w:asciiTheme="minorEastAsia" w:hAnsiTheme="minorEastAsia" w:eastAsiaTheme="minorEastAsia" w:cstheme="minorEastAsia"/>
                <w:color w:val="auto"/>
                <w:sz w:val="24"/>
                <w:szCs w:val="24"/>
                <w:highlight w:val="none"/>
              </w:rPr>
            </w:pPr>
          </w:p>
        </w:tc>
        <w:tc>
          <w:tcPr>
            <w:tcW w:w="254" w:type="pct"/>
            <w:vMerge w:val="restart"/>
            <w:tcBorders>
              <w:top w:val="nil"/>
              <w:right w:val="nil"/>
            </w:tcBorders>
            <w:vAlign w:val="center"/>
          </w:tcPr>
          <w:p>
            <w:pPr>
              <w:pageBreakBefore w:val="0"/>
              <w:kinsoku/>
              <w:wordWrap/>
              <w:overflowPunct/>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 w:type="pct"/>
            <w:vAlign w:val="center"/>
          </w:tcPr>
          <w:p>
            <w:pPr>
              <w:pageBreakBefore w:val="0"/>
              <w:kinsoku/>
              <w:wordWrap/>
              <w:overflowPunct/>
              <w:topLinePunct w:val="0"/>
              <w:bidi w:val="0"/>
              <w:snapToGrid w:val="0"/>
              <w:spacing w:line="360" w:lineRule="auto"/>
              <w:jc w:val="center"/>
              <w:textAlignment w:val="auto"/>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4</w:t>
            </w:r>
          </w:p>
        </w:tc>
        <w:tc>
          <w:tcPr>
            <w:tcW w:w="2577" w:type="pct"/>
          </w:tcPr>
          <w:p>
            <w:pPr>
              <w:pStyle w:val="2"/>
              <w:rPr>
                <w:rFonts w:hint="eastAsia"/>
              </w:rPr>
            </w:pPr>
            <w:r>
              <w:rPr>
                <w:rFonts w:hint="eastAsia" w:asciiTheme="minorEastAsia" w:hAnsiTheme="minorEastAsia" w:eastAsiaTheme="minorEastAsia" w:cstheme="minorEastAsia"/>
                <w:color w:val="auto"/>
                <w:sz w:val="24"/>
                <w:szCs w:val="24"/>
                <w:highlight w:val="none"/>
              </w:rPr>
              <w:t>针对本项目有比较完善的组织架构及管理制度，清晰简练地列出主要管理流程，包括运作流程图、监督机制、自我约束机制、信息反馈及处理机制。合理性、可行性高的得</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分；合理性、可行性一般的可得</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分；可行性差</w:t>
            </w:r>
            <w:r>
              <w:rPr>
                <w:rFonts w:hint="eastAsia" w:asciiTheme="minorEastAsia" w:hAnsiTheme="minorEastAsia" w:eastAsiaTheme="minorEastAsia" w:cstheme="minorEastAsia"/>
                <w:color w:val="auto"/>
                <w:sz w:val="24"/>
                <w:szCs w:val="24"/>
                <w:highlight w:val="none"/>
                <w:lang w:val="en-US" w:eastAsia="zh-CN"/>
              </w:rPr>
              <w:t>或者不提供的得0分。</w:t>
            </w:r>
          </w:p>
        </w:tc>
        <w:tc>
          <w:tcPr>
            <w:tcW w:w="387" w:type="pct"/>
            <w:vAlign w:val="center"/>
          </w:tcPr>
          <w:p>
            <w:pPr>
              <w:pageBreakBefore w:val="0"/>
              <w:kinsoku/>
              <w:wordWrap/>
              <w:overflowPunct/>
              <w:topLinePunct w:val="0"/>
              <w:bidi w:val="0"/>
              <w:spacing w:line="360" w:lineRule="auto"/>
              <w:jc w:val="center"/>
              <w:textAlignment w:val="auto"/>
              <w:outlineLvl w:val="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5</w:t>
            </w:r>
          </w:p>
        </w:tc>
        <w:tc>
          <w:tcPr>
            <w:tcW w:w="585" w:type="pct"/>
            <w:vAlign w:val="center"/>
          </w:tcPr>
          <w:p>
            <w:pPr>
              <w:pageBreakBefore w:val="0"/>
              <w:kinsoku/>
              <w:wordWrap/>
              <w:overflowPunct/>
              <w:topLinePunct w:val="0"/>
              <w:bidi w:val="0"/>
              <w:spacing w:line="360" w:lineRule="auto"/>
              <w:jc w:val="center"/>
              <w:textAlignment w:val="auto"/>
              <w:outlineLvl w:val="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主观分</w:t>
            </w:r>
          </w:p>
        </w:tc>
        <w:tc>
          <w:tcPr>
            <w:tcW w:w="809" w:type="pct"/>
            <w:vMerge w:val="continue"/>
            <w:vAlign w:val="center"/>
          </w:tcPr>
          <w:p>
            <w:pPr>
              <w:pageBreakBefore w:val="0"/>
              <w:kinsoku/>
              <w:wordWrap/>
              <w:overflowPunct/>
              <w:topLinePunct w:val="0"/>
              <w:bidi w:val="0"/>
              <w:spacing w:line="360" w:lineRule="auto"/>
              <w:ind w:firstLine="480"/>
              <w:jc w:val="center"/>
              <w:textAlignment w:val="auto"/>
              <w:outlineLvl w:val="0"/>
              <w:rPr>
                <w:rFonts w:hint="eastAsia" w:asciiTheme="minorEastAsia" w:hAnsiTheme="minorEastAsia" w:eastAsiaTheme="minorEastAsia" w:cstheme="minorEastAsia"/>
                <w:color w:val="auto"/>
                <w:sz w:val="24"/>
                <w:szCs w:val="24"/>
                <w:highlight w:val="none"/>
              </w:rPr>
            </w:pPr>
          </w:p>
        </w:tc>
        <w:tc>
          <w:tcPr>
            <w:tcW w:w="254" w:type="pct"/>
            <w:vMerge w:val="continue"/>
            <w:tcBorders>
              <w:top w:val="nil"/>
              <w:bottom w:val="nil"/>
              <w:right w:val="nil"/>
            </w:tcBorders>
            <w:vAlign w:val="center"/>
          </w:tcPr>
          <w:p>
            <w:pPr>
              <w:pageBreakBefore w:val="0"/>
              <w:kinsoku/>
              <w:wordWrap/>
              <w:overflowPunct/>
              <w:topLinePunct w:val="0"/>
              <w:bidi w:val="0"/>
              <w:spacing w:line="360" w:lineRule="auto"/>
              <w:ind w:firstLine="480"/>
              <w:jc w:val="center"/>
              <w:textAlignment w:val="auto"/>
              <w:outlineLvl w:val="0"/>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5" w:type="pct"/>
            <w:vAlign w:val="center"/>
          </w:tcPr>
          <w:p>
            <w:pPr>
              <w:pageBreakBefore w:val="0"/>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5</w:t>
            </w:r>
          </w:p>
        </w:tc>
        <w:tc>
          <w:tcPr>
            <w:tcW w:w="2577" w:type="pct"/>
          </w:tcPr>
          <w:p>
            <w:pPr>
              <w:keepNext w:val="0"/>
              <w:keepLines w:val="0"/>
              <w:pageBreakBefore w:val="0"/>
              <w:shd w:val="clear"/>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拟派项目经理:</w:t>
            </w:r>
          </w:p>
          <w:p>
            <w:pPr>
              <w:keepNext w:val="0"/>
              <w:keepLines w:val="0"/>
              <w:pageBreakBefore w:val="0"/>
              <w:numPr>
                <w:ilvl w:val="0"/>
                <w:numId w:val="2"/>
              </w:numPr>
              <w:shd w:val="clear"/>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bCs/>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截止投标时间年龄</w:t>
            </w:r>
            <w:r>
              <w:rPr>
                <w:rFonts w:hint="eastAsia" w:asciiTheme="minorEastAsia" w:hAnsiTheme="minorEastAsia" w:eastAsiaTheme="minorEastAsia" w:cstheme="minorEastAsia"/>
                <w:color w:val="auto"/>
                <w:sz w:val="24"/>
                <w:szCs w:val="24"/>
                <w:highlight w:val="none"/>
                <w:lang w:val="en-US" w:eastAsia="zh-CN"/>
              </w:rPr>
              <w:t>50</w:t>
            </w:r>
            <w:r>
              <w:rPr>
                <w:rFonts w:hint="eastAsia" w:asciiTheme="minorEastAsia" w:hAnsiTheme="minorEastAsia" w:eastAsiaTheme="minorEastAsia" w:cstheme="minorEastAsia"/>
                <w:color w:val="auto"/>
                <w:sz w:val="24"/>
                <w:szCs w:val="24"/>
                <w:highlight w:val="none"/>
              </w:rPr>
              <w:t>周岁（含）以下，得1分；</w:t>
            </w:r>
            <w:r>
              <w:rPr>
                <w:rFonts w:hint="eastAsia" w:asciiTheme="minorEastAsia" w:hAnsiTheme="minorEastAsia" w:eastAsiaTheme="minorEastAsia" w:cstheme="minorEastAsia"/>
                <w:bCs/>
                <w:color w:val="000000"/>
                <w:sz w:val="24"/>
                <w:szCs w:val="24"/>
                <w:highlight w:val="none"/>
              </w:rPr>
              <w:t>(2)</w:t>
            </w:r>
            <w:r>
              <w:rPr>
                <w:rFonts w:hint="eastAsia" w:asciiTheme="minorEastAsia" w:hAnsiTheme="minorEastAsia" w:eastAsiaTheme="minorEastAsia" w:cstheme="minorEastAsia"/>
                <w:bCs/>
                <w:color w:val="000000"/>
                <w:sz w:val="24"/>
                <w:szCs w:val="24"/>
                <w:highlight w:val="none"/>
                <w:lang w:eastAsia="zh-CN"/>
              </w:rPr>
              <w:t>大专</w:t>
            </w:r>
            <w:r>
              <w:rPr>
                <w:rFonts w:hint="eastAsia" w:asciiTheme="minorEastAsia" w:hAnsiTheme="minorEastAsia" w:eastAsiaTheme="minorEastAsia" w:cstheme="minorEastAsia"/>
                <w:color w:val="000000"/>
                <w:sz w:val="24"/>
                <w:szCs w:val="24"/>
                <w:highlight w:val="none"/>
              </w:rPr>
              <w:t>（含）以上学历的得</w:t>
            </w:r>
            <w:r>
              <w:rPr>
                <w:rFonts w:hint="eastAsia" w:asciiTheme="minorEastAsia" w:hAnsiTheme="minorEastAsia" w:eastAsiaTheme="minorEastAsia" w:cstheme="minorEastAsia"/>
                <w:color w:val="000000"/>
                <w:sz w:val="24"/>
                <w:szCs w:val="24"/>
                <w:highlight w:val="none"/>
                <w:lang w:val="en-US" w:eastAsia="zh-CN"/>
              </w:rPr>
              <w:t>1</w:t>
            </w:r>
            <w:r>
              <w:rPr>
                <w:rFonts w:hint="eastAsia" w:asciiTheme="minorEastAsia" w:hAnsiTheme="minorEastAsia" w:eastAsiaTheme="minorEastAsia" w:cstheme="minorEastAsia"/>
                <w:color w:val="000000"/>
                <w:sz w:val="24"/>
                <w:szCs w:val="24"/>
                <w:highlight w:val="none"/>
              </w:rPr>
              <w:t>分；</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bCs/>
                <w:color w:val="auto"/>
                <w:sz w:val="24"/>
                <w:szCs w:val="24"/>
                <w:highlight w:val="none"/>
                <w:lang w:val="en-US" w:eastAsia="zh-CN"/>
              </w:rPr>
              <w:t>2021年1月1日以来连续在物业管理岗位工作</w:t>
            </w:r>
            <w:r>
              <w:rPr>
                <w:rFonts w:hint="default" w:asciiTheme="minorEastAsia" w:hAnsiTheme="minorEastAsia" w:eastAsiaTheme="minorEastAsia" w:cstheme="minorEastAsia"/>
                <w:bCs/>
                <w:color w:val="auto"/>
                <w:sz w:val="24"/>
                <w:szCs w:val="24"/>
                <w:highlight w:val="none"/>
                <w:lang w:eastAsia="zh-CN"/>
              </w:rPr>
              <w:t>满二年的</w:t>
            </w:r>
            <w:r>
              <w:rPr>
                <w:rFonts w:hint="eastAsia" w:asciiTheme="minorEastAsia" w:hAnsiTheme="minorEastAsia" w:eastAsiaTheme="minorEastAsia" w:cstheme="minorEastAsia"/>
                <w:color w:val="auto"/>
                <w:sz w:val="24"/>
                <w:szCs w:val="24"/>
                <w:highlight w:val="none"/>
              </w:rPr>
              <w:t>得</w:t>
            </w: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rPr>
              <w:t>分</w:t>
            </w:r>
            <w:r>
              <w:rPr>
                <w:rFonts w:hint="default" w:asciiTheme="minorEastAsia" w:hAnsiTheme="minorEastAsia" w:eastAsiaTheme="minorEastAsia" w:cstheme="minorEastAsia"/>
                <w:color w:val="auto"/>
                <w:sz w:val="24"/>
                <w:szCs w:val="24"/>
                <w:highlight w:val="none"/>
              </w:rPr>
              <w:t>；</w:t>
            </w:r>
          </w:p>
          <w:p>
            <w:pPr>
              <w:keepNext w:val="0"/>
              <w:keepLines w:val="0"/>
              <w:pageBreakBefore w:val="0"/>
              <w:widowControl/>
              <w:shd w:val="clear" w:color="auto"/>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须提供配置的人员的身份证、学历证书、近三年来在物业管理岗位从业的相关证明材料，以及</w:t>
            </w:r>
            <w:r>
              <w:rPr>
                <w:rFonts w:hint="eastAsia" w:asciiTheme="minorEastAsia" w:hAnsiTheme="minorEastAsia" w:eastAsiaTheme="minorEastAsia" w:cstheme="minorEastAsia"/>
                <w:color w:val="auto"/>
                <w:sz w:val="24"/>
                <w:szCs w:val="24"/>
                <w:highlight w:val="none"/>
              </w:rPr>
              <w:t>开标前最近连续</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个月的社保部门缴费证明，不提供不得分。）</w:t>
            </w:r>
          </w:p>
        </w:tc>
        <w:tc>
          <w:tcPr>
            <w:tcW w:w="387" w:type="pct"/>
            <w:vAlign w:val="center"/>
          </w:tcPr>
          <w:p>
            <w:pPr>
              <w:pageBreakBefore w:val="0"/>
              <w:kinsoku/>
              <w:wordWrap/>
              <w:overflowPunct/>
              <w:topLinePunct w:val="0"/>
              <w:bidi w:val="0"/>
              <w:spacing w:line="360" w:lineRule="auto"/>
              <w:jc w:val="center"/>
              <w:textAlignment w:val="auto"/>
              <w:outlineLvl w:val="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3</w:t>
            </w:r>
          </w:p>
        </w:tc>
        <w:tc>
          <w:tcPr>
            <w:tcW w:w="585" w:type="pct"/>
            <w:vAlign w:val="center"/>
          </w:tcPr>
          <w:p>
            <w:pPr>
              <w:pageBreakBefore w:val="0"/>
              <w:kinsoku/>
              <w:wordWrap/>
              <w:overflowPunct/>
              <w:topLinePunct w:val="0"/>
              <w:bidi w:val="0"/>
              <w:spacing w:line="360" w:lineRule="auto"/>
              <w:jc w:val="center"/>
              <w:textAlignment w:val="auto"/>
              <w:outlineLvl w:val="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客观分</w:t>
            </w:r>
          </w:p>
        </w:tc>
        <w:tc>
          <w:tcPr>
            <w:tcW w:w="809" w:type="pct"/>
            <w:vMerge w:val="restart"/>
            <w:vAlign w:val="center"/>
          </w:tcPr>
          <w:p>
            <w:pPr>
              <w:pStyle w:val="2"/>
              <w:pageBreakBefore w:val="0"/>
              <w:kinsoku/>
              <w:wordWrap/>
              <w:overflowPunct/>
              <w:topLinePunct w:val="0"/>
              <w:bidi w:val="0"/>
              <w:spacing w:line="360" w:lineRule="auto"/>
              <w:ind w:left="0" w:leftChars="0" w:firstLine="0" w:firstLineChars="0"/>
              <w:jc w:val="center"/>
              <w:textAlignment w:val="auto"/>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人员</w:t>
            </w:r>
          </w:p>
          <w:p>
            <w:pPr>
              <w:pStyle w:val="2"/>
              <w:pageBreakBefore w:val="0"/>
              <w:kinsoku/>
              <w:wordWrap/>
              <w:overflowPunct/>
              <w:topLinePunct w:val="0"/>
              <w:bidi w:val="0"/>
              <w:spacing w:line="360" w:lineRule="auto"/>
              <w:ind w:left="0" w:leftChars="0" w:firstLine="0" w:firstLineChars="0"/>
              <w:jc w:val="center"/>
              <w:textAlignment w:val="auto"/>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配置</w:t>
            </w:r>
          </w:p>
          <w:p>
            <w:pPr>
              <w:pStyle w:val="2"/>
              <w:pageBreakBefore w:val="0"/>
              <w:kinsoku/>
              <w:wordWrap/>
              <w:overflowPunct/>
              <w:topLinePunct w:val="0"/>
              <w:bidi w:val="0"/>
              <w:spacing w:line="360" w:lineRule="auto"/>
              <w:ind w:left="0" w:leftChars="0" w:firstLine="0" w:firstLineChars="0"/>
              <w:jc w:val="center"/>
              <w:textAlignment w:val="auto"/>
              <w:rPr>
                <w:rFonts w:hint="eastAsia" w:asciiTheme="minorEastAsia" w:hAnsiTheme="minorEastAsia" w:eastAsiaTheme="minorEastAsia" w:cstheme="minorEastAsia"/>
                <w:color w:val="auto"/>
                <w:sz w:val="24"/>
                <w:szCs w:val="24"/>
                <w:highlight w:val="none"/>
              </w:rPr>
            </w:pPr>
          </w:p>
        </w:tc>
        <w:tc>
          <w:tcPr>
            <w:tcW w:w="254" w:type="pct"/>
            <w:vMerge w:val="continue"/>
            <w:tcBorders>
              <w:top w:val="nil"/>
              <w:bottom w:val="nil"/>
              <w:right w:val="nil"/>
            </w:tcBorders>
            <w:vAlign w:val="center"/>
          </w:tcPr>
          <w:p>
            <w:pPr>
              <w:pageBreakBefore w:val="0"/>
              <w:kinsoku/>
              <w:wordWrap/>
              <w:overflowPunct/>
              <w:topLinePunct w:val="0"/>
              <w:bidi w:val="0"/>
              <w:spacing w:line="360" w:lineRule="auto"/>
              <w:ind w:firstLine="420"/>
              <w:jc w:val="center"/>
              <w:textAlignment w:val="auto"/>
              <w:outlineLvl w:val="0"/>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385" w:type="pct"/>
            <w:vAlign w:val="center"/>
          </w:tcPr>
          <w:p>
            <w:pPr>
              <w:pageBreakBefore w:val="0"/>
              <w:kinsoku/>
              <w:wordWrap/>
              <w:overflowPunct/>
              <w:topLinePunct w:val="0"/>
              <w:bidi w:val="0"/>
              <w:snapToGrid w:val="0"/>
              <w:spacing w:line="360" w:lineRule="auto"/>
              <w:jc w:val="center"/>
              <w:textAlignment w:val="auto"/>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6</w:t>
            </w:r>
          </w:p>
        </w:tc>
        <w:tc>
          <w:tcPr>
            <w:tcW w:w="2577" w:type="pct"/>
          </w:tcPr>
          <w:p>
            <w:pPr>
              <w:keepNext w:val="0"/>
              <w:keepLines w:val="0"/>
              <w:pageBreakBefore w:val="0"/>
              <w:widowControl/>
              <w:shd w:val="clear" w:color="auto" w:fill="FFFFFF"/>
              <w:kinsoku/>
              <w:wordWrap/>
              <w:overflowPunct/>
              <w:topLinePunct w:val="0"/>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rPr>
              <w:t>拟派</w:t>
            </w:r>
            <w:r>
              <w:rPr>
                <w:rFonts w:hint="eastAsia" w:asciiTheme="minorEastAsia" w:hAnsiTheme="minorEastAsia" w:eastAsiaTheme="minorEastAsia" w:cstheme="minorEastAsia"/>
                <w:color w:val="auto"/>
                <w:sz w:val="24"/>
                <w:szCs w:val="24"/>
                <w:highlight w:val="none"/>
                <w:lang w:val="en-US" w:eastAsia="zh-CN"/>
              </w:rPr>
              <w:t>安保人员：</w:t>
            </w:r>
          </w:p>
          <w:p>
            <w:pPr>
              <w:keepNext w:val="0"/>
              <w:keepLines w:val="0"/>
              <w:pageBreakBefore w:val="0"/>
              <w:widowControl/>
              <w:numPr>
                <w:ilvl w:val="0"/>
                <w:numId w:val="0"/>
              </w:numPr>
              <w:shd w:val="clear" w:color="auto" w:fill="FFFFFF"/>
              <w:kinsoku/>
              <w:wordWrap/>
              <w:overflowPunct/>
              <w:topLinePunct w:val="0"/>
              <w:bidi w:val="0"/>
              <w:adjustRightInd/>
              <w:snapToGrid/>
              <w:spacing w:line="360" w:lineRule="auto"/>
              <w:jc w:val="left"/>
              <w:textAlignment w:val="auto"/>
              <w:rPr>
                <w:rFonts w:hint="eastAsia" w:asciiTheme="minorEastAsia" w:hAnsiTheme="minorEastAsia" w:eastAsiaTheme="minorEastAsia" w:cstheme="minorEastAsia"/>
                <w:bCs/>
                <w:color w:val="auto"/>
                <w:sz w:val="24"/>
                <w:highlight w:val="none"/>
                <w:lang w:val="en-US" w:eastAsia="zh-CN" w:bidi="ar"/>
              </w:rPr>
            </w:pPr>
            <w:r>
              <w:rPr>
                <w:rFonts w:hint="eastAsia" w:asciiTheme="minorEastAsia" w:hAnsiTheme="minorEastAsia" w:eastAsiaTheme="minorEastAsia" w:cstheme="minorEastAsia"/>
                <w:color w:val="auto"/>
                <w:sz w:val="24"/>
                <w:szCs w:val="24"/>
                <w:highlight w:val="none"/>
                <w:lang w:val="en-US" w:eastAsia="zh-CN"/>
              </w:rPr>
              <w:t xml:space="preserve">   (1)</w:t>
            </w:r>
            <w:r>
              <w:rPr>
                <w:rFonts w:hint="eastAsia" w:asciiTheme="minorEastAsia" w:hAnsiTheme="minorEastAsia" w:eastAsiaTheme="minorEastAsia" w:cstheme="minorEastAsia"/>
                <w:color w:val="auto"/>
                <w:sz w:val="24"/>
                <w:szCs w:val="24"/>
                <w:highlight w:val="none"/>
              </w:rPr>
              <w:t>截止投标时间</w:t>
            </w:r>
            <w:r>
              <w:rPr>
                <w:rFonts w:hint="eastAsia" w:asciiTheme="minorEastAsia" w:hAnsiTheme="minorEastAsia" w:eastAsiaTheme="minorEastAsia" w:cstheme="minorEastAsia"/>
                <w:bCs/>
                <w:color w:val="auto"/>
                <w:sz w:val="24"/>
                <w:highlight w:val="none"/>
                <w:lang w:bidi="ar"/>
              </w:rPr>
              <w:t>拟派安保人员</w:t>
            </w:r>
            <w:r>
              <w:rPr>
                <w:rFonts w:hint="eastAsia" w:asciiTheme="minorEastAsia" w:hAnsiTheme="minorEastAsia" w:eastAsiaTheme="minorEastAsia" w:cstheme="minorEastAsia"/>
                <w:bCs/>
                <w:color w:val="auto"/>
                <w:sz w:val="24"/>
                <w:highlight w:val="none"/>
                <w:lang w:eastAsia="zh-CN" w:bidi="ar"/>
              </w:rPr>
              <w:t>，</w:t>
            </w:r>
            <w:r>
              <w:rPr>
                <w:rFonts w:hint="eastAsia" w:asciiTheme="minorEastAsia" w:hAnsiTheme="minorEastAsia" w:eastAsiaTheme="minorEastAsia" w:cstheme="minorEastAsia"/>
                <w:bCs/>
                <w:color w:val="auto"/>
                <w:sz w:val="24"/>
                <w:highlight w:val="none"/>
                <w:lang w:val="en-US" w:eastAsia="zh-CN" w:bidi="ar"/>
              </w:rPr>
              <w:t>男性且50</w:t>
            </w:r>
            <w:r>
              <w:rPr>
                <w:rFonts w:hint="eastAsia" w:asciiTheme="minorEastAsia" w:hAnsiTheme="minorEastAsia" w:eastAsiaTheme="minorEastAsia" w:cstheme="minorEastAsia"/>
                <w:bCs/>
                <w:color w:val="auto"/>
                <w:sz w:val="24"/>
                <w:highlight w:val="none"/>
                <w:lang w:bidi="ar"/>
              </w:rPr>
              <w:t>周岁（含）以下</w:t>
            </w:r>
            <w:r>
              <w:rPr>
                <w:rFonts w:hint="eastAsia" w:asciiTheme="minorEastAsia" w:hAnsiTheme="minorEastAsia" w:eastAsiaTheme="minorEastAsia" w:cstheme="minorEastAsia"/>
                <w:bCs/>
                <w:color w:val="auto"/>
                <w:sz w:val="24"/>
                <w:highlight w:val="none"/>
                <w:lang w:val="en-US" w:eastAsia="zh-CN" w:bidi="ar"/>
              </w:rPr>
              <w:t>每人得0.5分，此项最高5分；</w:t>
            </w:r>
          </w:p>
          <w:p>
            <w:pPr>
              <w:keepNext w:val="0"/>
              <w:keepLines w:val="0"/>
              <w:pageBreakBefore w:val="0"/>
              <w:widowControl/>
              <w:numPr>
                <w:ilvl w:val="0"/>
                <w:numId w:val="0"/>
              </w:numPr>
              <w:shd w:val="clear" w:color="auto" w:fill="FFFFFF"/>
              <w:kinsoku/>
              <w:wordWrap/>
              <w:overflowPunct/>
              <w:topLinePunct w:val="0"/>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lang w:val="en-US" w:eastAsia="zh-CN"/>
              </w:rPr>
              <w:t xml:space="preserve">  </w:t>
            </w:r>
            <w:r>
              <w:rPr>
                <w:rFonts w:hint="eastAsia" w:asciiTheme="minorEastAsia" w:hAnsiTheme="minorEastAsia" w:eastAsiaTheme="minorEastAsia" w:cstheme="minorEastAsia"/>
                <w:color w:val="auto"/>
                <w:sz w:val="24"/>
                <w:szCs w:val="24"/>
                <w:highlight w:val="none"/>
                <w:lang w:val="en-US" w:eastAsia="zh-CN"/>
              </w:rPr>
              <w:t xml:space="preserve"> （2）具有高中及以上学历，每人得0.5分，此项最高</w:t>
            </w:r>
            <w:r>
              <w:rPr>
                <w:rFonts w:hint="default" w:asciiTheme="minorEastAsia" w:hAnsiTheme="minorEastAsia" w:eastAsiaTheme="minorEastAsia" w:cstheme="minorEastAsia"/>
                <w:color w:val="auto"/>
                <w:sz w:val="24"/>
                <w:szCs w:val="24"/>
                <w:highlight w:val="none"/>
                <w:lang w:eastAsia="zh-CN"/>
              </w:rPr>
              <w:t>3</w:t>
            </w:r>
            <w:r>
              <w:rPr>
                <w:rFonts w:hint="eastAsia" w:asciiTheme="minorEastAsia" w:hAnsiTheme="minorEastAsia" w:eastAsiaTheme="minorEastAsia" w:cstheme="minorEastAsia"/>
                <w:color w:val="auto"/>
                <w:sz w:val="24"/>
                <w:szCs w:val="24"/>
                <w:highlight w:val="none"/>
                <w:lang w:val="en-US" w:eastAsia="zh-CN"/>
              </w:rPr>
              <w:t>分。</w:t>
            </w:r>
          </w:p>
          <w:p>
            <w:pPr>
              <w:keepNext w:val="0"/>
              <w:keepLines w:val="0"/>
              <w:pageBreakBefore w:val="0"/>
              <w:widowControl/>
              <w:numPr>
                <w:ilvl w:val="0"/>
                <w:numId w:val="0"/>
              </w:numPr>
              <w:shd w:val="clear" w:color="auto" w:fill="FFFFFF"/>
              <w:kinsoku/>
              <w:wordWrap/>
              <w:overflowPunct/>
              <w:topLinePunct w:val="0"/>
              <w:bidi w:val="0"/>
              <w:adjustRightInd/>
              <w:snapToGrid/>
              <w:spacing w:line="360" w:lineRule="auto"/>
              <w:ind w:firstLine="480" w:firstLineChars="200"/>
              <w:jc w:val="left"/>
              <w:textAlignment w:val="auto"/>
              <w:rPr>
                <w:rFonts w:hint="eastAsia"/>
                <w:color w:val="auto"/>
                <w:lang w:val="en-US" w:eastAsia="zh-CN"/>
              </w:rPr>
            </w:pPr>
            <w:r>
              <w:rPr>
                <w:rFonts w:hint="eastAsia" w:asciiTheme="minorEastAsia" w:hAnsiTheme="minorEastAsia" w:eastAsiaTheme="minorEastAsia" w:cstheme="minorEastAsia"/>
                <w:color w:val="auto"/>
                <w:sz w:val="24"/>
                <w:szCs w:val="24"/>
                <w:highlight w:val="none"/>
                <w:lang w:eastAsia="zh-CN"/>
              </w:rPr>
              <w:t>（</w:t>
            </w:r>
            <w:r>
              <w:rPr>
                <w:rFonts w:hint="default" w:asciiTheme="minorEastAsia" w:hAnsiTheme="minorEastAsia" w:eastAsiaTheme="minorEastAsia" w:cstheme="minorEastAsia"/>
                <w:color w:val="auto"/>
                <w:sz w:val="24"/>
                <w:szCs w:val="24"/>
                <w:highlight w:val="none"/>
                <w:lang w:eastAsia="zh-CN"/>
              </w:rPr>
              <w:t>3</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截止投标时间</w:t>
            </w:r>
            <w:r>
              <w:rPr>
                <w:rFonts w:hint="eastAsia" w:asciiTheme="minorEastAsia" w:hAnsiTheme="minorEastAsia" w:eastAsiaTheme="minorEastAsia" w:cstheme="minorEastAsia"/>
                <w:bCs/>
                <w:color w:val="auto"/>
                <w:sz w:val="24"/>
                <w:highlight w:val="none"/>
                <w:lang w:val="en-US" w:eastAsia="zh-CN" w:bidi="ar"/>
              </w:rPr>
              <w:t>拟派保安人员有三年及以上保安工作经验的，每人得0.5分，此项最高</w:t>
            </w:r>
            <w:r>
              <w:rPr>
                <w:rFonts w:hint="default" w:asciiTheme="minorEastAsia" w:hAnsiTheme="minorEastAsia" w:eastAsiaTheme="minorEastAsia" w:cstheme="minorEastAsia"/>
                <w:bCs/>
                <w:color w:val="auto"/>
                <w:sz w:val="24"/>
                <w:highlight w:val="none"/>
                <w:lang w:eastAsia="zh-CN" w:bidi="ar"/>
              </w:rPr>
              <w:t>3</w:t>
            </w:r>
            <w:r>
              <w:rPr>
                <w:rFonts w:hint="eastAsia" w:asciiTheme="minorEastAsia" w:hAnsiTheme="minorEastAsia" w:eastAsiaTheme="minorEastAsia" w:cstheme="minorEastAsia"/>
                <w:bCs/>
                <w:color w:val="auto"/>
                <w:sz w:val="24"/>
                <w:highlight w:val="none"/>
                <w:lang w:val="en-US" w:eastAsia="zh-CN" w:bidi="ar"/>
              </w:rPr>
              <w:t>分。</w:t>
            </w:r>
          </w:p>
          <w:p>
            <w:pPr>
              <w:pStyle w:val="2"/>
              <w:numPr>
                <w:ilvl w:val="0"/>
                <w:numId w:val="0"/>
              </w:numPr>
              <w:ind w:firstLine="480" w:firstLineChars="200"/>
              <w:rPr>
                <w:rFonts w:hint="default"/>
                <w:lang w:val="en-US" w:eastAsia="zh-CN"/>
              </w:rPr>
            </w:pPr>
            <w:r>
              <w:rPr>
                <w:rFonts w:hint="eastAsia" w:asciiTheme="minorEastAsia" w:hAnsiTheme="minorEastAsia" w:eastAsiaTheme="minorEastAsia" w:cstheme="minorEastAsia"/>
                <w:color w:val="auto"/>
                <w:sz w:val="24"/>
                <w:szCs w:val="24"/>
                <w:highlight w:val="none"/>
                <w:lang w:eastAsia="zh-CN"/>
              </w:rPr>
              <w:t>（</w:t>
            </w:r>
            <w:r>
              <w:rPr>
                <w:rFonts w:hint="default" w:asciiTheme="minorEastAsia" w:hAnsiTheme="minorEastAsia" w:eastAsiaTheme="minorEastAsia" w:cstheme="minorEastAsia"/>
                <w:color w:val="auto"/>
                <w:sz w:val="24"/>
                <w:szCs w:val="24"/>
                <w:highlight w:val="none"/>
                <w:lang w:eastAsia="zh-CN"/>
              </w:rPr>
              <w:t>4</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截止投标时间</w:t>
            </w:r>
            <w:r>
              <w:rPr>
                <w:rFonts w:hint="eastAsia" w:asciiTheme="minorEastAsia" w:hAnsiTheme="minorEastAsia" w:eastAsiaTheme="minorEastAsia" w:cstheme="minorEastAsia"/>
                <w:bCs/>
                <w:color w:val="auto"/>
                <w:sz w:val="24"/>
                <w:highlight w:val="none"/>
                <w:lang w:val="en-US" w:eastAsia="zh-CN" w:bidi="ar"/>
              </w:rPr>
              <w:t>拟派保安人员有退伍军人的，每人得0.5分，此项最高1分</w:t>
            </w:r>
            <w:r>
              <w:rPr>
                <w:rFonts w:hint="eastAsia" w:asciiTheme="minorEastAsia" w:hAnsiTheme="minorEastAsia" w:eastAsiaTheme="minorEastAsia" w:cstheme="minorEastAsia"/>
                <w:bCs/>
                <w:color w:val="auto"/>
                <w:sz w:val="24"/>
                <w:highlight w:val="none"/>
                <w:lang w:eastAsia="zh-CN" w:bidi="ar"/>
              </w:rPr>
              <w:t>。</w:t>
            </w:r>
          </w:p>
          <w:p>
            <w:pPr>
              <w:keepNext w:val="0"/>
              <w:keepLines w:val="0"/>
              <w:pageBreakBefore w:val="0"/>
              <w:widowControl/>
              <w:shd w:val="clear" w:color="auto" w:fill="FFFFFF"/>
              <w:kinsoku/>
              <w:wordWrap/>
              <w:overflowPunct/>
              <w:topLinePunct w:val="0"/>
              <w:bidi w:val="0"/>
              <w:adjustRightInd/>
              <w:snapToGrid/>
              <w:spacing w:line="360" w:lineRule="auto"/>
              <w:jc w:val="left"/>
              <w:textAlignment w:val="auto"/>
              <w:rPr>
                <w:rFonts w:hint="eastAsia"/>
                <w:lang w:eastAsia="zh-CN"/>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须提供配置的人员的身份证、学历证书、相关证书复印件和工作经验证明，以及</w:t>
            </w:r>
            <w:r>
              <w:rPr>
                <w:rFonts w:hint="eastAsia" w:asciiTheme="minorEastAsia" w:hAnsiTheme="minorEastAsia" w:eastAsiaTheme="minorEastAsia" w:cstheme="minorEastAsia"/>
                <w:color w:val="auto"/>
                <w:sz w:val="24"/>
                <w:szCs w:val="24"/>
                <w:highlight w:val="none"/>
              </w:rPr>
              <w:t>开标前最近连续三个月的社保部门缴费证明，不提供不得分。</w:t>
            </w:r>
          </w:p>
        </w:tc>
        <w:tc>
          <w:tcPr>
            <w:tcW w:w="387" w:type="pct"/>
            <w:vAlign w:val="center"/>
          </w:tcPr>
          <w:p>
            <w:pPr>
              <w:pageBreakBefore w:val="0"/>
              <w:kinsoku/>
              <w:wordWrap/>
              <w:overflowPunct/>
              <w:topLinePunct w:val="0"/>
              <w:bidi w:val="0"/>
              <w:spacing w:line="360" w:lineRule="auto"/>
              <w:jc w:val="center"/>
              <w:textAlignment w:val="auto"/>
              <w:outlineLvl w:val="0"/>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12</w:t>
            </w:r>
          </w:p>
        </w:tc>
        <w:tc>
          <w:tcPr>
            <w:tcW w:w="585" w:type="pct"/>
            <w:vAlign w:val="center"/>
          </w:tcPr>
          <w:p>
            <w:pPr>
              <w:pageBreakBefore w:val="0"/>
              <w:kinsoku/>
              <w:wordWrap/>
              <w:overflowPunct/>
              <w:topLinePunct w:val="0"/>
              <w:bidi w:val="0"/>
              <w:spacing w:line="360" w:lineRule="auto"/>
              <w:jc w:val="center"/>
              <w:textAlignment w:val="auto"/>
              <w:outlineLvl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szCs w:val="24"/>
                <w:highlight w:val="none"/>
              </w:rPr>
              <w:t>客观分</w:t>
            </w:r>
          </w:p>
        </w:tc>
        <w:tc>
          <w:tcPr>
            <w:tcW w:w="809" w:type="pct"/>
            <w:vMerge w:val="continue"/>
            <w:vAlign w:val="center"/>
          </w:tcPr>
          <w:p>
            <w:pPr>
              <w:pStyle w:val="2"/>
              <w:pageBreakBefore w:val="0"/>
              <w:kinsoku/>
              <w:wordWrap/>
              <w:overflowPunct/>
              <w:topLinePunct w:val="0"/>
              <w:bidi w:val="0"/>
              <w:spacing w:line="360" w:lineRule="auto"/>
              <w:ind w:left="0" w:leftChars="0" w:firstLine="0" w:firstLineChars="0"/>
              <w:jc w:val="center"/>
              <w:textAlignment w:val="auto"/>
              <w:rPr>
                <w:rFonts w:hint="eastAsia" w:asciiTheme="minorEastAsia" w:hAnsiTheme="minorEastAsia" w:eastAsiaTheme="minorEastAsia" w:cstheme="minorEastAsia"/>
                <w:color w:val="auto"/>
                <w:sz w:val="24"/>
                <w:szCs w:val="24"/>
                <w:highlight w:val="none"/>
                <w:lang w:val="en-US"/>
              </w:rPr>
            </w:pPr>
          </w:p>
        </w:tc>
        <w:tc>
          <w:tcPr>
            <w:tcW w:w="254" w:type="pct"/>
            <w:vMerge w:val="continue"/>
            <w:tcBorders>
              <w:top w:val="nil"/>
              <w:bottom w:val="nil"/>
              <w:right w:val="nil"/>
            </w:tcBorders>
            <w:vAlign w:val="center"/>
          </w:tcPr>
          <w:p>
            <w:pPr>
              <w:pageBreakBefore w:val="0"/>
              <w:kinsoku/>
              <w:wordWrap/>
              <w:overflowPunct/>
              <w:topLinePunct w:val="0"/>
              <w:bidi w:val="0"/>
              <w:spacing w:line="360" w:lineRule="auto"/>
              <w:ind w:firstLine="420"/>
              <w:jc w:val="center"/>
              <w:textAlignment w:val="auto"/>
              <w:outlineLvl w:val="0"/>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5" w:type="pct"/>
            <w:vAlign w:val="center"/>
          </w:tcPr>
          <w:p>
            <w:pPr>
              <w:pageBreakBefore w:val="0"/>
              <w:kinsoku/>
              <w:wordWrap/>
              <w:overflowPunct/>
              <w:topLinePunct w:val="0"/>
              <w:bidi w:val="0"/>
              <w:snapToGrid w:val="0"/>
              <w:spacing w:line="360" w:lineRule="auto"/>
              <w:jc w:val="center"/>
              <w:textAlignment w:val="auto"/>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7</w:t>
            </w:r>
          </w:p>
        </w:tc>
        <w:tc>
          <w:tcPr>
            <w:tcW w:w="2577" w:type="pct"/>
            <w:vAlign w:val="center"/>
          </w:tcPr>
          <w:p>
            <w:pPr>
              <w:pageBreakBefore w:val="0"/>
              <w:numPr>
                <w:ilvl w:val="0"/>
                <w:numId w:val="0"/>
              </w:numPr>
              <w:kinsoku/>
              <w:wordWrap/>
              <w:overflowPunct/>
              <w:topLinePunct w:val="0"/>
              <w:bidi w:val="0"/>
              <w:spacing w:line="360" w:lineRule="auto"/>
              <w:jc w:val="left"/>
              <w:textAlignment w:val="auto"/>
              <w:rPr>
                <w:rFonts w:hint="eastAsia" w:asciiTheme="minorEastAsia" w:hAnsiTheme="minorEastAsia" w:eastAsiaTheme="minorEastAsia" w:cstheme="minorEastAsia"/>
                <w:color w:val="auto"/>
                <w:spacing w:val="-6"/>
                <w:sz w:val="24"/>
                <w:szCs w:val="24"/>
                <w:highlight w:val="none"/>
                <w:lang w:val="en-US" w:eastAsia="zh-CN"/>
              </w:rPr>
            </w:pPr>
            <w:r>
              <w:rPr>
                <w:rFonts w:hint="eastAsia" w:asciiTheme="minorEastAsia" w:hAnsiTheme="minorEastAsia" w:eastAsiaTheme="minorEastAsia" w:cstheme="minorEastAsia"/>
                <w:color w:val="auto"/>
                <w:spacing w:val="-6"/>
                <w:sz w:val="24"/>
                <w:szCs w:val="24"/>
                <w:highlight w:val="none"/>
                <w:lang w:val="en-US" w:eastAsia="zh-CN"/>
              </w:rPr>
              <w:t>制定安保管理方案。</w:t>
            </w:r>
          </w:p>
          <w:p>
            <w:pPr>
              <w:pStyle w:val="2"/>
              <w:rPr>
                <w:rFonts w:hint="eastAsia"/>
                <w:lang w:val="en-US" w:eastAsia="zh-CN"/>
              </w:rPr>
            </w:pPr>
            <w:r>
              <w:rPr>
                <w:rFonts w:hint="eastAsia" w:asciiTheme="minorEastAsia" w:hAnsiTheme="minorEastAsia" w:eastAsiaTheme="minorEastAsia" w:cstheme="minorEastAsia"/>
                <w:color w:val="auto"/>
                <w:spacing w:val="-6"/>
                <w:sz w:val="24"/>
                <w:szCs w:val="24"/>
                <w:highlight w:val="none"/>
              </w:rPr>
              <w:t>方案及管理制度内容具体合理，贴合采购实际，可行性高的得</w:t>
            </w:r>
            <w:r>
              <w:rPr>
                <w:rFonts w:hint="eastAsia" w:asciiTheme="minorEastAsia" w:hAnsiTheme="minorEastAsia" w:eastAsiaTheme="minorEastAsia" w:cstheme="minorEastAsia"/>
                <w:color w:val="auto"/>
                <w:spacing w:val="-6"/>
                <w:sz w:val="24"/>
                <w:szCs w:val="24"/>
                <w:highlight w:val="none"/>
                <w:lang w:val="en-US" w:eastAsia="zh-CN"/>
              </w:rPr>
              <w:t>4</w:t>
            </w:r>
            <w:r>
              <w:rPr>
                <w:rFonts w:hint="eastAsia" w:asciiTheme="minorEastAsia" w:hAnsiTheme="minorEastAsia" w:eastAsiaTheme="minorEastAsia" w:cstheme="minorEastAsia"/>
                <w:color w:val="auto"/>
                <w:spacing w:val="-6"/>
                <w:sz w:val="24"/>
                <w:szCs w:val="24"/>
                <w:highlight w:val="none"/>
              </w:rPr>
              <w:t>分；方案及管理制度内容基本合理，可行性一般的得</w:t>
            </w:r>
            <w:r>
              <w:rPr>
                <w:rFonts w:hint="eastAsia" w:asciiTheme="minorEastAsia" w:hAnsiTheme="minorEastAsia" w:eastAsiaTheme="minorEastAsia" w:cstheme="minorEastAsia"/>
                <w:color w:val="auto"/>
                <w:spacing w:val="-6"/>
                <w:sz w:val="24"/>
                <w:szCs w:val="24"/>
                <w:highlight w:val="none"/>
                <w:lang w:val="en-US" w:eastAsia="zh-CN"/>
              </w:rPr>
              <w:t>2</w:t>
            </w:r>
            <w:r>
              <w:rPr>
                <w:rFonts w:hint="eastAsia" w:asciiTheme="minorEastAsia" w:hAnsiTheme="minorEastAsia" w:eastAsiaTheme="minorEastAsia" w:cstheme="minorEastAsia"/>
                <w:color w:val="auto"/>
                <w:spacing w:val="-6"/>
                <w:sz w:val="24"/>
                <w:szCs w:val="24"/>
                <w:highlight w:val="none"/>
              </w:rPr>
              <w:t>分，</w:t>
            </w:r>
            <w:r>
              <w:rPr>
                <w:rFonts w:hint="eastAsia" w:asciiTheme="minorEastAsia" w:hAnsiTheme="minorEastAsia" w:eastAsiaTheme="minorEastAsia" w:cstheme="minorEastAsia"/>
                <w:color w:val="auto"/>
                <w:sz w:val="24"/>
                <w:szCs w:val="24"/>
                <w:highlight w:val="none"/>
              </w:rPr>
              <w:t>可行性差得0分。</w:t>
            </w:r>
          </w:p>
        </w:tc>
        <w:tc>
          <w:tcPr>
            <w:tcW w:w="387" w:type="pct"/>
            <w:vAlign w:val="center"/>
          </w:tcPr>
          <w:p>
            <w:pPr>
              <w:pageBreakBefore w:val="0"/>
              <w:kinsoku/>
              <w:wordWrap/>
              <w:overflowPunct/>
              <w:topLinePunct w:val="0"/>
              <w:bidi w:val="0"/>
              <w:spacing w:line="360" w:lineRule="auto"/>
              <w:jc w:val="center"/>
              <w:textAlignment w:val="auto"/>
              <w:outlineLvl w:val="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rPr>
              <w:t>4</w:t>
            </w:r>
          </w:p>
        </w:tc>
        <w:tc>
          <w:tcPr>
            <w:tcW w:w="585" w:type="pct"/>
            <w:vAlign w:val="center"/>
          </w:tcPr>
          <w:p>
            <w:pPr>
              <w:pageBreakBefore w:val="0"/>
              <w:kinsoku/>
              <w:wordWrap/>
              <w:overflowPunct/>
              <w:topLinePunct w:val="0"/>
              <w:bidi w:val="0"/>
              <w:spacing w:line="360" w:lineRule="auto"/>
              <w:jc w:val="center"/>
              <w:textAlignment w:val="auto"/>
              <w:outlineLvl w:val="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rPr>
              <w:t>主观分</w:t>
            </w:r>
          </w:p>
        </w:tc>
        <w:tc>
          <w:tcPr>
            <w:tcW w:w="809" w:type="pct"/>
            <w:vMerge w:val="restart"/>
            <w:vAlign w:val="center"/>
          </w:tcPr>
          <w:p>
            <w:pPr>
              <w:pageBreakBefore w:val="0"/>
              <w:kinsoku/>
              <w:wordWrap/>
              <w:overflowPunct/>
              <w:topLinePunct w:val="0"/>
              <w:bidi w:val="0"/>
              <w:spacing w:line="360" w:lineRule="auto"/>
              <w:jc w:val="center"/>
              <w:textAlignment w:val="auto"/>
              <w:rPr>
                <w:rFonts w:hint="eastAsia" w:asciiTheme="minorEastAsia" w:hAnsiTheme="minorEastAsia" w:eastAsiaTheme="minorEastAsia" w:cstheme="minorEastAsia"/>
                <w:color w:val="auto"/>
                <w:spacing w:val="-6"/>
                <w:sz w:val="24"/>
                <w:szCs w:val="24"/>
                <w:highlight w:val="none"/>
              </w:rPr>
            </w:pPr>
            <w:r>
              <w:rPr>
                <w:rFonts w:hint="eastAsia" w:asciiTheme="minorEastAsia" w:hAnsiTheme="minorEastAsia" w:eastAsiaTheme="minorEastAsia" w:cstheme="minorEastAsia"/>
                <w:color w:val="auto"/>
                <w:spacing w:val="-6"/>
                <w:sz w:val="24"/>
                <w:szCs w:val="24"/>
                <w:highlight w:val="none"/>
              </w:rPr>
              <w:t>技术</w:t>
            </w:r>
          </w:p>
          <w:p>
            <w:pPr>
              <w:pageBreakBefore w:val="0"/>
              <w:kinsoku/>
              <w:wordWrap/>
              <w:overflowPunct/>
              <w:topLinePunct w:val="0"/>
              <w:bidi w:val="0"/>
              <w:spacing w:line="360" w:lineRule="auto"/>
              <w:jc w:val="center"/>
              <w:textAlignment w:val="auto"/>
              <w:rPr>
                <w:rFonts w:hint="eastAsia" w:asciiTheme="minorEastAsia" w:hAnsiTheme="minorEastAsia" w:eastAsiaTheme="minorEastAsia" w:cstheme="minorEastAsia"/>
                <w:color w:val="auto"/>
                <w:spacing w:val="-6"/>
                <w:sz w:val="24"/>
                <w:szCs w:val="24"/>
                <w:highlight w:val="none"/>
              </w:rPr>
            </w:pPr>
            <w:r>
              <w:rPr>
                <w:rFonts w:hint="eastAsia" w:asciiTheme="minorEastAsia" w:hAnsiTheme="minorEastAsia" w:eastAsiaTheme="minorEastAsia" w:cstheme="minorEastAsia"/>
                <w:color w:val="auto"/>
                <w:spacing w:val="-6"/>
                <w:sz w:val="24"/>
                <w:szCs w:val="24"/>
                <w:highlight w:val="none"/>
              </w:rPr>
              <w:t>方案</w:t>
            </w:r>
          </w:p>
          <w:p>
            <w:pPr>
              <w:pageBreakBefore w:val="0"/>
              <w:kinsoku/>
              <w:wordWrap/>
              <w:overflowPunct/>
              <w:topLinePunct w:val="0"/>
              <w:bidi w:val="0"/>
              <w:spacing w:line="360" w:lineRule="auto"/>
              <w:jc w:val="center"/>
              <w:textAlignment w:val="auto"/>
              <w:outlineLvl w:val="0"/>
              <w:rPr>
                <w:rFonts w:hint="eastAsia" w:asciiTheme="minorEastAsia" w:hAnsiTheme="minorEastAsia" w:eastAsiaTheme="minorEastAsia" w:cstheme="minorEastAsia"/>
                <w:color w:val="auto"/>
                <w:spacing w:val="-6"/>
                <w:sz w:val="24"/>
                <w:szCs w:val="24"/>
                <w:highlight w:val="none"/>
              </w:rPr>
            </w:pPr>
          </w:p>
          <w:p>
            <w:pPr>
              <w:bidi w:val="0"/>
              <w:jc w:val="center"/>
              <w:rPr>
                <w:rFonts w:hint="eastAsia"/>
                <w:color w:val="auto"/>
                <w:sz w:val="24"/>
                <w:szCs w:val="24"/>
                <w:highlight w:val="none"/>
              </w:rPr>
            </w:pPr>
          </w:p>
          <w:p>
            <w:pPr>
              <w:bidi w:val="0"/>
              <w:jc w:val="center"/>
              <w:rPr>
                <w:rFonts w:hint="eastAsia" w:asciiTheme="minorEastAsia" w:hAnsiTheme="minorEastAsia" w:eastAsiaTheme="minorEastAsia" w:cstheme="minorEastAsia"/>
                <w:color w:val="auto"/>
                <w:szCs w:val="24"/>
                <w:highlight w:val="none"/>
              </w:rPr>
            </w:pPr>
          </w:p>
        </w:tc>
        <w:tc>
          <w:tcPr>
            <w:tcW w:w="254" w:type="pct"/>
            <w:vMerge w:val="continue"/>
            <w:tcBorders>
              <w:top w:val="nil"/>
              <w:bottom w:val="nil"/>
              <w:right w:val="nil"/>
            </w:tcBorders>
            <w:vAlign w:val="center"/>
          </w:tcPr>
          <w:p>
            <w:pPr>
              <w:pageBreakBefore w:val="0"/>
              <w:kinsoku/>
              <w:wordWrap/>
              <w:overflowPunct/>
              <w:topLinePunct w:val="0"/>
              <w:bidi w:val="0"/>
              <w:spacing w:line="360" w:lineRule="auto"/>
              <w:ind w:firstLine="396"/>
              <w:jc w:val="center"/>
              <w:textAlignment w:val="auto"/>
              <w:outlineLvl w:val="0"/>
              <w:rPr>
                <w:rFonts w:hint="eastAsia" w:asciiTheme="minorEastAsia" w:hAnsiTheme="minorEastAsia" w:eastAsiaTheme="minorEastAsia" w:cstheme="minorEastAsia"/>
                <w:color w:val="auto"/>
                <w:spacing w:val="-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385" w:type="pct"/>
            <w:vAlign w:val="center"/>
          </w:tcPr>
          <w:p>
            <w:pPr>
              <w:pageBreakBefore w:val="0"/>
              <w:kinsoku/>
              <w:wordWrap/>
              <w:overflowPunct/>
              <w:topLinePunct w:val="0"/>
              <w:bidi w:val="0"/>
              <w:snapToGrid w:val="0"/>
              <w:spacing w:line="360" w:lineRule="auto"/>
              <w:jc w:val="center"/>
              <w:textAlignment w:val="auto"/>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8</w:t>
            </w:r>
          </w:p>
        </w:tc>
        <w:tc>
          <w:tcPr>
            <w:tcW w:w="2577" w:type="pct"/>
            <w:vAlign w:val="center"/>
          </w:tcPr>
          <w:p>
            <w:pPr>
              <w:pageBreakBefore w:val="0"/>
              <w:kinsoku/>
              <w:wordWrap/>
              <w:overflowPunct/>
              <w:topLinePunct w:val="0"/>
              <w:bidi w:val="0"/>
              <w:spacing w:line="360" w:lineRule="auto"/>
              <w:jc w:val="left"/>
              <w:textAlignment w:val="auto"/>
              <w:rPr>
                <w:rFonts w:hint="eastAsia" w:asciiTheme="minorEastAsia" w:hAnsiTheme="minorEastAsia" w:eastAsiaTheme="minorEastAsia" w:cstheme="minorEastAsia"/>
                <w:color w:val="auto"/>
                <w:spacing w:val="-6"/>
                <w:sz w:val="24"/>
                <w:szCs w:val="24"/>
                <w:highlight w:val="none"/>
                <w:lang w:eastAsia="zh-CN"/>
              </w:rPr>
            </w:pPr>
            <w:r>
              <w:rPr>
                <w:rFonts w:hint="eastAsia" w:asciiTheme="minorEastAsia" w:hAnsiTheme="minorEastAsia" w:eastAsiaTheme="minorEastAsia" w:cstheme="minorEastAsia"/>
                <w:color w:val="auto"/>
                <w:spacing w:val="-6"/>
                <w:sz w:val="24"/>
                <w:szCs w:val="24"/>
                <w:highlight w:val="none"/>
              </w:rPr>
              <w:t>人员稳定性方案</w:t>
            </w:r>
            <w:r>
              <w:rPr>
                <w:rFonts w:hint="eastAsia" w:asciiTheme="minorEastAsia" w:hAnsiTheme="minorEastAsia" w:eastAsiaTheme="minorEastAsia" w:cstheme="minorEastAsia"/>
                <w:color w:val="auto"/>
                <w:spacing w:val="-6"/>
                <w:sz w:val="24"/>
                <w:szCs w:val="24"/>
                <w:highlight w:val="none"/>
                <w:lang w:eastAsia="zh-CN"/>
              </w:rPr>
              <w:t>。</w:t>
            </w:r>
          </w:p>
          <w:p>
            <w:pPr>
              <w:pageBreakBefore w:val="0"/>
              <w:kinsoku/>
              <w:wordWrap/>
              <w:overflowPunct/>
              <w:topLinePunct w:val="0"/>
              <w:bidi w:val="0"/>
              <w:spacing w:line="360" w:lineRule="auto"/>
              <w:jc w:val="left"/>
              <w:textAlignment w:val="auto"/>
              <w:rPr>
                <w:rFonts w:hint="eastAsia" w:asciiTheme="minorEastAsia" w:hAnsiTheme="minorEastAsia" w:eastAsiaTheme="minorEastAsia" w:cstheme="minorEastAsia"/>
                <w:color w:val="auto"/>
                <w:spacing w:val="-6"/>
                <w:kern w:val="2"/>
                <w:sz w:val="24"/>
                <w:szCs w:val="24"/>
                <w:highlight w:val="none"/>
                <w:lang w:val="en-US" w:eastAsia="zh-CN" w:bidi="ar-SA"/>
              </w:rPr>
            </w:pPr>
            <w:r>
              <w:rPr>
                <w:rFonts w:hint="eastAsia" w:asciiTheme="minorEastAsia" w:hAnsiTheme="minorEastAsia" w:eastAsiaTheme="minorEastAsia" w:cstheme="minorEastAsia"/>
                <w:color w:val="auto"/>
                <w:spacing w:val="-6"/>
                <w:sz w:val="24"/>
                <w:szCs w:val="24"/>
                <w:highlight w:val="none"/>
              </w:rPr>
              <w:t>方案内容具体合理，贴合采购实际，可行性高的得</w:t>
            </w:r>
            <w:r>
              <w:rPr>
                <w:rFonts w:hint="eastAsia" w:asciiTheme="minorEastAsia" w:hAnsiTheme="minorEastAsia" w:eastAsiaTheme="minorEastAsia" w:cstheme="minorEastAsia"/>
                <w:color w:val="auto"/>
                <w:spacing w:val="-6"/>
                <w:sz w:val="24"/>
                <w:szCs w:val="24"/>
                <w:highlight w:val="none"/>
                <w:lang w:val="en-US" w:eastAsia="zh-CN"/>
              </w:rPr>
              <w:t>4</w:t>
            </w:r>
            <w:r>
              <w:rPr>
                <w:rFonts w:hint="eastAsia" w:asciiTheme="minorEastAsia" w:hAnsiTheme="minorEastAsia" w:eastAsiaTheme="minorEastAsia" w:cstheme="minorEastAsia"/>
                <w:color w:val="auto"/>
                <w:spacing w:val="-6"/>
                <w:sz w:val="24"/>
                <w:szCs w:val="24"/>
                <w:highlight w:val="none"/>
              </w:rPr>
              <w:t>分；方案及管理制度内容基本合理，可行性一般的得</w:t>
            </w:r>
            <w:r>
              <w:rPr>
                <w:rFonts w:hint="eastAsia" w:asciiTheme="minorEastAsia" w:hAnsiTheme="minorEastAsia" w:eastAsiaTheme="minorEastAsia" w:cstheme="minorEastAsia"/>
                <w:color w:val="auto"/>
                <w:spacing w:val="-6"/>
                <w:sz w:val="24"/>
                <w:szCs w:val="24"/>
                <w:highlight w:val="none"/>
                <w:lang w:val="en-US" w:eastAsia="zh-CN"/>
              </w:rPr>
              <w:t>2</w:t>
            </w:r>
            <w:r>
              <w:rPr>
                <w:rFonts w:hint="eastAsia" w:asciiTheme="minorEastAsia" w:hAnsiTheme="minorEastAsia" w:eastAsiaTheme="minorEastAsia" w:cstheme="minorEastAsia"/>
                <w:color w:val="auto"/>
                <w:spacing w:val="-6"/>
                <w:sz w:val="24"/>
                <w:szCs w:val="24"/>
                <w:highlight w:val="none"/>
              </w:rPr>
              <w:t>分，</w:t>
            </w:r>
            <w:r>
              <w:rPr>
                <w:rFonts w:hint="eastAsia" w:asciiTheme="minorEastAsia" w:hAnsiTheme="minorEastAsia" w:eastAsiaTheme="minorEastAsia" w:cstheme="minorEastAsia"/>
                <w:color w:val="auto"/>
                <w:sz w:val="24"/>
                <w:szCs w:val="24"/>
                <w:highlight w:val="none"/>
              </w:rPr>
              <w:t>可行性差得0分。</w:t>
            </w:r>
          </w:p>
        </w:tc>
        <w:tc>
          <w:tcPr>
            <w:tcW w:w="387" w:type="pct"/>
            <w:vAlign w:val="center"/>
          </w:tcPr>
          <w:p>
            <w:pPr>
              <w:pageBreakBefore w:val="0"/>
              <w:kinsoku/>
              <w:wordWrap/>
              <w:overflowPunct/>
              <w:topLinePunct w:val="0"/>
              <w:bidi w:val="0"/>
              <w:spacing w:line="360" w:lineRule="auto"/>
              <w:jc w:val="center"/>
              <w:textAlignment w:val="auto"/>
              <w:outlineLvl w:val="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rPr>
              <w:t>4</w:t>
            </w:r>
          </w:p>
        </w:tc>
        <w:tc>
          <w:tcPr>
            <w:tcW w:w="585" w:type="pct"/>
            <w:vAlign w:val="center"/>
          </w:tcPr>
          <w:p>
            <w:pPr>
              <w:pageBreakBefore w:val="0"/>
              <w:kinsoku/>
              <w:wordWrap/>
              <w:overflowPunct/>
              <w:topLinePunct w:val="0"/>
              <w:bidi w:val="0"/>
              <w:spacing w:line="360" w:lineRule="auto"/>
              <w:jc w:val="center"/>
              <w:textAlignment w:val="auto"/>
              <w:outlineLvl w:val="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rPr>
              <w:t>主观分</w:t>
            </w:r>
          </w:p>
        </w:tc>
        <w:tc>
          <w:tcPr>
            <w:tcW w:w="809" w:type="pct"/>
            <w:vMerge w:val="continue"/>
            <w:vAlign w:val="center"/>
          </w:tcPr>
          <w:p>
            <w:pPr>
              <w:pageBreakBefore w:val="0"/>
              <w:kinsoku/>
              <w:wordWrap/>
              <w:overflowPunct/>
              <w:topLinePunct w:val="0"/>
              <w:bidi w:val="0"/>
              <w:spacing w:line="360" w:lineRule="auto"/>
              <w:ind w:firstLine="396"/>
              <w:jc w:val="center"/>
              <w:textAlignment w:val="auto"/>
              <w:outlineLvl w:val="0"/>
              <w:rPr>
                <w:rFonts w:hint="eastAsia" w:asciiTheme="minorEastAsia" w:hAnsiTheme="minorEastAsia" w:eastAsiaTheme="minorEastAsia" w:cstheme="minorEastAsia"/>
                <w:color w:val="auto"/>
                <w:spacing w:val="-6"/>
                <w:sz w:val="24"/>
                <w:szCs w:val="24"/>
                <w:highlight w:val="none"/>
              </w:rPr>
            </w:pPr>
          </w:p>
        </w:tc>
        <w:tc>
          <w:tcPr>
            <w:tcW w:w="254" w:type="pct"/>
            <w:vMerge w:val="continue"/>
            <w:tcBorders>
              <w:top w:val="nil"/>
              <w:bottom w:val="nil"/>
              <w:right w:val="nil"/>
            </w:tcBorders>
            <w:vAlign w:val="center"/>
          </w:tcPr>
          <w:p>
            <w:pPr>
              <w:pageBreakBefore w:val="0"/>
              <w:kinsoku/>
              <w:wordWrap/>
              <w:overflowPunct/>
              <w:topLinePunct w:val="0"/>
              <w:bidi w:val="0"/>
              <w:spacing w:line="360" w:lineRule="auto"/>
              <w:ind w:firstLine="396"/>
              <w:jc w:val="center"/>
              <w:textAlignment w:val="auto"/>
              <w:outlineLvl w:val="0"/>
              <w:rPr>
                <w:rFonts w:hint="eastAsia" w:asciiTheme="minorEastAsia" w:hAnsiTheme="minorEastAsia" w:eastAsiaTheme="minorEastAsia" w:cstheme="minorEastAsia"/>
                <w:color w:val="auto"/>
                <w:spacing w:val="-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385" w:type="pct"/>
            <w:vAlign w:val="center"/>
          </w:tcPr>
          <w:p>
            <w:pPr>
              <w:pageBreakBefore w:val="0"/>
              <w:kinsoku/>
              <w:wordWrap/>
              <w:overflowPunct/>
              <w:topLinePunct w:val="0"/>
              <w:bidi w:val="0"/>
              <w:snapToGrid w:val="0"/>
              <w:spacing w:line="360" w:lineRule="auto"/>
              <w:jc w:val="center"/>
              <w:textAlignment w:val="auto"/>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9</w:t>
            </w:r>
          </w:p>
        </w:tc>
        <w:tc>
          <w:tcPr>
            <w:tcW w:w="2577" w:type="pct"/>
            <w:vAlign w:val="center"/>
          </w:tcPr>
          <w:p>
            <w:pPr>
              <w:pageBreakBefore w:val="0"/>
              <w:kinsoku/>
              <w:wordWrap/>
              <w:overflowPunct/>
              <w:topLinePunct w:val="0"/>
              <w:bidi w:val="0"/>
              <w:spacing w:line="360" w:lineRule="auto"/>
              <w:jc w:val="left"/>
              <w:textAlignment w:val="auto"/>
              <w:rPr>
                <w:rFonts w:hint="eastAsia" w:asciiTheme="minorEastAsia" w:hAnsiTheme="minorEastAsia" w:eastAsiaTheme="minorEastAsia" w:cstheme="minorEastAsia"/>
                <w:color w:val="auto"/>
                <w:spacing w:val="-6"/>
                <w:sz w:val="24"/>
                <w:szCs w:val="24"/>
                <w:highlight w:val="none"/>
              </w:rPr>
            </w:pPr>
            <w:r>
              <w:rPr>
                <w:rFonts w:hint="eastAsia" w:asciiTheme="minorEastAsia" w:hAnsiTheme="minorEastAsia" w:eastAsiaTheme="minorEastAsia" w:cstheme="minorEastAsia"/>
                <w:color w:val="auto"/>
                <w:spacing w:val="-6"/>
                <w:sz w:val="24"/>
                <w:szCs w:val="24"/>
                <w:highlight w:val="none"/>
              </w:rPr>
              <w:t>培训方案及管理制度。</w:t>
            </w:r>
          </w:p>
          <w:p>
            <w:pPr>
              <w:pageBreakBefore w:val="0"/>
              <w:kinsoku/>
              <w:wordWrap/>
              <w:overflowPunct/>
              <w:topLinePunct w:val="0"/>
              <w:bidi w:val="0"/>
              <w:spacing w:line="360" w:lineRule="auto"/>
              <w:jc w:val="left"/>
              <w:textAlignment w:val="auto"/>
              <w:rPr>
                <w:rFonts w:hint="eastAsia" w:asciiTheme="minorEastAsia" w:hAnsiTheme="minorEastAsia" w:eastAsiaTheme="minorEastAsia" w:cstheme="minorEastAsia"/>
                <w:color w:val="auto"/>
                <w:spacing w:val="-6"/>
                <w:kern w:val="2"/>
                <w:sz w:val="24"/>
                <w:szCs w:val="24"/>
                <w:highlight w:val="none"/>
                <w:lang w:val="en-US" w:eastAsia="zh-CN" w:bidi="ar-SA"/>
              </w:rPr>
            </w:pPr>
            <w:r>
              <w:rPr>
                <w:rFonts w:hint="eastAsia" w:asciiTheme="minorEastAsia" w:hAnsiTheme="minorEastAsia" w:eastAsiaTheme="minorEastAsia" w:cstheme="minorEastAsia"/>
                <w:color w:val="auto"/>
                <w:spacing w:val="-6"/>
                <w:sz w:val="24"/>
                <w:szCs w:val="24"/>
                <w:highlight w:val="none"/>
              </w:rPr>
              <w:t>方案及管理制度内容具体合理，贴合采购实际，可行性高的得</w:t>
            </w:r>
            <w:r>
              <w:rPr>
                <w:rFonts w:hint="eastAsia" w:asciiTheme="minorEastAsia" w:hAnsiTheme="minorEastAsia" w:eastAsiaTheme="minorEastAsia" w:cstheme="minorEastAsia"/>
                <w:color w:val="auto"/>
                <w:spacing w:val="-6"/>
                <w:sz w:val="24"/>
                <w:szCs w:val="24"/>
                <w:highlight w:val="none"/>
                <w:lang w:val="en-US" w:eastAsia="zh-CN"/>
              </w:rPr>
              <w:t>4</w:t>
            </w:r>
            <w:r>
              <w:rPr>
                <w:rFonts w:hint="eastAsia" w:asciiTheme="minorEastAsia" w:hAnsiTheme="minorEastAsia" w:eastAsiaTheme="minorEastAsia" w:cstheme="minorEastAsia"/>
                <w:color w:val="auto"/>
                <w:spacing w:val="-6"/>
                <w:sz w:val="24"/>
                <w:szCs w:val="24"/>
                <w:highlight w:val="none"/>
              </w:rPr>
              <w:t>分；方案及管理制度内容基本合理，可行性一般的得</w:t>
            </w:r>
            <w:r>
              <w:rPr>
                <w:rFonts w:hint="eastAsia" w:asciiTheme="minorEastAsia" w:hAnsiTheme="minorEastAsia" w:eastAsiaTheme="minorEastAsia" w:cstheme="minorEastAsia"/>
                <w:color w:val="auto"/>
                <w:spacing w:val="-6"/>
                <w:sz w:val="24"/>
                <w:szCs w:val="24"/>
                <w:highlight w:val="none"/>
                <w:lang w:val="en-US" w:eastAsia="zh-CN"/>
              </w:rPr>
              <w:t>2</w:t>
            </w:r>
            <w:r>
              <w:rPr>
                <w:rFonts w:hint="eastAsia" w:asciiTheme="minorEastAsia" w:hAnsiTheme="minorEastAsia" w:eastAsiaTheme="minorEastAsia" w:cstheme="minorEastAsia"/>
                <w:color w:val="auto"/>
                <w:spacing w:val="-6"/>
                <w:sz w:val="24"/>
                <w:szCs w:val="24"/>
                <w:highlight w:val="none"/>
              </w:rPr>
              <w:t>分，</w:t>
            </w:r>
            <w:r>
              <w:rPr>
                <w:rFonts w:hint="eastAsia" w:asciiTheme="minorEastAsia" w:hAnsiTheme="minorEastAsia" w:eastAsiaTheme="minorEastAsia" w:cstheme="minorEastAsia"/>
                <w:color w:val="auto"/>
                <w:sz w:val="24"/>
                <w:szCs w:val="24"/>
                <w:highlight w:val="none"/>
              </w:rPr>
              <w:t>可行性差得0分。</w:t>
            </w:r>
          </w:p>
        </w:tc>
        <w:tc>
          <w:tcPr>
            <w:tcW w:w="387" w:type="pct"/>
            <w:vAlign w:val="center"/>
          </w:tcPr>
          <w:p>
            <w:pPr>
              <w:pageBreakBefore w:val="0"/>
              <w:kinsoku/>
              <w:wordWrap/>
              <w:overflowPunct/>
              <w:topLinePunct w:val="0"/>
              <w:bidi w:val="0"/>
              <w:spacing w:line="360" w:lineRule="auto"/>
              <w:jc w:val="center"/>
              <w:textAlignment w:val="auto"/>
              <w:outlineLvl w:val="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rPr>
              <w:t>4</w:t>
            </w:r>
          </w:p>
        </w:tc>
        <w:tc>
          <w:tcPr>
            <w:tcW w:w="585" w:type="pct"/>
            <w:vAlign w:val="center"/>
          </w:tcPr>
          <w:p>
            <w:pPr>
              <w:pageBreakBefore w:val="0"/>
              <w:kinsoku/>
              <w:wordWrap/>
              <w:overflowPunct/>
              <w:topLinePunct w:val="0"/>
              <w:bidi w:val="0"/>
              <w:spacing w:line="360" w:lineRule="auto"/>
              <w:jc w:val="center"/>
              <w:textAlignment w:val="auto"/>
              <w:outlineLvl w:val="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rPr>
              <w:t>主观分</w:t>
            </w:r>
          </w:p>
        </w:tc>
        <w:tc>
          <w:tcPr>
            <w:tcW w:w="809" w:type="pct"/>
            <w:vMerge w:val="continue"/>
            <w:vAlign w:val="center"/>
          </w:tcPr>
          <w:p>
            <w:pPr>
              <w:pageBreakBefore w:val="0"/>
              <w:kinsoku/>
              <w:wordWrap/>
              <w:overflowPunct/>
              <w:topLinePunct w:val="0"/>
              <w:bidi w:val="0"/>
              <w:spacing w:line="360" w:lineRule="auto"/>
              <w:ind w:firstLine="396"/>
              <w:jc w:val="center"/>
              <w:textAlignment w:val="auto"/>
              <w:outlineLvl w:val="0"/>
              <w:rPr>
                <w:rFonts w:hint="eastAsia" w:asciiTheme="minorEastAsia" w:hAnsiTheme="minorEastAsia" w:eastAsiaTheme="minorEastAsia" w:cstheme="minorEastAsia"/>
                <w:color w:val="auto"/>
                <w:spacing w:val="-6"/>
                <w:sz w:val="24"/>
                <w:szCs w:val="24"/>
                <w:highlight w:val="none"/>
              </w:rPr>
            </w:pPr>
          </w:p>
        </w:tc>
        <w:tc>
          <w:tcPr>
            <w:tcW w:w="254" w:type="pct"/>
            <w:vMerge w:val="continue"/>
            <w:tcBorders>
              <w:top w:val="nil"/>
              <w:bottom w:val="nil"/>
              <w:right w:val="nil"/>
            </w:tcBorders>
            <w:vAlign w:val="center"/>
          </w:tcPr>
          <w:p>
            <w:pPr>
              <w:pageBreakBefore w:val="0"/>
              <w:kinsoku/>
              <w:wordWrap/>
              <w:overflowPunct/>
              <w:topLinePunct w:val="0"/>
              <w:bidi w:val="0"/>
              <w:spacing w:line="360" w:lineRule="auto"/>
              <w:ind w:firstLine="396"/>
              <w:jc w:val="center"/>
              <w:textAlignment w:val="auto"/>
              <w:outlineLvl w:val="0"/>
              <w:rPr>
                <w:rFonts w:hint="eastAsia" w:asciiTheme="minorEastAsia" w:hAnsiTheme="minorEastAsia" w:eastAsiaTheme="minorEastAsia" w:cstheme="minorEastAsia"/>
                <w:color w:val="auto"/>
                <w:spacing w:val="-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4" w:type="pct"/>
        </w:trPr>
        <w:tc>
          <w:tcPr>
            <w:tcW w:w="385" w:type="pct"/>
            <w:vAlign w:val="center"/>
          </w:tcPr>
          <w:p>
            <w:pPr>
              <w:pageBreakBefore w:val="0"/>
              <w:kinsoku/>
              <w:wordWrap/>
              <w:overflowPunct/>
              <w:topLinePunct w:val="0"/>
              <w:bidi w:val="0"/>
              <w:snapToGrid w:val="0"/>
              <w:spacing w:line="360" w:lineRule="auto"/>
              <w:jc w:val="center"/>
              <w:textAlignment w:val="auto"/>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10</w:t>
            </w:r>
          </w:p>
        </w:tc>
        <w:tc>
          <w:tcPr>
            <w:tcW w:w="2577" w:type="pct"/>
            <w:vAlign w:val="center"/>
          </w:tcPr>
          <w:p>
            <w:pPr>
              <w:pageBreakBefore w:val="0"/>
              <w:kinsoku/>
              <w:wordWrap/>
              <w:overflowPunct/>
              <w:topLinePunct w:val="0"/>
              <w:bidi w:val="0"/>
              <w:spacing w:line="360" w:lineRule="auto"/>
              <w:jc w:val="left"/>
              <w:textAlignment w:val="auto"/>
              <w:rPr>
                <w:rFonts w:hint="eastAsia" w:asciiTheme="minorEastAsia" w:hAnsiTheme="minorEastAsia" w:eastAsiaTheme="minorEastAsia" w:cstheme="minorEastAsia"/>
                <w:color w:val="auto"/>
                <w:spacing w:val="-6"/>
                <w:sz w:val="24"/>
                <w:szCs w:val="24"/>
                <w:highlight w:val="none"/>
              </w:rPr>
            </w:pPr>
            <w:r>
              <w:rPr>
                <w:rFonts w:hint="eastAsia" w:asciiTheme="minorEastAsia" w:hAnsiTheme="minorEastAsia" w:eastAsiaTheme="minorEastAsia" w:cstheme="minorEastAsia"/>
                <w:color w:val="auto"/>
                <w:spacing w:val="-6"/>
                <w:sz w:val="24"/>
                <w:szCs w:val="24"/>
                <w:highlight w:val="none"/>
              </w:rPr>
              <w:t>物业服务应急预案，根据投标人提供的突发事件应急措施进行打分：应急措施具体合理，可行性高的得</w:t>
            </w:r>
            <w:r>
              <w:rPr>
                <w:rFonts w:hint="eastAsia" w:asciiTheme="minorEastAsia" w:hAnsiTheme="minorEastAsia" w:eastAsiaTheme="minorEastAsia" w:cstheme="minorEastAsia"/>
                <w:color w:val="auto"/>
                <w:spacing w:val="-6"/>
                <w:sz w:val="24"/>
                <w:szCs w:val="24"/>
                <w:highlight w:val="none"/>
                <w:lang w:val="en-US" w:eastAsia="zh-CN"/>
              </w:rPr>
              <w:t>5</w:t>
            </w:r>
            <w:r>
              <w:rPr>
                <w:rFonts w:hint="eastAsia" w:asciiTheme="minorEastAsia" w:hAnsiTheme="minorEastAsia" w:eastAsiaTheme="minorEastAsia" w:cstheme="minorEastAsia"/>
                <w:color w:val="auto"/>
                <w:spacing w:val="-6"/>
                <w:sz w:val="24"/>
                <w:szCs w:val="24"/>
                <w:highlight w:val="none"/>
              </w:rPr>
              <w:t>分；应急措施基本合理，可行性一般的得</w:t>
            </w:r>
            <w:r>
              <w:rPr>
                <w:rFonts w:hint="eastAsia" w:asciiTheme="minorEastAsia" w:hAnsiTheme="minorEastAsia" w:eastAsiaTheme="minorEastAsia" w:cstheme="minorEastAsia"/>
                <w:color w:val="auto"/>
                <w:spacing w:val="-6"/>
                <w:sz w:val="24"/>
                <w:szCs w:val="24"/>
                <w:highlight w:val="none"/>
                <w:lang w:val="en-US" w:eastAsia="zh-CN"/>
              </w:rPr>
              <w:t>3</w:t>
            </w:r>
            <w:r>
              <w:rPr>
                <w:rFonts w:hint="eastAsia" w:asciiTheme="minorEastAsia" w:hAnsiTheme="minorEastAsia" w:eastAsiaTheme="minorEastAsia" w:cstheme="minorEastAsia"/>
                <w:color w:val="auto"/>
                <w:spacing w:val="-6"/>
                <w:sz w:val="24"/>
                <w:szCs w:val="24"/>
                <w:highlight w:val="none"/>
              </w:rPr>
              <w:t>分，</w:t>
            </w:r>
            <w:r>
              <w:rPr>
                <w:rFonts w:hint="eastAsia" w:asciiTheme="minorEastAsia" w:hAnsiTheme="minorEastAsia" w:eastAsiaTheme="minorEastAsia" w:cstheme="minorEastAsia"/>
                <w:color w:val="auto"/>
                <w:sz w:val="24"/>
                <w:szCs w:val="24"/>
                <w:highlight w:val="none"/>
              </w:rPr>
              <w:t>可行性差得0分。</w:t>
            </w:r>
          </w:p>
        </w:tc>
        <w:tc>
          <w:tcPr>
            <w:tcW w:w="387" w:type="pct"/>
            <w:vAlign w:val="center"/>
          </w:tcPr>
          <w:p>
            <w:pPr>
              <w:pageBreakBefore w:val="0"/>
              <w:kinsoku/>
              <w:wordWrap/>
              <w:overflowPunct/>
              <w:topLinePunct w:val="0"/>
              <w:bidi w:val="0"/>
              <w:spacing w:line="360" w:lineRule="auto"/>
              <w:jc w:val="center"/>
              <w:textAlignment w:val="auto"/>
              <w:outlineLvl w:val="0"/>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5</w:t>
            </w:r>
          </w:p>
        </w:tc>
        <w:tc>
          <w:tcPr>
            <w:tcW w:w="585" w:type="pct"/>
            <w:vAlign w:val="center"/>
          </w:tcPr>
          <w:p>
            <w:pPr>
              <w:pageBreakBefore w:val="0"/>
              <w:kinsoku/>
              <w:wordWrap/>
              <w:overflowPunct/>
              <w:topLinePunct w:val="0"/>
              <w:bidi w:val="0"/>
              <w:spacing w:line="360" w:lineRule="auto"/>
              <w:jc w:val="center"/>
              <w:textAlignment w:val="auto"/>
              <w:outlineLvl w:val="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主观分</w:t>
            </w:r>
          </w:p>
        </w:tc>
        <w:tc>
          <w:tcPr>
            <w:tcW w:w="809" w:type="pct"/>
            <w:vAlign w:val="center"/>
          </w:tcPr>
          <w:p>
            <w:pPr>
              <w:bidi w:val="0"/>
              <w:jc w:val="center"/>
              <w:rPr>
                <w:rFonts w:hint="eastAsia" w:asciiTheme="minorEastAsia" w:hAnsiTheme="minorEastAsia" w:eastAsiaTheme="minorEastAsia" w:cstheme="minorEastAsia"/>
                <w:color w:val="auto"/>
                <w:szCs w:val="24"/>
                <w:highlight w:val="none"/>
              </w:rPr>
            </w:pPr>
            <w:r>
              <w:rPr>
                <w:rFonts w:hint="eastAsia"/>
                <w:color w:val="auto"/>
                <w:sz w:val="24"/>
                <w:szCs w:val="24"/>
                <w:highlight w:val="none"/>
              </w:rPr>
              <w:t>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4" w:type="pct"/>
        </w:trPr>
        <w:tc>
          <w:tcPr>
            <w:tcW w:w="385" w:type="pct"/>
            <w:vAlign w:val="center"/>
          </w:tcPr>
          <w:p>
            <w:pPr>
              <w:pageBreakBefore w:val="0"/>
              <w:kinsoku/>
              <w:wordWrap/>
              <w:overflowPunct/>
              <w:topLinePunct w:val="0"/>
              <w:bidi w:val="0"/>
              <w:snapToGrid w:val="0"/>
              <w:spacing w:line="360" w:lineRule="auto"/>
              <w:jc w:val="center"/>
              <w:textAlignment w:val="auto"/>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11</w:t>
            </w:r>
          </w:p>
        </w:tc>
        <w:tc>
          <w:tcPr>
            <w:tcW w:w="2577" w:type="pct"/>
            <w:vAlign w:val="center"/>
          </w:tcPr>
          <w:p>
            <w:pPr>
              <w:pStyle w:val="21"/>
              <w:pageBreakBefore w:val="0"/>
              <w:kinsoku/>
              <w:wordWrap/>
              <w:overflowPunct/>
              <w:topLinePunct w:val="0"/>
              <w:bidi w:val="0"/>
              <w:spacing w:line="360" w:lineRule="auto"/>
              <w:textAlignment w:val="auto"/>
              <w:rPr>
                <w:rFonts w:hint="eastAsia" w:ascii="宋体" w:hAnsi="宋体" w:eastAsia="宋体"/>
                <w:color w:val="auto"/>
                <w:sz w:val="24"/>
                <w:highlight w:val="none"/>
                <w:lang w:eastAsia="zh-CN"/>
              </w:rPr>
            </w:pPr>
            <w:r>
              <w:rPr>
                <w:rFonts w:hint="eastAsia" w:ascii="宋体" w:hAnsi="宋体"/>
                <w:color w:val="auto"/>
                <w:sz w:val="24"/>
                <w:highlight w:val="none"/>
              </w:rPr>
              <w:t>有效投标报价的最低价作为评标基准价，其最低报价为满分；按［投标报价得分=（评标基准价/投标报价）*最高分值］的计算公式计算。</w:t>
            </w:r>
          </w:p>
          <w:p>
            <w:pPr>
              <w:pStyle w:val="21"/>
              <w:pageBreakBefore w:val="0"/>
              <w:kinsoku/>
              <w:wordWrap/>
              <w:overflowPunct/>
              <w:topLinePunct w:val="0"/>
              <w:bidi w:val="0"/>
              <w:spacing w:line="360" w:lineRule="auto"/>
              <w:textAlignment w:val="auto"/>
              <w:rPr>
                <w:rFonts w:hint="eastAsia" w:ascii="宋体" w:hAnsi="宋体" w:eastAsia="宋体"/>
                <w:color w:val="auto"/>
                <w:sz w:val="24"/>
                <w:highlight w:val="none"/>
                <w:lang w:eastAsia="zh-CN"/>
              </w:rPr>
            </w:pPr>
            <w:r>
              <w:rPr>
                <w:rFonts w:hint="eastAsia" w:ascii="宋体" w:hAnsi="宋体"/>
                <w:color w:val="auto"/>
                <w:sz w:val="24"/>
                <w:highlight w:val="none"/>
              </w:rPr>
              <w:t>评标过程中，不得去掉报价中的最高报价和最低报价。</w:t>
            </w:r>
          </w:p>
          <w:p>
            <w:pPr>
              <w:pStyle w:val="21"/>
              <w:pageBreakBefore w:val="0"/>
              <w:kinsoku/>
              <w:wordWrap/>
              <w:overflowPunct/>
              <w:topLinePunct w:val="0"/>
              <w:bidi w:val="0"/>
              <w:spacing w:line="360" w:lineRule="auto"/>
              <w:textAlignment w:val="auto"/>
              <w:rPr>
                <w:rFonts w:hint="eastAsia" w:asciiTheme="minorEastAsia" w:hAnsiTheme="minorEastAsia" w:eastAsiaTheme="minorEastAsia" w:cstheme="minorEastAsia"/>
                <w:color w:val="auto"/>
                <w:sz w:val="24"/>
                <w:szCs w:val="24"/>
                <w:highlight w:val="none"/>
              </w:rPr>
            </w:pPr>
            <w:r>
              <w:rPr>
                <w:rFonts w:hint="eastAsia" w:ascii="宋体" w:hAnsi="宋体"/>
                <w:color w:val="auto"/>
                <w:sz w:val="24"/>
                <w:highlight w:val="none"/>
              </w:rPr>
              <w:t>对于未预留份额专门面向中小企业的政府采购服务项目，以及预留份额政府采购服务项目中的非预留部分标项，对小型和微型企业的投标报价给予X%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X%的扣除，用扣除后的价格参加评审。</w:t>
            </w:r>
          </w:p>
        </w:tc>
        <w:tc>
          <w:tcPr>
            <w:tcW w:w="387" w:type="pct"/>
            <w:vAlign w:val="top"/>
          </w:tcPr>
          <w:p>
            <w:pPr>
              <w:pageBreakBefore w:val="0"/>
              <w:kinsoku/>
              <w:wordWrap/>
              <w:overflowPunct/>
              <w:topLinePunct w:val="0"/>
              <w:bidi w:val="0"/>
              <w:snapToGrid w:val="0"/>
              <w:spacing w:line="360" w:lineRule="auto"/>
              <w:ind w:firstLine="480"/>
              <w:jc w:val="center"/>
              <w:textAlignment w:val="auto"/>
              <w:rPr>
                <w:rFonts w:hint="eastAsia" w:asciiTheme="minorEastAsia" w:hAnsiTheme="minorEastAsia" w:eastAsiaTheme="minorEastAsia" w:cstheme="minorEastAsia"/>
                <w:color w:val="auto"/>
                <w:sz w:val="24"/>
                <w:szCs w:val="24"/>
                <w:highlight w:val="none"/>
              </w:rPr>
            </w:pPr>
          </w:p>
          <w:p>
            <w:pPr>
              <w:pStyle w:val="4"/>
              <w:rPr>
                <w:rFonts w:hint="eastAsia" w:asciiTheme="minorEastAsia" w:hAnsiTheme="minorEastAsia" w:eastAsiaTheme="minorEastAsia" w:cstheme="minorEastAsia"/>
                <w:color w:val="auto"/>
                <w:sz w:val="24"/>
                <w:szCs w:val="24"/>
                <w:highlight w:val="none"/>
              </w:rPr>
            </w:pPr>
          </w:p>
          <w:p>
            <w:pPr>
              <w:rPr>
                <w:rFonts w:hint="eastAsia" w:asciiTheme="minorEastAsia" w:hAnsiTheme="minorEastAsia" w:eastAsiaTheme="minorEastAsia" w:cstheme="minorEastAsia"/>
                <w:color w:val="auto"/>
                <w:sz w:val="24"/>
                <w:szCs w:val="24"/>
                <w:highlight w:val="none"/>
              </w:rPr>
            </w:pPr>
          </w:p>
          <w:p>
            <w:pPr>
              <w:pageBreakBefore w:val="0"/>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color w:val="auto"/>
                <w:sz w:val="24"/>
                <w:szCs w:val="24"/>
                <w:highlight w:val="none"/>
              </w:rPr>
            </w:pPr>
          </w:p>
          <w:p>
            <w:pPr>
              <w:pageBreakBefore w:val="0"/>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color w:val="auto"/>
                <w:sz w:val="24"/>
                <w:szCs w:val="24"/>
                <w:highlight w:val="none"/>
              </w:rPr>
            </w:pPr>
          </w:p>
          <w:p>
            <w:pPr>
              <w:pageBreakBefore w:val="0"/>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rPr>
              <w:t>50</w:t>
            </w:r>
          </w:p>
        </w:tc>
        <w:tc>
          <w:tcPr>
            <w:tcW w:w="585" w:type="pct"/>
            <w:vAlign w:val="center"/>
          </w:tcPr>
          <w:p>
            <w:pPr>
              <w:pageBreakBefore w:val="0"/>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rPr>
              <w:t>客观分</w:t>
            </w:r>
          </w:p>
        </w:tc>
        <w:tc>
          <w:tcPr>
            <w:tcW w:w="809" w:type="pct"/>
            <w:vAlign w:val="center"/>
          </w:tcPr>
          <w:p>
            <w:pPr>
              <w:pageBreakBefore w:val="0"/>
              <w:kinsoku/>
              <w:wordWrap/>
              <w:overflowPunct/>
              <w:topLinePunct w:val="0"/>
              <w:autoSpaceDE w:val="0"/>
              <w:autoSpaceDN w:val="0"/>
              <w:bidi w:val="0"/>
              <w:spacing w:line="360" w:lineRule="auto"/>
              <w:jc w:val="center"/>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rPr>
              <w:t>价格</w:t>
            </w:r>
          </w:p>
        </w:tc>
      </w:tr>
    </w:tbl>
    <w:p/>
    <w:p>
      <w:pPr>
        <w:snapToGrid w:val="0"/>
        <w:spacing w:line="360" w:lineRule="auto"/>
        <w:rPr>
          <w:rFonts w:ascii="宋体" w:hAnsi="宋体" w:cs="宋体"/>
          <w:b/>
          <w:sz w:val="24"/>
        </w:rPr>
      </w:pPr>
      <w:r>
        <w:rPr>
          <w:rFonts w:hint="eastAsia" w:ascii="宋体" w:hAnsi="宋体" w:cs="宋体"/>
          <w:sz w:val="20"/>
          <w:szCs w:val="20"/>
          <w:shd w:val="clear" w:color="auto" w:fill="FFFFFF"/>
        </w:rPr>
        <w:t> *</w:t>
      </w: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p>
    <w:p>
      <w:pPr>
        <w:snapToGrid w:val="0"/>
        <w:spacing w:line="360" w:lineRule="auto"/>
        <w:outlineLvl w:val="1"/>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outlineLvl w:val="1"/>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1"/>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28"/>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28"/>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28"/>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28"/>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28"/>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28"/>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28"/>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3.4.5对于未预留份额专门面向中小企业的政府采购服务项目，以及预留份额政府采购服务项目中的非预留部分标项，对小型和微型企业的投标报价给予10%-</w:t>
      </w:r>
      <w:r>
        <w:rPr>
          <w:rFonts w:ascii="宋体" w:hAnsi="宋体" w:cs="宋体"/>
          <w:kern w:val="0"/>
          <w:szCs w:val="24"/>
        </w:rPr>
        <w:t>20</w:t>
      </w:r>
      <w:r>
        <w:rPr>
          <w:rFonts w:hint="eastAsia" w:ascii="宋体" w:hAnsi="宋体" w:cs="宋体"/>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kern w:val="0"/>
          <w:szCs w:val="24"/>
        </w:rPr>
        <w:t>6</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outlineLvl w:val="1"/>
        <w:rPr>
          <w:rFonts w:ascii="宋体" w:hAnsi="宋体" w:cs="宋体"/>
          <w:b/>
          <w:sz w:val="32"/>
        </w:rPr>
      </w:pPr>
      <w:r>
        <w:rPr>
          <w:rFonts w:hint="eastAsia" w:ascii="宋体" w:hAnsi="宋体" w:cs="宋体"/>
          <w:b/>
          <w:sz w:val="32"/>
        </w:rPr>
        <w:t>四、评标中的其他事项</w:t>
      </w:r>
    </w:p>
    <w:p>
      <w:pPr>
        <w:pStyle w:val="128"/>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rPr>
        <w:t>4.2.12投标人仅提交备份投标文件，未在电子交易平台传输递交投标文件</w:t>
      </w:r>
      <w:r>
        <w:rPr>
          <w:rFonts w:hint="eastAsia" w:ascii="宋体" w:hAnsi="宋体" w:cs="宋体"/>
          <w:kern w:val="0"/>
          <w:sz w:val="24"/>
          <w:highlight w:val="none"/>
        </w:rPr>
        <w:t>的，投标无效；</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4.2.13投标人未提供样品或提供的样品不满足采购需求实质性条件的，投标无效；</w:t>
      </w:r>
    </w:p>
    <w:p>
      <w:pPr>
        <w:tabs>
          <w:tab w:val="left" w:pos="432"/>
        </w:tabs>
        <w:ind w:left="430" w:leftChars="205"/>
        <w:outlineLvl w:val="9"/>
        <w:rPr>
          <w:rFonts w:ascii="宋体" w:hAnsi="宋体" w:eastAsia="宋体" w:cs="宋体"/>
          <w:b w:val="0"/>
          <w:bCs w:val="0"/>
          <w:kern w:val="0"/>
          <w:sz w:val="24"/>
          <w:szCs w:val="24"/>
          <w:highlight w:val="none"/>
          <w:lang w:val="en-US"/>
        </w:rPr>
      </w:pPr>
      <w:r>
        <w:rPr>
          <w:rFonts w:hint="eastAsia" w:ascii="宋体" w:hAnsi="宋体" w:eastAsia="宋体" w:cs="宋体"/>
          <w:b w:val="0"/>
          <w:bCs w:val="0"/>
          <w:kern w:val="0"/>
          <w:sz w:val="24"/>
          <w:szCs w:val="24"/>
          <w:highlight w:val="none"/>
          <w:lang w:val="en-US"/>
        </w:rPr>
        <w:t>4.2.14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highlight w:val="none"/>
        </w:rPr>
        <w:t>4.2.15法律、</w:t>
      </w:r>
      <w:r>
        <w:rPr>
          <w:rFonts w:hint="eastAsia" w:ascii="宋体" w:hAnsi="宋体" w:cs="宋体"/>
          <w:kern w:val="0"/>
          <w:sz w:val="24"/>
        </w:rPr>
        <w:t>法规、规章（适用本市的）及省级以上规范性文件（适用本市的）规定的其他无效情形。</w:t>
      </w:r>
    </w:p>
    <w:p>
      <w:pPr>
        <w:pStyle w:val="25"/>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5"/>
        <w:snapToGrid w:val="0"/>
        <w:spacing w:line="360" w:lineRule="auto"/>
        <w:rPr>
          <w:rFonts w:cs="宋体"/>
        </w:rPr>
      </w:pPr>
      <w:r>
        <w:rPr>
          <w:rFonts w:hint="eastAsia" w:cs="宋体"/>
        </w:rPr>
        <w:t>5.1符合专业条件的供应商或者对招标文件作实质响应的供应商不足3家的；</w:t>
      </w:r>
    </w:p>
    <w:p>
      <w:pPr>
        <w:pStyle w:val="25"/>
        <w:snapToGrid w:val="0"/>
        <w:spacing w:line="360" w:lineRule="auto"/>
        <w:rPr>
          <w:rFonts w:cs="宋体"/>
        </w:rPr>
      </w:pPr>
      <w:r>
        <w:rPr>
          <w:rFonts w:hint="eastAsia" w:cs="宋体"/>
        </w:rPr>
        <w:t>5.2出现影响采购公正的违法、违规行为的；</w:t>
      </w:r>
    </w:p>
    <w:p>
      <w:pPr>
        <w:pStyle w:val="25"/>
        <w:snapToGrid w:val="0"/>
        <w:spacing w:line="360" w:lineRule="auto"/>
        <w:rPr>
          <w:rFonts w:cs="宋体"/>
        </w:rPr>
      </w:pPr>
      <w:r>
        <w:rPr>
          <w:rFonts w:hint="eastAsia" w:cs="宋体"/>
        </w:rPr>
        <w:t>5.3投标人的报价均超过了采购预算，采购人不能支付的；</w:t>
      </w:r>
    </w:p>
    <w:p>
      <w:pPr>
        <w:pStyle w:val="25"/>
        <w:snapToGrid w:val="0"/>
        <w:spacing w:line="360" w:lineRule="auto"/>
        <w:rPr>
          <w:rFonts w:cs="宋体"/>
        </w:rPr>
      </w:pPr>
      <w:r>
        <w:rPr>
          <w:rFonts w:hint="eastAsia" w:cs="宋体"/>
        </w:rPr>
        <w:t>5.4因重大变故，采购任务取消的。</w:t>
      </w:r>
    </w:p>
    <w:p>
      <w:pPr>
        <w:pStyle w:val="25"/>
        <w:snapToGrid w:val="0"/>
        <w:spacing w:line="360" w:lineRule="auto"/>
        <w:rPr>
          <w:rFonts w:cs="宋体"/>
        </w:rPr>
      </w:pPr>
      <w:r>
        <w:rPr>
          <w:rFonts w:hint="eastAsia" w:cs="宋体"/>
        </w:rPr>
        <w:t>废标后，采购机构应当将废标理由通知所有投标人。</w:t>
      </w:r>
    </w:p>
    <w:p>
      <w:pPr>
        <w:pStyle w:val="25"/>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5"/>
        <w:snapToGrid w:val="0"/>
        <w:spacing w:line="360" w:lineRule="auto"/>
        <w:rPr>
          <w:rFonts w:cs="宋体"/>
        </w:rPr>
      </w:pPr>
      <w:r>
        <w:rPr>
          <w:rFonts w:hint="eastAsia" w:cs="宋体"/>
        </w:rPr>
        <w:t>7.1未确定中标供应商的，终止本次政府采购活动，重新开展政府采购活动。</w:t>
      </w:r>
    </w:p>
    <w:p>
      <w:pPr>
        <w:pStyle w:val="25"/>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5"/>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5"/>
        <w:snapToGrid w:val="0"/>
        <w:spacing w:line="360" w:lineRule="auto"/>
        <w:rPr>
          <w:rFonts w:cs="宋体"/>
        </w:rPr>
      </w:pPr>
      <w:r>
        <w:rPr>
          <w:rFonts w:hint="eastAsia" w:cs="宋体"/>
        </w:rPr>
        <w:t>7.4政府采购合同已经履行，给采购人、供应商造成损失的，由责任人承担赔偿责任。</w:t>
      </w:r>
    </w:p>
    <w:p>
      <w:pPr>
        <w:pStyle w:val="25"/>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p>
      <w:pPr>
        <w:pStyle w:val="25"/>
        <w:snapToGrid w:val="0"/>
        <w:spacing w:line="360" w:lineRule="auto"/>
        <w:ind w:firstLine="0" w:firstLineChars="0"/>
        <w:rPr>
          <w:rFonts w:cs="宋体"/>
        </w:rPr>
      </w:pPr>
    </w:p>
    <w:bookmarkEnd w:id="27"/>
    <w:p>
      <w:pPr>
        <w:widowControl/>
        <w:adjustRightInd/>
        <w:jc w:val="left"/>
        <w:rPr>
          <w:rFonts w:ascii="宋体" w:hAnsi="宋体" w:cs="宋体"/>
          <w:b/>
          <w:sz w:val="36"/>
          <w:szCs w:val="36"/>
        </w:rPr>
      </w:pPr>
      <w:bookmarkStart w:id="393" w:name="第五部分"/>
      <w:bookmarkStart w:id="394" w:name="_Toc86217003"/>
      <w:r>
        <w:rPr>
          <w:rFonts w:ascii="宋体" w:hAnsi="宋体" w:cs="宋体"/>
          <w:b/>
          <w:sz w:val="36"/>
          <w:szCs w:val="36"/>
        </w:rPr>
        <w:br w:type="page"/>
      </w:r>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outlineLvl w:val="1"/>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（服务类）</w:t>
      </w:r>
    </w:p>
    <w:p>
      <w:pPr>
        <w:pStyle w:val="699"/>
        <w:ind w:firstLine="2843" w:firstLineChars="1180"/>
        <w:outlineLvl w:val="1"/>
        <w:rPr>
          <w:rFonts w:ascii="宋体" w:hAnsi="宋体" w:cs="宋体"/>
          <w:b/>
          <w:color w:val="auto"/>
          <w:szCs w:val="24"/>
        </w:rPr>
      </w:pPr>
      <w:r>
        <w:rPr>
          <w:rFonts w:hint="eastAsia" w:ascii="宋体" w:hAnsi="宋体" w:cs="宋体"/>
          <w:b/>
          <w:color w:val="auto"/>
          <w:szCs w:val="24"/>
        </w:rPr>
        <w:t>第一部分 合同书</w:t>
      </w:r>
    </w:p>
    <w:p>
      <w:pPr>
        <w:spacing w:before="120" w:line="22" w:lineRule="atLeast"/>
        <w:rPr>
          <w:rFonts w:ascii="宋体" w:hAnsi="宋体" w:cs="宋体"/>
          <w:color w:val="auto"/>
          <w:sz w:val="24"/>
        </w:rPr>
      </w:pPr>
    </w:p>
    <w:p>
      <w:pPr>
        <w:tabs>
          <w:tab w:val="left" w:pos="432"/>
        </w:tabs>
        <w:outlineLvl w:val="9"/>
        <w:rPr>
          <w:color w:val="auto"/>
        </w:rPr>
      </w:pPr>
    </w:p>
    <w:p>
      <w:pPr>
        <w:spacing w:before="120" w:line="22" w:lineRule="atLeast"/>
        <w:ind w:left="960"/>
        <w:rPr>
          <w:rFonts w:ascii="宋体" w:hAnsi="宋体" w:cs="宋体"/>
          <w:color w:val="auto"/>
          <w:sz w:val="24"/>
        </w:rPr>
      </w:pPr>
      <w:r>
        <w:rPr>
          <w:rFonts w:hint="eastAsia" w:ascii="宋体" w:hAnsi="宋体" w:cs="宋体"/>
          <w:color w:val="auto"/>
          <w:sz w:val="24"/>
        </w:rPr>
        <w:t>项目名称：</w:t>
      </w:r>
      <w:r>
        <w:rPr>
          <w:rFonts w:hint="eastAsia" w:ascii="宋体" w:hAnsi="宋体" w:cs="宋体"/>
          <w:color w:val="auto"/>
          <w:sz w:val="24"/>
          <w:u w:val="single"/>
        </w:rPr>
        <w:t xml:space="preserve">                                   </w:t>
      </w:r>
    </w:p>
    <w:p>
      <w:pPr>
        <w:pStyle w:val="596"/>
        <w:spacing w:before="120" w:line="22" w:lineRule="atLeast"/>
        <w:rPr>
          <w:rFonts w:ascii="宋体" w:hAnsi="宋体" w:eastAsia="宋体" w:cs="宋体"/>
          <w:color w:val="auto"/>
          <w:szCs w:val="24"/>
        </w:rPr>
      </w:pPr>
    </w:p>
    <w:p>
      <w:pPr>
        <w:pStyle w:val="596"/>
        <w:spacing w:before="120" w:line="22" w:lineRule="atLeast"/>
        <w:rPr>
          <w:rFonts w:ascii="宋体" w:hAnsi="宋体" w:eastAsia="宋体" w:cs="宋体"/>
          <w:color w:val="auto"/>
          <w:szCs w:val="24"/>
        </w:rPr>
      </w:pPr>
    </w:p>
    <w:p>
      <w:pPr>
        <w:rPr>
          <w:rFonts w:ascii="宋体" w:hAnsi="宋体" w:cs="宋体"/>
          <w:color w:val="auto"/>
          <w:sz w:val="24"/>
        </w:rPr>
      </w:pPr>
    </w:p>
    <w:p>
      <w:pPr>
        <w:spacing w:before="120" w:line="22" w:lineRule="atLeast"/>
        <w:ind w:left="960"/>
        <w:rPr>
          <w:rFonts w:ascii="宋体" w:hAnsi="宋体" w:cs="宋体"/>
          <w:color w:val="auto"/>
          <w:sz w:val="24"/>
          <w:u w:val="single"/>
        </w:rPr>
      </w:pPr>
      <w:r>
        <w:rPr>
          <w:rFonts w:hint="eastAsia" w:ascii="宋体" w:hAnsi="宋体" w:cs="宋体"/>
          <w:color w:val="auto"/>
          <w:sz w:val="24"/>
        </w:rPr>
        <w:t>甲方：</w:t>
      </w:r>
      <w:r>
        <w:rPr>
          <w:rFonts w:hint="eastAsia" w:ascii="宋体" w:hAnsi="宋体" w:cs="宋体"/>
          <w:color w:val="auto"/>
          <w:sz w:val="24"/>
          <w:u w:val="single"/>
        </w:rPr>
        <w:t xml:space="preserve">                                       </w:t>
      </w:r>
    </w:p>
    <w:p>
      <w:pPr>
        <w:spacing w:before="120" w:line="22" w:lineRule="atLeast"/>
        <w:rPr>
          <w:rFonts w:ascii="宋体" w:hAnsi="宋体" w:cs="宋体"/>
          <w:color w:val="auto"/>
          <w:sz w:val="24"/>
        </w:rPr>
      </w:pPr>
    </w:p>
    <w:p>
      <w:pPr>
        <w:spacing w:before="120" w:line="22" w:lineRule="atLeast"/>
        <w:ind w:left="960"/>
        <w:rPr>
          <w:rFonts w:ascii="宋体" w:hAnsi="宋体" w:cs="宋体"/>
          <w:color w:val="auto"/>
          <w:sz w:val="24"/>
          <w:u w:val="single"/>
        </w:rPr>
      </w:pPr>
      <w:r>
        <w:rPr>
          <w:rFonts w:hint="eastAsia" w:ascii="宋体" w:hAnsi="宋体" w:cs="宋体"/>
          <w:color w:val="auto"/>
          <w:sz w:val="24"/>
        </w:rPr>
        <w:t>乙方：</w:t>
      </w:r>
      <w:r>
        <w:rPr>
          <w:rFonts w:hint="eastAsia" w:ascii="宋体" w:hAnsi="宋体" w:cs="宋体"/>
          <w:color w:val="auto"/>
          <w:sz w:val="24"/>
          <w:u w:val="single"/>
        </w:rPr>
        <w:t xml:space="preserve">                                       </w:t>
      </w:r>
    </w:p>
    <w:p>
      <w:pPr>
        <w:spacing w:before="120" w:line="22" w:lineRule="atLeast"/>
        <w:rPr>
          <w:rFonts w:ascii="宋体" w:hAnsi="宋体" w:cs="宋体"/>
          <w:color w:val="auto"/>
          <w:sz w:val="24"/>
        </w:rPr>
      </w:pPr>
    </w:p>
    <w:p>
      <w:pPr>
        <w:spacing w:before="120" w:line="22" w:lineRule="atLeast"/>
        <w:ind w:firstLine="960" w:firstLineChars="400"/>
        <w:rPr>
          <w:rFonts w:ascii="宋体" w:hAnsi="宋体" w:cs="宋体"/>
          <w:color w:val="auto"/>
          <w:sz w:val="24"/>
          <w:u w:val="single"/>
        </w:rPr>
      </w:pPr>
      <w:r>
        <w:rPr>
          <w:rFonts w:hint="eastAsia" w:ascii="宋体" w:hAnsi="宋体" w:cs="宋体"/>
          <w:color w:val="auto"/>
          <w:sz w:val="24"/>
        </w:rPr>
        <w:t>签订地：</w:t>
      </w:r>
      <w:r>
        <w:rPr>
          <w:rFonts w:hint="eastAsia" w:ascii="宋体" w:hAnsi="宋体" w:cs="宋体"/>
          <w:color w:val="auto"/>
          <w:sz w:val="24"/>
          <w:u w:val="single"/>
        </w:rPr>
        <w:t xml:space="preserve">                                     </w:t>
      </w:r>
    </w:p>
    <w:p>
      <w:pPr>
        <w:spacing w:before="120" w:line="22" w:lineRule="atLeast"/>
        <w:rPr>
          <w:rFonts w:ascii="宋体" w:hAnsi="宋体" w:cs="宋体"/>
          <w:color w:val="auto"/>
          <w:sz w:val="24"/>
        </w:rPr>
      </w:pPr>
    </w:p>
    <w:p>
      <w:pPr>
        <w:spacing w:before="120" w:line="22" w:lineRule="atLeast"/>
        <w:ind w:firstLine="960" w:firstLineChars="400"/>
        <w:rPr>
          <w:rFonts w:ascii="宋体" w:hAnsi="宋体" w:cs="宋体"/>
          <w:color w:val="auto"/>
          <w:sz w:val="24"/>
          <w:u w:val="single"/>
        </w:rPr>
      </w:pPr>
      <w:r>
        <w:rPr>
          <w:rFonts w:hint="eastAsia" w:ascii="宋体" w:hAnsi="宋体" w:cs="宋体"/>
          <w:color w:val="auto"/>
          <w:sz w:val="24"/>
        </w:rPr>
        <w:t>签订日期：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widowControl/>
        <w:jc w:val="left"/>
        <w:rPr>
          <w:rFonts w:ascii="宋体" w:hAnsi="宋体" w:cs="宋体"/>
          <w:color w:val="auto"/>
          <w:kern w:val="0"/>
          <w:sz w:val="24"/>
        </w:rPr>
        <w:sectPr>
          <w:pgSz w:w="11907" w:h="16840"/>
          <w:pgMar w:top="1474" w:right="1814" w:bottom="1474" w:left="1814" w:header="851" w:footer="851" w:gutter="0"/>
          <w:cols w:space="720" w:num="1"/>
        </w:sectPr>
      </w:pPr>
    </w:p>
    <w:p>
      <w:pPr>
        <w:spacing w:line="56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u w:val="single"/>
          <w:lang w:val="zh-CN"/>
        </w:rPr>
        <w:t xml:space="preserve">        </w:t>
      </w:r>
      <w:r>
        <w:rPr>
          <w:rFonts w:hint="eastAsia" w:asciiTheme="minorEastAsia" w:hAnsiTheme="minorEastAsia" w:eastAsiaTheme="minorEastAsia"/>
          <w:color w:val="auto"/>
          <w:sz w:val="24"/>
          <w:lang w:val="zh-CN"/>
        </w:rPr>
        <w:t>年</w:t>
      </w:r>
      <w:r>
        <w:rPr>
          <w:rFonts w:asciiTheme="minorEastAsia" w:hAnsiTheme="minorEastAsia" w:eastAsiaTheme="minorEastAsia"/>
          <w:color w:val="auto"/>
          <w:sz w:val="24"/>
          <w:u w:val="single"/>
          <w:lang w:val="zh-CN"/>
        </w:rPr>
        <w:t xml:space="preserve">    </w:t>
      </w:r>
      <w:r>
        <w:rPr>
          <w:rFonts w:hint="eastAsia" w:asciiTheme="minorEastAsia" w:hAnsiTheme="minorEastAsia" w:eastAsiaTheme="minorEastAsia"/>
          <w:color w:val="auto"/>
          <w:sz w:val="24"/>
          <w:lang w:val="zh-CN"/>
        </w:rPr>
        <w:t>月</w:t>
      </w:r>
      <w:r>
        <w:rPr>
          <w:rFonts w:asciiTheme="minorEastAsia" w:hAnsiTheme="minorEastAsia" w:eastAsiaTheme="minorEastAsia"/>
          <w:color w:val="auto"/>
          <w:sz w:val="24"/>
          <w:u w:val="single"/>
          <w:lang w:val="zh-CN"/>
        </w:rPr>
        <w:t xml:space="preserve">    </w:t>
      </w:r>
      <w:r>
        <w:rPr>
          <w:rFonts w:hint="eastAsia" w:asciiTheme="minorEastAsia" w:hAnsiTheme="minorEastAsia" w:eastAsiaTheme="minorEastAsia"/>
          <w:color w:val="auto"/>
          <w:sz w:val="24"/>
          <w:lang w:val="zh-CN"/>
        </w:rPr>
        <w:t>日</w:t>
      </w:r>
      <w:r>
        <w:rPr>
          <w:rFonts w:hint="eastAsia" w:asciiTheme="minorEastAsia" w:hAnsiTheme="minorEastAsia" w:eastAsiaTheme="minorEastAsia"/>
          <w:color w:val="auto"/>
          <w:sz w:val="24"/>
        </w:rPr>
        <w:t>，</w:t>
      </w:r>
      <w:r>
        <w:rPr>
          <w:rFonts w:asciiTheme="minorEastAsia" w:hAnsiTheme="minorEastAsia" w:eastAsiaTheme="minorEastAsia"/>
          <w:color w:val="auto"/>
          <w:sz w:val="24"/>
          <w:u w:val="single"/>
        </w:rPr>
        <w:t xml:space="preserve">   </w:t>
      </w:r>
      <w:r>
        <w:rPr>
          <w:rFonts w:hint="eastAsia" w:ascii="宋体" w:hAnsi="宋体" w:cs="宋体"/>
          <w:color w:val="auto"/>
          <w:sz w:val="24"/>
          <w:u w:val="single"/>
        </w:rPr>
        <w:t>（采购人）</w:t>
      </w:r>
      <w:r>
        <w:rPr>
          <w:rFonts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以</w:t>
      </w:r>
      <w:r>
        <w:rPr>
          <w:rFonts w:asciiTheme="minorEastAsia" w:hAnsiTheme="minorEastAsia" w:eastAsiaTheme="minorEastAsia"/>
          <w:color w:val="auto"/>
          <w:sz w:val="24"/>
          <w:u w:val="single"/>
        </w:rPr>
        <w:t xml:space="preserve">   （政府采购方式）  </w:t>
      </w:r>
      <w:r>
        <w:rPr>
          <w:rFonts w:hint="eastAsia" w:asciiTheme="minorEastAsia" w:hAnsiTheme="minorEastAsia" w:eastAsiaTheme="minorEastAsia"/>
          <w:color w:val="auto"/>
          <w:sz w:val="24"/>
        </w:rPr>
        <w:t>对</w:t>
      </w:r>
      <w:r>
        <w:rPr>
          <w:rFonts w:asciiTheme="minorEastAsia" w:hAnsiTheme="minorEastAsia" w:eastAsiaTheme="minorEastAsia"/>
          <w:color w:val="auto"/>
          <w:sz w:val="24"/>
          <w:u w:val="single"/>
        </w:rPr>
        <w:t xml:space="preserve">  </w:t>
      </w:r>
      <w:r>
        <w:rPr>
          <w:rFonts w:hint="eastAsia" w:ascii="宋体" w:hAnsi="宋体" w:cs="宋体"/>
          <w:color w:val="auto"/>
          <w:sz w:val="24"/>
          <w:u w:val="single"/>
        </w:rPr>
        <w:t xml:space="preserve">（项目名称）  </w:t>
      </w:r>
      <w:r>
        <w:rPr>
          <w:rFonts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项目进行了采购。经</w:t>
      </w:r>
      <w:r>
        <w:rPr>
          <w:rFonts w:asciiTheme="minorEastAsia" w:hAnsiTheme="minorEastAsia" w:eastAsiaTheme="minorEastAsia"/>
          <w:color w:val="auto"/>
          <w:sz w:val="24"/>
          <w:u w:val="single"/>
        </w:rPr>
        <w:t xml:space="preserve">   （相关评定主体名称）   </w:t>
      </w:r>
      <w:r>
        <w:rPr>
          <w:rFonts w:hint="eastAsia" w:asciiTheme="minorEastAsia" w:hAnsiTheme="minorEastAsia" w:eastAsiaTheme="minorEastAsia"/>
          <w:color w:val="auto"/>
          <w:sz w:val="24"/>
        </w:rPr>
        <w:t>评定，</w:t>
      </w:r>
      <w:r>
        <w:rPr>
          <w:rFonts w:asciiTheme="minorEastAsia" w:hAnsiTheme="minorEastAsia" w:eastAsiaTheme="minorEastAsia"/>
          <w:color w:val="auto"/>
          <w:sz w:val="24"/>
          <w:u w:val="single"/>
        </w:rPr>
        <w:t xml:space="preserve">   （中标供应商名称） </w:t>
      </w:r>
      <w:r>
        <w:rPr>
          <w:rFonts w:hint="eastAsia" w:asciiTheme="minorEastAsia" w:hAnsiTheme="minorEastAsia" w:eastAsiaTheme="minorEastAsia"/>
          <w:color w:val="auto"/>
          <w:sz w:val="24"/>
        </w:rPr>
        <w:t>为该项目中标供应商。现于中标通知书发出之日起10个工作日内，按照采购文件确定的事项签订本合同。</w:t>
      </w:r>
    </w:p>
    <w:p>
      <w:pPr>
        <w:spacing w:line="56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lang w:val="zh-CN"/>
        </w:rPr>
        <w:t>根据《中华人民共和国民法典》《中华人民共和国政府采购法》等相关法律法规之规定，按照平等、自愿、公平和诚实信用的原则，经</w:t>
      </w:r>
      <w:r>
        <w:rPr>
          <w:rFonts w:asciiTheme="minorEastAsia" w:hAnsiTheme="minorEastAsia" w:eastAsiaTheme="minorEastAsia"/>
          <w:color w:val="auto"/>
          <w:sz w:val="24"/>
          <w:u w:val="single"/>
        </w:rPr>
        <w:t xml:space="preserve">   （采购人）   </w:t>
      </w:r>
      <w:r>
        <w:rPr>
          <w:rFonts w:asciiTheme="minorEastAsia" w:hAnsiTheme="minorEastAsia" w:eastAsiaTheme="minorEastAsia"/>
          <w:color w:val="auto"/>
          <w:sz w:val="24"/>
          <w:lang w:val="zh-CN"/>
        </w:rPr>
        <w:t>(以下简称：甲方)和</w:t>
      </w:r>
      <w:r>
        <w:rPr>
          <w:rFonts w:asciiTheme="minorEastAsia" w:hAnsiTheme="minorEastAsia" w:eastAsiaTheme="minorEastAsia"/>
          <w:color w:val="auto"/>
          <w:sz w:val="24"/>
          <w:u w:val="single"/>
        </w:rPr>
        <w:t xml:space="preserve">   （中标供应商名称）   </w:t>
      </w:r>
      <w:r>
        <w:rPr>
          <w:rFonts w:asciiTheme="minorEastAsia" w:hAnsiTheme="minorEastAsia" w:eastAsiaTheme="minorEastAsia"/>
          <w:color w:val="auto"/>
          <w:sz w:val="24"/>
          <w:lang w:val="zh-CN"/>
        </w:rPr>
        <w:t>(以下简称：乙方)协商一致，约定以下合同</w:t>
      </w:r>
      <w:r>
        <w:rPr>
          <w:rFonts w:hint="eastAsia" w:asciiTheme="minorEastAsia" w:hAnsiTheme="minorEastAsia" w:eastAsiaTheme="minorEastAsia"/>
          <w:color w:val="auto"/>
          <w:sz w:val="24"/>
        </w:rPr>
        <w:t>条款，以兹共同遵守、全面履行。</w:t>
      </w:r>
    </w:p>
    <w:p>
      <w:pPr>
        <w:spacing w:line="560" w:lineRule="exact"/>
        <w:ind w:firstLine="482" w:firstLineChars="200"/>
        <w:outlineLvl w:val="2"/>
        <w:rPr>
          <w:rFonts w:asciiTheme="minorEastAsia" w:hAnsiTheme="minorEastAsia" w:eastAsiaTheme="minorEastAsia"/>
          <w:color w:val="auto"/>
          <w:sz w:val="24"/>
        </w:rPr>
      </w:pPr>
      <w:bookmarkStart w:id="395" w:name="_Toc28855"/>
      <w:bookmarkStart w:id="396" w:name="_Toc15367"/>
      <w:bookmarkStart w:id="397" w:name="_Toc20421"/>
      <w:bookmarkStart w:id="398" w:name="_Toc19273"/>
      <w:bookmarkStart w:id="399" w:name="_Toc22967"/>
      <w:r>
        <w:rPr>
          <w:rFonts w:asciiTheme="minorEastAsia" w:hAnsiTheme="minorEastAsia" w:eastAsiaTheme="minorEastAsia"/>
          <w:b/>
          <w:color w:val="auto"/>
          <w:sz w:val="24"/>
        </w:rPr>
        <w:t xml:space="preserve">1.1 </w:t>
      </w:r>
      <w:r>
        <w:rPr>
          <w:rFonts w:hint="eastAsia" w:asciiTheme="minorEastAsia" w:hAnsiTheme="minorEastAsia" w:eastAsiaTheme="minorEastAsia"/>
          <w:b/>
          <w:color w:val="auto"/>
          <w:sz w:val="24"/>
        </w:rPr>
        <w:t>合同组成部分</w:t>
      </w:r>
      <w:bookmarkEnd w:id="395"/>
      <w:bookmarkEnd w:id="396"/>
      <w:bookmarkEnd w:id="397"/>
      <w:bookmarkEnd w:id="398"/>
      <w:bookmarkEnd w:id="399"/>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1.1.1 </w:t>
      </w:r>
      <w:r>
        <w:rPr>
          <w:rFonts w:hint="eastAsia" w:asciiTheme="minorEastAsia" w:hAnsiTheme="minorEastAsia" w:eastAsiaTheme="minorEastAsia"/>
          <w:sz w:val="24"/>
        </w:rPr>
        <w:t>本合同及其补充合同、变更协议；</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1.1.2 </w:t>
      </w:r>
      <w:r>
        <w:rPr>
          <w:rFonts w:hint="eastAsia" w:asciiTheme="minorEastAsia" w:hAnsiTheme="minorEastAsia" w:eastAsiaTheme="minorEastAsia"/>
          <w:sz w:val="24"/>
        </w:rPr>
        <w:t>中标通知书；</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1.1.3 </w:t>
      </w:r>
      <w:r>
        <w:rPr>
          <w:rFonts w:hint="eastAsia" w:asciiTheme="minorEastAsia" w:hAnsiTheme="minorEastAsia" w:eastAsiaTheme="minorEastAsia"/>
          <w:sz w:val="24"/>
        </w:rPr>
        <w:t>投标文件（含澄清或者说明文件）；</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1.1.4 </w:t>
      </w:r>
      <w:r>
        <w:rPr>
          <w:rFonts w:hint="eastAsia" w:asciiTheme="minorEastAsia" w:hAnsiTheme="minorEastAsia" w:eastAsiaTheme="minorEastAsia"/>
          <w:sz w:val="24"/>
        </w:rPr>
        <w:t>招标文件（含澄清或者修改文件）；</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1.1.5 </w:t>
      </w:r>
      <w:r>
        <w:rPr>
          <w:rFonts w:hint="eastAsia" w:asciiTheme="minorEastAsia" w:hAnsiTheme="minorEastAsia" w:eastAsiaTheme="minorEastAsia"/>
          <w:sz w:val="24"/>
        </w:rPr>
        <w:t>其他相关采购文件。</w:t>
      </w:r>
    </w:p>
    <w:p>
      <w:pPr>
        <w:spacing w:line="560" w:lineRule="exact"/>
        <w:ind w:firstLine="482" w:firstLineChars="200"/>
        <w:outlineLvl w:val="2"/>
        <w:rPr>
          <w:rFonts w:asciiTheme="minorEastAsia" w:hAnsiTheme="minorEastAsia" w:eastAsiaTheme="minorEastAsia"/>
          <w:b/>
          <w:sz w:val="24"/>
        </w:rPr>
      </w:pPr>
      <w:bookmarkStart w:id="400" w:name="_Toc18585"/>
      <w:bookmarkStart w:id="401" w:name="_Toc6773"/>
      <w:bookmarkStart w:id="402" w:name="_Toc2918"/>
      <w:bookmarkStart w:id="403" w:name="_Toc22185"/>
      <w:bookmarkStart w:id="404" w:name="_Toc6311"/>
      <w:r>
        <w:rPr>
          <w:rFonts w:asciiTheme="minorEastAsia" w:hAnsiTheme="minorEastAsia" w:eastAsiaTheme="minorEastAsia"/>
          <w:b/>
          <w:sz w:val="24"/>
        </w:rPr>
        <w:t xml:space="preserve">1.2 </w:t>
      </w:r>
      <w:r>
        <w:rPr>
          <w:rFonts w:hint="eastAsia" w:asciiTheme="minorEastAsia" w:hAnsiTheme="minorEastAsia" w:eastAsiaTheme="minorEastAsia"/>
          <w:b/>
          <w:sz w:val="24"/>
        </w:rPr>
        <w:t>标的</w:t>
      </w:r>
      <w:bookmarkEnd w:id="400"/>
      <w:bookmarkEnd w:id="401"/>
      <w:bookmarkEnd w:id="402"/>
      <w:bookmarkEnd w:id="403"/>
      <w:bookmarkEnd w:id="404"/>
    </w:p>
    <w:p>
      <w:pPr>
        <w:spacing w:line="560" w:lineRule="exact"/>
        <w:ind w:firstLine="480" w:firstLineChars="200"/>
        <w:rPr>
          <w:rFonts w:asciiTheme="minorEastAsia" w:hAnsiTheme="minorEastAsia" w:eastAsiaTheme="minorEastAsia"/>
          <w:sz w:val="24"/>
          <w:u w:val="single"/>
        </w:rPr>
      </w:pPr>
      <w:r>
        <w:rPr>
          <w:rFonts w:asciiTheme="minorEastAsia" w:hAnsiTheme="minorEastAsia" w:eastAsiaTheme="minorEastAsia"/>
          <w:sz w:val="24"/>
        </w:rPr>
        <w:t xml:space="preserve">1.2.1 </w:t>
      </w:r>
      <w:r>
        <w:rPr>
          <w:rFonts w:hint="eastAsia" w:asciiTheme="minorEastAsia" w:hAnsiTheme="minorEastAsia" w:eastAsiaTheme="minorEastAsia"/>
          <w:sz w:val="24"/>
        </w:rPr>
        <w:t>标的</w:t>
      </w:r>
      <w:r>
        <w:rPr>
          <w:rFonts w:asciiTheme="minorEastAsia" w:hAnsiTheme="minorEastAsia" w:eastAsiaTheme="minorEastAsia"/>
          <w:sz w:val="24"/>
        </w:rPr>
        <w:t>名称：</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u w:val="single"/>
        </w:rPr>
      </w:pPr>
      <w:r>
        <w:rPr>
          <w:rFonts w:asciiTheme="minorEastAsia" w:hAnsiTheme="minorEastAsia" w:eastAsiaTheme="minorEastAsia"/>
          <w:sz w:val="24"/>
        </w:rPr>
        <w:t xml:space="preserve">1.2.2 </w:t>
      </w:r>
      <w:r>
        <w:rPr>
          <w:rFonts w:hint="eastAsia" w:asciiTheme="minorEastAsia" w:hAnsiTheme="minorEastAsia" w:eastAsiaTheme="minorEastAsia"/>
          <w:sz w:val="24"/>
        </w:rPr>
        <w:t>标的</w:t>
      </w:r>
      <w:r>
        <w:rPr>
          <w:rFonts w:asciiTheme="minorEastAsia" w:hAnsiTheme="minorEastAsia" w:eastAsiaTheme="minorEastAsia"/>
          <w:sz w:val="24"/>
        </w:rPr>
        <w:t>数量：</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1.2.3 </w:t>
      </w:r>
      <w:r>
        <w:rPr>
          <w:rFonts w:hint="eastAsia" w:asciiTheme="minorEastAsia" w:hAnsiTheme="minorEastAsia" w:eastAsiaTheme="minorEastAsia"/>
          <w:sz w:val="24"/>
        </w:rPr>
        <w:t>标的质量：</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spacing w:line="560" w:lineRule="exact"/>
        <w:ind w:firstLine="482" w:firstLineChars="200"/>
        <w:outlineLvl w:val="2"/>
        <w:rPr>
          <w:rFonts w:asciiTheme="minorEastAsia" w:hAnsiTheme="minorEastAsia" w:eastAsiaTheme="minorEastAsia"/>
          <w:b/>
          <w:sz w:val="24"/>
        </w:rPr>
      </w:pPr>
      <w:bookmarkStart w:id="405" w:name="_Toc5635"/>
      <w:bookmarkStart w:id="406" w:name="_Toc1386"/>
      <w:bookmarkStart w:id="407" w:name="_Toc13918"/>
      <w:bookmarkStart w:id="408" w:name="_Toc21124"/>
      <w:bookmarkStart w:id="409" w:name="_Toc4929"/>
      <w:r>
        <w:rPr>
          <w:rFonts w:asciiTheme="minorEastAsia" w:hAnsiTheme="minorEastAsia" w:eastAsiaTheme="minorEastAsia"/>
          <w:b/>
          <w:sz w:val="24"/>
        </w:rPr>
        <w:t>1.3 价款</w:t>
      </w:r>
      <w:bookmarkEnd w:id="405"/>
      <w:bookmarkEnd w:id="406"/>
      <w:bookmarkEnd w:id="407"/>
      <w:bookmarkEnd w:id="408"/>
      <w:bookmarkEnd w:id="409"/>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本合同总价为</w:t>
      </w:r>
      <w:r>
        <w:rPr>
          <w:rFonts w:hint="eastAsia" w:asciiTheme="minorEastAsia" w:hAnsiTheme="minorEastAsia" w:eastAsiaTheme="minorEastAsia"/>
          <w:sz w:val="24"/>
        </w:rPr>
        <w:t>：￥</w:t>
      </w:r>
      <w:r>
        <w:rPr>
          <w:rFonts w:asciiTheme="minorEastAsia" w:hAnsiTheme="minorEastAsia" w:eastAsiaTheme="minorEastAsia"/>
          <w:sz w:val="24"/>
          <w:u w:val="single"/>
        </w:rPr>
        <w:t xml:space="preserve">           </w:t>
      </w:r>
      <w:r>
        <w:rPr>
          <w:rFonts w:asciiTheme="minorEastAsia" w:hAnsiTheme="minorEastAsia" w:eastAsiaTheme="minorEastAsia"/>
          <w:sz w:val="24"/>
        </w:rPr>
        <w:t>元</w:t>
      </w:r>
      <w:r>
        <w:rPr>
          <w:rFonts w:hint="eastAsia" w:asciiTheme="minorEastAsia" w:hAnsiTheme="minorEastAsia" w:eastAsiaTheme="minorEastAsia"/>
          <w:sz w:val="24"/>
        </w:rPr>
        <w:t>（大写：</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元人民币）</w:t>
      </w:r>
      <w:r>
        <w:rPr>
          <w:rFonts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u w:val="single"/>
        </w:rPr>
      </w:pPr>
      <w:r>
        <w:rPr>
          <w:rFonts w:asciiTheme="minorEastAsia" w:hAnsiTheme="minorEastAsia" w:eastAsiaTheme="minorEastAsia"/>
          <w:sz w:val="24"/>
        </w:rPr>
        <w:t>分项价格：</w:t>
      </w:r>
    </w:p>
    <w:tbl>
      <w:tblPr>
        <w:tblStyle w:val="62"/>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序号</w:t>
            </w:r>
          </w:p>
        </w:tc>
        <w:tc>
          <w:tcPr>
            <w:tcW w:w="3402" w:type="dxa"/>
            <w:vAlign w:val="center"/>
          </w:tcPr>
          <w:p>
            <w:pPr>
              <w:pStyle w:val="317"/>
              <w:spacing w:line="560" w:lineRule="exact"/>
              <w:ind w:firstLine="20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分项名称</w:t>
            </w:r>
          </w:p>
        </w:tc>
        <w:tc>
          <w:tcPr>
            <w:tcW w:w="2552" w:type="dxa"/>
            <w:vAlign w:val="center"/>
          </w:tcPr>
          <w:p>
            <w:pPr>
              <w:pStyle w:val="317"/>
              <w:spacing w:line="56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asciiTheme="minorEastAsia" w:hAnsiTheme="minorEastAsia" w:eastAsiaTheme="minorEastAsia"/>
                <w:sz w:val="24"/>
                <w:szCs w:val="24"/>
              </w:rPr>
            </w:pPr>
          </w:p>
        </w:tc>
        <w:tc>
          <w:tcPr>
            <w:tcW w:w="3402" w:type="dxa"/>
            <w:vAlign w:val="center"/>
          </w:tcPr>
          <w:p>
            <w:pPr>
              <w:pStyle w:val="317"/>
              <w:spacing w:line="560" w:lineRule="exact"/>
              <w:ind w:firstLine="200"/>
              <w:jc w:val="center"/>
              <w:rPr>
                <w:rFonts w:asciiTheme="minorEastAsia" w:hAnsiTheme="minorEastAsia" w:eastAsiaTheme="minorEastAsia"/>
                <w:sz w:val="24"/>
                <w:szCs w:val="24"/>
              </w:rPr>
            </w:pPr>
          </w:p>
        </w:tc>
        <w:tc>
          <w:tcPr>
            <w:tcW w:w="2552" w:type="dxa"/>
            <w:vAlign w:val="center"/>
          </w:tcPr>
          <w:p>
            <w:pPr>
              <w:pStyle w:val="317"/>
              <w:spacing w:line="560" w:lineRule="exact"/>
              <w:ind w:firstLine="20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asciiTheme="minorEastAsia" w:hAnsiTheme="minorEastAsia" w:eastAsiaTheme="minorEastAsia"/>
                <w:sz w:val="24"/>
                <w:szCs w:val="24"/>
              </w:rPr>
            </w:pPr>
          </w:p>
        </w:tc>
        <w:tc>
          <w:tcPr>
            <w:tcW w:w="3402" w:type="dxa"/>
            <w:vAlign w:val="center"/>
          </w:tcPr>
          <w:p>
            <w:pPr>
              <w:pStyle w:val="317"/>
              <w:spacing w:line="560" w:lineRule="exact"/>
              <w:ind w:firstLine="200"/>
              <w:jc w:val="center"/>
              <w:rPr>
                <w:rFonts w:asciiTheme="minorEastAsia" w:hAnsiTheme="minorEastAsia" w:eastAsiaTheme="minorEastAsia"/>
                <w:sz w:val="24"/>
                <w:szCs w:val="24"/>
              </w:rPr>
            </w:pPr>
          </w:p>
        </w:tc>
        <w:tc>
          <w:tcPr>
            <w:tcW w:w="2552" w:type="dxa"/>
            <w:vAlign w:val="center"/>
          </w:tcPr>
          <w:p>
            <w:pPr>
              <w:pStyle w:val="317"/>
              <w:spacing w:line="560" w:lineRule="exact"/>
              <w:ind w:firstLine="20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asciiTheme="minorEastAsia" w:hAnsiTheme="minorEastAsia" w:eastAsiaTheme="minorEastAsia"/>
                <w:sz w:val="24"/>
                <w:szCs w:val="24"/>
              </w:rPr>
            </w:pPr>
          </w:p>
        </w:tc>
        <w:tc>
          <w:tcPr>
            <w:tcW w:w="3402" w:type="dxa"/>
            <w:vAlign w:val="center"/>
          </w:tcPr>
          <w:p>
            <w:pPr>
              <w:pStyle w:val="317"/>
              <w:spacing w:line="560" w:lineRule="exact"/>
              <w:ind w:firstLine="200"/>
              <w:jc w:val="center"/>
              <w:rPr>
                <w:rFonts w:asciiTheme="minorEastAsia" w:hAnsiTheme="minorEastAsia" w:eastAsiaTheme="minorEastAsia"/>
                <w:sz w:val="24"/>
                <w:szCs w:val="24"/>
              </w:rPr>
            </w:pPr>
          </w:p>
        </w:tc>
        <w:tc>
          <w:tcPr>
            <w:tcW w:w="2552" w:type="dxa"/>
            <w:vAlign w:val="center"/>
          </w:tcPr>
          <w:p>
            <w:pPr>
              <w:pStyle w:val="317"/>
              <w:spacing w:line="560" w:lineRule="exact"/>
              <w:ind w:firstLine="20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asciiTheme="minorEastAsia" w:hAnsiTheme="minorEastAsia" w:eastAsiaTheme="minorEastAsia"/>
                <w:sz w:val="24"/>
                <w:szCs w:val="24"/>
              </w:rPr>
            </w:pPr>
          </w:p>
        </w:tc>
        <w:tc>
          <w:tcPr>
            <w:tcW w:w="3402" w:type="dxa"/>
            <w:vAlign w:val="center"/>
          </w:tcPr>
          <w:p>
            <w:pPr>
              <w:pStyle w:val="317"/>
              <w:spacing w:line="560" w:lineRule="exact"/>
              <w:ind w:firstLine="200"/>
              <w:jc w:val="center"/>
              <w:rPr>
                <w:rFonts w:asciiTheme="minorEastAsia" w:hAnsiTheme="minorEastAsia" w:eastAsiaTheme="minorEastAsia"/>
                <w:sz w:val="24"/>
                <w:szCs w:val="24"/>
              </w:rPr>
            </w:pPr>
          </w:p>
        </w:tc>
        <w:tc>
          <w:tcPr>
            <w:tcW w:w="2552" w:type="dxa"/>
            <w:vAlign w:val="center"/>
          </w:tcPr>
          <w:p>
            <w:pPr>
              <w:pStyle w:val="317"/>
              <w:spacing w:line="560" w:lineRule="exact"/>
              <w:ind w:firstLine="20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7"/>
              <w:spacing w:line="560" w:lineRule="exact"/>
              <w:ind w:firstLine="20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总价</w:t>
            </w:r>
          </w:p>
        </w:tc>
        <w:tc>
          <w:tcPr>
            <w:tcW w:w="2552" w:type="dxa"/>
            <w:vAlign w:val="center"/>
          </w:tcPr>
          <w:p>
            <w:pPr>
              <w:pStyle w:val="317"/>
              <w:spacing w:line="560" w:lineRule="exact"/>
              <w:ind w:firstLine="200"/>
              <w:jc w:val="center"/>
              <w:rPr>
                <w:rFonts w:asciiTheme="minorEastAsia" w:hAnsiTheme="minorEastAsia" w:eastAsiaTheme="minorEastAsia"/>
                <w:sz w:val="24"/>
                <w:szCs w:val="24"/>
              </w:rPr>
            </w:pPr>
          </w:p>
        </w:tc>
      </w:tr>
    </w:tbl>
    <w:p>
      <w:pPr>
        <w:spacing w:line="560" w:lineRule="exact"/>
        <w:ind w:firstLine="482" w:firstLineChars="200"/>
        <w:outlineLvl w:val="2"/>
        <w:rPr>
          <w:rFonts w:asciiTheme="minorEastAsia" w:hAnsiTheme="minorEastAsia" w:eastAsiaTheme="minorEastAsia"/>
          <w:b/>
          <w:sz w:val="24"/>
        </w:rPr>
      </w:pPr>
      <w:bookmarkStart w:id="410" w:name="_Toc14993"/>
      <w:bookmarkStart w:id="411" w:name="_Toc30506"/>
      <w:bookmarkStart w:id="412" w:name="_Toc3654"/>
      <w:bookmarkStart w:id="413" w:name="_Toc26916"/>
      <w:bookmarkStart w:id="414" w:name="_Toc30158"/>
      <w:r>
        <w:rPr>
          <w:rFonts w:asciiTheme="minorEastAsia" w:hAnsiTheme="minorEastAsia" w:eastAsiaTheme="minorEastAsia"/>
          <w:b/>
          <w:sz w:val="24"/>
        </w:rPr>
        <w:t>1.4 付款方式和发票开具方式</w:t>
      </w:r>
      <w:bookmarkEnd w:id="410"/>
      <w:bookmarkEnd w:id="411"/>
      <w:bookmarkEnd w:id="412"/>
      <w:bookmarkEnd w:id="413"/>
      <w:bookmarkEnd w:id="414"/>
    </w:p>
    <w:p>
      <w:pPr>
        <w:pStyle w:val="957"/>
        <w:spacing w:before="0" w:beforeAutospacing="0" w:after="0" w:afterAutospacing="0" w:line="360" w:lineRule="auto"/>
        <w:ind w:firstLine="480"/>
        <w:rPr>
          <w:rFonts w:cs="Times New Roman" w:asciiTheme="minorEastAsia" w:hAnsiTheme="minorEastAsia" w:eastAsiaTheme="minorEastAsia"/>
        </w:rPr>
      </w:pPr>
      <w:r>
        <w:rPr>
          <w:rFonts w:cs="Times New Roman" w:asciiTheme="minorEastAsia" w:hAnsiTheme="minorEastAsia" w:eastAsiaTheme="minorEastAsia"/>
        </w:rPr>
        <w:t>1.4.1</w:t>
      </w:r>
      <w:r>
        <w:rPr>
          <w:rFonts w:hint="eastAsia" w:cs="Times New Roman" w:asciiTheme="minorEastAsia" w:hAnsiTheme="minorEastAsia" w:eastAsiaTheme="minorEastAsia"/>
        </w:rPr>
        <w:t>甲方应严格履行合同，及时组织验收，验收合格后及时将合同款支付完毕。对于满足合同约定支付条件的，甲方自收到发票后</w:t>
      </w:r>
      <w:r>
        <w:rPr>
          <w:rFonts w:cs="Times New Roman" w:asciiTheme="minorEastAsia" w:hAnsiTheme="minorEastAsia" w:eastAsiaTheme="minorEastAsia"/>
        </w:rPr>
        <w:t>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1.4.2 </w:t>
      </w:r>
      <w:r>
        <w:rPr>
          <w:rFonts w:hint="eastAsia" w:asciiTheme="minorEastAsia" w:hAnsiTheme="minorEastAsia" w:eastAsiaTheme="minorEastAsia"/>
          <w:sz w:val="24"/>
        </w:rPr>
        <w:t>合同预付款比例为合同金额的</w:t>
      </w:r>
      <w:r>
        <w:rPr>
          <w:rFonts w:asciiTheme="minorEastAsia" w:hAnsiTheme="minorEastAsia" w:eastAsiaTheme="minorEastAsia"/>
          <w:sz w:val="24"/>
        </w:rPr>
        <w:t>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w:t>
      </w:r>
      <w:r>
        <w:rPr>
          <w:rFonts w:hint="eastAsia" w:asciiTheme="minorEastAsia" w:hAnsiTheme="minorEastAsia" w:eastAsiaTheme="minorEastAsia"/>
          <w:sz w:val="24"/>
        </w:rPr>
        <w:t>5</w:t>
      </w:r>
      <w:r>
        <w:rPr>
          <w:rFonts w:asciiTheme="minorEastAsia" w:hAnsiTheme="minorEastAsia" w:eastAsiaTheme="minorEastAsia"/>
          <w:sz w:val="24"/>
        </w:rPr>
        <w:t>个工作日内支付。</w:t>
      </w:r>
      <w:r>
        <w:rPr>
          <w:rFonts w:hint="eastAsia" w:asciiTheme="minorEastAsia" w:hAnsiTheme="minorEastAsia" w:eastAsiaTheme="minorEastAsia"/>
          <w:sz w:val="24"/>
        </w:rPr>
        <w:t>政府采购工程以及与工程建设有关的货物、服务，采用招标方式采购的，预付款从其相关规定。乙方可登录政采云前台大厅选择金融服务</w:t>
      </w:r>
      <w:r>
        <w:rPr>
          <w:rFonts w:asciiTheme="minorEastAsia" w:hAnsiTheme="minorEastAsia" w:eastAsiaTheme="minorEastAsia"/>
          <w:sz w:val="24"/>
        </w:rPr>
        <w:t xml:space="preserve"> - </w:t>
      </w:r>
      <w:r>
        <w:rPr>
          <w:rFonts w:hint="eastAsia" w:asciiTheme="minorEastAsia" w:hAnsiTheme="minorEastAsia" w:eastAsiaTheme="minorEastAsia"/>
          <w:sz w:val="24"/>
        </w:rPr>
        <w:t>【保函保险服务】出具预付款保函，具体步骤：选择产品—填写供应商信息—选择中标项目—确认信息—等待保险</w:t>
      </w:r>
      <w:r>
        <w:rPr>
          <w:rFonts w:asciiTheme="minorEastAsia" w:hAnsiTheme="minorEastAsia" w:eastAsiaTheme="minorEastAsia"/>
          <w:sz w:val="24"/>
        </w:rPr>
        <w:t>/保函受理—确认保单—支付保费—成功出单。政</w:t>
      </w:r>
      <w:r>
        <w:rPr>
          <w:rFonts w:hint="eastAsia" w:asciiTheme="minorEastAsia" w:hAnsiTheme="minorEastAsia" w:eastAsiaTheme="minorEastAsia"/>
          <w:sz w:val="24"/>
        </w:rPr>
        <w:t>采云金融专线</w:t>
      </w:r>
      <w:r>
        <w:rPr>
          <w:rFonts w:asciiTheme="minorEastAsia" w:hAnsiTheme="minorEastAsia" w:eastAsiaTheme="minorEastAsia"/>
          <w:sz w:val="24"/>
        </w:rPr>
        <w:t>400-903-9583。</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1.4.3</w:t>
      </w:r>
      <w:r>
        <w:rPr>
          <w:rFonts w:hint="eastAsia" w:asciiTheme="minorEastAsia" w:hAnsiTheme="minorEastAsia" w:eastAsiaTheme="minorEastAsia"/>
          <w:sz w:val="24"/>
        </w:rPr>
        <w:t>甲方迟延支付乙方款项的，向乙方支付逾期利息。双方可以在合同专用条款中约定逾期利率，约定利率不得低于合同订立时</w:t>
      </w:r>
      <w:r>
        <w:rPr>
          <w:rFonts w:asciiTheme="minorEastAsia" w:hAnsiTheme="minorEastAsia" w:eastAsiaTheme="minorEastAsia"/>
          <w:sz w:val="24"/>
        </w:rPr>
        <w:t>1年</w:t>
      </w:r>
      <w:r>
        <w:rPr>
          <w:rFonts w:hint="eastAsia" w:asciiTheme="minorEastAsia" w:hAnsiTheme="minorEastAsia" w:eastAsiaTheme="minorEastAsia"/>
          <w:sz w:val="24"/>
        </w:rPr>
        <w:t>期贷款市场报价利率；未作约定的，按照每日利率万分之五支付逾期利息。</w:t>
      </w:r>
    </w:p>
    <w:p>
      <w:pPr>
        <w:spacing w:line="560" w:lineRule="exact"/>
        <w:ind w:firstLine="480" w:firstLineChars="200"/>
        <w:outlineLvl w:val="2"/>
        <w:rPr>
          <w:rFonts w:asciiTheme="minorEastAsia" w:hAnsiTheme="minorEastAsia" w:eastAsiaTheme="minorEastAsia"/>
          <w:sz w:val="24"/>
        </w:rPr>
      </w:pPr>
      <w:r>
        <w:rPr>
          <w:rFonts w:asciiTheme="minorEastAsia" w:hAnsiTheme="minorEastAsia" w:eastAsiaTheme="minorEastAsia"/>
          <w:sz w:val="24"/>
        </w:rPr>
        <w:t>1.4.4资金支付的方式、时间和条件详见</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w:t>
      </w:r>
    </w:p>
    <w:p>
      <w:pPr>
        <w:spacing w:line="560" w:lineRule="exact"/>
        <w:ind w:firstLine="480" w:firstLineChars="200"/>
        <w:outlineLvl w:val="2"/>
        <w:rPr>
          <w:rFonts w:asciiTheme="minorEastAsia" w:hAnsiTheme="minorEastAsia" w:eastAsiaTheme="minorEastAsia"/>
          <w:sz w:val="24"/>
        </w:rPr>
      </w:pPr>
      <w:r>
        <w:rPr>
          <w:rFonts w:asciiTheme="minorEastAsia" w:hAnsiTheme="minorEastAsia" w:eastAsiaTheme="minorEastAsia"/>
          <w:sz w:val="24"/>
        </w:rPr>
        <w:t>1.4.5</w:t>
      </w:r>
      <w:r>
        <w:rPr>
          <w:rFonts w:hint="eastAsia" w:asciiTheme="minorEastAsia" w:hAnsiTheme="minorEastAsia" w:eastAsiaTheme="minorEastAsia"/>
          <w:sz w:val="24"/>
        </w:rPr>
        <w:t>乙方</w:t>
      </w:r>
      <w:r>
        <w:rPr>
          <w:rFonts w:asciiTheme="minorEastAsia" w:hAnsiTheme="minorEastAsia" w:eastAsiaTheme="minorEastAsia"/>
          <w:sz w:val="24"/>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Theme="minorEastAsia" w:hAnsiTheme="minorEastAsia" w:eastAsiaTheme="minorEastAsia"/>
          <w:sz w:val="24"/>
        </w:rPr>
        <w:t>杭财采监〔</w:t>
      </w:r>
      <w:r>
        <w:rPr>
          <w:rFonts w:asciiTheme="minorEastAsia" w:hAnsiTheme="minorEastAsia" w:eastAsiaTheme="minorEastAsia"/>
          <w:sz w:val="24"/>
        </w:rPr>
        <w:t>2021〕17号）。</w:t>
      </w:r>
    </w:p>
    <w:p>
      <w:pPr>
        <w:spacing w:line="560" w:lineRule="exact"/>
        <w:ind w:firstLine="482" w:firstLineChars="200"/>
        <w:outlineLvl w:val="2"/>
        <w:rPr>
          <w:rFonts w:asciiTheme="minorEastAsia" w:hAnsiTheme="minorEastAsia" w:eastAsiaTheme="minorEastAsia"/>
          <w:b/>
          <w:sz w:val="24"/>
        </w:rPr>
      </w:pPr>
      <w:bookmarkStart w:id="415" w:name="_Toc11108"/>
      <w:bookmarkStart w:id="416" w:name="_Toc31421"/>
      <w:bookmarkStart w:id="417" w:name="_Toc8772"/>
      <w:bookmarkStart w:id="418" w:name="_Toc3625"/>
      <w:bookmarkStart w:id="419" w:name="_Toc4760"/>
      <w:r>
        <w:rPr>
          <w:rFonts w:asciiTheme="minorEastAsia" w:hAnsiTheme="minorEastAsia" w:eastAsiaTheme="minorEastAsia"/>
          <w:b/>
          <w:sz w:val="24"/>
        </w:rPr>
        <w:t>1.5 履行期限</w:t>
      </w:r>
      <w:r>
        <w:rPr>
          <w:rFonts w:hint="eastAsia" w:asciiTheme="minorEastAsia" w:hAnsiTheme="minorEastAsia" w:eastAsiaTheme="minorEastAsia"/>
          <w:b/>
          <w:sz w:val="24"/>
        </w:rPr>
        <w:t>、地点和方式</w:t>
      </w:r>
      <w:bookmarkEnd w:id="415"/>
      <w:bookmarkEnd w:id="416"/>
      <w:bookmarkEnd w:id="417"/>
      <w:bookmarkEnd w:id="418"/>
      <w:bookmarkEnd w:id="419"/>
    </w:p>
    <w:p>
      <w:pPr>
        <w:spacing w:line="560" w:lineRule="exact"/>
        <w:ind w:firstLine="480" w:firstLineChars="200"/>
        <w:rPr>
          <w:rFonts w:asciiTheme="minorEastAsia" w:hAnsiTheme="minorEastAsia" w:eastAsiaTheme="minorEastAsia"/>
          <w:sz w:val="24"/>
          <w:u w:val="single"/>
        </w:rPr>
      </w:pPr>
      <w:r>
        <w:rPr>
          <w:rFonts w:asciiTheme="minorEastAsia" w:hAnsiTheme="minorEastAsia" w:eastAsiaTheme="minorEastAsia"/>
          <w:sz w:val="24"/>
        </w:rPr>
        <w:t xml:space="preserve">1.5.1 </w:t>
      </w:r>
      <w:r>
        <w:rPr>
          <w:rFonts w:hint="eastAsia" w:asciiTheme="minorEastAsia" w:hAnsiTheme="minorEastAsia" w:eastAsiaTheme="minorEastAsia"/>
          <w:sz w:val="24"/>
        </w:rPr>
        <w:t>履行期限</w:t>
      </w:r>
      <w:r>
        <w:rPr>
          <w:rFonts w:asciiTheme="minorEastAsia" w:hAnsiTheme="minorEastAsia" w:eastAsiaTheme="minorEastAsia"/>
          <w:sz w:val="24"/>
        </w:rPr>
        <w:t>：</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1.5.2 </w:t>
      </w:r>
      <w:r>
        <w:rPr>
          <w:rFonts w:hint="eastAsia" w:asciiTheme="minorEastAsia" w:hAnsiTheme="minorEastAsia" w:eastAsiaTheme="minorEastAsia"/>
          <w:sz w:val="24"/>
        </w:rPr>
        <w:t>履行地点</w:t>
      </w:r>
      <w:r>
        <w:rPr>
          <w:rFonts w:asciiTheme="minorEastAsia" w:hAnsiTheme="minorEastAsia" w:eastAsiaTheme="minorEastAsia"/>
          <w:sz w:val="24"/>
        </w:rPr>
        <w:t>：</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1.5.3 </w:t>
      </w:r>
      <w:r>
        <w:rPr>
          <w:rFonts w:hint="eastAsia" w:asciiTheme="minorEastAsia" w:hAnsiTheme="minorEastAsia" w:eastAsiaTheme="minorEastAsia"/>
          <w:sz w:val="24"/>
        </w:rPr>
        <w:t>履行方式：</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w:t>
      </w:r>
    </w:p>
    <w:p>
      <w:pPr>
        <w:spacing w:line="560" w:lineRule="exact"/>
        <w:ind w:firstLine="482" w:firstLineChars="200"/>
        <w:outlineLvl w:val="2"/>
        <w:rPr>
          <w:rFonts w:asciiTheme="minorEastAsia" w:hAnsiTheme="minorEastAsia" w:eastAsiaTheme="minorEastAsia"/>
          <w:sz w:val="24"/>
          <w:u w:val="single"/>
        </w:rPr>
      </w:pPr>
      <w:bookmarkStart w:id="420" w:name="_Toc2375"/>
      <w:bookmarkStart w:id="421" w:name="_Toc24662"/>
      <w:bookmarkStart w:id="422" w:name="_Toc8586"/>
      <w:bookmarkStart w:id="423" w:name="_Toc3079"/>
      <w:bookmarkStart w:id="424" w:name="_Toc5698"/>
      <w:r>
        <w:rPr>
          <w:rFonts w:asciiTheme="minorEastAsia" w:hAnsiTheme="minorEastAsia" w:eastAsiaTheme="minorEastAsia"/>
          <w:b/>
          <w:sz w:val="24"/>
        </w:rPr>
        <w:t xml:space="preserve">1.6 </w:t>
      </w:r>
      <w:r>
        <w:rPr>
          <w:rFonts w:hint="eastAsia" w:asciiTheme="minorEastAsia" w:hAnsiTheme="minorEastAsia" w:eastAsiaTheme="minorEastAsia"/>
          <w:b/>
          <w:sz w:val="24"/>
        </w:rPr>
        <w:t>违约责任</w:t>
      </w:r>
      <w:bookmarkEnd w:id="420"/>
      <w:bookmarkEnd w:id="421"/>
      <w:bookmarkEnd w:id="422"/>
      <w:bookmarkEnd w:id="423"/>
      <w:bookmarkEnd w:id="424"/>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1.6.1 除不可抗力外，如果乙方没有按照本合同约定的期限</w:t>
      </w:r>
      <w:r>
        <w:rPr>
          <w:rFonts w:hint="eastAsia" w:asciiTheme="minorEastAsia" w:hAnsiTheme="minorEastAsia" w:eastAsiaTheme="minorEastAsia"/>
          <w:sz w:val="24"/>
        </w:rPr>
        <w:t>、</w:t>
      </w:r>
      <w:r>
        <w:rPr>
          <w:rFonts w:asciiTheme="minorEastAsia" w:hAnsiTheme="minorEastAsia" w:eastAsiaTheme="minorEastAsia"/>
          <w:sz w:val="24"/>
        </w:rPr>
        <w:t>地点和方式</w:t>
      </w:r>
      <w:r>
        <w:rPr>
          <w:rFonts w:hint="eastAsia" w:asciiTheme="minorEastAsia" w:hAnsiTheme="minorEastAsia" w:eastAsiaTheme="minorEastAsia"/>
          <w:sz w:val="24"/>
        </w:rPr>
        <w:t>履行</w:t>
      </w:r>
      <w:r>
        <w:rPr>
          <w:rFonts w:asciiTheme="minorEastAsia" w:hAnsiTheme="minorEastAsia" w:eastAsiaTheme="minorEastAsia"/>
          <w:sz w:val="24"/>
        </w:rPr>
        <w:t>，那么甲方可要求乙方支付违约金</w:t>
      </w:r>
      <w:r>
        <w:rPr>
          <w:rFonts w:hint="eastAsia" w:asciiTheme="minorEastAsia" w:hAnsiTheme="minorEastAsia" w:eastAsiaTheme="minorEastAsia"/>
          <w:sz w:val="24"/>
        </w:rPr>
        <w:t>，</w:t>
      </w:r>
      <w:r>
        <w:rPr>
          <w:rFonts w:asciiTheme="minorEastAsia" w:hAnsiTheme="minorEastAsia" w:eastAsiaTheme="minorEastAsia"/>
          <w:sz w:val="24"/>
        </w:rPr>
        <w:t>违约金按每迟延</w:t>
      </w:r>
      <w:r>
        <w:rPr>
          <w:rFonts w:hint="eastAsia" w:asciiTheme="minorEastAsia" w:hAnsiTheme="minorEastAsia" w:eastAsiaTheme="minorEastAsia"/>
          <w:sz w:val="24"/>
        </w:rPr>
        <w:t>履行</w:t>
      </w:r>
      <w:r>
        <w:rPr>
          <w:rFonts w:asciiTheme="minorEastAsia" w:hAnsiTheme="minorEastAsia" w:eastAsiaTheme="minorEastAsia"/>
          <w:sz w:val="24"/>
        </w:rPr>
        <w:t>一日的应提供而未</w:t>
      </w:r>
      <w:r>
        <w:rPr>
          <w:rFonts w:hint="eastAsia" w:asciiTheme="minorEastAsia" w:hAnsiTheme="minorEastAsia" w:eastAsiaTheme="minorEastAsia"/>
          <w:sz w:val="24"/>
        </w:rPr>
        <w:t>提供</w:t>
      </w:r>
      <w:r>
        <w:rPr>
          <w:rFonts w:asciiTheme="minorEastAsia" w:hAnsiTheme="minorEastAsia" w:eastAsiaTheme="minorEastAsia"/>
          <w:sz w:val="24"/>
        </w:rPr>
        <w:t>服务价格的</w:t>
      </w:r>
      <w:r>
        <w:rPr>
          <w:rFonts w:asciiTheme="minorEastAsia" w:hAnsiTheme="minorEastAsia" w:eastAsiaTheme="minorEastAsia"/>
          <w:sz w:val="24"/>
          <w:u w:val="single"/>
        </w:rPr>
        <w:t xml:space="preserve"> 0.05   </w:t>
      </w:r>
      <w:r>
        <w:rPr>
          <w:rFonts w:asciiTheme="minorEastAsia" w:hAnsiTheme="minorEastAsia" w:eastAsiaTheme="minorEastAsia"/>
          <w:sz w:val="24"/>
        </w:rPr>
        <w:t>%计算</w:t>
      </w:r>
      <w:r>
        <w:rPr>
          <w:rFonts w:hint="eastAsia" w:asciiTheme="minorEastAsia" w:hAnsiTheme="minorEastAsia" w:eastAsiaTheme="minorEastAsia"/>
          <w:sz w:val="24"/>
        </w:rPr>
        <w:t>，</w:t>
      </w:r>
      <w:r>
        <w:rPr>
          <w:rFonts w:asciiTheme="minorEastAsia" w:hAnsiTheme="minorEastAsia" w:eastAsiaTheme="minorEastAsia"/>
          <w:sz w:val="24"/>
        </w:rPr>
        <w:t>最高限额为</w:t>
      </w:r>
      <w:r>
        <w:rPr>
          <w:rFonts w:hint="eastAsia" w:asciiTheme="minorEastAsia" w:hAnsiTheme="minorEastAsia" w:eastAsiaTheme="minorEastAsia"/>
          <w:sz w:val="24"/>
        </w:rPr>
        <w:t>本</w:t>
      </w:r>
      <w:r>
        <w:rPr>
          <w:rFonts w:asciiTheme="minorEastAsia" w:hAnsiTheme="minorEastAsia" w:eastAsiaTheme="minorEastAsia"/>
          <w:sz w:val="24"/>
        </w:rPr>
        <w:t>合同总价的</w:t>
      </w:r>
      <w:r>
        <w:rPr>
          <w:rFonts w:asciiTheme="minorEastAsia" w:hAnsiTheme="minorEastAsia" w:eastAsiaTheme="minorEastAsia"/>
          <w:sz w:val="24"/>
          <w:u w:val="single"/>
        </w:rPr>
        <w:t xml:space="preserve">  20   </w:t>
      </w:r>
      <w:r>
        <w:rPr>
          <w:rFonts w:asciiTheme="minorEastAsia" w:hAnsiTheme="minorEastAsia" w:eastAsiaTheme="minorEastAsia"/>
          <w:sz w:val="24"/>
        </w:rPr>
        <w:t>%</w:t>
      </w:r>
      <w:r>
        <w:rPr>
          <w:rFonts w:hint="eastAsia" w:asciiTheme="minorEastAsia" w:hAnsiTheme="minorEastAsia" w:eastAsiaTheme="minorEastAsia"/>
          <w:sz w:val="24"/>
        </w:rPr>
        <w:t>；</w:t>
      </w:r>
      <w:r>
        <w:rPr>
          <w:rFonts w:asciiTheme="minorEastAsia" w:hAnsiTheme="minorEastAsia" w:eastAsiaTheme="minorEastAsia"/>
          <w:sz w:val="24"/>
        </w:rPr>
        <w:t>迟延</w:t>
      </w:r>
      <w:r>
        <w:rPr>
          <w:rFonts w:hint="eastAsia" w:asciiTheme="minorEastAsia" w:hAnsiTheme="minorEastAsia" w:eastAsiaTheme="minorEastAsia"/>
          <w:sz w:val="24"/>
        </w:rPr>
        <w:t>履行</w:t>
      </w:r>
      <w:r>
        <w:rPr>
          <w:rFonts w:asciiTheme="minorEastAsia" w:hAnsiTheme="minorEastAsia" w:eastAsiaTheme="minorEastAsia"/>
          <w:sz w:val="24"/>
        </w:rPr>
        <w:t>的违约金计算数额达到前述最高限额之日起</w:t>
      </w:r>
      <w:r>
        <w:rPr>
          <w:rFonts w:hint="eastAsia" w:asciiTheme="minorEastAsia" w:hAnsiTheme="minorEastAsia" w:eastAsiaTheme="minorEastAsia"/>
          <w:sz w:val="24"/>
        </w:rPr>
        <w:t>，</w:t>
      </w:r>
      <w:r>
        <w:rPr>
          <w:rFonts w:asciiTheme="minorEastAsia" w:hAnsiTheme="minorEastAsia" w:eastAsiaTheme="minorEastAsia"/>
          <w:sz w:val="24"/>
        </w:rPr>
        <w:t>甲方有权在要求乙方支付违约金的同时</w:t>
      </w:r>
      <w:r>
        <w:rPr>
          <w:rFonts w:hint="eastAsia" w:asciiTheme="minorEastAsia" w:hAnsiTheme="minorEastAsia" w:eastAsiaTheme="minorEastAsia"/>
          <w:sz w:val="24"/>
        </w:rPr>
        <w:t>，书面通知乙方</w:t>
      </w:r>
      <w:r>
        <w:rPr>
          <w:rFonts w:asciiTheme="minorEastAsia" w:hAnsiTheme="minorEastAsia" w:eastAsiaTheme="minorEastAsia"/>
          <w:sz w:val="24"/>
        </w:rPr>
        <w:t>解除本合同</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1.6.2 除不可抗力外，如果甲方没有按照本合同约定的付款方式付款，那么乙方可要求甲方支付违约金</w:t>
      </w:r>
      <w:r>
        <w:rPr>
          <w:rFonts w:hint="eastAsia" w:asciiTheme="minorEastAsia" w:hAnsiTheme="minorEastAsia" w:eastAsiaTheme="minorEastAsia"/>
          <w:sz w:val="24"/>
        </w:rPr>
        <w:t>，</w:t>
      </w:r>
      <w:r>
        <w:rPr>
          <w:rFonts w:asciiTheme="minorEastAsia" w:hAnsiTheme="minorEastAsia" w:eastAsiaTheme="minorEastAsia"/>
          <w:sz w:val="24"/>
        </w:rPr>
        <w:t>违约金按每迟延</w:t>
      </w:r>
      <w:r>
        <w:rPr>
          <w:rFonts w:hint="eastAsia" w:asciiTheme="minorEastAsia" w:hAnsiTheme="minorEastAsia" w:eastAsiaTheme="minorEastAsia"/>
          <w:sz w:val="24"/>
        </w:rPr>
        <w:t>付款</w:t>
      </w:r>
      <w:r>
        <w:rPr>
          <w:rFonts w:asciiTheme="minorEastAsia" w:hAnsiTheme="minorEastAsia" w:eastAsiaTheme="minorEastAsia"/>
          <w:sz w:val="24"/>
        </w:rPr>
        <w:t>一日的应付而未付款的</w:t>
      </w:r>
      <w:r>
        <w:rPr>
          <w:rFonts w:asciiTheme="minorEastAsia" w:hAnsiTheme="minorEastAsia" w:eastAsiaTheme="minorEastAsia"/>
          <w:sz w:val="24"/>
          <w:u w:val="single"/>
        </w:rPr>
        <w:t xml:space="preserve"> 0.05   </w:t>
      </w:r>
      <w:r>
        <w:rPr>
          <w:rFonts w:asciiTheme="minorEastAsia" w:hAnsiTheme="minorEastAsia" w:eastAsiaTheme="minorEastAsia"/>
          <w:sz w:val="24"/>
        </w:rPr>
        <w:t>%计算</w:t>
      </w:r>
      <w:r>
        <w:rPr>
          <w:rFonts w:hint="eastAsia" w:asciiTheme="minorEastAsia" w:hAnsiTheme="minorEastAsia" w:eastAsiaTheme="minorEastAsia"/>
          <w:sz w:val="24"/>
        </w:rPr>
        <w:t>，</w:t>
      </w:r>
      <w:r>
        <w:rPr>
          <w:rFonts w:asciiTheme="minorEastAsia" w:hAnsiTheme="minorEastAsia" w:eastAsiaTheme="minorEastAsia"/>
          <w:sz w:val="24"/>
        </w:rPr>
        <w:t>最高限额为</w:t>
      </w:r>
      <w:r>
        <w:rPr>
          <w:rFonts w:hint="eastAsia" w:asciiTheme="minorEastAsia" w:hAnsiTheme="minorEastAsia" w:eastAsiaTheme="minorEastAsia"/>
          <w:sz w:val="24"/>
        </w:rPr>
        <w:t>本</w:t>
      </w:r>
      <w:r>
        <w:rPr>
          <w:rFonts w:asciiTheme="minorEastAsia" w:hAnsiTheme="minorEastAsia" w:eastAsiaTheme="minorEastAsia"/>
          <w:sz w:val="24"/>
        </w:rPr>
        <w:t>合同总价的</w:t>
      </w:r>
      <w:r>
        <w:rPr>
          <w:rFonts w:asciiTheme="minorEastAsia" w:hAnsiTheme="minorEastAsia" w:eastAsiaTheme="minorEastAsia"/>
          <w:sz w:val="24"/>
          <w:u w:val="single"/>
        </w:rPr>
        <w:t xml:space="preserve">  20   </w:t>
      </w:r>
      <w:r>
        <w:rPr>
          <w:rFonts w:asciiTheme="minorEastAsia" w:hAnsiTheme="minorEastAsia" w:eastAsiaTheme="minorEastAsia"/>
          <w:sz w:val="24"/>
        </w:rPr>
        <w:t>%</w:t>
      </w:r>
      <w:r>
        <w:rPr>
          <w:rFonts w:hint="eastAsia" w:asciiTheme="minorEastAsia" w:hAnsiTheme="minorEastAsia" w:eastAsiaTheme="minorEastAsia"/>
          <w:sz w:val="24"/>
        </w:rPr>
        <w:t>；</w:t>
      </w:r>
      <w:r>
        <w:rPr>
          <w:rFonts w:asciiTheme="minorEastAsia" w:hAnsiTheme="minorEastAsia" w:eastAsiaTheme="minorEastAsia"/>
          <w:sz w:val="24"/>
        </w:rPr>
        <w:t>迟延</w:t>
      </w:r>
      <w:r>
        <w:rPr>
          <w:rFonts w:hint="eastAsia" w:asciiTheme="minorEastAsia" w:hAnsiTheme="minorEastAsia" w:eastAsiaTheme="minorEastAsia"/>
          <w:sz w:val="24"/>
        </w:rPr>
        <w:t>付款</w:t>
      </w:r>
      <w:r>
        <w:rPr>
          <w:rFonts w:asciiTheme="minorEastAsia" w:hAnsiTheme="minorEastAsia" w:eastAsiaTheme="minorEastAsia"/>
          <w:sz w:val="24"/>
        </w:rPr>
        <w:t>的违约金计算数额达到前述最高限额之日起</w:t>
      </w:r>
      <w:r>
        <w:rPr>
          <w:rFonts w:hint="eastAsia" w:asciiTheme="minorEastAsia" w:hAnsiTheme="minorEastAsia" w:eastAsiaTheme="minorEastAsia"/>
          <w:sz w:val="24"/>
        </w:rPr>
        <w:t>，乙</w:t>
      </w:r>
      <w:r>
        <w:rPr>
          <w:rFonts w:asciiTheme="minorEastAsia" w:hAnsiTheme="minorEastAsia" w:eastAsiaTheme="minorEastAsia"/>
          <w:sz w:val="24"/>
        </w:rPr>
        <w:t>方有权在要求甲方支付违约金的同时</w:t>
      </w:r>
      <w:r>
        <w:rPr>
          <w:rFonts w:hint="eastAsia" w:asciiTheme="minorEastAsia" w:hAnsiTheme="minorEastAsia" w:eastAsiaTheme="minorEastAsia"/>
          <w:sz w:val="24"/>
        </w:rPr>
        <w:t>，书面通知甲方</w:t>
      </w:r>
      <w:r>
        <w:rPr>
          <w:rFonts w:asciiTheme="minorEastAsia" w:hAnsiTheme="minorEastAsia" w:eastAsiaTheme="minorEastAsia"/>
          <w:sz w:val="24"/>
        </w:rPr>
        <w:t>解除本合同</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1.6.3 </w:t>
      </w:r>
      <w:r>
        <w:rPr>
          <w:rFonts w:hint="eastAsia" w:asciiTheme="minorEastAsia" w:hAnsiTheme="minorEastAsia" w:eastAsiaTheme="minorEastAsia"/>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1.6.4 </w:t>
      </w:r>
      <w:r>
        <w:rPr>
          <w:rFonts w:hint="eastAsia" w:asciiTheme="minorEastAsia" w:hAnsiTheme="minorEastAsia" w:eastAsiaTheme="minorEastAsia"/>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1.6.5 </w:t>
      </w:r>
      <w:r>
        <w:rPr>
          <w:rFonts w:hint="eastAsia" w:asciiTheme="minorEastAsia" w:hAnsiTheme="minorEastAsia" w:eastAsiaTheme="minorEastAsia"/>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1.6.6 </w:t>
      </w:r>
      <w:r>
        <w:rPr>
          <w:rFonts w:hint="eastAsia" w:asciiTheme="minorEastAsia" w:hAnsiTheme="minorEastAsia" w:eastAsiaTheme="minorEastAsia"/>
          <w:sz w:val="24"/>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720" w:firstLineChars="300"/>
        <w:rPr>
          <w:rFonts w:asciiTheme="minorEastAsia" w:hAnsiTheme="minorEastAsia" w:eastAsiaTheme="minorEastAsia"/>
        </w:rPr>
      </w:pPr>
      <w:r>
        <w:rPr>
          <w:rFonts w:asciiTheme="minorEastAsia" w:hAnsiTheme="minorEastAsia" w:eastAsiaTheme="minorEastAsia"/>
          <w:sz w:val="24"/>
        </w:rPr>
        <w:t>1.6.7违约责任</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另有约定的，从其约定。</w:t>
      </w:r>
    </w:p>
    <w:p>
      <w:pPr>
        <w:spacing w:line="560" w:lineRule="exact"/>
        <w:ind w:firstLine="482" w:firstLineChars="200"/>
        <w:outlineLvl w:val="2"/>
        <w:rPr>
          <w:rFonts w:asciiTheme="minorEastAsia" w:hAnsiTheme="minorEastAsia" w:eastAsiaTheme="minorEastAsia"/>
          <w:b/>
          <w:sz w:val="24"/>
        </w:rPr>
      </w:pPr>
      <w:bookmarkStart w:id="425" w:name="_Toc30329"/>
      <w:bookmarkStart w:id="426" w:name="_Toc32454"/>
      <w:bookmarkStart w:id="427" w:name="_Toc26807"/>
      <w:bookmarkStart w:id="428" w:name="_Toc18683"/>
      <w:bookmarkStart w:id="429" w:name="_Toc9497"/>
      <w:r>
        <w:rPr>
          <w:rFonts w:asciiTheme="minorEastAsia" w:hAnsiTheme="minorEastAsia" w:eastAsiaTheme="minorEastAsia"/>
          <w:b/>
          <w:sz w:val="24"/>
        </w:rPr>
        <w:t xml:space="preserve">1.7 </w:t>
      </w:r>
      <w:r>
        <w:rPr>
          <w:rFonts w:hint="eastAsia" w:asciiTheme="minorEastAsia" w:hAnsiTheme="minorEastAsia" w:eastAsiaTheme="minorEastAsia"/>
          <w:b/>
          <w:sz w:val="24"/>
        </w:rPr>
        <w:t>合同</w:t>
      </w:r>
      <w:r>
        <w:rPr>
          <w:rFonts w:asciiTheme="minorEastAsia" w:hAnsiTheme="minorEastAsia" w:eastAsiaTheme="minorEastAsia"/>
          <w:b/>
          <w:sz w:val="24"/>
        </w:rPr>
        <w:t>争议的解决</w:t>
      </w:r>
      <w:bookmarkEnd w:id="425"/>
      <w:bookmarkEnd w:id="426"/>
      <w:bookmarkEnd w:id="427"/>
      <w:bookmarkEnd w:id="428"/>
      <w:bookmarkEnd w:id="429"/>
    </w:p>
    <w:p>
      <w:pPr>
        <w:spacing w:line="560" w:lineRule="exact"/>
        <w:ind w:left="-61" w:leftChars="-29" w:right="-420" w:rightChars="-200" w:firstLine="240" w:firstLineChars="100"/>
        <w:rPr>
          <w:rFonts w:asciiTheme="minorEastAsia" w:hAnsiTheme="minorEastAsia" w:eastAsiaTheme="minorEastAsia"/>
          <w:sz w:val="24"/>
        </w:rPr>
      </w:pPr>
      <w:r>
        <w:rPr>
          <w:rFonts w:hint="eastAsia" w:asciiTheme="minorEastAsia" w:hAnsiTheme="minorEastAsia" w:eastAsiaTheme="minorEastAsia"/>
          <w:sz w:val="24"/>
        </w:rPr>
        <w:t>本合同履行过程中发生的任何争议，双方当事人均可通过和解或者调解解决；不愿和解、调解或者和解、调解不成的，可以选择以下第</w:t>
      </w:r>
      <w:r>
        <w:rPr>
          <w:rFonts w:asciiTheme="minorEastAsia" w:hAnsiTheme="minorEastAsia" w:eastAsiaTheme="minorEastAsia"/>
          <w:b/>
          <w:i/>
          <w:sz w:val="24"/>
          <w:u w:val="single"/>
        </w:rPr>
        <w:t xml:space="preserve"> 合同专用条款  </w:t>
      </w:r>
      <w:r>
        <w:rPr>
          <w:rFonts w:hint="eastAsia" w:asciiTheme="minorEastAsia" w:hAnsiTheme="minorEastAsia" w:eastAsiaTheme="minorEastAsia"/>
          <w:sz w:val="24"/>
        </w:rPr>
        <w:t>条款规定的方式解决：</w:t>
      </w:r>
    </w:p>
    <w:p>
      <w:pPr>
        <w:spacing w:line="560" w:lineRule="exact"/>
        <w:ind w:left="-420" w:leftChars="-200" w:right="-420" w:rightChars="-200" w:firstLine="600" w:firstLineChars="250"/>
        <w:rPr>
          <w:rFonts w:asciiTheme="minorEastAsia" w:hAnsiTheme="minorEastAsia" w:eastAsiaTheme="minorEastAsia"/>
          <w:sz w:val="24"/>
        </w:rPr>
      </w:pPr>
      <w:r>
        <w:rPr>
          <w:rFonts w:asciiTheme="minorEastAsia" w:hAnsiTheme="minorEastAsia" w:eastAsiaTheme="minorEastAsia"/>
          <w:sz w:val="24"/>
        </w:rPr>
        <w:t xml:space="preserve">1.7.1 </w:t>
      </w:r>
      <w:r>
        <w:rPr>
          <w:rFonts w:hint="eastAsia" w:asciiTheme="minorEastAsia" w:hAnsiTheme="minorEastAsia" w:eastAsiaTheme="minorEastAsia"/>
          <w:sz w:val="24"/>
        </w:rPr>
        <w:t>将争议提交</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仲裁委员会依申请仲裁时其现行有效的仲裁规则裁决；</w:t>
      </w:r>
    </w:p>
    <w:p>
      <w:pPr>
        <w:spacing w:line="560" w:lineRule="exact"/>
        <w:ind w:left="-420" w:leftChars="-200" w:right="-420" w:rightChars="-200" w:firstLine="600" w:firstLineChars="250"/>
        <w:rPr>
          <w:rFonts w:asciiTheme="minorEastAsia" w:hAnsiTheme="minorEastAsia" w:eastAsiaTheme="minorEastAsia"/>
          <w:sz w:val="24"/>
        </w:rPr>
      </w:pPr>
      <w:r>
        <w:rPr>
          <w:rFonts w:asciiTheme="minorEastAsia" w:hAnsiTheme="minorEastAsia" w:eastAsiaTheme="minorEastAsia"/>
          <w:sz w:val="24"/>
        </w:rPr>
        <w:t xml:space="preserve">1.7.2 </w:t>
      </w:r>
      <w:r>
        <w:rPr>
          <w:rFonts w:hint="eastAsia" w:asciiTheme="minorEastAsia" w:hAnsiTheme="minorEastAsia" w:eastAsiaTheme="minorEastAsia"/>
          <w:sz w:val="24"/>
        </w:rPr>
        <w:t>向</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人民法院起诉。</w:t>
      </w:r>
    </w:p>
    <w:p>
      <w:pPr>
        <w:spacing w:line="560" w:lineRule="exact"/>
        <w:ind w:firstLine="241" w:firstLineChars="100"/>
        <w:outlineLvl w:val="2"/>
        <w:rPr>
          <w:rFonts w:asciiTheme="minorEastAsia" w:hAnsiTheme="minorEastAsia" w:eastAsiaTheme="minorEastAsia"/>
          <w:b/>
          <w:sz w:val="24"/>
        </w:rPr>
      </w:pPr>
      <w:bookmarkStart w:id="430" w:name="_Toc26227"/>
      <w:bookmarkStart w:id="431" w:name="_Toc15827"/>
      <w:bookmarkStart w:id="432" w:name="_Toc12273"/>
      <w:bookmarkStart w:id="433" w:name="_Toc23784"/>
      <w:bookmarkStart w:id="434" w:name="_Toc16417"/>
      <w:r>
        <w:rPr>
          <w:rFonts w:asciiTheme="minorEastAsia" w:hAnsiTheme="minorEastAsia" w:eastAsiaTheme="minorEastAsia"/>
          <w:b/>
          <w:sz w:val="24"/>
        </w:rPr>
        <w:t>1.8 合同生效</w:t>
      </w:r>
      <w:bookmarkEnd w:id="430"/>
      <w:bookmarkEnd w:id="431"/>
      <w:bookmarkEnd w:id="432"/>
      <w:bookmarkEnd w:id="433"/>
      <w:bookmarkEnd w:id="434"/>
    </w:p>
    <w:p>
      <w:pPr>
        <w:spacing w:line="560" w:lineRule="exact"/>
        <w:ind w:firstLine="480" w:firstLineChars="200"/>
        <w:rPr>
          <w:rFonts w:asciiTheme="minorEastAsia" w:hAnsiTheme="minorEastAsia" w:eastAsiaTheme="minorEastAsia"/>
          <w:b/>
          <w:sz w:val="24"/>
        </w:rPr>
      </w:pPr>
      <w:r>
        <w:rPr>
          <w:rFonts w:asciiTheme="minorEastAsia" w:hAnsiTheme="minorEastAsia" w:eastAsiaTheme="minorEastAsia"/>
          <w:sz w:val="24"/>
        </w:rPr>
        <w:t>本合同自</w:t>
      </w:r>
      <w:r>
        <w:rPr>
          <w:rFonts w:hint="eastAsia" w:asciiTheme="minorEastAsia" w:hAnsiTheme="minorEastAsia" w:eastAsiaTheme="minorEastAsia"/>
          <w:sz w:val="24"/>
        </w:rPr>
        <w:t>双方当事人盖章或者签字时</w:t>
      </w:r>
      <w:r>
        <w:rPr>
          <w:rFonts w:asciiTheme="minorEastAsia" w:hAnsiTheme="minorEastAsia" w:eastAsiaTheme="minorEastAsia"/>
          <w:sz w:val="24"/>
        </w:rPr>
        <w:t>生效。</w:t>
      </w:r>
    </w:p>
    <w:p>
      <w:pPr>
        <w:autoSpaceDE w:val="0"/>
        <w:autoSpaceDN w:val="0"/>
        <w:spacing w:line="560" w:lineRule="exact"/>
        <w:rPr>
          <w:rFonts w:asciiTheme="minorEastAsia" w:hAnsiTheme="minorEastAsia" w:eastAsiaTheme="minorEastAsia"/>
          <w:sz w:val="24"/>
          <w:lang w:val="zh-CN"/>
        </w:rPr>
      </w:pP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b/>
          <w:sz w:val="24"/>
          <w:lang w:val="zh-CN"/>
        </w:rPr>
        <w:t>甲方</w:t>
      </w:r>
      <w:r>
        <w:rPr>
          <w:rFonts w:hint="eastAsia" w:asciiTheme="minorEastAsia" w:hAnsiTheme="minorEastAsia" w:eastAsiaTheme="minorEastAsia"/>
          <w:sz w:val="24"/>
          <w:lang w:val="zh-CN"/>
        </w:rPr>
        <w:t>：</w:t>
      </w:r>
      <w:r>
        <w:rPr>
          <w:rFonts w:asciiTheme="minorEastAsia" w:hAnsiTheme="minorEastAsia" w:eastAsiaTheme="minorEastAsia"/>
          <w:sz w:val="24"/>
          <w:lang w:val="zh-CN"/>
        </w:rPr>
        <w:t xml:space="preserve">                             </w:t>
      </w:r>
      <w:r>
        <w:rPr>
          <w:rFonts w:asciiTheme="minorEastAsia" w:hAnsiTheme="minorEastAsia" w:eastAsiaTheme="minorEastAsia"/>
          <w:b/>
          <w:sz w:val="24"/>
          <w:lang w:val="zh-CN"/>
        </w:rPr>
        <w:t xml:space="preserve">      乙方</w:t>
      </w:r>
      <w:r>
        <w:rPr>
          <w:rFonts w:hint="eastAsia" w:asciiTheme="minorEastAsia" w:hAnsiTheme="minorEastAsia" w:eastAsiaTheme="minorEastAsia"/>
          <w:sz w:val="24"/>
          <w:lang w:val="zh-CN"/>
        </w:rPr>
        <w:t>：</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统一社会信用代码：</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统一社会信用代码或身份证号码：</w:t>
      </w:r>
    </w:p>
    <w:p>
      <w:pPr>
        <w:autoSpaceDE w:val="0"/>
        <w:autoSpaceDN w:val="0"/>
        <w:spacing w:line="560" w:lineRule="exact"/>
        <w:rPr>
          <w:rFonts w:asciiTheme="minorEastAsia" w:hAnsiTheme="minorEastAsia" w:eastAsiaTheme="minorEastAsia"/>
          <w:sz w:val="24"/>
          <w:lang w:val="zh-CN"/>
        </w:rPr>
      </w:pP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住所：</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住所：</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法定代表人或</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法定代表人或</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授权代表（签字）：</w:t>
      </w:r>
      <w:r>
        <w:rPr>
          <w:rFonts w:asciiTheme="minorEastAsia" w:hAnsiTheme="minorEastAsia" w:eastAsiaTheme="minorEastAsia"/>
          <w:sz w:val="24"/>
          <w:lang w:val="zh-CN"/>
        </w:rPr>
        <w:t xml:space="preserve">                       授权代表（签字）: </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联系人：</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联系人：</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约定送达地址：</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约定送达地址：</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邮政编码：</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邮政编码：</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电话</w:t>
      </w:r>
      <w:r>
        <w:rPr>
          <w:rFonts w:asciiTheme="minorEastAsia" w:hAnsiTheme="minorEastAsia" w:eastAsiaTheme="minorEastAsia"/>
          <w:sz w:val="24"/>
          <w:lang w:val="zh-CN"/>
        </w:rPr>
        <w:t xml:space="preserve">:                                    电话: </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传真</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传真</w:t>
      </w:r>
      <w:r>
        <w:rPr>
          <w:rFonts w:asciiTheme="minorEastAsia" w:hAnsiTheme="minorEastAsia" w:eastAsiaTheme="minorEastAsia"/>
          <w:sz w:val="24"/>
          <w:lang w:val="zh-CN"/>
        </w:rPr>
        <w:t>:</w:t>
      </w:r>
    </w:p>
    <w:p>
      <w:pPr>
        <w:autoSpaceDE w:val="0"/>
        <w:autoSpaceDN w:val="0"/>
        <w:spacing w:line="560" w:lineRule="exact"/>
        <w:rPr>
          <w:rFonts w:asciiTheme="minorEastAsia" w:hAnsiTheme="minorEastAsia" w:eastAsiaTheme="minorEastAsia"/>
          <w:sz w:val="24"/>
        </w:rPr>
      </w:pPr>
      <w:r>
        <w:rPr>
          <w:rFonts w:hint="eastAsia" w:asciiTheme="minorEastAsia" w:hAnsiTheme="minorEastAsia" w:eastAsiaTheme="minorEastAsia"/>
          <w:sz w:val="24"/>
          <w:lang w:val="zh-CN"/>
        </w:rPr>
        <w:t>电子邮箱：</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电子邮箱：</w:t>
      </w:r>
    </w:p>
    <w:p>
      <w:pPr>
        <w:autoSpaceDE w:val="0"/>
        <w:autoSpaceDN w:val="0"/>
        <w:spacing w:line="560" w:lineRule="exact"/>
        <w:rPr>
          <w:rFonts w:asciiTheme="minorEastAsia" w:hAnsiTheme="minorEastAsia" w:eastAsiaTheme="minorEastAsia"/>
          <w:sz w:val="24"/>
        </w:rPr>
      </w:pPr>
      <w:r>
        <w:rPr>
          <w:rFonts w:hint="eastAsia" w:asciiTheme="minorEastAsia" w:hAnsiTheme="minorEastAsia" w:eastAsiaTheme="minorEastAsia"/>
          <w:sz w:val="24"/>
        </w:rPr>
        <w:t>开户银行：</w:t>
      </w:r>
      <w:r>
        <w:rPr>
          <w:rFonts w:asciiTheme="minorEastAsia" w:hAnsiTheme="minorEastAsia" w:eastAsiaTheme="minorEastAsia"/>
          <w:sz w:val="24"/>
        </w:rPr>
        <w:t xml:space="preserve">                               开户银行： </w:t>
      </w:r>
    </w:p>
    <w:p>
      <w:pPr>
        <w:autoSpaceDE w:val="0"/>
        <w:autoSpaceDN w:val="0"/>
        <w:spacing w:line="560" w:lineRule="exact"/>
        <w:rPr>
          <w:rFonts w:asciiTheme="minorEastAsia" w:hAnsiTheme="minorEastAsia" w:eastAsiaTheme="minorEastAsia"/>
          <w:sz w:val="24"/>
        </w:rPr>
      </w:pPr>
      <w:r>
        <w:rPr>
          <w:rFonts w:hint="eastAsia" w:asciiTheme="minorEastAsia" w:hAnsiTheme="minorEastAsia" w:eastAsiaTheme="minorEastAsia"/>
          <w:sz w:val="24"/>
        </w:rPr>
        <w:t>开户名称：</w:t>
      </w:r>
      <w:r>
        <w:rPr>
          <w:rFonts w:asciiTheme="minorEastAsia" w:hAnsiTheme="minorEastAsia" w:eastAsiaTheme="minorEastAsia"/>
          <w:sz w:val="24"/>
        </w:rPr>
        <w:t xml:space="preserve">                               开户名称： </w:t>
      </w:r>
    </w:p>
    <w:p>
      <w:pPr>
        <w:autoSpaceDE w:val="0"/>
        <w:autoSpaceDN w:val="0"/>
        <w:spacing w:line="560" w:lineRule="exact"/>
        <w:rPr>
          <w:rFonts w:asciiTheme="minorEastAsia" w:hAnsiTheme="minorEastAsia" w:eastAsiaTheme="minorEastAsia"/>
          <w:sz w:val="24"/>
        </w:rPr>
      </w:pPr>
      <w:r>
        <w:rPr>
          <w:rFonts w:hint="eastAsia" w:asciiTheme="minorEastAsia" w:hAnsiTheme="minorEastAsia" w:eastAsiaTheme="minorEastAsia"/>
          <w:sz w:val="24"/>
        </w:rPr>
        <w:t>开户账号：</w:t>
      </w:r>
      <w:r>
        <w:rPr>
          <w:rFonts w:asciiTheme="minorEastAsia" w:hAnsiTheme="minorEastAsia" w:eastAsiaTheme="minorEastAsia"/>
          <w:sz w:val="24"/>
          <w:lang w:val="zh-CN"/>
        </w:rPr>
        <w:t xml:space="preserve">                               </w:t>
      </w:r>
      <w:r>
        <w:rPr>
          <w:rFonts w:hint="eastAsia" w:asciiTheme="minorEastAsia" w:hAnsiTheme="minorEastAsia" w:eastAsiaTheme="minorEastAsia"/>
          <w:sz w:val="24"/>
        </w:rPr>
        <w:t>开户账号：</w:t>
      </w:r>
    </w:p>
    <w:p>
      <w:pPr>
        <w:widowControl/>
        <w:spacing w:line="560" w:lineRule="exact"/>
        <w:jc w:val="left"/>
        <w:rPr>
          <w:rFonts w:asciiTheme="minorEastAsia" w:hAnsiTheme="minorEastAsia" w:eastAsiaTheme="minorEastAsia"/>
          <w:b/>
          <w:sz w:val="24"/>
        </w:rPr>
      </w:pPr>
    </w:p>
    <w:p>
      <w:pPr>
        <w:widowControl/>
        <w:adjustRightInd/>
        <w:jc w:val="left"/>
        <w:rPr>
          <w:rFonts w:asciiTheme="minorEastAsia" w:hAnsiTheme="minorEastAsia" w:eastAsiaTheme="minorEastAsia"/>
          <w:b/>
          <w:sz w:val="24"/>
        </w:rPr>
      </w:pPr>
      <w:r>
        <w:rPr>
          <w:rFonts w:asciiTheme="minorEastAsia" w:hAnsiTheme="minorEastAsia" w:eastAsiaTheme="minorEastAsia"/>
          <w:b/>
        </w:rPr>
        <w:br w:type="page"/>
      </w:r>
    </w:p>
    <w:p>
      <w:pPr>
        <w:pStyle w:val="699"/>
        <w:spacing w:line="560" w:lineRule="exact"/>
        <w:ind w:firstLine="482"/>
        <w:jc w:val="center"/>
        <w:outlineLvl w:val="1"/>
        <w:rPr>
          <w:rFonts w:asciiTheme="minorEastAsia" w:hAnsiTheme="minorEastAsia" w:eastAsiaTheme="minorEastAsia"/>
          <w:b/>
          <w:szCs w:val="24"/>
        </w:rPr>
      </w:pPr>
      <w:r>
        <w:rPr>
          <w:rFonts w:hint="eastAsia" w:asciiTheme="minorEastAsia" w:hAnsiTheme="minorEastAsia" w:eastAsiaTheme="minorEastAsia"/>
          <w:b/>
          <w:szCs w:val="24"/>
        </w:rPr>
        <w:t>第二部分</w:t>
      </w:r>
      <w:r>
        <w:rPr>
          <w:rFonts w:asciiTheme="minorEastAsia" w:hAnsiTheme="minorEastAsia" w:eastAsiaTheme="minorEastAsia"/>
          <w:b/>
          <w:szCs w:val="24"/>
        </w:rPr>
        <w:t xml:space="preserve"> </w:t>
      </w:r>
      <w:r>
        <w:rPr>
          <w:rFonts w:hint="eastAsia" w:asciiTheme="minorEastAsia" w:hAnsiTheme="minorEastAsia" w:eastAsiaTheme="minorEastAsia"/>
          <w:b/>
          <w:szCs w:val="24"/>
        </w:rPr>
        <w:t>合同一般条款</w:t>
      </w:r>
    </w:p>
    <w:p>
      <w:pPr>
        <w:spacing w:line="560" w:lineRule="exact"/>
        <w:ind w:firstLine="482" w:firstLineChars="200"/>
        <w:outlineLvl w:val="2"/>
        <w:rPr>
          <w:rFonts w:asciiTheme="minorEastAsia" w:hAnsiTheme="minorEastAsia" w:eastAsiaTheme="minorEastAsia"/>
          <w:b/>
          <w:sz w:val="24"/>
        </w:rPr>
      </w:pPr>
      <w:bookmarkStart w:id="435" w:name="_Toc31297"/>
      <w:bookmarkStart w:id="436" w:name="_Toc14021"/>
      <w:bookmarkStart w:id="437" w:name="_Toc5228"/>
      <w:bookmarkStart w:id="438" w:name="_Toc19680"/>
      <w:bookmarkStart w:id="439" w:name="_Toc25079"/>
      <w:r>
        <w:rPr>
          <w:rFonts w:asciiTheme="minorEastAsia" w:hAnsiTheme="minorEastAsia" w:eastAsiaTheme="minorEastAsia"/>
          <w:b/>
          <w:sz w:val="24"/>
        </w:rPr>
        <w:t>2.1 定义</w:t>
      </w:r>
      <w:bookmarkEnd w:id="435"/>
      <w:bookmarkEnd w:id="436"/>
      <w:bookmarkEnd w:id="437"/>
      <w:bookmarkEnd w:id="438"/>
      <w:bookmarkEnd w:id="439"/>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本合同中的下列</w:t>
      </w:r>
      <w:r>
        <w:rPr>
          <w:rFonts w:hint="eastAsia" w:asciiTheme="minorEastAsia" w:hAnsiTheme="minorEastAsia" w:eastAsiaTheme="minorEastAsia"/>
          <w:sz w:val="24"/>
        </w:rPr>
        <w:t>词</w:t>
      </w:r>
      <w:r>
        <w:rPr>
          <w:rFonts w:asciiTheme="minorEastAsia" w:hAnsiTheme="minorEastAsia" w:eastAsiaTheme="minorEastAsia"/>
          <w:sz w:val="24"/>
        </w:rPr>
        <w:t>语应</w:t>
      </w:r>
      <w:r>
        <w:rPr>
          <w:rFonts w:hint="eastAsia" w:asciiTheme="minorEastAsia" w:hAnsiTheme="minorEastAsia" w:eastAsiaTheme="minorEastAsia"/>
          <w:sz w:val="24"/>
        </w:rPr>
        <w:t>按以下内容进行</w:t>
      </w:r>
      <w:r>
        <w:rPr>
          <w:rFonts w:asciiTheme="minorEastAsia" w:hAnsiTheme="minorEastAsia" w:eastAsiaTheme="minorEastAsia"/>
          <w:sz w:val="24"/>
        </w:rPr>
        <w:t>解释：</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2.1.1 “合同”系指采购人和中标供应商签订的载明双方当事人所达成的协议，并包括所有的附件、附录和构成合同的其他文件。</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2.1.2 “合同价”系指根据合同约定，中标供应商在完全履行合同义务后</w:t>
      </w:r>
      <w:r>
        <w:rPr>
          <w:rFonts w:hint="eastAsia" w:asciiTheme="minorEastAsia" w:hAnsiTheme="minorEastAsia" w:eastAsiaTheme="minorEastAsia"/>
          <w:sz w:val="24"/>
        </w:rPr>
        <w:t>，</w:t>
      </w:r>
      <w:r>
        <w:rPr>
          <w:rFonts w:asciiTheme="minorEastAsia" w:hAnsiTheme="minorEastAsia" w:eastAsiaTheme="minorEastAsia"/>
          <w:sz w:val="24"/>
        </w:rPr>
        <w:t>采购人应支付给中标供应商的价格。</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2.1.3 “</w:t>
      </w:r>
      <w:r>
        <w:rPr>
          <w:rFonts w:hint="eastAsia" w:asciiTheme="minorEastAsia" w:hAnsiTheme="minorEastAsia" w:eastAsiaTheme="minorEastAsia"/>
          <w:sz w:val="24"/>
        </w:rPr>
        <w:t>服务</w:t>
      </w:r>
      <w:r>
        <w:rPr>
          <w:rFonts w:asciiTheme="minorEastAsia" w:hAnsiTheme="minorEastAsia" w:eastAsiaTheme="minorEastAsia"/>
          <w:sz w:val="24"/>
        </w:rPr>
        <w:t>”系指</w:t>
      </w:r>
      <w:r>
        <w:rPr>
          <w:rFonts w:hint="eastAsia" w:asciiTheme="minorEastAsia" w:hAnsiTheme="minorEastAsia" w:eastAsiaTheme="minorEastAsia"/>
          <w:sz w:val="24"/>
        </w:rPr>
        <w:t>中标供应商</w:t>
      </w:r>
      <w:r>
        <w:rPr>
          <w:rFonts w:asciiTheme="minorEastAsia" w:hAnsiTheme="minorEastAsia" w:eastAsiaTheme="minorEastAsia"/>
          <w:sz w:val="24"/>
        </w:rPr>
        <w:t>根据合同约定应向采购人</w:t>
      </w:r>
      <w:r>
        <w:rPr>
          <w:rFonts w:hint="eastAsia" w:asciiTheme="minorEastAsia" w:hAnsiTheme="minorEastAsia" w:eastAsiaTheme="minorEastAsia"/>
          <w:sz w:val="24"/>
        </w:rPr>
        <w:t>履行</w:t>
      </w:r>
      <w:r>
        <w:rPr>
          <w:rFonts w:asciiTheme="minorEastAsia" w:hAnsiTheme="minorEastAsia" w:eastAsiaTheme="minorEastAsia"/>
          <w:sz w:val="24"/>
        </w:rPr>
        <w:t>的</w:t>
      </w:r>
      <w:r>
        <w:rPr>
          <w:rFonts w:hint="eastAsia" w:asciiTheme="minorEastAsia" w:hAnsiTheme="minorEastAsia" w:eastAsiaTheme="minorEastAsia"/>
          <w:sz w:val="24"/>
        </w:rPr>
        <w:t>除货物和工程以外的其他政府采购对象，包括采购人自身需要的服务和向社会公众提供的公共服务。</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2.1.4 “</w:t>
      </w:r>
      <w:r>
        <w:rPr>
          <w:rFonts w:hint="eastAsia" w:asciiTheme="minorEastAsia" w:hAnsiTheme="minorEastAsia" w:eastAsiaTheme="minorEastAsia"/>
          <w:sz w:val="24"/>
        </w:rPr>
        <w:t>甲方</w:t>
      </w:r>
      <w:r>
        <w:rPr>
          <w:rFonts w:asciiTheme="minorEastAsia" w:hAnsiTheme="minorEastAsia" w:eastAsiaTheme="minorEastAsia"/>
          <w:sz w:val="24"/>
        </w:rPr>
        <w:t>”系指与</w:t>
      </w:r>
      <w:r>
        <w:rPr>
          <w:rFonts w:hint="eastAsia" w:asciiTheme="minorEastAsia" w:hAnsiTheme="minorEastAsia" w:eastAsiaTheme="minorEastAsia"/>
          <w:sz w:val="24"/>
        </w:rPr>
        <w:t>中标供应商</w:t>
      </w:r>
      <w:r>
        <w:rPr>
          <w:rFonts w:asciiTheme="minorEastAsia" w:hAnsiTheme="minorEastAsia" w:eastAsiaTheme="minorEastAsia"/>
          <w:sz w:val="24"/>
        </w:rPr>
        <w:t>签署合同的采购人</w:t>
      </w:r>
      <w:r>
        <w:rPr>
          <w:rFonts w:hint="eastAsia" w:asciiTheme="minorEastAsia" w:hAnsiTheme="minorEastAsia" w:eastAsiaTheme="minorEastAsia"/>
          <w:sz w:val="24"/>
        </w:rPr>
        <w:t>；采购人委托采购代理机构代表其与乙方签订合同的，采购人的授权委托书作为合同附件。</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2.1.5 “乙方”系指根据合同约定提供服务的中标供应商</w:t>
      </w:r>
      <w:r>
        <w:rPr>
          <w:rFonts w:hint="eastAsia" w:asciiTheme="minorEastAsia" w:hAnsiTheme="minorEastAsia" w:eastAsiaTheme="minorEastAsia"/>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2.1.6 “现场”系指合同约定提供服务的地点。</w:t>
      </w:r>
    </w:p>
    <w:p>
      <w:pPr>
        <w:spacing w:line="560" w:lineRule="exact"/>
        <w:ind w:firstLine="482" w:firstLineChars="200"/>
        <w:outlineLvl w:val="2"/>
        <w:rPr>
          <w:rFonts w:asciiTheme="minorEastAsia" w:hAnsiTheme="minorEastAsia" w:eastAsiaTheme="minorEastAsia"/>
          <w:b/>
          <w:sz w:val="24"/>
        </w:rPr>
      </w:pPr>
      <w:bookmarkStart w:id="440" w:name="_Toc31402"/>
      <w:bookmarkStart w:id="441" w:name="_Toc3769"/>
      <w:bookmarkStart w:id="442" w:name="_Toc19539"/>
      <w:bookmarkStart w:id="443" w:name="_Toc16752"/>
      <w:bookmarkStart w:id="444" w:name="_Toc23289"/>
      <w:r>
        <w:rPr>
          <w:rFonts w:asciiTheme="minorEastAsia" w:hAnsiTheme="minorEastAsia" w:eastAsiaTheme="minorEastAsia"/>
          <w:b/>
          <w:sz w:val="24"/>
        </w:rPr>
        <w:t>2.2 技术规范</w:t>
      </w:r>
      <w:bookmarkEnd w:id="440"/>
      <w:bookmarkEnd w:id="441"/>
      <w:bookmarkEnd w:id="442"/>
      <w:bookmarkEnd w:id="443"/>
      <w:bookmarkEnd w:id="444"/>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服务</w:t>
      </w:r>
      <w:r>
        <w:rPr>
          <w:rFonts w:asciiTheme="minorEastAsia" w:hAnsiTheme="minorEastAsia" w:eastAsiaTheme="minorEastAsia"/>
          <w:sz w:val="24"/>
        </w:rPr>
        <w:t>所应遵守的技术规范应与采购文件规定的技术规范和技术规范附件(如果有的话)及其技术规范偏差表(如果被甲方接受的话)相一致</w:t>
      </w:r>
      <w:r>
        <w:rPr>
          <w:rFonts w:hint="eastAsia" w:asciiTheme="minorEastAsia" w:hAnsiTheme="minorEastAsia" w:eastAsiaTheme="minorEastAsia"/>
          <w:sz w:val="24"/>
        </w:rPr>
        <w:t>；</w:t>
      </w:r>
      <w:r>
        <w:rPr>
          <w:rFonts w:asciiTheme="minorEastAsia" w:hAnsiTheme="minorEastAsia" w:eastAsiaTheme="minorEastAsia"/>
          <w:sz w:val="24"/>
        </w:rPr>
        <w:t>如果采购文件中没有技术规范的相应说明，那么应以国家有关部门最新颁布的相应标准</w:t>
      </w:r>
      <w:r>
        <w:rPr>
          <w:rFonts w:hint="eastAsia" w:asciiTheme="minorEastAsia" w:hAnsiTheme="minorEastAsia" w:eastAsiaTheme="minorEastAsia"/>
          <w:sz w:val="24"/>
        </w:rPr>
        <w:t>和</w:t>
      </w:r>
      <w:r>
        <w:rPr>
          <w:rFonts w:asciiTheme="minorEastAsia" w:hAnsiTheme="minorEastAsia" w:eastAsiaTheme="minorEastAsia"/>
          <w:sz w:val="24"/>
        </w:rPr>
        <w:t>规范为准。</w:t>
      </w:r>
    </w:p>
    <w:p>
      <w:pPr>
        <w:spacing w:line="560" w:lineRule="exact"/>
        <w:ind w:firstLine="482" w:firstLineChars="200"/>
        <w:outlineLvl w:val="2"/>
        <w:rPr>
          <w:rFonts w:asciiTheme="minorEastAsia" w:hAnsiTheme="minorEastAsia" w:eastAsiaTheme="minorEastAsia"/>
          <w:b/>
          <w:sz w:val="24"/>
        </w:rPr>
      </w:pPr>
      <w:bookmarkStart w:id="445" w:name="_Toc9161"/>
      <w:bookmarkStart w:id="446" w:name="_Toc4133"/>
      <w:bookmarkStart w:id="447" w:name="_Toc12412"/>
      <w:bookmarkStart w:id="448" w:name="_Toc13673"/>
      <w:bookmarkStart w:id="449" w:name="_Toc27945"/>
      <w:r>
        <w:rPr>
          <w:rFonts w:asciiTheme="minorEastAsia" w:hAnsiTheme="minorEastAsia" w:eastAsiaTheme="minorEastAsia"/>
          <w:b/>
          <w:sz w:val="24"/>
        </w:rPr>
        <w:t>2.3 知识产权</w:t>
      </w:r>
      <w:bookmarkEnd w:id="445"/>
      <w:bookmarkEnd w:id="446"/>
      <w:bookmarkEnd w:id="447"/>
      <w:bookmarkEnd w:id="448"/>
      <w:bookmarkEnd w:id="449"/>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2.3.1 </w:t>
      </w:r>
      <w:r>
        <w:rPr>
          <w:rFonts w:hint="eastAsia" w:asciiTheme="minorEastAsia" w:hAnsiTheme="minorEastAsia" w:eastAsiaTheme="minorEastAsia"/>
          <w:sz w:val="24"/>
        </w:rPr>
        <w:t>乙</w:t>
      </w:r>
      <w:r>
        <w:rPr>
          <w:rFonts w:asciiTheme="minorEastAsia" w:hAnsiTheme="minorEastAsia" w:eastAsiaTheme="minorEastAsia"/>
          <w:sz w:val="24"/>
        </w:rPr>
        <w:t>方应保证</w:t>
      </w:r>
      <w:r>
        <w:rPr>
          <w:rFonts w:hint="eastAsia" w:asciiTheme="minorEastAsia" w:hAnsiTheme="minorEastAsia" w:eastAsiaTheme="minorEastAsia"/>
          <w:sz w:val="24"/>
        </w:rPr>
        <w:t>其提供的服务</w:t>
      </w:r>
      <w:r>
        <w:rPr>
          <w:rFonts w:asciiTheme="minorEastAsia" w:hAnsiTheme="minorEastAsia" w:eastAsiaTheme="minorEastAsia"/>
          <w:sz w:val="24"/>
        </w:rPr>
        <w:t>不受任何第三方提出的侵犯其著作权、商标权、专利权等知识产权方面的起诉</w:t>
      </w:r>
      <w:r>
        <w:rPr>
          <w:rFonts w:hint="eastAsia" w:asciiTheme="minorEastAsia" w:hAnsiTheme="minorEastAsia" w:eastAsiaTheme="minorEastAsia"/>
          <w:sz w:val="24"/>
        </w:rPr>
        <w:t>；</w:t>
      </w:r>
      <w:r>
        <w:rPr>
          <w:rFonts w:asciiTheme="minorEastAsia" w:hAnsiTheme="minorEastAsia" w:eastAsiaTheme="minorEastAsia"/>
          <w:sz w:val="24"/>
        </w:rPr>
        <w:t>如果任何第三方提出侵权</w:t>
      </w:r>
      <w:r>
        <w:rPr>
          <w:rFonts w:hint="eastAsia" w:asciiTheme="minorEastAsia" w:hAnsiTheme="minorEastAsia" w:eastAsiaTheme="minorEastAsia"/>
          <w:sz w:val="24"/>
        </w:rPr>
        <w:t>指控</w:t>
      </w:r>
      <w:r>
        <w:rPr>
          <w:rFonts w:asciiTheme="minorEastAsia" w:hAnsiTheme="minorEastAsia" w:eastAsiaTheme="minorEastAsia"/>
          <w:sz w:val="24"/>
        </w:rPr>
        <w:t>，那么乙方须与该第三方交涉并承担由此发生的一切责任、费用和赔偿</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2.3.2 </w:t>
      </w:r>
      <w:r>
        <w:rPr>
          <w:rFonts w:hint="eastAsia" w:asciiTheme="minorEastAsia" w:hAnsiTheme="minorEastAsia" w:eastAsiaTheme="minorEastAsia"/>
          <w:sz w:val="24"/>
        </w:rPr>
        <w:t>合同涉及技术成果的归属和收益的分成办法的，</w:t>
      </w:r>
      <w:r>
        <w:rPr>
          <w:rFonts w:asciiTheme="minorEastAsia" w:hAnsiTheme="minorEastAsia" w:eastAsiaTheme="minorEastAsia"/>
          <w:sz w:val="24"/>
        </w:rPr>
        <w:t>详见</w:t>
      </w:r>
      <w:r>
        <w:rPr>
          <w:rFonts w:asciiTheme="minorEastAsia" w:hAnsiTheme="minorEastAsia" w:eastAsiaTheme="minorEastAsia"/>
          <w:b/>
          <w:i/>
          <w:sz w:val="24"/>
          <w:u w:val="single"/>
        </w:rPr>
        <w:t>合同专用条款</w:t>
      </w:r>
      <w:r>
        <w:rPr>
          <w:rFonts w:asciiTheme="minorEastAsia" w:hAnsiTheme="minorEastAsia" w:eastAsiaTheme="minorEastAsia"/>
          <w:sz w:val="24"/>
        </w:rPr>
        <w:t>。</w:t>
      </w:r>
    </w:p>
    <w:p>
      <w:pPr>
        <w:spacing w:line="560" w:lineRule="exact"/>
        <w:ind w:firstLine="482" w:firstLineChars="200"/>
        <w:rPr>
          <w:rFonts w:asciiTheme="minorEastAsia" w:hAnsiTheme="minorEastAsia" w:eastAsiaTheme="minorEastAsia"/>
          <w:b/>
          <w:sz w:val="24"/>
        </w:rPr>
      </w:pPr>
      <w:r>
        <w:rPr>
          <w:rFonts w:asciiTheme="minorEastAsia" w:hAnsiTheme="minorEastAsia" w:eastAsiaTheme="minorEastAsia"/>
          <w:b/>
          <w:sz w:val="24"/>
        </w:rPr>
        <w:t xml:space="preserve">2.4 </w:t>
      </w:r>
      <w:r>
        <w:rPr>
          <w:rFonts w:hint="eastAsia" w:asciiTheme="minorEastAsia" w:hAnsiTheme="minorEastAsia" w:eastAsiaTheme="minorEastAsia"/>
          <w:b/>
          <w:sz w:val="24"/>
        </w:rPr>
        <w:t>履约检查和问题反馈</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2.4.1甲方</w:t>
      </w:r>
      <w:r>
        <w:rPr>
          <w:rFonts w:hint="eastAsia" w:asciiTheme="minorEastAsia" w:hAnsiTheme="minorEastAsia" w:eastAsiaTheme="minorEastAsia"/>
          <w:sz w:val="24"/>
        </w:rPr>
        <w:t>有权</w:t>
      </w:r>
      <w:r>
        <w:rPr>
          <w:rFonts w:asciiTheme="minorEastAsia" w:hAnsiTheme="minorEastAsia" w:eastAsiaTheme="minorEastAsia"/>
          <w:sz w:val="24"/>
        </w:rPr>
        <w:t>在其认为必要时</w:t>
      </w:r>
      <w:r>
        <w:rPr>
          <w:rFonts w:hint="eastAsia" w:asciiTheme="minorEastAsia" w:hAnsiTheme="minorEastAsia" w:eastAsiaTheme="minorEastAsia"/>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2.4.2 </w:t>
      </w:r>
      <w:r>
        <w:rPr>
          <w:rFonts w:hint="eastAsia" w:asciiTheme="minorEastAsia" w:hAnsiTheme="minorEastAsia" w:eastAsiaTheme="minorEastAsia"/>
          <w:sz w:val="24"/>
        </w:rPr>
        <w:t>合同履行期间，甲方有权将履行过程中出现的问题反馈给乙方，双方当事人应以书面形式约定需要完善和改进的内容。</w:t>
      </w:r>
    </w:p>
    <w:p>
      <w:pPr>
        <w:spacing w:line="560" w:lineRule="exact"/>
        <w:ind w:firstLine="482" w:firstLineChars="200"/>
        <w:outlineLvl w:val="2"/>
        <w:rPr>
          <w:rFonts w:asciiTheme="minorEastAsia" w:hAnsiTheme="minorEastAsia" w:eastAsiaTheme="minorEastAsia"/>
          <w:b/>
          <w:sz w:val="24"/>
        </w:rPr>
      </w:pPr>
      <w:bookmarkStart w:id="450" w:name="_Toc15447"/>
      <w:bookmarkStart w:id="451" w:name="_Toc31233"/>
      <w:bookmarkStart w:id="452" w:name="_Toc32670"/>
      <w:bookmarkStart w:id="453" w:name="_Toc22011"/>
      <w:bookmarkStart w:id="454" w:name="_Toc26555"/>
      <w:r>
        <w:rPr>
          <w:rFonts w:asciiTheme="minorEastAsia" w:hAnsiTheme="minorEastAsia" w:eastAsiaTheme="minorEastAsia"/>
          <w:b/>
          <w:sz w:val="24"/>
        </w:rPr>
        <w:t>2.5 结算方式和付款条件</w:t>
      </w:r>
      <w:bookmarkEnd w:id="450"/>
      <w:bookmarkEnd w:id="451"/>
      <w:bookmarkEnd w:id="452"/>
      <w:bookmarkEnd w:id="453"/>
      <w:bookmarkEnd w:id="454"/>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详见</w:t>
      </w:r>
      <w:r>
        <w:rPr>
          <w:rFonts w:asciiTheme="minorEastAsia" w:hAnsiTheme="minorEastAsia" w:eastAsiaTheme="minorEastAsia"/>
          <w:b/>
          <w:i/>
          <w:sz w:val="24"/>
          <w:u w:val="single"/>
        </w:rPr>
        <w:t>合同专用条款</w:t>
      </w:r>
      <w:r>
        <w:rPr>
          <w:rFonts w:asciiTheme="minorEastAsia" w:hAnsiTheme="minorEastAsia" w:eastAsiaTheme="minorEastAsia"/>
          <w:sz w:val="24"/>
        </w:rPr>
        <w:t>。</w:t>
      </w:r>
    </w:p>
    <w:p>
      <w:pPr>
        <w:spacing w:line="560" w:lineRule="exact"/>
        <w:ind w:firstLine="482" w:firstLineChars="200"/>
        <w:outlineLvl w:val="2"/>
        <w:rPr>
          <w:rFonts w:asciiTheme="minorEastAsia" w:hAnsiTheme="minorEastAsia" w:eastAsiaTheme="minorEastAsia"/>
          <w:b/>
          <w:sz w:val="24"/>
        </w:rPr>
      </w:pPr>
      <w:bookmarkStart w:id="455" w:name="_Toc13467"/>
      <w:bookmarkStart w:id="456" w:name="_Toc13154"/>
      <w:bookmarkStart w:id="457" w:name="_Toc16163"/>
      <w:bookmarkStart w:id="458" w:name="_Toc18990"/>
      <w:bookmarkStart w:id="459" w:name="_Toc30507"/>
      <w:r>
        <w:rPr>
          <w:rFonts w:asciiTheme="minorEastAsia" w:hAnsiTheme="minorEastAsia" w:eastAsiaTheme="minorEastAsia"/>
          <w:b/>
          <w:sz w:val="24"/>
        </w:rPr>
        <w:t>2.6 技术资料和保密义务</w:t>
      </w:r>
      <w:bookmarkEnd w:id="455"/>
      <w:bookmarkEnd w:id="456"/>
      <w:bookmarkEnd w:id="457"/>
      <w:bookmarkEnd w:id="458"/>
      <w:bookmarkEnd w:id="459"/>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2.6.1 乙方有权依据合同约定和项目需要，向甲方了解有关情况，调阅有关资料等，甲方应予积极配合；</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2.6.2 </w:t>
      </w:r>
      <w:r>
        <w:rPr>
          <w:rFonts w:hint="eastAsia" w:asciiTheme="minorEastAsia" w:hAnsiTheme="minorEastAsia" w:eastAsiaTheme="minorEastAsia"/>
          <w:sz w:val="24"/>
        </w:rPr>
        <w:t>乙方有义务妥善保管和保护由甲方提供的前款信息和资料等；</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2.6.3 </w:t>
      </w:r>
      <w:r>
        <w:rPr>
          <w:rFonts w:hint="eastAsia" w:asciiTheme="minorEastAsia" w:hAnsiTheme="minorEastAsia" w:eastAsiaTheme="minorEastAsia"/>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Theme="minorEastAsia" w:hAnsiTheme="minorEastAsia" w:eastAsiaTheme="minorEastAsia"/>
          <w:sz w:val="24"/>
        </w:rPr>
        <w:t>技术情报</w:t>
      </w:r>
      <w:r>
        <w:rPr>
          <w:rFonts w:hint="eastAsia" w:asciiTheme="minorEastAsia" w:hAnsiTheme="minorEastAsia" w:eastAsiaTheme="minorEastAsia"/>
          <w:sz w:val="24"/>
        </w:rPr>
        <w:t>、</w:t>
      </w:r>
      <w:r>
        <w:rPr>
          <w:rFonts w:asciiTheme="minorEastAsia" w:hAnsiTheme="minorEastAsia" w:eastAsiaTheme="minorEastAsia"/>
          <w:sz w:val="24"/>
        </w:rPr>
        <w:t>技术资料</w:t>
      </w:r>
      <w:r>
        <w:rPr>
          <w:rFonts w:hint="eastAsia" w:asciiTheme="minorEastAsia" w:hAnsiTheme="minorEastAsia" w:eastAsiaTheme="minorEastAsia"/>
          <w:sz w:val="24"/>
        </w:rPr>
        <w:t>、商业秘密和商业信息等，并采取一切合理和必要措施和方式防止任何第三方接触到对方当事人的上述保密信息和资料。</w:t>
      </w:r>
    </w:p>
    <w:p>
      <w:pPr>
        <w:spacing w:line="560" w:lineRule="exact"/>
        <w:ind w:firstLine="482" w:firstLineChars="200"/>
        <w:outlineLvl w:val="2"/>
        <w:rPr>
          <w:rFonts w:asciiTheme="minorEastAsia" w:hAnsiTheme="minorEastAsia" w:eastAsiaTheme="minorEastAsia"/>
          <w:b/>
          <w:sz w:val="24"/>
        </w:rPr>
      </w:pPr>
      <w:bookmarkStart w:id="460" w:name="_Toc19069"/>
      <w:r>
        <w:rPr>
          <w:rFonts w:asciiTheme="minorEastAsia" w:hAnsiTheme="minorEastAsia" w:eastAsiaTheme="minorEastAsia"/>
          <w:b/>
          <w:sz w:val="24"/>
        </w:rPr>
        <w:t xml:space="preserve">2.7 </w:t>
      </w:r>
      <w:r>
        <w:rPr>
          <w:rFonts w:hint="eastAsia" w:asciiTheme="minorEastAsia" w:hAnsiTheme="minorEastAsia" w:eastAsiaTheme="minorEastAsia"/>
          <w:b/>
          <w:sz w:val="24"/>
        </w:rPr>
        <w:t>质量保证</w:t>
      </w:r>
      <w:bookmarkEnd w:id="460"/>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2.7.1 </w:t>
      </w:r>
      <w:r>
        <w:rPr>
          <w:rFonts w:hint="eastAsia" w:asciiTheme="minorEastAsia" w:hAnsiTheme="minorEastAsia" w:eastAsiaTheme="minorEastAsia"/>
          <w:sz w:val="24"/>
        </w:rPr>
        <w:t>乙方应建立和完善履行合同的内部质量保证体系，并提供相关内部规章制度给甲方，以便甲方进行监督检查；</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2.7.2 </w:t>
      </w:r>
      <w:r>
        <w:rPr>
          <w:rFonts w:hint="eastAsia" w:asciiTheme="minorEastAsia" w:hAnsiTheme="minorEastAsia" w:eastAsiaTheme="minorEastAsia"/>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2"/>
        <w:rPr>
          <w:rFonts w:asciiTheme="minorEastAsia" w:hAnsiTheme="minorEastAsia" w:eastAsiaTheme="minorEastAsia"/>
          <w:b/>
          <w:sz w:val="24"/>
        </w:rPr>
      </w:pPr>
      <w:bookmarkStart w:id="461" w:name="_Toc22267"/>
      <w:r>
        <w:rPr>
          <w:rFonts w:asciiTheme="minorEastAsia" w:hAnsiTheme="minorEastAsia" w:eastAsiaTheme="minorEastAsia"/>
          <w:b/>
          <w:sz w:val="24"/>
        </w:rPr>
        <w:t xml:space="preserve">2.8 </w:t>
      </w:r>
      <w:r>
        <w:rPr>
          <w:rFonts w:hint="eastAsia" w:asciiTheme="minorEastAsia" w:hAnsiTheme="minorEastAsia" w:eastAsiaTheme="minorEastAsia"/>
          <w:b/>
          <w:sz w:val="24"/>
        </w:rPr>
        <w:t>延迟履行</w:t>
      </w:r>
      <w:bookmarkEnd w:id="461"/>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在合同履行过程中，如果乙方遇到不能按时</w:t>
      </w:r>
      <w:r>
        <w:rPr>
          <w:rFonts w:hint="eastAsia" w:asciiTheme="minorEastAsia" w:hAnsiTheme="minorEastAsia" w:eastAsiaTheme="minorEastAsia"/>
          <w:sz w:val="24"/>
        </w:rPr>
        <w:t>提供服务</w:t>
      </w:r>
      <w:r>
        <w:rPr>
          <w:rFonts w:asciiTheme="minorEastAsia" w:hAnsiTheme="minorEastAsia" w:eastAsiaTheme="minorEastAsia"/>
          <w:sz w:val="24"/>
        </w:rPr>
        <w:t>的情况，应及时以书面形式将不能按时</w:t>
      </w:r>
      <w:r>
        <w:rPr>
          <w:rFonts w:hint="eastAsia" w:asciiTheme="minorEastAsia" w:hAnsiTheme="minorEastAsia" w:eastAsiaTheme="minorEastAsia"/>
          <w:sz w:val="24"/>
        </w:rPr>
        <w:t>提供服务</w:t>
      </w:r>
      <w:r>
        <w:rPr>
          <w:rFonts w:asciiTheme="minorEastAsia" w:hAnsiTheme="minorEastAsia" w:eastAsiaTheme="minorEastAsia"/>
          <w:sz w:val="24"/>
        </w:rPr>
        <w:t>的理由、预期延误时间通知甲方</w:t>
      </w:r>
      <w:r>
        <w:rPr>
          <w:rFonts w:hint="eastAsia" w:asciiTheme="minorEastAsia" w:hAnsiTheme="minorEastAsia" w:eastAsiaTheme="minorEastAsia"/>
          <w:sz w:val="24"/>
        </w:rPr>
        <w:t>；甲</w:t>
      </w:r>
      <w:r>
        <w:rPr>
          <w:rFonts w:asciiTheme="minorEastAsia" w:hAnsiTheme="minorEastAsia" w:eastAsiaTheme="minorEastAsia"/>
          <w:sz w:val="24"/>
        </w:rPr>
        <w:t>方收到乙方通知后，认为其理由正当的，可以书面形式酌情同意乙方可以延长</w:t>
      </w:r>
      <w:r>
        <w:rPr>
          <w:rFonts w:hint="eastAsia" w:asciiTheme="minorEastAsia" w:hAnsiTheme="minorEastAsia" w:eastAsiaTheme="minorEastAsia"/>
          <w:sz w:val="24"/>
        </w:rPr>
        <w:t>履行</w:t>
      </w:r>
      <w:r>
        <w:rPr>
          <w:rFonts w:asciiTheme="minorEastAsia" w:hAnsiTheme="minorEastAsia" w:eastAsiaTheme="minorEastAsia"/>
          <w:sz w:val="24"/>
        </w:rPr>
        <w:t>的具体时间。</w:t>
      </w:r>
    </w:p>
    <w:p>
      <w:pPr>
        <w:spacing w:line="560" w:lineRule="exact"/>
        <w:ind w:firstLine="482" w:firstLineChars="200"/>
        <w:outlineLvl w:val="2"/>
        <w:rPr>
          <w:rFonts w:asciiTheme="minorEastAsia" w:hAnsiTheme="minorEastAsia" w:eastAsiaTheme="minorEastAsia"/>
          <w:b/>
          <w:sz w:val="24"/>
        </w:rPr>
      </w:pPr>
      <w:bookmarkStart w:id="462" w:name="_Toc10611"/>
      <w:r>
        <w:rPr>
          <w:rFonts w:asciiTheme="minorEastAsia" w:hAnsiTheme="minorEastAsia" w:eastAsiaTheme="minorEastAsia"/>
          <w:b/>
          <w:sz w:val="24"/>
        </w:rPr>
        <w:t xml:space="preserve">2.9 </w:t>
      </w:r>
      <w:r>
        <w:rPr>
          <w:rFonts w:hint="eastAsia" w:asciiTheme="minorEastAsia" w:hAnsiTheme="minorEastAsia" w:eastAsiaTheme="minorEastAsia"/>
          <w:b/>
          <w:sz w:val="24"/>
        </w:rPr>
        <w:t>合同变更</w:t>
      </w:r>
      <w:bookmarkEnd w:id="462"/>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2"/>
        <w:rPr>
          <w:rFonts w:asciiTheme="minorEastAsia" w:hAnsiTheme="minorEastAsia" w:eastAsiaTheme="minorEastAsia"/>
          <w:b/>
          <w:sz w:val="24"/>
        </w:rPr>
      </w:pPr>
      <w:bookmarkStart w:id="463" w:name="_Toc23368"/>
      <w:bookmarkStart w:id="464" w:name="_Toc21830"/>
      <w:bookmarkStart w:id="465" w:name="_Toc42"/>
      <w:bookmarkStart w:id="466" w:name="_Toc26689"/>
      <w:bookmarkStart w:id="467" w:name="_Toc10663"/>
      <w:r>
        <w:rPr>
          <w:rFonts w:asciiTheme="minorEastAsia" w:hAnsiTheme="minorEastAsia" w:eastAsiaTheme="minorEastAsia"/>
          <w:b/>
          <w:sz w:val="24"/>
        </w:rPr>
        <w:t>2.10 合同转让和分包</w:t>
      </w:r>
      <w:bookmarkEnd w:id="463"/>
      <w:bookmarkEnd w:id="464"/>
      <w:bookmarkEnd w:id="465"/>
      <w:bookmarkEnd w:id="466"/>
      <w:bookmarkEnd w:id="467"/>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合同的权利义务依法不</w:t>
      </w:r>
      <w:r>
        <w:rPr>
          <w:rFonts w:hint="eastAsia" w:asciiTheme="minorEastAsia" w:hAnsiTheme="minorEastAsia" w:eastAsiaTheme="minorEastAsia"/>
          <w:sz w:val="24"/>
        </w:rPr>
        <w:t>得</w:t>
      </w:r>
      <w:r>
        <w:rPr>
          <w:rFonts w:asciiTheme="minorEastAsia" w:hAnsiTheme="minorEastAsia" w:eastAsiaTheme="minorEastAsia"/>
          <w:sz w:val="24"/>
        </w:rPr>
        <w:t>转让</w:t>
      </w:r>
      <w:r>
        <w:rPr>
          <w:rFonts w:hint="eastAsia" w:asciiTheme="minorEastAsia" w:hAnsiTheme="minorEastAsia" w:eastAsiaTheme="minorEastAsia"/>
          <w:sz w:val="24"/>
        </w:rPr>
        <w:t>，</w:t>
      </w:r>
      <w:r>
        <w:rPr>
          <w:rFonts w:asciiTheme="minorEastAsia" w:hAnsiTheme="minorEastAsia" w:eastAsiaTheme="minorEastAsia"/>
          <w:sz w:val="24"/>
        </w:rPr>
        <w:t>但经甲方</w:t>
      </w:r>
      <w:r>
        <w:rPr>
          <w:rFonts w:hint="eastAsia" w:asciiTheme="minorEastAsia" w:hAnsiTheme="minorEastAsia" w:eastAsiaTheme="minorEastAsia"/>
          <w:sz w:val="24"/>
        </w:rPr>
        <w:t>同意，乙方可以依法采取分包方式履行合同，即：依法可以</w:t>
      </w:r>
      <w:r>
        <w:rPr>
          <w:rFonts w:asciiTheme="minorEastAsia" w:hAnsiTheme="minorEastAsia" w:eastAsiaTheme="minorEastAsia"/>
          <w:sz w:val="24"/>
        </w:rPr>
        <w:t>将合同项下的部分非主体、非关键性工作分包给他人完成</w:t>
      </w:r>
      <w:r>
        <w:rPr>
          <w:rFonts w:hint="eastAsia" w:asciiTheme="minorEastAsia" w:hAnsiTheme="minorEastAsia" w:eastAsiaTheme="minorEastAsia"/>
          <w:sz w:val="24"/>
        </w:rPr>
        <w:t>，</w:t>
      </w:r>
      <w:r>
        <w:rPr>
          <w:rFonts w:asciiTheme="minorEastAsia" w:hAnsiTheme="minorEastAsia" w:eastAsiaTheme="minorEastAsia"/>
          <w:sz w:val="24"/>
        </w:rPr>
        <w:t>接受分包的人应当具备相应的资格条件，并不得再次分包</w:t>
      </w:r>
      <w:r>
        <w:rPr>
          <w:rFonts w:hint="eastAsia" w:asciiTheme="minorEastAsia" w:hAnsiTheme="minorEastAsia" w:eastAsiaTheme="minorEastAsia"/>
          <w:sz w:val="24"/>
        </w:rPr>
        <w:t>，</w:t>
      </w:r>
      <w:r>
        <w:rPr>
          <w:rFonts w:asciiTheme="minorEastAsia" w:hAnsiTheme="minorEastAsia" w:eastAsiaTheme="minorEastAsia"/>
          <w:sz w:val="24"/>
        </w:rPr>
        <w:t>且乙方应就分包项目向甲方负责</w:t>
      </w:r>
      <w:r>
        <w:rPr>
          <w:rFonts w:hint="eastAsia" w:asciiTheme="minorEastAsia" w:hAnsiTheme="minorEastAsia" w:eastAsiaTheme="minorEastAsia"/>
          <w:sz w:val="24"/>
        </w:rPr>
        <w:t>，</w:t>
      </w:r>
      <w:r>
        <w:rPr>
          <w:rFonts w:asciiTheme="minorEastAsia" w:hAnsiTheme="minorEastAsia" w:eastAsiaTheme="minorEastAsia"/>
          <w:sz w:val="24"/>
        </w:rPr>
        <w:t>并</w:t>
      </w:r>
      <w:r>
        <w:rPr>
          <w:rFonts w:hint="eastAsia" w:asciiTheme="minorEastAsia" w:hAnsiTheme="minorEastAsia" w:eastAsiaTheme="minorEastAsia"/>
          <w:sz w:val="24"/>
        </w:rPr>
        <w:t>与分包供应商就分包项目向甲方承担连带责任。</w:t>
      </w:r>
    </w:p>
    <w:p>
      <w:pPr>
        <w:spacing w:line="560" w:lineRule="exact"/>
        <w:ind w:firstLine="482" w:firstLineChars="200"/>
        <w:outlineLvl w:val="2"/>
        <w:rPr>
          <w:rFonts w:asciiTheme="minorEastAsia" w:hAnsiTheme="minorEastAsia" w:eastAsiaTheme="minorEastAsia"/>
          <w:b/>
          <w:sz w:val="24"/>
        </w:rPr>
      </w:pPr>
      <w:bookmarkStart w:id="468" w:name="_Toc25571"/>
      <w:bookmarkStart w:id="469" w:name="_Toc4720"/>
      <w:bookmarkStart w:id="470" w:name="_Toc32494"/>
      <w:bookmarkStart w:id="471" w:name="_Toc14371"/>
      <w:bookmarkStart w:id="472" w:name="_Toc26633"/>
      <w:r>
        <w:rPr>
          <w:rFonts w:asciiTheme="minorEastAsia" w:hAnsiTheme="minorEastAsia" w:eastAsiaTheme="minorEastAsia"/>
          <w:b/>
          <w:sz w:val="24"/>
        </w:rPr>
        <w:t>2.11 不可抗力</w:t>
      </w:r>
      <w:bookmarkEnd w:id="468"/>
      <w:bookmarkEnd w:id="469"/>
      <w:bookmarkEnd w:id="470"/>
      <w:bookmarkEnd w:id="471"/>
      <w:bookmarkEnd w:id="472"/>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2.11.1如果任何一方遭遇法律规定的不可抗力，致使合同履行受阻时，履行合同的期限应予延长，延长的期限应相当于不可抗力所影响的时间</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2.11.2 </w:t>
      </w:r>
      <w:r>
        <w:rPr>
          <w:rFonts w:hint="eastAsia" w:asciiTheme="minorEastAsia" w:hAnsiTheme="minorEastAsia" w:eastAsiaTheme="minorEastAsia"/>
          <w:sz w:val="24"/>
        </w:rPr>
        <w:t>因不可抗力致使不能实现合同目的的，当事人可以解除合同；</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2.11.3 </w:t>
      </w:r>
      <w:r>
        <w:rPr>
          <w:rFonts w:hint="eastAsia" w:asciiTheme="minorEastAsia" w:hAnsiTheme="minorEastAsia" w:eastAsiaTheme="minorEastAsia"/>
          <w:sz w:val="24"/>
        </w:rPr>
        <w:t>因</w:t>
      </w:r>
      <w:r>
        <w:rPr>
          <w:rFonts w:asciiTheme="minorEastAsia" w:hAnsiTheme="minorEastAsia" w:eastAsiaTheme="minorEastAsia"/>
          <w:sz w:val="24"/>
        </w:rPr>
        <w:t>不可抗力致使合同有变更必要的，双方当事人应在</w:t>
      </w:r>
      <w:r>
        <w:rPr>
          <w:rFonts w:asciiTheme="minorEastAsia" w:hAnsiTheme="minorEastAsia" w:eastAsiaTheme="minorEastAsia"/>
          <w:b/>
          <w:i/>
          <w:sz w:val="24"/>
          <w:u w:val="single"/>
        </w:rPr>
        <w:t>合同专用条款</w:t>
      </w:r>
      <w:r>
        <w:rPr>
          <w:rFonts w:asciiTheme="minorEastAsia" w:hAnsiTheme="minorEastAsia" w:eastAsiaTheme="minorEastAsia"/>
          <w:sz w:val="24"/>
        </w:rPr>
        <w:t>约定时间内以书面形式变更合同</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2.11.4受</w:t>
      </w:r>
      <w:r>
        <w:rPr>
          <w:rFonts w:hint="eastAsia" w:asciiTheme="minorEastAsia" w:hAnsiTheme="minorEastAsia" w:eastAsiaTheme="minorEastAsia"/>
          <w:sz w:val="24"/>
        </w:rPr>
        <w:t>不可抗力</w:t>
      </w:r>
      <w:r>
        <w:rPr>
          <w:rFonts w:asciiTheme="minorEastAsia" w:hAnsiTheme="minorEastAsia" w:eastAsiaTheme="minorEastAsia"/>
          <w:sz w:val="24"/>
        </w:rPr>
        <w:t>影响的一方在不可抗力发生后</w:t>
      </w:r>
      <w:r>
        <w:rPr>
          <w:rFonts w:hint="eastAsia" w:asciiTheme="minorEastAsia" w:hAnsiTheme="minorEastAsia" w:eastAsiaTheme="minorEastAsia"/>
          <w:sz w:val="24"/>
        </w:rPr>
        <w:t>，</w:t>
      </w:r>
      <w:r>
        <w:rPr>
          <w:rFonts w:asciiTheme="minorEastAsia" w:hAnsiTheme="minorEastAsia" w:eastAsiaTheme="minorEastAsia"/>
          <w:sz w:val="24"/>
        </w:rPr>
        <w:t>应在</w:t>
      </w:r>
      <w:r>
        <w:rPr>
          <w:rFonts w:asciiTheme="minorEastAsia" w:hAnsiTheme="minorEastAsia" w:eastAsiaTheme="minorEastAsia"/>
          <w:b/>
          <w:i/>
          <w:sz w:val="24"/>
          <w:u w:val="single"/>
        </w:rPr>
        <w:t>合同专用条款</w:t>
      </w:r>
      <w:r>
        <w:rPr>
          <w:rFonts w:asciiTheme="minorEastAsia" w:hAnsiTheme="minorEastAsia" w:eastAsiaTheme="minorEastAsia"/>
          <w:sz w:val="24"/>
        </w:rPr>
        <w:t>约定时间内以书面形式通知</w:t>
      </w:r>
      <w:r>
        <w:rPr>
          <w:rFonts w:hint="eastAsia" w:asciiTheme="minorEastAsia" w:hAnsiTheme="minorEastAsia" w:eastAsiaTheme="minorEastAsia"/>
          <w:sz w:val="24"/>
        </w:rPr>
        <w:t>对</w:t>
      </w:r>
      <w:r>
        <w:rPr>
          <w:rFonts w:asciiTheme="minorEastAsia" w:hAnsiTheme="minorEastAsia" w:eastAsiaTheme="minorEastAsia"/>
          <w:sz w:val="24"/>
        </w:rPr>
        <w:t>方当事人，并在</w:t>
      </w:r>
      <w:r>
        <w:rPr>
          <w:rFonts w:asciiTheme="minorEastAsia" w:hAnsiTheme="minorEastAsia" w:eastAsiaTheme="minorEastAsia"/>
          <w:b/>
          <w:i/>
          <w:sz w:val="24"/>
          <w:u w:val="single"/>
        </w:rPr>
        <w:t>合同专用条款</w:t>
      </w:r>
      <w:r>
        <w:rPr>
          <w:rFonts w:asciiTheme="minorEastAsia" w:hAnsiTheme="minorEastAsia" w:eastAsiaTheme="minorEastAsia"/>
          <w:sz w:val="24"/>
        </w:rPr>
        <w:t>约定时间内，将有关部门出具的证明文件送达</w:t>
      </w:r>
      <w:r>
        <w:rPr>
          <w:rFonts w:hint="eastAsia" w:asciiTheme="minorEastAsia" w:hAnsiTheme="minorEastAsia" w:eastAsiaTheme="minorEastAsia"/>
          <w:sz w:val="24"/>
        </w:rPr>
        <w:t>对方当事人</w:t>
      </w:r>
      <w:r>
        <w:rPr>
          <w:rFonts w:asciiTheme="minorEastAsia" w:hAnsiTheme="minorEastAsia" w:eastAsiaTheme="minorEastAsia"/>
          <w:sz w:val="24"/>
        </w:rPr>
        <w:t>。</w:t>
      </w:r>
    </w:p>
    <w:p>
      <w:pPr>
        <w:spacing w:line="560" w:lineRule="exact"/>
        <w:ind w:firstLine="482" w:firstLineChars="200"/>
        <w:outlineLvl w:val="2"/>
        <w:rPr>
          <w:rFonts w:asciiTheme="minorEastAsia" w:hAnsiTheme="minorEastAsia" w:eastAsiaTheme="minorEastAsia"/>
          <w:b/>
          <w:sz w:val="24"/>
        </w:rPr>
      </w:pPr>
      <w:bookmarkStart w:id="473" w:name="_Toc25783"/>
      <w:bookmarkStart w:id="474" w:name="_Toc23854"/>
      <w:bookmarkStart w:id="475" w:name="_Toc3638"/>
      <w:bookmarkStart w:id="476" w:name="_Toc24465"/>
      <w:bookmarkStart w:id="477" w:name="_Toc14115"/>
      <w:r>
        <w:rPr>
          <w:rFonts w:asciiTheme="minorEastAsia" w:hAnsiTheme="minorEastAsia" w:eastAsiaTheme="minorEastAsia"/>
          <w:b/>
          <w:sz w:val="24"/>
        </w:rPr>
        <w:t>2.12 税费</w:t>
      </w:r>
      <w:bookmarkEnd w:id="473"/>
      <w:bookmarkEnd w:id="474"/>
      <w:bookmarkEnd w:id="475"/>
      <w:bookmarkEnd w:id="476"/>
      <w:bookmarkEnd w:id="477"/>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与合同有关的一切税费</w:t>
      </w:r>
      <w:r>
        <w:rPr>
          <w:rFonts w:hint="eastAsia" w:asciiTheme="minorEastAsia" w:hAnsiTheme="minorEastAsia" w:eastAsiaTheme="minorEastAsia"/>
          <w:sz w:val="24"/>
        </w:rPr>
        <w:t>，</w:t>
      </w:r>
      <w:r>
        <w:rPr>
          <w:rFonts w:asciiTheme="minorEastAsia" w:hAnsiTheme="minorEastAsia" w:eastAsiaTheme="minorEastAsia"/>
          <w:sz w:val="24"/>
        </w:rPr>
        <w:t>均按照中华人民共和国法律的相关规定缴纳。</w:t>
      </w:r>
    </w:p>
    <w:p>
      <w:pPr>
        <w:spacing w:line="560" w:lineRule="exact"/>
        <w:ind w:firstLine="482" w:firstLineChars="200"/>
        <w:outlineLvl w:val="2"/>
        <w:rPr>
          <w:rFonts w:asciiTheme="minorEastAsia" w:hAnsiTheme="minorEastAsia" w:eastAsiaTheme="minorEastAsia"/>
          <w:b/>
          <w:sz w:val="24"/>
        </w:rPr>
      </w:pPr>
      <w:bookmarkStart w:id="478" w:name="_Toc26883"/>
      <w:bookmarkStart w:id="479" w:name="_Toc7315"/>
      <w:bookmarkStart w:id="480" w:name="_Toc25525"/>
      <w:bookmarkStart w:id="481" w:name="_Toc30105"/>
      <w:bookmarkStart w:id="482" w:name="_Toc14814"/>
      <w:r>
        <w:rPr>
          <w:rFonts w:asciiTheme="minorEastAsia" w:hAnsiTheme="minorEastAsia" w:eastAsiaTheme="minorEastAsia"/>
          <w:b/>
          <w:sz w:val="24"/>
        </w:rPr>
        <w:t>2.13 乙方破产</w:t>
      </w:r>
      <w:bookmarkEnd w:id="478"/>
      <w:bookmarkEnd w:id="479"/>
      <w:bookmarkEnd w:id="480"/>
      <w:bookmarkEnd w:id="481"/>
      <w:bookmarkEnd w:id="482"/>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如果乙方破产导致合同无法履行时，甲方可以书面形式通知乙方终止合同且不给予乙方任何补偿和赔偿</w:t>
      </w:r>
      <w:r>
        <w:rPr>
          <w:rFonts w:hint="eastAsia" w:asciiTheme="minorEastAsia" w:hAnsiTheme="minorEastAsia" w:eastAsiaTheme="minorEastAsia"/>
          <w:sz w:val="24"/>
        </w:rPr>
        <w:t>，但合同的</w:t>
      </w:r>
      <w:r>
        <w:rPr>
          <w:rFonts w:asciiTheme="minorEastAsia" w:hAnsiTheme="minorEastAsia" w:eastAsiaTheme="minorEastAsia"/>
          <w:sz w:val="24"/>
        </w:rPr>
        <w:t>终止不损害或不影响甲方已经采取或将要采取的任何要求乙方支付违约金</w:t>
      </w:r>
      <w:r>
        <w:rPr>
          <w:rFonts w:hint="eastAsia" w:asciiTheme="minorEastAsia" w:hAnsiTheme="minorEastAsia" w:eastAsiaTheme="minorEastAsia"/>
          <w:sz w:val="24"/>
        </w:rPr>
        <w:t>、</w:t>
      </w:r>
      <w:r>
        <w:rPr>
          <w:rFonts w:asciiTheme="minorEastAsia" w:hAnsiTheme="minorEastAsia" w:eastAsiaTheme="minorEastAsia"/>
          <w:sz w:val="24"/>
        </w:rPr>
        <w:t>赔偿损失等的行动或补救措施的权利</w:t>
      </w:r>
      <w:r>
        <w:rPr>
          <w:rFonts w:hint="eastAsia" w:asciiTheme="minorEastAsia" w:hAnsiTheme="minorEastAsia" w:eastAsiaTheme="minorEastAsia"/>
          <w:sz w:val="24"/>
        </w:rPr>
        <w:t>。</w:t>
      </w:r>
    </w:p>
    <w:p>
      <w:pPr>
        <w:spacing w:line="560" w:lineRule="exact"/>
        <w:ind w:firstLine="482" w:firstLineChars="200"/>
        <w:outlineLvl w:val="2"/>
        <w:rPr>
          <w:rFonts w:asciiTheme="minorEastAsia" w:hAnsiTheme="minorEastAsia" w:eastAsiaTheme="minorEastAsia"/>
          <w:b/>
          <w:sz w:val="24"/>
        </w:rPr>
      </w:pPr>
      <w:bookmarkStart w:id="483" w:name="_Toc2016"/>
      <w:bookmarkStart w:id="484" w:name="_Toc23323"/>
      <w:bookmarkStart w:id="485" w:name="_Toc1123"/>
      <w:r>
        <w:rPr>
          <w:rFonts w:asciiTheme="minorEastAsia" w:hAnsiTheme="minorEastAsia" w:eastAsiaTheme="minorEastAsia"/>
          <w:b/>
          <w:sz w:val="24"/>
        </w:rPr>
        <w:t>2.14 合同中止、终止</w:t>
      </w:r>
      <w:bookmarkEnd w:id="483"/>
      <w:bookmarkEnd w:id="484"/>
      <w:bookmarkEnd w:id="485"/>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2.14.1 </w:t>
      </w:r>
      <w:r>
        <w:rPr>
          <w:rFonts w:hint="eastAsia" w:asciiTheme="minorEastAsia" w:hAnsiTheme="minorEastAsia" w:eastAsiaTheme="minorEastAsia"/>
          <w:sz w:val="24"/>
        </w:rPr>
        <w:t>双方当事人不得擅自中止或者终止合同；</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2"/>
        <w:rPr>
          <w:rFonts w:asciiTheme="minorEastAsia" w:hAnsiTheme="minorEastAsia" w:eastAsiaTheme="minorEastAsia"/>
          <w:b/>
          <w:sz w:val="24"/>
        </w:rPr>
      </w:pPr>
      <w:bookmarkStart w:id="486" w:name="_Toc1969"/>
      <w:bookmarkStart w:id="487" w:name="_Toc17363"/>
      <w:bookmarkStart w:id="488" w:name="_Toc14525"/>
      <w:r>
        <w:rPr>
          <w:rFonts w:asciiTheme="minorEastAsia" w:hAnsiTheme="minorEastAsia" w:eastAsiaTheme="minorEastAsia"/>
          <w:b/>
          <w:sz w:val="24"/>
        </w:rPr>
        <w:t>2.15 检验和验收</w:t>
      </w:r>
      <w:bookmarkEnd w:id="486"/>
      <w:bookmarkEnd w:id="487"/>
      <w:bookmarkEnd w:id="488"/>
    </w:p>
    <w:p>
      <w:pPr>
        <w:tabs>
          <w:tab w:val="left" w:pos="360"/>
          <w:tab w:val="left" w:pos="540"/>
          <w:tab w:val="left" w:pos="1080"/>
        </w:tabs>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2.15.1 </w:t>
      </w:r>
      <w:r>
        <w:rPr>
          <w:rFonts w:hint="eastAsia" w:asciiTheme="minorEastAsia" w:hAnsiTheme="minorEastAsia" w:eastAsiaTheme="minorEastAsia"/>
          <w:sz w:val="24"/>
        </w:rPr>
        <w:t>乙方按照</w:t>
      </w:r>
      <w:r>
        <w:rPr>
          <w:rFonts w:asciiTheme="minorEastAsia" w:hAnsiTheme="minorEastAsia" w:eastAsiaTheme="minorEastAsia"/>
          <w:b/>
          <w:i/>
          <w:sz w:val="24"/>
          <w:u w:val="single"/>
        </w:rPr>
        <w:t>合同专用条款</w:t>
      </w:r>
      <w:r>
        <w:rPr>
          <w:rFonts w:asciiTheme="minorEastAsia" w:hAnsiTheme="minorEastAsia" w:eastAsiaTheme="minorEastAsia"/>
          <w:sz w:val="24"/>
        </w:rPr>
        <w:t>的约定</w:t>
      </w:r>
      <w:r>
        <w:rPr>
          <w:rFonts w:hint="eastAsia" w:asciiTheme="minorEastAsia" w:hAnsiTheme="minorEastAsia" w:eastAsiaTheme="minorEastAsia"/>
          <w:sz w:val="24"/>
        </w:rPr>
        <w:t>，</w:t>
      </w:r>
      <w:r>
        <w:rPr>
          <w:rFonts w:asciiTheme="minorEastAsia" w:hAnsiTheme="minorEastAsia" w:eastAsiaTheme="minorEastAsia"/>
          <w:sz w:val="24"/>
        </w:rPr>
        <w:t>定期提交服务报告</w:t>
      </w:r>
      <w:r>
        <w:rPr>
          <w:rFonts w:hint="eastAsia" w:asciiTheme="minorEastAsia" w:hAnsiTheme="minorEastAsia" w:eastAsiaTheme="minorEastAsia"/>
          <w:sz w:val="24"/>
        </w:rPr>
        <w:t>，甲方按照</w:t>
      </w:r>
      <w:r>
        <w:rPr>
          <w:rFonts w:asciiTheme="minorEastAsia" w:hAnsiTheme="minorEastAsia" w:eastAsiaTheme="minorEastAsia"/>
          <w:b/>
          <w:i/>
          <w:sz w:val="24"/>
          <w:u w:val="single"/>
        </w:rPr>
        <w:t>合同专用条款</w:t>
      </w:r>
      <w:r>
        <w:rPr>
          <w:rFonts w:asciiTheme="minorEastAsia" w:hAnsiTheme="minorEastAsia" w:eastAsiaTheme="minorEastAsia"/>
          <w:sz w:val="24"/>
        </w:rPr>
        <w:t>的约定进行定期验收</w:t>
      </w:r>
      <w:r>
        <w:rPr>
          <w:rFonts w:hint="eastAsia" w:asciiTheme="minorEastAsia" w:hAnsiTheme="minorEastAsia" w:eastAsiaTheme="minorEastAsia"/>
          <w:sz w:val="24"/>
        </w:rPr>
        <w:t>；</w:t>
      </w:r>
    </w:p>
    <w:p>
      <w:pPr>
        <w:tabs>
          <w:tab w:val="left" w:pos="360"/>
          <w:tab w:val="left" w:pos="540"/>
          <w:tab w:val="left" w:pos="1080"/>
        </w:tabs>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2.15.2 </w:t>
      </w:r>
      <w:r>
        <w:rPr>
          <w:rFonts w:hint="eastAsia" w:asciiTheme="minorEastAsia" w:hAnsiTheme="minorEastAsia" w:eastAsiaTheme="minorEastAsia"/>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2.15.3 </w:t>
      </w:r>
      <w:r>
        <w:rPr>
          <w:rFonts w:hint="eastAsia" w:asciiTheme="minorEastAsia" w:hAnsiTheme="minorEastAsia" w:eastAsiaTheme="minorEastAsia"/>
          <w:sz w:val="24"/>
        </w:rPr>
        <w:t>检验和验收标准、程序等具体内容以及前述验收书的效力详见</w:t>
      </w:r>
      <w:r>
        <w:rPr>
          <w:rFonts w:asciiTheme="minorEastAsia" w:hAnsiTheme="minorEastAsia" w:eastAsiaTheme="minorEastAsia"/>
          <w:b/>
          <w:i/>
          <w:sz w:val="24"/>
          <w:u w:val="single"/>
        </w:rPr>
        <w:t>合同专用条款</w:t>
      </w:r>
      <w:r>
        <w:rPr>
          <w:rFonts w:hint="eastAsia" w:asciiTheme="minorEastAsia" w:hAnsiTheme="minorEastAsia" w:eastAsiaTheme="minorEastAsia"/>
          <w:i/>
          <w:sz w:val="24"/>
        </w:rPr>
        <w:t>。</w:t>
      </w:r>
    </w:p>
    <w:p>
      <w:pPr>
        <w:spacing w:line="560" w:lineRule="exact"/>
        <w:ind w:firstLine="482" w:firstLineChars="200"/>
        <w:outlineLvl w:val="2"/>
        <w:rPr>
          <w:rFonts w:asciiTheme="minorEastAsia" w:hAnsiTheme="minorEastAsia" w:eastAsiaTheme="minorEastAsia"/>
          <w:b/>
          <w:sz w:val="24"/>
        </w:rPr>
      </w:pPr>
      <w:bookmarkStart w:id="489" w:name="_Toc9808"/>
      <w:bookmarkStart w:id="490" w:name="_Toc31892"/>
      <w:bookmarkStart w:id="491" w:name="_Toc25198"/>
      <w:bookmarkStart w:id="492" w:name="_Toc12666"/>
      <w:bookmarkStart w:id="493" w:name="_Toc2308"/>
      <w:r>
        <w:rPr>
          <w:rFonts w:asciiTheme="minorEastAsia" w:hAnsiTheme="minorEastAsia" w:eastAsiaTheme="minorEastAsia"/>
          <w:b/>
          <w:sz w:val="24"/>
        </w:rPr>
        <w:t>2.16 通知和送达</w:t>
      </w:r>
      <w:bookmarkEnd w:id="489"/>
      <w:bookmarkEnd w:id="490"/>
      <w:bookmarkEnd w:id="491"/>
      <w:bookmarkEnd w:id="492"/>
      <w:bookmarkEnd w:id="493"/>
    </w:p>
    <w:p>
      <w:pPr>
        <w:spacing w:line="560" w:lineRule="exact"/>
        <w:ind w:firstLine="480" w:firstLineChars="200"/>
        <w:rPr>
          <w:rFonts w:asciiTheme="minorEastAsia" w:hAnsiTheme="minorEastAsia" w:eastAsiaTheme="minorEastAsia"/>
          <w:sz w:val="24"/>
        </w:rPr>
      </w:pPr>
      <w:bookmarkStart w:id="494" w:name="_Toc18401"/>
      <w:bookmarkStart w:id="495" w:name="_Toc27674"/>
      <w:r>
        <w:rPr>
          <w:rFonts w:asciiTheme="minorEastAsia" w:hAnsiTheme="minorEastAsia" w:eastAsiaTheme="minorEastAsia"/>
          <w:sz w:val="24"/>
        </w:rPr>
        <w:t>2.17.1</w:t>
      </w:r>
      <w:r>
        <w:rPr>
          <w:rFonts w:hint="eastAsia" w:asciiTheme="minorEastAsia" w:hAnsiTheme="minorEastAsia" w:eastAsiaTheme="minorEastAsia"/>
          <w:sz w:val="24"/>
        </w:rPr>
        <w:t>任何一方因履行合同而以合同第一部分尾部所列明的传真或电子邮件</w:t>
      </w:r>
      <w:r>
        <w:rPr>
          <w:rFonts w:asciiTheme="minorEastAsia" w:hAnsiTheme="minorEastAsia" w:eastAsiaTheme="minorEastAsia"/>
          <w:sz w:val="24"/>
        </w:rPr>
        <w:t xml:space="preserve"> </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发出的所有通知、文件、材料，均视为已向对方当事人送达；任何一方变更上述送达方式或者地址的，应于</w:t>
      </w:r>
      <w:r>
        <w:rPr>
          <w:rFonts w:asciiTheme="minorEastAsia" w:hAnsiTheme="minorEastAsia" w:eastAsiaTheme="minorEastAsia"/>
          <w:sz w:val="24"/>
          <w:u w:val="single"/>
        </w:rPr>
        <w:t>3</w:t>
      </w:r>
      <w:r>
        <w:rPr>
          <w:rFonts w:hint="eastAsia" w:asciiTheme="minorEastAsia" w:hAnsiTheme="minorEastAsia" w:eastAsiaTheme="minorEastAsia"/>
          <w:sz w:val="24"/>
        </w:rPr>
        <w:t>个工作日内书面通知对方当事人，在对方当事人收到有关变更通知之前，变更前的约定送达方式或者地址仍视为有效。</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2.17.2以当面交付方式送达的，交付之时视为送达；以电子邮件方式送达的，发出电子邮件之时视为送达；以传真方式送达的，发出传真之时视为送达；以邮寄方式送达</w:t>
      </w:r>
      <w:r>
        <w:rPr>
          <w:rFonts w:hint="eastAsia" w:asciiTheme="minorEastAsia" w:hAnsiTheme="minorEastAsia" w:eastAsiaTheme="minorEastAsia"/>
          <w:sz w:val="24"/>
        </w:rPr>
        <w:t>的，邮件挂号寄出或者交邮之日之次日视为送达。</w:t>
      </w:r>
      <w:bookmarkEnd w:id="494"/>
      <w:bookmarkEnd w:id="495"/>
    </w:p>
    <w:p>
      <w:pPr>
        <w:spacing w:line="560" w:lineRule="exact"/>
        <w:ind w:firstLine="482" w:firstLineChars="200"/>
        <w:outlineLvl w:val="2"/>
        <w:rPr>
          <w:rFonts w:asciiTheme="minorEastAsia" w:hAnsiTheme="minorEastAsia" w:eastAsiaTheme="minorEastAsia"/>
          <w:b/>
          <w:sz w:val="24"/>
        </w:rPr>
      </w:pPr>
      <w:bookmarkStart w:id="496" w:name="_Toc20808"/>
      <w:bookmarkStart w:id="497" w:name="_Toc12254"/>
      <w:bookmarkStart w:id="498" w:name="_Toc5063"/>
      <w:bookmarkStart w:id="499" w:name="_Toc27644"/>
      <w:bookmarkStart w:id="500" w:name="_Toc28906"/>
      <w:r>
        <w:rPr>
          <w:rFonts w:asciiTheme="minorEastAsia" w:hAnsiTheme="minorEastAsia" w:eastAsiaTheme="minorEastAsia"/>
          <w:b/>
          <w:sz w:val="24"/>
        </w:rPr>
        <w:t xml:space="preserve">2.17 </w:t>
      </w:r>
      <w:r>
        <w:rPr>
          <w:rFonts w:hint="eastAsia" w:asciiTheme="minorEastAsia" w:hAnsiTheme="minorEastAsia" w:eastAsiaTheme="minorEastAsia"/>
          <w:b/>
          <w:sz w:val="24"/>
        </w:rPr>
        <w:t>合同使用的文字和</w:t>
      </w:r>
      <w:r>
        <w:rPr>
          <w:rFonts w:asciiTheme="minorEastAsia" w:hAnsiTheme="minorEastAsia" w:eastAsiaTheme="minorEastAsia"/>
          <w:b/>
          <w:sz w:val="24"/>
        </w:rPr>
        <w:t>适用的法律</w:t>
      </w:r>
      <w:bookmarkEnd w:id="496"/>
      <w:bookmarkEnd w:id="497"/>
      <w:bookmarkEnd w:id="498"/>
      <w:bookmarkEnd w:id="499"/>
      <w:bookmarkEnd w:id="500"/>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2.17.1 合同使用汉语书就</w:t>
      </w:r>
      <w:r>
        <w:rPr>
          <w:rFonts w:hint="eastAsia" w:asciiTheme="minorEastAsia" w:hAnsiTheme="minorEastAsia" w:eastAsiaTheme="minorEastAsia"/>
          <w:sz w:val="24"/>
        </w:rPr>
        <w:t>、</w:t>
      </w:r>
      <w:r>
        <w:rPr>
          <w:rFonts w:asciiTheme="minorEastAsia" w:hAnsiTheme="minorEastAsia" w:eastAsiaTheme="minorEastAsia"/>
          <w:sz w:val="24"/>
        </w:rPr>
        <w:t>变更和解释</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2.17.2 </w:t>
      </w:r>
      <w:r>
        <w:rPr>
          <w:rFonts w:hint="eastAsia" w:asciiTheme="minorEastAsia" w:hAnsiTheme="minorEastAsia" w:eastAsiaTheme="minorEastAsia"/>
          <w:sz w:val="24"/>
        </w:rPr>
        <w:t>合同适用</w:t>
      </w:r>
      <w:r>
        <w:rPr>
          <w:rFonts w:asciiTheme="minorEastAsia" w:hAnsiTheme="minorEastAsia" w:eastAsiaTheme="minorEastAsia"/>
          <w:sz w:val="24"/>
        </w:rPr>
        <w:t>中华人民共和国法律。</w:t>
      </w:r>
    </w:p>
    <w:p>
      <w:pPr>
        <w:spacing w:line="560" w:lineRule="exact"/>
        <w:ind w:firstLine="482" w:firstLineChars="200"/>
        <w:outlineLvl w:val="2"/>
        <w:rPr>
          <w:rFonts w:asciiTheme="minorEastAsia" w:hAnsiTheme="minorEastAsia" w:eastAsiaTheme="minorEastAsia"/>
          <w:b/>
          <w:sz w:val="24"/>
        </w:rPr>
      </w:pPr>
      <w:bookmarkStart w:id="501" w:name="_Toc30096"/>
      <w:bookmarkStart w:id="502" w:name="_Toc27127"/>
      <w:bookmarkStart w:id="503" w:name="_Toc1492"/>
      <w:bookmarkStart w:id="504" w:name="_Toc27403"/>
      <w:bookmarkStart w:id="505" w:name="_Toc22266"/>
      <w:r>
        <w:rPr>
          <w:rFonts w:asciiTheme="minorEastAsia" w:hAnsiTheme="minorEastAsia" w:eastAsiaTheme="minorEastAsia"/>
          <w:b/>
          <w:sz w:val="24"/>
        </w:rPr>
        <w:t>2.18 履约保证金</w:t>
      </w:r>
      <w:bookmarkEnd w:id="501"/>
      <w:bookmarkEnd w:id="502"/>
      <w:bookmarkEnd w:id="503"/>
      <w:bookmarkEnd w:id="504"/>
      <w:bookmarkEnd w:id="505"/>
    </w:p>
    <w:p>
      <w:pPr>
        <w:pStyle w:val="957"/>
        <w:spacing w:before="0" w:beforeAutospacing="0" w:after="0" w:afterAutospacing="0" w:line="360" w:lineRule="auto"/>
        <w:ind w:firstLine="420"/>
        <w:rPr>
          <w:rFonts w:asciiTheme="minorEastAsia" w:hAnsiTheme="minorEastAsia" w:eastAsiaTheme="minorEastAsia"/>
        </w:rPr>
      </w:pPr>
      <w:r>
        <w:rPr>
          <w:rFonts w:asciiTheme="minorEastAsia" w:hAnsiTheme="minorEastAsia" w:eastAsiaTheme="minorEastAsia"/>
        </w:rPr>
        <w:t xml:space="preserve">2.18.1 </w:t>
      </w:r>
      <w:r>
        <w:rPr>
          <w:rFonts w:hint="eastAsia" w:asciiTheme="minorEastAsia" w:hAnsiTheme="minorEastAsia" w:eastAsiaTheme="minorEastAsia"/>
        </w:rPr>
        <w:t>采购文件要求乙方提交履约保证金的，乙方应按</w:t>
      </w:r>
      <w:r>
        <w:rPr>
          <w:rFonts w:hint="eastAsia" w:asciiTheme="minorEastAsia" w:hAnsiTheme="minorEastAsia" w:eastAsiaTheme="minorEastAsia"/>
          <w:b/>
          <w:i/>
          <w:u w:val="single"/>
        </w:rPr>
        <w:t>合同专用条款</w:t>
      </w:r>
      <w:r>
        <w:rPr>
          <w:rFonts w:hint="eastAsia" w:asciiTheme="minorEastAsia" w:hAnsiTheme="minorEastAsia" w:eastAsiaTheme="minorEastAsia"/>
        </w:rPr>
        <w:t>约定的方式，以支票、汇票、本票或者金融机构、担保机构出具的保函等非现金形式，提交不超过合同金额</w:t>
      </w:r>
      <w:r>
        <w:rPr>
          <w:rFonts w:asciiTheme="minorEastAsia" w:hAnsiTheme="minorEastAsia" w:eastAsiaTheme="minorEastAsia"/>
        </w:rPr>
        <w:t>1%的履约保证金；鼓励和支持乙方以银行、保险公司出具的保函形式提供履约保证</w:t>
      </w:r>
      <w:r>
        <w:rPr>
          <w:rFonts w:hint="eastAsia" w:asciiTheme="minorEastAsia" w:hAnsiTheme="minorEastAsia" w:eastAsiaTheme="minorEastAsia"/>
        </w:rPr>
        <w:t>，乙方以银行、保险公司出具保函形式提交履约保证金的，甲方不得拒收。</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2.18.2  </w:t>
      </w:r>
      <w:r>
        <w:rPr>
          <w:rFonts w:hint="eastAsia" w:asciiTheme="minorEastAsia" w:hAnsiTheme="minorEastAsia" w:eastAsiaTheme="minorEastAsia"/>
          <w:sz w:val="24"/>
        </w:rPr>
        <w:t>甲方在项目验收结束后及时退还履约保证金。</w:t>
      </w:r>
      <w:r>
        <w:rPr>
          <w:rFonts w:hint="eastAsia" w:ascii="宋体" w:hAnsi="宋体" w:cs="宋体"/>
          <w:sz w:val="24"/>
        </w:rPr>
        <w:t>甲方在项目通过验收之日起</w:t>
      </w:r>
      <w:r>
        <w:rPr>
          <w:rFonts w:hint="eastAsia" w:ascii="宋体" w:hAnsi="宋体" w:cs="宋体"/>
          <w:sz w:val="24"/>
          <w:u w:val="single"/>
        </w:rPr>
        <w:t xml:space="preserve"> </w:t>
      </w:r>
      <w:r>
        <w:rPr>
          <w:rFonts w:hint="eastAsia" w:ascii="宋体" w:hAnsi="宋体" w:cs="宋体"/>
          <w:b/>
          <w:i/>
          <w:sz w:val="24"/>
          <w:u w:val="single"/>
        </w:rPr>
        <w:t>合同专用条款</w:t>
      </w:r>
      <w:r>
        <w:rPr>
          <w:rFonts w:hint="eastAsia" w:ascii="宋体" w:hAnsi="宋体" w:cs="宋体"/>
          <w:sz w:val="24"/>
          <w:u w:val="single"/>
        </w:rPr>
        <w:t xml:space="preserve"> </w:t>
      </w:r>
      <w:r>
        <w:rPr>
          <w:rFonts w:hint="eastAsia" w:ascii="宋体" w:hAnsi="宋体" w:cs="宋体"/>
          <w:sz w:val="24"/>
        </w:rPr>
        <w:t>个工作日内将履约保证金退还乙方，逾期退还的，</w:t>
      </w:r>
      <w:r>
        <w:rPr>
          <w:rFonts w:hint="eastAsia" w:asciiTheme="minorEastAsia" w:hAnsiTheme="minorEastAsia" w:eastAsiaTheme="minorEastAsia"/>
          <w:sz w:val="24"/>
        </w:rPr>
        <w:t>乙方可要求甲方支付违约金，违约金按每迟延退还一日的应退还而未退还金额的</w:t>
      </w:r>
      <w:r>
        <w:rPr>
          <w:rFonts w:asciiTheme="minorEastAsia" w:hAnsiTheme="minorEastAsia" w:eastAsiaTheme="minorEastAsia"/>
          <w:sz w:val="24"/>
          <w:u w:val="single"/>
        </w:rPr>
        <w:t xml:space="preserve">  0.05  </w:t>
      </w:r>
      <w:r>
        <w:rPr>
          <w:rFonts w:asciiTheme="minorEastAsia" w:hAnsiTheme="minorEastAsia" w:eastAsiaTheme="minorEastAsia"/>
          <w:sz w:val="24"/>
        </w:rPr>
        <w:t>%计算，最高限额为本合同履约保证金的</w:t>
      </w:r>
      <w:r>
        <w:rPr>
          <w:rFonts w:asciiTheme="minorEastAsia" w:hAnsiTheme="minorEastAsia" w:eastAsiaTheme="minorEastAsia"/>
          <w:sz w:val="24"/>
          <w:u w:val="single"/>
        </w:rPr>
        <w:t xml:space="preserve">  20   </w:t>
      </w:r>
      <w:r>
        <w:rPr>
          <w:rFonts w:asciiTheme="minorEastAsia" w:hAnsiTheme="minorEastAsia" w:eastAsiaTheme="minorEastAsia"/>
          <w:sz w:val="24"/>
        </w:rPr>
        <w:t xml:space="preserve">%； </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2.18.3 </w:t>
      </w:r>
      <w:r>
        <w:rPr>
          <w:rFonts w:hint="eastAsia" w:asciiTheme="minorEastAsia" w:hAnsiTheme="minorEastAsia" w:eastAsiaTheme="minorEastAsia"/>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Theme="minorEastAsia" w:hAnsiTheme="minorEastAsia" w:eastAsiaTheme="minorEastAsia"/>
        </w:rPr>
      </w:pPr>
      <w:r>
        <w:rPr>
          <w:rFonts w:asciiTheme="minorEastAsia" w:hAnsiTheme="minorEastAsia" w:eastAsiaTheme="minorEastAsia"/>
          <w:sz w:val="24"/>
        </w:rPr>
        <w:t>2.18.4</w:t>
      </w:r>
      <w:r>
        <w:rPr>
          <w:rFonts w:hint="eastAsia" w:asciiTheme="minorEastAsia" w:hAnsiTheme="minorEastAsia" w:eastAsiaTheme="minorEastAsia"/>
          <w:sz w:val="24"/>
        </w:rPr>
        <w:t> 甲方</w:t>
      </w:r>
      <w:r>
        <w:rPr>
          <w:rFonts w:asciiTheme="minorEastAsia" w:hAnsiTheme="minorEastAsia" w:eastAsiaTheme="minorEastAsia"/>
          <w:sz w:val="24"/>
        </w:rPr>
        <w:t>在</w:t>
      </w:r>
      <w:r>
        <w:rPr>
          <w:rFonts w:hint="eastAsia" w:asciiTheme="minorEastAsia" w:hAnsiTheme="minorEastAsia" w:eastAsiaTheme="minorEastAsia"/>
          <w:sz w:val="24"/>
        </w:rPr>
        <w:t>乙方</w:t>
      </w:r>
      <w:r>
        <w:rPr>
          <w:rFonts w:asciiTheme="minorEastAsia" w:hAnsiTheme="minorEastAsia" w:eastAsiaTheme="minorEastAsia"/>
          <w:sz w:val="24"/>
        </w:rPr>
        <w:t>履行完合同约定义务事项后及时退还，延迟退还的，应当按照合同约定和法律规定承担相应的赔偿责任。</w:t>
      </w:r>
    </w:p>
    <w:p>
      <w:pPr>
        <w:spacing w:line="560" w:lineRule="exact"/>
        <w:ind w:firstLine="482" w:firstLineChars="200"/>
        <w:rPr>
          <w:rFonts w:asciiTheme="minorEastAsia" w:hAnsiTheme="minorEastAsia" w:eastAsiaTheme="minorEastAsia"/>
          <w:sz w:val="24"/>
        </w:rPr>
      </w:pPr>
      <w:r>
        <w:rPr>
          <w:rFonts w:asciiTheme="minorEastAsia" w:hAnsiTheme="minorEastAsia" w:eastAsiaTheme="minorEastAsia"/>
          <w:b/>
          <w:bCs/>
          <w:sz w:val="24"/>
        </w:rPr>
        <w:t>2.19</w:t>
      </w:r>
      <w:r>
        <w:rPr>
          <w:rFonts w:asciiTheme="minorEastAsia" w:hAnsiTheme="minorEastAsia" w:eastAsiaTheme="minorEastAsia"/>
          <w:sz w:val="24"/>
        </w:rPr>
        <w:t>对于因甲方原因导致变更、中止或者终止政府采购合同的，甲方应当依照合同约定对供应商受到的损失予以赔偿或者补偿</w:t>
      </w:r>
      <w:r>
        <w:rPr>
          <w:rFonts w:hint="eastAsia" w:asciiTheme="minorEastAsia" w:hAnsiTheme="minorEastAsia" w:eastAsiaTheme="minorEastAsia"/>
          <w:sz w:val="24"/>
        </w:rPr>
        <w:t>。</w:t>
      </w:r>
    </w:p>
    <w:p>
      <w:pPr>
        <w:spacing w:line="560" w:lineRule="exact"/>
        <w:ind w:firstLine="482" w:firstLineChars="200"/>
        <w:outlineLvl w:val="2"/>
        <w:rPr>
          <w:rFonts w:asciiTheme="minorEastAsia" w:hAnsiTheme="minorEastAsia" w:eastAsiaTheme="minorEastAsia"/>
          <w:b/>
          <w:sz w:val="24"/>
        </w:rPr>
      </w:pPr>
      <w:r>
        <w:rPr>
          <w:rFonts w:asciiTheme="minorEastAsia" w:hAnsiTheme="minorEastAsia" w:eastAsiaTheme="minorEastAsia"/>
          <w:b/>
          <w:sz w:val="24"/>
        </w:rPr>
        <w:t>2.20合同份数</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合同份数按</w:t>
      </w:r>
      <w:r>
        <w:rPr>
          <w:rFonts w:asciiTheme="minorEastAsia" w:hAnsiTheme="minorEastAsia" w:eastAsiaTheme="minorEastAsia"/>
          <w:b/>
          <w:i/>
          <w:sz w:val="24"/>
          <w:u w:val="single"/>
        </w:rPr>
        <w:t>合同专用条款</w:t>
      </w:r>
      <w:r>
        <w:rPr>
          <w:rFonts w:asciiTheme="minorEastAsia" w:hAnsiTheme="minorEastAsia" w:eastAsiaTheme="minorEastAsia"/>
          <w:sz w:val="24"/>
        </w:rPr>
        <w:t>规定</w:t>
      </w:r>
      <w:r>
        <w:rPr>
          <w:rFonts w:hint="eastAsia" w:asciiTheme="minorEastAsia" w:hAnsiTheme="minorEastAsia" w:eastAsiaTheme="minorEastAsia"/>
          <w:sz w:val="24"/>
        </w:rPr>
        <w:t>，</w:t>
      </w:r>
      <w:r>
        <w:rPr>
          <w:rFonts w:asciiTheme="minorEastAsia" w:hAnsiTheme="minorEastAsia" w:eastAsiaTheme="minorEastAsia"/>
          <w:sz w:val="24"/>
        </w:rPr>
        <w:t>每份均具有同等法律效力</w:t>
      </w:r>
      <w:r>
        <w:rPr>
          <w:rFonts w:hint="eastAsia" w:asciiTheme="minorEastAsia" w:hAnsiTheme="minorEastAsia" w:eastAsiaTheme="minorEastAsia"/>
          <w:sz w:val="24"/>
        </w:rPr>
        <w:t>。</w:t>
      </w:r>
    </w:p>
    <w:p>
      <w:pPr>
        <w:spacing w:line="360" w:lineRule="auto"/>
        <w:jc w:val="center"/>
        <w:outlineLvl w:val="1"/>
        <w:rPr>
          <w:rFonts w:ascii="宋体" w:hAnsi="宋体" w:cs="宋体"/>
          <w:b/>
          <w:sz w:val="24"/>
        </w:rPr>
      </w:pPr>
      <w:r>
        <w:rPr>
          <w:rFonts w:hint="eastAsia" w:ascii="宋体" w:hAnsi="宋体" w:cs="宋体"/>
          <w:kern w:val="0"/>
        </w:rPr>
        <w:br w:type="page"/>
      </w:r>
      <w:r>
        <w:rPr>
          <w:rFonts w:hint="eastAsia" w:ascii="宋体" w:hAnsi="宋体" w:cs="宋体"/>
          <w:b/>
          <w:sz w:val="24"/>
        </w:rPr>
        <w:t>第三部分 合同专用条款</w:t>
      </w:r>
    </w:p>
    <w:p>
      <w:pPr>
        <w:spacing w:line="560" w:lineRule="exact"/>
        <w:ind w:left="-420" w:leftChars="-200" w:right="-420" w:rightChars="-200" w:firstLine="480" w:firstLineChars="200"/>
        <w:rPr>
          <w:rFonts w:ascii="宋体" w:hAnsi="宋体" w:cs="宋体"/>
          <w:highlight w:val="none"/>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51" w:type="dxa"/>
            <w:tcBorders>
              <w:left w:val="single" w:color="auto" w:sz="4" w:space="0"/>
            </w:tcBorders>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条款号</w:t>
            </w:r>
          </w:p>
        </w:tc>
        <w:tc>
          <w:tcPr>
            <w:tcW w:w="8275"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1.4.4</w:t>
            </w:r>
          </w:p>
        </w:tc>
        <w:tc>
          <w:tcPr>
            <w:tcW w:w="8275"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 xml:space="preserve">1.5.1 </w:t>
            </w:r>
          </w:p>
        </w:tc>
        <w:tc>
          <w:tcPr>
            <w:tcW w:w="8275"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1.5.2</w:t>
            </w:r>
          </w:p>
        </w:tc>
        <w:tc>
          <w:tcPr>
            <w:tcW w:w="8275"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 xml:space="preserve">1.5.3 </w:t>
            </w:r>
          </w:p>
        </w:tc>
        <w:tc>
          <w:tcPr>
            <w:tcW w:w="8275"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1.6.7</w:t>
            </w:r>
          </w:p>
        </w:tc>
        <w:tc>
          <w:tcPr>
            <w:tcW w:w="8275"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1.7</w:t>
            </w:r>
          </w:p>
        </w:tc>
        <w:tc>
          <w:tcPr>
            <w:tcW w:w="8275"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1.7.1</w:t>
            </w:r>
          </w:p>
        </w:tc>
        <w:tc>
          <w:tcPr>
            <w:tcW w:w="8275"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1.7.2</w:t>
            </w:r>
          </w:p>
        </w:tc>
        <w:tc>
          <w:tcPr>
            <w:tcW w:w="8275"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2.3.2</w:t>
            </w:r>
          </w:p>
        </w:tc>
        <w:tc>
          <w:tcPr>
            <w:tcW w:w="8275" w:type="dxa"/>
            <w:vAlign w:val="center"/>
          </w:tcPr>
          <w:p>
            <w:pPr>
              <w:spacing w:line="360" w:lineRule="auto"/>
              <w:ind w:left="-420" w:leftChars="-200" w:right="-420" w:rightChars="-200" w:firstLine="480" w:firstLineChars="200"/>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w:t>
            </w:r>
            <w:r>
              <w:rPr>
                <w:rFonts w:ascii="宋体" w:hAnsi="宋体" w:cs="宋体"/>
                <w:sz w:val="24"/>
                <w:highlight w:val="none"/>
              </w:rPr>
              <w:t>5</w:t>
            </w:r>
          </w:p>
        </w:tc>
        <w:tc>
          <w:tcPr>
            <w:tcW w:w="8275" w:type="dxa"/>
            <w:vAlign w:val="center"/>
          </w:tcPr>
          <w:p>
            <w:pPr>
              <w:spacing w:line="360" w:lineRule="auto"/>
              <w:ind w:left="-420" w:leftChars="-200" w:right="-420" w:rightChars="-200" w:firstLine="480" w:firstLineChars="200"/>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w:t>
            </w:r>
            <w:r>
              <w:rPr>
                <w:rFonts w:ascii="宋体" w:hAnsi="宋体" w:cs="宋体"/>
                <w:sz w:val="24"/>
                <w:highlight w:val="none"/>
              </w:rPr>
              <w:t>11</w:t>
            </w:r>
            <w:r>
              <w:rPr>
                <w:rFonts w:hint="eastAsia" w:ascii="宋体" w:hAnsi="宋体" w:cs="宋体"/>
                <w:sz w:val="24"/>
                <w:highlight w:val="none"/>
              </w:rPr>
              <w:t>.</w:t>
            </w:r>
            <w:r>
              <w:rPr>
                <w:rFonts w:ascii="宋体" w:hAnsi="宋体" w:cs="宋体"/>
                <w:sz w:val="24"/>
                <w:highlight w:val="none"/>
              </w:rPr>
              <w:t>3</w:t>
            </w:r>
          </w:p>
        </w:tc>
        <w:tc>
          <w:tcPr>
            <w:tcW w:w="8275"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tcPr>
          <w:p>
            <w:pPr>
              <w:spacing w:line="360" w:lineRule="auto"/>
              <w:rPr>
                <w:rFonts w:ascii="宋体" w:hAnsi="宋体" w:cs="宋体"/>
                <w:sz w:val="24"/>
                <w:highlight w:val="none"/>
              </w:rPr>
            </w:pPr>
            <w:r>
              <w:rPr>
                <w:rFonts w:hint="eastAsia" w:ascii="宋体" w:hAnsi="宋体" w:cs="宋体"/>
                <w:sz w:val="24"/>
                <w:highlight w:val="none"/>
              </w:rPr>
              <w:t>2.</w:t>
            </w:r>
            <w:r>
              <w:rPr>
                <w:rFonts w:ascii="宋体" w:hAnsi="宋体" w:cs="宋体"/>
                <w:sz w:val="24"/>
                <w:highlight w:val="none"/>
              </w:rPr>
              <w:t>11.4</w:t>
            </w:r>
            <w:r>
              <w:rPr>
                <w:rFonts w:hint="eastAsia" w:ascii="宋体" w:hAnsi="宋体" w:cs="宋体"/>
                <w:sz w:val="24"/>
                <w:highlight w:val="none"/>
              </w:rPr>
              <w:t xml:space="preserve"> </w:t>
            </w:r>
          </w:p>
        </w:tc>
        <w:tc>
          <w:tcPr>
            <w:tcW w:w="8275" w:type="dxa"/>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w:t>
            </w:r>
            <w:r>
              <w:rPr>
                <w:rFonts w:ascii="宋体" w:hAnsi="宋体" w:cs="宋体"/>
                <w:sz w:val="24"/>
                <w:highlight w:val="none"/>
              </w:rPr>
              <w:t>15</w:t>
            </w:r>
            <w:r>
              <w:rPr>
                <w:rFonts w:hint="eastAsia" w:ascii="宋体" w:hAnsi="宋体" w:cs="宋体"/>
                <w:sz w:val="24"/>
                <w:highlight w:val="none"/>
              </w:rPr>
              <w:t>.</w:t>
            </w:r>
            <w:r>
              <w:rPr>
                <w:rFonts w:ascii="宋体" w:hAnsi="宋体" w:cs="宋体"/>
                <w:sz w:val="24"/>
                <w:highlight w:val="none"/>
              </w:rPr>
              <w:t>1</w:t>
            </w:r>
          </w:p>
        </w:tc>
        <w:tc>
          <w:tcPr>
            <w:tcW w:w="8275"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w:t>
            </w:r>
            <w:r>
              <w:rPr>
                <w:rFonts w:ascii="宋体" w:hAnsi="宋体" w:cs="宋体"/>
                <w:sz w:val="24"/>
                <w:highlight w:val="none"/>
              </w:rPr>
              <w:t>15</w:t>
            </w:r>
            <w:r>
              <w:rPr>
                <w:rFonts w:hint="eastAsia" w:ascii="宋体" w:hAnsi="宋体" w:cs="宋体"/>
                <w:sz w:val="24"/>
                <w:highlight w:val="none"/>
              </w:rPr>
              <w:t>.</w:t>
            </w:r>
            <w:r>
              <w:rPr>
                <w:rFonts w:ascii="宋体" w:hAnsi="宋体" w:cs="宋体"/>
                <w:sz w:val="24"/>
                <w:highlight w:val="none"/>
              </w:rPr>
              <w:t>3</w:t>
            </w:r>
          </w:p>
        </w:tc>
        <w:tc>
          <w:tcPr>
            <w:tcW w:w="8275"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2.1</w:t>
            </w:r>
            <w:r>
              <w:rPr>
                <w:rFonts w:ascii="宋体" w:hAnsi="宋体" w:cs="宋体"/>
                <w:sz w:val="24"/>
                <w:highlight w:val="none"/>
              </w:rPr>
              <w:t>8</w:t>
            </w:r>
            <w:r>
              <w:rPr>
                <w:rFonts w:hint="eastAsia" w:ascii="宋体" w:hAnsi="宋体" w:cs="宋体"/>
                <w:sz w:val="24"/>
                <w:highlight w:val="none"/>
              </w:rPr>
              <w:t>.1</w:t>
            </w:r>
          </w:p>
        </w:tc>
        <w:tc>
          <w:tcPr>
            <w:tcW w:w="8275"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2.1</w:t>
            </w:r>
            <w:r>
              <w:rPr>
                <w:rFonts w:ascii="宋体" w:hAnsi="宋体" w:cs="宋体"/>
                <w:sz w:val="24"/>
                <w:highlight w:val="none"/>
              </w:rPr>
              <w:t>8</w:t>
            </w:r>
            <w:r>
              <w:rPr>
                <w:rFonts w:hint="eastAsia" w:ascii="宋体" w:hAnsi="宋体" w:cs="宋体"/>
                <w:sz w:val="24"/>
                <w:highlight w:val="none"/>
              </w:rPr>
              <w:t>.</w:t>
            </w:r>
            <w:r>
              <w:rPr>
                <w:rFonts w:ascii="宋体" w:hAnsi="宋体" w:cs="宋体"/>
                <w:sz w:val="24"/>
                <w:highlight w:val="none"/>
              </w:rPr>
              <w:t>2</w:t>
            </w:r>
          </w:p>
        </w:tc>
        <w:tc>
          <w:tcPr>
            <w:tcW w:w="8275"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tcPr>
          <w:p>
            <w:pPr>
              <w:spacing w:line="360" w:lineRule="auto"/>
              <w:rPr>
                <w:rFonts w:ascii="宋体" w:hAnsi="宋体" w:cs="宋体"/>
                <w:sz w:val="24"/>
                <w:highlight w:val="none"/>
              </w:rPr>
            </w:pPr>
            <w:r>
              <w:rPr>
                <w:rFonts w:hint="eastAsia" w:ascii="宋体" w:hAnsi="宋体" w:cs="宋体"/>
                <w:sz w:val="24"/>
                <w:highlight w:val="none"/>
              </w:rPr>
              <w:t>2.20</w:t>
            </w:r>
          </w:p>
        </w:tc>
        <w:tc>
          <w:tcPr>
            <w:tcW w:w="8275" w:type="dxa"/>
          </w:tcPr>
          <w:p>
            <w:pPr>
              <w:spacing w:line="360" w:lineRule="auto"/>
              <w:rPr>
                <w:rFonts w:ascii="宋体" w:hAnsi="宋体" w:cs="宋体"/>
                <w:sz w:val="24"/>
                <w:highlight w:val="none"/>
              </w:rPr>
            </w:pPr>
          </w:p>
        </w:tc>
      </w:tr>
    </w:tbl>
    <w:p>
      <w:pPr>
        <w:spacing w:line="360" w:lineRule="auto"/>
        <w:ind w:left="-420" w:leftChars="-200" w:right="-420" w:rightChars="-200" w:firstLine="480" w:firstLineChars="200"/>
        <w:rPr>
          <w:rFonts w:ascii="宋体" w:hAnsi="宋体" w:cs="宋体"/>
          <w:sz w:val="24"/>
        </w:rPr>
      </w:pPr>
    </w:p>
    <w:p>
      <w:pPr>
        <w:spacing w:line="360" w:lineRule="auto"/>
        <w:ind w:left="-420" w:leftChars="-200" w:right="-420" w:rightChars="-200"/>
        <w:rPr>
          <w:rFonts w:ascii="宋体" w:hAnsi="宋体" w:cs="宋体"/>
          <w:sz w:val="24"/>
        </w:rPr>
      </w:pPr>
    </w:p>
    <w:p>
      <w:pPr>
        <w:spacing w:line="360" w:lineRule="auto"/>
        <w:ind w:left="-420" w:leftChars="-200" w:right="-420" w:rightChars="-200" w:firstLine="480" w:firstLineChars="200"/>
        <w:jc w:val="center"/>
        <w:outlineLvl w:val="9"/>
        <w:rPr>
          <w:rFonts w:ascii="宋体" w:hAnsi="宋体" w:cs="宋体"/>
          <w:sz w:val="24"/>
        </w:rPr>
      </w:pPr>
    </w:p>
    <w:p>
      <w:pPr>
        <w:spacing w:line="360" w:lineRule="auto"/>
        <w:ind w:left="-420" w:leftChars="-200" w:right="-420" w:rightChars="-200" w:firstLine="480" w:firstLineChars="200"/>
        <w:jc w:val="center"/>
        <w:outlineLvl w:val="9"/>
        <w:rPr>
          <w:rFonts w:ascii="宋体" w:hAnsi="宋体" w:cs="宋体"/>
          <w:sz w:val="24"/>
        </w:rPr>
      </w:pPr>
    </w:p>
    <w:p>
      <w:pPr>
        <w:widowControl/>
        <w:adjustRightInd/>
        <w:jc w:val="left"/>
        <w:outlineLvl w:val="9"/>
        <w:rPr>
          <w:rFonts w:ascii="宋体" w:hAnsi="宋体" w:cs="宋体"/>
          <w:b/>
          <w:sz w:val="36"/>
          <w:szCs w:val="20"/>
        </w:rPr>
      </w:pPr>
      <w:r>
        <w:rPr>
          <w:rFonts w:ascii="宋体" w:hAnsi="宋体" w:cs="宋体"/>
          <w:b/>
          <w:sz w:val="36"/>
          <w:szCs w:val="20"/>
        </w:rPr>
        <w:br w:type="page"/>
      </w:r>
    </w:p>
    <w:p>
      <w:pPr>
        <w:spacing w:line="360" w:lineRule="auto"/>
        <w:jc w:val="center"/>
        <w:outlineLvl w:val="0"/>
        <w:rPr>
          <w:rFonts w:ascii="宋体" w:hAnsi="宋体" w:cs="宋体"/>
          <w:b/>
          <w:sz w:val="36"/>
          <w:szCs w:val="20"/>
        </w:rPr>
      </w:pPr>
      <w:r>
        <w:rPr>
          <w:rFonts w:hint="eastAsia" w:ascii="宋体" w:hAnsi="宋体" w:cs="宋体"/>
          <w:b/>
          <w:sz w:val="36"/>
          <w:szCs w:val="20"/>
        </w:rPr>
        <w:t>第六部分</w:t>
      </w:r>
      <w:bookmarkEnd w:id="393"/>
      <w:r>
        <w:rPr>
          <w:rFonts w:hint="eastAsia" w:ascii="宋体" w:hAnsi="宋体" w:cs="宋体"/>
          <w:b/>
          <w:sz w:val="36"/>
          <w:szCs w:val="20"/>
        </w:rPr>
        <w:t xml:space="preserve"> </w:t>
      </w:r>
      <w:bookmarkEnd w:id="394"/>
      <w:r>
        <w:rPr>
          <w:rFonts w:hint="eastAsia" w:ascii="宋体" w:hAnsi="宋体" w:cs="宋体"/>
          <w:b/>
          <w:sz w:val="36"/>
          <w:szCs w:val="20"/>
        </w:rPr>
        <w:t>应提交的有关格式范例</w:t>
      </w:r>
    </w:p>
    <w:p>
      <w:pPr>
        <w:spacing w:line="360" w:lineRule="auto"/>
        <w:jc w:val="center"/>
        <w:outlineLvl w:val="9"/>
        <w:rPr>
          <w:rFonts w:ascii="宋体" w:hAnsi="宋体" w:cs="宋体"/>
          <w:b/>
          <w:kern w:val="0"/>
          <w:sz w:val="36"/>
          <w:szCs w:val="36"/>
        </w:rPr>
      </w:pPr>
    </w:p>
    <w:p>
      <w:pPr>
        <w:spacing w:line="360" w:lineRule="auto"/>
        <w:jc w:val="center"/>
        <w:outlineLvl w:val="1"/>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9"/>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9"/>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outlineLvl w:val="2"/>
        <w:rPr>
          <w:rFonts w:ascii="宋体" w:hAnsi="宋体" w:cs="宋体"/>
          <w:b/>
          <w:color w:val="auto"/>
          <w:kern w:val="0"/>
          <w:sz w:val="32"/>
          <w:szCs w:val="32"/>
        </w:rPr>
      </w:pPr>
      <w:r>
        <w:rPr>
          <w:rFonts w:hint="eastAsia" w:ascii="宋体" w:hAnsi="宋体" w:cs="宋体"/>
          <w:kern w:val="0"/>
          <w:sz w:val="24"/>
        </w:rPr>
        <w:br w:type="page"/>
      </w:r>
      <w:r>
        <w:rPr>
          <w:rFonts w:hint="eastAsia" w:ascii="宋体" w:hAnsi="宋体" w:cs="宋体"/>
          <w:b/>
          <w:color w:val="auto"/>
          <w:kern w:val="0"/>
          <w:sz w:val="32"/>
          <w:szCs w:val="32"/>
        </w:rPr>
        <w:t>一、 符合参加政府采购活动应当具备的一般条件的承诺函</w:t>
      </w:r>
    </w:p>
    <w:p>
      <w:pPr>
        <w:snapToGrid w:val="0"/>
        <w:spacing w:line="360" w:lineRule="auto"/>
        <w:rPr>
          <w:rFonts w:ascii="宋体" w:hAnsi="宋体" w:cs="宋体"/>
          <w:color w:val="auto"/>
          <w:sz w:val="24"/>
        </w:rPr>
      </w:pPr>
      <w:r>
        <w:rPr>
          <w:rFonts w:hint="eastAsia" w:ascii="宋体" w:hAnsi="宋体" w:cs="宋体"/>
          <w:color w:val="auto"/>
          <w:sz w:val="24"/>
        </w:rPr>
        <w:t>（采购人）、（采购代理机构）：</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我方参与（项目名称）【招标编号：（采购编号）】政府采购活动，郑重承诺：</w:t>
      </w:r>
    </w:p>
    <w:p>
      <w:pPr>
        <w:snapToGrid w:val="0"/>
        <w:spacing w:line="360" w:lineRule="auto"/>
        <w:ind w:firstLine="360" w:firstLineChars="150"/>
        <w:rPr>
          <w:rFonts w:ascii="宋体" w:hAnsi="宋体" w:cs="宋体"/>
          <w:color w:val="auto"/>
          <w:sz w:val="24"/>
        </w:rPr>
      </w:pPr>
      <w:r>
        <w:rPr>
          <w:rFonts w:hint="eastAsia" w:ascii="宋体" w:hAnsi="宋体" w:cs="宋体"/>
          <w:color w:val="auto"/>
          <w:sz w:val="24"/>
        </w:rPr>
        <w:t>（一）具备《中华人民共和国政府采购法》第二十二条第一款规定的条件：</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1、具有独立承担民事责任的能力；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 xml:space="preserve">2、具有良好的商业信誉和健全的财务会计制度； </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firstLine="480" w:firstLineChars="200"/>
        <w:jc w:val="left"/>
        <w:rPr>
          <w:rFonts w:ascii="宋体" w:hAnsi="宋体" w:cs="宋体"/>
          <w:b/>
          <w:kern w:val="0"/>
          <w:sz w:val="32"/>
          <w:szCs w:val="32"/>
          <w:highlight w:val="none"/>
        </w:rPr>
      </w:pPr>
      <w:r>
        <w:rPr>
          <w:rFonts w:hint="eastAsia" w:cs="仿宋_GB2312" w:asciiTheme="minorEastAsia" w:hAnsiTheme="minorEastAsia" w:eastAsiaTheme="minorEastAsia"/>
          <w:sz w:val="24"/>
          <w:highlight w:val="none"/>
        </w:rPr>
        <w:t>注：根据《</w:t>
      </w:r>
      <w:r>
        <w:rPr>
          <w:rFonts w:cs="仿宋_GB2312" w:asciiTheme="minorEastAsia" w:hAnsiTheme="minorEastAsia" w:eastAsiaTheme="minorEastAsia"/>
          <w:sz w:val="24"/>
          <w:highlight w:val="none"/>
        </w:rPr>
        <w:t>关于规范政府采购供应商资格设定及资格审查的通知</w:t>
      </w:r>
      <w:r>
        <w:rPr>
          <w:rFonts w:hint="eastAsia" w:cs="仿宋_GB2312" w:asciiTheme="minorEastAsia" w:hAnsiTheme="minorEastAsia" w:eastAsiaTheme="minorEastAsia"/>
          <w:sz w:val="24"/>
          <w:highlight w:val="none"/>
        </w:rPr>
        <w:t>》（</w:t>
      </w:r>
      <w:r>
        <w:rPr>
          <w:rFonts w:cs="仿宋_GB2312" w:asciiTheme="minorEastAsia" w:hAnsiTheme="minorEastAsia" w:eastAsiaTheme="minorEastAsia"/>
          <w:sz w:val="24"/>
          <w:highlight w:val="none"/>
        </w:rPr>
        <w:t>浙财采监[2013]24号</w:t>
      </w:r>
      <w:r>
        <w:rPr>
          <w:rFonts w:hint="eastAsia" w:cs="仿宋_GB2312" w:asciiTheme="minorEastAsia" w:hAnsiTheme="minorEastAsia" w:eastAsiaTheme="minorEastAsia"/>
          <w:sz w:val="24"/>
          <w:highlight w:val="none"/>
        </w:rPr>
        <w:t>）的相关规定，金融、保险、通讯等特定行业的全国性企业所设立的区域性分支机构，以及个体工商户、个人独资企业、合伙企业，参与政府采购活动，如果已经依法办理了工商、税务和社保登记手续，</w:t>
      </w:r>
      <w:r>
        <w:rPr>
          <w:rFonts w:hint="eastAsia" w:cs="仿宋_GB2312" w:asciiTheme="minorEastAsia" w:hAnsiTheme="minorEastAsia" w:eastAsiaTheme="minorEastAsia"/>
          <w:b/>
          <w:sz w:val="24"/>
          <w:highlight w:val="none"/>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widowControl/>
        <w:adjustRightInd/>
        <w:jc w:val="left"/>
        <w:rPr>
          <w:rFonts w:ascii="宋体" w:hAnsi="宋体" w:cs="宋体"/>
          <w:b/>
          <w:kern w:val="0"/>
          <w:sz w:val="32"/>
          <w:szCs w:val="32"/>
          <w:highlight w:val="none"/>
        </w:rPr>
      </w:pPr>
      <w:r>
        <w:rPr>
          <w:rFonts w:ascii="宋体" w:hAnsi="宋体" w:cs="宋体"/>
          <w:b/>
          <w:kern w:val="0"/>
          <w:sz w:val="32"/>
          <w:szCs w:val="32"/>
          <w:highlight w:val="none"/>
        </w:rPr>
        <w:br w:type="page"/>
      </w:r>
    </w:p>
    <w:p>
      <w:pPr>
        <w:widowControl/>
        <w:spacing w:line="360" w:lineRule="auto"/>
        <w:ind w:firstLine="643" w:firstLineChars="200"/>
        <w:jc w:val="center"/>
        <w:outlineLvl w:val="2"/>
        <w:rPr>
          <w:rFonts w:ascii="宋体" w:hAnsi="宋体" w:cs="宋体"/>
          <w:b/>
          <w:color w:val="auto"/>
          <w:kern w:val="0"/>
          <w:sz w:val="32"/>
          <w:szCs w:val="32"/>
        </w:rPr>
      </w:pPr>
      <w:r>
        <w:rPr>
          <w:rFonts w:hint="eastAsia" w:ascii="宋体" w:hAnsi="宋体" w:cs="宋体"/>
          <w:b/>
          <w:color w:val="auto"/>
          <w:kern w:val="0"/>
          <w:sz w:val="32"/>
          <w:szCs w:val="32"/>
        </w:rPr>
        <w:t>二、联合协议（如果有）</w:t>
      </w:r>
    </w:p>
    <w:p>
      <w:pPr>
        <w:widowControl/>
        <w:spacing w:line="360" w:lineRule="auto"/>
        <w:ind w:firstLine="482" w:firstLineChars="200"/>
        <w:jc w:val="left"/>
        <w:rPr>
          <w:rFonts w:ascii="宋体" w:hAnsi="宋体" w:cs="宋体"/>
          <w:b/>
          <w:color w:val="auto"/>
          <w:sz w:val="24"/>
        </w:rPr>
      </w:pPr>
      <w:r>
        <w:rPr>
          <w:rFonts w:hint="eastAsia" w:ascii="宋体" w:hAnsi="宋体" w:cs="宋体"/>
          <w:b/>
          <w:color w:val="auto"/>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outlineLvl w:val="2"/>
        <w:rPr>
          <w:rFonts w:ascii="宋体" w:hAnsi="宋体" w:cs="宋体"/>
          <w:b/>
          <w:color w:val="auto"/>
          <w:kern w:val="0"/>
          <w:sz w:val="32"/>
          <w:szCs w:val="32"/>
        </w:rPr>
      </w:pPr>
      <w:r>
        <w:rPr>
          <w:rFonts w:hint="eastAsia" w:ascii="宋体" w:hAnsi="宋体" w:cs="宋体"/>
          <w:b/>
          <w:color w:val="auto"/>
          <w:kern w:val="0"/>
          <w:sz w:val="32"/>
          <w:szCs w:val="32"/>
        </w:rPr>
        <w:t>三、落实政府采购政策需满足的资格要求（如果有）</w:t>
      </w:r>
    </w:p>
    <w:p>
      <w:pPr>
        <w:spacing w:line="360" w:lineRule="auto"/>
        <w:rPr>
          <w:rFonts w:ascii="宋体" w:hAnsi="宋体" w:cs="宋体"/>
          <w:color w:val="auto"/>
          <w:sz w:val="24"/>
        </w:rPr>
      </w:pPr>
      <w:r>
        <w:rPr>
          <w:rFonts w:hint="eastAsia" w:ascii="宋体" w:hAnsi="宋体" w:cs="宋体"/>
          <w:color w:val="auto"/>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auto"/>
          <w:sz w:val="24"/>
        </w:rPr>
      </w:pPr>
      <w:r>
        <w:rPr>
          <w:rFonts w:hint="eastAsia" w:ascii="宋体" w:hAnsi="宋体" w:cs="宋体"/>
          <w:b/>
          <w:color w:val="auto"/>
          <w:sz w:val="24"/>
        </w:rPr>
        <w:t>A</w:t>
      </w:r>
      <w:r>
        <w:rPr>
          <w:rFonts w:hint="eastAsia" w:ascii="宋体" w:hAnsi="宋体" w:cs="宋体"/>
          <w:color w:val="auto"/>
          <w:sz w:val="24"/>
        </w:rPr>
        <w:t>.专门面向中小企业，服务全部由符合政策要求的中小企业（或小微企业）承接的，提供相应的中小企业声明函（附件</w:t>
      </w:r>
      <w:r>
        <w:rPr>
          <w:rFonts w:ascii="宋体" w:hAnsi="宋体" w:cs="宋体"/>
          <w:color w:val="auto"/>
          <w:sz w:val="24"/>
        </w:rPr>
        <w:t>7</w:t>
      </w:r>
      <w:r>
        <w:rPr>
          <w:rFonts w:hint="eastAsia" w:ascii="宋体" w:hAnsi="宋体" w:cs="宋体"/>
          <w:color w:val="auto"/>
          <w:sz w:val="24"/>
        </w:rPr>
        <w:t xml:space="preserve">）。 </w:t>
      </w:r>
    </w:p>
    <w:p>
      <w:pPr>
        <w:widowControl/>
        <w:spacing w:line="360" w:lineRule="auto"/>
        <w:ind w:firstLine="480"/>
        <w:jc w:val="left"/>
        <w:rPr>
          <w:rFonts w:ascii="宋体" w:hAnsi="宋体" w:cs="宋体"/>
          <w:color w:val="auto"/>
          <w:sz w:val="24"/>
        </w:rPr>
      </w:pPr>
    </w:p>
    <w:p>
      <w:pPr>
        <w:widowControl/>
        <w:spacing w:line="360" w:lineRule="auto"/>
        <w:ind w:firstLine="472" w:firstLineChars="196"/>
        <w:jc w:val="left"/>
        <w:rPr>
          <w:rFonts w:ascii="宋体" w:hAnsi="宋体" w:cs="宋体"/>
          <w:color w:val="auto"/>
          <w:sz w:val="24"/>
        </w:rPr>
      </w:pPr>
      <w:r>
        <w:rPr>
          <w:rFonts w:hint="eastAsia" w:ascii="宋体" w:hAnsi="宋体" w:cs="宋体"/>
          <w:b/>
          <w:color w:val="auto"/>
          <w:sz w:val="24"/>
        </w:rPr>
        <w:t>B.</w:t>
      </w:r>
      <w:r>
        <w:rPr>
          <w:rFonts w:hint="eastAsia" w:ascii="宋体" w:hAnsi="宋体" w:cs="宋体"/>
          <w:color w:val="auto"/>
          <w:sz w:val="24"/>
        </w:rPr>
        <w:t>要求以联合体形式参加的，提供联合协议（附件</w:t>
      </w:r>
      <w:r>
        <w:rPr>
          <w:rFonts w:ascii="宋体" w:hAnsi="宋体" w:cs="宋体"/>
          <w:color w:val="auto"/>
          <w:sz w:val="24"/>
        </w:rPr>
        <w:t>5</w:t>
      </w:r>
      <w:r>
        <w:rPr>
          <w:rFonts w:hint="eastAsia" w:ascii="宋体" w:hAnsi="宋体" w:cs="宋体"/>
          <w:color w:val="auto"/>
          <w:sz w:val="24"/>
        </w:rPr>
        <w:t>）和中小企业声明函（附件</w:t>
      </w:r>
      <w:r>
        <w:rPr>
          <w:rFonts w:ascii="宋体" w:hAnsi="宋体" w:cs="宋体"/>
          <w:color w:val="auto"/>
          <w:sz w:val="24"/>
        </w:rPr>
        <w:t>7</w:t>
      </w:r>
      <w:r>
        <w:rPr>
          <w:rFonts w:hint="eastAsia" w:ascii="宋体" w:hAnsi="宋体" w:cs="宋体"/>
          <w:color w:val="auto"/>
          <w:sz w:val="24"/>
        </w:rPr>
        <w:t>），联合协议中中小企业合同金额应当达到招标公告载明的比例；如果供应商本身提供所有标的均由中小企业承接的，</w:t>
      </w:r>
      <w:r>
        <w:rPr>
          <w:rFonts w:hint="eastAsia" w:ascii="宋体" w:hAnsi="宋体" w:cs="宋体"/>
          <w:color w:val="auto"/>
          <w:spacing w:val="8"/>
          <w:kern w:val="0"/>
          <w:sz w:val="24"/>
        </w:rPr>
        <w:t>并相应达到了前述比例要求，</w:t>
      </w:r>
      <w:r>
        <w:rPr>
          <w:rFonts w:hint="eastAsia" w:ascii="宋体" w:hAnsi="宋体" w:cs="宋体"/>
          <w:color w:val="auto"/>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rPr>
      </w:pPr>
      <w:r>
        <w:rPr>
          <w:rFonts w:hint="eastAsia" w:ascii="宋体" w:hAnsi="宋体" w:cs="宋体"/>
          <w:b/>
          <w:color w:val="auto"/>
          <w:sz w:val="24"/>
        </w:rPr>
        <w:t xml:space="preserve">    </w:t>
      </w:r>
    </w:p>
    <w:p>
      <w:pPr>
        <w:spacing w:line="360" w:lineRule="auto"/>
        <w:ind w:firstLine="482" w:firstLineChars="200"/>
        <w:rPr>
          <w:rFonts w:ascii="宋体" w:hAnsi="宋体" w:cs="宋体"/>
          <w:color w:val="auto"/>
          <w:sz w:val="24"/>
        </w:rPr>
      </w:pPr>
      <w:r>
        <w:rPr>
          <w:rFonts w:hint="eastAsia" w:ascii="宋体" w:hAnsi="宋体" w:cs="宋体"/>
          <w:b/>
          <w:color w:val="auto"/>
          <w:sz w:val="24"/>
        </w:rPr>
        <w:t>C、</w:t>
      </w:r>
      <w:r>
        <w:rPr>
          <w:rFonts w:hint="eastAsia" w:ascii="宋体" w:hAnsi="宋体" w:cs="宋体"/>
          <w:color w:val="auto"/>
          <w:sz w:val="24"/>
        </w:rPr>
        <w:t>要求合同分包的，提供分包意向协议（附件6）和中小企业声明函（附件</w:t>
      </w:r>
      <w:r>
        <w:rPr>
          <w:rFonts w:ascii="宋体" w:hAnsi="宋体" w:cs="宋体"/>
          <w:color w:val="auto"/>
          <w:sz w:val="24"/>
        </w:rPr>
        <w:t>7</w:t>
      </w:r>
      <w:r>
        <w:rPr>
          <w:rFonts w:hint="eastAsia" w:ascii="宋体" w:hAnsi="宋体" w:cs="宋体"/>
          <w:color w:val="auto"/>
          <w:sz w:val="24"/>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rPr>
        <w:t>并相应达到了前述比例要求，</w:t>
      </w:r>
      <w:r>
        <w:rPr>
          <w:rFonts w:hint="eastAsia" w:ascii="宋体" w:hAnsi="宋体" w:cs="宋体"/>
          <w:color w:val="auto"/>
          <w:sz w:val="24"/>
        </w:rPr>
        <w:t>视同符合了资格条件，无需再向中小企业分包，无需提供分包意向协议。</w:t>
      </w:r>
    </w:p>
    <w:p>
      <w:pPr>
        <w:widowControl/>
        <w:spacing w:line="360" w:lineRule="auto"/>
        <w:ind w:left="150"/>
        <w:jc w:val="center"/>
        <w:rPr>
          <w:rFonts w:ascii="宋体" w:hAnsi="宋体" w:cs="宋体"/>
          <w:b/>
          <w:color w:val="auto"/>
          <w:kern w:val="0"/>
          <w:sz w:val="32"/>
          <w:szCs w:val="32"/>
        </w:rPr>
      </w:pPr>
    </w:p>
    <w:p>
      <w:pPr>
        <w:widowControl/>
        <w:spacing w:line="360" w:lineRule="auto"/>
        <w:ind w:left="150"/>
        <w:jc w:val="center"/>
        <w:outlineLvl w:val="2"/>
        <w:rPr>
          <w:rFonts w:ascii="宋体" w:hAnsi="宋体" w:cs="宋体"/>
          <w:b/>
          <w:color w:val="auto"/>
          <w:kern w:val="0"/>
          <w:sz w:val="32"/>
          <w:szCs w:val="32"/>
        </w:rPr>
      </w:pPr>
      <w:r>
        <w:rPr>
          <w:rFonts w:hint="eastAsia" w:ascii="宋体" w:hAnsi="宋体" w:cs="宋体"/>
          <w:b/>
          <w:color w:val="auto"/>
          <w:kern w:val="0"/>
          <w:sz w:val="32"/>
          <w:szCs w:val="32"/>
        </w:rPr>
        <w:t>四、本项目的特定资格要求（如果有）</w:t>
      </w:r>
    </w:p>
    <w:p>
      <w:pPr>
        <w:spacing w:line="360" w:lineRule="auto"/>
        <w:jc w:val="center"/>
        <w:rPr>
          <w:rFonts w:ascii="宋体" w:hAnsi="宋体" w:cs="宋体"/>
          <w:color w:val="auto"/>
          <w:sz w:val="24"/>
        </w:rPr>
      </w:pPr>
      <w:r>
        <w:rPr>
          <w:rFonts w:hint="eastAsia" w:ascii="宋体" w:hAnsi="宋体" w:cs="宋体"/>
          <w:color w:val="auto"/>
          <w:sz w:val="24"/>
        </w:rPr>
        <w:t>（根据招标公告本项目的特定资格要求提供相应的材料；未要求的，无需提供）</w:t>
      </w:r>
    </w:p>
    <w:p>
      <w:pPr>
        <w:rPr>
          <w:rFonts w:ascii="宋体" w:hAnsi="宋体" w:cs="宋体"/>
          <w:color w:val="auto"/>
        </w:rPr>
      </w:pPr>
    </w:p>
    <w:p>
      <w:pPr>
        <w:snapToGrid w:val="0"/>
        <w:spacing w:line="360" w:lineRule="auto"/>
        <w:ind w:right="480"/>
        <w:jc w:val="center"/>
        <w:rPr>
          <w:rFonts w:ascii="宋体" w:hAnsi="宋体" w:cs="宋体"/>
          <w:b/>
          <w:color w:val="auto"/>
          <w:kern w:val="0"/>
          <w:sz w:val="32"/>
          <w:szCs w:val="32"/>
        </w:rPr>
      </w:pPr>
    </w:p>
    <w:p>
      <w:pPr>
        <w:widowControl/>
        <w:adjustRightInd/>
        <w:jc w:val="left"/>
        <w:rPr>
          <w:rFonts w:ascii="宋体" w:hAnsi="宋体" w:cs="宋体"/>
          <w:b/>
          <w:color w:val="auto"/>
          <w:kern w:val="0"/>
          <w:sz w:val="36"/>
          <w:szCs w:val="36"/>
        </w:rPr>
      </w:pPr>
      <w:r>
        <w:rPr>
          <w:rFonts w:ascii="宋体" w:hAnsi="宋体" w:cs="宋体"/>
          <w:b/>
          <w:color w:val="auto"/>
          <w:kern w:val="0"/>
          <w:sz w:val="36"/>
          <w:szCs w:val="36"/>
        </w:rPr>
        <w:br w:type="page"/>
      </w:r>
    </w:p>
    <w:p>
      <w:pPr>
        <w:spacing w:line="360" w:lineRule="auto"/>
        <w:jc w:val="center"/>
        <w:outlineLvl w:val="1"/>
        <w:rPr>
          <w:rFonts w:ascii="宋体" w:hAnsi="宋体" w:cs="宋体"/>
          <w:b/>
          <w:color w:val="auto"/>
          <w:kern w:val="0"/>
          <w:sz w:val="36"/>
          <w:szCs w:val="36"/>
        </w:rPr>
      </w:pPr>
      <w:r>
        <w:rPr>
          <w:rFonts w:hint="eastAsia" w:ascii="宋体" w:hAnsi="宋体" w:cs="宋体"/>
          <w:b/>
          <w:color w:val="auto"/>
          <w:kern w:val="0"/>
          <w:sz w:val="36"/>
          <w:szCs w:val="36"/>
        </w:rPr>
        <w:t>商务技术文件部分</w:t>
      </w:r>
    </w:p>
    <w:p>
      <w:pPr>
        <w:spacing w:line="360" w:lineRule="auto"/>
        <w:jc w:val="center"/>
        <w:outlineLvl w:val="9"/>
        <w:rPr>
          <w:rFonts w:ascii="宋体" w:hAnsi="宋体" w:cs="宋体"/>
          <w:b/>
          <w:color w:val="auto"/>
          <w:kern w:val="0"/>
          <w:sz w:val="24"/>
        </w:rPr>
      </w:pPr>
    </w:p>
    <w:p>
      <w:pPr>
        <w:spacing w:line="360" w:lineRule="auto"/>
        <w:jc w:val="center"/>
        <w:outlineLvl w:val="9"/>
        <w:rPr>
          <w:rFonts w:ascii="宋体" w:hAnsi="宋体" w:cs="宋体"/>
          <w:b/>
          <w:color w:val="auto"/>
          <w:kern w:val="0"/>
          <w:sz w:val="28"/>
          <w:szCs w:val="28"/>
        </w:rPr>
      </w:pPr>
      <w:r>
        <w:rPr>
          <w:rFonts w:hint="eastAsia" w:ascii="宋体" w:hAnsi="宋体" w:cs="宋体"/>
          <w:b/>
          <w:color w:val="auto"/>
          <w:kern w:val="0"/>
          <w:sz w:val="28"/>
          <w:szCs w:val="28"/>
        </w:rPr>
        <w:t>目录</w:t>
      </w:r>
    </w:p>
    <w:p>
      <w:pPr>
        <w:snapToGrid w:val="0"/>
        <w:spacing w:line="360" w:lineRule="auto"/>
        <w:ind w:left="479" w:leftChars="228"/>
        <w:rPr>
          <w:rFonts w:ascii="宋体" w:hAnsi="宋体" w:cs="宋体"/>
          <w:color w:val="auto"/>
        </w:rPr>
      </w:pPr>
      <w:r>
        <w:rPr>
          <w:rFonts w:hint="eastAsia" w:ascii="宋体" w:hAnsi="宋体" w:cs="宋体"/>
          <w:color w:val="auto"/>
          <w:sz w:val="24"/>
        </w:rPr>
        <w:t>（1）投标函</w:t>
      </w:r>
      <w:r>
        <w:rPr>
          <w:rFonts w:hint="eastAsia" w:ascii="宋体" w:hAnsi="宋体" w:cs="宋体"/>
          <w:color w:val="auto"/>
        </w:rPr>
        <w:t>…………………………………………………………………………………（页码）</w:t>
      </w:r>
      <w:r>
        <w:rPr>
          <w:rFonts w:hint="eastAsia" w:ascii="宋体" w:hAnsi="宋体" w:cs="宋体"/>
          <w:color w:val="auto"/>
          <w:sz w:val="24"/>
        </w:rPr>
        <w:t>（2）授权委托书或法定代表人（单位负责人、自然人本人）身份证明</w:t>
      </w:r>
      <w:r>
        <w:rPr>
          <w:rFonts w:hint="eastAsia" w:ascii="宋体" w:hAnsi="宋体" w:cs="宋体"/>
          <w:color w:val="auto"/>
        </w:rPr>
        <w:t>………（页码）</w:t>
      </w:r>
    </w:p>
    <w:p>
      <w:pPr>
        <w:snapToGrid w:val="0"/>
        <w:spacing w:line="360" w:lineRule="auto"/>
        <w:ind w:left="479" w:leftChars="228"/>
        <w:rPr>
          <w:rFonts w:ascii="宋体" w:hAnsi="宋体" w:cs="宋体"/>
          <w:color w:val="auto"/>
        </w:rPr>
      </w:pPr>
      <w:r>
        <w:rPr>
          <w:rFonts w:hint="eastAsia" w:ascii="宋体" w:hAnsi="宋体" w:cs="宋体"/>
          <w:color w:val="auto"/>
          <w:sz w:val="24"/>
        </w:rPr>
        <w:t>（</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color w:val="auto"/>
        </w:rPr>
        <w:t>…………………………………………………………………………（页码）</w:t>
      </w:r>
    </w:p>
    <w:p>
      <w:pPr>
        <w:snapToGrid w:val="0"/>
        <w:spacing w:line="360" w:lineRule="auto"/>
        <w:ind w:firstLine="480" w:firstLineChars="200"/>
        <w:rPr>
          <w:rFonts w:ascii="宋体" w:hAnsi="宋体" w:cs="宋体"/>
          <w:color w:val="auto"/>
        </w:rPr>
      </w:pPr>
      <w:r>
        <w:rPr>
          <w:rFonts w:hint="eastAsia" w:ascii="宋体" w:hAnsi="宋体" w:cs="宋体"/>
          <w:color w:val="auto"/>
          <w:sz w:val="24"/>
        </w:rPr>
        <w:t>（</w:t>
      </w:r>
      <w:r>
        <w:rPr>
          <w:rFonts w:ascii="宋体" w:hAnsi="宋体" w:cs="宋体"/>
          <w:color w:val="auto"/>
          <w:sz w:val="24"/>
        </w:rPr>
        <w:t>4</w:t>
      </w:r>
      <w:r>
        <w:rPr>
          <w:rFonts w:hint="eastAsia" w:ascii="宋体" w:hAnsi="宋体" w:cs="宋体"/>
          <w:color w:val="auto"/>
          <w:sz w:val="24"/>
        </w:rPr>
        <w:t>）符合性审查资料</w:t>
      </w:r>
      <w:r>
        <w:rPr>
          <w:rFonts w:hint="eastAsia" w:ascii="宋体" w:hAnsi="宋体" w:cs="宋体"/>
          <w:color w:val="auto"/>
        </w:rPr>
        <w:t>………………………………………………………………………（页码）</w:t>
      </w:r>
    </w:p>
    <w:p>
      <w:pPr>
        <w:snapToGrid w:val="0"/>
        <w:spacing w:line="360" w:lineRule="auto"/>
        <w:ind w:left="479" w:leftChars="228"/>
        <w:rPr>
          <w:rFonts w:ascii="宋体" w:hAnsi="宋体" w:cs="宋体"/>
          <w:color w:val="auto"/>
        </w:rPr>
      </w:pPr>
      <w:r>
        <w:rPr>
          <w:rFonts w:hint="eastAsia" w:ascii="宋体" w:hAnsi="宋体" w:cs="宋体"/>
          <w:color w:val="auto"/>
          <w:sz w:val="24"/>
        </w:rPr>
        <w:t>（</w:t>
      </w:r>
      <w:r>
        <w:rPr>
          <w:rFonts w:ascii="宋体" w:hAnsi="宋体" w:cs="宋体"/>
          <w:color w:val="auto"/>
          <w:sz w:val="24"/>
        </w:rPr>
        <w:t>5</w:t>
      </w:r>
      <w:r>
        <w:rPr>
          <w:rFonts w:hint="eastAsia" w:ascii="宋体" w:hAnsi="宋体" w:cs="宋体"/>
          <w:color w:val="auto"/>
          <w:sz w:val="24"/>
        </w:rPr>
        <w:t>）评标标准相应的商务技术资料</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……………（页码）</w:t>
      </w:r>
      <w:r>
        <w:rPr>
          <w:rFonts w:hint="eastAsia" w:ascii="宋体" w:hAnsi="宋体" w:cs="宋体"/>
          <w:color w:val="auto"/>
          <w:sz w:val="24"/>
        </w:rPr>
        <w:t>（</w:t>
      </w:r>
      <w:r>
        <w:rPr>
          <w:rFonts w:ascii="宋体" w:hAnsi="宋体" w:cs="宋体"/>
          <w:color w:val="auto"/>
          <w:sz w:val="24"/>
        </w:rPr>
        <w:t>6</w:t>
      </w:r>
      <w:r>
        <w:rPr>
          <w:rFonts w:hint="eastAsia" w:ascii="宋体" w:hAnsi="宋体" w:cs="宋体"/>
          <w:color w:val="auto"/>
          <w:sz w:val="24"/>
        </w:rPr>
        <w:t>）投标标的清单</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……………（页码）</w:t>
      </w:r>
      <w:r>
        <w:rPr>
          <w:rFonts w:hint="eastAsia" w:ascii="宋体" w:hAnsi="宋体" w:cs="宋体"/>
          <w:color w:val="auto"/>
          <w:sz w:val="24"/>
        </w:rPr>
        <w:t>（</w:t>
      </w:r>
      <w:r>
        <w:rPr>
          <w:rFonts w:ascii="宋体" w:hAnsi="宋体" w:cs="宋体"/>
          <w:color w:val="auto"/>
          <w:sz w:val="24"/>
        </w:rPr>
        <w:t>7</w:t>
      </w:r>
      <w:r>
        <w:rPr>
          <w:rFonts w:hint="eastAsia" w:ascii="宋体" w:hAnsi="宋体" w:cs="宋体"/>
          <w:color w:val="auto"/>
          <w:sz w:val="24"/>
        </w:rPr>
        <w:t>）商务技术偏离表</w:t>
      </w:r>
      <w:r>
        <w:rPr>
          <w:rFonts w:hint="eastAsia" w:ascii="宋体" w:hAnsi="宋体" w:cs="宋体"/>
          <w:color w:val="auto"/>
        </w:rPr>
        <w:t>………………………………………………………………………（页码）</w:t>
      </w:r>
    </w:p>
    <w:p>
      <w:pPr>
        <w:snapToGrid w:val="0"/>
        <w:spacing w:line="360" w:lineRule="auto"/>
        <w:ind w:left="479" w:leftChars="228"/>
        <w:rPr>
          <w:rFonts w:ascii="宋体" w:hAnsi="宋体" w:cs="宋体"/>
          <w:color w:val="auto"/>
        </w:rPr>
      </w:pP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r>
        <w:rPr>
          <w:rFonts w:hint="eastAsia" w:ascii="宋体" w:hAnsi="宋体" w:cs="宋体"/>
          <w:color w:val="auto"/>
        </w:rPr>
        <w:t>…………………………………………………（页码）</w:t>
      </w: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rPr>
          <w:rFonts w:ascii="宋体" w:hAnsi="宋体" w:cs="宋体"/>
          <w:b/>
          <w:kern w:val="0"/>
          <w:sz w:val="32"/>
          <w:szCs w:val="32"/>
          <w:lang w:val="zh-CN"/>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jc w:val="center"/>
        <w:outlineLvl w:val="2"/>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color w:val="auto"/>
          <w:sz w:val="24"/>
        </w:rPr>
      </w:pPr>
      <w:r>
        <w:rPr>
          <w:rFonts w:hint="eastAsia" w:ascii="宋体" w:hAnsi="宋体" w:cs="宋体"/>
          <w:color w:val="auto"/>
          <w:sz w:val="24"/>
        </w:rPr>
        <w:t>（采购人）、（采购代理机构）：</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我方参加你方组织的（项目名称）【招标编号：（采购编号）】招标的有关活动，并对此项目进行投标。为此：</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1、我方承诺投标有效期从提交投标文件的截止之日起</w:t>
      </w:r>
      <w:r>
        <w:rPr>
          <w:rFonts w:hint="eastAsia" w:ascii="宋体" w:hAnsi="宋体" w:cs="宋体"/>
          <w:color w:val="auto"/>
          <w:sz w:val="24"/>
          <w:u w:val="single"/>
        </w:rPr>
        <w:t xml:space="preserve">     </w:t>
      </w:r>
      <w:r>
        <w:rPr>
          <w:rFonts w:hint="eastAsia" w:ascii="宋体" w:hAnsi="宋体" w:cs="宋体"/>
          <w:color w:val="auto"/>
          <w:sz w:val="24"/>
        </w:rPr>
        <w:t>天（不少于90天）</w:t>
      </w:r>
      <w:r>
        <w:rPr>
          <w:rFonts w:hint="eastAsia" w:ascii="宋体" w:hAnsi="宋体" w:cs="宋体"/>
          <w:color w:val="auto"/>
        </w:rPr>
        <w:t>，</w:t>
      </w:r>
      <w:r>
        <w:rPr>
          <w:rFonts w:hint="eastAsia" w:ascii="宋体" w:hAnsi="宋体" w:cs="宋体"/>
          <w:color w:val="auto"/>
          <w:sz w:val="24"/>
        </w:rPr>
        <w:t>本投标文件在投标有效期满之前均具有约束力。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2、我方的投标文件包括以下内容：</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2.1资格文件：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2.1.1承诺函；</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2.1.2</w:t>
      </w:r>
      <w:r>
        <w:rPr>
          <w:rFonts w:hint="eastAsia" w:ascii="宋体" w:hAnsi="宋体" w:cs="宋体"/>
          <w:snapToGrid w:val="0"/>
          <w:color w:val="auto"/>
          <w:kern w:val="28"/>
          <w:sz w:val="24"/>
          <w:szCs w:val="20"/>
        </w:rPr>
        <w:t>联合协议</w:t>
      </w:r>
      <w:bookmarkStart w:id="506" w:name="_Hlk101257010"/>
      <w:r>
        <w:rPr>
          <w:rFonts w:hint="eastAsia" w:ascii="宋体" w:hAnsi="宋体" w:cs="宋体"/>
          <w:color w:val="auto"/>
          <w:sz w:val="24"/>
        </w:rPr>
        <w:t>（如果有)</w:t>
      </w:r>
      <w:bookmarkEnd w:id="506"/>
      <w:r>
        <w:rPr>
          <w:rFonts w:hint="eastAsia" w:ascii="宋体" w:hAnsi="宋体" w:cs="宋体"/>
          <w:snapToGrid w:val="0"/>
          <w:color w:val="auto"/>
          <w:kern w:val="28"/>
          <w:sz w:val="24"/>
          <w:szCs w:val="20"/>
        </w:rPr>
        <w:t>；</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.1.3</w:t>
      </w:r>
      <w:r>
        <w:rPr>
          <w:rFonts w:hint="eastAsia" w:ascii="宋体" w:hAnsi="宋体" w:cs="宋体"/>
          <w:color w:val="auto"/>
          <w:sz w:val="24"/>
        </w:rPr>
        <w:t>落实政府采购政策需满足的资格要求（如果有）；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w:t>
      </w:r>
      <w:r>
        <w:rPr>
          <w:rFonts w:ascii="宋体" w:hAnsi="宋体" w:cs="宋体"/>
          <w:color w:val="auto"/>
          <w:sz w:val="24"/>
        </w:rPr>
        <w:t>4</w:t>
      </w:r>
      <w:r>
        <w:rPr>
          <w:rFonts w:hint="eastAsia" w:ascii="宋体" w:hAnsi="宋体" w:cs="宋体"/>
          <w:color w:val="auto"/>
          <w:sz w:val="24"/>
        </w:rPr>
        <w:t>本项目的特定资格要求（如果有)。</w:t>
      </w:r>
    </w:p>
    <w:p>
      <w:pPr>
        <w:snapToGrid w:val="0"/>
        <w:spacing w:line="360" w:lineRule="auto"/>
        <w:ind w:left="210" w:leftChars="1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2.2.1投标函；</w:t>
      </w:r>
      <w:r>
        <w:rPr>
          <w:rFonts w:hint="eastAsia" w:ascii="宋体" w:hAnsi="宋体" w:cs="宋体"/>
          <w:color w:val="auto"/>
          <w:sz w:val="24"/>
          <w:lang w:val="zh-CN"/>
        </w:rPr>
        <w:t xml:space="preserve"> </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2.2.2授权委托书或法定代表人（单位负责人）身份证明；</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3</w:t>
      </w:r>
      <w:r>
        <w:rPr>
          <w:rFonts w:hint="eastAsia" w:ascii="宋体" w:hAnsi="宋体" w:cs="宋体"/>
          <w:color w:val="auto"/>
          <w:sz w:val="24"/>
        </w:rPr>
        <w:t>分包意向协议（如果有)；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7</w:t>
      </w:r>
      <w:r>
        <w:rPr>
          <w:rFonts w:hint="eastAsia" w:ascii="宋体" w:hAnsi="宋体" w:cs="宋体"/>
          <w:color w:val="auto"/>
          <w:sz w:val="24"/>
        </w:rPr>
        <w:t>商务技术偏离表；</w:t>
      </w:r>
    </w:p>
    <w:p>
      <w:pPr>
        <w:snapToGrid w:val="0"/>
        <w:spacing w:line="360" w:lineRule="auto"/>
        <w:ind w:left="420" w:leftChars="2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3报价文件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2.3.1开标一览表（报价表）；</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2.3.2中小企业声明函（如果有）。</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3、我方承诺除商务技术偏离表列出的偏离外，我方响应招标文件的全部要求。</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4、如我方中标，我方承诺：</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4.3按照招标文件要求提交履约保证金；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5、其他补充说明:</w:t>
      </w:r>
      <w:r>
        <w:rPr>
          <w:rFonts w:hint="eastAsia" w:ascii="宋体" w:hAnsi="宋体" w:cs="宋体"/>
          <w:color w:val="auto"/>
          <w:sz w:val="24"/>
          <w:u w:val="single"/>
        </w:rPr>
        <w:t xml:space="preserve">                                        </w:t>
      </w:r>
      <w:r>
        <w:rPr>
          <w:rFonts w:hint="eastAsia" w:ascii="宋体" w:hAnsi="宋体" w:cs="宋体"/>
          <w:color w:val="auto"/>
          <w:sz w:val="24"/>
        </w:rPr>
        <w:t>。</w:t>
      </w:r>
    </w:p>
    <w:p>
      <w:pPr>
        <w:spacing w:line="360" w:lineRule="auto"/>
        <w:ind w:firstLine="3600" w:firstLineChars="1500"/>
        <w:rPr>
          <w:rFonts w:ascii="宋体" w:hAnsi="宋体" w:cs="宋体"/>
          <w:color w:val="auto"/>
          <w:sz w:val="24"/>
        </w:rPr>
      </w:pPr>
      <w:r>
        <w:rPr>
          <w:rFonts w:hint="eastAsia" w:ascii="宋体" w:hAnsi="宋体" w:cs="宋体"/>
          <w:color w:val="auto"/>
          <w:sz w:val="24"/>
        </w:rPr>
        <w:t xml:space="preserve">投标人名称（电子签名）：                          </w:t>
      </w:r>
    </w:p>
    <w:p>
      <w:pPr>
        <w:spacing w:line="360" w:lineRule="auto"/>
        <w:jc w:val="center"/>
        <w:rPr>
          <w:rFonts w:ascii="宋体" w:hAnsi="宋体" w:cs="宋体"/>
          <w:color w:val="auto"/>
          <w:sz w:val="24"/>
        </w:rPr>
      </w:pPr>
      <w:r>
        <w:rPr>
          <w:rFonts w:hint="eastAsia" w:ascii="宋体" w:hAnsi="宋体" w:cs="宋体"/>
          <w:color w:val="auto"/>
          <w:sz w:val="24"/>
        </w:rPr>
        <w:t xml:space="preserve">     日期：  年   月   日</w:t>
      </w:r>
    </w:p>
    <w:p>
      <w:pPr>
        <w:snapToGrid w:val="0"/>
        <w:spacing w:line="360" w:lineRule="auto"/>
        <w:ind w:left="420" w:leftChars="200" w:firstLine="4200" w:firstLineChars="1750"/>
        <w:rPr>
          <w:rFonts w:ascii="宋体" w:hAnsi="宋体" w:cs="宋体"/>
          <w:color w:val="auto"/>
          <w:kern w:val="0"/>
          <w:sz w:val="24"/>
          <w:u w:val="single"/>
        </w:rPr>
      </w:pP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snapToGrid w:val="0"/>
        <w:spacing w:line="360" w:lineRule="auto"/>
        <w:jc w:val="center"/>
        <w:rPr>
          <w:rFonts w:ascii="宋体" w:hAnsi="宋体" w:cs="宋体"/>
          <w:b/>
          <w:color w:val="auto"/>
          <w:kern w:val="0"/>
          <w:sz w:val="32"/>
          <w:szCs w:val="32"/>
        </w:rPr>
      </w:pPr>
    </w:p>
    <w:p>
      <w:pPr>
        <w:snapToGrid w:val="0"/>
        <w:spacing w:line="360" w:lineRule="auto"/>
        <w:rPr>
          <w:rFonts w:ascii="宋体" w:hAnsi="宋体" w:cs="宋体"/>
          <w:color w:val="auto"/>
          <w:sz w:val="24"/>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tabs>
          <w:tab w:val="left" w:pos="432"/>
        </w:tabs>
        <w:outlineLvl w:val="9"/>
        <w:rPr>
          <w:lang w:val="en-US"/>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jc w:val="center"/>
        <w:outlineLvl w:val="2"/>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rPr>
        <w:t>（项目名称）【招标编号：（采购编号）】</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snapToGrid w:val="0"/>
        <w:spacing w:line="360" w:lineRule="auto"/>
        <w:rPr>
          <w:rFonts w:ascii="宋体" w:hAnsi="宋体" w:cs="宋体"/>
          <w:color w:val="auto"/>
          <w:kern w:val="0"/>
          <w:sz w:val="24"/>
        </w:rPr>
      </w:pPr>
      <w:r>
        <w:rPr>
          <w:rFonts w:hint="eastAsia" w:ascii="宋体" w:hAnsi="宋体" w:cs="宋体"/>
          <w:color w:val="auto"/>
          <w:kern w:val="0"/>
          <w:sz w:val="24"/>
          <w:lang w:val="zh-CN"/>
        </w:rPr>
        <w:t xml:space="preserve">                                                 投标人名称(电子签名)：</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签发日期：  年  月   日</w:t>
      </w:r>
    </w:p>
    <w:p>
      <w:pPr>
        <w:snapToGrid w:val="0"/>
        <w:spacing w:line="360" w:lineRule="auto"/>
        <w:rPr>
          <w:rFonts w:ascii="宋体" w:hAnsi="宋体" w:cs="宋体"/>
          <w:color w:val="auto"/>
          <w:sz w:val="24"/>
        </w:rPr>
      </w:pPr>
    </w:p>
    <w:p>
      <w:pPr>
        <w:jc w:val="center"/>
        <w:rPr>
          <w:rFonts w:ascii="宋体" w:hAnsi="宋体" w:cs="宋体"/>
          <w:b/>
          <w:color w:val="auto"/>
          <w:kern w:val="0"/>
          <w:sz w:val="32"/>
          <w:szCs w:val="32"/>
        </w:rPr>
      </w:pPr>
      <w:r>
        <w:rPr>
          <w:rFonts w:hint="eastAsia" w:ascii="宋体" w:hAnsi="宋体" w:cs="宋体"/>
          <w:b/>
          <w:color w:val="auto"/>
          <w:kern w:val="0"/>
          <w:sz w:val="32"/>
          <w:szCs w:val="32"/>
          <w:lang w:val="zh-CN"/>
        </w:rPr>
        <w:t xml:space="preserve">      </w:t>
      </w:r>
      <w:r>
        <w:rPr>
          <w:rFonts w:hint="eastAsia" w:ascii="宋体" w:hAnsi="宋体" w:cs="宋体"/>
          <w:b/>
          <w:color w:val="auto"/>
          <w:kern w:val="0"/>
          <w:sz w:val="32"/>
          <w:szCs w:val="32"/>
        </w:rPr>
        <w:t xml:space="preserve"> </w:t>
      </w:r>
      <w:r>
        <w:rPr>
          <w:rFonts w:hint="eastAsia" w:ascii="宋体" w:hAnsi="宋体" w:cs="宋体"/>
          <w:b/>
          <w:color w:val="auto"/>
          <w:kern w:val="0"/>
          <w:sz w:val="32"/>
          <w:szCs w:val="32"/>
          <w:lang w:val="zh-CN"/>
        </w:rPr>
        <w:t>授权委托书（适用于联合体投标）</w:t>
      </w: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rPr>
        <w:t>（项目名称）【招标编号：（采购编号）】</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highlight w:val="none"/>
          <w:lang w:val="zh-CN"/>
        </w:rPr>
      </w:pPr>
      <w:r>
        <w:rPr>
          <w:rFonts w:hint="eastAsia" w:ascii="宋体" w:hAnsi="宋体" w:cs="宋体"/>
          <w:kern w:val="0"/>
          <w:sz w:val="24"/>
          <w:highlight w:val="none"/>
          <w:lang w:val="zh-CN"/>
        </w:rPr>
        <w:t xml:space="preserve">                                               日期：  年  月   日</w:t>
      </w:r>
    </w:p>
    <w:p>
      <w:pPr>
        <w:snapToGrid w:val="0"/>
        <w:spacing w:line="360" w:lineRule="auto"/>
        <w:ind w:firstLine="480" w:firstLineChars="200"/>
        <w:rPr>
          <w:rFonts w:ascii="宋体" w:hAnsi="宋体" w:cs="宋体"/>
          <w:kern w:val="0"/>
          <w:sz w:val="24"/>
          <w:highlight w:val="none"/>
          <w:lang w:val="zh-CN"/>
        </w:rPr>
      </w:pPr>
      <w:r>
        <w:rPr>
          <w:rFonts w:hint="eastAsia" w:ascii="宋体" w:hAnsi="宋体" w:cs="宋体"/>
          <w:kern w:val="0"/>
          <w:sz w:val="24"/>
          <w:highlight w:val="none"/>
          <w:lang w:val="zh-CN"/>
        </w:rPr>
        <w:t>注：▲供应商委派不在本单位缴纳社保的人员作为授权代表（代理人）的，应当在投标（响应）文件中，说明具体原因、授权代表缴纳社保的单位，并附列该授权代表缴纳社保清单。</w:t>
      </w: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46"/>
        <w:spacing w:line="360" w:lineRule="auto"/>
        <w:rPr>
          <w:rFonts w:hAnsi="宋体" w:cs="宋体"/>
          <w:bCs/>
          <w:sz w:val="24"/>
        </w:rPr>
      </w:pPr>
      <w:r>
        <w:rPr>
          <w:rFonts w:hint="eastAsia" w:hAnsi="宋体" w:cs="宋体"/>
          <w:bCs/>
          <w:sz w:val="24"/>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Ansi="宋体" w:cs="宋体"/>
                <w:bCs/>
                <w:sz w:val="24"/>
              </w:rPr>
            </w:pPr>
            <w:r>
              <w:rPr>
                <w:rFonts w:hint="eastAsia" w:hAnsi="宋体" w:cs="宋体"/>
                <w:bCs/>
                <w:sz w:val="24"/>
              </w:rPr>
              <w:t>正面：                                 反面：</w:t>
            </w:r>
          </w:p>
          <w:p>
            <w:pPr>
              <w:pStyle w:val="146"/>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jc w:val="center"/>
        <w:outlineLvl w:val="2"/>
        <w:rPr>
          <w:rFonts w:ascii="宋体" w:hAnsi="宋体" w:cs="宋体"/>
          <w:b/>
          <w:kern w:val="0"/>
          <w:sz w:val="32"/>
          <w:szCs w:val="32"/>
        </w:rPr>
      </w:pPr>
      <w:r>
        <w:rPr>
          <w:rFonts w:hint="eastAsia" w:ascii="宋体" w:hAnsi="宋体" w:cs="宋体"/>
          <w:b/>
          <w:kern w:val="0"/>
          <w:sz w:val="32"/>
          <w:szCs w:val="32"/>
        </w:rPr>
        <w:t>三、分包意向协议</w:t>
      </w:r>
      <w:r>
        <w:rPr>
          <w:rFonts w:hint="eastAsia" w:ascii="宋体" w:hAnsi="宋体" w:cs="宋体"/>
          <w:b/>
          <w:color w:val="auto"/>
          <w:kern w:val="0"/>
          <w:sz w:val="32"/>
          <w:szCs w:val="32"/>
        </w:rPr>
        <w:t>（如果有）</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中标后以分包方式履行合同的，提供分包意向协议(附件6</w:t>
      </w:r>
      <w:r>
        <w:rPr>
          <w:rFonts w:ascii="宋体" w:hAnsi="宋体" w:cs="宋体"/>
          <w:b/>
          <w:sz w:val="24"/>
        </w:rPr>
        <w:t>)</w:t>
      </w:r>
      <w:r>
        <w:rPr>
          <w:rFonts w:hint="eastAsia" w:ascii="宋体" w:hAnsi="宋体" w:cs="宋体"/>
          <w:b/>
          <w:sz w:val="24"/>
        </w:rPr>
        <w:t>；采购人不同意分包或者投标人中标后不以分包方式履行合同的，则不需要提供。</w:t>
      </w:r>
      <w:r>
        <w:rPr>
          <w:rFonts w:hint="eastAsia" w:ascii="宋体" w:hAnsi="宋体" w:cs="宋体"/>
          <w:sz w:val="24"/>
        </w:rPr>
        <w:t>]</w:t>
      </w:r>
    </w:p>
    <w:p>
      <w:pPr>
        <w:snapToGrid w:val="0"/>
        <w:spacing w:line="360" w:lineRule="auto"/>
        <w:rPr>
          <w:rFonts w:ascii="宋体" w:hAnsi="宋体" w:cs="宋体"/>
          <w:kern w:val="0"/>
          <w:sz w:val="24"/>
        </w:rPr>
      </w:pPr>
    </w:p>
    <w:p>
      <w:pPr>
        <w:snapToGrid w:val="0"/>
        <w:spacing w:line="360" w:lineRule="auto"/>
        <w:jc w:val="center"/>
        <w:outlineLvl w:val="2"/>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4991" w:type="dxa"/>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2</w:t>
            </w:r>
          </w:p>
        </w:tc>
        <w:tc>
          <w:tcPr>
            <w:tcW w:w="4991" w:type="dxa"/>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4991" w:type="dxa"/>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jc w:val="center"/>
        <w:outlineLvl w:val="2"/>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jc w:val="center"/>
        <w:outlineLvl w:val="2"/>
        <w:rPr>
          <w:rFonts w:ascii="宋体" w:hAnsi="宋体" w:cs="宋体"/>
          <w:b/>
          <w:kern w:val="0"/>
          <w:sz w:val="32"/>
          <w:szCs w:val="32"/>
        </w:rPr>
      </w:pPr>
      <w:r>
        <w:rPr>
          <w:rFonts w:hint="eastAsia" w:ascii="宋体" w:hAnsi="宋体" w:cs="宋体"/>
          <w:b/>
          <w:kern w:val="0"/>
          <w:sz w:val="32"/>
          <w:szCs w:val="32"/>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jc w:val="center"/>
        <w:outlineLvl w:val="2"/>
        <w:rPr>
          <w:rFonts w:ascii="宋体" w:hAnsi="宋体" w:cs="宋体"/>
          <w:b/>
          <w:kern w:val="0"/>
          <w:sz w:val="32"/>
          <w:szCs w:val="32"/>
        </w:rPr>
      </w:pPr>
      <w:r>
        <w:rPr>
          <w:rFonts w:hint="eastAsia" w:ascii="宋体" w:hAnsi="宋体" w:cs="宋体"/>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widowControl/>
        <w:adjustRightInd/>
        <w:jc w:val="left"/>
        <w:rPr>
          <w:rFonts w:ascii="宋体" w:hAnsi="宋体" w:cs="宋体"/>
          <w:b/>
          <w:bCs/>
          <w:sz w:val="32"/>
          <w:szCs w:val="32"/>
        </w:rPr>
      </w:pPr>
      <w:r>
        <w:rPr>
          <w:rFonts w:ascii="宋体" w:hAnsi="宋体" w:cs="宋体"/>
          <w:b/>
          <w:bCs/>
          <w:sz w:val="32"/>
          <w:szCs w:val="32"/>
        </w:rPr>
        <w:br w:type="page"/>
      </w:r>
    </w:p>
    <w:p>
      <w:pPr>
        <w:snapToGrid w:val="0"/>
        <w:spacing w:line="360" w:lineRule="auto"/>
        <w:jc w:val="center"/>
        <w:outlineLvl w:val="2"/>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1"/>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9"/>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9"/>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2"/>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0000FF"/>
          <w:sz w:val="24"/>
        </w:rPr>
        <w:t>（项目名称）</w:t>
      </w:r>
      <w:r>
        <w:rPr>
          <w:rFonts w:hint="eastAsia" w:ascii="宋体" w:hAnsi="宋体" w:cs="宋体"/>
          <w:kern w:val="0"/>
          <w:sz w:val="24"/>
          <w:lang w:val="zh-CN"/>
        </w:rPr>
        <w:t>【招标编号：</w:t>
      </w:r>
      <w:r>
        <w:rPr>
          <w:rFonts w:hint="eastAsia" w:ascii="宋体" w:hAnsi="宋体" w:cs="宋体"/>
          <w:color w:val="FF0000"/>
          <w:sz w:val="24"/>
        </w:rPr>
        <w:t>（采购编号）</w:t>
      </w:r>
      <w:r>
        <w:rPr>
          <w:rFonts w:hint="eastAsia" w:ascii="宋体" w:hAnsi="宋体" w:cs="宋体"/>
          <w:sz w:val="24"/>
        </w:rPr>
        <w:t>】的实施</w:t>
      </w:r>
      <w:r>
        <w:rPr>
          <w:rFonts w:hint="eastAsia" w:ascii="宋体" w:hAnsi="宋体" w:cs="宋体"/>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sz w:val="24"/>
              </w:rPr>
            </w:pPr>
            <w:r>
              <w:rPr>
                <w:rFonts w:hint="eastAsia" w:ascii="宋体" w:hAnsi="宋体" w:cs="宋体"/>
                <w:b/>
                <w:sz w:val="24"/>
              </w:rPr>
              <w:t>序号</w:t>
            </w:r>
          </w:p>
        </w:tc>
        <w:tc>
          <w:tcPr>
            <w:tcW w:w="992" w:type="dxa"/>
            <w:vAlign w:val="center"/>
          </w:tcPr>
          <w:p>
            <w:pPr>
              <w:spacing w:line="360" w:lineRule="auto"/>
              <w:jc w:val="center"/>
              <w:rPr>
                <w:rFonts w:ascii="宋体" w:hAnsi="宋体" w:cs="宋体"/>
                <w:b/>
                <w:sz w:val="24"/>
              </w:rPr>
            </w:pPr>
            <w:r>
              <w:rPr>
                <w:rFonts w:hint="eastAsia" w:ascii="宋体" w:hAnsi="宋体" w:cs="宋体"/>
                <w:b/>
                <w:sz w:val="24"/>
              </w:rPr>
              <w:t>名称</w:t>
            </w:r>
          </w:p>
        </w:tc>
        <w:tc>
          <w:tcPr>
            <w:tcW w:w="2268"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2410" w:type="dxa"/>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268" w:type="dxa"/>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2126" w:type="dxa"/>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2127"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服务人数</w:t>
            </w:r>
          </w:p>
        </w:tc>
        <w:tc>
          <w:tcPr>
            <w:tcW w:w="2126" w:type="dxa"/>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0000FF"/>
                <w:sz w:val="24"/>
              </w:rPr>
            </w:pPr>
            <w:r>
              <w:rPr>
                <w:rFonts w:hint="eastAsia" w:ascii="宋体" w:hAnsi="宋体" w:cs="宋体"/>
                <w:color w:val="0000FF"/>
                <w:sz w:val="24"/>
              </w:rPr>
              <w:t>1</w:t>
            </w:r>
          </w:p>
        </w:tc>
        <w:tc>
          <w:tcPr>
            <w:tcW w:w="992" w:type="dxa"/>
            <w:vAlign w:val="center"/>
          </w:tcPr>
          <w:p>
            <w:pPr>
              <w:snapToGrid w:val="0"/>
              <w:spacing w:line="360" w:lineRule="auto"/>
              <w:jc w:val="center"/>
              <w:rPr>
                <w:rFonts w:ascii="宋体" w:hAnsi="宋体" w:cs="宋体"/>
                <w:color w:val="0000FF"/>
                <w:sz w:val="24"/>
              </w:rPr>
            </w:pPr>
            <w:r>
              <w:rPr>
                <w:rFonts w:hint="eastAsia" w:ascii="宋体" w:hAnsi="宋体" w:cs="宋体"/>
                <w:color w:val="0000FF"/>
                <w:sz w:val="24"/>
              </w:rPr>
              <w:t>X</w:t>
            </w:r>
            <w:r>
              <w:rPr>
                <w:rFonts w:ascii="宋体" w:hAnsi="宋体" w:cs="宋体"/>
                <w:color w:val="0000FF"/>
                <w:sz w:val="24"/>
              </w:rPr>
              <w:t>X</w:t>
            </w: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0000FF"/>
                <w:sz w:val="24"/>
              </w:rPr>
            </w:pPr>
            <w:r>
              <w:rPr>
                <w:rFonts w:hint="eastAsia" w:ascii="宋体" w:hAnsi="宋体" w:cs="宋体"/>
                <w:color w:val="0000FF"/>
                <w:sz w:val="24"/>
              </w:rPr>
              <w:t>2</w:t>
            </w:r>
          </w:p>
        </w:tc>
        <w:tc>
          <w:tcPr>
            <w:tcW w:w="992" w:type="dxa"/>
            <w:vAlign w:val="center"/>
          </w:tcPr>
          <w:p>
            <w:pPr>
              <w:snapToGrid w:val="0"/>
              <w:spacing w:line="360" w:lineRule="auto"/>
              <w:jc w:val="center"/>
              <w:rPr>
                <w:rFonts w:ascii="宋体" w:hAnsi="宋体" w:cs="宋体"/>
                <w:color w:val="0000FF"/>
                <w:sz w:val="24"/>
              </w:rPr>
            </w:pPr>
            <w:r>
              <w:rPr>
                <w:rFonts w:hint="eastAsia" w:ascii="宋体" w:hAnsi="宋体" w:cs="宋体"/>
                <w:color w:val="0000FF"/>
                <w:sz w:val="24"/>
              </w:rPr>
              <w:t>X</w:t>
            </w:r>
            <w:r>
              <w:rPr>
                <w:rFonts w:ascii="宋体" w:hAnsi="宋体" w:cs="宋体"/>
                <w:color w:val="0000FF"/>
                <w:sz w:val="24"/>
              </w:rPr>
              <w:t>X</w:t>
            </w: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0000FF"/>
                <w:sz w:val="24"/>
              </w:rPr>
            </w:pPr>
            <w:r>
              <w:rPr>
                <w:rFonts w:hint="eastAsia" w:ascii="宋体" w:hAnsi="宋体" w:cs="宋体"/>
                <w:color w:val="0000FF"/>
                <w:sz w:val="24"/>
              </w:rPr>
              <w:t>…</w:t>
            </w:r>
          </w:p>
        </w:tc>
        <w:tc>
          <w:tcPr>
            <w:tcW w:w="992" w:type="dxa"/>
            <w:vAlign w:val="center"/>
          </w:tcPr>
          <w:p>
            <w:pPr>
              <w:snapToGrid w:val="0"/>
              <w:spacing w:line="360" w:lineRule="auto"/>
              <w:jc w:val="center"/>
              <w:rPr>
                <w:rFonts w:ascii="宋体" w:hAnsi="宋体" w:cs="宋体"/>
                <w:color w:val="0000FF"/>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p>
        </w:tc>
        <w:tc>
          <w:tcPr>
            <w:tcW w:w="992"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p>
        </w:tc>
        <w:tc>
          <w:tcPr>
            <w:tcW w:w="992"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sz w:val="24"/>
              </w:rPr>
            </w:pPr>
            <w:r>
              <w:rPr>
                <w:rFonts w:hint="eastAsia" w:ascii="宋体" w:hAnsi="宋体" w:cs="宋体"/>
                <w:b/>
                <w:sz w:val="24"/>
              </w:rPr>
              <w:t>投标报价（小写）</w:t>
            </w:r>
          </w:p>
        </w:tc>
        <w:tc>
          <w:tcPr>
            <w:tcW w:w="8647" w:type="dxa"/>
            <w:gridSpan w:val="4"/>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sz w:val="24"/>
              </w:rPr>
            </w:pPr>
            <w:r>
              <w:rPr>
                <w:rFonts w:hint="eastAsia" w:ascii="宋体" w:hAnsi="宋体" w:cs="宋体"/>
                <w:b/>
                <w:sz w:val="24"/>
              </w:rPr>
              <w:t>投标报价（大写）</w:t>
            </w:r>
          </w:p>
        </w:tc>
        <w:tc>
          <w:tcPr>
            <w:tcW w:w="8647" w:type="dxa"/>
            <w:gridSpan w:val="4"/>
          </w:tcPr>
          <w:p>
            <w:pPr>
              <w:spacing w:line="360" w:lineRule="auto"/>
              <w:jc w:val="center"/>
              <w:rPr>
                <w:rFonts w:ascii="宋体" w:hAnsi="宋体" w:cs="宋体"/>
                <w:sz w:val="24"/>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leftChars="-1" w:firstLine="480" w:firstLineChars="200"/>
        <w:rPr>
          <w:rFonts w:ascii="宋体" w:hAnsi="宋体" w:cs="宋体"/>
          <w:kern w:val="0"/>
          <w:sz w:val="24"/>
          <w:highlight w:val="none"/>
          <w:lang w:val="zh-CN"/>
        </w:rPr>
      </w:pPr>
      <w:r>
        <w:rPr>
          <w:rFonts w:hint="eastAsia" w:ascii="宋体" w:hAnsi="宋体" w:cs="宋体"/>
          <w:kern w:val="0"/>
          <w:sz w:val="24"/>
          <w:highlight w:val="none"/>
          <w:lang w:val="zh-CN"/>
        </w:rPr>
        <w:t>1、投标人需按本表格式填写</w:t>
      </w:r>
      <w:r>
        <w:rPr>
          <w:rFonts w:hint="eastAsia" w:ascii="宋体" w:hAnsi="宋体" w:cs="宋体"/>
          <w:b/>
          <w:kern w:val="0"/>
          <w:sz w:val="24"/>
          <w:highlight w:val="none"/>
          <w:lang w:val="zh-CN"/>
        </w:rPr>
        <w:t>，</w:t>
      </w:r>
      <w:r>
        <w:rPr>
          <w:rFonts w:hint="eastAsia" w:ascii="宋体" w:hAnsi="宋体" w:cs="宋体"/>
          <w:b/>
          <w:kern w:val="0"/>
          <w:sz w:val="24"/>
          <w:highlight w:val="none"/>
        </w:rPr>
        <w:t>否则视为</w:t>
      </w:r>
      <w:r>
        <w:rPr>
          <w:rFonts w:hint="eastAsia" w:ascii="宋体" w:hAnsi="宋体" w:cs="宋体"/>
          <w:b/>
          <w:sz w:val="24"/>
          <w:highlight w:val="none"/>
        </w:rPr>
        <w:t>投标文件含有采购人不能接受的附加条件，投标无效</w:t>
      </w:r>
      <w:r>
        <w:rPr>
          <w:rFonts w:hint="eastAsia" w:ascii="宋体" w:hAnsi="宋体" w:cs="宋体"/>
          <w:b/>
          <w:kern w:val="0"/>
          <w:sz w:val="24"/>
          <w:highlight w:val="none"/>
          <w:lang w:val="zh-CN"/>
        </w:rPr>
        <w:t>；</w:t>
      </w:r>
      <w:r>
        <w:rPr>
          <w:rFonts w:hint="eastAsia" w:ascii="宋体" w:hAnsi="宋体" w:cs="宋体"/>
          <w:kern w:val="0"/>
          <w:sz w:val="24"/>
          <w:highlight w:val="none"/>
          <w:lang w:val="zh-CN"/>
        </w:rPr>
        <w:t>。</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lang w:val="zh-CN"/>
        </w:rPr>
        <w:t>2、有关本项目实施所涉及的一切费用均计入报价。合同总价不为零，报价明细表中部分产品、服务单价为零的，视作已包含在总价中。</w:t>
      </w:r>
      <w:r>
        <w:rPr>
          <w:rFonts w:hint="eastAsia" w:ascii="宋体" w:hAnsi="宋体" w:cs="宋体"/>
          <w:b/>
          <w:kern w:val="0"/>
          <w:sz w:val="24"/>
          <w:highlight w:val="none"/>
          <w:lang w:val="zh-CN"/>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宋体" w:hAnsi="宋体" w:cs="宋体"/>
          <w:b/>
          <w:kern w:val="0"/>
          <w:sz w:val="24"/>
          <w:highlight w:val="none"/>
        </w:rPr>
        <w:t>视为</w:t>
      </w:r>
      <w:r>
        <w:rPr>
          <w:rFonts w:hint="eastAsia" w:ascii="宋体" w:hAnsi="宋体" w:cs="宋体"/>
          <w:b/>
          <w:sz w:val="24"/>
          <w:highlight w:val="none"/>
        </w:rPr>
        <w:t>投标文件含有采购人不能接受的附加条件的，投标无效。</w:t>
      </w:r>
    </w:p>
    <w:p>
      <w:pPr>
        <w:snapToGrid w:val="0"/>
        <w:spacing w:line="360" w:lineRule="auto"/>
        <w:ind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3、特别提示：采购机构将对项目名称和项目编号，中标供应商名称、地址和中标金额，主要中标标的名称、服务范围、服务要求、服务时间、服务标准等予以公示。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FF0000"/>
          <w:kern w:val="0"/>
          <w:sz w:val="24"/>
          <w:highlight w:val="none"/>
          <w:lang w:val="zh-CN"/>
        </w:rPr>
      </w:pPr>
      <w:r>
        <w:rPr>
          <w:rFonts w:ascii="宋体" w:hAnsi="宋体" w:cs="宋体"/>
          <w:color w:val="FF0000"/>
          <w:kern w:val="0"/>
          <w:sz w:val="24"/>
          <w:szCs w:val="22"/>
          <w:highlight w:val="none"/>
          <w:lang w:val="zh-CN"/>
        </w:rPr>
        <w:t>4</w:t>
      </w:r>
      <w:r>
        <w:rPr>
          <w:rFonts w:hint="eastAsia" w:ascii="宋体" w:hAnsi="宋体" w:cs="宋体"/>
          <w:color w:val="FF0000"/>
          <w:kern w:val="0"/>
          <w:sz w:val="24"/>
          <w:szCs w:val="22"/>
          <w:highlight w:val="none"/>
          <w:lang w:val="zh-CN"/>
        </w:rPr>
        <w:t>、</w:t>
      </w:r>
      <w:r>
        <w:rPr>
          <w:rFonts w:hint="eastAsia" w:ascii="宋体" w:hAnsi="宋体" w:cs="宋体"/>
          <w:color w:val="FF0000"/>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sz w:val="24"/>
          <w:highlight w:val="none"/>
        </w:rPr>
      </w:pPr>
      <w:r>
        <w:rPr>
          <w:rFonts w:hint="eastAsia" w:ascii="宋体" w:hAnsi="宋体" w:cs="宋体"/>
          <w:b/>
          <w:sz w:val="24"/>
          <w:highlight w:val="none"/>
        </w:rPr>
        <w:t>5、特别说明：▲供应商报价低于项目预算50%的，应当在报价文件中详细阐述不影响产品质量或者诚信履约的具体原因。</w:t>
      </w:r>
    </w:p>
    <w:p>
      <w:pPr>
        <w:spacing w:line="360" w:lineRule="auto"/>
        <w:ind w:firstLine="482" w:firstLineChars="200"/>
        <w:rPr>
          <w:rFonts w:ascii="宋体" w:hAnsi="宋体" w:cs="宋体"/>
          <w:b/>
          <w:kern w:val="0"/>
          <w:sz w:val="24"/>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2"/>
        <w:rPr>
          <w:rFonts w:ascii="宋体" w:hAnsi="宋体" w:eastAsia="宋体" w:cs="宋体"/>
          <w:color w:val="FF0000"/>
          <w:sz w:val="32"/>
          <w:szCs w:val="32"/>
        </w:rPr>
      </w:pPr>
      <w:r>
        <w:rPr>
          <w:rFonts w:hint="eastAsia" w:ascii="宋体" w:hAnsi="宋体" w:eastAsia="宋体" w:cs="宋体"/>
          <w:color w:val="FF0000"/>
          <w:kern w:val="2"/>
          <w:sz w:val="32"/>
          <w:szCs w:val="32"/>
        </w:rPr>
        <w:t>二、</w:t>
      </w:r>
      <w:r>
        <w:rPr>
          <w:rFonts w:hint="eastAsia" w:ascii="宋体" w:hAnsi="宋体" w:eastAsia="宋体" w:cs="宋体"/>
          <w:color w:val="FF0000"/>
          <w:sz w:val="32"/>
          <w:szCs w:val="32"/>
        </w:rPr>
        <w:t>中小企业声明函（如果有）</w:t>
      </w:r>
    </w:p>
    <w:p>
      <w:pPr>
        <w:widowControl/>
        <w:spacing w:line="360" w:lineRule="auto"/>
        <w:ind w:firstLine="120" w:firstLineChars="50"/>
        <w:jc w:val="left"/>
        <w:rPr>
          <w:rFonts w:ascii="宋体" w:hAnsi="宋体" w:cs="宋体"/>
          <w:b/>
          <w:color w:val="FF0000"/>
          <w:sz w:val="24"/>
        </w:rPr>
      </w:pPr>
      <w:r>
        <w:rPr>
          <w:rFonts w:hint="eastAsia" w:ascii="宋体" w:hAnsi="宋体" w:cs="宋体"/>
          <w:b/>
          <w:color w:val="FF0000"/>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FF0000"/>
          <w:sz w:val="24"/>
        </w:rPr>
        <w:t>7</w:t>
      </w:r>
      <w:r>
        <w:rPr>
          <w:rFonts w:hint="eastAsia" w:ascii="宋体" w:hAnsi="宋体" w:cs="宋体"/>
          <w:b/>
          <w:color w:val="FF0000"/>
          <w:sz w:val="24"/>
        </w:rPr>
        <w:t>）。]</w:t>
      </w:r>
    </w:p>
    <w:p>
      <w:pPr>
        <w:pStyle w:val="690"/>
        <w:keepNext w:val="0"/>
        <w:pageBreakBefore w:val="0"/>
        <w:tabs>
          <w:tab w:val="clear" w:pos="720"/>
        </w:tabs>
        <w:snapToGrid w:val="0"/>
        <w:spacing w:before="120" w:after="120"/>
        <w:ind w:firstLine="643"/>
        <w:outlineLvl w:val="9"/>
        <w:rPr>
          <w:rFonts w:ascii="宋体" w:hAnsi="宋体" w:eastAsia="宋体" w:cs="宋体"/>
          <w:b w:val="0"/>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4"/>
        <w:keepNext w:val="0"/>
        <w:keepLines w:val="0"/>
        <w:pageBreakBefore/>
        <w:widowControl/>
        <w:spacing w:before="100" w:beforeAutospacing="1" w:after="100" w:afterAutospacing="1" w:line="360" w:lineRule="auto"/>
        <w:ind w:left="1290" w:firstLine="3092" w:firstLineChars="700"/>
        <w:rPr>
          <w:rFonts w:ascii="宋体" w:hAnsi="宋体" w:cs="宋体"/>
        </w:rPr>
      </w:pPr>
      <w:r>
        <w:rPr>
          <w:rFonts w:hint="eastAsia" w:ascii="宋体" w:hAnsi="宋体" w:cs="宋体"/>
        </w:rPr>
        <w:t>附件</w:t>
      </w:r>
    </w:p>
    <w:p>
      <w:pPr>
        <w:spacing w:line="360" w:lineRule="auto"/>
        <w:outlineLvl w:val="1"/>
        <w:rPr>
          <w:rFonts w:ascii="宋体" w:hAnsi="宋体" w:cs="宋体"/>
          <w:b/>
          <w:spacing w:val="6"/>
          <w:sz w:val="32"/>
          <w:szCs w:val="32"/>
        </w:rPr>
      </w:pPr>
      <w:r>
        <w:rPr>
          <w:rFonts w:hint="eastAsia" w:ascii="宋体" w:hAnsi="宋体" w:cs="宋体"/>
          <w:b/>
          <w:spacing w:val="6"/>
          <w:sz w:val="32"/>
          <w:szCs w:val="32"/>
        </w:rPr>
        <w:t>附件1：残疾人福利性单位声明函</w:t>
      </w:r>
    </w:p>
    <w:p>
      <w:pPr>
        <w:spacing w:line="360" w:lineRule="auto"/>
        <w:jc w:val="center"/>
        <w:rPr>
          <w:rFonts w:ascii="宋体" w:hAnsi="宋体" w:cs="宋体"/>
          <w:b/>
          <w:spacing w:val="6"/>
          <w:sz w:val="32"/>
          <w:szCs w:val="32"/>
        </w:rPr>
      </w:pPr>
      <w:bookmarkStart w:id="507" w:name="OLE_LINK13"/>
      <w:bookmarkStart w:id="508" w:name="OLE_LINK14"/>
      <w:r>
        <w:rPr>
          <w:rFonts w:hint="eastAsia" w:ascii="宋体" w:hAnsi="宋体" w:cs="宋体"/>
          <w:b/>
          <w:spacing w:val="6"/>
          <w:sz w:val="32"/>
          <w:szCs w:val="32"/>
        </w:rPr>
        <w:t>残疾人福利性单位声明函</w:t>
      </w:r>
    </w:p>
    <w:bookmarkEnd w:id="507"/>
    <w:bookmarkEnd w:id="508"/>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color w:val="0000FF"/>
          <w:sz w:val="24"/>
          <w:u w:val="single"/>
        </w:rPr>
        <w:t>（采购人）</w:t>
      </w:r>
      <w:r>
        <w:rPr>
          <w:rFonts w:hint="eastAsia" w:ascii="宋体" w:hAnsi="宋体" w:cs="宋体"/>
          <w:sz w:val="24"/>
        </w:rPr>
        <w:t>单位的</w:t>
      </w:r>
      <w:r>
        <w:rPr>
          <w:rFonts w:hint="eastAsia" w:ascii="宋体" w:hAnsi="宋体" w:cs="宋体"/>
          <w:color w:val="0000FF"/>
          <w:sz w:val="24"/>
          <w:u w:val="single"/>
        </w:rPr>
        <w:t>（项目名称）</w:t>
      </w:r>
      <w:r>
        <w:rPr>
          <w:rFonts w:hint="eastAsia" w:ascii="宋体" w:hAnsi="宋体" w:cs="宋体"/>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outlineLvl w:val="1"/>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outlineLvl w:val="1"/>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pacing w:line="360" w:lineRule="auto"/>
        <w:jc w:val="center"/>
        <w:outlineLvl w:val="1"/>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sz w:val="24"/>
          <w:u w:val="single"/>
        </w:rPr>
      </w:pPr>
    </w:p>
    <w:p>
      <w:pPr>
        <w:spacing w:line="360" w:lineRule="auto"/>
        <w:rPr>
          <w:rFonts w:ascii="宋体" w:hAnsi="宋体" w:cs="宋体"/>
          <w:sz w:val="24"/>
        </w:rPr>
      </w:pPr>
      <w:r>
        <w:rPr>
          <w:rFonts w:hint="eastAsia" w:ascii="宋体" w:hAnsi="宋体" w:cs="宋体"/>
          <w:color w:val="0000FF"/>
          <w:sz w:val="24"/>
          <w:u w:val="single"/>
        </w:rPr>
        <w:t>（采购人）</w:t>
      </w:r>
      <w:r>
        <w:rPr>
          <w:rFonts w:hint="eastAsia" w:ascii="宋体" w:hAnsi="宋体" w:cs="宋体"/>
          <w:sz w:val="24"/>
          <w:u w:val="single"/>
        </w:rPr>
        <w:t>、（采购代理机构）：</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kern w:val="0"/>
          <w:sz w:val="24"/>
          <w:u w:val="single"/>
          <w:lang w:val="zh-CN"/>
        </w:rPr>
        <w:t xml:space="preserve">                         </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outlineLvl w:val="1"/>
        <w:rPr>
          <w:rFonts w:ascii="宋体" w:hAnsi="宋体" w:cs="宋体"/>
          <w:b/>
          <w:kern w:val="0"/>
          <w:sz w:val="32"/>
          <w:szCs w:val="32"/>
          <w:lang w:val="zh-CN"/>
        </w:rPr>
      </w:pPr>
      <w:r>
        <w:rPr>
          <w:rFonts w:hint="eastAsia" w:ascii="宋体" w:hAnsi="宋体" w:cs="宋体"/>
          <w:b/>
          <w:spacing w:val="6"/>
          <w:sz w:val="32"/>
          <w:szCs w:val="32"/>
        </w:rPr>
        <w:t>附件</w:t>
      </w:r>
      <w:r>
        <w:rPr>
          <w:rFonts w:ascii="宋体" w:hAnsi="宋体" w:cs="宋体"/>
          <w:b/>
          <w:spacing w:val="6"/>
          <w:sz w:val="32"/>
          <w:szCs w:val="32"/>
        </w:rPr>
        <w:t>5</w:t>
      </w:r>
      <w:r>
        <w:rPr>
          <w:rFonts w:hint="eastAsia" w:ascii="宋体" w:hAnsi="宋体" w:cs="宋体"/>
          <w:b/>
          <w:spacing w:val="6"/>
          <w:sz w:val="32"/>
          <w:szCs w:val="32"/>
        </w:rPr>
        <w:t>：</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w:t>
      </w:r>
      <w:bookmarkStart w:id="509" w:name="_Hlk101131882"/>
      <w:r>
        <w:rPr>
          <w:rFonts w:hint="eastAsia" w:ascii="宋体" w:hAnsi="宋体" w:cs="宋体"/>
          <w:kern w:val="0"/>
          <w:sz w:val="24"/>
          <w:u w:val="single"/>
        </w:rPr>
        <w:t>联合体成员X</w:t>
      </w:r>
      <w:r>
        <w:rPr>
          <w:rFonts w:ascii="宋体" w:hAnsi="宋体" w:cs="宋体"/>
          <w:kern w:val="0"/>
          <w:sz w:val="24"/>
          <w:u w:val="single"/>
        </w:rPr>
        <w:t>,</w:t>
      </w:r>
      <w:r>
        <w:rPr>
          <w:rFonts w:hint="eastAsia" w:ascii="宋体" w:hAnsi="宋体" w:cs="宋体"/>
          <w:kern w:val="0"/>
          <w:sz w:val="24"/>
          <w:u w:val="single"/>
        </w:rPr>
        <w:t>……</w:t>
      </w:r>
      <w:bookmarkEnd w:id="509"/>
      <w:r>
        <w:rPr>
          <w:rFonts w:hint="eastAsia" w:ascii="宋体" w:hAnsi="宋体" w:cs="宋体"/>
          <w:kern w:val="0"/>
          <w:sz w:val="24"/>
          <w:u w:val="single"/>
        </w:rPr>
        <w:t>）</w:t>
      </w:r>
      <w:r>
        <w:rPr>
          <w:rFonts w:hint="eastAsia" w:ascii="宋体" w:hAnsi="宋体" w:cs="宋体"/>
          <w:kern w:val="0"/>
          <w:sz w:val="24"/>
        </w:rPr>
        <w:t>提供的服务由小微企业承接，其合同份额占到合同总金额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w:t>
      </w:r>
      <w:bookmarkStart w:id="510" w:name="_Hlk101133598"/>
      <w:r>
        <w:rPr>
          <w:rFonts w:hint="eastAsia" w:ascii="宋体" w:hAnsi="宋体" w:cs="宋体"/>
          <w:b/>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bookmarkEnd w:id="510"/>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511"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%，其中小微企业合同金额达到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bookmarkEnd w:id="511"/>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ind w:firstLine="3666" w:firstLineChars="1100"/>
        <w:rPr>
          <w:rFonts w:ascii="宋体" w:hAnsi="宋体" w:cs="宋体"/>
          <w:b/>
          <w:spacing w:val="6"/>
          <w:sz w:val="32"/>
          <w:szCs w:val="32"/>
        </w:rPr>
      </w:pPr>
    </w:p>
    <w:p>
      <w:pPr>
        <w:widowControl/>
        <w:adjustRightInd/>
        <w:jc w:val="left"/>
        <w:rPr>
          <w:rFonts w:ascii="宋体" w:hAnsi="宋体" w:cs="宋体"/>
          <w:b/>
          <w:spacing w:val="6"/>
          <w:sz w:val="32"/>
          <w:szCs w:val="32"/>
        </w:rPr>
      </w:pPr>
      <w:r>
        <w:rPr>
          <w:rFonts w:ascii="宋体" w:hAnsi="宋体" w:cs="宋体"/>
          <w:b/>
          <w:spacing w:val="6"/>
          <w:sz w:val="32"/>
          <w:szCs w:val="32"/>
        </w:rPr>
        <w:br w:type="page"/>
      </w:r>
    </w:p>
    <w:p>
      <w:pPr>
        <w:snapToGrid w:val="0"/>
        <w:spacing w:line="360" w:lineRule="auto"/>
        <w:ind w:firstLine="3666" w:firstLineChars="1100"/>
        <w:outlineLvl w:val="1"/>
        <w:rPr>
          <w:rFonts w:ascii="宋体" w:hAnsi="宋体" w:cs="宋体"/>
          <w:b/>
          <w:kern w:val="0"/>
          <w:sz w:val="32"/>
          <w:szCs w:val="32"/>
        </w:rPr>
      </w:pPr>
      <w:r>
        <w:rPr>
          <w:rFonts w:hint="eastAsia" w:ascii="宋体" w:hAnsi="宋体" w:cs="宋体"/>
          <w:b/>
          <w:spacing w:val="6"/>
          <w:sz w:val="32"/>
          <w:szCs w:val="32"/>
        </w:rPr>
        <w:t>附件</w:t>
      </w:r>
      <w:r>
        <w:rPr>
          <w:rFonts w:ascii="宋体" w:hAnsi="宋体" w:cs="宋体"/>
          <w:b/>
          <w:spacing w:val="6"/>
          <w:sz w:val="32"/>
          <w:szCs w:val="32"/>
        </w:rPr>
        <w:t>6</w:t>
      </w:r>
      <w:r>
        <w:rPr>
          <w:rFonts w:hint="eastAsia" w:ascii="宋体" w:hAnsi="宋体" w:cs="宋体"/>
          <w:b/>
          <w:spacing w:val="6"/>
          <w:sz w:val="32"/>
          <w:szCs w:val="32"/>
        </w:rPr>
        <w:t>：</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（分包供应商2名称），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tabs>
          <w:tab w:val="left" w:pos="432"/>
        </w:tabs>
        <w:ind w:left="664" w:leftChars="316" w:firstLine="228" w:firstLineChars="95"/>
        <w:outlineLvl w:val="9"/>
        <w:rPr>
          <w:rFonts w:ascii="宋体" w:hAnsi="宋体" w:eastAsia="宋体" w:cs="宋体"/>
          <w:kern w:val="0"/>
          <w:sz w:val="24"/>
          <w:szCs w:val="24"/>
        </w:rPr>
      </w:pPr>
      <w:r>
        <w:rPr>
          <w:rFonts w:hint="eastAsia" w:ascii="宋体" w:hAnsi="宋体" w:eastAsia="宋体" w:cs="宋体"/>
          <w:kern w:val="0"/>
          <w:sz w:val="24"/>
          <w:szCs w:val="24"/>
        </w:rPr>
        <w:t>……</w:t>
      </w:r>
    </w:p>
    <w:p>
      <w:r>
        <w:rPr>
          <w:rFonts w:hint="eastAsia"/>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……）提供的服务全部由小微企业承接，</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%，其中小微企业合同金额达到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八、其他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 xml:space="preserve">  。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pacing w:line="360" w:lineRule="auto"/>
        <w:jc w:val="left"/>
        <w:outlineLvl w:val="1"/>
        <w:rPr>
          <w:rFonts w:ascii="宋体" w:hAnsi="宋体" w:cs="宋体"/>
          <w:b/>
          <w:sz w:val="36"/>
          <w:szCs w:val="20"/>
        </w:rPr>
      </w:pPr>
      <w:r>
        <w:rPr>
          <w:rFonts w:hint="eastAsia" w:ascii="宋体" w:hAnsi="宋体" w:cs="宋体"/>
          <w:b/>
          <w:sz w:val="36"/>
          <w:szCs w:val="20"/>
        </w:rPr>
        <w:t>附件</w:t>
      </w:r>
      <w:r>
        <w:rPr>
          <w:rFonts w:ascii="宋体" w:hAnsi="宋体" w:cs="宋体"/>
          <w:b/>
          <w:sz w:val="36"/>
          <w:szCs w:val="20"/>
        </w:rPr>
        <w:t>7</w:t>
      </w:r>
      <w:r>
        <w:rPr>
          <w:rFonts w:hint="eastAsia" w:ascii="宋体" w:hAnsi="宋体" w:cs="宋体"/>
          <w:b/>
          <w:sz w:val="36"/>
          <w:szCs w:val="20"/>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中小企业声明函（服务）</w:t>
      </w:r>
    </w:p>
    <w:p>
      <w:pPr>
        <w:spacing w:line="360" w:lineRule="auto"/>
        <w:ind w:firstLine="360" w:firstLineChars="150"/>
        <w:jc w:val="left"/>
        <w:rPr>
          <w:rFonts w:ascii="宋体" w:hAnsi="宋体" w:cs="宋体"/>
          <w:sz w:val="24"/>
        </w:rPr>
      </w:pPr>
      <w:r>
        <w:rPr>
          <w:rFonts w:hint="eastAsia" w:ascii="宋体" w:hAnsi="宋体" w:cs="宋体"/>
          <w:sz w:val="24"/>
        </w:rPr>
        <w:t xml:space="preserve">本公司（联合体）郑重声明，根据《政府采购促进中小企业发展管理办法》（财库﹝2020﹞46 号）的规定，本公司（联合体）参加 </w:t>
      </w:r>
      <w:r>
        <w:rPr>
          <w:rFonts w:hint="eastAsia" w:ascii="宋体" w:hAnsi="宋体" w:cs="宋体"/>
          <w:color w:val="0000FF"/>
          <w:sz w:val="24"/>
          <w:u w:val="single"/>
        </w:rPr>
        <w:t>（采购人）</w:t>
      </w:r>
      <w:r>
        <w:rPr>
          <w:rFonts w:hint="eastAsia" w:ascii="宋体" w:hAnsi="宋体" w:cs="宋体"/>
          <w:sz w:val="24"/>
          <w:u w:val="single"/>
        </w:rPr>
        <w:t xml:space="preserve"> </w:t>
      </w:r>
      <w:r>
        <w:rPr>
          <w:rFonts w:hint="eastAsia" w:ascii="宋体" w:hAnsi="宋体" w:cs="宋体"/>
          <w:sz w:val="24"/>
        </w:rPr>
        <w:t>的</w:t>
      </w:r>
      <w:r>
        <w:rPr>
          <w:rFonts w:hint="eastAsia" w:ascii="宋体" w:hAnsi="宋体" w:cs="宋体"/>
          <w:color w:val="0000FF"/>
          <w:sz w:val="24"/>
          <w:u w:val="single"/>
        </w:rPr>
        <w:t xml:space="preserve"> （项目名称） </w:t>
      </w:r>
      <w:r>
        <w:rPr>
          <w:rFonts w:hint="eastAsia" w:ascii="宋体" w:hAnsi="宋体" w:cs="宋体"/>
          <w:sz w:val="24"/>
        </w:rPr>
        <w:t>采购活动，</w:t>
      </w:r>
      <w:r>
        <w:rPr>
          <w:rFonts w:hint="eastAsia" w:ascii="宋体" w:hAnsi="宋体" w:cs="宋体"/>
          <w:color w:val="FF0000"/>
          <w:sz w:val="24"/>
        </w:rPr>
        <w:t>服务全部由符合政策要求的中小企业承接</w:t>
      </w:r>
      <w:r>
        <w:rPr>
          <w:rFonts w:hint="eastAsia" w:ascii="宋体" w:hAnsi="宋体" w:cs="宋体"/>
          <w:sz w:val="24"/>
        </w:rPr>
        <w:t>。相关企业（含联合体中的中小企业、签订分包意向协议的中小企业）的具体情况如下：</w:t>
      </w:r>
    </w:p>
    <w:p>
      <w:pPr>
        <w:spacing w:line="360" w:lineRule="auto"/>
        <w:ind w:firstLine="480" w:firstLineChars="200"/>
        <w:jc w:val="left"/>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ascii="宋体" w:hAnsi="宋体" w:cs="宋体"/>
          <w:color w:val="0000FF"/>
          <w:sz w:val="24"/>
          <w:u w:val="single"/>
        </w:rPr>
        <w:t>（标的名称）</w:t>
      </w:r>
      <w:r>
        <w:rPr>
          <w:rFonts w:hint="eastAsia" w:ascii="宋体" w:hAnsi="宋体" w:cs="宋体"/>
          <w:sz w:val="24"/>
        </w:rPr>
        <w:t>，属于</w:t>
      </w:r>
      <w:r>
        <w:rPr>
          <w:rFonts w:hint="eastAsia" w:ascii="宋体" w:hAnsi="宋体" w:cs="宋体"/>
          <w:color w:val="0000FF"/>
          <w:sz w:val="24"/>
          <w:u w:val="single"/>
        </w:rPr>
        <w:t xml:space="preserve"> （采购文件中明确的所属行业）</w:t>
      </w:r>
      <w:r>
        <w:rPr>
          <w:rFonts w:hint="eastAsia" w:ascii="宋体" w:hAnsi="宋体" w:cs="宋体"/>
          <w:sz w:val="24"/>
        </w:rPr>
        <w:t xml:space="preserve"> ；</w:t>
      </w:r>
      <w:r>
        <w:rPr>
          <w:rFonts w:hint="eastAsia" w:ascii="宋体" w:hAnsi="宋体" w:cs="宋体"/>
          <w:color w:val="FF0000"/>
          <w:sz w:val="24"/>
        </w:rPr>
        <w:t>承接</w:t>
      </w:r>
      <w:r>
        <w:rPr>
          <w:rFonts w:hint="eastAsia" w:ascii="宋体" w:hAnsi="宋体" w:cs="宋体"/>
          <w:sz w:val="24"/>
        </w:rPr>
        <w:t xml:space="preserve">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2.</w:t>
      </w:r>
      <w:r>
        <w:rPr>
          <w:rFonts w:hint="eastAsia" w:ascii="宋体" w:hAnsi="宋体" w:cs="宋体"/>
          <w:color w:val="0000FF"/>
          <w:sz w:val="24"/>
          <w:u w:val="single"/>
        </w:rPr>
        <w:t xml:space="preserve"> （标的名称），</w:t>
      </w:r>
      <w:r>
        <w:rPr>
          <w:rFonts w:hint="eastAsia" w:ascii="宋体" w:hAnsi="宋体" w:cs="宋体"/>
          <w:sz w:val="24"/>
        </w:rPr>
        <w:t xml:space="preserve">属于 </w:t>
      </w:r>
      <w:r>
        <w:rPr>
          <w:rFonts w:hint="eastAsia" w:ascii="宋体" w:hAnsi="宋体" w:cs="宋体"/>
          <w:color w:val="0000FF"/>
          <w:sz w:val="24"/>
          <w:u w:val="single"/>
        </w:rPr>
        <w:t xml:space="preserve">（采购文件中明确的所属行业） </w:t>
      </w:r>
      <w:r>
        <w:rPr>
          <w:rFonts w:hint="eastAsia" w:ascii="宋体" w:hAnsi="宋体" w:cs="宋体"/>
          <w:sz w:val="24"/>
        </w:rPr>
        <w:t>；</w:t>
      </w:r>
      <w:r>
        <w:rPr>
          <w:rFonts w:hint="eastAsia" w:ascii="宋体" w:hAnsi="宋体" w:cs="宋体"/>
          <w:color w:val="FF0000"/>
          <w:sz w:val="24"/>
        </w:rPr>
        <w:t>承接</w:t>
      </w:r>
      <w:r>
        <w:rPr>
          <w:rFonts w:hint="eastAsia" w:ascii="宋体" w:hAnsi="宋体" w:cs="宋体"/>
          <w:sz w:val="24"/>
        </w:rPr>
        <w:t xml:space="preserve">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投标人名称（电子签名）：</w:t>
      </w:r>
    </w:p>
    <w:p>
      <w:pPr>
        <w:spacing w:line="360" w:lineRule="auto"/>
        <w:ind w:right="1120" w:firstLine="4680" w:firstLineChars="1950"/>
        <w:rPr>
          <w:rFonts w:ascii="宋体" w:hAnsi="宋体" w:cs="宋体"/>
          <w:sz w:val="24"/>
        </w:rPr>
      </w:pPr>
      <w:r>
        <w:rPr>
          <w:rFonts w:hint="eastAsia" w:ascii="宋体" w:hAnsi="宋体" w:cs="宋体"/>
          <w:sz w:val="24"/>
        </w:rPr>
        <w:t>日 期：</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p>
    <w:p>
      <w:pPr>
        <w:spacing w:line="360" w:lineRule="auto"/>
        <w:ind w:right="420"/>
        <w:rPr>
          <w:rFonts w:ascii="宋体" w:hAnsi="宋体" w:cs="宋体"/>
          <w:sz w:val="24"/>
        </w:rPr>
      </w:pPr>
      <w:r>
        <w:rPr>
          <w:rFonts w:hint="eastAsia" w:ascii="宋体" w:hAnsi="宋体" w:cs="宋体"/>
          <w:sz w:val="24"/>
        </w:rPr>
        <w:t xml:space="preserve">   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tabs>
          <w:tab w:val="left" w:pos="432"/>
        </w:tabs>
        <w:outlineLvl w:val="9"/>
        <w:rPr>
          <w:rFonts w:ascii="宋体" w:hAnsi="宋体" w:eastAsia="宋体" w:cs="宋体"/>
          <w:lang w:val="en-US"/>
        </w:rPr>
      </w:pPr>
    </w:p>
    <w:p>
      <w:pPr>
        <w:spacing w:line="360" w:lineRule="auto"/>
        <w:ind w:right="420"/>
        <w:rPr>
          <w:rFonts w:ascii="宋体" w:hAnsi="宋体" w:cs="宋体"/>
        </w:rPr>
      </w:pPr>
    </w:p>
    <w:p>
      <w:pPr>
        <w:spacing w:line="360" w:lineRule="auto"/>
        <w:rPr>
          <w:rFonts w:ascii="宋体" w:hAnsi="宋体" w:cs="宋体"/>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Arial"/>
    <w:panose1 w:val="00000000000000000000"/>
    <w:charset w:val="00"/>
    <w:family w:val="decorative"/>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decorative"/>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auto"/>
    <w:pitch w:val="default"/>
    <w:sig w:usb0="A00006FF" w:usb1="4000205B" w:usb2="00000010" w:usb3="00000000" w:csb0="2000019F" w:csb1="00000000"/>
  </w:font>
  <w:font w:name="ˎ̥">
    <w:altName w:val="微软雅黑"/>
    <w:panose1 w:val="00000000000000000000"/>
    <w:charset w:val="00"/>
    <w:family w:val="moder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decorative"/>
    <w:pitch w:val="default"/>
    <w:sig w:usb0="00000000" w:usb1="00000000" w:usb2="00000010" w:usb3="00000000" w:csb0="00040000" w:csb1="00000000"/>
  </w:font>
  <w:font w:name="Arial (W1)">
    <w:altName w:val="Arial"/>
    <w:panose1 w:val="00000000000000000000"/>
    <w:charset w:val="00"/>
    <w:family w:val="decorative"/>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swiss"/>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Arial"/>
    <w:panose1 w:val="00000000000000000000"/>
    <w:charset w:val="00"/>
    <w:family w:val="decorative"/>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Arial"/>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Century Gothic">
    <w:altName w:val="Arial"/>
    <w:panose1 w:val="020B0502020202020204"/>
    <w:charset w:val="00"/>
    <w:family w:val="swiss"/>
    <w:pitch w:val="default"/>
    <w:sig w:usb0="00000000" w:usb1="00000000" w:usb2="00000000" w:usb3="00000000" w:csb0="2000009F" w:csb1="DFD70000"/>
  </w:font>
  <w:font w:name="Aldine401 BT">
    <w:altName w:val="Arial"/>
    <w:panose1 w:val="00000000000000000000"/>
    <w:charset w:val="00"/>
    <w:family w:val="modern"/>
    <w:pitch w:val="default"/>
    <w:sig w:usb0="00000000" w:usb1="00000000" w:usb2="00000000" w:usb3="00000000" w:csb0="00000011" w:csb1="00000000"/>
  </w:font>
  <w:font w:name=".PingFang SC">
    <w:altName w:val="微软雅黑"/>
    <w:panose1 w:val="00000000000000000000"/>
    <w:charset w:val="00"/>
    <w:family w:val="swiss"/>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moder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bookmarkStart w:id="512" w:name="_Toc36110187"/>
    <w:bookmarkStart w:id="513" w:name="_Toc164085800"/>
    <w:bookmarkStart w:id="514" w:name="_Toc131845147"/>
    <w:bookmarkStart w:id="515" w:name="_Toc91899912"/>
    <w:r>
      <w:rPr>
        <w:rFonts w:hint="eastAsia" w:ascii="仿宋_GB2312" w:eastAsia="仿宋_GB2312"/>
        <w:kern w:val="0"/>
        <w:szCs w:val="21"/>
      </w:rPr>
      <w:t xml:space="preserve"> 页</w:t>
    </w:r>
    <w:bookmarkEnd w:id="512"/>
    <w:bookmarkEnd w:id="513"/>
    <w:bookmarkEnd w:id="514"/>
    <w:bookmarkEnd w:id="51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B4CC46"/>
    <w:multiLevelType w:val="singleLevel"/>
    <w:tmpl w:val="4DB4CC46"/>
    <w:lvl w:ilvl="0" w:tentative="0">
      <w:start w:val="2"/>
      <w:numFmt w:val="decimal"/>
      <w:lvlText w:val="%1."/>
      <w:lvlJc w:val="left"/>
      <w:pPr>
        <w:tabs>
          <w:tab w:val="left" w:pos="312"/>
        </w:tabs>
      </w:pPr>
    </w:lvl>
  </w:abstractNum>
  <w:abstractNum w:abstractNumId="1">
    <w:nsid w:val="6949D938"/>
    <w:multiLevelType w:val="singleLevel"/>
    <w:tmpl w:val="6949D938"/>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2ZGI0YTkxMmExMWZiYjFiZGFlMGE2MTdjYjJhNjc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2BCF"/>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4C7"/>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0A3"/>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688"/>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22F"/>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6EB9"/>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17C"/>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C76D2"/>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3FF4"/>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D6D"/>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0C0"/>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3CDD"/>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5E4"/>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17A91"/>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43"/>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379A8"/>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27FB"/>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3F5C"/>
    <w:rsid w:val="00B3412E"/>
    <w:rsid w:val="00B343E0"/>
    <w:rsid w:val="00B35B6D"/>
    <w:rsid w:val="00B35D53"/>
    <w:rsid w:val="00B367C4"/>
    <w:rsid w:val="00B36D3E"/>
    <w:rsid w:val="00B37B8E"/>
    <w:rsid w:val="00B40222"/>
    <w:rsid w:val="00B404C3"/>
    <w:rsid w:val="00B41938"/>
    <w:rsid w:val="00B41A04"/>
    <w:rsid w:val="00B42743"/>
    <w:rsid w:val="00B42F49"/>
    <w:rsid w:val="00B430E9"/>
    <w:rsid w:val="00B4311F"/>
    <w:rsid w:val="00B431AE"/>
    <w:rsid w:val="00B44288"/>
    <w:rsid w:val="00B448BF"/>
    <w:rsid w:val="00B45A59"/>
    <w:rsid w:val="00B45D35"/>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28"/>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255"/>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42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72B"/>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CBE"/>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4AB"/>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36AB6"/>
    <w:rsid w:val="011F6449"/>
    <w:rsid w:val="01236AFB"/>
    <w:rsid w:val="01654456"/>
    <w:rsid w:val="019F7441"/>
    <w:rsid w:val="01AE3368"/>
    <w:rsid w:val="01B37585"/>
    <w:rsid w:val="01D55165"/>
    <w:rsid w:val="01DF6BF8"/>
    <w:rsid w:val="01E054EB"/>
    <w:rsid w:val="01EC2C57"/>
    <w:rsid w:val="025340DF"/>
    <w:rsid w:val="025D4C8D"/>
    <w:rsid w:val="025F0711"/>
    <w:rsid w:val="026B2E25"/>
    <w:rsid w:val="027A5940"/>
    <w:rsid w:val="02824D4D"/>
    <w:rsid w:val="02DC4B10"/>
    <w:rsid w:val="02DD76CE"/>
    <w:rsid w:val="02EC3C93"/>
    <w:rsid w:val="02F36323"/>
    <w:rsid w:val="02F5619C"/>
    <w:rsid w:val="0326446A"/>
    <w:rsid w:val="032D5555"/>
    <w:rsid w:val="035B490F"/>
    <w:rsid w:val="036634D2"/>
    <w:rsid w:val="03906A9D"/>
    <w:rsid w:val="03DD35E4"/>
    <w:rsid w:val="04076900"/>
    <w:rsid w:val="041A5A3B"/>
    <w:rsid w:val="042311BA"/>
    <w:rsid w:val="042B157A"/>
    <w:rsid w:val="048F763B"/>
    <w:rsid w:val="049F330E"/>
    <w:rsid w:val="04AA775C"/>
    <w:rsid w:val="04AF1889"/>
    <w:rsid w:val="04F66F48"/>
    <w:rsid w:val="04FC43EA"/>
    <w:rsid w:val="05251E14"/>
    <w:rsid w:val="05A16594"/>
    <w:rsid w:val="05A7762D"/>
    <w:rsid w:val="060E5941"/>
    <w:rsid w:val="06110FAF"/>
    <w:rsid w:val="06493CA7"/>
    <w:rsid w:val="065A6178"/>
    <w:rsid w:val="066F1CF3"/>
    <w:rsid w:val="06930BB8"/>
    <w:rsid w:val="07232206"/>
    <w:rsid w:val="07245D42"/>
    <w:rsid w:val="07264C62"/>
    <w:rsid w:val="075F5A26"/>
    <w:rsid w:val="0779354C"/>
    <w:rsid w:val="08061376"/>
    <w:rsid w:val="080B3940"/>
    <w:rsid w:val="08452D77"/>
    <w:rsid w:val="086401F8"/>
    <w:rsid w:val="08680F7B"/>
    <w:rsid w:val="08751CAA"/>
    <w:rsid w:val="087E4C40"/>
    <w:rsid w:val="08831581"/>
    <w:rsid w:val="08A871D0"/>
    <w:rsid w:val="08D66AD6"/>
    <w:rsid w:val="08DA33A3"/>
    <w:rsid w:val="08DA76DE"/>
    <w:rsid w:val="08E71F9B"/>
    <w:rsid w:val="08E80F13"/>
    <w:rsid w:val="09335624"/>
    <w:rsid w:val="093A65B1"/>
    <w:rsid w:val="0944690F"/>
    <w:rsid w:val="09535675"/>
    <w:rsid w:val="095F057D"/>
    <w:rsid w:val="09642282"/>
    <w:rsid w:val="09733572"/>
    <w:rsid w:val="09772C16"/>
    <w:rsid w:val="097F0841"/>
    <w:rsid w:val="098353B5"/>
    <w:rsid w:val="09A92330"/>
    <w:rsid w:val="09B06B87"/>
    <w:rsid w:val="09B82281"/>
    <w:rsid w:val="09C13146"/>
    <w:rsid w:val="09E04166"/>
    <w:rsid w:val="0A1C0718"/>
    <w:rsid w:val="0A1E281C"/>
    <w:rsid w:val="0A3E7710"/>
    <w:rsid w:val="0A5B7E63"/>
    <w:rsid w:val="0A955578"/>
    <w:rsid w:val="0AA374A5"/>
    <w:rsid w:val="0AAB7649"/>
    <w:rsid w:val="0ABC5606"/>
    <w:rsid w:val="0AF53FF2"/>
    <w:rsid w:val="0B30404E"/>
    <w:rsid w:val="0B4C6C14"/>
    <w:rsid w:val="0B542123"/>
    <w:rsid w:val="0B547599"/>
    <w:rsid w:val="0B631A88"/>
    <w:rsid w:val="0B683D45"/>
    <w:rsid w:val="0B7F3F11"/>
    <w:rsid w:val="0B884417"/>
    <w:rsid w:val="0BF6188C"/>
    <w:rsid w:val="0BF669FF"/>
    <w:rsid w:val="0BF73C91"/>
    <w:rsid w:val="0BF8604E"/>
    <w:rsid w:val="0C170175"/>
    <w:rsid w:val="0C186DDE"/>
    <w:rsid w:val="0C28597F"/>
    <w:rsid w:val="0C571A41"/>
    <w:rsid w:val="0C5B4ED4"/>
    <w:rsid w:val="0C5C1171"/>
    <w:rsid w:val="0C5E1CBC"/>
    <w:rsid w:val="0C615B50"/>
    <w:rsid w:val="0C673F23"/>
    <w:rsid w:val="0C8445DA"/>
    <w:rsid w:val="0C87121B"/>
    <w:rsid w:val="0CC007F7"/>
    <w:rsid w:val="0CC617AC"/>
    <w:rsid w:val="0CE618DF"/>
    <w:rsid w:val="0CFD203B"/>
    <w:rsid w:val="0CFE707A"/>
    <w:rsid w:val="0D04213F"/>
    <w:rsid w:val="0D063BDA"/>
    <w:rsid w:val="0D08375F"/>
    <w:rsid w:val="0D184CFB"/>
    <w:rsid w:val="0D4A7419"/>
    <w:rsid w:val="0D827401"/>
    <w:rsid w:val="0D84094E"/>
    <w:rsid w:val="0D8A00E9"/>
    <w:rsid w:val="0D8D589E"/>
    <w:rsid w:val="0DA01C73"/>
    <w:rsid w:val="0DD63300"/>
    <w:rsid w:val="0DF1760D"/>
    <w:rsid w:val="0DF50604"/>
    <w:rsid w:val="0DF702FE"/>
    <w:rsid w:val="0DF742E8"/>
    <w:rsid w:val="0E060E51"/>
    <w:rsid w:val="0E4B5086"/>
    <w:rsid w:val="0E5604B2"/>
    <w:rsid w:val="0E6D5D79"/>
    <w:rsid w:val="0E9D0089"/>
    <w:rsid w:val="0EB803EE"/>
    <w:rsid w:val="0EF94D4B"/>
    <w:rsid w:val="0F4958DC"/>
    <w:rsid w:val="0F515DF7"/>
    <w:rsid w:val="0F596BA8"/>
    <w:rsid w:val="0F6248D2"/>
    <w:rsid w:val="0F693536"/>
    <w:rsid w:val="0F7B0511"/>
    <w:rsid w:val="0F7B76D9"/>
    <w:rsid w:val="0F816ACD"/>
    <w:rsid w:val="0F9832DB"/>
    <w:rsid w:val="0F987405"/>
    <w:rsid w:val="0FB513D3"/>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6537C"/>
    <w:rsid w:val="127723A9"/>
    <w:rsid w:val="12862074"/>
    <w:rsid w:val="12883966"/>
    <w:rsid w:val="129E45B4"/>
    <w:rsid w:val="12D81596"/>
    <w:rsid w:val="13072A44"/>
    <w:rsid w:val="132A37DE"/>
    <w:rsid w:val="135F4BE2"/>
    <w:rsid w:val="139B1A0A"/>
    <w:rsid w:val="139D25C7"/>
    <w:rsid w:val="13BF3CE4"/>
    <w:rsid w:val="141008D8"/>
    <w:rsid w:val="14125FE6"/>
    <w:rsid w:val="146D271E"/>
    <w:rsid w:val="14982588"/>
    <w:rsid w:val="149A5AD9"/>
    <w:rsid w:val="14A7619D"/>
    <w:rsid w:val="14B172EF"/>
    <w:rsid w:val="150536C3"/>
    <w:rsid w:val="150C1963"/>
    <w:rsid w:val="151447A0"/>
    <w:rsid w:val="15314652"/>
    <w:rsid w:val="154A6454"/>
    <w:rsid w:val="15762120"/>
    <w:rsid w:val="157B5510"/>
    <w:rsid w:val="16096967"/>
    <w:rsid w:val="16877182"/>
    <w:rsid w:val="16A8729C"/>
    <w:rsid w:val="16B33777"/>
    <w:rsid w:val="16BC70A7"/>
    <w:rsid w:val="16C6339E"/>
    <w:rsid w:val="1722228F"/>
    <w:rsid w:val="172F2D79"/>
    <w:rsid w:val="17557BEF"/>
    <w:rsid w:val="17557FCD"/>
    <w:rsid w:val="177B5642"/>
    <w:rsid w:val="17D349C1"/>
    <w:rsid w:val="1830729E"/>
    <w:rsid w:val="1870062C"/>
    <w:rsid w:val="18817102"/>
    <w:rsid w:val="18830A15"/>
    <w:rsid w:val="18852B28"/>
    <w:rsid w:val="188B5321"/>
    <w:rsid w:val="1928660E"/>
    <w:rsid w:val="19932372"/>
    <w:rsid w:val="19A20DD5"/>
    <w:rsid w:val="19AE03F1"/>
    <w:rsid w:val="19BC1F42"/>
    <w:rsid w:val="1A071A03"/>
    <w:rsid w:val="1A0E6ACF"/>
    <w:rsid w:val="1A1F16AE"/>
    <w:rsid w:val="1A3B5C77"/>
    <w:rsid w:val="1A69031C"/>
    <w:rsid w:val="1A984BAD"/>
    <w:rsid w:val="1AB8220E"/>
    <w:rsid w:val="1AE4166C"/>
    <w:rsid w:val="1AF06CFB"/>
    <w:rsid w:val="1AF11B8D"/>
    <w:rsid w:val="1B11359C"/>
    <w:rsid w:val="1B2A271F"/>
    <w:rsid w:val="1B2E1D0C"/>
    <w:rsid w:val="1B530544"/>
    <w:rsid w:val="1B713184"/>
    <w:rsid w:val="1BA209CF"/>
    <w:rsid w:val="1BB4777D"/>
    <w:rsid w:val="1BD75AB8"/>
    <w:rsid w:val="1C0459C2"/>
    <w:rsid w:val="1C1B3B4A"/>
    <w:rsid w:val="1C200EAE"/>
    <w:rsid w:val="1C816C72"/>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EF0460A"/>
    <w:rsid w:val="1F0A0FF3"/>
    <w:rsid w:val="1F5771FF"/>
    <w:rsid w:val="1FE868A9"/>
    <w:rsid w:val="20034907"/>
    <w:rsid w:val="20173E4B"/>
    <w:rsid w:val="20194AB6"/>
    <w:rsid w:val="204E48BC"/>
    <w:rsid w:val="208921B3"/>
    <w:rsid w:val="20973DEB"/>
    <w:rsid w:val="20A36A92"/>
    <w:rsid w:val="20B26522"/>
    <w:rsid w:val="20B44310"/>
    <w:rsid w:val="211116EB"/>
    <w:rsid w:val="21452025"/>
    <w:rsid w:val="216133FC"/>
    <w:rsid w:val="21676C37"/>
    <w:rsid w:val="21D56769"/>
    <w:rsid w:val="21DD349D"/>
    <w:rsid w:val="21E52EF3"/>
    <w:rsid w:val="21FB5D7B"/>
    <w:rsid w:val="22015E94"/>
    <w:rsid w:val="220B1C3D"/>
    <w:rsid w:val="22103503"/>
    <w:rsid w:val="221D1D20"/>
    <w:rsid w:val="22334A87"/>
    <w:rsid w:val="22A96BF7"/>
    <w:rsid w:val="22BE6801"/>
    <w:rsid w:val="22D95913"/>
    <w:rsid w:val="233500BF"/>
    <w:rsid w:val="23377FF7"/>
    <w:rsid w:val="234731C4"/>
    <w:rsid w:val="236B425F"/>
    <w:rsid w:val="23836192"/>
    <w:rsid w:val="23901F29"/>
    <w:rsid w:val="239C0061"/>
    <w:rsid w:val="23B908A4"/>
    <w:rsid w:val="23E95BEF"/>
    <w:rsid w:val="23EE4181"/>
    <w:rsid w:val="23FD0064"/>
    <w:rsid w:val="241F08AE"/>
    <w:rsid w:val="245375B0"/>
    <w:rsid w:val="24642C0A"/>
    <w:rsid w:val="24B22173"/>
    <w:rsid w:val="24B95AD9"/>
    <w:rsid w:val="24BE24DA"/>
    <w:rsid w:val="24CF5825"/>
    <w:rsid w:val="24D663E6"/>
    <w:rsid w:val="24D77F2B"/>
    <w:rsid w:val="24F95938"/>
    <w:rsid w:val="258B00E2"/>
    <w:rsid w:val="25A917A6"/>
    <w:rsid w:val="25BE27CC"/>
    <w:rsid w:val="25F74A5C"/>
    <w:rsid w:val="2628662C"/>
    <w:rsid w:val="262D45DE"/>
    <w:rsid w:val="26871DC8"/>
    <w:rsid w:val="26A53EF9"/>
    <w:rsid w:val="26A94201"/>
    <w:rsid w:val="26AC274F"/>
    <w:rsid w:val="27044A29"/>
    <w:rsid w:val="270C5CCA"/>
    <w:rsid w:val="27160EE4"/>
    <w:rsid w:val="271D34C8"/>
    <w:rsid w:val="274676FC"/>
    <w:rsid w:val="276142BF"/>
    <w:rsid w:val="27783712"/>
    <w:rsid w:val="27907362"/>
    <w:rsid w:val="28333E1D"/>
    <w:rsid w:val="28454BD6"/>
    <w:rsid w:val="28455253"/>
    <w:rsid w:val="28551971"/>
    <w:rsid w:val="28566EDF"/>
    <w:rsid w:val="285B1C53"/>
    <w:rsid w:val="289F7086"/>
    <w:rsid w:val="28BD3A65"/>
    <w:rsid w:val="28C32028"/>
    <w:rsid w:val="28CC490F"/>
    <w:rsid w:val="28DE40AA"/>
    <w:rsid w:val="29345E77"/>
    <w:rsid w:val="294C65AD"/>
    <w:rsid w:val="29806583"/>
    <w:rsid w:val="298B3C4C"/>
    <w:rsid w:val="29F26D24"/>
    <w:rsid w:val="2A0D40A5"/>
    <w:rsid w:val="2A15033F"/>
    <w:rsid w:val="2A1662C1"/>
    <w:rsid w:val="2A1C7367"/>
    <w:rsid w:val="2A2815FA"/>
    <w:rsid w:val="2A40035E"/>
    <w:rsid w:val="2A6D6092"/>
    <w:rsid w:val="2A7D76B4"/>
    <w:rsid w:val="2AA56FC6"/>
    <w:rsid w:val="2AD33150"/>
    <w:rsid w:val="2B437463"/>
    <w:rsid w:val="2B7807EE"/>
    <w:rsid w:val="2B861D0B"/>
    <w:rsid w:val="2BA50BF7"/>
    <w:rsid w:val="2BBF00EC"/>
    <w:rsid w:val="2BC37CFD"/>
    <w:rsid w:val="2BD5237F"/>
    <w:rsid w:val="2BE536CE"/>
    <w:rsid w:val="2BE758D9"/>
    <w:rsid w:val="2C09049E"/>
    <w:rsid w:val="2C0A653C"/>
    <w:rsid w:val="2C191F85"/>
    <w:rsid w:val="2C251BC9"/>
    <w:rsid w:val="2CD260A0"/>
    <w:rsid w:val="2CE82D6F"/>
    <w:rsid w:val="2D343236"/>
    <w:rsid w:val="2DD15014"/>
    <w:rsid w:val="2DF72DE4"/>
    <w:rsid w:val="2E0220AF"/>
    <w:rsid w:val="2E4B082A"/>
    <w:rsid w:val="2E5D4E86"/>
    <w:rsid w:val="2E5D790B"/>
    <w:rsid w:val="2E6B559E"/>
    <w:rsid w:val="2E9A3C18"/>
    <w:rsid w:val="2EBB0FEE"/>
    <w:rsid w:val="2EC63002"/>
    <w:rsid w:val="2EDE2C2F"/>
    <w:rsid w:val="2F0A6B38"/>
    <w:rsid w:val="2F946CCB"/>
    <w:rsid w:val="2F951E73"/>
    <w:rsid w:val="2FD25781"/>
    <w:rsid w:val="2FDC745C"/>
    <w:rsid w:val="2FFD7934"/>
    <w:rsid w:val="30733ACD"/>
    <w:rsid w:val="307742E4"/>
    <w:rsid w:val="308C3862"/>
    <w:rsid w:val="309379D8"/>
    <w:rsid w:val="30A270F7"/>
    <w:rsid w:val="30DF1478"/>
    <w:rsid w:val="30EC586F"/>
    <w:rsid w:val="313E5C07"/>
    <w:rsid w:val="319C6071"/>
    <w:rsid w:val="31AC537E"/>
    <w:rsid w:val="31E3679B"/>
    <w:rsid w:val="31E732FD"/>
    <w:rsid w:val="322C284E"/>
    <w:rsid w:val="32517576"/>
    <w:rsid w:val="32BE5C2C"/>
    <w:rsid w:val="32D42E86"/>
    <w:rsid w:val="32FB6478"/>
    <w:rsid w:val="33263B3F"/>
    <w:rsid w:val="33527747"/>
    <w:rsid w:val="336963EB"/>
    <w:rsid w:val="33816EEB"/>
    <w:rsid w:val="33A1422B"/>
    <w:rsid w:val="33E331D7"/>
    <w:rsid w:val="33EB55CD"/>
    <w:rsid w:val="33EC4C02"/>
    <w:rsid w:val="340B5B88"/>
    <w:rsid w:val="340D2360"/>
    <w:rsid w:val="3410665D"/>
    <w:rsid w:val="341C2C0D"/>
    <w:rsid w:val="34211214"/>
    <w:rsid w:val="342E63AB"/>
    <w:rsid w:val="34880F47"/>
    <w:rsid w:val="34950E68"/>
    <w:rsid w:val="34986E94"/>
    <w:rsid w:val="34AF62C9"/>
    <w:rsid w:val="34CB4388"/>
    <w:rsid w:val="34FA6E12"/>
    <w:rsid w:val="35297F44"/>
    <w:rsid w:val="354D7158"/>
    <w:rsid w:val="357E0CC8"/>
    <w:rsid w:val="358D5588"/>
    <w:rsid w:val="36130B24"/>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13629"/>
    <w:rsid w:val="38D87D1C"/>
    <w:rsid w:val="38E1635E"/>
    <w:rsid w:val="39636459"/>
    <w:rsid w:val="396B7F6C"/>
    <w:rsid w:val="39B417A9"/>
    <w:rsid w:val="39FC5695"/>
    <w:rsid w:val="3A006D8E"/>
    <w:rsid w:val="3A0B4AF4"/>
    <w:rsid w:val="3A3651E5"/>
    <w:rsid w:val="3A744481"/>
    <w:rsid w:val="3A8C7BEF"/>
    <w:rsid w:val="3A906246"/>
    <w:rsid w:val="3AA36ADA"/>
    <w:rsid w:val="3B2349B7"/>
    <w:rsid w:val="3B432623"/>
    <w:rsid w:val="3B616CFF"/>
    <w:rsid w:val="3B6259F6"/>
    <w:rsid w:val="3B812AE3"/>
    <w:rsid w:val="3B976654"/>
    <w:rsid w:val="3B9A4359"/>
    <w:rsid w:val="3BC01EFC"/>
    <w:rsid w:val="3BCA786A"/>
    <w:rsid w:val="3BD31E2F"/>
    <w:rsid w:val="3BF15831"/>
    <w:rsid w:val="3C105946"/>
    <w:rsid w:val="3C471448"/>
    <w:rsid w:val="3C5F759A"/>
    <w:rsid w:val="3C6C525A"/>
    <w:rsid w:val="3CCE23CB"/>
    <w:rsid w:val="3CD17D17"/>
    <w:rsid w:val="3D2E5330"/>
    <w:rsid w:val="3D3C7F39"/>
    <w:rsid w:val="3D440F09"/>
    <w:rsid w:val="3D4504A0"/>
    <w:rsid w:val="3D8734BB"/>
    <w:rsid w:val="3D9A11D4"/>
    <w:rsid w:val="3DA16D89"/>
    <w:rsid w:val="3DA364BE"/>
    <w:rsid w:val="3DE041CB"/>
    <w:rsid w:val="3E0D48F6"/>
    <w:rsid w:val="3E1868B4"/>
    <w:rsid w:val="3E377251"/>
    <w:rsid w:val="3E42664B"/>
    <w:rsid w:val="3E5A7334"/>
    <w:rsid w:val="3E7464B5"/>
    <w:rsid w:val="3E7B5D6B"/>
    <w:rsid w:val="3E843E66"/>
    <w:rsid w:val="3E8F51FE"/>
    <w:rsid w:val="3E926F87"/>
    <w:rsid w:val="3E9A59DE"/>
    <w:rsid w:val="3EAF4836"/>
    <w:rsid w:val="3EC33DFA"/>
    <w:rsid w:val="3F060E16"/>
    <w:rsid w:val="3F17428F"/>
    <w:rsid w:val="3F1D1096"/>
    <w:rsid w:val="3F2F0234"/>
    <w:rsid w:val="3F6363FE"/>
    <w:rsid w:val="3F756B8F"/>
    <w:rsid w:val="3F95482B"/>
    <w:rsid w:val="3FE5790F"/>
    <w:rsid w:val="400109B8"/>
    <w:rsid w:val="4019356B"/>
    <w:rsid w:val="403F4FF6"/>
    <w:rsid w:val="40592157"/>
    <w:rsid w:val="406E1CAE"/>
    <w:rsid w:val="40A0133A"/>
    <w:rsid w:val="40C31A53"/>
    <w:rsid w:val="40FF545D"/>
    <w:rsid w:val="410067C8"/>
    <w:rsid w:val="414766C1"/>
    <w:rsid w:val="415A0FC6"/>
    <w:rsid w:val="418F0D2A"/>
    <w:rsid w:val="419633AA"/>
    <w:rsid w:val="41D01505"/>
    <w:rsid w:val="41E719A3"/>
    <w:rsid w:val="42474939"/>
    <w:rsid w:val="424C3C57"/>
    <w:rsid w:val="42613FF3"/>
    <w:rsid w:val="42660D96"/>
    <w:rsid w:val="428667D2"/>
    <w:rsid w:val="429F5DD9"/>
    <w:rsid w:val="42CD1CE0"/>
    <w:rsid w:val="42E1381E"/>
    <w:rsid w:val="42ED6459"/>
    <w:rsid w:val="42FE58DD"/>
    <w:rsid w:val="43174B3D"/>
    <w:rsid w:val="434B790E"/>
    <w:rsid w:val="4360274F"/>
    <w:rsid w:val="43833705"/>
    <w:rsid w:val="43977AB6"/>
    <w:rsid w:val="43A3342B"/>
    <w:rsid w:val="43AA2C88"/>
    <w:rsid w:val="43C77C27"/>
    <w:rsid w:val="43DE09EE"/>
    <w:rsid w:val="43F6331F"/>
    <w:rsid w:val="44002FAD"/>
    <w:rsid w:val="449101DD"/>
    <w:rsid w:val="44DE1391"/>
    <w:rsid w:val="45060392"/>
    <w:rsid w:val="451B225C"/>
    <w:rsid w:val="452410C9"/>
    <w:rsid w:val="45317DFB"/>
    <w:rsid w:val="456D3CE4"/>
    <w:rsid w:val="4579042C"/>
    <w:rsid w:val="457F0571"/>
    <w:rsid w:val="45851176"/>
    <w:rsid w:val="45C63B94"/>
    <w:rsid w:val="46023FB8"/>
    <w:rsid w:val="460E7DA5"/>
    <w:rsid w:val="462369A1"/>
    <w:rsid w:val="46422483"/>
    <w:rsid w:val="4659254A"/>
    <w:rsid w:val="465B0637"/>
    <w:rsid w:val="465E3F0D"/>
    <w:rsid w:val="466A16E6"/>
    <w:rsid w:val="46893F2B"/>
    <w:rsid w:val="46C4686E"/>
    <w:rsid w:val="47174AD8"/>
    <w:rsid w:val="47394A4E"/>
    <w:rsid w:val="477B778F"/>
    <w:rsid w:val="478203EC"/>
    <w:rsid w:val="47B025FA"/>
    <w:rsid w:val="4809698F"/>
    <w:rsid w:val="4811697D"/>
    <w:rsid w:val="487A3E25"/>
    <w:rsid w:val="488B5503"/>
    <w:rsid w:val="48937E21"/>
    <w:rsid w:val="489A0361"/>
    <w:rsid w:val="48B94FF3"/>
    <w:rsid w:val="48E37AAB"/>
    <w:rsid w:val="48F758F4"/>
    <w:rsid w:val="48FD4B4C"/>
    <w:rsid w:val="490A68E0"/>
    <w:rsid w:val="491055FE"/>
    <w:rsid w:val="49132CB8"/>
    <w:rsid w:val="49190EEC"/>
    <w:rsid w:val="495F5B3E"/>
    <w:rsid w:val="496F77D7"/>
    <w:rsid w:val="497654FD"/>
    <w:rsid w:val="49B64211"/>
    <w:rsid w:val="49F6167F"/>
    <w:rsid w:val="4A064FA0"/>
    <w:rsid w:val="4A16615C"/>
    <w:rsid w:val="4A1E1CDA"/>
    <w:rsid w:val="4A1E7F2C"/>
    <w:rsid w:val="4A4424D7"/>
    <w:rsid w:val="4A8E77DA"/>
    <w:rsid w:val="4AB82D0F"/>
    <w:rsid w:val="4AEB7664"/>
    <w:rsid w:val="4AF802B1"/>
    <w:rsid w:val="4AFD7C19"/>
    <w:rsid w:val="4B0567D1"/>
    <w:rsid w:val="4B236AAE"/>
    <w:rsid w:val="4B540714"/>
    <w:rsid w:val="4B707271"/>
    <w:rsid w:val="4B9739F7"/>
    <w:rsid w:val="4BA17F19"/>
    <w:rsid w:val="4BEE2503"/>
    <w:rsid w:val="4C2343F8"/>
    <w:rsid w:val="4C245A30"/>
    <w:rsid w:val="4CB6685F"/>
    <w:rsid w:val="4CC367FE"/>
    <w:rsid w:val="4D077F3C"/>
    <w:rsid w:val="4D102D7B"/>
    <w:rsid w:val="4D123355"/>
    <w:rsid w:val="4D1B69A4"/>
    <w:rsid w:val="4D2A3B31"/>
    <w:rsid w:val="4D312C52"/>
    <w:rsid w:val="4D565C2E"/>
    <w:rsid w:val="4D905305"/>
    <w:rsid w:val="4D964A72"/>
    <w:rsid w:val="4D9C1254"/>
    <w:rsid w:val="4E793892"/>
    <w:rsid w:val="4E800872"/>
    <w:rsid w:val="4EC569ED"/>
    <w:rsid w:val="4ED50EA1"/>
    <w:rsid w:val="4EEC050C"/>
    <w:rsid w:val="4F104EC3"/>
    <w:rsid w:val="4F47354A"/>
    <w:rsid w:val="4F8F4ABC"/>
    <w:rsid w:val="4F911C54"/>
    <w:rsid w:val="4FE625E0"/>
    <w:rsid w:val="4FF359B6"/>
    <w:rsid w:val="5021480F"/>
    <w:rsid w:val="505A594B"/>
    <w:rsid w:val="5095081C"/>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274EE"/>
    <w:rsid w:val="51B7396D"/>
    <w:rsid w:val="52077FA0"/>
    <w:rsid w:val="52226A4C"/>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7A7572"/>
    <w:rsid w:val="54B3506A"/>
    <w:rsid w:val="54CA0D16"/>
    <w:rsid w:val="54DD4057"/>
    <w:rsid w:val="54E7490F"/>
    <w:rsid w:val="550764A4"/>
    <w:rsid w:val="550B2BF6"/>
    <w:rsid w:val="55214EB5"/>
    <w:rsid w:val="55364EFD"/>
    <w:rsid w:val="55552C0B"/>
    <w:rsid w:val="555D4828"/>
    <w:rsid w:val="557A4C8B"/>
    <w:rsid w:val="558931E1"/>
    <w:rsid w:val="55923347"/>
    <w:rsid w:val="55925180"/>
    <w:rsid w:val="55983B1B"/>
    <w:rsid w:val="55A8376B"/>
    <w:rsid w:val="55DC29B6"/>
    <w:rsid w:val="55DD4241"/>
    <w:rsid w:val="56546263"/>
    <w:rsid w:val="566B44E1"/>
    <w:rsid w:val="566B6D1E"/>
    <w:rsid w:val="57032A2C"/>
    <w:rsid w:val="570F5219"/>
    <w:rsid w:val="572C6094"/>
    <w:rsid w:val="575D12B5"/>
    <w:rsid w:val="57610A87"/>
    <w:rsid w:val="57767C85"/>
    <w:rsid w:val="577B1140"/>
    <w:rsid w:val="577B7F21"/>
    <w:rsid w:val="577F181B"/>
    <w:rsid w:val="57921984"/>
    <w:rsid w:val="579737F0"/>
    <w:rsid w:val="57AB7B30"/>
    <w:rsid w:val="57AF5251"/>
    <w:rsid w:val="57B26373"/>
    <w:rsid w:val="57B63F04"/>
    <w:rsid w:val="57CD20C2"/>
    <w:rsid w:val="57D675AB"/>
    <w:rsid w:val="57D95FDD"/>
    <w:rsid w:val="5836371F"/>
    <w:rsid w:val="58704048"/>
    <w:rsid w:val="58917D2F"/>
    <w:rsid w:val="5894085C"/>
    <w:rsid w:val="58AE4F0C"/>
    <w:rsid w:val="58B85899"/>
    <w:rsid w:val="58E363A9"/>
    <w:rsid w:val="59392CC1"/>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0E6829"/>
    <w:rsid w:val="5B2E1A1D"/>
    <w:rsid w:val="5B843A1C"/>
    <w:rsid w:val="5B873E3F"/>
    <w:rsid w:val="5C02690E"/>
    <w:rsid w:val="5C196DA7"/>
    <w:rsid w:val="5C2A048C"/>
    <w:rsid w:val="5C80234E"/>
    <w:rsid w:val="5C8A680C"/>
    <w:rsid w:val="5C9D1184"/>
    <w:rsid w:val="5CBE269B"/>
    <w:rsid w:val="5D0C4701"/>
    <w:rsid w:val="5D0F0395"/>
    <w:rsid w:val="5D221076"/>
    <w:rsid w:val="5D397964"/>
    <w:rsid w:val="5D5A391C"/>
    <w:rsid w:val="5D5F10C0"/>
    <w:rsid w:val="5D891B7B"/>
    <w:rsid w:val="5D937F7C"/>
    <w:rsid w:val="5DAD38EE"/>
    <w:rsid w:val="5E006862"/>
    <w:rsid w:val="5E0207B9"/>
    <w:rsid w:val="5E1834A1"/>
    <w:rsid w:val="5E261785"/>
    <w:rsid w:val="5E4A7017"/>
    <w:rsid w:val="5E552BBA"/>
    <w:rsid w:val="5E611C10"/>
    <w:rsid w:val="5E7A0F3F"/>
    <w:rsid w:val="5E933D20"/>
    <w:rsid w:val="5E95783A"/>
    <w:rsid w:val="5EFC7377"/>
    <w:rsid w:val="5F06174D"/>
    <w:rsid w:val="5F3A3602"/>
    <w:rsid w:val="5F45733B"/>
    <w:rsid w:val="5F6277C6"/>
    <w:rsid w:val="5F6D0B1D"/>
    <w:rsid w:val="5F8D0B82"/>
    <w:rsid w:val="5FCC5339"/>
    <w:rsid w:val="5FE34A5B"/>
    <w:rsid w:val="5FFE1E36"/>
    <w:rsid w:val="601D0BAF"/>
    <w:rsid w:val="60232584"/>
    <w:rsid w:val="607330CE"/>
    <w:rsid w:val="60825176"/>
    <w:rsid w:val="608E53F7"/>
    <w:rsid w:val="609F2AC4"/>
    <w:rsid w:val="60AB5609"/>
    <w:rsid w:val="60FA2EE8"/>
    <w:rsid w:val="61054A27"/>
    <w:rsid w:val="610A52BC"/>
    <w:rsid w:val="611D2366"/>
    <w:rsid w:val="61421856"/>
    <w:rsid w:val="615227C4"/>
    <w:rsid w:val="61654E3F"/>
    <w:rsid w:val="616615DF"/>
    <w:rsid w:val="6182292A"/>
    <w:rsid w:val="619913BF"/>
    <w:rsid w:val="619F7F92"/>
    <w:rsid w:val="61A22D98"/>
    <w:rsid w:val="61BA4976"/>
    <w:rsid w:val="61F94C26"/>
    <w:rsid w:val="62000E56"/>
    <w:rsid w:val="624F3E49"/>
    <w:rsid w:val="62632286"/>
    <w:rsid w:val="62875A75"/>
    <w:rsid w:val="62885958"/>
    <w:rsid w:val="62D52D32"/>
    <w:rsid w:val="62DA3354"/>
    <w:rsid w:val="62F40B65"/>
    <w:rsid w:val="62FC2CFE"/>
    <w:rsid w:val="63024505"/>
    <w:rsid w:val="632D11C2"/>
    <w:rsid w:val="63411C1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B15AE"/>
    <w:rsid w:val="662E75B1"/>
    <w:rsid w:val="66342C2E"/>
    <w:rsid w:val="663E784C"/>
    <w:rsid w:val="666164A5"/>
    <w:rsid w:val="66751F24"/>
    <w:rsid w:val="668B6A45"/>
    <w:rsid w:val="66AB06EA"/>
    <w:rsid w:val="672F3F24"/>
    <w:rsid w:val="673E055F"/>
    <w:rsid w:val="67551CE3"/>
    <w:rsid w:val="67A22552"/>
    <w:rsid w:val="67B22DCC"/>
    <w:rsid w:val="67BE71AA"/>
    <w:rsid w:val="67D90273"/>
    <w:rsid w:val="67DE5875"/>
    <w:rsid w:val="67E55852"/>
    <w:rsid w:val="67EB1AB4"/>
    <w:rsid w:val="67FA1285"/>
    <w:rsid w:val="67FD1073"/>
    <w:rsid w:val="68210EBB"/>
    <w:rsid w:val="68551F4F"/>
    <w:rsid w:val="687C10C9"/>
    <w:rsid w:val="68840C16"/>
    <w:rsid w:val="68876EFB"/>
    <w:rsid w:val="68884654"/>
    <w:rsid w:val="689F444F"/>
    <w:rsid w:val="68B96DBB"/>
    <w:rsid w:val="68CA2805"/>
    <w:rsid w:val="68E937A3"/>
    <w:rsid w:val="693E15D3"/>
    <w:rsid w:val="69627681"/>
    <w:rsid w:val="6977531D"/>
    <w:rsid w:val="69A049DA"/>
    <w:rsid w:val="69CC2BFF"/>
    <w:rsid w:val="69FD55B8"/>
    <w:rsid w:val="6A0B1C62"/>
    <w:rsid w:val="6A2406C8"/>
    <w:rsid w:val="6A3E10E2"/>
    <w:rsid w:val="6ADE0BD1"/>
    <w:rsid w:val="6AE96859"/>
    <w:rsid w:val="6B147746"/>
    <w:rsid w:val="6B24787C"/>
    <w:rsid w:val="6B573233"/>
    <w:rsid w:val="6B5B6274"/>
    <w:rsid w:val="6B935D53"/>
    <w:rsid w:val="6BCB7ABB"/>
    <w:rsid w:val="6C196F71"/>
    <w:rsid w:val="6C226FCB"/>
    <w:rsid w:val="6C31226F"/>
    <w:rsid w:val="6C552F0B"/>
    <w:rsid w:val="6C573C4E"/>
    <w:rsid w:val="6C8C67B7"/>
    <w:rsid w:val="6C9D744C"/>
    <w:rsid w:val="6CA200F0"/>
    <w:rsid w:val="6D167928"/>
    <w:rsid w:val="6D26299B"/>
    <w:rsid w:val="6D4772EC"/>
    <w:rsid w:val="6D7640A6"/>
    <w:rsid w:val="6D9078AF"/>
    <w:rsid w:val="6DAA3FEF"/>
    <w:rsid w:val="6DAC2C8A"/>
    <w:rsid w:val="6DC0172B"/>
    <w:rsid w:val="6DCB690C"/>
    <w:rsid w:val="6DD41A5B"/>
    <w:rsid w:val="6DD673C5"/>
    <w:rsid w:val="6DF43C2E"/>
    <w:rsid w:val="6DF51CA3"/>
    <w:rsid w:val="6DF7F431"/>
    <w:rsid w:val="6E680311"/>
    <w:rsid w:val="6E8335BD"/>
    <w:rsid w:val="6E8C1058"/>
    <w:rsid w:val="6E8E12EF"/>
    <w:rsid w:val="6E972936"/>
    <w:rsid w:val="6ED446C5"/>
    <w:rsid w:val="6F2A7D94"/>
    <w:rsid w:val="6F4E5101"/>
    <w:rsid w:val="6F817F36"/>
    <w:rsid w:val="6F8331F1"/>
    <w:rsid w:val="6FAE1A09"/>
    <w:rsid w:val="6FBF795B"/>
    <w:rsid w:val="6FD75BF8"/>
    <w:rsid w:val="70406F24"/>
    <w:rsid w:val="704C2BA1"/>
    <w:rsid w:val="707723D0"/>
    <w:rsid w:val="70F5661B"/>
    <w:rsid w:val="71360107"/>
    <w:rsid w:val="713B688E"/>
    <w:rsid w:val="71D43752"/>
    <w:rsid w:val="71F1796A"/>
    <w:rsid w:val="72154626"/>
    <w:rsid w:val="721F3278"/>
    <w:rsid w:val="72262B5D"/>
    <w:rsid w:val="72283FF7"/>
    <w:rsid w:val="722E7212"/>
    <w:rsid w:val="72364E74"/>
    <w:rsid w:val="723A0474"/>
    <w:rsid w:val="725923E4"/>
    <w:rsid w:val="72864BF7"/>
    <w:rsid w:val="729023FC"/>
    <w:rsid w:val="72FA6ED8"/>
    <w:rsid w:val="73087C18"/>
    <w:rsid w:val="73561E8C"/>
    <w:rsid w:val="73C0646E"/>
    <w:rsid w:val="73EA5D66"/>
    <w:rsid w:val="742222F5"/>
    <w:rsid w:val="7426061C"/>
    <w:rsid w:val="74476126"/>
    <w:rsid w:val="74706664"/>
    <w:rsid w:val="747F3682"/>
    <w:rsid w:val="749C4185"/>
    <w:rsid w:val="74FD2BE4"/>
    <w:rsid w:val="75067759"/>
    <w:rsid w:val="752E6DCD"/>
    <w:rsid w:val="7551380D"/>
    <w:rsid w:val="75600BE5"/>
    <w:rsid w:val="7564475C"/>
    <w:rsid w:val="7583797F"/>
    <w:rsid w:val="75D20F1D"/>
    <w:rsid w:val="75DA2C18"/>
    <w:rsid w:val="75EB0D5A"/>
    <w:rsid w:val="75F54412"/>
    <w:rsid w:val="761D08E0"/>
    <w:rsid w:val="762D23AA"/>
    <w:rsid w:val="763943FC"/>
    <w:rsid w:val="765508B1"/>
    <w:rsid w:val="765D347C"/>
    <w:rsid w:val="76826699"/>
    <w:rsid w:val="76976CAD"/>
    <w:rsid w:val="76C87133"/>
    <w:rsid w:val="76CD08D5"/>
    <w:rsid w:val="76DB4B92"/>
    <w:rsid w:val="77052AA4"/>
    <w:rsid w:val="77136511"/>
    <w:rsid w:val="77340A39"/>
    <w:rsid w:val="77351FD0"/>
    <w:rsid w:val="77472422"/>
    <w:rsid w:val="777F31F2"/>
    <w:rsid w:val="778B2686"/>
    <w:rsid w:val="77A61681"/>
    <w:rsid w:val="77B02123"/>
    <w:rsid w:val="77D1700D"/>
    <w:rsid w:val="77EC04CC"/>
    <w:rsid w:val="780B2500"/>
    <w:rsid w:val="78775729"/>
    <w:rsid w:val="78A42DB0"/>
    <w:rsid w:val="78A656AB"/>
    <w:rsid w:val="78B2245C"/>
    <w:rsid w:val="78E172CC"/>
    <w:rsid w:val="78EA1D1F"/>
    <w:rsid w:val="78F55302"/>
    <w:rsid w:val="7904172F"/>
    <w:rsid w:val="790F7E27"/>
    <w:rsid w:val="792A231A"/>
    <w:rsid w:val="79316829"/>
    <w:rsid w:val="79386762"/>
    <w:rsid w:val="797E66A9"/>
    <w:rsid w:val="798518A4"/>
    <w:rsid w:val="79A97383"/>
    <w:rsid w:val="79B80F53"/>
    <w:rsid w:val="79E27E8B"/>
    <w:rsid w:val="79F850CE"/>
    <w:rsid w:val="79FD443C"/>
    <w:rsid w:val="7A1D1975"/>
    <w:rsid w:val="7A3E5150"/>
    <w:rsid w:val="7A4670D6"/>
    <w:rsid w:val="7A534B63"/>
    <w:rsid w:val="7A615382"/>
    <w:rsid w:val="7A67303B"/>
    <w:rsid w:val="7A924604"/>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DF73F6"/>
    <w:rsid w:val="7DE60973"/>
    <w:rsid w:val="7DEF0916"/>
    <w:rsid w:val="7E1E5218"/>
    <w:rsid w:val="7E3F05E2"/>
    <w:rsid w:val="7E9A4E1F"/>
    <w:rsid w:val="7EA7723A"/>
    <w:rsid w:val="7EBA74A7"/>
    <w:rsid w:val="7EF56FBB"/>
    <w:rsid w:val="7F0768EB"/>
    <w:rsid w:val="7F143BEC"/>
    <w:rsid w:val="7F2F3E50"/>
    <w:rsid w:val="7F715AF2"/>
    <w:rsid w:val="7F886E69"/>
    <w:rsid w:val="7FA572FD"/>
    <w:rsid w:val="BB7FA927"/>
    <w:rsid w:val="BEFF4034"/>
    <w:rsid w:val="F5FFD31F"/>
    <w:rsid w:val="FF7C0AB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318"/>
    <w:qFormat/>
    <w:uiPriority w:val="0"/>
    <w:pPr>
      <w:ind w:firstLine="420"/>
    </w:pPr>
    <w:rPr>
      <w:rFonts w:hAnsi="Calibri" w:cs="Times New Roman"/>
      <w:snapToGrid/>
      <w:szCs w:val="20"/>
    </w:rPr>
  </w:style>
  <w:style w:type="paragraph" w:styleId="3">
    <w:name w:val="Body Text"/>
    <w:basedOn w:val="1"/>
    <w:next w:val="1"/>
    <w:link w:val="427"/>
    <w:qFormat/>
    <w:uiPriority w:val="0"/>
    <w:pPr>
      <w:autoSpaceDE w:val="0"/>
      <w:autoSpaceDN w:val="0"/>
      <w:spacing w:line="360" w:lineRule="auto"/>
    </w:pPr>
    <w:rPr>
      <w:rFonts w:ascii="宋体" w:hAnsi="Arial" w:cs="Arial"/>
      <w:snapToGrid w:val="0"/>
      <w:sz w:val="24"/>
      <w:szCs w:val="21"/>
      <w:lang w:val="zh-CN"/>
    </w:rPr>
  </w:style>
  <w:style w:type="paragraph" w:styleId="7">
    <w:name w:val="Normal Indent"/>
    <w:basedOn w:val="1"/>
    <w:next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226"/>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199"/>
    <w:qFormat/>
    <w:uiPriority w:val="0"/>
    <w:pPr>
      <w:shd w:val="clear" w:color="auto" w:fill="000080"/>
    </w:pPr>
  </w:style>
  <w:style w:type="paragraph" w:styleId="21">
    <w:name w:val="annotation text"/>
    <w:basedOn w:val="1"/>
    <w:link w:val="341"/>
    <w:qFormat/>
    <w:uiPriority w:val="99"/>
    <w:pPr>
      <w:jc w:val="left"/>
    </w:pPr>
  </w:style>
  <w:style w:type="paragraph" w:styleId="22">
    <w:name w:val="Salutation"/>
    <w:basedOn w:val="1"/>
    <w:next w:val="1"/>
    <w:link w:val="295"/>
    <w:qFormat/>
    <w:uiPriority w:val="0"/>
    <w:rPr>
      <w:rFonts w:ascii="仿宋_GB2312" w:eastAsia="仿宋_GB2312"/>
      <w:sz w:val="28"/>
      <w:szCs w:val="20"/>
    </w:rPr>
  </w:style>
  <w:style w:type="paragraph" w:styleId="23">
    <w:name w:val="Body Text 3"/>
    <w:basedOn w:val="1"/>
    <w:link w:val="327"/>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Indent"/>
    <w:basedOn w:val="1"/>
    <w:link w:val="262"/>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2"/>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78"/>
    <w:qFormat/>
    <w:uiPriority w:val="0"/>
    <w:pPr>
      <w:ind w:left="100" w:leftChars="2500"/>
    </w:pPr>
    <w:rPr>
      <w:rFonts w:ascii="宋体"/>
      <w:sz w:val="24"/>
      <w:szCs w:val="21"/>
      <w:lang w:val="zh-CN"/>
    </w:rPr>
  </w:style>
  <w:style w:type="paragraph" w:styleId="37">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8">
    <w:name w:val="endnote text"/>
    <w:basedOn w:val="1"/>
    <w:link w:val="929"/>
    <w:qFormat/>
    <w:uiPriority w:val="0"/>
    <w:rPr>
      <w:lang w:val="zh-CN"/>
    </w:rPr>
  </w:style>
  <w:style w:type="paragraph" w:styleId="39">
    <w:name w:val="Balloon Text"/>
    <w:basedOn w:val="1"/>
    <w:link w:val="185"/>
    <w:qFormat/>
    <w:uiPriority w:val="0"/>
    <w:rPr>
      <w:sz w:val="18"/>
      <w:szCs w:val="18"/>
    </w:rPr>
  </w:style>
  <w:style w:type="paragraph" w:styleId="40">
    <w:name w:val="footer"/>
    <w:basedOn w:val="1"/>
    <w:link w:val="380"/>
    <w:qFormat/>
    <w:uiPriority w:val="99"/>
    <w:pPr>
      <w:tabs>
        <w:tab w:val="center" w:pos="4153"/>
        <w:tab w:val="right" w:pos="8306"/>
      </w:tabs>
      <w:snapToGrid w:val="0"/>
      <w:jc w:val="left"/>
    </w:pPr>
    <w:rPr>
      <w:sz w:val="18"/>
      <w:szCs w:val="18"/>
    </w:rPr>
  </w:style>
  <w:style w:type="paragraph" w:styleId="41">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7"/>
    <w:link w:val="307"/>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2"/>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299"/>
    <w:qFormat/>
    <w:uiPriority w:val="0"/>
    <w:pPr>
      <w:spacing w:after="120" w:line="480" w:lineRule="auto"/>
    </w:pPr>
  </w:style>
  <w:style w:type="paragraph" w:styleId="57">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1"/>
    <w:next w:val="21"/>
    <w:link w:val="93"/>
    <w:qFormat/>
    <w:uiPriority w:val="0"/>
    <w:rPr>
      <w:b/>
      <w:bCs/>
    </w:rPr>
  </w:style>
  <w:style w:type="paragraph" w:styleId="61">
    <w:name w:val="Body Text First Indent 2"/>
    <w:basedOn w:val="25"/>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60"/>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7"/>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10"/>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5"/>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6"/>
    <w:qFormat/>
    <w:uiPriority w:val="0"/>
    <w:rPr>
      <w:rFonts w:ascii="宋体"/>
      <w:kern w:val="2"/>
      <w:sz w:val="24"/>
      <w:szCs w:val="21"/>
      <w:lang w:val="zh-CN"/>
    </w:rPr>
  </w:style>
  <w:style w:type="character" w:customStyle="1" w:styleId="179">
    <w:name w:val="标题 9 Char"/>
    <w:link w:val="13"/>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39"/>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7"/>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6"/>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20"/>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30"/>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8"/>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8"/>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25"/>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4"/>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59"/>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9"/>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2"/>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7"/>
    <w:qFormat/>
    <w:uiPriority w:val="0"/>
    <w:rPr>
      <w:rFonts w:ascii="黑体" w:hAnsi="Courier New" w:eastAsia="黑体"/>
    </w:rPr>
  </w:style>
  <w:style w:type="character" w:customStyle="1" w:styleId="299">
    <w:name w:val="正文文本 2 Char1"/>
    <w:link w:val="56"/>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8"/>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11"/>
    <w:qFormat/>
    <w:uiPriority w:val="0"/>
    <w:rPr>
      <w:b/>
      <w:bCs/>
      <w:kern w:val="2"/>
      <w:sz w:val="24"/>
      <w:szCs w:val="24"/>
    </w:rPr>
  </w:style>
  <w:style w:type="character" w:customStyle="1" w:styleId="305">
    <w:name w:val="正文文本缩进 2 Char"/>
    <w:link w:val="37"/>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50"/>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2"/>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8"/>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3"/>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21"/>
    <w:qFormat/>
    <w:uiPriority w:val="99"/>
    <w:rPr>
      <w:kern w:val="2"/>
      <w:sz w:val="21"/>
      <w:szCs w:val="24"/>
    </w:rPr>
  </w:style>
  <w:style w:type="character" w:customStyle="1" w:styleId="342">
    <w:name w:val="签名 Char"/>
    <w:link w:val="42"/>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2"/>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3"/>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40"/>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1"/>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7"/>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3"/>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8"/>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5"/>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5"/>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6"/>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9"/>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6"/>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7"/>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8"/>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6"/>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4"/>
    <w:qFormat/>
    <w:uiPriority w:val="0"/>
    <w:pPr>
      <w:tabs>
        <w:tab w:val="left" w:pos="840"/>
      </w:tabs>
      <w:adjustRightInd/>
      <w:ind w:left="840" w:hanging="420"/>
    </w:pPr>
  </w:style>
  <w:style w:type="paragraph" w:customStyle="1" w:styleId="623">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8"/>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7"/>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6"/>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3"/>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7"/>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6"/>
    <w:next w:val="53"/>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3"/>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20"/>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6"/>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9"/>
    <w:next w:val="1"/>
    <w:qFormat/>
    <w:uiPriority w:val="0"/>
    <w:pPr>
      <w:tabs>
        <w:tab w:val="left" w:pos="1080"/>
      </w:tabs>
      <w:ind w:left="1080" w:hanging="1080"/>
    </w:pPr>
  </w:style>
  <w:style w:type="paragraph" w:customStyle="1" w:styleId="894">
    <w:name w:val="数字标题1"/>
    <w:basedOn w:val="4"/>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8"/>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杭州市国内经济合作办公室</Company>
  <Pages>69</Pages>
  <Words>5940</Words>
  <Characters>33862</Characters>
  <Lines>282</Lines>
  <Paragraphs>79</Paragraphs>
  <TotalTime>29</TotalTime>
  <ScaleCrop>false</ScaleCrop>
  <LinksUpToDate>false</LinksUpToDate>
  <CharactersWithSpaces>39723</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2021-07-31T08:22:00Z</dcterms:created>
  <dc:creator>玥</dc:creator>
  <cp:lastModifiedBy>初夏</cp:lastModifiedBy>
  <cp:lastPrinted>2024-02-21T18:11:00Z</cp:lastPrinted>
  <dcterms:modified xsi:type="dcterms:W3CDTF">2024-06-06T02:49:48Z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003502FAC6954C5D9B1C43F5AEF746C4_13</vt:lpwstr>
  </property>
</Properties>
</file>