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ED3E0">
      <w:pPr>
        <w:spacing w:line="360" w:lineRule="auto"/>
        <w:jc w:val="center"/>
        <w:rPr>
          <w:rFonts w:ascii="仿宋" w:hAnsi="仿宋" w:eastAsia="仿宋" w:cs="仿宋"/>
          <w:b/>
          <w:color w:val="auto"/>
          <w:sz w:val="24"/>
          <w:highlight w:val="none"/>
        </w:rPr>
      </w:pPr>
      <w:bookmarkStart w:id="406" w:name="_GoBack"/>
      <w:bookmarkEnd w:id="406"/>
    </w:p>
    <w:p w14:paraId="1D5342FF">
      <w:pPr>
        <w:spacing w:line="360" w:lineRule="auto"/>
        <w:jc w:val="center"/>
        <w:rPr>
          <w:rFonts w:ascii="仿宋" w:hAnsi="仿宋" w:eastAsia="仿宋" w:cs="仿宋"/>
          <w:b/>
          <w:color w:val="auto"/>
          <w:sz w:val="24"/>
          <w:highlight w:val="none"/>
        </w:rPr>
      </w:pPr>
    </w:p>
    <w:p w14:paraId="1E3DE59D">
      <w:pPr>
        <w:spacing w:line="360" w:lineRule="auto"/>
        <w:jc w:val="center"/>
        <w:rPr>
          <w:rFonts w:ascii="仿宋" w:hAnsi="仿宋" w:eastAsia="仿宋" w:cs="仿宋"/>
          <w:b/>
          <w:color w:val="auto"/>
          <w:sz w:val="44"/>
          <w:szCs w:val="44"/>
          <w:highlight w:val="none"/>
        </w:rPr>
      </w:pPr>
    </w:p>
    <w:p w14:paraId="479E7B9F">
      <w:pPr>
        <w:adjustRightInd/>
        <w:spacing w:line="360" w:lineRule="auto"/>
        <w:jc w:val="center"/>
        <w:rPr>
          <w:rFonts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lang w:val="en-US" w:eastAsia="zh-CN"/>
        </w:rPr>
        <w:t>康桥街道垃圾分类服务</w:t>
      </w:r>
      <w:r>
        <w:rPr>
          <w:rFonts w:hint="eastAsia" w:ascii="仿宋" w:hAnsi="仿宋" w:eastAsia="仿宋" w:cs="仿宋"/>
          <w:b/>
          <w:bCs/>
          <w:color w:val="auto"/>
          <w:sz w:val="52"/>
          <w:szCs w:val="52"/>
          <w:highlight w:val="none"/>
        </w:rPr>
        <w:t>项目</w:t>
      </w:r>
    </w:p>
    <w:p w14:paraId="25F95675">
      <w:pPr>
        <w:adjustRightInd/>
        <w:spacing w:line="360" w:lineRule="auto"/>
        <w:jc w:val="center"/>
        <w:rPr>
          <w:rFonts w:ascii="仿宋" w:hAnsi="仿宋" w:eastAsia="仿宋" w:cs="仿宋"/>
          <w:b/>
          <w:bCs/>
          <w:color w:val="auto"/>
          <w:sz w:val="52"/>
          <w:szCs w:val="52"/>
          <w:highlight w:val="none"/>
        </w:rPr>
      </w:pPr>
    </w:p>
    <w:p w14:paraId="69769C38">
      <w:pPr>
        <w:adjustRightInd/>
        <w:spacing w:line="360" w:lineRule="auto"/>
        <w:jc w:val="center"/>
        <w:rPr>
          <w:rFonts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 xml:space="preserve">招标文件 </w:t>
      </w:r>
    </w:p>
    <w:p w14:paraId="065408C2">
      <w:pPr>
        <w:adjustRightInd/>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60E0A9FB">
      <w:pPr>
        <w:adjustRightInd/>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25E5E22B">
      <w:pPr>
        <w:snapToGrid w:val="0"/>
        <w:spacing w:line="360" w:lineRule="auto"/>
        <w:jc w:val="center"/>
        <w:rPr>
          <w:rFonts w:ascii="仿宋" w:hAnsi="仿宋" w:eastAsia="仿宋" w:cs="仿宋"/>
          <w:color w:val="auto"/>
          <w:sz w:val="30"/>
          <w:szCs w:val="30"/>
          <w:highlight w:val="none"/>
        </w:rPr>
      </w:pPr>
    </w:p>
    <w:p w14:paraId="7F22593E">
      <w:pPr>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val="en-US" w:eastAsia="zh-CN"/>
        </w:rPr>
        <w:t>KQ</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HZDJ</w:t>
      </w:r>
      <w:r>
        <w:rPr>
          <w:rFonts w:hint="eastAsia" w:ascii="仿宋" w:hAnsi="仿宋" w:eastAsia="仿宋" w:cs="仿宋"/>
          <w:color w:val="auto"/>
          <w:sz w:val="30"/>
          <w:szCs w:val="30"/>
          <w:highlight w:val="none"/>
        </w:rPr>
        <w:t>-202</w:t>
      </w:r>
      <w:r>
        <w:rPr>
          <w:rFonts w:hint="eastAsia" w:ascii="仿宋" w:hAnsi="仿宋" w:eastAsia="仿宋" w:cs="仿宋"/>
          <w:color w:val="auto"/>
          <w:sz w:val="30"/>
          <w:szCs w:val="30"/>
          <w:highlight w:val="none"/>
          <w:lang w:val="en-US" w:eastAsia="zh-CN"/>
        </w:rPr>
        <w:t>50211</w:t>
      </w:r>
    </w:p>
    <w:p w14:paraId="63C6A69E">
      <w:pPr>
        <w:adjustRightInd/>
        <w:spacing w:line="360" w:lineRule="auto"/>
        <w:rPr>
          <w:rFonts w:ascii="仿宋" w:hAnsi="仿宋" w:eastAsia="仿宋" w:cs="仿宋"/>
          <w:color w:val="auto"/>
          <w:sz w:val="28"/>
          <w:szCs w:val="20"/>
          <w:highlight w:val="none"/>
        </w:rPr>
      </w:pPr>
    </w:p>
    <w:p w14:paraId="56F2E86B">
      <w:pPr>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3FCB35BA">
      <w:pPr>
        <w:pStyle w:val="13"/>
        <w:ind w:firstLine="883"/>
        <w:rPr>
          <w:rFonts w:ascii="仿宋" w:hAnsi="仿宋" w:eastAsia="仿宋" w:cs="仿宋"/>
          <w:b/>
          <w:color w:val="auto"/>
          <w:sz w:val="44"/>
          <w:szCs w:val="44"/>
          <w:highlight w:val="none"/>
        </w:rPr>
      </w:pPr>
    </w:p>
    <w:p w14:paraId="71D8E6C7">
      <w:pPr>
        <w:spacing w:line="360" w:lineRule="auto"/>
        <w:rPr>
          <w:rFonts w:ascii="仿宋" w:hAnsi="仿宋" w:eastAsia="仿宋" w:cs="仿宋"/>
          <w:color w:val="auto"/>
          <w:sz w:val="24"/>
          <w:highlight w:val="none"/>
        </w:rPr>
      </w:pPr>
    </w:p>
    <w:tbl>
      <w:tblPr>
        <w:tblStyle w:val="14"/>
        <w:tblW w:w="0" w:type="auto"/>
        <w:tblInd w:w="837" w:type="dxa"/>
        <w:tblLayout w:type="fixed"/>
        <w:tblCellMar>
          <w:top w:w="0" w:type="dxa"/>
          <w:left w:w="108" w:type="dxa"/>
          <w:bottom w:w="0" w:type="dxa"/>
          <w:right w:w="108" w:type="dxa"/>
        </w:tblCellMar>
      </w:tblPr>
      <w:tblGrid>
        <w:gridCol w:w="2337"/>
        <w:gridCol w:w="5663"/>
      </w:tblGrid>
      <w:tr w14:paraId="037D1288">
        <w:tblPrEx>
          <w:tblCellMar>
            <w:top w:w="0" w:type="dxa"/>
            <w:left w:w="108" w:type="dxa"/>
            <w:bottom w:w="0" w:type="dxa"/>
            <w:right w:w="108" w:type="dxa"/>
          </w:tblCellMar>
        </w:tblPrEx>
        <w:tc>
          <w:tcPr>
            <w:tcW w:w="2337" w:type="dxa"/>
          </w:tcPr>
          <w:p w14:paraId="291A41B4">
            <w:pPr>
              <w:spacing w:line="360" w:lineRule="auto"/>
              <w:jc w:val="center"/>
              <w:rPr>
                <w:rFonts w:ascii="仿宋" w:hAnsi="仿宋" w:eastAsia="仿宋" w:cs="仿宋"/>
                <w:color w:val="auto"/>
                <w:highlight w:val="none"/>
              </w:rPr>
            </w:pPr>
            <w:r>
              <w:rPr>
                <w:rFonts w:hint="eastAsia" w:ascii="仿宋" w:hAnsi="仿宋" w:eastAsia="仿宋" w:cs="仿宋"/>
                <w:color w:val="auto"/>
                <w:sz w:val="32"/>
                <w:szCs w:val="32"/>
                <w:highlight w:val="none"/>
                <w:lang w:val="zh-CN"/>
              </w:rPr>
              <w:t>采</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zh-CN"/>
              </w:rPr>
              <w:t>购</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zh-CN"/>
              </w:rPr>
              <w:t>人：</w:t>
            </w:r>
          </w:p>
        </w:tc>
        <w:tc>
          <w:tcPr>
            <w:tcW w:w="5663" w:type="dxa"/>
          </w:tcPr>
          <w:p w14:paraId="6F574EF5">
            <w:pPr>
              <w:autoSpaceDE w:val="0"/>
              <w:autoSpaceDN w:val="0"/>
              <w:spacing w:line="360" w:lineRule="auto"/>
              <w:jc w:val="center"/>
              <w:rPr>
                <w:rFonts w:ascii="仿宋" w:hAnsi="仿宋" w:eastAsia="仿宋" w:cs="仿宋"/>
                <w:color w:val="auto"/>
                <w:highlight w:val="none"/>
              </w:rPr>
            </w:pPr>
            <w:r>
              <w:rPr>
                <w:rFonts w:hint="eastAsia" w:ascii="仿宋" w:hAnsi="仿宋" w:eastAsia="仿宋" w:cs="仿宋"/>
                <w:color w:val="auto"/>
                <w:sz w:val="32"/>
                <w:szCs w:val="32"/>
                <w:highlight w:val="none"/>
                <w:lang w:val="zh-CN"/>
              </w:rPr>
              <w:t>杭州市拱墅区人民政府康桥街道办事处</w:t>
            </w:r>
          </w:p>
        </w:tc>
      </w:tr>
      <w:tr w14:paraId="3F55F7F7">
        <w:tblPrEx>
          <w:tblCellMar>
            <w:top w:w="0" w:type="dxa"/>
            <w:left w:w="108" w:type="dxa"/>
            <w:bottom w:w="0" w:type="dxa"/>
            <w:right w:w="108" w:type="dxa"/>
          </w:tblCellMar>
        </w:tblPrEx>
        <w:tc>
          <w:tcPr>
            <w:tcW w:w="2337" w:type="dxa"/>
          </w:tcPr>
          <w:p w14:paraId="703C92E4">
            <w:pPr>
              <w:spacing w:line="360" w:lineRule="auto"/>
              <w:jc w:val="center"/>
              <w:rPr>
                <w:rFonts w:ascii="仿宋" w:hAnsi="仿宋" w:eastAsia="仿宋" w:cs="仿宋"/>
                <w:color w:val="auto"/>
                <w:highlight w:val="none"/>
              </w:rPr>
            </w:pPr>
            <w:r>
              <w:rPr>
                <w:rFonts w:hint="eastAsia" w:ascii="仿宋" w:hAnsi="仿宋" w:eastAsia="仿宋" w:cs="仿宋"/>
                <w:color w:val="auto"/>
                <w:sz w:val="32"/>
                <w:szCs w:val="32"/>
                <w:highlight w:val="none"/>
                <w:lang w:val="zh-CN"/>
              </w:rPr>
              <w:t>采购代理机构：</w:t>
            </w:r>
          </w:p>
        </w:tc>
        <w:tc>
          <w:tcPr>
            <w:tcW w:w="5663" w:type="dxa"/>
          </w:tcPr>
          <w:p w14:paraId="5EDC2A77">
            <w:pPr>
              <w:autoSpaceDE w:val="0"/>
              <w:autoSpaceDN w:val="0"/>
              <w:spacing w:line="360" w:lineRule="auto"/>
              <w:jc w:val="center"/>
              <w:rPr>
                <w:rFonts w:ascii="仿宋" w:hAnsi="仿宋" w:eastAsia="仿宋" w:cs="仿宋"/>
                <w:color w:val="auto"/>
                <w:highlight w:val="none"/>
              </w:rPr>
            </w:pPr>
            <w:r>
              <w:rPr>
                <w:rFonts w:hint="eastAsia" w:ascii="仿宋" w:hAnsi="仿宋" w:eastAsia="仿宋" w:cs="仿宋"/>
                <w:color w:val="auto"/>
                <w:sz w:val="32"/>
                <w:szCs w:val="32"/>
                <w:highlight w:val="none"/>
                <w:lang w:val="zh-CN"/>
              </w:rPr>
              <w:t>杭州大江建设项目管理有限公司</w:t>
            </w:r>
          </w:p>
        </w:tc>
      </w:tr>
      <w:tr w14:paraId="7073D39B">
        <w:tblPrEx>
          <w:tblCellMar>
            <w:top w:w="0" w:type="dxa"/>
            <w:left w:w="108" w:type="dxa"/>
            <w:bottom w:w="0" w:type="dxa"/>
            <w:right w:w="108" w:type="dxa"/>
          </w:tblCellMar>
        </w:tblPrEx>
        <w:tc>
          <w:tcPr>
            <w:tcW w:w="2337" w:type="dxa"/>
          </w:tcPr>
          <w:p w14:paraId="60168550">
            <w:pPr>
              <w:spacing w:line="360" w:lineRule="auto"/>
              <w:jc w:val="center"/>
              <w:rPr>
                <w:rFonts w:ascii="仿宋" w:hAnsi="仿宋" w:eastAsia="仿宋" w:cs="仿宋"/>
                <w:color w:val="auto"/>
                <w:highlight w:val="none"/>
              </w:rPr>
            </w:pPr>
            <w:r>
              <w:rPr>
                <w:rFonts w:hint="eastAsia" w:ascii="仿宋" w:hAnsi="仿宋" w:eastAsia="仿宋" w:cs="仿宋"/>
                <w:color w:val="auto"/>
                <w:sz w:val="32"/>
                <w:szCs w:val="32"/>
                <w:highlight w:val="none"/>
                <w:lang w:val="zh-CN"/>
              </w:rPr>
              <w:t>日</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zh-CN"/>
              </w:rPr>
              <w:t>期：</w:t>
            </w:r>
          </w:p>
        </w:tc>
        <w:tc>
          <w:tcPr>
            <w:tcW w:w="5663" w:type="dxa"/>
          </w:tcPr>
          <w:p w14:paraId="5B052BF2">
            <w:pPr>
              <w:autoSpaceDE w:val="0"/>
              <w:autoSpaceDN w:val="0"/>
              <w:spacing w:line="360" w:lineRule="auto"/>
              <w:jc w:val="center"/>
              <w:rPr>
                <w:rFonts w:ascii="仿宋" w:hAnsi="仿宋" w:eastAsia="仿宋" w:cs="仿宋"/>
                <w:color w:val="auto"/>
                <w:highlight w:val="none"/>
              </w:rPr>
            </w:pP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年2月</w:t>
            </w:r>
          </w:p>
        </w:tc>
      </w:tr>
    </w:tbl>
    <w:p w14:paraId="2689C258">
      <w:pP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br w:type="page"/>
      </w:r>
    </w:p>
    <w:p w14:paraId="0DF16624">
      <w:pPr>
        <w:spacing w:line="360" w:lineRule="auto"/>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00E82117">
      <w:pPr>
        <w:spacing w:line="360" w:lineRule="auto"/>
        <w:rPr>
          <w:rFonts w:ascii="仿宋" w:hAnsi="仿宋" w:eastAsia="仿宋" w:cs="仿宋"/>
          <w:color w:val="auto"/>
          <w:sz w:val="32"/>
          <w:szCs w:val="32"/>
          <w:highlight w:val="none"/>
        </w:rPr>
      </w:pPr>
    </w:p>
    <w:p w14:paraId="644A10B2">
      <w:pPr>
        <w:spacing w:line="360" w:lineRule="auto"/>
        <w:rPr>
          <w:rFonts w:ascii="仿宋" w:hAnsi="仿宋" w:eastAsia="仿宋" w:cs="仿宋"/>
          <w:color w:val="auto"/>
          <w:sz w:val="32"/>
          <w:szCs w:val="32"/>
          <w:highlight w:val="none"/>
        </w:rPr>
      </w:pPr>
    </w:p>
    <w:p w14:paraId="086F765A">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371C1909">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4BF94CE7">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36082391">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71494FDC">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24899120">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4C91492C">
      <w:pPr>
        <w:spacing w:line="360" w:lineRule="auto"/>
        <w:ind w:firstLine="549" w:firstLineChars="229"/>
        <w:rPr>
          <w:rFonts w:ascii="仿宋" w:hAnsi="仿宋" w:eastAsia="仿宋" w:cs="仿宋"/>
          <w:color w:val="auto"/>
          <w:sz w:val="24"/>
          <w:highlight w:val="none"/>
        </w:rPr>
      </w:pPr>
      <w:bookmarkStart w:id="0" w:name="_Hlt91233176"/>
      <w:bookmarkEnd w:id="0"/>
      <w:bookmarkStart w:id="1" w:name="_Toc91899869"/>
    </w:p>
    <w:p w14:paraId="7CB100EF">
      <w:pPr>
        <w:spacing w:line="360" w:lineRule="auto"/>
        <w:ind w:firstLine="549" w:firstLineChars="229"/>
        <w:rPr>
          <w:rFonts w:ascii="仿宋" w:hAnsi="仿宋" w:eastAsia="仿宋" w:cs="仿宋"/>
          <w:color w:val="auto"/>
          <w:sz w:val="24"/>
          <w:highlight w:val="none"/>
        </w:rPr>
      </w:pPr>
    </w:p>
    <w:p w14:paraId="2D7DDCDE">
      <w:pPr>
        <w:spacing w:line="360" w:lineRule="auto"/>
        <w:ind w:firstLine="549" w:firstLineChars="229"/>
        <w:rPr>
          <w:rFonts w:ascii="仿宋" w:hAnsi="仿宋" w:eastAsia="仿宋" w:cs="仿宋"/>
          <w:color w:val="auto"/>
          <w:sz w:val="24"/>
          <w:highlight w:val="none"/>
        </w:rPr>
      </w:pPr>
    </w:p>
    <w:p w14:paraId="508EF6DB">
      <w:pPr>
        <w:spacing w:line="360" w:lineRule="auto"/>
        <w:ind w:firstLine="549" w:firstLineChars="229"/>
        <w:rPr>
          <w:rFonts w:ascii="仿宋" w:hAnsi="仿宋" w:eastAsia="仿宋" w:cs="仿宋"/>
          <w:color w:val="auto"/>
          <w:sz w:val="24"/>
          <w:highlight w:val="none"/>
        </w:rPr>
      </w:pPr>
    </w:p>
    <w:p w14:paraId="17A110F8">
      <w:pPr>
        <w:spacing w:line="360" w:lineRule="auto"/>
        <w:ind w:firstLine="549" w:firstLineChars="229"/>
        <w:rPr>
          <w:rFonts w:ascii="仿宋" w:hAnsi="仿宋" w:eastAsia="仿宋" w:cs="仿宋"/>
          <w:color w:val="auto"/>
          <w:sz w:val="24"/>
          <w:highlight w:val="none"/>
        </w:rPr>
      </w:pPr>
    </w:p>
    <w:p w14:paraId="1914B2AB">
      <w:pPr>
        <w:spacing w:line="360" w:lineRule="auto"/>
        <w:ind w:firstLine="549" w:firstLineChars="229"/>
        <w:rPr>
          <w:rFonts w:ascii="仿宋" w:hAnsi="仿宋" w:eastAsia="仿宋" w:cs="仿宋"/>
          <w:color w:val="auto"/>
          <w:sz w:val="24"/>
          <w:highlight w:val="none"/>
        </w:rPr>
      </w:pPr>
    </w:p>
    <w:p w14:paraId="4A1702EB">
      <w:pPr>
        <w:spacing w:line="360" w:lineRule="auto"/>
        <w:ind w:firstLine="549" w:firstLineChars="229"/>
        <w:rPr>
          <w:rFonts w:ascii="仿宋" w:hAnsi="仿宋" w:eastAsia="仿宋" w:cs="仿宋"/>
          <w:color w:val="auto"/>
          <w:sz w:val="24"/>
          <w:highlight w:val="none"/>
        </w:rPr>
      </w:pPr>
    </w:p>
    <w:p w14:paraId="6FD7BF12">
      <w:pPr>
        <w:spacing w:line="360" w:lineRule="auto"/>
        <w:ind w:firstLine="549" w:firstLineChars="229"/>
        <w:rPr>
          <w:rFonts w:ascii="仿宋" w:hAnsi="仿宋" w:eastAsia="仿宋" w:cs="仿宋"/>
          <w:color w:val="auto"/>
          <w:sz w:val="24"/>
          <w:highlight w:val="none"/>
        </w:rPr>
      </w:pPr>
    </w:p>
    <w:p w14:paraId="42C9FD3D">
      <w:pPr>
        <w:spacing w:line="360" w:lineRule="auto"/>
        <w:ind w:firstLine="549" w:firstLineChars="229"/>
        <w:rPr>
          <w:rFonts w:ascii="仿宋" w:hAnsi="仿宋" w:eastAsia="仿宋" w:cs="仿宋"/>
          <w:color w:val="auto"/>
          <w:sz w:val="24"/>
          <w:highlight w:val="none"/>
        </w:rPr>
      </w:pPr>
    </w:p>
    <w:p w14:paraId="5A04F5FC">
      <w:pPr>
        <w:spacing w:line="360" w:lineRule="auto"/>
        <w:ind w:firstLine="549" w:firstLineChars="229"/>
        <w:rPr>
          <w:rFonts w:ascii="仿宋" w:hAnsi="仿宋" w:eastAsia="仿宋" w:cs="仿宋"/>
          <w:color w:val="auto"/>
          <w:sz w:val="24"/>
          <w:highlight w:val="none"/>
        </w:rPr>
      </w:pPr>
    </w:p>
    <w:p w14:paraId="0B5DA2CF">
      <w:pPr>
        <w:spacing w:line="360" w:lineRule="auto"/>
        <w:ind w:firstLine="549" w:firstLineChars="229"/>
        <w:rPr>
          <w:rFonts w:ascii="仿宋" w:hAnsi="仿宋" w:eastAsia="仿宋" w:cs="仿宋"/>
          <w:color w:val="auto"/>
          <w:sz w:val="24"/>
          <w:highlight w:val="none"/>
        </w:rPr>
      </w:pPr>
    </w:p>
    <w:p w14:paraId="223BA602">
      <w:pPr>
        <w:spacing w:line="360" w:lineRule="auto"/>
        <w:ind w:firstLine="549" w:firstLineChars="229"/>
        <w:rPr>
          <w:rFonts w:ascii="仿宋" w:hAnsi="仿宋" w:eastAsia="仿宋" w:cs="仿宋"/>
          <w:color w:val="auto"/>
          <w:sz w:val="24"/>
          <w:highlight w:val="none"/>
        </w:rPr>
      </w:pPr>
    </w:p>
    <w:p w14:paraId="655C6727">
      <w:pPr>
        <w:spacing w:line="360" w:lineRule="auto"/>
        <w:ind w:firstLine="549" w:firstLineChars="229"/>
        <w:rPr>
          <w:rFonts w:ascii="仿宋" w:hAnsi="仿宋" w:eastAsia="仿宋" w:cs="仿宋"/>
          <w:color w:val="auto"/>
          <w:sz w:val="24"/>
          <w:highlight w:val="none"/>
        </w:rPr>
      </w:pPr>
    </w:p>
    <w:p w14:paraId="24EE2780">
      <w:pPr>
        <w:spacing w:line="360" w:lineRule="auto"/>
        <w:rPr>
          <w:rFonts w:ascii="仿宋" w:hAnsi="仿宋" w:eastAsia="仿宋" w:cs="仿宋"/>
          <w:color w:val="auto"/>
          <w:sz w:val="24"/>
          <w:highlight w:val="none"/>
        </w:rPr>
      </w:pPr>
    </w:p>
    <w:p w14:paraId="5F6E154B">
      <w:pPr>
        <w:adjustRightInd/>
        <w:spacing w:line="360" w:lineRule="auto"/>
        <w:jc w:val="center"/>
        <w:outlineLvl w:val="0"/>
        <w:rPr>
          <w:rFonts w:ascii="仿宋" w:hAnsi="仿宋" w:eastAsia="仿宋" w:cs="仿宋"/>
          <w:b/>
          <w:color w:val="auto"/>
          <w:sz w:val="36"/>
          <w:szCs w:val="20"/>
          <w:highlight w:val="none"/>
        </w:rPr>
      </w:pPr>
      <w:bookmarkStart w:id="2" w:name="第一部分"/>
      <w:r>
        <w:rPr>
          <w:rFonts w:hint="eastAsia" w:ascii="仿宋" w:hAnsi="仿宋" w:eastAsia="仿宋" w:cs="仿宋"/>
          <w:b/>
          <w:color w:val="auto"/>
          <w:sz w:val="36"/>
          <w:szCs w:val="36"/>
          <w:highlight w:val="none"/>
        </w:rPr>
        <w:br w:type="page"/>
      </w:r>
      <w:bookmarkEnd w:id="1"/>
      <w:bookmarkEnd w:id="2"/>
      <w:bookmarkStart w:id="3" w:name="_Hlt74729822"/>
      <w:bookmarkEnd w:id="3"/>
      <w:bookmarkStart w:id="4" w:name="_Hlt74728647"/>
      <w:bookmarkEnd w:id="4"/>
      <w:bookmarkStart w:id="5" w:name="_Hlt74707423"/>
      <w:bookmarkEnd w:id="5"/>
      <w:bookmarkStart w:id="6" w:name="_Hlt74649545"/>
      <w:bookmarkEnd w:id="6"/>
      <w:bookmarkStart w:id="7" w:name="第二部分"/>
      <w:bookmarkStart w:id="8" w:name="_Toc91899870"/>
      <w:bookmarkStart w:id="9" w:name="_Toc91899871"/>
      <w:r>
        <w:rPr>
          <w:rFonts w:hint="eastAsia" w:ascii="仿宋" w:hAnsi="仿宋" w:eastAsia="仿宋" w:cs="仿宋"/>
          <w:b/>
          <w:color w:val="auto"/>
          <w:sz w:val="36"/>
          <w:szCs w:val="20"/>
          <w:highlight w:val="none"/>
        </w:rPr>
        <w:t>第一部分 招标公告</w:t>
      </w:r>
    </w:p>
    <w:p w14:paraId="1D33B624">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63DF3906">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康桥街道垃圾分类服务项目</w:t>
      </w:r>
      <w:r>
        <w:rPr>
          <w:rFonts w:hint="eastAsia" w:ascii="仿宋" w:hAnsi="仿宋" w:eastAsia="仿宋" w:cs="仿宋"/>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18"/>
          <w:rFonts w:hint="eastAsia" w:ascii="仿宋" w:hAnsi="仿宋" w:eastAsia="仿宋" w:cs="仿宋"/>
          <w:snapToGrid/>
          <w:color w:val="auto"/>
          <w:kern w:val="2"/>
          <w:sz w:val="24"/>
          <w:szCs w:val="24"/>
          <w:highlight w:val="none"/>
        </w:rPr>
        <w:t>https://www.zcygov.cn/）获取（下载）招标文件，并于202</w:t>
      </w:r>
      <w:r>
        <w:rPr>
          <w:rStyle w:val="18"/>
          <w:rFonts w:hint="eastAsia" w:ascii="仿宋" w:hAnsi="仿宋" w:eastAsia="仿宋" w:cs="仿宋"/>
          <w:snapToGrid/>
          <w:color w:val="auto"/>
          <w:kern w:val="2"/>
          <w:sz w:val="24"/>
          <w:szCs w:val="24"/>
          <w:highlight w:val="none"/>
          <w:lang w:val="en-US" w:eastAsia="zh-CN"/>
        </w:rPr>
        <w:t>5</w:t>
      </w:r>
      <w:r>
        <w:rPr>
          <w:rStyle w:val="18"/>
          <w:rFonts w:hint="eastAsia" w:ascii="仿宋" w:hAnsi="仿宋" w:eastAsia="仿宋" w:cs="仿宋"/>
          <w:snapToGrid/>
          <w:color w:val="auto"/>
          <w:kern w:val="2"/>
          <w:sz w:val="24"/>
          <w:szCs w:val="24"/>
          <w:highlight w:val="none"/>
        </w:rPr>
        <w:t>年</w:t>
      </w:r>
      <w:r>
        <w:rPr>
          <w:rStyle w:val="18"/>
          <w:rFonts w:hint="eastAsia" w:ascii="仿宋" w:hAnsi="仿宋" w:eastAsia="仿宋" w:cs="仿宋"/>
          <w:snapToGrid/>
          <w:color w:val="auto"/>
          <w:kern w:val="2"/>
          <w:sz w:val="24"/>
          <w:szCs w:val="24"/>
          <w:highlight w:val="none"/>
          <w:lang w:val="en-US" w:eastAsia="zh-CN"/>
        </w:rPr>
        <w:t>3</w:t>
      </w:r>
      <w:r>
        <w:rPr>
          <w:rStyle w:val="18"/>
          <w:rFonts w:hint="eastAsia" w:ascii="仿宋" w:hAnsi="仿宋" w:eastAsia="仿宋" w:cs="仿宋"/>
          <w:snapToGrid/>
          <w:color w:val="auto"/>
          <w:kern w:val="2"/>
          <w:sz w:val="24"/>
          <w:szCs w:val="24"/>
          <w:highlight w:val="none"/>
        </w:rPr>
        <w:t>月</w:t>
      </w:r>
      <w:r>
        <w:rPr>
          <w:rStyle w:val="18"/>
          <w:rFonts w:hint="eastAsia" w:ascii="仿宋" w:hAnsi="仿宋" w:eastAsia="仿宋" w:cs="仿宋"/>
          <w:snapToGrid/>
          <w:color w:val="auto"/>
          <w:kern w:val="2"/>
          <w:sz w:val="24"/>
          <w:szCs w:val="24"/>
          <w:highlight w:val="none"/>
          <w:lang w:val="en-US" w:eastAsia="zh-CN"/>
        </w:rPr>
        <w:t>18</w:t>
      </w:r>
      <w:r>
        <w:rPr>
          <w:rStyle w:val="18"/>
          <w:rFonts w:hint="eastAsia" w:ascii="仿宋" w:hAnsi="仿宋" w:eastAsia="仿宋" w:cs="仿宋"/>
          <w:snapToGrid/>
          <w:color w:val="auto"/>
          <w:kern w:val="2"/>
          <w:sz w:val="24"/>
          <w:szCs w:val="24"/>
          <w:highlight w:val="none"/>
        </w:rPr>
        <w:t>日10点00分</w:t>
      </w:r>
      <w:r>
        <w:rPr>
          <w:rStyle w:val="18"/>
          <w:rFonts w:hint="eastAsia" w:ascii="仿宋" w:hAnsi="仿宋" w:eastAsia="仿宋" w:cs="仿宋"/>
          <w:bCs/>
          <w:snapToGrid/>
          <w:color w:val="auto"/>
          <w:kern w:val="2"/>
          <w:sz w:val="24"/>
          <w:szCs w:val="24"/>
          <w:highlight w:val="none"/>
        </w:rPr>
        <w:t>00秒</w:t>
      </w:r>
      <w:r>
        <w:rPr>
          <w:rStyle w:val="18"/>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059B92FE">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3C62DEC2">
      <w:pPr>
        <w:pStyle w:val="3"/>
        <w:spacing w:line="360" w:lineRule="auto"/>
        <w:ind w:firstLine="480"/>
        <w:rPr>
          <w:rFonts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项目编号：</w:t>
      </w:r>
      <w:r>
        <w:rPr>
          <w:rFonts w:hint="eastAsia" w:ascii="仿宋" w:hAnsi="仿宋" w:eastAsia="仿宋" w:cs="仿宋"/>
          <w:snapToGrid/>
          <w:color w:val="auto"/>
          <w:kern w:val="2"/>
          <w:sz w:val="24"/>
          <w:szCs w:val="24"/>
          <w:highlight w:val="none"/>
          <w:lang w:val="zh-TW"/>
        </w:rPr>
        <w:t>KQ-HZDJ-20250211</w:t>
      </w:r>
    </w:p>
    <w:p w14:paraId="38089311">
      <w:pPr>
        <w:pStyle w:val="3"/>
        <w:spacing w:line="360" w:lineRule="auto"/>
        <w:ind w:firstLine="480"/>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rPr>
        <w:t>项目名称：</w:t>
      </w:r>
      <w:r>
        <w:rPr>
          <w:rFonts w:hint="eastAsia" w:ascii="仿宋" w:hAnsi="仿宋" w:eastAsia="仿宋" w:cs="仿宋"/>
          <w:snapToGrid/>
          <w:color w:val="auto"/>
          <w:kern w:val="2"/>
          <w:sz w:val="24"/>
          <w:szCs w:val="24"/>
          <w:highlight w:val="none"/>
          <w:lang w:eastAsia="zh-CN"/>
        </w:rPr>
        <w:t>康桥街道垃圾分类服务项目</w:t>
      </w:r>
    </w:p>
    <w:p w14:paraId="3BFEBDCE">
      <w:pPr>
        <w:pStyle w:val="3"/>
        <w:spacing w:line="360" w:lineRule="auto"/>
        <w:ind w:firstLine="480"/>
        <w:rPr>
          <w:rFonts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预算金额（元）：</w:t>
      </w:r>
      <w:r>
        <w:rPr>
          <w:rFonts w:hint="eastAsia" w:ascii="仿宋" w:hAnsi="仿宋" w:eastAsia="仿宋" w:cs="仿宋"/>
          <w:snapToGrid/>
          <w:color w:val="auto"/>
          <w:kern w:val="2"/>
          <w:sz w:val="24"/>
          <w:szCs w:val="24"/>
          <w:highlight w:val="none"/>
          <w:lang w:val="en-US" w:eastAsia="zh-CN"/>
        </w:rPr>
        <w:t>70</w:t>
      </w:r>
      <w:r>
        <w:rPr>
          <w:rFonts w:hint="eastAsia" w:ascii="仿宋" w:hAnsi="仿宋" w:eastAsia="仿宋" w:cs="仿宋"/>
          <w:snapToGrid/>
          <w:color w:val="auto"/>
          <w:kern w:val="2"/>
          <w:sz w:val="24"/>
          <w:szCs w:val="24"/>
          <w:highlight w:val="none"/>
        </w:rPr>
        <w:t>0000</w:t>
      </w:r>
    </w:p>
    <w:p w14:paraId="36C45E61">
      <w:pPr>
        <w:pStyle w:val="3"/>
        <w:spacing w:line="360" w:lineRule="auto"/>
        <w:ind w:firstLine="480"/>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rPr>
        <w:t>最高限价（元）：</w:t>
      </w:r>
      <w:r>
        <w:rPr>
          <w:rFonts w:hint="eastAsia" w:ascii="仿宋" w:hAnsi="仿宋" w:eastAsia="仿宋" w:cs="仿宋"/>
          <w:snapToGrid/>
          <w:color w:val="auto"/>
          <w:kern w:val="2"/>
          <w:sz w:val="24"/>
          <w:szCs w:val="24"/>
          <w:highlight w:val="none"/>
          <w:lang w:eastAsia="zh-CN"/>
        </w:rPr>
        <w:t>700000</w:t>
      </w:r>
    </w:p>
    <w:p w14:paraId="26658136">
      <w:pPr>
        <w:pStyle w:val="3"/>
        <w:spacing w:line="360" w:lineRule="auto"/>
        <w:ind w:firstLine="480"/>
        <w:rPr>
          <w:rFonts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采购需求：</w:t>
      </w:r>
    </w:p>
    <w:p w14:paraId="1F1AC385">
      <w:pPr>
        <w:pStyle w:val="3"/>
        <w:spacing w:line="360" w:lineRule="auto"/>
        <w:ind w:firstLine="480"/>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rPr>
        <w:t>标项名称：</w:t>
      </w:r>
      <w:r>
        <w:rPr>
          <w:rFonts w:hint="eastAsia" w:ascii="仿宋" w:hAnsi="仿宋" w:eastAsia="仿宋" w:cs="仿宋"/>
          <w:snapToGrid/>
          <w:color w:val="auto"/>
          <w:kern w:val="2"/>
          <w:sz w:val="24"/>
          <w:szCs w:val="24"/>
          <w:highlight w:val="none"/>
          <w:lang w:eastAsia="zh-CN"/>
        </w:rPr>
        <w:t>康桥街道垃圾分类服务项目</w:t>
      </w:r>
    </w:p>
    <w:p w14:paraId="60CB830E">
      <w:pPr>
        <w:pStyle w:val="3"/>
        <w:spacing w:line="360" w:lineRule="auto"/>
        <w:ind w:firstLine="480"/>
        <w:rPr>
          <w:rFonts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服务数量：1</w:t>
      </w:r>
    </w:p>
    <w:p w14:paraId="7A6FA3B2">
      <w:pPr>
        <w:pStyle w:val="3"/>
        <w:spacing w:line="360" w:lineRule="auto"/>
        <w:ind w:firstLine="480"/>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rPr>
        <w:t>预算金额（元）：</w:t>
      </w:r>
      <w:r>
        <w:rPr>
          <w:rFonts w:hint="eastAsia" w:ascii="仿宋" w:hAnsi="仿宋" w:eastAsia="仿宋" w:cs="仿宋"/>
          <w:snapToGrid/>
          <w:color w:val="auto"/>
          <w:kern w:val="2"/>
          <w:sz w:val="24"/>
          <w:szCs w:val="24"/>
          <w:highlight w:val="none"/>
          <w:lang w:eastAsia="zh-CN"/>
        </w:rPr>
        <w:t>700000</w:t>
      </w:r>
    </w:p>
    <w:p w14:paraId="27E7EE49">
      <w:pPr>
        <w:pStyle w:val="3"/>
        <w:spacing w:line="360" w:lineRule="auto"/>
        <w:ind w:firstLine="480"/>
        <w:rPr>
          <w:rFonts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简要规格描述或项目基本概况介绍、用途：详见招标文件第三部分“采购需求”。</w:t>
      </w:r>
    </w:p>
    <w:p w14:paraId="07AD1B7F">
      <w:pPr>
        <w:pStyle w:val="3"/>
        <w:spacing w:line="360" w:lineRule="auto"/>
        <w:ind w:firstLine="480"/>
        <w:rPr>
          <w:rFonts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备注：</w:t>
      </w:r>
    </w:p>
    <w:p w14:paraId="17049ABA">
      <w:pPr>
        <w:pStyle w:val="3"/>
        <w:spacing w:line="360" w:lineRule="auto"/>
        <w:ind w:firstLine="480"/>
        <w:rPr>
          <w:rFonts w:ascii="仿宋" w:hAnsi="仿宋" w:eastAsia="仿宋" w:cs="仿宋"/>
          <w:snapToGrid/>
          <w:color w:val="auto"/>
          <w:kern w:val="2"/>
          <w:sz w:val="24"/>
          <w:szCs w:val="24"/>
          <w:highlight w:val="none"/>
          <w:u w:val="single"/>
        </w:rPr>
      </w:pPr>
      <w:r>
        <w:rPr>
          <w:rFonts w:hint="eastAsia" w:ascii="仿宋" w:hAnsi="仿宋" w:eastAsia="仿宋" w:cs="仿宋"/>
          <w:snapToGrid/>
          <w:color w:val="auto"/>
          <w:kern w:val="2"/>
          <w:sz w:val="24"/>
          <w:szCs w:val="24"/>
          <w:highlight w:val="none"/>
        </w:rPr>
        <w:t>合同履行期限：一年。</w:t>
      </w:r>
    </w:p>
    <w:p w14:paraId="26B07EE7">
      <w:pPr>
        <w:pStyle w:val="3"/>
        <w:spacing w:line="360" w:lineRule="auto"/>
        <w:ind w:firstLine="480"/>
        <w:rPr>
          <w:rFonts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本项目接受联合体投标：是</w:t>
      </w:r>
    </w:p>
    <w:p w14:paraId="5C0139A2">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360CF443">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A038436">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落实政府采购政策需满足的资格要求：供应商为中小企业。</w:t>
      </w:r>
    </w:p>
    <w:p w14:paraId="3F33F985">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 本项目的特定资格要求：</w:t>
      </w:r>
      <w:r>
        <w:rPr>
          <w:rFonts w:hint="eastAsia" w:ascii="仿宋" w:hAnsi="仿宋" w:eastAsia="仿宋" w:cs="仿宋"/>
          <w:snapToGrid w:val="0"/>
          <w:color w:val="auto"/>
          <w:kern w:val="28"/>
          <w:sz w:val="24"/>
          <w:szCs w:val="20"/>
          <w:highlight w:val="none"/>
          <w:lang w:val="en-US" w:eastAsia="zh-CN"/>
        </w:rPr>
        <w:t>无。</w:t>
      </w:r>
    </w:p>
    <w:p w14:paraId="19E282CA">
      <w:pPr>
        <w:spacing w:line="360" w:lineRule="auto"/>
        <w:ind w:firstLine="480"/>
        <w:rPr>
          <w:rFonts w:ascii="仿宋" w:hAnsi="仿宋" w:eastAsia="仿宋" w:cs="仿宋"/>
          <w:b/>
          <w:color w:val="auto"/>
          <w:sz w:val="24"/>
          <w:highlight w:val="none"/>
        </w:rPr>
      </w:pPr>
      <w:r>
        <w:rPr>
          <w:rFonts w:hint="eastAsia" w:ascii="仿宋" w:hAnsi="仿宋" w:eastAsia="仿宋" w:cs="仿宋"/>
          <w:snapToGrid w:val="0"/>
          <w:color w:val="auto"/>
          <w:kern w:val="28"/>
          <w:sz w:val="24"/>
          <w:szCs w:val="20"/>
          <w:highlight w:val="none"/>
          <w:lang w:val="en-US" w:eastAsia="zh-CN"/>
        </w:rPr>
        <w:t>4</w:t>
      </w:r>
      <w:r>
        <w:rPr>
          <w:rFonts w:hint="eastAsia" w:ascii="仿宋" w:hAnsi="仿宋" w:eastAsia="仿宋" w:cs="仿宋"/>
          <w:snapToGrid w:val="0"/>
          <w:color w:val="auto"/>
          <w:kern w:val="28"/>
          <w:sz w:val="24"/>
          <w:szCs w:val="20"/>
          <w:highlight w:val="none"/>
        </w:rPr>
        <w:t>. 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67467B2">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1ABAF58D">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116AEC8E">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4E01BE41">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33ECA612">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18ABCDF1">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12086262">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rPr>
        <w:t>日10点00分00秒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66B2F62F">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7A9B45D5">
      <w:pPr>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rPr>
        <w:t>日10点00分00秒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31D2F7A3">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0572FA6A">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26FD71F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64094F04">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5429413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DB6CE7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1C7B8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4BB0BD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6C2C479">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18F82FB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044B96EA">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杭州市拱墅区人民政府康桥街道办事处</w:t>
      </w:r>
    </w:p>
    <w:p w14:paraId="62E9462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val="en-US" w:eastAsia="zh-CN"/>
        </w:rPr>
        <w:t>杭州市</w:t>
      </w:r>
      <w:r>
        <w:rPr>
          <w:rFonts w:hint="eastAsia" w:ascii="仿宋" w:hAnsi="仿宋" w:eastAsia="仿宋" w:cs="仿宋"/>
          <w:color w:val="auto"/>
          <w:sz w:val="24"/>
          <w:highlight w:val="none"/>
        </w:rPr>
        <w:t>拱墅区康桥路108号</w:t>
      </w:r>
    </w:p>
    <w:p w14:paraId="2A353A6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传    真：/</w:t>
      </w:r>
    </w:p>
    <w:p w14:paraId="570D90E0">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项目联系人（询问）：马</w:t>
      </w:r>
      <w:r>
        <w:rPr>
          <w:rFonts w:hint="eastAsia" w:ascii="仿宋" w:hAnsi="仿宋" w:eastAsia="仿宋" w:cs="仿宋"/>
          <w:color w:val="auto"/>
          <w:sz w:val="24"/>
          <w:highlight w:val="none"/>
          <w:lang w:val="en-US" w:eastAsia="zh-CN"/>
        </w:rPr>
        <w:t>先生</w:t>
      </w:r>
      <w:r>
        <w:rPr>
          <w:rFonts w:hint="eastAsia" w:ascii="仿宋" w:hAnsi="仿宋" w:eastAsia="仿宋" w:cs="仿宋"/>
          <w:color w:val="auto"/>
          <w:sz w:val="24"/>
          <w:highlight w:val="none"/>
        </w:rPr>
        <w:t xml:space="preserve"> </w:t>
      </w:r>
    </w:p>
    <w:p w14:paraId="3E7BC1F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项目联系方式（询问）：15888868260</w:t>
      </w:r>
    </w:p>
    <w:p w14:paraId="2CCCB304">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质疑联系人：史</w:t>
      </w:r>
      <w:r>
        <w:rPr>
          <w:rFonts w:hint="eastAsia" w:ascii="仿宋" w:hAnsi="仿宋" w:eastAsia="仿宋" w:cs="仿宋"/>
          <w:color w:val="auto"/>
          <w:sz w:val="24"/>
          <w:highlight w:val="none"/>
          <w:lang w:val="en-US" w:eastAsia="zh-CN"/>
        </w:rPr>
        <w:t>女士</w:t>
      </w:r>
    </w:p>
    <w:p w14:paraId="43FC603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质疑联系方式：15158172463</w:t>
      </w:r>
    </w:p>
    <w:p w14:paraId="44040DE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14:paraId="6A96FEC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杭州大江建设项目管理有限公司</w:t>
      </w:r>
      <w:r>
        <w:rPr>
          <w:rFonts w:hint="eastAsia" w:ascii="仿宋" w:hAnsi="仿宋" w:eastAsia="仿宋" w:cs="仿宋"/>
          <w:color w:val="auto"/>
          <w:sz w:val="24"/>
          <w:highlight w:val="none"/>
        </w:rPr>
        <w:t xml:space="preserve"> </w:t>
      </w:r>
    </w:p>
    <w:p w14:paraId="3DBA308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        址：杭州市西湖区西斗门路 5 号中天 MCC2 座 1101室</w:t>
      </w:r>
    </w:p>
    <w:p w14:paraId="2AE38E8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传        真：/</w:t>
      </w:r>
    </w:p>
    <w:p w14:paraId="76DF4CF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项目联系人（询问）：沈工</w:t>
      </w:r>
    </w:p>
    <w:p w14:paraId="6F99B3D1">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15858255939</w:t>
      </w:r>
    </w:p>
    <w:p w14:paraId="76944964">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朱健</w:t>
      </w:r>
    </w:p>
    <w:p w14:paraId="31D073E5">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18668187128</w:t>
      </w:r>
    </w:p>
    <w:p w14:paraId="24FAE7B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3.同级政府采购监督管理部门            </w:t>
      </w:r>
    </w:p>
    <w:p w14:paraId="4897406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名   称：杭州市西湖区财政局、浙江省政府采购行政裁决服务中心（杭州）</w:t>
      </w:r>
    </w:p>
    <w:p w14:paraId="6D8F683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址：杭州市上城区清泰街549号城建综合大楼11楼（快递仅限ems或顺丰）</w:t>
      </w:r>
    </w:p>
    <w:p w14:paraId="319EF9C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3AE1067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联系人：朱女士、王女士</w:t>
      </w:r>
    </w:p>
    <w:p w14:paraId="65C19510">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监督投诉电话：0571-87800218,0571-87227671</w:t>
      </w:r>
    </w:p>
    <w:p w14:paraId="4E80697E">
      <w:pPr>
        <w:spacing w:line="360" w:lineRule="auto"/>
        <w:ind w:firstLine="480"/>
        <w:rPr>
          <w:rFonts w:ascii="仿宋" w:hAnsi="仿宋" w:eastAsia="仿宋" w:cs="仿宋"/>
          <w:color w:val="auto"/>
          <w:sz w:val="24"/>
          <w:highlight w:val="none"/>
        </w:rPr>
      </w:pPr>
    </w:p>
    <w:p w14:paraId="2F5BE915">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w:t>
      </w:r>
      <w:r>
        <w:rPr>
          <w:rFonts w:hint="eastAsia" w:ascii="仿宋" w:hAnsi="仿宋" w:eastAsia="仿宋" w:cs="仿宋"/>
          <w:color w:val="auto"/>
          <w:sz w:val="24"/>
          <w:highlight w:val="none"/>
          <w:lang w:val="en-US" w:eastAsia="zh-CN"/>
        </w:rPr>
        <w:t>平台</w:t>
      </w:r>
      <w:r>
        <w:rPr>
          <w:rFonts w:hint="eastAsia" w:ascii="仿宋" w:hAnsi="仿宋" w:eastAsia="仿宋" w:cs="仿宋"/>
          <w:color w:val="auto"/>
          <w:sz w:val="24"/>
          <w:highlight w:val="none"/>
        </w:rPr>
        <w:t>（https://www.zcygov.cn/），点击右侧咨询小采，获取采小蜜智能服务管家帮助，或拨打政采云</w:t>
      </w:r>
      <w:r>
        <w:rPr>
          <w:rFonts w:hint="eastAsia" w:ascii="仿宋" w:hAnsi="仿宋" w:eastAsia="仿宋" w:cs="仿宋"/>
          <w:color w:val="auto"/>
          <w:sz w:val="24"/>
          <w:highlight w:val="none"/>
          <w:lang w:val="en-US" w:eastAsia="zh-CN"/>
        </w:rPr>
        <w:t>平台</w:t>
      </w:r>
      <w:r>
        <w:rPr>
          <w:rFonts w:hint="eastAsia" w:ascii="仿宋" w:hAnsi="仿宋" w:eastAsia="仿宋" w:cs="仿宋"/>
          <w:color w:val="auto"/>
          <w:sz w:val="24"/>
          <w:highlight w:val="none"/>
        </w:rPr>
        <w:t>服务热线95763获取热线服务帮助。</w:t>
      </w:r>
    </w:p>
    <w:p w14:paraId="74098A1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2D038ECA">
      <w:pPr>
        <w:widowControl/>
        <w:adjustRightInd/>
        <w:jc w:val="left"/>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7C89ADBA">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7"/>
      <w:r>
        <w:rPr>
          <w:rFonts w:hint="eastAsia" w:ascii="仿宋" w:hAnsi="仿宋" w:eastAsia="仿宋" w:cs="仿宋"/>
          <w:b/>
          <w:color w:val="auto"/>
          <w:sz w:val="36"/>
          <w:szCs w:val="20"/>
          <w:highlight w:val="none"/>
        </w:rPr>
        <w:t xml:space="preserve"> 投标人须知</w:t>
      </w:r>
      <w:bookmarkEnd w:id="8"/>
    </w:p>
    <w:p w14:paraId="48DAAA50">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14"/>
        <w:tblW w:w="4995"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715"/>
        <w:gridCol w:w="1955"/>
        <w:gridCol w:w="7122"/>
      </w:tblGrid>
      <w:tr w14:paraId="2E531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5" w:type="pct"/>
            <w:tcBorders>
              <w:top w:val="single" w:color="auto" w:sz="4" w:space="0"/>
              <w:left w:val="single" w:color="auto" w:sz="4" w:space="0"/>
              <w:bottom w:val="single" w:color="auto" w:sz="4" w:space="0"/>
              <w:right w:val="single" w:color="auto" w:sz="4" w:space="0"/>
            </w:tcBorders>
          </w:tcPr>
          <w:p w14:paraId="07C48EB7">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8" w:type="pct"/>
            <w:tcBorders>
              <w:top w:val="single" w:color="000000" w:sz="8" w:space="0"/>
              <w:left w:val="single" w:color="auto" w:sz="4" w:space="0"/>
              <w:bottom w:val="single" w:color="000000" w:sz="8" w:space="0"/>
              <w:right w:val="single" w:color="000000" w:sz="8" w:space="0"/>
            </w:tcBorders>
            <w:vAlign w:val="center"/>
          </w:tcPr>
          <w:p w14:paraId="1AA3B92E">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3636" w:type="pct"/>
            <w:tcBorders>
              <w:top w:val="single" w:color="000000" w:sz="8" w:space="0"/>
              <w:left w:val="single" w:color="000000" w:sz="2" w:space="0"/>
              <w:bottom w:val="single" w:color="000000" w:sz="8" w:space="0"/>
              <w:right w:val="single" w:color="000000" w:sz="8" w:space="0"/>
            </w:tcBorders>
            <w:vAlign w:val="center"/>
          </w:tcPr>
          <w:p w14:paraId="1603E41E">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3A6C2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8"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4447AA1B">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998" w:type="pct"/>
            <w:tcBorders>
              <w:top w:val="single" w:color="000000" w:sz="8" w:space="0"/>
              <w:left w:val="single" w:color="auto" w:sz="4" w:space="0"/>
              <w:bottom w:val="single" w:color="000000" w:sz="8" w:space="0"/>
              <w:right w:val="single" w:color="000000" w:sz="8" w:space="0"/>
            </w:tcBorders>
            <w:vAlign w:val="center"/>
          </w:tcPr>
          <w:p w14:paraId="0C559B96">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3636" w:type="pct"/>
            <w:tcBorders>
              <w:top w:val="single" w:color="000000" w:sz="8" w:space="0"/>
              <w:left w:val="single" w:color="000000" w:sz="2" w:space="0"/>
              <w:bottom w:val="single" w:color="000000" w:sz="8" w:space="0"/>
              <w:right w:val="single" w:color="000000" w:sz="8" w:space="0"/>
            </w:tcBorders>
            <w:vAlign w:val="center"/>
          </w:tcPr>
          <w:p w14:paraId="4B3E91C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05A6BE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5" w:hRule="atLeast"/>
          <w:tblHeader/>
        </w:trPr>
        <w:tc>
          <w:tcPr>
            <w:tcW w:w="365" w:type="pct"/>
            <w:tcBorders>
              <w:top w:val="single" w:color="auto" w:sz="4" w:space="0"/>
              <w:left w:val="single" w:color="auto" w:sz="4" w:space="0"/>
              <w:bottom w:val="single" w:color="auto" w:sz="4" w:space="0"/>
              <w:right w:val="single" w:color="auto" w:sz="4" w:space="0"/>
            </w:tcBorders>
          </w:tcPr>
          <w:p w14:paraId="61A6C132">
            <w:pPr>
              <w:snapToGrid w:val="0"/>
              <w:spacing w:line="360" w:lineRule="auto"/>
              <w:jc w:val="center"/>
              <w:rPr>
                <w:rFonts w:ascii="仿宋" w:hAnsi="仿宋" w:eastAsia="仿宋" w:cs="仿宋"/>
                <w:color w:val="auto"/>
                <w:sz w:val="24"/>
                <w:highlight w:val="none"/>
              </w:rPr>
            </w:pPr>
          </w:p>
          <w:p w14:paraId="554E84D0">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998" w:type="pct"/>
            <w:tcBorders>
              <w:top w:val="single" w:color="000000" w:sz="8" w:space="0"/>
              <w:left w:val="single" w:color="auto" w:sz="4" w:space="0"/>
              <w:bottom w:val="single" w:color="000000" w:sz="8" w:space="0"/>
              <w:right w:val="single" w:color="000000" w:sz="8" w:space="0"/>
            </w:tcBorders>
            <w:vAlign w:val="center"/>
          </w:tcPr>
          <w:p w14:paraId="4049FDBF">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3636" w:type="pct"/>
            <w:tcBorders>
              <w:top w:val="single" w:color="000000" w:sz="8" w:space="0"/>
              <w:left w:val="single" w:color="000000" w:sz="2" w:space="0"/>
              <w:bottom w:val="single" w:color="000000" w:sz="8" w:space="0"/>
              <w:right w:val="single" w:color="000000" w:sz="8" w:space="0"/>
            </w:tcBorders>
            <w:vAlign w:val="center"/>
          </w:tcPr>
          <w:p w14:paraId="7FD76766">
            <w:pPr>
              <w:spacing w:line="360" w:lineRule="auto"/>
              <w:rPr>
                <w:rFonts w:hint="eastAsia" w:ascii="仿宋" w:hAnsi="仿宋" w:eastAsia="仿宋" w:cs="仿宋"/>
                <w:color w:val="auto"/>
                <w:sz w:val="24"/>
                <w:highlight w:val="none"/>
                <w:lang w:val="zh-TW"/>
              </w:rPr>
            </w:pPr>
            <w:r>
              <w:rPr>
                <w:rFonts w:hint="eastAsia" w:ascii="仿宋" w:hAnsi="仿宋" w:eastAsia="仿宋" w:cs="仿宋"/>
                <w:color w:val="auto"/>
                <w:sz w:val="24"/>
                <w:highlight w:val="none"/>
                <w:lang w:val="zh-TW"/>
              </w:rPr>
              <w:t>标的：</w:t>
            </w:r>
            <w:r>
              <w:rPr>
                <w:rFonts w:hint="eastAsia" w:ascii="仿宋" w:hAnsi="仿宋" w:eastAsia="仿宋" w:cs="仿宋"/>
                <w:color w:val="auto"/>
                <w:sz w:val="24"/>
                <w:highlight w:val="none"/>
                <w:lang w:val="zh-TW" w:eastAsia="zh-CN"/>
              </w:rPr>
              <w:t>康桥街道垃圾分类服务项目</w:t>
            </w:r>
            <w:r>
              <w:rPr>
                <w:rFonts w:hint="eastAsia" w:ascii="仿宋" w:hAnsi="仿宋" w:eastAsia="仿宋" w:cs="仿宋"/>
                <w:color w:val="auto"/>
                <w:sz w:val="24"/>
                <w:highlight w:val="none"/>
                <w:lang w:val="zh-TW"/>
              </w:rPr>
              <w:t>，属于其他未列明行业；</w:t>
            </w:r>
          </w:p>
          <w:p w14:paraId="080979BE">
            <w:pPr>
              <w:spacing w:line="360" w:lineRule="auto"/>
              <w:rPr>
                <w:rFonts w:hint="eastAsia" w:ascii="仿宋" w:hAnsi="仿宋" w:eastAsia="仿宋" w:cs="仿宋"/>
                <w:color w:val="auto"/>
                <w:sz w:val="24"/>
                <w:highlight w:val="none"/>
                <w:lang w:val="zh-TW"/>
              </w:rPr>
            </w:pPr>
            <w:r>
              <w:rPr>
                <w:rFonts w:hint="eastAsia" w:ascii="仿宋" w:hAnsi="仿宋" w:eastAsia="仿宋" w:cs="仿宋"/>
                <w:color w:val="auto"/>
                <w:sz w:val="22"/>
                <w:szCs w:val="22"/>
                <w:highlight w:val="none"/>
                <w:lang w:val="zh-TW"/>
              </w:rPr>
              <w:t>中小企业应当按照《政府采购促进中小企业发展管理办法》（财库〔2020〕46号）规定和《中小企业划型标准规定》（工信部联企业〔2011〕300号），如实填写并提交《中小企业声明函》，采购人、采购代理机构不要求供应商提供《中小企业声明函》之外的中小企业身份证明文件。工业和信息化部组织开发了中小企业规模类型自测小程序于2020年2月27日上线运行，在国务院客户端和工业和信息化部网站上均有链接（http://202.106.120.146/baosong/appweb/orgScale.html），广大中小企业和各类社会机构填写企业所属的行业和指标数据自动生成企业规模类型测试结果。</w:t>
            </w:r>
          </w:p>
        </w:tc>
      </w:tr>
      <w:tr w14:paraId="31F2C0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trPr>
        <w:tc>
          <w:tcPr>
            <w:tcW w:w="365" w:type="pct"/>
            <w:tcBorders>
              <w:top w:val="single" w:color="auto" w:sz="4" w:space="0"/>
              <w:left w:val="single" w:color="auto" w:sz="4" w:space="0"/>
              <w:bottom w:val="single" w:color="auto" w:sz="4" w:space="0"/>
              <w:right w:val="single" w:color="auto" w:sz="4" w:space="0"/>
            </w:tcBorders>
          </w:tcPr>
          <w:p w14:paraId="68E50822">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998" w:type="pct"/>
            <w:tcBorders>
              <w:top w:val="single" w:color="000000" w:sz="8" w:space="0"/>
              <w:left w:val="single" w:color="auto" w:sz="4" w:space="0"/>
              <w:bottom w:val="single" w:color="000000" w:sz="8" w:space="0"/>
              <w:right w:val="single" w:color="000000" w:sz="8" w:space="0"/>
            </w:tcBorders>
            <w:vAlign w:val="center"/>
          </w:tcPr>
          <w:p w14:paraId="3575EFB2">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3636" w:type="pct"/>
            <w:tcBorders>
              <w:top w:val="single" w:color="000000" w:sz="8" w:space="0"/>
              <w:left w:val="single" w:color="000000" w:sz="2" w:space="0"/>
              <w:bottom w:val="single" w:color="000000" w:sz="8" w:space="0"/>
              <w:right w:val="single" w:color="000000" w:sz="8" w:space="0"/>
            </w:tcBorders>
            <w:vAlign w:val="center"/>
          </w:tcPr>
          <w:p w14:paraId="0879565C">
            <w:pPr>
              <w:spacing w:line="360" w:lineRule="auto"/>
              <w:rPr>
                <w:rFonts w:ascii="仿宋" w:hAnsi="仿宋" w:eastAsia="仿宋" w:cs="仿宋"/>
                <w:color w:val="auto"/>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tc>
      </w:tr>
      <w:tr w14:paraId="1770F5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48E1B0C0">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998" w:type="pct"/>
            <w:tcBorders>
              <w:top w:val="single" w:color="000000" w:sz="8" w:space="0"/>
              <w:left w:val="single" w:color="auto" w:sz="4" w:space="0"/>
              <w:bottom w:val="single" w:color="000000" w:sz="8" w:space="0"/>
              <w:right w:val="single" w:color="000000" w:sz="8" w:space="0"/>
            </w:tcBorders>
            <w:vAlign w:val="center"/>
          </w:tcPr>
          <w:p w14:paraId="15469A9B">
            <w:p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3636" w:type="pct"/>
            <w:tcBorders>
              <w:top w:val="single" w:color="000000" w:sz="8" w:space="0"/>
              <w:left w:val="single" w:color="000000" w:sz="2" w:space="0"/>
              <w:bottom w:val="single" w:color="000000" w:sz="8" w:space="0"/>
              <w:right w:val="single" w:color="000000" w:sz="8" w:space="0"/>
            </w:tcBorders>
            <w:vAlign w:val="center"/>
          </w:tcPr>
          <w:p w14:paraId="50A5F284">
            <w:pPr>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47728692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服务  </w:t>
            </w:r>
            <w:r>
              <w:rPr>
                <w:rFonts w:hint="eastAsia" w:ascii="仿宋" w:hAnsi="仿宋" w:eastAsia="仿宋" w:cs="仿宋"/>
                <w:color w:val="auto"/>
                <w:sz w:val="24"/>
                <w:highlight w:val="none"/>
              </w:rPr>
              <w:t>工作分包。</w:t>
            </w:r>
          </w:p>
          <w:p w14:paraId="0955935D">
            <w:pPr>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不同意分包。</w:t>
            </w:r>
          </w:p>
          <w:p w14:paraId="33030F5B">
            <w:pPr>
              <w:rPr>
                <w:rFonts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0A696E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637C330B">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998" w:type="pct"/>
            <w:tcBorders>
              <w:top w:val="single" w:color="000000" w:sz="8" w:space="0"/>
              <w:left w:val="single" w:color="auto" w:sz="4" w:space="0"/>
              <w:bottom w:val="single" w:color="000000" w:sz="8" w:space="0"/>
              <w:right w:val="single" w:color="000000" w:sz="8" w:space="0"/>
            </w:tcBorders>
            <w:vAlign w:val="center"/>
          </w:tcPr>
          <w:p w14:paraId="2EBF14B3">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3636" w:type="pct"/>
            <w:tcBorders>
              <w:top w:val="single" w:color="000000" w:sz="8" w:space="0"/>
              <w:left w:val="single" w:color="000000" w:sz="2" w:space="0"/>
              <w:bottom w:val="single" w:color="000000" w:sz="8" w:space="0"/>
              <w:right w:val="single" w:color="000000" w:sz="8" w:space="0"/>
            </w:tcBorders>
            <w:vAlign w:val="center"/>
          </w:tcPr>
          <w:p w14:paraId="7389D97C">
            <w:pPr>
              <w:spacing w:line="360" w:lineRule="auto"/>
              <w:rPr>
                <w:rFonts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sz w:val="24"/>
                <w:highlight w:val="none"/>
              </w:rPr>
              <w:t>不组织。</w:t>
            </w:r>
          </w:p>
        </w:tc>
      </w:tr>
      <w:tr w14:paraId="7FCE10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0"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09C78372">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998" w:type="pct"/>
            <w:tcBorders>
              <w:top w:val="single" w:color="000000" w:sz="8" w:space="0"/>
              <w:left w:val="single" w:color="auto" w:sz="4" w:space="0"/>
              <w:bottom w:val="single" w:color="000000" w:sz="8" w:space="0"/>
              <w:right w:val="single" w:color="000000" w:sz="8" w:space="0"/>
            </w:tcBorders>
            <w:vAlign w:val="center"/>
          </w:tcPr>
          <w:p w14:paraId="460A606A">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3636" w:type="pct"/>
            <w:tcBorders>
              <w:top w:val="single" w:color="000000" w:sz="8" w:space="0"/>
              <w:left w:val="single" w:color="000000" w:sz="2" w:space="0"/>
              <w:bottom w:val="single" w:color="000000" w:sz="8" w:space="0"/>
              <w:right w:val="single" w:color="000000" w:sz="8" w:space="0"/>
            </w:tcBorders>
            <w:vAlign w:val="center"/>
          </w:tcPr>
          <w:p w14:paraId="17219E99">
            <w:pPr>
              <w:spacing w:line="360" w:lineRule="auto"/>
              <w:rPr>
                <w:rFonts w:ascii="仿宋" w:hAnsi="仿宋" w:eastAsia="仿宋" w:cs="仿宋"/>
                <w:b/>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sz w:val="24"/>
                <w:highlight w:val="none"/>
              </w:rPr>
              <w:t>不要求提供。</w:t>
            </w:r>
          </w:p>
        </w:tc>
      </w:tr>
      <w:tr w14:paraId="3E0B50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6"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1F4D6C7A">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998" w:type="pct"/>
            <w:tcBorders>
              <w:top w:val="single" w:color="000000" w:sz="8" w:space="0"/>
              <w:left w:val="single" w:color="auto" w:sz="4" w:space="0"/>
              <w:bottom w:val="single" w:color="000000" w:sz="8" w:space="0"/>
              <w:right w:val="single" w:color="000000" w:sz="8" w:space="0"/>
            </w:tcBorders>
            <w:vAlign w:val="center"/>
          </w:tcPr>
          <w:p w14:paraId="7847377E">
            <w:pPr>
              <w:snapToGrid w:val="0"/>
              <w:spacing w:line="360" w:lineRule="auto"/>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3636" w:type="pct"/>
            <w:tcBorders>
              <w:top w:val="single" w:color="000000" w:sz="8" w:space="0"/>
              <w:left w:val="single" w:color="000000" w:sz="2" w:space="0"/>
              <w:bottom w:val="single" w:color="000000" w:sz="8" w:space="0"/>
              <w:right w:val="single" w:color="000000" w:sz="8" w:space="0"/>
            </w:tcBorders>
            <w:vAlign w:val="center"/>
          </w:tcPr>
          <w:p w14:paraId="5F28DF4C">
            <w:pPr>
              <w:spacing w:line="360" w:lineRule="auto"/>
              <w:rPr>
                <w:rFonts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sz w:val="24"/>
                <w:highlight w:val="none"/>
              </w:rPr>
              <w:t>不组织。</w:t>
            </w:r>
          </w:p>
        </w:tc>
      </w:tr>
      <w:tr w14:paraId="288D87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5" w:type="pct"/>
            <w:vMerge w:val="restart"/>
            <w:tcBorders>
              <w:top w:val="single" w:color="auto" w:sz="4" w:space="0"/>
              <w:left w:val="single" w:color="auto" w:sz="4" w:space="0"/>
              <w:right w:val="single" w:color="auto" w:sz="4" w:space="0"/>
            </w:tcBorders>
            <w:vAlign w:val="center"/>
          </w:tcPr>
          <w:p w14:paraId="53213184">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998" w:type="pct"/>
            <w:vMerge w:val="restart"/>
            <w:tcBorders>
              <w:top w:val="single" w:color="000000" w:sz="8" w:space="0"/>
              <w:left w:val="single" w:color="auto" w:sz="4" w:space="0"/>
              <w:right w:val="single" w:color="000000" w:sz="8" w:space="0"/>
            </w:tcBorders>
            <w:vAlign w:val="center"/>
          </w:tcPr>
          <w:p w14:paraId="3B75668D">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3636" w:type="pct"/>
            <w:tcBorders>
              <w:top w:val="single" w:color="000000" w:sz="8" w:space="0"/>
              <w:left w:val="single" w:color="000000" w:sz="2" w:space="0"/>
              <w:bottom w:val="single" w:color="auto" w:sz="4" w:space="0"/>
              <w:right w:val="single" w:color="000000" w:sz="8" w:space="0"/>
            </w:tcBorders>
            <w:vAlign w:val="center"/>
          </w:tcPr>
          <w:p w14:paraId="21EC01A5">
            <w:pPr>
              <w:numPr>
                <w:ilvl w:val="0"/>
                <w:numId w:val="1"/>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资格证明文件：见招标文件第二部分11.1。</w:t>
            </w:r>
          </w:p>
          <w:p w14:paraId="7607E949">
            <w:pPr>
              <w:spacing w:line="360" w:lineRule="auto"/>
              <w:rPr>
                <w:rFonts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261F3B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5" w:type="pct"/>
            <w:vMerge w:val="continue"/>
            <w:tcBorders>
              <w:left w:val="single" w:color="auto" w:sz="4" w:space="0"/>
              <w:bottom w:val="single" w:color="auto" w:sz="4" w:space="0"/>
              <w:right w:val="single" w:color="auto" w:sz="4" w:space="0"/>
            </w:tcBorders>
          </w:tcPr>
          <w:p w14:paraId="588AE4FD">
            <w:pPr>
              <w:snapToGrid w:val="0"/>
              <w:spacing w:line="360" w:lineRule="auto"/>
              <w:jc w:val="center"/>
              <w:rPr>
                <w:rFonts w:ascii="仿宋" w:hAnsi="仿宋" w:eastAsia="仿宋" w:cs="仿宋"/>
                <w:color w:val="auto"/>
                <w:sz w:val="24"/>
                <w:highlight w:val="none"/>
              </w:rPr>
            </w:pPr>
          </w:p>
        </w:tc>
        <w:tc>
          <w:tcPr>
            <w:tcW w:w="998" w:type="pct"/>
            <w:vMerge w:val="continue"/>
            <w:tcBorders>
              <w:left w:val="single" w:color="auto" w:sz="4" w:space="0"/>
              <w:bottom w:val="single" w:color="000000" w:sz="8" w:space="0"/>
              <w:right w:val="single" w:color="000000" w:sz="8" w:space="0"/>
            </w:tcBorders>
            <w:vAlign w:val="center"/>
          </w:tcPr>
          <w:p w14:paraId="637F9AF8">
            <w:pPr>
              <w:snapToGrid w:val="0"/>
              <w:spacing w:line="360" w:lineRule="auto"/>
              <w:jc w:val="center"/>
              <w:rPr>
                <w:rFonts w:ascii="仿宋" w:hAnsi="仿宋" w:eastAsia="仿宋" w:cs="仿宋"/>
                <w:b/>
                <w:color w:val="auto"/>
                <w:sz w:val="24"/>
                <w:highlight w:val="none"/>
              </w:rPr>
            </w:pPr>
          </w:p>
        </w:tc>
        <w:tc>
          <w:tcPr>
            <w:tcW w:w="3636" w:type="pct"/>
            <w:tcBorders>
              <w:top w:val="single" w:color="auto" w:sz="4" w:space="0"/>
              <w:left w:val="single" w:color="000000" w:sz="2" w:space="0"/>
              <w:bottom w:val="single" w:color="000000" w:sz="8" w:space="0"/>
              <w:right w:val="single" w:color="000000" w:sz="8" w:space="0"/>
            </w:tcBorders>
            <w:vAlign w:val="center"/>
          </w:tcPr>
          <w:p w14:paraId="31690CD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42ADCD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65" w:type="pct"/>
            <w:tcBorders>
              <w:top w:val="single" w:color="auto" w:sz="4" w:space="0"/>
              <w:left w:val="single" w:color="000000" w:sz="8" w:space="0"/>
              <w:bottom w:val="single" w:color="auto" w:sz="4" w:space="0"/>
              <w:right w:val="single" w:color="000000" w:sz="2" w:space="0"/>
            </w:tcBorders>
          </w:tcPr>
          <w:p w14:paraId="174AAB12">
            <w:pPr>
              <w:snapToGrid w:val="0"/>
              <w:spacing w:line="360" w:lineRule="auto"/>
              <w:jc w:val="center"/>
              <w:rPr>
                <w:rFonts w:ascii="仿宋" w:hAnsi="仿宋" w:eastAsia="仿宋" w:cs="仿宋"/>
                <w:color w:val="auto"/>
                <w:sz w:val="24"/>
                <w:highlight w:val="none"/>
              </w:rPr>
            </w:pPr>
          </w:p>
          <w:p w14:paraId="26919F51">
            <w:pPr>
              <w:snapToGrid w:val="0"/>
              <w:spacing w:line="360" w:lineRule="auto"/>
              <w:jc w:val="center"/>
              <w:rPr>
                <w:rFonts w:ascii="仿宋" w:hAnsi="仿宋" w:eastAsia="仿宋" w:cs="仿宋"/>
                <w:color w:val="auto"/>
                <w:sz w:val="24"/>
                <w:highlight w:val="none"/>
              </w:rPr>
            </w:pPr>
          </w:p>
          <w:p w14:paraId="3B99AEBB">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998" w:type="pct"/>
            <w:tcBorders>
              <w:top w:val="single" w:color="000000" w:sz="8" w:space="0"/>
              <w:left w:val="single" w:color="000000" w:sz="2" w:space="0"/>
              <w:bottom w:val="single" w:color="000000" w:sz="8" w:space="0"/>
              <w:right w:val="single" w:color="000000" w:sz="8" w:space="0"/>
            </w:tcBorders>
            <w:vAlign w:val="center"/>
          </w:tcPr>
          <w:p w14:paraId="11D120A4">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3636" w:type="pct"/>
            <w:tcBorders>
              <w:top w:val="single" w:color="000000" w:sz="8" w:space="0"/>
              <w:left w:val="single" w:color="000000" w:sz="2" w:space="0"/>
              <w:bottom w:val="single" w:color="000000" w:sz="8" w:space="0"/>
              <w:right w:val="single" w:color="000000" w:sz="8" w:space="0"/>
            </w:tcBorders>
            <w:vAlign w:val="center"/>
          </w:tcPr>
          <w:p w14:paraId="1EDDEBDA">
            <w:pPr>
              <w:snapToGrid w:val="0"/>
              <w:spacing w:line="360" w:lineRule="auto"/>
              <w:rPr>
                <w:rFonts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0EE1C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65" w:hRule="atLeast"/>
          <w:tblHeader/>
        </w:trPr>
        <w:tc>
          <w:tcPr>
            <w:tcW w:w="365" w:type="pct"/>
            <w:tcBorders>
              <w:top w:val="single" w:color="auto" w:sz="4" w:space="0"/>
              <w:left w:val="single" w:color="000000" w:sz="8" w:space="0"/>
              <w:bottom w:val="single" w:color="auto" w:sz="4" w:space="0"/>
              <w:right w:val="single" w:color="000000" w:sz="2" w:space="0"/>
            </w:tcBorders>
            <w:vAlign w:val="center"/>
          </w:tcPr>
          <w:p w14:paraId="20B0C5DF">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998" w:type="pct"/>
            <w:tcBorders>
              <w:top w:val="single" w:color="000000" w:sz="8" w:space="0"/>
              <w:left w:val="single" w:color="000000" w:sz="2" w:space="0"/>
              <w:bottom w:val="single" w:color="000000" w:sz="8" w:space="0"/>
              <w:right w:val="single" w:color="000000" w:sz="8" w:space="0"/>
            </w:tcBorders>
            <w:vAlign w:val="center"/>
          </w:tcPr>
          <w:p w14:paraId="38A3BBDA">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3636" w:type="pct"/>
            <w:tcBorders>
              <w:top w:val="single" w:color="000000" w:sz="8" w:space="0"/>
              <w:left w:val="single" w:color="000000" w:sz="2" w:space="0"/>
              <w:bottom w:val="single" w:color="000000" w:sz="8" w:space="0"/>
              <w:right w:val="single" w:color="000000" w:sz="8" w:space="0"/>
            </w:tcBorders>
            <w:vAlign w:val="center"/>
          </w:tcPr>
          <w:p w14:paraId="7C6A6ABD">
            <w:pPr>
              <w:snapToGrid w:val="0"/>
              <w:spacing w:line="360" w:lineRule="auto"/>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198DDEFB">
            <w:pPr>
              <w:snapToGrid w:val="0"/>
              <w:spacing w:line="360" w:lineRule="auto"/>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72B002A5">
            <w:pPr>
              <w:snapToGrid w:val="0"/>
              <w:spacing w:line="360" w:lineRule="auto"/>
              <w:ind w:firstLine="241" w:firstLineChars="100"/>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65626E5F">
            <w:pPr>
              <w:snapToGrid w:val="0"/>
              <w:spacing w:line="360" w:lineRule="auto"/>
              <w:ind w:firstLine="241" w:firstLineChars="100"/>
              <w:jc w:val="left"/>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0C312B3A">
            <w:pPr>
              <w:spacing w:line="360" w:lineRule="auto"/>
              <w:ind w:firstLine="241" w:firstLineChars="100"/>
              <w:rPr>
                <w:rFonts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5553F515">
            <w:pPr>
              <w:spacing w:line="360" w:lineRule="auto"/>
              <w:ind w:firstLine="241" w:firstLineChars="100"/>
              <w:rPr>
                <w:rFonts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610043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8" w:hRule="atLeast"/>
          <w:tblHeader/>
        </w:trPr>
        <w:tc>
          <w:tcPr>
            <w:tcW w:w="365" w:type="pct"/>
            <w:tcBorders>
              <w:top w:val="single" w:color="auto" w:sz="4" w:space="0"/>
              <w:left w:val="single" w:color="000000" w:sz="8" w:space="0"/>
              <w:right w:val="single" w:color="000000" w:sz="2" w:space="0"/>
            </w:tcBorders>
            <w:vAlign w:val="center"/>
          </w:tcPr>
          <w:p w14:paraId="19C7DCE6">
            <w:pPr>
              <w:snapToGrid w:val="0"/>
              <w:spacing w:line="360" w:lineRule="auto"/>
              <w:jc w:val="center"/>
              <w:rPr>
                <w:rFonts w:ascii="仿宋" w:hAnsi="仿宋" w:eastAsia="仿宋" w:cs="仿宋"/>
                <w:color w:val="auto"/>
                <w:sz w:val="24"/>
                <w:highlight w:val="none"/>
              </w:rPr>
            </w:pPr>
          </w:p>
          <w:p w14:paraId="23723634">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998" w:type="pct"/>
            <w:tcBorders>
              <w:top w:val="single" w:color="000000" w:sz="8" w:space="0"/>
              <w:left w:val="single" w:color="000000" w:sz="2" w:space="0"/>
              <w:right w:val="single" w:color="000000" w:sz="8" w:space="0"/>
            </w:tcBorders>
            <w:vAlign w:val="center"/>
          </w:tcPr>
          <w:p w14:paraId="6F9629C7">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3636" w:type="pct"/>
            <w:tcBorders>
              <w:top w:val="single" w:color="000000" w:sz="8" w:space="0"/>
              <w:left w:val="single" w:color="000000" w:sz="2" w:space="0"/>
              <w:right w:val="single" w:color="000000" w:sz="8" w:space="0"/>
            </w:tcBorders>
            <w:vAlign w:val="center"/>
          </w:tcPr>
          <w:p w14:paraId="6ECD9CAB">
            <w:pPr>
              <w:spacing w:line="360" w:lineRule="auto"/>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BFE86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9" w:hRule="atLeast"/>
          <w:tblHeader/>
        </w:trPr>
        <w:tc>
          <w:tcPr>
            <w:tcW w:w="365" w:type="pct"/>
            <w:tcBorders>
              <w:top w:val="single" w:color="auto" w:sz="4" w:space="0"/>
              <w:left w:val="single" w:color="000000" w:sz="8" w:space="0"/>
              <w:bottom w:val="single" w:color="auto" w:sz="4" w:space="0"/>
              <w:right w:val="single" w:color="000000" w:sz="2" w:space="0"/>
            </w:tcBorders>
            <w:vAlign w:val="center"/>
          </w:tcPr>
          <w:p w14:paraId="621E2DAD">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998" w:type="pct"/>
            <w:tcBorders>
              <w:top w:val="single" w:color="000000" w:sz="8" w:space="0"/>
              <w:left w:val="single" w:color="000000" w:sz="2" w:space="0"/>
              <w:bottom w:val="single" w:color="000000" w:sz="8" w:space="0"/>
              <w:right w:val="single" w:color="000000" w:sz="8" w:space="0"/>
            </w:tcBorders>
            <w:vAlign w:val="center"/>
          </w:tcPr>
          <w:p w14:paraId="3ACB2A41">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3636" w:type="pct"/>
            <w:tcBorders>
              <w:top w:val="single" w:color="000000" w:sz="8" w:space="0"/>
              <w:left w:val="single" w:color="000000" w:sz="2" w:space="0"/>
              <w:bottom w:val="single" w:color="000000" w:sz="8" w:space="0"/>
              <w:right w:val="single" w:color="000000" w:sz="8" w:space="0"/>
            </w:tcBorders>
            <w:vAlign w:val="center"/>
          </w:tcPr>
          <w:p w14:paraId="1F20C260">
            <w:pPr>
              <w:pStyle w:val="9"/>
              <w:spacing w:line="360" w:lineRule="auto"/>
              <w:rPr>
                <w:rFonts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kern w:val="28"/>
                <w:sz w:val="24"/>
                <w:szCs w:val="24"/>
                <w:highlight w:val="none"/>
                <w:u w:val="single"/>
              </w:rPr>
              <w:t>杭州市西湖区西斗门路 5 号中天 MCC2 座 1101室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kern w:val="28"/>
                <w:sz w:val="24"/>
                <w:szCs w:val="24"/>
                <w:highlight w:val="none"/>
                <w:u w:val="single"/>
                <w:lang w:val="en-US" w:eastAsia="zh-CN"/>
              </w:rPr>
              <w:t>15858255939</w:t>
            </w:r>
            <w:r>
              <w:rPr>
                <w:rFonts w:hint="eastAsia" w:ascii="仿宋" w:hAnsi="仿宋" w:eastAsia="仿宋" w:cs="仿宋"/>
                <w:color w:val="auto"/>
                <w:sz w:val="24"/>
                <w:szCs w:val="24"/>
                <w:highlight w:val="none"/>
              </w:rPr>
              <w:t>。</w:t>
            </w:r>
          </w:p>
          <w:p w14:paraId="46CDB0A5">
            <w:pPr>
              <w:pStyle w:val="9"/>
              <w:spacing w:line="360" w:lineRule="auto"/>
              <w:rPr>
                <w:rFonts w:ascii="仿宋" w:hAnsi="仿宋" w:eastAsia="仿宋" w:cs="仿宋"/>
                <w:color w:val="auto"/>
                <w:kern w:val="28"/>
                <w:sz w:val="24"/>
                <w:highlight w:val="none"/>
              </w:rPr>
            </w:pPr>
            <w:r>
              <w:rPr>
                <w:rFonts w:hint="eastAsia" w:ascii="仿宋" w:hAnsi="仿宋" w:eastAsia="仿宋" w:cs="仿宋"/>
                <w:b/>
                <w:color w:val="auto"/>
                <w:sz w:val="24"/>
                <w:szCs w:val="24"/>
                <w:highlight w:val="none"/>
              </w:rPr>
              <w:t>采购人、采购代理机构不强制或变相强制投标人提交备份投标文件。</w:t>
            </w:r>
          </w:p>
        </w:tc>
      </w:tr>
      <w:tr w14:paraId="3B035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5" w:hRule="atLeast"/>
          <w:tblHeader/>
        </w:trPr>
        <w:tc>
          <w:tcPr>
            <w:tcW w:w="365" w:type="pct"/>
            <w:vMerge w:val="restart"/>
            <w:tcBorders>
              <w:top w:val="single" w:color="auto" w:sz="4" w:space="0"/>
              <w:left w:val="single" w:color="000000" w:sz="8" w:space="0"/>
              <w:right w:val="single" w:color="000000" w:sz="2" w:space="0"/>
            </w:tcBorders>
            <w:vAlign w:val="center"/>
          </w:tcPr>
          <w:p w14:paraId="4E7F9C6A">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998" w:type="pct"/>
            <w:vMerge w:val="restart"/>
            <w:tcBorders>
              <w:top w:val="single" w:color="000000" w:sz="8" w:space="0"/>
              <w:left w:val="single" w:color="000000" w:sz="2" w:space="0"/>
              <w:right w:val="single" w:color="000000" w:sz="8" w:space="0"/>
            </w:tcBorders>
            <w:vAlign w:val="center"/>
          </w:tcPr>
          <w:p w14:paraId="10A064C1">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3636" w:type="pct"/>
            <w:tcBorders>
              <w:top w:val="single" w:color="000000" w:sz="8" w:space="0"/>
              <w:left w:val="single" w:color="000000" w:sz="2" w:space="0"/>
              <w:bottom w:val="single" w:color="000000" w:sz="8" w:space="0"/>
              <w:right w:val="single" w:color="000000" w:sz="8" w:space="0"/>
            </w:tcBorders>
            <w:vAlign w:val="center"/>
          </w:tcPr>
          <w:p w14:paraId="7445F635">
            <w:pPr>
              <w:spacing w:line="360" w:lineRule="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31EAD1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5" w:type="pct"/>
            <w:vMerge w:val="continue"/>
            <w:tcBorders>
              <w:left w:val="single" w:color="000000" w:sz="8" w:space="0"/>
              <w:right w:val="single" w:color="000000" w:sz="2" w:space="0"/>
            </w:tcBorders>
          </w:tcPr>
          <w:p w14:paraId="09E0C3AF">
            <w:pPr>
              <w:snapToGrid w:val="0"/>
              <w:spacing w:line="360" w:lineRule="auto"/>
              <w:jc w:val="center"/>
              <w:rPr>
                <w:rFonts w:ascii="仿宋" w:hAnsi="仿宋" w:eastAsia="仿宋" w:cs="仿宋"/>
                <w:color w:val="auto"/>
                <w:sz w:val="24"/>
                <w:highlight w:val="none"/>
              </w:rPr>
            </w:pPr>
          </w:p>
        </w:tc>
        <w:tc>
          <w:tcPr>
            <w:tcW w:w="998" w:type="pct"/>
            <w:vMerge w:val="continue"/>
            <w:tcBorders>
              <w:left w:val="single" w:color="000000" w:sz="2" w:space="0"/>
              <w:right w:val="single" w:color="000000" w:sz="8" w:space="0"/>
            </w:tcBorders>
            <w:vAlign w:val="center"/>
          </w:tcPr>
          <w:p w14:paraId="0EBFCC85">
            <w:pPr>
              <w:snapToGrid w:val="0"/>
              <w:spacing w:line="360" w:lineRule="auto"/>
              <w:jc w:val="center"/>
              <w:rPr>
                <w:rFonts w:ascii="仿宋" w:hAnsi="仿宋" w:eastAsia="仿宋" w:cs="仿宋"/>
                <w:b/>
                <w:color w:val="auto"/>
                <w:sz w:val="24"/>
                <w:highlight w:val="none"/>
              </w:rPr>
            </w:pPr>
          </w:p>
        </w:tc>
        <w:tc>
          <w:tcPr>
            <w:tcW w:w="3636" w:type="pct"/>
            <w:tcBorders>
              <w:top w:val="single" w:color="000000" w:sz="8" w:space="0"/>
              <w:left w:val="single" w:color="000000" w:sz="2" w:space="0"/>
              <w:bottom w:val="single" w:color="000000" w:sz="8" w:space="0"/>
              <w:right w:val="single" w:color="000000" w:sz="8" w:space="0"/>
            </w:tcBorders>
            <w:vAlign w:val="center"/>
          </w:tcPr>
          <w:p w14:paraId="6F15C9C7">
            <w:pPr>
              <w:spacing w:line="360" w:lineRule="auto"/>
              <w:rPr>
                <w:rFonts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23231189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0D8586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5" w:type="pct"/>
            <w:tcBorders>
              <w:left w:val="single" w:color="000000" w:sz="8" w:space="0"/>
              <w:bottom w:val="single" w:color="auto" w:sz="4" w:space="0"/>
              <w:right w:val="single" w:color="000000" w:sz="2" w:space="0"/>
            </w:tcBorders>
          </w:tcPr>
          <w:p w14:paraId="187C9EEB">
            <w:pPr>
              <w:snapToGrid w:val="0"/>
              <w:spacing w:line="360" w:lineRule="auto"/>
              <w:jc w:val="center"/>
              <w:rPr>
                <w:rFonts w:ascii="仿宋" w:hAnsi="仿宋" w:eastAsia="仿宋" w:cs="仿宋"/>
                <w:color w:val="auto"/>
                <w:sz w:val="24"/>
                <w:highlight w:val="none"/>
              </w:rPr>
            </w:pPr>
          </w:p>
        </w:tc>
        <w:tc>
          <w:tcPr>
            <w:tcW w:w="998" w:type="pct"/>
            <w:tcBorders>
              <w:left w:val="single" w:color="000000" w:sz="2" w:space="0"/>
              <w:bottom w:val="single" w:color="000000" w:sz="8" w:space="0"/>
              <w:right w:val="single" w:color="000000" w:sz="8" w:space="0"/>
            </w:tcBorders>
            <w:vAlign w:val="center"/>
          </w:tcPr>
          <w:p w14:paraId="7FE968BF">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招标代理服务费</w:t>
            </w:r>
          </w:p>
        </w:tc>
        <w:tc>
          <w:tcPr>
            <w:tcW w:w="3636" w:type="pct"/>
            <w:tcBorders>
              <w:top w:val="single" w:color="000000" w:sz="8" w:space="0"/>
              <w:left w:val="single" w:color="000000" w:sz="2" w:space="0"/>
              <w:bottom w:val="single" w:color="000000" w:sz="8" w:space="0"/>
              <w:right w:val="single" w:color="000000" w:sz="8" w:space="0"/>
            </w:tcBorders>
            <w:vAlign w:val="center"/>
          </w:tcPr>
          <w:p w14:paraId="38645D40">
            <w:pPr>
              <w:spacing w:line="360" w:lineRule="auto"/>
              <w:rPr>
                <w:rFonts w:ascii="仿宋" w:hAnsi="仿宋" w:eastAsia="仿宋" w:cs="仿宋"/>
                <w:snapToGrid w:val="0"/>
                <w:color w:val="auto"/>
                <w:kern w:val="28"/>
                <w:sz w:val="24"/>
                <w:highlight w:val="none"/>
                <w:lang w:val="zh-TW" w:eastAsia="zh-TW"/>
              </w:rPr>
            </w:pPr>
            <w:r>
              <w:rPr>
                <w:rFonts w:hint="eastAsia" w:ascii="仿宋" w:hAnsi="仿宋" w:eastAsia="仿宋" w:cs="仿宋"/>
                <w:b/>
                <w:bCs/>
                <w:snapToGrid w:val="0"/>
                <w:color w:val="auto"/>
                <w:kern w:val="28"/>
                <w:sz w:val="24"/>
                <w:highlight w:val="none"/>
              </w:rPr>
              <w:t>收取标准：</w:t>
            </w:r>
            <w:r>
              <w:rPr>
                <w:rFonts w:hint="eastAsia" w:ascii="仿宋" w:hAnsi="仿宋" w:eastAsia="仿宋" w:cs="仿宋"/>
                <w:snapToGrid w:val="0"/>
                <w:color w:val="auto"/>
                <w:kern w:val="28"/>
                <w:sz w:val="24"/>
                <w:highlight w:val="none"/>
              </w:rPr>
              <w:t>本项目招标代理服务费按国家计委关于印发《招标代理服务收费管理暂行办法》的通知计价格[2002]1980号文件规定的收费标准计算，以标段中标金额为计算基数。由中标人在领取中标通知书时一次性向代理机构支付。该费用在投标文件中不单列，由中标人在投标总报价中综合考虑。</w:t>
            </w:r>
          </w:p>
          <w:p w14:paraId="7D5A2F72">
            <w:pPr>
              <w:spacing w:line="360" w:lineRule="auto"/>
              <w:rPr>
                <w:rFonts w:ascii="仿宋" w:hAnsi="仿宋" w:eastAsia="仿宋" w:cs="仿宋"/>
                <w:snapToGrid w:val="0"/>
                <w:color w:val="auto"/>
                <w:kern w:val="28"/>
                <w:sz w:val="24"/>
                <w:highlight w:val="none"/>
              </w:rPr>
            </w:pPr>
            <w:r>
              <w:rPr>
                <w:rFonts w:hint="eastAsia" w:ascii="仿宋" w:hAnsi="仿宋" w:eastAsia="仿宋" w:cs="仿宋"/>
                <w:b/>
                <w:bCs/>
                <w:snapToGrid w:val="0"/>
                <w:color w:val="auto"/>
                <w:kern w:val="28"/>
                <w:sz w:val="24"/>
                <w:highlight w:val="none"/>
              </w:rPr>
              <w:t>收取方式：</w:t>
            </w:r>
            <w:r>
              <w:rPr>
                <w:rFonts w:hint="eastAsia" w:ascii="仿宋" w:hAnsi="仿宋" w:eastAsia="仿宋" w:cs="仿宋"/>
                <w:snapToGrid w:val="0"/>
                <w:color w:val="auto"/>
                <w:kern w:val="28"/>
                <w:sz w:val="24"/>
                <w:highlight w:val="none"/>
              </w:rPr>
              <w:t>本项目的代理费由中标人支付。由中标人在领取中标通知书时一次性向代理机构付清。账户信息如下：</w:t>
            </w:r>
          </w:p>
          <w:p w14:paraId="07DB2865">
            <w:pPr>
              <w:spacing w:line="360" w:lineRule="auto"/>
              <w:rPr>
                <w:rFonts w:hint="eastAsia" w:ascii="仿宋" w:hAnsi="仿宋" w:eastAsia="仿宋" w:cs="仿宋"/>
                <w:snapToGrid w:val="0"/>
                <w:color w:val="auto"/>
                <w:kern w:val="28"/>
                <w:sz w:val="24"/>
                <w:highlight w:val="none"/>
                <w:lang w:eastAsia="zh-CN"/>
              </w:rPr>
            </w:pPr>
            <w:r>
              <w:rPr>
                <w:rFonts w:hint="eastAsia" w:ascii="仿宋" w:hAnsi="仿宋" w:eastAsia="仿宋" w:cs="仿宋"/>
                <w:snapToGrid w:val="0"/>
                <w:color w:val="auto"/>
                <w:kern w:val="28"/>
                <w:sz w:val="24"/>
                <w:highlight w:val="none"/>
              </w:rPr>
              <w:t>收款单位：</w:t>
            </w:r>
            <w:r>
              <w:rPr>
                <w:rFonts w:hint="eastAsia" w:ascii="仿宋" w:hAnsi="仿宋" w:eastAsia="仿宋" w:cs="仿宋"/>
                <w:snapToGrid w:val="0"/>
                <w:color w:val="auto"/>
                <w:kern w:val="28"/>
                <w:sz w:val="24"/>
                <w:highlight w:val="none"/>
                <w:lang w:eastAsia="zh-CN"/>
              </w:rPr>
              <w:t>杭州大江建设项目管理有限公司</w:t>
            </w:r>
          </w:p>
          <w:p w14:paraId="2D62B28C">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开户银行：杭州银行大关支行</w:t>
            </w:r>
          </w:p>
          <w:p w14:paraId="66F2D941">
            <w:pPr>
              <w:spacing w:line="360" w:lineRule="auto"/>
              <w:rPr>
                <w:rFonts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账    号：7631 8100 1710 18</w:t>
            </w:r>
          </w:p>
        </w:tc>
      </w:tr>
      <w:bookmarkEnd w:id="9"/>
    </w:tbl>
    <w:p w14:paraId="567B4353">
      <w:pPr>
        <w:rPr>
          <w:rFonts w:ascii="仿宋" w:hAnsi="仿宋" w:eastAsia="仿宋" w:cs="仿宋"/>
          <w:b/>
          <w:color w:val="auto"/>
          <w:sz w:val="32"/>
          <w:szCs w:val="20"/>
          <w:highlight w:val="none"/>
        </w:rPr>
      </w:pPr>
      <w:bookmarkStart w:id="10" w:name="第三部分"/>
      <w:bookmarkStart w:id="11" w:name="_Toc164416483"/>
      <w:r>
        <w:rPr>
          <w:rFonts w:hint="eastAsia" w:ascii="仿宋" w:hAnsi="仿宋" w:eastAsia="仿宋" w:cs="仿宋"/>
          <w:b/>
          <w:color w:val="auto"/>
          <w:sz w:val="32"/>
          <w:szCs w:val="20"/>
          <w:highlight w:val="none"/>
        </w:rPr>
        <w:br w:type="page"/>
      </w:r>
    </w:p>
    <w:p w14:paraId="51D2A257">
      <w:pPr>
        <w:adjustRightInd/>
        <w:spacing w:line="360" w:lineRule="auto"/>
        <w:ind w:firstLine="3845" w:firstLineChars="11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18AABF9F">
      <w:pPr>
        <w:snapToGrid w:val="0"/>
        <w:spacing w:line="360" w:lineRule="auto"/>
        <w:ind w:firstLine="361" w:firstLineChars="15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6985EC55">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51C87436">
      <w:pPr>
        <w:adjustRightInd/>
        <w:spacing w:line="360" w:lineRule="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121F14B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4D6A3C7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7F9EA3D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03FFECD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0C2E7CA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E71E0F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2.6“电子交易平台”系指本项目政府采购活动所依托的政府采购云平台（https://www.zcygov.cn/）。投标人应熟悉并遵守该平台的操作规则，因自身操作失误导致的一切后果由投标人自行承担。</w:t>
      </w:r>
    </w:p>
    <w:p w14:paraId="21D182E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7D97EA40">
      <w:pPr>
        <w:spacing w:line="360" w:lineRule="auto"/>
        <w:ind w:firstLine="241" w:firstLineChars="100"/>
        <w:rPr>
          <w:rFonts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采购项目需要落实的政府采购政策</w:t>
      </w:r>
    </w:p>
    <w:p w14:paraId="48028FA3">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254D39C2">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1EAD7D47">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00ABD04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5A630D1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4F8F8A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p>
    <w:p w14:paraId="7E67FBCD">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7633DF3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F06D84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04A42EE2">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9A736B8">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0EEB078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98CF2A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5F46C3D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8D5008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E811B1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19F862F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68F8BCD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3.4.1采购人优先采购被认定为首台套产品和“制造精品”的自主创新产品。若涉及首台套产品或“制造精品”参与投标，投标人需提供详细的产品说明及相关证明材料，以便采购人进行评估。</w:t>
      </w:r>
    </w:p>
    <w:p w14:paraId="2971AFF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97970F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12EFE829">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14:paraId="18AA2F5C">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3E79451">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7631D498">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0B5BE02">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0747370F">
      <w:pPr>
        <w:pStyle w:val="9"/>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4.3</w:t>
      </w:r>
      <w:r>
        <w:rPr>
          <w:rFonts w:hint="eastAsia" w:ascii="仿宋" w:hAnsi="仿宋" w:eastAsia="仿宋" w:cs="仿宋"/>
          <w:color w:val="auto"/>
          <w:sz w:val="24"/>
          <w:szCs w:val="24"/>
          <w:highlight w:val="none"/>
        </w:rPr>
        <w:t>.1提出质疑的供应商应当是参与所质疑项目采购活动的供应商。潜在供应商已依法获取其可质疑的招标文件的，可以对该文件提出质疑。</w:t>
      </w:r>
    </w:p>
    <w:p w14:paraId="5217F651">
      <w:pPr>
        <w:pStyle w:val="9"/>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4.3</w:t>
      </w:r>
      <w:r>
        <w:rPr>
          <w:rFonts w:hint="eastAsia" w:ascii="仿宋" w:hAnsi="仿宋" w:eastAsia="仿宋" w:cs="仿宋"/>
          <w:color w:val="auto"/>
          <w:sz w:val="24"/>
          <w:szCs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C516048">
      <w:pPr>
        <w:pStyle w:val="3"/>
        <w:spacing w:line="360" w:lineRule="auto"/>
        <w:ind w:firstLine="480" w:firstLineChars="200"/>
        <w:rPr>
          <w:rFonts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4.3.2.1对招标文件提出质疑的，质疑期限为供应商获得招标文件之日或者招标文件公告期限届满之日起计算。</w:t>
      </w:r>
    </w:p>
    <w:p w14:paraId="58E7A8B5">
      <w:pPr>
        <w:pStyle w:val="9"/>
        <w:spacing w:line="360" w:lineRule="auto"/>
        <w:ind w:left="479" w:leftChars="22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4.3.2.2对采购过程提出质疑的，质疑期限为各采购程序环节结束之日起计算。4.3.2.3对采购结果提出质疑的，质疑期限自采购结果公告期限届满之日起计算。</w:t>
      </w:r>
    </w:p>
    <w:p w14:paraId="4A402003">
      <w:pPr>
        <w:pStyle w:val="9"/>
        <w:spacing w:line="360" w:lineRule="auto"/>
        <w:ind w:firstLine="480" w:firstLineChars="200"/>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w:t>
      </w:r>
      <w:r>
        <w:rPr>
          <w:rFonts w:hint="eastAsia" w:ascii="仿宋" w:hAnsi="仿宋" w:eastAsia="仿宋" w:cs="仿宋"/>
          <w:color w:val="auto"/>
          <w:sz w:val="24"/>
          <w:szCs w:val="24"/>
          <w:highlight w:val="none"/>
        </w:rPr>
        <w:t>供应商提出质疑应当提交质疑函和必要的证明材料。质疑函应当包括下列内容：</w:t>
      </w:r>
    </w:p>
    <w:p w14:paraId="19190163">
      <w:pPr>
        <w:pStyle w:val="9"/>
        <w:spacing w:line="360" w:lineRule="auto"/>
        <w:ind w:firstLine="480" w:firstLineChars="200"/>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4.3.3.1供应商的姓名或者名称、地址、邮编、联系人及联系电话；</w:t>
      </w:r>
    </w:p>
    <w:p w14:paraId="6F56F4D3">
      <w:pPr>
        <w:pStyle w:val="9"/>
        <w:spacing w:line="360" w:lineRule="auto"/>
        <w:ind w:firstLine="480" w:firstLineChars="200"/>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4.3.3.2质疑项目的名称、编号；</w:t>
      </w:r>
    </w:p>
    <w:p w14:paraId="75FB35E4">
      <w:pPr>
        <w:pStyle w:val="9"/>
        <w:spacing w:line="360" w:lineRule="auto"/>
        <w:ind w:firstLine="480" w:firstLineChars="200"/>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4.3.3.3具体、明确的质疑事项和与质疑事项相关的请求；</w:t>
      </w:r>
    </w:p>
    <w:p w14:paraId="414F53C1">
      <w:pPr>
        <w:pStyle w:val="9"/>
        <w:spacing w:line="360" w:lineRule="auto"/>
        <w:ind w:firstLine="480" w:firstLineChars="200"/>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4.3.3.4事实依据；</w:t>
      </w:r>
    </w:p>
    <w:p w14:paraId="1B4CEA8F">
      <w:pPr>
        <w:pStyle w:val="9"/>
        <w:spacing w:line="360" w:lineRule="auto"/>
        <w:ind w:firstLine="480" w:firstLineChars="200"/>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4.3.3.5必要的法律依据；</w:t>
      </w:r>
    </w:p>
    <w:p w14:paraId="70CF2273">
      <w:pPr>
        <w:pStyle w:val="9"/>
        <w:spacing w:line="360" w:lineRule="auto"/>
        <w:ind w:firstLine="480" w:firstLineChars="200"/>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4.3.3.6提出质疑的日期。</w:t>
      </w:r>
    </w:p>
    <w:p w14:paraId="55697FF3">
      <w:pPr>
        <w:pStyle w:val="9"/>
        <w:spacing w:line="360" w:lineRule="auto"/>
        <w:ind w:firstLine="480" w:firstLineChars="200"/>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4B5E75F4">
      <w:pPr>
        <w:pStyle w:val="9"/>
        <w:spacing w:line="360" w:lineRule="auto"/>
        <w:ind w:firstLine="480" w:firstLineChars="200"/>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质疑函范本及制作说明详见附件2。</w:t>
      </w:r>
    </w:p>
    <w:p w14:paraId="01DFE1F8">
      <w:pPr>
        <w:pStyle w:val="9"/>
        <w:spacing w:line="360" w:lineRule="auto"/>
        <w:ind w:firstLine="480" w:firstLineChars="200"/>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4.3.4对同一采购程序环节的质疑，供应商须在法定质疑期内一次性提出。</w:t>
      </w:r>
    </w:p>
    <w:p w14:paraId="04EC8FC9">
      <w:pPr>
        <w:pStyle w:val="9"/>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4.3.5采购人或者采购代理机构应当在收到供应商的书面质疑后七个工作日内作出答复，</w:t>
      </w:r>
      <w:r>
        <w:rPr>
          <w:rFonts w:hint="eastAsia" w:ascii="仿宋" w:hAnsi="仿宋" w:eastAsia="仿宋" w:cs="仿宋"/>
          <w:color w:val="auto"/>
          <w:sz w:val="24"/>
          <w:szCs w:val="24"/>
          <w:highlight w:val="none"/>
        </w:rPr>
        <w:t>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254B757">
      <w:pPr>
        <w:pStyle w:val="9"/>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4.3</w:t>
      </w:r>
      <w:r>
        <w:rPr>
          <w:rFonts w:hint="eastAsia" w:ascii="仿宋" w:hAnsi="仿宋" w:eastAsia="仿宋" w:cs="仿宋"/>
          <w:color w:val="auto"/>
          <w:sz w:val="24"/>
          <w:szCs w:val="24"/>
          <w:highlight w:val="none"/>
        </w:rPr>
        <w:t>.6询问或者质疑事项可能影响采购结果的，采购人应当暂停签订合同，已经签订合同的，应当中止履行合同。</w:t>
      </w:r>
    </w:p>
    <w:p w14:paraId="070A3A40">
      <w:pPr>
        <w:pStyle w:val="9"/>
        <w:spacing w:line="360" w:lineRule="auto"/>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4.4供应商投诉</w:t>
      </w:r>
    </w:p>
    <w:p w14:paraId="2E694F92">
      <w:pPr>
        <w:pStyle w:val="2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191E5EF4">
      <w:pPr>
        <w:pStyle w:val="2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3D2D6433">
      <w:pPr>
        <w:pStyle w:val="2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1169BCCA">
      <w:pPr>
        <w:pStyle w:val="2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207C5712">
      <w:pPr>
        <w:pStyle w:val="2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5D24FE2B">
      <w:pPr>
        <w:pStyle w:val="21"/>
        <w:shd w:val="clear" w:color="auto" w:fill="FFFFFF"/>
        <w:snapToGrid w:val="0"/>
        <w:spacing w:before="0" w:beforeAutospacing="0" w:after="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6F378D09">
      <w:pPr>
        <w:adjustRightInd/>
        <w:spacing w:line="360" w:lineRule="auto"/>
        <w:jc w:val="center"/>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      二、招标文件的构成、澄清、修改</w:t>
      </w:r>
    </w:p>
    <w:p w14:paraId="412A952B">
      <w:pPr>
        <w:pStyle w:val="9"/>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19A9790D">
      <w:pPr>
        <w:pStyle w:val="9"/>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1595A6D1">
      <w:pPr>
        <w:pStyle w:val="9"/>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292D5128">
      <w:pPr>
        <w:pStyle w:val="9"/>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4A8F2BF8">
      <w:pPr>
        <w:pStyle w:val="9"/>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7196AB06">
      <w:pPr>
        <w:pStyle w:val="9"/>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3C2BEE88">
      <w:pPr>
        <w:pStyle w:val="9"/>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7C6A99DD">
      <w:pPr>
        <w:pStyle w:val="9"/>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5.1.6应提交的有关格式范例。</w:t>
      </w:r>
    </w:p>
    <w:p w14:paraId="209DB7E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5DA52C9A">
      <w:pPr>
        <w:pStyle w:val="9"/>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24ACEA50">
      <w:pPr>
        <w:pStyle w:val="22"/>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6.1已获取招标文件的潜在投标人，若有问题需要澄清，应于投标截止时间前，以书面形式向采购代理机构提出。</w:t>
      </w:r>
    </w:p>
    <w:p w14:paraId="18A5B4CA">
      <w:pPr>
        <w:pStyle w:val="22"/>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1565ED">
      <w:pPr>
        <w:pStyle w:val="6"/>
        <w:rPr>
          <w:rFonts w:hint="eastAsia"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 xml:space="preserve">    </w:t>
      </w:r>
    </w:p>
    <w:p w14:paraId="3956C597">
      <w:pPr>
        <w:pStyle w:val="7"/>
        <w:rPr>
          <w:color w:val="auto"/>
          <w:highlight w:val="none"/>
          <w:lang w:val="en-US"/>
        </w:rPr>
      </w:pPr>
    </w:p>
    <w:p w14:paraId="57F405F2">
      <w:pPr>
        <w:adjustRightInd/>
        <w:spacing w:line="360" w:lineRule="auto"/>
        <w:jc w:val="center"/>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三、投标</w:t>
      </w:r>
    </w:p>
    <w:p w14:paraId="4794EE61">
      <w:pPr>
        <w:pStyle w:val="9"/>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3789D46F">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3DA76DF5">
      <w:pPr>
        <w:pStyle w:val="9"/>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5B321C5B">
      <w:pPr>
        <w:pStyle w:val="9"/>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2C76AC6C">
      <w:pPr>
        <w:pStyle w:val="9"/>
        <w:spacing w:line="360" w:lineRule="auto"/>
        <w:rPr>
          <w:rFonts w:ascii="仿宋" w:hAnsi="仿宋" w:eastAsia="仿宋" w:cs="仿宋"/>
          <w:b/>
          <w:color w:val="auto"/>
          <w:sz w:val="24"/>
          <w:szCs w:val="24"/>
          <w:highlight w:val="none"/>
        </w:rPr>
      </w:pPr>
      <w:r>
        <w:rPr>
          <w:rFonts w:hint="eastAsia" w:ascii="仿宋" w:hAnsi="仿宋" w:eastAsia="仿宋" w:cs="仿宋"/>
          <w:b/>
          <w:color w:val="auto"/>
          <w:kern w:val="28"/>
          <w:sz w:val="24"/>
          <w:szCs w:val="24"/>
          <w:highlight w:val="none"/>
        </w:rPr>
        <w:t>9.投标保证金</w:t>
      </w:r>
    </w:p>
    <w:p w14:paraId="5FC16B26">
      <w:pPr>
        <w:pStyle w:val="3"/>
        <w:spacing w:line="360" w:lineRule="auto"/>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本项目不需缴纳投标保证金。</w:t>
      </w:r>
    </w:p>
    <w:p w14:paraId="1A386853">
      <w:pPr>
        <w:pStyle w:val="9"/>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0106F1A0">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027046D1">
      <w:pPr>
        <w:pStyle w:val="9"/>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2859828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0CF1B978">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3064E6CE">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highlight w:val="none"/>
        </w:rPr>
        <w:t>联合协议（如果有)；</w:t>
      </w:r>
    </w:p>
    <w:p w14:paraId="29F7437E">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highlight w:val="none"/>
        </w:rPr>
        <w:t>（如果有)</w:t>
      </w:r>
      <w:r>
        <w:rPr>
          <w:rFonts w:hint="eastAsia" w:ascii="仿宋" w:hAnsi="仿宋" w:eastAsia="仿宋" w:cs="仿宋"/>
          <w:color w:val="auto"/>
          <w:sz w:val="24"/>
          <w:highlight w:val="none"/>
        </w:rPr>
        <w:t>；</w:t>
      </w:r>
    </w:p>
    <w:p w14:paraId="0DE50205">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highlight w:val="none"/>
        </w:rPr>
        <w:t>（如果有)</w:t>
      </w:r>
      <w:r>
        <w:rPr>
          <w:rFonts w:hint="eastAsia" w:ascii="仿宋" w:hAnsi="仿宋" w:eastAsia="仿宋" w:cs="仿宋"/>
          <w:color w:val="auto"/>
          <w:sz w:val="24"/>
          <w:highlight w:val="none"/>
        </w:rPr>
        <w:t>。</w:t>
      </w:r>
    </w:p>
    <w:p w14:paraId="258B2F5B">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67A4745C">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2B10DBC1">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40CB53AE">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highlight w:val="none"/>
        </w:rPr>
        <w:t>（如果有)</w:t>
      </w:r>
      <w:r>
        <w:rPr>
          <w:rFonts w:hint="eastAsia" w:ascii="仿宋" w:hAnsi="仿宋" w:eastAsia="仿宋" w:cs="仿宋"/>
          <w:color w:val="auto"/>
          <w:sz w:val="24"/>
          <w:highlight w:val="none"/>
        </w:rPr>
        <w:t>；</w:t>
      </w:r>
    </w:p>
    <w:p w14:paraId="53560883">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26915C50">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318F30EC">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5D5488A0">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0F0A597D">
      <w:pPr>
        <w:snapToGrid w:val="0"/>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1B17D173">
      <w:pPr>
        <w:snapToGrid w:val="0"/>
        <w:spacing w:line="360" w:lineRule="auto"/>
        <w:ind w:firstLine="480" w:firstLineChars="200"/>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7BCAF5BA">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3441CF51">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14:paraId="5BBB1BE2">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3429958D">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3A5B2401">
      <w:pPr>
        <w:pStyle w:val="22"/>
        <w:snapToGrid w:val="0"/>
        <w:spacing w:before="0"/>
        <w:ind w:firstLine="0" w:firstLineChars="0"/>
        <w:outlineLvl w:val="0"/>
        <w:rPr>
          <w:rFonts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558115C6">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12.1投标文件分为资格文件、商务技术文件、报价文件三部分。各投标人在编制投标文件时请按照招标文件第六部分规定的格式进行，应确保投标文件内容完整、条理清晰。</w:t>
      </w:r>
      <w:r>
        <w:rPr>
          <w:rFonts w:hint="eastAsia" w:ascii="仿宋" w:hAnsi="仿宋" w:eastAsia="仿宋" w:cs="仿宋"/>
          <w:color w:val="auto"/>
          <w:kern w:val="0"/>
          <w:sz w:val="24"/>
          <w:highlight w:val="none"/>
          <w:lang w:val="en-US" w:eastAsia="zh-CN"/>
        </w:rPr>
        <w:t>若因</w:t>
      </w:r>
      <w:r>
        <w:rPr>
          <w:rFonts w:hint="default" w:ascii="仿宋" w:hAnsi="仿宋" w:eastAsia="仿宋" w:cs="仿宋"/>
          <w:color w:val="auto"/>
          <w:kern w:val="0"/>
          <w:sz w:val="24"/>
          <w:highlight w:val="none"/>
          <w:lang w:val="en-US"/>
        </w:rPr>
        <w:t>混乱的编排</w:t>
      </w:r>
      <w:r>
        <w:rPr>
          <w:rFonts w:hint="eastAsia" w:ascii="仿宋" w:hAnsi="仿宋" w:eastAsia="仿宋" w:cs="仿宋"/>
          <w:color w:val="auto"/>
          <w:kern w:val="0"/>
          <w:sz w:val="24"/>
          <w:highlight w:val="none"/>
          <w:lang w:val="zh-CN"/>
        </w:rPr>
        <w:t>导致投标文件被误读或评标委员会查找不到有效文件</w:t>
      </w:r>
      <w:r>
        <w:rPr>
          <w:rFonts w:hint="eastAsia" w:ascii="仿宋" w:hAnsi="仿宋" w:eastAsia="仿宋" w:cs="仿宋"/>
          <w:color w:val="auto"/>
          <w:kern w:val="0"/>
          <w:sz w:val="24"/>
          <w:highlight w:val="none"/>
          <w:lang w:val="en-US" w:eastAsia="zh-CN"/>
        </w:rPr>
        <w:t>进而影响</w:t>
      </w:r>
      <w:r>
        <w:rPr>
          <w:rFonts w:hint="eastAsia" w:ascii="仿宋" w:hAnsi="仿宋" w:eastAsia="仿宋" w:cs="仿宋"/>
          <w:color w:val="auto"/>
          <w:kern w:val="0"/>
          <w:sz w:val="24"/>
          <w:highlight w:val="none"/>
          <w:lang w:val="zh-CN"/>
        </w:rPr>
        <w:t>评审结果</w:t>
      </w:r>
      <w:r>
        <w:rPr>
          <w:rFonts w:hint="eastAsia" w:ascii="仿宋" w:hAnsi="仿宋" w:eastAsia="仿宋" w:cs="仿宋"/>
          <w:color w:val="auto"/>
          <w:kern w:val="0"/>
          <w:sz w:val="24"/>
          <w:highlight w:val="none"/>
          <w:lang w:val="en-US" w:eastAsia="zh-CN"/>
        </w:rPr>
        <w:t>，责任由</w:t>
      </w:r>
      <w:r>
        <w:rPr>
          <w:rFonts w:hint="eastAsia" w:ascii="仿宋" w:hAnsi="仿宋" w:eastAsia="仿宋" w:cs="仿宋"/>
          <w:color w:val="auto"/>
          <w:kern w:val="0"/>
          <w:sz w:val="24"/>
          <w:highlight w:val="none"/>
          <w:lang w:val="zh-CN"/>
        </w:rPr>
        <w:t>投标人</w:t>
      </w:r>
      <w:r>
        <w:rPr>
          <w:rFonts w:hint="eastAsia" w:ascii="仿宋" w:hAnsi="仿宋" w:eastAsia="仿宋" w:cs="仿宋"/>
          <w:color w:val="auto"/>
          <w:kern w:val="0"/>
          <w:sz w:val="24"/>
          <w:highlight w:val="none"/>
          <w:lang w:val="en-US" w:eastAsia="zh-CN"/>
        </w:rPr>
        <w:t>承担</w:t>
      </w:r>
      <w:r>
        <w:rPr>
          <w:rFonts w:hint="eastAsia" w:ascii="仿宋" w:hAnsi="仿宋" w:eastAsia="仿宋" w:cs="仿宋"/>
          <w:color w:val="auto"/>
          <w:kern w:val="0"/>
          <w:sz w:val="24"/>
          <w:highlight w:val="none"/>
          <w:lang w:val="zh-CN"/>
        </w:rPr>
        <w:t>。</w:t>
      </w:r>
    </w:p>
    <w:p w14:paraId="542D3DD9">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6AA7D67">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599D4E0">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698863E6">
      <w:pPr>
        <w:pStyle w:val="22"/>
        <w:snapToGrid w:val="0"/>
        <w:spacing w:before="0"/>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13.1投标文件按照招标文件第六部分格式要求进行签署、盖章。</w:t>
      </w:r>
      <w:r>
        <w:rPr>
          <w:rFonts w:hint="eastAsia" w:ascii="仿宋" w:hAnsi="仿宋" w:eastAsia="仿宋" w:cs="仿宋"/>
          <w:b/>
          <w:color w:val="auto"/>
          <w:szCs w:val="24"/>
          <w:highlight w:val="none"/>
        </w:rPr>
        <w:t>▲投标人的投标文件未按照招标文件要求签署、盖章的，其投标无效</w:t>
      </w:r>
      <w:r>
        <w:rPr>
          <w:rFonts w:hint="eastAsia" w:ascii="仿宋" w:hAnsi="仿宋" w:eastAsia="仿宋" w:cs="仿宋"/>
          <w:color w:val="auto"/>
          <w:szCs w:val="24"/>
          <w:highlight w:val="none"/>
        </w:rPr>
        <w:t>。</w:t>
      </w:r>
    </w:p>
    <w:p w14:paraId="306D562F">
      <w:pPr>
        <w:pStyle w:val="22"/>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6D900491">
      <w:pPr>
        <w:pStyle w:val="22"/>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13.3招标文件对投标文件签署、盖章的要求适用于电子签名。</w:t>
      </w:r>
    </w:p>
    <w:p w14:paraId="490C110E">
      <w:pPr>
        <w:pStyle w:val="22"/>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6EF732F4">
      <w:pPr>
        <w:pStyle w:val="22"/>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C6AB7EC">
      <w:pPr>
        <w:pStyle w:val="22"/>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51EA72F">
      <w:pPr>
        <w:pStyle w:val="22"/>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440096BB">
      <w:pPr>
        <w:pStyle w:val="9"/>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65A369E9">
      <w:pPr>
        <w:pStyle w:val="9"/>
        <w:spacing w:line="360" w:lineRule="auto"/>
        <w:ind w:firstLine="360" w:firstLineChars="15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r>
        <w:rPr>
          <w:rFonts w:hint="eastAsia" w:ascii="仿宋" w:hAnsi="仿宋" w:eastAsia="仿宋" w:cs="仿宋"/>
          <w:b w:val="0"/>
          <w:bCs/>
          <w:color w:val="auto"/>
          <w:sz w:val="24"/>
          <w:szCs w:val="24"/>
          <w:highlight w:val="none"/>
        </w:rPr>
        <w:t>备份投标文件应与电子投标文件内容一致，如出现不一致的情况，以</w:t>
      </w:r>
      <w:r>
        <w:rPr>
          <w:rFonts w:hint="eastAsia" w:ascii="仿宋" w:hAnsi="仿宋" w:eastAsia="仿宋" w:cs="仿宋"/>
          <w:b w:val="0"/>
          <w:bCs/>
          <w:color w:val="auto"/>
          <w:sz w:val="24"/>
          <w:szCs w:val="24"/>
          <w:highlight w:val="none"/>
          <w:u w:val="none"/>
          <w:lang w:val="en-US" w:eastAsia="zh-CN"/>
        </w:rPr>
        <w:t>电子</w:t>
      </w:r>
      <w:r>
        <w:rPr>
          <w:rFonts w:hint="eastAsia" w:ascii="仿宋" w:hAnsi="仿宋" w:eastAsia="仿宋" w:cs="仿宋"/>
          <w:b w:val="0"/>
          <w:bCs/>
          <w:color w:val="auto"/>
          <w:sz w:val="24"/>
          <w:szCs w:val="24"/>
          <w:highlight w:val="none"/>
        </w:rPr>
        <w:t>投标文件为准，但电子投标文件存在无法解密</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未按时解密</w:t>
      </w:r>
      <w:r>
        <w:rPr>
          <w:rFonts w:hint="eastAsia" w:ascii="仿宋" w:hAnsi="仿宋" w:eastAsia="仿宋" w:cs="仿宋"/>
          <w:b w:val="0"/>
          <w:bCs/>
          <w:color w:val="auto"/>
          <w:sz w:val="24"/>
          <w:szCs w:val="24"/>
          <w:highlight w:val="none"/>
        </w:rPr>
        <w:t>等特殊情况除外。</w:t>
      </w:r>
    </w:p>
    <w:p w14:paraId="4922F1A7">
      <w:pPr>
        <w:pStyle w:val="9"/>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szCs w:val="24"/>
          <w:highlight w:val="none"/>
        </w:rPr>
        <w:t>不符合上述制作、存储、密封规定的备份投标文件将被视为无效或者被拒绝接收。</w:t>
      </w:r>
    </w:p>
    <w:p w14:paraId="5C9D5D9F">
      <w:pPr>
        <w:pStyle w:val="9"/>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1C1D8151">
      <w:pPr>
        <w:pStyle w:val="9"/>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32F6D120">
      <w:pPr>
        <w:pStyle w:val="9"/>
        <w:spacing w:line="360" w:lineRule="auto"/>
        <w:ind w:firstLine="479" w:firstLineChars="199"/>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41C18427">
      <w:pPr>
        <w:pStyle w:val="22"/>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37F7A99B">
      <w:pPr>
        <w:pStyle w:val="8"/>
        <w:spacing w:line="360" w:lineRule="auto"/>
        <w:ind w:firstLine="360" w:firstLineChars="150"/>
        <w:rPr>
          <w:rFonts w:ascii="仿宋" w:hAnsi="仿宋" w:eastAsia="仿宋" w:cs="仿宋"/>
          <w:color w:val="auto"/>
          <w:highlight w:val="none"/>
        </w:rPr>
      </w:pPr>
      <w:r>
        <w:rPr>
          <w:rFonts w:hint="eastAsia" w:ascii="仿宋" w:hAnsi="仿宋" w:eastAsia="仿宋" w:cs="仿宋"/>
          <w:color w:val="auto"/>
          <w:highlight w:val="none"/>
        </w:rPr>
        <w:t>有招标文件第四部分4.2规定的情形之一的，投标无效：</w:t>
      </w:r>
    </w:p>
    <w:p w14:paraId="33326631">
      <w:pPr>
        <w:pStyle w:val="22"/>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2F873933">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17.1投标有效期为从提交投标文件的截止之日起90天。▲</w:t>
      </w:r>
      <w:r>
        <w:rPr>
          <w:rFonts w:hint="eastAsia" w:ascii="仿宋" w:hAnsi="仿宋" w:eastAsia="仿宋" w:cs="仿宋"/>
          <w:b/>
          <w:color w:val="auto"/>
          <w:sz w:val="24"/>
          <w:highlight w:val="none"/>
        </w:rPr>
        <w:t>投标人的投标文件中承诺的投标有效期少于招标文件中载明的投标有效期的，投标无效。</w:t>
      </w:r>
    </w:p>
    <w:p w14:paraId="71AA135F">
      <w:pPr>
        <w:pStyle w:val="22"/>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17.2投标文件合格投递后，自投标截止日期起，在投标有效期内有效。</w:t>
      </w:r>
    </w:p>
    <w:p w14:paraId="24B6060B">
      <w:pPr>
        <w:pStyle w:val="22"/>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17.3在原定投标有效期满之前，如果出现特殊情况，采购代理机构可以以书面形式通知投标人延长投标有效期。投标人同意延长的，不得要求或被允许修改其投标文件，</w:t>
      </w:r>
      <w:r>
        <w:rPr>
          <w:rFonts w:hint="eastAsia" w:ascii="仿宋" w:hAnsi="仿宋" w:eastAsia="仿宋" w:cs="仿宋"/>
          <w:color w:val="auto"/>
          <w:szCs w:val="24"/>
          <w:highlight w:val="none"/>
          <w:lang w:val="en-US" w:eastAsia="zh-CN"/>
        </w:rPr>
        <w:t>并在规定时间内书面回复采购代理机构，明确表示同意延长并遵守相关规定；</w:t>
      </w:r>
      <w:r>
        <w:rPr>
          <w:rFonts w:hint="eastAsia" w:ascii="仿宋" w:hAnsi="仿宋" w:eastAsia="仿宋" w:cs="仿宋"/>
          <w:color w:val="auto"/>
          <w:szCs w:val="24"/>
          <w:highlight w:val="none"/>
        </w:rPr>
        <w:t>投标人拒绝延长的，其投标无效。</w:t>
      </w:r>
    </w:p>
    <w:p w14:paraId="7612A870">
      <w:pPr>
        <w:pStyle w:val="22"/>
        <w:spacing w:before="0"/>
        <w:ind w:firstLine="2650" w:firstLineChars="1100"/>
        <w:rPr>
          <w:rFonts w:ascii="仿宋" w:hAnsi="仿宋" w:eastAsia="仿宋" w:cs="仿宋"/>
          <w:b/>
          <w:color w:val="auto"/>
          <w:szCs w:val="24"/>
          <w:highlight w:val="none"/>
        </w:rPr>
      </w:pPr>
      <w:r>
        <w:rPr>
          <w:rFonts w:hint="eastAsia" w:ascii="仿宋" w:hAnsi="仿宋" w:eastAsia="仿宋" w:cs="仿宋"/>
          <w:b/>
          <w:color w:val="auto"/>
          <w:szCs w:val="24"/>
          <w:highlight w:val="none"/>
        </w:rPr>
        <w:t>四、开标、资格审查与信用信息查询</w:t>
      </w:r>
    </w:p>
    <w:p w14:paraId="44D4C5BA">
      <w:pPr>
        <w:pStyle w:val="23"/>
        <w:spacing w:before="0" w:line="360" w:lineRule="auto"/>
        <w:ind w:left="0" w:firstLine="241" w:firstLineChars="100"/>
        <w:contextualSpacing/>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szCs w:val="24"/>
          <w:highlight w:val="none"/>
        </w:rPr>
        <w:t xml:space="preserve"> </w:t>
      </w:r>
    </w:p>
    <w:p w14:paraId="31B23FEC">
      <w:pPr>
        <w:pStyle w:val="23"/>
        <w:spacing w:before="0" w:line="360" w:lineRule="auto"/>
        <w:ind w:left="0" w:firstLine="480" w:firstLineChars="20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18.1采购代理机构按照招标文件规定的时间通过电子交易平台组织开标，所有投标人均应当准时在线参加。投标人不足3家的，不得开标。</w:t>
      </w:r>
    </w:p>
    <w:p w14:paraId="1E4B01ED">
      <w:pPr>
        <w:pStyle w:val="23"/>
        <w:spacing w:before="0" w:line="360" w:lineRule="auto"/>
        <w:ind w:left="0" w:firstLine="240" w:firstLineChars="10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3E95959F">
      <w:pPr>
        <w:pStyle w:val="23"/>
        <w:spacing w:before="0" w:line="360" w:lineRule="auto"/>
        <w:ind w:left="0" w:firstLine="240" w:firstLineChars="100"/>
        <w:contextualSpacing/>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　18.3</w:t>
      </w:r>
      <w:r>
        <w:rPr>
          <w:rFonts w:hint="eastAsia" w:ascii="仿宋" w:hAnsi="仿宋" w:eastAsia="仿宋" w:cs="仿宋"/>
          <w:b/>
          <w:color w:val="auto"/>
          <w:sz w:val="24"/>
          <w:szCs w:val="24"/>
          <w:highlight w:val="none"/>
        </w:rPr>
        <w:t>投标文件未按时解密，投标人提供了备份投标文件的，以备份投标文件作为依据，否则视为投标文件撤回。投标文件已按时解密的，备份投标文件自动失效。</w:t>
      </w:r>
    </w:p>
    <w:p w14:paraId="0B99DB44">
      <w:pPr>
        <w:widowControl/>
        <w:spacing w:before="100" w:beforeAutospacing="1" w:after="240"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　19、资格审查</w:t>
      </w:r>
    </w:p>
    <w:p w14:paraId="287D85C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采购人或采购代理机构依据法律法规和招标文件的规定，对投标人的资格进行审查。</w:t>
      </w:r>
    </w:p>
    <w:p w14:paraId="72815D4F">
      <w:pPr>
        <w:pStyle w:val="22"/>
        <w:spacing w:before="0"/>
        <w:ind w:firstLine="480"/>
        <w:rPr>
          <w:rFonts w:ascii="仿宋" w:hAnsi="仿宋" w:eastAsia="仿宋" w:cs="仿宋"/>
          <w:color w:val="auto"/>
          <w:szCs w:val="24"/>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szCs w:val="24"/>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szCs w:val="24"/>
          <w:highlight w:val="none"/>
        </w:rPr>
        <w:t>投标人不具备招标文件中规定的资格要求，其投标无效。</w:t>
      </w:r>
    </w:p>
    <w:p w14:paraId="67E586E0">
      <w:pPr>
        <w:pStyle w:val="22"/>
        <w:spacing w:before="0"/>
        <w:ind w:firstLine="480"/>
        <w:rPr>
          <w:rFonts w:ascii="仿宋" w:hAnsi="仿宋" w:eastAsia="仿宋" w:cs="仿宋"/>
          <w:color w:val="auto"/>
          <w:szCs w:val="24"/>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szCs w:val="24"/>
          <w:highlight w:val="none"/>
        </w:rPr>
        <w:t>3对未通过资格审查的投标人，采购人或采购代理机构告知其未通过的原因。</w:t>
      </w:r>
    </w:p>
    <w:p w14:paraId="6B741DDB">
      <w:pPr>
        <w:pStyle w:val="22"/>
        <w:spacing w:before="0"/>
        <w:ind w:firstLine="480"/>
        <w:rPr>
          <w:rFonts w:ascii="仿宋" w:hAnsi="仿宋" w:eastAsia="仿宋" w:cs="仿宋"/>
          <w:color w:val="auto"/>
          <w:szCs w:val="24"/>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szCs w:val="24"/>
          <w:highlight w:val="none"/>
        </w:rPr>
        <w:t>4合格投标人不足3家的，不再评标。</w:t>
      </w:r>
    </w:p>
    <w:p w14:paraId="60AA5CA2">
      <w:pPr>
        <w:pStyle w:val="22"/>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02B09948">
      <w:pPr>
        <w:pStyle w:val="22"/>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4BF51E3F">
      <w:pPr>
        <w:pStyle w:val="22"/>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15962E7C">
      <w:pPr>
        <w:pStyle w:val="22"/>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D81FC20">
      <w:pPr>
        <w:pStyle w:val="22"/>
        <w:spacing w:before="0"/>
        <w:ind w:firstLine="480"/>
        <w:rPr>
          <w:rFonts w:ascii="仿宋" w:hAnsi="仿宋" w:eastAsia="仿宋" w:cs="仿宋"/>
          <w:color w:val="auto"/>
          <w:szCs w:val="24"/>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szCs w:val="24"/>
          <w:highlight w:val="none"/>
        </w:rPr>
        <w:t>。</w:t>
      </w:r>
    </w:p>
    <w:p w14:paraId="3EB2307E">
      <w:pPr>
        <w:pStyle w:val="22"/>
        <w:spacing w:before="0"/>
        <w:ind w:firstLine="0" w:firstLineChars="0"/>
        <w:rPr>
          <w:rFonts w:ascii="仿宋" w:hAnsi="仿宋" w:eastAsia="仿宋" w:cs="仿宋"/>
          <w:color w:val="auto"/>
          <w:kern w:val="0"/>
          <w:szCs w:val="24"/>
          <w:highlight w:val="none"/>
        </w:rPr>
      </w:pPr>
    </w:p>
    <w:p w14:paraId="54FB1595">
      <w:pPr>
        <w:snapToGrid w:val="0"/>
        <w:spacing w:line="360" w:lineRule="auto"/>
        <w:jc w:val="center"/>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五、评标</w:t>
      </w:r>
    </w:p>
    <w:p w14:paraId="3F77DDBB">
      <w:pPr>
        <w:spacing w:line="360" w:lineRule="auto"/>
        <w:rPr>
          <w:rFonts w:ascii="仿宋" w:hAnsi="仿宋" w:eastAsia="仿宋" w:cs="仿宋"/>
          <w:b/>
          <w:color w:val="auto"/>
          <w:sz w:val="24"/>
          <w:highlight w:val="none"/>
        </w:rPr>
      </w:pPr>
      <w:bookmarkStart w:id="12" w:name="_Toc91899903"/>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74821849">
      <w:pPr>
        <w:snapToGrid w:val="0"/>
        <w:spacing w:line="360" w:lineRule="auto"/>
        <w:jc w:val="center"/>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六、定 标</w:t>
      </w:r>
    </w:p>
    <w:p w14:paraId="3DEAA20E">
      <w:pPr>
        <w:pStyle w:val="8"/>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22. 确定中标供应商</w:t>
      </w:r>
    </w:p>
    <w:p w14:paraId="6D57BE89">
      <w:pPr>
        <w:pStyle w:val="22"/>
        <w:snapToGrid w:val="0"/>
        <w:spacing w:before="0"/>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A358A99">
      <w:pPr>
        <w:pStyle w:val="22"/>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53130119">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1B1DFD0B">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3" w:name="_Hlk101184471"/>
      <w:r>
        <w:rPr>
          <w:rFonts w:hint="eastAsia" w:ascii="仿宋" w:hAnsi="仿宋" w:eastAsia="仿宋" w:cs="仿宋"/>
          <w:color w:val="auto"/>
          <w:sz w:val="24"/>
          <w:highlight w:val="none"/>
        </w:rPr>
        <w:t>资格审查情况、评审专家抽取规则、符合性审查情况、</w:t>
      </w:r>
      <w:bookmarkEnd w:id="13"/>
      <w:r>
        <w:rPr>
          <w:rFonts w:hint="eastAsia" w:ascii="仿宋" w:hAnsi="仿宋" w:eastAsia="仿宋" w:cs="仿宋"/>
          <w:color w:val="auto"/>
          <w:sz w:val="24"/>
          <w:highlight w:val="none"/>
        </w:rPr>
        <w:t>未中标情况说明、中标公告期限以及评审专家名单、评分汇总及明细。</w:t>
      </w:r>
    </w:p>
    <w:p w14:paraId="6881441E">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421F2AC9">
      <w:pPr>
        <w:snapToGrid w:val="0"/>
        <w:spacing w:line="360" w:lineRule="auto"/>
        <w:ind w:left="120" w:leftChars="57" w:firstLine="361" w:firstLineChars="15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七、合同授予</w:t>
      </w:r>
    </w:p>
    <w:p w14:paraId="40B92C79">
      <w:pPr>
        <w:pStyle w:val="8"/>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1AEBF46D">
      <w:pPr>
        <w:pStyle w:val="8"/>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25. 合同的签订</w:t>
      </w:r>
    </w:p>
    <w:p w14:paraId="690CC499">
      <w:pPr>
        <w:widowControl/>
        <w:shd w:val="clear" w:color="auto" w:fill="FFFFFF"/>
        <w:spacing w:line="360" w:lineRule="auto"/>
        <w:ind w:firstLine="480"/>
        <w:jc w:val="left"/>
        <w:rPr>
          <w:rFonts w:hint="default" w:ascii="仿宋" w:hAnsi="仿宋" w:eastAsia="仿宋" w:cs="仿宋"/>
          <w:color w:val="auto"/>
          <w:kern w:val="0"/>
          <w:sz w:val="24"/>
          <w:highlight w:val="none"/>
          <w:lang w:val="en-US" w:eastAsia="zh-CN"/>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w:t>
      </w:r>
      <w:r>
        <w:rPr>
          <w:rFonts w:hint="eastAsia" w:ascii="仿宋" w:hAnsi="仿宋" w:eastAsia="仿宋" w:cs="仿宋"/>
          <w:color w:val="auto"/>
          <w:kern w:val="0"/>
          <w:sz w:val="24"/>
          <w:highlight w:val="none"/>
          <w:lang w:eastAsia="zh-CN"/>
        </w:rPr>
        <w:t>人</w:t>
      </w:r>
      <w:r>
        <w:rPr>
          <w:rFonts w:hint="eastAsia" w:ascii="仿宋" w:hAnsi="仿宋" w:eastAsia="仿宋" w:cs="仿宋"/>
          <w:color w:val="auto"/>
          <w:kern w:val="0"/>
          <w:sz w:val="24"/>
          <w:highlight w:val="none"/>
        </w:rPr>
        <w:t>按照采购文件确定的事项签订政府采购合同。若中标人</w:t>
      </w:r>
      <w:r>
        <w:rPr>
          <w:rFonts w:hint="eastAsia" w:ascii="仿宋" w:hAnsi="仿宋" w:eastAsia="仿宋" w:cs="仿宋"/>
          <w:color w:val="auto"/>
          <w:kern w:val="0"/>
          <w:sz w:val="24"/>
          <w:highlight w:val="none"/>
          <w:lang w:val="en-US" w:eastAsia="zh-CN"/>
        </w:rPr>
        <w:t>无正当理由</w:t>
      </w:r>
      <w:r>
        <w:rPr>
          <w:rFonts w:hint="eastAsia" w:ascii="仿宋" w:hAnsi="仿宋" w:eastAsia="仿宋" w:cs="仿宋"/>
          <w:color w:val="auto"/>
          <w:kern w:val="0"/>
          <w:sz w:val="24"/>
          <w:highlight w:val="none"/>
        </w:rPr>
        <w:t>未在规定时间内签订合同，采购人有权取消其中标资格，按照评审报告推荐的顺序确定其他中标候选人为中标人或重新组织招标</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并</w:t>
      </w:r>
      <w:r>
        <w:rPr>
          <w:rFonts w:hint="eastAsia" w:ascii="仿宋" w:hAnsi="仿宋" w:eastAsia="仿宋" w:cs="仿宋"/>
          <w:color w:val="auto"/>
          <w:kern w:val="0"/>
          <w:sz w:val="24"/>
          <w:highlight w:val="none"/>
        </w:rPr>
        <w:t>依据招标文件、投标文件和中标通知书等确定</w:t>
      </w:r>
      <w:r>
        <w:rPr>
          <w:rFonts w:hint="eastAsia" w:ascii="仿宋" w:hAnsi="仿宋" w:eastAsia="仿宋" w:cs="仿宋"/>
          <w:color w:val="auto"/>
          <w:kern w:val="0"/>
          <w:sz w:val="24"/>
          <w:highlight w:val="none"/>
          <w:lang w:val="en-US" w:eastAsia="zh-CN"/>
        </w:rPr>
        <w:t>的</w:t>
      </w:r>
      <w:r>
        <w:rPr>
          <w:rFonts w:hint="eastAsia" w:ascii="仿宋" w:hAnsi="仿宋" w:eastAsia="仿宋" w:cs="仿宋"/>
          <w:color w:val="auto"/>
          <w:kern w:val="0"/>
          <w:sz w:val="24"/>
          <w:highlight w:val="none"/>
        </w:rPr>
        <w:t>合同内容</w:t>
      </w:r>
      <w:r>
        <w:rPr>
          <w:rFonts w:hint="eastAsia" w:ascii="仿宋" w:hAnsi="仿宋" w:eastAsia="仿宋" w:cs="仿宋"/>
          <w:color w:val="auto"/>
          <w:kern w:val="0"/>
          <w:sz w:val="24"/>
          <w:highlight w:val="none"/>
          <w:lang w:val="en-US" w:eastAsia="zh-CN"/>
        </w:rPr>
        <w:t>追究中标人的违约责任。</w:t>
      </w:r>
    </w:p>
    <w:p w14:paraId="29DF1AF8">
      <w:pPr>
        <w:pStyle w:val="22"/>
        <w:snapToGrid w:val="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F1A5975">
      <w:pPr>
        <w:pStyle w:val="22"/>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25.3如签订合同并生效后，供应商无故拒绝或延期，除按照合同条款处理外，列入不良行为记录一次，并给予通报。</w:t>
      </w:r>
    </w:p>
    <w:p w14:paraId="60E6D4A3">
      <w:pPr>
        <w:pStyle w:val="22"/>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25.4中标供应商拒绝与采购人签订合同的，采购人可以按照评审报告推荐的中标或者成交候选人名单排序，确定下一候选人为中标供应商，也可以重新开展政府采购活动。</w:t>
      </w:r>
    </w:p>
    <w:p w14:paraId="12786A3A">
      <w:pPr>
        <w:pStyle w:val="22"/>
        <w:snapToGrid w:val="0"/>
        <w:spacing w:before="0" w:after="12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25.5采购合同由采购人与中标供应商根据招标文件、投标文件等内容通过政府采购电子交易平台在线签订，自动备案。</w:t>
      </w:r>
    </w:p>
    <w:p w14:paraId="308FF3F6">
      <w:pPr>
        <w:pStyle w:val="8"/>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26. 履约保证金（本项目不收取履约保证金）</w:t>
      </w:r>
    </w:p>
    <w:p w14:paraId="1D8EE362">
      <w:pPr>
        <w:tabs>
          <w:tab w:val="left" w:pos="0"/>
        </w:tabs>
        <w:spacing w:line="360" w:lineRule="auto"/>
        <w:ind w:firstLine="482"/>
        <w:rPr>
          <w:rFonts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DB5F73A">
      <w:pPr>
        <w:pStyle w:val="2"/>
        <w:ind w:left="0" w:firstLine="480" w:firstLineChars="200"/>
        <w:rPr>
          <w:rFonts w:ascii="仿宋" w:eastAsia="仿宋" w:cs="仿宋"/>
          <w:b w:val="0"/>
          <w:bCs w:val="0"/>
          <w:snapToGrid w:val="0"/>
          <w:color w:val="auto"/>
          <w:kern w:val="28"/>
          <w:sz w:val="24"/>
          <w:szCs w:val="24"/>
          <w:highlight w:val="none"/>
        </w:rPr>
      </w:pPr>
      <w:r>
        <w:rPr>
          <w:rFonts w:hint="eastAsia" w:ascii="仿宋" w:eastAsia="仿宋" w:cs="仿宋"/>
          <w:b w:val="0"/>
          <w:bCs w:val="0"/>
          <w:snapToGrid w:val="0"/>
          <w:color w:val="auto"/>
          <w:kern w:val="28"/>
          <w:sz w:val="24"/>
          <w:szCs w:val="24"/>
          <w:highlight w:val="none"/>
        </w:rPr>
        <w:t>供应商</w:t>
      </w:r>
      <w:r>
        <w:rPr>
          <w:rFonts w:hint="eastAsia" w:ascii="仿宋" w:eastAsia="仿宋" w:cs="仿宋"/>
          <w:b w:val="0"/>
          <w:bCs w:val="0"/>
          <w:snapToGrid w:val="0"/>
          <w:color w:val="auto"/>
          <w:kern w:val="28"/>
          <w:sz w:val="24"/>
          <w:szCs w:val="24"/>
          <w:highlight w:val="none"/>
          <w:lang w:val="en-US"/>
        </w:rPr>
        <w:t>可</w:t>
      </w:r>
      <w:r>
        <w:rPr>
          <w:rFonts w:hint="eastAsia" w:ascii="仿宋" w:eastAsia="仿宋" w:cs="仿宋"/>
          <w:b w:val="0"/>
          <w:bCs w:val="0"/>
          <w:snapToGrid w:val="0"/>
          <w:color w:val="auto"/>
          <w:kern w:val="28"/>
          <w:sz w:val="24"/>
          <w:szCs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8DA30A2">
      <w:pPr>
        <w:pStyle w:val="2"/>
        <w:rPr>
          <w:rFonts w:ascii="仿宋" w:eastAsia="仿宋" w:cs="仿宋"/>
          <w:color w:val="auto"/>
          <w:sz w:val="24"/>
          <w:szCs w:val="24"/>
          <w:highlight w:val="none"/>
        </w:rPr>
      </w:pPr>
      <w:r>
        <w:rPr>
          <w:rFonts w:hint="eastAsia" w:ascii="仿宋" w:eastAsia="仿宋" w:cs="仿宋"/>
          <w:color w:val="auto"/>
          <w:sz w:val="24"/>
          <w:szCs w:val="24"/>
          <w:highlight w:val="none"/>
          <w:lang w:val="en-US"/>
        </w:rPr>
        <w:t>27.预付款</w:t>
      </w:r>
    </w:p>
    <w:p w14:paraId="0588720C">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5E8BFCDE">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八、电子交易活动的中止</w:t>
      </w:r>
    </w:p>
    <w:p w14:paraId="3B70A791">
      <w:pPr>
        <w:pStyle w:val="22"/>
        <w:snapToGrid w:val="0"/>
        <w:spacing w:before="0"/>
        <w:ind w:firstLine="0" w:firstLineChars="0"/>
        <w:rPr>
          <w:rFonts w:ascii="仿宋" w:hAnsi="仿宋" w:eastAsia="仿宋" w:cs="仿宋"/>
          <w:color w:val="auto"/>
          <w:szCs w:val="24"/>
          <w:highlight w:val="none"/>
        </w:rPr>
      </w:pPr>
      <w:r>
        <w:rPr>
          <w:rFonts w:hint="eastAsia" w:ascii="仿宋" w:hAnsi="仿宋" w:eastAsia="仿宋" w:cs="仿宋"/>
          <w:b/>
          <w:bCs/>
          <w:color w:val="auto"/>
          <w:szCs w:val="24"/>
          <w:highlight w:val="none"/>
        </w:rPr>
        <w:t>28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szCs w:val="24"/>
          <w:highlight w:val="none"/>
        </w:rPr>
        <w:t>采购过程中出现以下情形，导致电子交易平台无法正常运行，或者无法保证电子交易的公平、公正和安全时，采购代理机构可中止电子交易活动：</w:t>
      </w:r>
    </w:p>
    <w:p w14:paraId="6BD93420">
      <w:pPr>
        <w:pStyle w:val="22"/>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28.1电子交易平台发生故障而无法登录访问的； </w:t>
      </w:r>
    </w:p>
    <w:p w14:paraId="06B19049">
      <w:pPr>
        <w:pStyle w:val="22"/>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28.2电子交易平台应用或数据库出现错误，不能进行正常操作的；</w:t>
      </w:r>
    </w:p>
    <w:p w14:paraId="64F90048">
      <w:pPr>
        <w:pStyle w:val="22"/>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28.3电子交易平台发现严重安全漏洞，有潜在泄密危险的；</w:t>
      </w:r>
    </w:p>
    <w:p w14:paraId="3F8CBA19">
      <w:pPr>
        <w:pStyle w:val="22"/>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28.4病毒发作导致不能进行正常操作的； </w:t>
      </w:r>
    </w:p>
    <w:p w14:paraId="14CC3929">
      <w:pPr>
        <w:pStyle w:val="22"/>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28.5其他无法保证电子交易的公平、公正和安全的情况。</w:t>
      </w:r>
    </w:p>
    <w:p w14:paraId="79B998D5">
      <w:pPr>
        <w:pStyle w:val="22"/>
        <w:snapToGrid w:val="0"/>
        <w:spacing w:before="0"/>
        <w:ind w:firstLine="0"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0291365">
      <w:pPr>
        <w:snapToGrid w:val="0"/>
        <w:spacing w:line="360" w:lineRule="auto"/>
        <w:ind w:left="120" w:leftChars="57" w:firstLine="361" w:firstLineChars="15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九、验收</w:t>
      </w:r>
    </w:p>
    <w:p w14:paraId="22D9F8D0">
      <w:pPr>
        <w:pStyle w:val="8"/>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30.验收</w:t>
      </w:r>
    </w:p>
    <w:p w14:paraId="1F2B055A">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079139A">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4FF1E6D7">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如有</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返还条件挂钩。履约验收的各项资料应当存档备查。</w:t>
      </w:r>
    </w:p>
    <w:p w14:paraId="0E31B587">
      <w:pPr>
        <w:tabs>
          <w:tab w:val="left" w:pos="0"/>
        </w:tabs>
        <w:spacing w:line="360" w:lineRule="auto"/>
        <w:ind w:firstLine="480"/>
        <w:rPr>
          <w:rFonts w:ascii="仿宋" w:hAnsi="仿宋" w:eastAsia="仿宋" w:cs="仿宋"/>
          <w:color w:val="auto"/>
          <w:sz w:val="24"/>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如有</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184477A2">
      <w:pPr>
        <w:tabs>
          <w:tab w:val="left" w:pos="0"/>
        </w:tabs>
        <w:spacing w:line="360" w:lineRule="auto"/>
        <w:ind w:firstLine="480"/>
        <w:rPr>
          <w:rFonts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340" w:footer="992" w:gutter="0"/>
          <w:cols w:space="720" w:num="1"/>
          <w:titlePg/>
          <w:docGrid w:linePitch="312" w:charSpace="0"/>
        </w:sectPr>
      </w:pPr>
      <w:bookmarkStart w:id="14" w:name="_Hlt75236011"/>
      <w:bookmarkEnd w:id="14"/>
      <w:bookmarkStart w:id="15" w:name="_Hlt68072998"/>
      <w:bookmarkEnd w:id="15"/>
      <w:bookmarkStart w:id="16" w:name="_Hlt74707468"/>
      <w:bookmarkEnd w:id="16"/>
      <w:bookmarkStart w:id="17" w:name="_Hlt68072990"/>
      <w:bookmarkEnd w:id="17"/>
      <w:bookmarkStart w:id="18" w:name="_Hlt68057669"/>
      <w:bookmarkEnd w:id="18"/>
      <w:bookmarkStart w:id="19" w:name="_Hlt75236290"/>
      <w:bookmarkEnd w:id="19"/>
      <w:bookmarkStart w:id="20" w:name="_Hlt68073093"/>
      <w:bookmarkEnd w:id="20"/>
      <w:bookmarkStart w:id="21" w:name="_Hlt74729768"/>
      <w:bookmarkEnd w:id="21"/>
      <w:bookmarkStart w:id="22" w:name="_Hlt75236101"/>
      <w:bookmarkEnd w:id="22"/>
      <w:bookmarkStart w:id="23" w:name="_Hlt74730295"/>
      <w:bookmarkEnd w:id="23"/>
      <w:bookmarkStart w:id="24" w:name="_Hlt68403820"/>
      <w:bookmarkEnd w:id="24"/>
      <w:bookmarkStart w:id="25" w:name="_Hlt74714665"/>
      <w:bookmarkEnd w:id="25"/>
    </w:p>
    <w:bookmarkEnd w:id="10"/>
    <w:bookmarkEnd w:id="11"/>
    <w:p w14:paraId="3CA5EC65">
      <w:pPr>
        <w:spacing w:line="360" w:lineRule="auto"/>
        <w:jc w:val="center"/>
        <w:outlineLvl w:val="0"/>
        <w:rPr>
          <w:rFonts w:ascii="仿宋" w:hAnsi="仿宋" w:eastAsia="仿宋" w:cs="仿宋"/>
          <w:b/>
          <w:color w:val="auto"/>
          <w:sz w:val="36"/>
          <w:szCs w:val="36"/>
          <w:highlight w:val="none"/>
        </w:rPr>
      </w:pPr>
      <w:bookmarkStart w:id="26" w:name="第四部分"/>
      <w:r>
        <w:rPr>
          <w:rFonts w:hint="eastAsia" w:ascii="仿宋" w:hAnsi="仿宋" w:eastAsia="仿宋" w:cs="仿宋"/>
          <w:b/>
          <w:color w:val="auto"/>
          <w:sz w:val="36"/>
          <w:szCs w:val="36"/>
          <w:highlight w:val="none"/>
        </w:rPr>
        <w:t>第三部分   采购需求</w:t>
      </w:r>
    </w:p>
    <w:p w14:paraId="02261F45">
      <w:pPr>
        <w:spacing w:line="360" w:lineRule="auto"/>
        <w:ind w:firstLine="422" w:firstLineChars="200"/>
        <w:rPr>
          <w:rFonts w:hint="eastAsia" w:ascii="宋体" w:hAnsi="宋体" w:cs="宋体"/>
          <w:b/>
          <w:color w:val="auto"/>
          <w:kern w:val="0"/>
          <w:szCs w:val="21"/>
          <w:highlight w:val="none"/>
        </w:rPr>
      </w:pPr>
      <w:r>
        <w:rPr>
          <w:rFonts w:hint="eastAsia" w:ascii="宋体" w:hAnsi="宋体" w:cs="宋体"/>
          <w:b/>
          <w:color w:val="auto"/>
          <w:kern w:val="0"/>
          <w:szCs w:val="21"/>
          <w:highlight w:val="none"/>
        </w:rPr>
        <w:t xml:space="preserve">一、工作区域 </w:t>
      </w:r>
    </w:p>
    <w:p w14:paraId="2760D524">
      <w:pPr>
        <w:spacing w:line="360" w:lineRule="auto"/>
        <w:ind w:firstLine="420" w:firstLineChars="200"/>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甲方全域范围，社区辖区内所有的居住小区、商业楼宇、党政机关、企事业单位、学校、市场商铺、工地等相关单位企业。</w:t>
      </w:r>
    </w:p>
    <w:p w14:paraId="55FBC663">
      <w:pPr>
        <w:spacing w:line="360" w:lineRule="auto"/>
        <w:ind w:firstLine="422" w:firstLineChars="200"/>
        <w:rPr>
          <w:rFonts w:hint="eastAsia" w:ascii="宋体" w:hAnsi="宋体" w:cs="宋体"/>
          <w:b/>
          <w:color w:val="auto"/>
          <w:kern w:val="0"/>
          <w:szCs w:val="21"/>
          <w:highlight w:val="none"/>
        </w:rPr>
      </w:pPr>
      <w:r>
        <w:rPr>
          <w:rFonts w:hint="eastAsia" w:ascii="宋体" w:hAnsi="宋体" w:cs="宋体"/>
          <w:b/>
          <w:color w:val="auto"/>
          <w:kern w:val="0"/>
          <w:szCs w:val="21"/>
          <w:highlight w:val="none"/>
        </w:rPr>
        <w:t>二、服务期限</w:t>
      </w:r>
    </w:p>
    <w:p w14:paraId="370C1B09">
      <w:pPr>
        <w:spacing w:line="360" w:lineRule="auto"/>
        <w:ind w:firstLine="420" w:firstLineChars="200"/>
        <w:rPr>
          <w:rFonts w:hint="eastAsia" w:ascii="宋体" w:hAnsi="宋体" w:cs="宋体"/>
          <w:b/>
          <w:color w:val="auto"/>
          <w:kern w:val="0"/>
          <w:szCs w:val="21"/>
          <w:highlight w:val="none"/>
        </w:rPr>
      </w:pPr>
      <w:r>
        <w:rPr>
          <w:rFonts w:hint="eastAsia" w:ascii="宋体" w:hAnsi="宋体" w:cs="宋体"/>
          <w:b w:val="0"/>
          <w:bCs/>
          <w:color w:val="auto"/>
          <w:kern w:val="0"/>
          <w:szCs w:val="21"/>
          <w:highlight w:val="none"/>
        </w:rPr>
        <w:t>服务期限：合同签订之日起1年。</w:t>
      </w:r>
    </w:p>
    <w:p w14:paraId="10217585">
      <w:pPr>
        <w:spacing w:line="360" w:lineRule="auto"/>
        <w:ind w:firstLine="422" w:firstLineChars="200"/>
        <w:rPr>
          <w:rFonts w:hint="eastAsia" w:ascii="宋体" w:hAnsi="宋体" w:cs="宋体"/>
          <w:b/>
          <w:color w:val="auto"/>
          <w:kern w:val="0"/>
          <w:szCs w:val="21"/>
          <w:highlight w:val="none"/>
        </w:rPr>
      </w:pPr>
      <w:r>
        <w:rPr>
          <w:rFonts w:hint="eastAsia" w:ascii="宋体" w:hAnsi="宋体" w:cs="宋体"/>
          <w:b/>
          <w:color w:val="auto"/>
          <w:kern w:val="0"/>
          <w:szCs w:val="21"/>
          <w:highlight w:val="none"/>
        </w:rPr>
        <w:t>三、服务内容</w:t>
      </w:r>
    </w:p>
    <w:p w14:paraId="0460BDDE">
      <w:pPr>
        <w:spacing w:line="360" w:lineRule="auto"/>
        <w:ind w:firstLine="420" w:firstLineChars="200"/>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为切实加强康桥街道垃圾分类日常管理，巩固并深化垃圾分类工作成果，建立长效管理机制，甲方特此委托乙方负责垃圾分类巡检服务,具体服务内容：</w:t>
      </w:r>
    </w:p>
    <w:p w14:paraId="606C425E">
      <w:pPr>
        <w:spacing w:line="360" w:lineRule="auto"/>
        <w:ind w:firstLine="420" w:firstLineChars="200"/>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一）按照省、市、区垃圾分类工作标准，做好包含但不限于垃圾分类巡查监管、问题整改长效管理、宣传推广等工作要求，并以社区为基本工作区域，定期开展垃圾分类分析和评估专题会，促进垃圾分类成效提升和巩固，确保辖区内垃圾分类的质量标准和作业规范符合《杭州市垃圾分类管理条例》及省级要求的各项规定；</w:t>
      </w:r>
    </w:p>
    <w:p w14:paraId="64FBFBB1">
      <w:pPr>
        <w:spacing w:line="360" w:lineRule="auto"/>
        <w:ind w:firstLine="420" w:firstLineChars="200"/>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二）乙方须按照约定派遣垃圾分类专员对服务社区每天做到全覆盖，一周内对所有小区、商业楼宇、党政机关、企事业单位、学校、市场商铺、工地、沿街店铺等相关单位企业进行全覆盖垃圾分类督查，巩固加强分类成果；对定投、非定投时间内投放点位进行检查、复查、整改，并相应拍照打分留档；</w:t>
      </w:r>
    </w:p>
    <w:p w14:paraId="51C7DA10">
      <w:pPr>
        <w:spacing w:line="360" w:lineRule="auto"/>
        <w:ind w:firstLine="420" w:firstLineChars="200"/>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三）每月底提交康桥街道生活垃圾分类本月份工作情况通报，内容包括考核报告、检查整改情况通报、社区月度排名等。通报内容中要对开展情况形成的意见、相关的经验，案例进行总结；区分共性问题和个性问题，对于存在的问题进行原因分析；提出下一步测评的改正措施；</w:t>
      </w:r>
    </w:p>
    <w:p w14:paraId="29E9C6BC">
      <w:pPr>
        <w:spacing w:line="360" w:lineRule="auto"/>
        <w:ind w:firstLine="420" w:firstLineChars="200"/>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（四）对于上级部门日常检查或者突击检查工作，乙方必须积极应对，做好全方位及重点检查区域、重点单位的预检，发现问题提前整改到位，确保不失分；</w:t>
      </w:r>
    </w:p>
    <w:p w14:paraId="63E64FEC">
      <w:pPr>
        <w:spacing w:line="360" w:lineRule="auto"/>
        <w:ind w:firstLine="420" w:firstLineChars="200"/>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（五）乙方须按照上级考核要求定期开展垃圾分类宣教、入户宣传、主题活动等工作，及时完成上级信息报送及媒体报道；</w:t>
      </w:r>
    </w:p>
    <w:p w14:paraId="7FE13BE1">
      <w:pPr>
        <w:spacing w:line="360" w:lineRule="auto"/>
        <w:ind w:firstLine="420" w:firstLineChars="200"/>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（六）配合甲方做好垃圾分类、环境等各级应急保障和突击性任务；</w:t>
      </w:r>
    </w:p>
    <w:p w14:paraId="2C85E216">
      <w:pPr>
        <w:spacing w:line="360" w:lineRule="auto"/>
        <w:ind w:firstLine="420" w:firstLineChars="200"/>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（七）按照市、区、街道工作要求，及时全面做好街道垃圾分类工作台账，切实提高台账质量。</w:t>
      </w:r>
    </w:p>
    <w:p w14:paraId="32EEADA4">
      <w:pPr>
        <w:spacing w:line="360" w:lineRule="auto"/>
        <w:ind w:firstLine="422" w:firstLineChars="200"/>
        <w:rPr>
          <w:rFonts w:hint="eastAsia" w:ascii="宋体" w:hAnsi="宋体" w:cs="宋体"/>
          <w:b/>
          <w:bCs w:val="0"/>
          <w:color w:val="auto"/>
          <w:kern w:val="0"/>
          <w:szCs w:val="21"/>
          <w:highlight w:val="none"/>
        </w:rPr>
      </w:pPr>
      <w:r>
        <w:rPr>
          <w:rFonts w:hint="eastAsia" w:ascii="宋体" w:hAnsi="宋体" w:cs="宋体"/>
          <w:b/>
          <w:bCs w:val="0"/>
          <w:color w:val="auto"/>
          <w:kern w:val="0"/>
          <w:szCs w:val="21"/>
          <w:highlight w:val="none"/>
          <w:lang w:val="en-US" w:eastAsia="zh-CN"/>
        </w:rPr>
        <w:t>四</w:t>
      </w:r>
      <w:r>
        <w:rPr>
          <w:rFonts w:hint="eastAsia" w:ascii="宋体" w:hAnsi="宋体" w:cs="宋体"/>
          <w:b/>
          <w:bCs w:val="0"/>
          <w:color w:val="auto"/>
          <w:kern w:val="0"/>
          <w:szCs w:val="21"/>
          <w:highlight w:val="none"/>
        </w:rPr>
        <w:t>、</w:t>
      </w:r>
      <w:r>
        <w:rPr>
          <w:rFonts w:hint="eastAsia" w:ascii="宋体" w:hAnsi="宋体" w:cs="宋体"/>
          <w:b/>
          <w:bCs w:val="0"/>
          <w:color w:val="auto"/>
          <w:kern w:val="0"/>
          <w:szCs w:val="21"/>
          <w:highlight w:val="none"/>
          <w:lang w:val="en-US" w:eastAsia="zh-CN"/>
        </w:rPr>
        <w:t>服务</w:t>
      </w:r>
      <w:r>
        <w:rPr>
          <w:rFonts w:hint="eastAsia" w:ascii="宋体" w:hAnsi="宋体" w:cs="宋体"/>
          <w:b/>
          <w:bCs w:val="0"/>
          <w:color w:val="auto"/>
          <w:kern w:val="0"/>
          <w:szCs w:val="21"/>
          <w:highlight w:val="none"/>
        </w:rPr>
        <w:t>要求</w:t>
      </w:r>
    </w:p>
    <w:p w14:paraId="076F2EB2">
      <w:pPr>
        <w:spacing w:line="360" w:lineRule="auto"/>
        <w:ind w:firstLine="420" w:firstLineChars="200"/>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（一）人员及设备配置</w:t>
      </w:r>
    </w:p>
    <w:p w14:paraId="7E90AFB0">
      <w:pPr>
        <w:spacing w:line="360" w:lineRule="auto"/>
        <w:ind w:firstLine="420" w:firstLineChars="200"/>
        <w:rPr>
          <w:rFonts w:hint="eastAsia" w:ascii="宋体" w:hAnsi="宋体" w:cs="宋体"/>
          <w:bCs/>
          <w:color w:val="auto"/>
          <w:kern w:val="0"/>
          <w:szCs w:val="21"/>
          <w:highlight w:val="none"/>
        </w:rPr>
      </w:pPr>
      <w:r>
        <w:rPr>
          <w:rFonts w:hint="eastAsia" w:ascii="宋体" w:hAnsi="宋体" w:cs="宋体"/>
          <w:b w:val="0"/>
          <w:bCs/>
          <w:color w:val="auto"/>
          <w:kern w:val="0"/>
          <w:szCs w:val="21"/>
          <w:highlight w:val="none"/>
        </w:rPr>
        <w:t>本项目服务人员不少于4人，其中组员（含巡查、督促整改等）2人，材料统计员（信息报送、材料编写、专题分析等）1人,项目经理（统筹管理、沟通畅达）1人，并由乙方配备工作所需的交通工具、信息采集设备。工作人员年龄男性不得大于50周岁，女性不得大于45周岁，且身体健康，无不良嗜好。</w:t>
      </w:r>
    </w:p>
    <w:p w14:paraId="6D96C718">
      <w:pPr>
        <w:spacing w:line="360" w:lineRule="auto"/>
        <w:ind w:firstLine="420" w:firstLineChars="200"/>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（二）工作开展需求</w:t>
      </w:r>
    </w:p>
    <w:p w14:paraId="28F2F860">
      <w:pPr>
        <w:spacing w:line="360" w:lineRule="auto"/>
        <w:ind w:firstLine="420" w:firstLineChars="200"/>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1、制定完备的项目启动实施方案，包含项目组人员组建方案、在要求的时限内完成采集人员组建及岗前培训等内容；</w:t>
      </w:r>
    </w:p>
    <w:p w14:paraId="27FEA8C1">
      <w:pPr>
        <w:spacing w:line="360" w:lineRule="auto"/>
        <w:ind w:firstLine="420" w:firstLineChars="200"/>
        <w:rPr>
          <w:rFonts w:hint="eastAsia" w:ascii="宋体" w:hAnsi="宋体" w:eastAsia="宋体" w:cs="宋体"/>
          <w:b w:val="0"/>
          <w:bCs/>
          <w:color w:val="auto"/>
          <w:kern w:val="0"/>
          <w:szCs w:val="21"/>
          <w:highlight w:val="none"/>
          <w:lang w:eastAsia="zh-CN"/>
        </w:rPr>
      </w:pPr>
      <w:r>
        <w:rPr>
          <w:rFonts w:hint="eastAsia" w:ascii="宋体" w:hAnsi="宋体" w:cs="宋体"/>
          <w:b w:val="0"/>
          <w:bCs/>
          <w:color w:val="auto"/>
          <w:kern w:val="0"/>
          <w:szCs w:val="21"/>
          <w:highlight w:val="none"/>
        </w:rPr>
        <w:t>2、制定保证相关信息数据全面、及时、准确采集的措施，确保如实反应康桥街道垃圾分类工作的实际情况</w:t>
      </w:r>
      <w:r>
        <w:rPr>
          <w:rFonts w:hint="eastAsia" w:ascii="宋体" w:hAnsi="宋体" w:cs="宋体"/>
          <w:b w:val="0"/>
          <w:bCs/>
          <w:color w:val="auto"/>
          <w:kern w:val="0"/>
          <w:szCs w:val="21"/>
          <w:highlight w:val="none"/>
          <w:lang w:eastAsia="zh-CN"/>
        </w:rPr>
        <w:t>，</w:t>
      </w:r>
      <w:r>
        <w:rPr>
          <w:rFonts w:hint="eastAsia" w:ascii="宋体" w:hAnsi="宋体" w:cs="宋体"/>
          <w:b w:val="0"/>
          <w:bCs/>
          <w:color w:val="auto"/>
          <w:kern w:val="0"/>
          <w:szCs w:val="21"/>
          <w:highlight w:val="none"/>
        </w:rPr>
        <w:t>数据准确率需达到95%以上</w:t>
      </w:r>
      <w:r>
        <w:rPr>
          <w:rFonts w:hint="eastAsia" w:ascii="宋体" w:hAnsi="宋体" w:cs="宋体"/>
          <w:b w:val="0"/>
          <w:bCs/>
          <w:color w:val="auto"/>
          <w:kern w:val="0"/>
          <w:szCs w:val="21"/>
          <w:highlight w:val="none"/>
          <w:lang w:eastAsia="zh-CN"/>
        </w:rPr>
        <w:t>；</w:t>
      </w:r>
    </w:p>
    <w:p w14:paraId="04324887">
      <w:pPr>
        <w:spacing w:line="360" w:lineRule="auto"/>
        <w:ind w:firstLine="420" w:firstLineChars="200"/>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3、制定垃圾分类不同区域信息采集实施方案</w:t>
      </w:r>
      <w:r>
        <w:rPr>
          <w:rFonts w:hint="eastAsia" w:ascii="宋体" w:hAnsi="宋体" w:cs="宋体"/>
          <w:b w:val="0"/>
          <w:bCs/>
          <w:color w:val="auto"/>
          <w:kern w:val="0"/>
          <w:szCs w:val="21"/>
          <w:highlight w:val="none"/>
          <w:lang w:eastAsia="zh-CN"/>
        </w:rPr>
        <w:t>，针对居住小区、商业区域、机关单位等不同区域的特点，制定差异化的信息采集实施方案</w:t>
      </w:r>
      <w:r>
        <w:rPr>
          <w:rFonts w:hint="eastAsia" w:ascii="宋体" w:hAnsi="宋体" w:cs="宋体"/>
          <w:b w:val="0"/>
          <w:bCs/>
          <w:color w:val="auto"/>
          <w:kern w:val="0"/>
          <w:szCs w:val="21"/>
          <w:highlight w:val="none"/>
        </w:rPr>
        <w:t>；</w:t>
      </w:r>
    </w:p>
    <w:p w14:paraId="681DF8C1">
      <w:pPr>
        <w:spacing w:line="360" w:lineRule="auto"/>
        <w:ind w:firstLine="420" w:firstLineChars="200"/>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4、街道区域内设立办公场所；</w:t>
      </w:r>
    </w:p>
    <w:p w14:paraId="31C59F30">
      <w:pPr>
        <w:spacing w:line="360" w:lineRule="auto"/>
        <w:ind w:firstLine="420" w:firstLineChars="200"/>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5、建立生活垃圾分类数据库，要求将全街道生活垃圾分类所有考核对象和垃圾分类设施设备进行地理信息要素普查测绘，每年定期更新生活垃圾分类考核评价基础数据库。监管区域使用自行配备符合相关标准的城市管理信息系统平台，用于垃圾分类问题采集、上报、批转等；并确保数据信息管理安全。</w:t>
      </w:r>
    </w:p>
    <w:p w14:paraId="6804E249">
      <w:pPr>
        <w:spacing w:line="360" w:lineRule="auto"/>
        <w:ind w:firstLine="420" w:firstLineChars="200"/>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（三）建立相应管理制度</w:t>
      </w:r>
    </w:p>
    <w:p w14:paraId="18D56153">
      <w:pPr>
        <w:spacing w:line="360" w:lineRule="auto"/>
        <w:ind w:firstLine="420" w:firstLineChars="200"/>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1、制定层级管理制度，保证管理、指挥、质量控制要求在组织架构上实现；</w:t>
      </w:r>
    </w:p>
    <w:p w14:paraId="10F35DCC">
      <w:pPr>
        <w:spacing w:line="360" w:lineRule="auto"/>
        <w:ind w:firstLine="420" w:firstLineChars="200"/>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2、建立规范的人力资源管理体系；</w:t>
      </w:r>
    </w:p>
    <w:p w14:paraId="238BB7C3">
      <w:pPr>
        <w:spacing w:line="360" w:lineRule="auto"/>
        <w:ind w:firstLine="420" w:firstLineChars="200"/>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3、制定详细的纪律、廉政、安全、公文管理、档案管理、宣传等内部管理制度；</w:t>
      </w:r>
    </w:p>
    <w:p w14:paraId="05640641">
      <w:pPr>
        <w:spacing w:line="360" w:lineRule="auto"/>
        <w:ind w:firstLine="420" w:firstLineChars="200"/>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4、制定各岗位明确分工和职责要求并对应制定考核办法，对于在工作中不能够认真负责，工作散漫，业务水平差的员工应及时调整或更换；</w:t>
      </w:r>
    </w:p>
    <w:p w14:paraId="1C61E273">
      <w:pPr>
        <w:spacing w:line="360" w:lineRule="auto"/>
        <w:ind w:firstLine="420" w:firstLineChars="200"/>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5、严格按照采集器管理要求制定采集器管理办法、车辆管理办法；</w:t>
      </w:r>
    </w:p>
    <w:p w14:paraId="316C7CA5">
      <w:pPr>
        <w:spacing w:line="360" w:lineRule="auto"/>
        <w:ind w:firstLine="420" w:firstLineChars="200"/>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6、建立完善的安全管理制度，在实施该项目的过程中，乙方应遵守法律法规，发生各种意外、安全事故等损失均由乙方自行负责，甲方不承担任何责任；</w:t>
      </w:r>
    </w:p>
    <w:p w14:paraId="56513B52">
      <w:pPr>
        <w:spacing w:line="360" w:lineRule="auto"/>
        <w:ind w:firstLine="420" w:firstLineChars="200"/>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（四）采集工作相关要求</w:t>
      </w:r>
    </w:p>
    <w:p w14:paraId="4892D11E">
      <w:pPr>
        <w:spacing w:line="360" w:lineRule="auto"/>
        <w:ind w:firstLine="420" w:firstLineChars="200"/>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1、每次信息采集必须记录并附有影像资料，每周将信息采集结果于次周上报至康桥街道（特殊问题及时上报），每周进行考核汇总，每月抽查当月检查的问题整改落实情况。</w:t>
      </w:r>
    </w:p>
    <w:p w14:paraId="57D5CC16">
      <w:pPr>
        <w:spacing w:line="360" w:lineRule="auto"/>
        <w:ind w:firstLine="420" w:firstLineChars="200"/>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2、对相关单位生活垃圾分类项目制度框架、政策制订和执行情况进行绩效评价，提出合理有效的建议并完成相关报告，协助甲方完成生活垃圾分类项目制度框架相关联的各项工作。</w:t>
      </w:r>
    </w:p>
    <w:p w14:paraId="1C40E1D9">
      <w:pPr>
        <w:spacing w:line="360" w:lineRule="auto"/>
        <w:ind w:firstLine="422" w:firstLineChars="200"/>
        <w:rPr>
          <w:rFonts w:ascii="宋体" w:hAnsi="宋体" w:cs="宋体"/>
          <w:b w:val="0"/>
          <w:bCs/>
          <w:color w:val="auto"/>
          <w:szCs w:val="21"/>
          <w:highlight w:val="none"/>
        </w:rPr>
      </w:pPr>
      <w:r>
        <w:rPr>
          <w:rFonts w:hint="eastAsia" w:ascii="宋体" w:hAnsi="宋体" w:cs="宋体"/>
          <w:b/>
          <w:bCs w:val="0"/>
          <w:color w:val="auto"/>
          <w:szCs w:val="21"/>
          <w:highlight w:val="none"/>
          <w:lang w:val="en-US" w:eastAsia="zh-CN"/>
        </w:rPr>
        <w:t>五</w:t>
      </w:r>
      <w:r>
        <w:rPr>
          <w:rFonts w:ascii="宋体" w:hAnsi="宋体" w:cs="宋体"/>
          <w:b/>
          <w:bCs w:val="0"/>
          <w:color w:val="auto"/>
          <w:szCs w:val="21"/>
          <w:highlight w:val="none"/>
        </w:rPr>
        <w:t>、</w:t>
      </w:r>
      <w:r>
        <w:rPr>
          <w:rFonts w:hint="eastAsia" w:ascii="宋体" w:hAnsi="宋体" w:cs="宋体"/>
          <w:b/>
          <w:bCs w:val="0"/>
          <w:color w:val="auto"/>
          <w:szCs w:val="21"/>
          <w:highlight w:val="none"/>
        </w:rPr>
        <w:t>合同</w:t>
      </w:r>
      <w:r>
        <w:rPr>
          <w:rFonts w:ascii="宋体" w:hAnsi="宋体" w:cs="宋体"/>
          <w:b/>
          <w:bCs w:val="0"/>
          <w:color w:val="auto"/>
          <w:szCs w:val="21"/>
          <w:highlight w:val="none"/>
        </w:rPr>
        <w:t>付款方式</w:t>
      </w:r>
    </w:p>
    <w:p w14:paraId="3FE46FEF">
      <w:pPr>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1、合同签订生效及具备实施条件且甲方收到合规发票后7个工作日内支付合同基础服务费的40%；</w:t>
      </w:r>
    </w:p>
    <w:p w14:paraId="6CAC8AAF">
      <w:pPr>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2、第</w:t>
      </w:r>
      <w:r>
        <w:rPr>
          <w:rFonts w:hint="eastAsia" w:ascii="宋体" w:hAnsi="宋体" w:cs="宋体"/>
          <w:b w:val="0"/>
          <w:bCs w:val="0"/>
          <w:color w:val="auto"/>
          <w:szCs w:val="21"/>
          <w:highlight w:val="none"/>
          <w:lang w:val="en-US" w:eastAsia="zh-CN"/>
        </w:rPr>
        <w:t>二</w:t>
      </w:r>
      <w:r>
        <w:rPr>
          <w:rFonts w:hint="eastAsia" w:ascii="宋体" w:hAnsi="宋体" w:cs="宋体"/>
          <w:b w:val="0"/>
          <w:bCs w:val="0"/>
          <w:color w:val="auto"/>
          <w:szCs w:val="21"/>
          <w:highlight w:val="none"/>
        </w:rPr>
        <w:t>季度服务完毕，乙方递交监管考核报告、季度报告，经甲方检验通过，且收到合规发票后7个工作日内，甲方根据考核结果情况扣除应扣款项后，至多支付合同基础服务费金额的20%；</w:t>
      </w:r>
    </w:p>
    <w:p w14:paraId="4F0D81C3">
      <w:pPr>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3、第</w:t>
      </w:r>
      <w:r>
        <w:rPr>
          <w:rFonts w:hint="eastAsia" w:ascii="宋体" w:hAnsi="宋体" w:cs="宋体"/>
          <w:b w:val="0"/>
          <w:bCs w:val="0"/>
          <w:color w:val="auto"/>
          <w:szCs w:val="21"/>
          <w:highlight w:val="none"/>
          <w:lang w:val="en-US" w:eastAsia="zh-CN"/>
        </w:rPr>
        <w:t>三</w:t>
      </w:r>
      <w:r>
        <w:rPr>
          <w:rFonts w:hint="eastAsia" w:ascii="宋体" w:hAnsi="宋体" w:cs="宋体"/>
          <w:b w:val="0"/>
          <w:bCs w:val="0"/>
          <w:color w:val="auto"/>
          <w:szCs w:val="21"/>
          <w:highlight w:val="none"/>
        </w:rPr>
        <w:t>季度服务完毕，乙方递交监管考核报告、季度报告，经甲方检验通过，且收到合规发票后7个工作日内，甲方根据考核结果情况扣除应扣款项后，至多支付合同基础服务费金额的20%；</w:t>
      </w:r>
    </w:p>
    <w:p w14:paraId="57274A0B">
      <w:pPr>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4、第</w:t>
      </w:r>
      <w:r>
        <w:rPr>
          <w:rFonts w:hint="eastAsia" w:ascii="宋体" w:hAnsi="宋体" w:cs="宋体"/>
          <w:b w:val="0"/>
          <w:bCs w:val="0"/>
          <w:color w:val="auto"/>
          <w:szCs w:val="21"/>
          <w:highlight w:val="none"/>
          <w:lang w:val="en-US" w:eastAsia="zh-CN"/>
        </w:rPr>
        <w:t>四</w:t>
      </w:r>
      <w:r>
        <w:rPr>
          <w:rFonts w:hint="eastAsia" w:ascii="宋体" w:hAnsi="宋体" w:cs="宋体"/>
          <w:b w:val="0"/>
          <w:bCs w:val="0"/>
          <w:color w:val="auto"/>
          <w:szCs w:val="21"/>
          <w:highlight w:val="none"/>
        </w:rPr>
        <w:t>季度服务完毕，乙方递交监管考核报告、年度考核报告、成果交付文件资料，经甲方检验通过，且收到合规发票后10个工作日内，甲方根据考核结果情况扣除应扣款项后，合同基础服务费金额的20%及考核奖励费一次性结清。</w:t>
      </w:r>
    </w:p>
    <w:p w14:paraId="323FB087">
      <w:pPr>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5、甲方每次支付合同款项前，乙方均应向甲方提供发票内容为垃圾分类服务的正规发票；财政部门审查、上级考核通报及实际支付可能造成的时间延误不视为甲方违约，甲方不承担任何的违约责任。</w:t>
      </w:r>
    </w:p>
    <w:p w14:paraId="4C581BA0">
      <w:pPr>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6、甲方根据市、区垃圾分类工作过程性考核指标进行考核，奖励费用与考核结果挂钩。</w:t>
      </w:r>
    </w:p>
    <w:p w14:paraId="25A8B6C9">
      <w:pPr>
        <w:pStyle w:val="6"/>
        <w:keepNext w:val="0"/>
        <w:keepLines w:val="0"/>
        <w:pageBreakBefore w:val="0"/>
        <w:kinsoku/>
        <w:wordWrap/>
        <w:overflowPunct/>
        <w:topLinePunct w:val="0"/>
        <w:bidi w:val="0"/>
        <w:spacing w:after="0" w:afterLines="0" w:line="480" w:lineRule="auto"/>
        <w:ind w:left="0" w:leftChars="0" w:firstLine="480" w:firstLineChars="200"/>
        <w:textAlignment w:val="auto"/>
        <w:outlineLvl w:val="9"/>
        <w:rPr>
          <w:rFonts w:hint="eastAsia" w:hAnsi="宋体" w:cs="宋体"/>
          <w:b w:val="0"/>
          <w:bCs/>
          <w:snapToGrid/>
          <w:color w:val="auto"/>
          <w:kern w:val="2"/>
          <w:sz w:val="24"/>
          <w:szCs w:val="24"/>
          <w:highlight w:val="none"/>
          <w:u w:val="single"/>
          <w:lang w:val="en-US" w:eastAsia="zh-CN" w:bidi="ar-SA"/>
        </w:rPr>
      </w:pPr>
      <w:r>
        <w:rPr>
          <w:rFonts w:hint="eastAsia" w:ascii="宋体" w:hAnsi="宋体" w:eastAsia="宋体" w:cs="宋体"/>
          <w:b w:val="0"/>
          <w:bCs/>
          <w:snapToGrid/>
          <w:color w:val="auto"/>
          <w:kern w:val="2"/>
          <w:sz w:val="24"/>
          <w:szCs w:val="24"/>
          <w:highlight w:val="none"/>
          <w:lang w:val="en-US" w:eastAsia="zh-CN" w:bidi="ar-SA"/>
        </w:rPr>
        <w:t>本</w:t>
      </w:r>
      <w:r>
        <w:rPr>
          <w:rFonts w:hint="eastAsia" w:hAnsi="宋体" w:cs="宋体"/>
          <w:b w:val="0"/>
          <w:bCs/>
          <w:snapToGrid/>
          <w:color w:val="auto"/>
          <w:kern w:val="2"/>
          <w:sz w:val="24"/>
          <w:szCs w:val="24"/>
          <w:highlight w:val="none"/>
          <w:lang w:val="en-US" w:eastAsia="zh-CN" w:bidi="ar-SA"/>
        </w:rPr>
        <w:t>项目</w:t>
      </w:r>
      <w:r>
        <w:rPr>
          <w:rFonts w:hint="eastAsia" w:ascii="宋体" w:hAnsi="宋体" w:eastAsia="宋体" w:cs="宋体"/>
          <w:b w:val="0"/>
          <w:bCs/>
          <w:snapToGrid/>
          <w:color w:val="auto"/>
          <w:kern w:val="2"/>
          <w:sz w:val="24"/>
          <w:szCs w:val="24"/>
          <w:highlight w:val="none"/>
          <w:lang w:val="en-US" w:eastAsia="zh-CN" w:bidi="ar-SA"/>
        </w:rPr>
        <w:t>考核奖励费</w:t>
      </w:r>
      <w:r>
        <w:rPr>
          <w:rFonts w:hint="eastAsia" w:hAnsi="宋体" w:cs="宋体"/>
          <w:b w:val="0"/>
          <w:bCs/>
          <w:snapToGrid/>
          <w:color w:val="auto"/>
          <w:kern w:val="2"/>
          <w:sz w:val="24"/>
          <w:szCs w:val="24"/>
          <w:highlight w:val="none"/>
          <w:lang w:val="en-US" w:eastAsia="zh-CN" w:bidi="ar-SA"/>
        </w:rPr>
        <w:t>共25万元整，需包含在本次投标报价中，不可自主报价，具体分为月度考核奖金及年度考核奖金。其中月度考核</w:t>
      </w:r>
      <w:r>
        <w:rPr>
          <w:rFonts w:hint="eastAsia" w:cs="宋体"/>
          <w:b w:val="0"/>
          <w:bCs/>
          <w:snapToGrid/>
          <w:color w:val="auto"/>
          <w:kern w:val="2"/>
          <w:sz w:val="24"/>
          <w:szCs w:val="24"/>
          <w:highlight w:val="none"/>
          <w:u w:val="none"/>
          <w:lang w:val="en-US" w:eastAsia="zh-CN" w:bidi="ar-SA"/>
        </w:rPr>
        <w:t>奖金</w:t>
      </w:r>
      <w:r>
        <w:rPr>
          <w:rFonts w:hint="eastAsia" w:hAnsi="宋体" w:cs="宋体"/>
          <w:b w:val="0"/>
          <w:bCs/>
          <w:snapToGrid/>
          <w:color w:val="auto"/>
          <w:kern w:val="2"/>
          <w:sz w:val="24"/>
          <w:szCs w:val="24"/>
          <w:highlight w:val="none"/>
          <w:u w:val="single"/>
          <w:lang w:val="en-US" w:eastAsia="zh-CN" w:bidi="ar-SA"/>
        </w:rPr>
        <w:t>15</w:t>
      </w:r>
      <w:r>
        <w:rPr>
          <w:rFonts w:hint="eastAsia" w:ascii="宋体" w:hAnsi="宋体" w:eastAsia="宋体" w:cs="宋体"/>
          <w:b w:val="0"/>
          <w:bCs/>
          <w:color w:val="auto"/>
          <w:sz w:val="24"/>
          <w:szCs w:val="24"/>
          <w:highlight w:val="none"/>
          <w:u w:val="single"/>
          <w:lang w:val="en-US" w:eastAsia="zh-CN"/>
        </w:rPr>
        <w:t>万元</w:t>
      </w:r>
      <w:r>
        <w:rPr>
          <w:rFonts w:hint="eastAsia" w:cs="宋体"/>
          <w:b w:val="0"/>
          <w:bCs/>
          <w:color w:val="auto"/>
          <w:sz w:val="24"/>
          <w:szCs w:val="24"/>
          <w:highlight w:val="none"/>
          <w:u w:val="single"/>
          <w:lang w:val="en-US" w:eastAsia="zh-CN"/>
        </w:rPr>
        <w:t>（大写：拾伍万元整)</w:t>
      </w:r>
      <w:r>
        <w:rPr>
          <w:rFonts w:hint="eastAsia" w:cs="宋体"/>
          <w:b w:val="0"/>
          <w:bCs/>
          <w:snapToGrid/>
          <w:color w:val="auto"/>
          <w:kern w:val="2"/>
          <w:sz w:val="24"/>
          <w:szCs w:val="24"/>
          <w:highlight w:val="none"/>
          <w:u w:val="single"/>
          <w:lang w:val="en-US" w:eastAsia="zh-CN" w:bidi="ar-SA"/>
        </w:rPr>
        <w:t>；年度考核奖金</w:t>
      </w:r>
      <w:r>
        <w:rPr>
          <w:rFonts w:hint="eastAsia" w:hAnsi="宋体" w:cs="宋体"/>
          <w:b w:val="0"/>
          <w:bCs/>
          <w:snapToGrid/>
          <w:color w:val="auto"/>
          <w:kern w:val="2"/>
          <w:sz w:val="24"/>
          <w:szCs w:val="24"/>
          <w:highlight w:val="none"/>
          <w:u w:val="single"/>
          <w:lang w:val="en-US" w:eastAsia="zh-CN" w:bidi="ar-SA"/>
        </w:rPr>
        <w:t>10</w:t>
      </w:r>
      <w:r>
        <w:rPr>
          <w:rFonts w:hint="eastAsia" w:ascii="宋体" w:hAnsi="宋体" w:eastAsia="宋体" w:cs="宋体"/>
          <w:b w:val="0"/>
          <w:bCs/>
          <w:color w:val="auto"/>
          <w:sz w:val="24"/>
          <w:szCs w:val="24"/>
          <w:highlight w:val="none"/>
          <w:u w:val="single"/>
          <w:lang w:val="en-US" w:eastAsia="zh-CN"/>
        </w:rPr>
        <w:t>万元</w:t>
      </w:r>
      <w:r>
        <w:rPr>
          <w:rFonts w:hint="eastAsia" w:cs="宋体"/>
          <w:b w:val="0"/>
          <w:bCs/>
          <w:color w:val="auto"/>
          <w:sz w:val="24"/>
          <w:szCs w:val="24"/>
          <w:highlight w:val="none"/>
          <w:u w:val="single"/>
          <w:lang w:val="en-US" w:eastAsia="zh-CN"/>
        </w:rPr>
        <w:t>（大写：拾万元整)</w:t>
      </w:r>
      <w:r>
        <w:rPr>
          <w:rFonts w:hint="eastAsia" w:cs="宋体"/>
          <w:b w:val="0"/>
          <w:bCs/>
          <w:snapToGrid/>
          <w:color w:val="auto"/>
          <w:kern w:val="2"/>
          <w:sz w:val="24"/>
          <w:szCs w:val="24"/>
          <w:highlight w:val="none"/>
          <w:u w:val="single"/>
          <w:lang w:val="en-US" w:eastAsia="zh-CN" w:bidi="ar-SA"/>
        </w:rPr>
        <w:t>。乙方最终能够拿到的月度考核奖金及年度考核奖金金额以考核结果为准，</w:t>
      </w:r>
      <w:r>
        <w:rPr>
          <w:rFonts w:hint="eastAsia" w:ascii="宋体" w:hAnsi="宋体" w:eastAsia="宋体" w:cs="宋体"/>
          <w:b w:val="0"/>
          <w:bCs/>
          <w:snapToGrid/>
          <w:color w:val="auto"/>
          <w:kern w:val="2"/>
          <w:sz w:val="24"/>
          <w:szCs w:val="24"/>
          <w:highlight w:val="none"/>
          <w:u w:val="single"/>
          <w:lang w:val="en-US" w:eastAsia="zh-CN" w:bidi="ar-SA"/>
        </w:rPr>
        <w:t>具体考核</w:t>
      </w:r>
      <w:r>
        <w:rPr>
          <w:rFonts w:hint="eastAsia" w:hAnsi="宋体" w:cs="宋体"/>
          <w:b w:val="0"/>
          <w:bCs/>
          <w:snapToGrid/>
          <w:color w:val="auto"/>
          <w:kern w:val="2"/>
          <w:sz w:val="24"/>
          <w:szCs w:val="24"/>
          <w:highlight w:val="none"/>
          <w:u w:val="single"/>
          <w:lang w:val="en-US" w:eastAsia="zh-CN" w:bidi="ar-SA"/>
        </w:rPr>
        <w:t>方式如下：</w:t>
      </w:r>
    </w:p>
    <w:p w14:paraId="11F97AE3">
      <w:pPr>
        <w:pStyle w:val="6"/>
        <w:keepNext w:val="0"/>
        <w:keepLines w:val="0"/>
        <w:pageBreakBefore w:val="0"/>
        <w:kinsoku/>
        <w:wordWrap/>
        <w:overflowPunct/>
        <w:topLinePunct w:val="0"/>
        <w:bidi w:val="0"/>
        <w:spacing w:after="0" w:afterLines="0" w:line="480" w:lineRule="auto"/>
        <w:ind w:left="0" w:leftChars="0" w:firstLine="480" w:firstLineChars="200"/>
        <w:textAlignment w:val="auto"/>
        <w:outlineLvl w:val="9"/>
        <w:rPr>
          <w:rFonts w:hint="eastAsia" w:hAnsi="宋体" w:cs="宋体"/>
          <w:bCs/>
          <w:snapToGrid/>
          <w:color w:val="auto"/>
          <w:szCs w:val="24"/>
          <w:highlight w:val="none"/>
          <w:u w:val="single"/>
          <w:lang w:val="en-US"/>
        </w:rPr>
      </w:pPr>
      <w:r>
        <w:rPr>
          <w:rFonts w:hint="eastAsia" w:hAnsi="宋体" w:cs="宋体"/>
          <w:bCs/>
          <w:snapToGrid/>
          <w:color w:val="auto"/>
          <w:szCs w:val="24"/>
          <w:highlight w:val="none"/>
          <w:u w:val="single"/>
          <w:lang w:val="en-US"/>
        </w:rPr>
        <w:t>甲方根据市、区垃圾分类工作过程性考核指标进行考核，奖励费用与考核结果挂钩。</w:t>
      </w:r>
    </w:p>
    <w:p w14:paraId="55B333BF">
      <w:pPr>
        <w:pStyle w:val="6"/>
        <w:keepNext w:val="0"/>
        <w:keepLines w:val="0"/>
        <w:pageBreakBefore w:val="0"/>
        <w:kinsoku/>
        <w:wordWrap/>
        <w:overflowPunct/>
        <w:topLinePunct w:val="0"/>
        <w:bidi w:val="0"/>
        <w:spacing w:after="0" w:afterLines="0" w:line="480" w:lineRule="auto"/>
        <w:ind w:left="0" w:leftChars="0" w:firstLine="480" w:firstLineChars="200"/>
        <w:textAlignment w:val="auto"/>
        <w:outlineLvl w:val="9"/>
        <w:rPr>
          <w:rFonts w:hint="eastAsia" w:hAnsi="宋体" w:cs="宋体"/>
          <w:bCs/>
          <w:snapToGrid/>
          <w:color w:val="auto"/>
          <w:szCs w:val="24"/>
          <w:highlight w:val="none"/>
          <w:u w:val="single"/>
          <w:lang w:val="en-US"/>
        </w:rPr>
      </w:pPr>
      <w:r>
        <w:rPr>
          <w:rFonts w:hint="eastAsia" w:hAnsi="宋体" w:cs="宋体"/>
          <w:bCs/>
          <w:snapToGrid/>
          <w:color w:val="auto"/>
          <w:szCs w:val="24"/>
          <w:highlight w:val="none"/>
          <w:u w:val="single"/>
          <w:lang w:val="en-US"/>
        </w:rPr>
        <w:t>15万元月度考核奖金</w:t>
      </w:r>
      <w:r>
        <w:rPr>
          <w:rFonts w:hint="eastAsia" w:hAnsi="宋体" w:cs="宋体"/>
          <w:bCs/>
          <w:snapToGrid/>
          <w:color w:val="auto"/>
          <w:szCs w:val="24"/>
          <w:highlight w:val="none"/>
          <w:u w:val="single"/>
          <w:lang w:val="en-US" w:eastAsia="zh-CN"/>
        </w:rPr>
        <w:t>考核方式</w:t>
      </w:r>
      <w:r>
        <w:rPr>
          <w:rFonts w:hint="eastAsia" w:hAnsi="宋体" w:cs="宋体"/>
          <w:bCs/>
          <w:snapToGrid/>
          <w:color w:val="auto"/>
          <w:szCs w:val="24"/>
          <w:highlight w:val="none"/>
          <w:u w:val="single"/>
          <w:lang w:val="en-US"/>
        </w:rPr>
        <w:t>：若市级月排名在第60名及以后或被列入黑榜，则扣减2万元/月；若区级月排名在第16—18名，则扣减2万元/月；区级月排名在第13—15名，则扣减1万元/月。月度考核奖金直至扣完15万元为止。</w:t>
      </w:r>
    </w:p>
    <w:p w14:paraId="2A5D9F14">
      <w:pPr>
        <w:pStyle w:val="6"/>
        <w:spacing w:afterLines="0" w:line="480" w:lineRule="auto"/>
        <w:ind w:firstLine="480" w:firstLineChars="200"/>
        <w:outlineLvl w:val="9"/>
        <w:rPr>
          <w:rFonts w:hint="default"/>
          <w:color w:val="auto"/>
          <w:highlight w:val="none"/>
          <w:lang w:val="en-US" w:eastAsia="zh-CN"/>
        </w:rPr>
      </w:pPr>
      <w:r>
        <w:rPr>
          <w:rFonts w:hint="eastAsia" w:hAnsi="宋体" w:cs="宋体"/>
          <w:bCs/>
          <w:snapToGrid/>
          <w:color w:val="auto"/>
          <w:szCs w:val="24"/>
          <w:highlight w:val="none"/>
          <w:u w:val="single"/>
          <w:lang w:val="en-US"/>
        </w:rPr>
        <w:t>10万元年度考核奖金</w:t>
      </w:r>
      <w:r>
        <w:rPr>
          <w:rFonts w:hint="eastAsia" w:hAnsi="宋体" w:cs="宋体"/>
          <w:bCs/>
          <w:snapToGrid/>
          <w:color w:val="auto"/>
          <w:szCs w:val="24"/>
          <w:highlight w:val="none"/>
          <w:u w:val="single"/>
          <w:lang w:val="en-US" w:eastAsia="zh-CN"/>
        </w:rPr>
        <w:t>考核方式</w:t>
      </w:r>
      <w:r>
        <w:rPr>
          <w:rFonts w:hint="eastAsia" w:hAnsi="宋体" w:cs="宋体"/>
          <w:bCs/>
          <w:snapToGrid/>
          <w:color w:val="auto"/>
          <w:szCs w:val="24"/>
          <w:highlight w:val="none"/>
          <w:u w:val="single"/>
          <w:lang w:val="en-US"/>
        </w:rPr>
        <w:t>：若市级</w:t>
      </w:r>
      <w:r>
        <w:rPr>
          <w:rFonts w:hint="eastAsia" w:hAnsi="宋体" w:cs="宋体"/>
          <w:bCs/>
          <w:snapToGrid/>
          <w:color w:val="auto"/>
          <w:szCs w:val="24"/>
          <w:highlight w:val="none"/>
          <w:u w:val="single"/>
          <w:lang w:val="en-US" w:eastAsia="zh-CN"/>
        </w:rPr>
        <w:t>年度</w:t>
      </w:r>
      <w:r>
        <w:rPr>
          <w:rFonts w:hint="eastAsia" w:hAnsi="宋体" w:cs="宋体"/>
          <w:bCs/>
          <w:snapToGrid/>
          <w:color w:val="auto"/>
          <w:szCs w:val="24"/>
          <w:highlight w:val="none"/>
          <w:u w:val="single"/>
          <w:lang w:val="en-US"/>
        </w:rPr>
        <w:t>考核被列入红榜的，则奖励2万元；若区级年度综合排名在前3名，则奖励10万；区级年度综合排名在第4名及以后各名次，则依次递减1万元。区级年度综合排名在第4名以后又被市级列入红榜的，先按照名次对应的递减奖励金额确定基础奖励，再加上红榜奖励2万元，若基础奖励因名次递减已无金额，仅发放红榜奖励2万。年度考核奖金最高不超过10万元，最低至扣完10万元为止。</w:t>
      </w:r>
    </w:p>
    <w:p w14:paraId="3EA8857A">
      <w:pPr>
        <w:tabs>
          <w:tab w:val="left" w:pos="0"/>
        </w:tabs>
        <w:spacing w:line="360" w:lineRule="auto"/>
        <w:ind w:firstLine="480"/>
        <w:rPr>
          <w:rFonts w:ascii="仿宋" w:hAnsi="仿宋" w:eastAsia="仿宋" w:cs="仿宋"/>
          <w:color w:val="auto"/>
          <w:kern w:val="0"/>
          <w:sz w:val="24"/>
          <w:highlight w:val="none"/>
        </w:rPr>
      </w:pPr>
    </w:p>
    <w:p w14:paraId="6215733C">
      <w:pPr>
        <w:tabs>
          <w:tab w:val="left" w:pos="0"/>
        </w:tabs>
        <w:spacing w:line="360" w:lineRule="auto"/>
        <w:ind w:firstLine="480"/>
        <w:rPr>
          <w:rFonts w:ascii="仿宋" w:hAnsi="仿宋" w:eastAsia="仿宋" w:cs="仿宋"/>
          <w:color w:val="auto"/>
          <w:kern w:val="0"/>
          <w:sz w:val="24"/>
          <w:highlight w:val="none"/>
        </w:rPr>
      </w:pPr>
    </w:p>
    <w:p w14:paraId="6BF29D6F">
      <w:pPr>
        <w:tabs>
          <w:tab w:val="left" w:pos="0"/>
        </w:tabs>
        <w:spacing w:line="360" w:lineRule="auto"/>
        <w:ind w:firstLine="480"/>
        <w:rPr>
          <w:rFonts w:ascii="仿宋" w:hAnsi="仿宋" w:eastAsia="仿宋" w:cs="仿宋"/>
          <w:color w:val="auto"/>
          <w:kern w:val="0"/>
          <w:sz w:val="24"/>
          <w:highlight w:val="none"/>
        </w:rPr>
      </w:pPr>
    </w:p>
    <w:p w14:paraId="558EA6F4">
      <w:pPr>
        <w:tabs>
          <w:tab w:val="left" w:pos="0"/>
        </w:tabs>
        <w:spacing w:line="360" w:lineRule="auto"/>
        <w:ind w:firstLine="480"/>
        <w:rPr>
          <w:rFonts w:ascii="仿宋" w:hAnsi="仿宋" w:eastAsia="仿宋" w:cs="仿宋"/>
          <w:color w:val="auto"/>
          <w:kern w:val="0"/>
          <w:sz w:val="24"/>
          <w:highlight w:val="none"/>
        </w:rPr>
      </w:pPr>
    </w:p>
    <w:p w14:paraId="5CA7D3C1">
      <w:pPr>
        <w:rPr>
          <w:rFonts w:ascii="仿宋" w:hAnsi="仿宋" w:eastAsia="仿宋" w:cs="仿宋"/>
          <w:snapToGrid w:val="0"/>
          <w:color w:val="auto"/>
          <w:kern w:val="0"/>
          <w:sz w:val="24"/>
          <w:highlight w:val="none"/>
        </w:rPr>
      </w:pPr>
    </w:p>
    <w:p w14:paraId="2D736948">
      <w:pPr>
        <w:numPr>
          <w:ilvl w:val="0"/>
          <w:numId w:val="2"/>
        </w:numPr>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36"/>
          <w:szCs w:val="36"/>
          <w:highlight w:val="none"/>
        </w:rPr>
        <w:t xml:space="preserve">  </w:t>
      </w:r>
      <w:bookmarkStart w:id="27" w:name="_Toc184313285"/>
      <w:bookmarkEnd w:id="27"/>
      <w:bookmarkStart w:id="28" w:name="_Toc184314460"/>
      <w:bookmarkEnd w:id="28"/>
      <w:bookmarkStart w:id="29" w:name="_Toc184308044"/>
      <w:bookmarkEnd w:id="29"/>
      <w:bookmarkStart w:id="30" w:name="_Toc184313299"/>
      <w:bookmarkEnd w:id="30"/>
      <w:bookmarkStart w:id="31" w:name="_Toc184308076"/>
      <w:bookmarkEnd w:id="31"/>
      <w:bookmarkStart w:id="32" w:name="_Toc184308042"/>
      <w:bookmarkEnd w:id="32"/>
      <w:bookmarkStart w:id="33" w:name="_Toc184313251"/>
      <w:bookmarkEnd w:id="33"/>
      <w:bookmarkStart w:id="34" w:name="_Toc184314431"/>
      <w:bookmarkEnd w:id="34"/>
      <w:bookmarkStart w:id="35" w:name="_Toc184308091"/>
      <w:bookmarkEnd w:id="35"/>
      <w:bookmarkStart w:id="36" w:name="_Toc184310278"/>
      <w:bookmarkEnd w:id="36"/>
      <w:bookmarkStart w:id="37" w:name="_Toc184310281"/>
      <w:bookmarkEnd w:id="37"/>
      <w:bookmarkStart w:id="38" w:name="_Toc184314428"/>
      <w:bookmarkEnd w:id="38"/>
      <w:bookmarkStart w:id="39" w:name="_Toc184308096"/>
      <w:bookmarkEnd w:id="39"/>
      <w:bookmarkStart w:id="40" w:name="_Toc184310294"/>
      <w:bookmarkEnd w:id="40"/>
      <w:bookmarkStart w:id="41" w:name="_Toc184310321"/>
      <w:bookmarkEnd w:id="41"/>
      <w:bookmarkStart w:id="42" w:name="_Toc184310282"/>
      <w:bookmarkEnd w:id="42"/>
      <w:bookmarkStart w:id="43" w:name="_Toc184308083"/>
      <w:bookmarkEnd w:id="43"/>
      <w:bookmarkStart w:id="44" w:name="_Toc184312082"/>
      <w:bookmarkEnd w:id="44"/>
      <w:bookmarkStart w:id="45" w:name="_Toc184312070"/>
      <w:bookmarkEnd w:id="45"/>
      <w:bookmarkStart w:id="46" w:name="_Toc184312125"/>
      <w:bookmarkEnd w:id="46"/>
      <w:bookmarkStart w:id="47" w:name="_Toc184313248"/>
      <w:bookmarkEnd w:id="47"/>
      <w:bookmarkStart w:id="48" w:name="_Toc184313245"/>
      <w:bookmarkEnd w:id="48"/>
      <w:bookmarkStart w:id="49" w:name="_Toc184312077"/>
      <w:bookmarkEnd w:id="49"/>
      <w:bookmarkStart w:id="50" w:name="_Toc184312073"/>
      <w:bookmarkEnd w:id="50"/>
      <w:bookmarkStart w:id="51" w:name="_Toc184312068"/>
      <w:bookmarkEnd w:id="51"/>
      <w:bookmarkStart w:id="52" w:name="_Toc184308095"/>
      <w:bookmarkEnd w:id="52"/>
      <w:bookmarkStart w:id="53" w:name="_Toc184313298"/>
      <w:bookmarkEnd w:id="53"/>
      <w:bookmarkStart w:id="54" w:name="_Toc184310273"/>
      <w:bookmarkEnd w:id="54"/>
      <w:bookmarkStart w:id="55" w:name="_Toc184310331"/>
      <w:bookmarkEnd w:id="55"/>
      <w:bookmarkStart w:id="56" w:name="_Toc184312112"/>
      <w:bookmarkEnd w:id="56"/>
      <w:bookmarkStart w:id="57" w:name="_Toc184310327"/>
      <w:bookmarkEnd w:id="57"/>
      <w:bookmarkStart w:id="58" w:name="_Toc184310300"/>
      <w:bookmarkEnd w:id="58"/>
      <w:bookmarkStart w:id="59" w:name="_Toc184312080"/>
      <w:bookmarkEnd w:id="59"/>
      <w:bookmarkStart w:id="60" w:name="_Toc184312133"/>
      <w:bookmarkEnd w:id="60"/>
      <w:bookmarkStart w:id="61" w:name="_Toc184308071"/>
      <w:bookmarkEnd w:id="61"/>
      <w:bookmarkStart w:id="62" w:name="_Toc184314421"/>
      <w:bookmarkEnd w:id="62"/>
      <w:bookmarkStart w:id="63" w:name="_Toc184308104"/>
      <w:bookmarkEnd w:id="63"/>
      <w:bookmarkStart w:id="64" w:name="_Toc184313274"/>
      <w:bookmarkEnd w:id="64"/>
      <w:bookmarkStart w:id="65" w:name="_Toc184312098"/>
      <w:bookmarkEnd w:id="65"/>
      <w:bookmarkStart w:id="66" w:name="_Toc184314415"/>
      <w:bookmarkEnd w:id="66"/>
      <w:bookmarkStart w:id="67" w:name="_Toc184313275"/>
      <w:bookmarkEnd w:id="67"/>
      <w:bookmarkStart w:id="68" w:name="_Toc184312107"/>
      <w:bookmarkEnd w:id="68"/>
      <w:bookmarkStart w:id="69" w:name="_Toc184312072"/>
      <w:bookmarkEnd w:id="69"/>
      <w:bookmarkStart w:id="70" w:name="_Toc184313268"/>
      <w:bookmarkEnd w:id="70"/>
      <w:bookmarkStart w:id="71" w:name="_Toc184310324"/>
      <w:bookmarkEnd w:id="71"/>
      <w:bookmarkStart w:id="72" w:name="_Toc184310311"/>
      <w:bookmarkEnd w:id="72"/>
      <w:bookmarkStart w:id="73" w:name="_Toc184310326"/>
      <w:bookmarkEnd w:id="73"/>
      <w:bookmarkStart w:id="74" w:name="_Toc184308062"/>
      <w:bookmarkEnd w:id="74"/>
      <w:bookmarkStart w:id="75" w:name="_Toc184308105"/>
      <w:bookmarkEnd w:id="75"/>
      <w:bookmarkStart w:id="76" w:name="_Toc184308090"/>
      <w:bookmarkEnd w:id="76"/>
      <w:bookmarkStart w:id="77" w:name="_Toc184310296"/>
      <w:bookmarkEnd w:id="77"/>
      <w:bookmarkStart w:id="78" w:name="_Toc184314429"/>
      <w:bookmarkEnd w:id="78"/>
      <w:bookmarkStart w:id="79" w:name="_Toc184313297"/>
      <w:bookmarkEnd w:id="79"/>
      <w:bookmarkStart w:id="80" w:name="_Toc184314413"/>
      <w:bookmarkEnd w:id="80"/>
      <w:bookmarkStart w:id="81" w:name="_Toc184310316"/>
      <w:bookmarkEnd w:id="81"/>
      <w:bookmarkStart w:id="82" w:name="_Toc184310274"/>
      <w:bookmarkEnd w:id="82"/>
      <w:bookmarkStart w:id="83" w:name="_Toc184313246"/>
      <w:bookmarkEnd w:id="83"/>
      <w:bookmarkStart w:id="84" w:name="_Toc184313250"/>
      <w:bookmarkEnd w:id="84"/>
      <w:bookmarkStart w:id="85" w:name="_Toc184314456"/>
      <w:bookmarkEnd w:id="85"/>
      <w:bookmarkStart w:id="86" w:name="_Toc184308047"/>
      <w:bookmarkEnd w:id="86"/>
      <w:bookmarkStart w:id="87" w:name="_Toc184310308"/>
      <w:bookmarkEnd w:id="87"/>
      <w:bookmarkStart w:id="88" w:name="_Toc184312124"/>
      <w:bookmarkEnd w:id="88"/>
      <w:bookmarkStart w:id="89" w:name="_Toc184310276"/>
      <w:bookmarkEnd w:id="89"/>
      <w:bookmarkStart w:id="90" w:name="_Toc184310340"/>
      <w:bookmarkEnd w:id="90"/>
      <w:bookmarkStart w:id="91" w:name="_Toc184310292"/>
      <w:bookmarkEnd w:id="91"/>
      <w:bookmarkStart w:id="92" w:name="_Toc184310339"/>
      <w:bookmarkEnd w:id="92"/>
      <w:bookmarkStart w:id="93" w:name="_Toc184314468"/>
      <w:bookmarkEnd w:id="93"/>
      <w:bookmarkStart w:id="94" w:name="_Toc184314441"/>
      <w:bookmarkEnd w:id="94"/>
      <w:bookmarkStart w:id="95" w:name="_Toc184312134"/>
      <w:bookmarkEnd w:id="95"/>
      <w:bookmarkStart w:id="96" w:name="_Toc184310301"/>
      <w:bookmarkEnd w:id="96"/>
      <w:bookmarkStart w:id="97" w:name="_Toc184313269"/>
      <w:bookmarkEnd w:id="97"/>
      <w:bookmarkStart w:id="98" w:name="_Toc184314420"/>
      <w:bookmarkEnd w:id="98"/>
      <w:bookmarkStart w:id="99" w:name="_Toc184310320"/>
      <w:bookmarkEnd w:id="99"/>
      <w:bookmarkStart w:id="100" w:name="_Toc184308092"/>
      <w:bookmarkEnd w:id="100"/>
      <w:bookmarkStart w:id="101" w:name="_Toc184312087"/>
      <w:bookmarkEnd w:id="101"/>
      <w:bookmarkStart w:id="102" w:name="_Toc184312117"/>
      <w:bookmarkEnd w:id="102"/>
      <w:bookmarkStart w:id="103" w:name="_Toc184312115"/>
      <w:bookmarkEnd w:id="103"/>
      <w:bookmarkStart w:id="104" w:name="_Toc184313308"/>
      <w:bookmarkEnd w:id="104"/>
      <w:bookmarkStart w:id="105" w:name="_Toc184310310"/>
      <w:bookmarkEnd w:id="105"/>
      <w:bookmarkStart w:id="106" w:name="_Toc184312137"/>
      <w:bookmarkEnd w:id="106"/>
      <w:bookmarkStart w:id="107" w:name="_Toc184308097"/>
      <w:bookmarkEnd w:id="107"/>
      <w:bookmarkStart w:id="108" w:name="_Toc184314473"/>
      <w:bookmarkEnd w:id="108"/>
      <w:bookmarkStart w:id="109" w:name="_Toc184312110"/>
      <w:bookmarkEnd w:id="109"/>
      <w:bookmarkStart w:id="110" w:name="_Toc184310304"/>
      <w:bookmarkEnd w:id="110"/>
      <w:bookmarkStart w:id="111" w:name="_Toc184310319"/>
      <w:bookmarkEnd w:id="111"/>
      <w:bookmarkStart w:id="112" w:name="_Toc184313289"/>
      <w:bookmarkEnd w:id="112"/>
      <w:bookmarkStart w:id="113" w:name="_Toc184308100"/>
      <w:bookmarkEnd w:id="113"/>
      <w:bookmarkStart w:id="114" w:name="_Toc184314454"/>
      <w:bookmarkEnd w:id="114"/>
      <w:bookmarkStart w:id="115" w:name="_Toc184312097"/>
      <w:bookmarkEnd w:id="115"/>
      <w:bookmarkStart w:id="116" w:name="_Toc184310279"/>
      <w:bookmarkEnd w:id="116"/>
      <w:bookmarkStart w:id="117" w:name="_Toc184312096"/>
      <w:bookmarkEnd w:id="117"/>
      <w:bookmarkStart w:id="118" w:name="_Toc184310329"/>
      <w:bookmarkEnd w:id="118"/>
      <w:bookmarkStart w:id="119" w:name="_Toc184314427"/>
      <w:bookmarkEnd w:id="119"/>
      <w:bookmarkStart w:id="120" w:name="_Toc184308054"/>
      <w:bookmarkEnd w:id="120"/>
      <w:bookmarkStart w:id="121" w:name="_Toc184312136"/>
      <w:bookmarkEnd w:id="121"/>
      <w:bookmarkStart w:id="122" w:name="_Toc184312076"/>
      <w:bookmarkEnd w:id="122"/>
      <w:bookmarkStart w:id="123" w:name="_Toc184310337"/>
      <w:bookmarkEnd w:id="123"/>
      <w:bookmarkStart w:id="124" w:name="_Toc184310298"/>
      <w:bookmarkEnd w:id="124"/>
      <w:bookmarkStart w:id="125" w:name="_Toc184314426"/>
      <w:bookmarkEnd w:id="125"/>
      <w:bookmarkStart w:id="126" w:name="_Toc184313261"/>
      <w:bookmarkEnd w:id="126"/>
      <w:bookmarkStart w:id="127" w:name="_Toc184313296"/>
      <w:bookmarkEnd w:id="127"/>
      <w:bookmarkStart w:id="128" w:name="_Toc184312094"/>
      <w:bookmarkEnd w:id="128"/>
      <w:bookmarkStart w:id="129" w:name="_Toc184310307"/>
      <w:bookmarkEnd w:id="129"/>
      <w:bookmarkStart w:id="130" w:name="_Toc184313278"/>
      <w:bookmarkEnd w:id="130"/>
      <w:bookmarkStart w:id="131" w:name="_Toc184310287"/>
      <w:bookmarkEnd w:id="131"/>
      <w:bookmarkStart w:id="132" w:name="_Toc184308066"/>
      <w:bookmarkEnd w:id="132"/>
      <w:bookmarkStart w:id="133" w:name="_Toc184312116"/>
      <w:bookmarkEnd w:id="133"/>
      <w:bookmarkStart w:id="134" w:name="_Toc184313240"/>
      <w:bookmarkEnd w:id="134"/>
      <w:bookmarkStart w:id="135" w:name="_Toc184314464"/>
      <w:bookmarkEnd w:id="135"/>
      <w:bookmarkStart w:id="136" w:name="_Toc184313309"/>
      <w:bookmarkEnd w:id="136"/>
      <w:bookmarkStart w:id="137" w:name="_Toc184308039"/>
      <w:bookmarkEnd w:id="137"/>
      <w:bookmarkStart w:id="138" w:name="_Toc184313253"/>
      <w:bookmarkEnd w:id="138"/>
      <w:bookmarkStart w:id="139" w:name="_Toc184313301"/>
      <w:bookmarkEnd w:id="139"/>
      <w:bookmarkStart w:id="140" w:name="_Toc184312113"/>
      <w:bookmarkEnd w:id="140"/>
      <w:bookmarkStart w:id="141" w:name="_Toc184310285"/>
      <w:bookmarkEnd w:id="141"/>
      <w:bookmarkStart w:id="142" w:name="_Toc184308065"/>
      <w:bookmarkEnd w:id="142"/>
      <w:bookmarkStart w:id="143" w:name="_Toc184308098"/>
      <w:bookmarkEnd w:id="143"/>
      <w:bookmarkStart w:id="144" w:name="_Toc184314448"/>
      <w:bookmarkEnd w:id="144"/>
      <w:bookmarkStart w:id="145" w:name="_Toc184308087"/>
      <w:bookmarkEnd w:id="145"/>
      <w:bookmarkStart w:id="146" w:name="_Toc184312130"/>
      <w:bookmarkEnd w:id="146"/>
      <w:bookmarkStart w:id="147" w:name="_Toc184310335"/>
      <w:bookmarkEnd w:id="147"/>
      <w:bookmarkStart w:id="148" w:name="_Toc184310303"/>
      <w:bookmarkEnd w:id="148"/>
      <w:bookmarkStart w:id="149" w:name="_Toc184314436"/>
      <w:bookmarkEnd w:id="149"/>
      <w:bookmarkStart w:id="150" w:name="_Toc184313272"/>
      <w:bookmarkEnd w:id="150"/>
      <w:bookmarkStart w:id="151" w:name="_Toc184314433"/>
      <w:bookmarkEnd w:id="151"/>
      <w:bookmarkStart w:id="152" w:name="_Toc184312102"/>
      <w:bookmarkEnd w:id="152"/>
      <w:bookmarkStart w:id="153" w:name="_Toc184313252"/>
      <w:bookmarkEnd w:id="153"/>
      <w:bookmarkStart w:id="154" w:name="_Toc184308052"/>
      <w:bookmarkEnd w:id="154"/>
      <w:bookmarkStart w:id="155" w:name="_Toc184313284"/>
      <w:bookmarkEnd w:id="155"/>
      <w:bookmarkStart w:id="156" w:name="_Toc184313244"/>
      <w:bookmarkEnd w:id="156"/>
      <w:bookmarkStart w:id="157" w:name="_Toc184312093"/>
      <w:bookmarkEnd w:id="157"/>
      <w:bookmarkStart w:id="158" w:name="_Toc184314410"/>
      <w:bookmarkEnd w:id="158"/>
      <w:bookmarkStart w:id="159" w:name="_Toc184313241"/>
      <w:bookmarkEnd w:id="159"/>
      <w:bookmarkStart w:id="160" w:name="_Toc184308108"/>
      <w:bookmarkEnd w:id="160"/>
      <w:bookmarkStart w:id="161" w:name="_Toc184314419"/>
      <w:bookmarkEnd w:id="161"/>
      <w:bookmarkStart w:id="162" w:name="_Toc184308089"/>
      <w:bookmarkEnd w:id="162"/>
      <w:bookmarkStart w:id="163" w:name="_Toc184312090"/>
      <w:bookmarkEnd w:id="163"/>
      <w:bookmarkStart w:id="164" w:name="_Toc184314424"/>
      <w:bookmarkEnd w:id="164"/>
      <w:bookmarkStart w:id="165" w:name="_Toc184308037"/>
      <w:bookmarkEnd w:id="165"/>
      <w:bookmarkStart w:id="166" w:name="_Toc184314443"/>
      <w:bookmarkEnd w:id="166"/>
      <w:bookmarkStart w:id="167" w:name="_Toc184310283"/>
      <w:bookmarkEnd w:id="167"/>
      <w:bookmarkStart w:id="168" w:name="_Toc184314461"/>
      <w:bookmarkEnd w:id="168"/>
      <w:bookmarkStart w:id="169" w:name="_Toc184308059"/>
      <w:bookmarkEnd w:id="169"/>
      <w:bookmarkStart w:id="170" w:name="_Toc184312083"/>
      <w:bookmarkEnd w:id="170"/>
      <w:bookmarkStart w:id="171" w:name="_Toc184313287"/>
      <w:bookmarkEnd w:id="171"/>
      <w:bookmarkStart w:id="172" w:name="_Toc184308053"/>
      <w:bookmarkEnd w:id="172"/>
      <w:bookmarkStart w:id="173" w:name="_Toc184310317"/>
      <w:bookmarkEnd w:id="173"/>
      <w:bookmarkStart w:id="174" w:name="_Toc184313279"/>
      <w:bookmarkEnd w:id="174"/>
      <w:bookmarkStart w:id="175" w:name="_Toc184314472"/>
      <w:bookmarkEnd w:id="175"/>
      <w:bookmarkStart w:id="176" w:name="_Toc184308074"/>
      <w:bookmarkEnd w:id="176"/>
      <w:bookmarkStart w:id="177" w:name="_Toc184314412"/>
      <w:bookmarkEnd w:id="177"/>
      <w:bookmarkStart w:id="178" w:name="_Toc184312135"/>
      <w:bookmarkEnd w:id="178"/>
      <w:bookmarkStart w:id="179" w:name="_Toc184308079"/>
      <w:bookmarkEnd w:id="179"/>
      <w:bookmarkStart w:id="180" w:name="_Toc184310312"/>
      <w:bookmarkEnd w:id="180"/>
      <w:bookmarkStart w:id="181" w:name="_Toc184310330"/>
      <w:bookmarkEnd w:id="181"/>
      <w:bookmarkStart w:id="182" w:name="_Toc184310322"/>
      <w:bookmarkEnd w:id="182"/>
      <w:bookmarkStart w:id="183" w:name="_Toc184313303"/>
      <w:bookmarkEnd w:id="183"/>
      <w:bookmarkStart w:id="184" w:name="_Toc184313242"/>
      <w:bookmarkEnd w:id="184"/>
      <w:bookmarkStart w:id="185" w:name="_Toc184308077"/>
      <w:bookmarkEnd w:id="185"/>
      <w:bookmarkStart w:id="186" w:name="_Toc184308045"/>
      <w:bookmarkEnd w:id="186"/>
      <w:bookmarkStart w:id="187" w:name="_Toc184308057"/>
      <w:bookmarkEnd w:id="187"/>
      <w:bookmarkStart w:id="188" w:name="_Toc184312101"/>
      <w:bookmarkEnd w:id="188"/>
      <w:bookmarkStart w:id="189" w:name="_Toc184310275"/>
      <w:bookmarkEnd w:id="189"/>
      <w:bookmarkStart w:id="190" w:name="_Toc184308101"/>
      <w:bookmarkEnd w:id="190"/>
      <w:bookmarkStart w:id="191" w:name="_Toc184313295"/>
      <w:bookmarkEnd w:id="191"/>
      <w:bookmarkStart w:id="192" w:name="_Toc184308067"/>
      <w:bookmarkEnd w:id="192"/>
      <w:bookmarkStart w:id="193" w:name="_Toc184313307"/>
      <w:bookmarkEnd w:id="193"/>
      <w:bookmarkStart w:id="194" w:name="_Toc184312118"/>
      <w:bookmarkEnd w:id="194"/>
      <w:bookmarkStart w:id="195" w:name="_Toc184312131"/>
      <w:bookmarkEnd w:id="195"/>
      <w:bookmarkStart w:id="196" w:name="_Toc184310309"/>
      <w:bookmarkEnd w:id="196"/>
      <w:bookmarkStart w:id="197" w:name="_Toc184308036"/>
      <w:bookmarkEnd w:id="197"/>
      <w:bookmarkStart w:id="198" w:name="_Toc184308088"/>
      <w:bookmarkEnd w:id="198"/>
      <w:bookmarkStart w:id="199" w:name="_Toc184313304"/>
      <w:bookmarkEnd w:id="199"/>
      <w:bookmarkStart w:id="200" w:name="_Toc184312088"/>
      <w:bookmarkEnd w:id="200"/>
      <w:bookmarkStart w:id="201" w:name="_Toc184308058"/>
      <w:bookmarkEnd w:id="201"/>
      <w:bookmarkStart w:id="202" w:name="_Toc184310277"/>
      <w:bookmarkEnd w:id="202"/>
      <w:bookmarkStart w:id="203" w:name="_Toc184308084"/>
      <w:bookmarkEnd w:id="203"/>
      <w:bookmarkStart w:id="204" w:name="_Toc184312123"/>
      <w:bookmarkEnd w:id="204"/>
      <w:bookmarkStart w:id="205" w:name="_Toc184313243"/>
      <w:bookmarkEnd w:id="205"/>
      <w:bookmarkStart w:id="206" w:name="_Toc184314445"/>
      <w:bookmarkEnd w:id="206"/>
      <w:bookmarkStart w:id="207" w:name="_Toc184308102"/>
      <w:bookmarkEnd w:id="207"/>
      <w:bookmarkStart w:id="208" w:name="_Toc184314411"/>
      <w:bookmarkEnd w:id="208"/>
      <w:bookmarkStart w:id="209" w:name="_Toc184314459"/>
      <w:bookmarkEnd w:id="209"/>
      <w:bookmarkStart w:id="210" w:name="_Toc184312085"/>
      <w:bookmarkEnd w:id="210"/>
      <w:bookmarkStart w:id="211" w:name="_Toc184314467"/>
      <w:bookmarkEnd w:id="211"/>
      <w:bookmarkStart w:id="212" w:name="_Toc184314471"/>
      <w:bookmarkEnd w:id="212"/>
      <w:bookmarkStart w:id="213" w:name="_Toc184314438"/>
      <w:bookmarkEnd w:id="213"/>
      <w:bookmarkStart w:id="214" w:name="_Toc184314463"/>
      <w:bookmarkEnd w:id="214"/>
      <w:bookmarkStart w:id="215" w:name="_Toc184312079"/>
      <w:bookmarkEnd w:id="215"/>
      <w:bookmarkStart w:id="216" w:name="_Toc184308068"/>
      <w:bookmarkEnd w:id="216"/>
      <w:bookmarkStart w:id="217" w:name="_Toc184314465"/>
      <w:bookmarkEnd w:id="217"/>
      <w:bookmarkStart w:id="218" w:name="_Toc184313292"/>
      <w:bookmarkEnd w:id="218"/>
      <w:bookmarkStart w:id="219" w:name="_Toc184308043"/>
      <w:bookmarkEnd w:id="219"/>
      <w:bookmarkStart w:id="220" w:name="_Toc184312084"/>
      <w:bookmarkEnd w:id="220"/>
      <w:bookmarkStart w:id="221" w:name="_Toc184314453"/>
      <w:bookmarkEnd w:id="221"/>
      <w:bookmarkStart w:id="222" w:name="_Toc184314466"/>
      <w:bookmarkEnd w:id="222"/>
      <w:bookmarkStart w:id="223" w:name="_Toc184312111"/>
      <w:bookmarkEnd w:id="223"/>
      <w:bookmarkStart w:id="224" w:name="_Toc184310291"/>
      <w:bookmarkEnd w:id="224"/>
      <w:bookmarkStart w:id="225" w:name="_Toc184308064"/>
      <w:bookmarkEnd w:id="225"/>
      <w:bookmarkStart w:id="226" w:name="_Toc184308048"/>
      <w:bookmarkEnd w:id="226"/>
      <w:bookmarkStart w:id="227" w:name="_Toc184310336"/>
      <w:bookmarkEnd w:id="227"/>
      <w:bookmarkStart w:id="228" w:name="_Toc184308072"/>
      <w:bookmarkEnd w:id="228"/>
      <w:bookmarkStart w:id="229" w:name="_Toc184308038"/>
      <w:bookmarkEnd w:id="229"/>
      <w:bookmarkStart w:id="230" w:name="_Toc184314430"/>
      <w:bookmarkEnd w:id="230"/>
      <w:bookmarkStart w:id="231" w:name="_Toc184313281"/>
      <w:bookmarkEnd w:id="231"/>
      <w:bookmarkStart w:id="232" w:name="_Toc184314469"/>
      <w:bookmarkEnd w:id="232"/>
      <w:bookmarkStart w:id="233" w:name="_Toc184308070"/>
      <w:bookmarkEnd w:id="233"/>
      <w:bookmarkStart w:id="234" w:name="_Toc184310280"/>
      <w:bookmarkEnd w:id="234"/>
      <w:bookmarkStart w:id="235" w:name="_Toc184310328"/>
      <w:bookmarkEnd w:id="235"/>
      <w:bookmarkStart w:id="236" w:name="_Toc184314449"/>
      <w:bookmarkEnd w:id="236"/>
      <w:bookmarkStart w:id="237" w:name="_Toc184308041"/>
      <w:bookmarkEnd w:id="237"/>
      <w:bookmarkStart w:id="238" w:name="_Toc184313255"/>
      <w:bookmarkEnd w:id="238"/>
      <w:bookmarkStart w:id="239" w:name="_Toc184312103"/>
      <w:bookmarkEnd w:id="239"/>
      <w:bookmarkStart w:id="240" w:name="_Toc184310289"/>
      <w:bookmarkEnd w:id="240"/>
      <w:bookmarkStart w:id="241" w:name="_Toc184313283"/>
      <w:bookmarkEnd w:id="241"/>
      <w:bookmarkStart w:id="242" w:name="_Toc184310332"/>
      <w:bookmarkEnd w:id="242"/>
      <w:bookmarkStart w:id="243" w:name="_Toc184313271"/>
      <w:bookmarkEnd w:id="243"/>
      <w:bookmarkStart w:id="244" w:name="_Toc184313291"/>
      <w:bookmarkEnd w:id="244"/>
      <w:bookmarkStart w:id="245" w:name="_Toc184308086"/>
      <w:bookmarkEnd w:id="245"/>
      <w:bookmarkStart w:id="246" w:name="_Toc184313277"/>
      <w:bookmarkEnd w:id="246"/>
      <w:bookmarkStart w:id="247" w:name="_Toc184313267"/>
      <w:bookmarkEnd w:id="247"/>
      <w:bookmarkStart w:id="248" w:name="_Toc184310325"/>
      <w:bookmarkEnd w:id="248"/>
      <w:bookmarkStart w:id="249" w:name="_Toc184314435"/>
      <w:bookmarkEnd w:id="249"/>
      <w:bookmarkStart w:id="250" w:name="_Toc184308055"/>
      <w:bookmarkEnd w:id="250"/>
      <w:bookmarkStart w:id="251" w:name="_Toc184308093"/>
      <w:bookmarkEnd w:id="251"/>
      <w:bookmarkStart w:id="252" w:name="_Toc184310284"/>
      <w:bookmarkEnd w:id="252"/>
      <w:bookmarkStart w:id="253" w:name="_Toc184313249"/>
      <w:bookmarkEnd w:id="253"/>
      <w:bookmarkStart w:id="254" w:name="_Toc184308082"/>
      <w:bookmarkEnd w:id="254"/>
      <w:bookmarkStart w:id="255" w:name="_Toc184314440"/>
      <w:bookmarkEnd w:id="255"/>
      <w:bookmarkStart w:id="256" w:name="_Toc184308106"/>
      <w:bookmarkEnd w:id="256"/>
      <w:bookmarkStart w:id="257" w:name="_Toc184313263"/>
      <w:bookmarkEnd w:id="257"/>
      <w:bookmarkStart w:id="258" w:name="_Toc184312121"/>
      <w:bookmarkEnd w:id="258"/>
      <w:bookmarkStart w:id="259" w:name="_Toc184312127"/>
      <w:bookmarkEnd w:id="259"/>
      <w:bookmarkStart w:id="260" w:name="_Toc184313280"/>
      <w:bookmarkEnd w:id="260"/>
      <w:bookmarkStart w:id="261" w:name="_Toc184312095"/>
      <w:bookmarkEnd w:id="261"/>
      <w:bookmarkStart w:id="262" w:name="_Toc184314447"/>
      <w:bookmarkEnd w:id="262"/>
      <w:bookmarkStart w:id="263" w:name="_Toc184312126"/>
      <w:bookmarkEnd w:id="263"/>
      <w:bookmarkStart w:id="264" w:name="_Toc184310338"/>
      <w:bookmarkEnd w:id="264"/>
      <w:bookmarkStart w:id="265" w:name="_Toc184312069"/>
      <w:bookmarkEnd w:id="265"/>
      <w:bookmarkStart w:id="266" w:name="_Toc184313256"/>
      <w:bookmarkEnd w:id="266"/>
      <w:bookmarkStart w:id="267" w:name="_Toc184313288"/>
      <w:bookmarkEnd w:id="267"/>
      <w:bookmarkStart w:id="268" w:name="_Toc184314422"/>
      <w:bookmarkEnd w:id="268"/>
      <w:bookmarkStart w:id="269" w:name="_Toc184310290"/>
      <w:bookmarkEnd w:id="269"/>
      <w:bookmarkStart w:id="270" w:name="_Toc184314437"/>
      <w:bookmarkEnd w:id="270"/>
      <w:bookmarkStart w:id="271" w:name="_Toc184313239"/>
      <w:bookmarkEnd w:id="271"/>
      <w:bookmarkStart w:id="272" w:name="_Toc184314475"/>
      <w:bookmarkEnd w:id="272"/>
      <w:bookmarkStart w:id="273" w:name="_Toc184313260"/>
      <w:bookmarkEnd w:id="273"/>
      <w:bookmarkStart w:id="274" w:name="_Toc184310293"/>
      <w:bookmarkEnd w:id="274"/>
      <w:bookmarkStart w:id="275" w:name="_Toc184313270"/>
      <w:bookmarkEnd w:id="275"/>
      <w:bookmarkStart w:id="276" w:name="_Toc184308046"/>
      <w:bookmarkEnd w:id="276"/>
      <w:bookmarkStart w:id="277" w:name="_Toc184310343"/>
      <w:bookmarkEnd w:id="277"/>
      <w:bookmarkStart w:id="278" w:name="_Toc184308050"/>
      <w:bookmarkEnd w:id="278"/>
      <w:bookmarkStart w:id="279" w:name="_Toc184314423"/>
      <w:bookmarkEnd w:id="279"/>
      <w:bookmarkStart w:id="280" w:name="_Toc184312075"/>
      <w:bookmarkEnd w:id="280"/>
      <w:bookmarkStart w:id="281" w:name="_Toc184312078"/>
      <w:bookmarkEnd w:id="281"/>
      <w:bookmarkStart w:id="282" w:name="_Toc184314470"/>
      <w:bookmarkEnd w:id="282"/>
      <w:bookmarkStart w:id="283" w:name="_Toc184314414"/>
      <w:bookmarkEnd w:id="283"/>
      <w:bookmarkStart w:id="284" w:name="_Toc184313266"/>
      <w:bookmarkEnd w:id="284"/>
      <w:bookmarkStart w:id="285" w:name="_Toc184312105"/>
      <w:bookmarkEnd w:id="285"/>
      <w:bookmarkStart w:id="286" w:name="_Toc184310272"/>
      <w:bookmarkEnd w:id="286"/>
      <w:bookmarkStart w:id="287" w:name="_Toc184313262"/>
      <w:bookmarkEnd w:id="287"/>
      <w:bookmarkStart w:id="288" w:name="_Toc184314481"/>
      <w:bookmarkEnd w:id="288"/>
      <w:bookmarkStart w:id="289" w:name="_Toc184308103"/>
      <w:bookmarkEnd w:id="289"/>
      <w:bookmarkStart w:id="290" w:name="_Toc184308080"/>
      <w:bookmarkEnd w:id="290"/>
      <w:bookmarkStart w:id="291" w:name="_Toc184313259"/>
      <w:bookmarkEnd w:id="291"/>
      <w:bookmarkStart w:id="292" w:name="_Toc184312114"/>
      <w:bookmarkEnd w:id="292"/>
      <w:bookmarkStart w:id="293" w:name="_Toc184312129"/>
      <w:bookmarkEnd w:id="293"/>
      <w:bookmarkStart w:id="294" w:name="_Toc184313305"/>
      <w:bookmarkEnd w:id="294"/>
      <w:bookmarkStart w:id="295" w:name="_Toc184313310"/>
      <w:bookmarkEnd w:id="295"/>
      <w:bookmarkStart w:id="296" w:name="_Toc184313286"/>
      <w:bookmarkEnd w:id="296"/>
      <w:bookmarkStart w:id="297" w:name="_Toc184314418"/>
      <w:bookmarkEnd w:id="297"/>
      <w:bookmarkStart w:id="298" w:name="_Toc184313290"/>
      <w:bookmarkEnd w:id="298"/>
      <w:bookmarkStart w:id="299" w:name="_Toc184308073"/>
      <w:bookmarkEnd w:id="299"/>
      <w:bookmarkStart w:id="300" w:name="_Toc184313300"/>
      <w:bookmarkEnd w:id="300"/>
      <w:bookmarkStart w:id="301" w:name="_Toc184312091"/>
      <w:bookmarkEnd w:id="301"/>
      <w:bookmarkStart w:id="302" w:name="_Toc184310306"/>
      <w:bookmarkEnd w:id="302"/>
      <w:bookmarkStart w:id="303" w:name="_Toc184313293"/>
      <w:bookmarkEnd w:id="303"/>
      <w:bookmarkStart w:id="304" w:name="_Toc184308061"/>
      <w:bookmarkEnd w:id="304"/>
      <w:bookmarkStart w:id="305" w:name="_Toc184310313"/>
      <w:bookmarkEnd w:id="305"/>
      <w:bookmarkStart w:id="306" w:name="_Toc184308063"/>
      <w:bookmarkEnd w:id="306"/>
      <w:bookmarkStart w:id="307" w:name="_Toc184310344"/>
      <w:bookmarkEnd w:id="307"/>
      <w:bookmarkStart w:id="308" w:name="_Toc184314479"/>
      <w:bookmarkEnd w:id="308"/>
      <w:bookmarkStart w:id="309" w:name="_Toc184310302"/>
      <w:bookmarkEnd w:id="309"/>
      <w:bookmarkStart w:id="310" w:name="_Toc184314450"/>
      <w:bookmarkEnd w:id="310"/>
      <w:bookmarkStart w:id="311" w:name="_Toc184314458"/>
      <w:bookmarkEnd w:id="311"/>
      <w:bookmarkStart w:id="312" w:name="_Toc184314452"/>
      <w:bookmarkEnd w:id="312"/>
      <w:bookmarkStart w:id="313" w:name="_Toc184313254"/>
      <w:bookmarkEnd w:id="313"/>
      <w:bookmarkStart w:id="314" w:name="_Toc184314480"/>
      <w:bookmarkEnd w:id="314"/>
      <w:bookmarkStart w:id="315" w:name="_Toc184312119"/>
      <w:bookmarkEnd w:id="315"/>
      <w:bookmarkStart w:id="316" w:name="_Toc184314432"/>
      <w:bookmarkEnd w:id="316"/>
      <w:bookmarkStart w:id="317" w:name="_Toc184308051"/>
      <w:bookmarkEnd w:id="317"/>
      <w:bookmarkStart w:id="318" w:name="_Toc184310315"/>
      <w:bookmarkEnd w:id="318"/>
      <w:bookmarkStart w:id="319" w:name="_Toc184314462"/>
      <w:bookmarkEnd w:id="319"/>
      <w:bookmarkStart w:id="320" w:name="_Toc184310334"/>
      <w:bookmarkEnd w:id="320"/>
      <w:bookmarkStart w:id="321" w:name="_Toc184308094"/>
      <w:bookmarkEnd w:id="321"/>
      <w:bookmarkStart w:id="322" w:name="_Toc184313264"/>
      <w:bookmarkEnd w:id="322"/>
      <w:bookmarkStart w:id="323" w:name="_Toc184314416"/>
      <w:bookmarkEnd w:id="323"/>
      <w:bookmarkStart w:id="324" w:name="_Toc184313294"/>
      <w:bookmarkEnd w:id="324"/>
      <w:bookmarkStart w:id="325" w:name="_Toc184314474"/>
      <w:bookmarkEnd w:id="325"/>
      <w:bookmarkStart w:id="326" w:name="_Toc184312074"/>
      <w:bookmarkEnd w:id="326"/>
      <w:bookmarkStart w:id="327" w:name="_Toc184314444"/>
      <w:bookmarkEnd w:id="327"/>
      <w:bookmarkStart w:id="328" w:name="_Toc184313238"/>
      <w:bookmarkEnd w:id="328"/>
      <w:bookmarkStart w:id="329" w:name="_Toc184308099"/>
      <w:bookmarkEnd w:id="329"/>
      <w:bookmarkStart w:id="330" w:name="_Toc184310299"/>
      <w:bookmarkEnd w:id="330"/>
      <w:bookmarkStart w:id="331" w:name="_Toc184310323"/>
      <w:bookmarkEnd w:id="331"/>
      <w:bookmarkStart w:id="332" w:name="_Toc184313282"/>
      <w:bookmarkEnd w:id="332"/>
      <w:bookmarkStart w:id="333" w:name="_Toc184314476"/>
      <w:bookmarkEnd w:id="333"/>
      <w:bookmarkStart w:id="334" w:name="_Toc184312120"/>
      <w:bookmarkEnd w:id="334"/>
      <w:bookmarkStart w:id="335" w:name="_Toc184312106"/>
      <w:bookmarkEnd w:id="335"/>
      <w:bookmarkStart w:id="336" w:name="_Toc184308085"/>
      <w:bookmarkEnd w:id="336"/>
      <w:bookmarkStart w:id="337" w:name="_Toc184310305"/>
      <w:bookmarkEnd w:id="337"/>
      <w:bookmarkStart w:id="338" w:name="_Toc184310333"/>
      <w:bookmarkEnd w:id="338"/>
      <w:bookmarkStart w:id="339" w:name="_Toc184313306"/>
      <w:bookmarkEnd w:id="339"/>
      <w:bookmarkStart w:id="340" w:name="_Toc184312104"/>
      <w:bookmarkEnd w:id="340"/>
      <w:bookmarkStart w:id="341" w:name="_Toc184314442"/>
      <w:bookmarkEnd w:id="341"/>
      <w:bookmarkStart w:id="342" w:name="_Toc184312128"/>
      <w:bookmarkEnd w:id="342"/>
      <w:bookmarkStart w:id="343" w:name="_Toc184314446"/>
      <w:bookmarkEnd w:id="343"/>
      <w:bookmarkStart w:id="344" w:name="_Toc184314455"/>
      <w:bookmarkEnd w:id="344"/>
      <w:bookmarkStart w:id="345" w:name="_Toc184313247"/>
      <w:bookmarkEnd w:id="345"/>
      <w:bookmarkStart w:id="346" w:name="_Toc184308107"/>
      <w:bookmarkEnd w:id="346"/>
      <w:bookmarkStart w:id="347" w:name="_Toc184308081"/>
      <w:bookmarkEnd w:id="347"/>
      <w:bookmarkStart w:id="348" w:name="_Toc184312081"/>
      <w:bookmarkEnd w:id="348"/>
      <w:bookmarkStart w:id="349" w:name="_Toc184314482"/>
      <w:bookmarkEnd w:id="349"/>
      <w:bookmarkStart w:id="350" w:name="_Toc184310314"/>
      <w:bookmarkEnd w:id="350"/>
      <w:bookmarkStart w:id="351" w:name="_Toc184308049"/>
      <w:bookmarkEnd w:id="351"/>
      <w:bookmarkStart w:id="352" w:name="_Toc184310341"/>
      <w:bookmarkEnd w:id="352"/>
      <w:bookmarkStart w:id="353" w:name="_Toc184313276"/>
      <w:bookmarkEnd w:id="353"/>
      <w:bookmarkStart w:id="354" w:name="_Toc184310342"/>
      <w:bookmarkEnd w:id="354"/>
      <w:bookmarkStart w:id="355" w:name="_Toc184313265"/>
      <w:bookmarkEnd w:id="355"/>
      <w:bookmarkStart w:id="356" w:name="_Toc184312122"/>
      <w:bookmarkEnd w:id="356"/>
      <w:bookmarkStart w:id="357" w:name="_Toc184308069"/>
      <w:bookmarkEnd w:id="357"/>
      <w:bookmarkStart w:id="358" w:name="_Toc184312100"/>
      <w:bookmarkEnd w:id="358"/>
      <w:bookmarkStart w:id="359" w:name="_Toc184314439"/>
      <w:bookmarkEnd w:id="359"/>
      <w:bookmarkStart w:id="360" w:name="_Toc184314457"/>
      <w:bookmarkEnd w:id="360"/>
      <w:bookmarkStart w:id="361" w:name="_Toc184308040"/>
      <w:bookmarkEnd w:id="361"/>
      <w:bookmarkStart w:id="362" w:name="_Toc184308078"/>
      <w:bookmarkEnd w:id="362"/>
      <w:bookmarkStart w:id="363" w:name="_Toc184308075"/>
      <w:bookmarkEnd w:id="363"/>
      <w:bookmarkStart w:id="364" w:name="_Toc184312108"/>
      <w:bookmarkEnd w:id="364"/>
      <w:bookmarkStart w:id="365" w:name="_Toc184312086"/>
      <w:bookmarkEnd w:id="365"/>
      <w:bookmarkStart w:id="366" w:name="_Toc184314425"/>
      <w:bookmarkEnd w:id="366"/>
      <w:bookmarkStart w:id="367" w:name="_Toc184312139"/>
      <w:bookmarkEnd w:id="367"/>
      <w:bookmarkStart w:id="368" w:name="_Toc184310297"/>
      <w:bookmarkEnd w:id="368"/>
      <w:bookmarkStart w:id="369" w:name="_Toc184313257"/>
      <w:bookmarkEnd w:id="369"/>
      <w:bookmarkStart w:id="370" w:name="_Toc184310318"/>
      <w:bookmarkEnd w:id="370"/>
      <w:bookmarkStart w:id="371" w:name="_Toc184310288"/>
      <w:bookmarkEnd w:id="371"/>
      <w:bookmarkStart w:id="372" w:name="_Toc184310295"/>
      <w:bookmarkEnd w:id="372"/>
      <w:bookmarkStart w:id="373" w:name="_Toc184314434"/>
      <w:bookmarkEnd w:id="373"/>
      <w:bookmarkStart w:id="374" w:name="_Toc184312067"/>
      <w:bookmarkEnd w:id="374"/>
      <w:bookmarkStart w:id="375" w:name="_Toc184312092"/>
      <w:bookmarkEnd w:id="375"/>
      <w:bookmarkStart w:id="376" w:name="_Toc184312109"/>
      <w:bookmarkEnd w:id="376"/>
      <w:bookmarkStart w:id="377" w:name="_Toc184313273"/>
      <w:bookmarkEnd w:id="377"/>
      <w:bookmarkStart w:id="378" w:name="_Toc184312132"/>
      <w:bookmarkEnd w:id="378"/>
      <w:bookmarkStart w:id="379" w:name="_Toc184313258"/>
      <w:bookmarkEnd w:id="379"/>
      <w:bookmarkStart w:id="380" w:name="_Toc184314417"/>
      <w:bookmarkEnd w:id="380"/>
      <w:bookmarkStart w:id="381" w:name="_Toc184312099"/>
      <w:bookmarkEnd w:id="381"/>
      <w:bookmarkStart w:id="382" w:name="_Toc184308060"/>
      <w:bookmarkEnd w:id="382"/>
      <w:bookmarkStart w:id="383" w:name="_Toc184308056"/>
      <w:bookmarkEnd w:id="383"/>
      <w:bookmarkStart w:id="384" w:name="_Toc184314451"/>
      <w:bookmarkEnd w:id="384"/>
      <w:bookmarkStart w:id="385" w:name="_Toc184312089"/>
      <w:bookmarkEnd w:id="385"/>
      <w:bookmarkStart w:id="386" w:name="_Toc184314478"/>
      <w:bookmarkEnd w:id="386"/>
      <w:bookmarkStart w:id="387" w:name="_Toc184314477"/>
      <w:bookmarkEnd w:id="387"/>
      <w:bookmarkStart w:id="388" w:name="_Toc184312138"/>
      <w:bookmarkEnd w:id="388"/>
      <w:bookmarkStart w:id="389" w:name="_Toc184312071"/>
      <w:bookmarkEnd w:id="389"/>
      <w:bookmarkStart w:id="390" w:name="_Toc184313302"/>
      <w:bookmarkEnd w:id="390"/>
      <w:bookmarkStart w:id="391" w:name="_Toc184310286"/>
      <w:bookmarkEnd w:id="391"/>
      <w:r>
        <w:rPr>
          <w:rFonts w:hint="eastAsia" w:ascii="仿宋" w:hAnsi="仿宋" w:eastAsia="仿宋" w:cs="仿宋"/>
          <w:b/>
          <w:color w:val="auto"/>
          <w:sz w:val="36"/>
          <w:szCs w:val="36"/>
          <w:highlight w:val="none"/>
        </w:rPr>
        <w:t>评标办法</w:t>
      </w:r>
    </w:p>
    <w:p w14:paraId="5D2912CE">
      <w:pPr>
        <w:numPr>
          <w:ilvl w:val="0"/>
          <w:numId w:val="0"/>
        </w:numPr>
        <w:jc w:val="both"/>
        <w:outlineLvl w:val="0"/>
        <w:rPr>
          <w:rFonts w:hint="eastAsia" w:ascii="仿宋" w:hAnsi="仿宋" w:eastAsia="仿宋" w:cs="仿宋"/>
          <w:b/>
          <w:color w:val="auto"/>
          <w:sz w:val="36"/>
          <w:szCs w:val="36"/>
          <w:highlight w:val="none"/>
        </w:rPr>
      </w:pPr>
    </w:p>
    <w:p w14:paraId="3F9AC4A6">
      <w:pPr>
        <w:snapToGrid w:val="0"/>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p w14:paraId="62E2C6D8">
      <w:pPr>
        <w:snapToGrid w:val="0"/>
        <w:jc w:val="center"/>
        <w:rPr>
          <w:rFonts w:hint="eastAsia" w:ascii="仿宋" w:hAnsi="仿宋" w:eastAsia="仿宋" w:cs="仿宋"/>
          <w:b/>
          <w:color w:val="auto"/>
          <w:sz w:val="32"/>
          <w:szCs w:val="20"/>
          <w:highlight w:val="none"/>
        </w:rPr>
      </w:pPr>
    </w:p>
    <w:tbl>
      <w:tblPr>
        <w:tblStyle w:val="14"/>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690"/>
        <w:gridCol w:w="7928"/>
      </w:tblGrid>
      <w:tr w14:paraId="1CE73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dxa"/>
            <w:tcBorders>
              <w:top w:val="double" w:color="auto" w:sz="4" w:space="0"/>
              <w:left w:val="double" w:color="auto" w:sz="4" w:space="0"/>
              <w:bottom w:val="single" w:color="auto" w:sz="4" w:space="0"/>
              <w:right w:val="single" w:color="auto" w:sz="4" w:space="0"/>
            </w:tcBorders>
            <w:vAlign w:val="center"/>
          </w:tcPr>
          <w:p w14:paraId="73F4D830">
            <w:pPr>
              <w:widowControl/>
              <w:spacing w:line="4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序   号</w:t>
            </w:r>
          </w:p>
        </w:tc>
        <w:tc>
          <w:tcPr>
            <w:tcW w:w="690" w:type="dxa"/>
            <w:tcBorders>
              <w:top w:val="double" w:color="auto" w:sz="4" w:space="0"/>
              <w:left w:val="single" w:color="auto" w:sz="4" w:space="0"/>
              <w:bottom w:val="single" w:color="auto" w:sz="4" w:space="0"/>
              <w:right w:val="single" w:color="auto" w:sz="4" w:space="0"/>
            </w:tcBorders>
            <w:vAlign w:val="center"/>
          </w:tcPr>
          <w:p w14:paraId="54AA01B2">
            <w:pPr>
              <w:widowControl/>
              <w:spacing w:line="4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分值</w:t>
            </w:r>
          </w:p>
        </w:tc>
        <w:tc>
          <w:tcPr>
            <w:tcW w:w="7928" w:type="dxa"/>
            <w:tcBorders>
              <w:top w:val="double" w:color="auto" w:sz="4" w:space="0"/>
              <w:left w:val="single" w:color="auto" w:sz="4" w:space="0"/>
              <w:bottom w:val="single" w:color="auto" w:sz="4" w:space="0"/>
              <w:right w:val="double" w:color="auto" w:sz="4" w:space="0"/>
            </w:tcBorders>
            <w:vAlign w:val="center"/>
          </w:tcPr>
          <w:p w14:paraId="6C22505F">
            <w:pPr>
              <w:widowControl/>
              <w:spacing w:line="4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评审细则</w:t>
            </w:r>
          </w:p>
        </w:tc>
      </w:tr>
      <w:tr w14:paraId="31A34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066" w:type="dxa"/>
            <w:vMerge w:val="restart"/>
            <w:tcBorders>
              <w:left w:val="double" w:color="auto" w:sz="4" w:space="0"/>
              <w:right w:val="single" w:color="auto" w:sz="4" w:space="0"/>
            </w:tcBorders>
            <w:vAlign w:val="center"/>
          </w:tcPr>
          <w:p w14:paraId="181C5A23">
            <w:pPr>
              <w:widowControl/>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商务分（0-</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w:t>
            </w:r>
          </w:p>
        </w:tc>
        <w:tc>
          <w:tcPr>
            <w:tcW w:w="690" w:type="dxa"/>
            <w:tcBorders>
              <w:left w:val="single" w:color="auto" w:sz="4" w:space="0"/>
              <w:right w:val="single" w:color="auto" w:sz="4" w:space="0"/>
            </w:tcBorders>
            <w:vAlign w:val="center"/>
          </w:tcPr>
          <w:p w14:paraId="4DDE8FC6">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0-3</w:t>
            </w:r>
          </w:p>
        </w:tc>
        <w:tc>
          <w:tcPr>
            <w:tcW w:w="7928" w:type="dxa"/>
            <w:tcBorders>
              <w:top w:val="single" w:color="auto" w:sz="4" w:space="0"/>
              <w:left w:val="single" w:color="auto" w:sz="4" w:space="0"/>
              <w:bottom w:val="single" w:color="auto" w:sz="4" w:space="0"/>
              <w:right w:val="double" w:color="auto" w:sz="4" w:space="0"/>
            </w:tcBorders>
            <w:vAlign w:val="center"/>
          </w:tcPr>
          <w:p w14:paraId="4414C316">
            <w:pPr>
              <w:adjustRightInd w:val="0"/>
              <w:snapToGrid w:val="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投标人具有ISO质量体系认证、环境体系认证、职业健康体系认证情况，每通过一个认证且在有效期内的得1分，最高得3分</w:t>
            </w:r>
            <w:r>
              <w:rPr>
                <w:rFonts w:hint="eastAsia" w:ascii="仿宋" w:hAnsi="仿宋" w:eastAsia="仿宋" w:cs="仿宋"/>
                <w:color w:val="auto"/>
                <w:szCs w:val="21"/>
                <w:highlight w:val="none"/>
                <w:lang w:eastAsia="zh-CN"/>
              </w:rPr>
              <w:t>。</w:t>
            </w:r>
          </w:p>
          <w:p w14:paraId="11444750">
            <w:pPr>
              <w:adjustRightInd w:val="0"/>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注：同时提供有效的相关认证证书复印件和《全国认证认可信息公共服务平台》 （http://cx.cnca.cn/）查询的有效结果截图，两者缺一不可。</w:t>
            </w:r>
          </w:p>
        </w:tc>
      </w:tr>
      <w:tr w14:paraId="1895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066" w:type="dxa"/>
            <w:vMerge w:val="continue"/>
            <w:tcBorders>
              <w:left w:val="double" w:color="auto" w:sz="4" w:space="0"/>
              <w:right w:val="single" w:color="auto" w:sz="4" w:space="0"/>
            </w:tcBorders>
            <w:vAlign w:val="center"/>
          </w:tcPr>
          <w:p w14:paraId="0DAD08EB">
            <w:pPr>
              <w:widowControl/>
              <w:spacing w:line="440" w:lineRule="exact"/>
              <w:jc w:val="center"/>
              <w:rPr>
                <w:rFonts w:ascii="仿宋" w:hAnsi="仿宋" w:eastAsia="仿宋" w:cs="仿宋"/>
                <w:color w:val="auto"/>
                <w:szCs w:val="21"/>
                <w:highlight w:val="none"/>
              </w:rPr>
            </w:pPr>
          </w:p>
        </w:tc>
        <w:tc>
          <w:tcPr>
            <w:tcW w:w="690" w:type="dxa"/>
            <w:tcBorders>
              <w:left w:val="single" w:color="auto" w:sz="4" w:space="0"/>
              <w:right w:val="single" w:color="auto" w:sz="4" w:space="0"/>
            </w:tcBorders>
            <w:vAlign w:val="center"/>
          </w:tcPr>
          <w:p w14:paraId="2D2CCAB6">
            <w:pPr>
              <w:adjustRightInd w:val="0"/>
              <w:snapToGrid w:val="0"/>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en-US" w:eastAsia="zh-CN"/>
              </w:rPr>
              <w:t>1</w:t>
            </w:r>
          </w:p>
        </w:tc>
        <w:tc>
          <w:tcPr>
            <w:tcW w:w="7928" w:type="dxa"/>
            <w:tcBorders>
              <w:top w:val="single" w:color="auto" w:sz="4" w:space="0"/>
              <w:left w:val="single" w:color="auto" w:sz="4" w:space="0"/>
              <w:bottom w:val="single" w:color="auto" w:sz="4" w:space="0"/>
              <w:right w:val="double" w:color="auto" w:sz="4" w:space="0"/>
            </w:tcBorders>
            <w:vAlign w:val="center"/>
          </w:tcPr>
          <w:p w14:paraId="2C293BDA">
            <w:pPr>
              <w:adjustRightInd w:val="0"/>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投标人自20</w:t>
            </w:r>
            <w:r>
              <w:rPr>
                <w:rFonts w:hint="eastAsia" w:ascii="仿宋" w:hAnsi="仿宋" w:eastAsia="仿宋" w:cs="仿宋"/>
                <w:color w:val="auto"/>
                <w:szCs w:val="21"/>
                <w:highlight w:val="none"/>
                <w:lang w:val="en-US" w:eastAsia="zh-CN"/>
              </w:rPr>
              <w:t>22</w:t>
            </w:r>
            <w:r>
              <w:rPr>
                <w:rFonts w:hint="eastAsia" w:ascii="仿宋" w:hAnsi="仿宋" w:eastAsia="仿宋" w:cs="仿宋"/>
                <w:color w:val="auto"/>
                <w:szCs w:val="21"/>
                <w:highlight w:val="none"/>
              </w:rPr>
              <w:t>年1月1日以来（以合同签订的时间为准）具有同类垃圾分类实施服务业绩</w:t>
            </w:r>
            <w:r>
              <w:rPr>
                <w:rFonts w:hint="eastAsia" w:ascii="仿宋" w:hAnsi="仿宋" w:eastAsia="仿宋" w:cs="仿宋"/>
                <w:color w:val="auto"/>
                <w:szCs w:val="21"/>
                <w:highlight w:val="none"/>
                <w:lang w:val="en-US" w:eastAsia="zh-CN"/>
              </w:rPr>
              <w:t>的</w:t>
            </w:r>
            <w:r>
              <w:rPr>
                <w:rFonts w:hint="eastAsia" w:ascii="仿宋" w:hAnsi="仿宋" w:eastAsia="仿宋" w:cs="仿宋"/>
                <w:color w:val="auto"/>
                <w:szCs w:val="21"/>
                <w:highlight w:val="none"/>
              </w:rPr>
              <w:t>，每提供</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个得1分，最高得</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w:t>
            </w:r>
          </w:p>
          <w:p w14:paraId="2E83D4E6">
            <w:pPr>
              <w:adjustRightInd w:val="0"/>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注：证明材料：提供有效的合同复印件，若合同中无法体现上述数据的，则还需提供其他相关证明材料，否则不得分。</w:t>
            </w:r>
          </w:p>
        </w:tc>
      </w:tr>
      <w:tr w14:paraId="72DE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66" w:type="dxa"/>
            <w:vMerge w:val="continue"/>
            <w:tcBorders>
              <w:left w:val="double" w:color="auto" w:sz="4" w:space="0"/>
              <w:right w:val="single" w:color="auto" w:sz="4" w:space="0"/>
            </w:tcBorders>
            <w:vAlign w:val="center"/>
          </w:tcPr>
          <w:p w14:paraId="45771921">
            <w:pPr>
              <w:widowControl/>
              <w:spacing w:line="440" w:lineRule="exact"/>
              <w:jc w:val="center"/>
              <w:rPr>
                <w:rFonts w:ascii="仿宋" w:hAnsi="仿宋" w:eastAsia="仿宋" w:cs="仿宋"/>
                <w:color w:val="auto"/>
                <w:szCs w:val="21"/>
                <w:highlight w:val="none"/>
              </w:rPr>
            </w:pPr>
          </w:p>
        </w:tc>
        <w:tc>
          <w:tcPr>
            <w:tcW w:w="690" w:type="dxa"/>
            <w:tcBorders>
              <w:left w:val="single" w:color="auto" w:sz="4" w:space="0"/>
              <w:right w:val="single" w:color="auto" w:sz="4" w:space="0"/>
            </w:tcBorders>
            <w:vAlign w:val="center"/>
          </w:tcPr>
          <w:p w14:paraId="1A6AB589">
            <w:pPr>
              <w:adjustRightInd w:val="0"/>
              <w:snapToGrid w:val="0"/>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0-3</w:t>
            </w:r>
          </w:p>
        </w:tc>
        <w:tc>
          <w:tcPr>
            <w:tcW w:w="7928" w:type="dxa"/>
            <w:tcBorders>
              <w:top w:val="single" w:color="auto" w:sz="4" w:space="0"/>
              <w:left w:val="single" w:color="auto" w:sz="4" w:space="0"/>
              <w:bottom w:val="single" w:color="auto" w:sz="4" w:space="0"/>
              <w:right w:val="double" w:color="auto" w:sz="4" w:space="0"/>
            </w:tcBorders>
            <w:vAlign w:val="center"/>
          </w:tcPr>
          <w:p w14:paraId="42186094">
            <w:pPr>
              <w:adjustRightInd w:val="0"/>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20</w:t>
            </w:r>
            <w:r>
              <w:rPr>
                <w:rFonts w:hint="eastAsia" w:ascii="仿宋" w:hAnsi="仿宋" w:eastAsia="仿宋" w:cs="仿宋"/>
                <w:color w:val="auto"/>
                <w:szCs w:val="21"/>
                <w:highlight w:val="none"/>
                <w:lang w:val="en-US" w:eastAsia="zh-CN"/>
              </w:rPr>
              <w:t>22</w:t>
            </w:r>
            <w:r>
              <w:rPr>
                <w:rFonts w:hint="eastAsia" w:ascii="仿宋" w:hAnsi="仿宋" w:eastAsia="仿宋" w:cs="仿宋"/>
                <w:color w:val="auto"/>
                <w:szCs w:val="21"/>
                <w:highlight w:val="none"/>
              </w:rPr>
              <w:t>年1月1日至投标截止日，投标人在上述业绩服务过程中获得业主好评的一个得1分，最多得3分（同一个业主若有多个好评证明，只计算一个）。</w:t>
            </w:r>
          </w:p>
          <w:p w14:paraId="18ED7BD2">
            <w:pPr>
              <w:adjustRightInd w:val="0"/>
              <w:snapToGrid w:val="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注：附盖业主单位公章的表扬信或其他证明材料</w:t>
            </w:r>
            <w:r>
              <w:rPr>
                <w:rFonts w:hint="eastAsia" w:ascii="仿宋" w:hAnsi="仿宋" w:eastAsia="仿宋" w:cs="仿宋"/>
                <w:color w:val="auto"/>
                <w:szCs w:val="21"/>
                <w:highlight w:val="none"/>
                <w:lang w:eastAsia="zh-CN"/>
              </w:rPr>
              <w:t>。</w:t>
            </w:r>
          </w:p>
        </w:tc>
      </w:tr>
      <w:tr w14:paraId="4319A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66" w:type="dxa"/>
            <w:vMerge w:val="restart"/>
            <w:tcBorders>
              <w:left w:val="double" w:color="auto" w:sz="4" w:space="0"/>
              <w:right w:val="single" w:color="auto" w:sz="4" w:space="0"/>
            </w:tcBorders>
            <w:vAlign w:val="center"/>
          </w:tcPr>
          <w:p w14:paraId="0ACBBF28">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技术分（0-</w:t>
            </w:r>
            <w:r>
              <w:rPr>
                <w:rFonts w:hint="eastAsia" w:ascii="仿宋" w:hAnsi="仿宋" w:eastAsia="仿宋" w:cs="仿宋"/>
                <w:color w:val="auto"/>
                <w:szCs w:val="21"/>
                <w:highlight w:val="none"/>
                <w:lang w:val="en-US" w:eastAsia="zh-CN"/>
              </w:rPr>
              <w:t>83</w:t>
            </w:r>
            <w:r>
              <w:rPr>
                <w:rFonts w:hint="eastAsia" w:ascii="仿宋" w:hAnsi="仿宋" w:eastAsia="仿宋" w:cs="仿宋"/>
                <w:color w:val="auto"/>
                <w:szCs w:val="21"/>
                <w:highlight w:val="none"/>
              </w:rPr>
              <w:t>）</w:t>
            </w:r>
          </w:p>
        </w:tc>
        <w:tc>
          <w:tcPr>
            <w:tcW w:w="690" w:type="dxa"/>
            <w:tcBorders>
              <w:left w:val="single" w:color="auto" w:sz="4" w:space="0"/>
              <w:right w:val="single" w:color="auto" w:sz="4" w:space="0"/>
            </w:tcBorders>
            <w:vAlign w:val="center"/>
          </w:tcPr>
          <w:p w14:paraId="4977DD19">
            <w:pPr>
              <w:adjustRightInd w:val="0"/>
              <w:snapToGrid w:val="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en-US" w:eastAsia="zh-CN"/>
              </w:rPr>
              <w:t>3</w:t>
            </w:r>
          </w:p>
        </w:tc>
        <w:tc>
          <w:tcPr>
            <w:tcW w:w="7928" w:type="dxa"/>
            <w:tcBorders>
              <w:top w:val="single" w:color="auto" w:sz="4" w:space="0"/>
              <w:left w:val="single" w:color="auto" w:sz="4" w:space="0"/>
              <w:bottom w:val="single" w:color="auto" w:sz="4" w:space="0"/>
              <w:right w:val="double" w:color="auto" w:sz="4" w:space="0"/>
            </w:tcBorders>
            <w:vAlign w:val="center"/>
          </w:tcPr>
          <w:p w14:paraId="7D958FE4">
            <w:pPr>
              <w:snapToGrid w:val="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投标供应商或其分公司获得过环卫或垃圾分类方面表彰或奖项荣誉（如：“先进单位”、“优秀服务单位”等称号的）</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每提供</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个得1分，最高得</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w:t>
            </w:r>
          </w:p>
          <w:p w14:paraId="718AD3EF">
            <w:pPr>
              <w:snapToGrid w:val="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注：</w:t>
            </w:r>
            <w:r>
              <w:rPr>
                <w:rFonts w:hint="eastAsia" w:ascii="仿宋" w:hAnsi="仿宋" w:eastAsia="仿宋" w:cs="仿宋"/>
                <w:color w:val="auto"/>
                <w:szCs w:val="21"/>
                <w:highlight w:val="none"/>
              </w:rPr>
              <w:t>提供有效的相关</w:t>
            </w:r>
            <w:r>
              <w:rPr>
                <w:rFonts w:hint="eastAsia" w:ascii="仿宋" w:hAnsi="仿宋" w:eastAsia="仿宋" w:cs="仿宋"/>
                <w:color w:val="auto"/>
                <w:szCs w:val="21"/>
                <w:highlight w:val="none"/>
                <w:lang w:val="en-US" w:eastAsia="zh-CN"/>
              </w:rPr>
              <w:t>荣誉</w:t>
            </w:r>
            <w:r>
              <w:rPr>
                <w:rFonts w:hint="eastAsia" w:ascii="仿宋" w:hAnsi="仿宋" w:eastAsia="仿宋" w:cs="仿宋"/>
                <w:color w:val="auto"/>
                <w:szCs w:val="21"/>
                <w:highlight w:val="none"/>
              </w:rPr>
              <w:t>证书复印件或其他证明材料</w:t>
            </w:r>
            <w:r>
              <w:rPr>
                <w:rFonts w:hint="eastAsia" w:ascii="仿宋" w:hAnsi="仿宋" w:eastAsia="仿宋" w:cs="仿宋"/>
                <w:color w:val="auto"/>
                <w:szCs w:val="21"/>
                <w:highlight w:val="none"/>
                <w:lang w:eastAsia="zh-CN"/>
              </w:rPr>
              <w:t>。</w:t>
            </w:r>
          </w:p>
        </w:tc>
      </w:tr>
      <w:tr w14:paraId="023A3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6" w:type="dxa"/>
            <w:vMerge w:val="continue"/>
            <w:tcBorders>
              <w:left w:val="double" w:color="auto" w:sz="4" w:space="0"/>
              <w:right w:val="single" w:color="auto" w:sz="4" w:space="0"/>
            </w:tcBorders>
            <w:vAlign w:val="center"/>
          </w:tcPr>
          <w:p w14:paraId="4B8A0348">
            <w:pPr>
              <w:spacing w:line="440" w:lineRule="exact"/>
              <w:jc w:val="center"/>
              <w:rPr>
                <w:rFonts w:ascii="仿宋" w:hAnsi="仿宋" w:eastAsia="仿宋" w:cs="仿宋"/>
                <w:color w:val="auto"/>
                <w:szCs w:val="21"/>
                <w:highlight w:val="none"/>
              </w:rPr>
            </w:pPr>
          </w:p>
        </w:tc>
        <w:tc>
          <w:tcPr>
            <w:tcW w:w="690" w:type="dxa"/>
            <w:tcBorders>
              <w:left w:val="single" w:color="auto" w:sz="4" w:space="0"/>
              <w:right w:val="single" w:color="auto" w:sz="4" w:space="0"/>
            </w:tcBorders>
            <w:vAlign w:val="center"/>
          </w:tcPr>
          <w:p w14:paraId="272B77E5">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en-US" w:eastAsia="zh-CN"/>
              </w:rPr>
              <w:t>10</w:t>
            </w:r>
          </w:p>
        </w:tc>
        <w:tc>
          <w:tcPr>
            <w:tcW w:w="7928" w:type="dxa"/>
            <w:tcBorders>
              <w:top w:val="single" w:color="auto" w:sz="4" w:space="0"/>
              <w:left w:val="single" w:color="auto" w:sz="4" w:space="0"/>
              <w:bottom w:val="single" w:color="auto" w:sz="4" w:space="0"/>
              <w:right w:val="double" w:color="auto" w:sz="4" w:space="0"/>
            </w:tcBorders>
            <w:vAlign w:val="center"/>
          </w:tcPr>
          <w:p w14:paraId="088E23F3">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根据投标人提供的管理制度进行综合评议。</w:t>
            </w:r>
          </w:p>
          <w:p w14:paraId="4F00F116">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（1）拟投入服务团队职责制度。（0-</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分）</w:t>
            </w:r>
          </w:p>
          <w:p w14:paraId="1A8D613C">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（2）拟投入服务团队调配、招聘辞退、奖惩制度。（0-3分）</w:t>
            </w:r>
          </w:p>
          <w:p w14:paraId="125C77E4">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（3）拟投入服务团队稳定性、工资福利水平制度。（0-</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w:t>
            </w:r>
          </w:p>
        </w:tc>
      </w:tr>
      <w:tr w14:paraId="5DE37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1066" w:type="dxa"/>
            <w:vMerge w:val="continue"/>
            <w:tcBorders>
              <w:left w:val="double" w:color="auto" w:sz="4" w:space="0"/>
              <w:right w:val="single" w:color="auto" w:sz="4" w:space="0"/>
            </w:tcBorders>
            <w:vAlign w:val="center"/>
          </w:tcPr>
          <w:p w14:paraId="4789A92B">
            <w:pPr>
              <w:spacing w:line="440" w:lineRule="exact"/>
              <w:jc w:val="center"/>
              <w:rPr>
                <w:rFonts w:ascii="仿宋" w:hAnsi="仿宋" w:eastAsia="仿宋" w:cs="仿宋"/>
                <w:color w:val="auto"/>
                <w:szCs w:val="21"/>
                <w:highlight w:val="none"/>
              </w:rPr>
            </w:pPr>
          </w:p>
        </w:tc>
        <w:tc>
          <w:tcPr>
            <w:tcW w:w="690" w:type="dxa"/>
            <w:tcBorders>
              <w:left w:val="single" w:color="auto" w:sz="4" w:space="0"/>
              <w:right w:val="single" w:color="auto" w:sz="4" w:space="0"/>
            </w:tcBorders>
            <w:vAlign w:val="center"/>
          </w:tcPr>
          <w:p w14:paraId="24FD3507">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0-24</w:t>
            </w:r>
          </w:p>
        </w:tc>
        <w:tc>
          <w:tcPr>
            <w:tcW w:w="7928" w:type="dxa"/>
            <w:tcBorders>
              <w:top w:val="single" w:color="auto" w:sz="4" w:space="0"/>
              <w:left w:val="single" w:color="auto" w:sz="4" w:space="0"/>
              <w:bottom w:val="single" w:color="auto" w:sz="4" w:space="0"/>
              <w:right w:val="double" w:color="auto" w:sz="4" w:space="0"/>
            </w:tcBorders>
            <w:vAlign w:val="center"/>
          </w:tcPr>
          <w:p w14:paraId="11E8808B">
            <w:pPr>
              <w:adjustRightInd w:val="0"/>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投标人提供的针对本项目配置的详细垃圾分类综合服务方案、重难点情况分析。根据方案的可行性、易推广性、科学性进行综合评议。</w:t>
            </w:r>
          </w:p>
          <w:p w14:paraId="5C1FEA2F">
            <w:pPr>
              <w:numPr>
                <w:ilvl w:val="0"/>
                <w:numId w:val="3"/>
              </w:numPr>
              <w:adjustRightInd w:val="0"/>
              <w:snapToGrid w:val="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定时定点和误时投放点位管理、</w:t>
            </w:r>
            <w:r>
              <w:rPr>
                <w:rFonts w:hint="eastAsia" w:ascii="仿宋" w:hAnsi="仿宋" w:eastAsia="仿宋" w:cs="仿宋"/>
                <w:color w:val="auto"/>
                <w:szCs w:val="21"/>
                <w:highlight w:val="none"/>
              </w:rPr>
              <w:t>标准化分类及投放指导、垃圾分类知识用户宣传（0-4分）</w:t>
            </w:r>
          </w:p>
          <w:p w14:paraId="6F816CEA">
            <w:pPr>
              <w:numPr>
                <w:ilvl w:val="0"/>
                <w:numId w:val="3"/>
              </w:numPr>
              <w:adjustRightInd w:val="0"/>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积分奖励兑换方案。（0-5分）</w:t>
            </w:r>
          </w:p>
          <w:p w14:paraId="67C1F7F2">
            <w:pPr>
              <w:adjustRightInd w:val="0"/>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（3）整合垃圾分类前端、后端的服务、信息收集。（0-4分）</w:t>
            </w:r>
          </w:p>
          <w:p w14:paraId="271B0028">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（4）标识标牌设置、维护措施。（0-</w:t>
            </w:r>
            <w:r>
              <w:rPr>
                <w:rFonts w:ascii="仿宋" w:hAnsi="仿宋" w:eastAsia="仿宋" w:cs="仿宋"/>
                <w:color w:val="auto"/>
                <w:szCs w:val="21"/>
                <w:highlight w:val="none"/>
              </w:rPr>
              <w:t>4</w:t>
            </w:r>
            <w:r>
              <w:rPr>
                <w:rFonts w:hint="eastAsia" w:ascii="仿宋" w:hAnsi="仿宋" w:eastAsia="仿宋" w:cs="仿宋"/>
                <w:color w:val="auto"/>
                <w:szCs w:val="21"/>
                <w:highlight w:val="none"/>
              </w:rPr>
              <w:t>分）</w:t>
            </w:r>
          </w:p>
          <w:p w14:paraId="0652297B">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（5）清运过程中的防滴漏抛洒措施。（0-3分）</w:t>
            </w:r>
          </w:p>
          <w:p w14:paraId="15AF5983">
            <w:pPr>
              <w:snapToGrid w:val="0"/>
              <w:rPr>
                <w:color w:val="auto"/>
                <w:highlight w:val="none"/>
              </w:rPr>
            </w:pPr>
            <w:r>
              <w:rPr>
                <w:rFonts w:hint="eastAsia" w:ascii="仿宋" w:hAnsi="仿宋" w:eastAsia="仿宋" w:cs="仿宋"/>
                <w:color w:val="auto"/>
                <w:szCs w:val="21"/>
                <w:highlight w:val="none"/>
              </w:rPr>
              <w:t>（6）档案台账工作。（0-4分）</w:t>
            </w:r>
          </w:p>
        </w:tc>
      </w:tr>
      <w:tr w14:paraId="14562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066" w:type="dxa"/>
            <w:vMerge w:val="continue"/>
            <w:tcBorders>
              <w:left w:val="double" w:color="auto" w:sz="4" w:space="0"/>
              <w:right w:val="single" w:color="auto" w:sz="4" w:space="0"/>
            </w:tcBorders>
            <w:vAlign w:val="center"/>
          </w:tcPr>
          <w:p w14:paraId="0B34F100">
            <w:pPr>
              <w:spacing w:line="440" w:lineRule="exact"/>
              <w:jc w:val="center"/>
              <w:rPr>
                <w:rFonts w:ascii="仿宋" w:hAnsi="仿宋" w:eastAsia="仿宋" w:cs="仿宋"/>
                <w:color w:val="auto"/>
                <w:szCs w:val="21"/>
                <w:highlight w:val="none"/>
              </w:rPr>
            </w:pPr>
          </w:p>
        </w:tc>
        <w:tc>
          <w:tcPr>
            <w:tcW w:w="690" w:type="dxa"/>
            <w:tcBorders>
              <w:left w:val="single" w:color="auto" w:sz="4" w:space="0"/>
              <w:right w:val="single" w:color="auto" w:sz="4" w:space="0"/>
            </w:tcBorders>
            <w:vAlign w:val="center"/>
          </w:tcPr>
          <w:p w14:paraId="1B3905E8">
            <w:pPr>
              <w:adjustRightInd w:val="0"/>
              <w:snapToGrid w:val="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0-5</w:t>
            </w:r>
          </w:p>
        </w:tc>
        <w:tc>
          <w:tcPr>
            <w:tcW w:w="7928" w:type="dxa"/>
            <w:tcBorders>
              <w:top w:val="single" w:color="auto" w:sz="4" w:space="0"/>
              <w:left w:val="single" w:color="auto" w:sz="4" w:space="0"/>
              <w:bottom w:val="single" w:color="auto" w:sz="4" w:space="0"/>
              <w:right w:val="double" w:color="auto" w:sz="4" w:space="0"/>
            </w:tcBorders>
            <w:vAlign w:val="center"/>
          </w:tcPr>
          <w:p w14:paraId="32E79BB6">
            <w:pPr>
              <w:snapToGrid w:val="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拟派项目负责人的所获得过环卫或垃圾分类方面表彰或奖项荣誉每提供</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个得1分，最高得</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0-3分）</w:t>
            </w:r>
          </w:p>
          <w:p w14:paraId="7949040B">
            <w:pPr>
              <w:snapToGrid w:val="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拟派项目负责人</w:t>
            </w:r>
            <w:r>
              <w:rPr>
                <w:rFonts w:hint="eastAsia" w:ascii="仿宋" w:hAnsi="仿宋" w:eastAsia="仿宋" w:cs="仿宋"/>
                <w:color w:val="auto"/>
                <w:szCs w:val="21"/>
                <w:highlight w:val="none"/>
                <w:lang w:val="en-US" w:eastAsia="zh-CN"/>
              </w:rPr>
              <w:t>具有</w:t>
            </w:r>
            <w:r>
              <w:rPr>
                <w:rFonts w:hint="eastAsia" w:ascii="仿宋" w:hAnsi="仿宋" w:eastAsia="仿宋" w:cs="仿宋"/>
                <w:color w:val="auto"/>
                <w:szCs w:val="21"/>
                <w:highlight w:val="none"/>
              </w:rPr>
              <w:t>城市环卫管理师（高级）证书的或者具有高级垃圾分类工程师证或者高级垃圾处理工程师职称证书的</w:t>
            </w:r>
            <w:r>
              <w:rPr>
                <w:rFonts w:hint="eastAsia" w:ascii="仿宋" w:hAnsi="仿宋" w:eastAsia="仿宋" w:cs="仿宋"/>
                <w:color w:val="auto"/>
                <w:szCs w:val="21"/>
                <w:highlight w:val="none"/>
                <w:lang w:val="en-US" w:eastAsia="zh-CN"/>
              </w:rPr>
              <w:t>得2分，其余不得分。（0-2分）</w:t>
            </w:r>
          </w:p>
          <w:p w14:paraId="728014D7">
            <w:pPr>
              <w:snapToGrid w:val="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注：项目负责人荣誉和企业荣誉</w:t>
            </w:r>
            <w:r>
              <w:rPr>
                <w:rFonts w:hint="eastAsia" w:ascii="仿宋" w:hAnsi="仿宋" w:eastAsia="仿宋" w:cs="仿宋"/>
                <w:color w:val="auto"/>
                <w:szCs w:val="21"/>
                <w:highlight w:val="none"/>
              </w:rPr>
              <w:t>为同一</w:t>
            </w:r>
            <w:r>
              <w:rPr>
                <w:rFonts w:hint="eastAsia" w:ascii="仿宋" w:hAnsi="仿宋" w:eastAsia="仿宋" w:cs="仿宋"/>
                <w:color w:val="auto"/>
                <w:szCs w:val="21"/>
                <w:highlight w:val="none"/>
                <w:lang w:val="en-US" w:eastAsia="zh-CN"/>
              </w:rPr>
              <w:t>项目</w:t>
            </w:r>
            <w:r>
              <w:rPr>
                <w:rFonts w:hint="eastAsia" w:ascii="仿宋" w:hAnsi="仿宋" w:eastAsia="仿宋" w:cs="仿宋"/>
                <w:color w:val="auto"/>
                <w:szCs w:val="21"/>
                <w:highlight w:val="none"/>
              </w:rPr>
              <w:t>时，可重复得分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提供有效的相关证书复印件或其他证明材料</w:t>
            </w:r>
            <w:r>
              <w:rPr>
                <w:rFonts w:hint="eastAsia" w:ascii="仿宋" w:hAnsi="仿宋" w:eastAsia="仿宋" w:cs="仿宋"/>
                <w:color w:val="auto"/>
                <w:szCs w:val="21"/>
                <w:highlight w:val="none"/>
                <w:lang w:eastAsia="zh-CN"/>
              </w:rPr>
              <w:t>。</w:t>
            </w:r>
          </w:p>
        </w:tc>
      </w:tr>
      <w:tr w14:paraId="1C58C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066" w:type="dxa"/>
            <w:vMerge w:val="continue"/>
            <w:tcBorders>
              <w:left w:val="double" w:color="auto" w:sz="4" w:space="0"/>
              <w:right w:val="single" w:color="auto" w:sz="4" w:space="0"/>
            </w:tcBorders>
            <w:vAlign w:val="center"/>
          </w:tcPr>
          <w:p w14:paraId="21668539">
            <w:pPr>
              <w:spacing w:line="440" w:lineRule="exact"/>
              <w:jc w:val="center"/>
              <w:rPr>
                <w:rFonts w:ascii="仿宋" w:hAnsi="仿宋" w:eastAsia="仿宋" w:cs="仿宋"/>
                <w:color w:val="auto"/>
                <w:szCs w:val="21"/>
                <w:highlight w:val="none"/>
              </w:rPr>
            </w:pPr>
          </w:p>
        </w:tc>
        <w:tc>
          <w:tcPr>
            <w:tcW w:w="690" w:type="dxa"/>
            <w:tcBorders>
              <w:left w:val="single" w:color="auto" w:sz="4" w:space="0"/>
              <w:right w:val="single" w:color="auto" w:sz="4" w:space="0"/>
            </w:tcBorders>
            <w:vAlign w:val="center"/>
          </w:tcPr>
          <w:p w14:paraId="1E911E75">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en-US" w:eastAsia="zh-CN"/>
              </w:rPr>
              <w:t>10</w:t>
            </w:r>
          </w:p>
        </w:tc>
        <w:tc>
          <w:tcPr>
            <w:tcW w:w="7928" w:type="dxa"/>
            <w:tcBorders>
              <w:top w:val="single" w:color="auto" w:sz="4" w:space="0"/>
              <w:left w:val="single" w:color="auto" w:sz="4" w:space="0"/>
              <w:bottom w:val="single" w:color="auto" w:sz="4" w:space="0"/>
              <w:right w:val="double" w:color="auto" w:sz="4" w:space="0"/>
            </w:tcBorders>
            <w:vAlign w:val="center"/>
          </w:tcPr>
          <w:p w14:paraId="7F50BD33">
            <w:pPr>
              <w:adjustRightInd w:val="0"/>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结合采购需求提供的拟派服务团队的数量、类似服务经验、人员到位率承诺等情况进行综合评议。</w:t>
            </w:r>
          </w:p>
          <w:p w14:paraId="78ADB678">
            <w:pPr>
              <w:adjustRightInd w:val="0"/>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注：提供人员表等相关证明材料以及在本单位近三个月的社保缴纳证明，不提供社保证明不得分。</w:t>
            </w:r>
          </w:p>
        </w:tc>
      </w:tr>
      <w:tr w14:paraId="62C3C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66" w:type="dxa"/>
            <w:vMerge w:val="continue"/>
            <w:tcBorders>
              <w:left w:val="double" w:color="auto" w:sz="4" w:space="0"/>
              <w:right w:val="single" w:color="auto" w:sz="4" w:space="0"/>
            </w:tcBorders>
            <w:vAlign w:val="center"/>
          </w:tcPr>
          <w:p w14:paraId="4409EE79">
            <w:pPr>
              <w:spacing w:line="440" w:lineRule="exact"/>
              <w:jc w:val="center"/>
              <w:rPr>
                <w:rFonts w:ascii="仿宋" w:hAnsi="仿宋" w:eastAsia="仿宋" w:cs="仿宋"/>
                <w:color w:val="auto"/>
                <w:szCs w:val="21"/>
                <w:highlight w:val="none"/>
              </w:rPr>
            </w:pPr>
          </w:p>
        </w:tc>
        <w:tc>
          <w:tcPr>
            <w:tcW w:w="690" w:type="dxa"/>
            <w:tcBorders>
              <w:left w:val="single" w:color="auto" w:sz="4" w:space="0"/>
              <w:right w:val="single" w:color="auto" w:sz="4" w:space="0"/>
            </w:tcBorders>
            <w:vAlign w:val="center"/>
          </w:tcPr>
          <w:p w14:paraId="4677F3DD">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0-10</w:t>
            </w:r>
          </w:p>
        </w:tc>
        <w:tc>
          <w:tcPr>
            <w:tcW w:w="7928" w:type="dxa"/>
            <w:tcBorders>
              <w:top w:val="single" w:color="auto" w:sz="4" w:space="0"/>
              <w:left w:val="single" w:color="auto" w:sz="4" w:space="0"/>
              <w:bottom w:val="single" w:color="auto" w:sz="4" w:space="0"/>
              <w:right w:val="double" w:color="auto" w:sz="4" w:space="0"/>
            </w:tcBorders>
            <w:vAlign w:val="center"/>
          </w:tcPr>
          <w:p w14:paraId="547D511A">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1、投标人结合采购内容及服务要求对拟投入的服务团队的培训方案进行综合评议：</w:t>
            </w:r>
          </w:p>
          <w:p w14:paraId="018C74BC">
            <w:pPr>
              <w:numPr>
                <w:ilvl w:val="0"/>
                <w:numId w:val="4"/>
              </w:num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从业能力的垃圾分类知识培训、作业培训、安全意识培训；（0-3分）</w:t>
            </w:r>
          </w:p>
          <w:p w14:paraId="38FAF779">
            <w:pPr>
              <w:numPr>
                <w:ilvl w:val="0"/>
                <w:numId w:val="4"/>
              </w:num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管理平台运行管理服务培训、收运作业运输培训、宣传服务培训（0-3分）</w:t>
            </w:r>
          </w:p>
          <w:p w14:paraId="55E644E8">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2、投标人结合采购内容及服务要求对辖区内居民、村民、商家、物业定期组织的培训方案进行综合评议：</w:t>
            </w:r>
          </w:p>
          <w:p w14:paraId="51D92950">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（1）有切实可行的每月不少于</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次的培训计划（0-2分）</w:t>
            </w:r>
          </w:p>
          <w:p w14:paraId="2168AF12">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（2）有专门培训部门的（0-2分）</w:t>
            </w:r>
          </w:p>
        </w:tc>
      </w:tr>
      <w:tr w14:paraId="3F773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066" w:type="dxa"/>
            <w:vMerge w:val="continue"/>
            <w:tcBorders>
              <w:left w:val="double" w:color="auto" w:sz="4" w:space="0"/>
              <w:right w:val="single" w:color="auto" w:sz="4" w:space="0"/>
            </w:tcBorders>
            <w:vAlign w:val="center"/>
          </w:tcPr>
          <w:p w14:paraId="13559169">
            <w:pPr>
              <w:spacing w:line="440" w:lineRule="exact"/>
              <w:jc w:val="center"/>
              <w:rPr>
                <w:rFonts w:ascii="仿宋" w:hAnsi="仿宋" w:eastAsia="仿宋" w:cs="仿宋"/>
                <w:color w:val="auto"/>
                <w:szCs w:val="21"/>
                <w:highlight w:val="none"/>
              </w:rPr>
            </w:pPr>
          </w:p>
        </w:tc>
        <w:tc>
          <w:tcPr>
            <w:tcW w:w="690" w:type="dxa"/>
            <w:tcBorders>
              <w:left w:val="single" w:color="auto" w:sz="4" w:space="0"/>
              <w:right w:val="single" w:color="auto" w:sz="4" w:space="0"/>
            </w:tcBorders>
            <w:vAlign w:val="center"/>
          </w:tcPr>
          <w:p w14:paraId="710F9244">
            <w:pPr>
              <w:adjustRightInd w:val="0"/>
              <w:snapToGrid w:val="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en-US" w:eastAsia="zh-CN"/>
              </w:rPr>
              <w:t>8</w:t>
            </w:r>
          </w:p>
        </w:tc>
        <w:tc>
          <w:tcPr>
            <w:tcW w:w="7928" w:type="dxa"/>
            <w:tcBorders>
              <w:top w:val="single" w:color="auto" w:sz="4" w:space="0"/>
              <w:left w:val="single" w:color="auto" w:sz="4" w:space="0"/>
              <w:bottom w:val="single" w:color="auto" w:sz="4" w:space="0"/>
              <w:right w:val="double" w:color="auto" w:sz="4" w:space="0"/>
            </w:tcBorders>
            <w:vAlign w:val="center"/>
          </w:tcPr>
          <w:p w14:paraId="7B2FEA57">
            <w:pPr>
              <w:ind w:right="-21" w:rightChars="-10"/>
              <w:rPr>
                <w:rFonts w:ascii="仿宋" w:hAnsi="仿宋" w:eastAsia="仿宋" w:cs="仿宋"/>
                <w:color w:val="auto"/>
                <w:szCs w:val="21"/>
                <w:highlight w:val="none"/>
              </w:rPr>
            </w:pPr>
            <w:r>
              <w:rPr>
                <w:rFonts w:hint="eastAsia" w:ascii="仿宋" w:hAnsi="仿宋" w:eastAsia="仿宋" w:cs="仿宋"/>
                <w:color w:val="auto"/>
                <w:szCs w:val="21"/>
                <w:highlight w:val="none"/>
              </w:rPr>
              <w:t>应急方案及措施的可行性、可操作性及针对性</w:t>
            </w:r>
          </w:p>
          <w:p w14:paraId="456BEA6E">
            <w:pPr>
              <w:ind w:right="-21" w:rightChars="-10"/>
              <w:rPr>
                <w:rFonts w:ascii="仿宋" w:hAnsi="仿宋" w:eastAsia="仿宋" w:cs="仿宋"/>
                <w:color w:val="auto"/>
                <w:szCs w:val="21"/>
                <w:highlight w:val="none"/>
              </w:rPr>
            </w:pPr>
            <w:r>
              <w:rPr>
                <w:rFonts w:hint="eastAsia" w:ascii="仿宋" w:hAnsi="仿宋" w:eastAsia="仿宋" w:cs="仿宋"/>
                <w:color w:val="auto"/>
                <w:szCs w:val="21"/>
                <w:highlight w:val="none"/>
              </w:rPr>
              <w:t>（1）对突发事件的响应时间及处理时间的响应承诺情况。（0-2分）</w:t>
            </w:r>
          </w:p>
          <w:p w14:paraId="56E51CB5">
            <w:pPr>
              <w:ind w:right="-21" w:rightChars="-10"/>
              <w:rPr>
                <w:rFonts w:ascii="仿宋" w:hAnsi="仿宋" w:eastAsia="仿宋" w:cs="仿宋"/>
                <w:color w:val="auto"/>
                <w:szCs w:val="21"/>
                <w:highlight w:val="none"/>
              </w:rPr>
            </w:pPr>
            <w:r>
              <w:rPr>
                <w:rFonts w:hint="eastAsia" w:ascii="仿宋" w:hAnsi="仿宋" w:eastAsia="仿宋" w:cs="仿宋"/>
                <w:color w:val="auto"/>
                <w:szCs w:val="21"/>
                <w:highlight w:val="none"/>
              </w:rPr>
              <w:t>（2）对突发事件（包括发生灾害性天气及其他突发事件）时的紧急预案。（0-</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分）</w:t>
            </w:r>
          </w:p>
          <w:p w14:paraId="2A127082">
            <w:pPr>
              <w:ind w:right="-21" w:rightChars="-10"/>
              <w:rPr>
                <w:rFonts w:ascii="仿宋" w:hAnsi="仿宋" w:eastAsia="仿宋" w:cs="仿宋"/>
                <w:color w:val="auto"/>
                <w:szCs w:val="21"/>
                <w:highlight w:val="none"/>
              </w:rPr>
            </w:pPr>
            <w:r>
              <w:rPr>
                <w:rFonts w:hint="eastAsia" w:ascii="仿宋" w:hAnsi="仿宋" w:eastAsia="仿宋" w:cs="仿宋"/>
                <w:color w:val="auto"/>
                <w:szCs w:val="21"/>
                <w:highlight w:val="none"/>
              </w:rPr>
              <w:t>（3）对服务区域内安全防范措施、消防等紧急预案。（0-</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分）</w:t>
            </w:r>
          </w:p>
        </w:tc>
      </w:tr>
      <w:tr w14:paraId="5ACC2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6" w:type="dxa"/>
            <w:vMerge w:val="continue"/>
            <w:tcBorders>
              <w:left w:val="double" w:color="auto" w:sz="4" w:space="0"/>
              <w:right w:val="single" w:color="auto" w:sz="4" w:space="0"/>
            </w:tcBorders>
            <w:vAlign w:val="center"/>
          </w:tcPr>
          <w:p w14:paraId="589684CE">
            <w:pPr>
              <w:spacing w:line="440" w:lineRule="exact"/>
              <w:jc w:val="center"/>
              <w:rPr>
                <w:rFonts w:ascii="仿宋" w:hAnsi="仿宋" w:eastAsia="仿宋" w:cs="仿宋"/>
                <w:color w:val="auto"/>
                <w:szCs w:val="21"/>
                <w:highlight w:val="none"/>
              </w:rPr>
            </w:pPr>
          </w:p>
        </w:tc>
        <w:tc>
          <w:tcPr>
            <w:tcW w:w="690" w:type="dxa"/>
            <w:tcBorders>
              <w:left w:val="single" w:color="auto" w:sz="4" w:space="0"/>
              <w:bottom w:val="single" w:color="auto" w:sz="4" w:space="0"/>
              <w:right w:val="single" w:color="auto" w:sz="4" w:space="0"/>
            </w:tcBorders>
            <w:vAlign w:val="center"/>
          </w:tcPr>
          <w:p w14:paraId="75ADC728">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0-3</w:t>
            </w:r>
          </w:p>
        </w:tc>
        <w:tc>
          <w:tcPr>
            <w:tcW w:w="7928" w:type="dxa"/>
            <w:tcBorders>
              <w:top w:val="single" w:color="auto" w:sz="4" w:space="0"/>
              <w:left w:val="single" w:color="auto" w:sz="4" w:space="0"/>
              <w:bottom w:val="single" w:color="auto" w:sz="4" w:space="0"/>
              <w:right w:val="double" w:color="auto" w:sz="4" w:space="0"/>
            </w:tcBorders>
            <w:vAlign w:val="center"/>
          </w:tcPr>
          <w:p w14:paraId="5840D709">
            <w:pPr>
              <w:ind w:right="-21" w:rightChars="-10"/>
              <w:rPr>
                <w:rFonts w:eastAsia="仿宋"/>
                <w:color w:val="auto"/>
                <w:highlight w:val="none"/>
              </w:rPr>
            </w:pPr>
            <w:r>
              <w:rPr>
                <w:rFonts w:hint="eastAsia" w:ascii="仿宋" w:hAnsi="仿宋" w:eastAsia="仿宋" w:cs="仿宋"/>
                <w:color w:val="auto"/>
                <w:szCs w:val="21"/>
                <w:highlight w:val="none"/>
              </w:rPr>
              <w:t>在特殊需要时迅速派出足够数量的增派人员完成应急保障及接待来访，投标人进行具体阐述。</w:t>
            </w:r>
          </w:p>
        </w:tc>
      </w:tr>
      <w:tr w14:paraId="3AA2B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066" w:type="dxa"/>
            <w:vMerge w:val="continue"/>
            <w:tcBorders>
              <w:left w:val="double" w:color="auto" w:sz="4" w:space="0"/>
              <w:right w:val="single" w:color="auto" w:sz="4" w:space="0"/>
            </w:tcBorders>
            <w:vAlign w:val="center"/>
          </w:tcPr>
          <w:p w14:paraId="22192DAD">
            <w:pPr>
              <w:spacing w:line="440" w:lineRule="exact"/>
              <w:jc w:val="center"/>
              <w:rPr>
                <w:rFonts w:ascii="仿宋" w:hAnsi="仿宋" w:eastAsia="仿宋" w:cs="仿宋"/>
                <w:color w:val="auto"/>
                <w:szCs w:val="21"/>
                <w:highlight w:val="none"/>
              </w:rPr>
            </w:pPr>
          </w:p>
        </w:tc>
        <w:tc>
          <w:tcPr>
            <w:tcW w:w="690" w:type="dxa"/>
            <w:tcBorders>
              <w:left w:val="single" w:color="auto" w:sz="4" w:space="0"/>
              <w:bottom w:val="single" w:color="auto" w:sz="4" w:space="0"/>
              <w:right w:val="single" w:color="auto" w:sz="4" w:space="0"/>
            </w:tcBorders>
            <w:vAlign w:val="center"/>
          </w:tcPr>
          <w:p w14:paraId="5DD0142C">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0-8</w:t>
            </w:r>
          </w:p>
        </w:tc>
        <w:tc>
          <w:tcPr>
            <w:tcW w:w="7928" w:type="dxa"/>
            <w:tcBorders>
              <w:top w:val="single" w:color="auto" w:sz="4" w:space="0"/>
              <w:left w:val="single" w:color="auto" w:sz="4" w:space="0"/>
              <w:bottom w:val="single" w:color="auto" w:sz="4" w:space="0"/>
              <w:right w:val="double" w:color="auto" w:sz="4" w:space="0"/>
            </w:tcBorders>
            <w:vAlign w:val="center"/>
          </w:tcPr>
          <w:p w14:paraId="3083A834">
            <w:pPr>
              <w:ind w:right="-21" w:rightChars="-10"/>
              <w:rPr>
                <w:rFonts w:ascii="仿宋" w:hAnsi="仿宋" w:eastAsia="仿宋" w:cs="仿宋"/>
                <w:color w:val="auto"/>
                <w:szCs w:val="21"/>
                <w:highlight w:val="none"/>
              </w:rPr>
            </w:pPr>
            <w:r>
              <w:rPr>
                <w:rFonts w:hint="eastAsia" w:ascii="仿宋" w:hAnsi="仿宋" w:eastAsia="仿宋" w:cs="仿宋"/>
                <w:color w:val="auto"/>
                <w:szCs w:val="21"/>
                <w:highlight w:val="none"/>
              </w:rPr>
              <w:t>投标人拟投入使用的巡检车辆、工器具的配备情况进行综合评议:</w:t>
            </w:r>
          </w:p>
          <w:p w14:paraId="5F3768E5">
            <w:pPr>
              <w:numPr>
                <w:ilvl w:val="0"/>
                <w:numId w:val="5"/>
              </w:numPr>
              <w:ind w:right="-21" w:rightChars="-10"/>
              <w:rPr>
                <w:rFonts w:ascii="仿宋" w:hAnsi="仿宋" w:eastAsia="仿宋" w:cs="仿宋"/>
                <w:color w:val="auto"/>
                <w:szCs w:val="21"/>
                <w:highlight w:val="none"/>
              </w:rPr>
            </w:pPr>
            <w:r>
              <w:rPr>
                <w:rFonts w:hint="eastAsia" w:ascii="仿宋" w:hAnsi="仿宋" w:eastAsia="仿宋" w:cs="仿宋"/>
                <w:color w:val="auto"/>
                <w:szCs w:val="21"/>
                <w:highlight w:val="none"/>
              </w:rPr>
              <w:t>对服务团队的各季节工作服装配备、劳保用品配备情况。（0-3分）</w:t>
            </w:r>
          </w:p>
          <w:p w14:paraId="7923F476">
            <w:pPr>
              <w:ind w:right="-21" w:rightChars="-10"/>
              <w:rPr>
                <w:rFonts w:ascii="仿宋" w:hAnsi="仿宋" w:eastAsia="仿宋" w:cs="仿宋"/>
                <w:color w:val="auto"/>
                <w:szCs w:val="21"/>
                <w:highlight w:val="none"/>
              </w:rPr>
            </w:pPr>
            <w:r>
              <w:rPr>
                <w:rFonts w:hint="eastAsia" w:ascii="仿宋" w:hAnsi="仿宋" w:eastAsia="仿宋" w:cs="仿宋"/>
                <w:color w:val="auto"/>
                <w:szCs w:val="21"/>
                <w:highlight w:val="none"/>
              </w:rPr>
              <w:t>（2）巡查车辆数量、各类运输工具、清洗工具情况。（0-5分）</w:t>
            </w:r>
          </w:p>
        </w:tc>
      </w:tr>
      <w:tr w14:paraId="5B196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66" w:type="dxa"/>
            <w:vMerge w:val="continue"/>
            <w:tcBorders>
              <w:left w:val="double" w:color="auto" w:sz="4" w:space="0"/>
              <w:right w:val="single" w:color="auto" w:sz="4" w:space="0"/>
            </w:tcBorders>
            <w:vAlign w:val="center"/>
          </w:tcPr>
          <w:p w14:paraId="4DC19E90">
            <w:pPr>
              <w:spacing w:line="440" w:lineRule="exact"/>
              <w:jc w:val="center"/>
              <w:rPr>
                <w:rFonts w:ascii="仿宋" w:hAnsi="仿宋" w:eastAsia="仿宋" w:cs="仿宋"/>
                <w:color w:val="auto"/>
                <w:szCs w:val="21"/>
                <w:highlight w:val="none"/>
              </w:rPr>
            </w:pPr>
          </w:p>
        </w:tc>
        <w:tc>
          <w:tcPr>
            <w:tcW w:w="690" w:type="dxa"/>
            <w:tcBorders>
              <w:left w:val="single" w:color="auto" w:sz="4" w:space="0"/>
              <w:right w:val="single" w:color="auto" w:sz="4" w:space="0"/>
            </w:tcBorders>
            <w:vAlign w:val="center"/>
          </w:tcPr>
          <w:p w14:paraId="3E478070">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0-2</w:t>
            </w:r>
          </w:p>
        </w:tc>
        <w:tc>
          <w:tcPr>
            <w:tcW w:w="7928" w:type="dxa"/>
            <w:tcBorders>
              <w:top w:val="single" w:color="auto" w:sz="4" w:space="0"/>
              <w:left w:val="single" w:color="auto" w:sz="4" w:space="0"/>
              <w:bottom w:val="single" w:color="auto" w:sz="4" w:space="0"/>
              <w:right w:val="double" w:color="auto" w:sz="4" w:space="0"/>
            </w:tcBorders>
            <w:vAlign w:val="center"/>
          </w:tcPr>
          <w:p w14:paraId="4325A6AA">
            <w:pPr>
              <w:ind w:right="-21" w:rightChars="-10"/>
              <w:rPr>
                <w:rFonts w:ascii="仿宋" w:hAnsi="仿宋" w:eastAsia="仿宋" w:cs="仿宋"/>
                <w:color w:val="auto"/>
                <w:szCs w:val="21"/>
                <w:highlight w:val="none"/>
              </w:rPr>
            </w:pPr>
            <w:r>
              <w:rPr>
                <w:rFonts w:hint="eastAsia" w:ascii="仿宋" w:hAnsi="仿宋" w:eastAsia="仿宋" w:cs="仿宋"/>
                <w:color w:val="auto"/>
                <w:kern w:val="0"/>
                <w:szCs w:val="21"/>
                <w:highlight w:val="none"/>
              </w:rPr>
              <w:t>投标文件编制是否有序、关联点是否设置、索引精简便于查找、字体图片等内容是否清晰、内容详实、完整。</w:t>
            </w:r>
          </w:p>
        </w:tc>
      </w:tr>
      <w:tr w14:paraId="2AE47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066" w:type="dxa"/>
            <w:tcBorders>
              <w:left w:val="double" w:color="auto" w:sz="4" w:space="0"/>
              <w:right w:val="single" w:color="auto" w:sz="4" w:space="0"/>
            </w:tcBorders>
            <w:vAlign w:val="center"/>
          </w:tcPr>
          <w:p w14:paraId="3D969A36">
            <w:pPr>
              <w:spacing w:line="4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报价分</w:t>
            </w:r>
          </w:p>
          <w:p w14:paraId="6A7C2740">
            <w:pPr>
              <w:spacing w:line="44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（0-10）</w:t>
            </w:r>
          </w:p>
        </w:tc>
        <w:tc>
          <w:tcPr>
            <w:tcW w:w="690" w:type="dxa"/>
            <w:tcBorders>
              <w:left w:val="single" w:color="auto" w:sz="4" w:space="0"/>
              <w:right w:val="single" w:color="auto" w:sz="4" w:space="0"/>
            </w:tcBorders>
            <w:vAlign w:val="center"/>
          </w:tcPr>
          <w:p w14:paraId="73C5725D">
            <w:pPr>
              <w:adjustRightInd w:val="0"/>
              <w:snapToGrid w:val="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0-10</w:t>
            </w:r>
          </w:p>
        </w:tc>
        <w:tc>
          <w:tcPr>
            <w:tcW w:w="7928" w:type="dxa"/>
            <w:tcBorders>
              <w:top w:val="single" w:color="auto" w:sz="4" w:space="0"/>
              <w:left w:val="single" w:color="auto" w:sz="4" w:space="0"/>
              <w:bottom w:val="single" w:color="auto" w:sz="4" w:space="0"/>
              <w:right w:val="double" w:color="auto" w:sz="4" w:space="0"/>
            </w:tcBorders>
            <w:vAlign w:val="center"/>
          </w:tcPr>
          <w:p w14:paraId="3536A08C">
            <w:pPr>
              <w:adjustRightInd/>
              <w:jc w:val="left"/>
              <w:rPr>
                <w:rFonts w:ascii="仿宋" w:hAnsi="仿宋" w:eastAsia="仿宋" w:cs="仿宋"/>
                <w:bCs/>
                <w:caps/>
                <w:color w:val="auto"/>
                <w:szCs w:val="21"/>
                <w:highlight w:val="none"/>
              </w:rPr>
            </w:pPr>
            <w:r>
              <w:rPr>
                <w:rFonts w:hint="eastAsia" w:ascii="仿宋" w:hAnsi="仿宋" w:eastAsia="仿宋" w:cs="仿宋"/>
                <w:bCs/>
                <w:caps/>
                <w:color w:val="auto"/>
                <w:szCs w:val="21"/>
                <w:highlight w:val="none"/>
              </w:rPr>
              <w:t>有效投标报价的最低价作为评标基准价，其最低报价为满分；按［投标报价得分=（评标基准价/投标报价）*10］的计算公式计算。</w:t>
            </w:r>
          </w:p>
          <w:p w14:paraId="4F4CBC35">
            <w:pPr>
              <w:ind w:right="-21" w:rightChars="-10"/>
              <w:rPr>
                <w:rFonts w:hint="eastAsia" w:ascii="仿宋" w:hAnsi="仿宋" w:eastAsia="仿宋" w:cs="仿宋"/>
                <w:color w:val="auto"/>
                <w:kern w:val="0"/>
                <w:szCs w:val="21"/>
                <w:highlight w:val="none"/>
              </w:rPr>
            </w:pPr>
            <w:r>
              <w:rPr>
                <w:rFonts w:hint="eastAsia" w:ascii="仿宋" w:hAnsi="仿宋" w:eastAsia="仿宋" w:cs="仿宋"/>
                <w:bCs/>
                <w:caps/>
                <w:color w:val="auto"/>
                <w:szCs w:val="21"/>
                <w:highlight w:val="none"/>
              </w:rPr>
              <w:t>评标过程中，不得去掉报价中的最高报价和最低报价。</w:t>
            </w:r>
          </w:p>
        </w:tc>
      </w:tr>
    </w:tbl>
    <w:p w14:paraId="11F4CE88">
      <w:pPr>
        <w:rPr>
          <w:rFonts w:hint="eastAsia" w:ascii="仿宋" w:hAnsi="仿宋" w:eastAsia="仿宋" w:cs="仿宋"/>
          <w:b/>
          <w:color w:val="auto"/>
          <w:sz w:val="32"/>
          <w:highlight w:val="none"/>
        </w:rPr>
      </w:pPr>
    </w:p>
    <w:p w14:paraId="62B2E2FD">
      <w:pPr>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商务评分内容中要求提供的证明材料均应在电子投标文件中提供真实清晰的原件扫描件，虚假提供材料或扫描件内容模糊导致的一切后果由投标人承担。</w:t>
      </w:r>
    </w:p>
    <w:p w14:paraId="7B046A0D">
      <w:pPr>
        <w:spacing w:line="440" w:lineRule="exact"/>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（2）投标报价中需包含25万元的</w:t>
      </w:r>
      <w:r>
        <w:rPr>
          <w:rFonts w:hint="eastAsia" w:ascii="仿宋" w:hAnsi="仿宋" w:eastAsia="仿宋" w:cs="仿宋"/>
          <w:b/>
          <w:bCs w:val="0"/>
          <w:snapToGrid/>
          <w:color w:val="auto"/>
          <w:kern w:val="2"/>
          <w:sz w:val="24"/>
          <w:szCs w:val="24"/>
          <w:highlight w:val="none"/>
          <w:lang w:val="en-US" w:eastAsia="zh-CN" w:bidi="ar-SA"/>
        </w:rPr>
        <w:t>考核奖励费。投标报价由两部分组成基础服务费和考核奖励费，其中基础服务费可自主报价，考核奖励费不可自主报价。</w:t>
      </w:r>
    </w:p>
    <w:p w14:paraId="20A6F194">
      <w:pPr>
        <w:rPr>
          <w:rFonts w:ascii="仿宋" w:hAnsi="仿宋" w:eastAsia="仿宋" w:cs="仿宋"/>
          <w:b/>
          <w:color w:val="auto"/>
          <w:sz w:val="32"/>
          <w:highlight w:val="none"/>
        </w:rPr>
      </w:pPr>
      <w:r>
        <w:rPr>
          <w:rFonts w:hint="eastAsia" w:ascii="仿宋" w:hAnsi="仿宋" w:eastAsia="仿宋" w:cs="仿宋"/>
          <w:b/>
          <w:color w:val="auto"/>
          <w:sz w:val="32"/>
          <w:highlight w:val="none"/>
        </w:rPr>
        <w:br w:type="page"/>
      </w:r>
    </w:p>
    <w:p w14:paraId="3F8E914F">
      <w:pPr>
        <w:snapToGrid w:val="0"/>
        <w:spacing w:line="360" w:lineRule="auto"/>
        <w:jc w:val="center"/>
        <w:rPr>
          <w:rFonts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5B6955AB">
      <w:pPr>
        <w:adjustRightInd/>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73087662">
      <w:pPr>
        <w:adjustRightInd/>
        <w:spacing w:line="360" w:lineRule="auto"/>
        <w:jc w:val="center"/>
        <w:rPr>
          <w:rFonts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26B271B5">
      <w:pPr>
        <w:spacing w:line="360" w:lineRule="auto"/>
        <w:ind w:firstLine="472" w:firstLineChars="196"/>
        <w:rPr>
          <w:rFonts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26C0FA02">
      <w:pPr>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5443DC9E">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A737496">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4A4C7A81">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730482CC">
      <w:pPr>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0F1AC772">
      <w:pPr>
        <w:pStyle w:val="22"/>
        <w:spacing w:before="0"/>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1162134B">
      <w:pPr>
        <w:pStyle w:val="2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7A8AE488">
      <w:pPr>
        <w:pStyle w:val="2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3D6E2FC4">
      <w:pPr>
        <w:pStyle w:val="2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472B3D82">
      <w:pPr>
        <w:pStyle w:val="2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60E36CC1">
      <w:pPr>
        <w:pStyle w:val="2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FD021BA">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3EAA887B">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2F429B18">
      <w:pPr>
        <w:pStyle w:val="2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944BB57">
      <w:pPr>
        <w:pStyle w:val="2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CD3C75B">
      <w:pPr>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393C439">
      <w:pPr>
        <w:spacing w:line="360" w:lineRule="auto"/>
        <w:ind w:firstLine="480" w:firstLineChars="200"/>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6DBBA91">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69109E5">
      <w:pPr>
        <w:widowControl/>
        <w:shd w:val="clear" w:color="auto" w:fill="FFFFFF"/>
        <w:adjustRightInd/>
        <w:spacing w:after="225" w:line="315" w:lineRule="atLeast"/>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75355906">
      <w:pPr>
        <w:pStyle w:val="22"/>
        <w:spacing w:before="0"/>
        <w:ind w:firstLine="472" w:firstLineChars="196"/>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AA53C49">
      <w:pPr>
        <w:pStyle w:val="8"/>
        <w:spacing w:line="360" w:lineRule="auto"/>
        <w:ind w:left="954" w:leftChars="226" w:hanging="479" w:firstLineChars="0"/>
        <w:rPr>
          <w:rFonts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50066ECC">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21D55D61">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116C20D7">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C34A055">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09F7E0FB">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057EB9A8">
      <w:pPr>
        <w:snapToGrid w:val="0"/>
        <w:spacing w:line="360" w:lineRule="auto"/>
        <w:ind w:firstLine="120" w:firstLineChars="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69A5058C">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7AD2A971">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EBB4F3B">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72DB7BF2">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692EFA4F">
      <w:pPr>
        <w:spacing w:line="360" w:lineRule="auto"/>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4A458B3B">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68FB2ACD">
      <w:pPr>
        <w:pStyle w:val="2"/>
        <w:ind w:left="0" w:leftChars="0" w:firstLine="480" w:firstLineChars="200"/>
        <w:rPr>
          <w:rFonts w:ascii="仿宋" w:eastAsia="仿宋" w:cs="仿宋"/>
          <w:b w:val="0"/>
          <w:bCs w:val="0"/>
          <w:color w:val="auto"/>
          <w:kern w:val="0"/>
          <w:sz w:val="24"/>
          <w:szCs w:val="24"/>
          <w:highlight w:val="none"/>
          <w:lang w:val="en-US"/>
        </w:rPr>
      </w:pPr>
      <w:r>
        <w:rPr>
          <w:rFonts w:hint="eastAsia" w:ascii="仿宋" w:eastAsia="仿宋" w:cs="仿宋"/>
          <w:b w:val="0"/>
          <w:bCs w:val="0"/>
          <w:color w:val="auto"/>
          <w:kern w:val="0"/>
          <w:sz w:val="24"/>
          <w:szCs w:val="24"/>
          <w:highlight w:val="none"/>
          <w:lang w:val="en-US"/>
        </w:rPr>
        <w:t>4.2.13投标文件不满足招标文件的其它实质性要求的；</w:t>
      </w:r>
    </w:p>
    <w:p w14:paraId="06A5E88C">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25D6EFD1">
      <w:pPr>
        <w:pStyle w:val="8"/>
        <w:snapToGrid w:val="0"/>
        <w:spacing w:line="360" w:lineRule="auto"/>
        <w:ind w:firstLine="472" w:firstLineChars="196"/>
        <w:rPr>
          <w:rFonts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41BAFE2A">
      <w:pPr>
        <w:pStyle w:val="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3DB577E9">
      <w:pPr>
        <w:pStyle w:val="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75C5F9A3">
      <w:pPr>
        <w:pStyle w:val="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4706D3CE">
      <w:pPr>
        <w:pStyle w:val="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6BF86DC2">
      <w:pPr>
        <w:pStyle w:val="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3497A935">
      <w:pPr>
        <w:pStyle w:val="8"/>
        <w:snapToGrid w:val="0"/>
        <w:spacing w:line="360" w:lineRule="auto"/>
        <w:ind w:firstLine="482" w:firstLineChars="200"/>
        <w:rPr>
          <w:rFonts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943284D">
      <w:pPr>
        <w:pStyle w:val="8"/>
        <w:snapToGrid w:val="0"/>
        <w:spacing w:line="360" w:lineRule="auto"/>
        <w:ind w:firstLine="482"/>
        <w:rPr>
          <w:rFonts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中华人民共和国</w:t>
      </w:r>
      <w:r>
        <w:rPr>
          <w:rFonts w:hint="eastAsia" w:ascii="仿宋" w:hAnsi="仿宋" w:eastAsia="仿宋" w:cs="仿宋"/>
          <w:color w:val="auto"/>
          <w:highlight w:val="none"/>
        </w:rPr>
        <w:t>政府采购法</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第七十一条、第七十二条规定的违法行为之一，影响或者可能影响中标结果的，依照下列规定处理：</w:t>
      </w:r>
    </w:p>
    <w:p w14:paraId="606DE7D7">
      <w:pPr>
        <w:pStyle w:val="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73640316">
      <w:pPr>
        <w:pStyle w:val="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5ED756FB">
      <w:pPr>
        <w:pStyle w:val="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0630BBEB">
      <w:pPr>
        <w:pStyle w:val="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16A5ECF5">
      <w:pPr>
        <w:pStyle w:val="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6"/>
    <w:p w14:paraId="76802A86">
      <w:pPr>
        <w:rPr>
          <w:rFonts w:ascii="仿宋" w:hAnsi="仿宋" w:eastAsia="仿宋" w:cs="仿宋"/>
          <w:b/>
          <w:color w:val="auto"/>
          <w:sz w:val="36"/>
          <w:szCs w:val="36"/>
          <w:highlight w:val="none"/>
        </w:rPr>
      </w:pPr>
      <w:bookmarkStart w:id="392" w:name="第五部分"/>
      <w:bookmarkStart w:id="393" w:name="_Toc86217003"/>
      <w:r>
        <w:rPr>
          <w:rFonts w:hint="eastAsia" w:ascii="仿宋" w:hAnsi="仿宋" w:eastAsia="仿宋" w:cs="仿宋"/>
          <w:b/>
          <w:color w:val="auto"/>
          <w:sz w:val="36"/>
          <w:szCs w:val="36"/>
          <w:highlight w:val="none"/>
        </w:rPr>
        <w:br w:type="page"/>
      </w:r>
    </w:p>
    <w:p w14:paraId="2DEC4760">
      <w:pPr>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5C7AE88B">
      <w:pPr>
        <w:pStyle w:val="24"/>
        <w:ind w:left="0" w:leftChars="0" w:firstLine="0" w:firstLineChars="0"/>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合同书</w:t>
      </w:r>
    </w:p>
    <w:p w14:paraId="7237FEF3">
      <w:pPr>
        <w:spacing w:before="120" w:line="22" w:lineRule="atLeast"/>
        <w:ind w:firstLine="639" w:firstLineChars="213"/>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项目名称：</w:t>
      </w:r>
      <w:r>
        <w:rPr>
          <w:rFonts w:hint="eastAsia" w:ascii="仿宋" w:hAnsi="仿宋" w:eastAsia="仿宋" w:cs="仿宋"/>
          <w:color w:val="auto"/>
          <w:sz w:val="30"/>
          <w:szCs w:val="30"/>
          <w:highlight w:val="none"/>
          <w:u w:val="single"/>
        </w:rPr>
        <w:t xml:space="preserve">                                   </w:t>
      </w:r>
    </w:p>
    <w:p w14:paraId="693CA40A">
      <w:pPr>
        <w:ind w:firstLine="639" w:firstLineChars="213"/>
        <w:rPr>
          <w:rFonts w:ascii="仿宋" w:hAnsi="仿宋" w:eastAsia="仿宋" w:cs="仿宋"/>
          <w:color w:val="auto"/>
          <w:sz w:val="30"/>
          <w:szCs w:val="30"/>
          <w:highlight w:val="none"/>
        </w:rPr>
      </w:pPr>
    </w:p>
    <w:p w14:paraId="566E05E6">
      <w:pPr>
        <w:spacing w:before="120" w:line="22" w:lineRule="atLeast"/>
        <w:ind w:firstLine="639" w:firstLineChars="213"/>
        <w:rPr>
          <w:rFonts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甲方：</w:t>
      </w:r>
      <w:r>
        <w:rPr>
          <w:rFonts w:hint="eastAsia" w:ascii="仿宋" w:hAnsi="仿宋" w:eastAsia="仿宋" w:cs="仿宋"/>
          <w:color w:val="auto"/>
          <w:sz w:val="30"/>
          <w:szCs w:val="30"/>
          <w:highlight w:val="none"/>
          <w:u w:val="single"/>
        </w:rPr>
        <w:t xml:space="preserve">                                       </w:t>
      </w:r>
    </w:p>
    <w:p w14:paraId="55E52278">
      <w:pPr>
        <w:spacing w:before="120" w:line="22" w:lineRule="atLeast"/>
        <w:ind w:firstLine="639" w:firstLineChars="213"/>
        <w:rPr>
          <w:rFonts w:ascii="仿宋" w:hAnsi="仿宋" w:eastAsia="仿宋" w:cs="仿宋"/>
          <w:color w:val="auto"/>
          <w:sz w:val="30"/>
          <w:szCs w:val="30"/>
          <w:highlight w:val="none"/>
        </w:rPr>
      </w:pPr>
    </w:p>
    <w:p w14:paraId="52682E3C">
      <w:pPr>
        <w:spacing w:before="120" w:line="22" w:lineRule="atLeast"/>
        <w:ind w:firstLine="639" w:firstLineChars="213"/>
        <w:rPr>
          <w:rFonts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乙方：</w:t>
      </w:r>
      <w:r>
        <w:rPr>
          <w:rFonts w:hint="eastAsia" w:ascii="仿宋" w:hAnsi="仿宋" w:eastAsia="仿宋" w:cs="仿宋"/>
          <w:color w:val="auto"/>
          <w:sz w:val="30"/>
          <w:szCs w:val="30"/>
          <w:highlight w:val="none"/>
          <w:u w:val="single"/>
        </w:rPr>
        <w:t xml:space="preserve">                                       </w:t>
      </w:r>
    </w:p>
    <w:p w14:paraId="01C28912">
      <w:pPr>
        <w:spacing w:before="120" w:line="22" w:lineRule="atLeast"/>
        <w:ind w:firstLine="639" w:firstLineChars="213"/>
        <w:rPr>
          <w:rFonts w:ascii="仿宋" w:hAnsi="仿宋" w:eastAsia="仿宋" w:cs="仿宋"/>
          <w:color w:val="auto"/>
          <w:sz w:val="30"/>
          <w:szCs w:val="30"/>
          <w:highlight w:val="none"/>
        </w:rPr>
      </w:pPr>
    </w:p>
    <w:p w14:paraId="1F111FC7">
      <w:pPr>
        <w:spacing w:before="120" w:line="22" w:lineRule="atLeast"/>
        <w:ind w:firstLine="639" w:firstLineChars="213"/>
        <w:rPr>
          <w:rFonts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签订地：</w:t>
      </w:r>
      <w:r>
        <w:rPr>
          <w:rFonts w:hint="eastAsia" w:ascii="仿宋" w:hAnsi="仿宋" w:eastAsia="仿宋" w:cs="仿宋"/>
          <w:color w:val="auto"/>
          <w:sz w:val="30"/>
          <w:szCs w:val="30"/>
          <w:highlight w:val="none"/>
          <w:u w:val="single"/>
        </w:rPr>
        <w:t xml:space="preserve">                                     </w:t>
      </w:r>
    </w:p>
    <w:p w14:paraId="6EFCDD86">
      <w:pPr>
        <w:spacing w:before="120" w:line="22" w:lineRule="atLeast"/>
        <w:ind w:firstLine="639" w:firstLineChars="213"/>
        <w:rPr>
          <w:rFonts w:ascii="仿宋" w:hAnsi="仿宋" w:eastAsia="仿宋" w:cs="仿宋"/>
          <w:color w:val="auto"/>
          <w:sz w:val="30"/>
          <w:szCs w:val="30"/>
          <w:highlight w:val="none"/>
        </w:rPr>
      </w:pPr>
    </w:p>
    <w:p w14:paraId="75CB526A">
      <w:pPr>
        <w:spacing w:before="120" w:line="22" w:lineRule="atLeast"/>
        <w:ind w:firstLine="639" w:firstLineChars="213"/>
        <w:rPr>
          <w:rFonts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签订日期：</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日</w:t>
      </w:r>
    </w:p>
    <w:p w14:paraId="1425ACB7">
      <w:pPr>
        <w:widowControl/>
        <w:jc w:val="left"/>
        <w:rPr>
          <w:rFonts w:ascii="宋体" w:hAnsi="宋体" w:cs="宋体"/>
          <w:color w:val="auto"/>
          <w:kern w:val="0"/>
          <w:sz w:val="30"/>
          <w:szCs w:val="30"/>
          <w:highlight w:val="none"/>
        </w:rPr>
      </w:pPr>
    </w:p>
    <w:p w14:paraId="4878ECC7">
      <w:pPr>
        <w:pStyle w:val="2"/>
        <w:rPr>
          <w:color w:val="auto"/>
          <w:sz w:val="30"/>
          <w:szCs w:val="30"/>
          <w:highlight w:val="none"/>
        </w:rPr>
        <w:sectPr>
          <w:pgSz w:w="11907" w:h="16840"/>
          <w:pgMar w:top="1440" w:right="1080" w:bottom="1440" w:left="1080" w:header="851" w:footer="851" w:gutter="0"/>
          <w:cols w:space="720" w:num="1"/>
        </w:sectPr>
      </w:pPr>
    </w:p>
    <w:p w14:paraId="1C6540AD">
      <w:pPr>
        <w:keepNext w:val="0"/>
        <w:keepLines w:val="0"/>
        <w:pageBreakBefore w:val="0"/>
        <w:kinsoku/>
        <w:wordWrap/>
        <w:overflowPunct/>
        <w:topLinePunct w:val="0"/>
        <w:bidi w:val="0"/>
        <w:spacing w:line="480" w:lineRule="auto"/>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szCs w:val="24"/>
          <w:highlight w:val="none"/>
        </w:rPr>
        <w:t>为进一步提升垃圾分类作业水平，</w:t>
      </w:r>
      <w:r>
        <w:rPr>
          <w:rFonts w:hint="eastAsia" w:ascii="宋体" w:hAnsi="宋体" w:eastAsia="宋体" w:cs="宋体"/>
          <w:color w:val="auto"/>
          <w:kern w:val="0"/>
          <w:sz w:val="24"/>
          <w:szCs w:val="24"/>
          <w:highlight w:val="none"/>
          <w:lang w:val="zh-CN"/>
        </w:rPr>
        <w:t>根据《中华人民共和国政府采购法》《中华人民共和国民法典》等相关法律法规，遵循平等、自愿、公平、诚实信用的原则，</w:t>
      </w:r>
      <w:r>
        <w:rPr>
          <w:rFonts w:hint="eastAsia" w:ascii="宋体" w:hAnsi="宋体" w:eastAsia="宋体" w:cs="宋体"/>
          <w:color w:val="auto"/>
          <w:kern w:val="0"/>
          <w:sz w:val="24"/>
          <w:szCs w:val="24"/>
          <w:highlight w:val="none"/>
        </w:rPr>
        <w:t>经甲乙双方平等协商，</w:t>
      </w:r>
      <w:r>
        <w:rPr>
          <w:rFonts w:hint="eastAsia" w:ascii="宋体" w:hAnsi="宋体" w:eastAsia="宋体" w:cs="宋体"/>
          <w:color w:val="auto"/>
          <w:kern w:val="0"/>
          <w:sz w:val="24"/>
          <w:szCs w:val="24"/>
          <w:highlight w:val="none"/>
          <w:lang w:val="zh-CN"/>
        </w:rPr>
        <w:t>就甲方委托乙方对</w:t>
      </w:r>
      <w:r>
        <w:rPr>
          <w:rFonts w:hint="eastAsia" w:cs="宋体"/>
          <w:color w:val="auto"/>
          <w:kern w:val="0"/>
          <w:sz w:val="24"/>
          <w:szCs w:val="24"/>
          <w:highlight w:val="none"/>
          <w:lang w:val="zh-CN"/>
        </w:rPr>
        <w:t>康桥</w:t>
      </w:r>
      <w:r>
        <w:rPr>
          <w:rFonts w:hint="eastAsia" w:ascii="宋体" w:hAnsi="宋体" w:eastAsia="宋体" w:cs="宋体"/>
          <w:color w:val="auto"/>
          <w:kern w:val="0"/>
          <w:sz w:val="24"/>
          <w:szCs w:val="24"/>
          <w:highlight w:val="none"/>
          <w:lang w:val="zh-CN"/>
        </w:rPr>
        <w:t>街道垃圾分类第三方服务项目</w:t>
      </w:r>
      <w:r>
        <w:rPr>
          <w:rFonts w:hint="eastAsia" w:ascii="宋体" w:hAnsi="宋体" w:eastAsia="宋体" w:cs="宋体"/>
          <w:color w:val="auto"/>
          <w:kern w:val="0"/>
          <w:sz w:val="24"/>
          <w:szCs w:val="24"/>
          <w:highlight w:val="none"/>
        </w:rPr>
        <w:t>达成如下条款</w:t>
      </w:r>
      <w:r>
        <w:rPr>
          <w:rFonts w:hint="eastAsia" w:ascii="宋体" w:hAnsi="宋体" w:eastAsia="宋体" w:cs="宋体"/>
          <w:color w:val="auto"/>
          <w:kern w:val="0"/>
          <w:sz w:val="24"/>
          <w:szCs w:val="24"/>
          <w:highlight w:val="none"/>
          <w:lang w:val="zh-CN"/>
        </w:rPr>
        <w:t>。</w:t>
      </w:r>
    </w:p>
    <w:p w14:paraId="06BB44A3">
      <w:pPr>
        <w:keepNext w:val="0"/>
        <w:keepLines w:val="0"/>
        <w:pageBreakBefore w:val="0"/>
        <w:numPr>
          <w:ilvl w:val="0"/>
          <w:numId w:val="0"/>
        </w:numPr>
        <w:kinsoku/>
        <w:wordWrap/>
        <w:overflowPunct/>
        <w:topLinePunct w:val="0"/>
        <w:bidi w:val="0"/>
        <w:spacing w:line="480" w:lineRule="auto"/>
        <w:ind w:left="0" w:leftChars="0" w:firstLine="562" w:firstLineChars="200"/>
        <w:textAlignment w:val="auto"/>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一、</w:t>
      </w:r>
      <w:r>
        <w:rPr>
          <w:rFonts w:hint="eastAsia" w:ascii="宋体" w:hAnsi="宋体" w:eastAsia="宋体" w:cs="宋体"/>
          <w:b/>
          <w:bCs/>
          <w:color w:val="auto"/>
          <w:sz w:val="28"/>
          <w:szCs w:val="28"/>
          <w:highlight w:val="none"/>
        </w:rPr>
        <w:t xml:space="preserve">工作区域 </w:t>
      </w:r>
    </w:p>
    <w:p w14:paraId="761DE769">
      <w:pPr>
        <w:keepNext w:val="0"/>
        <w:keepLines w:val="0"/>
        <w:pageBreakBefore w:val="0"/>
        <w:numPr>
          <w:ilvl w:val="0"/>
          <w:numId w:val="0"/>
        </w:numPr>
        <w:kinsoku/>
        <w:wordWrap/>
        <w:overflowPunct/>
        <w:topLinePunct w:val="0"/>
        <w:bidi w:val="0"/>
        <w:spacing w:line="480" w:lineRule="auto"/>
        <w:ind w:left="0" w:leftChars="0" w:firstLine="480" w:firstLineChars="200"/>
        <w:textAlignment w:val="auto"/>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4"/>
          <w:szCs w:val="24"/>
          <w:highlight w:val="none"/>
          <w:lang w:val="en-US" w:eastAsia="zh-CN"/>
        </w:rPr>
        <w:t>甲方全域范围，社区辖区内所有的居住小区、商业楼宇、党政机关、企事业单位、学校、市场商铺、工地等相关单位企业。</w:t>
      </w:r>
    </w:p>
    <w:p w14:paraId="2470EF2D">
      <w:pPr>
        <w:keepNext w:val="0"/>
        <w:keepLines w:val="0"/>
        <w:pageBreakBefore w:val="0"/>
        <w:kinsoku/>
        <w:wordWrap/>
        <w:overflowPunct/>
        <w:topLinePunct w:val="0"/>
        <w:bidi w:val="0"/>
        <w:spacing w:line="480" w:lineRule="auto"/>
        <w:ind w:left="0" w:leftChars="0" w:firstLine="562" w:firstLineChars="200"/>
        <w:textAlignment w:val="auto"/>
        <w:outlineLvl w:val="1"/>
        <w:rPr>
          <w:rFonts w:hint="eastAsia" w:ascii="宋体" w:hAnsi="宋体" w:eastAsia="宋体" w:cs="宋体"/>
          <w:b/>
          <w:bCs/>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二、</w:t>
      </w:r>
      <w:r>
        <w:rPr>
          <w:rFonts w:hint="eastAsia" w:ascii="宋体" w:hAnsi="宋体" w:eastAsia="宋体" w:cs="宋体"/>
          <w:b/>
          <w:bCs/>
          <w:color w:val="auto"/>
          <w:sz w:val="28"/>
          <w:szCs w:val="28"/>
          <w:highlight w:val="none"/>
          <w:lang w:val="en-US" w:eastAsia="zh-CN"/>
        </w:rPr>
        <w:t>服务期限</w:t>
      </w:r>
    </w:p>
    <w:p w14:paraId="74688C33">
      <w:pPr>
        <w:keepNext w:val="0"/>
        <w:keepLines w:val="0"/>
        <w:pageBreakBefore w:val="0"/>
        <w:kinsoku/>
        <w:wordWrap/>
        <w:overflowPunct/>
        <w:topLinePunct w:val="0"/>
        <w:bidi w:val="0"/>
        <w:spacing w:line="480" w:lineRule="auto"/>
        <w:ind w:left="0" w:leftChars="0" w:firstLine="480"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服务</w:t>
      </w:r>
      <w:r>
        <w:rPr>
          <w:rFonts w:hint="eastAsia" w:ascii="宋体" w:hAnsi="宋体" w:eastAsia="宋体" w:cs="宋体"/>
          <w:b w:val="0"/>
          <w:bCs w:val="0"/>
          <w:color w:val="auto"/>
          <w:sz w:val="24"/>
          <w:szCs w:val="24"/>
          <w:highlight w:val="none"/>
        </w:rPr>
        <w:t>期限：自</w:t>
      </w:r>
      <w:r>
        <w:rPr>
          <w:rFonts w:hint="eastAsia" w:ascii="宋体" w:hAnsi="宋体" w:eastAsia="宋体" w:cs="宋体"/>
          <w:b w:val="0"/>
          <w:bCs w:val="0"/>
          <w:color w:val="auto"/>
          <w:sz w:val="24"/>
          <w:szCs w:val="24"/>
          <w:highlight w:val="none"/>
          <w:u w:val="single"/>
        </w:rPr>
        <w:t>202</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日至</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202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日 。</w:t>
      </w:r>
    </w:p>
    <w:p w14:paraId="3FB10AC3">
      <w:pPr>
        <w:keepNext w:val="0"/>
        <w:keepLines w:val="0"/>
        <w:pageBreakBefore w:val="0"/>
        <w:widowControl w:val="0"/>
        <w:numPr>
          <w:ilvl w:val="0"/>
          <w:numId w:val="0"/>
        </w:numPr>
        <w:kinsoku/>
        <w:wordWrap/>
        <w:overflowPunct/>
        <w:topLinePunct w:val="0"/>
        <w:bidi w:val="0"/>
        <w:adjustRightInd/>
        <w:spacing w:line="480" w:lineRule="auto"/>
        <w:ind w:left="0" w:leftChars="0" w:firstLine="562" w:firstLineChars="200"/>
        <w:jc w:val="both"/>
        <w:textAlignment w:val="auto"/>
        <w:outlineLvl w:val="1"/>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三、服务内容</w:t>
      </w:r>
    </w:p>
    <w:p w14:paraId="4B479F95">
      <w:pPr>
        <w:keepNext w:val="0"/>
        <w:keepLines w:val="0"/>
        <w:pageBreakBefore w:val="0"/>
        <w:widowControl w:val="0"/>
        <w:numPr>
          <w:ilvl w:val="0"/>
          <w:numId w:val="0"/>
        </w:numPr>
        <w:kinsoku/>
        <w:wordWrap/>
        <w:overflowPunct/>
        <w:topLinePunct w:val="0"/>
        <w:autoSpaceDE w:val="0"/>
        <w:autoSpaceDN w:val="0"/>
        <w:bidi w:val="0"/>
        <w:adjustRightInd w:val="0"/>
        <w:spacing w:line="480" w:lineRule="auto"/>
        <w:ind w:left="0" w:leftChars="0" w:firstLine="480" w:firstLineChars="200"/>
        <w:jc w:val="both"/>
        <w:textAlignment w:val="auto"/>
        <w:rPr>
          <w:rFonts w:hint="eastAsia" w:ascii="宋体" w:hAnsi="宋体" w:eastAsia="宋体" w:cs="宋体"/>
          <w:b w:val="0"/>
          <w:bCs/>
          <w:snapToGrid/>
          <w:color w:val="auto"/>
          <w:kern w:val="2"/>
          <w:sz w:val="24"/>
          <w:szCs w:val="24"/>
          <w:highlight w:val="none"/>
          <w:lang w:val="en-US" w:eastAsia="zh-CN" w:bidi="ar-SA"/>
        </w:rPr>
      </w:pPr>
      <w:r>
        <w:rPr>
          <w:rFonts w:hint="eastAsia" w:ascii="宋体" w:hAnsi="宋体" w:eastAsia="宋体" w:cs="宋体"/>
          <w:b w:val="0"/>
          <w:bCs/>
          <w:snapToGrid/>
          <w:color w:val="auto"/>
          <w:kern w:val="2"/>
          <w:sz w:val="24"/>
          <w:szCs w:val="24"/>
          <w:highlight w:val="none"/>
          <w:lang w:val="en-US" w:eastAsia="zh-CN" w:bidi="ar-SA"/>
        </w:rPr>
        <w:t>为切实加强</w:t>
      </w:r>
      <w:r>
        <w:rPr>
          <w:rFonts w:hint="eastAsia" w:cs="宋体"/>
          <w:b w:val="0"/>
          <w:bCs/>
          <w:snapToGrid/>
          <w:color w:val="auto"/>
          <w:kern w:val="2"/>
          <w:sz w:val="24"/>
          <w:szCs w:val="24"/>
          <w:highlight w:val="none"/>
          <w:lang w:val="en-US" w:eastAsia="zh-CN" w:bidi="ar-SA"/>
        </w:rPr>
        <w:t>康桥</w:t>
      </w:r>
      <w:r>
        <w:rPr>
          <w:rFonts w:hint="eastAsia" w:ascii="宋体" w:hAnsi="宋体" w:eastAsia="宋体" w:cs="宋体"/>
          <w:b w:val="0"/>
          <w:bCs/>
          <w:snapToGrid/>
          <w:color w:val="auto"/>
          <w:kern w:val="2"/>
          <w:sz w:val="24"/>
          <w:szCs w:val="24"/>
          <w:highlight w:val="none"/>
          <w:lang w:val="en-US" w:eastAsia="zh-CN" w:bidi="ar-SA"/>
        </w:rPr>
        <w:t>街道垃圾分类日常管理，巩固并深化垃圾分类工作成果，建立长效管理机制，</w:t>
      </w:r>
      <w:r>
        <w:rPr>
          <w:rFonts w:hint="eastAsia" w:cs="宋体"/>
          <w:b w:val="0"/>
          <w:bCs/>
          <w:snapToGrid/>
          <w:color w:val="auto"/>
          <w:kern w:val="2"/>
          <w:sz w:val="24"/>
          <w:szCs w:val="24"/>
          <w:highlight w:val="none"/>
          <w:lang w:val="en-US" w:eastAsia="zh-CN" w:bidi="ar-SA"/>
        </w:rPr>
        <w:t>甲方特此委托</w:t>
      </w:r>
      <w:r>
        <w:rPr>
          <w:rFonts w:hint="eastAsia" w:ascii="宋体" w:hAnsi="宋体" w:eastAsia="宋体" w:cs="宋体"/>
          <w:b w:val="0"/>
          <w:bCs/>
          <w:snapToGrid/>
          <w:color w:val="auto"/>
          <w:kern w:val="2"/>
          <w:sz w:val="24"/>
          <w:szCs w:val="24"/>
          <w:highlight w:val="none"/>
          <w:lang w:val="en-US" w:eastAsia="zh-CN" w:bidi="ar-SA"/>
        </w:rPr>
        <w:t>乙方负责垃圾分类巡检服务,具体服务内容：</w:t>
      </w:r>
    </w:p>
    <w:p w14:paraId="51F287C3">
      <w:pPr>
        <w:keepNext w:val="0"/>
        <w:keepLines w:val="0"/>
        <w:pageBreakBefore w:val="0"/>
        <w:kinsoku/>
        <w:wordWrap/>
        <w:overflowPunct/>
        <w:topLinePunct w:val="0"/>
        <w:bidi w:val="0"/>
        <w:spacing w:line="480" w:lineRule="auto"/>
        <w:ind w:left="0" w:leftChars="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一）按照省、市、区垃圾分类工作标准，做好包含但不限于垃圾分类巡查监管、问题整改长效管理、宣传推广等工作要求，并以社区为基本工作区域，定期开展垃圾分类分析和评估专题会，促进垃圾分类成效提升和巩固，</w:t>
      </w:r>
      <w:r>
        <w:rPr>
          <w:rFonts w:hint="eastAsia" w:ascii="宋体" w:hAnsi="宋体" w:eastAsia="宋体" w:cs="宋体"/>
          <w:color w:val="auto"/>
          <w:sz w:val="24"/>
          <w:szCs w:val="24"/>
          <w:highlight w:val="none"/>
        </w:rPr>
        <w:t>确保</w:t>
      </w:r>
      <w:r>
        <w:rPr>
          <w:rFonts w:hint="eastAsia" w:ascii="宋体" w:hAnsi="宋体" w:eastAsia="宋体" w:cs="宋体"/>
          <w:color w:val="auto"/>
          <w:sz w:val="24"/>
          <w:szCs w:val="24"/>
          <w:highlight w:val="none"/>
          <w:lang w:eastAsia="zh-CN"/>
        </w:rPr>
        <w:t>辖区内</w:t>
      </w:r>
      <w:r>
        <w:rPr>
          <w:rFonts w:hint="eastAsia" w:ascii="宋体" w:hAnsi="宋体" w:eastAsia="宋体" w:cs="宋体"/>
          <w:color w:val="auto"/>
          <w:sz w:val="24"/>
          <w:szCs w:val="24"/>
          <w:highlight w:val="none"/>
        </w:rPr>
        <w:t>垃圾分类的质量标准和作业规范符合《杭州市生活垃圾管理条例》</w:t>
      </w:r>
      <w:r>
        <w:rPr>
          <w:rFonts w:hint="eastAsia" w:ascii="宋体" w:hAnsi="宋体" w:eastAsia="宋体" w:cs="宋体"/>
          <w:color w:val="auto"/>
          <w:sz w:val="24"/>
          <w:szCs w:val="24"/>
          <w:highlight w:val="none"/>
          <w:lang w:eastAsia="zh-CN"/>
        </w:rPr>
        <w:t>及省</w:t>
      </w:r>
      <w:r>
        <w:rPr>
          <w:rFonts w:hint="eastAsia" w:ascii="宋体" w:hAnsi="宋体" w:eastAsia="宋体" w:cs="宋体"/>
          <w:color w:val="auto"/>
          <w:sz w:val="24"/>
          <w:szCs w:val="24"/>
          <w:highlight w:val="none"/>
          <w:lang w:val="en-US" w:eastAsia="zh-CN"/>
        </w:rPr>
        <w:t>级</w:t>
      </w:r>
      <w:r>
        <w:rPr>
          <w:rFonts w:hint="eastAsia" w:ascii="宋体" w:hAnsi="宋体" w:eastAsia="宋体" w:cs="宋体"/>
          <w:color w:val="auto"/>
          <w:sz w:val="24"/>
          <w:szCs w:val="24"/>
          <w:highlight w:val="none"/>
          <w:lang w:eastAsia="zh-CN"/>
        </w:rPr>
        <w:t>要求</w:t>
      </w:r>
      <w:r>
        <w:rPr>
          <w:rFonts w:hint="eastAsia" w:ascii="宋体" w:hAnsi="宋体" w:eastAsia="宋体" w:cs="宋体"/>
          <w:color w:val="auto"/>
          <w:sz w:val="24"/>
          <w:szCs w:val="24"/>
          <w:highlight w:val="none"/>
        </w:rPr>
        <w:t>的各项规定</w:t>
      </w:r>
      <w:r>
        <w:rPr>
          <w:rFonts w:hint="eastAsia" w:ascii="宋体" w:hAnsi="宋体" w:eastAsia="宋体" w:cs="宋体"/>
          <w:color w:val="auto"/>
          <w:sz w:val="24"/>
          <w:szCs w:val="24"/>
          <w:highlight w:val="none"/>
          <w:lang w:eastAsia="zh-CN"/>
        </w:rPr>
        <w:t>；</w:t>
      </w:r>
    </w:p>
    <w:p w14:paraId="26B75A96">
      <w:pPr>
        <w:keepNext w:val="0"/>
        <w:keepLines w:val="0"/>
        <w:pageBreakBefore w:val="0"/>
        <w:widowControl w:val="0"/>
        <w:kinsoku/>
        <w:wordWrap/>
        <w:overflowPunct/>
        <w:topLinePunct w:val="0"/>
        <w:bidi w:val="0"/>
        <w:adjustRightInd w:val="0"/>
        <w:spacing w:line="48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w:t>
      </w:r>
      <w:r>
        <w:rPr>
          <w:rFonts w:hint="eastAsia" w:ascii="宋体" w:hAnsi="宋体" w:eastAsia="宋体" w:cs="宋体"/>
          <w:b w:val="0"/>
          <w:bCs w:val="0"/>
          <w:color w:val="auto"/>
          <w:kern w:val="2"/>
          <w:sz w:val="24"/>
          <w:szCs w:val="24"/>
          <w:highlight w:val="none"/>
          <w:lang w:val="en-US" w:eastAsia="zh-CN" w:bidi="ar-SA"/>
        </w:rPr>
        <w:t>乙方须按照约定派遣垃圾分类专员对服务社区每天做到全覆盖，一周内对所有小区、商业楼宇、党政机关、企事业单位、学校、市场商铺、工地、</w:t>
      </w:r>
      <w:r>
        <w:rPr>
          <w:rFonts w:hint="eastAsia" w:ascii="宋体" w:hAnsi="宋体" w:eastAsia="宋体" w:cs="宋体"/>
          <w:color w:val="auto"/>
          <w:kern w:val="2"/>
          <w:sz w:val="24"/>
          <w:szCs w:val="24"/>
          <w:highlight w:val="none"/>
          <w:lang w:val="en-US" w:eastAsia="zh-CN" w:bidi="ar-SA"/>
        </w:rPr>
        <w:t>沿街店铺</w:t>
      </w:r>
      <w:r>
        <w:rPr>
          <w:rFonts w:hint="eastAsia" w:ascii="宋体" w:hAnsi="宋体" w:eastAsia="宋体" w:cs="宋体"/>
          <w:b w:val="0"/>
          <w:bCs w:val="0"/>
          <w:color w:val="auto"/>
          <w:kern w:val="2"/>
          <w:sz w:val="24"/>
          <w:szCs w:val="24"/>
          <w:highlight w:val="none"/>
          <w:lang w:val="en-US" w:eastAsia="zh-CN" w:bidi="ar-SA"/>
        </w:rPr>
        <w:t>等相关单位企业进行全覆盖垃圾分类督查，巩固加强分类成果；对定投、非定投时间内投放点位进行检查、复查、整改，并相应拍照打分留档；</w:t>
      </w:r>
    </w:p>
    <w:p w14:paraId="1E734374">
      <w:pPr>
        <w:keepNext w:val="0"/>
        <w:keepLines w:val="0"/>
        <w:pageBreakBefore w:val="0"/>
        <w:kinsoku/>
        <w:wordWrap/>
        <w:overflowPunct/>
        <w:topLinePunct w:val="0"/>
        <w:bidi w:val="0"/>
        <w:spacing w:line="48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lang w:val="en-US" w:eastAsia="zh-CN"/>
        </w:rPr>
        <w:t>每月底提交</w:t>
      </w:r>
      <w:r>
        <w:rPr>
          <w:rFonts w:hint="eastAsia" w:cs="宋体"/>
          <w:color w:val="auto"/>
          <w:sz w:val="24"/>
          <w:szCs w:val="24"/>
          <w:highlight w:val="none"/>
          <w:lang w:val="en-US" w:eastAsia="zh-CN"/>
        </w:rPr>
        <w:t>康桥</w:t>
      </w:r>
      <w:r>
        <w:rPr>
          <w:rFonts w:hint="eastAsia" w:ascii="宋体" w:hAnsi="宋体" w:eastAsia="宋体" w:cs="宋体"/>
          <w:color w:val="auto"/>
          <w:sz w:val="24"/>
          <w:szCs w:val="24"/>
          <w:highlight w:val="none"/>
          <w:lang w:val="en-US" w:eastAsia="zh-CN"/>
        </w:rPr>
        <w:t>街道生活垃圾分类</w:t>
      </w:r>
      <w:r>
        <w:rPr>
          <w:rFonts w:hint="eastAsia" w:cs="宋体"/>
          <w:color w:val="auto"/>
          <w:sz w:val="24"/>
          <w:szCs w:val="24"/>
          <w:highlight w:val="none"/>
          <w:lang w:val="en-US" w:eastAsia="zh-CN"/>
        </w:rPr>
        <w:t>本</w:t>
      </w:r>
      <w:r>
        <w:rPr>
          <w:rFonts w:hint="eastAsia" w:ascii="宋体" w:hAnsi="宋体" w:eastAsia="宋体" w:cs="宋体"/>
          <w:color w:val="auto"/>
          <w:sz w:val="24"/>
          <w:szCs w:val="24"/>
          <w:highlight w:val="none"/>
          <w:lang w:val="en-US" w:eastAsia="zh-CN"/>
        </w:rPr>
        <w:t>月份工作情况通报，内容包括考核报告、检查整改情况通报、社区月度排名等。通报内容中要对开展情况形成的意见、相关的经验</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lang w:val="en-US" w:eastAsia="zh-CN"/>
        </w:rPr>
        <w:t>案例进行总结；区分共性问题和个性问题，对于存在的问题进行原因分析；提出下一步测评的改正措施；</w:t>
      </w:r>
    </w:p>
    <w:p w14:paraId="04185876">
      <w:pPr>
        <w:keepNext w:val="0"/>
        <w:keepLines w:val="0"/>
        <w:pageBreakBefore w:val="0"/>
        <w:kinsoku/>
        <w:wordWrap/>
        <w:overflowPunct/>
        <w:topLinePunct w:val="0"/>
        <w:bidi w:val="0"/>
        <w:spacing w:line="480" w:lineRule="auto"/>
        <w:ind w:left="0"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（四）</w:t>
      </w:r>
      <w:r>
        <w:rPr>
          <w:rFonts w:hint="eastAsia" w:ascii="宋体" w:hAnsi="宋体" w:eastAsia="宋体" w:cs="宋体"/>
          <w:b w:val="0"/>
          <w:bCs w:val="0"/>
          <w:color w:val="auto"/>
          <w:sz w:val="24"/>
          <w:szCs w:val="24"/>
          <w:highlight w:val="none"/>
        </w:rPr>
        <w:t>对于上级</w:t>
      </w:r>
      <w:r>
        <w:rPr>
          <w:rFonts w:hint="eastAsia" w:ascii="宋体" w:hAnsi="宋体" w:eastAsia="宋体" w:cs="宋体"/>
          <w:b w:val="0"/>
          <w:bCs w:val="0"/>
          <w:color w:val="auto"/>
          <w:sz w:val="24"/>
          <w:szCs w:val="24"/>
          <w:highlight w:val="none"/>
          <w:lang w:eastAsia="zh-CN"/>
        </w:rPr>
        <w:t>部门日常</w:t>
      </w:r>
      <w:r>
        <w:rPr>
          <w:rFonts w:hint="eastAsia" w:ascii="宋体" w:hAnsi="宋体" w:eastAsia="宋体" w:cs="宋体"/>
          <w:b w:val="0"/>
          <w:bCs w:val="0"/>
          <w:color w:val="auto"/>
          <w:sz w:val="24"/>
          <w:szCs w:val="24"/>
          <w:highlight w:val="none"/>
        </w:rPr>
        <w:t>检查</w:t>
      </w:r>
      <w:r>
        <w:rPr>
          <w:rFonts w:hint="eastAsia" w:ascii="宋体" w:hAnsi="宋体" w:eastAsia="宋体" w:cs="宋体"/>
          <w:b w:val="0"/>
          <w:bCs w:val="0"/>
          <w:color w:val="auto"/>
          <w:sz w:val="24"/>
          <w:szCs w:val="24"/>
          <w:highlight w:val="none"/>
          <w:lang w:eastAsia="zh-CN"/>
        </w:rPr>
        <w:t>或者突击检查</w:t>
      </w:r>
      <w:r>
        <w:rPr>
          <w:rFonts w:hint="eastAsia" w:ascii="宋体" w:hAnsi="宋体" w:eastAsia="宋体" w:cs="宋体"/>
          <w:b w:val="0"/>
          <w:bCs w:val="0"/>
          <w:color w:val="auto"/>
          <w:sz w:val="24"/>
          <w:szCs w:val="24"/>
          <w:highlight w:val="none"/>
        </w:rPr>
        <w:t>工作</w:t>
      </w:r>
      <w:r>
        <w:rPr>
          <w:rFonts w:hint="eastAsia" w:ascii="宋体" w:hAnsi="宋体" w:eastAsia="宋体" w:cs="宋体"/>
          <w:b w:val="0"/>
          <w:bCs w:val="0"/>
          <w:color w:val="auto"/>
          <w:sz w:val="24"/>
          <w:szCs w:val="24"/>
          <w:highlight w:val="none"/>
          <w:lang w:eastAsia="zh-CN"/>
        </w:rPr>
        <w:t>，乙方必须积极应对，</w:t>
      </w:r>
      <w:r>
        <w:rPr>
          <w:rFonts w:hint="eastAsia" w:ascii="宋体" w:hAnsi="宋体" w:eastAsia="宋体" w:cs="宋体"/>
          <w:b w:val="0"/>
          <w:bCs w:val="0"/>
          <w:color w:val="auto"/>
          <w:sz w:val="24"/>
          <w:szCs w:val="24"/>
          <w:highlight w:val="none"/>
        </w:rPr>
        <w:t>做好全方位及</w:t>
      </w:r>
      <w:r>
        <w:rPr>
          <w:rFonts w:hint="eastAsia" w:ascii="宋体" w:hAnsi="宋体" w:eastAsia="宋体" w:cs="宋体"/>
          <w:b w:val="0"/>
          <w:bCs w:val="0"/>
          <w:color w:val="auto"/>
          <w:sz w:val="24"/>
          <w:szCs w:val="24"/>
          <w:highlight w:val="none"/>
          <w:lang w:eastAsia="zh-CN"/>
        </w:rPr>
        <w:t>重点检查区域、重点</w:t>
      </w:r>
      <w:r>
        <w:rPr>
          <w:rFonts w:hint="eastAsia" w:ascii="宋体" w:hAnsi="宋体" w:eastAsia="宋体" w:cs="宋体"/>
          <w:b w:val="0"/>
          <w:bCs w:val="0"/>
          <w:color w:val="auto"/>
          <w:sz w:val="24"/>
          <w:szCs w:val="24"/>
          <w:highlight w:val="none"/>
        </w:rPr>
        <w:t>单位</w:t>
      </w:r>
      <w:r>
        <w:rPr>
          <w:rFonts w:hint="eastAsia" w:ascii="宋体" w:hAnsi="宋体" w:eastAsia="宋体" w:cs="宋体"/>
          <w:b w:val="0"/>
          <w:bCs w:val="0"/>
          <w:color w:val="auto"/>
          <w:sz w:val="24"/>
          <w:szCs w:val="24"/>
          <w:highlight w:val="none"/>
          <w:lang w:eastAsia="zh-CN"/>
        </w:rPr>
        <w:t>的</w:t>
      </w:r>
      <w:r>
        <w:rPr>
          <w:rFonts w:hint="eastAsia" w:ascii="宋体" w:hAnsi="宋体" w:eastAsia="宋体" w:cs="宋体"/>
          <w:b w:val="0"/>
          <w:bCs w:val="0"/>
          <w:color w:val="auto"/>
          <w:sz w:val="24"/>
          <w:szCs w:val="24"/>
          <w:highlight w:val="none"/>
        </w:rPr>
        <w:t>预检，发现问题提前整改到位，确保不失分</w:t>
      </w:r>
      <w:r>
        <w:rPr>
          <w:rFonts w:hint="eastAsia" w:ascii="宋体" w:hAnsi="宋体" w:eastAsia="宋体" w:cs="宋体"/>
          <w:b w:val="0"/>
          <w:bCs w:val="0"/>
          <w:color w:val="auto"/>
          <w:sz w:val="24"/>
          <w:szCs w:val="24"/>
          <w:highlight w:val="none"/>
          <w:lang w:eastAsia="zh-CN"/>
        </w:rPr>
        <w:t>；</w:t>
      </w:r>
    </w:p>
    <w:p w14:paraId="60A706F3">
      <w:pPr>
        <w:keepNext w:val="0"/>
        <w:keepLines w:val="0"/>
        <w:pageBreakBefore w:val="0"/>
        <w:widowControl w:val="0"/>
        <w:kinsoku/>
        <w:wordWrap/>
        <w:overflowPunct/>
        <w:topLinePunct w:val="0"/>
        <w:bidi w:val="0"/>
        <w:adjustRightInd w:val="0"/>
        <w:snapToGrid w:val="0"/>
        <w:spacing w:line="480" w:lineRule="auto"/>
        <w:ind w:left="0" w:lef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（五）</w:t>
      </w:r>
      <w:r>
        <w:rPr>
          <w:rFonts w:hint="eastAsia" w:ascii="宋体" w:hAnsi="宋体" w:eastAsia="宋体" w:cs="宋体"/>
          <w:b w:val="0"/>
          <w:bCs w:val="0"/>
          <w:color w:val="auto"/>
          <w:kern w:val="2"/>
          <w:sz w:val="24"/>
          <w:szCs w:val="24"/>
          <w:highlight w:val="none"/>
          <w:lang w:val="en-US" w:eastAsia="zh-CN" w:bidi="ar-SA"/>
        </w:rPr>
        <w:t>乙方须按照上级考核要求定期开展垃圾分类宣教、入户宣传、主题活动等工作，及时完成上级信息报送及媒体报道；</w:t>
      </w:r>
    </w:p>
    <w:p w14:paraId="4662044E">
      <w:pPr>
        <w:keepNext w:val="0"/>
        <w:keepLines w:val="0"/>
        <w:pageBreakBefore w:val="0"/>
        <w:widowControl w:val="0"/>
        <w:kinsoku/>
        <w:wordWrap/>
        <w:overflowPunct/>
        <w:topLinePunct w:val="0"/>
        <w:bidi w:val="0"/>
        <w:adjustRightInd/>
        <w:spacing w:line="480" w:lineRule="auto"/>
        <w:ind w:left="0" w:leftChars="0" w:firstLine="480" w:firstLineChars="200"/>
        <w:jc w:val="both"/>
        <w:textAlignment w:val="auto"/>
        <w:outlineLvl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（六）配合甲方做好垃圾分类、环境等各级应急保障和突击性任务；</w:t>
      </w:r>
    </w:p>
    <w:p w14:paraId="162B3F9E">
      <w:pPr>
        <w:keepNext w:val="0"/>
        <w:keepLines w:val="0"/>
        <w:pageBreakBefore w:val="0"/>
        <w:widowControl w:val="0"/>
        <w:kinsoku/>
        <w:wordWrap/>
        <w:overflowPunct/>
        <w:topLinePunct w:val="0"/>
        <w:autoSpaceDE w:val="0"/>
        <w:autoSpaceDN w:val="0"/>
        <w:bidi w:val="0"/>
        <w:adjustRightInd w:val="0"/>
        <w:spacing w:line="480" w:lineRule="auto"/>
        <w:ind w:left="0" w:leftChars="0" w:firstLine="480" w:firstLineChars="200"/>
        <w:jc w:val="both"/>
        <w:textAlignment w:val="auto"/>
        <w:rPr>
          <w:rFonts w:hint="eastAsia" w:ascii="宋体" w:hAnsi="宋体" w:eastAsia="宋体" w:cs="宋体"/>
          <w:snapToGrid/>
          <w:color w:val="auto"/>
          <w:kern w:val="2"/>
          <w:sz w:val="24"/>
          <w:szCs w:val="24"/>
          <w:highlight w:val="none"/>
          <w:lang w:val="zh-CN" w:eastAsia="zh-CN" w:bidi="ar-SA"/>
        </w:rPr>
      </w:pPr>
      <w:r>
        <w:rPr>
          <w:rFonts w:hint="eastAsia" w:ascii="宋体" w:hAnsi="宋体" w:eastAsia="宋体" w:cs="宋体"/>
          <w:snapToGrid/>
          <w:color w:val="auto"/>
          <w:kern w:val="2"/>
          <w:sz w:val="24"/>
          <w:szCs w:val="24"/>
          <w:highlight w:val="none"/>
          <w:lang w:val="zh-CN" w:eastAsia="zh-CN" w:bidi="ar-SA"/>
        </w:rPr>
        <w:t>（七）按照市、区、街道工作要求，及时全面做好街道垃圾分类工作台账，切实提高台账质量。</w:t>
      </w:r>
    </w:p>
    <w:p w14:paraId="6C23575D">
      <w:pPr>
        <w:keepNext w:val="0"/>
        <w:keepLines w:val="0"/>
        <w:pageBreakBefore w:val="0"/>
        <w:numPr>
          <w:ilvl w:val="0"/>
          <w:numId w:val="6"/>
        </w:numPr>
        <w:kinsoku/>
        <w:wordWrap/>
        <w:overflowPunct/>
        <w:topLinePunct w:val="0"/>
        <w:bidi w:val="0"/>
        <w:spacing w:line="480" w:lineRule="auto"/>
        <w:ind w:left="0" w:leftChars="0" w:firstLine="562" w:firstLineChars="200"/>
        <w:jc w:val="left"/>
        <w:textAlignment w:val="auto"/>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合同金额</w:t>
      </w:r>
    </w:p>
    <w:p w14:paraId="78E0B427">
      <w:pPr>
        <w:keepNext w:val="0"/>
        <w:keepLines w:val="0"/>
        <w:pageBreakBefore w:val="0"/>
        <w:numPr>
          <w:ilvl w:val="0"/>
          <w:numId w:val="0"/>
        </w:numPr>
        <w:kinsoku/>
        <w:wordWrap/>
        <w:overflowPunct/>
        <w:topLinePunct w:val="0"/>
        <w:bidi w:val="0"/>
        <w:spacing w:line="480" w:lineRule="auto"/>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本合同含税总金额</w:t>
      </w:r>
      <w:r>
        <w:rPr>
          <w:rFonts w:hint="eastAsia" w:ascii="宋体" w:hAnsi="宋体" w:cs="宋体"/>
          <w:b w:val="0"/>
          <w:bCs/>
          <w:color w:val="auto"/>
          <w:sz w:val="24"/>
          <w:szCs w:val="24"/>
          <w:highlight w:val="none"/>
          <w:u w:val="none"/>
          <w:lang w:val="en-US" w:eastAsia="zh-CN"/>
        </w:rPr>
        <w:t>共包含两部分</w:t>
      </w:r>
      <w:r>
        <w:rPr>
          <w:rFonts w:hint="eastAsia" w:cs="宋体"/>
          <w:b w:val="0"/>
          <w:bCs/>
          <w:color w:val="auto"/>
          <w:sz w:val="24"/>
          <w:szCs w:val="24"/>
          <w:highlight w:val="none"/>
          <w:u w:val="none"/>
          <w:lang w:val="en-US" w:eastAsia="zh-CN"/>
        </w:rPr>
        <w:t>（该含税总金额包含</w:t>
      </w:r>
      <w:r>
        <w:rPr>
          <w:rFonts w:hint="eastAsia" w:ascii="宋体" w:hAnsi="宋体" w:eastAsia="宋体" w:cs="宋体"/>
          <w:b w:val="0"/>
          <w:bCs/>
          <w:color w:val="auto"/>
          <w:kern w:val="2"/>
          <w:sz w:val="24"/>
          <w:szCs w:val="24"/>
          <w:highlight w:val="none"/>
          <w:lang w:val="en-US" w:eastAsia="zh-CN" w:bidi="ar-SA"/>
        </w:rPr>
        <w:t>所有今后项目实施过程中所涉及到的一切费用</w:t>
      </w:r>
      <w:r>
        <w:rPr>
          <w:rFonts w:hint="eastAsia" w:cs="宋体"/>
          <w:b w:val="0"/>
          <w:bCs/>
          <w:color w:val="auto"/>
          <w:kern w:val="2"/>
          <w:sz w:val="24"/>
          <w:szCs w:val="24"/>
          <w:highlight w:val="none"/>
          <w:lang w:val="en-US" w:eastAsia="zh-CN" w:bidi="ar-SA"/>
        </w:rPr>
        <w:t>，具体费用明细如下：</w:t>
      </w:r>
    </w:p>
    <w:p w14:paraId="51CB6465">
      <w:pPr>
        <w:pStyle w:val="6"/>
        <w:keepNext w:val="0"/>
        <w:keepLines w:val="0"/>
        <w:pageBreakBefore w:val="0"/>
        <w:kinsoku/>
        <w:wordWrap/>
        <w:overflowPunct/>
        <w:topLinePunct w:val="0"/>
        <w:bidi w:val="0"/>
        <w:spacing w:after="0" w:afterLines="0" w:line="480" w:lineRule="auto"/>
        <w:ind w:left="0" w:leftChars="0" w:firstLine="480" w:firstLineChars="200"/>
        <w:textAlignment w:val="auto"/>
        <w:rPr>
          <w:rFonts w:hint="eastAsia" w:cs="宋体"/>
          <w:b w:val="0"/>
          <w:bCs/>
          <w:snapToGrid/>
          <w:color w:val="auto"/>
          <w:kern w:val="2"/>
          <w:sz w:val="24"/>
          <w:szCs w:val="24"/>
          <w:highlight w:val="none"/>
          <w:lang w:val="en-US" w:eastAsia="zh-CN" w:bidi="ar-SA"/>
        </w:rPr>
      </w:pPr>
      <w:r>
        <w:rPr>
          <w:rFonts w:hint="eastAsia" w:cs="宋体"/>
          <w:b w:val="0"/>
          <w:bCs/>
          <w:snapToGrid/>
          <w:color w:val="auto"/>
          <w:kern w:val="2"/>
          <w:sz w:val="24"/>
          <w:szCs w:val="24"/>
          <w:highlight w:val="none"/>
          <w:lang w:val="en-US" w:eastAsia="zh-CN" w:bidi="ar-SA"/>
        </w:rPr>
        <w:t>（一）基础服务费</w:t>
      </w:r>
    </w:p>
    <w:p w14:paraId="67E895DD">
      <w:pPr>
        <w:pStyle w:val="6"/>
        <w:keepNext w:val="0"/>
        <w:keepLines w:val="0"/>
        <w:pageBreakBefore w:val="0"/>
        <w:kinsoku/>
        <w:wordWrap/>
        <w:overflowPunct/>
        <w:topLinePunct w:val="0"/>
        <w:bidi w:val="0"/>
        <w:spacing w:after="0" w:afterLines="0" w:line="480" w:lineRule="auto"/>
        <w:ind w:left="0" w:leftChars="0" w:firstLine="480" w:firstLineChars="200"/>
        <w:textAlignment w:val="auto"/>
        <w:rPr>
          <w:rFonts w:hint="default" w:ascii="宋体" w:hAnsi="宋体" w:eastAsia="宋体" w:cs="宋体"/>
          <w:b w:val="0"/>
          <w:bCs/>
          <w:snapToGrid/>
          <w:color w:val="auto"/>
          <w:kern w:val="2"/>
          <w:sz w:val="24"/>
          <w:szCs w:val="24"/>
          <w:highlight w:val="none"/>
          <w:u w:val="single"/>
          <w:lang w:val="en-US" w:eastAsia="zh-CN" w:bidi="ar-SA"/>
        </w:rPr>
      </w:pPr>
      <w:r>
        <w:rPr>
          <w:rFonts w:hint="eastAsia" w:ascii="宋体" w:hAnsi="宋体" w:eastAsia="宋体" w:cs="宋体"/>
          <w:b w:val="0"/>
          <w:bCs/>
          <w:snapToGrid/>
          <w:color w:val="auto"/>
          <w:kern w:val="2"/>
          <w:sz w:val="24"/>
          <w:szCs w:val="24"/>
          <w:highlight w:val="none"/>
          <w:lang w:val="en-US" w:eastAsia="zh-CN" w:bidi="ar-SA"/>
        </w:rPr>
        <w:t>本合同基础服务费为</w:t>
      </w:r>
      <w:r>
        <w:rPr>
          <w:rFonts w:hint="eastAsia" w:ascii="宋体" w:hAnsi="宋体" w:eastAsia="宋体" w:cs="宋体"/>
          <w:b w:val="0"/>
          <w:bCs/>
          <w:snapToGrid/>
          <w:color w:val="auto"/>
          <w:kern w:val="2"/>
          <w:sz w:val="24"/>
          <w:szCs w:val="24"/>
          <w:highlight w:val="none"/>
          <w:u w:val="none"/>
          <w:lang w:val="en-US" w:eastAsia="zh-CN" w:bidi="ar-SA"/>
        </w:rPr>
        <w:t>：</w:t>
      </w:r>
      <w:r>
        <w:rPr>
          <w:rFonts w:hint="eastAsia"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single"/>
          <w:lang w:val="en-US" w:eastAsia="zh-CN"/>
        </w:rPr>
        <w:t>万元</w:t>
      </w:r>
      <w:r>
        <w:rPr>
          <w:rFonts w:hint="eastAsia" w:cs="宋体"/>
          <w:b w:val="0"/>
          <w:bCs/>
          <w:color w:val="auto"/>
          <w:sz w:val="24"/>
          <w:szCs w:val="24"/>
          <w:highlight w:val="none"/>
          <w:u w:val="single"/>
          <w:lang w:val="en-US" w:eastAsia="zh-CN"/>
        </w:rPr>
        <w:t>（大写：     元整)</w:t>
      </w:r>
    </w:p>
    <w:p w14:paraId="61919DE9">
      <w:pPr>
        <w:pStyle w:val="6"/>
        <w:keepNext w:val="0"/>
        <w:keepLines w:val="0"/>
        <w:pageBreakBefore w:val="0"/>
        <w:kinsoku/>
        <w:wordWrap/>
        <w:overflowPunct/>
        <w:topLinePunct w:val="0"/>
        <w:bidi w:val="0"/>
        <w:spacing w:after="0" w:afterLines="0" w:line="480" w:lineRule="auto"/>
        <w:ind w:left="0" w:leftChars="0" w:firstLine="480" w:firstLineChars="200"/>
        <w:textAlignment w:val="auto"/>
        <w:outlineLvl w:val="9"/>
        <w:rPr>
          <w:rFonts w:hint="default" w:cs="宋体"/>
          <w:b w:val="0"/>
          <w:bCs/>
          <w:snapToGrid/>
          <w:color w:val="auto"/>
          <w:kern w:val="2"/>
          <w:sz w:val="24"/>
          <w:szCs w:val="24"/>
          <w:highlight w:val="none"/>
          <w:lang w:val="en-US" w:eastAsia="zh-CN" w:bidi="ar-SA"/>
        </w:rPr>
      </w:pPr>
      <w:r>
        <w:rPr>
          <w:rFonts w:hint="eastAsia" w:cs="宋体"/>
          <w:b w:val="0"/>
          <w:bCs/>
          <w:snapToGrid/>
          <w:color w:val="auto"/>
          <w:kern w:val="2"/>
          <w:sz w:val="24"/>
          <w:szCs w:val="24"/>
          <w:highlight w:val="none"/>
          <w:lang w:val="en-US" w:eastAsia="zh-CN" w:bidi="ar-SA"/>
        </w:rPr>
        <w:t>（二）考核奖励费</w:t>
      </w:r>
    </w:p>
    <w:p w14:paraId="340AFBEB">
      <w:pPr>
        <w:pStyle w:val="6"/>
        <w:keepNext w:val="0"/>
        <w:keepLines w:val="0"/>
        <w:pageBreakBefore w:val="0"/>
        <w:kinsoku/>
        <w:wordWrap/>
        <w:overflowPunct/>
        <w:topLinePunct w:val="0"/>
        <w:bidi w:val="0"/>
        <w:spacing w:after="0" w:afterLines="0" w:line="480" w:lineRule="auto"/>
        <w:ind w:left="0" w:leftChars="0" w:firstLine="480" w:firstLineChars="200"/>
        <w:textAlignment w:val="auto"/>
        <w:outlineLvl w:val="9"/>
        <w:rPr>
          <w:rFonts w:hint="eastAsia" w:hAnsi="宋体" w:cs="宋体"/>
          <w:b w:val="0"/>
          <w:bCs/>
          <w:snapToGrid/>
          <w:color w:val="auto"/>
          <w:kern w:val="2"/>
          <w:sz w:val="24"/>
          <w:szCs w:val="24"/>
          <w:highlight w:val="none"/>
          <w:u w:val="single"/>
          <w:lang w:val="en-US" w:eastAsia="zh-CN" w:bidi="ar-SA"/>
        </w:rPr>
      </w:pPr>
      <w:r>
        <w:rPr>
          <w:rFonts w:hint="eastAsia" w:ascii="宋体" w:hAnsi="宋体" w:eastAsia="宋体" w:cs="宋体"/>
          <w:b w:val="0"/>
          <w:bCs/>
          <w:snapToGrid/>
          <w:color w:val="auto"/>
          <w:kern w:val="2"/>
          <w:sz w:val="24"/>
          <w:szCs w:val="24"/>
          <w:highlight w:val="none"/>
          <w:lang w:val="en-US" w:eastAsia="zh-CN" w:bidi="ar-SA"/>
        </w:rPr>
        <w:t>本合同考核奖励费</w:t>
      </w:r>
      <w:r>
        <w:rPr>
          <w:rFonts w:hint="eastAsia" w:hAnsi="宋体" w:cs="宋体"/>
          <w:b w:val="0"/>
          <w:bCs/>
          <w:snapToGrid/>
          <w:color w:val="auto"/>
          <w:kern w:val="2"/>
          <w:sz w:val="24"/>
          <w:szCs w:val="24"/>
          <w:highlight w:val="none"/>
          <w:lang w:val="en-US" w:eastAsia="zh-CN" w:bidi="ar-SA"/>
        </w:rPr>
        <w:t>共25万元整，具体分为月度考核奖金及年度考核奖金。其中月度考核</w:t>
      </w:r>
      <w:r>
        <w:rPr>
          <w:rFonts w:hint="eastAsia" w:cs="宋体"/>
          <w:b w:val="0"/>
          <w:bCs/>
          <w:snapToGrid/>
          <w:color w:val="auto"/>
          <w:kern w:val="2"/>
          <w:sz w:val="24"/>
          <w:szCs w:val="24"/>
          <w:highlight w:val="none"/>
          <w:u w:val="none"/>
          <w:lang w:val="en-US" w:eastAsia="zh-CN" w:bidi="ar-SA"/>
        </w:rPr>
        <w:t>奖金</w:t>
      </w:r>
      <w:r>
        <w:rPr>
          <w:rFonts w:hint="eastAsia" w:hAnsi="宋体" w:cs="宋体"/>
          <w:b w:val="0"/>
          <w:bCs/>
          <w:snapToGrid/>
          <w:color w:val="auto"/>
          <w:kern w:val="2"/>
          <w:sz w:val="24"/>
          <w:szCs w:val="24"/>
          <w:highlight w:val="none"/>
          <w:u w:val="single"/>
          <w:lang w:val="en-US" w:eastAsia="zh-CN" w:bidi="ar-SA"/>
        </w:rPr>
        <w:t>15</w:t>
      </w:r>
      <w:r>
        <w:rPr>
          <w:rFonts w:hint="eastAsia" w:ascii="宋体" w:hAnsi="宋体" w:eastAsia="宋体" w:cs="宋体"/>
          <w:b w:val="0"/>
          <w:bCs/>
          <w:color w:val="auto"/>
          <w:sz w:val="24"/>
          <w:szCs w:val="24"/>
          <w:highlight w:val="none"/>
          <w:u w:val="single"/>
          <w:lang w:val="en-US" w:eastAsia="zh-CN"/>
        </w:rPr>
        <w:t>万元</w:t>
      </w:r>
      <w:r>
        <w:rPr>
          <w:rFonts w:hint="eastAsia" w:cs="宋体"/>
          <w:b w:val="0"/>
          <w:bCs/>
          <w:color w:val="auto"/>
          <w:sz w:val="24"/>
          <w:szCs w:val="24"/>
          <w:highlight w:val="none"/>
          <w:u w:val="single"/>
          <w:lang w:val="en-US" w:eastAsia="zh-CN"/>
        </w:rPr>
        <w:t>（大写：拾伍万元整)</w:t>
      </w:r>
      <w:r>
        <w:rPr>
          <w:rFonts w:hint="eastAsia" w:cs="宋体"/>
          <w:b w:val="0"/>
          <w:bCs/>
          <w:snapToGrid/>
          <w:color w:val="auto"/>
          <w:kern w:val="2"/>
          <w:sz w:val="24"/>
          <w:szCs w:val="24"/>
          <w:highlight w:val="none"/>
          <w:u w:val="single"/>
          <w:lang w:val="en-US" w:eastAsia="zh-CN" w:bidi="ar-SA"/>
        </w:rPr>
        <w:t>；年度考核奖金</w:t>
      </w:r>
      <w:r>
        <w:rPr>
          <w:rFonts w:hint="eastAsia" w:hAnsi="宋体" w:cs="宋体"/>
          <w:b w:val="0"/>
          <w:bCs/>
          <w:snapToGrid/>
          <w:color w:val="auto"/>
          <w:kern w:val="2"/>
          <w:sz w:val="24"/>
          <w:szCs w:val="24"/>
          <w:highlight w:val="none"/>
          <w:u w:val="single"/>
          <w:lang w:val="en-US" w:eastAsia="zh-CN" w:bidi="ar-SA"/>
        </w:rPr>
        <w:t>10</w:t>
      </w:r>
      <w:r>
        <w:rPr>
          <w:rFonts w:hint="eastAsia" w:ascii="宋体" w:hAnsi="宋体" w:eastAsia="宋体" w:cs="宋体"/>
          <w:b w:val="0"/>
          <w:bCs/>
          <w:color w:val="auto"/>
          <w:sz w:val="24"/>
          <w:szCs w:val="24"/>
          <w:highlight w:val="none"/>
          <w:u w:val="single"/>
          <w:lang w:val="en-US" w:eastAsia="zh-CN"/>
        </w:rPr>
        <w:t>万元</w:t>
      </w:r>
      <w:r>
        <w:rPr>
          <w:rFonts w:hint="eastAsia" w:cs="宋体"/>
          <w:b w:val="0"/>
          <w:bCs/>
          <w:color w:val="auto"/>
          <w:sz w:val="24"/>
          <w:szCs w:val="24"/>
          <w:highlight w:val="none"/>
          <w:u w:val="single"/>
          <w:lang w:val="en-US" w:eastAsia="zh-CN"/>
        </w:rPr>
        <w:t>（大写：拾万元整)</w:t>
      </w:r>
      <w:r>
        <w:rPr>
          <w:rFonts w:hint="eastAsia" w:cs="宋体"/>
          <w:b w:val="0"/>
          <w:bCs/>
          <w:snapToGrid/>
          <w:color w:val="auto"/>
          <w:kern w:val="2"/>
          <w:sz w:val="24"/>
          <w:szCs w:val="24"/>
          <w:highlight w:val="none"/>
          <w:u w:val="single"/>
          <w:lang w:val="en-US" w:eastAsia="zh-CN" w:bidi="ar-SA"/>
        </w:rPr>
        <w:t>。乙方最终能够拿到的月度考核奖金及年度考核奖金金额以考核结果为准，</w:t>
      </w:r>
      <w:r>
        <w:rPr>
          <w:rFonts w:hint="eastAsia" w:ascii="宋体" w:hAnsi="宋体" w:eastAsia="宋体" w:cs="宋体"/>
          <w:b w:val="0"/>
          <w:bCs/>
          <w:snapToGrid/>
          <w:color w:val="auto"/>
          <w:kern w:val="2"/>
          <w:sz w:val="24"/>
          <w:szCs w:val="24"/>
          <w:highlight w:val="none"/>
          <w:u w:val="single"/>
          <w:lang w:val="en-US" w:eastAsia="zh-CN" w:bidi="ar-SA"/>
        </w:rPr>
        <w:t>具体考核</w:t>
      </w:r>
      <w:r>
        <w:rPr>
          <w:rFonts w:hint="eastAsia" w:hAnsi="宋体" w:cs="宋体"/>
          <w:b w:val="0"/>
          <w:bCs/>
          <w:snapToGrid/>
          <w:color w:val="auto"/>
          <w:kern w:val="2"/>
          <w:sz w:val="24"/>
          <w:szCs w:val="24"/>
          <w:highlight w:val="none"/>
          <w:u w:val="single"/>
          <w:lang w:val="en-US" w:eastAsia="zh-CN" w:bidi="ar-SA"/>
        </w:rPr>
        <w:t>方式如下：</w:t>
      </w:r>
    </w:p>
    <w:p w14:paraId="34D948FE">
      <w:pPr>
        <w:pStyle w:val="6"/>
        <w:keepNext w:val="0"/>
        <w:keepLines w:val="0"/>
        <w:pageBreakBefore w:val="0"/>
        <w:kinsoku/>
        <w:wordWrap/>
        <w:overflowPunct/>
        <w:topLinePunct w:val="0"/>
        <w:bidi w:val="0"/>
        <w:spacing w:after="0" w:afterLines="0" w:line="480" w:lineRule="auto"/>
        <w:ind w:left="0" w:leftChars="0" w:firstLine="480" w:firstLineChars="200"/>
        <w:textAlignment w:val="auto"/>
        <w:outlineLvl w:val="9"/>
        <w:rPr>
          <w:rFonts w:hint="eastAsia" w:hAnsi="宋体" w:cs="宋体"/>
          <w:bCs/>
          <w:snapToGrid/>
          <w:color w:val="auto"/>
          <w:szCs w:val="24"/>
          <w:highlight w:val="none"/>
          <w:u w:val="single"/>
          <w:lang w:val="en-US"/>
        </w:rPr>
      </w:pPr>
      <w:r>
        <w:rPr>
          <w:rFonts w:hint="eastAsia" w:hAnsi="宋体" w:cs="宋体"/>
          <w:bCs/>
          <w:snapToGrid/>
          <w:color w:val="auto"/>
          <w:szCs w:val="24"/>
          <w:highlight w:val="none"/>
          <w:u w:val="single"/>
          <w:lang w:val="en-US"/>
        </w:rPr>
        <w:t>甲方根据市、区垃圾分类工作过程性考核指标进行考核，奖励费用与考核结果挂钩。</w:t>
      </w:r>
    </w:p>
    <w:p w14:paraId="06EF8D82">
      <w:pPr>
        <w:pStyle w:val="6"/>
        <w:keepNext w:val="0"/>
        <w:keepLines w:val="0"/>
        <w:pageBreakBefore w:val="0"/>
        <w:kinsoku/>
        <w:wordWrap/>
        <w:overflowPunct/>
        <w:topLinePunct w:val="0"/>
        <w:bidi w:val="0"/>
        <w:spacing w:after="0" w:afterLines="0" w:line="480" w:lineRule="auto"/>
        <w:ind w:left="0" w:leftChars="0" w:firstLine="480" w:firstLineChars="200"/>
        <w:textAlignment w:val="auto"/>
        <w:outlineLvl w:val="9"/>
        <w:rPr>
          <w:rFonts w:hint="eastAsia" w:hAnsi="宋体" w:cs="宋体"/>
          <w:bCs/>
          <w:snapToGrid/>
          <w:color w:val="auto"/>
          <w:szCs w:val="24"/>
          <w:highlight w:val="none"/>
          <w:u w:val="single"/>
          <w:lang w:val="en-US"/>
        </w:rPr>
      </w:pPr>
      <w:r>
        <w:rPr>
          <w:rFonts w:hint="eastAsia" w:hAnsi="宋体" w:cs="宋体"/>
          <w:bCs/>
          <w:snapToGrid/>
          <w:color w:val="auto"/>
          <w:szCs w:val="24"/>
          <w:highlight w:val="none"/>
          <w:u w:val="single"/>
          <w:lang w:val="en-US"/>
        </w:rPr>
        <w:t>15万元月度考核奖金</w:t>
      </w:r>
      <w:r>
        <w:rPr>
          <w:rFonts w:hint="eastAsia" w:hAnsi="宋体" w:cs="宋体"/>
          <w:bCs/>
          <w:snapToGrid/>
          <w:color w:val="auto"/>
          <w:szCs w:val="24"/>
          <w:highlight w:val="none"/>
          <w:u w:val="single"/>
          <w:lang w:val="en-US" w:eastAsia="zh-CN"/>
        </w:rPr>
        <w:t>考核方式</w:t>
      </w:r>
      <w:r>
        <w:rPr>
          <w:rFonts w:hint="eastAsia" w:hAnsi="宋体" w:cs="宋体"/>
          <w:bCs/>
          <w:snapToGrid/>
          <w:color w:val="auto"/>
          <w:szCs w:val="24"/>
          <w:highlight w:val="none"/>
          <w:u w:val="single"/>
          <w:lang w:val="en-US"/>
        </w:rPr>
        <w:t>：若市级月排名在第60名及以后或被列入黑榜，则扣减2万元/月；若区级月排名在第16—18名，则扣减2万元/月；区级月排名在第13—15名，则扣减1万元/月。月度考核奖金直至扣完15万元为止。</w:t>
      </w:r>
    </w:p>
    <w:p w14:paraId="5E28F02C">
      <w:pPr>
        <w:pStyle w:val="6"/>
        <w:spacing w:afterLines="0" w:line="480" w:lineRule="auto"/>
        <w:ind w:firstLine="480" w:firstLineChars="200"/>
        <w:outlineLvl w:val="9"/>
        <w:rPr>
          <w:rFonts w:hint="default"/>
          <w:color w:val="auto"/>
          <w:highlight w:val="none"/>
          <w:lang w:val="en-US" w:eastAsia="zh-CN"/>
        </w:rPr>
      </w:pPr>
      <w:r>
        <w:rPr>
          <w:rFonts w:hint="eastAsia" w:hAnsi="宋体" w:cs="宋体"/>
          <w:bCs/>
          <w:snapToGrid/>
          <w:color w:val="auto"/>
          <w:szCs w:val="24"/>
          <w:highlight w:val="none"/>
          <w:u w:val="single"/>
          <w:lang w:val="en-US"/>
        </w:rPr>
        <w:t>10万元年度考核奖金</w:t>
      </w:r>
      <w:r>
        <w:rPr>
          <w:rFonts w:hint="eastAsia" w:hAnsi="宋体" w:cs="宋体"/>
          <w:bCs/>
          <w:snapToGrid/>
          <w:color w:val="auto"/>
          <w:szCs w:val="24"/>
          <w:highlight w:val="none"/>
          <w:u w:val="single"/>
          <w:lang w:val="en-US" w:eastAsia="zh-CN"/>
        </w:rPr>
        <w:t>考核方式</w:t>
      </w:r>
      <w:r>
        <w:rPr>
          <w:rFonts w:hint="eastAsia" w:hAnsi="宋体" w:cs="宋体"/>
          <w:bCs/>
          <w:snapToGrid/>
          <w:color w:val="auto"/>
          <w:szCs w:val="24"/>
          <w:highlight w:val="none"/>
          <w:u w:val="single"/>
          <w:lang w:val="en-US"/>
        </w:rPr>
        <w:t>：若市级</w:t>
      </w:r>
      <w:r>
        <w:rPr>
          <w:rFonts w:hint="eastAsia" w:hAnsi="宋体" w:cs="宋体"/>
          <w:bCs/>
          <w:snapToGrid/>
          <w:color w:val="auto"/>
          <w:szCs w:val="24"/>
          <w:highlight w:val="none"/>
          <w:u w:val="single"/>
          <w:lang w:val="en-US" w:eastAsia="zh-CN"/>
        </w:rPr>
        <w:t>年度</w:t>
      </w:r>
      <w:r>
        <w:rPr>
          <w:rFonts w:hint="eastAsia" w:hAnsi="宋体" w:cs="宋体"/>
          <w:bCs/>
          <w:snapToGrid/>
          <w:color w:val="auto"/>
          <w:szCs w:val="24"/>
          <w:highlight w:val="none"/>
          <w:u w:val="single"/>
          <w:lang w:val="en-US"/>
        </w:rPr>
        <w:t>考核被列入红榜的，则奖励2万元；若区级年度综合排名在前3名，则奖励10万；区级年度综合排名在第4名及以后各名次，则依次递减1万元。区级年度综合排名在第4名以后又被市级列入红榜的，先按照名次对应的递减奖励金额确定基础奖励，再加上红榜奖励2万元，若基础奖励因名次递减已无金额，仅发放红榜奖励2万。年度考核奖金最高不超过10万元，最低至扣完10万元为止。</w:t>
      </w:r>
    </w:p>
    <w:p w14:paraId="4C3E523B">
      <w:pPr>
        <w:keepNext w:val="0"/>
        <w:keepLines w:val="0"/>
        <w:pageBreakBefore w:val="0"/>
        <w:widowControl w:val="0"/>
        <w:numPr>
          <w:ilvl w:val="0"/>
          <w:numId w:val="6"/>
        </w:numPr>
        <w:kinsoku/>
        <w:wordWrap/>
        <w:overflowPunct/>
        <w:topLinePunct w:val="0"/>
        <w:bidi w:val="0"/>
        <w:adjustRightInd w:val="0"/>
        <w:spacing w:line="480" w:lineRule="auto"/>
        <w:ind w:left="0" w:leftChars="0" w:firstLine="562" w:firstLineChars="200"/>
        <w:jc w:val="both"/>
        <w:textAlignment w:val="auto"/>
        <w:outlineLvl w:val="1"/>
        <w:rPr>
          <w:rFonts w:hint="eastAsia" w:ascii="宋体" w:hAnsi="宋体" w:eastAsia="宋体" w:cs="宋体"/>
          <w:b/>
          <w:bCs w:val="0"/>
          <w:color w:val="auto"/>
          <w:kern w:val="2"/>
          <w:sz w:val="28"/>
          <w:szCs w:val="28"/>
          <w:highlight w:val="none"/>
          <w:lang w:val="en-US" w:eastAsia="zh-CN" w:bidi="ar-SA"/>
        </w:rPr>
      </w:pPr>
      <w:r>
        <w:rPr>
          <w:rFonts w:hint="eastAsia" w:ascii="宋体" w:hAnsi="宋体" w:eastAsia="宋体" w:cs="宋体"/>
          <w:b/>
          <w:bCs w:val="0"/>
          <w:color w:val="auto"/>
          <w:kern w:val="2"/>
          <w:sz w:val="28"/>
          <w:szCs w:val="28"/>
          <w:highlight w:val="none"/>
          <w:lang w:val="en-US" w:eastAsia="zh-CN" w:bidi="ar-SA"/>
        </w:rPr>
        <w:t>合同要求</w:t>
      </w:r>
    </w:p>
    <w:p w14:paraId="5CD13A78">
      <w:pPr>
        <w:keepNext w:val="0"/>
        <w:keepLines w:val="0"/>
        <w:pageBreakBefore w:val="0"/>
        <w:kinsoku/>
        <w:wordWrap/>
        <w:overflowPunct/>
        <w:topLinePunct w:val="0"/>
        <w:bidi w:val="0"/>
        <w:spacing w:line="480" w:lineRule="auto"/>
        <w:ind w:left="0" w:leftChars="0" w:firstLine="480" w:firstLineChars="200"/>
        <w:textAlignment w:val="auto"/>
        <w:outlineLvl w:val="2"/>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（一）人员及设备配置</w:t>
      </w:r>
    </w:p>
    <w:p w14:paraId="07584677">
      <w:pPr>
        <w:keepNext w:val="0"/>
        <w:keepLines w:val="0"/>
        <w:pageBreakBefore w:val="0"/>
        <w:kinsoku/>
        <w:wordWrap/>
        <w:overflowPunct/>
        <w:topLinePunct w:val="0"/>
        <w:bidi w:val="0"/>
        <w:spacing w:line="480" w:lineRule="auto"/>
        <w:ind w:left="0" w:leftChars="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本项目服务人员不少于</w:t>
      </w:r>
      <w:r>
        <w:rPr>
          <w:rFonts w:hint="eastAsia"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人，其中组员（含巡查、督促整改等）</w:t>
      </w:r>
      <w:r>
        <w:rPr>
          <w:rFonts w:hint="eastAsia"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en-US" w:eastAsia="zh-CN"/>
        </w:rPr>
        <w:t>人，材料统计员（信息报送、材料编写、专题分析等）1人,项目经理（统筹管理、沟通畅达）1人，并</w:t>
      </w:r>
      <w:r>
        <w:rPr>
          <w:rFonts w:hint="eastAsia" w:cs="宋体"/>
          <w:b w:val="0"/>
          <w:bCs/>
          <w:color w:val="auto"/>
          <w:sz w:val="24"/>
          <w:szCs w:val="24"/>
          <w:highlight w:val="none"/>
          <w:lang w:val="en-US" w:eastAsia="zh-CN"/>
        </w:rPr>
        <w:t>由乙方</w:t>
      </w:r>
      <w:r>
        <w:rPr>
          <w:rFonts w:hint="eastAsia" w:ascii="宋体" w:hAnsi="宋体" w:eastAsia="宋体" w:cs="宋体"/>
          <w:b w:val="0"/>
          <w:bCs/>
          <w:color w:val="auto"/>
          <w:sz w:val="24"/>
          <w:szCs w:val="24"/>
          <w:highlight w:val="none"/>
          <w:lang w:val="en-US" w:eastAsia="zh-CN"/>
        </w:rPr>
        <w:t>配备工作所需的交通工具、信息采集设备。工作人员年龄男性不得大于50周岁，女性不得大于45周岁，且身体健康，无不良嗜好。工作人员需具备相关垃圾分类工作经验，并提供相关工作经验证明材料。</w:t>
      </w:r>
    </w:p>
    <w:p w14:paraId="712FFEFA">
      <w:pPr>
        <w:keepNext w:val="0"/>
        <w:keepLines w:val="0"/>
        <w:pageBreakBefore w:val="0"/>
        <w:kinsoku/>
        <w:wordWrap/>
        <w:overflowPunct/>
        <w:topLinePunct w:val="0"/>
        <w:bidi w:val="0"/>
        <w:spacing w:line="480" w:lineRule="auto"/>
        <w:ind w:left="0" w:leftChars="0" w:firstLine="480" w:firstLineChars="200"/>
        <w:textAlignment w:val="auto"/>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本合同签订时，乙方应当向甲方提供本项目服务人员信息，乙方更换服务人员的，应当提前三个工作日书面征求甲方同意。</w:t>
      </w:r>
    </w:p>
    <w:p w14:paraId="2231DAA6">
      <w:pPr>
        <w:keepNext w:val="0"/>
        <w:keepLines w:val="0"/>
        <w:pageBreakBefore w:val="0"/>
        <w:kinsoku/>
        <w:wordWrap/>
        <w:overflowPunct/>
        <w:topLinePunct w:val="0"/>
        <w:bidi w:val="0"/>
        <w:spacing w:line="480" w:lineRule="auto"/>
        <w:ind w:left="0" w:leftChars="0" w:firstLine="480" w:firstLineChars="200"/>
        <w:textAlignment w:val="auto"/>
        <w:outlineLvl w:val="2"/>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（二）工作开展需求</w:t>
      </w:r>
    </w:p>
    <w:p w14:paraId="4892CDD5">
      <w:pPr>
        <w:keepNext w:val="0"/>
        <w:keepLines w:val="0"/>
        <w:pageBreakBefore w:val="0"/>
        <w:kinsoku/>
        <w:wordWrap/>
        <w:overflowPunct/>
        <w:topLinePunct w:val="0"/>
        <w:bidi w:val="0"/>
        <w:spacing w:line="480" w:lineRule="auto"/>
        <w:ind w:left="0" w:leftChars="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1、制定完备的项目启动实施方案，包含项目组人员组建方案、在要求的时限内完成采集人员组建及岗前培训等内容；</w:t>
      </w:r>
    </w:p>
    <w:p w14:paraId="7AB15E43">
      <w:pPr>
        <w:keepNext w:val="0"/>
        <w:keepLines w:val="0"/>
        <w:pageBreakBefore w:val="0"/>
        <w:kinsoku/>
        <w:wordWrap/>
        <w:overflowPunct/>
        <w:topLinePunct w:val="0"/>
        <w:bidi w:val="0"/>
        <w:spacing w:line="480" w:lineRule="auto"/>
        <w:ind w:left="0" w:leftChars="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2、制定保证相关信息数据全面、及时、准确采集的措施，确保如实反应</w:t>
      </w:r>
      <w:r>
        <w:rPr>
          <w:rFonts w:hint="eastAsia" w:cs="宋体"/>
          <w:b w:val="0"/>
          <w:bCs/>
          <w:color w:val="auto"/>
          <w:sz w:val="24"/>
          <w:szCs w:val="24"/>
          <w:highlight w:val="none"/>
          <w:lang w:val="en-US" w:eastAsia="zh-CN"/>
        </w:rPr>
        <w:t>康桥</w:t>
      </w:r>
      <w:r>
        <w:rPr>
          <w:rFonts w:hint="eastAsia" w:ascii="宋体" w:hAnsi="宋体" w:eastAsia="宋体" w:cs="宋体"/>
          <w:b w:val="0"/>
          <w:bCs/>
          <w:color w:val="auto"/>
          <w:sz w:val="24"/>
          <w:szCs w:val="24"/>
          <w:highlight w:val="none"/>
          <w:lang w:val="en-US" w:eastAsia="zh-CN"/>
        </w:rPr>
        <w:t>街道垃圾分类工作的实际情况，数据准确率需达到95%以上；</w:t>
      </w:r>
    </w:p>
    <w:p w14:paraId="62C0DF55">
      <w:pPr>
        <w:keepNext w:val="0"/>
        <w:keepLines w:val="0"/>
        <w:pageBreakBefore w:val="0"/>
        <w:kinsoku/>
        <w:wordWrap/>
        <w:overflowPunct/>
        <w:topLinePunct w:val="0"/>
        <w:bidi w:val="0"/>
        <w:spacing w:line="480" w:lineRule="auto"/>
        <w:ind w:left="0" w:leftChars="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3、制定垃圾分类不同区域信息采集实施方案</w:t>
      </w:r>
      <w:r>
        <w:rPr>
          <w:rFonts w:hint="eastAsia" w:ascii="宋体" w:hAnsi="宋体" w:cs="宋体"/>
          <w:b w:val="0"/>
          <w:bCs/>
          <w:color w:val="auto"/>
          <w:sz w:val="24"/>
          <w:szCs w:val="24"/>
          <w:highlight w:val="none"/>
          <w:lang w:val="en-US" w:eastAsia="zh-CN"/>
        </w:rPr>
        <w:t>，针对居住小区、商业区域、机关单位等不同区域的特点，制定差异化的信息采集实施方案</w:t>
      </w:r>
      <w:r>
        <w:rPr>
          <w:rFonts w:hint="eastAsia" w:ascii="宋体" w:hAnsi="宋体" w:eastAsia="宋体" w:cs="宋体"/>
          <w:b w:val="0"/>
          <w:bCs/>
          <w:color w:val="auto"/>
          <w:sz w:val="24"/>
          <w:szCs w:val="24"/>
          <w:highlight w:val="none"/>
          <w:lang w:val="en-US" w:eastAsia="zh-CN"/>
        </w:rPr>
        <w:t>；</w:t>
      </w:r>
    </w:p>
    <w:p w14:paraId="69F75E2B">
      <w:pPr>
        <w:keepNext w:val="0"/>
        <w:keepLines w:val="0"/>
        <w:pageBreakBefore w:val="0"/>
        <w:kinsoku/>
        <w:wordWrap/>
        <w:overflowPunct/>
        <w:topLinePunct w:val="0"/>
        <w:bidi w:val="0"/>
        <w:spacing w:line="480" w:lineRule="auto"/>
        <w:ind w:left="0" w:leftChars="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4、街道区域内设立办公场所；</w:t>
      </w:r>
    </w:p>
    <w:p w14:paraId="1C770049">
      <w:pPr>
        <w:keepNext w:val="0"/>
        <w:keepLines w:val="0"/>
        <w:pageBreakBefore w:val="0"/>
        <w:kinsoku/>
        <w:wordWrap/>
        <w:overflowPunct/>
        <w:topLinePunct w:val="0"/>
        <w:bidi w:val="0"/>
        <w:spacing w:line="480" w:lineRule="auto"/>
        <w:ind w:left="0" w:leftChars="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建立生活垃圾分类数据库，要求将全街道生活垃圾分类所有考核对象和垃圾分类设施设备进行地理信息要素普查测绘，每年定期更新生活垃圾分类考核评价基础数据库。监管区域使用自行配备符合相关标准的城市管理信息系统平台，用于垃圾分类问题采集、上报、批转等；并确保数据信息管理安全。</w:t>
      </w:r>
    </w:p>
    <w:p w14:paraId="505407E9">
      <w:pPr>
        <w:keepNext w:val="0"/>
        <w:keepLines w:val="0"/>
        <w:pageBreakBefore w:val="0"/>
        <w:kinsoku/>
        <w:wordWrap/>
        <w:overflowPunct/>
        <w:topLinePunct w:val="0"/>
        <w:bidi w:val="0"/>
        <w:spacing w:line="480" w:lineRule="auto"/>
        <w:ind w:left="0" w:leftChars="0" w:firstLine="480" w:firstLineChars="200"/>
        <w:textAlignment w:val="auto"/>
        <w:outlineLvl w:val="2"/>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（三）建立相应管理制度</w:t>
      </w:r>
    </w:p>
    <w:p w14:paraId="3C87EF9F">
      <w:pPr>
        <w:keepNext w:val="0"/>
        <w:keepLines w:val="0"/>
        <w:pageBreakBefore w:val="0"/>
        <w:kinsoku/>
        <w:wordWrap/>
        <w:overflowPunct/>
        <w:topLinePunct w:val="0"/>
        <w:bidi w:val="0"/>
        <w:spacing w:line="480" w:lineRule="auto"/>
        <w:ind w:left="0" w:leftChars="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1、制定层级管理制度，保证管理、指挥、质量控制要求在组织架构上实现；</w:t>
      </w:r>
    </w:p>
    <w:p w14:paraId="690704ED">
      <w:pPr>
        <w:keepNext w:val="0"/>
        <w:keepLines w:val="0"/>
        <w:pageBreakBefore w:val="0"/>
        <w:kinsoku/>
        <w:wordWrap/>
        <w:overflowPunct/>
        <w:topLinePunct w:val="0"/>
        <w:bidi w:val="0"/>
        <w:spacing w:line="480" w:lineRule="auto"/>
        <w:ind w:left="0" w:leftChars="0" w:firstLine="480" w:firstLineChars="200"/>
        <w:textAlignment w:val="auto"/>
        <w:outlineLvl w:val="3"/>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2、建立规范的人力资源管理体系；</w:t>
      </w:r>
    </w:p>
    <w:p w14:paraId="5B10AF7E">
      <w:pPr>
        <w:keepNext w:val="0"/>
        <w:keepLines w:val="0"/>
        <w:pageBreakBefore w:val="0"/>
        <w:kinsoku/>
        <w:wordWrap/>
        <w:overflowPunct/>
        <w:topLinePunct w:val="0"/>
        <w:bidi w:val="0"/>
        <w:spacing w:line="480" w:lineRule="auto"/>
        <w:ind w:left="0" w:leftChars="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3、制定详细的纪律、廉政、安全、公文管理、档案管理、宣传等内部管理制度；</w:t>
      </w:r>
    </w:p>
    <w:p w14:paraId="663ACBE1">
      <w:pPr>
        <w:keepNext w:val="0"/>
        <w:keepLines w:val="0"/>
        <w:pageBreakBefore w:val="0"/>
        <w:kinsoku/>
        <w:wordWrap/>
        <w:overflowPunct/>
        <w:topLinePunct w:val="0"/>
        <w:bidi w:val="0"/>
        <w:spacing w:line="480" w:lineRule="auto"/>
        <w:ind w:left="0" w:leftChars="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4、制定各岗位明确分工和职责要求并对应制定考核办法，对于在工作中不能够认真负责，工作散漫，业务水平差的员工应及时调整或更换；</w:t>
      </w:r>
    </w:p>
    <w:p w14:paraId="13221647">
      <w:pPr>
        <w:keepNext w:val="0"/>
        <w:keepLines w:val="0"/>
        <w:pageBreakBefore w:val="0"/>
        <w:kinsoku/>
        <w:wordWrap/>
        <w:overflowPunct/>
        <w:topLinePunct w:val="0"/>
        <w:bidi w:val="0"/>
        <w:spacing w:line="480" w:lineRule="auto"/>
        <w:ind w:left="0" w:leftChars="0" w:firstLine="480" w:firstLineChars="200"/>
        <w:textAlignment w:val="auto"/>
        <w:outlineLvl w:val="3"/>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5、严格按照采集器管理要求制定采集器管理办法、车辆管理办法；</w:t>
      </w:r>
    </w:p>
    <w:p w14:paraId="117EEF87">
      <w:pPr>
        <w:keepNext w:val="0"/>
        <w:keepLines w:val="0"/>
        <w:pageBreakBefore w:val="0"/>
        <w:kinsoku/>
        <w:wordWrap/>
        <w:overflowPunct/>
        <w:topLinePunct w:val="0"/>
        <w:bidi w:val="0"/>
        <w:spacing w:line="480" w:lineRule="auto"/>
        <w:ind w:left="0" w:leftChars="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6、建立完善的安全管理制度，在实施该项目的过程中，乙方应遵守法律法规，发生各种意外、安全事故等损失均由乙方自行负责，甲方不承担任何责任；</w:t>
      </w:r>
    </w:p>
    <w:p w14:paraId="7DBB2177">
      <w:pPr>
        <w:keepNext w:val="0"/>
        <w:keepLines w:val="0"/>
        <w:pageBreakBefore w:val="0"/>
        <w:kinsoku/>
        <w:wordWrap/>
        <w:overflowPunct/>
        <w:topLinePunct w:val="0"/>
        <w:bidi w:val="0"/>
        <w:spacing w:line="480" w:lineRule="auto"/>
        <w:ind w:left="0" w:leftChars="0" w:firstLine="480" w:firstLineChars="200"/>
        <w:textAlignment w:val="auto"/>
        <w:outlineLvl w:val="2"/>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（四）采集工作相关要求</w:t>
      </w:r>
    </w:p>
    <w:p w14:paraId="4086FB7E">
      <w:pPr>
        <w:keepNext w:val="0"/>
        <w:keepLines w:val="0"/>
        <w:pageBreakBefore w:val="0"/>
        <w:kinsoku/>
        <w:wordWrap/>
        <w:overflowPunct/>
        <w:topLinePunct w:val="0"/>
        <w:bidi w:val="0"/>
        <w:spacing w:line="480" w:lineRule="auto"/>
        <w:ind w:left="0" w:leftChars="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1、每次信息采集必须记录并附有影像资料，每周将信息采集结果于次周上报至</w:t>
      </w:r>
      <w:r>
        <w:rPr>
          <w:rFonts w:hint="eastAsia" w:cs="宋体"/>
          <w:b w:val="0"/>
          <w:bCs/>
          <w:color w:val="auto"/>
          <w:sz w:val="24"/>
          <w:szCs w:val="24"/>
          <w:highlight w:val="none"/>
          <w:lang w:val="en-US" w:eastAsia="zh-CN"/>
        </w:rPr>
        <w:t>康桥</w:t>
      </w:r>
      <w:r>
        <w:rPr>
          <w:rFonts w:hint="eastAsia" w:ascii="宋体" w:hAnsi="宋体" w:eastAsia="宋体" w:cs="宋体"/>
          <w:b w:val="0"/>
          <w:bCs/>
          <w:color w:val="auto"/>
          <w:sz w:val="24"/>
          <w:szCs w:val="24"/>
          <w:highlight w:val="none"/>
          <w:lang w:val="en-US" w:eastAsia="zh-CN"/>
        </w:rPr>
        <w:t>街道（特殊问题及时上报），每周进行考核汇总，每月抽查当月检查的问题整改落实情况。</w:t>
      </w:r>
    </w:p>
    <w:p w14:paraId="17C89EBF">
      <w:pPr>
        <w:keepNext w:val="0"/>
        <w:keepLines w:val="0"/>
        <w:pageBreakBefore w:val="0"/>
        <w:kinsoku/>
        <w:wordWrap/>
        <w:overflowPunct/>
        <w:topLinePunct w:val="0"/>
        <w:bidi w:val="0"/>
        <w:spacing w:line="480" w:lineRule="auto"/>
        <w:ind w:left="0" w:leftChars="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2、对相关单位生活垃圾分类项目制度框架、政策制订和执行情况进行绩效评价，提出合理有效的建议并完成相关报告，协助甲方完成生活垃圾分类项目制度框架相关联的各项工作。</w:t>
      </w:r>
    </w:p>
    <w:p w14:paraId="62D892CE">
      <w:pPr>
        <w:keepNext w:val="0"/>
        <w:keepLines w:val="0"/>
        <w:pageBreakBefore w:val="0"/>
        <w:kinsoku/>
        <w:wordWrap/>
        <w:overflowPunct/>
        <w:topLinePunct w:val="0"/>
        <w:bidi w:val="0"/>
        <w:spacing w:line="480" w:lineRule="auto"/>
        <w:ind w:left="0" w:leftChars="0" w:firstLine="562" w:firstLineChars="200"/>
        <w:textAlignment w:val="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六、</w:t>
      </w:r>
      <w:r>
        <w:rPr>
          <w:rFonts w:hint="eastAsia" w:ascii="宋体" w:hAnsi="宋体" w:eastAsia="宋体" w:cs="宋体"/>
          <w:b/>
          <w:color w:val="auto"/>
          <w:sz w:val="28"/>
          <w:szCs w:val="28"/>
          <w:highlight w:val="none"/>
          <w:lang w:val="en-US" w:eastAsia="zh-CN"/>
        </w:rPr>
        <w:t>项目款支付的方式和时间</w:t>
      </w:r>
    </w:p>
    <w:p w14:paraId="7DA8618E">
      <w:pPr>
        <w:keepNext w:val="0"/>
        <w:keepLines w:val="0"/>
        <w:pageBreakBefore w:val="0"/>
        <w:kinsoku/>
        <w:wordWrap/>
        <w:overflowPunct/>
        <w:topLinePunct w:val="0"/>
        <w:bidi w:val="0"/>
        <w:spacing w:line="480" w:lineRule="auto"/>
        <w:ind w:left="0" w:leftChars="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1、合同签订生效及具备实施条件</w:t>
      </w:r>
      <w:r>
        <w:rPr>
          <w:rFonts w:hint="eastAsia" w:ascii="宋体" w:hAnsi="宋体" w:cs="宋体"/>
          <w:b w:val="0"/>
          <w:bCs/>
          <w:color w:val="auto"/>
          <w:sz w:val="24"/>
          <w:szCs w:val="24"/>
          <w:highlight w:val="none"/>
          <w:lang w:val="en-US" w:eastAsia="zh-CN"/>
        </w:rPr>
        <w:t>且甲方收到合规发票</w:t>
      </w:r>
      <w:r>
        <w:rPr>
          <w:rFonts w:hint="eastAsia" w:ascii="宋体" w:hAnsi="宋体" w:eastAsia="宋体" w:cs="宋体"/>
          <w:b w:val="0"/>
          <w:bCs/>
          <w:color w:val="auto"/>
          <w:sz w:val="24"/>
          <w:szCs w:val="24"/>
          <w:highlight w:val="none"/>
          <w:lang w:val="en-US" w:eastAsia="zh-CN"/>
        </w:rPr>
        <w:t>后7个工作日内支付合同</w:t>
      </w:r>
      <w:r>
        <w:rPr>
          <w:rFonts w:hint="eastAsia" w:ascii="宋体" w:hAnsi="宋体" w:eastAsia="宋体" w:cs="宋体"/>
          <w:b w:val="0"/>
          <w:bCs/>
          <w:snapToGrid/>
          <w:color w:val="auto"/>
          <w:kern w:val="2"/>
          <w:sz w:val="24"/>
          <w:szCs w:val="24"/>
          <w:highlight w:val="none"/>
          <w:lang w:val="en-US" w:eastAsia="zh-CN" w:bidi="ar-SA"/>
        </w:rPr>
        <w:t>基础服务费</w:t>
      </w:r>
      <w:r>
        <w:rPr>
          <w:rFonts w:hint="eastAsia" w:ascii="宋体" w:hAnsi="宋体" w:eastAsia="宋体" w:cs="宋体"/>
          <w:b w:val="0"/>
          <w:bCs/>
          <w:color w:val="auto"/>
          <w:sz w:val="24"/>
          <w:szCs w:val="24"/>
          <w:highlight w:val="none"/>
          <w:lang w:val="en-US" w:eastAsia="zh-CN"/>
        </w:rPr>
        <w:t>的40%；</w:t>
      </w:r>
    </w:p>
    <w:p w14:paraId="6FF4CECE">
      <w:pPr>
        <w:keepNext w:val="0"/>
        <w:keepLines w:val="0"/>
        <w:pageBreakBefore w:val="0"/>
        <w:kinsoku/>
        <w:wordWrap/>
        <w:overflowPunct/>
        <w:topLinePunct w:val="0"/>
        <w:bidi w:val="0"/>
        <w:spacing w:line="480" w:lineRule="auto"/>
        <w:ind w:left="0" w:leftChars="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en-US" w:eastAsia="zh-CN"/>
        </w:rPr>
        <w:t>、第</w:t>
      </w:r>
      <w:r>
        <w:rPr>
          <w:rFonts w:hint="eastAsia" w:ascii="宋体" w:hAnsi="宋体" w:cs="宋体"/>
          <w:b w:val="0"/>
          <w:bCs/>
          <w:color w:val="auto"/>
          <w:sz w:val="24"/>
          <w:szCs w:val="24"/>
          <w:highlight w:val="none"/>
          <w:lang w:val="en-US" w:eastAsia="zh-CN"/>
        </w:rPr>
        <w:t>二</w:t>
      </w:r>
      <w:r>
        <w:rPr>
          <w:rFonts w:hint="eastAsia" w:ascii="宋体" w:hAnsi="宋体" w:eastAsia="宋体" w:cs="宋体"/>
          <w:b w:val="0"/>
          <w:bCs/>
          <w:color w:val="auto"/>
          <w:sz w:val="24"/>
          <w:szCs w:val="24"/>
          <w:highlight w:val="none"/>
          <w:lang w:val="en-US" w:eastAsia="zh-CN"/>
        </w:rPr>
        <w:t>季度服务完毕，</w:t>
      </w:r>
      <w:r>
        <w:rPr>
          <w:rFonts w:hint="eastAsia" w:cs="宋体"/>
          <w:b w:val="0"/>
          <w:bCs/>
          <w:color w:val="auto"/>
          <w:sz w:val="24"/>
          <w:szCs w:val="24"/>
          <w:highlight w:val="none"/>
          <w:lang w:val="en-US" w:eastAsia="zh-CN"/>
        </w:rPr>
        <w:t>乙方</w:t>
      </w:r>
      <w:r>
        <w:rPr>
          <w:rFonts w:hint="eastAsia" w:ascii="宋体" w:hAnsi="宋体" w:eastAsia="宋体" w:cs="宋体"/>
          <w:b w:val="0"/>
          <w:bCs/>
          <w:color w:val="auto"/>
          <w:sz w:val="24"/>
          <w:szCs w:val="24"/>
          <w:highlight w:val="none"/>
          <w:lang w:val="en-US" w:eastAsia="zh-CN"/>
        </w:rPr>
        <w:t>递交监管考核报告、季度报告，经</w:t>
      </w:r>
      <w:r>
        <w:rPr>
          <w:rFonts w:hint="eastAsia" w:cs="宋体"/>
          <w:b w:val="0"/>
          <w:bCs/>
          <w:color w:val="auto"/>
          <w:sz w:val="24"/>
          <w:szCs w:val="24"/>
          <w:highlight w:val="none"/>
          <w:lang w:val="en-US" w:eastAsia="zh-CN"/>
        </w:rPr>
        <w:t>甲方</w:t>
      </w:r>
      <w:r>
        <w:rPr>
          <w:rFonts w:hint="eastAsia" w:ascii="宋体" w:hAnsi="宋体" w:eastAsia="宋体" w:cs="宋体"/>
          <w:b w:val="0"/>
          <w:bCs/>
          <w:color w:val="auto"/>
          <w:sz w:val="24"/>
          <w:szCs w:val="24"/>
          <w:highlight w:val="none"/>
          <w:lang w:val="en-US" w:eastAsia="zh-CN"/>
        </w:rPr>
        <w:t>检验通过，且收到合规发票后7个工作日内，</w:t>
      </w:r>
      <w:r>
        <w:rPr>
          <w:rFonts w:hint="eastAsia" w:cs="宋体"/>
          <w:b w:val="0"/>
          <w:bCs/>
          <w:color w:val="auto"/>
          <w:sz w:val="24"/>
          <w:szCs w:val="24"/>
          <w:highlight w:val="none"/>
          <w:lang w:val="en-US" w:eastAsia="zh-CN"/>
        </w:rPr>
        <w:t>甲方</w:t>
      </w:r>
      <w:r>
        <w:rPr>
          <w:rFonts w:hint="eastAsia" w:ascii="宋体" w:hAnsi="宋体" w:eastAsia="宋体" w:cs="宋体"/>
          <w:b w:val="0"/>
          <w:bCs/>
          <w:color w:val="auto"/>
          <w:sz w:val="24"/>
          <w:szCs w:val="24"/>
          <w:highlight w:val="none"/>
          <w:lang w:val="en-US" w:eastAsia="zh-CN"/>
        </w:rPr>
        <w:t>根据考核结果情况扣除应扣款项后，至多支付合同</w:t>
      </w:r>
      <w:r>
        <w:rPr>
          <w:rFonts w:hint="eastAsia" w:ascii="宋体" w:hAnsi="宋体" w:eastAsia="宋体" w:cs="宋体"/>
          <w:b w:val="0"/>
          <w:bCs/>
          <w:snapToGrid/>
          <w:color w:val="auto"/>
          <w:kern w:val="2"/>
          <w:sz w:val="24"/>
          <w:szCs w:val="24"/>
          <w:highlight w:val="none"/>
          <w:lang w:val="en-US" w:eastAsia="zh-CN" w:bidi="ar-SA"/>
        </w:rPr>
        <w:t>基础服务费</w:t>
      </w:r>
      <w:r>
        <w:rPr>
          <w:rFonts w:hint="eastAsia" w:ascii="宋体" w:hAnsi="宋体" w:eastAsia="宋体" w:cs="宋体"/>
          <w:b w:val="0"/>
          <w:bCs/>
          <w:color w:val="auto"/>
          <w:sz w:val="24"/>
          <w:szCs w:val="24"/>
          <w:highlight w:val="none"/>
          <w:lang w:val="en-US" w:eastAsia="zh-CN"/>
        </w:rPr>
        <w:t>金额的</w:t>
      </w:r>
      <w:r>
        <w:rPr>
          <w:rFonts w:hint="eastAsia" w:cs="宋体"/>
          <w:b w:val="0"/>
          <w:bCs/>
          <w:color w:val="auto"/>
          <w:sz w:val="24"/>
          <w:szCs w:val="24"/>
          <w:highlight w:val="none"/>
          <w:lang w:val="en-US" w:eastAsia="zh-CN"/>
        </w:rPr>
        <w:t>20</w:t>
      </w:r>
      <w:r>
        <w:rPr>
          <w:rFonts w:hint="eastAsia" w:ascii="宋体" w:hAnsi="宋体" w:eastAsia="宋体" w:cs="宋体"/>
          <w:b w:val="0"/>
          <w:bCs/>
          <w:color w:val="auto"/>
          <w:sz w:val="24"/>
          <w:szCs w:val="24"/>
          <w:highlight w:val="none"/>
          <w:lang w:val="en-US" w:eastAsia="zh-CN"/>
        </w:rPr>
        <w:t>%；</w:t>
      </w:r>
    </w:p>
    <w:p w14:paraId="607A4C82">
      <w:pPr>
        <w:keepNext w:val="0"/>
        <w:keepLines w:val="0"/>
        <w:pageBreakBefore w:val="0"/>
        <w:kinsoku/>
        <w:wordWrap/>
        <w:overflowPunct/>
        <w:topLinePunct w:val="0"/>
        <w:bidi w:val="0"/>
        <w:spacing w:line="480" w:lineRule="auto"/>
        <w:ind w:left="0" w:leftChars="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val="en-US" w:eastAsia="zh-CN"/>
        </w:rPr>
        <w:t>、第</w:t>
      </w:r>
      <w:r>
        <w:rPr>
          <w:rFonts w:hint="eastAsia" w:ascii="宋体" w:hAnsi="宋体" w:cs="宋体"/>
          <w:b w:val="0"/>
          <w:bCs/>
          <w:color w:val="auto"/>
          <w:sz w:val="24"/>
          <w:szCs w:val="24"/>
          <w:highlight w:val="none"/>
          <w:lang w:val="en-US" w:eastAsia="zh-CN"/>
        </w:rPr>
        <w:t>三</w:t>
      </w:r>
      <w:r>
        <w:rPr>
          <w:rFonts w:hint="eastAsia" w:ascii="宋体" w:hAnsi="宋体" w:eastAsia="宋体" w:cs="宋体"/>
          <w:b w:val="0"/>
          <w:bCs/>
          <w:color w:val="auto"/>
          <w:sz w:val="24"/>
          <w:szCs w:val="24"/>
          <w:highlight w:val="none"/>
          <w:lang w:val="en-US" w:eastAsia="zh-CN"/>
        </w:rPr>
        <w:t>季度服务完毕，</w:t>
      </w:r>
      <w:r>
        <w:rPr>
          <w:rFonts w:hint="eastAsia" w:cs="宋体"/>
          <w:b w:val="0"/>
          <w:bCs/>
          <w:color w:val="auto"/>
          <w:sz w:val="24"/>
          <w:szCs w:val="24"/>
          <w:highlight w:val="none"/>
          <w:lang w:val="en-US" w:eastAsia="zh-CN"/>
        </w:rPr>
        <w:t>乙方</w:t>
      </w:r>
      <w:r>
        <w:rPr>
          <w:rFonts w:hint="eastAsia" w:ascii="宋体" w:hAnsi="宋体" w:eastAsia="宋体" w:cs="宋体"/>
          <w:b w:val="0"/>
          <w:bCs/>
          <w:color w:val="auto"/>
          <w:sz w:val="24"/>
          <w:szCs w:val="24"/>
          <w:highlight w:val="none"/>
          <w:lang w:val="en-US" w:eastAsia="zh-CN"/>
        </w:rPr>
        <w:t>递交监管考核报告、季度报告，经</w:t>
      </w:r>
      <w:r>
        <w:rPr>
          <w:rFonts w:hint="eastAsia" w:cs="宋体"/>
          <w:b w:val="0"/>
          <w:bCs/>
          <w:color w:val="auto"/>
          <w:sz w:val="24"/>
          <w:szCs w:val="24"/>
          <w:highlight w:val="none"/>
          <w:lang w:val="en-US" w:eastAsia="zh-CN"/>
        </w:rPr>
        <w:t>甲方</w:t>
      </w:r>
      <w:r>
        <w:rPr>
          <w:rFonts w:hint="eastAsia" w:ascii="宋体" w:hAnsi="宋体" w:eastAsia="宋体" w:cs="宋体"/>
          <w:b w:val="0"/>
          <w:bCs/>
          <w:color w:val="auto"/>
          <w:sz w:val="24"/>
          <w:szCs w:val="24"/>
          <w:highlight w:val="none"/>
          <w:lang w:val="en-US" w:eastAsia="zh-CN"/>
        </w:rPr>
        <w:t>检验通过，且收到合规发票后7个工作日内，</w:t>
      </w:r>
      <w:r>
        <w:rPr>
          <w:rFonts w:hint="eastAsia" w:cs="宋体"/>
          <w:b w:val="0"/>
          <w:bCs/>
          <w:color w:val="auto"/>
          <w:sz w:val="24"/>
          <w:szCs w:val="24"/>
          <w:highlight w:val="none"/>
          <w:lang w:val="en-US" w:eastAsia="zh-CN"/>
        </w:rPr>
        <w:t>甲方</w:t>
      </w:r>
      <w:r>
        <w:rPr>
          <w:rFonts w:hint="eastAsia" w:ascii="宋体" w:hAnsi="宋体" w:eastAsia="宋体" w:cs="宋体"/>
          <w:b w:val="0"/>
          <w:bCs/>
          <w:color w:val="auto"/>
          <w:sz w:val="24"/>
          <w:szCs w:val="24"/>
          <w:highlight w:val="none"/>
          <w:lang w:val="en-US" w:eastAsia="zh-CN"/>
        </w:rPr>
        <w:t>根据考核结果情况扣除应扣款项后，至多支付合同</w:t>
      </w:r>
      <w:r>
        <w:rPr>
          <w:rFonts w:hint="eastAsia" w:ascii="宋体" w:hAnsi="宋体" w:eastAsia="宋体" w:cs="宋体"/>
          <w:b w:val="0"/>
          <w:bCs/>
          <w:snapToGrid/>
          <w:color w:val="auto"/>
          <w:kern w:val="2"/>
          <w:sz w:val="24"/>
          <w:szCs w:val="24"/>
          <w:highlight w:val="none"/>
          <w:lang w:val="en-US" w:eastAsia="zh-CN" w:bidi="ar-SA"/>
        </w:rPr>
        <w:t>基础服务费</w:t>
      </w:r>
      <w:r>
        <w:rPr>
          <w:rFonts w:hint="eastAsia" w:ascii="宋体" w:hAnsi="宋体" w:eastAsia="宋体" w:cs="宋体"/>
          <w:b w:val="0"/>
          <w:bCs/>
          <w:color w:val="auto"/>
          <w:sz w:val="24"/>
          <w:szCs w:val="24"/>
          <w:highlight w:val="none"/>
          <w:lang w:val="en-US" w:eastAsia="zh-CN"/>
        </w:rPr>
        <w:t>金额的</w:t>
      </w:r>
      <w:r>
        <w:rPr>
          <w:rFonts w:hint="eastAsia" w:cs="宋体"/>
          <w:b w:val="0"/>
          <w:bCs/>
          <w:color w:val="auto"/>
          <w:sz w:val="24"/>
          <w:szCs w:val="24"/>
          <w:highlight w:val="none"/>
          <w:lang w:val="en-US" w:eastAsia="zh-CN"/>
        </w:rPr>
        <w:t>20</w:t>
      </w:r>
      <w:r>
        <w:rPr>
          <w:rFonts w:hint="eastAsia" w:ascii="宋体" w:hAnsi="宋体" w:eastAsia="宋体" w:cs="宋体"/>
          <w:b w:val="0"/>
          <w:bCs/>
          <w:color w:val="auto"/>
          <w:sz w:val="24"/>
          <w:szCs w:val="24"/>
          <w:highlight w:val="none"/>
          <w:lang w:val="en-US" w:eastAsia="zh-CN"/>
        </w:rPr>
        <w:t>%；</w:t>
      </w:r>
    </w:p>
    <w:p w14:paraId="112A26E3">
      <w:pPr>
        <w:keepNext w:val="0"/>
        <w:keepLines w:val="0"/>
        <w:pageBreakBefore w:val="0"/>
        <w:kinsoku/>
        <w:wordWrap/>
        <w:overflowPunct/>
        <w:topLinePunct w:val="0"/>
        <w:bidi w:val="0"/>
        <w:spacing w:line="480" w:lineRule="auto"/>
        <w:ind w:left="0" w:leftChars="0" w:firstLine="480" w:firstLineChars="200"/>
        <w:textAlignment w:val="auto"/>
        <w:rPr>
          <w:rFonts w:hint="default" w:ascii="宋体" w:hAnsi="宋体" w:eastAsia="宋体" w:cs="宋体"/>
          <w:b w:val="0"/>
          <w:bCs/>
          <w:color w:val="auto"/>
          <w:sz w:val="24"/>
          <w:szCs w:val="24"/>
          <w:highlight w:val="none"/>
          <w:lang w:val="en-US" w:eastAsia="zh-CN"/>
        </w:rPr>
      </w:pPr>
      <w:r>
        <w:rPr>
          <w:rFonts w:hint="eastAsia"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、第</w:t>
      </w:r>
      <w:r>
        <w:rPr>
          <w:rFonts w:hint="eastAsia" w:ascii="宋体" w:hAnsi="宋体" w:cs="宋体"/>
          <w:b w:val="0"/>
          <w:bCs/>
          <w:color w:val="auto"/>
          <w:sz w:val="24"/>
          <w:szCs w:val="24"/>
          <w:highlight w:val="none"/>
          <w:lang w:val="en-US" w:eastAsia="zh-CN"/>
        </w:rPr>
        <w:t>四</w:t>
      </w:r>
      <w:r>
        <w:rPr>
          <w:rFonts w:hint="eastAsia" w:ascii="宋体" w:hAnsi="宋体" w:eastAsia="宋体" w:cs="宋体"/>
          <w:b w:val="0"/>
          <w:bCs/>
          <w:color w:val="auto"/>
          <w:sz w:val="24"/>
          <w:szCs w:val="24"/>
          <w:highlight w:val="none"/>
          <w:lang w:val="en-US" w:eastAsia="zh-CN"/>
        </w:rPr>
        <w:t>季度服务完毕，</w:t>
      </w:r>
      <w:r>
        <w:rPr>
          <w:rFonts w:hint="eastAsia" w:cs="宋体"/>
          <w:b w:val="0"/>
          <w:bCs/>
          <w:color w:val="auto"/>
          <w:sz w:val="24"/>
          <w:szCs w:val="24"/>
          <w:highlight w:val="none"/>
          <w:lang w:val="en-US" w:eastAsia="zh-CN"/>
        </w:rPr>
        <w:t>乙方</w:t>
      </w:r>
      <w:r>
        <w:rPr>
          <w:rFonts w:hint="eastAsia" w:ascii="宋体" w:hAnsi="宋体" w:eastAsia="宋体" w:cs="宋体"/>
          <w:b w:val="0"/>
          <w:bCs/>
          <w:color w:val="auto"/>
          <w:sz w:val="24"/>
          <w:szCs w:val="24"/>
          <w:highlight w:val="none"/>
          <w:lang w:val="en-US" w:eastAsia="zh-CN"/>
        </w:rPr>
        <w:t>递交监管考核报告、年度考核报告、成果交付文件资料，经</w:t>
      </w:r>
      <w:r>
        <w:rPr>
          <w:rFonts w:hint="eastAsia" w:cs="宋体"/>
          <w:b w:val="0"/>
          <w:bCs/>
          <w:color w:val="auto"/>
          <w:sz w:val="24"/>
          <w:szCs w:val="24"/>
          <w:highlight w:val="none"/>
          <w:lang w:val="en-US" w:eastAsia="zh-CN"/>
        </w:rPr>
        <w:t>甲方</w:t>
      </w:r>
      <w:r>
        <w:rPr>
          <w:rFonts w:hint="eastAsia" w:ascii="宋体" w:hAnsi="宋体" w:eastAsia="宋体" w:cs="宋体"/>
          <w:b w:val="0"/>
          <w:bCs/>
          <w:color w:val="auto"/>
          <w:sz w:val="24"/>
          <w:szCs w:val="24"/>
          <w:highlight w:val="none"/>
          <w:lang w:val="en-US" w:eastAsia="zh-CN"/>
        </w:rPr>
        <w:t>检验通过，且收到合规发票后</w:t>
      </w:r>
      <w:r>
        <w:rPr>
          <w:rFonts w:hint="eastAsia" w:cs="宋体"/>
          <w:b w:val="0"/>
          <w:bCs/>
          <w:color w:val="auto"/>
          <w:sz w:val="24"/>
          <w:szCs w:val="24"/>
          <w:highlight w:val="none"/>
          <w:lang w:val="en-US" w:eastAsia="zh-CN"/>
        </w:rPr>
        <w:t>10</w:t>
      </w:r>
      <w:r>
        <w:rPr>
          <w:rFonts w:hint="eastAsia" w:ascii="宋体" w:hAnsi="宋体" w:eastAsia="宋体" w:cs="宋体"/>
          <w:b w:val="0"/>
          <w:bCs/>
          <w:color w:val="auto"/>
          <w:sz w:val="24"/>
          <w:szCs w:val="24"/>
          <w:highlight w:val="none"/>
          <w:lang w:val="en-US" w:eastAsia="zh-CN"/>
        </w:rPr>
        <w:t>个工作日内，</w:t>
      </w:r>
      <w:r>
        <w:rPr>
          <w:rFonts w:hint="eastAsia" w:cs="宋体"/>
          <w:b w:val="0"/>
          <w:bCs/>
          <w:color w:val="auto"/>
          <w:sz w:val="24"/>
          <w:szCs w:val="24"/>
          <w:highlight w:val="none"/>
          <w:lang w:val="en-US" w:eastAsia="zh-CN"/>
        </w:rPr>
        <w:t>甲方</w:t>
      </w:r>
      <w:r>
        <w:rPr>
          <w:rFonts w:hint="eastAsia" w:ascii="宋体" w:hAnsi="宋体" w:eastAsia="宋体" w:cs="宋体"/>
          <w:b w:val="0"/>
          <w:bCs/>
          <w:color w:val="auto"/>
          <w:sz w:val="24"/>
          <w:szCs w:val="24"/>
          <w:highlight w:val="none"/>
          <w:lang w:val="en-US" w:eastAsia="zh-CN"/>
        </w:rPr>
        <w:t>根据考核结果情况扣除应扣款项后，</w:t>
      </w:r>
      <w:r>
        <w:rPr>
          <w:rFonts w:hint="eastAsia" w:ascii="宋体" w:hAnsi="宋体" w:cs="宋体"/>
          <w:b w:val="0"/>
          <w:bCs/>
          <w:color w:val="auto"/>
          <w:sz w:val="24"/>
          <w:szCs w:val="24"/>
          <w:highlight w:val="none"/>
          <w:lang w:val="en-US" w:eastAsia="zh-CN"/>
        </w:rPr>
        <w:t>合</w:t>
      </w:r>
      <w:r>
        <w:rPr>
          <w:rFonts w:hint="eastAsia" w:ascii="宋体" w:hAnsi="宋体" w:eastAsia="宋体" w:cs="宋体"/>
          <w:b w:val="0"/>
          <w:bCs/>
          <w:color w:val="auto"/>
          <w:sz w:val="24"/>
          <w:szCs w:val="24"/>
          <w:highlight w:val="none"/>
          <w:lang w:val="en-US" w:eastAsia="zh-CN"/>
        </w:rPr>
        <w:t>同基础服务费金额的20%</w:t>
      </w:r>
      <w:r>
        <w:rPr>
          <w:rFonts w:hint="eastAsia" w:cs="宋体"/>
          <w:b w:val="0"/>
          <w:bCs/>
          <w:color w:val="auto"/>
          <w:sz w:val="24"/>
          <w:szCs w:val="24"/>
          <w:highlight w:val="none"/>
          <w:lang w:val="en-US" w:eastAsia="zh-CN"/>
        </w:rPr>
        <w:t>及</w:t>
      </w:r>
      <w:r>
        <w:rPr>
          <w:rFonts w:hint="eastAsia" w:ascii="宋体" w:hAnsi="宋体" w:eastAsia="宋体" w:cs="宋体"/>
          <w:b w:val="0"/>
          <w:bCs/>
          <w:color w:val="auto"/>
          <w:sz w:val="24"/>
          <w:szCs w:val="24"/>
          <w:highlight w:val="none"/>
          <w:lang w:val="en-US" w:eastAsia="zh-CN"/>
        </w:rPr>
        <w:t>考核奖励费一次性结清。</w:t>
      </w:r>
    </w:p>
    <w:p w14:paraId="156B1854">
      <w:pPr>
        <w:keepNext w:val="0"/>
        <w:keepLines w:val="0"/>
        <w:pageBreakBefore w:val="0"/>
        <w:widowControl/>
        <w:kinsoku/>
        <w:wordWrap/>
        <w:overflowPunct/>
        <w:topLinePunct w:val="0"/>
        <w:autoSpaceDE/>
        <w:autoSpaceDN/>
        <w:bidi w:val="0"/>
        <w:adjustRightInd/>
        <w:spacing w:line="480" w:lineRule="auto"/>
        <w:ind w:left="0" w:leftChars="0" w:firstLine="480" w:firstLineChars="200"/>
        <w:jc w:val="both"/>
        <w:textAlignment w:val="auto"/>
        <w:rPr>
          <w:rFonts w:hint="eastAsia" w:ascii="宋体" w:hAnsi="宋体" w:eastAsia="宋体" w:cs="宋体"/>
          <w:color w:val="auto"/>
          <w:sz w:val="24"/>
          <w:highlight w:val="none"/>
          <w:lang w:val="en-US" w:eastAsia="zh-CN"/>
        </w:rPr>
      </w:pPr>
      <w:r>
        <w:rPr>
          <w:rFonts w:hint="eastAsia" w:cs="宋体"/>
          <w:b w:val="0"/>
          <w:bCs/>
          <w:color w:val="auto"/>
          <w:kern w:val="2"/>
          <w:sz w:val="24"/>
          <w:szCs w:val="24"/>
          <w:highlight w:val="none"/>
          <w:lang w:val="en-US" w:eastAsia="zh-CN" w:bidi="ar-SA"/>
        </w:rPr>
        <w:t>5</w:t>
      </w:r>
      <w:r>
        <w:rPr>
          <w:rFonts w:hint="eastAsia" w:ascii="宋体" w:hAnsi="宋体" w:eastAsia="宋体" w:cs="宋体"/>
          <w:b w:val="0"/>
          <w:bCs/>
          <w:color w:val="auto"/>
          <w:kern w:val="2"/>
          <w:sz w:val="24"/>
          <w:szCs w:val="24"/>
          <w:highlight w:val="none"/>
          <w:lang w:val="en-US" w:eastAsia="zh-CN" w:bidi="ar-SA"/>
        </w:rPr>
        <w:t>、甲方每次支付合同款项前，乙方均应向甲方提供发票内容为垃圾分类服务的正规发票；财政部门审查、上级考核通报</w:t>
      </w:r>
      <w:r>
        <w:rPr>
          <w:rFonts w:hint="eastAsia" w:ascii="宋体" w:hAnsi="宋体" w:eastAsia="宋体" w:cs="宋体"/>
          <w:color w:val="auto"/>
          <w:kern w:val="2"/>
          <w:sz w:val="24"/>
          <w:szCs w:val="24"/>
          <w:highlight w:val="none"/>
          <w:lang w:val="en-US" w:eastAsia="zh-CN" w:bidi="ar-SA"/>
        </w:rPr>
        <w:t>及实际支付可能造成的时间延误不视为甲方违约</w:t>
      </w:r>
      <w:r>
        <w:rPr>
          <w:rFonts w:hint="eastAsia" w:cs="宋体"/>
          <w:color w:val="auto"/>
          <w:kern w:val="2"/>
          <w:sz w:val="24"/>
          <w:szCs w:val="24"/>
          <w:highlight w:val="none"/>
          <w:lang w:val="en-US" w:eastAsia="zh-CN" w:bidi="ar-SA"/>
        </w:rPr>
        <w:t>，甲方不承担任何的违约责任</w:t>
      </w:r>
      <w:r>
        <w:rPr>
          <w:rFonts w:hint="eastAsia" w:ascii="宋体" w:hAnsi="宋体" w:eastAsia="宋体" w:cs="宋体"/>
          <w:color w:val="auto"/>
          <w:kern w:val="2"/>
          <w:sz w:val="24"/>
          <w:szCs w:val="24"/>
          <w:highlight w:val="none"/>
          <w:lang w:val="en-US" w:eastAsia="zh-CN" w:bidi="ar-SA"/>
        </w:rPr>
        <w:t>。</w:t>
      </w:r>
    </w:p>
    <w:p w14:paraId="543B89C6">
      <w:pPr>
        <w:keepNext w:val="0"/>
        <w:keepLines w:val="0"/>
        <w:pageBreakBefore w:val="0"/>
        <w:kinsoku/>
        <w:wordWrap/>
        <w:overflowPunct/>
        <w:topLinePunct w:val="0"/>
        <w:bidi w:val="0"/>
        <w:spacing w:line="480" w:lineRule="auto"/>
        <w:ind w:left="0" w:leftChars="0" w:firstLine="562" w:firstLineChars="200"/>
        <w:textAlignment w:val="auto"/>
        <w:outlineLvl w:val="1"/>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lang w:val="en-US" w:eastAsia="zh-CN"/>
        </w:rPr>
        <w:t>七、违</w:t>
      </w:r>
      <w:r>
        <w:rPr>
          <w:rFonts w:hint="eastAsia" w:ascii="宋体" w:hAnsi="宋体" w:eastAsia="宋体" w:cs="宋体"/>
          <w:b/>
          <w:bCs w:val="0"/>
          <w:color w:val="auto"/>
          <w:sz w:val="28"/>
          <w:szCs w:val="28"/>
          <w:highlight w:val="none"/>
        </w:rPr>
        <w:t>约责任</w:t>
      </w:r>
    </w:p>
    <w:p w14:paraId="666D0F96">
      <w:pPr>
        <w:keepNext w:val="0"/>
        <w:keepLines w:val="0"/>
        <w:pageBreakBefore w:val="0"/>
        <w:kinsoku/>
        <w:wordWrap/>
        <w:overflowPunct/>
        <w:topLinePunct w:val="0"/>
        <w:bidi w:val="0"/>
        <w:spacing w:line="480" w:lineRule="auto"/>
        <w:ind w:left="0" w:leftChars="0" w:firstLine="480" w:firstLineChars="200"/>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1、除不可抗力外，如果乙方没有按照本合同约定的期限、地点和方式提供服务，甲方可要求乙方支付违约金，违约金按</w:t>
      </w:r>
      <w:r>
        <w:rPr>
          <w:rFonts w:hint="eastAsia" w:ascii="宋体" w:hAnsi="宋体" w:cs="宋体"/>
          <w:b w:val="0"/>
          <w:bCs/>
          <w:color w:val="auto"/>
          <w:sz w:val="24"/>
          <w:szCs w:val="24"/>
          <w:highlight w:val="none"/>
          <w:lang w:val="en-US" w:eastAsia="zh-CN"/>
        </w:rPr>
        <w:t>本合同基础服务费</w:t>
      </w:r>
      <w:r>
        <w:rPr>
          <w:rFonts w:hint="eastAsia" w:ascii="宋体" w:hAnsi="宋体" w:eastAsia="宋体" w:cs="宋体"/>
          <w:b w:val="0"/>
          <w:bCs/>
          <w:color w:val="auto"/>
          <w:sz w:val="24"/>
          <w:szCs w:val="24"/>
          <w:highlight w:val="none"/>
          <w:lang w:val="en-US" w:eastAsia="zh-CN"/>
        </w:rPr>
        <w:t>的</w:t>
      </w:r>
      <w:r>
        <w:rPr>
          <w:rFonts w:hint="eastAsia" w:ascii="宋体" w:hAnsi="宋体" w:eastAsia="宋体" w:cs="宋体"/>
          <w:b w:val="0"/>
          <w:bCs/>
          <w:color w:val="auto"/>
          <w:sz w:val="24"/>
          <w:szCs w:val="24"/>
          <w:highlight w:val="none"/>
          <w:u w:val="single"/>
          <w:lang w:val="en-US" w:eastAsia="zh-CN"/>
        </w:rPr>
        <w:t>0.05%</w:t>
      </w:r>
      <w:r>
        <w:rPr>
          <w:rFonts w:hint="eastAsia" w:ascii="宋体" w:hAnsi="宋体" w:eastAsia="宋体" w:cs="宋体"/>
          <w:b w:val="0"/>
          <w:bCs/>
          <w:color w:val="auto"/>
          <w:sz w:val="24"/>
          <w:szCs w:val="24"/>
          <w:highlight w:val="none"/>
          <w:lang w:val="en-US" w:eastAsia="zh-CN"/>
        </w:rPr>
        <w:t>计算</w:t>
      </w:r>
      <w:r>
        <w:rPr>
          <w:rFonts w:hint="eastAsia" w:ascii="宋体" w:hAnsi="宋体" w:cs="宋体"/>
          <w:b w:val="0"/>
          <w:bCs/>
          <w:color w:val="auto"/>
          <w:sz w:val="24"/>
          <w:szCs w:val="24"/>
          <w:highlight w:val="none"/>
          <w:u w:val="single"/>
          <w:lang w:val="en-US" w:eastAsia="zh-CN"/>
        </w:rPr>
        <w:t>。</w:t>
      </w:r>
      <w:r>
        <w:rPr>
          <w:rFonts w:hint="eastAsia" w:ascii="宋体" w:hAnsi="宋体" w:eastAsia="宋体" w:cs="宋体"/>
          <w:b w:val="0"/>
          <w:bCs/>
          <w:color w:val="auto"/>
          <w:sz w:val="24"/>
          <w:szCs w:val="24"/>
          <w:highlight w:val="none"/>
          <w:lang w:val="en-US" w:eastAsia="zh-CN"/>
        </w:rPr>
        <w:t>迟延提供服务</w:t>
      </w:r>
      <w:r>
        <w:rPr>
          <w:rFonts w:hint="eastAsia" w:ascii="宋体" w:hAnsi="宋体" w:cs="宋体"/>
          <w:b w:val="0"/>
          <w:bCs/>
          <w:color w:val="auto"/>
          <w:sz w:val="24"/>
          <w:szCs w:val="24"/>
          <w:highlight w:val="none"/>
          <w:lang w:val="en-US" w:eastAsia="zh-CN"/>
        </w:rPr>
        <w:t>超过十五日的</w:t>
      </w:r>
      <w:r>
        <w:rPr>
          <w:rFonts w:hint="eastAsia" w:ascii="宋体" w:hAnsi="宋体" w:eastAsia="宋体" w:cs="宋体"/>
          <w:b w:val="0"/>
          <w:bCs/>
          <w:color w:val="auto"/>
          <w:sz w:val="24"/>
          <w:szCs w:val="24"/>
          <w:highlight w:val="none"/>
          <w:lang w:val="en-US" w:eastAsia="zh-CN"/>
        </w:rPr>
        <w:t>，甲方有权在要求乙方支付</w:t>
      </w:r>
      <w:r>
        <w:rPr>
          <w:rFonts w:hint="eastAsia" w:ascii="宋体" w:hAnsi="宋体" w:cs="宋体"/>
          <w:b w:val="0"/>
          <w:bCs/>
          <w:color w:val="auto"/>
          <w:sz w:val="24"/>
          <w:szCs w:val="24"/>
          <w:highlight w:val="none"/>
          <w:lang w:val="en-US" w:eastAsia="zh-CN"/>
        </w:rPr>
        <w:t>前述</w:t>
      </w:r>
      <w:r>
        <w:rPr>
          <w:rFonts w:hint="eastAsia" w:ascii="宋体" w:hAnsi="宋体" w:eastAsia="宋体" w:cs="宋体"/>
          <w:b w:val="0"/>
          <w:bCs/>
          <w:color w:val="auto"/>
          <w:sz w:val="24"/>
          <w:szCs w:val="24"/>
          <w:highlight w:val="none"/>
          <w:lang w:val="en-US" w:eastAsia="zh-CN"/>
        </w:rPr>
        <w:t>违约金的同时，书面通知乙方解除本合同</w:t>
      </w:r>
      <w:r>
        <w:rPr>
          <w:rFonts w:hint="eastAsia" w:ascii="宋体" w:hAnsi="宋体" w:cs="宋体"/>
          <w:b w:val="0"/>
          <w:bCs/>
          <w:color w:val="auto"/>
          <w:sz w:val="24"/>
          <w:szCs w:val="24"/>
          <w:highlight w:val="none"/>
          <w:lang w:val="en-US" w:eastAsia="zh-CN"/>
        </w:rPr>
        <w:t>；甲方解除本合同的，乙方应当承担本合同总价款20%的违约金</w:t>
      </w:r>
      <w:r>
        <w:rPr>
          <w:rFonts w:hint="eastAsia" w:ascii="宋体" w:hAnsi="宋体" w:eastAsia="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因乙方前述原因给甲方造成损失的，乙方应当就其给甲方造成的损失承担全部的损害赔偿责任。</w:t>
      </w:r>
    </w:p>
    <w:p w14:paraId="620846BB">
      <w:pPr>
        <w:keepNext w:val="0"/>
        <w:keepLines w:val="0"/>
        <w:pageBreakBefore w:val="0"/>
        <w:kinsoku/>
        <w:wordWrap/>
        <w:overflowPunct/>
        <w:topLinePunct w:val="0"/>
        <w:bidi w:val="0"/>
        <w:spacing w:line="480" w:lineRule="auto"/>
        <w:ind w:left="0" w:leftChars="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2、除不可抗力外，如果甲方没有按照本合同约定的付款方式付款，乙方可要求甲方支付违约金，违约金按每迟延付款一日的应付而未付款的</w:t>
      </w:r>
      <w:r>
        <w:rPr>
          <w:rFonts w:hint="eastAsia" w:ascii="宋体" w:hAnsi="宋体" w:eastAsia="宋体" w:cs="宋体"/>
          <w:b w:val="0"/>
          <w:bCs/>
          <w:color w:val="auto"/>
          <w:sz w:val="24"/>
          <w:szCs w:val="24"/>
          <w:highlight w:val="none"/>
          <w:u w:val="single"/>
          <w:lang w:val="en-US" w:eastAsia="zh-CN"/>
        </w:rPr>
        <w:t xml:space="preserve"> 0.05 %</w:t>
      </w:r>
      <w:r>
        <w:rPr>
          <w:rFonts w:hint="eastAsia" w:ascii="宋体" w:hAnsi="宋体" w:eastAsia="宋体" w:cs="宋体"/>
          <w:b w:val="0"/>
          <w:bCs/>
          <w:color w:val="auto"/>
          <w:sz w:val="24"/>
          <w:szCs w:val="24"/>
          <w:highlight w:val="none"/>
          <w:lang w:val="en-US" w:eastAsia="zh-CN"/>
        </w:rPr>
        <w:t xml:space="preserve">计算，最高限额为本合同总价的 </w:t>
      </w:r>
      <w:r>
        <w:rPr>
          <w:rFonts w:hint="eastAsia" w:ascii="宋体" w:hAnsi="宋体" w:eastAsia="宋体" w:cs="宋体"/>
          <w:b w:val="0"/>
          <w:bCs/>
          <w:color w:val="auto"/>
          <w:sz w:val="24"/>
          <w:szCs w:val="24"/>
          <w:highlight w:val="none"/>
          <w:u w:val="single"/>
          <w:lang w:val="en-US" w:eastAsia="zh-CN"/>
        </w:rPr>
        <w:t xml:space="preserve"> 20 %</w:t>
      </w:r>
      <w:r>
        <w:rPr>
          <w:rFonts w:hint="eastAsia" w:ascii="宋体" w:hAnsi="宋体" w:eastAsia="宋体" w:cs="宋体"/>
          <w:b w:val="0"/>
          <w:bCs/>
          <w:color w:val="auto"/>
          <w:sz w:val="24"/>
          <w:szCs w:val="24"/>
          <w:highlight w:val="none"/>
          <w:lang w:val="en-US" w:eastAsia="zh-CN"/>
        </w:rPr>
        <w:t>；迟延付款的违约金计算数额达到前述最高限额之日起，乙方有权在要求甲方支付违约金的同时，书面通知甲方解除本合同。财政部门审查、上级考核通报及实际支付可能造成的时间延误不视为甲方违约，甲方不承担任何的违约责任</w:t>
      </w:r>
      <w:r>
        <w:rPr>
          <w:rFonts w:hint="eastAsia" w:ascii="宋体" w:hAnsi="宋体" w:cs="宋体"/>
          <w:b w:val="0"/>
          <w:bCs/>
          <w:color w:val="auto"/>
          <w:sz w:val="24"/>
          <w:szCs w:val="24"/>
          <w:highlight w:val="none"/>
          <w:lang w:val="en-US" w:eastAsia="zh-CN"/>
        </w:rPr>
        <w:t>。</w:t>
      </w:r>
    </w:p>
    <w:p w14:paraId="10C647C6">
      <w:pPr>
        <w:keepNext w:val="0"/>
        <w:keepLines w:val="0"/>
        <w:pageBreakBefore w:val="0"/>
        <w:kinsoku/>
        <w:wordWrap/>
        <w:overflowPunct/>
        <w:topLinePunct w:val="0"/>
        <w:bidi w:val="0"/>
        <w:spacing w:line="480" w:lineRule="auto"/>
        <w:ind w:left="0" w:leftChars="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3、除不可抗力外，任何一方未能履行本合同约定的其他主要义务，经催告后在</w:t>
      </w:r>
      <w:r>
        <w:rPr>
          <w:rFonts w:hint="eastAsia" w:ascii="宋体" w:hAnsi="宋体" w:cs="宋体"/>
          <w:b w:val="0"/>
          <w:bCs/>
          <w:color w:val="auto"/>
          <w:sz w:val="24"/>
          <w:szCs w:val="24"/>
          <w:highlight w:val="none"/>
          <w:lang w:val="en-US" w:eastAsia="zh-CN"/>
        </w:rPr>
        <w:t>10个工作日</w:t>
      </w:r>
      <w:r>
        <w:rPr>
          <w:rFonts w:hint="eastAsia" w:ascii="宋体" w:hAnsi="宋体" w:eastAsia="宋体" w:cs="宋体"/>
          <w:b w:val="0"/>
          <w:bCs/>
          <w:color w:val="auto"/>
          <w:sz w:val="24"/>
          <w:szCs w:val="24"/>
          <w:highlight w:val="none"/>
          <w:lang w:val="en-US" w:eastAsia="zh-CN"/>
        </w:rPr>
        <w:t>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1A50690">
      <w:pPr>
        <w:keepNext w:val="0"/>
        <w:keepLines w:val="0"/>
        <w:pageBreakBefore w:val="0"/>
        <w:kinsoku/>
        <w:wordWrap/>
        <w:overflowPunct/>
        <w:topLinePunct w:val="0"/>
        <w:bidi w:val="0"/>
        <w:spacing w:line="480" w:lineRule="auto"/>
        <w:ind w:left="0" w:leftChars="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CEF338F">
      <w:pPr>
        <w:keepNext w:val="0"/>
        <w:keepLines w:val="0"/>
        <w:pageBreakBefore w:val="0"/>
        <w:kinsoku/>
        <w:wordWrap/>
        <w:overflowPunct/>
        <w:topLinePunct w:val="0"/>
        <w:bidi w:val="0"/>
        <w:spacing w:line="480" w:lineRule="auto"/>
        <w:ind w:left="0" w:leftChars="0" w:firstLine="480" w:firstLineChars="200"/>
        <w:textAlignment w:val="auto"/>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4"/>
          <w:szCs w:val="24"/>
          <w:highlight w:val="none"/>
          <w:lang w:val="en-US" w:eastAsia="zh-CN"/>
        </w:rPr>
        <w:t>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F7A2491">
      <w:pPr>
        <w:keepNext w:val="0"/>
        <w:keepLines w:val="0"/>
        <w:pageBreakBefore w:val="0"/>
        <w:kinsoku/>
        <w:wordWrap/>
        <w:overflowPunct/>
        <w:topLinePunct w:val="0"/>
        <w:bidi w:val="0"/>
        <w:spacing w:line="480" w:lineRule="auto"/>
        <w:ind w:left="0" w:leftChars="0" w:firstLine="562" w:firstLineChars="200"/>
        <w:textAlignment w:val="auto"/>
        <w:outlineLvl w:val="1"/>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八、</w:t>
      </w:r>
      <w:r>
        <w:rPr>
          <w:rFonts w:hint="eastAsia" w:cs="宋体"/>
          <w:b/>
          <w:bCs w:val="0"/>
          <w:color w:val="auto"/>
          <w:sz w:val="28"/>
          <w:szCs w:val="28"/>
          <w:highlight w:val="none"/>
          <w:lang w:val="en-US" w:eastAsia="zh-CN"/>
        </w:rPr>
        <w:t>合同未尽事宜以及</w:t>
      </w:r>
      <w:r>
        <w:rPr>
          <w:rFonts w:hint="eastAsia" w:ascii="宋体" w:hAnsi="宋体" w:eastAsia="宋体" w:cs="宋体"/>
          <w:b/>
          <w:bCs w:val="0"/>
          <w:color w:val="auto"/>
          <w:sz w:val="28"/>
          <w:szCs w:val="28"/>
          <w:highlight w:val="none"/>
          <w:lang w:val="en-US" w:eastAsia="zh-CN"/>
        </w:rPr>
        <w:t>合同争议的解决</w:t>
      </w:r>
    </w:p>
    <w:p w14:paraId="57E3E667">
      <w:pPr>
        <w:keepNext w:val="0"/>
        <w:keepLines w:val="0"/>
        <w:pageBreakBefore w:val="0"/>
        <w:kinsoku/>
        <w:wordWrap/>
        <w:overflowPunct/>
        <w:topLinePunct w:val="0"/>
        <w:bidi w:val="0"/>
        <w:spacing w:line="480" w:lineRule="auto"/>
        <w:ind w:left="0" w:leftChars="0" w:firstLine="480" w:firstLineChars="200"/>
        <w:textAlignment w:val="auto"/>
        <w:rPr>
          <w:rFonts w:hint="default" w:ascii="宋体" w:hAnsi="宋体" w:eastAsia="宋体" w:cs="宋体"/>
          <w:b w:val="0"/>
          <w:bCs/>
          <w:color w:val="auto"/>
          <w:sz w:val="24"/>
          <w:szCs w:val="24"/>
          <w:highlight w:val="none"/>
          <w:lang w:val="en-US" w:eastAsia="zh-CN"/>
        </w:rPr>
      </w:pPr>
      <w:r>
        <w:rPr>
          <w:rFonts w:hint="eastAsia" w:cs="宋体"/>
          <w:b w:val="0"/>
          <w:bCs/>
          <w:color w:val="auto"/>
          <w:sz w:val="24"/>
          <w:szCs w:val="24"/>
          <w:highlight w:val="none"/>
          <w:lang w:val="en-US" w:eastAsia="zh-CN"/>
        </w:rPr>
        <w:t>1、本合同未尽事宜，双方应当友好协商解决；双方对本合同未尽事宜达成合意的，应当签订书面补充协议。</w:t>
      </w:r>
    </w:p>
    <w:p w14:paraId="4FAD859C">
      <w:pPr>
        <w:keepNext w:val="0"/>
        <w:keepLines w:val="0"/>
        <w:pageBreakBefore w:val="0"/>
        <w:kinsoku/>
        <w:wordWrap/>
        <w:overflowPunct/>
        <w:topLinePunct w:val="0"/>
        <w:bidi w:val="0"/>
        <w:spacing w:line="480" w:lineRule="auto"/>
        <w:ind w:left="0" w:leftChars="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en-US" w:eastAsia="zh-CN"/>
        </w:rPr>
        <w:t>本合同履行过程中发生的任何争议，双方当事人均可通过和解或者调解解决；不愿和解、调解或者和解、调解不成的，可以选择以下第 （2） 条款规定的方式解决：</w:t>
      </w:r>
    </w:p>
    <w:p w14:paraId="73BD2D39">
      <w:pPr>
        <w:keepNext w:val="0"/>
        <w:keepLines w:val="0"/>
        <w:pageBreakBefore w:val="0"/>
        <w:kinsoku/>
        <w:wordWrap/>
        <w:overflowPunct/>
        <w:topLinePunct w:val="0"/>
        <w:bidi w:val="0"/>
        <w:spacing w:line="480" w:lineRule="auto"/>
        <w:ind w:left="0" w:leftChars="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（1）将争议提交仲裁委员会依申请仲裁时其现行有效的仲裁规则裁决；</w:t>
      </w:r>
    </w:p>
    <w:p w14:paraId="1E94A146">
      <w:pPr>
        <w:keepNext w:val="0"/>
        <w:keepLines w:val="0"/>
        <w:pageBreakBefore w:val="0"/>
        <w:kinsoku/>
        <w:wordWrap/>
        <w:overflowPunct/>
        <w:topLinePunct w:val="0"/>
        <w:bidi w:val="0"/>
        <w:spacing w:line="480" w:lineRule="auto"/>
        <w:ind w:left="0" w:leftChars="0"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color w:val="auto"/>
          <w:sz w:val="24"/>
          <w:szCs w:val="24"/>
          <w:highlight w:val="none"/>
        </w:rPr>
        <w:t>本协议在执行中发生的争议双方同意由</w:t>
      </w:r>
      <w:r>
        <w:rPr>
          <w:rFonts w:hint="eastAsia" w:ascii="宋体" w:hAnsi="宋体" w:eastAsia="宋体" w:cs="宋体"/>
          <w:color w:val="auto"/>
          <w:sz w:val="24"/>
          <w:szCs w:val="24"/>
          <w:highlight w:val="none"/>
          <w:u w:val="single"/>
          <w:lang w:val="en-US" w:eastAsia="zh-CN"/>
        </w:rPr>
        <w:t xml:space="preserve"> 甲方所在地</w:t>
      </w:r>
      <w:r>
        <w:rPr>
          <w:rFonts w:hint="eastAsia" w:cs="宋体"/>
          <w:color w:val="auto"/>
          <w:sz w:val="24"/>
          <w:szCs w:val="24"/>
          <w:highlight w:val="none"/>
          <w:u w:val="single"/>
          <w:lang w:val="en-US" w:eastAsia="zh-CN"/>
        </w:rPr>
        <w:t>具有管辖权的</w:t>
      </w:r>
      <w:r>
        <w:rPr>
          <w:rFonts w:hint="eastAsia" w:ascii="宋体" w:hAnsi="宋体" w:eastAsia="宋体" w:cs="宋体"/>
          <w:color w:val="auto"/>
          <w:sz w:val="24"/>
          <w:szCs w:val="24"/>
          <w:highlight w:val="none"/>
          <w:u w:val="single"/>
          <w:lang w:val="en-US" w:eastAsia="zh-CN"/>
        </w:rPr>
        <w:t xml:space="preserve">人民法院管辖。 </w:t>
      </w:r>
      <w:r>
        <w:rPr>
          <w:rFonts w:hint="eastAsia" w:ascii="宋体" w:hAnsi="宋体" w:eastAsia="宋体" w:cs="宋体"/>
          <w:color w:val="auto"/>
          <w:sz w:val="24"/>
          <w:szCs w:val="24"/>
          <w:highlight w:val="none"/>
          <w:u w:val="none"/>
        </w:rPr>
        <w:t xml:space="preserve">  </w:t>
      </w:r>
    </w:p>
    <w:p w14:paraId="4C1ED566">
      <w:pPr>
        <w:keepNext w:val="0"/>
        <w:keepLines w:val="0"/>
        <w:pageBreakBefore w:val="0"/>
        <w:widowControl w:val="0"/>
        <w:kinsoku/>
        <w:wordWrap/>
        <w:overflowPunct/>
        <w:topLinePunct w:val="0"/>
        <w:autoSpaceDE/>
        <w:autoSpaceDN/>
        <w:bidi w:val="0"/>
        <w:adjustRightInd/>
        <w:snapToGrid/>
        <w:spacing w:line="480" w:lineRule="auto"/>
        <w:ind w:left="0" w:leftChars="0" w:firstLine="562" w:firstLineChars="200"/>
        <w:textAlignment w:val="auto"/>
        <w:outlineLvl w:val="1"/>
        <w:rPr>
          <w:rFonts w:hint="eastAsia" w:ascii="宋体" w:hAnsi="宋体" w:eastAsia="宋体" w:cs="宋体"/>
          <w:b/>
          <w:bCs/>
          <w:color w:val="auto"/>
          <w:kern w:val="0"/>
          <w:sz w:val="28"/>
          <w:szCs w:val="28"/>
          <w:highlight w:val="none"/>
          <w:lang w:val="zh-CN"/>
        </w:rPr>
      </w:pPr>
      <w:r>
        <w:rPr>
          <w:rFonts w:hint="eastAsia" w:ascii="宋体" w:hAnsi="宋体" w:eastAsia="宋体" w:cs="宋体"/>
          <w:b/>
          <w:bCs/>
          <w:color w:val="auto"/>
          <w:sz w:val="28"/>
          <w:szCs w:val="28"/>
          <w:highlight w:val="none"/>
          <w:u w:val="none"/>
          <w:lang w:eastAsia="zh-CN"/>
        </w:rPr>
        <w:t>九、</w:t>
      </w:r>
      <w:r>
        <w:rPr>
          <w:rFonts w:hint="eastAsia" w:ascii="宋体" w:hAnsi="宋体" w:eastAsia="宋体" w:cs="宋体"/>
          <w:b/>
          <w:bCs/>
          <w:color w:val="auto"/>
          <w:kern w:val="0"/>
          <w:sz w:val="28"/>
          <w:szCs w:val="28"/>
          <w:highlight w:val="none"/>
          <w:lang w:val="zh-CN"/>
        </w:rPr>
        <w:t>合同的终止</w:t>
      </w:r>
    </w:p>
    <w:p w14:paraId="5067E537">
      <w:pPr>
        <w:keepNext w:val="0"/>
        <w:keepLines w:val="0"/>
        <w:pageBreakBefore w:val="0"/>
        <w:widowControl w:val="0"/>
        <w:kinsoku/>
        <w:wordWrap/>
        <w:overflowPunct/>
        <w:topLinePunct w:val="0"/>
        <w:bidi w:val="0"/>
        <w:adjustRightInd/>
        <w:snapToGrid/>
        <w:spacing w:line="480" w:lineRule="auto"/>
        <w:ind w:left="0" w:leftChars="0" w:firstLine="480" w:firstLineChars="200"/>
        <w:textAlignment w:val="auto"/>
        <w:rPr>
          <w:rFonts w:hint="eastAsia" w:ascii="宋体" w:hAnsi="宋体" w:eastAsia="宋体" w:cs="宋体"/>
          <w:color w:val="auto"/>
          <w:kern w:val="0"/>
          <w:sz w:val="24"/>
          <w:szCs w:val="24"/>
          <w:highlight w:val="none"/>
          <w:lang w:val="zh-CN" w:eastAsia="zh-TW"/>
        </w:rPr>
      </w:pPr>
      <w:bookmarkStart w:id="394" w:name="bookmark28"/>
      <w:r>
        <w:rPr>
          <w:rFonts w:hint="eastAsia" w:ascii="宋体" w:hAnsi="宋体" w:eastAsia="宋体" w:cs="宋体"/>
          <w:color w:val="auto"/>
          <w:kern w:val="0"/>
          <w:sz w:val="24"/>
          <w:szCs w:val="24"/>
          <w:highlight w:val="none"/>
          <w:lang w:val="zh-CN" w:eastAsia="zh-TW"/>
        </w:rPr>
        <w:t>1</w:t>
      </w:r>
      <w:bookmarkEnd w:id="394"/>
      <w:r>
        <w:rPr>
          <w:rFonts w:hint="eastAsia" w:ascii="宋体" w:hAnsi="宋体" w:eastAsia="宋体" w:cs="宋体"/>
          <w:color w:val="auto"/>
          <w:kern w:val="0"/>
          <w:sz w:val="24"/>
          <w:szCs w:val="24"/>
          <w:highlight w:val="none"/>
          <w:lang w:val="zh-CN" w:eastAsia="zh-TW"/>
        </w:rPr>
        <w:t>、自然终止：合同期满，合同自然终止。</w:t>
      </w:r>
    </w:p>
    <w:p w14:paraId="7718B9BF">
      <w:pPr>
        <w:keepNext w:val="0"/>
        <w:keepLines w:val="0"/>
        <w:pageBreakBefore w:val="0"/>
        <w:widowControl w:val="0"/>
        <w:kinsoku/>
        <w:wordWrap/>
        <w:overflowPunct/>
        <w:topLinePunct w:val="0"/>
        <w:bidi w:val="0"/>
        <w:adjustRightInd/>
        <w:snapToGrid/>
        <w:spacing w:line="480" w:lineRule="auto"/>
        <w:ind w:left="0" w:leftChars="0" w:firstLine="480" w:firstLineChars="200"/>
        <w:textAlignment w:val="auto"/>
        <w:rPr>
          <w:rFonts w:hint="eastAsia" w:ascii="宋体" w:hAnsi="宋体" w:eastAsia="宋体" w:cs="宋体"/>
          <w:color w:val="auto"/>
          <w:sz w:val="24"/>
          <w:szCs w:val="24"/>
          <w:highlight w:val="none"/>
          <w:lang w:val="zh-TW" w:eastAsia="zh-TW"/>
        </w:rPr>
      </w:pPr>
      <w:bookmarkStart w:id="395" w:name="bookmark29"/>
      <w:r>
        <w:rPr>
          <w:rFonts w:hint="eastAsia" w:ascii="宋体" w:hAnsi="宋体" w:eastAsia="宋体" w:cs="宋体"/>
          <w:color w:val="auto"/>
          <w:sz w:val="24"/>
          <w:szCs w:val="24"/>
          <w:highlight w:val="none"/>
          <w:lang w:val="zh-TW" w:eastAsia="zh-TW"/>
        </w:rPr>
        <w:t>2</w:t>
      </w:r>
      <w:bookmarkEnd w:id="395"/>
      <w:r>
        <w:rPr>
          <w:rFonts w:hint="eastAsia" w:ascii="宋体" w:hAnsi="宋体" w:eastAsia="宋体" w:cs="宋体"/>
          <w:color w:val="auto"/>
          <w:sz w:val="24"/>
          <w:szCs w:val="24"/>
          <w:highlight w:val="none"/>
          <w:lang w:val="zh-TW" w:eastAsia="zh-TW"/>
        </w:rPr>
        <w:t>、强行终止</w:t>
      </w:r>
    </w:p>
    <w:p w14:paraId="2DF3FC8D">
      <w:pPr>
        <w:keepNext w:val="0"/>
        <w:keepLines w:val="0"/>
        <w:pageBreakBefore w:val="0"/>
        <w:widowControl w:val="0"/>
        <w:kinsoku/>
        <w:wordWrap/>
        <w:overflowPunct/>
        <w:topLinePunct w:val="0"/>
        <w:bidi w:val="0"/>
        <w:adjustRightInd/>
        <w:snapToGrid/>
        <w:spacing w:line="48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TW" w:eastAsia="zh-TW"/>
        </w:rPr>
        <w:t>如乙方有以下行为之一的，甲方有权强行终止合同，乙方</w:t>
      </w:r>
      <w:r>
        <w:rPr>
          <w:rFonts w:hint="eastAsia" w:ascii="宋体" w:hAnsi="宋体" w:cs="宋体"/>
          <w:color w:val="auto"/>
          <w:sz w:val="24"/>
          <w:szCs w:val="24"/>
          <w:highlight w:val="none"/>
          <w:lang w:val="en-US" w:eastAsia="zh-CN"/>
        </w:rPr>
        <w:t>除应</w:t>
      </w:r>
      <w:r>
        <w:rPr>
          <w:rFonts w:hint="eastAsia" w:ascii="宋体" w:hAnsi="宋体" w:eastAsia="宋体" w:cs="宋体"/>
          <w:color w:val="auto"/>
          <w:sz w:val="24"/>
          <w:szCs w:val="24"/>
          <w:highlight w:val="none"/>
          <w:lang w:val="zh-TW" w:eastAsia="zh-TW"/>
        </w:rPr>
        <w:t>承担所有损失</w:t>
      </w:r>
      <w:r>
        <w:rPr>
          <w:rFonts w:hint="eastAsia" w:ascii="宋体" w:hAnsi="宋体" w:cs="宋体"/>
          <w:color w:val="auto"/>
          <w:sz w:val="24"/>
          <w:szCs w:val="24"/>
          <w:highlight w:val="none"/>
          <w:lang w:val="en-US" w:eastAsia="zh-CN"/>
        </w:rPr>
        <w:t>外，还应当支付本合同基础服务费的20%作为违约金</w:t>
      </w:r>
      <w:r>
        <w:rPr>
          <w:rFonts w:hint="eastAsia" w:ascii="宋体" w:hAnsi="宋体" w:eastAsia="宋体" w:cs="宋体"/>
          <w:color w:val="auto"/>
          <w:sz w:val="24"/>
          <w:szCs w:val="24"/>
          <w:highlight w:val="none"/>
        </w:rPr>
        <w:t>。</w:t>
      </w:r>
    </w:p>
    <w:p w14:paraId="5781BD4C">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zh-CN"/>
        </w:rPr>
        <w:t>）无法按照甲方要求完成日常巡查及台账等工作，连续</w:t>
      </w:r>
      <w:r>
        <w:rPr>
          <w:rFonts w:hint="eastAsia" w:ascii="宋体" w:hAnsi="宋体" w:eastAsia="宋体" w:cs="宋体"/>
          <w:color w:val="auto"/>
          <w:kern w:val="0"/>
          <w:sz w:val="24"/>
          <w:szCs w:val="24"/>
          <w:highlight w:val="none"/>
          <w:lang w:val="en-US" w:eastAsia="zh-CN"/>
        </w:rPr>
        <w:t>2周巡查</w:t>
      </w:r>
      <w:r>
        <w:rPr>
          <w:rFonts w:hint="eastAsia" w:ascii="宋体" w:hAnsi="宋体" w:eastAsia="宋体" w:cs="宋体"/>
          <w:color w:val="auto"/>
          <w:kern w:val="0"/>
          <w:sz w:val="24"/>
          <w:szCs w:val="24"/>
          <w:highlight w:val="none"/>
          <w:lang w:val="zh-CN"/>
        </w:rPr>
        <w:t>完成率不到</w:t>
      </w:r>
      <w:r>
        <w:rPr>
          <w:rFonts w:hint="eastAsia" w:ascii="宋体" w:hAnsi="宋体" w:eastAsia="宋体" w:cs="宋体"/>
          <w:color w:val="auto"/>
          <w:kern w:val="0"/>
          <w:sz w:val="24"/>
          <w:szCs w:val="24"/>
          <w:highlight w:val="none"/>
          <w:lang w:val="en-US" w:eastAsia="zh-CN"/>
        </w:rPr>
        <w:t>50%的；</w:t>
      </w:r>
    </w:p>
    <w:p w14:paraId="70873B6E">
      <w:pPr>
        <w:keepNext w:val="0"/>
        <w:keepLines w:val="0"/>
        <w:pageBreakBefore w:val="0"/>
        <w:widowControl w:val="0"/>
        <w:kinsoku/>
        <w:wordWrap/>
        <w:overflowPunct/>
        <w:topLinePunct w:val="0"/>
        <w:autoSpaceDE w:val="0"/>
        <w:autoSpaceDN w:val="0"/>
        <w:bidi w:val="0"/>
        <w:adjustRightInd/>
        <w:snapToGrid/>
        <w:spacing w:line="480" w:lineRule="auto"/>
        <w:ind w:left="0" w:leftChars="0" w:firstLine="480" w:firstLineChars="200"/>
        <w:jc w:val="both"/>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（2）每月无法按时提供街道生活垃圾分类工作情况通报的；</w:t>
      </w:r>
    </w:p>
    <w:p w14:paraId="68995633">
      <w:pPr>
        <w:keepNext w:val="0"/>
        <w:keepLines w:val="0"/>
        <w:pageBreakBefore w:val="0"/>
        <w:widowControl w:val="0"/>
        <w:kinsoku/>
        <w:wordWrap/>
        <w:overflowPunct/>
        <w:topLinePunct w:val="0"/>
        <w:autoSpaceDE w:val="0"/>
        <w:autoSpaceDN w:val="0"/>
        <w:bidi w:val="0"/>
        <w:adjustRightInd/>
        <w:snapToGrid/>
        <w:spacing w:line="480" w:lineRule="auto"/>
        <w:ind w:left="0" w:leftChars="0" w:firstLine="480" w:firstLineChars="200"/>
        <w:jc w:val="both"/>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（3）上级检查考核情况成绩差，连续2次市级月度考核排名60以后，或出现2次市级月度考核80名以后的，或出现3次列入市级黑榜单位的；</w:t>
      </w:r>
    </w:p>
    <w:p w14:paraId="50928612">
      <w:pPr>
        <w:keepNext w:val="0"/>
        <w:keepLines w:val="0"/>
        <w:pageBreakBefore w:val="0"/>
        <w:widowControl w:val="0"/>
        <w:kinsoku/>
        <w:wordWrap/>
        <w:overflowPunct/>
        <w:topLinePunct w:val="0"/>
        <w:bidi w:val="0"/>
        <w:adjustRightInd/>
        <w:snapToGrid/>
        <w:spacing w:line="48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（4）乙方将本项目整体或部分责任及利益对外转让、转包或分包的；</w:t>
      </w:r>
    </w:p>
    <w:p w14:paraId="6F3A1B46">
      <w:pPr>
        <w:keepNext w:val="0"/>
        <w:keepLines w:val="0"/>
        <w:pageBreakBefore w:val="0"/>
        <w:widowControl w:val="0"/>
        <w:kinsoku/>
        <w:wordWrap/>
        <w:overflowPunct/>
        <w:topLinePunct w:val="0"/>
        <w:bidi w:val="0"/>
        <w:adjustRightInd/>
        <w:snapToGrid/>
        <w:spacing w:line="48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（5）因乙方服务问题导致垃圾分类工作被媒体曝光或引发舆情的。</w:t>
      </w:r>
    </w:p>
    <w:p w14:paraId="47A46CF2">
      <w:pPr>
        <w:keepNext w:val="0"/>
        <w:keepLines w:val="0"/>
        <w:pageBreakBefore w:val="0"/>
        <w:widowControl w:val="0"/>
        <w:kinsoku/>
        <w:wordWrap/>
        <w:overflowPunct/>
        <w:topLinePunct w:val="0"/>
        <w:bidi w:val="0"/>
        <w:adjustRightInd/>
        <w:snapToGrid/>
        <w:spacing w:line="480" w:lineRule="auto"/>
        <w:ind w:left="0" w:leftChars="0" w:firstLine="562" w:firstLineChars="200"/>
        <w:textAlignment w:val="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十、</w:t>
      </w:r>
      <w:r>
        <w:rPr>
          <w:rFonts w:hint="eastAsia" w:ascii="宋体" w:hAnsi="宋体" w:eastAsia="宋体" w:cs="宋体"/>
          <w:b/>
          <w:color w:val="auto"/>
          <w:sz w:val="28"/>
          <w:szCs w:val="28"/>
          <w:highlight w:val="none"/>
        </w:rPr>
        <w:t>合同生效</w:t>
      </w:r>
    </w:p>
    <w:p w14:paraId="38B1D1AD">
      <w:pPr>
        <w:keepNext w:val="0"/>
        <w:keepLines w:val="0"/>
        <w:pageBreakBefore w:val="0"/>
        <w:widowControl w:val="0"/>
        <w:kinsoku/>
        <w:wordWrap/>
        <w:overflowPunct/>
        <w:topLinePunct w:val="0"/>
        <w:bidi w:val="0"/>
        <w:adjustRightInd/>
        <w:snapToGrid/>
        <w:spacing w:line="480" w:lineRule="auto"/>
        <w:ind w:left="0" w:leftChars="0" w:firstLine="480" w:firstLineChars="200"/>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rPr>
        <w:t xml:space="preserve"> 肆 </w:t>
      </w:r>
      <w:r>
        <w:rPr>
          <w:rFonts w:hint="eastAsia" w:ascii="宋体" w:hAnsi="宋体" w:eastAsia="宋体" w:cs="宋体"/>
          <w:color w:val="auto"/>
          <w:sz w:val="24"/>
          <w:szCs w:val="24"/>
          <w:highlight w:val="none"/>
        </w:rPr>
        <w:t>份，甲方执</w:t>
      </w:r>
      <w:r>
        <w:rPr>
          <w:rFonts w:hint="eastAsia" w:ascii="宋体" w:hAnsi="宋体" w:eastAsia="宋体" w:cs="宋体"/>
          <w:color w:val="auto"/>
          <w:sz w:val="24"/>
          <w:szCs w:val="24"/>
          <w:highlight w:val="none"/>
          <w:u w:val="single"/>
        </w:rPr>
        <w:t xml:space="preserve"> 贰 </w:t>
      </w:r>
      <w:r>
        <w:rPr>
          <w:rFonts w:hint="eastAsia" w:ascii="宋体" w:hAnsi="宋体" w:eastAsia="宋体" w:cs="宋体"/>
          <w:color w:val="auto"/>
          <w:sz w:val="24"/>
          <w:szCs w:val="24"/>
          <w:highlight w:val="none"/>
        </w:rPr>
        <w:t>份，乙方执</w:t>
      </w:r>
      <w:r>
        <w:rPr>
          <w:rFonts w:hint="eastAsia" w:ascii="宋体" w:hAnsi="宋体" w:eastAsia="宋体" w:cs="宋体"/>
          <w:color w:val="auto"/>
          <w:sz w:val="24"/>
          <w:szCs w:val="24"/>
          <w:highlight w:val="none"/>
          <w:u w:val="single"/>
        </w:rPr>
        <w:t xml:space="preserve"> 贰 </w:t>
      </w:r>
      <w:r>
        <w:rPr>
          <w:rFonts w:hint="eastAsia" w:ascii="宋体" w:hAnsi="宋体" w:eastAsia="宋体" w:cs="宋体"/>
          <w:color w:val="auto"/>
          <w:sz w:val="24"/>
          <w:szCs w:val="24"/>
          <w:highlight w:val="none"/>
        </w:rPr>
        <w:t>份</w:t>
      </w:r>
      <w:r>
        <w:rPr>
          <w:rFonts w:hint="eastAsia" w:cs="宋体"/>
          <w:color w:val="auto"/>
          <w:sz w:val="24"/>
          <w:szCs w:val="24"/>
          <w:highlight w:val="none"/>
          <w:lang w:eastAsia="zh-CN"/>
        </w:rPr>
        <w:t>，</w:t>
      </w:r>
      <w:r>
        <w:rPr>
          <w:rFonts w:hint="eastAsia" w:cs="宋体"/>
          <w:color w:val="auto"/>
          <w:sz w:val="24"/>
          <w:szCs w:val="24"/>
          <w:highlight w:val="none"/>
          <w:lang w:val="en-US" w:eastAsia="zh-CN"/>
        </w:rPr>
        <w:t>具有同等的法律效力。</w:t>
      </w:r>
    </w:p>
    <w:p w14:paraId="5304937F">
      <w:pPr>
        <w:keepNext w:val="0"/>
        <w:keepLines w:val="0"/>
        <w:pageBreakBefore w:val="0"/>
        <w:widowControl w:val="0"/>
        <w:kinsoku/>
        <w:wordWrap/>
        <w:overflowPunct/>
        <w:topLinePunct w:val="0"/>
        <w:bidi w:val="0"/>
        <w:adjustRightInd/>
        <w:snapToGrid/>
        <w:spacing w:line="480" w:lineRule="auto"/>
        <w:ind w:left="0" w:leftChars="0"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rPr>
        <w:t>自本合同由甲乙双方签字</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盖章之日起生效。</w:t>
      </w:r>
    </w:p>
    <w:p w14:paraId="5717E623">
      <w:pPr>
        <w:keepNext w:val="0"/>
        <w:keepLines w:val="0"/>
        <w:pageBreakBefore w:val="0"/>
        <w:widowControl w:val="0"/>
        <w:kinsoku/>
        <w:wordWrap/>
        <w:overflowPunct/>
        <w:topLinePunct w:val="0"/>
        <w:bidi w:val="0"/>
        <w:adjustRightInd/>
        <w:snapToGrid/>
        <w:spacing w:line="480" w:lineRule="auto"/>
        <w:ind w:left="0" w:leftChars="0" w:firstLine="0" w:firstLineChars="0"/>
        <w:textAlignment w:val="auto"/>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以下无正文，为合同签署页）</w:t>
      </w:r>
    </w:p>
    <w:p w14:paraId="66798698">
      <w:pPr>
        <w:keepNext w:val="0"/>
        <w:keepLines w:val="0"/>
        <w:pageBreakBefore w:val="0"/>
        <w:widowControl w:val="0"/>
        <w:kinsoku/>
        <w:wordWrap/>
        <w:overflowPunct/>
        <w:topLinePunct w:val="0"/>
        <w:bidi w:val="0"/>
        <w:adjustRightInd/>
        <w:snapToGrid/>
        <w:spacing w:line="480" w:lineRule="auto"/>
        <w:ind w:left="0" w:leftChars="0" w:firstLine="0" w:firstLineChars="0"/>
        <w:textAlignment w:val="auto"/>
        <w:rPr>
          <w:rFonts w:hint="eastAsia" w:cs="宋体"/>
          <w:color w:val="auto"/>
          <w:sz w:val="24"/>
          <w:szCs w:val="24"/>
          <w:highlight w:val="none"/>
          <w:lang w:eastAsia="zh-CN"/>
        </w:rPr>
        <w:sectPr>
          <w:headerReference r:id="rId9" w:type="first"/>
          <w:footerReference r:id="rId11" w:type="first"/>
          <w:headerReference r:id="rId8" w:type="default"/>
          <w:footerReference r:id="rId10" w:type="default"/>
          <w:pgSz w:w="11906" w:h="16838"/>
          <w:pgMar w:top="1440" w:right="1080" w:bottom="1440" w:left="1080" w:header="851" w:footer="992" w:gutter="0"/>
          <w:cols w:space="720" w:num="1"/>
          <w:titlePg/>
          <w:docGrid w:linePitch="312" w:charSpace="0"/>
        </w:sectPr>
      </w:pPr>
    </w:p>
    <w:p w14:paraId="239B1928">
      <w:pPr>
        <w:keepNext w:val="0"/>
        <w:keepLines w:val="0"/>
        <w:pageBreakBefore w:val="0"/>
        <w:widowControl w:val="0"/>
        <w:kinsoku/>
        <w:wordWrap/>
        <w:overflowPunct/>
        <w:topLinePunct w:val="0"/>
        <w:bidi w:val="0"/>
        <w:adjustRightInd/>
        <w:snapToGrid/>
        <w:spacing w:line="480" w:lineRule="auto"/>
        <w:ind w:left="0" w:leftChars="0" w:firstLine="0" w:firstLineChars="0"/>
        <w:textAlignment w:val="auto"/>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本页无正文，为合同签署页）</w:t>
      </w:r>
    </w:p>
    <w:p w14:paraId="02158D2F">
      <w:pPr>
        <w:tabs>
          <w:tab w:val="left" w:pos="0"/>
        </w:tabs>
        <w:spacing w:line="360" w:lineRule="auto"/>
        <w:ind w:firstLine="560" w:firstLineChars="200"/>
        <w:rPr>
          <w:rFonts w:hint="eastAsia" w:ascii="仿宋" w:hAnsi="仿宋" w:eastAsia="仿宋" w:cs="仿宋"/>
          <w:color w:val="auto"/>
          <w:sz w:val="28"/>
          <w:szCs w:val="28"/>
          <w:highlight w:val="none"/>
          <w:lang w:val="zh-CN"/>
        </w:rPr>
      </w:pPr>
    </w:p>
    <w:p w14:paraId="5C642610">
      <w:pPr>
        <w:tabs>
          <w:tab w:val="left" w:pos="0"/>
        </w:tabs>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甲方：                                    乙方：</w:t>
      </w:r>
    </w:p>
    <w:p w14:paraId="46F76CC0">
      <w:pPr>
        <w:tabs>
          <w:tab w:val="left" w:pos="0"/>
        </w:tabs>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单位名称（公章）：                        单位名称（公章）：</w:t>
      </w:r>
    </w:p>
    <w:p w14:paraId="528CAFD1">
      <w:pPr>
        <w:tabs>
          <w:tab w:val="left" w:pos="0"/>
        </w:tabs>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法定代表人法定代表人                      法定代表人法定代表人</w:t>
      </w:r>
    </w:p>
    <w:p w14:paraId="6EFCF59F">
      <w:pPr>
        <w:tabs>
          <w:tab w:val="left" w:pos="0"/>
        </w:tabs>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或委托代理人（签字）：                    或其委托代理人（签字）：</w:t>
      </w:r>
    </w:p>
    <w:p w14:paraId="597D77DE">
      <w:pPr>
        <w:tabs>
          <w:tab w:val="left" w:pos="0"/>
        </w:tabs>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邮政编码：                                邮政编码：</w:t>
      </w:r>
    </w:p>
    <w:p w14:paraId="477F453A">
      <w:pPr>
        <w:tabs>
          <w:tab w:val="left" w:pos="0"/>
        </w:tabs>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电话：                                    电话：</w:t>
      </w:r>
    </w:p>
    <w:p w14:paraId="301E2774">
      <w:pPr>
        <w:tabs>
          <w:tab w:val="left" w:pos="0"/>
        </w:tabs>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开户银行：                                开户银行：</w:t>
      </w:r>
    </w:p>
    <w:p w14:paraId="5772AC55">
      <w:pPr>
        <w:widowControl/>
        <w:adjustRightInd/>
        <w:ind w:firstLine="560" w:firstLineChars="200"/>
        <w:jc w:val="left"/>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lang w:val="zh-CN"/>
        </w:rPr>
        <w:t>账号：                                    账号：</w:t>
      </w:r>
      <w:r>
        <w:rPr>
          <w:rFonts w:hint="eastAsia" w:ascii="仿宋" w:hAnsi="仿宋" w:eastAsia="仿宋" w:cs="仿宋"/>
          <w:color w:val="auto"/>
          <w:sz w:val="28"/>
          <w:szCs w:val="28"/>
          <w:highlight w:val="none"/>
          <w:lang w:val="zh-CN"/>
        </w:rPr>
        <w:tab/>
      </w:r>
      <w:r>
        <w:rPr>
          <w:rFonts w:hint="eastAsia" w:ascii="仿宋" w:hAnsi="仿宋" w:eastAsia="仿宋" w:cs="仿宋"/>
          <w:b/>
          <w:color w:val="auto"/>
          <w:sz w:val="28"/>
          <w:szCs w:val="28"/>
          <w:highlight w:val="none"/>
        </w:rPr>
        <w:br w:type="page"/>
      </w:r>
    </w:p>
    <w:p w14:paraId="654A2932">
      <w:pPr>
        <w:widowControl/>
        <w:adjustRightInd/>
        <w:jc w:val="cente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2"/>
      <w:r>
        <w:rPr>
          <w:rFonts w:hint="eastAsia" w:ascii="仿宋" w:hAnsi="仿宋" w:eastAsia="仿宋" w:cs="仿宋"/>
          <w:b/>
          <w:color w:val="auto"/>
          <w:sz w:val="36"/>
          <w:szCs w:val="20"/>
          <w:highlight w:val="none"/>
        </w:rPr>
        <w:t xml:space="preserve"> </w:t>
      </w:r>
      <w:bookmarkEnd w:id="393"/>
      <w:r>
        <w:rPr>
          <w:rFonts w:hint="eastAsia" w:ascii="仿宋" w:hAnsi="仿宋" w:eastAsia="仿宋" w:cs="仿宋"/>
          <w:b/>
          <w:color w:val="auto"/>
          <w:sz w:val="36"/>
          <w:szCs w:val="20"/>
          <w:highlight w:val="none"/>
        </w:rPr>
        <w:t>应提交的有关格式范例</w:t>
      </w:r>
    </w:p>
    <w:p w14:paraId="691B47B7">
      <w:pPr>
        <w:spacing w:line="360" w:lineRule="auto"/>
        <w:jc w:val="center"/>
        <w:outlineLvl w:val="0"/>
        <w:rPr>
          <w:rFonts w:ascii="仿宋" w:hAnsi="仿宋" w:eastAsia="仿宋" w:cs="仿宋"/>
          <w:b/>
          <w:color w:val="auto"/>
          <w:kern w:val="0"/>
          <w:sz w:val="36"/>
          <w:szCs w:val="36"/>
          <w:highlight w:val="none"/>
        </w:rPr>
      </w:pPr>
    </w:p>
    <w:p w14:paraId="569B2E8A">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1A555607">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56D2019D">
      <w:pPr>
        <w:spacing w:line="360" w:lineRule="auto"/>
        <w:jc w:val="center"/>
        <w:outlineLvl w:val="0"/>
        <w:rPr>
          <w:rFonts w:ascii="仿宋" w:hAnsi="仿宋" w:eastAsia="仿宋" w:cs="仿宋"/>
          <w:b/>
          <w:color w:val="auto"/>
          <w:kern w:val="0"/>
          <w:sz w:val="36"/>
          <w:szCs w:val="36"/>
          <w:highlight w:val="none"/>
        </w:rPr>
      </w:pPr>
    </w:p>
    <w:p w14:paraId="5194D148">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552D8A8D">
      <w:pPr>
        <w:snapToGrid w:val="0"/>
        <w:spacing w:line="360" w:lineRule="auto"/>
        <w:rPr>
          <w:rFonts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4F29236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7841157D">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73E25724">
      <w:pPr>
        <w:snapToGrid w:val="0"/>
        <w:spacing w:line="360" w:lineRule="auto"/>
        <w:ind w:firstLine="480" w:firstLineChars="200"/>
        <w:rPr>
          <w:rFonts w:ascii="仿宋" w:hAnsi="仿宋" w:eastAsia="仿宋" w:cs="仿宋"/>
          <w:color w:val="auto"/>
          <w:sz w:val="24"/>
          <w:highlight w:val="none"/>
        </w:rPr>
      </w:pPr>
    </w:p>
    <w:p w14:paraId="4D35EE4C">
      <w:pPr>
        <w:spacing w:line="360" w:lineRule="auto"/>
        <w:ind w:firstLine="480" w:firstLineChars="200"/>
        <w:rPr>
          <w:rFonts w:ascii="仿宋" w:hAnsi="仿宋" w:eastAsia="仿宋" w:cs="仿宋"/>
          <w:color w:val="auto"/>
          <w:sz w:val="24"/>
          <w:highlight w:val="none"/>
        </w:rPr>
      </w:pPr>
    </w:p>
    <w:p w14:paraId="2903BAF1">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0F278785">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szCs w:val="24"/>
          <w:highlight w:val="none"/>
          <w:lang w:val="zh-CN"/>
        </w:rPr>
        <w:t>杭州市拱墅区人民政府康桥街道办事处</w:t>
      </w:r>
      <w:r>
        <w:rPr>
          <w:rFonts w:hint="eastAsia" w:ascii="仿宋" w:hAnsi="仿宋" w:eastAsia="仿宋" w:cs="仿宋"/>
          <w:color w:val="auto"/>
          <w:sz w:val="24"/>
          <w:highlight w:val="none"/>
        </w:rPr>
        <w:t>、杭州大江建设项目管理有限公司：</w:t>
      </w:r>
    </w:p>
    <w:p w14:paraId="7A86B63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我方参与康桥街道垃圾分类服务项目【招标编号：KQ-HZDJ-20250211】政府采购活动，郑重承诺：</w:t>
      </w:r>
    </w:p>
    <w:p w14:paraId="1D09E920">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2041357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00ADAD1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21D70DE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523DEF2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2D0C770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523F578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630EC0C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48062BC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2FC9F51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71CD3D7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69BCCA16">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0AA19A91">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74B367B7">
      <w:pPr>
        <w:snapToGrid w:val="0"/>
        <w:spacing w:line="360" w:lineRule="auto"/>
        <w:ind w:right="480"/>
        <w:jc w:val="center"/>
        <w:rPr>
          <w:rFonts w:ascii="仿宋" w:hAnsi="仿宋" w:eastAsia="仿宋" w:cs="仿宋"/>
          <w:b/>
          <w:color w:val="auto"/>
          <w:kern w:val="0"/>
          <w:sz w:val="32"/>
          <w:szCs w:val="32"/>
          <w:highlight w:val="none"/>
        </w:rPr>
      </w:pPr>
    </w:p>
    <w:p w14:paraId="219EDCC8">
      <w:pPr>
        <w:snapToGrid w:val="0"/>
        <w:spacing w:line="360" w:lineRule="auto"/>
        <w:ind w:right="480"/>
        <w:jc w:val="center"/>
        <w:rPr>
          <w:rFonts w:ascii="仿宋" w:hAnsi="仿宋" w:eastAsia="仿宋" w:cs="仿宋"/>
          <w:b/>
          <w:color w:val="auto"/>
          <w:kern w:val="0"/>
          <w:sz w:val="32"/>
          <w:szCs w:val="32"/>
          <w:highlight w:val="none"/>
        </w:rPr>
      </w:pPr>
    </w:p>
    <w:p w14:paraId="66889D86">
      <w:pPr>
        <w:snapToGrid w:val="0"/>
        <w:spacing w:line="360" w:lineRule="auto"/>
        <w:ind w:right="480"/>
        <w:jc w:val="center"/>
        <w:rPr>
          <w:rFonts w:ascii="仿宋" w:hAnsi="仿宋" w:eastAsia="仿宋" w:cs="仿宋"/>
          <w:b/>
          <w:color w:val="auto"/>
          <w:kern w:val="0"/>
          <w:sz w:val="32"/>
          <w:szCs w:val="32"/>
          <w:highlight w:val="none"/>
        </w:rPr>
      </w:pPr>
    </w:p>
    <w:p w14:paraId="221018B7">
      <w:pPr>
        <w:rPr>
          <w:rFonts w:ascii="仿宋" w:hAnsi="仿宋" w:eastAsia="仿宋" w:cs="仿宋"/>
          <w:color w:val="auto"/>
          <w:highlight w:val="none"/>
        </w:rPr>
      </w:pPr>
    </w:p>
    <w:p w14:paraId="5E90E1B2">
      <w:pPr>
        <w:snapToGrid w:val="0"/>
        <w:spacing w:line="360" w:lineRule="auto"/>
        <w:ind w:right="480"/>
        <w:jc w:val="center"/>
        <w:rPr>
          <w:rFonts w:ascii="仿宋" w:hAnsi="仿宋" w:eastAsia="仿宋" w:cs="仿宋"/>
          <w:b/>
          <w:color w:val="auto"/>
          <w:kern w:val="0"/>
          <w:sz w:val="32"/>
          <w:szCs w:val="32"/>
          <w:highlight w:val="none"/>
        </w:rPr>
      </w:pPr>
    </w:p>
    <w:p w14:paraId="772F52DC">
      <w:pPr>
        <w:snapToGrid w:val="0"/>
        <w:spacing w:line="360" w:lineRule="auto"/>
        <w:ind w:right="480"/>
        <w:jc w:val="center"/>
        <w:rPr>
          <w:rFonts w:ascii="仿宋" w:hAnsi="仿宋" w:eastAsia="仿宋" w:cs="仿宋"/>
          <w:b/>
          <w:color w:val="auto"/>
          <w:kern w:val="0"/>
          <w:sz w:val="32"/>
          <w:szCs w:val="32"/>
          <w:highlight w:val="none"/>
        </w:rPr>
      </w:pPr>
    </w:p>
    <w:p w14:paraId="6D8AC305">
      <w:pPr>
        <w:snapToGrid w:val="0"/>
        <w:spacing w:line="360" w:lineRule="auto"/>
        <w:ind w:right="480"/>
        <w:jc w:val="center"/>
        <w:rPr>
          <w:rFonts w:ascii="仿宋" w:hAnsi="仿宋" w:eastAsia="仿宋" w:cs="仿宋"/>
          <w:b/>
          <w:color w:val="auto"/>
          <w:kern w:val="0"/>
          <w:sz w:val="32"/>
          <w:szCs w:val="32"/>
          <w:highlight w:val="none"/>
        </w:rPr>
      </w:pPr>
    </w:p>
    <w:p w14:paraId="7F6895D1">
      <w:pPr>
        <w:widowControl/>
        <w:adjustRightInd/>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A486EA1">
      <w:pPr>
        <w:widowControl/>
        <w:spacing w:line="360" w:lineRule="auto"/>
        <w:ind w:firstLine="643" w:firstLineChars="20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77C9127E">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77D75D36">
      <w:pPr>
        <w:snapToGrid w:val="0"/>
        <w:spacing w:line="360" w:lineRule="auto"/>
        <w:ind w:right="480"/>
        <w:jc w:val="center"/>
        <w:rPr>
          <w:rFonts w:ascii="仿宋" w:hAnsi="仿宋" w:eastAsia="仿宋" w:cs="仿宋"/>
          <w:b/>
          <w:color w:val="auto"/>
          <w:kern w:val="0"/>
          <w:sz w:val="32"/>
          <w:szCs w:val="32"/>
          <w:highlight w:val="none"/>
        </w:rPr>
      </w:pPr>
    </w:p>
    <w:p w14:paraId="1C1FE11F">
      <w:pPr>
        <w:snapToGrid w:val="0"/>
        <w:spacing w:line="360" w:lineRule="auto"/>
        <w:ind w:right="480"/>
        <w:jc w:val="center"/>
        <w:rPr>
          <w:rFonts w:ascii="仿宋" w:hAnsi="仿宋" w:eastAsia="仿宋" w:cs="仿宋"/>
          <w:b/>
          <w:color w:val="auto"/>
          <w:kern w:val="0"/>
          <w:sz w:val="32"/>
          <w:szCs w:val="32"/>
          <w:highlight w:val="none"/>
        </w:rPr>
      </w:pPr>
    </w:p>
    <w:p w14:paraId="0E0C2986">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03A1A33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6AFE5A67">
      <w:pPr>
        <w:snapToGrid w:val="0"/>
        <w:spacing w:before="50" w:after="50"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3ADF05D3">
      <w:pPr>
        <w:widowControl/>
        <w:spacing w:line="360" w:lineRule="auto"/>
        <w:ind w:firstLine="480"/>
        <w:jc w:val="left"/>
        <w:rPr>
          <w:rFonts w:ascii="仿宋" w:hAnsi="仿宋" w:eastAsia="仿宋" w:cs="仿宋"/>
          <w:color w:val="auto"/>
          <w:sz w:val="24"/>
          <w:highlight w:val="none"/>
        </w:rPr>
      </w:pPr>
    </w:p>
    <w:p w14:paraId="18EF326B">
      <w:pPr>
        <w:widowControl/>
        <w:spacing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2B6DE047">
      <w:pPr>
        <w:snapToGrid w:val="0"/>
        <w:spacing w:before="50" w:after="50" w:line="360" w:lineRule="auto"/>
        <w:jc w:val="center"/>
        <w:rPr>
          <w:rFonts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3141E07B">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474D9C9C">
      <w:pPr>
        <w:widowControl/>
        <w:spacing w:line="360" w:lineRule="auto"/>
        <w:ind w:left="150"/>
        <w:jc w:val="center"/>
        <w:rPr>
          <w:rFonts w:ascii="仿宋" w:hAnsi="仿宋" w:eastAsia="仿宋" w:cs="仿宋"/>
          <w:b/>
          <w:color w:val="auto"/>
          <w:kern w:val="0"/>
          <w:sz w:val="32"/>
          <w:szCs w:val="32"/>
          <w:highlight w:val="none"/>
        </w:rPr>
      </w:pPr>
    </w:p>
    <w:p w14:paraId="077DE2EB">
      <w:pPr>
        <w:widowControl/>
        <w:spacing w:line="360" w:lineRule="auto"/>
        <w:ind w:left="15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03770779">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086665FB">
      <w:pPr>
        <w:rPr>
          <w:rFonts w:ascii="仿宋" w:hAnsi="仿宋" w:eastAsia="仿宋" w:cs="仿宋"/>
          <w:color w:val="auto"/>
          <w:highlight w:val="none"/>
        </w:rPr>
      </w:pPr>
    </w:p>
    <w:p w14:paraId="5B630A6D">
      <w:pPr>
        <w:snapToGrid w:val="0"/>
        <w:spacing w:line="360" w:lineRule="auto"/>
        <w:ind w:right="480"/>
        <w:jc w:val="center"/>
        <w:rPr>
          <w:rFonts w:ascii="仿宋" w:hAnsi="仿宋" w:eastAsia="仿宋" w:cs="仿宋"/>
          <w:b/>
          <w:color w:val="auto"/>
          <w:kern w:val="0"/>
          <w:sz w:val="32"/>
          <w:szCs w:val="32"/>
          <w:highlight w:val="none"/>
        </w:rPr>
      </w:pPr>
    </w:p>
    <w:p w14:paraId="0193D2F0">
      <w:pPr>
        <w:widowControl/>
        <w:adjustRightInd/>
        <w:jc w:val="left"/>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1F1004C6">
      <w:pPr>
        <w:spacing w:line="360" w:lineRule="auto"/>
        <w:ind w:right="420" w:firstLine="3614" w:firstLineChars="100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4493F3A0">
      <w:pPr>
        <w:spacing w:line="360" w:lineRule="auto"/>
        <w:jc w:val="center"/>
        <w:outlineLvl w:val="0"/>
        <w:rPr>
          <w:rFonts w:ascii="仿宋" w:hAnsi="仿宋" w:eastAsia="仿宋" w:cs="仿宋"/>
          <w:b/>
          <w:color w:val="auto"/>
          <w:kern w:val="0"/>
          <w:sz w:val="24"/>
          <w:highlight w:val="none"/>
        </w:rPr>
      </w:pPr>
    </w:p>
    <w:p w14:paraId="7AF62257">
      <w:pPr>
        <w:spacing w:line="360"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4F906AA0">
      <w:pPr>
        <w:numPr>
          <w:ilvl w:val="0"/>
          <w:numId w:val="7"/>
        </w:num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投标函</w:t>
      </w:r>
      <w:r>
        <w:rPr>
          <w:rFonts w:hint="eastAsia" w:ascii="仿宋" w:hAnsi="仿宋" w:eastAsia="仿宋" w:cs="仿宋"/>
          <w:color w:val="auto"/>
          <w:highlight w:val="none"/>
        </w:rPr>
        <w:t>………………………………………………………………………………………（页码）</w:t>
      </w:r>
    </w:p>
    <w:p w14:paraId="72576240">
      <w:pPr>
        <w:numPr>
          <w:ilvl w:val="0"/>
          <w:numId w:val="7"/>
        </w:num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授权委托书或法定代表人（单位负责人、自然人本人）身份证明</w:t>
      </w:r>
      <w:r>
        <w:rPr>
          <w:rFonts w:hint="eastAsia" w:ascii="仿宋" w:hAnsi="仿宋" w:eastAsia="仿宋" w:cs="仿宋"/>
          <w:color w:val="auto"/>
          <w:highlight w:val="none"/>
        </w:rPr>
        <w:t>…………（页码）</w:t>
      </w:r>
    </w:p>
    <w:p w14:paraId="1D612132">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32433D07">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5889026B">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1B2EAAA6">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68556BBB">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3012E570">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5FF8C0DE">
      <w:pPr>
        <w:snapToGrid w:val="0"/>
        <w:spacing w:line="360" w:lineRule="auto"/>
        <w:jc w:val="center"/>
        <w:rPr>
          <w:rFonts w:ascii="仿宋" w:hAnsi="仿宋" w:eastAsia="仿宋" w:cs="仿宋"/>
          <w:b/>
          <w:color w:val="auto"/>
          <w:kern w:val="0"/>
          <w:sz w:val="32"/>
          <w:szCs w:val="32"/>
          <w:highlight w:val="none"/>
          <w:lang w:val="zh-CN"/>
        </w:rPr>
      </w:pPr>
    </w:p>
    <w:p w14:paraId="650BF3EA">
      <w:pPr>
        <w:snapToGrid w:val="0"/>
        <w:spacing w:line="360" w:lineRule="auto"/>
        <w:jc w:val="center"/>
        <w:rPr>
          <w:rFonts w:ascii="仿宋" w:hAnsi="仿宋" w:eastAsia="仿宋" w:cs="仿宋"/>
          <w:b/>
          <w:color w:val="auto"/>
          <w:kern w:val="0"/>
          <w:sz w:val="32"/>
          <w:szCs w:val="32"/>
          <w:highlight w:val="none"/>
          <w:lang w:val="zh-CN"/>
        </w:rPr>
      </w:pPr>
    </w:p>
    <w:p w14:paraId="16994E19">
      <w:pPr>
        <w:snapToGrid w:val="0"/>
        <w:spacing w:line="360" w:lineRule="auto"/>
        <w:jc w:val="center"/>
        <w:rPr>
          <w:rFonts w:ascii="仿宋" w:hAnsi="仿宋" w:eastAsia="仿宋" w:cs="仿宋"/>
          <w:b/>
          <w:color w:val="auto"/>
          <w:kern w:val="0"/>
          <w:sz w:val="32"/>
          <w:szCs w:val="32"/>
          <w:highlight w:val="none"/>
          <w:lang w:val="zh-CN"/>
        </w:rPr>
      </w:pPr>
    </w:p>
    <w:p w14:paraId="1255D2C0">
      <w:pPr>
        <w:snapToGrid w:val="0"/>
        <w:spacing w:line="360" w:lineRule="auto"/>
        <w:jc w:val="center"/>
        <w:rPr>
          <w:rFonts w:ascii="仿宋" w:hAnsi="仿宋" w:eastAsia="仿宋" w:cs="仿宋"/>
          <w:b/>
          <w:color w:val="auto"/>
          <w:kern w:val="0"/>
          <w:sz w:val="32"/>
          <w:szCs w:val="32"/>
          <w:highlight w:val="none"/>
          <w:lang w:val="zh-CN"/>
        </w:rPr>
      </w:pPr>
    </w:p>
    <w:p w14:paraId="0182D609">
      <w:pPr>
        <w:snapToGrid w:val="0"/>
        <w:spacing w:line="360" w:lineRule="auto"/>
        <w:jc w:val="center"/>
        <w:rPr>
          <w:rFonts w:ascii="仿宋" w:hAnsi="仿宋" w:eastAsia="仿宋" w:cs="仿宋"/>
          <w:b/>
          <w:color w:val="auto"/>
          <w:kern w:val="0"/>
          <w:sz w:val="32"/>
          <w:szCs w:val="32"/>
          <w:highlight w:val="none"/>
          <w:lang w:val="zh-CN"/>
        </w:rPr>
      </w:pPr>
    </w:p>
    <w:p w14:paraId="1359D949">
      <w:pPr>
        <w:snapToGrid w:val="0"/>
        <w:spacing w:line="360" w:lineRule="auto"/>
        <w:jc w:val="center"/>
        <w:rPr>
          <w:rFonts w:ascii="仿宋" w:hAnsi="仿宋" w:eastAsia="仿宋" w:cs="仿宋"/>
          <w:b/>
          <w:color w:val="auto"/>
          <w:kern w:val="0"/>
          <w:sz w:val="32"/>
          <w:szCs w:val="32"/>
          <w:highlight w:val="none"/>
          <w:lang w:val="zh-CN"/>
        </w:rPr>
      </w:pPr>
    </w:p>
    <w:p w14:paraId="78F179F8">
      <w:pPr>
        <w:snapToGrid w:val="0"/>
        <w:spacing w:line="360" w:lineRule="auto"/>
        <w:jc w:val="center"/>
        <w:rPr>
          <w:rFonts w:ascii="仿宋" w:hAnsi="仿宋" w:eastAsia="仿宋" w:cs="仿宋"/>
          <w:b/>
          <w:color w:val="auto"/>
          <w:kern w:val="0"/>
          <w:sz w:val="32"/>
          <w:szCs w:val="32"/>
          <w:highlight w:val="none"/>
          <w:lang w:val="zh-CN"/>
        </w:rPr>
      </w:pPr>
    </w:p>
    <w:p w14:paraId="62E10A21">
      <w:pPr>
        <w:snapToGrid w:val="0"/>
        <w:spacing w:line="360" w:lineRule="auto"/>
        <w:jc w:val="center"/>
        <w:rPr>
          <w:rFonts w:ascii="仿宋" w:hAnsi="仿宋" w:eastAsia="仿宋" w:cs="仿宋"/>
          <w:b/>
          <w:color w:val="auto"/>
          <w:kern w:val="0"/>
          <w:sz w:val="32"/>
          <w:szCs w:val="32"/>
          <w:highlight w:val="none"/>
          <w:lang w:val="zh-CN"/>
        </w:rPr>
      </w:pPr>
    </w:p>
    <w:p w14:paraId="6E4E6CED">
      <w:pPr>
        <w:snapToGrid w:val="0"/>
        <w:spacing w:line="360" w:lineRule="auto"/>
        <w:jc w:val="center"/>
        <w:rPr>
          <w:rFonts w:ascii="仿宋" w:hAnsi="仿宋" w:eastAsia="仿宋" w:cs="仿宋"/>
          <w:b/>
          <w:color w:val="auto"/>
          <w:kern w:val="0"/>
          <w:sz w:val="32"/>
          <w:szCs w:val="32"/>
          <w:highlight w:val="none"/>
          <w:lang w:val="zh-CN"/>
        </w:rPr>
      </w:pPr>
    </w:p>
    <w:p w14:paraId="51B5B13D">
      <w:pPr>
        <w:snapToGrid w:val="0"/>
        <w:spacing w:line="360" w:lineRule="auto"/>
        <w:jc w:val="center"/>
        <w:rPr>
          <w:rFonts w:ascii="仿宋" w:hAnsi="仿宋" w:eastAsia="仿宋" w:cs="仿宋"/>
          <w:b/>
          <w:color w:val="auto"/>
          <w:kern w:val="0"/>
          <w:sz w:val="32"/>
          <w:szCs w:val="32"/>
          <w:highlight w:val="none"/>
          <w:lang w:val="zh-CN"/>
        </w:rPr>
      </w:pPr>
    </w:p>
    <w:p w14:paraId="425D55CA">
      <w:pPr>
        <w:snapToGrid w:val="0"/>
        <w:spacing w:line="360" w:lineRule="auto"/>
        <w:jc w:val="center"/>
        <w:rPr>
          <w:rFonts w:ascii="仿宋" w:hAnsi="仿宋" w:eastAsia="仿宋" w:cs="仿宋"/>
          <w:b/>
          <w:color w:val="auto"/>
          <w:kern w:val="0"/>
          <w:sz w:val="32"/>
          <w:szCs w:val="32"/>
          <w:highlight w:val="none"/>
          <w:lang w:val="zh-CN"/>
        </w:rPr>
      </w:pPr>
    </w:p>
    <w:p w14:paraId="11B0FE0D">
      <w:pPr>
        <w:snapToGrid w:val="0"/>
        <w:spacing w:line="360" w:lineRule="auto"/>
        <w:jc w:val="center"/>
        <w:rPr>
          <w:rFonts w:ascii="仿宋" w:hAnsi="仿宋" w:eastAsia="仿宋" w:cs="仿宋"/>
          <w:b/>
          <w:color w:val="auto"/>
          <w:kern w:val="0"/>
          <w:sz w:val="32"/>
          <w:szCs w:val="32"/>
          <w:highlight w:val="none"/>
          <w:lang w:val="zh-CN"/>
        </w:rPr>
      </w:pPr>
    </w:p>
    <w:p w14:paraId="4E0F0021">
      <w:pPr>
        <w:rPr>
          <w:rFonts w:ascii="仿宋" w:hAnsi="仿宋" w:eastAsia="仿宋" w:cs="仿宋"/>
          <w:b/>
          <w:color w:val="auto"/>
          <w:kern w:val="0"/>
          <w:sz w:val="32"/>
          <w:szCs w:val="32"/>
          <w:highlight w:val="none"/>
          <w:lang w:val="zh-CN"/>
        </w:rPr>
      </w:pPr>
    </w:p>
    <w:p w14:paraId="3084CFCD">
      <w:pPr>
        <w:widowControl/>
        <w:adjustRightInd/>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224AED5">
      <w:pPr>
        <w:snapToGrid w:val="0"/>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04540689">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szCs w:val="24"/>
          <w:highlight w:val="none"/>
          <w:lang w:val="zh-CN"/>
        </w:rPr>
        <w:t>杭州市拱墅区人民政府康桥街道办事处</w:t>
      </w:r>
      <w:r>
        <w:rPr>
          <w:rFonts w:hint="eastAsia" w:ascii="仿宋" w:hAnsi="仿宋" w:eastAsia="仿宋" w:cs="仿宋"/>
          <w:color w:val="auto"/>
          <w:sz w:val="24"/>
          <w:highlight w:val="none"/>
        </w:rPr>
        <w:t>、杭州大江建设项目管理有限公司：</w:t>
      </w:r>
    </w:p>
    <w:p w14:paraId="268B71A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我方参加你方组织的康桥街道垃圾分类服务项目【招标编号：KQ-HZDJ-20250211 】招标的有关活动，并对此项目进行投标。为此：</w:t>
      </w:r>
    </w:p>
    <w:p w14:paraId="4E93591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05CD061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256F988B">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453BCD75">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2.1.1承诺函；</w:t>
      </w:r>
    </w:p>
    <w:p w14:paraId="2245EDDA">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396" w:name="_Hlk101257010"/>
      <w:r>
        <w:rPr>
          <w:rFonts w:hint="eastAsia" w:ascii="仿宋" w:hAnsi="仿宋" w:eastAsia="仿宋" w:cs="仿宋"/>
          <w:color w:val="auto"/>
          <w:sz w:val="24"/>
          <w:highlight w:val="none"/>
        </w:rPr>
        <w:t>（如果有)</w:t>
      </w:r>
      <w:bookmarkEnd w:id="396"/>
      <w:r>
        <w:rPr>
          <w:rFonts w:hint="eastAsia" w:ascii="仿宋" w:hAnsi="仿宋" w:eastAsia="仿宋" w:cs="仿宋"/>
          <w:snapToGrid w:val="0"/>
          <w:color w:val="auto"/>
          <w:kern w:val="28"/>
          <w:sz w:val="24"/>
          <w:szCs w:val="20"/>
          <w:highlight w:val="none"/>
        </w:rPr>
        <w:t>；</w:t>
      </w:r>
    </w:p>
    <w:p w14:paraId="6FC290B2">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1635E7F7">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2D10A667">
      <w:pPr>
        <w:snapToGrid w:val="0"/>
        <w:spacing w:line="360" w:lineRule="auto"/>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72CC95AE">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2D97335E">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1C9A5A11">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687E0B80">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468C18B9">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079D4847">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37EA81D1">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3A830758">
      <w:pPr>
        <w:snapToGrid w:val="0"/>
        <w:spacing w:line="360" w:lineRule="auto"/>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4FBD7B55">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333146D8">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04779394">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7A6556B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1CBC0B3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7507E086">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4A3D6BD1">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315E0393">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7EBBDF49">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0871FF44">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85A7E0A">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62A21129">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E792F54">
      <w:pPr>
        <w:snapToGrid w:val="0"/>
        <w:spacing w:line="360" w:lineRule="auto"/>
        <w:ind w:left="420" w:leftChars="200" w:firstLine="4200" w:firstLineChars="1750"/>
        <w:rPr>
          <w:rFonts w:ascii="仿宋" w:hAnsi="仿宋" w:eastAsia="仿宋" w:cs="仿宋"/>
          <w:color w:val="auto"/>
          <w:kern w:val="0"/>
          <w:sz w:val="24"/>
          <w:highlight w:val="none"/>
          <w:u w:val="single"/>
        </w:rPr>
      </w:pPr>
    </w:p>
    <w:p w14:paraId="0A1996C4">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2B98A63">
      <w:pPr>
        <w:snapToGrid w:val="0"/>
        <w:spacing w:line="360" w:lineRule="auto"/>
        <w:jc w:val="center"/>
        <w:rPr>
          <w:rFonts w:ascii="仿宋" w:hAnsi="仿宋" w:eastAsia="仿宋" w:cs="仿宋"/>
          <w:b/>
          <w:color w:val="auto"/>
          <w:kern w:val="0"/>
          <w:sz w:val="32"/>
          <w:szCs w:val="32"/>
          <w:highlight w:val="none"/>
        </w:rPr>
      </w:pPr>
    </w:p>
    <w:p w14:paraId="72FEBFBE">
      <w:pPr>
        <w:snapToGrid w:val="0"/>
        <w:spacing w:line="360" w:lineRule="auto"/>
        <w:rPr>
          <w:rFonts w:ascii="仿宋" w:hAnsi="仿宋" w:eastAsia="仿宋" w:cs="仿宋"/>
          <w:color w:val="auto"/>
          <w:sz w:val="24"/>
          <w:highlight w:val="none"/>
        </w:rPr>
      </w:pPr>
    </w:p>
    <w:p w14:paraId="320EDCAD">
      <w:pPr>
        <w:jc w:val="center"/>
        <w:rPr>
          <w:rFonts w:ascii="仿宋" w:hAnsi="仿宋" w:eastAsia="仿宋" w:cs="仿宋"/>
          <w:b/>
          <w:color w:val="auto"/>
          <w:kern w:val="0"/>
          <w:sz w:val="32"/>
          <w:szCs w:val="32"/>
          <w:highlight w:val="none"/>
        </w:rPr>
      </w:pPr>
    </w:p>
    <w:p w14:paraId="7F34AE0A">
      <w:pPr>
        <w:jc w:val="center"/>
        <w:rPr>
          <w:rFonts w:ascii="仿宋" w:hAnsi="仿宋" w:eastAsia="仿宋" w:cs="仿宋"/>
          <w:b/>
          <w:color w:val="auto"/>
          <w:kern w:val="0"/>
          <w:sz w:val="32"/>
          <w:szCs w:val="32"/>
          <w:highlight w:val="none"/>
        </w:rPr>
      </w:pPr>
    </w:p>
    <w:p w14:paraId="2305A3A1">
      <w:pPr>
        <w:jc w:val="center"/>
        <w:rPr>
          <w:rFonts w:ascii="仿宋" w:hAnsi="仿宋" w:eastAsia="仿宋" w:cs="仿宋"/>
          <w:b/>
          <w:color w:val="auto"/>
          <w:kern w:val="0"/>
          <w:sz w:val="32"/>
          <w:szCs w:val="32"/>
          <w:highlight w:val="none"/>
        </w:rPr>
      </w:pPr>
    </w:p>
    <w:p w14:paraId="2A6323D8">
      <w:pPr>
        <w:jc w:val="center"/>
        <w:rPr>
          <w:rFonts w:ascii="仿宋" w:hAnsi="仿宋" w:eastAsia="仿宋" w:cs="仿宋"/>
          <w:b/>
          <w:color w:val="auto"/>
          <w:kern w:val="0"/>
          <w:sz w:val="32"/>
          <w:szCs w:val="32"/>
          <w:highlight w:val="none"/>
        </w:rPr>
      </w:pPr>
    </w:p>
    <w:p w14:paraId="3862CC78">
      <w:pPr>
        <w:jc w:val="center"/>
        <w:rPr>
          <w:rFonts w:ascii="仿宋" w:hAnsi="仿宋" w:eastAsia="仿宋" w:cs="仿宋"/>
          <w:b/>
          <w:color w:val="auto"/>
          <w:kern w:val="0"/>
          <w:sz w:val="32"/>
          <w:szCs w:val="32"/>
          <w:highlight w:val="none"/>
        </w:rPr>
      </w:pPr>
    </w:p>
    <w:p w14:paraId="414AD782">
      <w:pPr>
        <w:jc w:val="center"/>
        <w:rPr>
          <w:rFonts w:ascii="仿宋" w:hAnsi="仿宋" w:eastAsia="仿宋" w:cs="仿宋"/>
          <w:b/>
          <w:color w:val="auto"/>
          <w:kern w:val="0"/>
          <w:sz w:val="32"/>
          <w:szCs w:val="32"/>
          <w:highlight w:val="none"/>
        </w:rPr>
      </w:pPr>
    </w:p>
    <w:p w14:paraId="6F3A6DBE">
      <w:pPr>
        <w:jc w:val="center"/>
        <w:rPr>
          <w:rFonts w:ascii="仿宋" w:hAnsi="仿宋" w:eastAsia="仿宋" w:cs="仿宋"/>
          <w:b/>
          <w:color w:val="auto"/>
          <w:kern w:val="0"/>
          <w:sz w:val="32"/>
          <w:szCs w:val="32"/>
          <w:highlight w:val="none"/>
        </w:rPr>
      </w:pPr>
    </w:p>
    <w:p w14:paraId="2F90F1DC">
      <w:pPr>
        <w:jc w:val="center"/>
        <w:rPr>
          <w:rFonts w:ascii="仿宋" w:hAnsi="仿宋" w:eastAsia="仿宋" w:cs="仿宋"/>
          <w:b/>
          <w:color w:val="auto"/>
          <w:kern w:val="0"/>
          <w:sz w:val="32"/>
          <w:szCs w:val="32"/>
          <w:highlight w:val="none"/>
        </w:rPr>
      </w:pPr>
    </w:p>
    <w:p w14:paraId="669B44AF">
      <w:pPr>
        <w:jc w:val="center"/>
        <w:rPr>
          <w:rFonts w:ascii="仿宋" w:hAnsi="仿宋" w:eastAsia="仿宋" w:cs="仿宋"/>
          <w:b/>
          <w:color w:val="auto"/>
          <w:kern w:val="0"/>
          <w:sz w:val="32"/>
          <w:szCs w:val="32"/>
          <w:highlight w:val="none"/>
        </w:rPr>
      </w:pPr>
    </w:p>
    <w:p w14:paraId="6DA6DD84">
      <w:pPr>
        <w:jc w:val="center"/>
        <w:rPr>
          <w:rFonts w:ascii="仿宋" w:hAnsi="仿宋" w:eastAsia="仿宋" w:cs="仿宋"/>
          <w:b/>
          <w:color w:val="auto"/>
          <w:kern w:val="0"/>
          <w:sz w:val="32"/>
          <w:szCs w:val="32"/>
          <w:highlight w:val="none"/>
        </w:rPr>
      </w:pPr>
    </w:p>
    <w:p w14:paraId="358CF908">
      <w:pPr>
        <w:jc w:val="center"/>
        <w:rPr>
          <w:rFonts w:ascii="仿宋" w:hAnsi="仿宋" w:eastAsia="仿宋" w:cs="仿宋"/>
          <w:b/>
          <w:color w:val="auto"/>
          <w:kern w:val="0"/>
          <w:sz w:val="32"/>
          <w:szCs w:val="32"/>
          <w:highlight w:val="none"/>
        </w:rPr>
      </w:pPr>
    </w:p>
    <w:p w14:paraId="7C3A66EB">
      <w:pPr>
        <w:jc w:val="center"/>
        <w:rPr>
          <w:rFonts w:ascii="仿宋" w:hAnsi="仿宋" w:eastAsia="仿宋" w:cs="仿宋"/>
          <w:b/>
          <w:color w:val="auto"/>
          <w:kern w:val="0"/>
          <w:sz w:val="32"/>
          <w:szCs w:val="32"/>
          <w:highlight w:val="none"/>
        </w:rPr>
      </w:pPr>
    </w:p>
    <w:p w14:paraId="678B3C5B">
      <w:pPr>
        <w:jc w:val="center"/>
        <w:rPr>
          <w:rFonts w:ascii="仿宋" w:hAnsi="仿宋" w:eastAsia="仿宋" w:cs="仿宋"/>
          <w:b/>
          <w:color w:val="auto"/>
          <w:kern w:val="0"/>
          <w:sz w:val="32"/>
          <w:szCs w:val="32"/>
          <w:highlight w:val="none"/>
        </w:rPr>
      </w:pPr>
    </w:p>
    <w:p w14:paraId="639759FB">
      <w:pPr>
        <w:jc w:val="center"/>
        <w:rPr>
          <w:rFonts w:ascii="仿宋" w:hAnsi="仿宋" w:eastAsia="仿宋" w:cs="仿宋"/>
          <w:b/>
          <w:color w:val="auto"/>
          <w:kern w:val="0"/>
          <w:sz w:val="32"/>
          <w:szCs w:val="32"/>
          <w:highlight w:val="none"/>
        </w:rPr>
      </w:pPr>
    </w:p>
    <w:p w14:paraId="4063D3BE">
      <w:pPr>
        <w:jc w:val="center"/>
        <w:rPr>
          <w:rFonts w:ascii="仿宋" w:hAnsi="仿宋" w:eastAsia="仿宋" w:cs="仿宋"/>
          <w:b/>
          <w:color w:val="auto"/>
          <w:kern w:val="0"/>
          <w:sz w:val="32"/>
          <w:szCs w:val="32"/>
          <w:highlight w:val="none"/>
        </w:rPr>
      </w:pPr>
    </w:p>
    <w:p w14:paraId="50BEE688">
      <w:pPr>
        <w:jc w:val="center"/>
        <w:rPr>
          <w:rFonts w:ascii="仿宋" w:hAnsi="仿宋" w:eastAsia="仿宋" w:cs="仿宋"/>
          <w:b/>
          <w:color w:val="auto"/>
          <w:kern w:val="0"/>
          <w:sz w:val="32"/>
          <w:szCs w:val="32"/>
          <w:highlight w:val="none"/>
        </w:rPr>
      </w:pPr>
    </w:p>
    <w:p w14:paraId="469EC653">
      <w:pPr>
        <w:jc w:val="center"/>
        <w:rPr>
          <w:rFonts w:ascii="仿宋" w:hAnsi="仿宋" w:eastAsia="仿宋" w:cs="仿宋"/>
          <w:b/>
          <w:color w:val="auto"/>
          <w:kern w:val="0"/>
          <w:sz w:val="32"/>
          <w:szCs w:val="32"/>
          <w:highlight w:val="none"/>
        </w:rPr>
      </w:pPr>
    </w:p>
    <w:p w14:paraId="542B2C9A">
      <w:pPr>
        <w:jc w:val="center"/>
        <w:rPr>
          <w:rFonts w:ascii="仿宋" w:hAnsi="仿宋" w:eastAsia="仿宋" w:cs="仿宋"/>
          <w:b/>
          <w:color w:val="auto"/>
          <w:kern w:val="0"/>
          <w:sz w:val="32"/>
          <w:szCs w:val="32"/>
          <w:highlight w:val="none"/>
        </w:rPr>
      </w:pPr>
    </w:p>
    <w:p w14:paraId="175AF09B">
      <w:pPr>
        <w:jc w:val="center"/>
        <w:rPr>
          <w:rFonts w:ascii="仿宋" w:hAnsi="仿宋" w:eastAsia="仿宋" w:cs="仿宋"/>
          <w:b/>
          <w:color w:val="auto"/>
          <w:kern w:val="0"/>
          <w:sz w:val="32"/>
          <w:szCs w:val="32"/>
          <w:highlight w:val="none"/>
        </w:rPr>
      </w:pPr>
    </w:p>
    <w:p w14:paraId="16CD29ED">
      <w:pPr>
        <w:jc w:val="center"/>
        <w:rPr>
          <w:rFonts w:ascii="仿宋" w:hAnsi="仿宋" w:eastAsia="仿宋" w:cs="仿宋"/>
          <w:b/>
          <w:color w:val="auto"/>
          <w:kern w:val="0"/>
          <w:sz w:val="32"/>
          <w:szCs w:val="32"/>
          <w:highlight w:val="none"/>
        </w:rPr>
      </w:pPr>
    </w:p>
    <w:p w14:paraId="57CE24BD">
      <w:pPr>
        <w:pStyle w:val="2"/>
        <w:rPr>
          <w:rFonts w:ascii="仿宋" w:eastAsia="仿宋" w:cs="仿宋"/>
          <w:color w:val="auto"/>
          <w:highlight w:val="none"/>
          <w:lang w:val="en-US"/>
        </w:rPr>
      </w:pPr>
    </w:p>
    <w:p w14:paraId="1A6456FB">
      <w:pPr>
        <w:jc w:val="center"/>
        <w:rPr>
          <w:rFonts w:ascii="仿宋" w:hAnsi="仿宋" w:eastAsia="仿宋" w:cs="仿宋"/>
          <w:b/>
          <w:color w:val="auto"/>
          <w:kern w:val="0"/>
          <w:sz w:val="32"/>
          <w:szCs w:val="32"/>
          <w:highlight w:val="none"/>
        </w:rPr>
      </w:pPr>
    </w:p>
    <w:p w14:paraId="16699960">
      <w:pPr>
        <w:jc w:val="center"/>
        <w:rPr>
          <w:rFonts w:ascii="仿宋" w:hAnsi="仿宋" w:eastAsia="仿宋" w:cs="仿宋"/>
          <w:b/>
          <w:color w:val="auto"/>
          <w:kern w:val="0"/>
          <w:sz w:val="32"/>
          <w:szCs w:val="32"/>
          <w:highlight w:val="none"/>
        </w:rPr>
      </w:pPr>
    </w:p>
    <w:p w14:paraId="6C2DC892">
      <w:pPr>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33747AE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69CD9E6">
      <w:pPr>
        <w:snapToGrid w:val="0"/>
        <w:spacing w:line="360" w:lineRule="auto"/>
        <w:ind w:firstLine="2872" w:firstLineChars="894"/>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1A601371">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szCs w:val="24"/>
          <w:highlight w:val="none"/>
          <w:lang w:val="zh-CN"/>
        </w:rPr>
        <w:t>杭州市拱墅区人民政府康桥街道办事处</w:t>
      </w:r>
      <w:r>
        <w:rPr>
          <w:rFonts w:hint="eastAsia" w:ascii="仿宋" w:hAnsi="仿宋" w:eastAsia="仿宋" w:cs="仿宋"/>
          <w:color w:val="auto"/>
          <w:sz w:val="24"/>
          <w:highlight w:val="none"/>
        </w:rPr>
        <w:t>、杭州大江建设项目管理有限公司</w:t>
      </w:r>
      <w:r>
        <w:rPr>
          <w:rFonts w:hint="eastAsia" w:ascii="仿宋" w:hAnsi="仿宋" w:eastAsia="仿宋" w:cs="仿宋"/>
          <w:color w:val="auto"/>
          <w:kern w:val="0"/>
          <w:sz w:val="24"/>
          <w:highlight w:val="none"/>
          <w:lang w:val="zh-CN"/>
        </w:rPr>
        <w:t>：</w:t>
      </w:r>
    </w:p>
    <w:p w14:paraId="72D68314">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康桥街道垃圾分类服务项目【招标编号：KQ-HZDJ-20250211 】</w:t>
      </w:r>
      <w:r>
        <w:rPr>
          <w:rFonts w:hint="eastAsia" w:ascii="仿宋" w:hAnsi="仿宋" w:eastAsia="仿宋" w:cs="仿宋"/>
          <w:color w:val="auto"/>
          <w:kern w:val="0"/>
          <w:sz w:val="24"/>
          <w:highlight w:val="none"/>
          <w:lang w:val="zh-CN"/>
        </w:rPr>
        <w:t>政府采购投标的一切事项，其法律后果由我方承担。</w:t>
      </w:r>
    </w:p>
    <w:p w14:paraId="2A6F9CD7">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16E0A047">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427171CD">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15278D2F">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295FF108">
      <w:pPr>
        <w:snapToGrid w:val="0"/>
        <w:spacing w:line="360" w:lineRule="auto"/>
        <w:rPr>
          <w:rFonts w:ascii="仿宋" w:hAnsi="仿宋" w:eastAsia="仿宋" w:cs="仿宋"/>
          <w:color w:val="auto"/>
          <w:sz w:val="24"/>
          <w:highlight w:val="none"/>
        </w:rPr>
      </w:pPr>
    </w:p>
    <w:p w14:paraId="60AE9925">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25360718">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szCs w:val="24"/>
          <w:highlight w:val="none"/>
          <w:lang w:val="zh-CN"/>
        </w:rPr>
        <w:t>杭州市拱墅区人民政府康桥街道办事处</w:t>
      </w:r>
      <w:r>
        <w:rPr>
          <w:rFonts w:hint="eastAsia" w:ascii="仿宋" w:hAnsi="仿宋" w:eastAsia="仿宋" w:cs="仿宋"/>
          <w:color w:val="auto"/>
          <w:sz w:val="24"/>
          <w:highlight w:val="none"/>
        </w:rPr>
        <w:t>、杭州大江建设项目管理有限公司</w:t>
      </w:r>
      <w:r>
        <w:rPr>
          <w:rFonts w:hint="eastAsia" w:ascii="仿宋" w:hAnsi="仿宋" w:eastAsia="仿宋" w:cs="仿宋"/>
          <w:color w:val="auto"/>
          <w:kern w:val="0"/>
          <w:sz w:val="24"/>
          <w:highlight w:val="none"/>
          <w:lang w:val="zh-CN"/>
        </w:rPr>
        <w:t>：</w:t>
      </w:r>
    </w:p>
    <w:p w14:paraId="24BAF7B7">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康桥街道垃圾分类服务项目【招标编号：KQ-HZDJ-20250211 】</w:t>
      </w:r>
      <w:r>
        <w:rPr>
          <w:rFonts w:hint="eastAsia" w:ascii="仿宋" w:hAnsi="仿宋" w:eastAsia="仿宋" w:cs="仿宋"/>
          <w:color w:val="auto"/>
          <w:kern w:val="0"/>
          <w:sz w:val="24"/>
          <w:highlight w:val="none"/>
          <w:lang w:val="zh-CN"/>
        </w:rPr>
        <w:t>政府采购投标的一切事项，其法律后果由我方承担。</w:t>
      </w:r>
    </w:p>
    <w:p w14:paraId="33BDF2B6">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1914F1AF">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53887794">
      <w:pPr>
        <w:jc w:val="center"/>
        <w:rPr>
          <w:rFonts w:ascii="仿宋" w:hAnsi="仿宋" w:eastAsia="仿宋" w:cs="仿宋"/>
          <w:b/>
          <w:color w:val="auto"/>
          <w:kern w:val="0"/>
          <w:sz w:val="32"/>
          <w:szCs w:val="32"/>
          <w:highlight w:val="none"/>
        </w:rPr>
      </w:pPr>
    </w:p>
    <w:p w14:paraId="35603AAA">
      <w:pPr>
        <w:rPr>
          <w:rFonts w:ascii="仿宋" w:hAnsi="仿宋" w:eastAsia="仿宋" w:cs="仿宋"/>
          <w:color w:val="auto"/>
          <w:highlight w:val="none"/>
        </w:rPr>
      </w:pPr>
    </w:p>
    <w:p w14:paraId="47B753B0">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F126F29">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13F6B22">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8FDDF20">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E65BE6C">
      <w:pPr>
        <w:autoSpaceDE w:val="0"/>
        <w:autoSpaceDN w:val="0"/>
        <w:spacing w:line="360" w:lineRule="auto"/>
        <w:jc w:val="center"/>
        <w:rPr>
          <w:rFonts w:ascii="仿宋" w:hAnsi="仿宋" w:eastAsia="仿宋" w:cs="仿宋"/>
          <w:b/>
          <w:color w:val="auto"/>
          <w:kern w:val="0"/>
          <w:sz w:val="32"/>
          <w:szCs w:val="32"/>
          <w:highlight w:val="none"/>
          <w:lang w:val="zh-CN"/>
        </w:rPr>
      </w:pPr>
    </w:p>
    <w:p w14:paraId="4046E903">
      <w:pPr>
        <w:autoSpaceDE w:val="0"/>
        <w:autoSpaceDN w:val="0"/>
        <w:spacing w:line="360" w:lineRule="auto"/>
        <w:jc w:val="center"/>
        <w:rPr>
          <w:rFonts w:ascii="仿宋" w:hAnsi="仿宋" w:eastAsia="仿宋" w:cs="仿宋"/>
          <w:b/>
          <w:color w:val="auto"/>
          <w:kern w:val="0"/>
          <w:sz w:val="32"/>
          <w:szCs w:val="32"/>
          <w:highlight w:val="none"/>
          <w:lang w:val="zh-CN"/>
        </w:rPr>
      </w:pPr>
    </w:p>
    <w:p w14:paraId="7B65DF45">
      <w:pPr>
        <w:autoSpaceDE w:val="0"/>
        <w:autoSpaceDN w:val="0"/>
        <w:spacing w:line="360" w:lineRule="auto"/>
        <w:jc w:val="center"/>
        <w:rPr>
          <w:rFonts w:ascii="仿宋" w:hAnsi="仿宋" w:eastAsia="仿宋" w:cs="仿宋"/>
          <w:b/>
          <w:color w:val="auto"/>
          <w:kern w:val="0"/>
          <w:sz w:val="32"/>
          <w:szCs w:val="32"/>
          <w:highlight w:val="none"/>
          <w:lang w:val="zh-CN"/>
        </w:rPr>
      </w:pPr>
    </w:p>
    <w:p w14:paraId="0E334957">
      <w:pPr>
        <w:autoSpaceDE w:val="0"/>
        <w:autoSpaceDN w:val="0"/>
        <w:spacing w:line="360" w:lineRule="auto"/>
        <w:jc w:val="center"/>
        <w:rPr>
          <w:rFonts w:ascii="仿宋" w:hAnsi="仿宋" w:eastAsia="仿宋" w:cs="仿宋"/>
          <w:b/>
          <w:color w:val="auto"/>
          <w:kern w:val="0"/>
          <w:sz w:val="32"/>
          <w:szCs w:val="32"/>
          <w:highlight w:val="none"/>
          <w:lang w:val="zh-CN"/>
        </w:rPr>
      </w:pPr>
    </w:p>
    <w:p w14:paraId="6091380A">
      <w:pPr>
        <w:autoSpaceDE w:val="0"/>
        <w:autoSpaceDN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3E1FC2A1">
      <w:pPr>
        <w:pStyle w:val="25"/>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570F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37A8303">
            <w:pPr>
              <w:pStyle w:val="25"/>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6E00F2D6">
            <w:pPr>
              <w:pStyle w:val="25"/>
              <w:adjustRightInd w:val="0"/>
              <w:spacing w:line="360" w:lineRule="auto"/>
              <w:rPr>
                <w:rFonts w:ascii="仿宋" w:hAnsi="仿宋" w:eastAsia="仿宋" w:cs="仿宋"/>
                <w:bCs/>
                <w:color w:val="auto"/>
                <w:sz w:val="24"/>
                <w:highlight w:val="none"/>
              </w:rPr>
            </w:pPr>
          </w:p>
        </w:tc>
      </w:tr>
    </w:tbl>
    <w:p w14:paraId="4A1C890F">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43C2D778">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24D0FA53">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02012EE">
      <w:pPr>
        <w:jc w:val="center"/>
        <w:rPr>
          <w:rFonts w:ascii="仿宋" w:hAnsi="仿宋" w:eastAsia="仿宋" w:cs="仿宋"/>
          <w:b/>
          <w:color w:val="auto"/>
          <w:kern w:val="0"/>
          <w:sz w:val="32"/>
          <w:szCs w:val="32"/>
          <w:highlight w:val="none"/>
        </w:rPr>
      </w:pPr>
    </w:p>
    <w:p w14:paraId="6982E097">
      <w:pPr>
        <w:jc w:val="center"/>
        <w:rPr>
          <w:rFonts w:ascii="仿宋" w:hAnsi="仿宋" w:eastAsia="仿宋" w:cs="仿宋"/>
          <w:b/>
          <w:color w:val="auto"/>
          <w:kern w:val="0"/>
          <w:sz w:val="32"/>
          <w:szCs w:val="32"/>
          <w:highlight w:val="none"/>
        </w:rPr>
      </w:pPr>
    </w:p>
    <w:p w14:paraId="5CEF0089">
      <w:pPr>
        <w:jc w:val="center"/>
        <w:rPr>
          <w:rFonts w:ascii="仿宋" w:hAnsi="仿宋" w:eastAsia="仿宋" w:cs="仿宋"/>
          <w:b/>
          <w:color w:val="auto"/>
          <w:kern w:val="0"/>
          <w:sz w:val="32"/>
          <w:szCs w:val="32"/>
          <w:highlight w:val="none"/>
        </w:rPr>
      </w:pPr>
    </w:p>
    <w:p w14:paraId="57F45D69">
      <w:pPr>
        <w:jc w:val="center"/>
        <w:rPr>
          <w:rFonts w:ascii="仿宋" w:hAnsi="仿宋" w:eastAsia="仿宋" w:cs="仿宋"/>
          <w:b/>
          <w:color w:val="auto"/>
          <w:kern w:val="0"/>
          <w:sz w:val="32"/>
          <w:szCs w:val="32"/>
          <w:highlight w:val="none"/>
        </w:rPr>
      </w:pPr>
    </w:p>
    <w:p w14:paraId="54B07696">
      <w:pPr>
        <w:jc w:val="center"/>
        <w:rPr>
          <w:rFonts w:ascii="仿宋" w:hAnsi="仿宋" w:eastAsia="仿宋" w:cs="仿宋"/>
          <w:b/>
          <w:color w:val="auto"/>
          <w:kern w:val="0"/>
          <w:sz w:val="32"/>
          <w:szCs w:val="32"/>
          <w:highlight w:val="none"/>
        </w:rPr>
      </w:pPr>
    </w:p>
    <w:p w14:paraId="10C2327C">
      <w:pPr>
        <w:jc w:val="center"/>
        <w:rPr>
          <w:rFonts w:ascii="仿宋" w:hAnsi="仿宋" w:eastAsia="仿宋" w:cs="仿宋"/>
          <w:b/>
          <w:color w:val="auto"/>
          <w:kern w:val="0"/>
          <w:sz w:val="32"/>
          <w:szCs w:val="32"/>
          <w:highlight w:val="none"/>
        </w:rPr>
      </w:pPr>
    </w:p>
    <w:p w14:paraId="0517784C">
      <w:pPr>
        <w:jc w:val="center"/>
        <w:rPr>
          <w:rFonts w:ascii="仿宋" w:hAnsi="仿宋" w:eastAsia="仿宋" w:cs="仿宋"/>
          <w:b/>
          <w:color w:val="auto"/>
          <w:kern w:val="0"/>
          <w:sz w:val="32"/>
          <w:szCs w:val="32"/>
          <w:highlight w:val="none"/>
        </w:rPr>
      </w:pPr>
    </w:p>
    <w:p w14:paraId="706EA664">
      <w:pPr>
        <w:jc w:val="center"/>
        <w:rPr>
          <w:rFonts w:ascii="仿宋" w:hAnsi="仿宋" w:eastAsia="仿宋" w:cs="仿宋"/>
          <w:b/>
          <w:color w:val="auto"/>
          <w:kern w:val="0"/>
          <w:sz w:val="32"/>
          <w:szCs w:val="32"/>
          <w:highlight w:val="none"/>
        </w:rPr>
      </w:pPr>
    </w:p>
    <w:p w14:paraId="5FF23FAA">
      <w:pPr>
        <w:jc w:val="center"/>
        <w:rPr>
          <w:rFonts w:ascii="仿宋" w:hAnsi="仿宋" w:eastAsia="仿宋" w:cs="仿宋"/>
          <w:b/>
          <w:color w:val="auto"/>
          <w:kern w:val="0"/>
          <w:sz w:val="32"/>
          <w:szCs w:val="32"/>
          <w:highlight w:val="none"/>
        </w:rPr>
      </w:pPr>
    </w:p>
    <w:p w14:paraId="6B8147FA">
      <w:pPr>
        <w:jc w:val="center"/>
        <w:rPr>
          <w:rFonts w:ascii="仿宋" w:hAnsi="仿宋" w:eastAsia="仿宋" w:cs="仿宋"/>
          <w:b/>
          <w:color w:val="auto"/>
          <w:kern w:val="0"/>
          <w:sz w:val="32"/>
          <w:szCs w:val="32"/>
          <w:highlight w:val="none"/>
        </w:rPr>
      </w:pPr>
    </w:p>
    <w:p w14:paraId="28732E26">
      <w:pPr>
        <w:snapToGrid w:val="0"/>
        <w:spacing w:line="360" w:lineRule="auto"/>
        <w:ind w:right="480"/>
        <w:rPr>
          <w:rFonts w:ascii="仿宋" w:hAnsi="仿宋" w:eastAsia="仿宋" w:cs="仿宋"/>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4C8E56C9">
      <w:pPr>
        <w:snapToGrid w:val="0"/>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0BA44360">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37B971FF">
      <w:pPr>
        <w:snapToGrid w:val="0"/>
        <w:spacing w:line="360" w:lineRule="auto"/>
        <w:rPr>
          <w:rFonts w:ascii="仿宋" w:hAnsi="仿宋" w:eastAsia="仿宋" w:cs="仿宋"/>
          <w:color w:val="auto"/>
          <w:kern w:val="0"/>
          <w:sz w:val="24"/>
          <w:highlight w:val="none"/>
        </w:rPr>
      </w:pPr>
    </w:p>
    <w:p w14:paraId="60571F59">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095A7FC3">
      <w:pPr>
        <w:jc w:val="center"/>
        <w:rPr>
          <w:rFonts w:ascii="仿宋" w:hAnsi="仿宋" w:eastAsia="仿宋" w:cs="仿宋"/>
          <w:b/>
          <w:color w:val="auto"/>
          <w:kern w:val="0"/>
          <w:sz w:val="32"/>
          <w:szCs w:val="32"/>
          <w:highlight w:val="none"/>
        </w:rPr>
      </w:pPr>
    </w:p>
    <w:tbl>
      <w:tblPr>
        <w:tblStyle w:val="1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2027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FE41AED">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1CE9F40E">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56447D99">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1C933F7C">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57F736E9">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21F3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D0867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center"/>
          </w:tcPr>
          <w:p w14:paraId="44C3640A">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16E1A13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center"/>
          </w:tcPr>
          <w:p w14:paraId="68F161D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0F433FD0">
            <w:pPr>
              <w:jc w:val="cente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6E4B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FF4A4F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vAlign w:val="center"/>
          </w:tcPr>
          <w:p w14:paraId="07698D5F">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77612FB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vAlign w:val="center"/>
          </w:tcPr>
          <w:p w14:paraId="6670F7F1">
            <w:pPr>
              <w:jc w:val="cente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7916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073E2C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vAlign w:val="center"/>
          </w:tcPr>
          <w:p w14:paraId="58D04775">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495238CF">
            <w:pPr>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vAlign w:val="center"/>
          </w:tcPr>
          <w:p w14:paraId="725A26DA">
            <w:pPr>
              <w:jc w:val="cente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7058CD7D">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9D032BE">
      <w:pPr>
        <w:jc w:val="center"/>
        <w:rPr>
          <w:rFonts w:ascii="仿宋" w:hAnsi="仿宋" w:eastAsia="仿宋" w:cs="仿宋"/>
          <w:b/>
          <w:color w:val="auto"/>
          <w:kern w:val="0"/>
          <w:sz w:val="32"/>
          <w:szCs w:val="32"/>
          <w:highlight w:val="none"/>
        </w:rPr>
      </w:pPr>
    </w:p>
    <w:p w14:paraId="63376017">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5E6E2D9E">
      <w:pPr>
        <w:jc w:val="center"/>
        <w:rPr>
          <w:rFonts w:ascii="仿宋" w:hAnsi="仿宋" w:eastAsia="仿宋" w:cs="仿宋"/>
          <w:b/>
          <w:color w:val="auto"/>
          <w:kern w:val="0"/>
          <w:sz w:val="32"/>
          <w:szCs w:val="32"/>
          <w:highlight w:val="none"/>
        </w:rPr>
      </w:pPr>
    </w:p>
    <w:p w14:paraId="43D8E961">
      <w:pPr>
        <w:jc w:val="center"/>
        <w:rPr>
          <w:rFonts w:ascii="仿宋" w:hAnsi="仿宋" w:eastAsia="仿宋" w:cs="仿宋"/>
          <w:b/>
          <w:color w:val="auto"/>
          <w:kern w:val="0"/>
          <w:sz w:val="32"/>
          <w:szCs w:val="32"/>
          <w:highlight w:val="none"/>
        </w:rPr>
      </w:pPr>
    </w:p>
    <w:p w14:paraId="737E060D">
      <w:pPr>
        <w:jc w:val="center"/>
        <w:rPr>
          <w:rFonts w:ascii="仿宋" w:hAnsi="仿宋" w:eastAsia="仿宋" w:cs="仿宋"/>
          <w:b/>
          <w:color w:val="auto"/>
          <w:kern w:val="0"/>
          <w:sz w:val="32"/>
          <w:szCs w:val="32"/>
          <w:highlight w:val="none"/>
        </w:rPr>
      </w:pPr>
    </w:p>
    <w:p w14:paraId="44BB1C6E">
      <w:pPr>
        <w:jc w:val="center"/>
        <w:rPr>
          <w:rFonts w:ascii="仿宋" w:hAnsi="仿宋" w:eastAsia="仿宋" w:cs="仿宋"/>
          <w:b/>
          <w:color w:val="auto"/>
          <w:kern w:val="0"/>
          <w:sz w:val="32"/>
          <w:szCs w:val="32"/>
          <w:highlight w:val="none"/>
        </w:rPr>
      </w:pPr>
    </w:p>
    <w:p w14:paraId="593E7D9A">
      <w:pPr>
        <w:jc w:val="center"/>
        <w:rPr>
          <w:rFonts w:ascii="仿宋" w:hAnsi="仿宋" w:eastAsia="仿宋" w:cs="仿宋"/>
          <w:b/>
          <w:color w:val="auto"/>
          <w:kern w:val="0"/>
          <w:sz w:val="32"/>
          <w:szCs w:val="32"/>
          <w:highlight w:val="none"/>
        </w:rPr>
      </w:pPr>
    </w:p>
    <w:p w14:paraId="4D656E63">
      <w:pPr>
        <w:jc w:val="center"/>
        <w:rPr>
          <w:rFonts w:ascii="仿宋" w:hAnsi="仿宋" w:eastAsia="仿宋" w:cs="仿宋"/>
          <w:b/>
          <w:color w:val="auto"/>
          <w:kern w:val="0"/>
          <w:sz w:val="32"/>
          <w:szCs w:val="32"/>
          <w:highlight w:val="none"/>
        </w:rPr>
      </w:pPr>
    </w:p>
    <w:p w14:paraId="4748A5F4">
      <w:pPr>
        <w:jc w:val="center"/>
        <w:rPr>
          <w:rFonts w:ascii="仿宋" w:hAnsi="仿宋" w:eastAsia="仿宋" w:cs="仿宋"/>
          <w:b/>
          <w:color w:val="auto"/>
          <w:kern w:val="0"/>
          <w:sz w:val="32"/>
          <w:szCs w:val="32"/>
          <w:highlight w:val="none"/>
        </w:rPr>
      </w:pPr>
    </w:p>
    <w:p w14:paraId="49136140">
      <w:pPr>
        <w:jc w:val="center"/>
        <w:rPr>
          <w:rFonts w:ascii="仿宋" w:hAnsi="仿宋" w:eastAsia="仿宋" w:cs="仿宋"/>
          <w:b/>
          <w:color w:val="auto"/>
          <w:kern w:val="0"/>
          <w:sz w:val="32"/>
          <w:szCs w:val="32"/>
          <w:highlight w:val="none"/>
        </w:rPr>
      </w:pPr>
    </w:p>
    <w:p w14:paraId="0786A567">
      <w:pPr>
        <w:jc w:val="center"/>
        <w:rPr>
          <w:rFonts w:ascii="仿宋" w:hAnsi="仿宋" w:eastAsia="仿宋" w:cs="仿宋"/>
          <w:b/>
          <w:color w:val="auto"/>
          <w:kern w:val="0"/>
          <w:sz w:val="32"/>
          <w:szCs w:val="32"/>
          <w:highlight w:val="none"/>
        </w:rPr>
      </w:pPr>
    </w:p>
    <w:p w14:paraId="53840907">
      <w:pPr>
        <w:jc w:val="center"/>
        <w:rPr>
          <w:rFonts w:ascii="仿宋" w:hAnsi="仿宋" w:eastAsia="仿宋" w:cs="仿宋"/>
          <w:b/>
          <w:color w:val="auto"/>
          <w:kern w:val="0"/>
          <w:sz w:val="32"/>
          <w:szCs w:val="32"/>
          <w:highlight w:val="none"/>
        </w:rPr>
      </w:pPr>
    </w:p>
    <w:p w14:paraId="0B5B3C9E">
      <w:pPr>
        <w:jc w:val="center"/>
        <w:rPr>
          <w:rFonts w:ascii="仿宋" w:hAnsi="仿宋" w:eastAsia="仿宋" w:cs="仿宋"/>
          <w:b/>
          <w:color w:val="auto"/>
          <w:kern w:val="0"/>
          <w:sz w:val="32"/>
          <w:szCs w:val="32"/>
          <w:highlight w:val="none"/>
        </w:rPr>
      </w:pPr>
    </w:p>
    <w:p w14:paraId="46314287">
      <w:pPr>
        <w:jc w:val="center"/>
        <w:rPr>
          <w:rFonts w:ascii="仿宋" w:hAnsi="仿宋" w:eastAsia="仿宋" w:cs="仿宋"/>
          <w:b/>
          <w:color w:val="auto"/>
          <w:kern w:val="0"/>
          <w:sz w:val="32"/>
          <w:szCs w:val="32"/>
          <w:highlight w:val="none"/>
        </w:rPr>
      </w:pPr>
    </w:p>
    <w:p w14:paraId="6AD219AB">
      <w:pPr>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192FB327">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55F8A6B9">
      <w:pPr>
        <w:jc w:val="center"/>
        <w:rPr>
          <w:rFonts w:ascii="仿宋" w:hAnsi="仿宋" w:eastAsia="仿宋" w:cs="仿宋"/>
          <w:b/>
          <w:color w:val="auto"/>
          <w:kern w:val="0"/>
          <w:sz w:val="32"/>
          <w:szCs w:val="32"/>
          <w:highlight w:val="none"/>
        </w:rPr>
      </w:pPr>
    </w:p>
    <w:p w14:paraId="3F20F2F4">
      <w:pPr>
        <w:jc w:val="center"/>
        <w:rPr>
          <w:rFonts w:ascii="仿宋" w:hAnsi="仿宋" w:eastAsia="仿宋" w:cs="仿宋"/>
          <w:b/>
          <w:color w:val="auto"/>
          <w:kern w:val="0"/>
          <w:sz w:val="32"/>
          <w:szCs w:val="32"/>
          <w:highlight w:val="none"/>
        </w:rPr>
      </w:pPr>
    </w:p>
    <w:p w14:paraId="6E155C1F">
      <w:pPr>
        <w:jc w:val="center"/>
        <w:rPr>
          <w:rFonts w:ascii="仿宋" w:hAnsi="仿宋" w:eastAsia="仿宋" w:cs="仿宋"/>
          <w:b/>
          <w:color w:val="auto"/>
          <w:kern w:val="0"/>
          <w:sz w:val="32"/>
          <w:szCs w:val="32"/>
          <w:highlight w:val="none"/>
        </w:rPr>
      </w:pPr>
    </w:p>
    <w:p w14:paraId="447BF72A">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1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072"/>
        <w:gridCol w:w="1411"/>
        <w:gridCol w:w="1260"/>
        <w:gridCol w:w="2775"/>
        <w:gridCol w:w="930"/>
        <w:gridCol w:w="1526"/>
      </w:tblGrid>
      <w:tr w14:paraId="5CF7C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C5E14B">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072" w:type="dxa"/>
            <w:tcBorders>
              <w:top w:val="single" w:color="auto" w:sz="4" w:space="0"/>
              <w:left w:val="single" w:color="auto" w:sz="4" w:space="0"/>
              <w:bottom w:val="single" w:color="auto" w:sz="4" w:space="0"/>
              <w:right w:val="single" w:color="auto" w:sz="4" w:space="0"/>
            </w:tcBorders>
            <w:vAlign w:val="center"/>
          </w:tcPr>
          <w:p w14:paraId="5C60EEAF">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411" w:type="dxa"/>
            <w:tcBorders>
              <w:top w:val="single" w:color="auto" w:sz="4" w:space="0"/>
              <w:left w:val="single" w:color="auto" w:sz="4" w:space="0"/>
              <w:bottom w:val="single" w:color="auto" w:sz="4" w:space="0"/>
              <w:right w:val="single" w:color="auto" w:sz="4" w:space="0"/>
            </w:tcBorders>
            <w:vAlign w:val="center"/>
          </w:tcPr>
          <w:p w14:paraId="707E2754">
            <w:pPr>
              <w:spacing w:line="360" w:lineRule="auto"/>
              <w:ind w:firstLine="0" w:firstLineChars="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2B7C803">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F80F6BA">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1861D08">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1147F1E">
            <w:pPr>
              <w:spacing w:line="360" w:lineRule="auto"/>
              <w:jc w:val="center"/>
              <w:rPr>
                <w:rFonts w:ascii="仿宋" w:hAnsi="仿宋" w:eastAsia="仿宋" w:cs="仿宋"/>
                <w:b/>
                <w:color w:val="auto"/>
                <w:sz w:val="24"/>
                <w:highlight w:val="none"/>
              </w:rPr>
            </w:pPr>
          </w:p>
          <w:p w14:paraId="7A5D791D">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6EFC37DB">
            <w:pPr>
              <w:spacing w:line="360" w:lineRule="auto"/>
              <w:jc w:val="center"/>
              <w:rPr>
                <w:rFonts w:ascii="仿宋" w:hAnsi="仿宋" w:eastAsia="仿宋" w:cs="仿宋"/>
                <w:b/>
                <w:color w:val="auto"/>
                <w:sz w:val="24"/>
                <w:highlight w:val="none"/>
              </w:rPr>
            </w:pPr>
          </w:p>
        </w:tc>
      </w:tr>
      <w:tr w14:paraId="64149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8073724">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072" w:type="dxa"/>
            <w:tcBorders>
              <w:top w:val="single" w:color="auto" w:sz="4" w:space="0"/>
              <w:left w:val="single" w:color="auto" w:sz="4" w:space="0"/>
              <w:bottom w:val="single" w:color="auto" w:sz="4" w:space="0"/>
              <w:right w:val="single" w:color="auto" w:sz="4" w:space="0"/>
            </w:tcBorders>
            <w:vAlign w:val="center"/>
          </w:tcPr>
          <w:p w14:paraId="37DB36D9">
            <w:pPr>
              <w:snapToGrid w:val="0"/>
              <w:spacing w:line="360" w:lineRule="auto"/>
              <w:jc w:val="center"/>
              <w:rPr>
                <w:rFonts w:ascii="仿宋" w:hAnsi="仿宋" w:eastAsia="仿宋" w:cs="仿宋"/>
                <w:color w:val="auto"/>
                <w:sz w:val="24"/>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6FD3E358">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EC58FDF">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C2D1CE0">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9B9A66D">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232708E">
            <w:pPr>
              <w:spacing w:line="360" w:lineRule="auto"/>
              <w:jc w:val="center"/>
              <w:rPr>
                <w:rFonts w:ascii="仿宋" w:hAnsi="仿宋" w:eastAsia="仿宋" w:cs="仿宋"/>
                <w:color w:val="auto"/>
                <w:sz w:val="24"/>
                <w:highlight w:val="none"/>
              </w:rPr>
            </w:pPr>
          </w:p>
        </w:tc>
      </w:tr>
      <w:tr w14:paraId="25452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55594A0">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072" w:type="dxa"/>
            <w:tcBorders>
              <w:top w:val="single" w:color="auto" w:sz="4" w:space="0"/>
              <w:left w:val="single" w:color="auto" w:sz="4" w:space="0"/>
              <w:bottom w:val="single" w:color="auto" w:sz="4" w:space="0"/>
              <w:right w:val="single" w:color="auto" w:sz="4" w:space="0"/>
            </w:tcBorders>
            <w:vAlign w:val="center"/>
          </w:tcPr>
          <w:p w14:paraId="3F3362EA">
            <w:pPr>
              <w:snapToGrid w:val="0"/>
              <w:spacing w:line="360" w:lineRule="auto"/>
              <w:jc w:val="center"/>
              <w:rPr>
                <w:rFonts w:ascii="仿宋" w:hAnsi="仿宋" w:eastAsia="仿宋" w:cs="仿宋"/>
                <w:color w:val="auto"/>
                <w:sz w:val="24"/>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31668BF7">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6145E38">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6F5BDE">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9241F1A">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9C9FEEB">
            <w:pPr>
              <w:spacing w:line="360" w:lineRule="auto"/>
              <w:jc w:val="center"/>
              <w:rPr>
                <w:rFonts w:ascii="仿宋" w:hAnsi="仿宋" w:eastAsia="仿宋" w:cs="仿宋"/>
                <w:color w:val="auto"/>
                <w:sz w:val="24"/>
                <w:highlight w:val="none"/>
              </w:rPr>
            </w:pPr>
          </w:p>
        </w:tc>
      </w:tr>
      <w:tr w14:paraId="4999A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836A01C">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072" w:type="dxa"/>
            <w:tcBorders>
              <w:top w:val="single" w:color="auto" w:sz="4" w:space="0"/>
              <w:left w:val="single" w:color="auto" w:sz="4" w:space="0"/>
              <w:bottom w:val="single" w:color="auto" w:sz="4" w:space="0"/>
              <w:right w:val="single" w:color="auto" w:sz="4" w:space="0"/>
            </w:tcBorders>
            <w:vAlign w:val="center"/>
          </w:tcPr>
          <w:p w14:paraId="12A935E8">
            <w:pPr>
              <w:snapToGrid w:val="0"/>
              <w:spacing w:line="360" w:lineRule="auto"/>
              <w:jc w:val="center"/>
              <w:rPr>
                <w:rFonts w:ascii="仿宋" w:hAnsi="仿宋" w:eastAsia="仿宋" w:cs="仿宋"/>
                <w:color w:val="auto"/>
                <w:sz w:val="24"/>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0085AFB2">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3B1EBCD">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BAFCA6C">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1F58A5C">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3C9A3B1">
            <w:pPr>
              <w:spacing w:line="360" w:lineRule="auto"/>
              <w:jc w:val="center"/>
              <w:rPr>
                <w:rFonts w:ascii="仿宋" w:hAnsi="仿宋" w:eastAsia="仿宋" w:cs="仿宋"/>
                <w:color w:val="auto"/>
                <w:sz w:val="24"/>
                <w:highlight w:val="none"/>
              </w:rPr>
            </w:pPr>
          </w:p>
        </w:tc>
      </w:tr>
    </w:tbl>
    <w:p w14:paraId="26A69677">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FE71311">
      <w:pPr>
        <w:jc w:val="center"/>
        <w:rPr>
          <w:rFonts w:ascii="仿宋" w:hAnsi="仿宋" w:eastAsia="仿宋" w:cs="仿宋"/>
          <w:b/>
          <w:color w:val="auto"/>
          <w:kern w:val="0"/>
          <w:sz w:val="32"/>
          <w:szCs w:val="32"/>
          <w:highlight w:val="none"/>
        </w:rPr>
      </w:pPr>
    </w:p>
    <w:p w14:paraId="3ED36A16">
      <w:pPr>
        <w:jc w:val="center"/>
        <w:rPr>
          <w:rFonts w:ascii="仿宋" w:hAnsi="仿宋" w:eastAsia="仿宋" w:cs="仿宋"/>
          <w:b/>
          <w:color w:val="auto"/>
          <w:kern w:val="0"/>
          <w:sz w:val="32"/>
          <w:szCs w:val="32"/>
          <w:highlight w:val="none"/>
        </w:rPr>
      </w:pPr>
    </w:p>
    <w:p w14:paraId="4F99B1F2">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B900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64C7697">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4E6E6B5A">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7D193621">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4B3E9968">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0350C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D190A4">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45A6B147">
            <w:pPr>
              <w:jc w:val="center"/>
              <w:rPr>
                <w:rFonts w:ascii="仿宋" w:hAnsi="仿宋" w:eastAsia="仿宋" w:cs="仿宋"/>
                <w:b/>
                <w:color w:val="auto"/>
                <w:kern w:val="0"/>
                <w:sz w:val="32"/>
                <w:szCs w:val="32"/>
                <w:highlight w:val="none"/>
              </w:rPr>
            </w:pPr>
          </w:p>
        </w:tc>
        <w:tc>
          <w:tcPr>
            <w:tcW w:w="3546" w:type="dxa"/>
          </w:tcPr>
          <w:p w14:paraId="26EBD87F">
            <w:pPr>
              <w:jc w:val="center"/>
              <w:rPr>
                <w:rFonts w:ascii="仿宋" w:hAnsi="仿宋" w:eastAsia="仿宋" w:cs="仿宋"/>
                <w:b/>
                <w:color w:val="auto"/>
                <w:kern w:val="0"/>
                <w:sz w:val="32"/>
                <w:szCs w:val="32"/>
                <w:highlight w:val="none"/>
              </w:rPr>
            </w:pPr>
          </w:p>
        </w:tc>
        <w:tc>
          <w:tcPr>
            <w:tcW w:w="1276" w:type="dxa"/>
          </w:tcPr>
          <w:p w14:paraId="40DD4299">
            <w:pPr>
              <w:jc w:val="center"/>
              <w:rPr>
                <w:rFonts w:ascii="仿宋" w:hAnsi="仿宋" w:eastAsia="仿宋" w:cs="仿宋"/>
                <w:b/>
                <w:color w:val="auto"/>
                <w:kern w:val="0"/>
                <w:sz w:val="32"/>
                <w:szCs w:val="32"/>
                <w:highlight w:val="none"/>
              </w:rPr>
            </w:pPr>
          </w:p>
        </w:tc>
      </w:tr>
      <w:tr w14:paraId="0E94B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C2B647">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64D78E38">
            <w:pPr>
              <w:jc w:val="center"/>
              <w:rPr>
                <w:rFonts w:ascii="仿宋" w:hAnsi="仿宋" w:eastAsia="仿宋" w:cs="仿宋"/>
                <w:b/>
                <w:color w:val="auto"/>
                <w:kern w:val="0"/>
                <w:sz w:val="32"/>
                <w:szCs w:val="32"/>
                <w:highlight w:val="none"/>
              </w:rPr>
            </w:pPr>
          </w:p>
        </w:tc>
        <w:tc>
          <w:tcPr>
            <w:tcW w:w="3546" w:type="dxa"/>
          </w:tcPr>
          <w:p w14:paraId="3C77F5AD">
            <w:pPr>
              <w:jc w:val="center"/>
              <w:rPr>
                <w:rFonts w:ascii="仿宋" w:hAnsi="仿宋" w:eastAsia="仿宋" w:cs="仿宋"/>
                <w:b/>
                <w:color w:val="auto"/>
                <w:kern w:val="0"/>
                <w:sz w:val="32"/>
                <w:szCs w:val="32"/>
                <w:highlight w:val="none"/>
              </w:rPr>
            </w:pPr>
          </w:p>
        </w:tc>
        <w:tc>
          <w:tcPr>
            <w:tcW w:w="1276" w:type="dxa"/>
          </w:tcPr>
          <w:p w14:paraId="6118C6F0">
            <w:pPr>
              <w:jc w:val="center"/>
              <w:rPr>
                <w:rFonts w:ascii="仿宋" w:hAnsi="仿宋" w:eastAsia="仿宋" w:cs="仿宋"/>
                <w:b/>
                <w:color w:val="auto"/>
                <w:kern w:val="0"/>
                <w:sz w:val="32"/>
                <w:szCs w:val="32"/>
                <w:highlight w:val="none"/>
              </w:rPr>
            </w:pPr>
          </w:p>
        </w:tc>
      </w:tr>
      <w:tr w14:paraId="55AA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B462327">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4CBF8002">
            <w:pPr>
              <w:jc w:val="center"/>
              <w:rPr>
                <w:rFonts w:ascii="仿宋" w:hAnsi="仿宋" w:eastAsia="仿宋" w:cs="仿宋"/>
                <w:b/>
                <w:color w:val="auto"/>
                <w:kern w:val="0"/>
                <w:sz w:val="32"/>
                <w:szCs w:val="32"/>
                <w:highlight w:val="none"/>
              </w:rPr>
            </w:pPr>
          </w:p>
        </w:tc>
        <w:tc>
          <w:tcPr>
            <w:tcW w:w="3546" w:type="dxa"/>
          </w:tcPr>
          <w:p w14:paraId="699EBBD8">
            <w:pPr>
              <w:jc w:val="center"/>
              <w:rPr>
                <w:rFonts w:ascii="仿宋" w:hAnsi="仿宋" w:eastAsia="仿宋" w:cs="仿宋"/>
                <w:b/>
                <w:color w:val="auto"/>
                <w:kern w:val="0"/>
                <w:sz w:val="32"/>
                <w:szCs w:val="32"/>
                <w:highlight w:val="none"/>
              </w:rPr>
            </w:pPr>
          </w:p>
        </w:tc>
        <w:tc>
          <w:tcPr>
            <w:tcW w:w="1276" w:type="dxa"/>
          </w:tcPr>
          <w:p w14:paraId="0999359F">
            <w:pPr>
              <w:jc w:val="center"/>
              <w:rPr>
                <w:rFonts w:ascii="仿宋" w:hAnsi="仿宋" w:eastAsia="仿宋" w:cs="仿宋"/>
                <w:b/>
                <w:color w:val="auto"/>
                <w:kern w:val="0"/>
                <w:sz w:val="32"/>
                <w:szCs w:val="32"/>
                <w:highlight w:val="none"/>
              </w:rPr>
            </w:pPr>
          </w:p>
        </w:tc>
      </w:tr>
    </w:tbl>
    <w:p w14:paraId="1693BE05">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3CED8EDF">
      <w:pPr>
        <w:jc w:val="center"/>
        <w:rPr>
          <w:rFonts w:ascii="仿宋" w:hAnsi="仿宋" w:eastAsia="仿宋" w:cs="仿宋"/>
          <w:b/>
          <w:color w:val="auto"/>
          <w:kern w:val="0"/>
          <w:sz w:val="32"/>
          <w:szCs w:val="32"/>
          <w:highlight w:val="none"/>
        </w:rPr>
      </w:pPr>
    </w:p>
    <w:p w14:paraId="008EDEAD">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4014847">
      <w:pPr>
        <w:ind w:firstLine="1911" w:firstLineChars="595"/>
        <w:rPr>
          <w:rFonts w:ascii="仿宋" w:hAnsi="仿宋" w:eastAsia="仿宋" w:cs="仿宋"/>
          <w:b/>
          <w:bCs/>
          <w:color w:val="auto"/>
          <w:sz w:val="32"/>
          <w:szCs w:val="32"/>
          <w:highlight w:val="none"/>
        </w:rPr>
      </w:pPr>
    </w:p>
    <w:p w14:paraId="403E6C77">
      <w:pPr>
        <w:ind w:firstLine="1911" w:firstLineChars="595"/>
        <w:rPr>
          <w:rFonts w:ascii="仿宋" w:hAnsi="仿宋" w:eastAsia="仿宋" w:cs="仿宋"/>
          <w:b/>
          <w:bCs/>
          <w:color w:val="auto"/>
          <w:sz w:val="32"/>
          <w:szCs w:val="32"/>
          <w:highlight w:val="none"/>
        </w:rPr>
      </w:pPr>
    </w:p>
    <w:p w14:paraId="35D3D7B2">
      <w:pPr>
        <w:ind w:firstLine="1911" w:firstLineChars="595"/>
        <w:rPr>
          <w:rFonts w:ascii="仿宋" w:hAnsi="仿宋" w:eastAsia="仿宋" w:cs="仿宋"/>
          <w:b/>
          <w:bCs/>
          <w:color w:val="auto"/>
          <w:sz w:val="32"/>
          <w:szCs w:val="32"/>
          <w:highlight w:val="none"/>
        </w:rPr>
      </w:pPr>
    </w:p>
    <w:p w14:paraId="1B06A6AD">
      <w:pPr>
        <w:widowControl/>
        <w:adjustRightInd/>
        <w:jc w:val="left"/>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6934FA9C">
      <w:pPr>
        <w:ind w:firstLine="1911" w:firstLineChars="595"/>
        <w:rPr>
          <w:rFonts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307F229E">
      <w:pPr>
        <w:snapToGrid w:val="0"/>
        <w:spacing w:line="360" w:lineRule="auto"/>
        <w:rPr>
          <w:rFonts w:ascii="仿宋" w:hAnsi="仿宋" w:eastAsia="仿宋" w:cs="仿宋"/>
          <w:color w:val="auto"/>
          <w:sz w:val="24"/>
          <w:highlight w:val="none"/>
        </w:rPr>
      </w:pPr>
    </w:p>
    <w:p w14:paraId="185FC91D">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szCs w:val="24"/>
          <w:highlight w:val="none"/>
          <w:lang w:val="zh-CN"/>
        </w:rPr>
        <w:t>杭州市拱墅区人民政府康桥街道办事处</w:t>
      </w:r>
      <w:r>
        <w:rPr>
          <w:rFonts w:hint="eastAsia" w:ascii="仿宋" w:hAnsi="仿宋" w:eastAsia="仿宋" w:cs="仿宋"/>
          <w:color w:val="auto"/>
          <w:sz w:val="24"/>
          <w:highlight w:val="none"/>
        </w:rPr>
        <w:t>、杭州大江建设项目管理有限公司</w:t>
      </w:r>
      <w:r>
        <w:rPr>
          <w:rFonts w:hint="eastAsia" w:ascii="仿宋" w:hAnsi="仿宋" w:eastAsia="仿宋" w:cs="仿宋"/>
          <w:color w:val="auto"/>
          <w:kern w:val="0"/>
          <w:sz w:val="24"/>
          <w:highlight w:val="none"/>
          <w:lang w:val="zh-CN"/>
        </w:rPr>
        <w:t>：</w:t>
      </w:r>
    </w:p>
    <w:p w14:paraId="2DB31C7A">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4B583DF9">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134E6881">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420BD7AF">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5B5E1E9A">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15DBCAD7">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五、不为项目有关人员个人装修住房、婚丧嫁娶、配偶子女工作安排等提供好处；</w:t>
      </w:r>
    </w:p>
    <w:p w14:paraId="34BED8E3">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18935662">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67659FE0">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40B35002">
      <w:pPr>
        <w:autoSpaceDE w:val="0"/>
        <w:autoSpaceDN w:val="0"/>
        <w:spacing w:line="360" w:lineRule="auto"/>
        <w:ind w:left="2"/>
        <w:jc w:val="left"/>
        <w:rPr>
          <w:rFonts w:ascii="仿宋" w:hAnsi="仿宋" w:eastAsia="仿宋" w:cs="仿宋"/>
          <w:color w:val="auto"/>
          <w:kern w:val="0"/>
          <w:sz w:val="24"/>
          <w:highlight w:val="none"/>
          <w:lang w:val="zh-CN"/>
        </w:rPr>
      </w:pPr>
    </w:p>
    <w:p w14:paraId="3A112B54">
      <w:pPr>
        <w:autoSpaceDE w:val="0"/>
        <w:autoSpaceDN w:val="0"/>
        <w:spacing w:line="360" w:lineRule="auto"/>
        <w:ind w:left="2"/>
        <w:jc w:val="left"/>
        <w:rPr>
          <w:rFonts w:ascii="仿宋" w:hAnsi="仿宋" w:eastAsia="仿宋" w:cs="仿宋"/>
          <w:color w:val="auto"/>
          <w:kern w:val="0"/>
          <w:sz w:val="24"/>
          <w:highlight w:val="none"/>
          <w:lang w:val="zh-CN"/>
        </w:rPr>
      </w:pPr>
    </w:p>
    <w:p w14:paraId="3FB7FDBF">
      <w:pPr>
        <w:autoSpaceDE w:val="0"/>
        <w:autoSpaceDN w:val="0"/>
        <w:spacing w:line="360" w:lineRule="auto"/>
        <w:ind w:left="2"/>
        <w:jc w:val="left"/>
        <w:rPr>
          <w:rFonts w:ascii="仿宋" w:hAnsi="仿宋" w:eastAsia="仿宋" w:cs="仿宋"/>
          <w:color w:val="auto"/>
          <w:kern w:val="0"/>
          <w:sz w:val="24"/>
          <w:highlight w:val="none"/>
          <w:lang w:val="zh-CN"/>
        </w:rPr>
      </w:pPr>
    </w:p>
    <w:p w14:paraId="108E6620">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41F09604">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45B800BA">
      <w:pPr>
        <w:spacing w:line="360" w:lineRule="auto"/>
        <w:jc w:val="center"/>
        <w:rPr>
          <w:rFonts w:ascii="仿宋" w:hAnsi="仿宋" w:eastAsia="仿宋" w:cs="仿宋"/>
          <w:b/>
          <w:bCs/>
          <w:color w:val="auto"/>
          <w:sz w:val="24"/>
          <w:highlight w:val="none"/>
        </w:rPr>
      </w:pPr>
    </w:p>
    <w:p w14:paraId="3F00C147">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C274CAB">
      <w:pPr>
        <w:spacing w:line="360" w:lineRule="auto"/>
        <w:jc w:val="center"/>
        <w:rPr>
          <w:rFonts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440" w:right="1080" w:bottom="1440" w:left="1080" w:header="851" w:footer="992" w:gutter="0"/>
          <w:cols w:space="720" w:num="1"/>
          <w:titlePg/>
          <w:docGrid w:linePitch="312" w:charSpace="0"/>
        </w:sectPr>
      </w:pPr>
    </w:p>
    <w:p w14:paraId="738113D5">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39E2C7F1">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4C1D423D">
      <w:pPr>
        <w:spacing w:line="360" w:lineRule="auto"/>
        <w:jc w:val="center"/>
        <w:outlineLvl w:val="0"/>
        <w:rPr>
          <w:rFonts w:ascii="仿宋" w:hAnsi="仿宋" w:eastAsia="仿宋" w:cs="仿宋"/>
          <w:b/>
          <w:color w:val="auto"/>
          <w:kern w:val="0"/>
          <w:sz w:val="36"/>
          <w:szCs w:val="36"/>
          <w:highlight w:val="none"/>
        </w:rPr>
      </w:pPr>
    </w:p>
    <w:p w14:paraId="1983084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52E0AD9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10710727">
      <w:pPr>
        <w:snapToGrid w:val="0"/>
        <w:spacing w:line="360" w:lineRule="auto"/>
        <w:ind w:right="480"/>
        <w:jc w:val="center"/>
        <w:rPr>
          <w:rFonts w:ascii="仿宋" w:hAnsi="仿宋" w:eastAsia="仿宋" w:cs="仿宋"/>
          <w:b/>
          <w:color w:val="auto"/>
          <w:kern w:val="0"/>
          <w:sz w:val="32"/>
          <w:szCs w:val="32"/>
          <w:highlight w:val="none"/>
        </w:rPr>
      </w:pPr>
    </w:p>
    <w:p w14:paraId="5B2C0F99">
      <w:pPr>
        <w:snapToGrid w:val="0"/>
        <w:spacing w:line="360" w:lineRule="auto"/>
        <w:ind w:right="480"/>
        <w:jc w:val="center"/>
        <w:rPr>
          <w:rFonts w:ascii="仿宋" w:hAnsi="仿宋" w:eastAsia="仿宋" w:cs="仿宋"/>
          <w:b/>
          <w:color w:val="auto"/>
          <w:kern w:val="0"/>
          <w:sz w:val="32"/>
          <w:szCs w:val="32"/>
          <w:highlight w:val="none"/>
        </w:rPr>
      </w:pPr>
    </w:p>
    <w:p w14:paraId="445F55C5">
      <w:pPr>
        <w:snapToGrid w:val="0"/>
        <w:spacing w:line="360" w:lineRule="auto"/>
        <w:ind w:right="480"/>
        <w:jc w:val="center"/>
        <w:rPr>
          <w:rFonts w:ascii="仿宋" w:hAnsi="仿宋" w:eastAsia="仿宋" w:cs="仿宋"/>
          <w:b/>
          <w:color w:val="auto"/>
          <w:kern w:val="0"/>
          <w:sz w:val="32"/>
          <w:szCs w:val="32"/>
          <w:highlight w:val="none"/>
        </w:rPr>
      </w:pPr>
    </w:p>
    <w:p w14:paraId="186A43B4">
      <w:pPr>
        <w:snapToGrid w:val="0"/>
        <w:spacing w:line="360" w:lineRule="auto"/>
        <w:ind w:right="480"/>
        <w:jc w:val="center"/>
        <w:rPr>
          <w:rFonts w:ascii="仿宋" w:hAnsi="仿宋" w:eastAsia="仿宋" w:cs="仿宋"/>
          <w:b/>
          <w:color w:val="auto"/>
          <w:kern w:val="0"/>
          <w:sz w:val="32"/>
          <w:szCs w:val="32"/>
          <w:highlight w:val="none"/>
        </w:rPr>
      </w:pPr>
    </w:p>
    <w:p w14:paraId="3FB421C3">
      <w:pPr>
        <w:snapToGrid w:val="0"/>
        <w:spacing w:line="360" w:lineRule="auto"/>
        <w:ind w:right="480"/>
        <w:jc w:val="center"/>
        <w:rPr>
          <w:rFonts w:ascii="仿宋" w:hAnsi="仿宋" w:eastAsia="仿宋" w:cs="仿宋"/>
          <w:b/>
          <w:color w:val="auto"/>
          <w:kern w:val="0"/>
          <w:sz w:val="32"/>
          <w:szCs w:val="32"/>
          <w:highlight w:val="none"/>
        </w:rPr>
      </w:pPr>
    </w:p>
    <w:p w14:paraId="7C8019B7">
      <w:pPr>
        <w:snapToGrid w:val="0"/>
        <w:spacing w:line="360" w:lineRule="auto"/>
        <w:ind w:right="480"/>
        <w:jc w:val="center"/>
        <w:rPr>
          <w:rFonts w:ascii="仿宋" w:hAnsi="仿宋" w:eastAsia="仿宋" w:cs="仿宋"/>
          <w:b/>
          <w:color w:val="auto"/>
          <w:kern w:val="0"/>
          <w:sz w:val="32"/>
          <w:szCs w:val="32"/>
          <w:highlight w:val="none"/>
        </w:rPr>
      </w:pPr>
    </w:p>
    <w:p w14:paraId="5967868D">
      <w:pPr>
        <w:snapToGrid w:val="0"/>
        <w:spacing w:line="360" w:lineRule="auto"/>
        <w:ind w:right="480"/>
        <w:jc w:val="center"/>
        <w:rPr>
          <w:rFonts w:ascii="仿宋" w:hAnsi="仿宋" w:eastAsia="仿宋" w:cs="仿宋"/>
          <w:b/>
          <w:color w:val="auto"/>
          <w:kern w:val="0"/>
          <w:sz w:val="32"/>
          <w:szCs w:val="32"/>
          <w:highlight w:val="none"/>
        </w:rPr>
      </w:pPr>
    </w:p>
    <w:p w14:paraId="73A1BFD6">
      <w:pPr>
        <w:snapToGrid w:val="0"/>
        <w:spacing w:line="360" w:lineRule="auto"/>
        <w:ind w:right="480"/>
        <w:jc w:val="center"/>
        <w:rPr>
          <w:rFonts w:ascii="仿宋" w:hAnsi="仿宋" w:eastAsia="仿宋" w:cs="仿宋"/>
          <w:b/>
          <w:color w:val="auto"/>
          <w:kern w:val="0"/>
          <w:sz w:val="32"/>
          <w:szCs w:val="32"/>
          <w:highlight w:val="none"/>
        </w:rPr>
      </w:pPr>
    </w:p>
    <w:p w14:paraId="1F49752C">
      <w:pPr>
        <w:snapToGrid w:val="0"/>
        <w:spacing w:line="360" w:lineRule="auto"/>
        <w:ind w:right="480"/>
        <w:jc w:val="center"/>
        <w:rPr>
          <w:rFonts w:ascii="仿宋" w:hAnsi="仿宋" w:eastAsia="仿宋" w:cs="仿宋"/>
          <w:b/>
          <w:color w:val="auto"/>
          <w:kern w:val="0"/>
          <w:sz w:val="32"/>
          <w:szCs w:val="32"/>
          <w:highlight w:val="none"/>
        </w:rPr>
      </w:pPr>
    </w:p>
    <w:p w14:paraId="6020D959">
      <w:pPr>
        <w:snapToGrid w:val="0"/>
        <w:spacing w:line="360" w:lineRule="auto"/>
        <w:ind w:right="480"/>
        <w:jc w:val="center"/>
        <w:rPr>
          <w:rFonts w:ascii="仿宋" w:hAnsi="仿宋" w:eastAsia="仿宋" w:cs="仿宋"/>
          <w:b/>
          <w:color w:val="auto"/>
          <w:kern w:val="0"/>
          <w:sz w:val="32"/>
          <w:szCs w:val="32"/>
          <w:highlight w:val="none"/>
        </w:rPr>
      </w:pPr>
    </w:p>
    <w:p w14:paraId="673F064B">
      <w:pPr>
        <w:snapToGrid w:val="0"/>
        <w:spacing w:line="360" w:lineRule="auto"/>
        <w:ind w:right="480"/>
        <w:jc w:val="center"/>
        <w:rPr>
          <w:rFonts w:ascii="仿宋" w:hAnsi="仿宋" w:eastAsia="仿宋" w:cs="仿宋"/>
          <w:b/>
          <w:color w:val="auto"/>
          <w:kern w:val="0"/>
          <w:sz w:val="32"/>
          <w:szCs w:val="32"/>
          <w:highlight w:val="none"/>
        </w:rPr>
      </w:pPr>
    </w:p>
    <w:p w14:paraId="77E158B7">
      <w:pPr>
        <w:snapToGrid w:val="0"/>
        <w:spacing w:line="360" w:lineRule="auto"/>
        <w:ind w:right="480"/>
        <w:jc w:val="center"/>
        <w:rPr>
          <w:rFonts w:ascii="仿宋" w:hAnsi="仿宋" w:eastAsia="仿宋" w:cs="仿宋"/>
          <w:b/>
          <w:color w:val="auto"/>
          <w:kern w:val="0"/>
          <w:sz w:val="32"/>
          <w:szCs w:val="32"/>
          <w:highlight w:val="none"/>
        </w:rPr>
      </w:pPr>
    </w:p>
    <w:p w14:paraId="1B154CC9">
      <w:pPr>
        <w:snapToGrid w:val="0"/>
        <w:spacing w:line="360" w:lineRule="auto"/>
        <w:ind w:right="480"/>
        <w:jc w:val="center"/>
        <w:rPr>
          <w:rFonts w:ascii="仿宋" w:hAnsi="仿宋" w:eastAsia="仿宋" w:cs="仿宋"/>
          <w:b/>
          <w:color w:val="auto"/>
          <w:kern w:val="0"/>
          <w:sz w:val="32"/>
          <w:szCs w:val="32"/>
          <w:highlight w:val="none"/>
        </w:rPr>
      </w:pPr>
    </w:p>
    <w:p w14:paraId="1B2F6881">
      <w:pPr>
        <w:snapToGrid w:val="0"/>
        <w:spacing w:line="360" w:lineRule="auto"/>
        <w:ind w:right="480"/>
        <w:jc w:val="center"/>
        <w:rPr>
          <w:rFonts w:ascii="仿宋" w:hAnsi="仿宋" w:eastAsia="仿宋" w:cs="仿宋"/>
          <w:b/>
          <w:color w:val="auto"/>
          <w:kern w:val="0"/>
          <w:sz w:val="32"/>
          <w:szCs w:val="32"/>
          <w:highlight w:val="none"/>
        </w:rPr>
      </w:pPr>
    </w:p>
    <w:p w14:paraId="04C8DA29">
      <w:pPr>
        <w:snapToGrid w:val="0"/>
        <w:spacing w:line="360" w:lineRule="auto"/>
        <w:ind w:right="480"/>
        <w:jc w:val="center"/>
        <w:rPr>
          <w:rFonts w:ascii="仿宋" w:hAnsi="仿宋" w:eastAsia="仿宋" w:cs="仿宋"/>
          <w:b/>
          <w:color w:val="auto"/>
          <w:kern w:val="0"/>
          <w:sz w:val="32"/>
          <w:szCs w:val="32"/>
          <w:highlight w:val="none"/>
        </w:rPr>
      </w:pPr>
    </w:p>
    <w:p w14:paraId="55D6CB68">
      <w:pPr>
        <w:pStyle w:val="27"/>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440" w:right="1080" w:bottom="1440" w:left="1080" w:header="851" w:footer="992" w:gutter="0"/>
          <w:cols w:space="720" w:num="1"/>
          <w:titlePg/>
          <w:docGrid w:linePitch="312" w:charSpace="0"/>
        </w:sectPr>
      </w:pPr>
    </w:p>
    <w:p w14:paraId="6B418BDB">
      <w:pPr>
        <w:pStyle w:val="27"/>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4C9F4FDC">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szCs w:val="24"/>
          <w:highlight w:val="none"/>
          <w:lang w:val="zh-CN"/>
        </w:rPr>
        <w:t>杭州市拱墅区人民政府康桥街道办事处</w:t>
      </w:r>
      <w:r>
        <w:rPr>
          <w:rFonts w:hint="eastAsia" w:ascii="仿宋" w:hAnsi="仿宋" w:eastAsia="仿宋" w:cs="仿宋"/>
          <w:color w:val="auto"/>
          <w:sz w:val="24"/>
          <w:highlight w:val="none"/>
        </w:rPr>
        <w:t>、杭州大江建设项目管理有限公司</w:t>
      </w:r>
      <w:r>
        <w:rPr>
          <w:rFonts w:hint="eastAsia" w:ascii="仿宋" w:hAnsi="仿宋" w:eastAsia="仿宋" w:cs="仿宋"/>
          <w:color w:val="auto"/>
          <w:kern w:val="0"/>
          <w:sz w:val="24"/>
          <w:highlight w:val="none"/>
          <w:lang w:val="zh-CN"/>
        </w:rPr>
        <w:t>：</w:t>
      </w:r>
    </w:p>
    <w:p w14:paraId="16C79C24">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康桥街道垃圾分类服务项目</w:t>
      </w:r>
      <w:r>
        <w:rPr>
          <w:rFonts w:hint="eastAsia" w:ascii="仿宋" w:hAnsi="仿宋" w:eastAsia="仿宋" w:cs="仿宋"/>
          <w:color w:val="auto"/>
          <w:kern w:val="0"/>
          <w:sz w:val="24"/>
          <w:highlight w:val="none"/>
          <w:lang w:val="zh-CN"/>
        </w:rPr>
        <w:t>【招标编号：KQ-HZDJ-20250211</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02BDD62B">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14"/>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469"/>
        <w:gridCol w:w="609"/>
        <w:gridCol w:w="909"/>
        <w:gridCol w:w="1335"/>
        <w:gridCol w:w="1614"/>
        <w:gridCol w:w="1686"/>
        <w:gridCol w:w="1678"/>
      </w:tblGrid>
      <w:tr w14:paraId="30BC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26" w:type="pct"/>
            <w:vAlign w:val="center"/>
          </w:tcPr>
          <w:p w14:paraId="47CDCEDE">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737" w:type="pct"/>
            <w:vAlign w:val="center"/>
          </w:tcPr>
          <w:p w14:paraId="3D85EAAD">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306" w:type="pct"/>
            <w:vAlign w:val="center"/>
          </w:tcPr>
          <w:p w14:paraId="5588B907">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457" w:type="pct"/>
            <w:vAlign w:val="center"/>
          </w:tcPr>
          <w:p w14:paraId="792F14A3">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单位</w:t>
            </w:r>
          </w:p>
        </w:tc>
        <w:tc>
          <w:tcPr>
            <w:tcW w:w="671" w:type="pct"/>
            <w:vAlign w:val="center"/>
          </w:tcPr>
          <w:p w14:paraId="1E379BEA">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811" w:type="pct"/>
            <w:vAlign w:val="center"/>
          </w:tcPr>
          <w:p w14:paraId="56652CA9">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847" w:type="pct"/>
            <w:vAlign w:val="center"/>
          </w:tcPr>
          <w:p w14:paraId="026F2245">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服务期</w:t>
            </w:r>
          </w:p>
        </w:tc>
        <w:tc>
          <w:tcPr>
            <w:tcW w:w="842" w:type="pct"/>
            <w:vAlign w:val="center"/>
          </w:tcPr>
          <w:p w14:paraId="7C82607E">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项目负责人</w:t>
            </w:r>
          </w:p>
        </w:tc>
      </w:tr>
      <w:tr w14:paraId="4E06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26" w:type="pct"/>
            <w:vAlign w:val="center"/>
          </w:tcPr>
          <w:p w14:paraId="544ADDFE">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37" w:type="pct"/>
            <w:vAlign w:val="center"/>
          </w:tcPr>
          <w:p w14:paraId="57333788">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基础服务费</w:t>
            </w:r>
          </w:p>
        </w:tc>
        <w:tc>
          <w:tcPr>
            <w:tcW w:w="306" w:type="pct"/>
            <w:vAlign w:val="center"/>
          </w:tcPr>
          <w:p w14:paraId="62E64993">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457" w:type="pct"/>
            <w:vAlign w:val="center"/>
          </w:tcPr>
          <w:p w14:paraId="37A17F31">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w:t>
            </w:r>
          </w:p>
        </w:tc>
        <w:tc>
          <w:tcPr>
            <w:tcW w:w="671" w:type="pct"/>
          </w:tcPr>
          <w:p w14:paraId="49995F21">
            <w:pPr>
              <w:spacing w:line="360" w:lineRule="auto"/>
              <w:jc w:val="center"/>
              <w:rPr>
                <w:rFonts w:ascii="仿宋" w:hAnsi="仿宋" w:eastAsia="仿宋" w:cs="仿宋"/>
                <w:color w:val="auto"/>
                <w:sz w:val="24"/>
                <w:highlight w:val="none"/>
              </w:rPr>
            </w:pPr>
          </w:p>
        </w:tc>
        <w:tc>
          <w:tcPr>
            <w:tcW w:w="811" w:type="pct"/>
            <w:vAlign w:val="center"/>
          </w:tcPr>
          <w:p w14:paraId="1BE35726">
            <w:pPr>
              <w:spacing w:line="360" w:lineRule="auto"/>
              <w:jc w:val="center"/>
              <w:rPr>
                <w:rFonts w:ascii="仿宋" w:hAnsi="仿宋" w:eastAsia="仿宋" w:cs="仿宋"/>
                <w:color w:val="auto"/>
                <w:sz w:val="24"/>
                <w:highlight w:val="none"/>
              </w:rPr>
            </w:pPr>
          </w:p>
        </w:tc>
        <w:tc>
          <w:tcPr>
            <w:tcW w:w="847" w:type="pct"/>
            <w:vMerge w:val="restart"/>
            <w:vAlign w:val="center"/>
          </w:tcPr>
          <w:p w14:paraId="7B92FE54">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合同签订之日起一年</w:t>
            </w:r>
          </w:p>
        </w:tc>
        <w:tc>
          <w:tcPr>
            <w:tcW w:w="842" w:type="pct"/>
            <w:vMerge w:val="restart"/>
            <w:vAlign w:val="center"/>
          </w:tcPr>
          <w:p w14:paraId="5133DF31">
            <w:pPr>
              <w:spacing w:line="360" w:lineRule="auto"/>
              <w:jc w:val="center"/>
              <w:rPr>
                <w:rFonts w:ascii="仿宋" w:hAnsi="仿宋" w:eastAsia="仿宋" w:cs="仿宋"/>
                <w:color w:val="auto"/>
                <w:sz w:val="24"/>
                <w:highlight w:val="none"/>
              </w:rPr>
            </w:pPr>
          </w:p>
        </w:tc>
      </w:tr>
      <w:tr w14:paraId="0849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6" w:type="pct"/>
            <w:vAlign w:val="center"/>
          </w:tcPr>
          <w:p w14:paraId="5DDC57BC">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737" w:type="pct"/>
            <w:vAlign w:val="center"/>
          </w:tcPr>
          <w:p w14:paraId="691EA1E2">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考核奖励费</w:t>
            </w:r>
          </w:p>
        </w:tc>
        <w:tc>
          <w:tcPr>
            <w:tcW w:w="306" w:type="pct"/>
            <w:vAlign w:val="center"/>
          </w:tcPr>
          <w:p w14:paraId="57354C18">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p>
        </w:tc>
        <w:tc>
          <w:tcPr>
            <w:tcW w:w="457" w:type="pct"/>
            <w:vAlign w:val="center"/>
          </w:tcPr>
          <w:p w14:paraId="32B50B43">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项</w:t>
            </w:r>
          </w:p>
        </w:tc>
        <w:tc>
          <w:tcPr>
            <w:tcW w:w="671" w:type="pct"/>
          </w:tcPr>
          <w:p w14:paraId="667DDB4F">
            <w:pPr>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250000</w:t>
            </w:r>
          </w:p>
        </w:tc>
        <w:tc>
          <w:tcPr>
            <w:tcW w:w="811" w:type="pct"/>
            <w:vAlign w:val="center"/>
          </w:tcPr>
          <w:p w14:paraId="05535AF7">
            <w:pPr>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250000</w:t>
            </w:r>
          </w:p>
        </w:tc>
        <w:tc>
          <w:tcPr>
            <w:tcW w:w="847" w:type="pct"/>
            <w:vMerge w:val="continue"/>
            <w:vAlign w:val="center"/>
          </w:tcPr>
          <w:p w14:paraId="69D57378">
            <w:pPr>
              <w:spacing w:line="360" w:lineRule="auto"/>
              <w:jc w:val="center"/>
              <w:rPr>
                <w:rFonts w:ascii="仿宋" w:hAnsi="仿宋" w:eastAsia="仿宋" w:cs="仿宋"/>
                <w:color w:val="auto"/>
                <w:sz w:val="24"/>
                <w:highlight w:val="none"/>
              </w:rPr>
            </w:pPr>
          </w:p>
        </w:tc>
        <w:tc>
          <w:tcPr>
            <w:tcW w:w="842" w:type="pct"/>
            <w:vMerge w:val="continue"/>
            <w:vAlign w:val="center"/>
          </w:tcPr>
          <w:p w14:paraId="3CBBB635">
            <w:pPr>
              <w:spacing w:line="360" w:lineRule="auto"/>
              <w:jc w:val="center"/>
              <w:rPr>
                <w:rFonts w:ascii="仿宋" w:hAnsi="仿宋" w:eastAsia="仿宋" w:cs="仿宋"/>
                <w:color w:val="auto"/>
                <w:sz w:val="24"/>
                <w:highlight w:val="none"/>
              </w:rPr>
            </w:pPr>
          </w:p>
        </w:tc>
      </w:tr>
      <w:tr w14:paraId="42FB6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6" w:type="pct"/>
            <w:vAlign w:val="center"/>
          </w:tcPr>
          <w:p w14:paraId="180F9D6B">
            <w:pPr>
              <w:spacing w:line="360" w:lineRule="auto"/>
              <w:jc w:val="center"/>
              <w:rPr>
                <w:rFonts w:ascii="仿宋" w:hAnsi="仿宋" w:eastAsia="仿宋" w:cs="仿宋"/>
                <w:color w:val="auto"/>
                <w:sz w:val="24"/>
                <w:highlight w:val="none"/>
              </w:rPr>
            </w:pPr>
          </w:p>
        </w:tc>
        <w:tc>
          <w:tcPr>
            <w:tcW w:w="737" w:type="pct"/>
            <w:vAlign w:val="center"/>
          </w:tcPr>
          <w:p w14:paraId="2A16C785">
            <w:pPr>
              <w:snapToGrid w:val="0"/>
              <w:spacing w:line="360" w:lineRule="auto"/>
              <w:jc w:val="center"/>
              <w:rPr>
                <w:rFonts w:ascii="仿宋" w:hAnsi="仿宋" w:eastAsia="仿宋" w:cs="仿宋"/>
                <w:color w:val="auto"/>
                <w:sz w:val="24"/>
                <w:highlight w:val="none"/>
              </w:rPr>
            </w:pPr>
          </w:p>
        </w:tc>
        <w:tc>
          <w:tcPr>
            <w:tcW w:w="306" w:type="pct"/>
            <w:vAlign w:val="center"/>
          </w:tcPr>
          <w:p w14:paraId="46F11541">
            <w:pPr>
              <w:snapToGrid w:val="0"/>
              <w:spacing w:line="360" w:lineRule="auto"/>
              <w:jc w:val="center"/>
              <w:rPr>
                <w:rFonts w:ascii="仿宋" w:hAnsi="仿宋" w:eastAsia="仿宋" w:cs="仿宋"/>
                <w:color w:val="auto"/>
                <w:sz w:val="24"/>
                <w:highlight w:val="none"/>
              </w:rPr>
            </w:pPr>
          </w:p>
        </w:tc>
        <w:tc>
          <w:tcPr>
            <w:tcW w:w="457" w:type="pct"/>
            <w:vAlign w:val="center"/>
          </w:tcPr>
          <w:p w14:paraId="29C93395">
            <w:pPr>
              <w:spacing w:line="360" w:lineRule="auto"/>
              <w:jc w:val="center"/>
              <w:rPr>
                <w:rFonts w:ascii="仿宋" w:hAnsi="仿宋" w:eastAsia="仿宋" w:cs="仿宋"/>
                <w:color w:val="auto"/>
                <w:sz w:val="24"/>
                <w:highlight w:val="none"/>
              </w:rPr>
            </w:pPr>
          </w:p>
        </w:tc>
        <w:tc>
          <w:tcPr>
            <w:tcW w:w="671" w:type="pct"/>
          </w:tcPr>
          <w:p w14:paraId="26CCB438">
            <w:pPr>
              <w:spacing w:line="360" w:lineRule="auto"/>
              <w:jc w:val="center"/>
              <w:rPr>
                <w:rFonts w:ascii="仿宋" w:hAnsi="仿宋" w:eastAsia="仿宋" w:cs="仿宋"/>
                <w:color w:val="auto"/>
                <w:sz w:val="24"/>
                <w:highlight w:val="none"/>
              </w:rPr>
            </w:pPr>
          </w:p>
        </w:tc>
        <w:tc>
          <w:tcPr>
            <w:tcW w:w="811" w:type="pct"/>
            <w:vAlign w:val="center"/>
          </w:tcPr>
          <w:p w14:paraId="162AA110">
            <w:pPr>
              <w:spacing w:line="360" w:lineRule="auto"/>
              <w:jc w:val="center"/>
              <w:rPr>
                <w:rFonts w:ascii="仿宋" w:hAnsi="仿宋" w:eastAsia="仿宋" w:cs="仿宋"/>
                <w:color w:val="auto"/>
                <w:sz w:val="24"/>
                <w:highlight w:val="none"/>
              </w:rPr>
            </w:pPr>
          </w:p>
        </w:tc>
        <w:tc>
          <w:tcPr>
            <w:tcW w:w="847" w:type="pct"/>
            <w:vMerge w:val="continue"/>
            <w:vAlign w:val="center"/>
          </w:tcPr>
          <w:p w14:paraId="7C7198AF">
            <w:pPr>
              <w:spacing w:line="360" w:lineRule="auto"/>
              <w:jc w:val="center"/>
              <w:rPr>
                <w:rFonts w:ascii="仿宋" w:hAnsi="仿宋" w:eastAsia="仿宋" w:cs="仿宋"/>
                <w:color w:val="auto"/>
                <w:sz w:val="24"/>
                <w:highlight w:val="none"/>
              </w:rPr>
            </w:pPr>
          </w:p>
        </w:tc>
        <w:tc>
          <w:tcPr>
            <w:tcW w:w="842" w:type="pct"/>
            <w:vMerge w:val="continue"/>
            <w:vAlign w:val="center"/>
          </w:tcPr>
          <w:p w14:paraId="2CFB626B">
            <w:pPr>
              <w:spacing w:line="360" w:lineRule="auto"/>
              <w:jc w:val="center"/>
              <w:rPr>
                <w:rFonts w:ascii="仿宋" w:hAnsi="仿宋" w:eastAsia="仿宋" w:cs="仿宋"/>
                <w:color w:val="auto"/>
                <w:sz w:val="24"/>
                <w:highlight w:val="none"/>
              </w:rPr>
            </w:pPr>
          </w:p>
        </w:tc>
      </w:tr>
      <w:tr w14:paraId="008F6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064" w:type="pct"/>
            <w:gridSpan w:val="2"/>
            <w:vAlign w:val="center"/>
          </w:tcPr>
          <w:p w14:paraId="425CC147">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3935" w:type="pct"/>
            <w:gridSpan w:val="6"/>
          </w:tcPr>
          <w:p w14:paraId="7B6F86B3">
            <w:pPr>
              <w:spacing w:line="360" w:lineRule="auto"/>
              <w:jc w:val="center"/>
              <w:rPr>
                <w:rFonts w:ascii="仿宋" w:hAnsi="仿宋" w:eastAsia="仿宋" w:cs="仿宋"/>
                <w:color w:val="auto"/>
                <w:sz w:val="24"/>
                <w:highlight w:val="none"/>
              </w:rPr>
            </w:pPr>
          </w:p>
        </w:tc>
      </w:tr>
      <w:tr w14:paraId="3FC8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64" w:type="pct"/>
            <w:gridSpan w:val="2"/>
            <w:vAlign w:val="center"/>
          </w:tcPr>
          <w:p w14:paraId="19528928">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3935" w:type="pct"/>
            <w:gridSpan w:val="6"/>
          </w:tcPr>
          <w:p w14:paraId="0E647AD5">
            <w:pPr>
              <w:spacing w:line="360" w:lineRule="auto"/>
              <w:jc w:val="center"/>
              <w:rPr>
                <w:rFonts w:ascii="仿宋" w:hAnsi="仿宋" w:eastAsia="仿宋" w:cs="仿宋"/>
                <w:color w:val="auto"/>
                <w:sz w:val="24"/>
                <w:highlight w:val="none"/>
              </w:rPr>
            </w:pPr>
          </w:p>
        </w:tc>
      </w:tr>
    </w:tbl>
    <w:p w14:paraId="1CD0CC05">
      <w:pPr>
        <w:snapToGrid w:val="0"/>
        <w:spacing w:line="360" w:lineRule="auto"/>
        <w:ind w:left="48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112F972A">
      <w:pPr>
        <w:spacing w:line="360" w:lineRule="auto"/>
        <w:ind w:left="-2" w:leftChars="-1"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69C6D456">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0BCCDC49">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D2B855B">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58C6732">
      <w:pPr>
        <w:snapToGrid w:val="0"/>
        <w:spacing w:line="360" w:lineRule="auto"/>
        <w:ind w:firstLine="422" w:firstLineChars="200"/>
        <w:jc w:val="left"/>
        <w:rPr>
          <w:rFonts w:hint="eastAsia" w:ascii="仿宋" w:hAnsi="仿宋" w:eastAsia="宋体" w:cs="仿宋"/>
          <w:color w:val="auto"/>
          <w:kern w:val="0"/>
          <w:sz w:val="24"/>
          <w:highlight w:val="none"/>
          <w:lang w:val="en-US" w:eastAsia="zh-CN"/>
        </w:rPr>
      </w:pPr>
      <w:r>
        <w:rPr>
          <w:rFonts w:hint="eastAsia" w:ascii="宋体" w:hAnsi="宋体" w:cs="宋体"/>
          <w:b/>
          <w:color w:val="auto"/>
          <w:highlight w:val="none"/>
        </w:rPr>
        <w:t>▲</w:t>
      </w:r>
      <w:r>
        <w:rPr>
          <w:rFonts w:hint="eastAsia" w:ascii="宋体" w:hAnsi="宋体" w:cs="宋体"/>
          <w:b/>
          <w:bCs/>
          <w:color w:val="auto"/>
          <w:kern w:val="0"/>
          <w:highlight w:val="none"/>
        </w:rPr>
        <w:t>5、</w:t>
      </w:r>
      <w:r>
        <w:rPr>
          <w:rFonts w:hint="eastAsia" w:ascii="宋体" w:hAnsi="宋体" w:cs="宋体"/>
          <w:b/>
          <w:bCs/>
          <w:color w:val="auto"/>
          <w:kern w:val="0"/>
          <w:highlight w:val="none"/>
          <w:lang w:val="en-US" w:eastAsia="zh-CN"/>
        </w:rPr>
        <w:t>考核奖励费总额（250000元）</w:t>
      </w:r>
      <w:r>
        <w:rPr>
          <w:rFonts w:hint="eastAsia" w:ascii="宋体" w:hAnsi="宋体" w:cs="宋体"/>
          <w:b/>
          <w:bCs/>
          <w:color w:val="auto"/>
          <w:kern w:val="0"/>
          <w:highlight w:val="none"/>
        </w:rPr>
        <w:t>由采购人制定，供应商不得变动</w:t>
      </w:r>
      <w:r>
        <w:rPr>
          <w:rFonts w:hint="eastAsia" w:ascii="宋体" w:hAnsi="宋体" w:cs="宋体"/>
          <w:b/>
          <w:bCs/>
          <w:color w:val="auto"/>
          <w:kern w:val="0"/>
          <w:highlight w:val="none"/>
          <w:lang w:eastAsia="zh-CN"/>
        </w:rPr>
        <w:t>。</w:t>
      </w:r>
    </w:p>
    <w:p w14:paraId="19A7CDAD">
      <w:pPr>
        <w:spacing w:line="360" w:lineRule="auto"/>
        <w:ind w:firstLine="482" w:firstLineChars="200"/>
        <w:rPr>
          <w:rFonts w:ascii="仿宋" w:hAnsi="仿宋" w:eastAsia="仿宋" w:cs="仿宋"/>
          <w:b/>
          <w:color w:val="auto"/>
          <w:kern w:val="0"/>
          <w:sz w:val="24"/>
          <w:highlight w:val="none"/>
        </w:rPr>
      </w:pPr>
    </w:p>
    <w:p w14:paraId="305ED805">
      <w:pPr>
        <w:pStyle w:val="27"/>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pgSz w:w="11906" w:h="16838"/>
          <w:pgMar w:top="1440" w:right="1080" w:bottom="1440" w:left="1080" w:header="851" w:footer="992" w:gutter="0"/>
          <w:cols w:space="720" w:num="1"/>
          <w:titlePg/>
          <w:docGrid w:linePitch="312" w:charSpace="0"/>
        </w:sectPr>
      </w:pPr>
    </w:p>
    <w:p w14:paraId="61FD007B">
      <w:pPr>
        <w:pStyle w:val="27"/>
        <w:keepNext w:val="0"/>
        <w:pageBreakBefore w:val="0"/>
        <w:tabs>
          <w:tab w:val="clear" w:pos="720"/>
        </w:tabs>
        <w:snapToGrid w:val="0"/>
        <w:spacing w:before="120" w:after="120"/>
        <w:ind w:firstLine="643"/>
        <w:outlineLvl w:val="9"/>
        <w:rPr>
          <w:rFonts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14:paraId="42086B5D">
      <w:pPr>
        <w:widowControl/>
        <w:spacing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80BB237">
      <w:pPr>
        <w:pStyle w:val="27"/>
        <w:keepNext w:val="0"/>
        <w:pageBreakBefore w:val="0"/>
        <w:tabs>
          <w:tab w:val="clear" w:pos="720"/>
        </w:tabs>
        <w:snapToGrid w:val="0"/>
        <w:spacing w:before="120" w:after="120"/>
        <w:ind w:firstLine="643"/>
        <w:outlineLvl w:val="9"/>
        <w:rPr>
          <w:rFonts w:ascii="仿宋" w:hAnsi="仿宋" w:eastAsia="仿宋" w:cs="仿宋"/>
          <w:b w:val="0"/>
          <w:color w:val="auto"/>
          <w:sz w:val="32"/>
          <w:szCs w:val="32"/>
          <w:highlight w:val="none"/>
        </w:rPr>
      </w:pPr>
    </w:p>
    <w:p w14:paraId="53C0C33E">
      <w:pPr>
        <w:spacing w:line="360" w:lineRule="auto"/>
        <w:ind w:right="420" w:firstLine="3614" w:firstLineChars="1000"/>
        <w:rPr>
          <w:rFonts w:ascii="仿宋" w:hAnsi="仿宋" w:eastAsia="仿宋" w:cs="仿宋"/>
          <w:b/>
          <w:color w:val="auto"/>
          <w:kern w:val="0"/>
          <w:sz w:val="36"/>
          <w:szCs w:val="36"/>
          <w:highlight w:val="none"/>
        </w:rPr>
      </w:pPr>
    </w:p>
    <w:p w14:paraId="250F0481">
      <w:pPr>
        <w:spacing w:line="360" w:lineRule="auto"/>
        <w:ind w:right="420" w:firstLine="3614" w:firstLineChars="1000"/>
        <w:rPr>
          <w:rFonts w:ascii="仿宋" w:hAnsi="仿宋" w:eastAsia="仿宋" w:cs="仿宋"/>
          <w:b/>
          <w:color w:val="auto"/>
          <w:kern w:val="0"/>
          <w:sz w:val="36"/>
          <w:szCs w:val="36"/>
          <w:highlight w:val="none"/>
        </w:rPr>
      </w:pPr>
    </w:p>
    <w:p w14:paraId="4C2CA0AE">
      <w:pPr>
        <w:spacing w:line="360" w:lineRule="auto"/>
        <w:ind w:right="420" w:firstLine="3614" w:firstLineChars="1000"/>
        <w:rPr>
          <w:rFonts w:ascii="仿宋" w:hAnsi="仿宋" w:eastAsia="仿宋" w:cs="仿宋"/>
          <w:b/>
          <w:color w:val="auto"/>
          <w:kern w:val="0"/>
          <w:sz w:val="36"/>
          <w:szCs w:val="36"/>
          <w:highlight w:val="none"/>
        </w:rPr>
      </w:pPr>
    </w:p>
    <w:p w14:paraId="671D088D">
      <w:pPr>
        <w:spacing w:line="360" w:lineRule="auto"/>
        <w:ind w:right="420" w:firstLine="3614" w:firstLineChars="1000"/>
        <w:rPr>
          <w:rFonts w:ascii="仿宋" w:hAnsi="仿宋" w:eastAsia="仿宋" w:cs="仿宋"/>
          <w:b/>
          <w:color w:val="auto"/>
          <w:kern w:val="0"/>
          <w:sz w:val="36"/>
          <w:szCs w:val="36"/>
          <w:highlight w:val="none"/>
        </w:rPr>
      </w:pPr>
    </w:p>
    <w:p w14:paraId="5FDE0527">
      <w:pPr>
        <w:spacing w:line="360" w:lineRule="auto"/>
        <w:ind w:right="420" w:firstLine="3614" w:firstLineChars="1000"/>
        <w:rPr>
          <w:rFonts w:ascii="仿宋" w:hAnsi="仿宋" w:eastAsia="仿宋" w:cs="仿宋"/>
          <w:b/>
          <w:color w:val="auto"/>
          <w:kern w:val="0"/>
          <w:sz w:val="36"/>
          <w:szCs w:val="36"/>
          <w:highlight w:val="none"/>
        </w:rPr>
      </w:pPr>
    </w:p>
    <w:p w14:paraId="637893A4">
      <w:pPr>
        <w:spacing w:line="360" w:lineRule="auto"/>
        <w:ind w:right="420" w:firstLine="3614" w:firstLineChars="1000"/>
        <w:rPr>
          <w:rFonts w:ascii="仿宋" w:hAnsi="仿宋" w:eastAsia="仿宋" w:cs="仿宋"/>
          <w:b/>
          <w:color w:val="auto"/>
          <w:kern w:val="0"/>
          <w:sz w:val="36"/>
          <w:szCs w:val="36"/>
          <w:highlight w:val="none"/>
        </w:rPr>
      </w:pPr>
    </w:p>
    <w:p w14:paraId="23C4D8B1">
      <w:pPr>
        <w:spacing w:line="360" w:lineRule="auto"/>
        <w:ind w:right="420" w:firstLine="3614" w:firstLineChars="1000"/>
        <w:rPr>
          <w:rFonts w:ascii="仿宋" w:hAnsi="仿宋" w:eastAsia="仿宋" w:cs="仿宋"/>
          <w:b/>
          <w:color w:val="auto"/>
          <w:kern w:val="0"/>
          <w:sz w:val="36"/>
          <w:szCs w:val="36"/>
          <w:highlight w:val="none"/>
        </w:rPr>
      </w:pPr>
    </w:p>
    <w:p w14:paraId="51B9B72C">
      <w:pPr>
        <w:spacing w:line="360" w:lineRule="auto"/>
        <w:ind w:right="420" w:firstLine="3614" w:firstLineChars="1000"/>
        <w:rPr>
          <w:rFonts w:ascii="仿宋" w:hAnsi="仿宋" w:eastAsia="仿宋" w:cs="仿宋"/>
          <w:b/>
          <w:color w:val="auto"/>
          <w:kern w:val="0"/>
          <w:sz w:val="36"/>
          <w:szCs w:val="36"/>
          <w:highlight w:val="none"/>
        </w:rPr>
      </w:pPr>
    </w:p>
    <w:p w14:paraId="5CB4E7A7">
      <w:pPr>
        <w:spacing w:line="360" w:lineRule="auto"/>
        <w:ind w:right="420" w:firstLine="3614" w:firstLineChars="1000"/>
        <w:rPr>
          <w:rFonts w:ascii="仿宋" w:hAnsi="仿宋" w:eastAsia="仿宋" w:cs="仿宋"/>
          <w:b/>
          <w:color w:val="auto"/>
          <w:kern w:val="0"/>
          <w:sz w:val="36"/>
          <w:szCs w:val="36"/>
          <w:highlight w:val="none"/>
        </w:rPr>
      </w:pPr>
    </w:p>
    <w:p w14:paraId="2327D540">
      <w:pPr>
        <w:spacing w:line="360" w:lineRule="auto"/>
        <w:ind w:right="420" w:firstLine="3614" w:firstLineChars="1000"/>
        <w:rPr>
          <w:rFonts w:ascii="仿宋" w:hAnsi="仿宋" w:eastAsia="仿宋" w:cs="仿宋"/>
          <w:b/>
          <w:color w:val="auto"/>
          <w:kern w:val="0"/>
          <w:sz w:val="36"/>
          <w:szCs w:val="36"/>
          <w:highlight w:val="none"/>
        </w:rPr>
      </w:pPr>
    </w:p>
    <w:p w14:paraId="4A2CBB16">
      <w:pPr>
        <w:spacing w:line="360" w:lineRule="auto"/>
        <w:ind w:right="420" w:firstLine="3614" w:firstLineChars="1000"/>
        <w:rPr>
          <w:rFonts w:ascii="仿宋" w:hAnsi="仿宋" w:eastAsia="仿宋" w:cs="仿宋"/>
          <w:b/>
          <w:color w:val="auto"/>
          <w:kern w:val="0"/>
          <w:sz w:val="36"/>
          <w:szCs w:val="36"/>
          <w:highlight w:val="none"/>
        </w:rPr>
      </w:pPr>
    </w:p>
    <w:p w14:paraId="311215BB">
      <w:pPr>
        <w:spacing w:line="360" w:lineRule="auto"/>
        <w:ind w:right="420" w:firstLine="3614" w:firstLineChars="1000"/>
        <w:rPr>
          <w:rFonts w:ascii="仿宋" w:hAnsi="仿宋" w:eastAsia="仿宋" w:cs="仿宋"/>
          <w:b/>
          <w:color w:val="auto"/>
          <w:kern w:val="0"/>
          <w:sz w:val="36"/>
          <w:szCs w:val="36"/>
          <w:highlight w:val="none"/>
        </w:rPr>
      </w:pPr>
    </w:p>
    <w:p w14:paraId="1DD87F80">
      <w:pPr>
        <w:spacing w:line="360" w:lineRule="auto"/>
        <w:ind w:right="420" w:firstLine="3614" w:firstLineChars="1000"/>
        <w:rPr>
          <w:rFonts w:ascii="仿宋" w:hAnsi="仿宋" w:eastAsia="仿宋" w:cs="仿宋"/>
          <w:b/>
          <w:color w:val="auto"/>
          <w:kern w:val="0"/>
          <w:sz w:val="36"/>
          <w:szCs w:val="36"/>
          <w:highlight w:val="none"/>
        </w:rPr>
      </w:pPr>
    </w:p>
    <w:p w14:paraId="15A01FCE">
      <w:pPr>
        <w:spacing w:line="360" w:lineRule="auto"/>
        <w:ind w:right="420" w:firstLine="3614" w:firstLineChars="1000"/>
        <w:rPr>
          <w:rFonts w:ascii="仿宋" w:hAnsi="仿宋" w:eastAsia="仿宋" w:cs="仿宋"/>
          <w:b/>
          <w:color w:val="auto"/>
          <w:kern w:val="0"/>
          <w:sz w:val="36"/>
          <w:szCs w:val="36"/>
          <w:highlight w:val="none"/>
        </w:rPr>
      </w:pPr>
    </w:p>
    <w:p w14:paraId="3AF0CE32">
      <w:pPr>
        <w:spacing w:line="360" w:lineRule="auto"/>
        <w:ind w:right="420" w:firstLine="3614" w:firstLineChars="1000"/>
        <w:rPr>
          <w:rFonts w:ascii="仿宋" w:hAnsi="仿宋" w:eastAsia="仿宋" w:cs="仿宋"/>
          <w:b/>
          <w:color w:val="auto"/>
          <w:kern w:val="0"/>
          <w:sz w:val="36"/>
          <w:szCs w:val="36"/>
          <w:highlight w:val="none"/>
        </w:rPr>
      </w:pPr>
    </w:p>
    <w:p w14:paraId="43231C05">
      <w:pPr>
        <w:spacing w:line="360" w:lineRule="auto"/>
        <w:rPr>
          <w:rFonts w:ascii="仿宋" w:hAnsi="仿宋" w:eastAsia="仿宋" w:cs="仿宋"/>
          <w:b/>
          <w:color w:val="auto"/>
          <w:spacing w:val="6"/>
          <w:sz w:val="32"/>
          <w:szCs w:val="32"/>
          <w:highlight w:val="none"/>
        </w:rPr>
      </w:pPr>
    </w:p>
    <w:p w14:paraId="34F6CD13">
      <w:pPr>
        <w:spacing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p>
    <w:p w14:paraId="7B2622E6">
      <w:pPr>
        <w:spacing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0115B8F6">
      <w:pPr>
        <w:spacing w:line="360" w:lineRule="auto"/>
        <w:jc w:val="center"/>
        <w:rPr>
          <w:rFonts w:ascii="仿宋" w:hAnsi="仿宋" w:eastAsia="仿宋" w:cs="仿宋"/>
          <w:b/>
          <w:color w:val="auto"/>
          <w:spacing w:val="6"/>
          <w:sz w:val="32"/>
          <w:szCs w:val="32"/>
          <w:highlight w:val="none"/>
        </w:rPr>
      </w:pPr>
      <w:bookmarkStart w:id="397" w:name="OLE_LINK14"/>
      <w:bookmarkStart w:id="398" w:name="OLE_LINK13"/>
      <w:r>
        <w:rPr>
          <w:rFonts w:hint="eastAsia" w:ascii="仿宋" w:hAnsi="仿宋" w:eastAsia="仿宋" w:cs="仿宋"/>
          <w:b/>
          <w:color w:val="auto"/>
          <w:spacing w:val="6"/>
          <w:sz w:val="32"/>
          <w:szCs w:val="32"/>
          <w:highlight w:val="none"/>
        </w:rPr>
        <w:t>残疾人福利性单位声明函</w:t>
      </w:r>
    </w:p>
    <w:bookmarkEnd w:id="397"/>
    <w:bookmarkEnd w:id="398"/>
    <w:p w14:paraId="39655BF5">
      <w:pPr>
        <w:spacing w:line="360" w:lineRule="auto"/>
        <w:rPr>
          <w:rFonts w:ascii="仿宋" w:hAnsi="仿宋" w:eastAsia="仿宋" w:cs="仿宋"/>
          <w:b/>
          <w:color w:val="auto"/>
          <w:spacing w:val="6"/>
          <w:sz w:val="30"/>
          <w:szCs w:val="30"/>
          <w:highlight w:val="none"/>
        </w:rPr>
      </w:pPr>
    </w:p>
    <w:p w14:paraId="00858E6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szCs w:val="24"/>
          <w:highlight w:val="none"/>
          <w:u w:val="single"/>
          <w:lang w:val="zh-CN"/>
        </w:rPr>
        <w:t>杭州市拱墅区人民政府康桥街道办事处</w:t>
      </w:r>
      <w:r>
        <w:rPr>
          <w:rFonts w:hint="eastAsia" w:ascii="仿宋" w:hAnsi="仿宋" w:eastAsia="仿宋" w:cs="仿宋"/>
          <w:color w:val="auto"/>
          <w:sz w:val="24"/>
          <w:highlight w:val="none"/>
          <w:u w:val="single"/>
        </w:rPr>
        <w:t>_</w:t>
      </w:r>
      <w:r>
        <w:rPr>
          <w:rFonts w:hint="eastAsia" w:ascii="仿宋" w:hAnsi="仿宋" w:eastAsia="仿宋" w:cs="仿宋"/>
          <w:color w:val="auto"/>
          <w:sz w:val="24"/>
          <w:highlight w:val="none"/>
        </w:rPr>
        <w:t>单位的_</w:t>
      </w:r>
      <w:r>
        <w:rPr>
          <w:rFonts w:hint="eastAsia" w:ascii="仿宋" w:hAnsi="仿宋" w:eastAsia="仿宋" w:cs="仿宋"/>
          <w:color w:val="auto"/>
          <w:sz w:val="24"/>
          <w:highlight w:val="none"/>
          <w:u w:val="single"/>
        </w:rPr>
        <w:t>康桥街道垃圾分类服务项目_</w:t>
      </w:r>
      <w:r>
        <w:rPr>
          <w:rFonts w:hint="eastAsia" w:ascii="仿宋" w:hAnsi="仿宋" w:eastAsia="仿宋" w:cs="仿宋"/>
          <w:color w:val="auto"/>
          <w:sz w:val="24"/>
          <w:highlight w:val="none"/>
        </w:rPr>
        <w:t>_项目采购活动提供本单位制造的货物（由本单位承担工程/提供服务），或者提供其他残疾人福利性单位制造的货物（不包括使用非残疾人福利性单位注册商标的货物）。</w:t>
      </w:r>
    </w:p>
    <w:p w14:paraId="1EB43CB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038AF129">
      <w:pPr>
        <w:spacing w:line="360" w:lineRule="auto"/>
        <w:ind w:firstLine="480" w:firstLineChars="200"/>
        <w:rPr>
          <w:rFonts w:ascii="仿宋" w:hAnsi="仿宋" w:eastAsia="仿宋" w:cs="仿宋"/>
          <w:color w:val="auto"/>
          <w:sz w:val="24"/>
          <w:highlight w:val="none"/>
        </w:rPr>
      </w:pPr>
    </w:p>
    <w:p w14:paraId="0452705A">
      <w:pPr>
        <w:spacing w:line="360" w:lineRule="auto"/>
        <w:ind w:firstLine="480" w:firstLineChars="200"/>
        <w:rPr>
          <w:rFonts w:ascii="仿宋" w:hAnsi="仿宋" w:eastAsia="仿宋" w:cs="仿宋"/>
          <w:color w:val="auto"/>
          <w:sz w:val="24"/>
          <w:highlight w:val="none"/>
        </w:rPr>
      </w:pPr>
    </w:p>
    <w:p w14:paraId="69ACDC3C">
      <w:pPr>
        <w:tabs>
          <w:tab w:val="left" w:pos="4860"/>
        </w:tabs>
        <w:spacing w:line="360" w:lineRule="auto"/>
        <w:ind w:right="1560"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2789E073">
      <w:pPr>
        <w:tabs>
          <w:tab w:val="left" w:pos="4860"/>
        </w:tabs>
        <w:spacing w:line="360" w:lineRule="auto"/>
        <w:ind w:right="156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日  期：</w:t>
      </w:r>
    </w:p>
    <w:p w14:paraId="6F74541F">
      <w:pPr>
        <w:spacing w:line="360" w:lineRule="auto"/>
        <w:ind w:firstLine="480" w:firstLineChars="200"/>
        <w:rPr>
          <w:rFonts w:ascii="仿宋" w:hAnsi="仿宋" w:eastAsia="仿宋" w:cs="仿宋"/>
          <w:color w:val="auto"/>
          <w:sz w:val="24"/>
          <w:highlight w:val="none"/>
        </w:rPr>
      </w:pPr>
    </w:p>
    <w:p w14:paraId="5CCC19E1">
      <w:pPr>
        <w:spacing w:line="360" w:lineRule="auto"/>
        <w:ind w:firstLine="420" w:firstLineChars="200"/>
        <w:rPr>
          <w:rFonts w:ascii="仿宋" w:hAnsi="仿宋" w:eastAsia="仿宋" w:cs="仿宋"/>
          <w:color w:val="auto"/>
          <w:highlight w:val="none"/>
        </w:rPr>
      </w:pPr>
    </w:p>
    <w:p w14:paraId="1D09A6E1">
      <w:pPr>
        <w:spacing w:line="360" w:lineRule="auto"/>
        <w:ind w:firstLine="420" w:firstLineChars="200"/>
        <w:rPr>
          <w:rFonts w:ascii="仿宋" w:hAnsi="仿宋" w:eastAsia="仿宋" w:cs="仿宋"/>
          <w:color w:val="auto"/>
          <w:highlight w:val="none"/>
        </w:rPr>
      </w:pPr>
    </w:p>
    <w:p w14:paraId="1653CCEC">
      <w:pPr>
        <w:spacing w:line="360" w:lineRule="auto"/>
        <w:ind w:firstLine="420" w:firstLineChars="200"/>
        <w:rPr>
          <w:rFonts w:ascii="仿宋" w:hAnsi="仿宋" w:eastAsia="仿宋" w:cs="仿宋"/>
          <w:color w:val="auto"/>
          <w:highlight w:val="none"/>
        </w:rPr>
      </w:pPr>
    </w:p>
    <w:p w14:paraId="27E942A4">
      <w:pPr>
        <w:spacing w:line="360" w:lineRule="auto"/>
        <w:ind w:firstLine="420" w:firstLineChars="200"/>
        <w:rPr>
          <w:rFonts w:ascii="仿宋" w:hAnsi="仿宋" w:eastAsia="仿宋" w:cs="仿宋"/>
          <w:color w:val="auto"/>
          <w:highlight w:val="none"/>
        </w:rPr>
      </w:pPr>
    </w:p>
    <w:p w14:paraId="3AAE5D4D">
      <w:pPr>
        <w:spacing w:line="360" w:lineRule="auto"/>
        <w:rPr>
          <w:rFonts w:ascii="仿宋" w:hAnsi="仿宋" w:eastAsia="仿宋" w:cs="仿宋"/>
          <w:b/>
          <w:color w:val="auto"/>
          <w:sz w:val="24"/>
          <w:highlight w:val="none"/>
        </w:rPr>
      </w:pPr>
    </w:p>
    <w:p w14:paraId="4E3E3700">
      <w:pPr>
        <w:spacing w:line="360" w:lineRule="auto"/>
        <w:rPr>
          <w:rFonts w:ascii="仿宋" w:hAnsi="仿宋" w:eastAsia="仿宋" w:cs="仿宋"/>
          <w:b/>
          <w:color w:val="auto"/>
          <w:sz w:val="24"/>
          <w:highlight w:val="none"/>
        </w:rPr>
      </w:pPr>
    </w:p>
    <w:p w14:paraId="43D0E7A5">
      <w:pPr>
        <w:spacing w:line="360" w:lineRule="auto"/>
        <w:rPr>
          <w:rFonts w:ascii="仿宋" w:hAnsi="仿宋" w:eastAsia="仿宋" w:cs="仿宋"/>
          <w:b/>
          <w:color w:val="auto"/>
          <w:sz w:val="24"/>
          <w:highlight w:val="none"/>
        </w:rPr>
      </w:pPr>
    </w:p>
    <w:p w14:paraId="40538D51">
      <w:pPr>
        <w:spacing w:line="360" w:lineRule="auto"/>
        <w:rPr>
          <w:rFonts w:ascii="仿宋" w:hAnsi="仿宋" w:eastAsia="仿宋" w:cs="仿宋"/>
          <w:b/>
          <w:color w:val="auto"/>
          <w:sz w:val="24"/>
          <w:highlight w:val="none"/>
        </w:rPr>
      </w:pPr>
    </w:p>
    <w:p w14:paraId="6061373D">
      <w:pPr>
        <w:spacing w:line="360" w:lineRule="auto"/>
        <w:rPr>
          <w:rFonts w:ascii="仿宋" w:hAnsi="仿宋" w:eastAsia="仿宋" w:cs="仿宋"/>
          <w:b/>
          <w:color w:val="auto"/>
          <w:sz w:val="24"/>
          <w:highlight w:val="none"/>
        </w:rPr>
      </w:pPr>
    </w:p>
    <w:p w14:paraId="0C90FEB2">
      <w:pPr>
        <w:spacing w:line="360" w:lineRule="auto"/>
        <w:rPr>
          <w:rFonts w:ascii="仿宋" w:hAnsi="仿宋" w:eastAsia="仿宋" w:cs="仿宋"/>
          <w:b/>
          <w:color w:val="auto"/>
          <w:sz w:val="24"/>
          <w:highlight w:val="none"/>
        </w:rPr>
      </w:pPr>
    </w:p>
    <w:p w14:paraId="3187BCD8">
      <w:pPr>
        <w:spacing w:line="360" w:lineRule="auto"/>
        <w:rPr>
          <w:rFonts w:ascii="仿宋" w:hAnsi="仿宋" w:eastAsia="仿宋" w:cs="仿宋"/>
          <w:b/>
          <w:color w:val="auto"/>
          <w:sz w:val="24"/>
          <w:highlight w:val="none"/>
        </w:rPr>
      </w:pPr>
    </w:p>
    <w:p w14:paraId="3F647D91">
      <w:pPr>
        <w:spacing w:line="360" w:lineRule="auto"/>
        <w:rPr>
          <w:rFonts w:ascii="仿宋" w:hAnsi="仿宋" w:eastAsia="仿宋" w:cs="仿宋"/>
          <w:b/>
          <w:color w:val="auto"/>
          <w:sz w:val="24"/>
          <w:highlight w:val="none"/>
        </w:rPr>
      </w:pPr>
    </w:p>
    <w:p w14:paraId="0D31E804">
      <w:pPr>
        <w:spacing w:line="360" w:lineRule="auto"/>
        <w:rPr>
          <w:rFonts w:ascii="仿宋" w:hAnsi="仿宋" w:eastAsia="仿宋" w:cs="仿宋"/>
          <w:b/>
          <w:color w:val="auto"/>
          <w:sz w:val="24"/>
          <w:highlight w:val="none"/>
        </w:rPr>
      </w:pPr>
    </w:p>
    <w:p w14:paraId="4E9E87BE">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32CA56E5">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177464FD">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6752F08F">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73E3960E">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7D009DC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BB2D875">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726B448">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62DEF55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E76D38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F9D1850">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58BA9917">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098FF401">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72908C5F">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2E6619B1">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1DF45479">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41597023">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1F2FC1D0">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62B0CE7">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3C9AA035">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300E421">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43C756B">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3E7162E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1EEB7037">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493CA7FA">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3704EBE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2DBAF3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0DE0C86">
      <w:pPr>
        <w:spacing w:line="360" w:lineRule="auto"/>
        <w:jc w:val="center"/>
        <w:rPr>
          <w:rFonts w:ascii="仿宋" w:hAnsi="仿宋" w:eastAsia="仿宋" w:cs="仿宋"/>
          <w:b/>
          <w:bCs/>
          <w:color w:val="auto"/>
          <w:sz w:val="24"/>
          <w:highlight w:val="none"/>
        </w:rPr>
      </w:pPr>
    </w:p>
    <w:p w14:paraId="71936351">
      <w:pPr>
        <w:spacing w:line="360" w:lineRule="auto"/>
        <w:rPr>
          <w:rFonts w:ascii="仿宋" w:hAnsi="仿宋" w:eastAsia="仿宋" w:cs="仿宋"/>
          <w:b/>
          <w:color w:val="auto"/>
          <w:sz w:val="24"/>
          <w:highlight w:val="none"/>
        </w:rPr>
      </w:pPr>
    </w:p>
    <w:p w14:paraId="3E56172F">
      <w:pPr>
        <w:spacing w:line="360" w:lineRule="auto"/>
        <w:rPr>
          <w:rFonts w:ascii="仿宋" w:hAnsi="仿宋" w:eastAsia="仿宋" w:cs="仿宋"/>
          <w:b/>
          <w:color w:val="auto"/>
          <w:sz w:val="24"/>
          <w:highlight w:val="none"/>
        </w:rPr>
      </w:pPr>
    </w:p>
    <w:p w14:paraId="07C42A30">
      <w:pPr>
        <w:spacing w:line="360" w:lineRule="auto"/>
        <w:rPr>
          <w:rFonts w:ascii="仿宋" w:hAnsi="仿宋" w:eastAsia="仿宋" w:cs="仿宋"/>
          <w:b/>
          <w:color w:val="auto"/>
          <w:sz w:val="24"/>
          <w:highlight w:val="none"/>
        </w:rPr>
      </w:pPr>
    </w:p>
    <w:p w14:paraId="0B932B30">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27EC894F">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385C705E">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4D4FA9BA">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042F2DC6">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20FBB94F">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7400BDE6">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5B821537">
      <w:pPr>
        <w:widowControl/>
        <w:spacing w:line="360" w:lineRule="auto"/>
        <w:ind w:firstLine="600" w:firstLineChars="200"/>
        <w:jc w:val="left"/>
        <w:rPr>
          <w:rFonts w:ascii="仿宋" w:hAnsi="仿宋" w:eastAsia="仿宋" w:cs="仿宋"/>
          <w:color w:val="auto"/>
          <w:sz w:val="30"/>
          <w:szCs w:val="30"/>
          <w:highlight w:val="none"/>
        </w:rPr>
      </w:pPr>
    </w:p>
    <w:p w14:paraId="2874D824">
      <w:pPr>
        <w:spacing w:line="360" w:lineRule="auto"/>
        <w:jc w:val="center"/>
        <w:rPr>
          <w:rFonts w:ascii="仿宋" w:hAnsi="仿宋" w:eastAsia="仿宋" w:cs="仿宋"/>
          <w:b/>
          <w:color w:val="auto"/>
          <w:spacing w:val="6"/>
          <w:sz w:val="32"/>
          <w:szCs w:val="32"/>
          <w:highlight w:val="none"/>
        </w:rPr>
      </w:pPr>
    </w:p>
    <w:p w14:paraId="2594ABE8">
      <w:pPr>
        <w:spacing w:line="360" w:lineRule="auto"/>
        <w:jc w:val="center"/>
        <w:rPr>
          <w:rFonts w:ascii="仿宋" w:hAnsi="仿宋" w:eastAsia="仿宋" w:cs="仿宋"/>
          <w:b/>
          <w:color w:val="auto"/>
          <w:spacing w:val="6"/>
          <w:sz w:val="32"/>
          <w:szCs w:val="32"/>
          <w:highlight w:val="none"/>
        </w:rPr>
      </w:pPr>
    </w:p>
    <w:p w14:paraId="53939A0E">
      <w:pPr>
        <w:spacing w:line="360" w:lineRule="auto"/>
        <w:jc w:val="center"/>
        <w:rPr>
          <w:rFonts w:ascii="仿宋" w:hAnsi="仿宋" w:eastAsia="仿宋" w:cs="仿宋"/>
          <w:b/>
          <w:color w:val="auto"/>
          <w:spacing w:val="6"/>
          <w:sz w:val="32"/>
          <w:szCs w:val="32"/>
          <w:highlight w:val="none"/>
        </w:rPr>
      </w:pPr>
    </w:p>
    <w:p w14:paraId="6089DC75">
      <w:pPr>
        <w:spacing w:line="360" w:lineRule="auto"/>
        <w:jc w:val="center"/>
        <w:rPr>
          <w:rFonts w:ascii="仿宋" w:hAnsi="仿宋" w:eastAsia="仿宋" w:cs="仿宋"/>
          <w:b/>
          <w:color w:val="auto"/>
          <w:spacing w:val="6"/>
          <w:sz w:val="32"/>
          <w:szCs w:val="32"/>
          <w:highlight w:val="none"/>
        </w:rPr>
      </w:pPr>
    </w:p>
    <w:p w14:paraId="23DB5863">
      <w:pPr>
        <w:spacing w:line="360" w:lineRule="auto"/>
        <w:jc w:val="center"/>
        <w:rPr>
          <w:rFonts w:ascii="仿宋" w:hAnsi="仿宋" w:eastAsia="仿宋" w:cs="仿宋"/>
          <w:b/>
          <w:color w:val="auto"/>
          <w:spacing w:val="6"/>
          <w:sz w:val="32"/>
          <w:szCs w:val="32"/>
          <w:highlight w:val="none"/>
        </w:rPr>
      </w:pPr>
    </w:p>
    <w:p w14:paraId="30DA8650">
      <w:pPr>
        <w:spacing w:line="360" w:lineRule="auto"/>
        <w:jc w:val="center"/>
        <w:rPr>
          <w:rFonts w:ascii="仿宋" w:hAnsi="仿宋" w:eastAsia="仿宋" w:cs="仿宋"/>
          <w:b/>
          <w:color w:val="auto"/>
          <w:spacing w:val="6"/>
          <w:sz w:val="32"/>
          <w:szCs w:val="32"/>
          <w:highlight w:val="none"/>
        </w:rPr>
      </w:pPr>
    </w:p>
    <w:p w14:paraId="4A5F7551">
      <w:pPr>
        <w:spacing w:line="360" w:lineRule="auto"/>
        <w:jc w:val="center"/>
        <w:rPr>
          <w:rFonts w:ascii="仿宋" w:hAnsi="仿宋" w:eastAsia="仿宋" w:cs="仿宋"/>
          <w:b/>
          <w:color w:val="auto"/>
          <w:spacing w:val="6"/>
          <w:sz w:val="32"/>
          <w:szCs w:val="32"/>
          <w:highlight w:val="none"/>
        </w:rPr>
      </w:pPr>
    </w:p>
    <w:p w14:paraId="4B247E7D">
      <w:pPr>
        <w:spacing w:line="360" w:lineRule="auto"/>
        <w:jc w:val="center"/>
        <w:rPr>
          <w:rFonts w:ascii="仿宋" w:hAnsi="仿宋" w:eastAsia="仿宋" w:cs="仿宋"/>
          <w:b/>
          <w:color w:val="auto"/>
          <w:spacing w:val="6"/>
          <w:sz w:val="32"/>
          <w:szCs w:val="32"/>
          <w:highlight w:val="none"/>
        </w:rPr>
      </w:pPr>
    </w:p>
    <w:p w14:paraId="521567FC">
      <w:pPr>
        <w:spacing w:line="360" w:lineRule="auto"/>
        <w:jc w:val="center"/>
        <w:rPr>
          <w:rFonts w:ascii="仿宋" w:hAnsi="仿宋" w:eastAsia="仿宋" w:cs="仿宋"/>
          <w:b/>
          <w:color w:val="auto"/>
          <w:spacing w:val="6"/>
          <w:sz w:val="32"/>
          <w:szCs w:val="32"/>
          <w:highlight w:val="none"/>
        </w:rPr>
      </w:pPr>
    </w:p>
    <w:p w14:paraId="1A4321F0">
      <w:pPr>
        <w:spacing w:line="360" w:lineRule="auto"/>
        <w:jc w:val="center"/>
        <w:rPr>
          <w:rFonts w:ascii="仿宋" w:hAnsi="仿宋" w:eastAsia="仿宋" w:cs="仿宋"/>
          <w:b/>
          <w:color w:val="auto"/>
          <w:spacing w:val="6"/>
          <w:sz w:val="32"/>
          <w:szCs w:val="32"/>
          <w:highlight w:val="none"/>
        </w:rPr>
      </w:pPr>
    </w:p>
    <w:p w14:paraId="1C79C38A">
      <w:pPr>
        <w:spacing w:line="360" w:lineRule="auto"/>
        <w:jc w:val="center"/>
        <w:rPr>
          <w:rFonts w:ascii="仿宋" w:hAnsi="仿宋" w:eastAsia="仿宋" w:cs="仿宋"/>
          <w:b/>
          <w:color w:val="auto"/>
          <w:spacing w:val="6"/>
          <w:sz w:val="32"/>
          <w:szCs w:val="32"/>
          <w:highlight w:val="none"/>
        </w:rPr>
      </w:pPr>
    </w:p>
    <w:p w14:paraId="064F4653">
      <w:pPr>
        <w:spacing w:line="360" w:lineRule="auto"/>
        <w:jc w:val="center"/>
        <w:rPr>
          <w:rFonts w:ascii="仿宋" w:hAnsi="仿宋" w:eastAsia="仿宋" w:cs="仿宋"/>
          <w:b/>
          <w:color w:val="auto"/>
          <w:spacing w:val="6"/>
          <w:sz w:val="32"/>
          <w:szCs w:val="32"/>
          <w:highlight w:val="none"/>
        </w:rPr>
      </w:pPr>
    </w:p>
    <w:p w14:paraId="2A4992AE">
      <w:pPr>
        <w:spacing w:line="360" w:lineRule="auto"/>
        <w:jc w:val="left"/>
        <w:rPr>
          <w:rFonts w:ascii="仿宋" w:hAnsi="仿宋" w:eastAsia="仿宋" w:cs="仿宋"/>
          <w:b/>
          <w:color w:val="auto"/>
          <w:spacing w:val="6"/>
          <w:sz w:val="32"/>
          <w:szCs w:val="32"/>
          <w:highlight w:val="none"/>
        </w:rPr>
      </w:pPr>
    </w:p>
    <w:p w14:paraId="638CDD59">
      <w:pPr>
        <w:spacing w:line="360" w:lineRule="auto"/>
        <w:jc w:val="left"/>
        <w:rPr>
          <w:rFonts w:ascii="仿宋" w:hAnsi="仿宋" w:eastAsia="仿宋" w:cs="仿宋"/>
          <w:b/>
          <w:color w:val="auto"/>
          <w:spacing w:val="6"/>
          <w:sz w:val="32"/>
          <w:szCs w:val="32"/>
          <w:highlight w:val="none"/>
        </w:rPr>
      </w:pPr>
    </w:p>
    <w:p w14:paraId="2E148BC1">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附件3：投诉书范本及制作说明</w:t>
      </w:r>
    </w:p>
    <w:p w14:paraId="65423E95">
      <w:pPr>
        <w:spacing w:line="360" w:lineRule="auto"/>
        <w:jc w:val="center"/>
        <w:rPr>
          <w:rFonts w:ascii="仿宋" w:hAnsi="仿宋" w:eastAsia="仿宋" w:cs="仿宋"/>
          <w:b/>
          <w:color w:val="auto"/>
          <w:spacing w:val="6"/>
          <w:sz w:val="32"/>
          <w:szCs w:val="32"/>
          <w:highlight w:val="none"/>
        </w:rPr>
      </w:pPr>
    </w:p>
    <w:p w14:paraId="3967C14E">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5C6FABB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431C9321">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3A454389">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E3CC3DA">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C3236F2">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D72B6F5">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4E1B50F">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11EBFB69">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518A178">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CF74685">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559328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79F57468">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87FBFAD">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7E94077">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A5AEF4C">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D9AF6D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1CFBC9AE">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0274E790">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9E4408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48B4964">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0E8B5879">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2CDD6F4">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DBBFC9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2FD55424">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2609C085">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F2B872E">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23EDD9E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76CC9BB3">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227E11B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97B9FA1">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6A7DC1F">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0B47C09">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70738F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7B213172">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372DAD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2841A69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9A0FC2B">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2FF6ED7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F01B59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FA0523F">
      <w:pPr>
        <w:spacing w:line="360" w:lineRule="auto"/>
        <w:rPr>
          <w:rFonts w:ascii="仿宋" w:hAnsi="仿宋" w:eastAsia="仿宋" w:cs="仿宋"/>
          <w:b/>
          <w:color w:val="auto"/>
          <w:sz w:val="24"/>
          <w:highlight w:val="none"/>
        </w:rPr>
      </w:pPr>
    </w:p>
    <w:p w14:paraId="74802668">
      <w:pPr>
        <w:spacing w:line="360" w:lineRule="auto"/>
        <w:rPr>
          <w:rFonts w:ascii="仿宋" w:hAnsi="仿宋" w:eastAsia="仿宋" w:cs="仿宋"/>
          <w:b/>
          <w:color w:val="auto"/>
          <w:sz w:val="24"/>
          <w:highlight w:val="none"/>
        </w:rPr>
      </w:pPr>
    </w:p>
    <w:p w14:paraId="734E56CB">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1F64A30F">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72D02CEB">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37583599">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4E0CFCBB">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63487D14">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6EF35EBA">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0985E615">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70D8654E">
      <w:pPr>
        <w:spacing w:line="360" w:lineRule="auto"/>
        <w:rPr>
          <w:rFonts w:ascii="仿宋" w:hAnsi="仿宋" w:eastAsia="仿宋" w:cs="仿宋"/>
          <w:b/>
          <w:color w:val="auto"/>
          <w:sz w:val="24"/>
          <w:highlight w:val="none"/>
        </w:rPr>
      </w:pPr>
    </w:p>
    <w:p w14:paraId="38B34B96">
      <w:pPr>
        <w:autoSpaceDE w:val="0"/>
        <w:autoSpaceDN w:val="0"/>
        <w:jc w:val="center"/>
        <w:rPr>
          <w:rFonts w:ascii="仿宋" w:hAnsi="仿宋" w:eastAsia="仿宋" w:cs="仿宋"/>
          <w:b/>
          <w:color w:val="auto"/>
          <w:spacing w:val="6"/>
          <w:sz w:val="32"/>
          <w:szCs w:val="32"/>
          <w:highlight w:val="none"/>
        </w:rPr>
      </w:pPr>
    </w:p>
    <w:p w14:paraId="516782D9">
      <w:pPr>
        <w:autoSpaceDE w:val="0"/>
        <w:autoSpaceDN w:val="0"/>
        <w:jc w:val="center"/>
        <w:rPr>
          <w:rFonts w:ascii="仿宋" w:hAnsi="仿宋" w:eastAsia="仿宋" w:cs="仿宋"/>
          <w:b/>
          <w:color w:val="auto"/>
          <w:spacing w:val="6"/>
          <w:sz w:val="32"/>
          <w:szCs w:val="32"/>
          <w:highlight w:val="none"/>
        </w:rPr>
      </w:pPr>
    </w:p>
    <w:p w14:paraId="0B139202">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08D4FBAB">
      <w:pPr>
        <w:spacing w:line="360" w:lineRule="auto"/>
        <w:rPr>
          <w:rFonts w:ascii="仿宋" w:hAnsi="仿宋" w:eastAsia="仿宋" w:cs="仿宋"/>
          <w:color w:val="auto"/>
          <w:sz w:val="24"/>
          <w:highlight w:val="none"/>
          <w:u w:val="single"/>
        </w:rPr>
      </w:pPr>
    </w:p>
    <w:p w14:paraId="6DC797A6">
      <w:pPr>
        <w:spacing w:line="360" w:lineRule="auto"/>
        <w:rPr>
          <w:rFonts w:ascii="仿宋" w:hAnsi="仿宋" w:eastAsia="仿宋" w:cs="仿宋"/>
          <w:color w:val="auto"/>
          <w:sz w:val="24"/>
          <w:highlight w:val="none"/>
        </w:rPr>
      </w:pPr>
      <w:r>
        <w:rPr>
          <w:rFonts w:hint="eastAsia" w:ascii="仿宋" w:hAnsi="仿宋" w:eastAsia="仿宋" w:cs="仿宋"/>
          <w:color w:val="auto"/>
          <w:sz w:val="24"/>
          <w:szCs w:val="24"/>
          <w:highlight w:val="none"/>
          <w:u w:val="single"/>
          <w:lang w:val="zh-CN"/>
        </w:rPr>
        <w:t>杭州市拱墅区人民政府康桥街道办事处</w:t>
      </w:r>
      <w:r>
        <w:rPr>
          <w:rFonts w:hint="eastAsia" w:ascii="仿宋" w:hAnsi="仿宋" w:eastAsia="仿宋" w:cs="仿宋"/>
          <w:color w:val="auto"/>
          <w:sz w:val="24"/>
          <w:highlight w:val="none"/>
          <w:u w:val="single"/>
        </w:rPr>
        <w:t>、杭州大江建设项目管理有限公司：</w:t>
      </w:r>
    </w:p>
    <w:p w14:paraId="1D11B4E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u w:val="single"/>
        </w:rPr>
        <w:t>康桥街道垃圾分类服务项目</w:t>
      </w:r>
      <w:r>
        <w:rPr>
          <w:rFonts w:hint="eastAsia" w:ascii="仿宋" w:hAnsi="仿宋" w:eastAsia="仿宋" w:cs="仿宋"/>
          <w:color w:val="auto"/>
          <w:sz w:val="24"/>
          <w:highlight w:val="none"/>
        </w:rPr>
        <w:t>【招标编号：KQ-HZDJ-20250211 】</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4B56475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14:paraId="47FC3970">
      <w:pPr>
        <w:spacing w:line="360" w:lineRule="auto"/>
        <w:ind w:firstLine="494"/>
        <w:rPr>
          <w:rFonts w:ascii="仿宋" w:hAnsi="仿宋" w:eastAsia="仿宋" w:cs="仿宋"/>
          <w:color w:val="auto"/>
          <w:sz w:val="24"/>
          <w:highlight w:val="none"/>
        </w:rPr>
      </w:pPr>
    </w:p>
    <w:p w14:paraId="32344D30">
      <w:pPr>
        <w:spacing w:line="360" w:lineRule="auto"/>
        <w:ind w:firstLine="494"/>
        <w:rPr>
          <w:rFonts w:ascii="仿宋" w:hAnsi="仿宋" w:eastAsia="仿宋" w:cs="仿宋"/>
          <w:color w:val="auto"/>
          <w:sz w:val="24"/>
          <w:highlight w:val="none"/>
        </w:rPr>
      </w:pPr>
    </w:p>
    <w:p w14:paraId="1B81F990">
      <w:pPr>
        <w:spacing w:line="360" w:lineRule="auto"/>
        <w:ind w:firstLine="494"/>
        <w:rPr>
          <w:rFonts w:ascii="仿宋" w:hAnsi="仿宋" w:eastAsia="仿宋" w:cs="仿宋"/>
          <w:color w:val="auto"/>
          <w:sz w:val="24"/>
          <w:highlight w:val="none"/>
        </w:rPr>
      </w:pPr>
    </w:p>
    <w:p w14:paraId="644FDBF5">
      <w:pPr>
        <w:spacing w:line="360" w:lineRule="auto"/>
        <w:ind w:firstLine="494"/>
        <w:rPr>
          <w:rFonts w:ascii="仿宋" w:hAnsi="仿宋" w:eastAsia="仿宋" w:cs="仿宋"/>
          <w:color w:val="auto"/>
          <w:sz w:val="24"/>
          <w:highlight w:val="none"/>
        </w:rPr>
      </w:pPr>
    </w:p>
    <w:p w14:paraId="66B62D41">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75F2FBFD">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5BA0FE6">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4E00AF1D">
      <w:pPr>
        <w:spacing w:line="360" w:lineRule="auto"/>
        <w:rPr>
          <w:rFonts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0B4ACD18">
      <w:pPr>
        <w:autoSpaceDE w:val="0"/>
        <w:autoSpaceDN w:val="0"/>
        <w:jc w:val="center"/>
        <w:rPr>
          <w:rFonts w:ascii="仿宋" w:hAnsi="仿宋" w:eastAsia="仿宋" w:cs="仿宋"/>
          <w:b/>
          <w:color w:val="auto"/>
          <w:spacing w:val="6"/>
          <w:sz w:val="32"/>
          <w:szCs w:val="32"/>
          <w:highlight w:val="none"/>
        </w:rPr>
      </w:pPr>
    </w:p>
    <w:p w14:paraId="4FAAD83A">
      <w:pPr>
        <w:autoSpaceDE w:val="0"/>
        <w:autoSpaceDN w:val="0"/>
        <w:jc w:val="center"/>
        <w:rPr>
          <w:rFonts w:ascii="仿宋" w:hAnsi="仿宋" w:eastAsia="仿宋" w:cs="仿宋"/>
          <w:b/>
          <w:color w:val="auto"/>
          <w:spacing w:val="6"/>
          <w:sz w:val="32"/>
          <w:szCs w:val="32"/>
          <w:highlight w:val="none"/>
        </w:rPr>
      </w:pPr>
    </w:p>
    <w:p w14:paraId="6835FFFC">
      <w:pPr>
        <w:autoSpaceDE w:val="0"/>
        <w:autoSpaceDN w:val="0"/>
        <w:jc w:val="center"/>
        <w:rPr>
          <w:rFonts w:ascii="仿宋" w:hAnsi="仿宋" w:eastAsia="仿宋" w:cs="仿宋"/>
          <w:b/>
          <w:color w:val="auto"/>
          <w:spacing w:val="6"/>
          <w:sz w:val="32"/>
          <w:szCs w:val="32"/>
          <w:highlight w:val="none"/>
        </w:rPr>
      </w:pPr>
    </w:p>
    <w:p w14:paraId="7AAA5B5B">
      <w:pPr>
        <w:autoSpaceDE w:val="0"/>
        <w:autoSpaceDN w:val="0"/>
        <w:jc w:val="center"/>
        <w:rPr>
          <w:rFonts w:ascii="仿宋" w:hAnsi="仿宋" w:eastAsia="仿宋" w:cs="仿宋"/>
          <w:b/>
          <w:color w:val="auto"/>
          <w:spacing w:val="6"/>
          <w:sz w:val="32"/>
          <w:szCs w:val="32"/>
          <w:highlight w:val="none"/>
        </w:rPr>
      </w:pPr>
    </w:p>
    <w:p w14:paraId="747FB914">
      <w:pPr>
        <w:autoSpaceDE w:val="0"/>
        <w:autoSpaceDN w:val="0"/>
        <w:jc w:val="center"/>
        <w:rPr>
          <w:rFonts w:ascii="仿宋" w:hAnsi="仿宋" w:eastAsia="仿宋" w:cs="仿宋"/>
          <w:b/>
          <w:color w:val="auto"/>
          <w:spacing w:val="6"/>
          <w:sz w:val="32"/>
          <w:szCs w:val="32"/>
          <w:highlight w:val="none"/>
        </w:rPr>
      </w:pPr>
    </w:p>
    <w:p w14:paraId="62EC1A64">
      <w:pPr>
        <w:autoSpaceDE w:val="0"/>
        <w:autoSpaceDN w:val="0"/>
        <w:jc w:val="center"/>
        <w:rPr>
          <w:rFonts w:ascii="仿宋" w:hAnsi="仿宋" w:eastAsia="仿宋" w:cs="仿宋"/>
          <w:b/>
          <w:color w:val="auto"/>
          <w:spacing w:val="6"/>
          <w:sz w:val="32"/>
          <w:szCs w:val="32"/>
          <w:highlight w:val="none"/>
        </w:rPr>
      </w:pPr>
    </w:p>
    <w:p w14:paraId="16BD5E59">
      <w:pPr>
        <w:autoSpaceDE w:val="0"/>
        <w:autoSpaceDN w:val="0"/>
        <w:jc w:val="center"/>
        <w:rPr>
          <w:rFonts w:ascii="仿宋" w:hAnsi="仿宋" w:eastAsia="仿宋" w:cs="仿宋"/>
          <w:b/>
          <w:color w:val="auto"/>
          <w:spacing w:val="6"/>
          <w:sz w:val="32"/>
          <w:szCs w:val="32"/>
          <w:highlight w:val="none"/>
        </w:rPr>
      </w:pPr>
    </w:p>
    <w:p w14:paraId="79D94502">
      <w:pPr>
        <w:autoSpaceDE w:val="0"/>
        <w:autoSpaceDN w:val="0"/>
        <w:jc w:val="center"/>
        <w:rPr>
          <w:rFonts w:ascii="仿宋" w:hAnsi="仿宋" w:eastAsia="仿宋" w:cs="仿宋"/>
          <w:b/>
          <w:color w:val="auto"/>
          <w:spacing w:val="6"/>
          <w:sz w:val="32"/>
          <w:szCs w:val="32"/>
          <w:highlight w:val="none"/>
        </w:rPr>
      </w:pPr>
    </w:p>
    <w:p w14:paraId="1F396546">
      <w:pPr>
        <w:autoSpaceDE w:val="0"/>
        <w:autoSpaceDN w:val="0"/>
        <w:jc w:val="center"/>
        <w:rPr>
          <w:rFonts w:ascii="仿宋" w:hAnsi="仿宋" w:eastAsia="仿宋" w:cs="仿宋"/>
          <w:b/>
          <w:color w:val="auto"/>
          <w:spacing w:val="6"/>
          <w:sz w:val="32"/>
          <w:szCs w:val="32"/>
          <w:highlight w:val="none"/>
        </w:rPr>
      </w:pPr>
    </w:p>
    <w:p w14:paraId="77EEF888">
      <w:pPr>
        <w:autoSpaceDE w:val="0"/>
        <w:autoSpaceDN w:val="0"/>
        <w:jc w:val="center"/>
        <w:rPr>
          <w:rFonts w:ascii="仿宋" w:hAnsi="仿宋" w:eastAsia="仿宋" w:cs="仿宋"/>
          <w:b/>
          <w:color w:val="auto"/>
          <w:spacing w:val="6"/>
          <w:sz w:val="32"/>
          <w:szCs w:val="32"/>
          <w:highlight w:val="none"/>
        </w:rPr>
      </w:pPr>
    </w:p>
    <w:p w14:paraId="25C16BE6">
      <w:pPr>
        <w:autoSpaceDE w:val="0"/>
        <w:autoSpaceDN w:val="0"/>
        <w:jc w:val="center"/>
        <w:rPr>
          <w:rFonts w:ascii="仿宋" w:hAnsi="仿宋" w:eastAsia="仿宋" w:cs="仿宋"/>
          <w:b/>
          <w:color w:val="auto"/>
          <w:spacing w:val="6"/>
          <w:sz w:val="32"/>
          <w:szCs w:val="32"/>
          <w:highlight w:val="none"/>
        </w:rPr>
      </w:pPr>
    </w:p>
    <w:p w14:paraId="08551F04">
      <w:pPr>
        <w:autoSpaceDE w:val="0"/>
        <w:autoSpaceDN w:val="0"/>
        <w:jc w:val="center"/>
        <w:rPr>
          <w:rFonts w:ascii="仿宋" w:hAnsi="仿宋" w:eastAsia="仿宋" w:cs="仿宋"/>
          <w:b/>
          <w:color w:val="auto"/>
          <w:spacing w:val="6"/>
          <w:sz w:val="32"/>
          <w:szCs w:val="32"/>
          <w:highlight w:val="none"/>
        </w:rPr>
      </w:pPr>
    </w:p>
    <w:p w14:paraId="4493825E">
      <w:pPr>
        <w:autoSpaceDE w:val="0"/>
        <w:autoSpaceDN w:val="0"/>
        <w:jc w:val="center"/>
        <w:rPr>
          <w:rFonts w:ascii="仿宋" w:hAnsi="仿宋" w:eastAsia="仿宋" w:cs="仿宋"/>
          <w:b/>
          <w:color w:val="auto"/>
          <w:spacing w:val="6"/>
          <w:sz w:val="32"/>
          <w:szCs w:val="32"/>
          <w:highlight w:val="none"/>
        </w:rPr>
      </w:pPr>
    </w:p>
    <w:p w14:paraId="69FD268A">
      <w:pPr>
        <w:autoSpaceDE w:val="0"/>
        <w:autoSpaceDN w:val="0"/>
        <w:jc w:val="center"/>
        <w:rPr>
          <w:rFonts w:ascii="仿宋" w:hAnsi="仿宋" w:eastAsia="仿宋" w:cs="仿宋"/>
          <w:b/>
          <w:color w:val="auto"/>
          <w:spacing w:val="6"/>
          <w:sz w:val="32"/>
          <w:szCs w:val="32"/>
          <w:highlight w:val="none"/>
        </w:rPr>
      </w:pPr>
    </w:p>
    <w:p w14:paraId="2FBC6688">
      <w:pPr>
        <w:autoSpaceDE w:val="0"/>
        <w:autoSpaceDN w:val="0"/>
        <w:jc w:val="center"/>
        <w:rPr>
          <w:rFonts w:ascii="仿宋" w:hAnsi="仿宋" w:eastAsia="仿宋" w:cs="仿宋"/>
          <w:b/>
          <w:color w:val="auto"/>
          <w:spacing w:val="6"/>
          <w:sz w:val="32"/>
          <w:szCs w:val="32"/>
          <w:highlight w:val="none"/>
        </w:rPr>
      </w:pPr>
    </w:p>
    <w:p w14:paraId="69B6468C">
      <w:pPr>
        <w:autoSpaceDE w:val="0"/>
        <w:autoSpaceDN w:val="0"/>
        <w:jc w:val="center"/>
        <w:rPr>
          <w:rFonts w:ascii="仿宋" w:hAnsi="仿宋" w:eastAsia="仿宋" w:cs="仿宋"/>
          <w:b/>
          <w:color w:val="auto"/>
          <w:spacing w:val="6"/>
          <w:sz w:val="32"/>
          <w:szCs w:val="32"/>
          <w:highlight w:val="none"/>
        </w:rPr>
      </w:pPr>
    </w:p>
    <w:p w14:paraId="10BD4C38">
      <w:pPr>
        <w:autoSpaceDE w:val="0"/>
        <w:autoSpaceDN w:val="0"/>
        <w:jc w:val="center"/>
        <w:rPr>
          <w:rFonts w:ascii="仿宋" w:hAnsi="仿宋" w:eastAsia="仿宋" w:cs="仿宋"/>
          <w:b/>
          <w:color w:val="auto"/>
          <w:spacing w:val="6"/>
          <w:sz w:val="32"/>
          <w:szCs w:val="32"/>
          <w:highlight w:val="none"/>
        </w:rPr>
      </w:pPr>
    </w:p>
    <w:p w14:paraId="4921AE46">
      <w:pPr>
        <w:autoSpaceDE w:val="0"/>
        <w:autoSpaceDN w:val="0"/>
        <w:spacing w:line="360" w:lineRule="auto"/>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2C279A88">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06602AD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康桥街道垃圾分类服务项目【招标编号：KQ-HZDJ-20250211 】</w:t>
      </w:r>
      <w:r>
        <w:rPr>
          <w:rFonts w:hint="eastAsia" w:ascii="仿宋" w:hAnsi="仿宋" w:eastAsia="仿宋" w:cs="仿宋"/>
          <w:color w:val="auto"/>
          <w:kern w:val="0"/>
          <w:sz w:val="24"/>
          <w:highlight w:val="none"/>
          <w:lang w:val="zh-CN"/>
        </w:rPr>
        <w:t xml:space="preserve">投标。 </w:t>
      </w:r>
    </w:p>
    <w:p w14:paraId="32589FB3">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0CF359D7">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ECA4F57">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6252AC52">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18A9BF67">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43207E53">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509B20ED">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6A4AF7B7">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399" w:name="_Hlk101131882"/>
      <w:r>
        <w:rPr>
          <w:rFonts w:hint="eastAsia" w:ascii="仿宋" w:hAnsi="仿宋" w:eastAsia="仿宋" w:cs="仿宋"/>
          <w:color w:val="auto"/>
          <w:kern w:val="0"/>
          <w:sz w:val="24"/>
          <w:highlight w:val="none"/>
          <w:u w:val="single"/>
        </w:rPr>
        <w:t>联合体成员X,……</w:t>
      </w:r>
      <w:bookmarkEnd w:id="399"/>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400"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400"/>
      <w:r>
        <w:rPr>
          <w:rFonts w:hint="eastAsia" w:ascii="仿宋" w:hAnsi="仿宋" w:eastAsia="仿宋" w:cs="仿宋"/>
          <w:b/>
          <w:color w:val="auto"/>
          <w:kern w:val="0"/>
          <w:sz w:val="24"/>
          <w:highlight w:val="none"/>
          <w:lang w:val="zh-CN"/>
        </w:rPr>
        <w:t>）</w:t>
      </w:r>
    </w:p>
    <w:p w14:paraId="590E1C98">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01"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401"/>
    </w:p>
    <w:p w14:paraId="0D6BC96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7B19B07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23935C03">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673D9AF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416E87DD">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485F017A">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FC87723">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88F8767">
      <w:pPr>
        <w:snapToGrid w:val="0"/>
        <w:spacing w:line="360" w:lineRule="auto"/>
        <w:ind w:right="960"/>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454A66D7">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52581993">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8DA0395">
      <w:pPr>
        <w:autoSpaceDE w:val="0"/>
        <w:autoSpaceDN w:val="0"/>
        <w:jc w:val="center"/>
        <w:rPr>
          <w:rFonts w:ascii="仿宋" w:hAnsi="仿宋" w:eastAsia="仿宋" w:cs="仿宋"/>
          <w:b/>
          <w:color w:val="auto"/>
          <w:spacing w:val="6"/>
          <w:sz w:val="32"/>
          <w:szCs w:val="32"/>
          <w:highlight w:val="none"/>
        </w:rPr>
      </w:pPr>
    </w:p>
    <w:p w14:paraId="7EC8232C">
      <w:pPr>
        <w:autoSpaceDE w:val="0"/>
        <w:autoSpaceDN w:val="0"/>
        <w:jc w:val="center"/>
        <w:rPr>
          <w:rFonts w:ascii="仿宋" w:hAnsi="仿宋" w:eastAsia="仿宋" w:cs="仿宋"/>
          <w:b/>
          <w:color w:val="auto"/>
          <w:spacing w:val="6"/>
          <w:sz w:val="32"/>
          <w:szCs w:val="32"/>
          <w:highlight w:val="none"/>
        </w:rPr>
      </w:pPr>
    </w:p>
    <w:p w14:paraId="5EFA4A17">
      <w:pPr>
        <w:autoSpaceDE w:val="0"/>
        <w:autoSpaceDN w:val="0"/>
        <w:jc w:val="center"/>
        <w:rPr>
          <w:rFonts w:ascii="仿宋" w:hAnsi="仿宋" w:eastAsia="仿宋" w:cs="仿宋"/>
          <w:b/>
          <w:color w:val="auto"/>
          <w:spacing w:val="6"/>
          <w:sz w:val="32"/>
          <w:szCs w:val="32"/>
          <w:highlight w:val="none"/>
        </w:rPr>
      </w:pPr>
    </w:p>
    <w:p w14:paraId="42F93EFB">
      <w:pPr>
        <w:autoSpaceDE w:val="0"/>
        <w:autoSpaceDN w:val="0"/>
        <w:jc w:val="center"/>
        <w:rPr>
          <w:rFonts w:ascii="仿宋" w:hAnsi="仿宋" w:eastAsia="仿宋" w:cs="仿宋"/>
          <w:b/>
          <w:color w:val="auto"/>
          <w:spacing w:val="6"/>
          <w:sz w:val="32"/>
          <w:szCs w:val="32"/>
          <w:highlight w:val="none"/>
        </w:rPr>
      </w:pPr>
    </w:p>
    <w:p w14:paraId="6EF1E8DD">
      <w:pPr>
        <w:autoSpaceDE w:val="0"/>
        <w:autoSpaceDN w:val="0"/>
        <w:jc w:val="center"/>
        <w:rPr>
          <w:rFonts w:ascii="仿宋" w:hAnsi="仿宋" w:eastAsia="仿宋" w:cs="仿宋"/>
          <w:b/>
          <w:color w:val="auto"/>
          <w:spacing w:val="6"/>
          <w:sz w:val="32"/>
          <w:szCs w:val="32"/>
          <w:highlight w:val="none"/>
        </w:rPr>
      </w:pPr>
    </w:p>
    <w:p w14:paraId="517F63A4">
      <w:pPr>
        <w:autoSpaceDE w:val="0"/>
        <w:autoSpaceDN w:val="0"/>
        <w:jc w:val="center"/>
        <w:rPr>
          <w:rFonts w:ascii="仿宋" w:hAnsi="仿宋" w:eastAsia="仿宋" w:cs="仿宋"/>
          <w:b/>
          <w:color w:val="auto"/>
          <w:spacing w:val="6"/>
          <w:sz w:val="32"/>
          <w:szCs w:val="32"/>
          <w:highlight w:val="none"/>
        </w:rPr>
      </w:pPr>
    </w:p>
    <w:p w14:paraId="1F1E6013">
      <w:pPr>
        <w:autoSpaceDE w:val="0"/>
        <w:autoSpaceDN w:val="0"/>
        <w:jc w:val="center"/>
        <w:rPr>
          <w:rFonts w:ascii="仿宋" w:hAnsi="仿宋" w:eastAsia="仿宋" w:cs="仿宋"/>
          <w:b/>
          <w:color w:val="auto"/>
          <w:spacing w:val="6"/>
          <w:sz w:val="32"/>
          <w:szCs w:val="32"/>
          <w:highlight w:val="none"/>
        </w:rPr>
      </w:pPr>
    </w:p>
    <w:p w14:paraId="6B58760B">
      <w:pPr>
        <w:autoSpaceDE w:val="0"/>
        <w:autoSpaceDN w:val="0"/>
        <w:jc w:val="center"/>
        <w:rPr>
          <w:rFonts w:ascii="仿宋" w:hAnsi="仿宋" w:eastAsia="仿宋" w:cs="仿宋"/>
          <w:b/>
          <w:color w:val="auto"/>
          <w:spacing w:val="6"/>
          <w:sz w:val="32"/>
          <w:szCs w:val="32"/>
          <w:highlight w:val="none"/>
        </w:rPr>
      </w:pPr>
    </w:p>
    <w:p w14:paraId="3BB5663A">
      <w:pPr>
        <w:autoSpaceDE w:val="0"/>
        <w:autoSpaceDN w:val="0"/>
        <w:jc w:val="center"/>
        <w:rPr>
          <w:rFonts w:ascii="仿宋" w:hAnsi="仿宋" w:eastAsia="仿宋" w:cs="仿宋"/>
          <w:b/>
          <w:color w:val="auto"/>
          <w:spacing w:val="6"/>
          <w:sz w:val="32"/>
          <w:szCs w:val="32"/>
          <w:highlight w:val="none"/>
        </w:rPr>
      </w:pPr>
    </w:p>
    <w:p w14:paraId="391F9E01">
      <w:pPr>
        <w:autoSpaceDE w:val="0"/>
        <w:autoSpaceDN w:val="0"/>
        <w:jc w:val="center"/>
        <w:rPr>
          <w:rFonts w:ascii="仿宋" w:hAnsi="仿宋" w:eastAsia="仿宋" w:cs="仿宋"/>
          <w:b/>
          <w:color w:val="auto"/>
          <w:spacing w:val="6"/>
          <w:sz w:val="32"/>
          <w:szCs w:val="32"/>
          <w:highlight w:val="none"/>
        </w:rPr>
      </w:pPr>
    </w:p>
    <w:p w14:paraId="0CFD6B87">
      <w:pPr>
        <w:autoSpaceDE w:val="0"/>
        <w:autoSpaceDN w:val="0"/>
        <w:jc w:val="center"/>
        <w:rPr>
          <w:rFonts w:ascii="仿宋" w:hAnsi="仿宋" w:eastAsia="仿宋" w:cs="仿宋"/>
          <w:b/>
          <w:color w:val="auto"/>
          <w:spacing w:val="6"/>
          <w:sz w:val="32"/>
          <w:szCs w:val="32"/>
          <w:highlight w:val="none"/>
        </w:rPr>
      </w:pPr>
    </w:p>
    <w:p w14:paraId="7112C161">
      <w:pPr>
        <w:autoSpaceDE w:val="0"/>
        <w:autoSpaceDN w:val="0"/>
        <w:jc w:val="center"/>
        <w:rPr>
          <w:rFonts w:ascii="仿宋" w:hAnsi="仿宋" w:eastAsia="仿宋" w:cs="仿宋"/>
          <w:b/>
          <w:color w:val="auto"/>
          <w:spacing w:val="6"/>
          <w:sz w:val="32"/>
          <w:szCs w:val="32"/>
          <w:highlight w:val="none"/>
        </w:rPr>
      </w:pPr>
    </w:p>
    <w:p w14:paraId="77918DF0">
      <w:pPr>
        <w:autoSpaceDE w:val="0"/>
        <w:autoSpaceDN w:val="0"/>
        <w:jc w:val="center"/>
        <w:rPr>
          <w:rFonts w:ascii="仿宋" w:hAnsi="仿宋" w:eastAsia="仿宋" w:cs="仿宋"/>
          <w:b/>
          <w:color w:val="auto"/>
          <w:spacing w:val="6"/>
          <w:sz w:val="32"/>
          <w:szCs w:val="32"/>
          <w:highlight w:val="none"/>
        </w:rPr>
      </w:pPr>
    </w:p>
    <w:p w14:paraId="25FF1904">
      <w:pPr>
        <w:autoSpaceDE w:val="0"/>
        <w:autoSpaceDN w:val="0"/>
        <w:jc w:val="center"/>
        <w:rPr>
          <w:rFonts w:ascii="仿宋" w:hAnsi="仿宋" w:eastAsia="仿宋" w:cs="仿宋"/>
          <w:b/>
          <w:color w:val="auto"/>
          <w:spacing w:val="6"/>
          <w:sz w:val="32"/>
          <w:szCs w:val="32"/>
          <w:highlight w:val="none"/>
        </w:rPr>
      </w:pPr>
    </w:p>
    <w:p w14:paraId="466F666D">
      <w:pPr>
        <w:autoSpaceDE w:val="0"/>
        <w:autoSpaceDN w:val="0"/>
        <w:jc w:val="center"/>
        <w:rPr>
          <w:rFonts w:ascii="仿宋" w:hAnsi="仿宋" w:eastAsia="仿宋" w:cs="仿宋"/>
          <w:b/>
          <w:color w:val="auto"/>
          <w:spacing w:val="6"/>
          <w:sz w:val="32"/>
          <w:szCs w:val="32"/>
          <w:highlight w:val="none"/>
        </w:rPr>
      </w:pPr>
    </w:p>
    <w:p w14:paraId="3AB93160">
      <w:pPr>
        <w:autoSpaceDE w:val="0"/>
        <w:autoSpaceDN w:val="0"/>
        <w:jc w:val="center"/>
        <w:rPr>
          <w:rFonts w:ascii="仿宋" w:hAnsi="仿宋" w:eastAsia="仿宋" w:cs="仿宋"/>
          <w:b/>
          <w:color w:val="auto"/>
          <w:spacing w:val="6"/>
          <w:sz w:val="32"/>
          <w:szCs w:val="32"/>
          <w:highlight w:val="none"/>
        </w:rPr>
      </w:pPr>
    </w:p>
    <w:p w14:paraId="6DA7F82E">
      <w:pPr>
        <w:autoSpaceDE w:val="0"/>
        <w:autoSpaceDN w:val="0"/>
        <w:jc w:val="center"/>
        <w:rPr>
          <w:rFonts w:ascii="仿宋" w:hAnsi="仿宋" w:eastAsia="仿宋" w:cs="仿宋"/>
          <w:b/>
          <w:color w:val="auto"/>
          <w:spacing w:val="6"/>
          <w:sz w:val="32"/>
          <w:szCs w:val="32"/>
          <w:highlight w:val="none"/>
        </w:rPr>
      </w:pPr>
    </w:p>
    <w:p w14:paraId="5FE8E16A">
      <w:pPr>
        <w:autoSpaceDE w:val="0"/>
        <w:autoSpaceDN w:val="0"/>
        <w:jc w:val="center"/>
        <w:rPr>
          <w:rFonts w:ascii="仿宋" w:hAnsi="仿宋" w:eastAsia="仿宋" w:cs="仿宋"/>
          <w:b/>
          <w:color w:val="auto"/>
          <w:spacing w:val="6"/>
          <w:sz w:val="32"/>
          <w:szCs w:val="32"/>
          <w:highlight w:val="none"/>
        </w:rPr>
      </w:pPr>
    </w:p>
    <w:p w14:paraId="041C7E25">
      <w:pPr>
        <w:autoSpaceDE w:val="0"/>
        <w:autoSpaceDN w:val="0"/>
        <w:jc w:val="center"/>
        <w:rPr>
          <w:rFonts w:ascii="仿宋" w:hAnsi="仿宋" w:eastAsia="仿宋" w:cs="仿宋"/>
          <w:b/>
          <w:color w:val="auto"/>
          <w:spacing w:val="6"/>
          <w:sz w:val="32"/>
          <w:szCs w:val="32"/>
          <w:highlight w:val="none"/>
        </w:rPr>
      </w:pPr>
    </w:p>
    <w:p w14:paraId="542014BA">
      <w:pPr>
        <w:autoSpaceDE w:val="0"/>
        <w:autoSpaceDN w:val="0"/>
        <w:jc w:val="center"/>
        <w:rPr>
          <w:rFonts w:ascii="仿宋" w:hAnsi="仿宋" w:eastAsia="仿宋" w:cs="仿宋"/>
          <w:b/>
          <w:color w:val="auto"/>
          <w:spacing w:val="6"/>
          <w:sz w:val="32"/>
          <w:szCs w:val="32"/>
          <w:highlight w:val="none"/>
        </w:rPr>
      </w:pPr>
    </w:p>
    <w:p w14:paraId="6DC801C1">
      <w:pPr>
        <w:autoSpaceDE w:val="0"/>
        <w:autoSpaceDN w:val="0"/>
        <w:jc w:val="center"/>
        <w:rPr>
          <w:rFonts w:ascii="仿宋" w:hAnsi="仿宋" w:eastAsia="仿宋" w:cs="仿宋"/>
          <w:b/>
          <w:color w:val="auto"/>
          <w:spacing w:val="6"/>
          <w:sz w:val="32"/>
          <w:szCs w:val="32"/>
          <w:highlight w:val="none"/>
        </w:rPr>
      </w:pPr>
    </w:p>
    <w:p w14:paraId="2CF82F51">
      <w:pPr>
        <w:widowControl/>
        <w:adjustRightInd/>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483C06F9">
      <w:pPr>
        <w:snapToGrid w:val="0"/>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41E46269">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71A03BD2">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康桥街道垃圾分类服务项目【招标编号：KQ-HZDJ-20250211】</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2B23D3C9">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1880A076">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19988B90">
      <w:pPr>
        <w:pStyle w:val="2"/>
        <w:ind w:left="664" w:leftChars="316" w:firstLine="229" w:firstLineChars="95"/>
        <w:rPr>
          <w:rFonts w:ascii="仿宋" w:eastAsia="仿宋" w:cs="仿宋"/>
          <w:color w:val="auto"/>
          <w:kern w:val="0"/>
          <w:sz w:val="24"/>
          <w:szCs w:val="24"/>
          <w:highlight w:val="none"/>
        </w:rPr>
      </w:pPr>
      <w:r>
        <w:rPr>
          <w:rFonts w:hint="eastAsia" w:ascii="仿宋" w:eastAsia="仿宋" w:cs="仿宋"/>
          <w:color w:val="auto"/>
          <w:kern w:val="0"/>
          <w:sz w:val="24"/>
          <w:szCs w:val="24"/>
          <w:highlight w:val="none"/>
        </w:rPr>
        <w:t>……</w:t>
      </w:r>
    </w:p>
    <w:p w14:paraId="0C2ECBBD">
      <w:pPr>
        <w:rPr>
          <w:rFonts w:ascii="仿宋" w:hAnsi="仿宋" w:eastAsia="仿宋" w:cs="仿宋"/>
          <w:color w:val="auto"/>
          <w:kern w:val="0"/>
          <w:sz w:val="24"/>
          <w:highlight w:val="none"/>
          <w:lang w:val="zh-CN"/>
        </w:rPr>
      </w:pPr>
      <w:r>
        <w:rPr>
          <w:rFonts w:hint="eastAsia" w:ascii="仿宋" w:hAnsi="仿宋" w:eastAsia="仿宋" w:cs="仿宋"/>
          <w:color w:val="auto"/>
          <w:highlight w:val="none"/>
          <w:lang w:val="zh-CN"/>
        </w:rPr>
        <w:t xml:space="preserve"> </w:t>
      </w:r>
      <w:r>
        <w:rPr>
          <w:rFonts w:hint="eastAsia" w:ascii="仿宋" w:hAnsi="仿宋" w:eastAsia="仿宋" w:cs="仿宋"/>
          <w:color w:val="auto"/>
          <w:highlight w:val="none"/>
        </w:rPr>
        <w:t xml:space="preserve">     </w:t>
      </w:r>
      <w:r>
        <w:rPr>
          <w:rFonts w:hint="eastAsia" w:ascii="仿宋" w:hAnsi="仿宋" w:eastAsia="仿宋" w:cs="仿宋"/>
          <w:color w:val="auto"/>
          <w:kern w:val="0"/>
          <w:sz w:val="24"/>
          <w:highlight w:val="none"/>
          <w:lang w:val="zh-CN"/>
        </w:rPr>
        <w:t>二、分包供应商中小企业合同份额</w:t>
      </w:r>
    </w:p>
    <w:p w14:paraId="7A4ABC84">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202F1043">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488F9B01">
      <w:pPr>
        <w:snapToGrid w:val="0"/>
        <w:spacing w:line="360" w:lineRule="auto"/>
        <w:ind w:firstLine="576"/>
        <w:rPr>
          <w:rFonts w:ascii="仿宋" w:hAnsi="仿宋" w:eastAsia="仿宋" w:cs="仿宋"/>
          <w:color w:val="auto"/>
          <w:highlight w:val="none"/>
          <w:u w:val="single"/>
        </w:rPr>
      </w:pPr>
      <w:r>
        <w:rPr>
          <w:rFonts w:hint="eastAsia" w:ascii="仿宋" w:hAnsi="仿宋" w:eastAsia="仿宋" w:cs="仿宋"/>
          <w:color w:val="auto"/>
          <w:kern w:val="0"/>
          <w:sz w:val="24"/>
          <w:highlight w:val="none"/>
          <w:lang w:val="zh-CN"/>
        </w:rPr>
        <w:t>三、分包工作履行期限、地点、方式：</w:t>
      </w:r>
      <w:r>
        <w:rPr>
          <w:rFonts w:hint="eastAsia" w:ascii="仿宋" w:hAnsi="仿宋" w:eastAsia="仿宋" w:cs="仿宋"/>
          <w:color w:val="auto"/>
          <w:highlight w:val="none"/>
          <w:u w:val="single"/>
        </w:rPr>
        <w:t xml:space="preserve">                                                                                  </w:t>
      </w:r>
    </w:p>
    <w:p w14:paraId="483A45D6">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r>
        <w:rPr>
          <w:rFonts w:hint="eastAsia" w:ascii="仿宋" w:hAnsi="仿宋" w:eastAsia="仿宋" w:cs="仿宋"/>
          <w:color w:val="auto"/>
          <w:highlight w:val="none"/>
          <w:u w:val="single"/>
        </w:rPr>
        <w:t xml:space="preserve">                                                                                       </w:t>
      </w:r>
    </w:p>
    <w:p w14:paraId="7E95FFB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r>
        <w:rPr>
          <w:rFonts w:hint="eastAsia" w:ascii="仿宋" w:hAnsi="仿宋" w:eastAsia="仿宋" w:cs="仿宋"/>
          <w:color w:val="auto"/>
          <w:highlight w:val="none"/>
          <w:u w:val="single"/>
        </w:rPr>
        <w:t xml:space="preserve">                                                                                     </w:t>
      </w:r>
    </w:p>
    <w:p w14:paraId="5B806C5E">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r>
        <w:rPr>
          <w:rFonts w:hint="eastAsia" w:ascii="仿宋" w:hAnsi="仿宋" w:eastAsia="仿宋" w:cs="仿宋"/>
          <w:color w:val="auto"/>
          <w:highlight w:val="none"/>
          <w:u w:val="single"/>
        </w:rPr>
        <w:t xml:space="preserve">                                                                                     </w:t>
      </w:r>
    </w:p>
    <w:p w14:paraId="68CA3E4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r>
        <w:rPr>
          <w:rFonts w:hint="eastAsia" w:ascii="仿宋" w:hAnsi="仿宋" w:eastAsia="仿宋" w:cs="仿宋"/>
          <w:color w:val="auto"/>
          <w:highlight w:val="none"/>
          <w:u w:val="single"/>
        </w:rPr>
        <w:t xml:space="preserve">                                                                                  </w:t>
      </w:r>
    </w:p>
    <w:p w14:paraId="31C3BB07">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w:t>
      </w:r>
    </w:p>
    <w:p w14:paraId="3CEACCD7">
      <w:pPr>
        <w:snapToGrid w:val="0"/>
        <w:spacing w:line="360" w:lineRule="auto"/>
        <w:ind w:firstLine="576"/>
        <w:rPr>
          <w:rFonts w:ascii="仿宋" w:hAnsi="仿宋" w:eastAsia="仿宋" w:cs="仿宋"/>
          <w:color w:val="auto"/>
          <w:kern w:val="0"/>
          <w:sz w:val="24"/>
          <w:highlight w:val="none"/>
          <w:lang w:val="zh-CN"/>
        </w:rPr>
      </w:pPr>
    </w:p>
    <w:p w14:paraId="16C13105">
      <w:pPr>
        <w:snapToGrid w:val="0"/>
        <w:spacing w:line="360" w:lineRule="auto"/>
        <w:ind w:firstLine="576"/>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14:paraId="0C824949">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7D423F65">
      <w:pPr>
        <w:snapToGrid w:val="0"/>
        <w:spacing w:line="360" w:lineRule="auto"/>
        <w:ind w:firstLine="5760" w:firstLineChars="2400"/>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日期：  年  月   日</w:t>
      </w:r>
    </w:p>
    <w:p w14:paraId="718709A3">
      <w:pPr>
        <w:spacing w:line="360" w:lineRule="auto"/>
        <w:ind w:right="420" w:firstLine="720" w:firstLineChars="300"/>
        <w:rPr>
          <w:rFonts w:ascii="仿宋" w:hAnsi="仿宋" w:eastAsia="仿宋" w:cs="仿宋"/>
          <w:b/>
          <w:color w:val="auto"/>
          <w:spacing w:val="6"/>
          <w:sz w:val="32"/>
          <w:szCs w:val="32"/>
          <w:highlight w:val="none"/>
        </w:rPr>
      </w:pPr>
      <w:r>
        <w:rPr>
          <w:rFonts w:hint="eastAsia" w:ascii="仿宋" w:hAnsi="仿宋" w:eastAsia="仿宋" w:cs="仿宋"/>
          <w:color w:val="auto"/>
          <w:sz w:val="24"/>
          <w:highlight w:val="none"/>
        </w:rPr>
        <w:t>注：按本格式和要求提供。</w:t>
      </w:r>
    </w:p>
    <w:p w14:paraId="6489AD78">
      <w:pPr>
        <w:snapToGrid w:val="0"/>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附件7：中小企业声明函</w:t>
      </w:r>
    </w:p>
    <w:p w14:paraId="10D0CD28">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355B34F9">
      <w:pPr>
        <w:spacing w:line="360" w:lineRule="auto"/>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4"/>
          <w:highlight w:val="none"/>
          <w:u w:val="single"/>
          <w:lang w:val="zh-CN"/>
        </w:rPr>
        <w:t>杭州市拱墅区人民政府康桥街道办事处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康桥街道垃圾分类服务项目 </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070C0C34">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康桥街道垃圾分类服务项目</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743CCEE6">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5BDA4D9B">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60E01D7B">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10D7E049">
      <w:pPr>
        <w:spacing w:line="360" w:lineRule="auto"/>
        <w:ind w:right="1760"/>
        <w:jc w:val="right"/>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44C419E0">
      <w:pPr>
        <w:spacing w:line="360" w:lineRule="auto"/>
        <w:ind w:right="1120" w:firstLine="4680" w:firstLineChars="1950"/>
        <w:rPr>
          <w:rFonts w:ascii="仿宋" w:hAnsi="仿宋" w:eastAsia="仿宋" w:cs="仿宋"/>
          <w:color w:val="auto"/>
          <w:sz w:val="24"/>
          <w:highlight w:val="none"/>
        </w:rPr>
      </w:pPr>
      <w:r>
        <w:rPr>
          <w:rFonts w:hint="eastAsia" w:ascii="仿宋" w:hAnsi="仿宋" w:eastAsia="仿宋" w:cs="仿宋"/>
          <w:color w:val="auto"/>
          <w:sz w:val="24"/>
          <w:highlight w:val="none"/>
        </w:rPr>
        <w:t>日 期：</w:t>
      </w:r>
    </w:p>
    <w:p w14:paraId="3221798C">
      <w:pPr>
        <w:spacing w:line="360" w:lineRule="auto"/>
        <w:ind w:firstLine="310" w:firstLineChars="147"/>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4940BB29">
      <w:pPr>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35902CA">
      <w:pPr>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8CCD2A2">
      <w:pPr>
        <w:rPr>
          <w:color w:val="auto"/>
          <w:highlight w:val="none"/>
        </w:rPr>
      </w:pPr>
    </w:p>
    <w:sectPr>
      <w:headerReference r:id="rId21" w:type="first"/>
      <w:footerReference r:id="rId24" w:type="first"/>
      <w:headerReference r:id="rId20" w:type="default"/>
      <w:footerReference r:id="rId22" w:type="default"/>
      <w:footerReference r:id="rId23" w:type="even"/>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9D33F">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C5BE7">
    <w:pPr>
      <w:pStyle w:val="1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B9E73">
    <w:pPr>
      <w:pStyle w:val="10"/>
      <w:framePr w:wrap="around" w:vAnchor="text" w:hAnchor="margin" w:xAlign="right" w:y="1"/>
      <w:rPr>
        <w:rStyle w:val="17"/>
      </w:rPr>
    </w:pPr>
    <w:r>
      <w:fldChar w:fldCharType="begin"/>
    </w:r>
    <w:r>
      <w:rPr>
        <w:rStyle w:val="17"/>
      </w:rPr>
      <w:instrText xml:space="preserve">PAGE  </w:instrText>
    </w:r>
    <w:r>
      <w:fldChar w:fldCharType="end"/>
    </w:r>
  </w:p>
  <w:p w14:paraId="492A92D8">
    <w:pPr>
      <w:pStyle w:val="1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88A85">
    <w:pPr>
      <w:pStyle w:val="1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2" w:name="_Toc91899912"/>
    <w:bookmarkStart w:id="403" w:name="_Toc131845147"/>
    <w:bookmarkStart w:id="404" w:name="_Toc164085800"/>
    <w:bookmarkStart w:id="405" w:name="_Toc36110187"/>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8D512">
    <w:pPr>
      <w:pStyle w:val="10"/>
      <w:framePr w:wrap="around" w:vAnchor="text" w:hAnchor="margin" w:xAlign="right" w:y="1"/>
      <w:rPr>
        <w:rStyle w:val="17"/>
      </w:rPr>
    </w:pPr>
    <w:r>
      <w:fldChar w:fldCharType="begin"/>
    </w:r>
    <w:r>
      <w:rPr>
        <w:rStyle w:val="17"/>
      </w:rPr>
      <w:instrText xml:space="preserve">PAGE  </w:instrText>
    </w:r>
    <w:r>
      <w:fldChar w:fldCharType="end"/>
    </w:r>
  </w:p>
  <w:p w14:paraId="6632DA0B">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93EBE">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66573">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04ED5A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7456B">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E8EF67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8E80A">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D5A7AB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6DFB7">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B912F6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AABCA">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FDD57F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42D95">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3259DD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9CE1C">
    <w:pPr>
      <w:pStyle w:val="11"/>
      <w:pBdr>
        <w:bottom w:val="single" w:color="auto" w:sz="6" w:space="4"/>
      </w:pBdr>
      <w:jc w:val="right"/>
    </w:pPr>
    <w:r>
      <w:t></w:t>
    </w:r>
    <w:r>
      <w:rPr>
        <w:rFonts w:hint="eastAsia"/>
      </w:rPr>
      <w:t xml:space="preserve">       </w:t>
    </w:r>
  </w:p>
  <w:p w14:paraId="2604C730">
    <w:pPr>
      <w:pStyle w:val="11"/>
      <w:pBdr>
        <w:bottom w:val="single" w:color="auto" w:sz="6" w:space="4"/>
      </w:pBdr>
      <w:jc w:val="right"/>
    </w:pPr>
    <w:r>
      <w:rPr>
        <w:rFonts w:hint="eastAsia"/>
      </w:rPr>
      <w:t xml:space="preserve">      </w:t>
    </w:r>
    <w:r>
      <w:t>杭州市政府采购公开招标文件</w:t>
    </w:r>
  </w:p>
  <w:p w14:paraId="205A4D10">
    <w:pPr>
      <w:pStyle w:val="1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0F4E6">
    <w:pPr>
      <w:pStyle w:val="1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114B0">
    <w:pPr>
      <w:pStyle w:val="1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19ECA">
    <w:pPr>
      <w:pStyle w:val="11"/>
      <w:rPr>
        <w:rFonts w:ascii="仿宋_GB2312" w:eastAsia="仿宋_GB2312"/>
        <w:b/>
        <w:i/>
        <w:u w:val="single"/>
      </w:rPr>
    </w:pPr>
    <w:r>
      <w:t></w:t>
    </w:r>
    <w:r>
      <w:rPr>
        <w:rFonts w:hint="eastAsia"/>
      </w:rPr>
      <w:t xml:space="preserve">                                                  </w:t>
    </w:r>
    <w:r>
      <w:t xml:space="preserve">             杭州市政府采购公开招标文件</w:t>
    </w:r>
  </w:p>
  <w:p w14:paraId="09F599E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C48F3">
    <w:pPr>
      <w:pStyle w:val="11"/>
    </w:pPr>
    <w:r>
      <w:t></w:t>
    </w:r>
    <w:r>
      <w:rPr>
        <w:rFonts w:hint="eastAsia"/>
      </w:rPr>
      <w:t xml:space="preserve">         </w:t>
    </w:r>
  </w:p>
  <w:p w14:paraId="76078570">
    <w:pPr>
      <w:pStyle w:val="1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692BA">
    <w:pPr>
      <w:pStyle w:val="11"/>
      <w:rPr>
        <w:rFonts w:ascii="仿宋_GB2312" w:eastAsia="仿宋_GB2312"/>
        <w:b/>
        <w:i/>
        <w:u w:val="single"/>
      </w:rPr>
    </w:pPr>
    <w:r>
      <w:t></w:t>
    </w:r>
    <w:r>
      <w:rPr>
        <w:rFonts w:hint="eastAsia"/>
      </w:rPr>
      <w:t xml:space="preserve">                                                  </w:t>
    </w:r>
    <w:r>
      <w:t>杭州市政府采购公开招标文件</w:t>
    </w:r>
  </w:p>
  <w:p w14:paraId="1E67C5A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6D068">
    <w:pPr>
      <w:pStyle w:val="1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B8A17">
    <w:pPr>
      <w:pStyle w:val="11"/>
      <w:jc w:val="right"/>
      <w:rPr>
        <w:rFonts w:ascii="仿宋_GB2312" w:eastAsia="仿宋_GB2312"/>
        <w:b/>
        <w:i/>
        <w:u w:val="single"/>
      </w:rPr>
    </w:pPr>
    <w:r>
      <w:rPr>
        <w:rFonts w:hint="eastAsia"/>
      </w:rPr>
      <w:t xml:space="preserve">                                  </w:t>
    </w:r>
    <w:r>
      <w:t>杭州市政府采购公开招标文件</w:t>
    </w:r>
  </w:p>
  <w:p w14:paraId="32BD540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E0202">
    <w:pPr>
      <w:pStyle w:val="1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CC640">
    <w:pPr>
      <w:pStyle w:val="1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10D34"/>
    <w:multiLevelType w:val="singleLevel"/>
    <w:tmpl w:val="8CC10D34"/>
    <w:lvl w:ilvl="0" w:tentative="0">
      <w:start w:val="1"/>
      <w:numFmt w:val="decimal"/>
      <w:suff w:val="nothing"/>
      <w:lvlText w:val="（%1）"/>
      <w:lvlJc w:val="left"/>
    </w:lvl>
  </w:abstractNum>
  <w:abstractNum w:abstractNumId="1">
    <w:nsid w:val="9CC97139"/>
    <w:multiLevelType w:val="singleLevel"/>
    <w:tmpl w:val="9CC97139"/>
    <w:lvl w:ilvl="0" w:tentative="0">
      <w:start w:val="1"/>
      <w:numFmt w:val="decimal"/>
      <w:suff w:val="nothing"/>
      <w:lvlText w:val="（%1）"/>
      <w:lvlJc w:val="left"/>
    </w:lvl>
  </w:abstractNum>
  <w:abstractNum w:abstractNumId="2">
    <w:nsid w:val="DC72E84B"/>
    <w:multiLevelType w:val="singleLevel"/>
    <w:tmpl w:val="DC72E84B"/>
    <w:lvl w:ilvl="0" w:tentative="0">
      <w:start w:val="4"/>
      <w:numFmt w:val="chineseCounting"/>
      <w:suff w:val="space"/>
      <w:lvlText w:val="第%1部分"/>
      <w:lvlJc w:val="left"/>
      <w:rPr>
        <w:rFonts w:hint="eastAsia"/>
      </w:rPr>
    </w:lvl>
  </w:abstractNum>
  <w:abstractNum w:abstractNumId="3">
    <w:nsid w:val="EB3F1FB3"/>
    <w:multiLevelType w:val="singleLevel"/>
    <w:tmpl w:val="EB3F1FB3"/>
    <w:lvl w:ilvl="0" w:tentative="0">
      <w:start w:val="4"/>
      <w:numFmt w:val="chineseCounting"/>
      <w:suff w:val="nothing"/>
      <w:lvlText w:val="%1、"/>
      <w:lvlJc w:val="left"/>
      <w:rPr>
        <w:rFonts w:hint="eastAsia"/>
      </w:rPr>
    </w:lvl>
  </w:abstractNum>
  <w:abstractNum w:abstractNumId="4">
    <w:nsid w:val="F364AC16"/>
    <w:multiLevelType w:val="singleLevel"/>
    <w:tmpl w:val="F364AC16"/>
    <w:lvl w:ilvl="0" w:tentative="0">
      <w:start w:val="1"/>
      <w:numFmt w:val="decimal"/>
      <w:suff w:val="nothing"/>
      <w:lvlText w:val="（%1）"/>
      <w:lvlJc w:val="left"/>
    </w:lvl>
  </w:abstractNum>
  <w:abstractNum w:abstractNumId="5">
    <w:nsid w:val="60855A91"/>
    <w:multiLevelType w:val="singleLevel"/>
    <w:tmpl w:val="60855A91"/>
    <w:lvl w:ilvl="0" w:tentative="0">
      <w:start w:val="1"/>
      <w:numFmt w:val="decimal"/>
      <w:suff w:val="nothing"/>
      <w:lvlText w:val="（%1）"/>
      <w:lvlJc w:val="left"/>
    </w:lvl>
  </w:abstractNum>
  <w:abstractNum w:abstractNumId="6">
    <w:nsid w:val="72FF3CC6"/>
    <w:multiLevelType w:val="singleLevel"/>
    <w:tmpl w:val="72FF3CC6"/>
    <w:lvl w:ilvl="0" w:tentative="0">
      <w:start w:val="1"/>
      <w:numFmt w:val="decimal"/>
      <w:suff w:val="nothing"/>
      <w:lvlText w:val="（%1）"/>
      <w:lvlJc w:val="left"/>
    </w:lvl>
  </w:abstractNum>
  <w:num w:numId="1">
    <w:abstractNumId w:val="0"/>
  </w:num>
  <w:num w:numId="2">
    <w:abstractNumId w:val="2"/>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yYWE1NzZiYmU0Yjg0NGMzZTk3NTBlMWY2ZjlhMjgifQ=="/>
  </w:docVars>
  <w:rsids>
    <w:rsidRoot w:val="1EE8242C"/>
    <w:rsid w:val="00052E1B"/>
    <w:rsid w:val="00055A53"/>
    <w:rsid w:val="001E5C84"/>
    <w:rsid w:val="002107DF"/>
    <w:rsid w:val="002A180B"/>
    <w:rsid w:val="004865C9"/>
    <w:rsid w:val="004F4BF2"/>
    <w:rsid w:val="00506112"/>
    <w:rsid w:val="007A4CDA"/>
    <w:rsid w:val="007E1ECD"/>
    <w:rsid w:val="00887950"/>
    <w:rsid w:val="00946DD6"/>
    <w:rsid w:val="00A55661"/>
    <w:rsid w:val="00A85183"/>
    <w:rsid w:val="00BF7BC8"/>
    <w:rsid w:val="00C81C8A"/>
    <w:rsid w:val="00D06F71"/>
    <w:rsid w:val="00EE6E57"/>
    <w:rsid w:val="00F729C9"/>
    <w:rsid w:val="015C0E9D"/>
    <w:rsid w:val="01C60031"/>
    <w:rsid w:val="026B33C3"/>
    <w:rsid w:val="039B79C2"/>
    <w:rsid w:val="06B64A6C"/>
    <w:rsid w:val="06EC048E"/>
    <w:rsid w:val="07057D95"/>
    <w:rsid w:val="070E05A7"/>
    <w:rsid w:val="071F3195"/>
    <w:rsid w:val="082367D8"/>
    <w:rsid w:val="09C14626"/>
    <w:rsid w:val="0A7A4F08"/>
    <w:rsid w:val="0B6240A3"/>
    <w:rsid w:val="0BB47B4C"/>
    <w:rsid w:val="0BE6437F"/>
    <w:rsid w:val="0C7E602C"/>
    <w:rsid w:val="0DA15D5A"/>
    <w:rsid w:val="0DE80AB1"/>
    <w:rsid w:val="0E52214B"/>
    <w:rsid w:val="0E8F4061"/>
    <w:rsid w:val="0E9819C4"/>
    <w:rsid w:val="0EA16002"/>
    <w:rsid w:val="11E61731"/>
    <w:rsid w:val="128450CF"/>
    <w:rsid w:val="15E83826"/>
    <w:rsid w:val="15EA0FF4"/>
    <w:rsid w:val="167C2521"/>
    <w:rsid w:val="169E6243"/>
    <w:rsid w:val="16AD0F78"/>
    <w:rsid w:val="19795207"/>
    <w:rsid w:val="1AF75928"/>
    <w:rsid w:val="1BCD69F5"/>
    <w:rsid w:val="1CFD15B8"/>
    <w:rsid w:val="1D5F31F1"/>
    <w:rsid w:val="1DCB40D8"/>
    <w:rsid w:val="1EB043DA"/>
    <w:rsid w:val="1EE8242C"/>
    <w:rsid w:val="1F0C74C8"/>
    <w:rsid w:val="1F402A45"/>
    <w:rsid w:val="214D6116"/>
    <w:rsid w:val="21BE781A"/>
    <w:rsid w:val="240768E1"/>
    <w:rsid w:val="24CA5E5B"/>
    <w:rsid w:val="259B0929"/>
    <w:rsid w:val="27534E3F"/>
    <w:rsid w:val="28186A09"/>
    <w:rsid w:val="2A69737C"/>
    <w:rsid w:val="2C804ECB"/>
    <w:rsid w:val="2D8440D0"/>
    <w:rsid w:val="2FE34275"/>
    <w:rsid w:val="30033C04"/>
    <w:rsid w:val="30EE1123"/>
    <w:rsid w:val="31011ED7"/>
    <w:rsid w:val="313905F0"/>
    <w:rsid w:val="318822B1"/>
    <w:rsid w:val="323E55F6"/>
    <w:rsid w:val="32DA7715"/>
    <w:rsid w:val="33B539B5"/>
    <w:rsid w:val="364E7873"/>
    <w:rsid w:val="36660C7A"/>
    <w:rsid w:val="36EA58C4"/>
    <w:rsid w:val="37A22908"/>
    <w:rsid w:val="37B62A06"/>
    <w:rsid w:val="389862D8"/>
    <w:rsid w:val="39512533"/>
    <w:rsid w:val="3A8F302F"/>
    <w:rsid w:val="3B6224F2"/>
    <w:rsid w:val="3C8062CD"/>
    <w:rsid w:val="3CDA53DE"/>
    <w:rsid w:val="3D4634DB"/>
    <w:rsid w:val="3FFB1D09"/>
    <w:rsid w:val="401D4686"/>
    <w:rsid w:val="413D0884"/>
    <w:rsid w:val="46352E02"/>
    <w:rsid w:val="4844005E"/>
    <w:rsid w:val="4B5B1C8E"/>
    <w:rsid w:val="4B6B11E2"/>
    <w:rsid w:val="4C3E6663"/>
    <w:rsid w:val="51DF2696"/>
    <w:rsid w:val="53610B0F"/>
    <w:rsid w:val="57C32F11"/>
    <w:rsid w:val="589727A0"/>
    <w:rsid w:val="58C46118"/>
    <w:rsid w:val="5975743C"/>
    <w:rsid w:val="59A353AE"/>
    <w:rsid w:val="59D976AF"/>
    <w:rsid w:val="5B1A102A"/>
    <w:rsid w:val="5CD948BC"/>
    <w:rsid w:val="5F995DE3"/>
    <w:rsid w:val="5FBF3723"/>
    <w:rsid w:val="61B9080E"/>
    <w:rsid w:val="62732C0F"/>
    <w:rsid w:val="633839B4"/>
    <w:rsid w:val="633E0ED4"/>
    <w:rsid w:val="64412342"/>
    <w:rsid w:val="659550EE"/>
    <w:rsid w:val="65CD2ADA"/>
    <w:rsid w:val="65DC510D"/>
    <w:rsid w:val="669E5AE9"/>
    <w:rsid w:val="67762CFD"/>
    <w:rsid w:val="68652E2D"/>
    <w:rsid w:val="68A83B16"/>
    <w:rsid w:val="6A3D0C2C"/>
    <w:rsid w:val="6BD23B11"/>
    <w:rsid w:val="6CC10EBE"/>
    <w:rsid w:val="6D1A6128"/>
    <w:rsid w:val="6EA73E8D"/>
    <w:rsid w:val="6EC40EEA"/>
    <w:rsid w:val="6ECB0F6D"/>
    <w:rsid w:val="6FAD1286"/>
    <w:rsid w:val="70591871"/>
    <w:rsid w:val="768865A9"/>
    <w:rsid w:val="76981003"/>
    <w:rsid w:val="77626427"/>
    <w:rsid w:val="791553E3"/>
    <w:rsid w:val="7B256015"/>
    <w:rsid w:val="7B8E6410"/>
    <w:rsid w:val="7BB26E54"/>
    <w:rsid w:val="7C996576"/>
    <w:rsid w:val="7D802081"/>
    <w:rsid w:val="7FA93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4">
    <w:name w:val="Document Map"/>
    <w:basedOn w:val="1"/>
    <w:qFormat/>
    <w:uiPriority w:val="0"/>
    <w:pPr>
      <w:shd w:val="clear" w:color="auto" w:fill="000080"/>
    </w:pPr>
  </w:style>
  <w:style w:type="paragraph" w:styleId="5">
    <w:name w:val="annotation text"/>
    <w:basedOn w:val="1"/>
    <w:qFormat/>
    <w:uiPriority w:val="0"/>
    <w:pPr>
      <w:jc w:val="left"/>
    </w:pPr>
  </w:style>
  <w:style w:type="paragraph" w:styleId="6">
    <w:name w:val="Body Text"/>
    <w:basedOn w:val="1"/>
    <w:next w:val="7"/>
    <w:qFormat/>
    <w:uiPriority w:val="0"/>
    <w:pPr>
      <w:autoSpaceDE w:val="0"/>
      <w:autoSpaceDN w:val="0"/>
      <w:spacing w:line="360" w:lineRule="auto"/>
    </w:pPr>
    <w:rPr>
      <w:rFonts w:ascii="宋体" w:hAnsi="Arial" w:cs="Arial"/>
      <w:snapToGrid w:val="0"/>
      <w:sz w:val="24"/>
      <w:szCs w:val="21"/>
      <w:lang w:val="zh-CN"/>
    </w:rPr>
  </w:style>
  <w:style w:type="paragraph" w:styleId="7">
    <w:name w:val="Body Text First Indent"/>
    <w:basedOn w:val="6"/>
    <w:qFormat/>
    <w:uiPriority w:val="0"/>
    <w:pPr>
      <w:ind w:firstLine="420"/>
    </w:pPr>
    <w:rPr>
      <w:rFonts w:hAnsi="Calibri" w:cs="Times New Roman"/>
      <w:snapToGrid/>
      <w:szCs w:val="20"/>
    </w:rPr>
  </w:style>
  <w:style w:type="paragraph" w:styleId="8">
    <w:name w:val="Body Text Indent"/>
    <w:basedOn w:val="1"/>
    <w:next w:val="1"/>
    <w:qFormat/>
    <w:uiPriority w:val="0"/>
    <w:pPr>
      <w:spacing w:line="480" w:lineRule="exact"/>
      <w:ind w:firstLine="480" w:firstLineChars="200"/>
    </w:pPr>
    <w:rPr>
      <w:rFonts w:ascii="宋体" w:hAnsi="宋体"/>
      <w:sz w:val="24"/>
    </w:rPr>
  </w:style>
  <w:style w:type="paragraph" w:styleId="9">
    <w:name w:val="Plain Text"/>
    <w:basedOn w:val="1"/>
    <w:qFormat/>
    <w:uiPriority w:val="0"/>
    <w:rPr>
      <w:rFonts w:ascii="宋体" w:hAnsi="Courier New" w:cs="Arial"/>
      <w:snapToGrid w:val="0"/>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13">
    <w:name w:val="Body Text First Indent 2"/>
    <w:basedOn w:val="8"/>
    <w:next w:val="1"/>
    <w:qFormat/>
    <w:uiPriority w:val="0"/>
    <w:pPr>
      <w:adjustRightInd/>
      <w:spacing w:after="120" w:line="240" w:lineRule="auto"/>
      <w:ind w:left="420" w:leftChars="200" w:firstLine="210"/>
    </w:pPr>
    <w:rPr>
      <w:sz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rPr>
      <w:rFonts w:ascii="Arial" w:hAnsi="Arial" w:eastAsia="黑体" w:cs="Arial"/>
      <w:snapToGrid w:val="0"/>
      <w:kern w:val="0"/>
      <w:szCs w:val="21"/>
    </w:rPr>
  </w:style>
  <w:style w:type="character" w:styleId="18">
    <w:name w:val="Hyperlink"/>
    <w:qFormat/>
    <w:uiPriority w:val="99"/>
    <w:rPr>
      <w:rFonts w:ascii="Arial" w:hAnsi="Arial" w:eastAsia="黑体" w:cs="Arial"/>
      <w:snapToGrid w:val="0"/>
      <w:color w:val="000000"/>
      <w:kern w:val="0"/>
      <w:sz w:val="18"/>
      <w:szCs w:val="18"/>
      <w:u w:val="none"/>
    </w:rPr>
  </w:style>
  <w:style w:type="paragraph" w:customStyle="1" w:styleId="19">
    <w:name w:val="正文1"/>
    <w:basedOn w:val="4"/>
    <w:next w:val="1"/>
    <w:qFormat/>
    <w:uiPriority w:val="0"/>
    <w:pPr>
      <w:tabs>
        <w:tab w:val="right" w:leader="dot" w:pos="8268"/>
      </w:tabs>
      <w:ind w:firstLine="480" w:firstLineChars="200"/>
    </w:pPr>
    <w:rPr>
      <w:rFonts w:ascii="仿宋_GB2312" w:hAnsi="Courier New" w:eastAsia="仿宋_GB2312"/>
      <w:kern w:val="28"/>
      <w:sz w:val="24"/>
    </w:rPr>
  </w:style>
  <w:style w:type="paragraph" w:customStyle="1" w:styleId="20">
    <w:name w:val="!大节"/>
    <w:basedOn w:val="2"/>
    <w:qFormat/>
    <w:uiPriority w:val="0"/>
    <w:pPr>
      <w:spacing w:before="260" w:after="260" w:line="415" w:lineRule="auto"/>
      <w:ind w:left="420" w:hanging="420"/>
    </w:pPr>
    <w:rPr>
      <w:rFonts w:ascii="Arial" w:hAnsi="Arial" w:eastAsia="微软雅黑"/>
      <w:lang w:val="en-US"/>
    </w:rPr>
  </w:style>
  <w:style w:type="paragraph" w:customStyle="1" w:styleId="2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2">
    <w:name w:val="正文2"/>
    <w:basedOn w:val="1"/>
    <w:qFormat/>
    <w:uiPriority w:val="0"/>
    <w:pPr>
      <w:spacing w:before="156" w:line="360" w:lineRule="auto"/>
      <w:ind w:firstLine="510" w:firstLineChars="200"/>
    </w:pPr>
    <w:rPr>
      <w:sz w:val="24"/>
      <w:szCs w:val="20"/>
    </w:rPr>
  </w:style>
  <w:style w:type="paragraph" w:customStyle="1" w:styleId="2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
    <w:name w:val="正文缩进1"/>
    <w:basedOn w:val="1"/>
    <w:next w:val="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5">
    <w:name w:val="纯文本_0_0"/>
    <w:basedOn w:val="26"/>
    <w:qFormat/>
    <w:uiPriority w:val="0"/>
    <w:rPr>
      <w:rFonts w:ascii="宋体" w:hAnsi="Courier New"/>
      <w:szCs w:val="21"/>
    </w:rPr>
  </w:style>
  <w:style w:type="paragraph" w:customStyle="1" w:styleId="2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15592</Words>
  <Characters>16743</Characters>
  <Lines>276</Lines>
  <Paragraphs>77</Paragraphs>
  <TotalTime>14</TotalTime>
  <ScaleCrop>false</ScaleCrop>
  <LinksUpToDate>false</LinksUpToDate>
  <CharactersWithSpaces>17030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2023-03-22T07:01:00Z</dcterms:created>
  <dc:creator>liulu</dc:creator>
  <cp:lastModifiedBy>Flutter</cp:lastModifiedBy>
  <dcterms:modified xsi:type="dcterms:W3CDTF">2025-02-25T09:13:23Z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DF117FC1E96648D4A98056D44FD6778F_13</vt:lpwstr>
  </property>
  <property fmtid="{D5CDD505-2E9C-101B-9397-08002B2CF9AE}" pid="4" name="KSOTemplateDocerSaveRecord">
    <vt:lpwstr>eyJoZGlkIjoiMzg2MDU3NWVjNTcyNjMzOTVlYjk4OGE1OThhMjJlZDMiLCJ1c2VySWQiOiI3MzgxNTg3ODIifQ==</vt:lpwstr>
  </property>
</Properties>
</file>